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B8928" w14:textId="77777777" w:rsidR="0019783B" w:rsidRPr="0019783B" w:rsidRDefault="0019783B" w:rsidP="0019783B">
      <w:pPr>
        <w:spacing w:line="360" w:lineRule="auto"/>
        <w:ind w:firstLine="0"/>
        <w:jc w:val="center"/>
        <w:rPr>
          <w:rFonts w:eastAsia="DengXian"/>
          <w:b/>
          <w:sz w:val="28"/>
          <w:lang w:val="en-GB"/>
        </w:rPr>
      </w:pPr>
      <w:r w:rsidRPr="0019783B">
        <w:rPr>
          <w:rFonts w:eastAsia="DengXian"/>
          <w:b/>
          <w:sz w:val="28"/>
          <w:lang w:val="en-GB"/>
        </w:rPr>
        <w:t xml:space="preserve">The Information Role of Earnings Conference Call Tone: </w:t>
      </w:r>
    </w:p>
    <w:p w14:paraId="6FE9A443" w14:textId="77777777" w:rsidR="0019783B" w:rsidRPr="0019783B" w:rsidRDefault="0019783B" w:rsidP="0019783B">
      <w:pPr>
        <w:spacing w:line="240" w:lineRule="auto"/>
        <w:ind w:firstLine="0"/>
        <w:jc w:val="center"/>
        <w:rPr>
          <w:rFonts w:eastAsia="DengXian"/>
          <w:b/>
          <w:sz w:val="28"/>
          <w:lang w:val="en-GB"/>
        </w:rPr>
      </w:pPr>
      <w:r w:rsidRPr="0019783B">
        <w:rPr>
          <w:rFonts w:eastAsia="DengXian"/>
          <w:b/>
          <w:sz w:val="28"/>
          <w:lang w:val="en-GB"/>
        </w:rPr>
        <w:t>Evidence from Stock Price Crash Risk</w:t>
      </w:r>
      <w:r w:rsidRPr="0019783B">
        <w:rPr>
          <w:rFonts w:eastAsia="DengXian"/>
          <w:b/>
          <w:sz w:val="28"/>
          <w:vertAlign w:val="superscript"/>
        </w:rPr>
        <w:footnoteReference w:id="1"/>
      </w:r>
    </w:p>
    <w:p w14:paraId="714F8B48" w14:textId="77777777" w:rsidR="0019783B" w:rsidRPr="0019783B" w:rsidRDefault="0019783B" w:rsidP="0019783B">
      <w:pPr>
        <w:spacing w:line="240" w:lineRule="auto"/>
        <w:ind w:firstLine="0"/>
        <w:jc w:val="center"/>
        <w:rPr>
          <w:rFonts w:eastAsia="DengXian"/>
          <w:b/>
          <w:sz w:val="28"/>
          <w:lang w:val="en-GB"/>
        </w:rPr>
      </w:pPr>
    </w:p>
    <w:p w14:paraId="139F4D8F" w14:textId="77777777" w:rsidR="0019783B" w:rsidRPr="0019783B" w:rsidRDefault="0019783B" w:rsidP="0019783B">
      <w:pPr>
        <w:spacing w:line="240" w:lineRule="auto"/>
        <w:ind w:firstLine="0"/>
        <w:jc w:val="center"/>
        <w:rPr>
          <w:rFonts w:eastAsia="DengXian"/>
          <w:b/>
          <w:sz w:val="28"/>
          <w:lang w:val="en-GB"/>
        </w:rPr>
      </w:pPr>
    </w:p>
    <w:p w14:paraId="616F18ED" w14:textId="77777777" w:rsidR="0019783B" w:rsidRPr="0019783B" w:rsidRDefault="0019783B" w:rsidP="0019783B">
      <w:pPr>
        <w:spacing w:line="240" w:lineRule="auto"/>
        <w:ind w:firstLine="0"/>
        <w:jc w:val="center"/>
        <w:outlineLvl w:val="0"/>
        <w:rPr>
          <w:rFonts w:eastAsia="DengXian"/>
          <w:b/>
          <w:lang w:eastAsia="zh-CN"/>
        </w:rPr>
      </w:pPr>
      <w:r w:rsidRPr="0019783B">
        <w:rPr>
          <w:rFonts w:eastAsia="DengXian"/>
          <w:b/>
        </w:rPr>
        <w:t>Xi Fu</w:t>
      </w:r>
      <w:r w:rsidRPr="0019783B">
        <w:rPr>
          <w:rFonts w:eastAsia="DengXian"/>
          <w:b/>
          <w:vertAlign w:val="superscript"/>
          <w:lang w:eastAsia="zh-CN"/>
        </w:rPr>
        <w:footnoteReference w:id="2"/>
      </w:r>
      <w:r w:rsidRPr="0019783B">
        <w:rPr>
          <w:rFonts w:eastAsia="DengXian"/>
          <w:b/>
        </w:rPr>
        <w:tab/>
      </w:r>
      <w:r w:rsidRPr="0019783B">
        <w:rPr>
          <w:rFonts w:eastAsia="DengXian"/>
          <w:b/>
        </w:rPr>
        <w:tab/>
      </w:r>
      <w:r w:rsidRPr="0019783B">
        <w:rPr>
          <w:rFonts w:eastAsia="DengXian"/>
          <w:b/>
        </w:rPr>
        <w:tab/>
        <w:t>Xiaoxi Wu</w:t>
      </w:r>
      <w:r w:rsidRPr="0019783B">
        <w:rPr>
          <w:rFonts w:eastAsia="DengXian"/>
          <w:b/>
          <w:vertAlign w:val="superscript"/>
        </w:rPr>
        <w:footnoteReference w:id="3"/>
      </w:r>
      <w:r w:rsidRPr="0019783B">
        <w:rPr>
          <w:rFonts w:eastAsia="DengXian"/>
          <w:b/>
        </w:rPr>
        <w:tab/>
      </w:r>
      <w:r w:rsidRPr="0019783B">
        <w:rPr>
          <w:rFonts w:eastAsia="DengXian"/>
          <w:b/>
        </w:rPr>
        <w:tab/>
        <w:t>Zhifang Zhang</w:t>
      </w:r>
      <w:r w:rsidRPr="0019783B">
        <w:rPr>
          <w:rFonts w:eastAsia="DengXian"/>
          <w:b/>
          <w:vertAlign w:val="superscript"/>
        </w:rPr>
        <w:footnoteReference w:id="4"/>
      </w:r>
    </w:p>
    <w:p w14:paraId="7E1C1BDA" w14:textId="77777777" w:rsidR="0019783B" w:rsidRPr="0019783B" w:rsidRDefault="0019783B" w:rsidP="0019783B">
      <w:pPr>
        <w:spacing w:line="240" w:lineRule="auto"/>
        <w:ind w:firstLine="0"/>
        <w:jc w:val="left"/>
        <w:rPr>
          <w:rFonts w:eastAsia="DengXian"/>
        </w:rPr>
      </w:pPr>
    </w:p>
    <w:p w14:paraId="17657FA5" w14:textId="77777777" w:rsidR="0019783B" w:rsidRPr="0019783B" w:rsidRDefault="0019783B" w:rsidP="0019783B">
      <w:pPr>
        <w:spacing w:line="360" w:lineRule="auto"/>
        <w:ind w:firstLine="0"/>
        <w:jc w:val="center"/>
        <w:rPr>
          <w:rFonts w:eastAsia="DengXian"/>
          <w:b/>
        </w:rPr>
      </w:pPr>
    </w:p>
    <w:p w14:paraId="2BDEA3C0" w14:textId="77777777" w:rsidR="0019783B" w:rsidRPr="0019783B" w:rsidRDefault="0019783B" w:rsidP="0019783B">
      <w:pPr>
        <w:spacing w:line="360" w:lineRule="auto"/>
        <w:ind w:firstLine="0"/>
        <w:jc w:val="center"/>
        <w:rPr>
          <w:rFonts w:eastAsia="DengXian"/>
          <w:lang w:eastAsia="zh-CN"/>
        </w:rPr>
      </w:pPr>
      <w:r w:rsidRPr="0019783B">
        <w:rPr>
          <w:rFonts w:eastAsia="DengXian"/>
          <w:b/>
        </w:rPr>
        <w:t>Abstract</w:t>
      </w:r>
    </w:p>
    <w:p w14:paraId="173CC92E" w14:textId="77777777" w:rsidR="0019783B" w:rsidRPr="0019783B" w:rsidRDefault="0019783B" w:rsidP="0019783B">
      <w:pPr>
        <w:spacing w:line="360" w:lineRule="auto"/>
        <w:ind w:firstLine="0"/>
        <w:rPr>
          <w:rFonts w:eastAsia="DengXian"/>
          <w:lang w:eastAsia="zh-CN"/>
        </w:rPr>
      </w:pPr>
      <w:r w:rsidRPr="0019783B">
        <w:rPr>
          <w:rFonts w:eastAsia="DengXian"/>
          <w:lang w:eastAsia="zh-CN"/>
        </w:rPr>
        <w:t>This paper investigates whether and how the disclosure tone of earnings conference calls predicts future stock price crash risk. Using US public firms’ conference call transcripts from 2010 to 2015, we find that firms with less optimistic tone of year-end conference calls experience higher stock price crash risk in the following year. Additional analyses reveal that the predictive power of tone is more pronounced among firms with better information environments and lower managerial equity incentives, suggesting that extrinsic motivations for truthful disclosure partially explain the predictive power of conference call tone. Our results shed light on the long-term information role of conference call tone by exploring the setting of extreme future downside risk when managers have conflicting incentives either to unethically manipulate disclosure tone to hide bad news, or to engage in ethical and truthful communication.</w:t>
      </w:r>
    </w:p>
    <w:p w14:paraId="11FEA7AE" w14:textId="77777777" w:rsidR="0019783B" w:rsidRPr="0019783B" w:rsidRDefault="0019783B" w:rsidP="0019783B">
      <w:pPr>
        <w:spacing w:line="360" w:lineRule="auto"/>
        <w:ind w:firstLine="0"/>
        <w:rPr>
          <w:rFonts w:eastAsia="DengXian"/>
          <w:lang w:val="en-GB" w:eastAsia="zh-CN"/>
        </w:rPr>
      </w:pPr>
    </w:p>
    <w:p w14:paraId="71737A00" w14:textId="77777777" w:rsidR="0019783B" w:rsidRPr="0019783B" w:rsidRDefault="0019783B" w:rsidP="0019783B">
      <w:pPr>
        <w:spacing w:line="360" w:lineRule="auto"/>
        <w:ind w:firstLine="0"/>
        <w:rPr>
          <w:rFonts w:eastAsia="DengXian"/>
          <w:lang w:eastAsia="zh-CN"/>
        </w:rPr>
      </w:pPr>
      <w:r w:rsidRPr="0019783B">
        <w:rPr>
          <w:rFonts w:eastAsia="DengXian"/>
          <w:b/>
          <w:lang w:eastAsia="zh-CN"/>
        </w:rPr>
        <w:t>Running Head:</w:t>
      </w:r>
      <w:r w:rsidRPr="0019783B">
        <w:rPr>
          <w:rFonts w:eastAsia="DengXian"/>
          <w:lang w:eastAsia="zh-CN"/>
        </w:rPr>
        <w:t xml:space="preserve"> The Information Role of Earnings Conference Call Tone</w:t>
      </w:r>
    </w:p>
    <w:p w14:paraId="761C5040" w14:textId="77777777" w:rsidR="0019783B" w:rsidRPr="0019783B" w:rsidRDefault="0019783B" w:rsidP="0019783B">
      <w:pPr>
        <w:spacing w:line="360" w:lineRule="auto"/>
        <w:ind w:firstLine="0"/>
        <w:rPr>
          <w:rFonts w:eastAsia="DengXian"/>
          <w:lang w:eastAsia="zh-CN"/>
        </w:rPr>
      </w:pPr>
    </w:p>
    <w:p w14:paraId="373FAA00" w14:textId="77777777" w:rsidR="0019783B" w:rsidRPr="0019783B" w:rsidRDefault="0019783B" w:rsidP="0019783B">
      <w:pPr>
        <w:spacing w:line="360" w:lineRule="auto"/>
        <w:ind w:firstLine="0"/>
        <w:rPr>
          <w:rFonts w:eastAsia="DengXian"/>
          <w:lang w:eastAsia="zh-CN"/>
        </w:rPr>
      </w:pPr>
      <w:r w:rsidRPr="0019783B">
        <w:rPr>
          <w:rFonts w:eastAsia="DengXian"/>
          <w:b/>
          <w:lang w:eastAsia="zh-CN"/>
        </w:rPr>
        <w:t>Keywords:</w:t>
      </w:r>
      <w:r w:rsidRPr="0019783B">
        <w:rPr>
          <w:rFonts w:eastAsia="DengXian" w:hint="eastAsia"/>
          <w:lang w:eastAsia="zh-CN"/>
        </w:rPr>
        <w:t xml:space="preserve"> </w:t>
      </w:r>
      <w:r w:rsidRPr="0019783B">
        <w:rPr>
          <w:rFonts w:eastAsia="DengXian"/>
          <w:lang w:eastAsia="zh-CN"/>
        </w:rPr>
        <w:t xml:space="preserve">Ethical financial reporting, </w:t>
      </w:r>
      <w:r w:rsidRPr="0019783B">
        <w:rPr>
          <w:rFonts w:eastAsia="DengXian" w:hint="eastAsia"/>
          <w:lang w:eastAsia="zh-CN"/>
        </w:rPr>
        <w:t xml:space="preserve">Earnings conference calls, </w:t>
      </w:r>
      <w:r w:rsidRPr="0019783B">
        <w:rPr>
          <w:rFonts w:eastAsia="DengXian"/>
          <w:lang w:eastAsia="zh-CN"/>
        </w:rPr>
        <w:t xml:space="preserve">Stock price crash risk, Tone, Truthful communication, </w:t>
      </w:r>
      <w:r w:rsidRPr="0019783B">
        <w:rPr>
          <w:rFonts w:eastAsia="DengXian" w:hint="eastAsia"/>
          <w:lang w:eastAsia="zh-CN"/>
        </w:rPr>
        <w:t>V</w:t>
      </w:r>
      <w:r w:rsidRPr="0019783B">
        <w:rPr>
          <w:rFonts w:eastAsia="DengXian"/>
          <w:lang w:eastAsia="zh-CN"/>
        </w:rPr>
        <w:t>oluntary disclosure</w:t>
      </w:r>
    </w:p>
    <w:p w14:paraId="20699A7E" w14:textId="77777777" w:rsidR="0019783B" w:rsidRPr="0019783B" w:rsidRDefault="0019783B" w:rsidP="0019783B">
      <w:pPr>
        <w:spacing w:line="360" w:lineRule="auto"/>
        <w:ind w:firstLine="0"/>
        <w:rPr>
          <w:rFonts w:eastAsia="DengXian"/>
          <w:lang w:eastAsia="zh-CN"/>
        </w:rPr>
      </w:pPr>
    </w:p>
    <w:p w14:paraId="024CA930" w14:textId="7D563ADA" w:rsidR="0019783B" w:rsidRPr="004D2479" w:rsidRDefault="0019783B" w:rsidP="004D2479">
      <w:pPr>
        <w:spacing w:line="360" w:lineRule="auto"/>
        <w:ind w:firstLine="0"/>
        <w:rPr>
          <w:rFonts w:eastAsia="DengXian"/>
          <w:lang w:eastAsia="zh-CN"/>
        </w:rPr>
      </w:pPr>
      <w:r w:rsidRPr="0019783B">
        <w:rPr>
          <w:rFonts w:eastAsia="DengXian"/>
          <w:b/>
          <w:lang w:eastAsia="zh-CN"/>
        </w:rPr>
        <w:t>JEL Classification:</w:t>
      </w:r>
      <w:r w:rsidRPr="0019783B">
        <w:rPr>
          <w:rFonts w:eastAsia="DengXian" w:hint="eastAsia"/>
          <w:lang w:eastAsia="zh-CN"/>
        </w:rPr>
        <w:t xml:space="preserve"> D80, G10, G12, G14, G30, M41</w:t>
      </w:r>
      <w:bookmarkStart w:id="0" w:name="_GoBack"/>
      <w:bookmarkEnd w:id="0"/>
    </w:p>
    <w:p w14:paraId="34EE54F4" w14:textId="77777777" w:rsidR="00562699" w:rsidRDefault="00562699">
      <w:pPr>
        <w:sectPr w:rsidR="00562699" w:rsidSect="00C61886">
          <w:footerReference w:type="even" r:id="rId8"/>
          <w:footerReference w:type="default" r:id="rId9"/>
          <w:footnotePr>
            <w:numFmt w:val="chicago"/>
            <w:numRestart w:val="eachSect"/>
          </w:footnotePr>
          <w:pgSz w:w="11906" w:h="16838"/>
          <w:pgMar w:top="1440" w:right="1440" w:bottom="1440" w:left="1440" w:header="708" w:footer="708" w:gutter="0"/>
          <w:cols w:space="708"/>
          <w:docGrid w:linePitch="360"/>
        </w:sectPr>
      </w:pPr>
    </w:p>
    <w:p w14:paraId="7CF0F888" w14:textId="77777777" w:rsidR="00562699" w:rsidRPr="00005A54" w:rsidRDefault="00562699">
      <w:pPr>
        <w:pStyle w:val="Heading1"/>
      </w:pPr>
      <w:r w:rsidRPr="00005A54">
        <w:lastRenderedPageBreak/>
        <w:t>Introduction</w:t>
      </w:r>
    </w:p>
    <w:p w14:paraId="2F18AEE3" w14:textId="0A870F62" w:rsidR="00562699" w:rsidRPr="00052E5D" w:rsidRDefault="00562699" w:rsidP="00052E5D">
      <w:pPr>
        <w:ind w:firstLine="0"/>
        <w:rPr>
          <w:rFonts w:eastAsia="SimSun"/>
          <w:lang w:eastAsia="zh-CN"/>
        </w:rPr>
      </w:pPr>
      <w:r w:rsidRPr="00052E5D">
        <w:t xml:space="preserve">We investigate whether and how the disclosure tone of earnings conference calls is useful in predicting firms’ future stock price crash risk (i.e., extreme downside risk in returns). We are motivated by the ethical dilemma faced by managers in disclosure choices (Evans et al. 2001; Liu et al. 2015). On the one hand, managers may hide bad news and use optimistic language opportunistically for impression management purposes during conference calls (e.g., Clatworthy and Jones 2003; Liu et al. 2015; Merkl-Davies and Brennan 2007; Yuthas et al. 2002). Once the stockpile of bad news exceeds a certain threshold, stock price crashes occur, resulting in great losses to investors (Jin and Myers 2006). On the other hand, </w:t>
      </w:r>
      <w:r>
        <w:t xml:space="preserve">due to reputation concerns, </w:t>
      </w:r>
      <w:r w:rsidRPr="00052E5D">
        <w:t>managers may provide truthful information during conference calls instead of unethically manipulat</w:t>
      </w:r>
      <w:r>
        <w:t>ing</w:t>
      </w:r>
      <w:r w:rsidRPr="00052E5D">
        <w:t xml:space="preserve"> call tone</w:t>
      </w:r>
      <w:r>
        <w:t xml:space="preserve"> </w:t>
      </w:r>
      <w:r w:rsidRPr="00052E5D">
        <w:t xml:space="preserve">(e.g., Frecka 2008; Lee 2017; Yuthas et al. 2002). Moreover, the spontaneous and interactive nature of conference calls limits managers’ ability to unethically manipulate disclosure tone. </w:t>
      </w:r>
    </w:p>
    <w:p w14:paraId="749E9447" w14:textId="7CB51D3E" w:rsidR="00562699" w:rsidRDefault="00562699" w:rsidP="000C0134">
      <w:r>
        <w:t xml:space="preserve">Previous literature highlights both the importance and the </w:t>
      </w:r>
      <w:r w:rsidRPr="006B6E15">
        <w:t>lack of credibility of</w:t>
      </w:r>
      <w:r>
        <w:t xml:space="preserve"> qualitative information in voluntary disclosures. Q</w:t>
      </w:r>
      <w:r w:rsidRPr="002A6121">
        <w:t xml:space="preserve">uantitative information conveys only a partial picture of firm </w:t>
      </w:r>
      <w:r>
        <w:t>performance</w:t>
      </w:r>
      <w:r w:rsidRPr="002A6121">
        <w:t xml:space="preserve">, </w:t>
      </w:r>
      <w:r>
        <w:t xml:space="preserve">while </w:t>
      </w:r>
      <w:r w:rsidRPr="002A6121">
        <w:t xml:space="preserve">qualitative information completes the picture and provides incremental information </w:t>
      </w:r>
      <w:r>
        <w:t xml:space="preserve">for investors </w:t>
      </w:r>
      <w:r w:rsidRPr="002A6121">
        <w:t>(Arslan-Ayaydin</w:t>
      </w:r>
      <w:r w:rsidRPr="00B70E79">
        <w:t xml:space="preserve"> </w:t>
      </w:r>
      <w:r w:rsidRPr="00522B52">
        <w:t>et al.</w:t>
      </w:r>
      <w:r w:rsidRPr="00B70E79">
        <w:t xml:space="preserve"> </w:t>
      </w:r>
      <w:r w:rsidRPr="002A6121">
        <w:t>2016; Cho</w:t>
      </w:r>
      <w:r w:rsidRPr="00B70E79">
        <w:t xml:space="preserve"> </w:t>
      </w:r>
      <w:r w:rsidRPr="00522B52">
        <w:t>et al.</w:t>
      </w:r>
      <w:r w:rsidRPr="00B70E79">
        <w:t xml:space="preserve"> </w:t>
      </w:r>
      <w:r w:rsidRPr="00334E37">
        <w:t>2009</w:t>
      </w:r>
      <w:r w:rsidRPr="00BB49AB">
        <w:t xml:space="preserve">, 2010). </w:t>
      </w:r>
      <w:r>
        <w:t xml:space="preserve">We focus on </w:t>
      </w:r>
      <w:r w:rsidRPr="00BB49AB">
        <w:t>one of the most important channels</w:t>
      </w:r>
      <w:r>
        <w:t xml:space="preserve"> of voluntary disclosures, earnings conference calls, </w:t>
      </w:r>
      <w:r w:rsidR="00A677FB">
        <w:t xml:space="preserve">which are </w:t>
      </w:r>
      <w:r>
        <w:t xml:space="preserve">a direct platform </w:t>
      </w:r>
      <w:r w:rsidRPr="00BB49AB">
        <w:t>for managers to communicate with investors</w:t>
      </w:r>
      <w:r>
        <w:t xml:space="preserve"> and contain</w:t>
      </w:r>
      <w:r w:rsidRPr="00BB49AB">
        <w:t xml:space="preserve"> </w:t>
      </w:r>
      <w:r w:rsidRPr="002A6121">
        <w:t>rich qualitative information on firm performance and outlook (</w:t>
      </w:r>
      <w:r>
        <w:t>e.g.</w:t>
      </w:r>
      <w:r>
        <w:rPr>
          <w:lang w:eastAsia="zh-CN"/>
        </w:rPr>
        <w:t>,</w:t>
      </w:r>
      <w:r>
        <w:t xml:space="preserve"> </w:t>
      </w:r>
      <w:r w:rsidRPr="002A6121">
        <w:t xml:space="preserve">Brown </w:t>
      </w:r>
      <w:r w:rsidRPr="00522B52">
        <w:rPr>
          <w:iCs/>
        </w:rPr>
        <w:t>et al.</w:t>
      </w:r>
      <w:r w:rsidRPr="00B70E79">
        <w:rPr>
          <w:iCs/>
        </w:rPr>
        <w:t xml:space="preserve"> </w:t>
      </w:r>
      <w:r w:rsidRPr="002A6121">
        <w:t xml:space="preserve">2004; Matsumoto </w:t>
      </w:r>
      <w:r w:rsidRPr="00522B52">
        <w:rPr>
          <w:iCs/>
        </w:rPr>
        <w:t>et al.</w:t>
      </w:r>
      <w:r w:rsidRPr="00B70E79">
        <w:t xml:space="preserve"> </w:t>
      </w:r>
      <w:r w:rsidRPr="002A6121">
        <w:t xml:space="preserve">2011; Price </w:t>
      </w:r>
      <w:r w:rsidRPr="00522B52">
        <w:rPr>
          <w:iCs/>
        </w:rPr>
        <w:t>et al.</w:t>
      </w:r>
      <w:r w:rsidRPr="00B70E79">
        <w:rPr>
          <w:iCs/>
        </w:rPr>
        <w:t xml:space="preserve"> </w:t>
      </w:r>
      <w:r w:rsidRPr="002A6121">
        <w:t>2012)</w:t>
      </w:r>
      <w:r>
        <w:t xml:space="preserve">. Unlike </w:t>
      </w:r>
      <w:r w:rsidRPr="002A6121">
        <w:t>written disclosures</w:t>
      </w:r>
      <w:r>
        <w:t xml:space="preserve">, conference calls </w:t>
      </w:r>
      <w:r w:rsidRPr="002A6121">
        <w:t xml:space="preserve">contain </w:t>
      </w:r>
      <w:r>
        <w:t xml:space="preserve">managers’ own spoken words and </w:t>
      </w:r>
      <w:r w:rsidRPr="002A6121">
        <w:t>spontaneous conversations between managers and call participants (i.e., analysts and investors)</w:t>
      </w:r>
      <w:r>
        <w:t>,</w:t>
      </w:r>
      <w:r w:rsidRPr="002A6121">
        <w:t xml:space="preserve"> provid</w:t>
      </w:r>
      <w:r>
        <w:t>ing</w:t>
      </w:r>
      <w:r w:rsidRPr="002A6121">
        <w:t xml:space="preserve"> a </w:t>
      </w:r>
      <w:r>
        <w:t>useful</w:t>
      </w:r>
      <w:r w:rsidRPr="002A6121">
        <w:t xml:space="preserve"> setting for </w:t>
      </w:r>
      <w:r w:rsidRPr="00B71056">
        <w:t xml:space="preserve">researchers </w:t>
      </w:r>
      <w:r>
        <w:t xml:space="preserve">and investors </w:t>
      </w:r>
      <w:r w:rsidRPr="00B71056">
        <w:t xml:space="preserve">to observe </w:t>
      </w:r>
      <w:r w:rsidRPr="002A6121">
        <w:t>managers</w:t>
      </w:r>
      <w:r>
        <w:t>’</w:t>
      </w:r>
      <w:r w:rsidRPr="002A6121">
        <w:t xml:space="preserve"> </w:t>
      </w:r>
      <w:r w:rsidRPr="00B71056">
        <w:t>disclosure</w:t>
      </w:r>
      <w:r w:rsidRPr="002A6121">
        <w:t xml:space="preserve"> </w:t>
      </w:r>
      <w:r w:rsidRPr="00B71056">
        <w:t>behavior</w:t>
      </w:r>
      <w:r>
        <w:t xml:space="preserve"> directly.</w:t>
      </w:r>
    </w:p>
    <w:p w14:paraId="02AB4C0D" w14:textId="268AAB85" w:rsidR="00562699" w:rsidRDefault="00562699">
      <w:r>
        <w:lastRenderedPageBreak/>
        <w:t xml:space="preserve">Disclosure </w:t>
      </w:r>
      <w:r w:rsidRPr="002A6121">
        <w:t>tone</w:t>
      </w:r>
      <w:r>
        <w:t xml:space="preserve"> captures both what and how information is disclosed (Loughran and McDonald 2016), reflecting both firms’ performance and managers’ </w:t>
      </w:r>
      <w:r w:rsidRPr="00B754E3">
        <w:t>disclosure incentives.</w:t>
      </w:r>
      <w:r>
        <w:t xml:space="preserve"> Some research</w:t>
      </w:r>
      <w:r w:rsidRPr="002A6121">
        <w:t xml:space="preserve"> on conference calls </w:t>
      </w:r>
      <w:r>
        <w:t xml:space="preserve">(Davis </w:t>
      </w:r>
      <w:r w:rsidRPr="00D81A46">
        <w:rPr>
          <w:iCs/>
        </w:rPr>
        <w:t xml:space="preserve">et al. </w:t>
      </w:r>
      <w:r>
        <w:t>2015; Price</w:t>
      </w:r>
      <w:r w:rsidRPr="00D81A46">
        <w:t xml:space="preserve"> et al.</w:t>
      </w:r>
      <w:r>
        <w:t xml:space="preserve"> 2012) </w:t>
      </w:r>
      <w:r w:rsidRPr="002A6121">
        <w:t>find</w:t>
      </w:r>
      <w:r>
        <w:t>s</w:t>
      </w:r>
      <w:r w:rsidRPr="002A6121">
        <w:t xml:space="preserve"> that the tone conveys useful information to the stock market. </w:t>
      </w:r>
      <w:r>
        <w:t>However, the broad literature on accounting and business communication suggests that</w:t>
      </w:r>
      <w:r w:rsidRPr="002A6121">
        <w:t xml:space="preserve"> </w:t>
      </w:r>
      <w:r>
        <w:t xml:space="preserve">managers may use </w:t>
      </w:r>
      <w:r w:rsidRPr="002A6121">
        <w:t xml:space="preserve">tone </w:t>
      </w:r>
      <w:r>
        <w:t>of</w:t>
      </w:r>
      <w:r w:rsidRPr="002A6121">
        <w:t xml:space="preserve"> corporate disclosures </w:t>
      </w:r>
      <w:r>
        <w:t xml:space="preserve">either </w:t>
      </w:r>
      <w:r w:rsidRPr="002A6121">
        <w:t>to convey information</w:t>
      </w:r>
      <w:r>
        <w:t xml:space="preserve"> truthfully</w:t>
      </w:r>
      <w:r w:rsidRPr="002A6121">
        <w:t xml:space="preserve"> </w:t>
      </w:r>
      <w:r>
        <w:t>or</w:t>
      </w:r>
      <w:r w:rsidRPr="002A6121">
        <w:t xml:space="preserve"> </w:t>
      </w:r>
      <w:r>
        <w:t>to inflate</w:t>
      </w:r>
      <w:r w:rsidRPr="002A6121">
        <w:t xml:space="preserve"> </w:t>
      </w:r>
      <w:r>
        <w:t xml:space="preserve">audiences’ </w:t>
      </w:r>
      <w:r w:rsidRPr="002A6121">
        <w:t xml:space="preserve">perceptions </w:t>
      </w:r>
      <w:r>
        <w:t>opportunistically</w:t>
      </w:r>
      <w:r w:rsidRPr="002A6121">
        <w:t xml:space="preserve"> (e.g.</w:t>
      </w:r>
      <w:r>
        <w:t>,</w:t>
      </w:r>
      <w:r w:rsidRPr="002A6121">
        <w:t xml:space="preserve"> Bozzolan </w:t>
      </w:r>
      <w:r w:rsidRPr="00184D57">
        <w:rPr>
          <w:iCs/>
        </w:rPr>
        <w:t>et al.</w:t>
      </w:r>
      <w:r w:rsidRPr="00B70E79">
        <w:rPr>
          <w:iCs/>
        </w:rPr>
        <w:t xml:space="preserve"> 2</w:t>
      </w:r>
      <w:r w:rsidRPr="002A6121">
        <w:t>015; Cho</w:t>
      </w:r>
      <w:r w:rsidRPr="00B70E79">
        <w:t xml:space="preserve"> </w:t>
      </w:r>
      <w:r w:rsidRPr="00522B52">
        <w:t>et al.</w:t>
      </w:r>
      <w:r w:rsidRPr="002A6121">
        <w:t xml:space="preserve"> 2010; Huang </w:t>
      </w:r>
      <w:r w:rsidRPr="00522B52">
        <w:rPr>
          <w:iCs/>
        </w:rPr>
        <w:t>et al.</w:t>
      </w:r>
      <w:r w:rsidRPr="00B70E79">
        <w:rPr>
          <w:iCs/>
        </w:rPr>
        <w:t xml:space="preserve"> </w:t>
      </w:r>
      <w:r w:rsidRPr="002A6121">
        <w:t>2014</w:t>
      </w:r>
      <w:r>
        <w:t>;</w:t>
      </w:r>
      <w:r w:rsidRPr="00522B52">
        <w:t xml:space="preserve"> </w:t>
      </w:r>
      <w:r w:rsidRPr="00F70841">
        <w:t>Merkl-Davies and Brennan 2007</w:t>
      </w:r>
      <w:r w:rsidRPr="002A6121">
        <w:t>; Patelli and Pedrini</w:t>
      </w:r>
      <w:r>
        <w:t xml:space="preserve"> </w:t>
      </w:r>
      <w:r w:rsidRPr="002A6121">
        <w:t>2014).</w:t>
      </w:r>
      <w:r>
        <w:t xml:space="preserve"> This study examines whether managers engage in truthful communication or manipulate conference call tone opportunistically in the context of firms facing </w:t>
      </w:r>
      <w:r w:rsidRPr="002A6121">
        <w:t>extreme downside risk</w:t>
      </w:r>
      <w:r>
        <w:t>.</w:t>
      </w:r>
    </w:p>
    <w:p w14:paraId="009143B3" w14:textId="50E2AD61" w:rsidR="00562699" w:rsidRDefault="00562699">
      <w:r>
        <w:t>Stock price crash risk captures a firm’s extreme downside risk and</w:t>
      </w:r>
      <w:r w:rsidRPr="002A6121">
        <w:t xml:space="preserve"> </w:t>
      </w:r>
      <w:r>
        <w:t>may</w:t>
      </w:r>
      <w:r w:rsidRPr="002A6121">
        <w:t xml:space="preserve"> cause major losses to investors and damage stock market</w:t>
      </w:r>
      <w:r w:rsidRPr="0073122E">
        <w:t xml:space="preserve"> </w:t>
      </w:r>
      <w:r w:rsidRPr="002A6121">
        <w:t>stability</w:t>
      </w:r>
      <w:r w:rsidRPr="00CA09AA">
        <w:t xml:space="preserve"> (Chen </w:t>
      </w:r>
      <w:r w:rsidRPr="00522B52">
        <w:rPr>
          <w:iCs/>
        </w:rPr>
        <w:t>et al.</w:t>
      </w:r>
      <w:r w:rsidRPr="00334E37">
        <w:t xml:space="preserve"> 2001; Hutton</w:t>
      </w:r>
      <w:r w:rsidRPr="00B70E79">
        <w:t xml:space="preserve"> </w:t>
      </w:r>
      <w:r w:rsidRPr="00522B52">
        <w:t>et al.</w:t>
      </w:r>
      <w:r w:rsidRPr="004D7309">
        <w:t xml:space="preserve"> 2009)</w:t>
      </w:r>
      <w:r>
        <w:t xml:space="preserve">. </w:t>
      </w:r>
      <w:r w:rsidRPr="004D7309">
        <w:t>According to Jin and Myers</w:t>
      </w:r>
      <w:r>
        <w:t>’</w:t>
      </w:r>
      <w:r w:rsidRPr="004D7309">
        <w:t xml:space="preserve"> (2006)</w:t>
      </w:r>
      <w:r>
        <w:t xml:space="preserve"> </w:t>
      </w:r>
      <w:r w:rsidRPr="004D7309">
        <w:t xml:space="preserve">agency theoretic framework, </w:t>
      </w:r>
      <w:r>
        <w:t>it</w:t>
      </w:r>
      <w:r w:rsidRPr="004D7309">
        <w:t xml:space="preserve"> </w:t>
      </w:r>
      <w:r>
        <w:t xml:space="preserve">relates to firm-specific events and </w:t>
      </w:r>
      <w:r w:rsidRPr="004D7309">
        <w:t>arises from information asy</w:t>
      </w:r>
      <w:r w:rsidRPr="002A6121">
        <w:t>mmetry between managers and external stakeholders</w:t>
      </w:r>
      <w:r w:rsidRPr="0073122E">
        <w:t xml:space="preserve"> due to managers’ bad news hoarding behavior</w:t>
      </w:r>
      <w:r w:rsidRPr="002A6121">
        <w:t xml:space="preserve">. Previous literature </w:t>
      </w:r>
      <w:r>
        <w:t>reveals</w:t>
      </w:r>
      <w:r w:rsidRPr="002A6121">
        <w:t xml:space="preserve"> </w:t>
      </w:r>
      <w:r>
        <w:t>relations</w:t>
      </w:r>
      <w:r w:rsidRPr="002A6121">
        <w:t xml:space="preserve"> between various </w:t>
      </w:r>
      <w:r>
        <w:t xml:space="preserve">corporate </w:t>
      </w:r>
      <w:r w:rsidRPr="002A6121">
        <w:t xml:space="preserve">disclosure attributes and stock price crash risk. For example, </w:t>
      </w:r>
      <w:r>
        <w:rPr>
          <w:lang w:eastAsia="zh-CN"/>
        </w:rPr>
        <w:t>Hutton</w:t>
      </w:r>
      <w:r w:rsidRPr="00B70E79">
        <w:rPr>
          <w:lang w:eastAsia="zh-CN"/>
        </w:rPr>
        <w:t xml:space="preserve"> </w:t>
      </w:r>
      <w:r w:rsidRPr="00522B52">
        <w:rPr>
          <w:lang w:eastAsia="zh-CN"/>
        </w:rPr>
        <w:t>et al</w:t>
      </w:r>
      <w:r w:rsidRPr="00B70E79">
        <w:rPr>
          <w:lang w:eastAsia="zh-CN"/>
        </w:rPr>
        <w:t>.</w:t>
      </w:r>
      <w:r>
        <w:rPr>
          <w:lang w:eastAsia="zh-CN"/>
        </w:rPr>
        <w:t xml:space="preserve"> (2009) find that opaque firms are more likely to experience stock price crashes, and </w:t>
      </w:r>
      <w:r w:rsidRPr="002A6121">
        <w:t>Kim</w:t>
      </w:r>
      <w:r w:rsidRPr="00B70E79">
        <w:rPr>
          <w:iCs/>
        </w:rPr>
        <w:t xml:space="preserve"> </w:t>
      </w:r>
      <w:r w:rsidRPr="00522B52">
        <w:rPr>
          <w:iCs/>
        </w:rPr>
        <w:t>et al.</w:t>
      </w:r>
      <w:r w:rsidRPr="00B70E79">
        <w:rPr>
          <w:iCs/>
        </w:rPr>
        <w:t xml:space="preserve"> </w:t>
      </w:r>
      <w:r w:rsidRPr="00334E37">
        <w:t>(201</w:t>
      </w:r>
      <w:r>
        <w:t>9</w:t>
      </w:r>
      <w:r w:rsidRPr="00334E37">
        <w:t xml:space="preserve">) find a negative </w:t>
      </w:r>
      <w:r>
        <w:t>relation</w:t>
      </w:r>
      <w:r w:rsidRPr="00334E37">
        <w:t xml:space="preserve"> between annual report</w:t>
      </w:r>
      <w:r>
        <w:t>s’</w:t>
      </w:r>
      <w:r w:rsidRPr="00334E37">
        <w:t xml:space="preserve"> readability and </w:t>
      </w:r>
      <w:r w:rsidRPr="002A6121">
        <w:t xml:space="preserve">stock </w:t>
      </w:r>
      <w:r w:rsidRPr="00334E37">
        <w:t>price crash ris</w:t>
      </w:r>
      <w:r w:rsidRPr="002A6121">
        <w:t xml:space="preserve">k. </w:t>
      </w:r>
      <w:r>
        <w:t>Motivated by previous research, w</w:t>
      </w:r>
      <w:r w:rsidRPr="002A6121">
        <w:t>e investigate whether call tone conveys forward-looking information that helps investors predict stock price crash risk.</w:t>
      </w:r>
    </w:p>
    <w:p w14:paraId="5FDEED9D" w14:textId="30E2C25E" w:rsidR="00562699" w:rsidRPr="00EE03B8" w:rsidRDefault="00562699">
      <w:r>
        <w:t>W</w:t>
      </w:r>
      <w:r w:rsidRPr="00EE03B8">
        <w:t>e construct a large sample of US public firm</w:t>
      </w:r>
      <w:r>
        <w:t>s’</w:t>
      </w:r>
      <w:r w:rsidRPr="00EE03B8">
        <w:t xml:space="preserve"> conference call transcripts from 2010 to 2015. We apply firm</w:t>
      </w:r>
      <w:r>
        <w:t>-</w:t>
      </w:r>
      <w:r w:rsidRPr="00EE03B8">
        <w:t>fixed effect</w:t>
      </w:r>
      <w:r>
        <w:t>s</w:t>
      </w:r>
      <w:r w:rsidRPr="00EE03B8">
        <w:t xml:space="preserve"> models to control for unobservable time</w:t>
      </w:r>
      <w:r>
        <w:t>-</w:t>
      </w:r>
      <w:r w:rsidRPr="00EE03B8">
        <w:t>invariant</w:t>
      </w:r>
      <w:r>
        <w:t xml:space="preserve"> </w:t>
      </w:r>
      <w:r w:rsidRPr="00EE03B8">
        <w:t>omitted variables</w:t>
      </w:r>
      <w:r>
        <w:t xml:space="preserve"> and firm disclosure style,</w:t>
      </w:r>
      <w:r w:rsidRPr="00EE03B8">
        <w:t xml:space="preserve"> and lead-lag regressions to </w:t>
      </w:r>
      <w:r>
        <w:t>mitigate</w:t>
      </w:r>
      <w:r w:rsidRPr="00EE03B8">
        <w:t xml:space="preserve"> potential reverse causality issue</w:t>
      </w:r>
      <w:r>
        <w:t>s</w:t>
      </w:r>
      <w:r w:rsidRPr="00EE03B8">
        <w:t xml:space="preserve">. </w:t>
      </w:r>
      <w:r>
        <w:t>W</w:t>
      </w:r>
      <w:r w:rsidRPr="00EE03B8">
        <w:t xml:space="preserve">e find that </w:t>
      </w:r>
      <w:r>
        <w:t>less optimistic</w:t>
      </w:r>
      <w:r w:rsidRPr="00EE03B8">
        <w:t xml:space="preserve"> tone is associated with higher </w:t>
      </w:r>
      <w:r>
        <w:t>stock price</w:t>
      </w:r>
      <w:r w:rsidRPr="00EE03B8">
        <w:t xml:space="preserve"> crash risk</w:t>
      </w:r>
      <w:r>
        <w:t xml:space="preserve">, consistent with the notion that managers engage in truthful communication during </w:t>
      </w:r>
      <w:r>
        <w:lastRenderedPageBreak/>
        <w:t>conference calls</w:t>
      </w:r>
      <w:r w:rsidRPr="00EE03B8">
        <w:t>. Our main results are robust to alternative model specifications, word classification</w:t>
      </w:r>
      <w:r>
        <w:t>s</w:t>
      </w:r>
      <w:r w:rsidRPr="00EE03B8">
        <w:t>, tone</w:t>
      </w:r>
      <w:r>
        <w:t xml:space="preserve"> measures and </w:t>
      </w:r>
      <w:r w:rsidRPr="002A6121">
        <w:t xml:space="preserve">stock </w:t>
      </w:r>
      <w:r>
        <w:t>price crash risk measure.</w:t>
      </w:r>
    </w:p>
    <w:p w14:paraId="064E8ABB" w14:textId="67F00BB2" w:rsidR="00562699" w:rsidRDefault="00562699">
      <w:r>
        <w:t>W</w:t>
      </w:r>
      <w:r w:rsidRPr="00EE03B8">
        <w:t xml:space="preserve">e </w:t>
      </w:r>
      <w:r>
        <w:t xml:space="preserve">then </w:t>
      </w:r>
      <w:r w:rsidRPr="00EE03B8">
        <w:t xml:space="preserve">conduct additional analyses to </w:t>
      </w:r>
      <w:r>
        <w:t>investigate</w:t>
      </w:r>
      <w:r w:rsidRPr="00EE03B8">
        <w:t xml:space="preserve"> the mechanisms for </w:t>
      </w:r>
      <w:r>
        <w:t xml:space="preserve">the negative </w:t>
      </w:r>
      <w:r>
        <w:rPr>
          <w:lang w:eastAsia="zh-CN"/>
        </w:rPr>
        <w:t xml:space="preserve">predictive power </w:t>
      </w:r>
      <w:r>
        <w:t>of optimistic conference call tone</w:t>
      </w:r>
      <w:r w:rsidRPr="00F93A18">
        <w:t xml:space="preserve"> </w:t>
      </w:r>
      <w:r>
        <w:t>for</w:t>
      </w:r>
      <w:r w:rsidRPr="00F93A18">
        <w:t xml:space="preserve"> </w:t>
      </w:r>
      <w:r w:rsidRPr="002A6121">
        <w:t xml:space="preserve">stock </w:t>
      </w:r>
      <w:r w:rsidRPr="00F93A18">
        <w:t>price crash risk</w:t>
      </w:r>
      <w:r w:rsidRPr="00DA5429">
        <w:t>.</w:t>
      </w:r>
      <w:r w:rsidRPr="00EE03B8">
        <w:t xml:space="preserve"> First,</w:t>
      </w:r>
      <w:r w:rsidRPr="00F93A18">
        <w:t xml:space="preserve"> </w:t>
      </w:r>
      <w:r>
        <w:t>w</w:t>
      </w:r>
      <w:r w:rsidRPr="00EE03B8">
        <w:t xml:space="preserve">e find that </w:t>
      </w:r>
      <w:r>
        <w:t xml:space="preserve">the tone of </w:t>
      </w:r>
      <w:r w:rsidRPr="00EE03B8">
        <w:t>both the presentation</w:t>
      </w:r>
      <w:r>
        <w:t xml:space="preserve"> </w:t>
      </w:r>
      <w:r w:rsidRPr="00EE03B8">
        <w:t>and question-and-answer (hereafter, Q&amp;A</w:t>
      </w:r>
      <w:r>
        <w:rPr>
          <w:lang w:val="en-GB" w:eastAsia="zh-CN"/>
        </w:rPr>
        <w:t>)</w:t>
      </w:r>
      <w:r>
        <w:t xml:space="preserve"> </w:t>
      </w:r>
      <w:r w:rsidRPr="00EE03B8">
        <w:t>section</w:t>
      </w:r>
      <w:r>
        <w:t>s predict</w:t>
      </w:r>
      <w:r w:rsidRPr="00EE03B8">
        <w:t xml:space="preserve"> </w:t>
      </w:r>
      <w:r w:rsidRPr="002A6121">
        <w:t xml:space="preserve">stock </w:t>
      </w:r>
      <w:r w:rsidRPr="00EE03B8">
        <w:t>price crash</w:t>
      </w:r>
      <w:r>
        <w:t xml:space="preserve"> risk, and</w:t>
      </w:r>
      <w:r w:rsidRPr="00EE03B8">
        <w:t xml:space="preserve"> that the </w:t>
      </w:r>
      <w:r>
        <w:rPr>
          <w:lang w:eastAsia="zh-CN"/>
        </w:rPr>
        <w:t xml:space="preserve">predictive power </w:t>
      </w:r>
      <w:r w:rsidRPr="00EE03B8">
        <w:t xml:space="preserve">of the Q&amp;A section tone is driven mainly by manager tone, </w:t>
      </w:r>
      <w:r>
        <w:t xml:space="preserve">not analyst tone, indicating that the </w:t>
      </w:r>
      <w:r>
        <w:rPr>
          <w:lang w:eastAsia="zh-CN"/>
        </w:rPr>
        <w:t xml:space="preserve">predictive power </w:t>
      </w:r>
      <w:r>
        <w:t>is driven by managers’ own truthful disclosure intentions</w:t>
      </w:r>
      <w:r w:rsidRPr="00EE03B8">
        <w:t xml:space="preserve">. </w:t>
      </w:r>
      <w:r>
        <w:rPr>
          <w:lang w:val="en-GB"/>
        </w:rPr>
        <w:t xml:space="preserve">Second, sub-sample analyses suggest that the </w:t>
      </w:r>
      <w:r>
        <w:rPr>
          <w:lang w:eastAsia="zh-CN"/>
        </w:rPr>
        <w:t xml:space="preserve">predictive power </w:t>
      </w:r>
      <w:r>
        <w:rPr>
          <w:lang w:val="en-GB"/>
        </w:rPr>
        <w:t xml:space="preserve">of call tone </w:t>
      </w:r>
      <w:r>
        <w:t>is more pronounced</w:t>
      </w:r>
      <w:r w:rsidDel="0065526F">
        <w:rPr>
          <w:lang w:val="en-GB"/>
        </w:rPr>
        <w:t xml:space="preserve"> </w:t>
      </w:r>
      <w:r>
        <w:rPr>
          <w:lang w:val="en-GB"/>
        </w:rPr>
        <w:t xml:space="preserve">for firms with better information environments (proxied by analyst following) and </w:t>
      </w:r>
      <w:r>
        <w:t>firms with less equity-based managerial incentives (proxied by CEO option incentives). These findings indicate that managers respond to extrinsic motivations (i.e., external monitoring by analysts and equity incentives) by engaging in truthful communication in conference calls.</w:t>
      </w:r>
    </w:p>
    <w:p w14:paraId="0E2CE17B" w14:textId="11A17DDA" w:rsidR="00562699" w:rsidRDefault="00562699">
      <w:r>
        <w:t xml:space="preserve">This paper makes significant contributions to the literature on ethical financial reporting, corporate voluntary disclosure and </w:t>
      </w:r>
      <w:r w:rsidRPr="002A6121">
        <w:t xml:space="preserve">stock </w:t>
      </w:r>
      <w:r>
        <w:t xml:space="preserve">price crash risk. </w:t>
      </w:r>
      <w:r w:rsidRPr="008C0928">
        <w:t xml:space="preserve">First, </w:t>
      </w:r>
      <w:r>
        <w:t>it</w:t>
      </w:r>
      <w:r w:rsidRPr="008C0928">
        <w:t xml:space="preserve"> contributes </w:t>
      </w:r>
      <w:r w:rsidRPr="00F26ED5">
        <w:rPr>
          <w:rFonts w:eastAsia="Times New Roman"/>
        </w:rPr>
        <w:t xml:space="preserve">to the </w:t>
      </w:r>
      <w:r>
        <w:rPr>
          <w:rFonts w:eastAsia="Times New Roman"/>
        </w:rPr>
        <w:t>small</w:t>
      </w:r>
      <w:r w:rsidRPr="00F26ED5">
        <w:rPr>
          <w:rFonts w:eastAsia="Times New Roman"/>
        </w:rPr>
        <w:t xml:space="preserve"> yet important stream of </w:t>
      </w:r>
      <w:r>
        <w:rPr>
          <w:rFonts w:eastAsia="Times New Roman"/>
        </w:rPr>
        <w:t>research on</w:t>
      </w:r>
      <w:r>
        <w:rPr>
          <w:rFonts w:eastAsia="Times New Roman"/>
          <w:color w:val="943634" w:themeColor="accent2" w:themeShade="BF"/>
        </w:rPr>
        <w:t xml:space="preserve"> </w:t>
      </w:r>
      <w:r w:rsidRPr="00500B76">
        <w:t xml:space="preserve">ethical financial reporting behavior in </w:t>
      </w:r>
      <w:r>
        <w:t>oral</w:t>
      </w:r>
      <w:r w:rsidRPr="00500B76">
        <w:t xml:space="preserve"> financial </w:t>
      </w:r>
      <w:r>
        <w:t>disclosures</w:t>
      </w:r>
      <w:r w:rsidRPr="00500B76">
        <w:t>.</w:t>
      </w:r>
      <w:r>
        <w:t xml:space="preserve"> </w:t>
      </w:r>
      <w:r>
        <w:rPr>
          <w:color w:val="000000"/>
        </w:rPr>
        <w:t>Most previous</w:t>
      </w:r>
      <w:r w:rsidRPr="00BB2C1A">
        <w:rPr>
          <w:color w:val="000000"/>
        </w:rPr>
        <w:t xml:space="preserve"> </w:t>
      </w:r>
      <w:r>
        <w:rPr>
          <w:color w:val="000000"/>
        </w:rPr>
        <w:t>studies of ethical reporting focus on</w:t>
      </w:r>
      <w:r w:rsidRPr="00BB2C1A">
        <w:rPr>
          <w:color w:val="000000"/>
        </w:rPr>
        <w:t xml:space="preserve"> written </w:t>
      </w:r>
      <w:r>
        <w:rPr>
          <w:color w:val="000000"/>
        </w:rPr>
        <w:t>disclosures,</w:t>
      </w:r>
      <w:r w:rsidRPr="00BB2C1A">
        <w:rPr>
          <w:color w:val="000000"/>
        </w:rPr>
        <w:t xml:space="preserve"> </w:t>
      </w:r>
      <w:r>
        <w:rPr>
          <w:color w:val="000000"/>
        </w:rPr>
        <w:t>with</w:t>
      </w:r>
      <w:r w:rsidRPr="00BB2C1A">
        <w:rPr>
          <w:color w:val="000000"/>
        </w:rPr>
        <w:t xml:space="preserve"> limited </w:t>
      </w:r>
      <w:r>
        <w:rPr>
          <w:color w:val="000000"/>
        </w:rPr>
        <w:t xml:space="preserve">direct </w:t>
      </w:r>
      <w:r w:rsidRPr="00BB2C1A">
        <w:rPr>
          <w:color w:val="000000"/>
        </w:rPr>
        <w:t>observ</w:t>
      </w:r>
      <w:r>
        <w:rPr>
          <w:color w:val="000000"/>
        </w:rPr>
        <w:t>ation of</w:t>
      </w:r>
      <w:r w:rsidRPr="00BB2C1A">
        <w:rPr>
          <w:color w:val="000000"/>
        </w:rPr>
        <w:t xml:space="preserve"> managers</w:t>
      </w:r>
      <w:r>
        <w:rPr>
          <w:color w:val="000000"/>
        </w:rPr>
        <w:t>’</w:t>
      </w:r>
      <w:r w:rsidRPr="00BB2C1A">
        <w:rPr>
          <w:color w:val="000000"/>
        </w:rPr>
        <w:t xml:space="preserve"> </w:t>
      </w:r>
      <w:r>
        <w:rPr>
          <w:color w:val="000000"/>
        </w:rPr>
        <w:t xml:space="preserve">own </w:t>
      </w:r>
      <w:r w:rsidRPr="00BB2C1A">
        <w:rPr>
          <w:color w:val="000000"/>
        </w:rPr>
        <w:t>behavior</w:t>
      </w:r>
      <w:r>
        <w:rPr>
          <w:color w:val="000000"/>
        </w:rPr>
        <w:t xml:space="preserve"> </w:t>
      </w:r>
      <w:r w:rsidRPr="00BB2C1A">
        <w:rPr>
          <w:color w:val="000000"/>
        </w:rPr>
        <w:t>(e.g.</w:t>
      </w:r>
      <w:r>
        <w:rPr>
          <w:color w:val="000000"/>
        </w:rPr>
        <w:t>,</w:t>
      </w:r>
      <w:r w:rsidRPr="00BB2C1A">
        <w:rPr>
          <w:color w:val="000000"/>
        </w:rPr>
        <w:t xml:space="preserve"> </w:t>
      </w:r>
      <w:r>
        <w:t xml:space="preserve">Breuer </w:t>
      </w:r>
      <w:r w:rsidRPr="00583D57">
        <w:rPr>
          <w:iCs/>
        </w:rPr>
        <w:t>et al</w:t>
      </w:r>
      <w:r w:rsidRPr="00B70E79">
        <w:rPr>
          <w:iCs/>
        </w:rPr>
        <w:t xml:space="preserve">. </w:t>
      </w:r>
      <w:r>
        <w:t xml:space="preserve">2018; </w:t>
      </w:r>
      <w:r>
        <w:rPr>
          <w:color w:val="000000"/>
        </w:rPr>
        <w:t>Cho</w:t>
      </w:r>
      <w:r w:rsidRPr="00B70E79">
        <w:rPr>
          <w:color w:val="000000"/>
        </w:rPr>
        <w:t xml:space="preserve"> </w:t>
      </w:r>
      <w:r w:rsidRPr="00583D57">
        <w:rPr>
          <w:color w:val="000000"/>
        </w:rPr>
        <w:t>et al</w:t>
      </w:r>
      <w:r w:rsidRPr="00B70E79">
        <w:rPr>
          <w:color w:val="000000"/>
        </w:rPr>
        <w:t xml:space="preserve">. </w:t>
      </w:r>
      <w:r>
        <w:rPr>
          <w:color w:val="000000"/>
        </w:rPr>
        <w:t>2010</w:t>
      </w:r>
      <w:r w:rsidRPr="00BB2C1A">
        <w:rPr>
          <w:color w:val="000000"/>
        </w:rPr>
        <w:t xml:space="preserve">; </w:t>
      </w:r>
      <w:r>
        <w:t xml:space="preserve">Craig and Amernic 2018; </w:t>
      </w:r>
      <w:r w:rsidRPr="00BB2C1A">
        <w:t>Patelli and Pedrini 2015</w:t>
      </w:r>
      <w:r w:rsidRPr="00BB2C1A">
        <w:rPr>
          <w:color w:val="000000"/>
        </w:rPr>
        <w:t xml:space="preserve">). </w:t>
      </w:r>
      <w:r>
        <w:rPr>
          <w:color w:val="000000"/>
        </w:rPr>
        <w:t>Conference calls provide an appropriate setting for observing managers’ disclosure behavior and style directly</w:t>
      </w:r>
      <w:r>
        <w:rPr>
          <w:color w:val="000000" w:themeColor="text1"/>
          <w:shd w:val="clear" w:color="auto" w:fill="FFFFFF"/>
        </w:rPr>
        <w:t xml:space="preserve">. </w:t>
      </w:r>
      <w:r w:rsidRPr="00500B76">
        <w:t xml:space="preserve">Our results show that </w:t>
      </w:r>
      <w:r>
        <w:t xml:space="preserve">managers’ </w:t>
      </w:r>
      <w:r w:rsidRPr="00500B76">
        <w:t xml:space="preserve">ethical financial reporting </w:t>
      </w:r>
      <w:r>
        <w:t>in</w:t>
      </w:r>
      <w:r w:rsidRPr="00500B76">
        <w:t xml:space="preserve"> conference calls facilitate</w:t>
      </w:r>
      <w:r>
        <w:t>s</w:t>
      </w:r>
      <w:r w:rsidRPr="00500B76">
        <w:t xml:space="preserve"> investors</w:t>
      </w:r>
      <w:r>
        <w:t>’</w:t>
      </w:r>
      <w:r w:rsidRPr="00500B76">
        <w:t xml:space="preserve"> predict</w:t>
      </w:r>
      <w:r>
        <w:t>ions of</w:t>
      </w:r>
      <w:r w:rsidRPr="00500B76">
        <w:t xml:space="preserve"> </w:t>
      </w:r>
      <w:r w:rsidRPr="002A6121">
        <w:t xml:space="preserve">stock </w:t>
      </w:r>
      <w:r w:rsidRPr="00500B76">
        <w:t xml:space="preserve">price crash </w:t>
      </w:r>
      <w:r w:rsidRPr="00B77814">
        <w:t>risk</w:t>
      </w:r>
      <w:r>
        <w:t xml:space="preserve"> in the next year</w:t>
      </w:r>
      <w:r w:rsidRPr="00B77814">
        <w:t xml:space="preserve">, </w:t>
      </w:r>
      <w:r w:rsidRPr="000A0C2E">
        <w:t xml:space="preserve">which is crucial </w:t>
      </w:r>
      <w:r>
        <w:t>to</w:t>
      </w:r>
      <w:r w:rsidRPr="000A0C2E">
        <w:t xml:space="preserve"> protect investors’ interests</w:t>
      </w:r>
      <w:r w:rsidRPr="00B77814">
        <w:t xml:space="preserve">. </w:t>
      </w:r>
      <w:r>
        <w:t>Second</w:t>
      </w:r>
      <w:r>
        <w:rPr>
          <w:color w:val="000000"/>
        </w:rPr>
        <w:t xml:space="preserve">, this paper contributes to the literature on voluntary disclosure by examining how conference call tone predicts </w:t>
      </w:r>
      <w:r w:rsidRPr="002A6121">
        <w:t xml:space="preserve">stock </w:t>
      </w:r>
      <w:r>
        <w:rPr>
          <w:color w:val="000000"/>
        </w:rPr>
        <w:t xml:space="preserve">price crash risk over the long term. </w:t>
      </w:r>
      <w:r>
        <w:t>Specifically</w:t>
      </w:r>
      <w:r w:rsidRPr="00EE03B8">
        <w:t xml:space="preserve">, </w:t>
      </w:r>
      <w:r>
        <w:t xml:space="preserve">rather than focusing on short-term market reactions to conference call tone, as in previous studies </w:t>
      </w:r>
      <w:r w:rsidRPr="00EE03B8">
        <w:t xml:space="preserve">(e.g., Davis </w:t>
      </w:r>
      <w:r w:rsidRPr="00583D57">
        <w:rPr>
          <w:iCs/>
        </w:rPr>
        <w:t>et al.</w:t>
      </w:r>
      <w:r w:rsidRPr="00B70E79">
        <w:t xml:space="preserve"> </w:t>
      </w:r>
      <w:r w:rsidRPr="00EE03B8">
        <w:lastRenderedPageBreak/>
        <w:t>2015</w:t>
      </w:r>
      <w:r>
        <w:t xml:space="preserve">; Price </w:t>
      </w:r>
      <w:r w:rsidRPr="00583D57">
        <w:rPr>
          <w:iCs/>
        </w:rPr>
        <w:t>et al</w:t>
      </w:r>
      <w:r w:rsidRPr="00B70E79">
        <w:rPr>
          <w:iCs/>
        </w:rPr>
        <w:t>.</w:t>
      </w:r>
      <w:r>
        <w:t xml:space="preserve"> 2012</w:t>
      </w:r>
      <w:r w:rsidRPr="00EE03B8">
        <w:t>)</w:t>
      </w:r>
      <w:r>
        <w:t>, we</w:t>
      </w:r>
      <w:r w:rsidRPr="00EE03B8">
        <w:t xml:space="preserve"> </w:t>
      </w:r>
      <w:r>
        <w:t>provide</w:t>
      </w:r>
      <w:r w:rsidRPr="00EE03B8">
        <w:t xml:space="preserve"> </w:t>
      </w:r>
      <w:r>
        <w:t>new</w:t>
      </w:r>
      <w:r w:rsidRPr="00EE03B8">
        <w:t xml:space="preserve"> evidence </w:t>
      </w:r>
      <w:r>
        <w:t>on the</w:t>
      </w:r>
      <w:r w:rsidRPr="00EE03B8">
        <w:t xml:space="preserve"> forward-looking </w:t>
      </w:r>
      <w:r>
        <w:rPr>
          <w:lang w:eastAsia="zh-CN"/>
        </w:rPr>
        <w:t xml:space="preserve">information role </w:t>
      </w:r>
      <w:r w:rsidRPr="00EE03B8">
        <w:t xml:space="preserve">of </w:t>
      </w:r>
      <w:r>
        <w:t>call</w:t>
      </w:r>
      <w:r w:rsidRPr="00EE03B8">
        <w:t xml:space="preserve"> tone </w:t>
      </w:r>
      <w:r>
        <w:t>in predicting</w:t>
      </w:r>
      <w:r w:rsidRPr="00EE03B8">
        <w:t xml:space="preserve"> </w:t>
      </w:r>
      <w:r>
        <w:t xml:space="preserve">extremely bad </w:t>
      </w:r>
      <w:r w:rsidRPr="00EE03B8">
        <w:t>corporate outcome</w:t>
      </w:r>
      <w:r>
        <w:t>s</w:t>
      </w:r>
      <w:r w:rsidRPr="00CF302F">
        <w:t xml:space="preserve"> </w:t>
      </w:r>
      <w:r>
        <w:t xml:space="preserve">in </w:t>
      </w:r>
      <w:r w:rsidRPr="00EE03B8">
        <w:t>the long</w:t>
      </w:r>
      <w:r>
        <w:t xml:space="preserve"> </w:t>
      </w:r>
      <w:r w:rsidRPr="00EE03B8">
        <w:t xml:space="preserve">term (i.e., one year). </w:t>
      </w:r>
      <w:r>
        <w:t>Third</w:t>
      </w:r>
      <w:r w:rsidRPr="00EE03B8">
        <w:t xml:space="preserve">, </w:t>
      </w:r>
      <w:r>
        <w:t xml:space="preserve">this study </w:t>
      </w:r>
      <w:r w:rsidRPr="00EE03B8">
        <w:t>add</w:t>
      </w:r>
      <w:r>
        <w:t>s</w:t>
      </w:r>
      <w:r w:rsidRPr="00EE03B8">
        <w:t xml:space="preserve"> to the literature on </w:t>
      </w:r>
      <w:r w:rsidRPr="002A6121">
        <w:t xml:space="preserve">stock </w:t>
      </w:r>
      <w:r w:rsidRPr="00EE03B8">
        <w:t>price crash risk</w:t>
      </w:r>
      <w:r>
        <w:t>.</w:t>
      </w:r>
      <w:r w:rsidRPr="00EE03B8">
        <w:t xml:space="preserve"> Given </w:t>
      </w:r>
      <w:r>
        <w:t xml:space="preserve">the detrimental consequences of </w:t>
      </w:r>
      <w:r w:rsidRPr="002A6121">
        <w:t xml:space="preserve">stock </w:t>
      </w:r>
      <w:r>
        <w:t>price crashes on investors’ benefits</w:t>
      </w:r>
      <w:r w:rsidRPr="00EE03B8">
        <w:t xml:space="preserve">, </w:t>
      </w:r>
      <w:r>
        <w:t>investors must</w:t>
      </w:r>
      <w:r w:rsidRPr="00EE03B8">
        <w:t xml:space="preserve"> understand how</w:t>
      </w:r>
      <w:r>
        <w:t xml:space="preserve"> to predict extremely bad events using</w:t>
      </w:r>
      <w:r w:rsidRPr="00EE03B8">
        <w:t xml:space="preserve"> </w:t>
      </w:r>
      <w:r>
        <w:t xml:space="preserve">soft information from </w:t>
      </w:r>
      <w:r w:rsidRPr="00EE03B8">
        <w:t>qualitative disclosure</w:t>
      </w:r>
      <w:r>
        <w:t>s</w:t>
      </w:r>
      <w:r w:rsidRPr="00EE03B8">
        <w:t xml:space="preserve">. </w:t>
      </w:r>
      <w:r>
        <w:t xml:space="preserve">We also provide evidence supporting common assumptions in the previous literature that </w:t>
      </w:r>
      <w:r w:rsidRPr="00541386">
        <w:t xml:space="preserve">crash risk reflects firm-specific </w:t>
      </w:r>
      <w:r>
        <w:t>bad news</w:t>
      </w:r>
      <w:r w:rsidRPr="00541386">
        <w:t xml:space="preserve"> and that manag</w:t>
      </w:r>
      <w:r>
        <w:t xml:space="preserve">ers may possess </w:t>
      </w:r>
      <w:r w:rsidRPr="00583D57">
        <w:rPr>
          <w:i/>
          <w:iCs/>
        </w:rPr>
        <w:t>ex ante</w:t>
      </w:r>
      <w:r>
        <w:t xml:space="preserve"> private information about</w:t>
      </w:r>
      <w:r w:rsidRPr="00541386">
        <w:t xml:space="preserve"> such risk</w:t>
      </w:r>
      <w:r>
        <w:t xml:space="preserve"> (Roll 1988)</w:t>
      </w:r>
      <w:r w:rsidRPr="000B3013">
        <w:t>.</w:t>
      </w:r>
    </w:p>
    <w:p w14:paraId="5AD21770" w14:textId="012BCA9A" w:rsidR="00562699" w:rsidRPr="00175C30" w:rsidRDefault="00562699">
      <w:pPr>
        <w:rPr>
          <w:lang w:eastAsia="zh-CN"/>
        </w:rPr>
      </w:pPr>
      <w:r>
        <w:t>In the</w:t>
      </w:r>
      <w:r w:rsidRPr="00EE03B8">
        <w:t xml:space="preserve"> remainder of th</w:t>
      </w:r>
      <w:r>
        <w:t xml:space="preserve">is </w:t>
      </w:r>
      <w:r w:rsidRPr="00EE03B8">
        <w:t>paper</w:t>
      </w:r>
      <w:r>
        <w:t xml:space="preserve">, we review </w:t>
      </w:r>
      <w:r w:rsidRPr="00EE03B8">
        <w:t>the</w:t>
      </w:r>
      <w:r>
        <w:t xml:space="preserve"> literature and develop</w:t>
      </w:r>
      <w:r w:rsidRPr="00EE03B8">
        <w:t xml:space="preserve"> hypotheses</w:t>
      </w:r>
      <w:r>
        <w:t xml:space="preserve">, describe the </w:t>
      </w:r>
      <w:r w:rsidRPr="00EE03B8">
        <w:t>data and empirical methods</w:t>
      </w:r>
      <w:r>
        <w:t>, and present our empirical results. We then discuss the study’s implications and limitations, and directions for future research, before drawing conclusions</w:t>
      </w:r>
      <w:r w:rsidRPr="00EE03B8">
        <w:t>.</w:t>
      </w:r>
    </w:p>
    <w:p w14:paraId="48DA18E0" w14:textId="477BB5BC" w:rsidR="00562699" w:rsidRDefault="00562699">
      <w:pPr>
        <w:pStyle w:val="Heading1"/>
        <w:rPr>
          <w:lang w:eastAsia="zh-CN"/>
        </w:rPr>
      </w:pPr>
      <w:r w:rsidRPr="00005A54">
        <w:rPr>
          <w:rFonts w:hint="eastAsia"/>
          <w:lang w:eastAsia="zh-CN"/>
        </w:rPr>
        <w:t xml:space="preserve">Related </w:t>
      </w:r>
      <w:r>
        <w:rPr>
          <w:lang w:eastAsia="zh-CN"/>
        </w:rPr>
        <w:t>L</w:t>
      </w:r>
      <w:r w:rsidRPr="00005A54">
        <w:rPr>
          <w:rFonts w:hint="eastAsia"/>
          <w:lang w:eastAsia="zh-CN"/>
        </w:rPr>
        <w:t xml:space="preserve">iterature and </w:t>
      </w:r>
      <w:r>
        <w:rPr>
          <w:lang w:eastAsia="zh-CN"/>
        </w:rPr>
        <w:t>H</w:t>
      </w:r>
      <w:r w:rsidRPr="00005A54">
        <w:rPr>
          <w:rFonts w:hint="eastAsia"/>
          <w:lang w:eastAsia="zh-CN"/>
        </w:rPr>
        <w:t>ypothes</w:t>
      </w:r>
      <w:r>
        <w:rPr>
          <w:lang w:eastAsia="zh-CN"/>
        </w:rPr>
        <w:t>e</w:t>
      </w:r>
      <w:r w:rsidRPr="00005A54">
        <w:rPr>
          <w:rFonts w:hint="eastAsia"/>
          <w:lang w:eastAsia="zh-CN"/>
        </w:rPr>
        <w:t xml:space="preserve">s </w:t>
      </w:r>
      <w:r>
        <w:rPr>
          <w:lang w:eastAsia="zh-CN"/>
        </w:rPr>
        <w:t>D</w:t>
      </w:r>
      <w:r w:rsidRPr="00005A54">
        <w:rPr>
          <w:rFonts w:hint="eastAsia"/>
          <w:lang w:eastAsia="zh-CN"/>
        </w:rPr>
        <w:t>evelopment</w:t>
      </w:r>
    </w:p>
    <w:p w14:paraId="54124968" w14:textId="57422EAF" w:rsidR="00562699" w:rsidRPr="00E754C5" w:rsidRDefault="00562699">
      <w:pPr>
        <w:pStyle w:val="Heading2"/>
        <w:rPr>
          <w:i/>
        </w:rPr>
      </w:pPr>
      <w:r w:rsidRPr="00F37C2B">
        <w:t xml:space="preserve">Literature on </w:t>
      </w:r>
      <w:r>
        <w:t>E</w:t>
      </w:r>
      <w:r w:rsidRPr="00F37C2B">
        <w:t xml:space="preserve">arnings </w:t>
      </w:r>
      <w:r>
        <w:t>C</w:t>
      </w:r>
      <w:r w:rsidRPr="00F37C2B">
        <w:t xml:space="preserve">onference </w:t>
      </w:r>
      <w:r>
        <w:t>C</w:t>
      </w:r>
      <w:r w:rsidRPr="00F37C2B">
        <w:t>all</w:t>
      </w:r>
      <w:r>
        <w:t>s</w:t>
      </w:r>
    </w:p>
    <w:p w14:paraId="0FC51D1D" w14:textId="33489103" w:rsidR="00562699" w:rsidRDefault="00562699" w:rsidP="003E49E8">
      <w:pPr>
        <w:pStyle w:val="NoIndentNormal"/>
      </w:pPr>
      <w:r w:rsidRPr="007D6C2B">
        <w:t xml:space="preserve">Since the 1990s, earnings conference calls have emerged </w:t>
      </w:r>
      <w:r>
        <w:t>as</w:t>
      </w:r>
      <w:r w:rsidRPr="007D6C2B">
        <w:t xml:space="preserve"> an important channel for voluntary corporate disclosure</w:t>
      </w:r>
      <w:r>
        <w:t>s</w:t>
      </w:r>
      <w:r w:rsidRPr="007D6C2B">
        <w:t xml:space="preserve"> (Bushee</w:t>
      </w:r>
      <w:r w:rsidRPr="00B70E79">
        <w:t xml:space="preserve"> </w:t>
      </w:r>
      <w:r w:rsidRPr="00583D57">
        <w:t>et al.</w:t>
      </w:r>
      <w:r w:rsidRPr="00B70E79">
        <w:t xml:space="preserve"> 2</w:t>
      </w:r>
      <w:r w:rsidRPr="007D6C2B">
        <w:t>003). The</w:t>
      </w:r>
      <w:r>
        <w:t>y</w:t>
      </w:r>
      <w:r w:rsidRPr="007D6C2B">
        <w:t xml:space="preserve"> reduce information asymmetry between firms and investors (Brown </w:t>
      </w:r>
      <w:r w:rsidRPr="00583D57">
        <w:rPr>
          <w:iCs/>
        </w:rPr>
        <w:t>et al</w:t>
      </w:r>
      <w:r w:rsidRPr="00B70E79">
        <w:rPr>
          <w:iCs/>
        </w:rPr>
        <w:t>.</w:t>
      </w:r>
      <w:r w:rsidRPr="007D6C2B">
        <w:t xml:space="preserve"> 2004; Matsumoto </w:t>
      </w:r>
      <w:r w:rsidRPr="00583D57">
        <w:rPr>
          <w:iCs/>
        </w:rPr>
        <w:t>et al</w:t>
      </w:r>
      <w:r w:rsidRPr="00B70E79">
        <w:rPr>
          <w:iCs/>
        </w:rPr>
        <w:t>.</w:t>
      </w:r>
      <w:r w:rsidRPr="007D6C2B">
        <w:t xml:space="preserve"> 2011)</w:t>
      </w:r>
      <w:r>
        <w:t xml:space="preserve">, and </w:t>
      </w:r>
      <w:r w:rsidRPr="007D6C2B">
        <w:rPr>
          <w:color w:val="000000" w:themeColor="text1"/>
        </w:rPr>
        <w:t xml:space="preserve">provide useful information to </w:t>
      </w:r>
      <w:r>
        <w:rPr>
          <w:color w:val="000000" w:themeColor="text1"/>
        </w:rPr>
        <w:t>financial</w:t>
      </w:r>
      <w:r w:rsidRPr="007D6C2B">
        <w:rPr>
          <w:color w:val="000000" w:themeColor="text1"/>
        </w:rPr>
        <w:t xml:space="preserve"> market participants, such as sell-side and buy-side financial analysts, individual investors and auditors (e.g.</w:t>
      </w:r>
      <w:r>
        <w:rPr>
          <w:color w:val="000000" w:themeColor="text1"/>
        </w:rPr>
        <w:t>,</w:t>
      </w:r>
      <w:r w:rsidRPr="007D6C2B">
        <w:rPr>
          <w:color w:val="000000" w:themeColor="text1"/>
        </w:rPr>
        <w:t xml:space="preserve"> Hobson </w:t>
      </w:r>
      <w:r w:rsidRPr="0010054F">
        <w:rPr>
          <w:iCs/>
          <w:color w:val="000000" w:themeColor="text1"/>
        </w:rPr>
        <w:t>et al.</w:t>
      </w:r>
      <w:r w:rsidRPr="007D6C2B">
        <w:rPr>
          <w:color w:val="000000" w:themeColor="text1"/>
        </w:rPr>
        <w:t xml:space="preserve"> 2017; Jung </w:t>
      </w:r>
      <w:r w:rsidRPr="0010054F">
        <w:rPr>
          <w:iCs/>
          <w:color w:val="000000" w:themeColor="text1"/>
        </w:rPr>
        <w:t>et al.</w:t>
      </w:r>
      <w:r w:rsidRPr="007D6C2B">
        <w:rPr>
          <w:color w:val="000000" w:themeColor="text1"/>
        </w:rPr>
        <w:t xml:space="preserve"> 2016; Matsumoto </w:t>
      </w:r>
      <w:r w:rsidRPr="0010054F">
        <w:rPr>
          <w:iCs/>
          <w:color w:val="000000" w:themeColor="text1"/>
        </w:rPr>
        <w:t>et al.</w:t>
      </w:r>
      <w:r w:rsidRPr="00B70E79">
        <w:rPr>
          <w:iCs/>
          <w:color w:val="000000" w:themeColor="text1"/>
        </w:rPr>
        <w:t xml:space="preserve"> </w:t>
      </w:r>
      <w:r w:rsidRPr="007D6C2B">
        <w:rPr>
          <w:color w:val="000000" w:themeColor="text1"/>
        </w:rPr>
        <w:t xml:space="preserve">2011). </w:t>
      </w:r>
      <w:r>
        <w:t>Previous</w:t>
      </w:r>
      <w:r w:rsidRPr="007D6C2B">
        <w:t xml:space="preserve"> research highlights that </w:t>
      </w:r>
      <w:r>
        <w:t>attributes</w:t>
      </w:r>
      <w:r w:rsidRPr="007D6C2B">
        <w:t xml:space="preserve"> of these calls </w:t>
      </w:r>
      <w:r>
        <w:t>(</w:t>
      </w:r>
      <w:r w:rsidRPr="007D6C2B">
        <w:t>including the</w:t>
      </w:r>
      <w:r>
        <w:t>ir</w:t>
      </w:r>
      <w:r w:rsidRPr="007D6C2B">
        <w:t xml:space="preserve"> tone</w:t>
      </w:r>
      <w:r>
        <w:t>)</w:t>
      </w:r>
      <w:r w:rsidRPr="007D6C2B">
        <w:t xml:space="preserve"> are informative </w:t>
      </w:r>
      <w:r>
        <w:t>for</w:t>
      </w:r>
      <w:r w:rsidRPr="007D6C2B">
        <w:t xml:space="preserve"> investors. For example, Matsumoto </w:t>
      </w:r>
      <w:r w:rsidRPr="0010054F">
        <w:rPr>
          <w:iCs/>
        </w:rPr>
        <w:t>et al</w:t>
      </w:r>
      <w:r w:rsidRPr="00B70E79">
        <w:rPr>
          <w:iCs/>
        </w:rPr>
        <w:t xml:space="preserve">. </w:t>
      </w:r>
      <w:r w:rsidRPr="007D6C2B">
        <w:t>(2011) find that call length reflect</w:t>
      </w:r>
      <w:r>
        <w:t>s</w:t>
      </w:r>
      <w:r w:rsidRPr="007D6C2B">
        <w:t xml:space="preserve"> the information content of a call and that longer calls are more informative</w:t>
      </w:r>
      <w:r>
        <w:t xml:space="preserve"> to the market</w:t>
      </w:r>
      <w:r w:rsidRPr="007D6C2B">
        <w:t>. Lee (2016</w:t>
      </w:r>
      <w:r w:rsidRPr="00E47713">
        <w:t xml:space="preserve">) focuses on spontaneity </w:t>
      </w:r>
      <w:r>
        <w:t>in</w:t>
      </w:r>
      <w:r w:rsidRPr="00E47713">
        <w:t xml:space="preserve"> managers’ </w:t>
      </w:r>
      <w:r>
        <w:t xml:space="preserve">conference call </w:t>
      </w:r>
      <w:r w:rsidRPr="00E47713">
        <w:t>language</w:t>
      </w:r>
      <w:r>
        <w:t>, and documents</w:t>
      </w:r>
      <w:r w:rsidRPr="00E47713">
        <w:t xml:space="preserve"> that the market responds negatively to </w:t>
      </w:r>
      <w:r>
        <w:t>calls</w:t>
      </w:r>
      <w:r w:rsidRPr="00E47713">
        <w:t xml:space="preserve"> whe</w:t>
      </w:r>
      <w:r>
        <w:t>re</w:t>
      </w:r>
      <w:r w:rsidRPr="00E47713">
        <w:t xml:space="preserve"> </w:t>
      </w:r>
      <w:r>
        <w:t xml:space="preserve">the presentation and Q&amp;A sections are similar because </w:t>
      </w:r>
      <w:r w:rsidRPr="00E47713">
        <w:t xml:space="preserve">managers </w:t>
      </w:r>
      <w:r>
        <w:t>are using</w:t>
      </w:r>
      <w:r w:rsidRPr="00E47713">
        <w:t xml:space="preserve"> pre-scripted speeches to answer analysts’ questions.</w:t>
      </w:r>
    </w:p>
    <w:p w14:paraId="4A6301A8" w14:textId="7EEC7D10" w:rsidR="00562699" w:rsidRPr="003304B7" w:rsidRDefault="00562699" w:rsidP="0010054F">
      <w:r>
        <w:lastRenderedPageBreak/>
        <w:t xml:space="preserve">Compared with written financial documents, which are carefully worded, conference calls are more interactive and spontaneous. They allow managers to disclose information flexibly, facilitating the revelation of managers’ discretionary incentives and behavior (Bloomfield 2008; </w:t>
      </w:r>
      <w:r w:rsidRPr="00AC2D10">
        <w:t>Merkl-Davies and Brennan 2007</w:t>
      </w:r>
      <w:r>
        <w:t xml:space="preserve">). Previous studies find that </w:t>
      </w:r>
      <w:r>
        <w:rPr>
          <w:color w:val="000000" w:themeColor="text1"/>
          <w:shd w:val="clear" w:color="auto" w:fill="FFFFFF"/>
        </w:rPr>
        <w:t xml:space="preserve">when managers engage </w:t>
      </w:r>
      <w:r>
        <w:t>intentionally in financial misstatement, their conference call language may reveal the truth (</w:t>
      </w:r>
      <w:r w:rsidRPr="00F4432E">
        <w:rPr>
          <w:color w:val="000000" w:themeColor="text1"/>
          <w:shd w:val="clear" w:color="auto" w:fill="FFFFFF"/>
        </w:rPr>
        <w:t xml:space="preserve">Burgoon </w:t>
      </w:r>
      <w:r w:rsidRPr="0010054F">
        <w:rPr>
          <w:iCs/>
          <w:color w:val="000000" w:themeColor="text1"/>
          <w:shd w:val="clear" w:color="auto" w:fill="FFFFFF"/>
        </w:rPr>
        <w:t>et al</w:t>
      </w:r>
      <w:r w:rsidRPr="00B70E79">
        <w:rPr>
          <w:iCs/>
          <w:color w:val="000000" w:themeColor="text1"/>
          <w:shd w:val="clear" w:color="auto" w:fill="FFFFFF"/>
        </w:rPr>
        <w:t xml:space="preserve">. </w:t>
      </w:r>
      <w:r w:rsidRPr="00F4432E">
        <w:rPr>
          <w:color w:val="000000" w:themeColor="text1"/>
          <w:shd w:val="clear" w:color="auto" w:fill="FFFFFF"/>
        </w:rPr>
        <w:t>2016</w:t>
      </w:r>
      <w:r>
        <w:rPr>
          <w:color w:val="000000" w:themeColor="text1"/>
          <w:shd w:val="clear" w:color="auto" w:fill="FFFFFF"/>
        </w:rPr>
        <w:t xml:space="preserve">; </w:t>
      </w:r>
      <w:r w:rsidRPr="00F4432E">
        <w:rPr>
          <w:color w:val="000000" w:themeColor="text1"/>
          <w:shd w:val="clear" w:color="auto" w:fill="FFFFFF"/>
        </w:rPr>
        <w:t xml:space="preserve">Hobson </w:t>
      </w:r>
      <w:r w:rsidRPr="0010054F">
        <w:rPr>
          <w:iCs/>
          <w:color w:val="000000" w:themeColor="text1"/>
          <w:shd w:val="clear" w:color="auto" w:fill="FFFFFF"/>
        </w:rPr>
        <w:t>et al</w:t>
      </w:r>
      <w:r w:rsidRPr="00B70E79">
        <w:rPr>
          <w:iCs/>
          <w:color w:val="000000" w:themeColor="text1"/>
          <w:shd w:val="clear" w:color="auto" w:fill="FFFFFF"/>
        </w:rPr>
        <w:t>.</w:t>
      </w:r>
      <w:r>
        <w:rPr>
          <w:color w:val="000000" w:themeColor="text1"/>
          <w:shd w:val="clear" w:color="auto" w:fill="FFFFFF"/>
        </w:rPr>
        <w:t xml:space="preserve"> </w:t>
      </w:r>
      <w:r w:rsidRPr="00F4432E">
        <w:rPr>
          <w:color w:val="000000" w:themeColor="text1"/>
          <w:shd w:val="clear" w:color="auto" w:fill="FFFFFF"/>
        </w:rPr>
        <w:t>2012</w:t>
      </w:r>
      <w:r>
        <w:rPr>
          <w:color w:val="000000" w:themeColor="text1"/>
          <w:shd w:val="clear" w:color="auto" w:fill="FFFFFF"/>
        </w:rPr>
        <w:t xml:space="preserve">; </w:t>
      </w:r>
      <w:r>
        <w:t xml:space="preserve">Larcker and </w:t>
      </w:r>
      <w:r w:rsidRPr="00F4432E">
        <w:rPr>
          <w:color w:val="000000" w:themeColor="text1"/>
          <w:shd w:val="clear" w:color="auto" w:fill="FFFFFF"/>
        </w:rPr>
        <w:t>Zakolyukina</w:t>
      </w:r>
      <w:r>
        <w:rPr>
          <w:color w:val="000000" w:themeColor="text1"/>
          <w:shd w:val="clear" w:color="auto" w:fill="FFFFFF"/>
        </w:rPr>
        <w:t xml:space="preserve"> </w:t>
      </w:r>
      <w:r w:rsidRPr="00F4432E">
        <w:rPr>
          <w:color w:val="000000" w:themeColor="text1"/>
          <w:shd w:val="clear" w:color="auto" w:fill="FFFFFF"/>
        </w:rPr>
        <w:t>2012)</w:t>
      </w:r>
      <w:r>
        <w:rPr>
          <w:color w:val="000000" w:themeColor="text1"/>
          <w:shd w:val="clear" w:color="auto" w:fill="FFFFFF"/>
        </w:rPr>
        <w:t xml:space="preserve">. Therefore, </w:t>
      </w:r>
      <w:r>
        <w:t>managers’ verbal and vocal cues in</w:t>
      </w:r>
      <w:r w:rsidRPr="00F4432E">
        <w:rPr>
          <w:color w:val="000000" w:themeColor="text1"/>
          <w:shd w:val="clear" w:color="auto" w:fill="FFFFFF"/>
        </w:rPr>
        <w:t xml:space="preserve"> conference call </w:t>
      </w:r>
      <w:r>
        <w:rPr>
          <w:color w:val="000000" w:themeColor="text1"/>
          <w:shd w:val="clear" w:color="auto" w:fill="FFFFFF"/>
        </w:rPr>
        <w:t>disclosures</w:t>
      </w:r>
      <w:r w:rsidRPr="00F4432E">
        <w:rPr>
          <w:color w:val="000000" w:themeColor="text1"/>
          <w:shd w:val="clear" w:color="auto" w:fill="FFFFFF"/>
        </w:rPr>
        <w:t xml:space="preserve"> </w:t>
      </w:r>
      <w:r>
        <w:rPr>
          <w:color w:val="000000" w:themeColor="text1"/>
          <w:shd w:val="clear" w:color="auto" w:fill="FFFFFF"/>
        </w:rPr>
        <w:t>are more suited than written disclosures to</w:t>
      </w:r>
      <w:r w:rsidRPr="00F4432E">
        <w:rPr>
          <w:color w:val="000000" w:themeColor="text1"/>
          <w:shd w:val="clear" w:color="auto" w:fill="FFFFFF"/>
        </w:rPr>
        <w:t xml:space="preserve"> detecting </w:t>
      </w:r>
      <w:r>
        <w:rPr>
          <w:color w:val="000000" w:themeColor="text1"/>
          <w:shd w:val="clear" w:color="auto" w:fill="FFFFFF"/>
        </w:rPr>
        <w:t>their</w:t>
      </w:r>
      <w:r w:rsidRPr="00F4432E">
        <w:rPr>
          <w:color w:val="000000" w:themeColor="text1"/>
          <w:shd w:val="clear" w:color="auto" w:fill="FFFFFF"/>
        </w:rPr>
        <w:t xml:space="preserve"> unethical reporting behavior</w:t>
      </w:r>
      <w:r>
        <w:rPr>
          <w:color w:val="000000" w:themeColor="text1"/>
          <w:shd w:val="clear" w:color="auto" w:fill="FFFFFF"/>
        </w:rPr>
        <w:t>.</w:t>
      </w:r>
    </w:p>
    <w:p w14:paraId="1F4BD9AA" w14:textId="69238E01" w:rsidR="00562699" w:rsidRPr="00F4432E" w:rsidRDefault="00562699">
      <w:r w:rsidRPr="00BE2AE5">
        <w:t>Importantly, a burgeoning body of research</w:t>
      </w:r>
      <w:r>
        <w:t xml:space="preserve"> </w:t>
      </w:r>
      <w:r w:rsidRPr="00BE2AE5">
        <w:t>investigat</w:t>
      </w:r>
      <w:r>
        <w:t>es</w:t>
      </w:r>
      <w:r w:rsidRPr="00BE2AE5">
        <w:t xml:space="preserve"> the</w:t>
      </w:r>
      <w:r>
        <w:t xml:space="preserve"> </w:t>
      </w:r>
      <w:r w:rsidRPr="00BE2AE5">
        <w:t xml:space="preserve">tone of conference calls. </w:t>
      </w:r>
      <w:r>
        <w:t>Tone represents the sentiment of narrative disclosures (Henry and Leone 2016; Loughran and McDonald 2011). It</w:t>
      </w:r>
      <w:r w:rsidRPr="00BE2AE5">
        <w:t xml:space="preserve"> indicates how optimistic the disclosure is</w:t>
      </w:r>
      <w:r>
        <w:t>,</w:t>
      </w:r>
      <w:r w:rsidRPr="00BE2AE5">
        <w:t xml:space="preserve"> and reflect</w:t>
      </w:r>
      <w:r>
        <w:t>s</w:t>
      </w:r>
      <w:r w:rsidRPr="00BE2AE5">
        <w:t xml:space="preserve"> </w:t>
      </w:r>
      <w:r>
        <w:t xml:space="preserve">the firm’s </w:t>
      </w:r>
      <w:r w:rsidRPr="00BE2AE5">
        <w:t xml:space="preserve">past, current and future situations. </w:t>
      </w:r>
      <w:r>
        <w:t xml:space="preserve">Typically measured by the use of positive and negative words </w:t>
      </w:r>
      <w:r w:rsidRPr="00BE2AE5">
        <w:t xml:space="preserve">(e.g., Davis </w:t>
      </w:r>
      <w:r w:rsidRPr="0010054F">
        <w:rPr>
          <w:iCs/>
        </w:rPr>
        <w:t>et al.</w:t>
      </w:r>
      <w:r w:rsidRPr="00BE2AE5">
        <w:t xml:space="preserve"> 2015</w:t>
      </w:r>
      <w:r>
        <w:t>; Loughran and McDonald 2011, 2016</w:t>
      </w:r>
      <w:r w:rsidRPr="00BE2AE5">
        <w:t>)</w:t>
      </w:r>
      <w:r>
        <w:t xml:space="preserve">, tone captures both what information is disclosed (i.e., the disclosure content) and how (i.e., the optimism of disclosure). Tone significantly influences how investors perceive a firm’s performance and future prospects. </w:t>
      </w:r>
      <w:r w:rsidRPr="00F4432E">
        <w:t xml:space="preserve">For instance, Davis </w:t>
      </w:r>
      <w:r w:rsidRPr="0010054F">
        <w:rPr>
          <w:iCs/>
        </w:rPr>
        <w:t>et al.</w:t>
      </w:r>
      <w:r w:rsidRPr="00F4432E">
        <w:t xml:space="preserve"> (2015) report that</w:t>
      </w:r>
      <w:r>
        <w:t xml:space="preserve">, </w:t>
      </w:r>
      <w:r w:rsidRPr="00F4432E">
        <w:t>after controlling for firm</w:t>
      </w:r>
      <w:r>
        <w:t>s’</w:t>
      </w:r>
      <w:r w:rsidRPr="00F4432E">
        <w:t xml:space="preserve"> past and future </w:t>
      </w:r>
      <w:r>
        <w:t>financial performance</w:t>
      </w:r>
      <w:r w:rsidRPr="00F4432E">
        <w:t xml:space="preserve"> and characteristics</w:t>
      </w:r>
      <w:r>
        <w:t>,</w:t>
      </w:r>
      <w:r w:rsidRPr="00F4432E">
        <w:t xml:space="preserve"> cumulative abnormal returns </w:t>
      </w:r>
      <w:r>
        <w:t>correlate</w:t>
      </w:r>
      <w:r w:rsidRPr="00F4432E">
        <w:t xml:space="preserve"> significantly with manager</w:t>
      </w:r>
      <w:r>
        <w:t>s’</w:t>
      </w:r>
      <w:r w:rsidRPr="00F4432E">
        <w:t xml:space="preserve"> tone during conference calls, illustrating </w:t>
      </w:r>
      <w:r>
        <w:t xml:space="preserve">significant </w:t>
      </w:r>
      <w:r w:rsidRPr="00F4432E">
        <w:t>short-term market reaction</w:t>
      </w:r>
      <w:r>
        <w:t>s</w:t>
      </w:r>
      <w:r w:rsidRPr="00F4432E">
        <w:t xml:space="preserve"> to call tone.</w:t>
      </w:r>
    </w:p>
    <w:p w14:paraId="772B70CF" w14:textId="27EDBD8C" w:rsidR="00562699" w:rsidRPr="00F8782F" w:rsidRDefault="00562699">
      <w:pPr>
        <w:rPr>
          <w:shd w:val="clear" w:color="auto" w:fill="FFFFFF"/>
        </w:rPr>
      </w:pPr>
      <w:r w:rsidRPr="00F4432E">
        <w:t xml:space="preserve">Despite the </w:t>
      </w:r>
      <w:r>
        <w:t>importance</w:t>
      </w:r>
      <w:r w:rsidRPr="00F4432E">
        <w:t xml:space="preserve"> of conference call </w:t>
      </w:r>
      <w:r>
        <w:t>disclosures</w:t>
      </w:r>
      <w:r w:rsidRPr="00F4432E">
        <w:t xml:space="preserve">, there is </w:t>
      </w:r>
      <w:r w:rsidRPr="00F4432E">
        <w:rPr>
          <w:shd w:val="clear" w:color="auto" w:fill="FFFFFF"/>
        </w:rPr>
        <w:t xml:space="preserve">limited evidence on managers’ reporting behavior </w:t>
      </w:r>
      <w:r>
        <w:rPr>
          <w:shd w:val="clear" w:color="auto" w:fill="FFFFFF"/>
        </w:rPr>
        <w:t>in</w:t>
      </w:r>
      <w:r w:rsidRPr="00F4432E">
        <w:rPr>
          <w:shd w:val="clear" w:color="auto" w:fill="FFFFFF"/>
        </w:rPr>
        <w:t xml:space="preserve"> these calls </w:t>
      </w:r>
      <w:r w:rsidRPr="00F4432E">
        <w:t xml:space="preserve">from </w:t>
      </w:r>
      <w:r>
        <w:t>an</w:t>
      </w:r>
      <w:r w:rsidRPr="00F4432E">
        <w:t xml:space="preserve"> explicitly ethical financial reporting perspective. </w:t>
      </w:r>
      <w:r>
        <w:t>M</w:t>
      </w:r>
      <w:r w:rsidRPr="00F4432E">
        <w:t>ost relevant</w:t>
      </w:r>
      <w:r>
        <w:t>ly,</w:t>
      </w:r>
      <w:r w:rsidRPr="00F4432E">
        <w:t xml:space="preserve"> </w:t>
      </w:r>
      <w:r w:rsidRPr="00F4432E">
        <w:rPr>
          <w:shd w:val="clear" w:color="auto" w:fill="FFFFFF"/>
        </w:rPr>
        <w:t xml:space="preserve">Burgoon </w:t>
      </w:r>
      <w:r w:rsidRPr="0010054F">
        <w:rPr>
          <w:iCs/>
          <w:shd w:val="clear" w:color="auto" w:fill="FFFFFF"/>
        </w:rPr>
        <w:t>et al</w:t>
      </w:r>
      <w:r w:rsidRPr="00B70E79">
        <w:rPr>
          <w:iCs/>
          <w:shd w:val="clear" w:color="auto" w:fill="FFFFFF"/>
        </w:rPr>
        <w:t>.</w:t>
      </w:r>
      <w:r w:rsidRPr="00F4432E">
        <w:rPr>
          <w:shd w:val="clear" w:color="auto" w:fill="FFFFFF"/>
        </w:rPr>
        <w:t xml:space="preserve"> (2016), Hobson</w:t>
      </w:r>
      <w:r w:rsidRPr="00B70E79">
        <w:rPr>
          <w:shd w:val="clear" w:color="auto" w:fill="FFFFFF"/>
        </w:rPr>
        <w:t xml:space="preserve"> </w:t>
      </w:r>
      <w:r w:rsidRPr="0010054F">
        <w:rPr>
          <w:shd w:val="clear" w:color="auto" w:fill="FFFFFF"/>
        </w:rPr>
        <w:t>et al</w:t>
      </w:r>
      <w:r w:rsidRPr="00B70E79">
        <w:rPr>
          <w:shd w:val="clear" w:color="auto" w:fill="FFFFFF"/>
        </w:rPr>
        <w:t xml:space="preserve">. </w:t>
      </w:r>
      <w:r w:rsidRPr="00F4432E">
        <w:rPr>
          <w:shd w:val="clear" w:color="auto" w:fill="FFFFFF"/>
        </w:rPr>
        <w:t>(2012)</w:t>
      </w:r>
      <w:r>
        <w:rPr>
          <w:shd w:val="clear" w:color="auto" w:fill="FFFFFF"/>
        </w:rPr>
        <w:t xml:space="preserve"> and</w:t>
      </w:r>
      <w:r w:rsidRPr="00F4432E">
        <w:rPr>
          <w:shd w:val="clear" w:color="auto" w:fill="FFFFFF"/>
        </w:rPr>
        <w:t xml:space="preserve"> </w:t>
      </w:r>
      <w:r w:rsidRPr="00F4432E">
        <w:t xml:space="preserve">Larcker and </w:t>
      </w:r>
      <w:r w:rsidRPr="00F4432E">
        <w:rPr>
          <w:shd w:val="clear" w:color="auto" w:fill="FFFFFF"/>
        </w:rPr>
        <w:t xml:space="preserve">Zakolyukina (2012) report that managers’ linguistic characteristics and vocal cues in conference calls </w:t>
      </w:r>
      <w:r>
        <w:rPr>
          <w:shd w:val="clear" w:color="auto" w:fill="FFFFFF"/>
        </w:rPr>
        <w:t>may</w:t>
      </w:r>
      <w:r w:rsidRPr="00F4432E">
        <w:rPr>
          <w:shd w:val="clear" w:color="auto" w:fill="FFFFFF"/>
        </w:rPr>
        <w:t xml:space="preserve"> </w:t>
      </w:r>
      <w:r>
        <w:rPr>
          <w:shd w:val="clear" w:color="auto" w:fill="FFFFFF"/>
        </w:rPr>
        <w:t>reveal</w:t>
      </w:r>
      <w:r w:rsidRPr="00F4432E">
        <w:rPr>
          <w:shd w:val="clear" w:color="auto" w:fill="FFFFFF"/>
        </w:rPr>
        <w:t xml:space="preserve"> financial </w:t>
      </w:r>
      <w:r>
        <w:rPr>
          <w:shd w:val="clear" w:color="auto" w:fill="FFFFFF"/>
        </w:rPr>
        <w:t>restatements</w:t>
      </w:r>
      <w:r w:rsidRPr="00F4432E">
        <w:rPr>
          <w:shd w:val="clear" w:color="auto" w:fill="FFFFFF"/>
        </w:rPr>
        <w:t xml:space="preserve">, </w:t>
      </w:r>
      <w:r>
        <w:rPr>
          <w:shd w:val="clear" w:color="auto" w:fill="FFFFFF"/>
        </w:rPr>
        <w:t>indicating</w:t>
      </w:r>
      <w:r w:rsidRPr="00F4432E">
        <w:rPr>
          <w:shd w:val="clear" w:color="auto" w:fill="FFFFFF"/>
        </w:rPr>
        <w:t xml:space="preserve"> the importance of conference call communication characteristics </w:t>
      </w:r>
      <w:r>
        <w:rPr>
          <w:shd w:val="clear" w:color="auto" w:fill="FFFFFF"/>
        </w:rPr>
        <w:t>for</w:t>
      </w:r>
      <w:r w:rsidRPr="00F4432E">
        <w:rPr>
          <w:shd w:val="clear" w:color="auto" w:fill="FFFFFF"/>
        </w:rPr>
        <w:t xml:space="preserve"> detecting managers’ unethical reporting behavior. </w:t>
      </w:r>
      <w:r>
        <w:rPr>
          <w:shd w:val="clear" w:color="auto" w:fill="FFFFFF"/>
        </w:rPr>
        <w:lastRenderedPageBreak/>
        <w:t xml:space="preserve">Unlike these previous studies, we explore </w:t>
      </w:r>
      <w:r w:rsidRPr="00BD3932">
        <w:rPr>
          <w:lang w:eastAsia="zh-CN"/>
        </w:rPr>
        <w:t>the setting of extreme future downside risk</w:t>
      </w:r>
      <w:r>
        <w:rPr>
          <w:lang w:eastAsia="zh-CN"/>
        </w:rPr>
        <w:t xml:space="preserve"> captured by stock price crash risk,</w:t>
      </w:r>
      <w:r w:rsidRPr="00BD3932">
        <w:rPr>
          <w:lang w:eastAsia="zh-CN"/>
        </w:rPr>
        <w:t xml:space="preserve"> where managers have</w:t>
      </w:r>
      <w:r>
        <w:rPr>
          <w:lang w:eastAsia="zh-CN"/>
        </w:rPr>
        <w:t xml:space="preserve"> conflicting</w:t>
      </w:r>
      <w:r w:rsidRPr="00BD3932">
        <w:rPr>
          <w:lang w:eastAsia="zh-CN"/>
        </w:rPr>
        <w:t xml:space="preserve"> incentives </w:t>
      </w:r>
      <w:r>
        <w:rPr>
          <w:lang w:eastAsia="zh-CN"/>
        </w:rPr>
        <w:t xml:space="preserve">either </w:t>
      </w:r>
      <w:r w:rsidRPr="00BD3932">
        <w:rPr>
          <w:lang w:eastAsia="zh-CN"/>
        </w:rPr>
        <w:t xml:space="preserve">to </w:t>
      </w:r>
      <w:r>
        <w:rPr>
          <w:lang w:eastAsia="zh-CN"/>
        </w:rPr>
        <w:t>unethically manipulate disclosure tone to hide bad news, or to engage in ethical financial reporting and disclose truthfully.</w:t>
      </w:r>
    </w:p>
    <w:p w14:paraId="7E4740F5" w14:textId="1ECFB554" w:rsidR="00562699" w:rsidRDefault="00562699">
      <w:pPr>
        <w:pStyle w:val="Heading2"/>
      </w:pPr>
      <w:r w:rsidRPr="00F37C2B">
        <w:t xml:space="preserve">Literature on </w:t>
      </w:r>
      <w:r>
        <w:t>Stock P</w:t>
      </w:r>
      <w:r w:rsidRPr="00F37C2B">
        <w:t xml:space="preserve">rice </w:t>
      </w:r>
      <w:r>
        <w:t>C</w:t>
      </w:r>
      <w:r w:rsidRPr="00F37C2B">
        <w:t xml:space="preserve">rash </w:t>
      </w:r>
      <w:r>
        <w:t>R</w:t>
      </w:r>
      <w:r w:rsidRPr="00F37C2B">
        <w:t>isk</w:t>
      </w:r>
    </w:p>
    <w:p w14:paraId="0E940166" w14:textId="4F10EF1F" w:rsidR="00562699" w:rsidRDefault="00562699" w:rsidP="003E49E8">
      <w:pPr>
        <w:pStyle w:val="NoIndentNormal"/>
      </w:pPr>
      <w:r w:rsidRPr="003932A8">
        <w:t>According to Jin and Myers</w:t>
      </w:r>
      <w:r>
        <w:t xml:space="preserve">’ </w:t>
      </w:r>
      <w:r w:rsidRPr="003932A8">
        <w:t>(2006)</w:t>
      </w:r>
      <w:r>
        <w:t xml:space="preserve"> </w:t>
      </w:r>
      <w:r w:rsidRPr="003932A8">
        <w:t xml:space="preserve">theoretical framework, </w:t>
      </w:r>
      <w:r>
        <w:t xml:space="preserve">stock price </w:t>
      </w:r>
      <w:r w:rsidRPr="003932A8">
        <w:t xml:space="preserve">crash risk </w:t>
      </w:r>
      <w:r>
        <w:t>arises from</w:t>
      </w:r>
      <w:r w:rsidRPr="003932A8">
        <w:t xml:space="preserve"> information asymmetry between inside managers and outside investors</w:t>
      </w:r>
      <w:r>
        <w:t>. It therefore</w:t>
      </w:r>
      <w:r w:rsidRPr="003932A8">
        <w:t xml:space="preserve"> focuses on </w:t>
      </w:r>
      <w:r>
        <w:t xml:space="preserve">idiosyncratic </w:t>
      </w:r>
      <w:r w:rsidRPr="003932A8">
        <w:t>return</w:t>
      </w:r>
      <w:r>
        <w:t>s</w:t>
      </w:r>
      <w:r w:rsidRPr="003932A8">
        <w:t xml:space="preserve"> affected by firm-specific information rather than market</w:t>
      </w:r>
      <w:r>
        <w:t>-wide risk</w:t>
      </w:r>
      <w:r w:rsidRPr="003932A8">
        <w:t xml:space="preserve"> factor</w:t>
      </w:r>
      <w:r>
        <w:t>s (Roll 1988)</w:t>
      </w:r>
      <w:r w:rsidRPr="003932A8">
        <w:t>.</w:t>
      </w:r>
      <w:r>
        <w:t xml:space="preserve"> </w:t>
      </w:r>
      <w:r>
        <w:rPr>
          <w:rFonts w:cs="Times New Roman"/>
        </w:rPr>
        <w:t>S</w:t>
      </w:r>
      <w:r w:rsidRPr="002A6121">
        <w:rPr>
          <w:rFonts w:cs="Times New Roman"/>
        </w:rPr>
        <w:t xml:space="preserve">tock </w:t>
      </w:r>
      <w:r>
        <w:t>price crash risk is an important measure capturing the asymmetry of return distribution, and especially extreme negative returns in the left tail, for individual stocks. The 2008 financial crisis highlighted the detrimental impact of stock price crash risk on investors. Since retail investors tend to construct their portfolios by investing in a small number of firms (Barber and Odean 2013), stock price crashes of individual firms within their portfolios have huge negative effects on their personal wealth due to under-diversification of their portfolios. Several streams of literature investigate potential determinants of stock price crash risk</w:t>
      </w:r>
      <w:r>
        <w:rPr>
          <w:rFonts w:hint="eastAsia"/>
        </w:rPr>
        <w:t xml:space="preserve">, including </w:t>
      </w:r>
      <w:r>
        <w:t xml:space="preserve">managers’ idiosyncratic characteristics </w:t>
      </w:r>
      <w:r>
        <w:rPr>
          <w:rFonts w:hint="eastAsia"/>
        </w:rPr>
        <w:t>(</w:t>
      </w:r>
      <w:r w:rsidRPr="000B7E62">
        <w:rPr>
          <w:rFonts w:hint="eastAsia"/>
        </w:rPr>
        <w:t>Andreou</w:t>
      </w:r>
      <w:r w:rsidRPr="00B70E79">
        <w:rPr>
          <w:rFonts w:hint="eastAsia"/>
          <w:iCs/>
        </w:rPr>
        <w:t xml:space="preserve"> </w:t>
      </w:r>
      <w:r w:rsidRPr="0010054F">
        <w:rPr>
          <w:iCs/>
        </w:rPr>
        <w:t>et al</w:t>
      </w:r>
      <w:r w:rsidRPr="000B7E62">
        <w:rPr>
          <w:rFonts w:hint="eastAsia"/>
          <w:i/>
        </w:rPr>
        <w:t>.</w:t>
      </w:r>
      <w:r w:rsidRPr="004D6AB7">
        <w:t xml:space="preserve"> 2017</w:t>
      </w:r>
      <w:r>
        <w:t xml:space="preserve">; </w:t>
      </w:r>
      <w:r>
        <w:rPr>
          <w:rFonts w:hint="eastAsia"/>
        </w:rPr>
        <w:t>Kim</w:t>
      </w:r>
      <w:r w:rsidRPr="00B70E79">
        <w:rPr>
          <w:rFonts w:hint="eastAsia"/>
        </w:rPr>
        <w:t xml:space="preserve"> </w:t>
      </w:r>
      <w:r w:rsidRPr="0010054F">
        <w:t>et al.</w:t>
      </w:r>
      <w:r w:rsidRPr="00B70E79">
        <w:rPr>
          <w:rFonts w:hint="eastAsia"/>
        </w:rPr>
        <w:t xml:space="preserve"> 2</w:t>
      </w:r>
      <w:r>
        <w:rPr>
          <w:rFonts w:hint="eastAsia"/>
        </w:rPr>
        <w:t xml:space="preserve">016), </w:t>
      </w:r>
      <w:r>
        <w:t xml:space="preserve">corporate governance quality </w:t>
      </w:r>
      <w:r>
        <w:rPr>
          <w:rFonts w:hint="eastAsia"/>
        </w:rPr>
        <w:t>(</w:t>
      </w:r>
      <w:r>
        <w:t xml:space="preserve">Andreou </w:t>
      </w:r>
      <w:r w:rsidRPr="0010054F">
        <w:rPr>
          <w:iCs/>
        </w:rPr>
        <w:t>et al.</w:t>
      </w:r>
      <w:r w:rsidRPr="00B70E79">
        <w:rPr>
          <w:rFonts w:hint="eastAsia"/>
        </w:rPr>
        <w:t xml:space="preserve"> </w:t>
      </w:r>
      <w:r>
        <w:t>2016)</w:t>
      </w:r>
      <w:r>
        <w:rPr>
          <w:rFonts w:hint="eastAsia"/>
        </w:rPr>
        <w:t>,</w:t>
      </w:r>
      <w:r>
        <w:t xml:space="preserve"> external monitoring mechanisms (</w:t>
      </w:r>
      <w:r w:rsidRPr="000B7E62">
        <w:t xml:space="preserve">Xu </w:t>
      </w:r>
      <w:r w:rsidRPr="0010054F">
        <w:rPr>
          <w:iCs/>
        </w:rPr>
        <w:t>et al.</w:t>
      </w:r>
      <w:r w:rsidRPr="004D6AB7">
        <w:t xml:space="preserve"> 2013</w:t>
      </w:r>
      <w:r>
        <w:t>)</w:t>
      </w:r>
      <w:r>
        <w:rPr>
          <w:rFonts w:hint="eastAsia"/>
        </w:rPr>
        <w:t xml:space="preserve"> </w:t>
      </w:r>
      <w:r>
        <w:t>and</w:t>
      </w:r>
      <w:r>
        <w:rPr>
          <w:rFonts w:hint="eastAsia"/>
        </w:rPr>
        <w:t xml:space="preserve"> </w:t>
      </w:r>
      <w:r>
        <w:t xml:space="preserve">informal institutional mechanisms (Chen </w:t>
      </w:r>
      <w:r w:rsidRPr="0010054F">
        <w:rPr>
          <w:iCs/>
        </w:rPr>
        <w:t>et al.</w:t>
      </w:r>
      <w:r w:rsidRPr="00B70E79">
        <w:rPr>
          <w:iCs/>
        </w:rPr>
        <w:t xml:space="preserve"> </w:t>
      </w:r>
      <w:r>
        <w:t>2019).</w:t>
      </w:r>
    </w:p>
    <w:p w14:paraId="3E95E3B4" w14:textId="20ADB5C2" w:rsidR="00562699" w:rsidRDefault="00562699" w:rsidP="0010054F">
      <w:r>
        <w:rPr>
          <w:lang w:eastAsia="zh-CN"/>
        </w:rPr>
        <w:t>The prior literature also examines the role of corporate disclosures in predicting stock price crash risk. For example, it has been found that opaque firms are more likely to experience stock price crashes (Hutton</w:t>
      </w:r>
      <w:r w:rsidRPr="00D81A46">
        <w:rPr>
          <w:lang w:eastAsia="zh-CN"/>
        </w:rPr>
        <w:t xml:space="preserve"> et al. </w:t>
      </w:r>
      <w:r>
        <w:rPr>
          <w:lang w:eastAsia="zh-CN"/>
        </w:rPr>
        <w:t xml:space="preserve">2009), and that </w:t>
      </w:r>
      <w:r>
        <w:t>aggressive tax strategies raise incentives for managers to hoard bad news and hence increase stock price crash risk (Kim</w:t>
      </w:r>
      <w:r w:rsidRPr="00D81A46">
        <w:rPr>
          <w:iCs/>
        </w:rPr>
        <w:t xml:space="preserve"> et al.</w:t>
      </w:r>
      <w:r>
        <w:t xml:space="preserve"> 2011b). DeFond </w:t>
      </w:r>
      <w:r w:rsidRPr="00D7077E">
        <w:rPr>
          <w:iCs/>
        </w:rPr>
        <w:t>et al.</w:t>
      </w:r>
      <w:r>
        <w:rPr>
          <w:i/>
        </w:rPr>
        <w:t xml:space="preserve"> </w:t>
      </w:r>
      <w:r>
        <w:t>(2015) show that mandatory IFRS adoption increases disclosure</w:t>
      </w:r>
      <w:r w:rsidRPr="009B6B58">
        <w:t xml:space="preserve"> </w:t>
      </w:r>
      <w:r>
        <w:t>transparency, thereby decreasing non-financial firms’ stock price crash risk</w:t>
      </w:r>
      <w:r w:rsidRPr="00D7077E">
        <w:t>. In terms of corporate disclosure attributes</w:t>
      </w:r>
      <w:r>
        <w:t>, firms with higher-quality corporate social responsibility disclosures may experience</w:t>
      </w:r>
      <w:r>
        <w:rPr>
          <w:rFonts w:hint="eastAsia"/>
          <w:lang w:eastAsia="zh-CN"/>
        </w:rPr>
        <w:t xml:space="preserve"> </w:t>
      </w:r>
      <w:r>
        <w:lastRenderedPageBreak/>
        <w:t>lower stock price crash risk</w:t>
      </w:r>
      <w:r w:rsidDel="00B86B3A">
        <w:t xml:space="preserve"> </w:t>
      </w:r>
      <w:r>
        <w:t xml:space="preserve">(Kim </w:t>
      </w:r>
      <w:r w:rsidRPr="00D81A46">
        <w:rPr>
          <w:iCs/>
        </w:rPr>
        <w:t xml:space="preserve">et al. </w:t>
      </w:r>
      <w:r>
        <w:t>2014), and less readable annual reports are associated with higher stock price crash risk (Kim</w:t>
      </w:r>
      <w:r w:rsidRPr="00D81A46">
        <w:t xml:space="preserve"> et al.</w:t>
      </w:r>
      <w:r>
        <w:t xml:space="preserve"> 2019), suggesting that managers hide bad news in complex financial reports.</w:t>
      </w:r>
    </w:p>
    <w:p w14:paraId="23B27D1B" w14:textId="28A5D39D" w:rsidR="00562699" w:rsidRPr="005C0287" w:rsidRDefault="00562699">
      <w:r w:rsidRPr="002A6121">
        <w:t xml:space="preserve">Our paper differs from </w:t>
      </w:r>
      <w:r>
        <w:t>previous</w:t>
      </w:r>
      <w:r w:rsidRPr="002A6121">
        <w:t xml:space="preserve"> </w:t>
      </w:r>
      <w:r>
        <w:t>studies</w:t>
      </w:r>
      <w:r w:rsidRPr="002A6121">
        <w:t xml:space="preserve"> by </w:t>
      </w:r>
      <w:r>
        <w:t xml:space="preserve">exploring spoken disclosures in </w:t>
      </w:r>
      <w:r w:rsidRPr="002A6121">
        <w:t>conference calls</w:t>
      </w:r>
      <w:r>
        <w:t>. These calls allow managers to present information in a less-constrained manner, and contain</w:t>
      </w:r>
      <w:r w:rsidRPr="002A6121">
        <w:t xml:space="preserve"> </w:t>
      </w:r>
      <w:r w:rsidRPr="00921C04">
        <w:rPr>
          <w:i/>
          <w:iCs/>
        </w:rPr>
        <w:t>ad hoc</w:t>
      </w:r>
      <w:r w:rsidRPr="002A6121">
        <w:t xml:space="preserve"> conversations between managers and call participants</w:t>
      </w:r>
      <w:r>
        <w:t xml:space="preserve">, making managers’ own disclosure behavior and style more observable to investors. Therefore, conference calls </w:t>
      </w:r>
      <w:r w:rsidRPr="002A6121">
        <w:t xml:space="preserve">provide a </w:t>
      </w:r>
      <w:r>
        <w:t>suitable</w:t>
      </w:r>
      <w:r w:rsidRPr="002A6121">
        <w:t xml:space="preserve"> setting </w:t>
      </w:r>
      <w:r>
        <w:t>for</w:t>
      </w:r>
      <w:r w:rsidRPr="00B71056">
        <w:t xml:space="preserve"> </w:t>
      </w:r>
      <w:r>
        <w:t>investigating</w:t>
      </w:r>
      <w:r w:rsidRPr="00B71056">
        <w:t xml:space="preserve"> </w:t>
      </w:r>
      <w:r>
        <w:t xml:space="preserve">managers’ disclosure incentives and </w:t>
      </w:r>
      <w:r w:rsidRPr="00B71056">
        <w:t>behavior</w:t>
      </w:r>
      <w:r w:rsidRPr="002A6121">
        <w:t>.</w:t>
      </w:r>
    </w:p>
    <w:p w14:paraId="7CDADBC9" w14:textId="7F95A94B" w:rsidR="00562699" w:rsidRPr="00F37C2B" w:rsidRDefault="00562699">
      <w:pPr>
        <w:pStyle w:val="Heading2"/>
      </w:pPr>
      <w:r w:rsidRPr="00093C33">
        <w:t>Hypothes</w:t>
      </w:r>
      <w:r>
        <w:t>e</w:t>
      </w:r>
      <w:r w:rsidRPr="00093C33">
        <w:t>s Development</w:t>
      </w:r>
    </w:p>
    <w:p w14:paraId="0ACE9FF0" w14:textId="3DC78AA4" w:rsidR="00562699" w:rsidRDefault="00562699" w:rsidP="004F5D2C">
      <w:pPr>
        <w:pStyle w:val="NoIndentNormal"/>
      </w:pPr>
      <w:r w:rsidRPr="007B3A46">
        <w:t>How conference call tone predict</w:t>
      </w:r>
      <w:r>
        <w:t>s</w:t>
      </w:r>
      <w:r w:rsidRPr="007B3A46">
        <w:t xml:space="preserve"> </w:t>
      </w:r>
      <w:r w:rsidRPr="002A6121">
        <w:t xml:space="preserve">stock </w:t>
      </w:r>
      <w:r w:rsidRPr="007B3A46">
        <w:t>price crash risk is unclear</w:t>
      </w:r>
      <w:r>
        <w:t>,</w:t>
      </w:r>
      <w:r w:rsidRPr="007B3A46">
        <w:t xml:space="preserve"> </w:t>
      </w:r>
      <w:r>
        <w:t>because</w:t>
      </w:r>
      <w:r w:rsidRPr="007B3A46">
        <w:t xml:space="preserve"> managers often face an </w:t>
      </w:r>
      <w:r w:rsidRPr="000D6439">
        <w:t>ethical</w:t>
      </w:r>
      <w:r w:rsidRPr="007B3A46">
        <w:t xml:space="preserve"> dilemma in </w:t>
      </w:r>
      <w:r>
        <w:t xml:space="preserve">making </w:t>
      </w:r>
      <w:r w:rsidRPr="007B3A46">
        <w:t>financial reporting decisions (Evans</w:t>
      </w:r>
      <w:r w:rsidRPr="00B70E79">
        <w:t xml:space="preserve"> </w:t>
      </w:r>
      <w:r w:rsidRPr="00921C04">
        <w:t>et al</w:t>
      </w:r>
      <w:r w:rsidRPr="00B70E79">
        <w:t xml:space="preserve">. </w:t>
      </w:r>
      <w:r w:rsidRPr="007B3A46">
        <w:t>2001; Liu</w:t>
      </w:r>
      <w:r w:rsidRPr="00B70E79">
        <w:t xml:space="preserve"> </w:t>
      </w:r>
      <w:r w:rsidRPr="00921C04">
        <w:t>et al</w:t>
      </w:r>
      <w:r w:rsidRPr="00B70E79">
        <w:t xml:space="preserve">. </w:t>
      </w:r>
      <w:r w:rsidRPr="007B3A46">
        <w:t>2015)</w:t>
      </w:r>
      <w:r>
        <w:t>. This</w:t>
      </w:r>
      <w:r w:rsidRPr="007B3A46">
        <w:t xml:space="preserve"> leads to two </w:t>
      </w:r>
      <w:r>
        <w:t>competing hypotheses</w:t>
      </w:r>
      <w:r w:rsidRPr="007B3A46">
        <w:t>.</w:t>
      </w:r>
      <w:r>
        <w:t xml:space="preserve"> </w:t>
      </w:r>
      <w:r w:rsidRPr="007B3A46">
        <w:t>On the one hand, managers may be driven by self-interest and unethical intentions</w:t>
      </w:r>
      <w:r>
        <w:t>,</w:t>
      </w:r>
      <w:r w:rsidRPr="007B3A46">
        <w:t xml:space="preserve"> and</w:t>
      </w:r>
      <w:r>
        <w:t xml:space="preserve"> may</w:t>
      </w:r>
      <w:r w:rsidRPr="007B3A46">
        <w:t xml:space="preserve"> engage in unethical financial reporting </w:t>
      </w:r>
      <w:r>
        <w:t xml:space="preserve">when the benefits of mis-presentation outweigh those of being honest or ethical, </w:t>
      </w:r>
      <w:r w:rsidRPr="007B3A46">
        <w:t xml:space="preserve">even if </w:t>
      </w:r>
      <w:r>
        <w:t>unethical</w:t>
      </w:r>
      <w:r w:rsidRPr="007B3A46">
        <w:t xml:space="preserve"> behavior </w:t>
      </w:r>
      <w:r>
        <w:t>may</w:t>
      </w:r>
      <w:r w:rsidRPr="007B3A46">
        <w:t xml:space="preserve"> be harmful to investors</w:t>
      </w:r>
      <w:r>
        <w:t xml:space="preserve"> </w:t>
      </w:r>
      <w:r w:rsidRPr="007B3A46">
        <w:t>(</w:t>
      </w:r>
      <w:r w:rsidRPr="002F49D1">
        <w:t>Gibson</w:t>
      </w:r>
      <w:r>
        <w:t xml:space="preserve"> </w:t>
      </w:r>
      <w:r w:rsidRPr="00921C04">
        <w:rPr>
          <w:iCs/>
        </w:rPr>
        <w:t>et al</w:t>
      </w:r>
      <w:r w:rsidRPr="00B70E79">
        <w:rPr>
          <w:iCs/>
        </w:rPr>
        <w:t>. 2</w:t>
      </w:r>
      <w:r>
        <w:t>013;</w:t>
      </w:r>
      <w:r w:rsidRPr="002F49D1">
        <w:t xml:space="preserve"> Hannan </w:t>
      </w:r>
      <w:r w:rsidRPr="00921C04">
        <w:rPr>
          <w:iCs/>
        </w:rPr>
        <w:t>et al</w:t>
      </w:r>
      <w:r w:rsidRPr="00B70E79">
        <w:rPr>
          <w:iCs/>
        </w:rPr>
        <w:t>.</w:t>
      </w:r>
      <w:r>
        <w:t xml:space="preserve"> 2006; </w:t>
      </w:r>
      <w:r w:rsidRPr="007B3A46">
        <w:t>Liu</w:t>
      </w:r>
      <w:r w:rsidRPr="00B70E79">
        <w:t xml:space="preserve"> </w:t>
      </w:r>
      <w:r w:rsidRPr="00921C04">
        <w:t>et al</w:t>
      </w:r>
      <w:r w:rsidRPr="00B70E79">
        <w:t xml:space="preserve">. </w:t>
      </w:r>
      <w:r w:rsidRPr="007B3A46">
        <w:t>2015).</w:t>
      </w:r>
      <w:r w:rsidRPr="007B3A46">
        <w:rPr>
          <w:color w:val="FF0000"/>
        </w:rPr>
        <w:t xml:space="preserve"> </w:t>
      </w:r>
      <w:r w:rsidRPr="007B3A46">
        <w:t>Consequently, the credibility of voluntary disclosure</w:t>
      </w:r>
      <w:r>
        <w:t>s</w:t>
      </w:r>
      <w:r w:rsidRPr="007B3A46">
        <w:t xml:space="preserve"> is widely questioned. According to agency theory, managers </w:t>
      </w:r>
      <w:r>
        <w:t>are</w:t>
      </w:r>
      <w:r w:rsidRPr="007B3A46">
        <w:t xml:space="preserve"> incentiv</w:t>
      </w:r>
      <w:r>
        <w:t xml:space="preserve">ized </w:t>
      </w:r>
      <w:r w:rsidRPr="007B3A46">
        <w:t>to overstate performance by strategically concealing bad news and accelerating the release of good news (e.g.</w:t>
      </w:r>
      <w:r>
        <w:t>,</w:t>
      </w:r>
      <w:r w:rsidRPr="007B3A46">
        <w:t xml:space="preserve"> Huang </w:t>
      </w:r>
      <w:r w:rsidRPr="00921C04">
        <w:rPr>
          <w:iCs/>
        </w:rPr>
        <w:t>et al.</w:t>
      </w:r>
      <w:r w:rsidRPr="007B3A46">
        <w:t xml:space="preserve"> 2014; Kim and Zhang 2016). Optimistic language is important in evaluating </w:t>
      </w:r>
      <w:r>
        <w:t>unethical</w:t>
      </w:r>
      <w:r w:rsidRPr="007B3A46">
        <w:t xml:space="preserve"> financial narratives</w:t>
      </w:r>
      <w:r>
        <w:t>,</w:t>
      </w:r>
      <w:r w:rsidRPr="007B3A46">
        <w:t xml:space="preserve"> as it reflects firms’ attempt</w:t>
      </w:r>
      <w:r>
        <w:t>s</w:t>
      </w:r>
      <w:r w:rsidRPr="007B3A46">
        <w:t xml:space="preserve"> to distort perceptions (Yuthas</w:t>
      </w:r>
      <w:r w:rsidRPr="00B70E79">
        <w:t xml:space="preserve"> </w:t>
      </w:r>
      <w:r w:rsidRPr="00921C04">
        <w:t>et al</w:t>
      </w:r>
      <w:r w:rsidRPr="00B70E79">
        <w:t>.</w:t>
      </w:r>
      <w:r w:rsidRPr="00F70841">
        <w:t xml:space="preserve"> 2002).</w:t>
      </w:r>
      <w:r w:rsidRPr="00107DBA">
        <w:rPr>
          <w:rStyle w:val="EndnoteReference"/>
        </w:rPr>
        <w:endnoteReference w:id="2"/>
      </w:r>
      <w:r w:rsidRPr="00F70841">
        <w:t xml:space="preserve"> </w:t>
      </w:r>
      <w:r>
        <w:t>A</w:t>
      </w:r>
      <w:r w:rsidRPr="00F70841">
        <w:t>mple evidence</w:t>
      </w:r>
      <w:r>
        <w:t xml:space="preserve"> reveals</w:t>
      </w:r>
      <w:r w:rsidRPr="00F70841">
        <w:t xml:space="preserve"> that disclosure tone can be manipulated to hide bad news and</w:t>
      </w:r>
      <w:r>
        <w:t xml:space="preserve"> </w:t>
      </w:r>
      <w:r w:rsidRPr="00F70841">
        <w:t>inflate investors’ perceptions of the firm (Merkl-Davies and Brennan 2007).</w:t>
      </w:r>
    </w:p>
    <w:p w14:paraId="0A1D2EBC" w14:textId="3B640821" w:rsidR="00562699" w:rsidRPr="00577D1B" w:rsidRDefault="00562699">
      <w:r w:rsidRPr="00F70841">
        <w:t xml:space="preserve">Optimistic language </w:t>
      </w:r>
      <w:r>
        <w:t xml:space="preserve">may </w:t>
      </w:r>
      <w:r w:rsidRPr="00F70841">
        <w:t>serve as an impression management strategy</w:t>
      </w:r>
      <w:r>
        <w:t>,</w:t>
      </w:r>
      <w:r w:rsidRPr="00F70841">
        <w:t xml:space="preserve"> emphasizing positive </w:t>
      </w:r>
      <w:r>
        <w:t>aspects</w:t>
      </w:r>
      <w:r w:rsidRPr="00F70841">
        <w:t xml:space="preserve"> of </w:t>
      </w:r>
      <w:r>
        <w:t xml:space="preserve">the </w:t>
      </w:r>
      <w:r w:rsidRPr="00F70841">
        <w:t>business and obfuscating negative news (Cho</w:t>
      </w:r>
      <w:r w:rsidRPr="00B70E79">
        <w:t xml:space="preserve"> </w:t>
      </w:r>
      <w:r w:rsidRPr="00921C04">
        <w:t>et al</w:t>
      </w:r>
      <w:r w:rsidRPr="00B70E79">
        <w:t>.</w:t>
      </w:r>
      <w:r w:rsidRPr="00F70841">
        <w:t xml:space="preserve"> 2010</w:t>
      </w:r>
      <w:r>
        <w:t xml:space="preserve">; </w:t>
      </w:r>
      <w:r w:rsidRPr="00F70841">
        <w:t>Clatworthy and Jones 2003; Hooghiemstra 2000; Merkl-Davies and Brennan 2007).</w:t>
      </w:r>
      <w:r>
        <w:t xml:space="preserve"> </w:t>
      </w:r>
      <w:r w:rsidRPr="00577D1B">
        <w:t xml:space="preserve">Therefore, we expect </w:t>
      </w:r>
      <w:r w:rsidRPr="00577D1B">
        <w:lastRenderedPageBreak/>
        <w:t xml:space="preserve">optimistic earnings conference call tone to positively predict </w:t>
      </w:r>
      <w:r w:rsidRPr="002A6121">
        <w:t xml:space="preserve">stock </w:t>
      </w:r>
      <w:r w:rsidRPr="00577D1B">
        <w:t>price crash risk</w:t>
      </w:r>
      <w:r>
        <w:t>, leading to</w:t>
      </w:r>
      <w:r w:rsidRPr="00577D1B">
        <w:t xml:space="preserve"> our first hypothesis </w:t>
      </w:r>
      <w:r>
        <w:t xml:space="preserve">(i.e., </w:t>
      </w:r>
      <w:r w:rsidRPr="005F292B">
        <w:t>the impression management hypothesis</w:t>
      </w:r>
      <w:r>
        <w:t xml:space="preserve">) </w:t>
      </w:r>
      <w:r w:rsidRPr="00577D1B">
        <w:t>as below:</w:t>
      </w:r>
    </w:p>
    <w:p w14:paraId="56AF2D9A" w14:textId="60079406" w:rsidR="00562699" w:rsidRPr="00577D1B" w:rsidRDefault="00562699" w:rsidP="00D7077E">
      <w:r w:rsidRPr="00577D1B">
        <w:rPr>
          <w:b/>
        </w:rPr>
        <w:t xml:space="preserve">Hypothesis 1  </w:t>
      </w:r>
      <w:r>
        <w:t xml:space="preserve">The </w:t>
      </w:r>
      <w:r w:rsidRPr="00577D1B">
        <w:t xml:space="preserve">optimistic tone in earnings conference calls is positively associated with </w:t>
      </w:r>
      <w:r w:rsidRPr="002A6121">
        <w:t xml:space="preserve">stock </w:t>
      </w:r>
      <w:r w:rsidRPr="00577D1B">
        <w:t>price crash risk.</w:t>
      </w:r>
    </w:p>
    <w:p w14:paraId="7AE4239F" w14:textId="7A5B9DD1" w:rsidR="00562699" w:rsidRDefault="00562699">
      <w:r w:rsidRPr="00BB6CE3">
        <w:t xml:space="preserve">On the other hand, </w:t>
      </w:r>
      <w:r>
        <w:t xml:space="preserve">managers </w:t>
      </w:r>
      <w:r w:rsidRPr="00BB6CE3">
        <w:t xml:space="preserve">have incentives to engage in ethical financial reporting and provide truthful information during conference calls. </w:t>
      </w:r>
      <w:r>
        <w:t>First, there are various motivations for truthful disclosures. Managers may have an ethical responsibility to speak in the interests of investors (Yuthas</w:t>
      </w:r>
      <w:r w:rsidRPr="003E49E8">
        <w:t xml:space="preserve"> </w:t>
      </w:r>
      <w:r w:rsidRPr="007458E0">
        <w:t>et al</w:t>
      </w:r>
      <w:r w:rsidRPr="00B70E79">
        <w:t>.</w:t>
      </w:r>
      <w:r>
        <w:t xml:space="preserve"> 2002), and t</w:t>
      </w:r>
      <w:r w:rsidRPr="00064CA8">
        <w:t>he financial market values ethical and transparent corporate disclosures (Jo and Kim 2008)</w:t>
      </w:r>
      <w:r w:rsidRPr="00A820D6">
        <w:t>.</w:t>
      </w:r>
      <w:r>
        <w:t xml:space="preserve"> </w:t>
      </w:r>
      <w:r w:rsidRPr="00064CA8">
        <w:t xml:space="preserve">The business ethics literature views the accuracy and transparency of financial information as fundamental </w:t>
      </w:r>
      <w:r>
        <w:t>to</w:t>
      </w:r>
      <w:r w:rsidRPr="00064CA8">
        <w:t xml:space="preserve"> ethical </w:t>
      </w:r>
      <w:r>
        <w:t>financial reporting</w:t>
      </w:r>
      <w:r w:rsidRPr="00064CA8">
        <w:t xml:space="preserve"> (</w:t>
      </w:r>
      <w:r>
        <w:t>Frecka 2008; Holley 1998; Lee</w:t>
      </w:r>
      <w:r w:rsidRPr="00064CA8">
        <w:t xml:space="preserve"> 20</w:t>
      </w:r>
      <w:r>
        <w:t>1</w:t>
      </w:r>
      <w:r w:rsidRPr="00064CA8">
        <w:t>7; Ruppel and Harrington 2000; Whitener</w:t>
      </w:r>
      <w:r w:rsidRPr="00B70E79">
        <w:rPr>
          <w:iCs/>
        </w:rPr>
        <w:t xml:space="preserve"> </w:t>
      </w:r>
      <w:r w:rsidRPr="007458E0">
        <w:rPr>
          <w:iCs/>
        </w:rPr>
        <w:t>et al.</w:t>
      </w:r>
      <w:r w:rsidRPr="00064CA8">
        <w:t xml:space="preserve"> 1998). </w:t>
      </w:r>
      <w:r>
        <w:t xml:space="preserve">Thus, </w:t>
      </w:r>
      <w:r w:rsidRPr="00064CA8">
        <w:t xml:space="preserve">managers </w:t>
      </w:r>
      <w:r>
        <w:t>may</w:t>
      </w:r>
      <w:r w:rsidRPr="00064CA8">
        <w:t xml:space="preserve"> engage in ethical behavior to </w:t>
      </w:r>
      <w:r>
        <w:t>gain</w:t>
      </w:r>
      <w:r w:rsidRPr="00064CA8">
        <w:t xml:space="preserve"> a reputation for behaving ethically and</w:t>
      </w:r>
      <w:r w:rsidRPr="003932A8">
        <w:t xml:space="preserve"> honest</w:t>
      </w:r>
      <w:r>
        <w:t>ly (Jones 1995)</w:t>
      </w:r>
      <w:r w:rsidRPr="00064CA8">
        <w:t>.</w:t>
      </w:r>
    </w:p>
    <w:p w14:paraId="628DC387" w14:textId="7EFDA4E5" w:rsidR="00562699" w:rsidRDefault="00562699">
      <w:r>
        <w:t>Moreover, the spontaneous and interactive nature of conference calls limits managers’ ability to manipulate disclosure tone unethically and opportunistically.</w:t>
      </w:r>
      <w:r w:rsidRPr="007957EF">
        <w:t xml:space="preserve"> </w:t>
      </w:r>
      <w:r>
        <w:t xml:space="preserve">Psychology research has long established that truth-tellers and deceivers exhibit different linguistic and behavioral tendencies due to cognitive processes and emotions (e.g., </w:t>
      </w:r>
      <w:r w:rsidRPr="00F83D18">
        <w:t>DePaulo</w:t>
      </w:r>
      <w:r w:rsidRPr="00B70E79">
        <w:t xml:space="preserve"> </w:t>
      </w:r>
      <w:r w:rsidRPr="007458E0">
        <w:t>et al</w:t>
      </w:r>
      <w:r w:rsidRPr="00B70E79">
        <w:t xml:space="preserve">. 2003; Newman </w:t>
      </w:r>
      <w:r w:rsidRPr="007458E0">
        <w:t>et al</w:t>
      </w:r>
      <w:r w:rsidRPr="00B70E79">
        <w:t xml:space="preserve">. 2003; Pennebaker </w:t>
      </w:r>
      <w:r w:rsidRPr="007458E0">
        <w:t>et al</w:t>
      </w:r>
      <w:r w:rsidRPr="00B70E79">
        <w:t xml:space="preserve">. 2003; Vrij </w:t>
      </w:r>
      <w:r w:rsidRPr="007458E0">
        <w:t>et al</w:t>
      </w:r>
      <w:r w:rsidRPr="00B70E79">
        <w:t>.</w:t>
      </w:r>
      <w:r w:rsidRPr="00F83D18">
        <w:t xml:space="preserve"> 2000</w:t>
      </w:r>
      <w:r>
        <w:t>;</w:t>
      </w:r>
      <w:r w:rsidRPr="00F83D18">
        <w:t xml:space="preserve"> Zuckerman and Driver 1985</w:t>
      </w:r>
      <w:r>
        <w:t xml:space="preserve">). Several relevant accounting studies investigate whether managers’ language in conference calls may reveal the truth about firm performance. </w:t>
      </w:r>
      <w:r w:rsidRPr="00EE03B8">
        <w:t xml:space="preserve">Larcker and Zakolyukina </w:t>
      </w:r>
      <w:r>
        <w:t>(</w:t>
      </w:r>
      <w:r w:rsidRPr="00EE03B8">
        <w:t>2012</w:t>
      </w:r>
      <w:r>
        <w:t xml:space="preserve">) find that linguistic features in conference calls help investors detect managers’ intentional misstatements. Similarly, </w:t>
      </w:r>
      <w:r w:rsidRPr="00F4432E">
        <w:rPr>
          <w:color w:val="000000" w:themeColor="text1"/>
          <w:shd w:val="clear" w:color="auto" w:fill="FFFFFF"/>
        </w:rPr>
        <w:t xml:space="preserve">Hobson </w:t>
      </w:r>
      <w:r w:rsidRPr="007458E0">
        <w:rPr>
          <w:iCs/>
          <w:color w:val="000000" w:themeColor="text1"/>
          <w:shd w:val="clear" w:color="auto" w:fill="FFFFFF"/>
        </w:rPr>
        <w:t>et al</w:t>
      </w:r>
      <w:r w:rsidRPr="00B70E79">
        <w:rPr>
          <w:iCs/>
          <w:color w:val="000000" w:themeColor="text1"/>
          <w:shd w:val="clear" w:color="auto" w:fill="FFFFFF"/>
        </w:rPr>
        <w:t xml:space="preserve">. </w:t>
      </w:r>
      <w:r w:rsidRPr="00F4432E">
        <w:rPr>
          <w:color w:val="000000" w:themeColor="text1"/>
          <w:shd w:val="clear" w:color="auto" w:fill="FFFFFF"/>
        </w:rPr>
        <w:t>(2012)</w:t>
      </w:r>
      <w:r>
        <w:rPr>
          <w:color w:val="000000" w:themeColor="text1"/>
          <w:shd w:val="clear" w:color="auto" w:fill="FFFFFF"/>
        </w:rPr>
        <w:t xml:space="preserve"> show that managers’ vocal cues may also help predict financial misstatements. Collectively, these studies suggest that when managers intentionally engage in unethical financial reporting, their language in earnings conference calls gives them away and reveals the truth.</w:t>
      </w:r>
    </w:p>
    <w:p w14:paraId="4928A5DB" w14:textId="61CB8A8A" w:rsidR="00562699" w:rsidRDefault="00562699" w:rsidP="003448EE">
      <w:pPr>
        <w:rPr>
          <w:lang w:val="en-GB"/>
        </w:rPr>
      </w:pPr>
      <w:r>
        <w:rPr>
          <w:lang w:val="en-GB"/>
        </w:rPr>
        <w:lastRenderedPageBreak/>
        <w:t xml:space="preserve">In </w:t>
      </w:r>
      <w:r>
        <w:t xml:space="preserve">the setting of </w:t>
      </w:r>
      <w:r>
        <w:rPr>
          <w:lang w:val="en-GB"/>
        </w:rPr>
        <w:t xml:space="preserve">extreme downside risk in stock returns, if managers engage in truthful communication and reveal relevant information in conference calls, their tone is expected to reflect negative information relevant to </w:t>
      </w:r>
      <w:r>
        <w:t>stock price crash risk</w:t>
      </w:r>
      <w:r>
        <w:rPr>
          <w:lang w:val="en-GB"/>
        </w:rPr>
        <w:t xml:space="preserve">, with less optimism (i.e., more use of negative words) when </w:t>
      </w:r>
      <w:r>
        <w:t>stock price crash risk</w:t>
      </w:r>
      <w:r w:rsidRPr="002A6121" w:rsidDel="00B86B3A">
        <w:t xml:space="preserve"> </w:t>
      </w:r>
      <w:r>
        <w:rPr>
          <w:lang w:val="en-GB"/>
        </w:rPr>
        <w:t>is higher. N</w:t>
      </w:r>
      <w:r>
        <w:t>egative words may be more truthful than positive words</w:t>
      </w:r>
      <w:r w:rsidRPr="00501A08">
        <w:t xml:space="preserve"> </w:t>
      </w:r>
      <w:r>
        <w:t xml:space="preserve">in corporate disclosures. Previous literature shows that voluntary disclosures of bad news are generally more credible and truthful than disclosures of good news because managers have incentives to embellish positive aspects of firm performance (e.g., Hutton </w:t>
      </w:r>
      <w:r w:rsidRPr="007458E0">
        <w:rPr>
          <w:iCs/>
        </w:rPr>
        <w:t>et al</w:t>
      </w:r>
      <w:r w:rsidRPr="00B70E79">
        <w:rPr>
          <w:iCs/>
        </w:rPr>
        <w:t>.</w:t>
      </w:r>
      <w:r>
        <w:t xml:space="preserve"> 2003; Rogers and Stocken 2005). With regard to disclosure tone, </w:t>
      </w:r>
      <w:r w:rsidRPr="00721085">
        <w:rPr>
          <w:lang w:val="en-GB"/>
        </w:rPr>
        <w:t xml:space="preserve">in </w:t>
      </w:r>
      <w:r>
        <w:rPr>
          <w:lang w:val="en-GB"/>
        </w:rPr>
        <w:t>gauging truthful communication,</w:t>
      </w:r>
      <w:r>
        <w:t xml:space="preserve"> negative</w:t>
      </w:r>
      <w:r w:rsidRPr="00721085">
        <w:rPr>
          <w:lang w:val="en-GB"/>
        </w:rPr>
        <w:t xml:space="preserve"> words have more discriminat</w:t>
      </w:r>
      <w:r>
        <w:rPr>
          <w:lang w:val="en-GB"/>
        </w:rPr>
        <w:t>ing</w:t>
      </w:r>
      <w:r w:rsidRPr="00721085">
        <w:rPr>
          <w:lang w:val="en-GB"/>
        </w:rPr>
        <w:t xml:space="preserve"> power than positive words (Loughran and McDonald 2011).</w:t>
      </w:r>
      <w:r>
        <w:t xml:space="preserve"> N</w:t>
      </w:r>
      <w:r w:rsidRPr="009E0C08">
        <w:rPr>
          <w:lang w:val="en-GB"/>
        </w:rPr>
        <w:t xml:space="preserve">egative words are </w:t>
      </w:r>
      <w:r>
        <w:rPr>
          <w:lang w:val="en-GB"/>
        </w:rPr>
        <w:t>less</w:t>
      </w:r>
      <w:r w:rsidRPr="009E0C08">
        <w:rPr>
          <w:lang w:val="en-GB"/>
        </w:rPr>
        <w:t xml:space="preserve"> ambiguous</w:t>
      </w:r>
      <w:r>
        <w:rPr>
          <w:lang w:val="en-GB"/>
        </w:rPr>
        <w:t xml:space="preserve"> than positive words</w:t>
      </w:r>
      <w:r w:rsidRPr="009E0C08">
        <w:rPr>
          <w:lang w:val="en-GB"/>
        </w:rPr>
        <w:t xml:space="preserve"> because managers </w:t>
      </w:r>
      <w:r>
        <w:rPr>
          <w:lang w:val="en-GB"/>
        </w:rPr>
        <w:t xml:space="preserve">commonly negate positive words </w:t>
      </w:r>
      <w:r>
        <w:rPr>
          <w:lang w:val="en-GB" w:eastAsia="zh-CN"/>
        </w:rPr>
        <w:t xml:space="preserve">when releasing bad news, </w:t>
      </w:r>
      <w:r>
        <w:rPr>
          <w:rFonts w:hint="eastAsia"/>
          <w:lang w:val="en-GB" w:eastAsia="zh-CN"/>
        </w:rPr>
        <w:t>b</w:t>
      </w:r>
      <w:r>
        <w:rPr>
          <w:lang w:val="en-GB"/>
        </w:rPr>
        <w:t xml:space="preserve">ut </w:t>
      </w:r>
      <w:r w:rsidRPr="009E0C08">
        <w:rPr>
          <w:lang w:val="en-GB"/>
        </w:rPr>
        <w:t xml:space="preserve">rarely negate negative words </w:t>
      </w:r>
      <w:r>
        <w:rPr>
          <w:lang w:val="en-GB"/>
        </w:rPr>
        <w:t>in</w:t>
      </w:r>
      <w:r w:rsidRPr="009E0C08">
        <w:rPr>
          <w:lang w:val="en-GB"/>
        </w:rPr>
        <w:t xml:space="preserve"> mak</w:t>
      </w:r>
      <w:r>
        <w:rPr>
          <w:lang w:val="en-GB"/>
        </w:rPr>
        <w:t>ing</w:t>
      </w:r>
      <w:r w:rsidRPr="009E0C08">
        <w:rPr>
          <w:lang w:val="en-GB"/>
        </w:rPr>
        <w:t xml:space="preserve"> positive statements</w:t>
      </w:r>
      <w:r>
        <w:rPr>
          <w:lang w:val="en-GB"/>
        </w:rPr>
        <w:t xml:space="preserve"> (</w:t>
      </w:r>
      <w:r w:rsidRPr="009E0C08">
        <w:rPr>
          <w:lang w:val="en-GB"/>
        </w:rPr>
        <w:t>Loughran and McDonald 2016).</w:t>
      </w:r>
    </w:p>
    <w:p w14:paraId="478CFD3B" w14:textId="07D7386A" w:rsidR="00562699" w:rsidRPr="007957EF" w:rsidRDefault="00562699" w:rsidP="00B70E79">
      <w:r>
        <w:rPr>
          <w:lang w:val="en-GB"/>
        </w:rPr>
        <w:t xml:space="preserve">Therefore, if managers engage in truthful communication in conference calls, we expect less optimistic tone when </w:t>
      </w:r>
      <w:r w:rsidRPr="002A6121">
        <w:t xml:space="preserve">stock </w:t>
      </w:r>
      <w:r>
        <w:rPr>
          <w:lang w:val="en-GB"/>
        </w:rPr>
        <w:t xml:space="preserve">price crash risk is higher. </w:t>
      </w:r>
      <w:r>
        <w:t>Accordingly</w:t>
      </w:r>
      <w:r w:rsidRPr="007957EF">
        <w:t xml:space="preserve">, we </w:t>
      </w:r>
      <w:r>
        <w:t>predict</w:t>
      </w:r>
      <w:r w:rsidRPr="007957EF">
        <w:t xml:space="preserve"> that</w:t>
      </w:r>
      <w:r>
        <w:t xml:space="preserve"> </w:t>
      </w:r>
      <w:r w:rsidRPr="007957EF">
        <w:t xml:space="preserve">managers </w:t>
      </w:r>
      <w:r>
        <w:t>may</w:t>
      </w:r>
      <w:r w:rsidRPr="007957EF">
        <w:t xml:space="preserve"> engage in </w:t>
      </w:r>
      <w:r>
        <w:t xml:space="preserve">ethical financial reporting and </w:t>
      </w:r>
      <w:r w:rsidRPr="007957EF">
        <w:t xml:space="preserve">truthful </w:t>
      </w:r>
      <w:r w:rsidRPr="00BE09E3">
        <w:t xml:space="preserve">communication </w:t>
      </w:r>
      <w:r w:rsidRPr="007957EF">
        <w:t xml:space="preserve">and exhibit less optimistic tone when </w:t>
      </w:r>
      <w:r w:rsidRPr="002A6121">
        <w:t xml:space="preserve">stock </w:t>
      </w:r>
      <w:r w:rsidRPr="007957EF">
        <w:t>price crash risk is high</w:t>
      </w:r>
      <w:r>
        <w:t>er</w:t>
      </w:r>
      <w:r w:rsidRPr="007957EF">
        <w:t xml:space="preserve">. </w:t>
      </w:r>
      <w:r>
        <w:t>O</w:t>
      </w:r>
      <w:r w:rsidRPr="007957EF">
        <w:t>ur second hypothesis</w:t>
      </w:r>
      <w:r>
        <w:t xml:space="preserve"> (i.e., </w:t>
      </w:r>
      <w:r w:rsidRPr="00BE09E3">
        <w:t>the truthful communication hypothesis</w:t>
      </w:r>
      <w:r>
        <w:t>)</w:t>
      </w:r>
      <w:r w:rsidRPr="007957EF">
        <w:t xml:space="preserve"> as below</w:t>
      </w:r>
      <w:r>
        <w:t>, is as follows</w:t>
      </w:r>
      <w:r w:rsidRPr="007957EF">
        <w:t>:</w:t>
      </w:r>
    </w:p>
    <w:p w14:paraId="314FE5E3" w14:textId="3B82111C" w:rsidR="00562699" w:rsidRPr="007957EF" w:rsidRDefault="00562699" w:rsidP="007458E0">
      <w:pPr>
        <w:pStyle w:val="NoIndentNormal"/>
      </w:pPr>
      <w:r w:rsidRPr="007957EF">
        <w:rPr>
          <w:b/>
        </w:rPr>
        <w:t xml:space="preserve">Hypothesis 2  </w:t>
      </w:r>
      <w:r>
        <w:t>The</w:t>
      </w:r>
      <w:r w:rsidRPr="007957EF">
        <w:t xml:space="preserve"> </w:t>
      </w:r>
      <w:r>
        <w:t xml:space="preserve">optimistic </w:t>
      </w:r>
      <w:r w:rsidRPr="007957EF">
        <w:t xml:space="preserve">tone in earnings conference calls is </w:t>
      </w:r>
      <w:r>
        <w:t xml:space="preserve">negatively </w:t>
      </w:r>
      <w:r w:rsidRPr="007957EF">
        <w:t xml:space="preserve">associated with </w:t>
      </w:r>
      <w:r w:rsidRPr="002A6121">
        <w:t xml:space="preserve">stock </w:t>
      </w:r>
      <w:r w:rsidRPr="007957EF">
        <w:t xml:space="preserve">price crash risk. </w:t>
      </w:r>
    </w:p>
    <w:p w14:paraId="498DB9DD" w14:textId="2A08EB89" w:rsidR="00562699" w:rsidRPr="00F20C6A" w:rsidRDefault="00562699">
      <w:pPr>
        <w:pStyle w:val="Heading1"/>
        <w:rPr>
          <w:lang w:val="en-GB" w:eastAsia="zh-CN"/>
        </w:rPr>
      </w:pPr>
      <w:r w:rsidRPr="00005A54">
        <w:t xml:space="preserve">Data and </w:t>
      </w:r>
      <w:r>
        <w:t>M</w:t>
      </w:r>
      <w:r w:rsidRPr="00005A54">
        <w:t>ethodology</w:t>
      </w:r>
    </w:p>
    <w:p w14:paraId="5D20373D" w14:textId="53DCACDB" w:rsidR="00562699" w:rsidRPr="00E754C5" w:rsidRDefault="00562699">
      <w:pPr>
        <w:pStyle w:val="Heading2"/>
      </w:pPr>
      <w:r w:rsidRPr="00F37C2B">
        <w:t>Sample</w:t>
      </w:r>
    </w:p>
    <w:p w14:paraId="37F404D7" w14:textId="5A4059B9" w:rsidR="00562699" w:rsidRDefault="00562699" w:rsidP="00B70E79">
      <w:pPr>
        <w:pStyle w:val="NoIndentNormal"/>
      </w:pPr>
      <w:r>
        <w:t xml:space="preserve">Our sample was constructed using earnings conference call transcripts of US public firms from Thomson Reuters Eikon. We focus on the post-crisis period from 2010 to 2015 to avoid potential confounding effects of the 2008 financial crisis. Daily and monthly stock data were </w:t>
      </w:r>
      <w:r>
        <w:lastRenderedPageBreak/>
        <w:t xml:space="preserve">downloaded from CRSP, accounting information was obtained from </w:t>
      </w:r>
      <w:r>
        <w:rPr>
          <w:rFonts w:hint="eastAsia"/>
        </w:rPr>
        <w:t>Compustat</w:t>
      </w:r>
      <w:r>
        <w:t>, and data on analysts’ forecasts were drawn from I/B/E/S.</w:t>
      </w:r>
      <w:r>
        <w:rPr>
          <w:rFonts w:hint="eastAsia"/>
        </w:rPr>
        <w:t xml:space="preserve"> </w:t>
      </w:r>
      <w:r>
        <w:t xml:space="preserve">The final sample contains </w:t>
      </w:r>
      <w:r>
        <w:rPr>
          <w:rFonts w:hint="eastAsia"/>
        </w:rPr>
        <w:t>11,34</w:t>
      </w:r>
      <w:r>
        <w:t>5 annual earnings conference call transcripts in English</w:t>
      </w:r>
      <w:r>
        <w:rPr>
          <w:rFonts w:hint="eastAsia"/>
        </w:rPr>
        <w:t xml:space="preserve"> </w:t>
      </w:r>
      <w:r>
        <w:t xml:space="preserve">for firms </w:t>
      </w:r>
      <w:r>
        <w:rPr>
          <w:rFonts w:hint="eastAsia"/>
        </w:rPr>
        <w:t xml:space="preserve">with </w:t>
      </w:r>
      <w:r>
        <w:t>available</w:t>
      </w:r>
      <w:r>
        <w:rPr>
          <w:rFonts w:hint="eastAsia"/>
        </w:rPr>
        <w:t xml:space="preserve"> financial data.</w:t>
      </w:r>
      <w:r>
        <w:rPr>
          <w:rStyle w:val="EndnoteReference"/>
        </w:rPr>
        <w:endnoteReference w:id="3"/>
      </w:r>
    </w:p>
    <w:p w14:paraId="39AD6899" w14:textId="4F2EDC21" w:rsidR="00562699" w:rsidRDefault="00562699">
      <w:r>
        <w:t>Table 1 Panel A shows the sample distribution by SIC industry groups</w:t>
      </w:r>
      <w:r>
        <w:rPr>
          <w:rFonts w:hint="eastAsia"/>
          <w:lang w:eastAsia="zh-CN"/>
        </w:rPr>
        <w:t>.</w:t>
      </w:r>
      <w:r>
        <w:t xml:space="preserve"> </w:t>
      </w:r>
      <w:r>
        <w:rPr>
          <w:rFonts w:hint="eastAsia"/>
          <w:lang w:eastAsia="zh-CN"/>
        </w:rPr>
        <w:t xml:space="preserve">Our sample covers </w:t>
      </w:r>
      <w:r>
        <w:rPr>
          <w:lang w:eastAsia="zh-CN"/>
        </w:rPr>
        <w:t xml:space="preserve">a </w:t>
      </w:r>
      <w:r>
        <w:rPr>
          <w:rFonts w:hint="eastAsia"/>
          <w:lang w:eastAsia="zh-CN"/>
        </w:rPr>
        <w:t>wide range of industries</w:t>
      </w:r>
      <w:r>
        <w:rPr>
          <w:lang w:eastAsia="zh-CN"/>
        </w:rPr>
        <w:t xml:space="preserve">, with </w:t>
      </w:r>
      <w:r>
        <w:rPr>
          <w:rFonts w:hint="eastAsia"/>
          <w:lang w:eastAsia="zh-CN"/>
        </w:rPr>
        <w:t xml:space="preserve">observations from </w:t>
      </w:r>
      <w:r>
        <w:rPr>
          <w:lang w:eastAsia="zh-CN"/>
        </w:rPr>
        <w:t>“M</w:t>
      </w:r>
      <w:r>
        <w:rPr>
          <w:rFonts w:hint="eastAsia"/>
          <w:lang w:eastAsia="zh-CN"/>
        </w:rPr>
        <w:t>anufacturing</w:t>
      </w:r>
      <w:r>
        <w:rPr>
          <w:lang w:eastAsia="zh-CN"/>
        </w:rPr>
        <w:t>”</w:t>
      </w:r>
      <w:r>
        <w:rPr>
          <w:rFonts w:hint="eastAsia"/>
          <w:lang w:eastAsia="zh-CN"/>
        </w:rPr>
        <w:t xml:space="preserve"> contributing 47</w:t>
      </w:r>
      <w:r>
        <w:rPr>
          <w:lang w:eastAsia="zh-CN"/>
        </w:rPr>
        <w:t>.09</w:t>
      </w:r>
      <w:r>
        <w:rPr>
          <w:rFonts w:hint="eastAsia"/>
          <w:lang w:eastAsia="zh-CN"/>
        </w:rPr>
        <w:t xml:space="preserve">% of the sample. </w:t>
      </w:r>
      <w:r>
        <w:rPr>
          <w:lang w:eastAsia="zh-CN"/>
        </w:rPr>
        <w:t xml:space="preserve">Table 1 </w:t>
      </w:r>
      <w:r>
        <w:t>Panel B presents the sample’s relatively even distribution by year from 2010 to 2015.</w:t>
      </w:r>
    </w:p>
    <w:p w14:paraId="2EF68400" w14:textId="0B2FDF27" w:rsidR="00562699" w:rsidRPr="00175C30" w:rsidRDefault="00562699" w:rsidP="007458E0">
      <w:pPr>
        <w:pStyle w:val="InsertInstruct"/>
      </w:pPr>
      <w:r>
        <w:t>[Insert Table 1 here]</w:t>
      </w:r>
    </w:p>
    <w:p w14:paraId="4232C539" w14:textId="1B12B7D2" w:rsidR="00562699" w:rsidRPr="00E754C5" w:rsidRDefault="00562699">
      <w:pPr>
        <w:pStyle w:val="Heading2"/>
        <w:rPr>
          <w:i/>
        </w:rPr>
      </w:pPr>
      <w:r w:rsidRPr="00F37C2B">
        <w:t xml:space="preserve">Model </w:t>
      </w:r>
      <w:r>
        <w:t>S</w:t>
      </w:r>
      <w:r w:rsidRPr="00F37C2B">
        <w:t>pecification</w:t>
      </w:r>
    </w:p>
    <w:p w14:paraId="30C4F1A7" w14:textId="08F1381C" w:rsidR="00562699" w:rsidRDefault="00562699" w:rsidP="00A875D8">
      <w:pPr>
        <w:pStyle w:val="NoIndentNormal"/>
      </w:pPr>
      <w:r>
        <w:t xml:space="preserve">To investigate whether </w:t>
      </w:r>
      <w:r w:rsidRPr="00A91DF9">
        <w:t xml:space="preserve">the linguistic </w:t>
      </w:r>
      <w:r>
        <w:t>tone</w:t>
      </w:r>
      <w:r w:rsidRPr="00355937">
        <w:rPr>
          <w:rFonts w:cs="Times New Roman"/>
        </w:rPr>
        <w:t xml:space="preserve"> </w:t>
      </w:r>
      <w:r w:rsidRPr="00A91DF9">
        <w:t>of earnings conference calls predict</w:t>
      </w:r>
      <w:r>
        <w:t>s</w:t>
      </w:r>
      <w:r w:rsidRPr="00A91DF9">
        <w:t xml:space="preserve"> </w:t>
      </w:r>
      <w:r w:rsidRPr="002A6121">
        <w:rPr>
          <w:rFonts w:cs="Times New Roman"/>
        </w:rPr>
        <w:t xml:space="preserve">stock </w:t>
      </w:r>
      <w:r w:rsidRPr="00A91DF9">
        <w:t>price crash risk</w:t>
      </w:r>
      <w:r>
        <w:t>, we use the following regression model in our empirical analysis:</w:t>
      </w:r>
    </w:p>
    <w:p w14:paraId="21D3B306" w14:textId="02D1CD20" w:rsidR="00562699" w:rsidRPr="00A93F4D" w:rsidRDefault="008D48AD" w:rsidP="00A875D8">
      <w:pPr>
        <w:pStyle w:val="Equations"/>
        <w:rPr>
          <w:lang w:val="en-GB"/>
        </w:rPr>
      </w:pPr>
      <m:oMathPara>
        <m:oMath>
          <m:sSub>
            <m:sSubPr>
              <m:ctrlPr/>
            </m:sSubPr>
            <m:e>
              <m:r>
                <m:t>CRASH_RISK</m:t>
              </m:r>
            </m:e>
            <m:sub>
              <m:r>
                <w:rPr>
                  <w:rFonts w:eastAsia="SimSun"/>
                  <w:lang w:eastAsia="zh-CN"/>
                </w:rPr>
                <m:t>i,</m:t>
              </m:r>
              <m:r>
                <m:t>t</m:t>
              </m:r>
            </m:sub>
          </m:sSub>
          <m:r>
            <m:t>=α+β×</m:t>
          </m:r>
          <m:sSub>
            <m:sSubPr>
              <m:ctrlPr/>
            </m:sSubPr>
            <m:e>
              <m:r>
                <m:t>TONE</m:t>
              </m:r>
            </m:e>
            <m:sub>
              <m:r>
                <w:rPr>
                  <w:rFonts w:eastAsia="SimSun"/>
                  <w:lang w:eastAsia="zh-CN"/>
                </w:rPr>
                <m:t>i,t-1</m:t>
              </m:r>
            </m:sub>
          </m:sSub>
          <m:r>
            <m:t>+</m:t>
          </m:r>
          <m:nary>
            <m:naryPr>
              <m:chr m:val="∑"/>
              <m:limLoc m:val="undOvr"/>
              <m:ctrlPr/>
            </m:naryPr>
            <m:sub>
              <m:r>
                <m:t>j=1</m:t>
              </m:r>
            </m:sub>
            <m:sup>
              <m:r>
                <m:t>N</m:t>
              </m:r>
            </m:sup>
            <m:e>
              <m:sSup>
                <m:sSupPr>
                  <m:ctrlPr/>
                </m:sSupPr>
                <m:e>
                  <m:r>
                    <m:t>γ</m:t>
                  </m:r>
                </m:e>
                <m:sup>
                  <m:r>
                    <m:t>j</m:t>
                  </m:r>
                </m:sup>
              </m:sSup>
              <m:r>
                <m:t>×</m:t>
              </m:r>
              <m:sSubSup>
                <m:sSubSupPr>
                  <m:ctrlPr/>
                </m:sSubSupPr>
                <m:e>
                  <m:r>
                    <m:t>CONTROL</m:t>
                  </m:r>
                </m:e>
                <m:sub>
                  <m:r>
                    <m:t>i,t-1</m:t>
                  </m:r>
                </m:sub>
                <m:sup>
                  <m:r>
                    <m:t>j</m:t>
                  </m:r>
                </m:sup>
              </m:sSubSup>
            </m:e>
          </m:nary>
        </m:oMath>
      </m:oMathPara>
    </w:p>
    <w:p w14:paraId="32230B35" w14:textId="3EBEB30E" w:rsidR="00562699" w:rsidRDefault="00562699" w:rsidP="00196B5F">
      <w:pPr>
        <w:pStyle w:val="Equations"/>
        <w:ind w:left="1985"/>
        <w:rPr>
          <w:rFonts w:ascii="Times New Roman" w:hAnsi="Times New Roman"/>
        </w:rPr>
      </w:pPr>
      <m:oMath>
        <m:r>
          <m:t>+Firm Fixed Effect+Year Fixed Effect+</m:t>
        </m:r>
        <m:sSub>
          <m:sSubPr>
            <m:ctrlPr/>
          </m:sSubPr>
          <m:e>
            <m:r>
              <m:t>ε</m:t>
            </m:r>
          </m:e>
          <m:sub>
            <m:r>
              <m:t>i,t</m:t>
            </m:r>
          </m:sub>
        </m:sSub>
        <m:r>
          <m:t xml:space="preserve">   </m:t>
        </m:r>
      </m:oMath>
      <w:r>
        <w:rPr>
          <w:rFonts w:ascii="Times New Roman" w:hAnsi="Times New Roman"/>
        </w:rPr>
        <w:t xml:space="preserve"> </w:t>
      </w:r>
      <w:r>
        <w:rPr>
          <w:rFonts w:ascii="Times New Roman" w:hAnsi="Times New Roman"/>
        </w:rPr>
        <w:tab/>
        <w:t>(1)</w:t>
      </w:r>
    </w:p>
    <w:p w14:paraId="70BF1CCA" w14:textId="2FE42828" w:rsidR="00562699" w:rsidRPr="00E754C5" w:rsidRDefault="00562699" w:rsidP="00A875D8">
      <w:r>
        <w:t>To address</w:t>
      </w:r>
      <w:r>
        <w:rPr>
          <w:rFonts w:hint="eastAsia"/>
        </w:rPr>
        <w:t xml:space="preserve"> potential </w:t>
      </w:r>
      <w:r>
        <w:t>endogeneity</w:t>
      </w:r>
      <w:r>
        <w:rPr>
          <w:rFonts w:hint="eastAsia"/>
        </w:rPr>
        <w:t xml:space="preserve"> issues, we </w:t>
      </w:r>
      <w:r>
        <w:t>employ</w:t>
      </w:r>
      <w:r>
        <w:rPr>
          <w:rFonts w:hint="eastAsia"/>
        </w:rPr>
        <w:t xml:space="preserve"> firm</w:t>
      </w:r>
      <w:r>
        <w:t>-</w:t>
      </w:r>
      <w:r>
        <w:rPr>
          <w:rFonts w:hint="eastAsia"/>
        </w:rPr>
        <w:t xml:space="preserve">fixed effects to </w:t>
      </w:r>
      <w:r>
        <w:t>mitigate</w:t>
      </w:r>
      <w:r>
        <w:rPr>
          <w:rFonts w:hint="eastAsia"/>
        </w:rPr>
        <w:t xml:space="preserve"> issues relat</w:t>
      </w:r>
      <w:r>
        <w:t>ing</w:t>
      </w:r>
      <w:r>
        <w:rPr>
          <w:rFonts w:hint="eastAsia"/>
        </w:rPr>
        <w:t xml:space="preserve"> to unobservable time-invariant omitted variables.</w:t>
      </w:r>
      <w:r>
        <w:rPr>
          <w:rStyle w:val="EndnoteReference"/>
        </w:rPr>
        <w:endnoteReference w:id="4"/>
      </w:r>
      <w:r>
        <w:rPr>
          <w:rFonts w:hint="eastAsia"/>
        </w:rPr>
        <w:t xml:space="preserve"> </w:t>
      </w:r>
      <w:r>
        <w:rPr>
          <w:lang w:eastAsia="zh-CN"/>
        </w:rPr>
        <w:t>T</w:t>
      </w:r>
      <w:r>
        <w:rPr>
          <w:rFonts w:hint="eastAsia"/>
        </w:rPr>
        <w:t xml:space="preserve">he application of firm-fixed effects allows us to </w:t>
      </w:r>
      <w:r>
        <w:t>estimate</w:t>
      </w:r>
      <w:r>
        <w:rPr>
          <w:rFonts w:hint="eastAsia"/>
        </w:rPr>
        <w:t xml:space="preserve"> the predictive power of tone </w:t>
      </w:r>
      <w:r>
        <w:t>for</w:t>
      </w:r>
      <w:r>
        <w:rPr>
          <w:rFonts w:hint="eastAsia"/>
        </w:rPr>
        <w:t xml:space="preserve"> </w:t>
      </w:r>
      <w:r>
        <w:t>stock price crash risk</w:t>
      </w:r>
      <w:r w:rsidRPr="002A6121" w:rsidDel="00B86B3A">
        <w:t xml:space="preserve"> </w:t>
      </w:r>
      <w:r>
        <w:t>while</w:t>
      </w:r>
      <w:r>
        <w:rPr>
          <w:rFonts w:hint="eastAsia"/>
        </w:rPr>
        <w:t xml:space="preserve"> </w:t>
      </w:r>
      <w:r>
        <w:t>controlling for</w:t>
      </w:r>
      <w:r>
        <w:rPr>
          <w:rFonts w:hint="eastAsia"/>
        </w:rPr>
        <w:t xml:space="preserve"> within-firm variation. </w:t>
      </w:r>
      <w:r>
        <w:rPr>
          <w:rFonts w:hint="eastAsia"/>
          <w:lang w:eastAsia="zh-CN"/>
        </w:rPr>
        <w:t>Y</w:t>
      </w:r>
      <w:r>
        <w:t xml:space="preserve">ear-fixed effects </w:t>
      </w:r>
      <w:r>
        <w:rPr>
          <w:rFonts w:hint="eastAsia"/>
          <w:lang w:eastAsia="zh-CN"/>
        </w:rPr>
        <w:t xml:space="preserve">are also included to control </w:t>
      </w:r>
      <w:r>
        <w:rPr>
          <w:lang w:eastAsia="zh-CN"/>
        </w:rPr>
        <w:t xml:space="preserve">for </w:t>
      </w:r>
      <w:r>
        <w:rPr>
          <w:rFonts w:hint="eastAsia"/>
          <w:lang w:eastAsia="zh-CN"/>
        </w:rPr>
        <w:t>macroeconomic shocks.</w:t>
      </w:r>
      <w:r>
        <w:rPr>
          <w:lang w:eastAsia="zh-CN"/>
        </w:rPr>
        <w:t xml:space="preserve"> </w:t>
      </w:r>
      <w:r>
        <w:rPr>
          <w:rFonts w:hint="eastAsia"/>
          <w:lang w:eastAsia="zh-CN"/>
        </w:rPr>
        <w:t xml:space="preserve">In addition, </w:t>
      </w:r>
      <w:r>
        <w:rPr>
          <w:rFonts w:hint="eastAsia"/>
        </w:rPr>
        <w:t>we apply lead-lag regression</w:t>
      </w:r>
      <w:r>
        <w:t>s</w:t>
      </w:r>
      <w:r>
        <w:rPr>
          <w:rFonts w:hint="eastAsia"/>
        </w:rPr>
        <w:t xml:space="preserve"> to </w:t>
      </w:r>
      <w:r>
        <w:t>mitigate</w:t>
      </w:r>
      <w:r>
        <w:rPr>
          <w:rFonts w:hint="eastAsia"/>
        </w:rPr>
        <w:t xml:space="preserve"> reverse causality</w:t>
      </w:r>
      <w:r>
        <w:t xml:space="preserve"> issues</w:t>
      </w:r>
      <w:r>
        <w:rPr>
          <w:rFonts w:hint="eastAsia"/>
          <w:lang w:eastAsia="zh-CN"/>
        </w:rPr>
        <w:t>.</w:t>
      </w:r>
      <w:r w:rsidRPr="00237392">
        <w:rPr>
          <w:rFonts w:hint="eastAsia"/>
        </w:rPr>
        <w:t xml:space="preserve"> </w:t>
      </w:r>
      <w:r>
        <w:t>In</w:t>
      </w:r>
      <w:r>
        <w:rPr>
          <w:rFonts w:hint="eastAsia"/>
        </w:rPr>
        <w:t xml:space="preserve"> </w:t>
      </w:r>
      <w:r>
        <w:t>Equation (1), t</w:t>
      </w:r>
      <w:r>
        <w:rPr>
          <w:rFonts w:hint="eastAsia"/>
        </w:rPr>
        <w:t xml:space="preserve">he coefficient of interest </w:t>
      </w:r>
      <w:r>
        <w:t>is</w:t>
      </w:r>
      <w:r>
        <w:rPr>
          <w:rFonts w:hint="eastAsia"/>
        </w:rPr>
        <w:t xml:space="preserve"> </w:t>
      </w:r>
      <m:oMath>
        <m:r>
          <w:rPr>
            <w:rFonts w:ascii="Cambria Math" w:hAnsi="Cambria Math"/>
          </w:rPr>
          <m:t>β</m:t>
        </m:r>
      </m:oMath>
      <w:r>
        <w:rPr>
          <w:rFonts w:hint="eastAsia"/>
        </w:rPr>
        <w:t>, which capture</w:t>
      </w:r>
      <w:r>
        <w:t>s</w:t>
      </w:r>
      <w:r>
        <w:rPr>
          <w:rFonts w:hint="eastAsia"/>
        </w:rPr>
        <w:t xml:space="preserve"> </w:t>
      </w:r>
      <w:r>
        <w:t>how</w:t>
      </w:r>
      <w:r>
        <w:rPr>
          <w:rFonts w:hint="eastAsia"/>
        </w:rPr>
        <w:t xml:space="preserve"> earnings conference call tone </w:t>
      </w:r>
      <w:r>
        <w:t>predicts</w:t>
      </w:r>
      <w:r>
        <w:rPr>
          <w:rFonts w:hint="eastAsia"/>
        </w:rPr>
        <w:t xml:space="preserve"> </w:t>
      </w:r>
      <w:r>
        <w:t>stock</w:t>
      </w:r>
      <w:r>
        <w:rPr>
          <w:rFonts w:hint="eastAsia"/>
        </w:rPr>
        <w:t xml:space="preserve"> price crash risk.</w:t>
      </w:r>
    </w:p>
    <w:p w14:paraId="6EC05ACE" w14:textId="516EF078" w:rsidR="00562699" w:rsidRPr="00E754C5" w:rsidRDefault="00562699">
      <w:pPr>
        <w:pStyle w:val="Heading2"/>
        <w:rPr>
          <w:i/>
        </w:rPr>
      </w:pPr>
      <w:r w:rsidRPr="00F37C2B">
        <w:t xml:space="preserve">Measuring </w:t>
      </w:r>
      <w:r>
        <w:t>Stock P</w:t>
      </w:r>
      <w:r w:rsidRPr="00F37C2B">
        <w:t xml:space="preserve">rice </w:t>
      </w:r>
      <w:r>
        <w:t>C</w:t>
      </w:r>
      <w:r w:rsidRPr="00F37C2B">
        <w:t xml:space="preserve">rash </w:t>
      </w:r>
      <w:r>
        <w:t>R</w:t>
      </w:r>
      <w:r w:rsidRPr="00F37C2B">
        <w:t>isk</w:t>
      </w:r>
    </w:p>
    <w:p w14:paraId="6468808D" w14:textId="401DD911" w:rsidR="00562699" w:rsidRPr="00790D3A" w:rsidRDefault="00562699" w:rsidP="003E49E8">
      <w:pPr>
        <w:pStyle w:val="NoIndentNormal"/>
      </w:pPr>
      <w:r>
        <w:t>W</w:t>
      </w:r>
      <w:r w:rsidRPr="00790D3A">
        <w:t xml:space="preserve">e </w:t>
      </w:r>
      <w:r>
        <w:t xml:space="preserve">measure stock price crash risk </w:t>
      </w:r>
      <w:r w:rsidRPr="00790D3A">
        <w:t>follow</w:t>
      </w:r>
      <w:r>
        <w:t>ing</w:t>
      </w:r>
      <w:r w:rsidRPr="00790D3A">
        <w:t xml:space="preserve"> Hutton </w:t>
      </w:r>
      <w:r w:rsidRPr="00D81A46">
        <w:rPr>
          <w:iCs/>
        </w:rPr>
        <w:t>et al</w:t>
      </w:r>
      <w:r w:rsidRPr="003E49E8">
        <w:rPr>
          <w:iCs/>
        </w:rPr>
        <w:t xml:space="preserve">. (2009), Kim </w:t>
      </w:r>
      <w:r w:rsidRPr="00D81A46">
        <w:rPr>
          <w:iCs/>
        </w:rPr>
        <w:t>et al</w:t>
      </w:r>
      <w:r w:rsidRPr="003E49E8">
        <w:rPr>
          <w:iCs/>
        </w:rPr>
        <w:t>. (</w:t>
      </w:r>
      <w:r w:rsidRPr="00790D3A">
        <w:t>2011</w:t>
      </w:r>
      <w:r>
        <w:t>a</w:t>
      </w:r>
      <w:r w:rsidRPr="00790D3A">
        <w:t>)</w:t>
      </w:r>
      <w:r>
        <w:t xml:space="preserve"> and Callen and Fang (2017)</w:t>
      </w:r>
      <w:r w:rsidRPr="00790D3A">
        <w:t xml:space="preserve">. </w:t>
      </w:r>
      <w:r>
        <w:t xml:space="preserve">Stock price crash risk </w:t>
      </w:r>
      <w:r w:rsidRPr="00527F62">
        <w:t>focus</w:t>
      </w:r>
      <w:r>
        <w:t>es</w:t>
      </w:r>
      <w:r w:rsidRPr="00527F62">
        <w:t xml:space="preserve"> on </w:t>
      </w:r>
      <w:r>
        <w:t xml:space="preserve">idiosyncratic </w:t>
      </w:r>
      <w:r w:rsidRPr="00527F62">
        <w:t>return</w:t>
      </w:r>
      <w:r>
        <w:t>s</w:t>
      </w:r>
      <w:r w:rsidRPr="00527F62">
        <w:t xml:space="preserve"> affected by firm-</w:t>
      </w:r>
      <w:r w:rsidRPr="00527F62">
        <w:lastRenderedPageBreak/>
        <w:t>specific information rather than market factor</w:t>
      </w:r>
      <w:r>
        <w:t xml:space="preserve">s (Roll 1988). </w:t>
      </w:r>
      <w:r w:rsidRPr="00790D3A">
        <w:t>First, we estimate the following regression model</w:t>
      </w:r>
      <w:r>
        <w:t xml:space="preserve"> using weekly returns for each firm and fiscal year</w:t>
      </w:r>
      <w:r w:rsidRPr="00790D3A">
        <w:t>:</w:t>
      </w:r>
    </w:p>
    <w:p w14:paraId="758DCB46" w14:textId="68BD3579" w:rsidR="00562699" w:rsidRPr="00DB4BA2" w:rsidRDefault="008D48AD" w:rsidP="00124F6E">
      <w:pPr>
        <w:pStyle w:val="Equations"/>
      </w:pPr>
      <m:oMath>
        <m:sSub>
          <m:sSubPr>
            <m:ctrlPr/>
          </m:sSubPr>
          <m:e>
            <m:r>
              <m:t>r</m:t>
            </m:r>
          </m:e>
          <m:sub>
            <m:r>
              <m:t>i,t</m:t>
            </m:r>
          </m:sub>
        </m:sSub>
        <m:r>
          <m:t>=</m:t>
        </m:r>
        <m:sSub>
          <m:sSubPr>
            <m:ctrlPr/>
          </m:sSubPr>
          <m:e>
            <m:r>
              <m:t>α</m:t>
            </m:r>
          </m:e>
          <m:sub>
            <m:r>
              <m:t>i</m:t>
            </m:r>
          </m:sub>
        </m:sSub>
        <m:r>
          <m:t>+</m:t>
        </m:r>
        <m:sSub>
          <m:sSubPr>
            <m:ctrlPr/>
          </m:sSubPr>
          <m:e>
            <m:r>
              <m:t>β</m:t>
            </m:r>
          </m:e>
          <m:sub>
            <m:r>
              <m:t>1i</m:t>
            </m:r>
          </m:sub>
        </m:sSub>
        <m:sSub>
          <m:sSubPr>
            <m:ctrlPr/>
          </m:sSubPr>
          <m:e>
            <m:r>
              <m:t>r</m:t>
            </m:r>
          </m:e>
          <m:sub>
            <m:r>
              <m:t>m,t-2</m:t>
            </m:r>
          </m:sub>
        </m:sSub>
        <m:r>
          <m:t>+</m:t>
        </m:r>
        <m:sSub>
          <m:sSubPr>
            <m:ctrlPr/>
          </m:sSubPr>
          <m:e>
            <m:r>
              <m:t>β</m:t>
            </m:r>
          </m:e>
          <m:sub>
            <m:r>
              <m:t>2i</m:t>
            </m:r>
          </m:sub>
        </m:sSub>
        <m:sSub>
          <m:sSubPr>
            <m:ctrlPr/>
          </m:sSubPr>
          <m:e>
            <m:r>
              <m:t>r</m:t>
            </m:r>
          </m:e>
          <m:sub>
            <m:r>
              <m:t>m,t-1</m:t>
            </m:r>
          </m:sub>
        </m:sSub>
        <m:r>
          <m:t>+</m:t>
        </m:r>
        <m:sSub>
          <m:sSubPr>
            <m:ctrlPr/>
          </m:sSubPr>
          <m:e>
            <m:r>
              <m:t>β</m:t>
            </m:r>
          </m:e>
          <m:sub>
            <m:r>
              <m:t>3i</m:t>
            </m:r>
          </m:sub>
        </m:sSub>
        <m:sSub>
          <m:sSubPr>
            <m:ctrlPr/>
          </m:sSubPr>
          <m:e>
            <m:r>
              <m:t>r</m:t>
            </m:r>
          </m:e>
          <m:sub>
            <m:r>
              <m:t>m,t</m:t>
            </m:r>
          </m:sub>
        </m:sSub>
        <m:r>
          <m:t>+</m:t>
        </m:r>
        <m:sSub>
          <m:sSubPr>
            <m:ctrlPr/>
          </m:sSubPr>
          <m:e>
            <m:r>
              <m:t>β</m:t>
            </m:r>
          </m:e>
          <m:sub>
            <m:r>
              <m:t>4i</m:t>
            </m:r>
          </m:sub>
        </m:sSub>
        <m:sSub>
          <m:sSubPr>
            <m:ctrlPr/>
          </m:sSubPr>
          <m:e>
            <m:r>
              <m:t>r</m:t>
            </m:r>
          </m:e>
          <m:sub>
            <m:r>
              <m:t>m,t+1</m:t>
            </m:r>
          </m:sub>
        </m:sSub>
        <m:r>
          <m:t>+</m:t>
        </m:r>
        <m:sSub>
          <m:sSubPr>
            <m:ctrlPr/>
          </m:sSubPr>
          <m:e>
            <m:r>
              <m:t>β</m:t>
            </m:r>
          </m:e>
          <m:sub>
            <m:r>
              <m:t>5i</m:t>
            </m:r>
          </m:sub>
        </m:sSub>
        <m:sSub>
          <m:sSubPr>
            <m:ctrlPr/>
          </m:sSubPr>
          <m:e>
            <m:r>
              <m:t>r</m:t>
            </m:r>
          </m:e>
          <m:sub>
            <m:r>
              <m:t>m,t+2</m:t>
            </m:r>
          </m:sub>
        </m:sSub>
        <m:r>
          <m:t>+</m:t>
        </m:r>
        <m:sSub>
          <m:sSubPr>
            <m:ctrlPr/>
          </m:sSubPr>
          <m:e>
            <m:r>
              <m:t>ε</m:t>
            </m:r>
          </m:e>
          <m:sub>
            <m:r>
              <m:t>i,t</m:t>
            </m:r>
          </m:sub>
        </m:sSub>
      </m:oMath>
      <w:r w:rsidR="00562699">
        <w:rPr>
          <w:rFonts w:ascii="Times New Roman" w:hAnsi="Times New Roman"/>
        </w:rPr>
        <w:t xml:space="preserve"> </w:t>
      </w:r>
      <w:r w:rsidR="00562699">
        <w:rPr>
          <w:rFonts w:ascii="Times New Roman" w:hAnsi="Times New Roman"/>
        </w:rPr>
        <w:tab/>
      </w:r>
      <w:r w:rsidR="00562699">
        <w:rPr>
          <w:rFonts w:ascii="Times New Roman" w:hAnsi="Times New Roman"/>
        </w:rPr>
        <w:tab/>
      </w:r>
      <w:r w:rsidR="00562699" w:rsidRPr="00DB4BA2">
        <w:rPr>
          <w:rFonts w:ascii="Times New Roman" w:hAnsi="Times New Roman"/>
        </w:rPr>
        <w:t>(</w:t>
      </w:r>
      <w:r w:rsidR="00562699">
        <w:rPr>
          <w:rFonts w:ascii="Times New Roman" w:hAnsi="Times New Roman"/>
        </w:rPr>
        <w:t>2)</w:t>
      </w:r>
    </w:p>
    <w:p w14:paraId="02F8AFA7" w14:textId="171C9F74" w:rsidR="00562699" w:rsidRPr="00790D3A" w:rsidRDefault="00562699" w:rsidP="00124F6E">
      <w:pPr>
        <w:pStyle w:val="NoIndentNormal"/>
      </w:pPr>
      <w:r w:rsidRPr="00790D3A">
        <w:t xml:space="preserve">where </w:t>
      </w:r>
      <m:oMath>
        <m:sSub>
          <m:sSubPr>
            <m:ctrlPr>
              <w:rPr>
                <w:rFonts w:ascii="Cambria Math" w:hAnsi="Cambria Math"/>
                <w:i/>
              </w:rPr>
            </m:ctrlPr>
          </m:sSubPr>
          <m:e>
            <m:r>
              <w:rPr>
                <w:rFonts w:ascii="Cambria Math" w:hAnsi="Cambria Math"/>
              </w:rPr>
              <m:t>r</m:t>
            </m:r>
          </m:e>
          <m:sub>
            <m:r>
              <w:rPr>
                <w:rFonts w:ascii="Cambria Math" w:hAnsi="Cambria Math"/>
              </w:rPr>
              <m:t>i,t</m:t>
            </m:r>
          </m:sub>
        </m:sSub>
      </m:oMath>
      <w:r w:rsidRPr="00790D3A">
        <w:t xml:space="preserve"> is the return on stock </w:t>
      </w:r>
      <m:oMath>
        <m:r>
          <w:rPr>
            <w:rFonts w:ascii="Cambria Math" w:hAnsi="Cambria Math"/>
          </w:rPr>
          <m:t>i</m:t>
        </m:r>
      </m:oMath>
      <w:r w:rsidRPr="00790D3A">
        <w:t xml:space="preserve"> in week </w:t>
      </w:r>
      <m:oMath>
        <m:r>
          <w:rPr>
            <w:rFonts w:ascii="Cambria Math" w:hAnsi="Cambria Math"/>
          </w:rPr>
          <m:t>t</m:t>
        </m:r>
      </m:oMath>
      <w:r w:rsidRPr="00790D3A">
        <w:t>,</w:t>
      </w:r>
      <w:r>
        <w:t xml:space="preserve"> and</w:t>
      </w:r>
      <w:r w:rsidRPr="00790D3A">
        <w:t xml:space="preserve"> </w:t>
      </w:r>
      <m:oMath>
        <m:sSub>
          <m:sSubPr>
            <m:ctrlPr>
              <w:rPr>
                <w:rFonts w:ascii="Cambria Math" w:hAnsi="Cambria Math"/>
                <w:i/>
              </w:rPr>
            </m:ctrlPr>
          </m:sSubPr>
          <m:e>
            <m:r>
              <w:rPr>
                <w:rFonts w:ascii="Cambria Math" w:hAnsi="Cambria Math"/>
              </w:rPr>
              <m:t>r</m:t>
            </m:r>
          </m:e>
          <m:sub>
            <m:r>
              <w:rPr>
                <w:rFonts w:ascii="Cambria Math" w:hAnsi="Cambria Math"/>
              </w:rPr>
              <m:t>m,t</m:t>
            </m:r>
          </m:sub>
        </m:sSub>
      </m:oMath>
      <w:r w:rsidRPr="00790D3A">
        <w:t xml:space="preserve"> is the return on the CRSP value-weighted market index in week </w:t>
      </w:r>
      <m:oMath>
        <m:r>
          <w:rPr>
            <w:rFonts w:ascii="Cambria Math" w:hAnsi="Cambria Math"/>
          </w:rPr>
          <m:t>t</m:t>
        </m:r>
      </m:oMath>
      <w:r w:rsidRPr="00790D3A">
        <w:t>.</w:t>
      </w:r>
      <w:r>
        <w:t xml:space="preserve"> </w:t>
      </w:r>
      <w:r w:rsidRPr="004A496E">
        <w:t>To estimate th</w:t>
      </w:r>
      <w:r>
        <w:t>is</w:t>
      </w:r>
      <w:r w:rsidRPr="004A496E">
        <w:t xml:space="preserve"> regression model, a firm must have at least 26 weekly returns available in </w:t>
      </w:r>
      <w:r>
        <w:t>a</w:t>
      </w:r>
      <w:r w:rsidRPr="004A496E">
        <w:t xml:space="preserve"> fiscal year.</w:t>
      </w:r>
      <w:r w:rsidRPr="00790D3A">
        <w:t xml:space="preserve"> Lead and lag returns for the market</w:t>
      </w:r>
      <w:r>
        <w:t xml:space="preserve"> index</w:t>
      </w:r>
      <w:r w:rsidRPr="00790D3A">
        <w:t xml:space="preserve"> are included to allow for non</w:t>
      </w:r>
      <w:r>
        <w:t>-</w:t>
      </w:r>
      <w:r w:rsidRPr="00790D3A">
        <w:t xml:space="preserve">synchronous trading. </w:t>
      </w:r>
      <w:r>
        <w:t>Since the residuals from Equation (2) are highly skewed (Hutton</w:t>
      </w:r>
      <w:r w:rsidRPr="00B70E79">
        <w:t xml:space="preserve"> et al.</w:t>
      </w:r>
      <w:r>
        <w:t xml:space="preserve"> 2009), t</w:t>
      </w:r>
      <w:r w:rsidRPr="00790D3A">
        <w:t>he firm-specific weekly return (</w:t>
      </w:r>
      <m:oMath>
        <m:sSub>
          <m:sSubPr>
            <m:ctrlPr>
              <w:rPr>
                <w:rFonts w:ascii="Cambria Math" w:hAnsi="Cambria Math"/>
                <w:i/>
              </w:rPr>
            </m:ctrlPr>
          </m:sSubPr>
          <m:e>
            <m:r>
              <w:rPr>
                <w:rFonts w:ascii="Cambria Math" w:hAnsi="Cambria Math"/>
              </w:rPr>
              <m:t>W</m:t>
            </m:r>
          </m:e>
          <m:sub>
            <m:r>
              <w:rPr>
                <w:rFonts w:ascii="Cambria Math" w:hAnsi="Cambria Math"/>
              </w:rPr>
              <m:t>it</m:t>
            </m:r>
          </m:sub>
        </m:sSub>
      </m:oMath>
      <w:r w:rsidRPr="00790D3A">
        <w:t>)</w:t>
      </w:r>
      <w:r>
        <w:t xml:space="preserve"> is defined as the log of one plus the residual term</w:t>
      </w:r>
      <w:r w:rsidRPr="00790D3A">
        <w:t>:</w:t>
      </w:r>
    </w:p>
    <w:p w14:paraId="19775E15" w14:textId="5BFC7741" w:rsidR="00562699" w:rsidRPr="00790D3A" w:rsidRDefault="008D48AD" w:rsidP="00124F6E">
      <w:pPr>
        <w:pStyle w:val="NoIndentNormal"/>
        <w:ind w:left="3261" w:hanging="1276"/>
      </w:pPr>
      <m:oMath>
        <m:sSub>
          <m:sSubPr>
            <m:ctrlPr>
              <w:rPr>
                <w:rFonts w:ascii="Cambria Math" w:hAnsi="Cambria Math"/>
              </w:rPr>
            </m:ctrlPr>
          </m:sSubPr>
          <m:e>
            <m:r>
              <w:rPr>
                <w:rFonts w:ascii="Cambria Math" w:hAnsi="Cambria Math"/>
              </w:rPr>
              <m:t>W</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=ln⁡(1+</m:t>
        </m:r>
        <m:sSub>
          <m:sSubPr>
            <m:ctrlPr>
              <w:rPr>
                <w:rFonts w:ascii="Cambria Math" w:hAnsi="Cambria Math"/>
              </w:rPr>
            </m:ctrlPr>
          </m:sSubPr>
          <m:e>
            <m:r>
              <w:rPr>
                <w:rFonts w:ascii="Cambria Math" w:hAnsi="Cambria Math"/>
              </w:rPr>
              <m:t>ε</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oMath>
      <w:r w:rsidR="00562699">
        <w:tab/>
      </w:r>
      <w:r w:rsidR="00562699">
        <w:tab/>
      </w:r>
      <w:r w:rsidR="00562699">
        <w:tab/>
      </w:r>
      <w:r w:rsidR="00562699">
        <w:tab/>
      </w:r>
      <w:r w:rsidR="00562699">
        <w:tab/>
      </w:r>
      <w:r w:rsidR="00562699">
        <w:tab/>
      </w:r>
      <w:r w:rsidR="00562699">
        <w:tab/>
        <w:t>(3)</w:t>
      </w:r>
    </w:p>
    <w:p w14:paraId="1360F8E4" w14:textId="2678CC34" w:rsidR="00562699" w:rsidRPr="00790D3A" w:rsidRDefault="00562699" w:rsidP="00124F6E">
      <w:r w:rsidRPr="00790D3A">
        <w:t xml:space="preserve">Three measures </w:t>
      </w:r>
      <w:r>
        <w:t xml:space="preserve">reflecting the asymmetry of firm-specific weekly returns </w:t>
      </w:r>
      <w:r w:rsidRPr="00790D3A">
        <w:t xml:space="preserve">are used as proxies </w:t>
      </w:r>
      <w:r>
        <w:t>for</w:t>
      </w:r>
      <w:r w:rsidRPr="00790D3A">
        <w:t xml:space="preserve"> stock price crash risk. The first proxy</w:t>
      </w:r>
      <w:r>
        <w:t>,</w:t>
      </w:r>
      <w:r w:rsidRPr="00790D3A">
        <w:t xml:space="preserve"> </w:t>
      </w:r>
      <m:oMath>
        <m:r>
          <w:rPr>
            <w:rFonts w:ascii="Cambria Math" w:hAnsi="Cambria Math"/>
          </w:rPr>
          <m:t>COUNT</m:t>
        </m:r>
      </m:oMath>
      <w:r>
        <w:t xml:space="preserve">, is based on the number of firm-specific weekly returns exceeding 3.20 standard deviations above and below the mean firm-specific weekly return over the fiscal year. </w:t>
      </w:r>
      <m:oMath>
        <m:r>
          <w:rPr>
            <w:rFonts w:ascii="Cambria Math" w:hAnsi="Cambria Math"/>
          </w:rPr>
          <m:t>COUNT</m:t>
        </m:r>
      </m:oMath>
      <w:r>
        <w:t xml:space="preserve"> equals downside minus upside frequencies. A higher value of </w:t>
      </w:r>
      <m:oMath>
        <m:r>
          <w:rPr>
            <w:rFonts w:ascii="Cambria Math" w:hAnsi="Cambria Math"/>
          </w:rPr>
          <m:t>COUNT</m:t>
        </m:r>
      </m:oMath>
      <w:r>
        <w:t xml:space="preserve"> indicates a higher frequency of crashes.</w:t>
      </w:r>
    </w:p>
    <w:p w14:paraId="0A390239" w14:textId="3CB1956D" w:rsidR="00562699" w:rsidRDefault="00562699" w:rsidP="00B70E79">
      <w:r w:rsidRPr="00790D3A">
        <w:t>The second proxy is the negative skewness of firm-specific weekly returns (</w:t>
      </w:r>
      <m:oMath>
        <m:r>
          <w:rPr>
            <w:rFonts w:ascii="Cambria Math" w:hAnsi="Cambria Math"/>
          </w:rPr>
          <m:t>NCSKEW</m:t>
        </m:r>
      </m:oMath>
      <w:r w:rsidRPr="00790D3A">
        <w:t>)</w:t>
      </w:r>
      <w:r>
        <w:t>,</w:t>
      </w:r>
      <w:r w:rsidRPr="00790D3A">
        <w:t xml:space="preserve"> calculated </w:t>
      </w:r>
      <w:r>
        <w:t>as follows:</w:t>
      </w:r>
    </w:p>
    <w:p w14:paraId="5D27D4AF" w14:textId="48C9881C" w:rsidR="00562699" w:rsidRPr="00790D3A" w:rsidRDefault="00562699" w:rsidP="00124F6E">
      <w:pPr>
        <w:pStyle w:val="Equations"/>
        <w:ind w:left="1276"/>
      </w:pPr>
      <m:oMath>
        <m:r>
          <m:t>NCSKEW=-</m:t>
        </m:r>
        <m:f>
          <m:fPr>
            <m:ctrlPr/>
          </m:fPr>
          <m:num>
            <m:r>
              <m:t>N</m:t>
            </m:r>
            <m:sSup>
              <m:sSupPr>
                <m:ctrlPr/>
              </m:sSupPr>
              <m:e>
                <m:r>
                  <m:t>(N-1)</m:t>
                </m:r>
              </m:e>
              <m:sup>
                <m:f>
                  <m:fPr>
                    <m:ctrlPr/>
                  </m:fPr>
                  <m:num>
                    <m:r>
                      <m:t>3</m:t>
                    </m:r>
                  </m:num>
                  <m:den>
                    <m:r>
                      <m:t>2</m:t>
                    </m:r>
                  </m:den>
                </m:f>
              </m:sup>
            </m:sSup>
            <m:nary>
              <m:naryPr>
                <m:chr m:val="∑"/>
                <m:limLoc m:val="undOvr"/>
                <m:subHide m:val="1"/>
                <m:supHide m:val="1"/>
                <m:ctrlPr/>
              </m:naryPr>
              <m:sub/>
              <m:sup/>
              <m:e>
                <m:sSubSup>
                  <m:sSubSupPr>
                    <m:ctrlPr/>
                  </m:sSubSupPr>
                  <m:e>
                    <m:r>
                      <m:t>W</m:t>
                    </m:r>
                  </m:e>
                  <m:sub>
                    <m:r>
                      <m:t>i,t</m:t>
                    </m:r>
                  </m:sub>
                  <m:sup>
                    <m:r>
                      <m:t>3</m:t>
                    </m:r>
                  </m:sup>
                </m:sSubSup>
              </m:e>
            </m:nary>
          </m:num>
          <m:den>
            <m:r>
              <m:t>(N-1)(N-2)</m:t>
            </m:r>
            <m:sSup>
              <m:sSupPr>
                <m:ctrlPr/>
              </m:sSupPr>
              <m:e>
                <m:r>
                  <m:t>(</m:t>
                </m:r>
                <m:nary>
                  <m:naryPr>
                    <m:chr m:val="∑"/>
                    <m:limLoc m:val="undOvr"/>
                    <m:subHide m:val="1"/>
                    <m:supHide m:val="1"/>
                    <m:ctrlPr/>
                  </m:naryPr>
                  <m:sub/>
                  <m:sup/>
                  <m:e>
                    <m:sSubSup>
                      <m:sSubSupPr>
                        <m:ctrlPr/>
                      </m:sSubSupPr>
                      <m:e>
                        <m:r>
                          <m:t>W</m:t>
                        </m:r>
                      </m:e>
                      <m:sub>
                        <m:r>
                          <m:t>i,t</m:t>
                        </m:r>
                      </m:sub>
                      <m:sup>
                        <m:r>
                          <m:t>2</m:t>
                        </m:r>
                      </m:sup>
                    </m:sSubSup>
                  </m:e>
                </m:nary>
                <m:r>
                  <m:t>)</m:t>
                </m:r>
              </m:e>
              <m:sup>
                <m:f>
                  <m:fPr>
                    <m:ctrlPr/>
                  </m:fPr>
                  <m:num>
                    <m:r>
                      <m:t>3</m:t>
                    </m:r>
                  </m:num>
                  <m:den>
                    <m:r>
                      <m:t>2</m:t>
                    </m:r>
                  </m:den>
                </m:f>
              </m:sup>
            </m:sSup>
          </m:den>
        </m:f>
      </m:oMath>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p>
    <w:p w14:paraId="32534ABC" w14:textId="57C682C0" w:rsidR="00562699" w:rsidRPr="00790D3A" w:rsidRDefault="00562699" w:rsidP="00124F6E">
      <w:pPr>
        <w:pStyle w:val="NoIndentNormal"/>
      </w:pPr>
      <w:r>
        <w:t>w</w:t>
      </w:r>
      <w:r w:rsidRPr="00790D3A">
        <w:t xml:space="preserve">here </w:t>
      </w:r>
      <m:oMath>
        <m:r>
          <w:rPr>
            <w:rFonts w:ascii="Cambria Math" w:hAnsi="Cambria Math"/>
          </w:rPr>
          <m:t>N</m:t>
        </m:r>
      </m:oMath>
      <w:r w:rsidRPr="00790D3A">
        <w:t xml:space="preserve"> is the number of firm-specific weekly returns of firm </w:t>
      </w:r>
      <m:oMath>
        <m:r>
          <w:rPr>
            <w:rFonts w:ascii="Cambria Math" w:hAnsi="Cambria Math"/>
          </w:rPr>
          <m:t>i</m:t>
        </m:r>
      </m:oMath>
      <w:r w:rsidRPr="00790D3A">
        <w:t xml:space="preserve"> in a fiscal year.</w:t>
      </w:r>
      <w:r>
        <w:t xml:space="preserve"> According to Chen</w:t>
      </w:r>
      <w:r w:rsidRPr="00B70E79">
        <w:t xml:space="preserve"> et al. (</w:t>
      </w:r>
      <w:r>
        <w:t xml:space="preserve">2001), scaling the raw third moment by the standard deviation cubed allows comparison of stocks with different variances, and is a common standardization method in skewness statistics. A negative sign in front of the third moment denotes that a higher value of </w:t>
      </w:r>
      <m:oMath>
        <m:r>
          <w:rPr>
            <w:rFonts w:ascii="Cambria Math" w:hAnsi="Cambria Math"/>
          </w:rPr>
          <m:t>NCSKEW</m:t>
        </m:r>
      </m:oMath>
      <w:r>
        <w:t xml:space="preserve"> indicates a higher level of crash risk (i.e., a more left-skewed distribution).</w:t>
      </w:r>
    </w:p>
    <w:p w14:paraId="4066CB5D" w14:textId="757BA091" w:rsidR="00562699" w:rsidRDefault="00562699" w:rsidP="00B70E79">
      <w:r w:rsidRPr="00790D3A">
        <w:lastRenderedPageBreak/>
        <w:t>The last proxy measures the down-to-up volatility of firm-specific weekly returns (</w:t>
      </w:r>
      <m:oMath>
        <m:r>
          <w:rPr>
            <w:rFonts w:ascii="Cambria Math" w:hAnsi="Cambria Math"/>
          </w:rPr>
          <m:t>DUVOL</m:t>
        </m:r>
      </m:oMath>
      <w:r w:rsidRPr="00790D3A">
        <w:t xml:space="preserve">). All weeks in a fiscal year are </w:t>
      </w:r>
      <w:r>
        <w:t xml:space="preserve">divided </w:t>
      </w:r>
      <w:r w:rsidRPr="00790D3A">
        <w:t>into two groups</w:t>
      </w:r>
      <w:r>
        <w:t>:</w:t>
      </w:r>
      <w:r w:rsidRPr="00790D3A">
        <w:t xml:space="preserve"> down weeks with firm-specific weekly return</w:t>
      </w:r>
      <w:r>
        <w:t>s</w:t>
      </w:r>
      <w:r w:rsidRPr="00790D3A">
        <w:t xml:space="preserve"> below the annual mean</w:t>
      </w:r>
      <w:r>
        <w:t>,</w:t>
      </w:r>
      <w:r w:rsidRPr="00790D3A">
        <w:t xml:space="preserve"> and up weeks with firm-specific weekly return</w:t>
      </w:r>
      <w:r>
        <w:t>s</w:t>
      </w:r>
      <w:r w:rsidRPr="00790D3A">
        <w:t xml:space="preserve"> above the annual mean. </w:t>
      </w:r>
      <m:oMath>
        <m:r>
          <w:rPr>
            <w:rFonts w:ascii="Cambria Math" w:hAnsi="Cambria Math"/>
          </w:rPr>
          <m:t>DUVOL</m:t>
        </m:r>
      </m:oMath>
      <w:r w:rsidRPr="00790D3A">
        <w:t xml:space="preserve"> is the natural logarithm of the ratio of the standard deviation of firm</w:t>
      </w:r>
      <w:r>
        <w:t>-specific</w:t>
      </w:r>
      <w:r w:rsidRPr="00790D3A">
        <w:t xml:space="preserve"> weekly returns in down weeks to that in up weeks</w:t>
      </w:r>
      <w:r>
        <w:t>:</w:t>
      </w:r>
    </w:p>
    <w:p w14:paraId="3189E1CF" w14:textId="1E05087F" w:rsidR="00562699" w:rsidRPr="00790D3A" w:rsidRDefault="00562699" w:rsidP="00124F6E">
      <w:pPr>
        <w:pStyle w:val="Equations"/>
        <w:ind w:left="1276"/>
      </w:pPr>
      <m:oMath>
        <m:r>
          <m:t>DUVOL=</m:t>
        </m:r>
        <m:func>
          <m:funcPr>
            <m:ctrlPr/>
          </m:funcPr>
          <m:fName>
            <m:r>
              <m:t>ln</m:t>
            </m:r>
          </m:fName>
          <m:e>
            <m:d>
              <m:dPr>
                <m:ctrlPr/>
              </m:dPr>
              <m:e>
                <m:f>
                  <m:fPr>
                    <m:ctrlPr/>
                  </m:fPr>
                  <m:num>
                    <m:d>
                      <m:dPr>
                        <m:ctrlPr/>
                      </m:dPr>
                      <m:e>
                        <m:sSub>
                          <m:sSubPr>
                            <m:ctrlPr/>
                          </m:sSubPr>
                          <m:e>
                            <m:r>
                              <m:t>N</m:t>
                            </m:r>
                          </m:e>
                          <m:sub>
                            <m:r>
                              <m:t>U</m:t>
                            </m:r>
                          </m:sub>
                        </m:sSub>
                        <m:r>
                          <m:t>-1</m:t>
                        </m:r>
                      </m:e>
                    </m:d>
                    <m:nary>
                      <m:naryPr>
                        <m:chr m:val="∑"/>
                        <m:limLoc m:val="undOvr"/>
                        <m:subHide m:val="1"/>
                        <m:supHide m:val="1"/>
                        <m:ctrlPr/>
                      </m:naryPr>
                      <m:sub/>
                      <m:sup/>
                      <m:e>
                        <m:sSubSup>
                          <m:sSubSupPr>
                            <m:ctrlPr/>
                          </m:sSubSupPr>
                          <m:e>
                            <m:r>
                              <m:t>W</m:t>
                            </m:r>
                          </m:e>
                          <m:sub>
                            <m:sSub>
                              <m:sSubPr>
                                <m:ctrlPr/>
                              </m:sSubPr>
                              <m:e>
                                <m:r>
                                  <m:t>i</m:t>
                                </m:r>
                              </m:e>
                              <m:sub>
                                <m:r>
                                  <m:t>D</m:t>
                                </m:r>
                              </m:sub>
                            </m:sSub>
                            <m:r>
                              <m:t>,t</m:t>
                            </m:r>
                          </m:sub>
                          <m:sup>
                            <m:r>
                              <m:t>2</m:t>
                            </m:r>
                          </m:sup>
                        </m:sSubSup>
                      </m:e>
                    </m:nary>
                  </m:num>
                  <m:den>
                    <m:d>
                      <m:dPr>
                        <m:ctrlPr/>
                      </m:dPr>
                      <m:e>
                        <m:sSub>
                          <m:sSubPr>
                            <m:ctrlPr/>
                          </m:sSubPr>
                          <m:e>
                            <m:r>
                              <m:t>N</m:t>
                            </m:r>
                          </m:e>
                          <m:sub>
                            <m:r>
                              <m:t>D</m:t>
                            </m:r>
                          </m:sub>
                        </m:sSub>
                        <m:r>
                          <m:t>-1</m:t>
                        </m:r>
                      </m:e>
                    </m:d>
                    <m:nary>
                      <m:naryPr>
                        <m:chr m:val="∑"/>
                        <m:limLoc m:val="undOvr"/>
                        <m:subHide m:val="1"/>
                        <m:supHide m:val="1"/>
                        <m:ctrlPr/>
                      </m:naryPr>
                      <m:sub/>
                      <m:sup/>
                      <m:e>
                        <m:sSubSup>
                          <m:sSubSupPr>
                            <m:ctrlPr/>
                          </m:sSubSupPr>
                          <m:e>
                            <m:r>
                              <m:t>W</m:t>
                            </m:r>
                          </m:e>
                          <m:sub>
                            <m:sSub>
                              <m:sSubPr>
                                <m:ctrlPr/>
                              </m:sSubPr>
                              <m:e>
                                <m:r>
                                  <m:t>i</m:t>
                                </m:r>
                              </m:e>
                              <m:sub>
                                <m:r>
                                  <m:t>U</m:t>
                                </m:r>
                              </m:sub>
                            </m:sSub>
                            <m:r>
                              <m:t>,t</m:t>
                            </m:r>
                          </m:sub>
                          <m:sup>
                            <m:r>
                              <m:t>2</m:t>
                            </m:r>
                          </m:sup>
                        </m:sSubSup>
                      </m:e>
                    </m:nary>
                  </m:den>
                </m:f>
              </m:e>
            </m:d>
          </m:e>
        </m:func>
      </m:oMath>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w:t>
      </w:r>
    </w:p>
    <w:p w14:paraId="085ADA95" w14:textId="1D42DA83" w:rsidR="00562699" w:rsidRDefault="00562699" w:rsidP="00124F6E">
      <w:pPr>
        <w:pStyle w:val="NoIndentNormal"/>
      </w:pPr>
      <w:r>
        <w:t>w</w:t>
      </w:r>
      <w:r w:rsidRPr="00790D3A">
        <w:t xml:space="preserve">here </w:t>
      </w:r>
      <m:oMath>
        <m:sSub>
          <m:sSubPr>
            <m:ctrlPr>
              <w:rPr>
                <w:rFonts w:ascii="Cambria Math" w:hAnsi="Cambria Math"/>
                <w:i/>
              </w:rPr>
            </m:ctrlPr>
          </m:sSubPr>
          <m:e>
            <m:r>
              <w:rPr>
                <w:rFonts w:ascii="Cambria Math" w:hAnsi="Cambria Math"/>
              </w:rPr>
              <m:t>W</m:t>
            </m:r>
          </m:e>
          <m:sub>
            <m:sSub>
              <m:sSubPr>
                <m:ctrlPr>
                  <w:rPr>
                    <w:rFonts w:ascii="Cambria Math" w:hAnsi="Cambria Math"/>
                    <w:i/>
                  </w:rPr>
                </m:ctrlPr>
              </m:sSubPr>
              <m:e>
                <m:r>
                  <w:rPr>
                    <w:rFonts w:ascii="Cambria Math" w:hAnsi="Cambria Math"/>
                  </w:rPr>
                  <m:t>i</m:t>
                </m:r>
              </m:e>
              <m:sub>
                <m:r>
                  <w:rPr>
                    <w:rFonts w:ascii="Cambria Math" w:hAnsi="Cambria Math"/>
                  </w:rPr>
                  <m:t>D</m:t>
                </m:r>
              </m:sub>
            </m:s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W</m:t>
            </m:r>
          </m:e>
          <m:sub>
            <m:sSub>
              <m:sSubPr>
                <m:ctrlPr>
                  <w:rPr>
                    <w:rFonts w:ascii="Cambria Math" w:hAnsi="Cambria Math"/>
                    <w:i/>
                  </w:rPr>
                </m:ctrlPr>
              </m:sSubPr>
              <m:e>
                <m:r>
                  <w:rPr>
                    <w:rFonts w:ascii="Cambria Math" w:hAnsi="Cambria Math"/>
                  </w:rPr>
                  <m:t>i</m:t>
                </m:r>
              </m:e>
              <m:sub>
                <m:r>
                  <w:rPr>
                    <w:rFonts w:ascii="Cambria Math" w:hAnsi="Cambria Math"/>
                  </w:rPr>
                  <m:t>U</m:t>
                </m:r>
              </m:sub>
            </m:sSub>
            <m:r>
              <w:rPr>
                <w:rFonts w:ascii="Cambria Math" w:hAnsi="Cambria Math"/>
              </w:rPr>
              <m:t>,t</m:t>
            </m:r>
          </m:sub>
        </m:sSub>
      </m:oMath>
      <w:r w:rsidRPr="00790D3A">
        <w:t xml:space="preserve"> is firm </w:t>
      </w:r>
      <m:oMath>
        <m:r>
          <w:rPr>
            <w:rFonts w:ascii="Cambria Math" w:hAnsi="Cambria Math"/>
          </w:rPr>
          <m:t>i</m:t>
        </m:r>
      </m:oMath>
      <w:r w:rsidRPr="00790D3A">
        <w:t xml:space="preserve">’s firm-specific weekly return in a down/up week, and </w:t>
      </w:r>
      <m:oMath>
        <m:sSub>
          <m:sSubPr>
            <m:ctrlPr>
              <w:rPr>
                <w:rFonts w:ascii="Cambria Math" w:hAnsi="Cambria Math"/>
                <w:i/>
              </w:rPr>
            </m:ctrlPr>
          </m:sSubPr>
          <m:e>
            <m:r>
              <w:rPr>
                <w:rFonts w:ascii="Cambria Math" w:hAnsi="Cambria Math"/>
              </w:rPr>
              <m:t>N</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U</m:t>
            </m:r>
          </m:sub>
        </m:sSub>
      </m:oMath>
      <w:r w:rsidRPr="00790D3A">
        <w:t xml:space="preserve"> is the number of down/up weeks in a fiscal year.</w:t>
      </w:r>
      <w:r>
        <w:t xml:space="preserve"> A higher value of </w:t>
      </w:r>
      <m:oMath>
        <m:r>
          <w:rPr>
            <w:rFonts w:ascii="Cambria Math" w:hAnsi="Cambria Math"/>
          </w:rPr>
          <m:t>DUVOL</m:t>
        </m:r>
      </m:oMath>
      <w:r>
        <w:t xml:space="preserve"> (i.e., a more left-skewed distribution) indicates that a stock is more “crash prone”.</w:t>
      </w:r>
    </w:p>
    <w:p w14:paraId="20803556" w14:textId="17ABCA5E" w:rsidR="00562699" w:rsidRPr="00F37C2B" w:rsidRDefault="00562699">
      <w:pPr>
        <w:pStyle w:val="Heading2"/>
      </w:pPr>
      <w:r w:rsidRPr="00F37C2B">
        <w:t xml:space="preserve">Measuring </w:t>
      </w:r>
      <w:r>
        <w:t>Conference Call Disclosure T</w:t>
      </w:r>
      <w:r w:rsidRPr="00F37C2B">
        <w:t>one</w:t>
      </w:r>
    </w:p>
    <w:p w14:paraId="611A70F8" w14:textId="6593856B" w:rsidR="00562699" w:rsidRDefault="00562699" w:rsidP="003E49E8">
      <w:pPr>
        <w:pStyle w:val="NoIndentNormal"/>
      </w:pPr>
      <w:r>
        <w:t>Our independent variable of interest is the tone of conference calls, measured using the frequency of positive and negative words in sample call transcripts.</w:t>
      </w:r>
      <w:r w:rsidRPr="00BA08C5">
        <w:rPr>
          <w:rStyle w:val="EndnoteReference"/>
          <w:rFonts w:cs="Times New Roman"/>
        </w:rPr>
        <w:endnoteReference w:id="5"/>
      </w:r>
      <w:r>
        <w:t xml:space="preserve"> We rely on positive and negative wordlists from Loughran and McDonald’s dictionary,</w:t>
      </w:r>
      <w:r>
        <w:rPr>
          <w:rStyle w:val="EndnoteReference"/>
        </w:rPr>
        <w:endnoteReference w:id="6"/>
      </w:r>
      <w:r>
        <w:t xml:space="preserve"> which</w:t>
      </w:r>
      <w:r w:rsidRPr="00745C4C">
        <w:t xml:space="preserve"> was specifically developed for financial </w:t>
      </w:r>
      <w:r>
        <w:t>disclosures</w:t>
      </w:r>
      <w:r w:rsidRPr="00745C4C">
        <w:t xml:space="preserve"> and is one of the most widely-used and comprehensive dictionaries for tone measurement in financial documents.</w:t>
      </w:r>
      <w:r>
        <w:t xml:space="preserve"> </w:t>
      </w:r>
    </w:p>
    <w:p w14:paraId="4F40BF48" w14:textId="3F6F8277" w:rsidR="00562699" w:rsidRPr="00C5616C" w:rsidRDefault="00562699" w:rsidP="00124F6E">
      <w:r>
        <w:t>We calculate the tone of the whole call (</w:t>
      </w:r>
      <m:oMath>
        <m:r>
          <w:rPr>
            <w:rFonts w:ascii="Cambria Math" w:hAnsi="Cambria Math"/>
          </w:rPr>
          <m:t>TONE_C</m:t>
        </m:r>
      </m:oMath>
      <w:r>
        <w:t>), the presentation section (</w:t>
      </w:r>
      <m:oMath>
        <m:r>
          <w:rPr>
            <w:rFonts w:ascii="Cambria Math" w:hAnsi="Cambria Math"/>
          </w:rPr>
          <m:t>TONE_P</m:t>
        </m:r>
      </m:oMath>
      <w:r>
        <w:t>) and the Q&amp;A section (</w:t>
      </w:r>
      <m:oMath>
        <m:r>
          <w:rPr>
            <w:rFonts w:ascii="Cambria Math" w:hAnsi="Cambria Math"/>
          </w:rPr>
          <m:t>TONE_Q</m:t>
        </m:r>
      </m:oMath>
      <w:r>
        <w:t xml:space="preserve">) as the difference between the numbers of positive and negative words scaled by the total number of words in the call or specific section. We also calculate managers’ (participants’) tone, </w:t>
      </w:r>
      <m:oMath>
        <m:r>
          <w:rPr>
            <w:rFonts w:ascii="Cambria Math" w:hAnsi="Cambria Math"/>
          </w:rPr>
          <m:t>TONE_MAN</m:t>
        </m:r>
      </m:oMath>
      <w:r>
        <w:t xml:space="preserve"> (</w:t>
      </w:r>
      <m:oMath>
        <m:r>
          <w:rPr>
            <w:rFonts w:ascii="Cambria Math" w:hAnsi="Cambria Math"/>
          </w:rPr>
          <m:t>TONE_PAR</m:t>
        </m:r>
      </m:oMath>
      <w:r>
        <w:t>) as the difference between positive and negative words scaled by the total words spoken by managers (participants) during the Q&amp;A section. Higher values of tone variables indicate higher levels of optimism.</w:t>
      </w:r>
      <w:r w:rsidRPr="00790D3A">
        <w:rPr>
          <w:vertAlign w:val="superscript"/>
        </w:rPr>
        <w:endnoteReference w:id="7"/>
      </w:r>
    </w:p>
    <w:p w14:paraId="01F717B5" w14:textId="390FAC25" w:rsidR="00562699" w:rsidRPr="00E754C5" w:rsidRDefault="00562699">
      <w:pPr>
        <w:pStyle w:val="Heading2"/>
        <w:rPr>
          <w:i/>
        </w:rPr>
      </w:pPr>
      <w:r w:rsidRPr="00F37C2B">
        <w:lastRenderedPageBreak/>
        <w:t xml:space="preserve">Control </w:t>
      </w:r>
      <w:r>
        <w:t>V</w:t>
      </w:r>
      <w:r w:rsidRPr="00F37C2B">
        <w:t>ariables</w:t>
      </w:r>
    </w:p>
    <w:p w14:paraId="038A8BB7" w14:textId="2DA51585" w:rsidR="00562699" w:rsidRPr="00175C30" w:rsidRDefault="00562699" w:rsidP="003E49E8">
      <w:pPr>
        <w:pStyle w:val="NoIndentNormal"/>
      </w:pPr>
      <w:r>
        <w:t>The</w:t>
      </w:r>
      <w:r w:rsidRPr="002F12A0">
        <w:t xml:space="preserve"> control variables in </w:t>
      </w:r>
      <w:r>
        <w:t xml:space="preserve">our </w:t>
      </w:r>
      <w:r w:rsidRPr="002F12A0">
        <w:t xml:space="preserve">regression models </w:t>
      </w:r>
      <w:r>
        <w:t>f</w:t>
      </w:r>
      <w:r w:rsidRPr="002F12A0">
        <w:t xml:space="preserve">ollow </w:t>
      </w:r>
      <w:r>
        <w:t>previous</w:t>
      </w:r>
      <w:r w:rsidRPr="002F12A0">
        <w:t xml:space="preserve"> research on</w:t>
      </w:r>
      <w:r>
        <w:t xml:space="preserve"> </w:t>
      </w:r>
      <w:r w:rsidRPr="002A6121">
        <w:rPr>
          <w:rFonts w:cs="Times New Roman"/>
        </w:rPr>
        <w:t xml:space="preserve">stock </w:t>
      </w:r>
      <w:r>
        <w:t>price</w:t>
      </w:r>
      <w:r w:rsidRPr="002F12A0">
        <w:t xml:space="preserve"> crash risk (Andreou</w:t>
      </w:r>
      <w:r w:rsidRPr="00B70E79">
        <w:t xml:space="preserve"> </w:t>
      </w:r>
      <w:r w:rsidRPr="00124F6E">
        <w:t>et al</w:t>
      </w:r>
      <w:r w:rsidRPr="00B70E79">
        <w:t>.</w:t>
      </w:r>
      <w:r w:rsidRPr="002F12A0">
        <w:t xml:space="preserve"> 2016; Chen</w:t>
      </w:r>
      <w:r w:rsidRPr="00B70E79">
        <w:t xml:space="preserve"> </w:t>
      </w:r>
      <w:r w:rsidRPr="00124F6E">
        <w:t>et al</w:t>
      </w:r>
      <w:r w:rsidRPr="00B70E79">
        <w:t>.</w:t>
      </w:r>
      <w:r w:rsidRPr="002F12A0">
        <w:t xml:space="preserve"> 2001; DeFond </w:t>
      </w:r>
      <w:r w:rsidRPr="00124F6E">
        <w:rPr>
          <w:iCs/>
        </w:rPr>
        <w:t>et al</w:t>
      </w:r>
      <w:r w:rsidRPr="00B70E79">
        <w:rPr>
          <w:iCs/>
        </w:rPr>
        <w:t xml:space="preserve">. </w:t>
      </w:r>
      <w:r w:rsidRPr="002F12A0">
        <w:t xml:space="preserve">2015; Hutton </w:t>
      </w:r>
      <w:r w:rsidRPr="00124F6E">
        <w:rPr>
          <w:iCs/>
        </w:rPr>
        <w:t>et al</w:t>
      </w:r>
      <w:r w:rsidRPr="00B70E79">
        <w:rPr>
          <w:iCs/>
        </w:rPr>
        <w:t>.</w:t>
      </w:r>
      <w:r w:rsidRPr="002F12A0">
        <w:t xml:space="preserve"> 2009; Kim and Zhang 2016; Kim</w:t>
      </w:r>
      <w:r w:rsidRPr="00B70E79">
        <w:t xml:space="preserve"> </w:t>
      </w:r>
      <w:r w:rsidRPr="00124F6E">
        <w:t>et al</w:t>
      </w:r>
      <w:r w:rsidRPr="00B70E79">
        <w:t xml:space="preserve">. </w:t>
      </w:r>
      <w:r w:rsidRPr="002F12A0">
        <w:t xml:space="preserve">2016). </w:t>
      </w:r>
      <w:r>
        <w:t>T</w:t>
      </w:r>
      <w:r w:rsidRPr="002F12A0">
        <w:t>o control for investor belief heterogeneity, we include the detrended stock trading volume (</w:t>
      </w:r>
      <m:oMath>
        <m:r>
          <w:rPr>
            <w:rFonts w:ascii="Cambria Math" w:hAnsi="Cambria Math"/>
          </w:rPr>
          <m:t>∆TURNOVER</m:t>
        </m:r>
      </m:oMath>
      <w:r w:rsidRPr="002F12A0">
        <w:t>) to measure difference</w:t>
      </w:r>
      <w:r>
        <w:t>s</w:t>
      </w:r>
      <w:r w:rsidRPr="002F12A0">
        <w:t xml:space="preserve"> of opinion among investors. To capture the potential persistence of the third moment of stock returns and address concerns about dynamic endogeneity, we use the lag value of the negative skewness of past firm-specific stock returns (</w:t>
      </w:r>
      <m:oMath>
        <m:r>
          <w:rPr>
            <w:rFonts w:ascii="Cambria Math" w:hAnsi="Cambria Math"/>
          </w:rPr>
          <m:t>NCSKEW</m:t>
        </m:r>
      </m:oMath>
      <w:r w:rsidRPr="002F12A0">
        <w:t xml:space="preserve">) as a control variable. </w:t>
      </w:r>
      <w:r>
        <w:t>S</w:t>
      </w:r>
      <w:r w:rsidRPr="002F12A0">
        <w:t xml:space="preserve">tocks with higher past returns and higher volatilities </w:t>
      </w:r>
      <w:r>
        <w:t>have greater potential</w:t>
      </w:r>
      <w:r w:rsidRPr="002F12A0">
        <w:t xml:space="preserve"> to experience crashes</w:t>
      </w:r>
      <w:r>
        <w:t>; therefore,</w:t>
      </w:r>
      <w:r w:rsidRPr="002F12A0">
        <w:t xml:space="preserve"> the average and standard deviation of firm-specific weekly return (</w:t>
      </w:r>
      <m:oMath>
        <m:r>
          <w:rPr>
            <w:rFonts w:ascii="Cambria Math" w:hAnsi="Cambria Math"/>
          </w:rPr>
          <m:t>MEANFSRET</m:t>
        </m:r>
      </m:oMath>
      <w:r w:rsidRPr="002F12A0">
        <w:t xml:space="preserve"> and </w:t>
      </w:r>
      <m:oMath>
        <m:r>
          <w:rPr>
            <w:rFonts w:ascii="Cambria Math" w:hAnsi="Cambria Math"/>
          </w:rPr>
          <m:t>STDFSRET</m:t>
        </m:r>
      </m:oMath>
      <w:r w:rsidRPr="002F12A0">
        <w:t>) over the previous year are included in the regression. In addition,</w:t>
      </w:r>
      <w:r>
        <w:t xml:space="preserve"> conference call discussions and tone may reflect firm fundamentals and historical performance. To control for firm performance and the discussion content of calls, various</w:t>
      </w:r>
      <w:r w:rsidRPr="002F12A0">
        <w:t xml:space="preserve"> </w:t>
      </w:r>
      <w:r>
        <w:t xml:space="preserve">quantitative performance and fundamental </w:t>
      </w:r>
      <w:r w:rsidRPr="002F12A0">
        <w:t xml:space="preserve">characteristics are </w:t>
      </w:r>
      <w:r>
        <w:t>considered</w:t>
      </w:r>
      <w:r w:rsidRPr="002F12A0">
        <w:t>:</w:t>
      </w:r>
      <w:r>
        <w:t xml:space="preserve"> firm size (</w:t>
      </w:r>
      <m:oMath>
        <m:r>
          <w:rPr>
            <w:rFonts w:ascii="Cambria Math" w:hAnsi="Cambria Math"/>
          </w:rPr>
          <m:t>SIZE</m:t>
        </m:r>
      </m:oMath>
      <w:r>
        <w:t>), which is the natural logarithm of a firm’s market capitalization; market-to-book ratio (</w:t>
      </w:r>
      <m:oMath>
        <m:r>
          <w:rPr>
            <w:rFonts w:ascii="Cambria Math" w:hAnsi="Cambria Math"/>
          </w:rPr>
          <m:t>MTB</m:t>
        </m:r>
      </m:oMath>
      <w:r>
        <w:t>); financial leverage (</w:t>
      </w:r>
      <m:oMath>
        <m:r>
          <w:rPr>
            <w:rFonts w:ascii="Cambria Math" w:hAnsi="Cambria Math"/>
          </w:rPr>
          <m:t>LEV</m:t>
        </m:r>
      </m:oMath>
      <w:r>
        <w:t>), which is the ratio of long-term debt to total assets; and return on assets (</w:t>
      </w:r>
      <m:oMath>
        <m:r>
          <w:rPr>
            <w:rFonts w:ascii="Cambria Math" w:hAnsi="Cambria Math"/>
          </w:rPr>
          <m:t>ROA</m:t>
        </m:r>
      </m:oMath>
      <w:r>
        <w:t>). Finally, given analysts’ important role in firms’ information environment, we include the natural logarithm of the number of analysts following the firm (</w:t>
      </w:r>
      <m:oMath>
        <m:r>
          <w:rPr>
            <w:rFonts w:ascii="Cambria Math" w:eastAsia="Times New Roman" w:hAnsi="Cambria Math" w:cs="Times New Roman"/>
            <w:color w:val="000000"/>
            <w:lang w:val="en-GB"/>
          </w:rPr>
          <m:t>#ANALYSTS</m:t>
        </m:r>
      </m:oMath>
      <w:r>
        <w:t>).</w:t>
      </w:r>
    </w:p>
    <w:p w14:paraId="751E8ADF" w14:textId="44209E8E" w:rsidR="00562699" w:rsidRPr="00175C30" w:rsidRDefault="00562699">
      <w:pPr>
        <w:pStyle w:val="Heading1"/>
      </w:pPr>
      <w:r w:rsidRPr="00005A54">
        <w:t>Empirical Results</w:t>
      </w:r>
    </w:p>
    <w:p w14:paraId="2FC29156" w14:textId="3E1124DF" w:rsidR="00562699" w:rsidRPr="00E754C5" w:rsidRDefault="00562699">
      <w:pPr>
        <w:pStyle w:val="Heading2"/>
        <w:rPr>
          <w:i/>
        </w:rPr>
      </w:pPr>
      <w:r w:rsidRPr="00F37C2B">
        <w:t xml:space="preserve">Descriptive </w:t>
      </w:r>
      <w:r>
        <w:t>S</w:t>
      </w:r>
      <w:r w:rsidRPr="00F37C2B">
        <w:t>tatistics</w:t>
      </w:r>
    </w:p>
    <w:p w14:paraId="343A9C22" w14:textId="31376273" w:rsidR="00562699" w:rsidRDefault="00562699" w:rsidP="003E49E8">
      <w:pPr>
        <w:pStyle w:val="NoIndentNormal"/>
      </w:pPr>
      <w:r>
        <w:t>I</w:t>
      </w:r>
      <w:r w:rsidRPr="00541386">
        <w:t xml:space="preserve">n testing whether conference call tone </w:t>
      </w:r>
      <w:r>
        <w:t>may</w:t>
      </w:r>
      <w:r w:rsidRPr="00541386">
        <w:t xml:space="preserve"> predict stock price crash risk</w:t>
      </w:r>
      <w:r>
        <w:t>, t</w:t>
      </w:r>
      <w:r w:rsidRPr="00541386">
        <w:t xml:space="preserve">he key underlying assumptions are </w:t>
      </w:r>
      <w:r>
        <w:t xml:space="preserve">that </w:t>
      </w:r>
      <w:r w:rsidRPr="00541386">
        <w:t>th</w:t>
      </w:r>
      <w:r>
        <w:t>is</w:t>
      </w:r>
      <w:r w:rsidRPr="00541386">
        <w:t xml:space="preserve"> risk reflects firm-specific information</w:t>
      </w:r>
      <w:r>
        <w:t>,</w:t>
      </w:r>
      <w:r w:rsidRPr="00541386">
        <w:t xml:space="preserve"> and that managers possess private information about </w:t>
      </w:r>
      <w:r>
        <w:t>it</w:t>
      </w:r>
      <w:r w:rsidRPr="00541386">
        <w:t>. To justify the</w:t>
      </w:r>
      <w:r>
        <w:t>se</w:t>
      </w:r>
      <w:r w:rsidRPr="00541386">
        <w:t xml:space="preserve"> assumptions, we randomly select</w:t>
      </w:r>
      <w:r>
        <w:t>ed</w:t>
      </w:r>
      <w:r w:rsidRPr="00541386">
        <w:t xml:space="preserve"> 50 crash events</w:t>
      </w:r>
      <w:r>
        <w:t>,</w:t>
      </w:r>
      <w:r w:rsidRPr="00541386">
        <w:t xml:space="preserve"> identif</w:t>
      </w:r>
      <w:r>
        <w:t>ied</w:t>
      </w:r>
      <w:r w:rsidRPr="00541386">
        <w:t xml:space="preserve"> relevant news in </w:t>
      </w:r>
      <w:r>
        <w:t xml:space="preserve">the </w:t>
      </w:r>
      <w:r w:rsidRPr="00541386">
        <w:t xml:space="preserve">crash weeks </w:t>
      </w:r>
      <w:r>
        <w:t>through</w:t>
      </w:r>
      <w:r w:rsidRPr="00541386">
        <w:t xml:space="preserve"> Nexis</w:t>
      </w:r>
      <w:r>
        <w:t>,</w:t>
      </w:r>
      <w:r w:rsidRPr="00541386">
        <w:t xml:space="preserve"> and </w:t>
      </w:r>
      <w:r>
        <w:t xml:space="preserve">analyzed </w:t>
      </w:r>
      <w:r w:rsidRPr="00541386">
        <w:t xml:space="preserve">the nature of </w:t>
      </w:r>
      <w:r w:rsidRPr="00541386">
        <w:lastRenderedPageBreak/>
        <w:t>th</w:t>
      </w:r>
      <w:r>
        <w:t>is</w:t>
      </w:r>
      <w:r w:rsidRPr="00541386">
        <w:t xml:space="preserve"> news. </w:t>
      </w:r>
      <w:r>
        <w:t>The r</w:t>
      </w:r>
      <w:r w:rsidRPr="00541386">
        <w:t xml:space="preserve">esults are presented in Table 2 Panel A. </w:t>
      </w:r>
      <w:r>
        <w:rPr>
          <w:rFonts w:cs="Times New Roman"/>
        </w:rPr>
        <w:t>W</w:t>
      </w:r>
      <w:r w:rsidRPr="00541386">
        <w:rPr>
          <w:rFonts w:cs="Times New Roman"/>
        </w:rPr>
        <w:t>e find that 28 of the</w:t>
      </w:r>
      <w:r>
        <w:rPr>
          <w:rFonts w:cs="Times New Roman"/>
        </w:rPr>
        <w:t>se crash events</w:t>
      </w:r>
      <w:r w:rsidRPr="00541386">
        <w:rPr>
          <w:rFonts w:cs="Times New Roman"/>
        </w:rPr>
        <w:t xml:space="preserve"> </w:t>
      </w:r>
      <w:r>
        <w:rPr>
          <w:rFonts w:cs="Times New Roman"/>
        </w:rPr>
        <w:t>were</w:t>
      </w:r>
      <w:r w:rsidRPr="00541386">
        <w:rPr>
          <w:rFonts w:cs="Times New Roman"/>
        </w:rPr>
        <w:t xml:space="preserve"> accompanied </w:t>
      </w:r>
      <w:r>
        <w:rPr>
          <w:rFonts w:cs="Times New Roman"/>
        </w:rPr>
        <w:t>by</w:t>
      </w:r>
      <w:r w:rsidRPr="00541386">
        <w:rPr>
          <w:rFonts w:cs="Times New Roman"/>
        </w:rPr>
        <w:t xml:space="preserve"> firm</w:t>
      </w:r>
      <w:r>
        <w:rPr>
          <w:rFonts w:cs="Times New Roman"/>
        </w:rPr>
        <w:t>-specific</w:t>
      </w:r>
      <w:r w:rsidRPr="00541386">
        <w:rPr>
          <w:rFonts w:cs="Times New Roman"/>
        </w:rPr>
        <w:t xml:space="preserve"> news in that week</w:t>
      </w:r>
      <w:r>
        <w:rPr>
          <w:rFonts w:cs="Times New Roman"/>
        </w:rPr>
        <w:t>.</w:t>
      </w:r>
      <w:r w:rsidRPr="00541386">
        <w:rPr>
          <w:rFonts w:cs="Times New Roman"/>
        </w:rPr>
        <w:t xml:space="preserve"> </w:t>
      </w:r>
      <w:r>
        <w:rPr>
          <w:rFonts w:cs="Times New Roman"/>
        </w:rPr>
        <w:t>T</w:t>
      </w:r>
      <w:r w:rsidRPr="00541386">
        <w:rPr>
          <w:rFonts w:cs="Times New Roman"/>
        </w:rPr>
        <w:t>h</w:t>
      </w:r>
      <w:r>
        <w:rPr>
          <w:rFonts w:cs="Times New Roman"/>
        </w:rPr>
        <w:t>is</w:t>
      </w:r>
      <w:r w:rsidRPr="00541386">
        <w:rPr>
          <w:rFonts w:cs="Times New Roman"/>
        </w:rPr>
        <w:t xml:space="preserve"> news </w:t>
      </w:r>
      <w:r>
        <w:rPr>
          <w:rFonts w:cs="Times New Roman"/>
        </w:rPr>
        <w:t>was</w:t>
      </w:r>
      <w:r w:rsidRPr="00541386">
        <w:rPr>
          <w:rFonts w:cs="Times New Roman"/>
        </w:rPr>
        <w:t xml:space="preserve"> largely performance- or operation</w:t>
      </w:r>
      <w:r>
        <w:rPr>
          <w:rFonts w:cs="Times New Roman"/>
        </w:rPr>
        <w:t>s</w:t>
      </w:r>
      <w:r w:rsidRPr="00541386">
        <w:rPr>
          <w:rFonts w:cs="Times New Roman"/>
        </w:rPr>
        <w:t>-related, such as corporate expansion, change of distributor</w:t>
      </w:r>
      <w:r>
        <w:rPr>
          <w:rFonts w:cs="Times New Roman"/>
        </w:rPr>
        <w:t xml:space="preserve"> or</w:t>
      </w:r>
      <w:r w:rsidRPr="00541386">
        <w:rPr>
          <w:rFonts w:cs="Times New Roman"/>
        </w:rPr>
        <w:t xml:space="preserve"> manager</w:t>
      </w:r>
      <w:r>
        <w:rPr>
          <w:rFonts w:cs="Times New Roman"/>
        </w:rPr>
        <w:t>, or</w:t>
      </w:r>
      <w:r w:rsidRPr="00541386">
        <w:rPr>
          <w:rFonts w:cs="Times New Roman"/>
        </w:rPr>
        <w:t xml:space="preserve"> acquisition announcements. The nature of the</w:t>
      </w:r>
      <w:r>
        <w:rPr>
          <w:rFonts w:cs="Times New Roman"/>
        </w:rPr>
        <w:t>se</w:t>
      </w:r>
      <w:r w:rsidRPr="00541386">
        <w:rPr>
          <w:rFonts w:cs="Times New Roman"/>
        </w:rPr>
        <w:t xml:space="preserve"> </w:t>
      </w:r>
      <w:r>
        <w:rPr>
          <w:rFonts w:cs="Times New Roman"/>
        </w:rPr>
        <w:t xml:space="preserve">news </w:t>
      </w:r>
      <w:r w:rsidRPr="00541386">
        <w:rPr>
          <w:rFonts w:cs="Times New Roman"/>
        </w:rPr>
        <w:t xml:space="preserve">events suggests that, </w:t>
      </w:r>
      <w:r>
        <w:rPr>
          <w:rFonts w:cs="Times New Roman"/>
        </w:rPr>
        <w:t>in many cases</w:t>
      </w:r>
      <w:r w:rsidRPr="00541386">
        <w:rPr>
          <w:rFonts w:cs="Times New Roman"/>
        </w:rPr>
        <w:t>, managers ha</w:t>
      </w:r>
      <w:r>
        <w:rPr>
          <w:rFonts w:cs="Times New Roman"/>
        </w:rPr>
        <w:t>d</w:t>
      </w:r>
      <w:r w:rsidRPr="00541386">
        <w:rPr>
          <w:rFonts w:cs="Times New Roman"/>
        </w:rPr>
        <w:t xml:space="preserve"> private </w:t>
      </w:r>
      <w:r w:rsidRPr="0070376C">
        <w:rPr>
          <w:rFonts w:cs="Times New Roman"/>
          <w:i/>
          <w:iCs/>
        </w:rPr>
        <w:t>ex ante</w:t>
      </w:r>
      <w:r w:rsidRPr="00541386">
        <w:rPr>
          <w:rFonts w:cs="Times New Roman"/>
        </w:rPr>
        <w:t xml:space="preserve"> information that </w:t>
      </w:r>
      <w:r>
        <w:rPr>
          <w:rFonts w:cs="Times New Roman"/>
        </w:rPr>
        <w:t>was</w:t>
      </w:r>
      <w:r w:rsidRPr="00541386">
        <w:rPr>
          <w:rFonts w:cs="Times New Roman"/>
        </w:rPr>
        <w:t xml:space="preserve"> informative in predicting crash risk, which </w:t>
      </w:r>
      <w:r>
        <w:rPr>
          <w:rFonts w:cs="Times New Roman"/>
        </w:rPr>
        <w:t>may</w:t>
      </w:r>
      <w:r w:rsidRPr="00541386">
        <w:rPr>
          <w:rFonts w:cs="Times New Roman"/>
        </w:rPr>
        <w:t xml:space="preserve"> </w:t>
      </w:r>
      <w:r>
        <w:rPr>
          <w:rFonts w:cs="Times New Roman"/>
        </w:rPr>
        <w:t>have been</w:t>
      </w:r>
      <w:r w:rsidRPr="00541386">
        <w:rPr>
          <w:rFonts w:cs="Times New Roman"/>
        </w:rPr>
        <w:t xml:space="preserve"> reflected in </w:t>
      </w:r>
      <w:r>
        <w:rPr>
          <w:rFonts w:cs="Times New Roman"/>
        </w:rPr>
        <w:t xml:space="preserve">the </w:t>
      </w:r>
      <w:r w:rsidRPr="00541386">
        <w:rPr>
          <w:rFonts w:cs="Times New Roman"/>
        </w:rPr>
        <w:t>conference call tone.</w:t>
      </w:r>
    </w:p>
    <w:p w14:paraId="180687CA" w14:textId="10E08104" w:rsidR="00562699" w:rsidRDefault="00562699" w:rsidP="0070376C">
      <w:r w:rsidRPr="008F31DB">
        <w:t>Table 2</w:t>
      </w:r>
      <w:r>
        <w:t xml:space="preserve"> Panel B </w:t>
      </w:r>
      <w:r w:rsidRPr="008F31DB">
        <w:t>present</w:t>
      </w:r>
      <w:r>
        <w:t>s</w:t>
      </w:r>
      <w:r w:rsidRPr="008F31DB">
        <w:t xml:space="preserve"> summary statistics </w:t>
      </w:r>
      <w:r>
        <w:t>for</w:t>
      </w:r>
      <w:r w:rsidRPr="008F31DB">
        <w:t xml:space="preserve"> </w:t>
      </w:r>
      <w:r>
        <w:t xml:space="preserve">main </w:t>
      </w:r>
      <w:r w:rsidRPr="008F31DB">
        <w:t>variables</w:t>
      </w:r>
      <w:r w:rsidRPr="00972DC6">
        <w:t xml:space="preserve">. </w:t>
      </w:r>
      <w:r>
        <w:t xml:space="preserve">The mean values of </w:t>
      </w:r>
      <m:oMath>
        <m:r>
          <w:rPr>
            <w:rFonts w:ascii="Cambria Math" w:hAnsi="Cambria Math"/>
          </w:rPr>
          <m:t>COUNT</m:t>
        </m:r>
      </m:oMath>
      <w:r>
        <w:t xml:space="preserve">, </w:t>
      </w:r>
      <m:oMath>
        <m:r>
          <w:rPr>
            <w:rFonts w:ascii="Cambria Math" w:hAnsi="Cambria Math"/>
          </w:rPr>
          <m:t>NCSKEW</m:t>
        </m:r>
      </m:oMath>
      <w:r>
        <w:t xml:space="preserve"> and </w:t>
      </w:r>
      <m:oMath>
        <m:r>
          <w:rPr>
            <w:rFonts w:ascii="Cambria Math" w:hAnsi="Cambria Math"/>
          </w:rPr>
          <m:t>DUVOL</m:t>
        </m:r>
      </m:oMath>
      <w:r>
        <w:t xml:space="preserve"> are </w:t>
      </w:r>
      <w:r>
        <w:rPr>
          <w:rFonts w:hint="eastAsia"/>
          <w:lang w:eastAsia="zh-CN"/>
        </w:rPr>
        <w:t>0.014</w:t>
      </w:r>
      <w:r>
        <w:t>, 0.076 and 0.042, respectively. The average overall conference call tone (</w:t>
      </w:r>
      <m:oMath>
        <m:r>
          <w:rPr>
            <w:rFonts w:ascii="Cambria Math" w:hAnsi="Cambria Math"/>
          </w:rPr>
          <m:t>TONE_C</m:t>
        </m:r>
      </m:oMath>
      <w:r>
        <w:t>) is 0</w:t>
      </w:r>
      <w:r>
        <w:rPr>
          <w:rFonts w:hint="eastAsia"/>
          <w:lang w:eastAsia="zh-CN"/>
        </w:rPr>
        <w:t>.671</w:t>
      </w:r>
      <w:r>
        <w:t xml:space="preserve"> and the mean value of </w:t>
      </w:r>
      <m:oMath>
        <m:r>
          <w:rPr>
            <w:rFonts w:ascii="Cambria Math" w:hAnsi="Cambria Math"/>
          </w:rPr>
          <m:t>TONE_P</m:t>
        </m:r>
      </m:oMath>
      <w:r>
        <w:t xml:space="preserve"> is 0.</w:t>
      </w:r>
      <w:r>
        <w:rPr>
          <w:rFonts w:hint="eastAsia"/>
          <w:lang w:eastAsia="zh-CN"/>
        </w:rPr>
        <w:t>98</w:t>
      </w:r>
      <w:r>
        <w:rPr>
          <w:lang w:eastAsia="zh-CN"/>
        </w:rPr>
        <w:t>5</w:t>
      </w:r>
      <w:r>
        <w:t xml:space="preserve">, while the mean of </w:t>
      </w:r>
      <m:oMath>
        <m:r>
          <w:rPr>
            <w:rFonts w:ascii="Cambria Math" w:hAnsi="Cambria Math"/>
          </w:rPr>
          <m:t>TONE_Q</m:t>
        </m:r>
      </m:oMath>
      <w:r>
        <w:t xml:space="preserve"> is 0.</w:t>
      </w:r>
      <w:r>
        <w:rPr>
          <w:rFonts w:hint="eastAsia"/>
          <w:lang w:eastAsia="zh-CN"/>
        </w:rPr>
        <w:t>417</w:t>
      </w:r>
      <w:r>
        <w:t xml:space="preserve">, suggesting that the tone of the presentation section is on average more optimistic than that of the Q&amp;A section. In the Q&amp;A section, the mean value of </w:t>
      </w:r>
      <m:oMath>
        <m:r>
          <w:rPr>
            <w:rFonts w:ascii="Cambria Math" w:hAnsi="Cambria Math"/>
          </w:rPr>
          <m:t>TONE_MAN</m:t>
        </m:r>
      </m:oMath>
      <w:r>
        <w:t xml:space="preserve"> is 0.</w:t>
      </w:r>
      <w:r>
        <w:rPr>
          <w:rFonts w:hint="eastAsia"/>
          <w:lang w:eastAsia="zh-CN"/>
        </w:rPr>
        <w:t>672</w:t>
      </w:r>
      <w:r>
        <w:t xml:space="preserve">, while that of </w:t>
      </w:r>
      <m:oMath>
        <m:r>
          <w:rPr>
            <w:rFonts w:ascii="Cambria Math" w:hAnsi="Cambria Math"/>
          </w:rPr>
          <m:t>TONE_PAR</m:t>
        </m:r>
      </m:oMath>
      <w:r>
        <w:t xml:space="preserve"> is -0.</w:t>
      </w:r>
      <w:r>
        <w:rPr>
          <w:rFonts w:hint="eastAsia"/>
          <w:lang w:eastAsia="zh-CN"/>
        </w:rPr>
        <w:t>184</w:t>
      </w:r>
      <w:r>
        <w:t xml:space="preserve">, consistent with Brockman </w:t>
      </w:r>
      <w:r w:rsidRPr="0070376C">
        <w:rPr>
          <w:iCs/>
        </w:rPr>
        <w:t>et al</w:t>
      </w:r>
      <w:r w:rsidRPr="00B70E79">
        <w:rPr>
          <w:iCs/>
        </w:rPr>
        <w:t>.</w:t>
      </w:r>
      <w:r>
        <w:rPr>
          <w:iCs/>
        </w:rPr>
        <w:t>’s</w:t>
      </w:r>
      <w:r w:rsidRPr="00B70E79">
        <w:rPr>
          <w:iCs/>
        </w:rPr>
        <w:t xml:space="preserve"> (</w:t>
      </w:r>
      <w:r>
        <w:t>2015) evidence that manager tone conveys more optimism than participant tone.</w:t>
      </w:r>
    </w:p>
    <w:p w14:paraId="42819F4D" w14:textId="4AE5F2EA" w:rsidR="00562699" w:rsidRPr="00CA6FCF" w:rsidRDefault="00562699" w:rsidP="0070376C">
      <w:pPr>
        <w:pStyle w:val="InsertInstruct"/>
        <w:rPr>
          <w:lang w:eastAsia="zh-CN"/>
        </w:rPr>
      </w:pPr>
      <w:r>
        <w:t>[Insert Table 2 here]</w:t>
      </w:r>
    </w:p>
    <w:p w14:paraId="1C6450ED" w14:textId="3B337F3C" w:rsidR="00562699" w:rsidRDefault="00562699" w:rsidP="0070376C">
      <w:r w:rsidRPr="008F31DB">
        <w:t xml:space="preserve">Table 3 presents </w:t>
      </w:r>
      <w:r>
        <w:t xml:space="preserve">the correlation matrix. Panel A shows that all three measures of stock price crash risk are </w:t>
      </w:r>
      <w:r w:rsidRPr="00BE7ED1">
        <w:t>significantly</w:t>
      </w:r>
      <w:r>
        <w:t xml:space="preserve"> and negatively correlated with earnings conference call tone, and that these measures are highly positively correlated</w:t>
      </w:r>
      <w:r>
        <w:rPr>
          <w:rFonts w:hint="eastAsia"/>
          <w:lang w:eastAsia="zh-CN"/>
        </w:rPr>
        <w:t>, indicating that the</w:t>
      </w:r>
      <w:r>
        <w:rPr>
          <w:lang w:eastAsia="zh-CN"/>
        </w:rPr>
        <w:t>y</w:t>
      </w:r>
      <w:r>
        <w:rPr>
          <w:rFonts w:hint="eastAsia"/>
          <w:lang w:eastAsia="zh-CN"/>
        </w:rPr>
        <w:t xml:space="preserve"> capture common aspects of </w:t>
      </w:r>
      <w:r w:rsidRPr="002A6121">
        <w:t xml:space="preserve">stock </w:t>
      </w:r>
      <w:r>
        <w:rPr>
          <w:rFonts w:hint="eastAsia"/>
          <w:lang w:eastAsia="zh-CN"/>
        </w:rPr>
        <w:t>price crash risk</w:t>
      </w:r>
      <w:r>
        <w:t>. Panel B displays correlations between pairs of tone measures. As expected, all tone measures are positively correlated, but with distinct linguistic styles for different sections and speakers.</w:t>
      </w:r>
    </w:p>
    <w:p w14:paraId="31BFCBBF" w14:textId="46CDEC5A" w:rsidR="00562699" w:rsidRPr="00175C30" w:rsidRDefault="00562699" w:rsidP="0070376C">
      <w:pPr>
        <w:pStyle w:val="InsertInstruct"/>
        <w:rPr>
          <w:lang w:eastAsia="zh-CN"/>
        </w:rPr>
      </w:pPr>
      <w:r>
        <w:t>[Insert Table 3 here]</w:t>
      </w:r>
    </w:p>
    <w:p w14:paraId="25F82293" w14:textId="4BEBBFCB" w:rsidR="00562699" w:rsidRPr="00F37C2B" w:rsidRDefault="00562699">
      <w:pPr>
        <w:pStyle w:val="Heading2"/>
      </w:pPr>
      <w:r w:rsidRPr="00F37C2B">
        <w:t>M</w:t>
      </w:r>
      <w:r w:rsidRPr="0022531F">
        <w:t xml:space="preserve">ain </w:t>
      </w:r>
      <w:r>
        <w:t>R</w:t>
      </w:r>
      <w:r w:rsidRPr="00F37C2B">
        <w:t>esults</w:t>
      </w:r>
    </w:p>
    <w:p w14:paraId="569B1A22" w14:textId="357F4303" w:rsidR="00562699" w:rsidRDefault="00562699" w:rsidP="0089740B">
      <w:pPr>
        <w:pStyle w:val="NoIndentNormal"/>
      </w:pPr>
      <w:r>
        <w:t xml:space="preserve">Table 4 presents the </w:t>
      </w:r>
      <w:r>
        <w:rPr>
          <w:rFonts w:hint="eastAsia"/>
        </w:rPr>
        <w:t>f</w:t>
      </w:r>
      <w:r>
        <w:t>irm</w:t>
      </w:r>
      <w:r>
        <w:rPr>
          <w:rFonts w:hint="eastAsia"/>
        </w:rPr>
        <w:t>-</w:t>
      </w:r>
      <w:r>
        <w:t>fixed</w:t>
      </w:r>
      <w:r>
        <w:rPr>
          <w:rFonts w:hint="eastAsia"/>
        </w:rPr>
        <w:t xml:space="preserve"> </w:t>
      </w:r>
      <w:r>
        <w:t>effect regression results for stock price crash risk</w:t>
      </w:r>
      <w:r w:rsidDel="00B86B3A">
        <w:t xml:space="preserve"> </w:t>
      </w:r>
      <w:r>
        <w:t>on lagged overall conference call tone.</w:t>
      </w:r>
      <w:r>
        <w:rPr>
          <w:rStyle w:val="EndnoteReference"/>
        </w:rPr>
        <w:endnoteReference w:id="8"/>
      </w:r>
      <w:r>
        <w:t xml:space="preserve"> In columns (1) to (3), </w:t>
      </w:r>
      <m:oMath>
        <m:r>
          <w:rPr>
            <w:rFonts w:ascii="Cambria Math" w:hAnsi="Cambria Math"/>
          </w:rPr>
          <m:t>COUNT</m:t>
        </m:r>
      </m:oMath>
      <w:r>
        <w:t xml:space="preserve">, </w:t>
      </w:r>
      <m:oMath>
        <m:r>
          <w:rPr>
            <w:rFonts w:ascii="Cambria Math" w:hAnsi="Cambria Math"/>
          </w:rPr>
          <m:t>NCSKEW</m:t>
        </m:r>
      </m:oMath>
      <w:r>
        <w:t xml:space="preserve"> and </w:t>
      </w:r>
      <m:oMath>
        <m:r>
          <w:rPr>
            <w:rFonts w:ascii="Cambria Math" w:hAnsi="Cambria Math"/>
          </w:rPr>
          <m:t>DUVOL</m:t>
        </m:r>
      </m:oMath>
      <w:r>
        <w:t xml:space="preserve"> are the dependent variables, respectively. The results show that, for all three stock price crash risk </w:t>
      </w:r>
      <w:r>
        <w:lastRenderedPageBreak/>
        <w:t xml:space="preserve">measures, the coefficient on </w:t>
      </w:r>
      <m:oMath>
        <m:r>
          <w:rPr>
            <w:rFonts w:ascii="Cambria Math" w:hAnsi="Cambria Math"/>
          </w:rPr>
          <m:t>TONE_C</m:t>
        </m:r>
      </m:oMath>
      <w:r>
        <w:t xml:space="preserve"> is negative and statistically significant at the 1% level. With respect to economic significance, </w:t>
      </w:r>
      <w:r>
        <w:rPr>
          <w:rFonts w:hint="eastAsia"/>
        </w:rPr>
        <w:t xml:space="preserve">in model (1), one standard deviation (0.461) increase in </w:t>
      </w:r>
      <m:oMath>
        <m:r>
          <w:rPr>
            <w:rFonts w:ascii="Cambria Math" w:hAnsi="Cambria Math"/>
          </w:rPr>
          <m:t>TONE_C</m:t>
        </m:r>
      </m:oMath>
      <w:r>
        <w:t xml:space="preserve"> </w:t>
      </w:r>
      <w:r>
        <w:rPr>
          <w:rFonts w:hint="eastAsia"/>
        </w:rPr>
        <w:t>leads to</w:t>
      </w:r>
      <w:r>
        <w:t xml:space="preserve"> a</w:t>
      </w:r>
      <w:r>
        <w:rPr>
          <w:rFonts w:hint="eastAsia"/>
        </w:rPr>
        <w:t xml:space="preserve"> </w:t>
      </w:r>
      <m:oMath>
        <m:r>
          <m:rPr>
            <m:sty m:val="p"/>
          </m:rPr>
          <w:rPr>
            <w:rFonts w:ascii="Cambria Math" w:hAnsi="Cambria Math"/>
          </w:rPr>
          <m:t>0.461×0.092=</m:t>
        </m:r>
        <m:r>
          <m:rPr>
            <m:sty m:val="p"/>
          </m:rPr>
          <w:rPr>
            <w:rFonts w:ascii="Cambria Math" w:hAnsi="Cambria Math" w:hint="eastAsia"/>
          </w:rPr>
          <m:t>0.0</m:t>
        </m:r>
        <m:r>
          <m:rPr>
            <m:sty m:val="p"/>
          </m:rPr>
          <w:rPr>
            <w:rFonts w:ascii="Cambria Math" w:hAnsi="Cambria Math"/>
          </w:rPr>
          <m:t>42</m:t>
        </m:r>
      </m:oMath>
      <w:r>
        <w:rPr>
          <w:rFonts w:hint="eastAsia"/>
        </w:rPr>
        <w:t xml:space="preserve"> decrease in </w:t>
      </w:r>
      <m:oMath>
        <m:r>
          <w:rPr>
            <w:rFonts w:ascii="Cambria Math" w:hAnsi="Cambria Math"/>
          </w:rPr>
          <m:t>COUNT</m:t>
        </m:r>
      </m:oMath>
      <w:r>
        <w:rPr>
          <w:rFonts w:hint="eastAsia"/>
        </w:rPr>
        <w:t>. I</w:t>
      </w:r>
      <w:r>
        <w:t xml:space="preserve">n model (2), the coefficient on </w:t>
      </w:r>
      <m:oMath>
        <m:r>
          <w:rPr>
            <w:rFonts w:ascii="Cambria Math" w:hAnsi="Cambria Math"/>
          </w:rPr>
          <m:t>TONE_C</m:t>
        </m:r>
      </m:oMath>
      <w:r>
        <w:t xml:space="preserve"> is -0.174, with a t-statistic of -4.95, indicating that increasing </w:t>
      </w:r>
      <m:oMath>
        <m:r>
          <w:rPr>
            <w:rFonts w:ascii="Cambria Math" w:hAnsi="Cambria Math"/>
          </w:rPr>
          <m:t>TONE_C</m:t>
        </m:r>
      </m:oMath>
      <w:r>
        <w:t xml:space="preserve"> by one standard deviation decreases </w:t>
      </w:r>
      <m:oMath>
        <m:r>
          <w:rPr>
            <w:rFonts w:ascii="Cambria Math" w:hAnsi="Cambria Math"/>
          </w:rPr>
          <m:t>NCSKEW</m:t>
        </m:r>
      </m:oMath>
      <w:r>
        <w:t xml:space="preserve"> by </w:t>
      </w:r>
      <m:oMath>
        <m:r>
          <w:rPr>
            <w:rFonts w:ascii="Cambria Math" w:hAnsi="Cambria Math"/>
          </w:rPr>
          <m:t>0.461×0.174=0.080</m:t>
        </m:r>
      </m:oMath>
      <w:r>
        <w:t xml:space="preserve">. In model (3), the coefficient on </w:t>
      </w:r>
      <m:oMath>
        <m:r>
          <w:rPr>
            <w:rFonts w:ascii="Cambria Math" w:hAnsi="Cambria Math"/>
          </w:rPr>
          <m:t>TONE_C</m:t>
        </m:r>
      </m:oMath>
      <w:r>
        <w:t xml:space="preserve"> is -0.103, with a t-statistic of -4.69, which indicates that one standard deviation increase in </w:t>
      </w:r>
      <m:oMath>
        <m:r>
          <w:rPr>
            <w:rFonts w:ascii="Cambria Math" w:hAnsi="Cambria Math"/>
          </w:rPr>
          <m:t>TONE_C</m:t>
        </m:r>
      </m:oMath>
      <w:r>
        <w:t xml:space="preserve"> leads to a decrease in </w:t>
      </w:r>
      <m:oMath>
        <m:r>
          <w:rPr>
            <w:rFonts w:ascii="Cambria Math" w:hAnsi="Cambria Math"/>
          </w:rPr>
          <m:t>DUVOL</m:t>
        </m:r>
      </m:oMath>
      <w:r>
        <w:t xml:space="preserve"> by </w:t>
      </w:r>
      <m:oMath>
        <m:r>
          <w:rPr>
            <w:rFonts w:ascii="Cambria Math" w:hAnsi="Cambria Math"/>
          </w:rPr>
          <m:t>0.461×0.103=0.047</m:t>
        </m:r>
      </m:oMath>
      <w:r>
        <w:t xml:space="preserve">. Additionally, recent research reveals that the </w:t>
      </w:r>
      <w:r w:rsidRPr="00937DE6">
        <w:t>appropriateness of panel OLS and the usefulness of hypothesis testing based on t-statistics</w:t>
      </w:r>
      <w:r>
        <w:t xml:space="preserve"> are affected by sample size (Kim </w:t>
      </w:r>
      <w:r w:rsidRPr="0089740B">
        <w:rPr>
          <w:iCs/>
        </w:rPr>
        <w:t>et al</w:t>
      </w:r>
      <w:r w:rsidRPr="00B70E79">
        <w:rPr>
          <w:iCs/>
        </w:rPr>
        <w:t>.</w:t>
      </w:r>
      <w:r>
        <w:t xml:space="preserve"> 2018). Using Kim</w:t>
      </w:r>
      <w:r w:rsidRPr="00B70E79">
        <w:t xml:space="preserve"> </w:t>
      </w:r>
      <w:r w:rsidRPr="0089740B">
        <w:t>et al</w:t>
      </w:r>
      <w:r w:rsidRPr="00B70E79">
        <w:t>.</w:t>
      </w:r>
      <w:r>
        <w:t xml:space="preserve">’s (2018) method, </w:t>
      </w:r>
      <w:r w:rsidRPr="00770ACF">
        <w:t xml:space="preserve">for </w:t>
      </w:r>
      <w:r>
        <w:t>the</w:t>
      </w:r>
      <w:r w:rsidRPr="00770ACF">
        <w:t xml:space="preserve"> 5% significance level and a two-tail test</w:t>
      </w:r>
      <w:r>
        <w:t xml:space="preserve"> for a sample with 8,004 observations, the adjusted </w:t>
      </w:r>
      <w:r w:rsidRPr="00770ACF">
        <w:t xml:space="preserve">critical </w:t>
      </w:r>
      <w:r>
        <w:t>value for the t-statistic is -3.55</w:t>
      </w:r>
      <w:r w:rsidRPr="00770ACF">
        <w:t>.</w:t>
      </w:r>
      <w:r>
        <w:t xml:space="preserve"> Thus, </w:t>
      </w:r>
      <w:r w:rsidRPr="00770ACF">
        <w:t>the coefficient o</w:t>
      </w:r>
      <w:r>
        <w:t>n</w:t>
      </w:r>
      <w:r w:rsidRPr="00770ACF">
        <w:t xml:space="preserve"> </w:t>
      </w:r>
      <m:oMath>
        <m:r>
          <w:rPr>
            <w:rFonts w:ascii="Cambria Math" w:hAnsi="Cambria Math"/>
          </w:rPr>
          <m:t>TONE_C</m:t>
        </m:r>
      </m:oMath>
      <w:r w:rsidRPr="00770ACF">
        <w:t xml:space="preserve"> in each of columns (1) to (3) in Table 4 is negative </w:t>
      </w:r>
      <w:r>
        <w:t xml:space="preserve">and remains </w:t>
      </w:r>
      <w:r w:rsidRPr="00770ACF">
        <w:t xml:space="preserve">statistically significant at </w:t>
      </w:r>
      <w:r>
        <w:t>the</w:t>
      </w:r>
      <w:r w:rsidRPr="00770ACF">
        <w:t xml:space="preserve"> 5% level.</w:t>
      </w:r>
      <w:r>
        <w:rPr>
          <w:rStyle w:val="EndnoteReference"/>
        </w:rPr>
        <w:endnoteReference w:id="9"/>
      </w:r>
      <w:r>
        <w:t xml:space="preserve"> Taken together, conference call tone optimism negatively predicts stock price crash risk, consistent with the truthful communication hypothesis (Hypothesis 2).</w:t>
      </w:r>
      <w:r>
        <w:rPr>
          <w:rStyle w:val="EndnoteReference"/>
        </w:rPr>
        <w:endnoteReference w:id="10"/>
      </w:r>
      <w:r>
        <w:t xml:space="preserve"> Furthermore, the information role of call tone in predicting </w:t>
      </w:r>
      <w:r w:rsidRPr="002A6121">
        <w:rPr>
          <w:rFonts w:cs="Times New Roman"/>
        </w:rPr>
        <w:t xml:space="preserve">stock </w:t>
      </w:r>
      <w:r>
        <w:t>price crash risk is both statistically and economically significant.</w:t>
      </w:r>
      <w:r>
        <w:rPr>
          <w:rStyle w:val="EndnoteReference"/>
        </w:rPr>
        <w:endnoteReference w:id="11"/>
      </w:r>
    </w:p>
    <w:p w14:paraId="036FF29D" w14:textId="5A2005C7" w:rsidR="00562699" w:rsidRDefault="00562699" w:rsidP="0089740B">
      <w:pPr>
        <w:pStyle w:val="InsertInstruct"/>
      </w:pPr>
      <w:r>
        <w:t>[Insert Table 4 here]</w:t>
      </w:r>
    </w:p>
    <w:p w14:paraId="3B952635" w14:textId="77777777" w:rsidR="00562699" w:rsidRPr="00540363" w:rsidRDefault="00562699">
      <w:pPr>
        <w:pStyle w:val="Heading2"/>
      </w:pPr>
      <w:r w:rsidRPr="0022531F">
        <w:t xml:space="preserve">Robustness </w:t>
      </w:r>
      <w:r>
        <w:t>C</w:t>
      </w:r>
      <w:r w:rsidRPr="00540363">
        <w:t>hecks</w:t>
      </w:r>
    </w:p>
    <w:p w14:paraId="7CF0C3D1" w14:textId="2156350D" w:rsidR="00562699" w:rsidRPr="003E49E8" w:rsidRDefault="00562699" w:rsidP="0089740B">
      <w:pPr>
        <w:pStyle w:val="Heading3"/>
      </w:pPr>
      <w:r>
        <w:t>Addressing Word Misclassification</w:t>
      </w:r>
    </w:p>
    <w:p w14:paraId="79CB9955" w14:textId="3A8189CA" w:rsidR="00562699" w:rsidRPr="000B51D4" w:rsidRDefault="00562699" w:rsidP="0089740B">
      <w:pPr>
        <w:pStyle w:val="NoIndentNormal"/>
        <w:rPr>
          <w:rFonts w:cs="Times New Roman"/>
        </w:rPr>
      </w:pPr>
      <w:r>
        <w:t>It is crucial to control for the effect of word misclassification (Lo</w:t>
      </w:r>
      <w:r>
        <w:rPr>
          <w:rFonts w:hint="eastAsia"/>
        </w:rPr>
        <w:t>u</w:t>
      </w:r>
      <w:r>
        <w:t>ghran and McDonald 201</w:t>
      </w:r>
      <w:r>
        <w:rPr>
          <w:rFonts w:hint="eastAsia"/>
        </w:rPr>
        <w:t>6</w:t>
      </w:r>
      <w:r>
        <w:t>). Appendix B presents the 30 most frequently used negative and positive words in our sample. “Question” and “questions”</w:t>
      </w:r>
      <w:r>
        <w:rPr>
          <w:rFonts w:hint="eastAsia"/>
        </w:rPr>
        <w:t xml:space="preserve"> </w:t>
      </w:r>
      <w:r>
        <w:t xml:space="preserve">account for more than 25% of all negative words in our sample, but are commonly used neutrally by analysts. For example, analysts usually start their questions with “I have a question on...”. To ensure that our results are not driven by word </w:t>
      </w:r>
      <w:r>
        <w:lastRenderedPageBreak/>
        <w:t xml:space="preserve">misclassification, we measure tone in two alternative ways: (1) using a term-weighting scheme to reduce the impact of these two words; and </w:t>
      </w:r>
      <w:r w:rsidRPr="000B51D4">
        <w:rPr>
          <w:rFonts w:cs="Times New Roman"/>
        </w:rPr>
        <w:t xml:space="preserve">(2) excluding “question” and “questions” from the negative wordlist. Untabulated results confirm that our main results </w:t>
      </w:r>
      <w:r>
        <w:rPr>
          <w:rFonts w:cs="Times New Roman"/>
        </w:rPr>
        <w:t>are robust to</w:t>
      </w:r>
      <w:r w:rsidRPr="000B51D4">
        <w:rPr>
          <w:rFonts w:cs="Times New Roman"/>
        </w:rPr>
        <w:t xml:space="preserve"> using </w:t>
      </w:r>
      <w:r>
        <w:rPr>
          <w:rFonts w:cs="Times New Roman"/>
        </w:rPr>
        <w:t>these</w:t>
      </w:r>
      <w:r w:rsidRPr="000B51D4">
        <w:rPr>
          <w:rFonts w:cs="Times New Roman"/>
        </w:rPr>
        <w:t xml:space="preserve"> two alternative measures.</w:t>
      </w:r>
    </w:p>
    <w:p w14:paraId="1F172A06" w14:textId="2DFF732B" w:rsidR="00562699" w:rsidRPr="000B51D4" w:rsidRDefault="00562699" w:rsidP="0089740B">
      <w:pPr>
        <w:pStyle w:val="Heading3"/>
      </w:pPr>
      <w:r w:rsidRPr="000B51D4">
        <w:t>Stock Price Crash Risk and Residual Tone</w:t>
      </w:r>
    </w:p>
    <w:p w14:paraId="56B3D7D5" w14:textId="2AC0B2EC" w:rsidR="00562699" w:rsidRPr="000B51D4" w:rsidRDefault="00562699">
      <w:pPr>
        <w:pStyle w:val="NoIndentNormal"/>
      </w:pPr>
      <w:r w:rsidRPr="000B51D4">
        <w:t xml:space="preserve">The primary tone </w:t>
      </w:r>
      <w:r>
        <w:t xml:space="preserve">measurement </w:t>
      </w:r>
      <w:r w:rsidRPr="000B51D4">
        <w:t xml:space="preserve">in </w:t>
      </w:r>
      <w:r>
        <w:t>main analyses</w:t>
      </w:r>
      <w:r w:rsidRPr="000B51D4">
        <w:t xml:space="preserve"> is measured using conference call </w:t>
      </w:r>
      <w:r>
        <w:t>dialogue</w:t>
      </w:r>
      <w:r w:rsidRPr="000B51D4">
        <w:t xml:space="preserve"> </w:t>
      </w:r>
      <w:r>
        <w:t>relating to</w:t>
      </w:r>
      <w:r w:rsidRPr="000B51D4">
        <w:t xml:space="preserve"> both past performance and forward-looking statements. Thus, the tone </w:t>
      </w:r>
      <w:r>
        <w:t xml:space="preserve">measurement </w:t>
      </w:r>
      <w:r w:rsidRPr="000B51D4">
        <w:t>may be driven by firm</w:t>
      </w:r>
      <w:r>
        <w:t>s’</w:t>
      </w:r>
      <w:r w:rsidRPr="000B51D4">
        <w:t xml:space="preserve"> </w:t>
      </w:r>
      <w:r>
        <w:t xml:space="preserve">historical </w:t>
      </w:r>
      <w:r w:rsidRPr="000B51D4">
        <w:t xml:space="preserve">performance and fundamental attributes. To mitigate such concerns, we </w:t>
      </w:r>
      <w:r>
        <w:t>use</w:t>
      </w:r>
      <w:r w:rsidRPr="000B51D4">
        <w:t xml:space="preserve"> a residual tone </w:t>
      </w:r>
      <w:r>
        <w:t xml:space="preserve">measurement </w:t>
      </w:r>
      <w:r w:rsidRPr="000B51D4">
        <w:t xml:space="preserve">to proxy </w:t>
      </w:r>
      <w:r>
        <w:t xml:space="preserve">for </w:t>
      </w:r>
      <w:r w:rsidRPr="000B51D4">
        <w:t>the unexpected optimistic or pessimistic component of tone that cannot be explained by firm</w:t>
      </w:r>
      <w:r>
        <w:t>s’</w:t>
      </w:r>
      <w:r w:rsidRPr="000B51D4">
        <w:t xml:space="preserve"> fundamental characteristics </w:t>
      </w:r>
      <w:r>
        <w:t>or</w:t>
      </w:r>
      <w:r w:rsidRPr="000B51D4">
        <w:t xml:space="preserve"> past </w:t>
      </w:r>
      <w:r>
        <w:t>financial performance</w:t>
      </w:r>
      <w:r w:rsidRPr="000B51D4">
        <w:t xml:space="preserve"> (Borochi</w:t>
      </w:r>
      <w:r w:rsidRPr="003E49E8">
        <w:t xml:space="preserve">n </w:t>
      </w:r>
      <w:r w:rsidRPr="0089740B">
        <w:t>et al</w:t>
      </w:r>
      <w:r w:rsidRPr="003E49E8">
        <w:t xml:space="preserve">. 2018; Huang </w:t>
      </w:r>
      <w:r w:rsidRPr="0089740B">
        <w:t>et al</w:t>
      </w:r>
      <w:r w:rsidRPr="003E49E8">
        <w:t>. 2</w:t>
      </w:r>
      <w:r w:rsidRPr="000B51D4">
        <w:t>014).</w:t>
      </w:r>
    </w:p>
    <w:p w14:paraId="4C6BF44C" w14:textId="154829F1" w:rsidR="00562699" w:rsidRDefault="00562699">
      <w:pPr>
        <w:rPr>
          <w:lang w:eastAsia="zh-CN"/>
        </w:rPr>
      </w:pPr>
      <w:r>
        <w:t>The residual tone is calculated from a cross-sectional regression of tone on firms’ current year performance and fundamentals. Following previous research (Borochin</w:t>
      </w:r>
      <w:r w:rsidRPr="003E49E8">
        <w:t xml:space="preserve"> </w:t>
      </w:r>
      <w:r w:rsidRPr="0089740B">
        <w:t>et al</w:t>
      </w:r>
      <w:r w:rsidRPr="00B70E79">
        <w:t xml:space="preserve">. 2018; Huang </w:t>
      </w:r>
      <w:r w:rsidRPr="0089740B">
        <w:t>et al</w:t>
      </w:r>
      <w:r w:rsidRPr="00B70E79">
        <w:t>. 2</w:t>
      </w:r>
      <w:r>
        <w:t>014), our residual tone measurement (</w:t>
      </w:r>
      <m:oMath>
        <m:r>
          <w:rPr>
            <w:rFonts w:ascii="Cambria Math" w:hAnsi="Cambria Math"/>
          </w:rPr>
          <m:t>RE_TONE_C</m:t>
        </m:r>
      </m:oMath>
      <w:r>
        <w:t>) is calculated as the residual term (</w:t>
      </w:r>
      <m:oMath>
        <m:r>
          <w:rPr>
            <w:rFonts w:ascii="Cambria Math" w:hAnsi="Cambria Math"/>
          </w:rPr>
          <m:t>ϵ</m:t>
        </m:r>
      </m:oMath>
      <w:r>
        <w:t>) of the following regression:</w:t>
      </w:r>
      <w:r>
        <w:rPr>
          <w:rStyle w:val="EndnoteReference"/>
        </w:rPr>
        <w:endnoteReference w:id="12"/>
      </w:r>
    </w:p>
    <w:p w14:paraId="6487F35B" w14:textId="77777777" w:rsidR="00562699" w:rsidRPr="00482004" w:rsidRDefault="008D48AD" w:rsidP="0089740B">
      <w:pPr>
        <w:pStyle w:val="Equations"/>
      </w:pPr>
      <m:oMathPara>
        <m:oMath>
          <m:sSub>
            <m:sSubPr>
              <m:ctrlPr/>
            </m:sSubPr>
            <m:e>
              <m:r>
                <m:t>TONE</m:t>
              </m:r>
            </m:e>
            <m:sub>
              <m:r>
                <m:t>jt</m:t>
              </m:r>
            </m:sub>
          </m:sSub>
          <m:r>
            <m:t>=α+</m:t>
          </m:r>
          <m:sSub>
            <m:sSubPr>
              <m:ctrlPr/>
            </m:sSubPr>
            <m:e>
              <m:r>
                <m:t>β</m:t>
              </m:r>
            </m:e>
            <m:sub>
              <m:r>
                <m:t>1</m:t>
              </m:r>
            </m:sub>
          </m:sSub>
          <m:sSub>
            <m:sSubPr>
              <m:ctrlPr/>
            </m:sSubPr>
            <m:e>
              <m:r>
                <m:t>EARN</m:t>
              </m:r>
            </m:e>
            <m:sub>
              <m:r>
                <m:t>jt</m:t>
              </m:r>
            </m:sub>
          </m:sSub>
          <m:r>
            <m:t>+</m:t>
          </m:r>
          <m:sSub>
            <m:sSubPr>
              <m:ctrlPr/>
            </m:sSubPr>
            <m:e>
              <m:r>
                <m:t>β</m:t>
              </m:r>
            </m:e>
            <m:sub>
              <m:r>
                <m:t>2</m:t>
              </m:r>
            </m:sub>
          </m:sSub>
          <m:sSub>
            <m:sSubPr>
              <m:ctrlPr/>
            </m:sSubPr>
            <m:e>
              <m:r>
                <m:t>RET</m:t>
              </m:r>
            </m:e>
            <m:sub>
              <m:r>
                <m:t>jt</m:t>
              </m:r>
            </m:sub>
          </m:sSub>
          <m:r>
            <m:t>+</m:t>
          </m:r>
          <m:sSub>
            <m:sSubPr>
              <m:ctrlPr/>
            </m:sSubPr>
            <m:e>
              <m:r>
                <m:t>β</m:t>
              </m:r>
            </m:e>
            <m:sub>
              <m:r>
                <m:t>3</m:t>
              </m:r>
            </m:sub>
          </m:sSub>
          <m:sSub>
            <m:sSubPr>
              <m:ctrlPr/>
            </m:sSubPr>
            <m:e>
              <m:r>
                <m:t>SIZE</m:t>
              </m:r>
            </m:e>
            <m:sub>
              <m:r>
                <m:t>jt</m:t>
              </m:r>
            </m:sub>
          </m:sSub>
          <m:r>
            <m:t>+</m:t>
          </m:r>
          <m:sSub>
            <m:sSubPr>
              <m:ctrlPr/>
            </m:sSubPr>
            <m:e>
              <m:r>
                <m:t>β</m:t>
              </m:r>
            </m:e>
            <m:sub>
              <m:r>
                <m:t>4</m:t>
              </m:r>
            </m:sub>
          </m:sSub>
          <m:sSub>
            <m:sSubPr>
              <m:ctrlPr/>
            </m:sSubPr>
            <m:e>
              <m:r>
                <m:t>BTM</m:t>
              </m:r>
            </m:e>
            <m:sub>
              <m:r>
                <m:t>jt</m:t>
              </m:r>
            </m:sub>
          </m:sSub>
          <m:r>
            <m:t>+</m:t>
          </m:r>
          <m:sSub>
            <m:sSubPr>
              <m:ctrlPr/>
            </m:sSubPr>
            <m:e>
              <m:r>
                <m:t>β</m:t>
              </m:r>
            </m:e>
            <m:sub>
              <m:r>
                <m:t>5</m:t>
              </m:r>
            </m:sub>
          </m:sSub>
          <m:sSub>
            <m:sSubPr>
              <m:ctrlPr/>
            </m:sSubPr>
            <m:e>
              <m:r>
                <m:t>STD_RET</m:t>
              </m:r>
            </m:e>
            <m:sub>
              <m:r>
                <m:t>jt</m:t>
              </m:r>
            </m:sub>
          </m:sSub>
        </m:oMath>
      </m:oMathPara>
    </w:p>
    <w:p w14:paraId="4E8FCB8A" w14:textId="77777777" w:rsidR="00562699" w:rsidRPr="00482004" w:rsidRDefault="00562699">
      <w:pPr>
        <w:pStyle w:val="Equations"/>
        <w:rPr>
          <w:rFonts w:ascii="Times New Roman" w:hAnsi="Times New Roman"/>
        </w:rPr>
      </w:pPr>
      <m:oMathPara>
        <m:oMath>
          <m:r>
            <m:t>+</m:t>
          </m:r>
          <m:sSub>
            <m:sSubPr>
              <m:ctrlPr/>
            </m:sSubPr>
            <m:e>
              <m:r>
                <m:t>β</m:t>
              </m:r>
            </m:e>
            <m:sub>
              <m:r>
                <m:t>6</m:t>
              </m:r>
            </m:sub>
          </m:sSub>
          <m:sSub>
            <m:sSubPr>
              <m:ctrlPr/>
            </m:sSubPr>
            <m:e>
              <m:r>
                <m:t>STD_EARN</m:t>
              </m:r>
            </m:e>
            <m:sub>
              <m:r>
                <m:t>jt</m:t>
              </m:r>
            </m:sub>
          </m:sSub>
          <m:r>
            <m:t>+</m:t>
          </m:r>
          <m:sSub>
            <m:sSubPr>
              <m:ctrlPr/>
            </m:sSubPr>
            <m:e>
              <m:r>
                <m:t>β</m:t>
              </m:r>
            </m:e>
            <m:sub>
              <m:r>
                <m:t>7</m:t>
              </m:r>
            </m:sub>
          </m:sSub>
          <m:sSub>
            <m:sSubPr>
              <m:ctrlPr/>
            </m:sSubPr>
            <m:e>
              <m:r>
                <m:t>AGE</m:t>
              </m:r>
            </m:e>
            <m:sub>
              <m:r>
                <m:t>jt</m:t>
              </m:r>
            </m:sub>
          </m:sSub>
          <m:r>
            <m:t>+</m:t>
          </m:r>
          <m:sSub>
            <m:sSubPr>
              <m:ctrlPr/>
            </m:sSubPr>
            <m:e>
              <m:r>
                <m:t>β</m:t>
              </m:r>
            </m:e>
            <m:sub>
              <m:r>
                <m:t>8</m:t>
              </m:r>
            </m:sub>
          </m:sSub>
          <m:sSub>
            <m:sSubPr>
              <m:ctrlPr/>
            </m:sSubPr>
            <m:e>
              <m:r>
                <m:t>BUSSEG</m:t>
              </m:r>
            </m:e>
            <m:sub>
              <m:r>
                <m:t>jt</m:t>
              </m:r>
            </m:sub>
          </m:sSub>
          <m:r>
            <m:t>+</m:t>
          </m:r>
          <m:sSub>
            <m:sSubPr>
              <m:ctrlPr/>
            </m:sSubPr>
            <m:e>
              <m:r>
                <m:t>β</m:t>
              </m:r>
            </m:e>
            <m:sub>
              <m:r>
                <m:t>9</m:t>
              </m:r>
            </m:sub>
          </m:sSub>
          <m:sSub>
            <m:sSubPr>
              <m:ctrlPr/>
            </m:sSubPr>
            <m:e>
              <m:r>
                <m:t>GEOSEG</m:t>
              </m:r>
            </m:e>
            <m:sub>
              <m:r>
                <m:t>jt</m:t>
              </m:r>
            </m:sub>
          </m:sSub>
        </m:oMath>
      </m:oMathPara>
    </w:p>
    <w:p w14:paraId="7D805308" w14:textId="77777777" w:rsidR="00562699" w:rsidRDefault="00562699" w:rsidP="0089740B">
      <w:pPr>
        <w:pStyle w:val="Equations"/>
        <w:ind w:left="851"/>
        <w:rPr>
          <w:rFonts w:ascii="Times New Roman" w:hAnsi="Times New Roman"/>
        </w:rPr>
      </w:pPr>
      <m:oMath>
        <m:r>
          <m:t>+</m:t>
        </m:r>
        <m:sSub>
          <m:sSubPr>
            <m:ctrlPr/>
          </m:sSubPr>
          <m:e>
            <m:r>
              <m:t>β</m:t>
            </m:r>
          </m:e>
          <m:sub>
            <m:r>
              <m:t>10</m:t>
            </m:r>
          </m:sub>
        </m:sSub>
        <m:sSub>
          <m:sSubPr>
            <m:ctrlPr/>
          </m:sSubPr>
          <m:e>
            <m:r>
              <m:t>LOSS</m:t>
            </m:r>
          </m:e>
          <m:sub>
            <m:r>
              <m:t>jt</m:t>
            </m:r>
          </m:sub>
        </m:sSub>
        <m:r>
          <m:t>+</m:t>
        </m:r>
        <m:sSub>
          <m:sSubPr>
            <m:ctrlPr/>
          </m:sSubPr>
          <m:e>
            <m:r>
              <m:t>β</m:t>
            </m:r>
          </m:e>
          <m:sub>
            <m:r>
              <m:t>11</m:t>
            </m:r>
          </m:sub>
        </m:sSub>
        <m:sSub>
          <m:sSubPr>
            <m:ctrlPr/>
          </m:sSubPr>
          <m:e>
            <m:r>
              <m:t>∆EARN</m:t>
            </m:r>
          </m:e>
          <m:sub>
            <m:r>
              <m:t>jt</m:t>
            </m:r>
          </m:sub>
        </m:sSub>
        <m:r>
          <m:t>+</m:t>
        </m:r>
        <m:sSub>
          <m:sSubPr>
            <m:ctrlPr/>
          </m:sSubPr>
          <m:e>
            <m:r>
              <m:t>β</m:t>
            </m:r>
          </m:e>
          <m:sub>
            <m:r>
              <m:t>12</m:t>
            </m:r>
          </m:sub>
        </m:sSub>
        <m:sSub>
          <m:sSubPr>
            <m:ctrlPr/>
          </m:sSubPr>
          <m:e>
            <m:r>
              <m:t>AFE</m:t>
            </m:r>
          </m:e>
          <m:sub>
            <m:r>
              <m:t>jt</m:t>
            </m:r>
          </m:sub>
        </m:sSub>
        <m:r>
          <m:t>+</m:t>
        </m:r>
        <m:sSub>
          <m:sSubPr>
            <m:ctrlPr/>
          </m:sSubPr>
          <m:e>
            <m:r>
              <m:t>β</m:t>
            </m:r>
          </m:e>
          <m:sub>
            <m:r>
              <m:t>13</m:t>
            </m:r>
          </m:sub>
        </m:sSub>
        <m:sSub>
          <m:sSubPr>
            <m:ctrlPr/>
          </m:sSubPr>
          <m:e>
            <m:r>
              <m:t>AF</m:t>
            </m:r>
          </m:e>
          <m:sub>
            <m:r>
              <m:t>jt</m:t>
            </m:r>
          </m:sub>
        </m:sSub>
        <m:r>
          <m:t>+</m:t>
        </m:r>
        <m:sSub>
          <m:sSubPr>
            <m:ctrlPr/>
          </m:sSubPr>
          <m:e>
            <m:r>
              <m:t>ϵ</m:t>
            </m:r>
          </m:e>
          <m:sub>
            <m:r>
              <m:t>jt</m:t>
            </m:r>
          </m:sub>
        </m:sSub>
      </m:oMath>
      <w:r>
        <w:rPr>
          <w:rFonts w:ascii="Times New Roman" w:hAnsi="Times New Roman"/>
        </w:rPr>
        <w:tab/>
      </w:r>
      <w:r>
        <w:rPr>
          <w:rFonts w:ascii="Times New Roman" w:hAnsi="Times New Roman"/>
        </w:rPr>
        <w:tab/>
        <w:t xml:space="preserve">            (6)</w:t>
      </w:r>
    </w:p>
    <w:p w14:paraId="3EFE5B4F" w14:textId="1D4A9569" w:rsidR="00562699" w:rsidRDefault="00562699" w:rsidP="0089740B">
      <w:pPr>
        <w:rPr>
          <w:lang w:eastAsia="zh-CN"/>
        </w:rPr>
      </w:pPr>
      <w:r>
        <w:t>We replace our primary tone variable with residual tone, and re-estimate our baseline regressions.</w:t>
      </w:r>
      <w:r>
        <w:rPr>
          <w:rStyle w:val="EndnoteReference"/>
        </w:rPr>
        <w:endnoteReference w:id="13"/>
      </w:r>
      <w:r>
        <w:t xml:space="preserve"> The results in Table 5 Panel A show that our main findings are robust to using residual tone</w:t>
      </w:r>
      <w:r>
        <w:rPr>
          <w:lang w:eastAsia="zh-CN"/>
        </w:rPr>
        <w:t>. This</w:t>
      </w:r>
      <w:r>
        <w:rPr>
          <w:rFonts w:hint="eastAsia"/>
          <w:lang w:eastAsia="zh-CN"/>
        </w:rPr>
        <w:t xml:space="preserve"> confirm</w:t>
      </w:r>
      <w:r>
        <w:rPr>
          <w:lang w:eastAsia="zh-CN"/>
        </w:rPr>
        <w:t>s</w:t>
      </w:r>
      <w:r>
        <w:t xml:space="preserve"> that more optimistic residual tone predicts lower stock price crash risk and mitigates concerns that the </w:t>
      </w:r>
      <w:r>
        <w:rPr>
          <w:lang w:eastAsia="zh-CN"/>
        </w:rPr>
        <w:t xml:space="preserve">predictive power </w:t>
      </w:r>
      <w:r>
        <w:t>of tone may be driven by firms’ fundamentals and quantitative information within disclosures.</w:t>
      </w:r>
    </w:p>
    <w:p w14:paraId="3F01B3DA" w14:textId="77777777" w:rsidR="00562699" w:rsidRDefault="00562699" w:rsidP="0089740B">
      <w:pPr>
        <w:pStyle w:val="InsertInstruct"/>
      </w:pPr>
      <w:r>
        <w:t>[Insert Table 5 here]</w:t>
      </w:r>
    </w:p>
    <w:p w14:paraId="4362A6E9" w14:textId="056249FE" w:rsidR="00562699" w:rsidRPr="000B51D4" w:rsidRDefault="00562699" w:rsidP="0089740B">
      <w:pPr>
        <w:pStyle w:val="Heading3"/>
      </w:pPr>
      <w:r w:rsidRPr="000B51D4">
        <w:lastRenderedPageBreak/>
        <w:t>Stock Price Crash Risk and Tone</w:t>
      </w:r>
      <w:r>
        <w:t xml:space="preserve"> Change</w:t>
      </w:r>
    </w:p>
    <w:p w14:paraId="0CEAA9DC" w14:textId="0BB5D072" w:rsidR="00562699" w:rsidRDefault="00562699" w:rsidP="0089740B">
      <w:pPr>
        <w:pStyle w:val="NoIndentNormal"/>
        <w:rPr>
          <w:rFonts w:eastAsia="Times New Roman" w:cs="Times New Roman"/>
          <w:color w:val="000000"/>
        </w:rPr>
      </w:pPr>
      <w:r>
        <w:t xml:space="preserve">We also test whether our finding for the information role of tone in predicting </w:t>
      </w:r>
      <w:r w:rsidRPr="002A6121">
        <w:rPr>
          <w:rFonts w:cs="Times New Roman"/>
        </w:rPr>
        <w:t xml:space="preserve">stock </w:t>
      </w:r>
      <w:r>
        <w:t xml:space="preserve">price crash risk is robust when considering tone change. Previous research shows that changes in disclosure tone alter investors’ perceptions of firms. For example, </w:t>
      </w:r>
      <w:r w:rsidRPr="00B70E79">
        <w:t xml:space="preserve">Feldman </w:t>
      </w:r>
      <w:r w:rsidRPr="0089740B">
        <w:t>et al</w:t>
      </w:r>
      <w:r w:rsidRPr="00B70E79">
        <w:t>.</w:t>
      </w:r>
      <w:r w:rsidRPr="00FF6D54">
        <w:t xml:space="preserve"> (2010) </w:t>
      </w:r>
      <w:r>
        <w:t>report that</w:t>
      </w:r>
      <w:r w:rsidRPr="00FF6D54">
        <w:t xml:space="preserve"> tone change</w:t>
      </w:r>
      <w:r>
        <w:t>s</w:t>
      </w:r>
      <w:r w:rsidRPr="00FF6D54">
        <w:t xml:space="preserve"> in firms</w:t>
      </w:r>
      <w:r>
        <w:t>’</w:t>
      </w:r>
      <w:r w:rsidRPr="00FF6D54">
        <w:t xml:space="preserve"> </w:t>
      </w:r>
      <w:r>
        <w:t xml:space="preserve">SEC </w:t>
      </w:r>
      <w:r w:rsidRPr="00FF6D54">
        <w:t xml:space="preserve">filings </w:t>
      </w:r>
      <w:r>
        <w:t>significantly affect</w:t>
      </w:r>
      <w:r w:rsidRPr="00FF6D54">
        <w:t xml:space="preserve"> market returns around the filing</w:t>
      </w:r>
      <w:r>
        <w:t xml:space="preserve"> </w:t>
      </w:r>
      <w:r w:rsidRPr="00FF6D54">
        <w:t>date window.</w:t>
      </w:r>
      <w:r>
        <w:t xml:space="preserve"> In the context of predicting </w:t>
      </w:r>
      <w:r w:rsidRPr="002A6121">
        <w:rPr>
          <w:rFonts w:cs="Times New Roman"/>
        </w:rPr>
        <w:t xml:space="preserve">stock </w:t>
      </w:r>
      <w:r>
        <w:t xml:space="preserve">price crash risk, </w:t>
      </w:r>
      <w:r w:rsidRPr="00BA5E88">
        <w:rPr>
          <w:rFonts w:eastAsia="Times New Roman" w:cs="Times New Roman"/>
          <w:color w:val="000000"/>
        </w:rPr>
        <w:t>we expect</w:t>
      </w:r>
      <w:r>
        <w:rPr>
          <w:rFonts w:eastAsia="Times New Roman" w:cs="Times New Roman"/>
          <w:color w:val="000000"/>
        </w:rPr>
        <w:t xml:space="preserve"> that</w:t>
      </w:r>
      <w:r w:rsidRPr="00BA5E88">
        <w:rPr>
          <w:rFonts w:eastAsia="Times New Roman" w:cs="Times New Roman"/>
          <w:color w:val="000000"/>
        </w:rPr>
        <w:t xml:space="preserve"> when managers</w:t>
      </w:r>
      <w:r>
        <w:rPr>
          <w:rFonts w:eastAsia="Times New Roman" w:cs="Times New Roman"/>
          <w:color w:val="000000"/>
        </w:rPr>
        <w:t>’</w:t>
      </w:r>
      <w:r w:rsidRPr="00BA5E88">
        <w:rPr>
          <w:rFonts w:eastAsia="Times New Roman" w:cs="Times New Roman"/>
          <w:color w:val="000000"/>
        </w:rPr>
        <w:t xml:space="preserve"> tone becomes </w:t>
      </w:r>
      <w:r>
        <w:rPr>
          <w:rFonts w:eastAsia="Times New Roman" w:cs="Times New Roman"/>
          <w:color w:val="000000"/>
        </w:rPr>
        <w:t>more</w:t>
      </w:r>
      <w:r w:rsidRPr="00BA5E88">
        <w:rPr>
          <w:rFonts w:eastAsia="Times New Roman" w:cs="Times New Roman"/>
          <w:color w:val="000000"/>
        </w:rPr>
        <w:t xml:space="preserve"> </w:t>
      </w:r>
      <w:r>
        <w:rPr>
          <w:rFonts w:eastAsia="Times New Roman" w:cs="Times New Roman"/>
          <w:color w:val="000000"/>
        </w:rPr>
        <w:t>optimistic</w:t>
      </w:r>
      <w:r w:rsidRPr="00BA5E88">
        <w:rPr>
          <w:rFonts w:eastAsia="Times New Roman" w:cs="Times New Roman"/>
          <w:color w:val="000000"/>
        </w:rPr>
        <w:t>, firm</w:t>
      </w:r>
      <w:r>
        <w:rPr>
          <w:rFonts w:eastAsia="Times New Roman" w:cs="Times New Roman"/>
          <w:color w:val="000000"/>
        </w:rPr>
        <w:t>s</w:t>
      </w:r>
      <w:r w:rsidRPr="00BA5E88">
        <w:rPr>
          <w:rFonts w:eastAsia="Times New Roman" w:cs="Times New Roman"/>
          <w:color w:val="000000"/>
        </w:rPr>
        <w:t xml:space="preserve"> face </w:t>
      </w:r>
      <w:r>
        <w:rPr>
          <w:rFonts w:eastAsia="Times New Roman" w:cs="Times New Roman"/>
          <w:color w:val="000000"/>
        </w:rPr>
        <w:t>lower</w:t>
      </w:r>
      <w:r w:rsidRPr="00BA5E88">
        <w:rPr>
          <w:rFonts w:eastAsia="Times New Roman" w:cs="Times New Roman"/>
          <w:color w:val="000000"/>
        </w:rPr>
        <w:t xml:space="preserve"> </w:t>
      </w:r>
      <w:r w:rsidRPr="002A6121">
        <w:rPr>
          <w:rFonts w:cs="Times New Roman"/>
        </w:rPr>
        <w:t xml:space="preserve">stock </w:t>
      </w:r>
      <w:r w:rsidRPr="00BA5E88">
        <w:rPr>
          <w:rFonts w:eastAsia="Times New Roman" w:cs="Times New Roman"/>
          <w:color w:val="000000"/>
        </w:rPr>
        <w:t xml:space="preserve">price crash risk. </w:t>
      </w:r>
    </w:p>
    <w:p w14:paraId="4BC4B5FE" w14:textId="2962E85E" w:rsidR="00562699" w:rsidRPr="00C0705B" w:rsidRDefault="00562699" w:rsidP="0089740B">
      <w:pPr>
        <w:rPr>
          <w:rFonts w:eastAsia="Times New Roman"/>
          <w:color w:val="000000"/>
        </w:rPr>
      </w:pPr>
      <w:r w:rsidRPr="00BA5E88">
        <w:rPr>
          <w:rFonts w:eastAsia="Times New Roman"/>
          <w:color w:val="000000"/>
        </w:rPr>
        <w:t>To test this, we conduct a change analysis.</w:t>
      </w:r>
      <w:r>
        <w:t xml:space="preserve"> Following previous literature (e.g., Davis </w:t>
      </w:r>
      <w:r w:rsidRPr="0089740B">
        <w:rPr>
          <w:iCs/>
        </w:rPr>
        <w:t>et al</w:t>
      </w:r>
      <w:r w:rsidRPr="00B70E79">
        <w:rPr>
          <w:iCs/>
        </w:rPr>
        <w:t xml:space="preserve">. </w:t>
      </w:r>
      <w:r>
        <w:t xml:space="preserve">2012; Feldman </w:t>
      </w:r>
      <w:r w:rsidRPr="0089740B">
        <w:rPr>
          <w:iCs/>
        </w:rPr>
        <w:t>et al</w:t>
      </w:r>
      <w:r w:rsidRPr="00B70E79">
        <w:rPr>
          <w:iCs/>
        </w:rPr>
        <w:t>.</w:t>
      </w:r>
      <w:r>
        <w:t xml:space="preserve"> 2010; Henry and Leone 2016)</w:t>
      </w:r>
      <w:r w:rsidRPr="00D33E55">
        <w:t xml:space="preserve">, we </w:t>
      </w:r>
      <w:r>
        <w:t>define tone change as</w:t>
      </w:r>
      <w:r w:rsidRPr="00D33E55">
        <w:t xml:space="preserve"> the </w:t>
      </w:r>
      <w:r>
        <w:t>tone</w:t>
      </w:r>
      <w:r w:rsidRPr="00D33E55">
        <w:t xml:space="preserve"> of </w:t>
      </w:r>
      <w:r>
        <w:t>managers’ conference call disclosures in the current year compared with the previous year. The r</w:t>
      </w:r>
      <w:r w:rsidRPr="008A5AB7">
        <w:t xml:space="preserve">esults </w:t>
      </w:r>
      <w:r>
        <w:rPr>
          <w:rFonts w:eastAsia="SimSun"/>
          <w:lang w:eastAsia="zh-CN"/>
        </w:rPr>
        <w:t>(</w:t>
      </w:r>
      <w:r w:rsidRPr="00C20533">
        <w:rPr>
          <w:rFonts w:eastAsia="SimSun"/>
          <w:lang w:eastAsia="zh-CN"/>
        </w:rPr>
        <w:t>Table 5 Panel B</w:t>
      </w:r>
      <w:r>
        <w:rPr>
          <w:rFonts w:eastAsia="SimSun"/>
          <w:lang w:eastAsia="zh-CN"/>
        </w:rPr>
        <w:t>)</w:t>
      </w:r>
      <w:r w:rsidRPr="00C20533">
        <w:rPr>
          <w:rFonts w:eastAsia="SimSun"/>
          <w:lang w:eastAsia="zh-CN"/>
        </w:rPr>
        <w:t xml:space="preserve"> show that </w:t>
      </w:r>
      <w:r w:rsidRPr="0070215A">
        <w:rPr>
          <w:rFonts w:eastAsia="SimSun"/>
          <w:lang w:eastAsia="zh-CN"/>
        </w:rPr>
        <w:t xml:space="preserve">if tone becomes </w:t>
      </w:r>
      <w:r>
        <w:rPr>
          <w:rFonts w:eastAsia="SimSun"/>
          <w:lang w:eastAsia="zh-CN"/>
        </w:rPr>
        <w:t>more</w:t>
      </w:r>
      <w:r w:rsidRPr="0070215A">
        <w:rPr>
          <w:rFonts w:eastAsia="SimSun"/>
          <w:lang w:eastAsia="zh-CN"/>
        </w:rPr>
        <w:t xml:space="preserve"> </w:t>
      </w:r>
      <w:r>
        <w:rPr>
          <w:rFonts w:eastAsia="SimSun"/>
          <w:lang w:eastAsia="zh-CN"/>
        </w:rPr>
        <w:t>optimistic</w:t>
      </w:r>
      <w:r w:rsidRPr="0018266C">
        <w:rPr>
          <w:rFonts w:eastAsia="SimSun"/>
          <w:lang w:eastAsia="zh-CN"/>
        </w:rPr>
        <w:t xml:space="preserve"> in the current year</w:t>
      </w:r>
      <w:r w:rsidRPr="006118C8">
        <w:rPr>
          <w:rFonts w:eastAsia="SimSun"/>
          <w:lang w:eastAsia="zh-CN"/>
        </w:rPr>
        <w:t xml:space="preserve"> </w:t>
      </w:r>
      <w:r>
        <w:rPr>
          <w:rFonts w:eastAsia="SimSun"/>
          <w:lang w:eastAsia="zh-CN"/>
        </w:rPr>
        <w:t>than in</w:t>
      </w:r>
      <w:r w:rsidRPr="006118C8">
        <w:rPr>
          <w:rFonts w:eastAsia="SimSun"/>
          <w:lang w:eastAsia="zh-CN"/>
        </w:rPr>
        <w:t xml:space="preserve"> the previous year</w:t>
      </w:r>
      <w:r w:rsidRPr="00BA5E88">
        <w:rPr>
          <w:rFonts w:eastAsia="SimSun"/>
          <w:lang w:eastAsia="zh-CN"/>
        </w:rPr>
        <w:t xml:space="preserve">, the firm will experience </w:t>
      </w:r>
      <w:r>
        <w:rPr>
          <w:rFonts w:eastAsia="SimSun"/>
          <w:lang w:eastAsia="zh-CN"/>
        </w:rPr>
        <w:t>lower</w:t>
      </w:r>
      <w:r w:rsidRPr="00BA5E88">
        <w:rPr>
          <w:rFonts w:eastAsia="SimSun"/>
          <w:lang w:eastAsia="zh-CN"/>
        </w:rPr>
        <w:t xml:space="preserve"> </w:t>
      </w:r>
      <w:r w:rsidRPr="002A6121">
        <w:t xml:space="preserve">stock </w:t>
      </w:r>
      <w:r w:rsidRPr="00BA5E88">
        <w:rPr>
          <w:rFonts w:eastAsia="SimSun"/>
          <w:lang w:eastAsia="zh-CN"/>
        </w:rPr>
        <w:t xml:space="preserve">price crash risk. </w:t>
      </w:r>
    </w:p>
    <w:p w14:paraId="4FC65B1F" w14:textId="78D9E8AD" w:rsidR="00562699" w:rsidRDefault="00562699" w:rsidP="0089740B">
      <w:pPr>
        <w:pStyle w:val="Heading3"/>
      </w:pPr>
      <w:r>
        <w:rPr>
          <w:lang w:eastAsia="zh-CN"/>
        </w:rPr>
        <w:t>Alternative Measure of Stock Price Crash Risk</w:t>
      </w:r>
    </w:p>
    <w:p w14:paraId="6A4655C9" w14:textId="116DEC47" w:rsidR="00562699" w:rsidRDefault="00562699">
      <w:pPr>
        <w:pStyle w:val="NoIndentNormal"/>
        <w:rPr>
          <w:rFonts w:cs="Times New Roman"/>
        </w:rPr>
      </w:pPr>
      <w:r w:rsidRPr="00212A86">
        <w:t xml:space="preserve">In addition to </w:t>
      </w:r>
      <m:oMath>
        <m:r>
          <w:rPr>
            <w:rFonts w:ascii="Cambria Math" w:hAnsi="Cambria Math"/>
          </w:rPr>
          <m:t>COUNT</m:t>
        </m:r>
      </m:oMath>
      <w:r>
        <w:t xml:space="preserve">, </w:t>
      </w:r>
      <m:oMath>
        <m:r>
          <w:rPr>
            <w:rFonts w:ascii="Cambria Math" w:hAnsi="Cambria Math"/>
          </w:rPr>
          <m:t>NCSKEW</m:t>
        </m:r>
      </m:oMath>
      <w:r>
        <w:t xml:space="preserve"> and </w:t>
      </w:r>
      <m:oMath>
        <m:r>
          <w:rPr>
            <w:rFonts w:ascii="Cambria Math" w:hAnsi="Cambria Math"/>
          </w:rPr>
          <m:t>DUVOL</m:t>
        </m:r>
      </m:oMath>
      <w:r>
        <w:t xml:space="preserve">, previous literature (e.g., Kim </w:t>
      </w:r>
      <w:r w:rsidRPr="00C13953">
        <w:rPr>
          <w:iCs/>
        </w:rPr>
        <w:t>et al</w:t>
      </w:r>
      <w:r w:rsidRPr="00B70E79">
        <w:rPr>
          <w:iCs/>
        </w:rPr>
        <w:t xml:space="preserve">. </w:t>
      </w:r>
      <w:r>
        <w:t xml:space="preserve">2016; </w:t>
      </w:r>
      <w:r w:rsidRPr="00212A86">
        <w:t>Andreou</w:t>
      </w:r>
      <w:r>
        <w:t xml:space="preserve"> </w:t>
      </w:r>
      <w:r w:rsidRPr="00C13953">
        <w:rPr>
          <w:iCs/>
        </w:rPr>
        <w:t>et al</w:t>
      </w:r>
      <w:r w:rsidRPr="00B70E79">
        <w:rPr>
          <w:iCs/>
        </w:rPr>
        <w:t>.</w:t>
      </w:r>
      <w:r>
        <w:t xml:space="preserve"> 2016) also uses an alternative measure for stock price crash risk, </w:t>
      </w:r>
      <m:oMath>
        <m:r>
          <w:rPr>
            <w:rFonts w:ascii="Cambria Math" w:hAnsi="Cambria Math"/>
          </w:rPr>
          <m:t>CRASH</m:t>
        </m:r>
      </m:oMath>
      <w:r>
        <w:t xml:space="preserve">. </w:t>
      </w:r>
      <m:oMath>
        <m:r>
          <w:rPr>
            <w:rFonts w:ascii="Cambria Math" w:hAnsi="Cambria Math"/>
          </w:rPr>
          <m:t>CRASH</m:t>
        </m:r>
      </m:oMath>
      <w:r>
        <w:t xml:space="preserve"> is defined as an indicator variable that equals 1 </w:t>
      </w:r>
      <w:r>
        <w:rPr>
          <w:rFonts w:cs="Times New Roman"/>
        </w:rPr>
        <w:t xml:space="preserve">if a firm experiences one or more weeks with firm-specific weekly returns exceeding 3.20 standard deviations below the mean firm-specific weekly returns over the fiscal year, and 0 otherwise. The results for regressing </w:t>
      </w:r>
      <m:oMath>
        <m:r>
          <w:rPr>
            <w:rFonts w:ascii="Cambria Math" w:hAnsi="Cambria Math"/>
          </w:rPr>
          <m:t>CRASH</m:t>
        </m:r>
      </m:oMath>
      <w:r>
        <w:rPr>
          <w:rFonts w:cs="Times New Roman"/>
        </w:rPr>
        <w:t xml:space="preserve"> on </w:t>
      </w:r>
      <m:oMath>
        <m:r>
          <w:rPr>
            <w:rFonts w:ascii="Cambria Math" w:hAnsi="Cambria Math"/>
          </w:rPr>
          <m:t>TONE_C</m:t>
        </m:r>
      </m:oMath>
      <w:r>
        <w:rPr>
          <w:rFonts w:cs="Times New Roman"/>
        </w:rPr>
        <w:t xml:space="preserve"> and </w:t>
      </w:r>
      <m:oMath>
        <m:r>
          <w:rPr>
            <w:rFonts w:ascii="Cambria Math" w:hAnsi="Cambria Math"/>
          </w:rPr>
          <m:t>RE_TONE_C</m:t>
        </m:r>
      </m:oMath>
      <w:r>
        <w:rPr>
          <w:rFonts w:cs="Times New Roman"/>
        </w:rPr>
        <w:t xml:space="preserve"> using logit regressions are reported in Table 5 Panel C. Model (1) shows that the coefficient on </w:t>
      </w:r>
      <m:oMath>
        <m:r>
          <w:rPr>
            <w:rFonts w:ascii="Cambria Math" w:hAnsi="Cambria Math"/>
          </w:rPr>
          <m:t>TONE_C</m:t>
        </m:r>
      </m:oMath>
      <w:r>
        <w:rPr>
          <w:rFonts w:cs="Times New Roman"/>
        </w:rPr>
        <w:t xml:space="preserve"> is negative and statistically significant (-0.357, with a t-statistic of 3.37), suggesting that firms with more optimistic conference call tone are less likely to experience a stock price crash, consistent with our main results. Similar inferences are drawn from using </w:t>
      </w:r>
      <m:oMath>
        <m:r>
          <w:rPr>
            <w:rFonts w:ascii="Cambria Math" w:hAnsi="Cambria Math"/>
          </w:rPr>
          <m:t>RE_TONE_C</m:t>
        </m:r>
      </m:oMath>
      <w:r>
        <w:rPr>
          <w:rFonts w:cs="Times New Roman"/>
        </w:rPr>
        <w:t>, as shown in Model (2).</w:t>
      </w:r>
    </w:p>
    <w:p w14:paraId="1BDF2B0D" w14:textId="1EEE0DE2" w:rsidR="00562699" w:rsidRDefault="00562699">
      <w:pPr>
        <w:pStyle w:val="Heading1"/>
        <w:rPr>
          <w:lang w:eastAsia="zh-CN"/>
        </w:rPr>
      </w:pPr>
      <w:r>
        <w:rPr>
          <w:lang w:eastAsia="zh-CN"/>
        </w:rPr>
        <w:lastRenderedPageBreak/>
        <w:t>Additional Analyses</w:t>
      </w:r>
    </w:p>
    <w:p w14:paraId="236123B8" w14:textId="1BD157B2" w:rsidR="00562699" w:rsidRDefault="00562699" w:rsidP="003E49E8">
      <w:pPr>
        <w:pStyle w:val="NoIndentNormal"/>
      </w:pPr>
      <w:r>
        <w:t>This section investigates explanations for the underlying mechanism of the predictive power of call tone for stock price crash risk.</w:t>
      </w:r>
    </w:p>
    <w:p w14:paraId="79B8AB6D" w14:textId="05F845E6" w:rsidR="00562699" w:rsidRPr="00E73BE3" w:rsidRDefault="00562699">
      <w:pPr>
        <w:pStyle w:val="Heading2"/>
        <w:rPr>
          <w:i/>
        </w:rPr>
      </w:pPr>
      <w:r w:rsidRPr="00F37C2B">
        <w:t xml:space="preserve">Different </w:t>
      </w:r>
      <w:r>
        <w:t>C</w:t>
      </w:r>
      <w:r w:rsidRPr="00F37C2B">
        <w:t xml:space="preserve">all </w:t>
      </w:r>
      <w:r>
        <w:t>S</w:t>
      </w:r>
      <w:r w:rsidRPr="00F37C2B">
        <w:t xml:space="preserve">ections and </w:t>
      </w:r>
      <w:r>
        <w:t>P</w:t>
      </w:r>
      <w:r w:rsidRPr="00F37C2B">
        <w:t>articipants</w:t>
      </w:r>
    </w:p>
    <w:p w14:paraId="71CCB45C" w14:textId="223CC0A3" w:rsidR="00562699" w:rsidRDefault="00562699" w:rsidP="003E49E8">
      <w:pPr>
        <w:pStyle w:val="NoIndentNormal"/>
      </w:pPr>
      <w:r>
        <w:t xml:space="preserve">In this sub-section, we explore whether the negative predictive power of optimistic conference call tone is attributable to managers’ own truthful communication intentions or failure to withhold bad news. First, we analyze the predictive power of the tone of the presentation and Q&amp;A sections, respectively. When managers have incentives to hoard bad news but fail to do so, we expect the negative predictive power of optimistic call tone to be driven by the Q&amp;A section tone. This is because the </w:t>
      </w:r>
      <w:r w:rsidRPr="00F21DFD">
        <w:t xml:space="preserve">presentation section </w:t>
      </w:r>
      <w:r>
        <w:t>can be</w:t>
      </w:r>
      <w:r w:rsidRPr="00F21DFD">
        <w:t xml:space="preserve"> care</w:t>
      </w:r>
      <w:r w:rsidRPr="00AE02DD">
        <w:t>fully scripted in advance</w:t>
      </w:r>
      <w:r>
        <w:t xml:space="preserve"> </w:t>
      </w:r>
      <w:r w:rsidRPr="00AE02DD">
        <w:t xml:space="preserve">to strategically </w:t>
      </w:r>
      <w:r>
        <w:t>hide</w:t>
      </w:r>
      <w:r w:rsidRPr="00AE02DD">
        <w:t xml:space="preserve"> bad news</w:t>
      </w:r>
      <w:r>
        <w:t>, whereas</w:t>
      </w:r>
      <w:r w:rsidRPr="00AE02DD">
        <w:t xml:space="preserve"> </w:t>
      </w:r>
      <w:r>
        <w:t>in</w:t>
      </w:r>
      <w:r w:rsidRPr="00AE02DD">
        <w:t xml:space="preserve"> the Q&amp;A section, managers </w:t>
      </w:r>
      <w:r>
        <w:t>may be</w:t>
      </w:r>
      <w:r w:rsidRPr="00AE02DD">
        <w:t xml:space="preserve"> pressured</w:t>
      </w:r>
      <w:r>
        <w:t xml:space="preserve"> by questions from call participants</w:t>
      </w:r>
      <w:r w:rsidRPr="00AE02DD">
        <w:t xml:space="preserve"> into </w:t>
      </w:r>
      <w:r>
        <w:t>disclosing information required by participants, making them more likely to divulge</w:t>
      </w:r>
      <w:r w:rsidRPr="00AE02DD">
        <w:t xml:space="preserve"> their true opinions on </w:t>
      </w:r>
      <w:r>
        <w:t>firm</w:t>
      </w:r>
      <w:r w:rsidRPr="00AE02DD">
        <w:t xml:space="preserve"> </w:t>
      </w:r>
      <w:r>
        <w:t>performance</w:t>
      </w:r>
      <w:r w:rsidRPr="00AE02DD">
        <w:t xml:space="preserve"> and outlook</w:t>
      </w:r>
      <w:r>
        <w:t xml:space="preserve"> (Matsumoto </w:t>
      </w:r>
      <w:r w:rsidRPr="00C13953">
        <w:rPr>
          <w:iCs/>
        </w:rPr>
        <w:t>et al.</w:t>
      </w:r>
      <w:r>
        <w:t xml:space="preserve"> 2011)</w:t>
      </w:r>
      <w:r w:rsidRPr="00AE02DD">
        <w:t>.</w:t>
      </w:r>
      <w:r w:rsidRPr="002209B5">
        <w:t xml:space="preserve"> </w:t>
      </w:r>
      <w:r>
        <w:t>The results (Table 6 Panel A) show that optimistic tone in both the presentation and Q&amp;A sections has significant and negative predictive power for stock price crash risk. The more optimistic the tone of either section, the lower the stock price crash risk. Furthermore, the coefficients on the Q&amp;A section tone are larger than those on the presentation section tone. This indicates that while the former is more important for predicting stock price crash risk, managers also engage in truthful disclosure in the presentation section.</w:t>
      </w:r>
    </w:p>
    <w:p w14:paraId="142A882E" w14:textId="2AA0FDA5" w:rsidR="00562699" w:rsidRPr="00E73BE3" w:rsidRDefault="00562699" w:rsidP="00C13953">
      <w:r>
        <w:t xml:space="preserve">Next, we investigate whether the negative </w:t>
      </w:r>
      <w:r>
        <w:rPr>
          <w:lang w:eastAsia="zh-CN"/>
        </w:rPr>
        <w:t xml:space="preserve">predictive power </w:t>
      </w:r>
      <w:r>
        <w:t>of the optimistic Q&amp;A section tone is driven by managers or other call participants (mainly analysts).</w:t>
      </w:r>
      <w:r>
        <w:rPr>
          <w:lang w:eastAsia="zh-CN"/>
        </w:rPr>
        <w:t xml:space="preserve"> </w:t>
      </w:r>
      <w:r>
        <w:t>Previous research shows that both manager tone and participant tone convey useful information (Borochin</w:t>
      </w:r>
      <w:r w:rsidRPr="00B70E79">
        <w:t xml:space="preserve"> </w:t>
      </w:r>
      <w:r w:rsidRPr="00C13953">
        <w:t>et al</w:t>
      </w:r>
      <w:r w:rsidRPr="00B70E79">
        <w:t>.</w:t>
      </w:r>
      <w:r>
        <w:t xml:space="preserve"> 2018; Brockman</w:t>
      </w:r>
      <w:r w:rsidRPr="00B70E79">
        <w:t xml:space="preserve"> </w:t>
      </w:r>
      <w:r w:rsidRPr="00C13953">
        <w:t>et al</w:t>
      </w:r>
      <w:r w:rsidRPr="00B70E79">
        <w:t>.</w:t>
      </w:r>
      <w:r>
        <w:t xml:space="preserve"> 2015). However, it is difficult to </w:t>
      </w:r>
      <w:r>
        <w:rPr>
          <w:lang w:eastAsia="zh-CN"/>
        </w:rPr>
        <w:t>predict</w:t>
      </w:r>
      <w:r>
        <w:rPr>
          <w:rFonts w:hint="eastAsia"/>
          <w:lang w:eastAsia="zh-CN"/>
        </w:rPr>
        <w:t xml:space="preserve"> </w:t>
      </w:r>
      <w:r w:rsidRPr="00C13953">
        <w:rPr>
          <w:i/>
          <w:iCs/>
          <w:lang w:eastAsia="zh-CN"/>
        </w:rPr>
        <w:t>ex ante</w:t>
      </w:r>
      <w:r>
        <w:t xml:space="preserve"> whether both manager tone and participant tone have significant predictive power for stock price crash risk. </w:t>
      </w:r>
      <w:r>
        <w:rPr>
          <w:rFonts w:hint="eastAsia"/>
          <w:lang w:eastAsia="zh-CN"/>
        </w:rPr>
        <w:t xml:space="preserve">On the one </w:t>
      </w:r>
      <w:r>
        <w:rPr>
          <w:rFonts w:hint="eastAsia"/>
          <w:lang w:eastAsia="zh-CN"/>
        </w:rPr>
        <w:lastRenderedPageBreak/>
        <w:t>hand, m</w:t>
      </w:r>
      <w:r>
        <w:t xml:space="preserve">anager tone may reflect useful forward-looking information. As managers possess private information, they know more about future crashes than call participants, and may communicate such negative outlooks truthfully using less optimistic tone. In this case, we would expect optimistic manager tone to have significant and negative predictive power and to drive the </w:t>
      </w:r>
      <w:r>
        <w:rPr>
          <w:lang w:eastAsia="zh-CN"/>
        </w:rPr>
        <w:t xml:space="preserve">predictive power </w:t>
      </w:r>
      <w:r>
        <w:t xml:space="preserve">of the Q&amp;A tone. On the other hand, </w:t>
      </w:r>
      <w:r>
        <w:rPr>
          <w:rFonts w:hint="eastAsia"/>
          <w:lang w:eastAsia="zh-CN"/>
        </w:rPr>
        <w:t xml:space="preserve">participant tone may have greater </w:t>
      </w:r>
      <w:r>
        <w:rPr>
          <w:lang w:eastAsia="zh-CN"/>
        </w:rPr>
        <w:t>predictive power, as</w:t>
      </w:r>
      <w:r>
        <w:rPr>
          <w:rFonts w:hint="eastAsia"/>
          <w:lang w:eastAsia="zh-CN"/>
        </w:rPr>
        <w:t xml:space="preserve"> </w:t>
      </w:r>
      <w:r>
        <w:t>previous research shows that analysts’ participation and tone lead to stronger market reactions (Borochin</w:t>
      </w:r>
      <w:r w:rsidRPr="00B70E79">
        <w:t xml:space="preserve"> </w:t>
      </w:r>
      <w:r w:rsidRPr="00C13953">
        <w:t>et al</w:t>
      </w:r>
      <w:r w:rsidRPr="00B70E79">
        <w:t>.</w:t>
      </w:r>
      <w:r>
        <w:t xml:space="preserve"> 2018; Brockman </w:t>
      </w:r>
      <w:r w:rsidRPr="00C13953">
        <w:rPr>
          <w:iCs/>
        </w:rPr>
        <w:t>et al</w:t>
      </w:r>
      <w:r w:rsidRPr="00B70E79">
        <w:rPr>
          <w:iCs/>
        </w:rPr>
        <w:t xml:space="preserve">. </w:t>
      </w:r>
      <w:r>
        <w:t xml:space="preserve">2015; Matsumoto </w:t>
      </w:r>
      <w:r w:rsidRPr="00C13953">
        <w:rPr>
          <w:iCs/>
        </w:rPr>
        <w:t>et al</w:t>
      </w:r>
      <w:r w:rsidRPr="00B70E79">
        <w:rPr>
          <w:iCs/>
        </w:rPr>
        <w:t>.</w:t>
      </w:r>
      <w:r>
        <w:t xml:space="preserve"> 2011). Thus, optimistic participant tone may also have negative predictive power for </w:t>
      </w:r>
      <w:r w:rsidRPr="002A6121">
        <w:t xml:space="preserve">stock </w:t>
      </w:r>
      <w:r>
        <w:t xml:space="preserve">price crash risk and may drive the </w:t>
      </w:r>
      <w:r>
        <w:rPr>
          <w:lang w:eastAsia="zh-CN"/>
        </w:rPr>
        <w:t xml:space="preserve">predictive power </w:t>
      </w:r>
      <w:r>
        <w:t xml:space="preserve">of the Q&amp;A tone. The results (Table 6 Panel B) show that the coefficients on both </w:t>
      </w:r>
      <m:oMath>
        <m:r>
          <w:rPr>
            <w:rFonts w:ascii="Cambria Math" w:hAnsi="Cambria Math"/>
          </w:rPr>
          <m:t>TONE_MAN</m:t>
        </m:r>
      </m:oMath>
      <w:r>
        <w:t xml:space="preserve"> and </w:t>
      </w:r>
      <m:oMath>
        <m:r>
          <w:rPr>
            <w:rFonts w:ascii="Cambria Math" w:hAnsi="Cambria Math"/>
          </w:rPr>
          <m:t>TONE_PAR</m:t>
        </m:r>
      </m:oMath>
      <w:r>
        <w:t xml:space="preserve"> are significant,</w:t>
      </w:r>
      <w:r>
        <w:rPr>
          <w:i/>
        </w:rPr>
        <w:t xml:space="preserve"> </w:t>
      </w:r>
      <w:r>
        <w:rPr>
          <w:rFonts w:hint="eastAsia"/>
          <w:lang w:eastAsia="zh-CN"/>
        </w:rPr>
        <w:t>suggest</w:t>
      </w:r>
      <w:r>
        <w:rPr>
          <w:lang w:eastAsia="zh-CN"/>
        </w:rPr>
        <w:t>ing</w:t>
      </w:r>
      <w:r>
        <w:rPr>
          <w:rFonts w:hint="eastAsia"/>
          <w:lang w:eastAsia="zh-CN"/>
        </w:rPr>
        <w:t xml:space="preserve"> that</w:t>
      </w:r>
      <w:r>
        <w:t xml:space="preserve"> both optimistic manager tone and optimistic participant tone in the Q&amp;A section have significant and negative predictive power for </w:t>
      </w:r>
      <w:r w:rsidRPr="002A6121">
        <w:t xml:space="preserve">stock </w:t>
      </w:r>
      <w:r>
        <w:t>price crash risk.</w:t>
      </w:r>
      <w:r>
        <w:rPr>
          <w:rFonts w:hint="eastAsia"/>
          <w:lang w:eastAsia="zh-CN"/>
        </w:rPr>
        <w:t xml:space="preserve"> </w:t>
      </w:r>
      <w:r>
        <w:rPr>
          <w:lang w:eastAsia="zh-CN"/>
        </w:rPr>
        <w:t>Importantly</w:t>
      </w:r>
      <w:r>
        <w:rPr>
          <w:rFonts w:hint="eastAsia"/>
          <w:lang w:eastAsia="zh-CN"/>
        </w:rPr>
        <w:t>,</w:t>
      </w:r>
      <w:r>
        <w:t xml:space="preserve"> optimistic manager tone in the Q&amp;A section has stronger and more negative predictive power than participant tone, both statistically and economically. These results indicate</w:t>
      </w:r>
      <w:r>
        <w:rPr>
          <w:lang w:eastAsia="zh-CN"/>
        </w:rPr>
        <w:t xml:space="preserve"> that </w:t>
      </w:r>
      <w:r>
        <w:t>managers, as corporate insiders, possess private information and engage in truthful communication during conference calls.</w:t>
      </w:r>
      <w:r>
        <w:rPr>
          <w:rStyle w:val="EndnoteReference"/>
        </w:rPr>
        <w:endnoteReference w:id="14"/>
      </w:r>
    </w:p>
    <w:p w14:paraId="1A499EAF" w14:textId="7ECDA3B6" w:rsidR="00562699" w:rsidRDefault="00562699" w:rsidP="00C13953">
      <w:pPr>
        <w:pStyle w:val="InsertInstruct"/>
        <w:rPr>
          <w:lang w:eastAsia="zh-CN"/>
        </w:rPr>
      </w:pPr>
      <w:r>
        <w:t>[Insert Table 6 here]</w:t>
      </w:r>
    </w:p>
    <w:p w14:paraId="796C3E9F" w14:textId="4800D4D4" w:rsidR="00562699" w:rsidRPr="00E73BE3" w:rsidRDefault="00562699">
      <w:pPr>
        <w:pStyle w:val="Heading2"/>
        <w:rPr>
          <w:i/>
        </w:rPr>
      </w:pPr>
      <w:r w:rsidRPr="00F37C2B">
        <w:t>Sub</w:t>
      </w:r>
      <w:r>
        <w:t>-</w:t>
      </w:r>
      <w:r w:rsidRPr="00F37C2B">
        <w:t xml:space="preserve">sample </w:t>
      </w:r>
      <w:r>
        <w:t>Analyses</w:t>
      </w:r>
    </w:p>
    <w:p w14:paraId="7E7D74E7" w14:textId="635E3F3C" w:rsidR="00562699" w:rsidRPr="00DB74BB" w:rsidRDefault="00562699" w:rsidP="00C13953">
      <w:pPr>
        <w:pStyle w:val="NoIndentNormal"/>
      </w:pPr>
      <w:r>
        <w:t>This sub-section presents our sub-sample analyses to further investigate how extrinsic motivations, such as external monitoring and managerial equity incentives, may affect managers’ intentions</w:t>
      </w:r>
      <w:r w:rsidRPr="00F72741">
        <w:t xml:space="preserve"> </w:t>
      </w:r>
      <w:r w:rsidRPr="00F72741">
        <w:rPr>
          <w:rFonts w:eastAsia="Microsoft YaHei"/>
        </w:rPr>
        <w:t>to</w:t>
      </w:r>
      <w:r>
        <w:rPr>
          <w:rFonts w:ascii="Microsoft YaHei" w:eastAsia="Microsoft YaHei" w:hAnsi="Microsoft YaHei" w:cs="Microsoft YaHei"/>
        </w:rPr>
        <w:t xml:space="preserve"> </w:t>
      </w:r>
      <w:r>
        <w:t>engage in truthful communication. First</w:t>
      </w:r>
      <w:r w:rsidRPr="00776E6F">
        <w:t xml:space="preserve">, we consider </w:t>
      </w:r>
      <w:r>
        <w:t xml:space="preserve">external </w:t>
      </w:r>
      <w:r w:rsidRPr="00776E6F">
        <w:t xml:space="preserve">monitoring </w:t>
      </w:r>
      <w:r>
        <w:t>from the firm’s</w:t>
      </w:r>
      <w:r w:rsidRPr="00776E6F">
        <w:t xml:space="preserve"> information environment. </w:t>
      </w:r>
      <w:r>
        <w:t>A b</w:t>
      </w:r>
      <w:r w:rsidRPr="005F288F">
        <w:t xml:space="preserve">etter information environment leads to more transparent and </w:t>
      </w:r>
      <w:r>
        <w:t>truthful</w:t>
      </w:r>
      <w:r w:rsidRPr="005F288F">
        <w:t xml:space="preserve"> disclosure</w:t>
      </w:r>
      <w:r>
        <w:t xml:space="preserve"> because it serves </w:t>
      </w:r>
      <w:r w:rsidRPr="005F288F">
        <w:t xml:space="preserve">as a monitoring mechanism </w:t>
      </w:r>
      <w:r>
        <w:t>to</w:t>
      </w:r>
      <w:r w:rsidRPr="005F288F">
        <w:t xml:space="preserve"> curb unethical financial reporting.</w:t>
      </w:r>
      <w:r>
        <w:rPr>
          <w:color w:val="2E2E2E"/>
        </w:rPr>
        <w:t xml:space="preserve"> </w:t>
      </w:r>
      <w:r>
        <w:t>An important attribute of the corporate information environment is the analyst following, which improves</w:t>
      </w:r>
      <w:r w:rsidRPr="00B82C79">
        <w:t xml:space="preserve"> </w:t>
      </w:r>
      <w:r>
        <w:t xml:space="preserve">the </w:t>
      </w:r>
      <w:r w:rsidRPr="00B82C79">
        <w:t>information environment</w:t>
      </w:r>
      <w:r>
        <w:t>,</w:t>
      </w:r>
      <w:r w:rsidRPr="00B82C79">
        <w:t xml:space="preserve"> </w:t>
      </w:r>
      <w:r>
        <w:t xml:space="preserve">leading to </w:t>
      </w:r>
      <w:r>
        <w:lastRenderedPageBreak/>
        <w:t>higher-</w:t>
      </w:r>
      <w:r w:rsidRPr="00B82C79">
        <w:t>quality disclosure</w:t>
      </w:r>
      <w:r>
        <w:t>s</w:t>
      </w:r>
      <w:r w:rsidRPr="00B82C79">
        <w:t xml:space="preserve"> </w:t>
      </w:r>
      <w:r>
        <w:t>and lower information asymmetry</w:t>
      </w:r>
      <w:r w:rsidRPr="00B82C79">
        <w:t xml:space="preserve"> (</w:t>
      </w:r>
      <w:r>
        <w:t xml:space="preserve">e.g., Frankel and Li 2004; </w:t>
      </w:r>
      <w:r w:rsidRPr="00B82C79">
        <w:t>Lang and Lundholm 1993</w:t>
      </w:r>
      <w:r>
        <w:t>; Yu 2008</w:t>
      </w:r>
      <w:r w:rsidRPr="00B82C79">
        <w:t xml:space="preserve">). </w:t>
      </w:r>
      <w:r>
        <w:t xml:space="preserve">With more analysts listening to a conference call, the firm’s information flows more efficiently owing to stronger demand-side monitoring (Brochet </w:t>
      </w:r>
      <w:r w:rsidRPr="00C13953">
        <w:rPr>
          <w:iCs/>
        </w:rPr>
        <w:t>et al</w:t>
      </w:r>
      <w:r w:rsidRPr="00B70E79">
        <w:rPr>
          <w:iCs/>
        </w:rPr>
        <w:t xml:space="preserve">. </w:t>
      </w:r>
      <w:r>
        <w:t>2019). Thus, we expect that managers are motivated to engage in truthful communication when subjected to stronger external monitoring, and hence the information role of conference call tone will be more pronounced for firms with greater analyst following. The results (T</w:t>
      </w:r>
      <w:r w:rsidRPr="00DA6B25">
        <w:t xml:space="preserve">able </w:t>
      </w:r>
      <w:r>
        <w:t>7 Panel A)</w:t>
      </w:r>
      <w:r w:rsidRPr="00DA6B25">
        <w:t xml:space="preserve"> </w:t>
      </w:r>
      <w:r>
        <w:t>are consistent with this expectation.</w:t>
      </w:r>
    </w:p>
    <w:p w14:paraId="66E4C3BD" w14:textId="22468C3D" w:rsidR="00562699" w:rsidRPr="007454CA" w:rsidRDefault="00562699" w:rsidP="00C13953">
      <w:pPr>
        <w:pStyle w:val="InsertInstruct"/>
        <w:rPr>
          <w:rFonts w:cs="Times New Roman"/>
          <w:color w:val="2E2E2E"/>
        </w:rPr>
      </w:pPr>
      <w:r>
        <w:rPr>
          <w:lang w:eastAsia="zh-CN"/>
        </w:rPr>
        <w:t>[Insert Table 7 here]</w:t>
      </w:r>
    </w:p>
    <w:p w14:paraId="665D24CB" w14:textId="5BD413CF" w:rsidR="00562699" w:rsidRDefault="00562699">
      <w:pPr>
        <w:rPr>
          <w:lang w:eastAsia="zh-CN"/>
        </w:rPr>
      </w:pPr>
      <w:r>
        <w:rPr>
          <w:lang w:eastAsia="zh-CN"/>
        </w:rPr>
        <w:t xml:space="preserve">Next, we consider managerial equity incentives. </w:t>
      </w:r>
      <w:r>
        <w:t>Previous literature suggests that these incentives may induce managers to engage in short-termist behavior to boost the current stock price at the expense of long-term firm value (Bebchuk 2009). E</w:t>
      </w:r>
      <w:r w:rsidRPr="00B70E79">
        <w:rPr>
          <w:iCs/>
        </w:rPr>
        <w:t xml:space="preserve">quity compensation </w:t>
      </w:r>
      <w:r>
        <w:rPr>
          <w:iCs/>
        </w:rPr>
        <w:t xml:space="preserve">may </w:t>
      </w:r>
      <w:r w:rsidRPr="00B70E79">
        <w:rPr>
          <w:iCs/>
        </w:rPr>
        <w:t>motivate managers to conceal bad news about firms’ prospects</w:t>
      </w:r>
      <w:r>
        <w:rPr>
          <w:iCs/>
        </w:rPr>
        <w:t xml:space="preserve"> (</w:t>
      </w:r>
      <w:r>
        <w:t xml:space="preserve">Benmelech </w:t>
      </w:r>
      <w:r w:rsidRPr="00D81A46">
        <w:rPr>
          <w:iCs/>
        </w:rPr>
        <w:t>et al. 2010)</w:t>
      </w:r>
      <w:r>
        <w:rPr>
          <w:iCs/>
        </w:rPr>
        <w:t>, and</w:t>
      </w:r>
      <w:r>
        <w:t xml:space="preserve"> such behavior may lead to higher stock price crash risk (</w:t>
      </w:r>
      <w:r w:rsidRPr="00D81A46">
        <w:rPr>
          <w:iCs/>
        </w:rPr>
        <w:t xml:space="preserve">Kim et al. </w:t>
      </w:r>
      <w:r>
        <w:t xml:space="preserve">2011a). </w:t>
      </w:r>
      <w:r>
        <w:rPr>
          <w:lang w:eastAsia="zh-CN"/>
        </w:rPr>
        <w:t>Thus, we expect that equity incentives may compromise managers’ ethical and truthful communication intentions, causing the information role of conference call tone to be more pronounced when executives are less incentivized to hoard bad news. The results (Table 7 Panel B) provide supportive evidence for our prediction.</w:t>
      </w:r>
      <w:r>
        <w:rPr>
          <w:rStyle w:val="EndnoteReference"/>
          <w:lang w:eastAsia="zh-CN"/>
        </w:rPr>
        <w:endnoteReference w:id="15"/>
      </w:r>
    </w:p>
    <w:p w14:paraId="76B36F74" w14:textId="54EFE65C" w:rsidR="00562699" w:rsidRDefault="00562699">
      <w:pPr>
        <w:rPr>
          <w:lang w:eastAsia="zh-CN"/>
        </w:rPr>
      </w:pPr>
      <w:r>
        <w:rPr>
          <w:lang w:eastAsia="zh-CN"/>
        </w:rPr>
        <w:t xml:space="preserve">Taken together, the sub-sample analyses suggest that external monitoring from the </w:t>
      </w:r>
      <w:r>
        <w:t>corporate information environment</w:t>
      </w:r>
      <w:r w:rsidRPr="00B82C79">
        <w:t xml:space="preserve"> curbs unethical financial reporting by limiting managers</w:t>
      </w:r>
      <w:r>
        <w:t>’</w:t>
      </w:r>
      <w:r w:rsidRPr="00B82C79">
        <w:t xml:space="preserve"> abilit</w:t>
      </w:r>
      <w:r>
        <w:t>y</w:t>
      </w:r>
      <w:r w:rsidRPr="00B82C79">
        <w:t xml:space="preserve"> to hoard bad news and manipulate disclosure tone</w:t>
      </w:r>
      <w:r>
        <w:t>, while managers’ equity incentives have the opposite effect.</w:t>
      </w:r>
    </w:p>
    <w:p w14:paraId="39F3EC9B" w14:textId="2F3B4A5F" w:rsidR="00562699" w:rsidRDefault="00562699">
      <w:pPr>
        <w:pStyle w:val="Heading1"/>
      </w:pPr>
      <w:r w:rsidRPr="00054399">
        <w:t>Research and Practical Implications</w:t>
      </w:r>
    </w:p>
    <w:p w14:paraId="6D0448BD" w14:textId="56FFD6D3" w:rsidR="00D06CD8" w:rsidRPr="002F0218" w:rsidRDefault="00562699" w:rsidP="00C13953">
      <w:pPr>
        <w:pStyle w:val="NoIndentNormal"/>
        <w:rPr>
          <w:color w:val="000000"/>
        </w:rPr>
      </w:pPr>
      <w:r>
        <w:t xml:space="preserve">This paper makes three important research contributions. </w:t>
      </w:r>
      <w:r w:rsidRPr="008C0928">
        <w:rPr>
          <w:rFonts w:cs="Times New Roman"/>
        </w:rPr>
        <w:t xml:space="preserve">First, </w:t>
      </w:r>
      <w:r>
        <w:t>it adds to the previous literature on ethical financial reporting, which</w:t>
      </w:r>
      <w:r w:rsidRPr="00BB2C1A">
        <w:rPr>
          <w:rFonts w:cs="Times New Roman"/>
          <w:color w:val="000000"/>
        </w:rPr>
        <w:t xml:space="preserve"> </w:t>
      </w:r>
      <w:r>
        <w:rPr>
          <w:rFonts w:cs="Times New Roman"/>
          <w:color w:val="000000"/>
        </w:rPr>
        <w:t xml:space="preserve">focuses </w:t>
      </w:r>
      <w:r w:rsidRPr="00BB2C1A">
        <w:rPr>
          <w:rFonts w:cs="Times New Roman"/>
          <w:color w:val="000000"/>
        </w:rPr>
        <w:t xml:space="preserve">mainly </w:t>
      </w:r>
      <w:r>
        <w:rPr>
          <w:rFonts w:cs="Times New Roman"/>
          <w:color w:val="000000"/>
        </w:rPr>
        <w:t>on</w:t>
      </w:r>
      <w:r w:rsidRPr="00BB2C1A">
        <w:rPr>
          <w:rFonts w:cs="Times New Roman"/>
          <w:color w:val="000000"/>
        </w:rPr>
        <w:t xml:space="preserve"> written </w:t>
      </w:r>
      <w:r>
        <w:rPr>
          <w:rFonts w:cs="Times New Roman"/>
          <w:color w:val="000000"/>
        </w:rPr>
        <w:t>disclosures</w:t>
      </w:r>
      <w:r w:rsidRPr="00BB2C1A">
        <w:rPr>
          <w:rFonts w:cs="Times New Roman"/>
          <w:color w:val="000000"/>
        </w:rPr>
        <w:t xml:space="preserve"> and </w:t>
      </w:r>
      <w:r>
        <w:rPr>
          <w:rFonts w:cs="Times New Roman"/>
          <w:color w:val="000000"/>
        </w:rPr>
        <w:t>is</w:t>
      </w:r>
      <w:r w:rsidRPr="00BB2C1A">
        <w:rPr>
          <w:rFonts w:cs="Times New Roman"/>
          <w:color w:val="000000"/>
        </w:rPr>
        <w:t xml:space="preserve"> limited in</w:t>
      </w:r>
      <w:r>
        <w:rPr>
          <w:rFonts w:cs="Times New Roman"/>
          <w:color w:val="000000"/>
        </w:rPr>
        <w:t xml:space="preserve"> its</w:t>
      </w:r>
      <w:r w:rsidRPr="00BB2C1A">
        <w:rPr>
          <w:rFonts w:cs="Times New Roman"/>
          <w:color w:val="000000"/>
        </w:rPr>
        <w:t xml:space="preserve"> </w:t>
      </w:r>
      <w:r w:rsidRPr="00BB2C1A">
        <w:rPr>
          <w:rFonts w:cs="Times New Roman"/>
          <w:color w:val="000000"/>
        </w:rPr>
        <w:lastRenderedPageBreak/>
        <w:t>observ</w:t>
      </w:r>
      <w:r>
        <w:rPr>
          <w:rFonts w:cs="Times New Roman"/>
          <w:color w:val="000000"/>
        </w:rPr>
        <w:t>ation of</w:t>
      </w:r>
      <w:r w:rsidRPr="00BB2C1A">
        <w:rPr>
          <w:rFonts w:cs="Times New Roman"/>
          <w:color w:val="000000"/>
        </w:rPr>
        <w:t xml:space="preserve"> managers</w:t>
      </w:r>
      <w:r>
        <w:rPr>
          <w:rFonts w:cs="Times New Roman"/>
          <w:color w:val="000000"/>
        </w:rPr>
        <w:t>’</w:t>
      </w:r>
      <w:r w:rsidRPr="00BB2C1A">
        <w:rPr>
          <w:rFonts w:cs="Times New Roman"/>
          <w:color w:val="000000"/>
        </w:rPr>
        <w:t xml:space="preserve"> </w:t>
      </w:r>
      <w:r>
        <w:rPr>
          <w:rFonts w:cs="Times New Roman"/>
          <w:color w:val="000000"/>
        </w:rPr>
        <w:t xml:space="preserve">disclosure </w:t>
      </w:r>
      <w:r w:rsidRPr="00BB2C1A">
        <w:rPr>
          <w:rFonts w:cs="Times New Roman"/>
          <w:color w:val="000000"/>
        </w:rPr>
        <w:t xml:space="preserve">behavior </w:t>
      </w:r>
      <w:r>
        <w:rPr>
          <w:rFonts w:cs="Times New Roman"/>
          <w:color w:val="000000"/>
        </w:rPr>
        <w:t xml:space="preserve">in direct and spontaneous settings </w:t>
      </w:r>
      <w:r w:rsidRPr="00BB2C1A">
        <w:rPr>
          <w:rFonts w:cs="Times New Roman"/>
          <w:color w:val="000000"/>
        </w:rPr>
        <w:t>(e.g.</w:t>
      </w:r>
      <w:r>
        <w:rPr>
          <w:rFonts w:cs="Times New Roman"/>
          <w:color w:val="000000"/>
        </w:rPr>
        <w:t>,</w:t>
      </w:r>
      <w:r w:rsidRPr="00BB2C1A">
        <w:rPr>
          <w:rFonts w:cs="Times New Roman"/>
          <w:color w:val="000000"/>
        </w:rPr>
        <w:t xml:space="preserve"> </w:t>
      </w:r>
      <w:r>
        <w:rPr>
          <w:rFonts w:cs="Times New Roman"/>
        </w:rPr>
        <w:t>Breue</w:t>
      </w:r>
      <w:r w:rsidRPr="003E49E8">
        <w:rPr>
          <w:rFonts w:cs="Times New Roman"/>
        </w:rPr>
        <w:t xml:space="preserve">r </w:t>
      </w:r>
      <w:r w:rsidRPr="00607116">
        <w:rPr>
          <w:rFonts w:cs="Times New Roman"/>
        </w:rPr>
        <w:t>et al</w:t>
      </w:r>
      <w:r w:rsidRPr="003E49E8">
        <w:rPr>
          <w:rFonts w:cs="Times New Roman"/>
        </w:rPr>
        <w:t xml:space="preserve">. 2018; </w:t>
      </w:r>
      <w:r w:rsidRPr="003E49E8">
        <w:rPr>
          <w:rFonts w:cs="Times New Roman"/>
          <w:color w:val="000000"/>
        </w:rPr>
        <w:t xml:space="preserve">Cho </w:t>
      </w:r>
      <w:r w:rsidRPr="00607116">
        <w:rPr>
          <w:rFonts w:cs="Times New Roman"/>
          <w:color w:val="000000"/>
        </w:rPr>
        <w:t>et al</w:t>
      </w:r>
      <w:r w:rsidRPr="003E49E8">
        <w:rPr>
          <w:rFonts w:cs="Times New Roman"/>
          <w:color w:val="000000"/>
        </w:rPr>
        <w:t xml:space="preserve">. </w:t>
      </w:r>
      <w:r>
        <w:rPr>
          <w:rFonts w:cs="Times New Roman"/>
          <w:color w:val="000000"/>
        </w:rPr>
        <w:t>2010</w:t>
      </w:r>
      <w:r w:rsidRPr="00BB2C1A">
        <w:rPr>
          <w:rFonts w:cs="Times New Roman"/>
          <w:color w:val="000000"/>
        </w:rPr>
        <w:t xml:space="preserve">; </w:t>
      </w:r>
      <w:r>
        <w:rPr>
          <w:rFonts w:cs="Times New Roman"/>
        </w:rPr>
        <w:t>Craig and Amernic 2018</w:t>
      </w:r>
      <w:r w:rsidRPr="00BB2C1A">
        <w:rPr>
          <w:rFonts w:cs="Times New Roman"/>
          <w:color w:val="000000"/>
        </w:rPr>
        <w:t xml:space="preserve">). </w:t>
      </w:r>
      <w:r>
        <w:rPr>
          <w:rFonts w:cs="Times New Roman"/>
          <w:color w:val="000000"/>
        </w:rPr>
        <w:t>Bloomfield (2008) suggests that conference calls, which contain spontaneous conversations that reflect managers’ thought processes and behavioral tendencies, may be more suited than written disclosures to examining theories based on lexical analysis. Answering Bloomfield’s (2008</w:t>
      </w:r>
      <w:r>
        <w:rPr>
          <w:rFonts w:cs="Times New Roman" w:hint="eastAsia"/>
          <w:color w:val="000000"/>
        </w:rPr>
        <w:t>)</w:t>
      </w:r>
      <w:r>
        <w:rPr>
          <w:rFonts w:cs="Times New Roman"/>
          <w:color w:val="000000"/>
        </w:rPr>
        <w:t xml:space="preserve"> call for more research using the conference calls setting,</w:t>
      </w:r>
      <w:r w:rsidRPr="00BB2C1A">
        <w:rPr>
          <w:rFonts w:cs="Times New Roman"/>
          <w:color w:val="000000"/>
        </w:rPr>
        <w:t xml:space="preserve"> </w:t>
      </w:r>
      <w:r>
        <w:rPr>
          <w:rFonts w:cs="Times New Roman"/>
          <w:color w:val="000000"/>
        </w:rPr>
        <w:t>o</w:t>
      </w:r>
      <w:r w:rsidRPr="00BB2C1A">
        <w:rPr>
          <w:rFonts w:cs="Times New Roman"/>
          <w:color w:val="000000"/>
        </w:rPr>
        <w:t xml:space="preserve">ur study </w:t>
      </w:r>
      <w:r>
        <w:rPr>
          <w:rFonts w:cs="Times New Roman"/>
          <w:color w:val="000000"/>
        </w:rPr>
        <w:t>contributes to</w:t>
      </w:r>
      <w:r w:rsidRPr="00BB2C1A">
        <w:rPr>
          <w:rFonts w:cs="Times New Roman"/>
          <w:color w:val="000000"/>
        </w:rPr>
        <w:t xml:space="preserve"> the literature </w:t>
      </w:r>
      <w:r>
        <w:rPr>
          <w:rFonts w:cs="Times New Roman"/>
          <w:color w:val="000000"/>
        </w:rPr>
        <w:t>on ethical financial reporting</w:t>
      </w:r>
      <w:r w:rsidRPr="00BB2C1A">
        <w:rPr>
          <w:rFonts w:cs="Times New Roman"/>
          <w:color w:val="000000"/>
        </w:rPr>
        <w:t>.</w:t>
      </w:r>
      <w:r>
        <w:rPr>
          <w:rStyle w:val="EndnoteReference"/>
        </w:rPr>
        <w:endnoteReference w:id="16"/>
      </w:r>
      <w:r>
        <w:rPr>
          <w:rFonts w:cs="Times New Roman"/>
          <w:color w:val="000000" w:themeColor="text1"/>
          <w:shd w:val="clear" w:color="auto" w:fill="FFFFFF"/>
        </w:rPr>
        <w:t xml:space="preserve"> </w:t>
      </w:r>
      <w:r w:rsidR="00D06CD8">
        <w:rPr>
          <w:rFonts w:cs="Times New Roman"/>
        </w:rPr>
        <w:t>Moreover</w:t>
      </w:r>
      <w:r w:rsidR="00D06CD8" w:rsidRPr="00BA08C5">
        <w:rPr>
          <w:rFonts w:cs="Times New Roman"/>
        </w:rPr>
        <w:t xml:space="preserve">, </w:t>
      </w:r>
      <w:r w:rsidR="00D06CD8">
        <w:rPr>
          <w:rFonts w:cs="Times New Roman"/>
        </w:rPr>
        <w:t xml:space="preserve">research </w:t>
      </w:r>
      <w:r w:rsidR="00D06CD8" w:rsidRPr="00500B76">
        <w:rPr>
          <w:rFonts w:cs="Times New Roman"/>
        </w:rPr>
        <w:t xml:space="preserve">on ethical financial reporting has focused </w:t>
      </w:r>
      <w:r w:rsidR="006C0DC1" w:rsidRPr="00500B76">
        <w:rPr>
          <w:rFonts w:cs="Times New Roman"/>
        </w:rPr>
        <w:t xml:space="preserve">largely </w:t>
      </w:r>
      <w:r w:rsidR="00D06CD8" w:rsidRPr="00500B76">
        <w:rPr>
          <w:rFonts w:cs="Times New Roman"/>
        </w:rPr>
        <w:t>on the determinants</w:t>
      </w:r>
      <w:r w:rsidR="006C0DC1">
        <w:rPr>
          <w:rFonts w:cs="Times New Roman"/>
        </w:rPr>
        <w:t xml:space="preserve"> of</w:t>
      </w:r>
      <w:r w:rsidR="00D06CD8" w:rsidRPr="00500B76">
        <w:rPr>
          <w:rFonts w:cs="Times New Roman"/>
        </w:rPr>
        <w:t xml:space="preserve"> and incentives </w:t>
      </w:r>
      <w:r w:rsidR="006C0DC1">
        <w:rPr>
          <w:rFonts w:cs="Times New Roman"/>
        </w:rPr>
        <w:t>for</w:t>
      </w:r>
      <w:r w:rsidR="006C0DC1" w:rsidRPr="00500B76">
        <w:rPr>
          <w:rFonts w:cs="Times New Roman"/>
        </w:rPr>
        <w:t xml:space="preserve"> </w:t>
      </w:r>
      <w:r w:rsidR="00D06CD8" w:rsidRPr="00500B76">
        <w:rPr>
          <w:rFonts w:cs="Times New Roman"/>
        </w:rPr>
        <w:t xml:space="preserve">ethical/unethical </w:t>
      </w:r>
      <w:r w:rsidR="00434CB0">
        <w:rPr>
          <w:rFonts w:cs="Times New Roman"/>
        </w:rPr>
        <w:t xml:space="preserve">financial </w:t>
      </w:r>
      <w:r w:rsidR="00D06CD8" w:rsidRPr="00500B76">
        <w:rPr>
          <w:rFonts w:cs="Times New Roman"/>
        </w:rPr>
        <w:t>reporting (e.g.</w:t>
      </w:r>
      <w:r w:rsidR="00D06CD8">
        <w:rPr>
          <w:rFonts w:cs="Times New Roman"/>
        </w:rPr>
        <w:t xml:space="preserve">, </w:t>
      </w:r>
      <w:r w:rsidR="00D06CD8" w:rsidRPr="00500B76">
        <w:rPr>
          <w:rFonts w:cs="Times New Roman"/>
        </w:rPr>
        <w:t>Patelli and Pedrini 2014</w:t>
      </w:r>
      <w:r w:rsidR="00525B71">
        <w:rPr>
          <w:rFonts w:cs="Times New Roman"/>
        </w:rPr>
        <w:t>,</w:t>
      </w:r>
      <w:r w:rsidR="00D06CD8" w:rsidRPr="00500B76">
        <w:rPr>
          <w:rFonts w:cs="Times New Roman"/>
        </w:rPr>
        <w:t xml:space="preserve"> 2015</w:t>
      </w:r>
      <w:r w:rsidR="00D06CD8">
        <w:rPr>
          <w:rFonts w:cs="Times New Roman"/>
        </w:rPr>
        <w:t>;</w:t>
      </w:r>
      <w:r w:rsidR="00D06CD8" w:rsidRPr="002D3A7B">
        <w:rPr>
          <w:rFonts w:cs="Times New Roman"/>
          <w:color w:val="222222"/>
          <w:shd w:val="clear" w:color="auto" w:fill="FFFFFF"/>
        </w:rPr>
        <w:t xml:space="preserve"> </w:t>
      </w:r>
      <w:r w:rsidR="00D06CD8" w:rsidRPr="00500B76">
        <w:rPr>
          <w:rFonts w:cs="Times New Roman"/>
          <w:color w:val="222222"/>
          <w:shd w:val="clear" w:color="auto" w:fill="FFFFFF"/>
        </w:rPr>
        <w:t>Uddin and Gillett 2002</w:t>
      </w:r>
      <w:r w:rsidR="00D06CD8" w:rsidRPr="00500B76">
        <w:rPr>
          <w:rFonts w:cs="Times New Roman"/>
        </w:rPr>
        <w:t xml:space="preserve">) and firms’ attitudes </w:t>
      </w:r>
      <w:r w:rsidR="006C0DC1">
        <w:rPr>
          <w:rFonts w:cs="Times New Roman"/>
        </w:rPr>
        <w:t>to</w:t>
      </w:r>
      <w:r w:rsidR="006C0DC1" w:rsidRPr="00500B76">
        <w:rPr>
          <w:rFonts w:cs="Times New Roman"/>
        </w:rPr>
        <w:t xml:space="preserve"> </w:t>
      </w:r>
      <w:r w:rsidR="00D06CD8" w:rsidRPr="00500B76">
        <w:rPr>
          <w:rFonts w:cs="Times New Roman"/>
        </w:rPr>
        <w:t>decisions to engage in such behavior (e.g.</w:t>
      </w:r>
      <w:r w:rsidR="00D06CD8">
        <w:rPr>
          <w:rFonts w:cs="Times New Roman"/>
        </w:rPr>
        <w:t>,</w:t>
      </w:r>
      <w:r w:rsidR="00D06CD8" w:rsidRPr="00500B76">
        <w:rPr>
          <w:rFonts w:cs="Times New Roman"/>
        </w:rPr>
        <w:t xml:space="preserve"> </w:t>
      </w:r>
      <w:r w:rsidR="00D06CD8" w:rsidRPr="00500B76">
        <w:rPr>
          <w:rFonts w:cs="Times New Roman"/>
          <w:color w:val="222222"/>
          <w:shd w:val="clear" w:color="auto" w:fill="FFFFFF"/>
        </w:rPr>
        <w:t>Kaplan</w:t>
      </w:r>
      <w:r w:rsidR="00D06CD8" w:rsidRPr="003E49E8">
        <w:rPr>
          <w:rFonts w:cs="Times New Roman"/>
          <w:color w:val="222222"/>
          <w:shd w:val="clear" w:color="auto" w:fill="FFFFFF"/>
        </w:rPr>
        <w:t xml:space="preserve"> </w:t>
      </w:r>
      <w:r w:rsidR="00E27587">
        <w:rPr>
          <w:rFonts w:cs="Times New Roman"/>
          <w:color w:val="222222"/>
          <w:shd w:val="clear" w:color="auto" w:fill="FFFFFF"/>
        </w:rPr>
        <w:t>and Schultz</w:t>
      </w:r>
      <w:r w:rsidR="00D06CD8" w:rsidRPr="003E49E8">
        <w:rPr>
          <w:rFonts w:cs="Times New Roman"/>
          <w:color w:val="222222"/>
          <w:shd w:val="clear" w:color="auto" w:fill="FFFFFF"/>
        </w:rPr>
        <w:t xml:space="preserve"> 2007; </w:t>
      </w:r>
      <w:r w:rsidR="00D06CD8" w:rsidRPr="003E49E8">
        <w:rPr>
          <w:rFonts w:cs="Times New Roman"/>
        </w:rPr>
        <w:t xml:space="preserve">Liu </w:t>
      </w:r>
      <w:r w:rsidR="00D06CD8" w:rsidRPr="00B4556E">
        <w:rPr>
          <w:rFonts w:cs="Times New Roman"/>
        </w:rPr>
        <w:t>et al</w:t>
      </w:r>
      <w:r w:rsidR="00D06CD8" w:rsidRPr="003E49E8">
        <w:rPr>
          <w:rFonts w:cs="Times New Roman"/>
        </w:rPr>
        <w:t xml:space="preserve">. </w:t>
      </w:r>
      <w:r w:rsidR="00D06CD8" w:rsidRPr="00500B76">
        <w:rPr>
          <w:rFonts w:cs="Times New Roman"/>
        </w:rPr>
        <w:t>2015</w:t>
      </w:r>
      <w:r w:rsidR="00D06CD8">
        <w:rPr>
          <w:rFonts w:cs="Times New Roman"/>
        </w:rPr>
        <w:t xml:space="preserve">; </w:t>
      </w:r>
      <w:r w:rsidR="00D06CD8" w:rsidRPr="00500B76">
        <w:rPr>
          <w:rFonts w:cs="Times New Roman"/>
          <w:color w:val="222222"/>
          <w:shd w:val="clear" w:color="auto" w:fill="FFFFFF"/>
        </w:rPr>
        <w:t>Merchant and Rockness 1994</w:t>
      </w:r>
      <w:r w:rsidR="00D06CD8" w:rsidRPr="00500B76">
        <w:rPr>
          <w:rFonts w:cs="Times New Roman"/>
        </w:rPr>
        <w:t xml:space="preserve">). Our </w:t>
      </w:r>
      <w:r w:rsidR="00D06CD8">
        <w:rPr>
          <w:rFonts w:cs="Times New Roman"/>
        </w:rPr>
        <w:t>paper</w:t>
      </w:r>
      <w:r w:rsidR="00D06CD8" w:rsidRPr="00500B76">
        <w:rPr>
          <w:rFonts w:cs="Times New Roman"/>
        </w:rPr>
        <w:t xml:space="preserve"> extends </w:t>
      </w:r>
      <w:r w:rsidR="006C0DC1">
        <w:rPr>
          <w:rFonts w:cs="Times New Roman"/>
        </w:rPr>
        <w:t xml:space="preserve">such </w:t>
      </w:r>
      <w:r w:rsidR="00D06CD8">
        <w:rPr>
          <w:rFonts w:cs="Times New Roman"/>
        </w:rPr>
        <w:t>research</w:t>
      </w:r>
      <w:r w:rsidR="00D06CD8" w:rsidRPr="00500B76">
        <w:rPr>
          <w:rFonts w:cs="Times New Roman"/>
        </w:rPr>
        <w:t xml:space="preserve"> by explicitly exploring the implication</w:t>
      </w:r>
      <w:r w:rsidR="00D06CD8">
        <w:rPr>
          <w:rFonts w:cs="Times New Roman"/>
        </w:rPr>
        <w:t>s</w:t>
      </w:r>
      <w:r w:rsidR="00D06CD8" w:rsidRPr="00500B76">
        <w:rPr>
          <w:rFonts w:cs="Times New Roman"/>
        </w:rPr>
        <w:t xml:space="preserve"> of ethical reporting </w:t>
      </w:r>
      <w:r w:rsidR="005B13D2">
        <w:rPr>
          <w:rFonts w:cs="Times New Roman"/>
        </w:rPr>
        <w:t>for</w:t>
      </w:r>
      <w:r w:rsidR="005B13D2" w:rsidRPr="00500B76">
        <w:rPr>
          <w:rFonts w:cs="Times New Roman"/>
        </w:rPr>
        <w:t xml:space="preserve"> </w:t>
      </w:r>
      <w:r w:rsidR="00D06CD8" w:rsidRPr="00500B76">
        <w:rPr>
          <w:rFonts w:cs="Times New Roman"/>
        </w:rPr>
        <w:t>investors</w:t>
      </w:r>
      <w:r w:rsidR="00DA2436">
        <w:rPr>
          <w:rFonts w:cs="Times New Roman"/>
        </w:rPr>
        <w:t xml:space="preserve"> in the setting of stock price crash risk</w:t>
      </w:r>
      <w:r w:rsidR="00D06CD8" w:rsidRPr="00500B76">
        <w:rPr>
          <w:rFonts w:cs="Times New Roman"/>
        </w:rPr>
        <w:t>.</w:t>
      </w:r>
    </w:p>
    <w:p w14:paraId="586759D1" w14:textId="3C2F2E64" w:rsidR="00D06CD8" w:rsidRPr="006A2906" w:rsidRDefault="00D06CD8" w:rsidP="00C13953">
      <w:r>
        <w:t xml:space="preserve">Second, this paper contributes to the literature on </w:t>
      </w:r>
      <w:r w:rsidR="00746E30">
        <w:t>corporate voluntary disclosure</w:t>
      </w:r>
      <w:r w:rsidR="006C4647">
        <w:t>,</w:t>
      </w:r>
      <w:r w:rsidR="00B0153A">
        <w:t xml:space="preserve"> and especially conference call </w:t>
      </w:r>
      <w:r w:rsidR="00573D1E">
        <w:rPr>
          <w:lang w:eastAsia="zh-CN"/>
        </w:rPr>
        <w:t>disclosure</w:t>
      </w:r>
      <w:r>
        <w:rPr>
          <w:lang w:eastAsia="zh-CN"/>
        </w:rPr>
        <w:t xml:space="preserve">. </w:t>
      </w:r>
      <w:r w:rsidR="006C0DC1">
        <w:rPr>
          <w:lang w:eastAsia="zh-CN"/>
        </w:rPr>
        <w:t xml:space="preserve">We add to an important line of research on whether </w:t>
      </w:r>
      <w:r w:rsidR="00C159C1">
        <w:rPr>
          <w:lang w:eastAsia="zh-CN"/>
        </w:rPr>
        <w:t xml:space="preserve">and how </w:t>
      </w:r>
      <w:r w:rsidR="00700F22">
        <w:rPr>
          <w:lang w:eastAsia="zh-CN"/>
        </w:rPr>
        <w:t xml:space="preserve">disclosure </w:t>
      </w:r>
      <w:r>
        <w:rPr>
          <w:lang w:eastAsia="zh-CN"/>
        </w:rPr>
        <w:t xml:space="preserve">tone </w:t>
      </w:r>
      <w:r w:rsidR="006C0DC1">
        <w:rPr>
          <w:lang w:eastAsia="zh-CN"/>
        </w:rPr>
        <w:t xml:space="preserve">may </w:t>
      </w:r>
      <w:r>
        <w:rPr>
          <w:lang w:eastAsia="zh-CN"/>
        </w:rPr>
        <w:t xml:space="preserve">be informative </w:t>
      </w:r>
      <w:r w:rsidR="00F65A2C">
        <w:rPr>
          <w:lang w:eastAsia="zh-CN"/>
        </w:rPr>
        <w:t>or</w:t>
      </w:r>
      <w:r>
        <w:rPr>
          <w:lang w:eastAsia="zh-CN"/>
        </w:rPr>
        <w:t xml:space="preserve"> </w:t>
      </w:r>
      <w:r w:rsidR="00F65A2C">
        <w:rPr>
          <w:lang w:eastAsia="zh-CN"/>
        </w:rPr>
        <w:t>manipulated by unethical managers for self-interests</w:t>
      </w:r>
      <w:r w:rsidR="003B6AED">
        <w:rPr>
          <w:lang w:eastAsia="zh-CN"/>
        </w:rPr>
        <w:t xml:space="preserve"> (e.g., </w:t>
      </w:r>
      <w:r w:rsidR="003B6AED" w:rsidRPr="00F70841">
        <w:t>Merkl-Davies and Brennan 2007</w:t>
      </w:r>
      <w:r w:rsidR="003B6AED">
        <w:t xml:space="preserve">; </w:t>
      </w:r>
      <w:r w:rsidR="003B6AED">
        <w:rPr>
          <w:lang w:eastAsia="zh-CN"/>
        </w:rPr>
        <w:t>Patelli and Pedrini 2014</w:t>
      </w:r>
      <w:r w:rsidR="00525B71">
        <w:rPr>
          <w:lang w:eastAsia="zh-CN"/>
        </w:rPr>
        <w:t>,</w:t>
      </w:r>
      <w:r w:rsidR="00746DE3">
        <w:rPr>
          <w:lang w:eastAsia="zh-CN"/>
        </w:rPr>
        <w:t xml:space="preserve"> </w:t>
      </w:r>
      <w:r w:rsidR="004E2A1E">
        <w:rPr>
          <w:lang w:eastAsia="zh-CN"/>
        </w:rPr>
        <w:t>2015</w:t>
      </w:r>
      <w:r w:rsidR="003B6AED">
        <w:rPr>
          <w:lang w:eastAsia="zh-CN"/>
        </w:rPr>
        <w:t>)</w:t>
      </w:r>
      <w:r w:rsidR="00EB1566">
        <w:rPr>
          <w:lang w:eastAsia="zh-CN"/>
        </w:rPr>
        <w:t xml:space="preserve"> </w:t>
      </w:r>
      <w:r>
        <w:rPr>
          <w:lang w:eastAsia="zh-CN"/>
        </w:rPr>
        <w:t xml:space="preserve">by </w:t>
      </w:r>
      <w:r w:rsidR="005E0195">
        <w:rPr>
          <w:lang w:eastAsia="zh-CN"/>
        </w:rPr>
        <w:t xml:space="preserve">showing </w:t>
      </w:r>
      <w:r>
        <w:rPr>
          <w:lang w:eastAsia="zh-CN"/>
        </w:rPr>
        <w:t xml:space="preserve">that </w:t>
      </w:r>
      <w:r w:rsidR="002D0CB8">
        <w:rPr>
          <w:lang w:eastAsia="zh-CN"/>
        </w:rPr>
        <w:t xml:space="preserve">conference </w:t>
      </w:r>
      <w:r>
        <w:rPr>
          <w:lang w:eastAsia="zh-CN"/>
        </w:rPr>
        <w:t>call tone provide</w:t>
      </w:r>
      <w:r w:rsidR="00677710">
        <w:rPr>
          <w:lang w:eastAsia="zh-CN"/>
        </w:rPr>
        <w:t>s</w:t>
      </w:r>
      <w:r>
        <w:rPr>
          <w:lang w:eastAsia="zh-CN"/>
        </w:rPr>
        <w:t xml:space="preserve"> </w:t>
      </w:r>
      <w:r w:rsidR="006C0DC1">
        <w:rPr>
          <w:lang w:eastAsia="zh-CN"/>
        </w:rPr>
        <w:t xml:space="preserve">investors with </w:t>
      </w:r>
      <w:r>
        <w:rPr>
          <w:lang w:eastAsia="zh-CN"/>
        </w:rPr>
        <w:t xml:space="preserve">credible signals </w:t>
      </w:r>
      <w:r w:rsidR="006C0DC1">
        <w:rPr>
          <w:lang w:eastAsia="zh-CN"/>
        </w:rPr>
        <w:t>of</w:t>
      </w:r>
      <w:r>
        <w:rPr>
          <w:lang w:eastAsia="zh-CN"/>
        </w:rPr>
        <w:t xml:space="preserve"> </w:t>
      </w:r>
      <w:r w:rsidR="008043CB">
        <w:rPr>
          <w:lang w:eastAsia="zh-CN"/>
        </w:rPr>
        <w:t>extreme</w:t>
      </w:r>
      <w:r w:rsidR="00036A18">
        <w:rPr>
          <w:lang w:eastAsia="zh-CN"/>
        </w:rPr>
        <w:t>ly</w:t>
      </w:r>
      <w:r w:rsidR="008043CB">
        <w:rPr>
          <w:lang w:eastAsia="zh-CN"/>
        </w:rPr>
        <w:t xml:space="preserve"> bad </w:t>
      </w:r>
      <w:r w:rsidR="00036A18">
        <w:rPr>
          <w:lang w:eastAsia="zh-CN"/>
        </w:rPr>
        <w:t xml:space="preserve">future </w:t>
      </w:r>
      <w:r w:rsidR="00A02855">
        <w:rPr>
          <w:lang w:eastAsia="zh-CN"/>
        </w:rPr>
        <w:t>outcome</w:t>
      </w:r>
      <w:r w:rsidR="006C0DC1">
        <w:rPr>
          <w:lang w:eastAsia="zh-CN"/>
        </w:rPr>
        <w:t>s</w:t>
      </w:r>
      <w:r>
        <w:rPr>
          <w:lang w:eastAsia="zh-CN"/>
        </w:rPr>
        <w:t xml:space="preserve"> </w:t>
      </w:r>
      <w:r w:rsidR="00B937D6">
        <w:rPr>
          <w:lang w:eastAsia="zh-CN"/>
        </w:rPr>
        <w:t>(i.e.</w:t>
      </w:r>
      <w:r w:rsidR="006A2906">
        <w:rPr>
          <w:lang w:eastAsia="zh-CN"/>
        </w:rPr>
        <w:t>,</w:t>
      </w:r>
      <w:r w:rsidR="00B937D6">
        <w:rPr>
          <w:lang w:eastAsia="zh-CN"/>
        </w:rPr>
        <w:t xml:space="preserve"> </w:t>
      </w:r>
      <w:r w:rsidR="00E24650" w:rsidRPr="002A6121">
        <w:t xml:space="preserve">stock </w:t>
      </w:r>
      <w:r>
        <w:rPr>
          <w:lang w:eastAsia="zh-CN"/>
        </w:rPr>
        <w:t>price crash risk</w:t>
      </w:r>
      <w:r w:rsidR="003D733B">
        <w:rPr>
          <w:lang w:eastAsia="zh-CN"/>
        </w:rPr>
        <w:t>)</w:t>
      </w:r>
      <w:r>
        <w:rPr>
          <w:lang w:eastAsia="zh-CN"/>
        </w:rPr>
        <w:t xml:space="preserve">. </w:t>
      </w:r>
      <w:r>
        <w:t>Moreover</w:t>
      </w:r>
      <w:r w:rsidRPr="00EE03B8">
        <w:t xml:space="preserve">, </w:t>
      </w:r>
      <w:r w:rsidR="006C0DC1">
        <w:t>whereas</w:t>
      </w:r>
      <w:r w:rsidR="006C0DC1" w:rsidRPr="00EE03B8">
        <w:t xml:space="preserve"> </w:t>
      </w:r>
      <w:r w:rsidR="006C0DC1">
        <w:t>previous</w:t>
      </w:r>
      <w:r w:rsidR="006C0DC1" w:rsidRPr="00EE03B8">
        <w:t xml:space="preserve"> </w:t>
      </w:r>
      <w:r w:rsidRPr="00EE03B8">
        <w:t xml:space="preserve">literature emphasizes the association between </w:t>
      </w:r>
      <w:r w:rsidR="00D77982">
        <w:t xml:space="preserve">conference </w:t>
      </w:r>
      <w:r w:rsidR="00D77982" w:rsidRPr="00EE03B8">
        <w:t xml:space="preserve">call tone and </w:t>
      </w:r>
      <w:r w:rsidRPr="00EE03B8">
        <w:t>short-term market reaction</w:t>
      </w:r>
      <w:r>
        <w:t>s</w:t>
      </w:r>
      <w:r w:rsidRPr="00EE03B8">
        <w:t xml:space="preserve"> (e.g., Davis</w:t>
      </w:r>
      <w:r w:rsidRPr="00B70E79">
        <w:t xml:space="preserve"> </w:t>
      </w:r>
      <w:r w:rsidRPr="00B4556E">
        <w:t>et al.</w:t>
      </w:r>
      <w:r w:rsidRPr="00B70E79">
        <w:t xml:space="preserve"> 2</w:t>
      </w:r>
      <w:r w:rsidRPr="00EE03B8">
        <w:t xml:space="preserve">015), this paper provides </w:t>
      </w:r>
      <w:r>
        <w:t>new</w:t>
      </w:r>
      <w:r w:rsidRPr="00EE03B8">
        <w:t xml:space="preserve"> evidence for the </w:t>
      </w:r>
      <w:r>
        <w:t xml:space="preserve">relatively </w:t>
      </w:r>
      <w:r w:rsidRPr="00EE03B8">
        <w:t>long-term</w:t>
      </w:r>
      <w:r w:rsidR="006C0DC1">
        <w:t>,</w:t>
      </w:r>
      <w:r w:rsidRPr="00EE03B8">
        <w:t xml:space="preserve"> forward-looking </w:t>
      </w:r>
      <w:r w:rsidR="00320845">
        <w:rPr>
          <w:lang w:eastAsia="zh-CN"/>
        </w:rPr>
        <w:t xml:space="preserve">information role </w:t>
      </w:r>
      <w:r w:rsidRPr="00EE03B8">
        <w:t xml:space="preserve">of </w:t>
      </w:r>
      <w:r>
        <w:t>call</w:t>
      </w:r>
      <w:r w:rsidRPr="00EE03B8">
        <w:t xml:space="preserve"> tone </w:t>
      </w:r>
      <w:r w:rsidR="00D857DA">
        <w:t>for</w:t>
      </w:r>
      <w:r w:rsidR="006C0DC1" w:rsidRPr="00EE03B8">
        <w:t xml:space="preserve"> </w:t>
      </w:r>
      <w:r w:rsidRPr="00EE03B8">
        <w:t>corporate outcome</w:t>
      </w:r>
      <w:r>
        <w:t>s</w:t>
      </w:r>
      <w:r w:rsidRPr="00EE03B8">
        <w:t>.</w:t>
      </w:r>
    </w:p>
    <w:p w14:paraId="0FED9B25" w14:textId="2B7AE24D" w:rsidR="00D06CD8" w:rsidRDefault="00D06CD8">
      <w:r>
        <w:t>Third</w:t>
      </w:r>
      <w:r w:rsidRPr="00EE03B8">
        <w:t xml:space="preserve">, </w:t>
      </w:r>
      <w:r>
        <w:t xml:space="preserve">this paper </w:t>
      </w:r>
      <w:r w:rsidRPr="00EE03B8">
        <w:t>add</w:t>
      </w:r>
      <w:r>
        <w:t>s</w:t>
      </w:r>
      <w:r w:rsidRPr="00EE03B8">
        <w:t xml:space="preserve"> to </w:t>
      </w:r>
      <w:r w:rsidR="00C24BB5">
        <w:t>the</w:t>
      </w:r>
      <w:r w:rsidR="00C24BB5" w:rsidRPr="00EE03B8">
        <w:t xml:space="preserve"> </w:t>
      </w:r>
      <w:r w:rsidRPr="00EE03B8">
        <w:t xml:space="preserve">literature on </w:t>
      </w:r>
      <w:r w:rsidR="0012763B">
        <w:t>stock price crash risk</w:t>
      </w:r>
      <w:r w:rsidR="008C4253" w:rsidRPr="002A6121" w:rsidDel="008C4253">
        <w:t xml:space="preserve"> </w:t>
      </w:r>
      <w:r w:rsidR="006C0DC1">
        <w:t>prediction, which</w:t>
      </w:r>
      <w:r>
        <w:t xml:space="preserve"> </w:t>
      </w:r>
      <w:r w:rsidR="00D857DA">
        <w:t xml:space="preserve">has investigated </w:t>
      </w:r>
      <w:r>
        <w:t>a range of potential determinants such as manager characteristics</w:t>
      </w:r>
      <w:r>
        <w:rPr>
          <w:rFonts w:hint="eastAsia"/>
          <w:lang w:eastAsia="zh-CN"/>
        </w:rPr>
        <w:t xml:space="preserve">, </w:t>
      </w:r>
      <w:r>
        <w:t>corporate governance</w:t>
      </w:r>
      <w:r w:rsidR="004D48B5">
        <w:t xml:space="preserve"> quality</w:t>
      </w:r>
      <w:r>
        <w:rPr>
          <w:rFonts w:hint="eastAsia"/>
          <w:lang w:eastAsia="zh-CN"/>
        </w:rPr>
        <w:t>,</w:t>
      </w:r>
      <w:r>
        <w:t xml:space="preserve"> external monitoring</w:t>
      </w:r>
      <w:r>
        <w:rPr>
          <w:rFonts w:hint="eastAsia"/>
          <w:lang w:eastAsia="zh-CN"/>
        </w:rPr>
        <w:t xml:space="preserve"> </w:t>
      </w:r>
      <w:r>
        <w:rPr>
          <w:lang w:eastAsia="zh-CN"/>
        </w:rPr>
        <w:t>and</w:t>
      </w:r>
      <w:r>
        <w:rPr>
          <w:rFonts w:hint="eastAsia"/>
          <w:lang w:eastAsia="zh-CN"/>
        </w:rPr>
        <w:t xml:space="preserve"> </w:t>
      </w:r>
      <w:r>
        <w:t>informal institutional mechanisms (</w:t>
      </w:r>
      <w:r w:rsidR="0043350E">
        <w:t xml:space="preserve">e.g., </w:t>
      </w:r>
      <w:r>
        <w:t>Andreo</w:t>
      </w:r>
      <w:r w:rsidRPr="003E49E8">
        <w:t xml:space="preserve">u </w:t>
      </w:r>
      <w:r w:rsidRPr="0012763B">
        <w:t>et al.</w:t>
      </w:r>
      <w:r w:rsidRPr="003E49E8">
        <w:rPr>
          <w:rFonts w:hint="eastAsia"/>
          <w:lang w:eastAsia="zh-CN"/>
        </w:rPr>
        <w:t xml:space="preserve"> </w:t>
      </w:r>
      <w:r w:rsidRPr="00B70E79">
        <w:t>2016</w:t>
      </w:r>
      <w:r w:rsidRPr="003E49E8">
        <w:rPr>
          <w:lang w:eastAsia="zh-CN"/>
        </w:rPr>
        <w:t xml:space="preserve">, 2017; </w:t>
      </w:r>
      <w:r w:rsidRPr="00B70E79">
        <w:t xml:space="preserve">Chen </w:t>
      </w:r>
      <w:r w:rsidRPr="0012763B">
        <w:t>et al.</w:t>
      </w:r>
      <w:r w:rsidRPr="00B70E79">
        <w:t xml:space="preserve"> 2019; </w:t>
      </w:r>
      <w:r w:rsidRPr="00B70E79">
        <w:rPr>
          <w:rFonts w:hint="eastAsia"/>
          <w:lang w:eastAsia="zh-CN"/>
        </w:rPr>
        <w:t xml:space="preserve">Kim </w:t>
      </w:r>
      <w:r w:rsidRPr="0012763B">
        <w:rPr>
          <w:lang w:eastAsia="zh-CN"/>
        </w:rPr>
        <w:t>et al.</w:t>
      </w:r>
      <w:r w:rsidRPr="003E49E8">
        <w:rPr>
          <w:rFonts w:hint="eastAsia"/>
          <w:lang w:eastAsia="zh-CN"/>
        </w:rPr>
        <w:t xml:space="preserve"> 2016</w:t>
      </w:r>
      <w:r w:rsidRPr="003E49E8">
        <w:rPr>
          <w:lang w:eastAsia="zh-CN"/>
        </w:rPr>
        <w:t xml:space="preserve">; </w:t>
      </w:r>
      <w:r w:rsidRPr="00B70E79">
        <w:t xml:space="preserve">Xu </w:t>
      </w:r>
      <w:r w:rsidRPr="0012763B">
        <w:t>et al.</w:t>
      </w:r>
      <w:r w:rsidRPr="004D6AB7">
        <w:t xml:space="preserve"> 2013</w:t>
      </w:r>
      <w:r>
        <w:t xml:space="preserve">). </w:t>
      </w:r>
      <w:r w:rsidRPr="00EE03B8">
        <w:t xml:space="preserve">To the best of our </w:t>
      </w:r>
      <w:r w:rsidRPr="00EE03B8">
        <w:lastRenderedPageBreak/>
        <w:t xml:space="preserve">knowledge, </w:t>
      </w:r>
      <w:r w:rsidR="0012763B">
        <w:t>t</w:t>
      </w:r>
      <w:r>
        <w:t>his study</w:t>
      </w:r>
      <w:r w:rsidRPr="00EE03B8">
        <w:t xml:space="preserve"> </w:t>
      </w:r>
      <w:r w:rsidR="0012763B">
        <w:t>is</w:t>
      </w:r>
      <w:r w:rsidR="00D857DA" w:rsidRPr="00EE03B8">
        <w:t xml:space="preserve"> </w:t>
      </w:r>
      <w:r w:rsidRPr="00EE03B8">
        <w:t xml:space="preserve">the first to link firm-level </w:t>
      </w:r>
      <w:r w:rsidR="0012763B">
        <w:t>stock price crash risk</w:t>
      </w:r>
      <w:r w:rsidR="008C4253" w:rsidRPr="00EE03B8" w:rsidDel="008C4253">
        <w:t xml:space="preserve"> </w:t>
      </w:r>
      <w:r w:rsidR="00347D17">
        <w:t>with</w:t>
      </w:r>
      <w:r w:rsidR="00347D17" w:rsidRPr="00EE03B8">
        <w:t xml:space="preserve"> </w:t>
      </w:r>
      <w:r w:rsidRPr="00EE03B8">
        <w:t xml:space="preserve">the </w:t>
      </w:r>
      <w:r w:rsidR="00E26235">
        <w:t xml:space="preserve">disclosure </w:t>
      </w:r>
      <w:r>
        <w:t>attributes</w:t>
      </w:r>
      <w:r w:rsidRPr="00EE03B8">
        <w:t xml:space="preserve"> of </w:t>
      </w:r>
      <w:r>
        <w:t>conference call</w:t>
      </w:r>
      <w:r w:rsidR="00344911">
        <w:t>s</w:t>
      </w:r>
      <w:r w:rsidRPr="00EE03B8">
        <w:t xml:space="preserve">. Given that </w:t>
      </w:r>
      <w:r w:rsidR="00E42C15" w:rsidRPr="002A6121">
        <w:t xml:space="preserve">stock </w:t>
      </w:r>
      <w:r w:rsidRPr="00EE03B8">
        <w:t xml:space="preserve">price crashes </w:t>
      </w:r>
      <w:r w:rsidR="00E65B90">
        <w:t>cause serious</w:t>
      </w:r>
      <w:r w:rsidR="00F65A2C">
        <w:t xml:space="preserve"> </w:t>
      </w:r>
      <w:r w:rsidRPr="00EE03B8">
        <w:t>damage</w:t>
      </w:r>
      <w:r w:rsidR="00BB76A0">
        <w:t xml:space="preserve"> to</w:t>
      </w:r>
      <w:r w:rsidRPr="00EE03B8">
        <w:t xml:space="preserve"> investor</w:t>
      </w:r>
      <w:r>
        <w:t>s</w:t>
      </w:r>
      <w:r w:rsidRPr="00EE03B8">
        <w:t>, understand</w:t>
      </w:r>
      <w:r w:rsidR="0096339B">
        <w:t>ing</w:t>
      </w:r>
      <w:r w:rsidRPr="00EE03B8">
        <w:t xml:space="preserve"> how </w:t>
      </w:r>
      <w:r>
        <w:t>soft information</w:t>
      </w:r>
      <w:r w:rsidR="006962E2">
        <w:t xml:space="preserve"> in corporate disclosure</w:t>
      </w:r>
      <w:r w:rsidR="00347D17">
        <w:t>s</w:t>
      </w:r>
      <w:r w:rsidRPr="00EE03B8">
        <w:t xml:space="preserve"> predict</w:t>
      </w:r>
      <w:r>
        <w:t>s</w:t>
      </w:r>
      <w:r w:rsidRPr="00EE03B8">
        <w:t xml:space="preserve"> </w:t>
      </w:r>
      <w:r w:rsidR="009A0557">
        <w:t xml:space="preserve">such </w:t>
      </w:r>
      <w:r>
        <w:t xml:space="preserve">extremely bad </w:t>
      </w:r>
      <w:r w:rsidRPr="00EE03B8">
        <w:t>events</w:t>
      </w:r>
      <w:r w:rsidR="0096339B" w:rsidRPr="0096339B">
        <w:t xml:space="preserve"> </w:t>
      </w:r>
      <w:r w:rsidR="00347D17">
        <w:t xml:space="preserve">may </w:t>
      </w:r>
      <w:r w:rsidR="0096339B">
        <w:t xml:space="preserve">help investors avoid </w:t>
      </w:r>
      <w:r w:rsidR="00347D17">
        <w:t>such</w:t>
      </w:r>
      <w:r w:rsidR="0096339B">
        <w:t xml:space="preserve"> outcomes</w:t>
      </w:r>
      <w:r w:rsidRPr="00EE03B8">
        <w:t>.</w:t>
      </w:r>
    </w:p>
    <w:p w14:paraId="2965835B" w14:textId="5FD99D8D" w:rsidR="00D06CD8" w:rsidRDefault="00347D17">
      <w:r>
        <w:t>T</w:t>
      </w:r>
      <w:r w:rsidR="00D06CD8">
        <w:t xml:space="preserve">his paper </w:t>
      </w:r>
      <w:r>
        <w:t xml:space="preserve">also </w:t>
      </w:r>
      <w:r w:rsidR="00D06CD8">
        <w:t xml:space="preserve">extends </w:t>
      </w:r>
      <w:r w:rsidR="00B22051">
        <w:t>research</w:t>
      </w:r>
      <w:r w:rsidR="00D06CD8">
        <w:t xml:space="preserve"> </w:t>
      </w:r>
      <w:r w:rsidR="00D434FC">
        <w:t xml:space="preserve">on </w:t>
      </w:r>
      <w:r w:rsidR="00CD7A7B" w:rsidRPr="002A6121">
        <w:t xml:space="preserve">stock </w:t>
      </w:r>
      <w:r w:rsidR="00DC410C">
        <w:t xml:space="preserve">price crash risk </w:t>
      </w:r>
      <w:r w:rsidR="00D06CD8">
        <w:t xml:space="preserve">by </w:t>
      </w:r>
      <w:r w:rsidR="00F03900">
        <w:t>providing</w:t>
      </w:r>
      <w:r w:rsidR="000B3013">
        <w:t xml:space="preserve"> </w:t>
      </w:r>
      <w:r w:rsidR="00214256">
        <w:t>evidence</w:t>
      </w:r>
      <w:r w:rsidR="000B3013">
        <w:t xml:space="preserve"> </w:t>
      </w:r>
      <w:r>
        <w:t xml:space="preserve">supporting </w:t>
      </w:r>
      <w:r w:rsidR="00DC410C">
        <w:t xml:space="preserve">the common assumptions </w:t>
      </w:r>
      <w:r w:rsidR="00214256">
        <w:t>made by relevant literature</w:t>
      </w:r>
      <w:r w:rsidR="00DC410C">
        <w:t xml:space="preserve"> that </w:t>
      </w:r>
      <w:r w:rsidR="00167005">
        <w:t xml:space="preserve">stock price </w:t>
      </w:r>
      <w:r w:rsidR="00DC410C" w:rsidRPr="00541386">
        <w:t xml:space="preserve">crash risk reflects firm-specific </w:t>
      </w:r>
      <w:r w:rsidR="00EC23DC">
        <w:t>bad news</w:t>
      </w:r>
      <w:r w:rsidR="00DC410C" w:rsidRPr="00541386">
        <w:t xml:space="preserve"> and that manag</w:t>
      </w:r>
      <w:r w:rsidR="00DC410C">
        <w:t xml:space="preserve">ers may possess </w:t>
      </w:r>
      <w:r w:rsidR="00DC410C" w:rsidRPr="007B330A">
        <w:rPr>
          <w:i/>
          <w:iCs/>
        </w:rPr>
        <w:t>ex</w:t>
      </w:r>
      <w:r w:rsidRPr="007B330A">
        <w:rPr>
          <w:i/>
          <w:iCs/>
        </w:rPr>
        <w:t xml:space="preserve"> </w:t>
      </w:r>
      <w:r w:rsidR="00DC410C" w:rsidRPr="007B330A">
        <w:rPr>
          <w:i/>
          <w:iCs/>
        </w:rPr>
        <w:t>ante</w:t>
      </w:r>
      <w:r w:rsidR="00DC410C">
        <w:t xml:space="preserve"> private information</w:t>
      </w:r>
      <w:r w:rsidR="00C52705">
        <w:t xml:space="preserve"> about</w:t>
      </w:r>
      <w:r w:rsidR="00DC410C" w:rsidRPr="00541386">
        <w:t xml:space="preserve"> such risk</w:t>
      </w:r>
      <w:r w:rsidR="00C83675">
        <w:t xml:space="preserve"> (</w:t>
      </w:r>
      <w:r w:rsidR="00A03FFF">
        <w:t>Roll 1988</w:t>
      </w:r>
      <w:r w:rsidR="00C83675">
        <w:t>)</w:t>
      </w:r>
      <w:r w:rsidR="001A588B">
        <w:t xml:space="preserve">. This </w:t>
      </w:r>
      <w:r w:rsidR="000B3013">
        <w:t>is</w:t>
      </w:r>
      <w:r w:rsidR="000B3013" w:rsidRPr="000B3013">
        <w:t xml:space="preserve"> important and useful for future studies</w:t>
      </w:r>
      <w:r w:rsidR="001A588B">
        <w:t xml:space="preserve"> base</w:t>
      </w:r>
      <w:r w:rsidR="00A83C2F">
        <w:t>d</w:t>
      </w:r>
      <w:r w:rsidR="001A588B">
        <w:t xml:space="preserve"> on similar premises.</w:t>
      </w:r>
    </w:p>
    <w:p w14:paraId="366CF447" w14:textId="5916F944" w:rsidR="00D06CD8" w:rsidRDefault="00D06CD8">
      <w:r>
        <w:rPr>
          <w:lang w:eastAsia="zh-CN"/>
        </w:rPr>
        <w:t>Th</w:t>
      </w:r>
      <w:r w:rsidR="00347D17">
        <w:rPr>
          <w:lang w:eastAsia="zh-CN"/>
        </w:rPr>
        <w:t>e results have</w:t>
      </w:r>
      <w:r w:rsidR="00C400A0">
        <w:rPr>
          <w:lang w:eastAsia="zh-CN"/>
        </w:rPr>
        <w:t xml:space="preserve"> </w:t>
      </w:r>
      <w:r>
        <w:rPr>
          <w:lang w:eastAsia="zh-CN"/>
        </w:rPr>
        <w:t>important practical implications</w:t>
      </w:r>
      <w:r w:rsidR="00347D17">
        <w:rPr>
          <w:lang w:eastAsia="zh-CN"/>
        </w:rPr>
        <w:t xml:space="preserve"> for </w:t>
      </w:r>
      <w:r w:rsidR="00002689">
        <w:rPr>
          <w:rFonts w:hint="eastAsia"/>
          <w:lang w:eastAsia="zh-CN"/>
        </w:rPr>
        <w:t>capital market participants</w:t>
      </w:r>
      <w:r w:rsidR="00002689">
        <w:rPr>
          <w:lang w:eastAsia="zh-CN"/>
        </w:rPr>
        <w:t xml:space="preserve"> and </w:t>
      </w:r>
      <w:r w:rsidR="00347D17">
        <w:rPr>
          <w:lang w:eastAsia="zh-CN"/>
        </w:rPr>
        <w:t>practitioners</w:t>
      </w:r>
      <w:r>
        <w:rPr>
          <w:lang w:eastAsia="zh-CN"/>
        </w:rPr>
        <w:t xml:space="preserve">. First, for investors, we find that </w:t>
      </w:r>
      <w:r>
        <w:t>the tone of conference call</w:t>
      </w:r>
      <w:r w:rsidR="00427C76">
        <w:t>s</w:t>
      </w:r>
      <w:r w:rsidRPr="00500B76">
        <w:t xml:space="preserve"> </w:t>
      </w:r>
      <w:r w:rsidR="00D311BC">
        <w:t>help</w:t>
      </w:r>
      <w:r w:rsidR="00E438C0">
        <w:t>s</w:t>
      </w:r>
      <w:r w:rsidR="00D311BC" w:rsidRPr="00500B76">
        <w:t xml:space="preserve"> </w:t>
      </w:r>
      <w:r w:rsidRPr="00500B76">
        <w:t xml:space="preserve">predict </w:t>
      </w:r>
      <w:r w:rsidR="00B87518" w:rsidRPr="002A6121">
        <w:t xml:space="preserve">stock </w:t>
      </w:r>
      <w:r w:rsidRPr="00500B76">
        <w:t xml:space="preserve">price crash </w:t>
      </w:r>
      <w:r w:rsidRPr="00B77814">
        <w:t>risk</w:t>
      </w:r>
      <w:r>
        <w:t xml:space="preserve"> in the next year. As </w:t>
      </w:r>
      <w:r w:rsidR="00B87518" w:rsidRPr="002A6121">
        <w:t xml:space="preserve">stock </w:t>
      </w:r>
      <w:r>
        <w:t>price crash</w:t>
      </w:r>
      <w:r w:rsidR="006A5780">
        <w:t>es</w:t>
      </w:r>
      <w:r>
        <w:t xml:space="preserve"> </w:t>
      </w:r>
      <w:r w:rsidR="006A5780">
        <w:t xml:space="preserve">have </w:t>
      </w:r>
      <w:r>
        <w:t xml:space="preserve">detrimental </w:t>
      </w:r>
      <w:r w:rsidR="006A5780">
        <w:t xml:space="preserve">consequences </w:t>
      </w:r>
      <w:r w:rsidR="00BB0227">
        <w:t xml:space="preserve">for </w:t>
      </w:r>
      <w:r>
        <w:t xml:space="preserve">investors, our finding </w:t>
      </w:r>
      <w:r w:rsidRPr="000A0C2E">
        <w:t xml:space="preserve">is crucial for protecting </w:t>
      </w:r>
      <w:r w:rsidR="00D857DA">
        <w:t>their</w:t>
      </w:r>
      <w:r w:rsidR="00D857DA" w:rsidRPr="000A0C2E">
        <w:t xml:space="preserve"> </w:t>
      </w:r>
      <w:r w:rsidRPr="000A0C2E">
        <w:t>interests</w:t>
      </w:r>
      <w:r w:rsidR="008043CB">
        <w:t xml:space="preserve"> and ben</w:t>
      </w:r>
      <w:r w:rsidR="0063633A">
        <w:t>e</w:t>
      </w:r>
      <w:r w:rsidR="008043CB">
        <w:t>fits</w:t>
      </w:r>
      <w:r w:rsidR="00347D17">
        <w:t>, for example by enabling them to</w:t>
      </w:r>
      <w:r w:rsidR="0063633A">
        <w:t xml:space="preserve"> fire</w:t>
      </w:r>
      <w:r w:rsidR="00347D17">
        <w:t xml:space="preserve"> in</w:t>
      </w:r>
      <w:r w:rsidR="0063633A">
        <w:t xml:space="preserve"> their stop-loss orders</w:t>
      </w:r>
      <w:r w:rsidRPr="00B77814">
        <w:t>.</w:t>
      </w:r>
      <w:r>
        <w:t xml:space="preserve"> Investors should therefore </w:t>
      </w:r>
      <w:r w:rsidR="00347D17">
        <w:t xml:space="preserve">include </w:t>
      </w:r>
      <w:r>
        <w:t xml:space="preserve">call tone as a useful factor in their information set when making </w:t>
      </w:r>
      <w:r w:rsidR="00167005">
        <w:t xml:space="preserve">investment </w:t>
      </w:r>
      <w:r>
        <w:t>decisions.</w:t>
      </w:r>
    </w:p>
    <w:p w14:paraId="0CE426CE" w14:textId="44E5C011" w:rsidR="00D06CD8" w:rsidRPr="007B245D" w:rsidRDefault="00D06CD8">
      <w:pPr>
        <w:rPr>
          <w:lang w:eastAsia="zh-CN"/>
        </w:rPr>
      </w:pPr>
      <w:r>
        <w:t xml:space="preserve">Second, </w:t>
      </w:r>
      <w:r>
        <w:rPr>
          <w:lang w:eastAsia="zh-CN"/>
        </w:rPr>
        <w:t>we find that e</w:t>
      </w:r>
      <w:r w:rsidRPr="009C3F2F">
        <w:rPr>
          <w:lang w:eastAsia="zh-CN"/>
        </w:rPr>
        <w:t>xtrinsic motivations influence</w:t>
      </w:r>
      <w:r w:rsidR="00214256">
        <w:rPr>
          <w:lang w:eastAsia="zh-CN"/>
        </w:rPr>
        <w:t xml:space="preserve"> </w:t>
      </w:r>
      <w:r w:rsidR="009D4474">
        <w:rPr>
          <w:lang w:eastAsia="zh-CN"/>
        </w:rPr>
        <w:t xml:space="preserve">managers’ </w:t>
      </w:r>
      <w:r w:rsidR="006A5EC8">
        <w:rPr>
          <w:lang w:eastAsia="zh-CN"/>
        </w:rPr>
        <w:t>truthful</w:t>
      </w:r>
      <w:r w:rsidRPr="009C3F2F">
        <w:rPr>
          <w:lang w:eastAsia="zh-CN"/>
        </w:rPr>
        <w:t xml:space="preserve"> reporting</w:t>
      </w:r>
      <w:r w:rsidR="009D4474">
        <w:rPr>
          <w:lang w:eastAsia="zh-CN"/>
        </w:rPr>
        <w:t xml:space="preserve"> </w:t>
      </w:r>
      <w:r w:rsidR="00A56AC9">
        <w:rPr>
          <w:lang w:eastAsia="zh-CN"/>
        </w:rPr>
        <w:t>behavior</w:t>
      </w:r>
      <w:r w:rsidRPr="009C3F2F">
        <w:rPr>
          <w:lang w:eastAsia="zh-CN"/>
        </w:rPr>
        <w:t>.</w:t>
      </w:r>
      <w:r>
        <w:rPr>
          <w:lang w:eastAsia="zh-CN"/>
        </w:rPr>
        <w:t xml:space="preserve"> Specifically</w:t>
      </w:r>
      <w:r w:rsidR="00EB3DCC">
        <w:rPr>
          <w:lang w:eastAsia="zh-CN"/>
        </w:rPr>
        <w:t>,</w:t>
      </w:r>
      <w:r w:rsidRPr="009C3F2F">
        <w:rPr>
          <w:lang w:eastAsia="zh-CN"/>
        </w:rPr>
        <w:t xml:space="preserve"> managers </w:t>
      </w:r>
      <w:r w:rsidR="0081312D">
        <w:rPr>
          <w:lang w:eastAsia="zh-CN"/>
        </w:rPr>
        <w:t xml:space="preserve">tend </w:t>
      </w:r>
      <w:r w:rsidRPr="009C3F2F">
        <w:rPr>
          <w:lang w:eastAsia="zh-CN"/>
        </w:rPr>
        <w:t xml:space="preserve">to </w:t>
      </w:r>
      <w:r w:rsidR="00966F90">
        <w:rPr>
          <w:lang w:eastAsia="zh-CN"/>
        </w:rPr>
        <w:t>report truthfully</w:t>
      </w:r>
      <w:r w:rsidR="0081312D">
        <w:rPr>
          <w:lang w:eastAsia="zh-CN"/>
        </w:rPr>
        <w:t xml:space="preserve"> when the firm has good information environment</w:t>
      </w:r>
      <w:r w:rsidR="00EB3DCC">
        <w:rPr>
          <w:lang w:eastAsia="zh-CN"/>
        </w:rPr>
        <w:t xml:space="preserve"> because they are </w:t>
      </w:r>
      <w:r w:rsidR="00347D17">
        <w:rPr>
          <w:lang w:eastAsia="zh-CN"/>
        </w:rPr>
        <w:t xml:space="preserve">subject to </w:t>
      </w:r>
      <w:r w:rsidR="00EB3DCC">
        <w:rPr>
          <w:lang w:eastAsia="zh-CN"/>
        </w:rPr>
        <w:t>stronger monitoring</w:t>
      </w:r>
      <w:r w:rsidRPr="009C3F2F">
        <w:rPr>
          <w:lang w:eastAsia="zh-CN"/>
        </w:rPr>
        <w:t>.</w:t>
      </w:r>
      <w:r w:rsidR="00415451">
        <w:rPr>
          <w:lang w:eastAsia="zh-CN"/>
        </w:rPr>
        <w:t xml:space="preserve"> </w:t>
      </w:r>
      <w:r w:rsidR="004D7C83">
        <w:rPr>
          <w:lang w:eastAsia="zh-CN"/>
        </w:rPr>
        <w:t xml:space="preserve">This finding </w:t>
      </w:r>
      <w:r w:rsidR="009B7659">
        <w:rPr>
          <w:lang w:eastAsia="zh-CN"/>
        </w:rPr>
        <w:t xml:space="preserve">speaks to regulators’ efforts to improve firms’ </w:t>
      </w:r>
      <w:r w:rsidR="007F4A38">
        <w:rPr>
          <w:lang w:eastAsia="zh-CN"/>
        </w:rPr>
        <w:t xml:space="preserve">disclosure credibility and </w:t>
      </w:r>
      <w:r w:rsidR="009B7659">
        <w:rPr>
          <w:lang w:eastAsia="zh-CN"/>
        </w:rPr>
        <w:t>information environment for capital market participants (</w:t>
      </w:r>
      <w:r w:rsidR="0045736D">
        <w:rPr>
          <w:lang w:eastAsia="zh-CN"/>
        </w:rPr>
        <w:t>e.g.</w:t>
      </w:r>
      <w:r w:rsidR="00C50805">
        <w:rPr>
          <w:lang w:eastAsia="zh-CN"/>
        </w:rPr>
        <w:t>,</w:t>
      </w:r>
      <w:r w:rsidR="0045736D">
        <w:rPr>
          <w:lang w:eastAsia="zh-CN"/>
        </w:rPr>
        <w:t xml:space="preserve"> </w:t>
      </w:r>
      <w:r w:rsidR="00613A8A">
        <w:rPr>
          <w:lang w:eastAsia="zh-CN"/>
        </w:rPr>
        <w:t>Stein 2018; US Chamber of Commerce 2014</w:t>
      </w:r>
      <w:r w:rsidR="009B7659">
        <w:rPr>
          <w:lang w:eastAsia="zh-CN"/>
        </w:rPr>
        <w:t>).</w:t>
      </w:r>
      <w:r w:rsidR="00391B1F">
        <w:rPr>
          <w:lang w:eastAsia="zh-CN"/>
        </w:rPr>
        <w:t xml:space="preserve"> </w:t>
      </w:r>
      <w:r w:rsidR="00347D17">
        <w:rPr>
          <w:lang w:eastAsia="zh-CN"/>
        </w:rPr>
        <w:t>Conversely</w:t>
      </w:r>
      <w:r>
        <w:rPr>
          <w:lang w:eastAsia="zh-CN"/>
        </w:rPr>
        <w:t xml:space="preserve">, we find that managers’ equity compensation </w:t>
      </w:r>
      <w:r w:rsidR="00D05516">
        <w:rPr>
          <w:lang w:eastAsia="zh-CN"/>
        </w:rPr>
        <w:t xml:space="preserve">incentives </w:t>
      </w:r>
      <w:r>
        <w:rPr>
          <w:lang w:eastAsia="zh-CN"/>
        </w:rPr>
        <w:t xml:space="preserve">compromise </w:t>
      </w:r>
      <w:r w:rsidR="008043CB">
        <w:rPr>
          <w:lang w:eastAsia="zh-CN"/>
        </w:rPr>
        <w:t xml:space="preserve">ethical </w:t>
      </w:r>
      <w:r w:rsidR="00347D17">
        <w:rPr>
          <w:lang w:eastAsia="zh-CN"/>
        </w:rPr>
        <w:t xml:space="preserve">managerial </w:t>
      </w:r>
      <w:r>
        <w:rPr>
          <w:lang w:eastAsia="zh-CN"/>
        </w:rPr>
        <w:t xml:space="preserve">reporting behavior. For firms, </w:t>
      </w:r>
      <w:r w:rsidR="007B245D" w:rsidRPr="007B245D">
        <w:rPr>
          <w:lang w:eastAsia="zh-CN"/>
        </w:rPr>
        <w:t>while equity-based incentives may be designed to align managers</w:t>
      </w:r>
      <w:r w:rsidR="00347D17">
        <w:rPr>
          <w:lang w:eastAsia="zh-CN"/>
        </w:rPr>
        <w:t>’</w:t>
      </w:r>
      <w:r w:rsidR="007B245D" w:rsidRPr="007B245D">
        <w:rPr>
          <w:lang w:eastAsia="zh-CN"/>
        </w:rPr>
        <w:t xml:space="preserve"> and shareholders</w:t>
      </w:r>
      <w:r w:rsidR="00347D17">
        <w:rPr>
          <w:lang w:eastAsia="zh-CN"/>
        </w:rPr>
        <w:t xml:space="preserve">’ </w:t>
      </w:r>
      <w:r w:rsidR="00347D17" w:rsidRPr="007B245D">
        <w:rPr>
          <w:lang w:eastAsia="zh-CN"/>
        </w:rPr>
        <w:t>interests</w:t>
      </w:r>
      <w:r w:rsidR="007B245D" w:rsidRPr="007B245D">
        <w:rPr>
          <w:lang w:eastAsia="zh-CN"/>
        </w:rPr>
        <w:t xml:space="preserve">, our results </w:t>
      </w:r>
      <w:r w:rsidR="00347D17">
        <w:rPr>
          <w:lang w:eastAsia="zh-CN"/>
        </w:rPr>
        <w:t>reveal</w:t>
      </w:r>
      <w:r w:rsidR="00347D17" w:rsidRPr="001B221A">
        <w:rPr>
          <w:lang w:eastAsia="zh-CN"/>
        </w:rPr>
        <w:t xml:space="preserve"> </w:t>
      </w:r>
      <w:r w:rsidR="007B245D" w:rsidRPr="007B245D">
        <w:rPr>
          <w:lang w:eastAsia="zh-CN"/>
        </w:rPr>
        <w:t xml:space="preserve">that </w:t>
      </w:r>
      <w:r w:rsidR="00347D17" w:rsidRPr="007B245D">
        <w:rPr>
          <w:lang w:eastAsia="zh-CN"/>
        </w:rPr>
        <w:t>high</w:t>
      </w:r>
      <w:r w:rsidR="00347D17">
        <w:rPr>
          <w:lang w:eastAsia="zh-CN"/>
        </w:rPr>
        <w:t>-</w:t>
      </w:r>
      <w:r w:rsidR="007B245D" w:rsidRPr="007B245D">
        <w:rPr>
          <w:lang w:eastAsia="zh-CN"/>
        </w:rPr>
        <w:t>equity incentives may have unintended consequences</w:t>
      </w:r>
      <w:r w:rsidR="00D73F71">
        <w:rPr>
          <w:lang w:eastAsia="zh-CN"/>
        </w:rPr>
        <w:t>,</w:t>
      </w:r>
      <w:r w:rsidR="007B245D" w:rsidRPr="007B245D">
        <w:rPr>
          <w:lang w:eastAsia="zh-CN"/>
        </w:rPr>
        <w:t xml:space="preserve"> such as damaging </w:t>
      </w:r>
      <w:r w:rsidR="00B13A36">
        <w:rPr>
          <w:lang w:eastAsia="zh-CN"/>
        </w:rPr>
        <w:t>financial</w:t>
      </w:r>
      <w:r w:rsidR="00B13A36" w:rsidRPr="007B245D">
        <w:rPr>
          <w:lang w:eastAsia="zh-CN"/>
        </w:rPr>
        <w:t xml:space="preserve"> </w:t>
      </w:r>
      <w:r w:rsidR="007B245D" w:rsidRPr="007B245D">
        <w:rPr>
          <w:lang w:eastAsia="zh-CN"/>
        </w:rPr>
        <w:t>reporting ethics.</w:t>
      </w:r>
    </w:p>
    <w:p w14:paraId="6F700FD7" w14:textId="16B69920" w:rsidR="00146B99" w:rsidRPr="0022531F" w:rsidRDefault="00146B99">
      <w:pPr>
        <w:pStyle w:val="Heading1"/>
      </w:pPr>
      <w:r w:rsidRPr="00F03900">
        <w:lastRenderedPageBreak/>
        <w:t xml:space="preserve">Limitations and Future </w:t>
      </w:r>
      <w:r w:rsidR="00347D17">
        <w:t xml:space="preserve">Research </w:t>
      </w:r>
      <w:r w:rsidRPr="00F03900">
        <w:t>Directions</w:t>
      </w:r>
    </w:p>
    <w:p w14:paraId="550B020D" w14:textId="06496E30" w:rsidR="00146B99" w:rsidRPr="00374C4D" w:rsidRDefault="00146B99" w:rsidP="003E49E8">
      <w:pPr>
        <w:pStyle w:val="NoIndentNormal"/>
      </w:pPr>
      <w:r w:rsidRPr="003A7EFB">
        <w:t xml:space="preserve">This </w:t>
      </w:r>
      <w:r w:rsidR="00CC461E">
        <w:t>study</w:t>
      </w:r>
      <w:r w:rsidR="00CC461E" w:rsidRPr="003A7EFB">
        <w:t xml:space="preserve"> </w:t>
      </w:r>
      <w:r w:rsidRPr="003A7EFB">
        <w:t xml:space="preserve">inevitably </w:t>
      </w:r>
      <w:r w:rsidR="00CC461E">
        <w:t>has</w:t>
      </w:r>
      <w:r w:rsidR="00CC461E" w:rsidRPr="003A7EFB">
        <w:t xml:space="preserve"> </w:t>
      </w:r>
      <w:r w:rsidRPr="003A7EFB">
        <w:t xml:space="preserve">limitations that might </w:t>
      </w:r>
      <w:r w:rsidR="00CC461E">
        <w:t>be overcome in</w:t>
      </w:r>
      <w:r w:rsidR="00CC461E" w:rsidRPr="003A7EFB">
        <w:t xml:space="preserve"> </w:t>
      </w:r>
      <w:r w:rsidRPr="003A7EFB">
        <w:t xml:space="preserve">future research. First, </w:t>
      </w:r>
      <w:r w:rsidRPr="009C6510">
        <w:t xml:space="preserve">the results suggest that managers </w:t>
      </w:r>
      <w:r w:rsidR="007C1E78">
        <w:t>engage in truthful disclosure</w:t>
      </w:r>
      <w:r w:rsidR="00CC461E">
        <w:t>s</w:t>
      </w:r>
      <w:r w:rsidRPr="00146085">
        <w:t xml:space="preserve"> </w:t>
      </w:r>
      <w:r w:rsidRPr="00547E8E">
        <w:t>in the context of</w:t>
      </w:r>
      <w:r w:rsidRPr="00660325">
        <w:t xml:space="preserve"> ex</w:t>
      </w:r>
      <w:r w:rsidRPr="009C6510">
        <w:t>treme downside risk</w:t>
      </w:r>
      <w:r w:rsidRPr="00660325">
        <w:t xml:space="preserve">. </w:t>
      </w:r>
      <w:r w:rsidR="00CC461E">
        <w:t>Owing</w:t>
      </w:r>
      <w:r w:rsidR="00CC461E" w:rsidRPr="009C6510">
        <w:t xml:space="preserve"> </w:t>
      </w:r>
      <w:r w:rsidRPr="009C6510">
        <w:t xml:space="preserve">to the scope of </w:t>
      </w:r>
      <w:r w:rsidRPr="00547E8E">
        <w:t>the</w:t>
      </w:r>
      <w:r w:rsidRPr="00660325">
        <w:t xml:space="preserve"> paper, we </w:t>
      </w:r>
      <w:r>
        <w:t>do not</w:t>
      </w:r>
      <w:r w:rsidRPr="00660325">
        <w:t xml:space="preserve"> explore other contexts </w:t>
      </w:r>
      <w:r w:rsidR="00CC461E">
        <w:t>potentially</w:t>
      </w:r>
      <w:r>
        <w:t xml:space="preserve"> </w:t>
      </w:r>
      <w:r w:rsidR="00D857DA">
        <w:t>relating</w:t>
      </w:r>
      <w:r w:rsidR="00D857DA" w:rsidRPr="00660325">
        <w:t xml:space="preserve"> </w:t>
      </w:r>
      <w:r w:rsidRPr="00660325">
        <w:t xml:space="preserve">to </w:t>
      </w:r>
      <w:r w:rsidRPr="00547E8E">
        <w:t>managers’</w:t>
      </w:r>
      <w:r w:rsidRPr="00660325">
        <w:t xml:space="preserve"> truthful communication.</w:t>
      </w:r>
      <w:r w:rsidR="00864240">
        <w:t xml:space="preserve"> </w:t>
      </w:r>
      <w:r w:rsidR="004E74A3">
        <w:t>F</w:t>
      </w:r>
      <w:r w:rsidR="00864240" w:rsidRPr="00660325">
        <w:t xml:space="preserve">uture studies </w:t>
      </w:r>
      <w:r w:rsidR="004E74A3">
        <w:t>might</w:t>
      </w:r>
      <w:r w:rsidR="004E74A3" w:rsidRPr="00660325">
        <w:t xml:space="preserve"> </w:t>
      </w:r>
      <w:r w:rsidR="00864240" w:rsidRPr="009C6510">
        <w:t>shed</w:t>
      </w:r>
      <w:r w:rsidR="00864240" w:rsidRPr="00146085">
        <w:t xml:space="preserve"> </w:t>
      </w:r>
      <w:r w:rsidR="004E74A3" w:rsidRPr="009C6510">
        <w:t xml:space="preserve">further </w:t>
      </w:r>
      <w:r w:rsidR="00864240" w:rsidRPr="00146085">
        <w:t>light on</w:t>
      </w:r>
      <w:r w:rsidR="00864240" w:rsidRPr="00977E8B">
        <w:t xml:space="preserve"> this important </w:t>
      </w:r>
      <w:r w:rsidR="000A79CF">
        <w:t>issue</w:t>
      </w:r>
      <w:r w:rsidR="00864240" w:rsidRPr="00977E8B">
        <w:t>.</w:t>
      </w:r>
      <w:r w:rsidRPr="00660325">
        <w:t xml:space="preserve"> </w:t>
      </w:r>
      <w:r w:rsidR="00ED539A" w:rsidRPr="00660325">
        <w:t xml:space="preserve">Second, </w:t>
      </w:r>
      <w:r w:rsidR="004E74A3">
        <w:t>we are mindful of</w:t>
      </w:r>
      <w:r w:rsidRPr="00547E8E">
        <w:t xml:space="preserve"> debate in the literature </w:t>
      </w:r>
      <w:r w:rsidR="004E74A3">
        <w:t>over</w:t>
      </w:r>
      <w:r w:rsidRPr="00547E8E">
        <w:t xml:space="preserve"> the concept and empirical measurement of disclosure tone (e.g.</w:t>
      </w:r>
      <w:r>
        <w:t>,</w:t>
      </w:r>
      <w:r w:rsidRPr="00547E8E">
        <w:t xml:space="preserve"> Henry and Leone 2016)</w:t>
      </w:r>
      <w:r w:rsidR="004E74A3">
        <w:t xml:space="preserve">. </w:t>
      </w:r>
      <w:r w:rsidR="007B7EFF">
        <w:t>Although w</w:t>
      </w:r>
      <w:r w:rsidR="004E74A3">
        <w:t xml:space="preserve">e do not address this debate directly, we </w:t>
      </w:r>
      <w:r w:rsidRPr="00547E8E">
        <w:t xml:space="preserve">mitigate potential concerns by using </w:t>
      </w:r>
      <w:r>
        <w:t>alternative word classification</w:t>
      </w:r>
      <w:r w:rsidR="004E74A3">
        <w:t>s</w:t>
      </w:r>
      <w:r>
        <w:t xml:space="preserve"> and </w:t>
      </w:r>
      <w:r w:rsidRPr="00547E8E">
        <w:t>alternative tone measures</w:t>
      </w:r>
      <w:r>
        <w:t xml:space="preserve"> (i.e., residual tone</w:t>
      </w:r>
      <w:r w:rsidR="00214256">
        <w:t xml:space="preserve"> and tone change</w:t>
      </w:r>
      <w:r>
        <w:t>)</w:t>
      </w:r>
      <w:r w:rsidRPr="00547E8E">
        <w:t xml:space="preserve"> to </w:t>
      </w:r>
      <w:r w:rsidR="004E74A3">
        <w:t>test</w:t>
      </w:r>
      <w:r w:rsidR="004E74A3" w:rsidRPr="00547E8E">
        <w:t xml:space="preserve"> </w:t>
      </w:r>
      <w:r w:rsidRPr="00547E8E">
        <w:t>the robustness of our results</w:t>
      </w:r>
      <w:r w:rsidR="00214256">
        <w:t xml:space="preserve">. </w:t>
      </w:r>
      <w:r w:rsidR="00ED539A" w:rsidRPr="00660325">
        <w:t>Third,</w:t>
      </w:r>
      <w:r w:rsidR="00ED539A" w:rsidRPr="00547E8E">
        <w:t xml:space="preserve"> </w:t>
      </w:r>
      <w:r w:rsidR="00864240" w:rsidRPr="00A77C98">
        <w:t xml:space="preserve">our results indicate </w:t>
      </w:r>
      <w:r w:rsidR="00C641CF">
        <w:t>the importance of</w:t>
      </w:r>
      <w:r w:rsidR="00864240" w:rsidRPr="00A77C98">
        <w:t xml:space="preserve"> conference call tone </w:t>
      </w:r>
      <w:r w:rsidR="004E74A3">
        <w:t>for</w:t>
      </w:r>
      <w:r w:rsidR="004E74A3" w:rsidRPr="00A77C98">
        <w:t xml:space="preserve"> </w:t>
      </w:r>
      <w:r w:rsidR="00864240" w:rsidRPr="00A77C98">
        <w:t xml:space="preserve">stock markets, raising questions </w:t>
      </w:r>
      <w:r w:rsidR="004E74A3">
        <w:t>about</w:t>
      </w:r>
      <w:r w:rsidR="00864240" w:rsidRPr="00A77C98">
        <w:t xml:space="preserve"> whether </w:t>
      </w:r>
      <w:r w:rsidR="004E74A3">
        <w:t>it</w:t>
      </w:r>
      <w:r w:rsidR="00864240" w:rsidRPr="00A77C98">
        <w:t xml:space="preserve"> </w:t>
      </w:r>
      <w:r w:rsidR="004E74A3">
        <w:t>might</w:t>
      </w:r>
      <w:r w:rsidR="004E74A3" w:rsidRPr="00A77C98">
        <w:t xml:space="preserve"> </w:t>
      </w:r>
      <w:r w:rsidR="00864240" w:rsidRPr="00A77C98">
        <w:t xml:space="preserve">also </w:t>
      </w:r>
      <w:r w:rsidR="004E74A3">
        <w:t xml:space="preserve">be </w:t>
      </w:r>
      <w:r w:rsidR="00864240" w:rsidRPr="00A77C98">
        <w:t xml:space="preserve">predictive </w:t>
      </w:r>
      <w:r w:rsidR="00396C94">
        <w:t>for</w:t>
      </w:r>
      <w:r w:rsidR="004E74A3" w:rsidRPr="00A77C98">
        <w:t xml:space="preserve"> </w:t>
      </w:r>
      <w:r w:rsidR="00864240" w:rsidRPr="00A77C98">
        <w:t>other standard asset pricing anomalies. The short sample period in this paper limits our ability to test such issues</w:t>
      </w:r>
      <w:r w:rsidR="004E74A3">
        <w:t xml:space="preserve">, so </w:t>
      </w:r>
      <w:r w:rsidRPr="00547E8E">
        <w:t xml:space="preserve">future research </w:t>
      </w:r>
      <w:r w:rsidR="004E74A3">
        <w:t>might investigate</w:t>
      </w:r>
      <w:r w:rsidRPr="00547E8E">
        <w:t xml:space="preserve"> </w:t>
      </w:r>
      <w:r>
        <w:t>these research avenues</w:t>
      </w:r>
      <w:r w:rsidRPr="00660325">
        <w:t>.</w:t>
      </w:r>
      <w:r w:rsidR="00CC4DD9">
        <w:t xml:space="preserve"> </w:t>
      </w:r>
      <w:r w:rsidR="00CC4DD9" w:rsidRPr="00A77C98">
        <w:t xml:space="preserve">Fourth, </w:t>
      </w:r>
      <w:r w:rsidR="00CC4DD9" w:rsidRPr="003A7EFB">
        <w:t xml:space="preserve">we find that managers </w:t>
      </w:r>
      <w:r w:rsidR="004E74A3">
        <w:t>engage in</w:t>
      </w:r>
      <w:r w:rsidR="004E74A3" w:rsidRPr="003A7EFB">
        <w:t xml:space="preserve"> </w:t>
      </w:r>
      <w:r w:rsidR="00CC4DD9" w:rsidRPr="003A7EFB">
        <w:t>truthful information</w:t>
      </w:r>
      <w:r w:rsidR="004E74A3">
        <w:t xml:space="preserve"> disclosures</w:t>
      </w:r>
      <w:r w:rsidR="00CC4DD9" w:rsidRPr="003A7EFB">
        <w:t xml:space="preserve"> due to </w:t>
      </w:r>
      <w:r w:rsidR="00CC4DD9">
        <w:t>strong</w:t>
      </w:r>
      <w:r w:rsidR="00CC4DD9" w:rsidRPr="003A7EFB">
        <w:t xml:space="preserve"> monitoring induced by </w:t>
      </w:r>
      <w:r w:rsidR="004E74A3">
        <w:t xml:space="preserve">a </w:t>
      </w:r>
      <w:r w:rsidR="00CC4DD9">
        <w:t>good</w:t>
      </w:r>
      <w:r w:rsidR="00CC4DD9" w:rsidRPr="003A7EFB">
        <w:t xml:space="preserve"> information environment and lower managerial equit</w:t>
      </w:r>
      <w:r w:rsidR="00CC4DD9">
        <w:t>y incentives</w:t>
      </w:r>
      <w:r w:rsidR="00CC4DD9" w:rsidRPr="00547E8E">
        <w:t xml:space="preserve">. </w:t>
      </w:r>
      <w:r w:rsidR="001D4E1B">
        <w:t xml:space="preserve">It is also possible that </w:t>
      </w:r>
      <w:r w:rsidR="00CC4DD9" w:rsidRPr="00547E8E">
        <w:t xml:space="preserve">managers </w:t>
      </w:r>
      <w:r w:rsidR="000735F3">
        <w:t>unintentionally</w:t>
      </w:r>
      <w:r w:rsidR="000735F3" w:rsidRPr="00547E8E">
        <w:t xml:space="preserve"> </w:t>
      </w:r>
      <w:r w:rsidR="000735F3">
        <w:t xml:space="preserve">reveal </w:t>
      </w:r>
      <w:r w:rsidR="00CC4DD9" w:rsidRPr="00547E8E">
        <w:t xml:space="preserve">truthful information </w:t>
      </w:r>
      <w:r w:rsidR="005B6939">
        <w:t>during conference calls</w:t>
      </w:r>
      <w:r w:rsidR="00FD6E1E">
        <w:t xml:space="preserve">, </w:t>
      </w:r>
      <w:r w:rsidR="006E6828">
        <w:t>but such</w:t>
      </w:r>
      <w:r w:rsidR="00FD6E1E">
        <w:t xml:space="preserve"> cognitive processes are empirically unobservable</w:t>
      </w:r>
      <w:r w:rsidR="00EF4DC1">
        <w:t>.</w:t>
      </w:r>
      <w:r w:rsidR="00955B82">
        <w:t xml:space="preserve"> </w:t>
      </w:r>
      <w:r w:rsidR="00CC4DD9" w:rsidRPr="00660325">
        <w:t>F</w:t>
      </w:r>
      <w:r w:rsidR="00CC4DD9" w:rsidRPr="009C6510">
        <w:t xml:space="preserve">uture studies </w:t>
      </w:r>
      <w:r w:rsidR="004E74A3">
        <w:t>might</w:t>
      </w:r>
      <w:r w:rsidR="00CC4DD9" w:rsidRPr="009C6510">
        <w:t xml:space="preserve"> </w:t>
      </w:r>
      <w:r w:rsidR="00CC4DD9" w:rsidRPr="00660325">
        <w:t>develop novel measurement</w:t>
      </w:r>
      <w:r w:rsidR="00681F55">
        <w:t>s</w:t>
      </w:r>
      <w:r w:rsidR="00CC4DD9" w:rsidRPr="00660325">
        <w:t xml:space="preserve"> or explor</w:t>
      </w:r>
      <w:r w:rsidR="004E74A3">
        <w:t>e</w:t>
      </w:r>
      <w:r w:rsidR="00CC4DD9" w:rsidRPr="00660325">
        <w:t xml:space="preserve"> other possible mechanisms for </w:t>
      </w:r>
      <w:r w:rsidR="00CC4DD9">
        <w:t>unintentional</w:t>
      </w:r>
      <w:r w:rsidR="00CC4DD9" w:rsidRPr="00547E8E">
        <w:t xml:space="preserve"> truthful communication</w:t>
      </w:r>
      <w:r w:rsidR="00CC4DD9" w:rsidRPr="00660325">
        <w:t>.</w:t>
      </w:r>
    </w:p>
    <w:p w14:paraId="12B76B47" w14:textId="22767225" w:rsidR="00987AA9" w:rsidRPr="0022531F" w:rsidRDefault="00987AA9">
      <w:pPr>
        <w:pStyle w:val="Heading1"/>
      </w:pPr>
      <w:r w:rsidRPr="0022531F">
        <w:t>Conclusion</w:t>
      </w:r>
    </w:p>
    <w:p w14:paraId="5948F71C" w14:textId="4746E849" w:rsidR="00473725" w:rsidRDefault="001B5C40">
      <w:pPr>
        <w:pStyle w:val="NoIndentNormal"/>
      </w:pPr>
      <w:r>
        <w:rPr>
          <w:rFonts w:hint="eastAsia"/>
        </w:rPr>
        <w:t xml:space="preserve">This </w:t>
      </w:r>
      <w:r w:rsidR="004E74A3">
        <w:t xml:space="preserve">study </w:t>
      </w:r>
      <w:r>
        <w:rPr>
          <w:rFonts w:hint="eastAsia"/>
        </w:rPr>
        <w:t>investigates</w:t>
      </w:r>
      <w:r w:rsidR="00DE1312">
        <w:rPr>
          <w:rFonts w:hint="eastAsia"/>
        </w:rPr>
        <w:t xml:space="preserve"> </w:t>
      </w:r>
      <w:r w:rsidR="00DA00FC">
        <w:t xml:space="preserve">whether and </w:t>
      </w:r>
      <w:r w:rsidR="00264651">
        <w:t>how</w:t>
      </w:r>
      <w:r>
        <w:t xml:space="preserve"> the tone of earnings conference calls </w:t>
      </w:r>
      <w:r w:rsidR="00240F16">
        <w:t>predicts</w:t>
      </w:r>
      <w:r>
        <w:t xml:space="preserve"> </w:t>
      </w:r>
      <w:r w:rsidR="00DF7A80">
        <w:t>stock price crash risk</w:t>
      </w:r>
      <w:r>
        <w:t xml:space="preserve">. </w:t>
      </w:r>
      <w:r w:rsidR="00B007C8">
        <w:t xml:space="preserve">We develop </w:t>
      </w:r>
      <w:r w:rsidR="00F125FC">
        <w:t xml:space="preserve">and test </w:t>
      </w:r>
      <w:r w:rsidR="00BA1433">
        <w:rPr>
          <w:rFonts w:hint="eastAsia"/>
        </w:rPr>
        <w:t>t</w:t>
      </w:r>
      <w:r w:rsidR="00BA1433">
        <w:t xml:space="preserve">wo </w:t>
      </w:r>
      <w:r w:rsidR="00B007C8">
        <w:t xml:space="preserve">competing hypotheses regarding the </w:t>
      </w:r>
      <w:r w:rsidR="00DA00FC">
        <w:t>information role</w:t>
      </w:r>
      <w:r w:rsidR="00022AE7">
        <w:t xml:space="preserve"> </w:t>
      </w:r>
      <w:r w:rsidR="0036339D">
        <w:t xml:space="preserve">of call tone </w:t>
      </w:r>
      <w:r w:rsidR="00DA00FC">
        <w:t>in predicting</w:t>
      </w:r>
      <w:r w:rsidR="0036339D">
        <w:t xml:space="preserve"> </w:t>
      </w:r>
      <w:r w:rsidR="00F43AEE" w:rsidRPr="002A6121">
        <w:rPr>
          <w:rFonts w:cs="Times New Roman"/>
        </w:rPr>
        <w:t xml:space="preserve">stock </w:t>
      </w:r>
      <w:r w:rsidR="0036339D">
        <w:t xml:space="preserve">price crash risk </w:t>
      </w:r>
      <w:r w:rsidR="00B007C8">
        <w:t xml:space="preserve">based on theories and studies </w:t>
      </w:r>
      <w:r w:rsidR="00E86C8D">
        <w:t xml:space="preserve">of </w:t>
      </w:r>
      <w:r w:rsidR="00B007C8">
        <w:t>ethical financial reporting</w:t>
      </w:r>
      <w:r w:rsidR="00C538F7">
        <w:t xml:space="preserve"> and voluntary disclosure incentives</w:t>
      </w:r>
      <w:r w:rsidR="00B007C8">
        <w:t xml:space="preserve">. </w:t>
      </w:r>
      <w:r w:rsidR="0028077E">
        <w:t xml:space="preserve">On the one hand, </w:t>
      </w:r>
      <w:r w:rsidR="00B007C8">
        <w:t xml:space="preserve">managers </w:t>
      </w:r>
      <w:r w:rsidR="0037797E">
        <w:t xml:space="preserve">may </w:t>
      </w:r>
      <w:r w:rsidR="00B007C8">
        <w:t xml:space="preserve">use optimistic language </w:t>
      </w:r>
      <w:r w:rsidR="00506E86">
        <w:t>as an impression management strategy</w:t>
      </w:r>
      <w:r w:rsidR="00B007C8">
        <w:t xml:space="preserve"> to manipulate investors’ perceptions </w:t>
      </w:r>
      <w:r w:rsidR="00E86C8D">
        <w:t xml:space="preserve">of </w:t>
      </w:r>
      <w:r w:rsidR="00BC0909">
        <w:t xml:space="preserve">the </w:t>
      </w:r>
      <w:r w:rsidR="00B007C8">
        <w:lastRenderedPageBreak/>
        <w:t xml:space="preserve">firm, </w:t>
      </w:r>
      <w:r w:rsidR="0037797E">
        <w:t>leading to</w:t>
      </w:r>
      <w:r w:rsidR="00F125FC">
        <w:t xml:space="preserve"> a</w:t>
      </w:r>
      <w:r w:rsidR="0028077E">
        <w:t xml:space="preserve"> positive relation between</w:t>
      </w:r>
      <w:r w:rsidR="00371222">
        <w:t xml:space="preserve"> optimistic</w:t>
      </w:r>
      <w:r w:rsidR="0028077E">
        <w:t xml:space="preserve"> conference call tone and </w:t>
      </w:r>
      <w:r w:rsidR="00973491" w:rsidRPr="002A6121">
        <w:rPr>
          <w:rFonts w:cs="Times New Roman"/>
        </w:rPr>
        <w:t xml:space="preserve">stock </w:t>
      </w:r>
      <w:r w:rsidR="0028077E">
        <w:t xml:space="preserve">price crash risk. On the other hand, managers </w:t>
      </w:r>
      <w:r w:rsidR="006A3A75">
        <w:t xml:space="preserve">have motivations for </w:t>
      </w:r>
      <w:r w:rsidR="0028077E">
        <w:t xml:space="preserve">ethical disclosure and </w:t>
      </w:r>
      <w:r w:rsidR="007D2CE4">
        <w:t>truthful communication</w:t>
      </w:r>
      <w:r w:rsidR="0028077E">
        <w:t xml:space="preserve">, leading to a </w:t>
      </w:r>
      <w:r w:rsidR="00E96B5E">
        <w:t xml:space="preserve">negative </w:t>
      </w:r>
      <w:r w:rsidR="0028077E">
        <w:t xml:space="preserve">relation between </w:t>
      </w:r>
      <w:r w:rsidR="00E96B5E">
        <w:t xml:space="preserve">optimistic </w:t>
      </w:r>
      <w:r w:rsidR="0028077E">
        <w:t xml:space="preserve">call tone and </w:t>
      </w:r>
      <w:r w:rsidR="00712283">
        <w:t xml:space="preserve">stock price </w:t>
      </w:r>
      <w:r w:rsidR="0028077E">
        <w:t xml:space="preserve">crash risk. </w:t>
      </w:r>
      <w:r>
        <w:t xml:space="preserve">We </w:t>
      </w:r>
      <w:r>
        <w:rPr>
          <w:rFonts w:hint="eastAsia"/>
        </w:rPr>
        <w:t>find strong</w:t>
      </w:r>
      <w:r>
        <w:t xml:space="preserve"> evidence that</w:t>
      </w:r>
      <w:r w:rsidR="00E86C8D">
        <w:t xml:space="preserve"> </w:t>
      </w:r>
      <w:r w:rsidR="00DA00FC">
        <w:t xml:space="preserve">more </w:t>
      </w:r>
      <w:r w:rsidR="00DD743F">
        <w:t xml:space="preserve">optimistic </w:t>
      </w:r>
      <w:r>
        <w:t xml:space="preserve">tone </w:t>
      </w:r>
      <w:r w:rsidR="00DF7A80">
        <w:t>of</w:t>
      </w:r>
      <w:r w:rsidR="00E86C8D">
        <w:t xml:space="preserve"> </w:t>
      </w:r>
      <w:r>
        <w:t>conference calls predict</w:t>
      </w:r>
      <w:r w:rsidR="004D6AB7">
        <w:t>s</w:t>
      </w:r>
      <w:r>
        <w:t xml:space="preserve"> </w:t>
      </w:r>
      <w:r w:rsidR="00DD743F">
        <w:t>lower</w:t>
      </w:r>
      <w:r w:rsidR="005D2F7B">
        <w:t xml:space="preserve"> </w:t>
      </w:r>
      <w:r w:rsidR="008C35C5">
        <w:t xml:space="preserve">stock price </w:t>
      </w:r>
      <w:r>
        <w:t>crash risk</w:t>
      </w:r>
      <w:r>
        <w:rPr>
          <w:rFonts w:hint="eastAsia"/>
        </w:rPr>
        <w:t>,</w:t>
      </w:r>
      <w:r>
        <w:t xml:space="preserve"> </w:t>
      </w:r>
      <w:r w:rsidR="00EA3C78">
        <w:t xml:space="preserve">indicating that </w:t>
      </w:r>
      <w:r w:rsidR="008E3487">
        <w:t xml:space="preserve">managers engage in truthful communication </w:t>
      </w:r>
      <w:r w:rsidR="00E86C8D">
        <w:t>rather than</w:t>
      </w:r>
      <w:r w:rsidR="008E3487">
        <w:t xml:space="preserve"> </w:t>
      </w:r>
      <w:r w:rsidR="00F64F7B">
        <w:t xml:space="preserve">unethically </w:t>
      </w:r>
      <w:r w:rsidR="008E3487">
        <w:t xml:space="preserve">manipulating </w:t>
      </w:r>
      <w:r w:rsidR="0010607C">
        <w:t xml:space="preserve">the </w:t>
      </w:r>
      <w:r w:rsidR="008E3487">
        <w:t>tone</w:t>
      </w:r>
      <w:r w:rsidR="00AA4B12">
        <w:t>.</w:t>
      </w:r>
      <w:r w:rsidR="009679BF">
        <w:t xml:space="preserve"> </w:t>
      </w:r>
      <w:r w:rsidR="00E86C8D">
        <w:t xml:space="preserve">These </w:t>
      </w:r>
      <w:r w:rsidR="00092BD4">
        <w:t>r</w:t>
      </w:r>
      <w:r w:rsidR="00CC457E">
        <w:t xml:space="preserve">esults </w:t>
      </w:r>
      <w:r w:rsidR="00E86C8D">
        <w:t>hold up</w:t>
      </w:r>
      <w:r w:rsidR="00CC457E">
        <w:rPr>
          <w:rFonts w:hint="eastAsia"/>
        </w:rPr>
        <w:t xml:space="preserve"> to </w:t>
      </w:r>
      <w:r w:rsidR="00F36A25">
        <w:t xml:space="preserve">various </w:t>
      </w:r>
      <w:r w:rsidR="00E41EF5">
        <w:t>robustness checks</w:t>
      </w:r>
      <w:r w:rsidR="00CC457E">
        <w:t>.</w:t>
      </w:r>
      <w:r w:rsidR="00CC457E">
        <w:rPr>
          <w:rFonts w:hint="eastAsia"/>
        </w:rPr>
        <w:t xml:space="preserve"> </w:t>
      </w:r>
      <w:r w:rsidR="00CC457E">
        <w:t>Moreover</w:t>
      </w:r>
      <w:r>
        <w:t xml:space="preserve">, </w:t>
      </w:r>
      <w:r w:rsidR="00494FB0">
        <w:t>additional analyses suggest</w:t>
      </w:r>
      <w:r w:rsidR="009679BF">
        <w:t xml:space="preserve"> that the</w:t>
      </w:r>
      <w:r w:rsidR="00DD743F">
        <w:t xml:space="preserve"> </w:t>
      </w:r>
      <w:r w:rsidR="00637725">
        <w:t>role</w:t>
      </w:r>
      <w:r w:rsidR="00B205F5">
        <w:t xml:space="preserve"> </w:t>
      </w:r>
      <w:r w:rsidR="009679BF">
        <w:t xml:space="preserve">of </w:t>
      </w:r>
      <w:r w:rsidR="00371222">
        <w:t>optimistic</w:t>
      </w:r>
      <w:r w:rsidR="00DD743F">
        <w:t xml:space="preserve"> </w:t>
      </w:r>
      <w:r w:rsidR="009679BF">
        <w:t>call tone</w:t>
      </w:r>
      <w:r w:rsidR="00637725">
        <w:t xml:space="preserve"> in predicting stock price crash risk</w:t>
      </w:r>
      <w:r w:rsidR="009679BF">
        <w:t xml:space="preserve"> </w:t>
      </w:r>
      <w:r w:rsidR="00550926">
        <w:t xml:space="preserve">is </w:t>
      </w:r>
      <w:r w:rsidR="000E7F61">
        <w:t>more pronounced when the firm</w:t>
      </w:r>
      <w:r w:rsidR="004C45DA">
        <w:t xml:space="preserve"> has </w:t>
      </w:r>
      <w:r w:rsidR="00353385">
        <w:t xml:space="preserve">greater </w:t>
      </w:r>
      <w:r w:rsidR="004C45DA">
        <w:t>analyst following</w:t>
      </w:r>
      <w:r w:rsidR="00DD743F">
        <w:t xml:space="preserve"> or lower </w:t>
      </w:r>
      <w:r w:rsidR="00353385">
        <w:t xml:space="preserve">managerial </w:t>
      </w:r>
      <w:r w:rsidR="004C45DA">
        <w:t xml:space="preserve">option </w:t>
      </w:r>
      <w:r w:rsidR="00DD743F">
        <w:t>incentives</w:t>
      </w:r>
      <w:r w:rsidR="000E7F61">
        <w:t xml:space="preserve">, suggesting </w:t>
      </w:r>
      <w:r w:rsidR="00353385">
        <w:t xml:space="preserve">that </w:t>
      </w:r>
      <w:r w:rsidR="00E15324">
        <w:t>monitoring</w:t>
      </w:r>
      <w:r w:rsidR="001D5E61">
        <w:t xml:space="preserve"> from </w:t>
      </w:r>
      <w:r w:rsidR="00E47393">
        <w:t xml:space="preserve">corporate </w:t>
      </w:r>
      <w:r w:rsidR="009879C0">
        <w:t xml:space="preserve">information environment </w:t>
      </w:r>
      <w:r w:rsidR="00DD743F">
        <w:t xml:space="preserve">and managers’ </w:t>
      </w:r>
      <w:r w:rsidR="004C45DA">
        <w:t xml:space="preserve">equity </w:t>
      </w:r>
      <w:r w:rsidR="00DD743F">
        <w:t xml:space="preserve">incentives </w:t>
      </w:r>
      <w:r w:rsidR="00353385">
        <w:t xml:space="preserve">are </w:t>
      </w:r>
      <w:r w:rsidR="009879C0">
        <w:t>underlying mechanism</w:t>
      </w:r>
      <w:r w:rsidR="00DD743F">
        <w:t>s</w:t>
      </w:r>
      <w:r w:rsidR="009879C0">
        <w:t xml:space="preserve"> </w:t>
      </w:r>
      <w:r w:rsidR="000649EC">
        <w:t xml:space="preserve">for </w:t>
      </w:r>
      <w:r w:rsidR="009879C0">
        <w:t xml:space="preserve">managers’ truthful </w:t>
      </w:r>
      <w:r w:rsidR="009D0F75">
        <w:t>communication</w:t>
      </w:r>
      <w:r w:rsidR="00A52684">
        <w:t>.</w:t>
      </w:r>
    </w:p>
    <w:p w14:paraId="1AD73528" w14:textId="122071AC" w:rsidR="003929F3" w:rsidRDefault="002B325C" w:rsidP="002B325C">
      <w:pPr>
        <w:pStyle w:val="Heading1"/>
      </w:pPr>
      <w:r>
        <w:t>Notes</w:t>
      </w:r>
    </w:p>
    <w:p w14:paraId="01B59713" w14:textId="454AA950" w:rsidR="003929F3" w:rsidRDefault="003929F3" w:rsidP="003929F3"/>
    <w:p w14:paraId="5C4E3AB4" w14:textId="77777777" w:rsidR="003929F3" w:rsidRPr="003929F3" w:rsidRDefault="003929F3" w:rsidP="003929F3">
      <w:pPr>
        <w:sectPr w:rsidR="003929F3" w:rsidRPr="003929F3" w:rsidSect="003929F3">
          <w:footerReference w:type="even" r:id="rId10"/>
          <w:footerReference w:type="default" r:id="rId11"/>
          <w:footnotePr>
            <w:numRestart w:val="eachSect"/>
          </w:footnotePr>
          <w:endnotePr>
            <w:numFmt w:val="decimal"/>
            <w:numRestart w:val="eachSect"/>
          </w:endnotePr>
          <w:type w:val="continuous"/>
          <w:pgSz w:w="11906" w:h="16838"/>
          <w:pgMar w:top="1440" w:right="1440" w:bottom="1440" w:left="1440" w:header="708" w:footer="708" w:gutter="0"/>
          <w:cols w:space="708"/>
          <w:docGrid w:linePitch="360"/>
        </w:sectPr>
      </w:pPr>
    </w:p>
    <w:p w14:paraId="4FB10B14" w14:textId="5D899312" w:rsidR="00F37940" w:rsidRPr="00F37C2B" w:rsidRDefault="00F37940" w:rsidP="00196B5F">
      <w:pPr>
        <w:pStyle w:val="Heading1"/>
      </w:pPr>
      <w:r w:rsidRPr="00F37C2B">
        <w:lastRenderedPageBreak/>
        <w:t xml:space="preserve">Appendix </w:t>
      </w:r>
      <w:r w:rsidR="00D71FDC" w:rsidRPr="00F37C2B">
        <w:t>1</w:t>
      </w:r>
      <w:r w:rsidRPr="00F37C2B">
        <w:t>. Variable Definitions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08"/>
      </w:tblGrid>
      <w:tr w:rsidR="00D0175F" w:rsidRPr="003E49E8" w14:paraId="2B987309" w14:textId="77777777" w:rsidTr="00196B5F">
        <w:trPr>
          <w:trHeight w:val="306"/>
        </w:trPr>
        <w:tc>
          <w:tcPr>
            <w:tcW w:w="1418" w:type="dxa"/>
            <w:tcBorders>
              <w:top w:val="single" w:sz="4" w:space="0" w:color="auto"/>
            </w:tcBorders>
          </w:tcPr>
          <w:p w14:paraId="424F43D3" w14:textId="77777777" w:rsidR="00D0175F" w:rsidRPr="00196B5F" w:rsidRDefault="00D0175F" w:rsidP="00746312">
            <w:pPr>
              <w:spacing w:line="360" w:lineRule="auto"/>
              <w:ind w:firstLine="0"/>
              <w:rPr>
                <w:b/>
                <w:bCs/>
                <w:sz w:val="20"/>
                <w:szCs w:val="20"/>
              </w:rPr>
            </w:pPr>
            <w:r w:rsidRPr="00196B5F">
              <w:rPr>
                <w:b/>
                <w:bCs/>
                <w:sz w:val="20"/>
                <w:szCs w:val="20"/>
              </w:rPr>
              <w:t>Variable</w:t>
            </w:r>
          </w:p>
        </w:tc>
        <w:tc>
          <w:tcPr>
            <w:tcW w:w="7608" w:type="dxa"/>
            <w:tcBorders>
              <w:top w:val="single" w:sz="4" w:space="0" w:color="auto"/>
            </w:tcBorders>
          </w:tcPr>
          <w:p w14:paraId="2F8C11ED" w14:textId="7B3C5F84" w:rsidR="00D0175F" w:rsidRPr="00196B5F" w:rsidRDefault="00D0175F" w:rsidP="00746312">
            <w:pPr>
              <w:spacing w:line="360" w:lineRule="auto"/>
              <w:ind w:firstLine="0"/>
              <w:rPr>
                <w:b/>
                <w:bCs/>
                <w:sz w:val="20"/>
                <w:szCs w:val="20"/>
              </w:rPr>
            </w:pPr>
            <w:r w:rsidRPr="00196B5F">
              <w:rPr>
                <w:b/>
                <w:bCs/>
                <w:sz w:val="20"/>
                <w:szCs w:val="20"/>
              </w:rPr>
              <w:t>Definition</w:t>
            </w:r>
          </w:p>
        </w:tc>
      </w:tr>
      <w:tr w:rsidR="00F37940" w:rsidRPr="003E49E8" w14:paraId="493A122D" w14:textId="77777777" w:rsidTr="00F37C2B">
        <w:trPr>
          <w:trHeight w:val="306"/>
        </w:trPr>
        <w:tc>
          <w:tcPr>
            <w:tcW w:w="9026" w:type="dxa"/>
            <w:gridSpan w:val="2"/>
            <w:tcBorders>
              <w:top w:val="single" w:sz="4" w:space="0" w:color="auto"/>
            </w:tcBorders>
          </w:tcPr>
          <w:p w14:paraId="5602EC8F" w14:textId="2D1DB39D" w:rsidR="00F37940" w:rsidRPr="00196B5F" w:rsidRDefault="00F37940" w:rsidP="00746312">
            <w:pPr>
              <w:spacing w:line="360" w:lineRule="auto"/>
              <w:ind w:firstLine="0"/>
              <w:rPr>
                <w:i/>
                <w:iCs/>
                <w:sz w:val="20"/>
                <w:szCs w:val="20"/>
              </w:rPr>
            </w:pPr>
            <w:r w:rsidRPr="00196B5F">
              <w:rPr>
                <w:i/>
                <w:iCs/>
                <w:sz w:val="20"/>
                <w:szCs w:val="20"/>
              </w:rPr>
              <w:t xml:space="preserve">Dependent variables: </w:t>
            </w:r>
            <w:r w:rsidR="00973491" w:rsidRPr="00196B5F">
              <w:rPr>
                <w:i/>
                <w:iCs/>
                <w:sz w:val="20"/>
                <w:szCs w:val="20"/>
                <w:lang w:eastAsia="zh-CN"/>
              </w:rPr>
              <w:t>Stock p</w:t>
            </w:r>
            <w:r w:rsidRPr="00196B5F">
              <w:rPr>
                <w:i/>
                <w:iCs/>
                <w:sz w:val="20"/>
                <w:szCs w:val="20"/>
                <w:lang w:eastAsia="zh-CN"/>
              </w:rPr>
              <w:t>rice c</w:t>
            </w:r>
            <w:r w:rsidRPr="00196B5F">
              <w:rPr>
                <w:i/>
                <w:iCs/>
                <w:sz w:val="20"/>
                <w:szCs w:val="20"/>
              </w:rPr>
              <w:t>rash risk measures</w:t>
            </w:r>
          </w:p>
        </w:tc>
      </w:tr>
      <w:tr w:rsidR="00F37940" w:rsidRPr="003E49E8" w14:paraId="27FF457A" w14:textId="77777777" w:rsidTr="00196B5F">
        <w:trPr>
          <w:trHeight w:val="306"/>
        </w:trPr>
        <w:tc>
          <w:tcPr>
            <w:tcW w:w="1418" w:type="dxa"/>
          </w:tcPr>
          <w:p w14:paraId="53D81539" w14:textId="77777777" w:rsidR="00F37940" w:rsidRPr="00196B5F" w:rsidRDefault="00F37940" w:rsidP="00746312">
            <w:pPr>
              <w:spacing w:line="360" w:lineRule="auto"/>
              <w:ind w:firstLine="0"/>
              <w:rPr>
                <w:sz w:val="20"/>
                <w:szCs w:val="20"/>
              </w:rPr>
            </w:pPr>
            <m:oMathPara>
              <m:oMathParaPr>
                <m:jc m:val="left"/>
              </m:oMathParaPr>
              <m:oMath>
                <m:r>
                  <w:rPr>
                    <w:rFonts w:ascii="Cambria Math" w:hAnsi="Cambria Math"/>
                    <w:sz w:val="20"/>
                    <w:szCs w:val="20"/>
                  </w:rPr>
                  <m:t>COUNT</m:t>
                </m:r>
              </m:oMath>
            </m:oMathPara>
          </w:p>
        </w:tc>
        <w:tc>
          <w:tcPr>
            <w:tcW w:w="7608" w:type="dxa"/>
          </w:tcPr>
          <w:p w14:paraId="23B3137C" w14:textId="6350F2AB" w:rsidR="00F37940" w:rsidRPr="00196B5F" w:rsidRDefault="00F37940" w:rsidP="00746312">
            <w:pPr>
              <w:spacing w:line="360" w:lineRule="auto"/>
              <w:ind w:firstLine="0"/>
              <w:rPr>
                <w:sz w:val="20"/>
                <w:szCs w:val="20"/>
                <w:lang w:val="en-GB"/>
              </w:rPr>
            </w:pPr>
            <w:r w:rsidRPr="00196B5F">
              <w:rPr>
                <w:sz w:val="20"/>
                <w:szCs w:val="20"/>
              </w:rPr>
              <w:t>The difference between the number of firm-specific weekly returns exceeding 3.20 standard deviations below the mean firm-specific weekly return over the fiscal year</w:t>
            </w:r>
            <w:r w:rsidR="00736AC5">
              <w:rPr>
                <w:sz w:val="20"/>
                <w:szCs w:val="20"/>
              </w:rPr>
              <w:t>,</w:t>
            </w:r>
            <w:r w:rsidRPr="00196B5F">
              <w:rPr>
                <w:sz w:val="20"/>
                <w:szCs w:val="20"/>
              </w:rPr>
              <w:t xml:space="preserve"> and the number of firm-specific weekly returns exceeding 3.20 standard deviations above the mean firm-specific weekly return.</w:t>
            </w:r>
          </w:p>
        </w:tc>
      </w:tr>
      <w:tr w:rsidR="00F37940" w:rsidRPr="003E49E8" w14:paraId="3513A4A1" w14:textId="77777777" w:rsidTr="00196B5F">
        <w:trPr>
          <w:trHeight w:val="306"/>
        </w:trPr>
        <w:tc>
          <w:tcPr>
            <w:tcW w:w="1418" w:type="dxa"/>
          </w:tcPr>
          <w:p w14:paraId="07193376" w14:textId="77777777" w:rsidR="00F37940" w:rsidRPr="00196B5F" w:rsidRDefault="00F37940" w:rsidP="00746312">
            <w:pPr>
              <w:spacing w:line="360" w:lineRule="auto"/>
              <w:ind w:firstLine="0"/>
              <w:rPr>
                <w:sz w:val="20"/>
                <w:szCs w:val="20"/>
              </w:rPr>
            </w:pPr>
            <m:oMathPara>
              <m:oMathParaPr>
                <m:jc m:val="left"/>
              </m:oMathParaPr>
              <m:oMath>
                <m:r>
                  <w:rPr>
                    <w:rFonts w:ascii="Cambria Math" w:hAnsi="Cambria Math"/>
                    <w:sz w:val="20"/>
                    <w:szCs w:val="20"/>
                  </w:rPr>
                  <m:t>NCSKEW</m:t>
                </m:r>
              </m:oMath>
            </m:oMathPara>
          </w:p>
        </w:tc>
        <w:tc>
          <w:tcPr>
            <w:tcW w:w="7608" w:type="dxa"/>
          </w:tcPr>
          <w:p w14:paraId="6CD7FD0C" w14:textId="77777777" w:rsidR="00F37940" w:rsidRPr="00196B5F" w:rsidRDefault="00F37940" w:rsidP="00746312">
            <w:pPr>
              <w:spacing w:line="360" w:lineRule="auto"/>
              <w:ind w:firstLine="0"/>
              <w:rPr>
                <w:sz w:val="20"/>
                <w:szCs w:val="20"/>
              </w:rPr>
            </w:pPr>
            <w:r w:rsidRPr="00196B5F">
              <w:rPr>
                <w:sz w:val="20"/>
                <w:szCs w:val="20"/>
              </w:rPr>
              <w:t>The negative skewness of firm-specific weekly returns during the fiscal year period.</w:t>
            </w:r>
          </w:p>
        </w:tc>
      </w:tr>
      <w:tr w:rsidR="00F37940" w:rsidRPr="003E49E8" w14:paraId="2FFFE37B" w14:textId="77777777" w:rsidTr="00196B5F">
        <w:trPr>
          <w:trHeight w:val="306"/>
        </w:trPr>
        <w:tc>
          <w:tcPr>
            <w:tcW w:w="1418" w:type="dxa"/>
          </w:tcPr>
          <w:p w14:paraId="4D9F8449" w14:textId="77777777" w:rsidR="00F37940" w:rsidRPr="00196B5F" w:rsidRDefault="00F37940" w:rsidP="00746312">
            <w:pPr>
              <w:spacing w:line="360" w:lineRule="auto"/>
              <w:ind w:firstLine="0"/>
              <w:rPr>
                <w:sz w:val="20"/>
                <w:szCs w:val="20"/>
              </w:rPr>
            </w:pPr>
            <m:oMathPara>
              <m:oMathParaPr>
                <m:jc m:val="left"/>
              </m:oMathParaPr>
              <m:oMath>
                <m:r>
                  <w:rPr>
                    <w:rFonts w:ascii="Cambria Math" w:hAnsi="Cambria Math"/>
                    <w:sz w:val="20"/>
                    <w:szCs w:val="20"/>
                  </w:rPr>
                  <m:t>DUVOL</m:t>
                </m:r>
              </m:oMath>
            </m:oMathPara>
          </w:p>
        </w:tc>
        <w:tc>
          <w:tcPr>
            <w:tcW w:w="7608" w:type="dxa"/>
          </w:tcPr>
          <w:p w14:paraId="7BA2CF84" w14:textId="3BDA9CA9" w:rsidR="00F37940" w:rsidRPr="00196B5F" w:rsidRDefault="00F37940" w:rsidP="00746312">
            <w:pPr>
              <w:spacing w:line="360" w:lineRule="auto"/>
              <w:ind w:firstLine="0"/>
              <w:rPr>
                <w:sz w:val="20"/>
                <w:szCs w:val="20"/>
              </w:rPr>
            </w:pPr>
            <w:r w:rsidRPr="00196B5F">
              <w:rPr>
                <w:sz w:val="20"/>
                <w:szCs w:val="20"/>
              </w:rPr>
              <w:t xml:space="preserve">The natural logarithm of the ratio of the standard deviation of firm-specific weekly returns for down weeks to that for up weeks. </w:t>
            </w:r>
            <w:r w:rsidR="000F478A">
              <w:rPr>
                <w:sz w:val="20"/>
                <w:szCs w:val="20"/>
              </w:rPr>
              <w:t>O</w:t>
            </w:r>
            <w:r w:rsidRPr="00196B5F">
              <w:rPr>
                <w:sz w:val="20"/>
                <w:szCs w:val="20"/>
              </w:rPr>
              <w:t>ver a</w:t>
            </w:r>
            <w:r w:rsidR="000F478A">
              <w:rPr>
                <w:sz w:val="20"/>
                <w:szCs w:val="20"/>
              </w:rPr>
              <w:t xml:space="preserve"> firm’s</w:t>
            </w:r>
            <w:r w:rsidRPr="00196B5F">
              <w:rPr>
                <w:sz w:val="20"/>
                <w:szCs w:val="20"/>
              </w:rPr>
              <w:t xml:space="preserve"> fiscal year period, down</w:t>
            </w:r>
            <w:r w:rsidR="00196B5F">
              <w:rPr>
                <w:sz w:val="20"/>
                <w:szCs w:val="20"/>
              </w:rPr>
              <w:t xml:space="preserve"> </w:t>
            </w:r>
            <w:r w:rsidR="000F478A">
              <w:rPr>
                <w:sz w:val="20"/>
                <w:szCs w:val="20"/>
              </w:rPr>
              <w:t>(up)</w:t>
            </w:r>
            <w:r w:rsidRPr="00196B5F">
              <w:rPr>
                <w:sz w:val="20"/>
                <w:szCs w:val="20"/>
              </w:rPr>
              <w:t xml:space="preserve"> weeks are defined as all weeks with firm-specific weekly returns below</w:t>
            </w:r>
            <w:r w:rsidR="00196B5F">
              <w:rPr>
                <w:sz w:val="20"/>
                <w:szCs w:val="20"/>
              </w:rPr>
              <w:t xml:space="preserve"> </w:t>
            </w:r>
            <w:r w:rsidR="000F478A">
              <w:rPr>
                <w:sz w:val="20"/>
                <w:szCs w:val="20"/>
              </w:rPr>
              <w:t>(above)</w:t>
            </w:r>
            <w:r w:rsidRPr="00196B5F">
              <w:rPr>
                <w:sz w:val="20"/>
                <w:szCs w:val="20"/>
              </w:rPr>
              <w:t xml:space="preserve"> the annual mean.</w:t>
            </w:r>
          </w:p>
        </w:tc>
      </w:tr>
      <w:tr w:rsidR="00050FF7" w:rsidRPr="003E49E8" w14:paraId="5893B696" w14:textId="77777777" w:rsidTr="00196B5F">
        <w:trPr>
          <w:trHeight w:val="306"/>
        </w:trPr>
        <w:tc>
          <w:tcPr>
            <w:tcW w:w="1418" w:type="dxa"/>
          </w:tcPr>
          <w:p w14:paraId="38667D3A" w14:textId="3269D8B9" w:rsidR="00050FF7" w:rsidRPr="00196B5F" w:rsidRDefault="00050FF7" w:rsidP="00746312">
            <w:pPr>
              <w:spacing w:line="360" w:lineRule="auto"/>
              <w:ind w:firstLine="0"/>
              <w:rPr>
                <w:sz w:val="20"/>
                <w:szCs w:val="20"/>
              </w:rPr>
            </w:pPr>
            <m:oMathPara>
              <m:oMathParaPr>
                <m:jc m:val="left"/>
              </m:oMathParaPr>
              <m:oMath>
                <m:r>
                  <w:rPr>
                    <w:rFonts w:ascii="Cambria Math" w:hAnsi="Cambria Math"/>
                    <w:sz w:val="20"/>
                    <w:szCs w:val="20"/>
                  </w:rPr>
                  <m:t>CRASH</m:t>
                </m:r>
              </m:oMath>
            </m:oMathPara>
          </w:p>
        </w:tc>
        <w:tc>
          <w:tcPr>
            <w:tcW w:w="7608" w:type="dxa"/>
          </w:tcPr>
          <w:p w14:paraId="4EDEE8BF" w14:textId="14E6BA20" w:rsidR="00050FF7" w:rsidRPr="00196B5F" w:rsidRDefault="003B7552" w:rsidP="00746312">
            <w:pPr>
              <w:spacing w:line="360" w:lineRule="auto"/>
              <w:ind w:firstLine="0"/>
              <w:rPr>
                <w:sz w:val="20"/>
                <w:szCs w:val="20"/>
              </w:rPr>
            </w:pPr>
            <w:r w:rsidRPr="00196B5F">
              <w:rPr>
                <w:sz w:val="20"/>
                <w:szCs w:val="20"/>
              </w:rPr>
              <w:t>An indicator variable</w:t>
            </w:r>
            <w:r w:rsidR="000F478A">
              <w:rPr>
                <w:sz w:val="20"/>
                <w:szCs w:val="20"/>
              </w:rPr>
              <w:t xml:space="preserve"> that </w:t>
            </w:r>
            <w:r w:rsidRPr="00196B5F">
              <w:rPr>
                <w:sz w:val="20"/>
                <w:szCs w:val="20"/>
              </w:rPr>
              <w:t>equals 1 if a firm experience</w:t>
            </w:r>
            <w:r w:rsidR="00111D4D" w:rsidRPr="00196B5F">
              <w:rPr>
                <w:sz w:val="20"/>
                <w:szCs w:val="20"/>
              </w:rPr>
              <w:t>s</w:t>
            </w:r>
            <w:r w:rsidRPr="00196B5F">
              <w:rPr>
                <w:sz w:val="20"/>
                <w:szCs w:val="20"/>
              </w:rPr>
              <w:t xml:space="preserve"> one or more crash weeks </w:t>
            </w:r>
            <w:r w:rsidR="000F478A">
              <w:rPr>
                <w:sz w:val="20"/>
                <w:szCs w:val="20"/>
              </w:rPr>
              <w:t>in</w:t>
            </w:r>
            <w:r w:rsidR="000F478A" w:rsidRPr="00196B5F">
              <w:rPr>
                <w:sz w:val="20"/>
                <w:szCs w:val="20"/>
              </w:rPr>
              <w:t xml:space="preserve"> </w:t>
            </w:r>
            <w:r w:rsidRPr="00196B5F">
              <w:rPr>
                <w:sz w:val="20"/>
                <w:szCs w:val="20"/>
              </w:rPr>
              <w:t xml:space="preserve">the fiscal year, and zero otherwise. Crash weeks are defined as those when a firm experiences firm-specific weekly returns exceeding 3.20 standard deviations below the mean </w:t>
            </w:r>
            <w:r w:rsidR="000F478A">
              <w:rPr>
                <w:sz w:val="20"/>
                <w:szCs w:val="20"/>
              </w:rPr>
              <w:t>for</w:t>
            </w:r>
            <w:r w:rsidRPr="00196B5F">
              <w:rPr>
                <w:sz w:val="20"/>
                <w:szCs w:val="20"/>
              </w:rPr>
              <w:t xml:space="preserve"> the fiscal year.</w:t>
            </w:r>
          </w:p>
        </w:tc>
      </w:tr>
      <w:tr w:rsidR="00E94B09" w:rsidRPr="003E49E8" w14:paraId="0C31C01A" w14:textId="77777777" w:rsidTr="00196B5F">
        <w:trPr>
          <w:trHeight w:val="306"/>
        </w:trPr>
        <w:tc>
          <w:tcPr>
            <w:tcW w:w="1418" w:type="dxa"/>
          </w:tcPr>
          <w:p w14:paraId="20BA2CBD" w14:textId="6F2B755D" w:rsidR="00E94B09" w:rsidRPr="00196B5F" w:rsidRDefault="00E94B09" w:rsidP="00746312">
            <w:pPr>
              <w:spacing w:line="360" w:lineRule="auto"/>
              <w:ind w:firstLine="0"/>
              <w:rPr>
                <w:sz w:val="20"/>
                <w:szCs w:val="20"/>
              </w:rPr>
            </w:pPr>
            <m:oMathPara>
              <m:oMathParaPr>
                <m:jc m:val="left"/>
              </m:oMathParaPr>
              <m:oMath>
                <m:r>
                  <w:rPr>
                    <w:rFonts w:ascii="Cambria Math" w:hAnsi="Cambria Math"/>
                    <w:sz w:val="20"/>
                    <w:szCs w:val="20"/>
                  </w:rPr>
                  <m:t>JUMP</m:t>
                </m:r>
              </m:oMath>
            </m:oMathPara>
          </w:p>
        </w:tc>
        <w:tc>
          <w:tcPr>
            <w:tcW w:w="7608" w:type="dxa"/>
          </w:tcPr>
          <w:p w14:paraId="21531AA4" w14:textId="727F18F7" w:rsidR="00E94B09" w:rsidRPr="00196B5F" w:rsidRDefault="00D74FE0" w:rsidP="00746312">
            <w:pPr>
              <w:spacing w:line="360" w:lineRule="auto"/>
              <w:ind w:firstLine="0"/>
              <w:rPr>
                <w:sz w:val="20"/>
                <w:szCs w:val="20"/>
              </w:rPr>
            </w:pPr>
            <w:r w:rsidRPr="00196B5F">
              <w:rPr>
                <w:sz w:val="20"/>
                <w:szCs w:val="20"/>
              </w:rPr>
              <w:t>The number of firm-specific weekly returns exceeding 3.2</w:t>
            </w:r>
            <w:r w:rsidR="002F6BBC" w:rsidRPr="00196B5F">
              <w:rPr>
                <w:sz w:val="20"/>
                <w:szCs w:val="20"/>
              </w:rPr>
              <w:t>0</w:t>
            </w:r>
            <w:r w:rsidRPr="00196B5F">
              <w:rPr>
                <w:sz w:val="20"/>
                <w:szCs w:val="20"/>
              </w:rPr>
              <w:t xml:space="preserve"> standard deviations above the mean firm-specific weekly return </w:t>
            </w:r>
            <w:r w:rsidR="000F478A">
              <w:rPr>
                <w:sz w:val="20"/>
                <w:szCs w:val="20"/>
              </w:rPr>
              <w:t>for</w:t>
            </w:r>
            <w:r w:rsidR="000F478A" w:rsidRPr="00196B5F">
              <w:rPr>
                <w:sz w:val="20"/>
                <w:szCs w:val="20"/>
              </w:rPr>
              <w:t xml:space="preserve"> </w:t>
            </w:r>
            <w:r w:rsidRPr="00196B5F">
              <w:rPr>
                <w:sz w:val="20"/>
                <w:szCs w:val="20"/>
              </w:rPr>
              <w:t>the fiscal year.</w:t>
            </w:r>
          </w:p>
        </w:tc>
      </w:tr>
      <w:tr w:rsidR="00E94B09" w:rsidRPr="003E49E8" w14:paraId="5C1FE9F4" w14:textId="77777777" w:rsidTr="00F37C2B">
        <w:trPr>
          <w:trHeight w:val="306"/>
        </w:trPr>
        <w:tc>
          <w:tcPr>
            <w:tcW w:w="9026" w:type="dxa"/>
            <w:gridSpan w:val="2"/>
          </w:tcPr>
          <w:p w14:paraId="006FCD34" w14:textId="77777777" w:rsidR="00E94B09" w:rsidRPr="00196B5F" w:rsidRDefault="00E94B09" w:rsidP="00746312">
            <w:pPr>
              <w:spacing w:line="360" w:lineRule="auto"/>
              <w:ind w:firstLine="0"/>
              <w:rPr>
                <w:i/>
                <w:iCs/>
                <w:sz w:val="20"/>
                <w:szCs w:val="20"/>
              </w:rPr>
            </w:pPr>
            <w:r w:rsidRPr="00196B5F">
              <w:rPr>
                <w:i/>
                <w:iCs/>
                <w:sz w:val="20"/>
                <w:szCs w:val="20"/>
              </w:rPr>
              <w:t>Test variables: Tone measures</w:t>
            </w:r>
          </w:p>
        </w:tc>
      </w:tr>
      <w:tr w:rsidR="00E94B09" w:rsidRPr="003E49E8" w14:paraId="19E4385B" w14:textId="77777777" w:rsidTr="00196B5F">
        <w:trPr>
          <w:trHeight w:val="306"/>
        </w:trPr>
        <w:tc>
          <w:tcPr>
            <w:tcW w:w="1418" w:type="dxa"/>
          </w:tcPr>
          <w:p w14:paraId="4F5F19F8" w14:textId="77777777" w:rsidR="00E94B09" w:rsidRPr="00196B5F" w:rsidRDefault="00E94B09" w:rsidP="00746312">
            <w:pPr>
              <w:spacing w:line="360" w:lineRule="auto"/>
              <w:ind w:firstLine="0"/>
              <w:rPr>
                <w:sz w:val="20"/>
                <w:szCs w:val="20"/>
              </w:rPr>
            </w:pPr>
            <m:oMathPara>
              <m:oMathParaPr>
                <m:jc m:val="left"/>
              </m:oMathParaPr>
              <m:oMath>
                <m:r>
                  <w:rPr>
                    <w:rFonts w:ascii="Cambria Math" w:hAnsi="Cambria Math"/>
                    <w:sz w:val="20"/>
                    <w:szCs w:val="20"/>
                  </w:rPr>
                  <m:t>TONE</m:t>
                </m:r>
                <m:r>
                  <m:rPr>
                    <m:sty m:val="p"/>
                  </m:rPr>
                  <w:rPr>
                    <w:rFonts w:ascii="Cambria Math" w:hAnsi="Cambria Math"/>
                    <w:sz w:val="20"/>
                    <w:szCs w:val="20"/>
                  </w:rPr>
                  <m:t>_</m:t>
                </m:r>
                <m:r>
                  <w:rPr>
                    <w:rFonts w:ascii="Cambria Math" w:hAnsi="Cambria Math"/>
                    <w:sz w:val="20"/>
                    <w:szCs w:val="20"/>
                  </w:rPr>
                  <m:t>C</m:t>
                </m:r>
              </m:oMath>
            </m:oMathPara>
          </w:p>
        </w:tc>
        <w:tc>
          <w:tcPr>
            <w:tcW w:w="7608" w:type="dxa"/>
          </w:tcPr>
          <w:p w14:paraId="0E742CB8" w14:textId="02C2A646" w:rsidR="00E94B09" w:rsidRPr="00196B5F" w:rsidRDefault="00E94B09" w:rsidP="00746312">
            <w:pPr>
              <w:spacing w:line="360" w:lineRule="auto"/>
              <w:ind w:firstLine="0"/>
              <w:rPr>
                <w:sz w:val="20"/>
                <w:szCs w:val="20"/>
              </w:rPr>
            </w:pPr>
            <w:r w:rsidRPr="00196B5F">
              <w:rPr>
                <w:sz w:val="20"/>
                <w:szCs w:val="20"/>
              </w:rPr>
              <w:t>Tone over a whole earnings conference call, which is the ratio of the difference between the number</w:t>
            </w:r>
            <w:r w:rsidR="000F478A">
              <w:rPr>
                <w:sz w:val="20"/>
                <w:szCs w:val="20"/>
              </w:rPr>
              <w:t>s</w:t>
            </w:r>
            <w:r w:rsidRPr="00196B5F">
              <w:rPr>
                <w:sz w:val="20"/>
                <w:szCs w:val="20"/>
              </w:rPr>
              <w:t xml:space="preserve"> of positive and negative words</w:t>
            </w:r>
            <w:r w:rsidR="000F478A">
              <w:rPr>
                <w:sz w:val="20"/>
                <w:szCs w:val="20"/>
              </w:rPr>
              <w:t>, to the</w:t>
            </w:r>
            <w:r w:rsidRPr="00196B5F">
              <w:rPr>
                <w:sz w:val="20"/>
                <w:szCs w:val="20"/>
              </w:rPr>
              <w:t xml:space="preserve"> total number of words over the whole call. </w:t>
            </w:r>
          </w:p>
        </w:tc>
      </w:tr>
      <w:tr w:rsidR="00E94B09" w:rsidRPr="003E49E8" w14:paraId="7662EC3B" w14:textId="77777777" w:rsidTr="00196B5F">
        <w:trPr>
          <w:trHeight w:val="306"/>
        </w:trPr>
        <w:tc>
          <w:tcPr>
            <w:tcW w:w="1418" w:type="dxa"/>
          </w:tcPr>
          <w:p w14:paraId="6352C6A9" w14:textId="77777777" w:rsidR="00E94B09" w:rsidRPr="00196B5F" w:rsidRDefault="00E94B09" w:rsidP="00746312">
            <w:pPr>
              <w:spacing w:line="360" w:lineRule="auto"/>
              <w:ind w:firstLine="0"/>
              <w:rPr>
                <w:sz w:val="20"/>
                <w:szCs w:val="20"/>
              </w:rPr>
            </w:pPr>
            <m:oMathPara>
              <m:oMathParaPr>
                <m:jc m:val="left"/>
              </m:oMathParaPr>
              <m:oMath>
                <m:r>
                  <w:rPr>
                    <w:rFonts w:ascii="Cambria Math" w:hAnsi="Cambria Math"/>
                    <w:sz w:val="20"/>
                    <w:szCs w:val="20"/>
                  </w:rPr>
                  <m:t>TONE</m:t>
                </m:r>
                <m:r>
                  <m:rPr>
                    <m:sty m:val="p"/>
                  </m:rPr>
                  <w:rPr>
                    <w:rFonts w:ascii="Cambria Math" w:hAnsi="Cambria Math"/>
                    <w:sz w:val="20"/>
                    <w:szCs w:val="20"/>
                  </w:rPr>
                  <m:t>_</m:t>
                </m:r>
                <m:r>
                  <w:rPr>
                    <w:rFonts w:ascii="Cambria Math" w:hAnsi="Cambria Math"/>
                    <w:sz w:val="20"/>
                    <w:szCs w:val="20"/>
                  </w:rPr>
                  <m:t>P</m:t>
                </m:r>
              </m:oMath>
            </m:oMathPara>
          </w:p>
        </w:tc>
        <w:tc>
          <w:tcPr>
            <w:tcW w:w="7608" w:type="dxa"/>
          </w:tcPr>
          <w:p w14:paraId="799C25CC" w14:textId="40EA0929" w:rsidR="00E94B09" w:rsidRPr="00196B5F" w:rsidRDefault="00E94B09" w:rsidP="00746312">
            <w:pPr>
              <w:spacing w:line="360" w:lineRule="auto"/>
              <w:ind w:firstLine="0"/>
              <w:rPr>
                <w:sz w:val="20"/>
                <w:szCs w:val="20"/>
              </w:rPr>
            </w:pPr>
            <w:r w:rsidRPr="00196B5F">
              <w:rPr>
                <w:sz w:val="20"/>
                <w:szCs w:val="20"/>
              </w:rPr>
              <w:t>Tone over the presentation section of an earnings conference call, which is the ratio of the difference between the number</w:t>
            </w:r>
            <w:r w:rsidR="000F478A">
              <w:rPr>
                <w:sz w:val="20"/>
                <w:szCs w:val="20"/>
              </w:rPr>
              <w:t>s</w:t>
            </w:r>
            <w:r w:rsidRPr="00196B5F">
              <w:rPr>
                <w:sz w:val="20"/>
                <w:szCs w:val="20"/>
              </w:rPr>
              <w:t xml:space="preserve"> of positive and negative words</w:t>
            </w:r>
            <w:r w:rsidR="000F478A">
              <w:rPr>
                <w:sz w:val="20"/>
                <w:szCs w:val="20"/>
              </w:rPr>
              <w:t>, to</w:t>
            </w:r>
            <w:r w:rsidRPr="00196B5F">
              <w:rPr>
                <w:sz w:val="20"/>
                <w:szCs w:val="20"/>
              </w:rPr>
              <w:t xml:space="preserve"> </w:t>
            </w:r>
            <w:r w:rsidR="000F478A">
              <w:rPr>
                <w:sz w:val="20"/>
                <w:szCs w:val="20"/>
              </w:rPr>
              <w:t xml:space="preserve">the </w:t>
            </w:r>
            <w:r w:rsidRPr="00196B5F">
              <w:rPr>
                <w:sz w:val="20"/>
                <w:szCs w:val="20"/>
              </w:rPr>
              <w:t xml:space="preserve">total number of words </w:t>
            </w:r>
            <w:r w:rsidR="000F478A">
              <w:rPr>
                <w:sz w:val="20"/>
                <w:szCs w:val="20"/>
              </w:rPr>
              <w:t>in</w:t>
            </w:r>
            <w:r w:rsidR="000F478A" w:rsidRPr="00196B5F">
              <w:rPr>
                <w:sz w:val="20"/>
                <w:szCs w:val="20"/>
              </w:rPr>
              <w:t xml:space="preserve"> </w:t>
            </w:r>
            <w:r w:rsidRPr="00196B5F">
              <w:rPr>
                <w:sz w:val="20"/>
                <w:szCs w:val="20"/>
              </w:rPr>
              <w:t>the presentation section.</w:t>
            </w:r>
          </w:p>
        </w:tc>
      </w:tr>
      <w:tr w:rsidR="00E94B09" w:rsidRPr="003E49E8" w14:paraId="721B9778" w14:textId="77777777" w:rsidTr="00196B5F">
        <w:trPr>
          <w:trHeight w:val="306"/>
        </w:trPr>
        <w:tc>
          <w:tcPr>
            <w:tcW w:w="1418" w:type="dxa"/>
          </w:tcPr>
          <w:p w14:paraId="4C0D8DA4" w14:textId="77777777" w:rsidR="00E94B09" w:rsidRPr="00196B5F" w:rsidRDefault="00E94B09" w:rsidP="00746312">
            <w:pPr>
              <w:spacing w:line="360" w:lineRule="auto"/>
              <w:ind w:firstLine="0"/>
              <w:rPr>
                <w:sz w:val="20"/>
                <w:szCs w:val="20"/>
              </w:rPr>
            </w:pPr>
            <m:oMathPara>
              <m:oMathParaPr>
                <m:jc m:val="left"/>
              </m:oMathParaPr>
              <m:oMath>
                <m:r>
                  <w:rPr>
                    <w:rFonts w:ascii="Cambria Math" w:hAnsi="Cambria Math"/>
                    <w:sz w:val="20"/>
                    <w:szCs w:val="20"/>
                  </w:rPr>
                  <m:t>TONE</m:t>
                </m:r>
                <m:r>
                  <m:rPr>
                    <m:sty m:val="p"/>
                  </m:rPr>
                  <w:rPr>
                    <w:rFonts w:ascii="Cambria Math" w:hAnsi="Cambria Math"/>
                    <w:sz w:val="20"/>
                    <w:szCs w:val="20"/>
                  </w:rPr>
                  <m:t>_</m:t>
                </m:r>
                <m:r>
                  <w:rPr>
                    <w:rFonts w:ascii="Cambria Math" w:hAnsi="Cambria Math"/>
                    <w:sz w:val="20"/>
                    <w:szCs w:val="20"/>
                  </w:rPr>
                  <m:t>Q</m:t>
                </m:r>
              </m:oMath>
            </m:oMathPara>
          </w:p>
        </w:tc>
        <w:tc>
          <w:tcPr>
            <w:tcW w:w="7608" w:type="dxa"/>
          </w:tcPr>
          <w:p w14:paraId="3EFFB04F" w14:textId="2E6BC26B" w:rsidR="00E94B09" w:rsidRPr="003A6185" w:rsidRDefault="00E94B09" w:rsidP="00746312">
            <w:pPr>
              <w:pStyle w:val="TableText"/>
              <w:spacing w:line="360" w:lineRule="auto"/>
            </w:pPr>
            <w:r w:rsidRPr="00B70E79">
              <w:t xml:space="preserve">Tone </w:t>
            </w:r>
            <w:r w:rsidR="000F478A">
              <w:t>in</w:t>
            </w:r>
            <w:r w:rsidR="000F478A" w:rsidRPr="00B70E79">
              <w:t xml:space="preserve"> </w:t>
            </w:r>
            <w:r w:rsidRPr="00B70E79">
              <w:t>the Q&amp;A section of an earnings conference call, which is the ratio of the difference between the number</w:t>
            </w:r>
            <w:r w:rsidR="000F478A">
              <w:t>s</w:t>
            </w:r>
            <w:r w:rsidRPr="00B70E79">
              <w:t xml:space="preserve"> of positive words and negative words</w:t>
            </w:r>
            <w:r w:rsidR="000F478A">
              <w:t>,</w:t>
            </w:r>
            <w:r w:rsidRPr="00B70E79">
              <w:t xml:space="preserve"> </w:t>
            </w:r>
            <w:r w:rsidR="000F478A">
              <w:t>to the</w:t>
            </w:r>
            <w:r w:rsidRPr="00B70E79">
              <w:t xml:space="preserve"> total number of words during the Q&amp;A section.</w:t>
            </w:r>
          </w:p>
        </w:tc>
      </w:tr>
      <w:tr w:rsidR="00E94B09" w:rsidRPr="003E49E8" w14:paraId="60D225A1" w14:textId="77777777" w:rsidTr="00196B5F">
        <w:trPr>
          <w:trHeight w:val="306"/>
        </w:trPr>
        <w:tc>
          <w:tcPr>
            <w:tcW w:w="1418" w:type="dxa"/>
          </w:tcPr>
          <w:p w14:paraId="278ECF74" w14:textId="77777777" w:rsidR="00E94B09" w:rsidRPr="00196B5F" w:rsidRDefault="00E94B09" w:rsidP="00746312">
            <w:pPr>
              <w:spacing w:line="360" w:lineRule="auto"/>
              <w:ind w:firstLine="0"/>
              <w:rPr>
                <w:rFonts w:eastAsia="SimSun"/>
                <w:sz w:val="20"/>
                <w:szCs w:val="20"/>
              </w:rPr>
            </w:pPr>
            <m:oMathPara>
              <m:oMathParaPr>
                <m:jc m:val="left"/>
              </m:oMathParaPr>
              <m:oMath>
                <m:r>
                  <w:rPr>
                    <w:rFonts w:ascii="Cambria Math" w:hAnsi="Cambria Math"/>
                    <w:sz w:val="20"/>
                    <w:szCs w:val="20"/>
                  </w:rPr>
                  <m:t>TONE</m:t>
                </m:r>
                <m:r>
                  <m:rPr>
                    <m:sty m:val="p"/>
                  </m:rPr>
                  <w:rPr>
                    <w:rFonts w:ascii="Cambria Math" w:hAnsi="Cambria Math"/>
                    <w:sz w:val="20"/>
                    <w:szCs w:val="20"/>
                  </w:rPr>
                  <m:t>_</m:t>
                </m:r>
                <m:r>
                  <w:rPr>
                    <w:rFonts w:ascii="Cambria Math" w:hAnsi="Cambria Math"/>
                    <w:sz w:val="20"/>
                    <w:szCs w:val="20"/>
                  </w:rPr>
                  <m:t>MAN</m:t>
                </m:r>
              </m:oMath>
            </m:oMathPara>
          </w:p>
        </w:tc>
        <w:tc>
          <w:tcPr>
            <w:tcW w:w="7608" w:type="dxa"/>
          </w:tcPr>
          <w:p w14:paraId="2CB96E88" w14:textId="2F44D656" w:rsidR="00E94B09" w:rsidRPr="00196B5F" w:rsidRDefault="004A496E" w:rsidP="00746312">
            <w:pPr>
              <w:spacing w:line="360" w:lineRule="auto"/>
              <w:ind w:firstLine="0"/>
              <w:rPr>
                <w:sz w:val="20"/>
                <w:szCs w:val="20"/>
              </w:rPr>
            </w:pPr>
            <w:r>
              <w:rPr>
                <w:sz w:val="20"/>
                <w:szCs w:val="20"/>
              </w:rPr>
              <w:t>Manager t</w:t>
            </w:r>
            <w:r w:rsidR="00E94B09" w:rsidRPr="00196B5F">
              <w:rPr>
                <w:sz w:val="20"/>
                <w:szCs w:val="20"/>
              </w:rPr>
              <w:t>one during an earnings conference call, which is the ratio of the difference between the number</w:t>
            </w:r>
            <w:r w:rsidR="000F478A">
              <w:rPr>
                <w:sz w:val="20"/>
                <w:szCs w:val="20"/>
              </w:rPr>
              <w:t>s</w:t>
            </w:r>
            <w:r w:rsidR="00E94B09" w:rsidRPr="00196B5F">
              <w:rPr>
                <w:sz w:val="20"/>
                <w:szCs w:val="20"/>
              </w:rPr>
              <w:t xml:space="preserve"> of positive and negative words</w:t>
            </w:r>
            <w:r w:rsidR="000F478A">
              <w:rPr>
                <w:sz w:val="20"/>
                <w:szCs w:val="20"/>
              </w:rPr>
              <w:t>,</w:t>
            </w:r>
            <w:r w:rsidR="00E94B09" w:rsidRPr="00196B5F">
              <w:rPr>
                <w:sz w:val="20"/>
                <w:szCs w:val="20"/>
              </w:rPr>
              <w:t xml:space="preserve"> to </w:t>
            </w:r>
            <w:r w:rsidR="000F478A">
              <w:rPr>
                <w:sz w:val="20"/>
                <w:szCs w:val="20"/>
              </w:rPr>
              <w:t xml:space="preserve">the </w:t>
            </w:r>
            <w:r w:rsidR="00E94B09" w:rsidRPr="00196B5F">
              <w:rPr>
                <w:sz w:val="20"/>
                <w:szCs w:val="20"/>
              </w:rPr>
              <w:t>total number of words spoken by managers during a call.</w:t>
            </w:r>
          </w:p>
        </w:tc>
      </w:tr>
      <w:tr w:rsidR="00E94B09" w:rsidRPr="003E49E8" w14:paraId="7C79DA8C" w14:textId="77777777" w:rsidTr="00196B5F">
        <w:trPr>
          <w:trHeight w:val="306"/>
        </w:trPr>
        <w:tc>
          <w:tcPr>
            <w:tcW w:w="1418" w:type="dxa"/>
          </w:tcPr>
          <w:p w14:paraId="78FA839A" w14:textId="77777777" w:rsidR="00E94B09" w:rsidRPr="00196B5F" w:rsidRDefault="00E94B09" w:rsidP="00746312">
            <w:pPr>
              <w:spacing w:line="360" w:lineRule="auto"/>
              <w:ind w:firstLine="0"/>
              <w:rPr>
                <w:rFonts w:eastAsia="SimSun"/>
                <w:sz w:val="20"/>
                <w:szCs w:val="20"/>
              </w:rPr>
            </w:pPr>
            <m:oMathPara>
              <m:oMathParaPr>
                <m:jc m:val="left"/>
              </m:oMathParaPr>
              <m:oMath>
                <m:r>
                  <w:rPr>
                    <w:rFonts w:ascii="Cambria Math" w:hAnsi="Cambria Math"/>
                    <w:sz w:val="20"/>
                    <w:szCs w:val="20"/>
                  </w:rPr>
                  <m:t>TONE</m:t>
                </m:r>
                <m:r>
                  <m:rPr>
                    <m:sty m:val="p"/>
                  </m:rPr>
                  <w:rPr>
                    <w:rFonts w:ascii="Cambria Math" w:hAnsi="Cambria Math"/>
                    <w:sz w:val="20"/>
                    <w:szCs w:val="20"/>
                  </w:rPr>
                  <m:t>_</m:t>
                </m:r>
                <m:r>
                  <w:rPr>
                    <w:rFonts w:ascii="Cambria Math" w:hAnsi="Cambria Math"/>
                    <w:sz w:val="20"/>
                    <w:szCs w:val="20"/>
                  </w:rPr>
                  <m:t>PAR</m:t>
                </m:r>
              </m:oMath>
            </m:oMathPara>
          </w:p>
        </w:tc>
        <w:tc>
          <w:tcPr>
            <w:tcW w:w="7608" w:type="dxa"/>
          </w:tcPr>
          <w:p w14:paraId="3D979D49" w14:textId="1C95B219" w:rsidR="00E94B09" w:rsidRPr="00196B5F" w:rsidRDefault="000F478A" w:rsidP="00746312">
            <w:pPr>
              <w:spacing w:line="360" w:lineRule="auto"/>
              <w:ind w:firstLine="0"/>
              <w:rPr>
                <w:sz w:val="20"/>
                <w:szCs w:val="20"/>
              </w:rPr>
            </w:pPr>
            <w:r w:rsidRPr="00DD54F6">
              <w:rPr>
                <w:sz w:val="20"/>
                <w:szCs w:val="20"/>
              </w:rPr>
              <w:t xml:space="preserve">Participant </w:t>
            </w:r>
            <w:r>
              <w:rPr>
                <w:sz w:val="20"/>
                <w:szCs w:val="20"/>
              </w:rPr>
              <w:t>t</w:t>
            </w:r>
            <w:r w:rsidRPr="00196B5F">
              <w:rPr>
                <w:sz w:val="20"/>
                <w:szCs w:val="20"/>
              </w:rPr>
              <w:t xml:space="preserve">one </w:t>
            </w:r>
            <w:r w:rsidR="00E94B09" w:rsidRPr="00196B5F">
              <w:rPr>
                <w:sz w:val="20"/>
                <w:szCs w:val="20"/>
              </w:rPr>
              <w:t>during an earnings conference call, which is the ratio of the difference between the number</w:t>
            </w:r>
            <w:r>
              <w:rPr>
                <w:sz w:val="20"/>
                <w:szCs w:val="20"/>
              </w:rPr>
              <w:t>s</w:t>
            </w:r>
            <w:r w:rsidR="00E94B09" w:rsidRPr="00196B5F">
              <w:rPr>
                <w:sz w:val="20"/>
                <w:szCs w:val="20"/>
              </w:rPr>
              <w:t xml:space="preserve"> of positive and negative words</w:t>
            </w:r>
            <w:r>
              <w:rPr>
                <w:sz w:val="20"/>
                <w:szCs w:val="20"/>
              </w:rPr>
              <w:t>,</w:t>
            </w:r>
            <w:r w:rsidR="00E94B09" w:rsidRPr="00196B5F">
              <w:rPr>
                <w:sz w:val="20"/>
                <w:szCs w:val="20"/>
              </w:rPr>
              <w:t xml:space="preserve"> to</w:t>
            </w:r>
            <w:r>
              <w:rPr>
                <w:sz w:val="20"/>
                <w:szCs w:val="20"/>
              </w:rPr>
              <w:t xml:space="preserve"> the</w:t>
            </w:r>
            <w:r w:rsidR="00E94B09" w:rsidRPr="00196B5F">
              <w:rPr>
                <w:sz w:val="20"/>
                <w:szCs w:val="20"/>
              </w:rPr>
              <w:t xml:space="preserve"> total number of words spoken by participants during a call.</w:t>
            </w:r>
          </w:p>
        </w:tc>
      </w:tr>
      <w:tr w:rsidR="00E94B09" w:rsidRPr="003E49E8" w14:paraId="33260F9B" w14:textId="77777777" w:rsidTr="00196B5F">
        <w:trPr>
          <w:trHeight w:val="306"/>
        </w:trPr>
        <w:tc>
          <w:tcPr>
            <w:tcW w:w="1418" w:type="dxa"/>
            <w:tcBorders>
              <w:bottom w:val="single" w:sz="4" w:space="0" w:color="auto"/>
            </w:tcBorders>
          </w:tcPr>
          <w:p w14:paraId="69C235AD" w14:textId="77777777" w:rsidR="00E94B09" w:rsidRPr="00196B5F" w:rsidRDefault="00E94B09" w:rsidP="00746312">
            <w:pPr>
              <w:spacing w:line="360" w:lineRule="auto"/>
              <w:ind w:firstLine="0"/>
              <w:rPr>
                <w:sz w:val="20"/>
                <w:szCs w:val="20"/>
              </w:rPr>
            </w:pPr>
            <m:oMathPara>
              <m:oMathParaPr>
                <m:jc m:val="left"/>
              </m:oMathParaPr>
              <m:oMath>
                <m:r>
                  <w:rPr>
                    <w:rFonts w:ascii="Cambria Math" w:hAnsi="Cambria Math"/>
                    <w:sz w:val="20"/>
                    <w:szCs w:val="20"/>
                  </w:rPr>
                  <m:t>RE</m:t>
                </m:r>
                <m:r>
                  <m:rPr>
                    <m:sty m:val="p"/>
                  </m:rPr>
                  <w:rPr>
                    <w:rFonts w:ascii="Cambria Math" w:hAnsi="Cambria Math"/>
                    <w:sz w:val="20"/>
                    <w:szCs w:val="20"/>
                  </w:rPr>
                  <m:t>_</m:t>
                </m:r>
                <m:r>
                  <w:rPr>
                    <w:rFonts w:ascii="Cambria Math" w:hAnsi="Cambria Math"/>
                    <w:sz w:val="20"/>
                    <w:szCs w:val="20"/>
                  </w:rPr>
                  <m:t>TONE</m:t>
                </m:r>
                <m:r>
                  <m:rPr>
                    <m:sty m:val="p"/>
                  </m:rPr>
                  <w:rPr>
                    <w:rFonts w:ascii="Cambria Math" w:hAnsi="Cambria Math"/>
                    <w:sz w:val="20"/>
                    <w:szCs w:val="20"/>
                  </w:rPr>
                  <m:t>_</m:t>
                </m:r>
                <m:r>
                  <w:rPr>
                    <w:rFonts w:ascii="Cambria Math" w:hAnsi="Cambria Math"/>
                    <w:sz w:val="20"/>
                    <w:szCs w:val="20"/>
                  </w:rPr>
                  <m:t>C</m:t>
                </m:r>
              </m:oMath>
            </m:oMathPara>
          </w:p>
        </w:tc>
        <w:tc>
          <w:tcPr>
            <w:tcW w:w="7608" w:type="dxa"/>
            <w:tcBorders>
              <w:bottom w:val="single" w:sz="4" w:space="0" w:color="auto"/>
            </w:tcBorders>
          </w:tcPr>
          <w:p w14:paraId="5A9221C3" w14:textId="5FD5425A" w:rsidR="00E94B09" w:rsidRPr="00196B5F" w:rsidRDefault="00E94B09" w:rsidP="00746312">
            <w:pPr>
              <w:spacing w:line="360" w:lineRule="auto"/>
              <w:ind w:firstLine="0"/>
              <w:rPr>
                <w:sz w:val="20"/>
                <w:szCs w:val="20"/>
              </w:rPr>
            </w:pPr>
            <w:r w:rsidRPr="00196B5F">
              <w:rPr>
                <w:sz w:val="20"/>
                <w:szCs w:val="20"/>
              </w:rPr>
              <w:t>The residual term of a cross-sectional regression of tone on</w:t>
            </w:r>
            <w:r w:rsidR="000F478A">
              <w:rPr>
                <w:sz w:val="20"/>
                <w:szCs w:val="20"/>
              </w:rPr>
              <w:t xml:space="preserve"> the</w:t>
            </w:r>
            <w:r w:rsidRPr="00196B5F">
              <w:rPr>
                <w:sz w:val="20"/>
                <w:szCs w:val="20"/>
              </w:rPr>
              <w:t xml:space="preserve"> firm</w:t>
            </w:r>
            <w:r w:rsidR="000F478A">
              <w:rPr>
                <w:sz w:val="20"/>
                <w:szCs w:val="20"/>
              </w:rPr>
              <w:t>’s</w:t>
            </w:r>
            <w:r w:rsidRPr="00196B5F">
              <w:rPr>
                <w:sz w:val="20"/>
                <w:szCs w:val="20"/>
              </w:rPr>
              <w:t xml:space="preserve"> current year performance and fundamentals.</w:t>
            </w:r>
            <w:r w:rsidRPr="00196B5F">
              <w:rPr>
                <w:sz w:val="20"/>
                <w:szCs w:val="20"/>
                <w:lang w:eastAsia="zh-CN"/>
              </w:rPr>
              <w:t xml:space="preserve"> </w:t>
            </w:r>
          </w:p>
        </w:tc>
      </w:tr>
    </w:tbl>
    <w:p w14:paraId="213FDCD2" w14:textId="77777777" w:rsidR="00F37940" w:rsidRDefault="00F37940">
      <w:r>
        <w:br w:type="page"/>
      </w:r>
    </w:p>
    <w:p w14:paraId="2A071A77" w14:textId="1A29481F" w:rsidR="00F37940" w:rsidRPr="00F37C2B" w:rsidRDefault="00F37940" w:rsidP="00196B5F">
      <w:pPr>
        <w:pStyle w:val="Heading1"/>
      </w:pPr>
      <w:r w:rsidRPr="00F37C2B">
        <w:lastRenderedPageBreak/>
        <w:t xml:space="preserve">Appendix </w:t>
      </w:r>
      <w:r w:rsidR="00D71FDC" w:rsidRPr="00F37C2B">
        <w:t>2</w:t>
      </w:r>
      <w:r w:rsidRPr="00F37C2B">
        <w:t>. Top 30 Negative and Positive Wo</w:t>
      </w:r>
      <w:r w:rsidRPr="00F37C2B">
        <w:rPr>
          <w:lang w:eastAsia="zh-CN"/>
        </w:rPr>
        <w:t>rds</w:t>
      </w:r>
      <w:r w:rsidRPr="00F37C2B">
        <w:t xml:space="preserve"> </w:t>
      </w:r>
      <w:r w:rsidR="004A496E">
        <w:t>in</w:t>
      </w:r>
      <w:r w:rsidR="004A496E" w:rsidRPr="00F37C2B">
        <w:t xml:space="preserve"> </w:t>
      </w:r>
      <w:r w:rsidRPr="00F37C2B">
        <w:t>Conference Calls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7"/>
        <w:gridCol w:w="1993"/>
        <w:gridCol w:w="1761"/>
        <w:gridCol w:w="1823"/>
        <w:gridCol w:w="1762"/>
      </w:tblGrid>
      <w:tr w:rsidR="00F37940" w:rsidRPr="00A61CBC" w14:paraId="73CFBADD" w14:textId="77777777" w:rsidTr="00661127">
        <w:tc>
          <w:tcPr>
            <w:tcW w:w="1741" w:type="dxa"/>
            <w:tcBorders>
              <w:top w:val="single" w:sz="4" w:space="0" w:color="auto"/>
              <w:bottom w:val="single" w:sz="4" w:space="0" w:color="auto"/>
            </w:tcBorders>
            <w:vAlign w:val="center"/>
          </w:tcPr>
          <w:p w14:paraId="6D8F0737" w14:textId="77777777" w:rsidR="00F37940" w:rsidRPr="00A61CBC" w:rsidRDefault="00F37940" w:rsidP="00196B5F">
            <w:pPr>
              <w:pStyle w:val="TableText"/>
            </w:pPr>
          </w:p>
        </w:tc>
        <w:tc>
          <w:tcPr>
            <w:tcW w:w="3843" w:type="dxa"/>
            <w:gridSpan w:val="2"/>
            <w:tcBorders>
              <w:top w:val="single" w:sz="4" w:space="0" w:color="auto"/>
              <w:bottom w:val="single" w:sz="4" w:space="0" w:color="auto"/>
            </w:tcBorders>
            <w:vAlign w:val="center"/>
          </w:tcPr>
          <w:p w14:paraId="2314CDD5" w14:textId="77777777" w:rsidR="00F37940" w:rsidRPr="00196B5F" w:rsidRDefault="00F37940" w:rsidP="00196B5F">
            <w:pPr>
              <w:pStyle w:val="TableText"/>
              <w:jc w:val="center"/>
              <w:rPr>
                <w:b/>
                <w:bCs/>
              </w:rPr>
            </w:pPr>
            <w:r w:rsidRPr="00196B5F">
              <w:rPr>
                <w:b/>
                <w:bCs/>
              </w:rPr>
              <w:t>Negative</w:t>
            </w:r>
          </w:p>
        </w:tc>
        <w:tc>
          <w:tcPr>
            <w:tcW w:w="3658" w:type="dxa"/>
            <w:gridSpan w:val="2"/>
            <w:tcBorders>
              <w:top w:val="single" w:sz="4" w:space="0" w:color="auto"/>
              <w:bottom w:val="single" w:sz="4" w:space="0" w:color="auto"/>
            </w:tcBorders>
            <w:vAlign w:val="center"/>
          </w:tcPr>
          <w:p w14:paraId="702919CD" w14:textId="77777777" w:rsidR="00F37940" w:rsidRPr="00196B5F" w:rsidRDefault="00F37940" w:rsidP="00196B5F">
            <w:pPr>
              <w:pStyle w:val="TableText"/>
              <w:jc w:val="center"/>
              <w:rPr>
                <w:b/>
                <w:bCs/>
              </w:rPr>
            </w:pPr>
            <w:r w:rsidRPr="00196B5F">
              <w:rPr>
                <w:b/>
                <w:bCs/>
              </w:rPr>
              <w:t>Positive</w:t>
            </w:r>
          </w:p>
        </w:tc>
      </w:tr>
      <w:tr w:rsidR="00F37940" w:rsidRPr="00A61CBC" w14:paraId="20D51B40" w14:textId="77777777" w:rsidTr="00661127">
        <w:tc>
          <w:tcPr>
            <w:tcW w:w="1741" w:type="dxa"/>
            <w:tcBorders>
              <w:top w:val="single" w:sz="4" w:space="0" w:color="auto"/>
              <w:bottom w:val="single" w:sz="4" w:space="0" w:color="auto"/>
            </w:tcBorders>
            <w:vAlign w:val="center"/>
          </w:tcPr>
          <w:p w14:paraId="0340B7FC" w14:textId="77777777" w:rsidR="00F37940" w:rsidRPr="00196B5F" w:rsidRDefault="00F37940" w:rsidP="00196B5F">
            <w:pPr>
              <w:pStyle w:val="TableText"/>
              <w:rPr>
                <w:i/>
                <w:iCs/>
              </w:rPr>
            </w:pPr>
            <w:r w:rsidRPr="00196B5F">
              <w:rPr>
                <w:i/>
                <w:iCs/>
              </w:rPr>
              <w:t>Ranking</w:t>
            </w:r>
          </w:p>
        </w:tc>
        <w:tc>
          <w:tcPr>
            <w:tcW w:w="2039" w:type="dxa"/>
            <w:tcBorders>
              <w:top w:val="single" w:sz="4" w:space="0" w:color="auto"/>
              <w:bottom w:val="single" w:sz="4" w:space="0" w:color="auto"/>
            </w:tcBorders>
            <w:vAlign w:val="center"/>
          </w:tcPr>
          <w:p w14:paraId="64DEF039" w14:textId="77777777" w:rsidR="00F37940" w:rsidRPr="00196B5F" w:rsidRDefault="00F37940" w:rsidP="00196B5F">
            <w:pPr>
              <w:pStyle w:val="TableText"/>
              <w:rPr>
                <w:i/>
                <w:iCs/>
              </w:rPr>
            </w:pPr>
            <w:r w:rsidRPr="00196B5F">
              <w:rPr>
                <w:i/>
                <w:iCs/>
              </w:rPr>
              <w:t>Word</w:t>
            </w:r>
          </w:p>
        </w:tc>
        <w:tc>
          <w:tcPr>
            <w:tcW w:w="1804" w:type="dxa"/>
            <w:tcBorders>
              <w:top w:val="single" w:sz="4" w:space="0" w:color="auto"/>
              <w:bottom w:val="single" w:sz="4" w:space="0" w:color="auto"/>
            </w:tcBorders>
            <w:vAlign w:val="center"/>
          </w:tcPr>
          <w:p w14:paraId="57B2A4F5" w14:textId="77777777" w:rsidR="00F37940" w:rsidRPr="00196B5F" w:rsidRDefault="00F37940" w:rsidP="00196B5F">
            <w:pPr>
              <w:pStyle w:val="TableText"/>
              <w:rPr>
                <w:i/>
                <w:iCs/>
              </w:rPr>
            </w:pPr>
            <w:r w:rsidRPr="00196B5F">
              <w:rPr>
                <w:i/>
                <w:iCs/>
              </w:rPr>
              <w:t>Percentage</w:t>
            </w:r>
          </w:p>
        </w:tc>
        <w:tc>
          <w:tcPr>
            <w:tcW w:w="1853" w:type="dxa"/>
            <w:tcBorders>
              <w:top w:val="single" w:sz="4" w:space="0" w:color="auto"/>
              <w:bottom w:val="single" w:sz="4" w:space="0" w:color="auto"/>
            </w:tcBorders>
            <w:vAlign w:val="center"/>
          </w:tcPr>
          <w:p w14:paraId="7B6F2B35" w14:textId="77777777" w:rsidR="00F37940" w:rsidRPr="00196B5F" w:rsidRDefault="00F37940" w:rsidP="00196B5F">
            <w:pPr>
              <w:pStyle w:val="TableText"/>
              <w:rPr>
                <w:i/>
                <w:iCs/>
              </w:rPr>
            </w:pPr>
            <w:r w:rsidRPr="00196B5F">
              <w:rPr>
                <w:i/>
                <w:iCs/>
              </w:rPr>
              <w:t>Word</w:t>
            </w:r>
          </w:p>
        </w:tc>
        <w:tc>
          <w:tcPr>
            <w:tcW w:w="1805" w:type="dxa"/>
            <w:tcBorders>
              <w:top w:val="single" w:sz="4" w:space="0" w:color="auto"/>
              <w:bottom w:val="single" w:sz="4" w:space="0" w:color="auto"/>
            </w:tcBorders>
            <w:vAlign w:val="center"/>
          </w:tcPr>
          <w:p w14:paraId="72D99925" w14:textId="77777777" w:rsidR="00F37940" w:rsidRPr="00196B5F" w:rsidRDefault="00F37940" w:rsidP="00196B5F">
            <w:pPr>
              <w:pStyle w:val="TableText"/>
              <w:rPr>
                <w:i/>
                <w:iCs/>
              </w:rPr>
            </w:pPr>
            <w:r w:rsidRPr="00196B5F">
              <w:rPr>
                <w:i/>
                <w:iCs/>
              </w:rPr>
              <w:t>Percentage</w:t>
            </w:r>
          </w:p>
        </w:tc>
      </w:tr>
      <w:tr w:rsidR="00F37940" w:rsidRPr="00A61CBC" w14:paraId="27728025" w14:textId="77777777" w:rsidTr="00661127">
        <w:tc>
          <w:tcPr>
            <w:tcW w:w="1741" w:type="dxa"/>
            <w:tcBorders>
              <w:top w:val="single" w:sz="4" w:space="0" w:color="auto"/>
            </w:tcBorders>
            <w:vAlign w:val="center"/>
          </w:tcPr>
          <w:p w14:paraId="2A833500" w14:textId="77777777" w:rsidR="00F37940" w:rsidRPr="00A61CBC" w:rsidRDefault="00F37940" w:rsidP="00196B5F">
            <w:pPr>
              <w:pStyle w:val="TableText"/>
            </w:pPr>
            <w:r w:rsidRPr="00A61CBC">
              <w:t>1</w:t>
            </w:r>
          </w:p>
        </w:tc>
        <w:tc>
          <w:tcPr>
            <w:tcW w:w="2039" w:type="dxa"/>
            <w:tcBorders>
              <w:top w:val="single" w:sz="4" w:space="0" w:color="auto"/>
            </w:tcBorders>
            <w:vAlign w:val="center"/>
          </w:tcPr>
          <w:p w14:paraId="0695172C" w14:textId="77777777" w:rsidR="00F37940" w:rsidRPr="00A61CBC" w:rsidRDefault="00F37940" w:rsidP="00196B5F">
            <w:pPr>
              <w:pStyle w:val="TableText"/>
              <w:rPr>
                <w:b/>
              </w:rPr>
            </w:pPr>
            <w:r w:rsidRPr="00A61CBC">
              <w:t>Question</w:t>
            </w:r>
          </w:p>
        </w:tc>
        <w:tc>
          <w:tcPr>
            <w:tcW w:w="1804" w:type="dxa"/>
            <w:tcBorders>
              <w:top w:val="single" w:sz="4" w:space="0" w:color="auto"/>
            </w:tcBorders>
            <w:vAlign w:val="center"/>
          </w:tcPr>
          <w:p w14:paraId="20A6A21E" w14:textId="77777777" w:rsidR="00F37940" w:rsidRPr="00A61CBC" w:rsidRDefault="00F37940" w:rsidP="00196B5F">
            <w:pPr>
              <w:pStyle w:val="TableText"/>
              <w:rPr>
                <w:b/>
              </w:rPr>
            </w:pPr>
            <w:r w:rsidRPr="00A61CBC">
              <w:t>18.17</w:t>
            </w:r>
          </w:p>
        </w:tc>
        <w:tc>
          <w:tcPr>
            <w:tcW w:w="1853" w:type="dxa"/>
            <w:tcBorders>
              <w:top w:val="single" w:sz="4" w:space="0" w:color="auto"/>
            </w:tcBorders>
            <w:vAlign w:val="center"/>
          </w:tcPr>
          <w:p w14:paraId="33A6160A" w14:textId="77777777" w:rsidR="00F37940" w:rsidRPr="00A61CBC" w:rsidRDefault="00F37940" w:rsidP="00196B5F">
            <w:pPr>
              <w:pStyle w:val="TableText"/>
              <w:rPr>
                <w:b/>
              </w:rPr>
            </w:pPr>
            <w:r w:rsidRPr="00A61CBC">
              <w:t>Good</w:t>
            </w:r>
          </w:p>
        </w:tc>
        <w:tc>
          <w:tcPr>
            <w:tcW w:w="1805" w:type="dxa"/>
            <w:tcBorders>
              <w:top w:val="single" w:sz="4" w:space="0" w:color="auto"/>
            </w:tcBorders>
            <w:vAlign w:val="center"/>
          </w:tcPr>
          <w:p w14:paraId="05A85FDE" w14:textId="77777777" w:rsidR="00F37940" w:rsidRPr="00A61CBC" w:rsidRDefault="00F37940" w:rsidP="00196B5F">
            <w:pPr>
              <w:pStyle w:val="TableText"/>
              <w:rPr>
                <w:b/>
              </w:rPr>
            </w:pPr>
            <w:r w:rsidRPr="00A61CBC">
              <w:t>11.95</w:t>
            </w:r>
          </w:p>
        </w:tc>
      </w:tr>
      <w:tr w:rsidR="00F37940" w:rsidRPr="00A61CBC" w14:paraId="381958B8" w14:textId="77777777" w:rsidTr="00661127">
        <w:tc>
          <w:tcPr>
            <w:tcW w:w="1741" w:type="dxa"/>
            <w:vAlign w:val="center"/>
          </w:tcPr>
          <w:p w14:paraId="6EAAE3A1" w14:textId="77777777" w:rsidR="00F37940" w:rsidRPr="00A61CBC" w:rsidRDefault="00F37940" w:rsidP="00196B5F">
            <w:pPr>
              <w:pStyle w:val="TableText"/>
            </w:pPr>
            <w:r w:rsidRPr="00A61CBC">
              <w:t>2</w:t>
            </w:r>
          </w:p>
        </w:tc>
        <w:tc>
          <w:tcPr>
            <w:tcW w:w="2039" w:type="dxa"/>
            <w:vAlign w:val="center"/>
          </w:tcPr>
          <w:p w14:paraId="2CEB8FAD" w14:textId="77777777" w:rsidR="00F37940" w:rsidRPr="00A61CBC" w:rsidRDefault="00F37940" w:rsidP="00196B5F">
            <w:pPr>
              <w:pStyle w:val="TableText"/>
              <w:rPr>
                <w:b/>
              </w:rPr>
            </w:pPr>
            <w:r w:rsidRPr="00A61CBC">
              <w:t>Questions</w:t>
            </w:r>
          </w:p>
        </w:tc>
        <w:tc>
          <w:tcPr>
            <w:tcW w:w="1804" w:type="dxa"/>
            <w:vAlign w:val="center"/>
          </w:tcPr>
          <w:p w14:paraId="63F3A0CF" w14:textId="77777777" w:rsidR="00F37940" w:rsidRPr="00A61CBC" w:rsidRDefault="00F37940" w:rsidP="00196B5F">
            <w:pPr>
              <w:pStyle w:val="TableText"/>
              <w:rPr>
                <w:b/>
              </w:rPr>
            </w:pPr>
            <w:r w:rsidRPr="00A61CBC">
              <w:t>7.58</w:t>
            </w:r>
          </w:p>
        </w:tc>
        <w:tc>
          <w:tcPr>
            <w:tcW w:w="1853" w:type="dxa"/>
            <w:vAlign w:val="center"/>
          </w:tcPr>
          <w:p w14:paraId="146D118C" w14:textId="77777777" w:rsidR="00F37940" w:rsidRPr="00A61CBC" w:rsidRDefault="00F37940" w:rsidP="00196B5F">
            <w:pPr>
              <w:pStyle w:val="TableText"/>
              <w:rPr>
                <w:b/>
              </w:rPr>
            </w:pPr>
            <w:r w:rsidRPr="00A61CBC">
              <w:t>Strong</w:t>
            </w:r>
          </w:p>
        </w:tc>
        <w:tc>
          <w:tcPr>
            <w:tcW w:w="1805" w:type="dxa"/>
            <w:vAlign w:val="center"/>
          </w:tcPr>
          <w:p w14:paraId="3746F45D" w14:textId="77777777" w:rsidR="00F37940" w:rsidRPr="00A61CBC" w:rsidRDefault="00F37940" w:rsidP="00196B5F">
            <w:pPr>
              <w:pStyle w:val="TableText"/>
              <w:rPr>
                <w:b/>
              </w:rPr>
            </w:pPr>
            <w:r w:rsidRPr="00A61CBC">
              <w:t>6.56</w:t>
            </w:r>
          </w:p>
        </w:tc>
      </w:tr>
      <w:tr w:rsidR="00F37940" w:rsidRPr="00A61CBC" w14:paraId="1FE351DB" w14:textId="77777777" w:rsidTr="00661127">
        <w:tc>
          <w:tcPr>
            <w:tcW w:w="1741" w:type="dxa"/>
            <w:vAlign w:val="center"/>
          </w:tcPr>
          <w:p w14:paraId="3F6D68E1" w14:textId="77777777" w:rsidR="00F37940" w:rsidRPr="00A61CBC" w:rsidRDefault="00F37940" w:rsidP="00196B5F">
            <w:pPr>
              <w:pStyle w:val="TableText"/>
            </w:pPr>
            <w:r w:rsidRPr="00A61CBC">
              <w:t>3</w:t>
            </w:r>
          </w:p>
        </w:tc>
        <w:tc>
          <w:tcPr>
            <w:tcW w:w="2039" w:type="dxa"/>
            <w:vAlign w:val="center"/>
          </w:tcPr>
          <w:p w14:paraId="635D5801" w14:textId="77777777" w:rsidR="00F37940" w:rsidRPr="00A61CBC" w:rsidRDefault="00F37940" w:rsidP="00196B5F">
            <w:pPr>
              <w:pStyle w:val="TableText"/>
              <w:rPr>
                <w:b/>
              </w:rPr>
            </w:pPr>
            <w:r w:rsidRPr="00A61CBC">
              <w:t>Decline</w:t>
            </w:r>
          </w:p>
        </w:tc>
        <w:tc>
          <w:tcPr>
            <w:tcW w:w="1804" w:type="dxa"/>
            <w:vAlign w:val="center"/>
          </w:tcPr>
          <w:p w14:paraId="0F05F728" w14:textId="77777777" w:rsidR="00F37940" w:rsidRPr="00A61CBC" w:rsidRDefault="00F37940" w:rsidP="00196B5F">
            <w:pPr>
              <w:pStyle w:val="TableText"/>
              <w:rPr>
                <w:b/>
              </w:rPr>
            </w:pPr>
            <w:r w:rsidRPr="00A61CBC">
              <w:t>3.63</w:t>
            </w:r>
          </w:p>
        </w:tc>
        <w:tc>
          <w:tcPr>
            <w:tcW w:w="1853" w:type="dxa"/>
            <w:vAlign w:val="center"/>
          </w:tcPr>
          <w:p w14:paraId="72E7765F" w14:textId="77777777" w:rsidR="00F37940" w:rsidRPr="00A61CBC" w:rsidRDefault="00F37940" w:rsidP="00196B5F">
            <w:pPr>
              <w:pStyle w:val="TableText"/>
              <w:rPr>
                <w:b/>
              </w:rPr>
            </w:pPr>
            <w:r w:rsidRPr="00A61CBC">
              <w:t>Great</w:t>
            </w:r>
          </w:p>
        </w:tc>
        <w:tc>
          <w:tcPr>
            <w:tcW w:w="1805" w:type="dxa"/>
            <w:vAlign w:val="center"/>
          </w:tcPr>
          <w:p w14:paraId="34B5073C" w14:textId="77777777" w:rsidR="00F37940" w:rsidRPr="00A61CBC" w:rsidRDefault="00F37940" w:rsidP="00196B5F">
            <w:pPr>
              <w:pStyle w:val="TableText"/>
              <w:rPr>
                <w:b/>
              </w:rPr>
            </w:pPr>
            <w:r w:rsidRPr="00A61CBC">
              <w:t>5.88</w:t>
            </w:r>
          </w:p>
        </w:tc>
      </w:tr>
      <w:tr w:rsidR="00F37940" w:rsidRPr="00A61CBC" w14:paraId="7CFF47C4" w14:textId="77777777" w:rsidTr="00661127">
        <w:tc>
          <w:tcPr>
            <w:tcW w:w="1741" w:type="dxa"/>
            <w:vAlign w:val="center"/>
          </w:tcPr>
          <w:p w14:paraId="6EC7F5DA" w14:textId="77777777" w:rsidR="00F37940" w:rsidRPr="00A61CBC" w:rsidRDefault="00F37940" w:rsidP="00196B5F">
            <w:pPr>
              <w:pStyle w:val="TableText"/>
            </w:pPr>
            <w:r w:rsidRPr="00A61CBC">
              <w:t>4</w:t>
            </w:r>
          </w:p>
        </w:tc>
        <w:tc>
          <w:tcPr>
            <w:tcW w:w="2039" w:type="dxa"/>
            <w:vAlign w:val="center"/>
          </w:tcPr>
          <w:p w14:paraId="082FAE59" w14:textId="77777777" w:rsidR="00F37940" w:rsidRPr="00A61CBC" w:rsidRDefault="00F37940" w:rsidP="00196B5F">
            <w:pPr>
              <w:pStyle w:val="TableText"/>
              <w:rPr>
                <w:b/>
              </w:rPr>
            </w:pPr>
            <w:r w:rsidRPr="00A61CBC">
              <w:t>Loss</w:t>
            </w:r>
          </w:p>
        </w:tc>
        <w:tc>
          <w:tcPr>
            <w:tcW w:w="1804" w:type="dxa"/>
            <w:vAlign w:val="center"/>
          </w:tcPr>
          <w:p w14:paraId="28405371" w14:textId="77777777" w:rsidR="00F37940" w:rsidRPr="00A61CBC" w:rsidRDefault="00F37940" w:rsidP="00196B5F">
            <w:pPr>
              <w:pStyle w:val="TableText"/>
              <w:rPr>
                <w:b/>
              </w:rPr>
            </w:pPr>
            <w:r w:rsidRPr="00A61CBC">
              <w:t>3.14</w:t>
            </w:r>
          </w:p>
        </w:tc>
        <w:tc>
          <w:tcPr>
            <w:tcW w:w="1853" w:type="dxa"/>
            <w:vAlign w:val="center"/>
          </w:tcPr>
          <w:p w14:paraId="46CDD7FD" w14:textId="77777777" w:rsidR="00F37940" w:rsidRPr="00A61CBC" w:rsidRDefault="00F37940" w:rsidP="00196B5F">
            <w:pPr>
              <w:pStyle w:val="TableText"/>
              <w:rPr>
                <w:b/>
              </w:rPr>
            </w:pPr>
            <w:r w:rsidRPr="00A61CBC">
              <w:t>Better</w:t>
            </w:r>
          </w:p>
        </w:tc>
        <w:tc>
          <w:tcPr>
            <w:tcW w:w="1805" w:type="dxa"/>
            <w:vAlign w:val="center"/>
          </w:tcPr>
          <w:p w14:paraId="61E3D8C1" w14:textId="77777777" w:rsidR="00F37940" w:rsidRPr="00A61CBC" w:rsidRDefault="00F37940" w:rsidP="00196B5F">
            <w:pPr>
              <w:pStyle w:val="TableText"/>
              <w:rPr>
                <w:b/>
              </w:rPr>
            </w:pPr>
            <w:r w:rsidRPr="00A61CBC">
              <w:t>3.99</w:t>
            </w:r>
          </w:p>
        </w:tc>
      </w:tr>
      <w:tr w:rsidR="00F37940" w:rsidRPr="00A61CBC" w14:paraId="651980AD" w14:textId="77777777" w:rsidTr="00661127">
        <w:tc>
          <w:tcPr>
            <w:tcW w:w="1741" w:type="dxa"/>
            <w:vAlign w:val="center"/>
          </w:tcPr>
          <w:p w14:paraId="68711A5E" w14:textId="77777777" w:rsidR="00F37940" w:rsidRPr="00A61CBC" w:rsidRDefault="00F37940" w:rsidP="00196B5F">
            <w:pPr>
              <w:pStyle w:val="TableText"/>
            </w:pPr>
            <w:r w:rsidRPr="00A61CBC">
              <w:t>5</w:t>
            </w:r>
          </w:p>
        </w:tc>
        <w:tc>
          <w:tcPr>
            <w:tcW w:w="2039" w:type="dxa"/>
            <w:vAlign w:val="center"/>
          </w:tcPr>
          <w:p w14:paraId="560D8534" w14:textId="77777777" w:rsidR="00F37940" w:rsidRPr="00A61CBC" w:rsidRDefault="00F37940" w:rsidP="00196B5F">
            <w:pPr>
              <w:pStyle w:val="TableText"/>
              <w:rPr>
                <w:b/>
              </w:rPr>
            </w:pPr>
            <w:r w:rsidRPr="00A61CBC">
              <w:t>Negative</w:t>
            </w:r>
          </w:p>
        </w:tc>
        <w:tc>
          <w:tcPr>
            <w:tcW w:w="1804" w:type="dxa"/>
            <w:vAlign w:val="center"/>
          </w:tcPr>
          <w:p w14:paraId="5FBBFBCC" w14:textId="77777777" w:rsidR="00F37940" w:rsidRPr="00A61CBC" w:rsidRDefault="00F37940" w:rsidP="00196B5F">
            <w:pPr>
              <w:pStyle w:val="TableText"/>
              <w:rPr>
                <w:b/>
              </w:rPr>
            </w:pPr>
            <w:r w:rsidRPr="00A61CBC">
              <w:t>1.99</w:t>
            </w:r>
          </w:p>
        </w:tc>
        <w:tc>
          <w:tcPr>
            <w:tcW w:w="1853" w:type="dxa"/>
            <w:vAlign w:val="center"/>
          </w:tcPr>
          <w:p w14:paraId="49B7AE21" w14:textId="77777777" w:rsidR="00F37940" w:rsidRPr="00A61CBC" w:rsidRDefault="00F37940" w:rsidP="00196B5F">
            <w:pPr>
              <w:pStyle w:val="TableText"/>
              <w:rPr>
                <w:b/>
              </w:rPr>
            </w:pPr>
            <w:r w:rsidRPr="00A61CBC">
              <w:t>Opportunities</w:t>
            </w:r>
          </w:p>
        </w:tc>
        <w:tc>
          <w:tcPr>
            <w:tcW w:w="1805" w:type="dxa"/>
            <w:vAlign w:val="center"/>
          </w:tcPr>
          <w:p w14:paraId="26A00CD8" w14:textId="77777777" w:rsidR="00F37940" w:rsidRPr="00A61CBC" w:rsidRDefault="00F37940" w:rsidP="00196B5F">
            <w:pPr>
              <w:pStyle w:val="TableText"/>
              <w:rPr>
                <w:b/>
              </w:rPr>
            </w:pPr>
            <w:r w:rsidRPr="00A61CBC">
              <w:t>3.66</w:t>
            </w:r>
          </w:p>
        </w:tc>
      </w:tr>
      <w:tr w:rsidR="00F37940" w:rsidRPr="00A61CBC" w14:paraId="3A2DDF46" w14:textId="77777777" w:rsidTr="00661127">
        <w:tc>
          <w:tcPr>
            <w:tcW w:w="1741" w:type="dxa"/>
            <w:vAlign w:val="center"/>
          </w:tcPr>
          <w:p w14:paraId="1E6A4E42" w14:textId="77777777" w:rsidR="00F37940" w:rsidRPr="00A61CBC" w:rsidRDefault="00F37940" w:rsidP="00196B5F">
            <w:pPr>
              <w:pStyle w:val="TableText"/>
            </w:pPr>
            <w:r w:rsidRPr="00A61CBC">
              <w:t>6</w:t>
            </w:r>
          </w:p>
        </w:tc>
        <w:tc>
          <w:tcPr>
            <w:tcW w:w="2039" w:type="dxa"/>
            <w:vAlign w:val="center"/>
          </w:tcPr>
          <w:p w14:paraId="6F48F28B" w14:textId="77777777" w:rsidR="00F37940" w:rsidRPr="00A61CBC" w:rsidRDefault="00F37940" w:rsidP="00196B5F">
            <w:pPr>
              <w:pStyle w:val="TableText"/>
              <w:rPr>
                <w:b/>
              </w:rPr>
            </w:pPr>
            <w:r w:rsidRPr="00A61CBC">
              <w:t>Closing</w:t>
            </w:r>
          </w:p>
        </w:tc>
        <w:tc>
          <w:tcPr>
            <w:tcW w:w="1804" w:type="dxa"/>
            <w:vAlign w:val="center"/>
          </w:tcPr>
          <w:p w14:paraId="5C8DC404" w14:textId="77777777" w:rsidR="00F37940" w:rsidRPr="00A61CBC" w:rsidRDefault="00F37940" w:rsidP="00196B5F">
            <w:pPr>
              <w:pStyle w:val="TableText"/>
              <w:rPr>
                <w:b/>
              </w:rPr>
            </w:pPr>
            <w:r w:rsidRPr="00A61CBC">
              <w:t>1.80</w:t>
            </w:r>
          </w:p>
        </w:tc>
        <w:tc>
          <w:tcPr>
            <w:tcW w:w="1853" w:type="dxa"/>
            <w:vAlign w:val="center"/>
          </w:tcPr>
          <w:p w14:paraId="45A5C1AB" w14:textId="77777777" w:rsidR="00F37940" w:rsidRPr="00A61CBC" w:rsidRDefault="00F37940" w:rsidP="00196B5F">
            <w:pPr>
              <w:pStyle w:val="TableText"/>
              <w:rPr>
                <w:b/>
              </w:rPr>
            </w:pPr>
            <w:r w:rsidRPr="00A61CBC">
              <w:t>Able</w:t>
            </w:r>
          </w:p>
        </w:tc>
        <w:tc>
          <w:tcPr>
            <w:tcW w:w="1805" w:type="dxa"/>
            <w:vAlign w:val="center"/>
          </w:tcPr>
          <w:p w14:paraId="03038C66" w14:textId="77777777" w:rsidR="00F37940" w:rsidRPr="00A61CBC" w:rsidRDefault="00F37940" w:rsidP="00196B5F">
            <w:pPr>
              <w:pStyle w:val="TableText"/>
              <w:rPr>
                <w:b/>
              </w:rPr>
            </w:pPr>
            <w:r w:rsidRPr="00A61CBC">
              <w:t>3.33</w:t>
            </w:r>
          </w:p>
        </w:tc>
      </w:tr>
      <w:tr w:rsidR="00F37940" w:rsidRPr="00A61CBC" w14:paraId="311181B6" w14:textId="77777777" w:rsidTr="00661127">
        <w:tc>
          <w:tcPr>
            <w:tcW w:w="1741" w:type="dxa"/>
            <w:vAlign w:val="center"/>
          </w:tcPr>
          <w:p w14:paraId="0CDB5F72" w14:textId="77777777" w:rsidR="00F37940" w:rsidRPr="00A61CBC" w:rsidRDefault="00F37940" w:rsidP="00196B5F">
            <w:pPr>
              <w:pStyle w:val="TableText"/>
            </w:pPr>
            <w:r w:rsidRPr="00A61CBC">
              <w:t>7</w:t>
            </w:r>
          </w:p>
        </w:tc>
        <w:tc>
          <w:tcPr>
            <w:tcW w:w="2039" w:type="dxa"/>
            <w:vAlign w:val="center"/>
          </w:tcPr>
          <w:p w14:paraId="56E948D1" w14:textId="77777777" w:rsidR="00F37940" w:rsidRPr="00A61CBC" w:rsidRDefault="00F37940" w:rsidP="00196B5F">
            <w:pPr>
              <w:pStyle w:val="TableText"/>
              <w:rPr>
                <w:b/>
              </w:rPr>
            </w:pPr>
            <w:r w:rsidRPr="00A61CBC">
              <w:t>Restructuring</w:t>
            </w:r>
          </w:p>
        </w:tc>
        <w:tc>
          <w:tcPr>
            <w:tcW w:w="1804" w:type="dxa"/>
            <w:vAlign w:val="center"/>
          </w:tcPr>
          <w:p w14:paraId="4E9B60CD" w14:textId="77777777" w:rsidR="00F37940" w:rsidRPr="00A61CBC" w:rsidRDefault="00F37940" w:rsidP="00196B5F">
            <w:pPr>
              <w:pStyle w:val="TableText"/>
              <w:rPr>
                <w:b/>
              </w:rPr>
            </w:pPr>
            <w:r w:rsidRPr="00A61CBC">
              <w:t>1.78</w:t>
            </w:r>
          </w:p>
        </w:tc>
        <w:tc>
          <w:tcPr>
            <w:tcW w:w="1853" w:type="dxa"/>
            <w:vAlign w:val="center"/>
          </w:tcPr>
          <w:p w14:paraId="39DD815F" w14:textId="77777777" w:rsidR="00F37940" w:rsidRPr="00A61CBC" w:rsidRDefault="00F37940" w:rsidP="00196B5F">
            <w:pPr>
              <w:pStyle w:val="TableText"/>
              <w:rPr>
                <w:b/>
              </w:rPr>
            </w:pPr>
            <w:r w:rsidRPr="00A61CBC">
              <w:t>Opportunity</w:t>
            </w:r>
          </w:p>
        </w:tc>
        <w:tc>
          <w:tcPr>
            <w:tcW w:w="1805" w:type="dxa"/>
            <w:vAlign w:val="center"/>
          </w:tcPr>
          <w:p w14:paraId="01B8FEBE" w14:textId="77777777" w:rsidR="00F37940" w:rsidRPr="00A61CBC" w:rsidRDefault="00F37940" w:rsidP="00196B5F">
            <w:pPr>
              <w:pStyle w:val="TableText"/>
              <w:rPr>
                <w:b/>
              </w:rPr>
            </w:pPr>
            <w:r w:rsidRPr="00A61CBC">
              <w:t>3.27</w:t>
            </w:r>
          </w:p>
        </w:tc>
      </w:tr>
      <w:tr w:rsidR="00F37940" w:rsidRPr="00A61CBC" w14:paraId="2C68BC41" w14:textId="77777777" w:rsidTr="00661127">
        <w:tc>
          <w:tcPr>
            <w:tcW w:w="1741" w:type="dxa"/>
            <w:vAlign w:val="center"/>
          </w:tcPr>
          <w:p w14:paraId="07A9EFED" w14:textId="77777777" w:rsidR="00F37940" w:rsidRPr="00A61CBC" w:rsidRDefault="00F37940" w:rsidP="00196B5F">
            <w:pPr>
              <w:pStyle w:val="TableText"/>
            </w:pPr>
            <w:r w:rsidRPr="00A61CBC">
              <w:t>8</w:t>
            </w:r>
          </w:p>
        </w:tc>
        <w:tc>
          <w:tcPr>
            <w:tcW w:w="2039" w:type="dxa"/>
            <w:vAlign w:val="center"/>
          </w:tcPr>
          <w:p w14:paraId="1D66022F" w14:textId="77777777" w:rsidR="00F37940" w:rsidRPr="00A61CBC" w:rsidRDefault="00F37940" w:rsidP="00196B5F">
            <w:pPr>
              <w:pStyle w:val="TableText"/>
              <w:rPr>
                <w:b/>
              </w:rPr>
            </w:pPr>
            <w:r w:rsidRPr="00A61CBC">
              <w:t>Difficult</w:t>
            </w:r>
          </w:p>
        </w:tc>
        <w:tc>
          <w:tcPr>
            <w:tcW w:w="1804" w:type="dxa"/>
            <w:vAlign w:val="center"/>
          </w:tcPr>
          <w:p w14:paraId="6D6E898E" w14:textId="77777777" w:rsidR="00F37940" w:rsidRPr="00A61CBC" w:rsidRDefault="00F37940" w:rsidP="00196B5F">
            <w:pPr>
              <w:pStyle w:val="TableText"/>
              <w:rPr>
                <w:b/>
              </w:rPr>
            </w:pPr>
            <w:r w:rsidRPr="00A61CBC">
              <w:t>1.74</w:t>
            </w:r>
          </w:p>
        </w:tc>
        <w:tc>
          <w:tcPr>
            <w:tcW w:w="1853" w:type="dxa"/>
            <w:vAlign w:val="center"/>
          </w:tcPr>
          <w:p w14:paraId="44A00D8A" w14:textId="77777777" w:rsidR="00F37940" w:rsidRPr="00A61CBC" w:rsidRDefault="00F37940" w:rsidP="00196B5F">
            <w:pPr>
              <w:pStyle w:val="TableText"/>
              <w:rPr>
                <w:b/>
              </w:rPr>
            </w:pPr>
            <w:r w:rsidRPr="00A61CBC">
              <w:t>Improvement</w:t>
            </w:r>
          </w:p>
        </w:tc>
        <w:tc>
          <w:tcPr>
            <w:tcW w:w="1805" w:type="dxa"/>
            <w:vAlign w:val="center"/>
          </w:tcPr>
          <w:p w14:paraId="4B3431D6" w14:textId="77777777" w:rsidR="00F37940" w:rsidRPr="00A61CBC" w:rsidRDefault="00F37940" w:rsidP="00196B5F">
            <w:pPr>
              <w:pStyle w:val="TableText"/>
              <w:rPr>
                <w:b/>
              </w:rPr>
            </w:pPr>
            <w:r w:rsidRPr="00A61CBC">
              <w:t>2.62</w:t>
            </w:r>
          </w:p>
        </w:tc>
      </w:tr>
      <w:tr w:rsidR="00F37940" w:rsidRPr="00A61CBC" w14:paraId="4867E65D" w14:textId="77777777" w:rsidTr="00661127">
        <w:tc>
          <w:tcPr>
            <w:tcW w:w="1741" w:type="dxa"/>
            <w:vAlign w:val="center"/>
          </w:tcPr>
          <w:p w14:paraId="490AD777" w14:textId="77777777" w:rsidR="00F37940" w:rsidRPr="00A61CBC" w:rsidRDefault="00F37940" w:rsidP="00196B5F">
            <w:pPr>
              <w:pStyle w:val="TableText"/>
            </w:pPr>
            <w:r w:rsidRPr="00A61CBC">
              <w:t>9</w:t>
            </w:r>
          </w:p>
        </w:tc>
        <w:tc>
          <w:tcPr>
            <w:tcW w:w="2039" w:type="dxa"/>
            <w:vAlign w:val="center"/>
          </w:tcPr>
          <w:p w14:paraId="3FF8BF81" w14:textId="77777777" w:rsidR="00F37940" w:rsidRPr="00A61CBC" w:rsidRDefault="00F37940" w:rsidP="00196B5F">
            <w:pPr>
              <w:pStyle w:val="TableText"/>
              <w:rPr>
                <w:b/>
              </w:rPr>
            </w:pPr>
            <w:r w:rsidRPr="00A61CBC">
              <w:t>Against</w:t>
            </w:r>
          </w:p>
        </w:tc>
        <w:tc>
          <w:tcPr>
            <w:tcW w:w="1804" w:type="dxa"/>
            <w:vAlign w:val="center"/>
          </w:tcPr>
          <w:p w14:paraId="44D79872" w14:textId="77777777" w:rsidR="00F37940" w:rsidRPr="00A61CBC" w:rsidRDefault="00F37940" w:rsidP="00196B5F">
            <w:pPr>
              <w:pStyle w:val="TableText"/>
              <w:rPr>
                <w:b/>
              </w:rPr>
            </w:pPr>
            <w:r w:rsidRPr="00A61CBC">
              <w:t>1.73</w:t>
            </w:r>
          </w:p>
        </w:tc>
        <w:tc>
          <w:tcPr>
            <w:tcW w:w="1853" w:type="dxa"/>
            <w:vAlign w:val="center"/>
          </w:tcPr>
          <w:p w14:paraId="1E002C6D" w14:textId="77777777" w:rsidR="00F37940" w:rsidRPr="00A61CBC" w:rsidRDefault="00F37940" w:rsidP="00196B5F">
            <w:pPr>
              <w:pStyle w:val="TableText"/>
              <w:rPr>
                <w:b/>
              </w:rPr>
            </w:pPr>
            <w:r w:rsidRPr="00A61CBC">
              <w:t>Positive</w:t>
            </w:r>
          </w:p>
        </w:tc>
        <w:tc>
          <w:tcPr>
            <w:tcW w:w="1805" w:type="dxa"/>
            <w:vAlign w:val="center"/>
          </w:tcPr>
          <w:p w14:paraId="07B5115E" w14:textId="77777777" w:rsidR="00F37940" w:rsidRPr="00A61CBC" w:rsidRDefault="00F37940" w:rsidP="00196B5F">
            <w:pPr>
              <w:pStyle w:val="TableText"/>
              <w:rPr>
                <w:b/>
              </w:rPr>
            </w:pPr>
            <w:r w:rsidRPr="00A61CBC">
              <w:t>2.55</w:t>
            </w:r>
          </w:p>
        </w:tc>
      </w:tr>
      <w:tr w:rsidR="00F37940" w:rsidRPr="00A61CBC" w14:paraId="02EAFC19" w14:textId="77777777" w:rsidTr="00661127">
        <w:tc>
          <w:tcPr>
            <w:tcW w:w="1741" w:type="dxa"/>
            <w:vAlign w:val="center"/>
          </w:tcPr>
          <w:p w14:paraId="54FD65DC" w14:textId="77777777" w:rsidR="00F37940" w:rsidRPr="00A61CBC" w:rsidRDefault="00F37940" w:rsidP="00196B5F">
            <w:pPr>
              <w:pStyle w:val="TableText"/>
            </w:pPr>
            <w:r w:rsidRPr="00A61CBC">
              <w:t>10</w:t>
            </w:r>
          </w:p>
        </w:tc>
        <w:tc>
          <w:tcPr>
            <w:tcW w:w="2039" w:type="dxa"/>
            <w:vAlign w:val="center"/>
          </w:tcPr>
          <w:p w14:paraId="18398E3A" w14:textId="77777777" w:rsidR="00F37940" w:rsidRPr="00A61CBC" w:rsidRDefault="00F37940" w:rsidP="00196B5F">
            <w:pPr>
              <w:pStyle w:val="TableText"/>
              <w:rPr>
                <w:b/>
              </w:rPr>
            </w:pPr>
            <w:r w:rsidRPr="00A61CBC">
              <w:t>Late</w:t>
            </w:r>
          </w:p>
        </w:tc>
        <w:tc>
          <w:tcPr>
            <w:tcW w:w="1804" w:type="dxa"/>
            <w:vAlign w:val="center"/>
          </w:tcPr>
          <w:p w14:paraId="731210B9" w14:textId="77777777" w:rsidR="00F37940" w:rsidRPr="00A61CBC" w:rsidRDefault="00F37940" w:rsidP="00196B5F">
            <w:pPr>
              <w:pStyle w:val="TableText"/>
              <w:rPr>
                <w:b/>
              </w:rPr>
            </w:pPr>
            <w:r w:rsidRPr="00A61CBC">
              <w:t>1.47</w:t>
            </w:r>
          </w:p>
        </w:tc>
        <w:tc>
          <w:tcPr>
            <w:tcW w:w="1853" w:type="dxa"/>
            <w:vAlign w:val="center"/>
          </w:tcPr>
          <w:p w14:paraId="17187841" w14:textId="77777777" w:rsidR="00F37940" w:rsidRPr="00A61CBC" w:rsidRDefault="00F37940" w:rsidP="00196B5F">
            <w:pPr>
              <w:pStyle w:val="TableText"/>
              <w:rPr>
                <w:b/>
              </w:rPr>
            </w:pPr>
            <w:r w:rsidRPr="00A61CBC">
              <w:t>Benefit</w:t>
            </w:r>
          </w:p>
        </w:tc>
        <w:tc>
          <w:tcPr>
            <w:tcW w:w="1805" w:type="dxa"/>
            <w:vAlign w:val="center"/>
          </w:tcPr>
          <w:p w14:paraId="20CA1096" w14:textId="77777777" w:rsidR="00F37940" w:rsidRPr="00A61CBC" w:rsidRDefault="00F37940" w:rsidP="00196B5F">
            <w:pPr>
              <w:pStyle w:val="TableText"/>
              <w:rPr>
                <w:b/>
              </w:rPr>
            </w:pPr>
            <w:r w:rsidRPr="00A61CBC">
              <w:t>2.20</w:t>
            </w:r>
          </w:p>
        </w:tc>
      </w:tr>
      <w:tr w:rsidR="00F37940" w:rsidRPr="00A61CBC" w14:paraId="21D4031A" w14:textId="77777777" w:rsidTr="00661127">
        <w:tc>
          <w:tcPr>
            <w:tcW w:w="1741" w:type="dxa"/>
            <w:vAlign w:val="center"/>
          </w:tcPr>
          <w:p w14:paraId="0BD60801" w14:textId="77777777" w:rsidR="00F37940" w:rsidRPr="00A61CBC" w:rsidRDefault="00F37940" w:rsidP="00196B5F">
            <w:pPr>
              <w:pStyle w:val="TableText"/>
            </w:pPr>
            <w:r w:rsidRPr="00A61CBC">
              <w:t>11</w:t>
            </w:r>
          </w:p>
        </w:tc>
        <w:tc>
          <w:tcPr>
            <w:tcW w:w="2039" w:type="dxa"/>
            <w:vAlign w:val="center"/>
          </w:tcPr>
          <w:p w14:paraId="2CFDB554" w14:textId="77777777" w:rsidR="00F37940" w:rsidRPr="00A61CBC" w:rsidRDefault="00F37940" w:rsidP="00196B5F">
            <w:pPr>
              <w:pStyle w:val="TableText"/>
              <w:rPr>
                <w:b/>
              </w:rPr>
            </w:pPr>
            <w:r w:rsidRPr="00A61CBC">
              <w:t>Declined</w:t>
            </w:r>
          </w:p>
        </w:tc>
        <w:tc>
          <w:tcPr>
            <w:tcW w:w="1804" w:type="dxa"/>
            <w:vAlign w:val="center"/>
          </w:tcPr>
          <w:p w14:paraId="1C22335F" w14:textId="77777777" w:rsidR="00F37940" w:rsidRPr="00A61CBC" w:rsidRDefault="00F37940" w:rsidP="00196B5F">
            <w:pPr>
              <w:pStyle w:val="TableText"/>
              <w:rPr>
                <w:b/>
              </w:rPr>
            </w:pPr>
            <w:r w:rsidRPr="00A61CBC">
              <w:t>1.41</w:t>
            </w:r>
          </w:p>
        </w:tc>
        <w:tc>
          <w:tcPr>
            <w:tcW w:w="1853" w:type="dxa"/>
            <w:vAlign w:val="center"/>
          </w:tcPr>
          <w:p w14:paraId="67198243" w14:textId="77777777" w:rsidR="00F37940" w:rsidRPr="00A61CBC" w:rsidRDefault="00F37940" w:rsidP="00196B5F">
            <w:pPr>
              <w:pStyle w:val="TableText"/>
              <w:rPr>
                <w:b/>
              </w:rPr>
            </w:pPr>
            <w:r w:rsidRPr="00A61CBC">
              <w:t>Progress</w:t>
            </w:r>
          </w:p>
        </w:tc>
        <w:tc>
          <w:tcPr>
            <w:tcW w:w="1805" w:type="dxa"/>
            <w:vAlign w:val="center"/>
          </w:tcPr>
          <w:p w14:paraId="58A7361E" w14:textId="77777777" w:rsidR="00F37940" w:rsidRPr="00A61CBC" w:rsidRDefault="00F37940" w:rsidP="00196B5F">
            <w:pPr>
              <w:pStyle w:val="TableText"/>
              <w:rPr>
                <w:b/>
              </w:rPr>
            </w:pPr>
            <w:r w:rsidRPr="00A61CBC">
              <w:t>2.11</w:t>
            </w:r>
          </w:p>
        </w:tc>
      </w:tr>
      <w:tr w:rsidR="00F37940" w:rsidRPr="00A61CBC" w14:paraId="52908A30" w14:textId="77777777" w:rsidTr="00661127">
        <w:tc>
          <w:tcPr>
            <w:tcW w:w="1741" w:type="dxa"/>
            <w:vAlign w:val="center"/>
          </w:tcPr>
          <w:p w14:paraId="5D87CCFE" w14:textId="77777777" w:rsidR="00F37940" w:rsidRPr="00A61CBC" w:rsidRDefault="00F37940" w:rsidP="00196B5F">
            <w:pPr>
              <w:pStyle w:val="TableText"/>
            </w:pPr>
            <w:r w:rsidRPr="00A61CBC">
              <w:t>12</w:t>
            </w:r>
          </w:p>
        </w:tc>
        <w:tc>
          <w:tcPr>
            <w:tcW w:w="2039" w:type="dxa"/>
            <w:vAlign w:val="center"/>
          </w:tcPr>
          <w:p w14:paraId="3DD0103A" w14:textId="77777777" w:rsidR="00F37940" w:rsidRPr="00A61CBC" w:rsidRDefault="00F37940" w:rsidP="00196B5F">
            <w:pPr>
              <w:pStyle w:val="TableText"/>
              <w:rPr>
                <w:b/>
              </w:rPr>
            </w:pPr>
            <w:r w:rsidRPr="00A61CBC">
              <w:t>Challenges</w:t>
            </w:r>
          </w:p>
        </w:tc>
        <w:tc>
          <w:tcPr>
            <w:tcW w:w="1804" w:type="dxa"/>
            <w:vAlign w:val="center"/>
          </w:tcPr>
          <w:p w14:paraId="720B66BF" w14:textId="77777777" w:rsidR="00F37940" w:rsidRPr="00A61CBC" w:rsidRDefault="00F37940" w:rsidP="00196B5F">
            <w:pPr>
              <w:pStyle w:val="TableText"/>
              <w:rPr>
                <w:b/>
              </w:rPr>
            </w:pPr>
            <w:r w:rsidRPr="00A61CBC">
              <w:t>1.21</w:t>
            </w:r>
          </w:p>
        </w:tc>
        <w:tc>
          <w:tcPr>
            <w:tcW w:w="1853" w:type="dxa"/>
            <w:vAlign w:val="center"/>
          </w:tcPr>
          <w:p w14:paraId="3A7199E2" w14:textId="77777777" w:rsidR="00F37940" w:rsidRPr="00A61CBC" w:rsidRDefault="00F37940" w:rsidP="00196B5F">
            <w:pPr>
              <w:pStyle w:val="TableText"/>
              <w:rPr>
                <w:b/>
              </w:rPr>
            </w:pPr>
            <w:r w:rsidRPr="00A61CBC">
              <w:t>Best</w:t>
            </w:r>
          </w:p>
        </w:tc>
        <w:tc>
          <w:tcPr>
            <w:tcW w:w="1805" w:type="dxa"/>
            <w:vAlign w:val="center"/>
          </w:tcPr>
          <w:p w14:paraId="33294D8B" w14:textId="77777777" w:rsidR="00F37940" w:rsidRPr="00A61CBC" w:rsidRDefault="00F37940" w:rsidP="00196B5F">
            <w:pPr>
              <w:pStyle w:val="TableText"/>
              <w:rPr>
                <w:b/>
              </w:rPr>
            </w:pPr>
            <w:r w:rsidRPr="00A61CBC">
              <w:t>1.92</w:t>
            </w:r>
          </w:p>
        </w:tc>
      </w:tr>
      <w:tr w:rsidR="00F37940" w:rsidRPr="00A61CBC" w14:paraId="2355AD74" w14:textId="77777777" w:rsidTr="00661127">
        <w:tc>
          <w:tcPr>
            <w:tcW w:w="1741" w:type="dxa"/>
            <w:vAlign w:val="center"/>
          </w:tcPr>
          <w:p w14:paraId="0E12323A" w14:textId="77777777" w:rsidR="00F37940" w:rsidRPr="00A61CBC" w:rsidRDefault="00F37940" w:rsidP="00196B5F">
            <w:pPr>
              <w:pStyle w:val="TableText"/>
            </w:pPr>
            <w:r w:rsidRPr="00A61CBC">
              <w:t>13</w:t>
            </w:r>
          </w:p>
        </w:tc>
        <w:tc>
          <w:tcPr>
            <w:tcW w:w="2039" w:type="dxa"/>
            <w:vAlign w:val="center"/>
          </w:tcPr>
          <w:p w14:paraId="6B1D85ED" w14:textId="77777777" w:rsidR="00F37940" w:rsidRPr="00A61CBC" w:rsidRDefault="00F37940" w:rsidP="00196B5F">
            <w:pPr>
              <w:pStyle w:val="TableText"/>
              <w:rPr>
                <w:b/>
              </w:rPr>
            </w:pPr>
            <w:r w:rsidRPr="00A61CBC">
              <w:t>Challenging</w:t>
            </w:r>
          </w:p>
        </w:tc>
        <w:tc>
          <w:tcPr>
            <w:tcW w:w="1804" w:type="dxa"/>
            <w:vAlign w:val="center"/>
          </w:tcPr>
          <w:p w14:paraId="66A7D167" w14:textId="77777777" w:rsidR="00F37940" w:rsidRPr="00A61CBC" w:rsidRDefault="00F37940" w:rsidP="00196B5F">
            <w:pPr>
              <w:pStyle w:val="TableText"/>
              <w:rPr>
                <w:b/>
              </w:rPr>
            </w:pPr>
            <w:r w:rsidRPr="00A61CBC">
              <w:t>1.08</w:t>
            </w:r>
          </w:p>
        </w:tc>
        <w:tc>
          <w:tcPr>
            <w:tcW w:w="1853" w:type="dxa"/>
            <w:vAlign w:val="center"/>
          </w:tcPr>
          <w:p w14:paraId="4F194372" w14:textId="77777777" w:rsidR="00F37940" w:rsidRPr="00A61CBC" w:rsidRDefault="00F37940" w:rsidP="00196B5F">
            <w:pPr>
              <w:pStyle w:val="TableText"/>
              <w:rPr>
                <w:b/>
              </w:rPr>
            </w:pPr>
            <w:r w:rsidRPr="00A61CBC">
              <w:t>Improve</w:t>
            </w:r>
          </w:p>
        </w:tc>
        <w:tc>
          <w:tcPr>
            <w:tcW w:w="1805" w:type="dxa"/>
            <w:vAlign w:val="center"/>
          </w:tcPr>
          <w:p w14:paraId="173D3CE4" w14:textId="77777777" w:rsidR="00F37940" w:rsidRPr="00A61CBC" w:rsidRDefault="00F37940" w:rsidP="00196B5F">
            <w:pPr>
              <w:pStyle w:val="TableText"/>
              <w:rPr>
                <w:b/>
              </w:rPr>
            </w:pPr>
            <w:r w:rsidRPr="00A61CBC">
              <w:t>1.91</w:t>
            </w:r>
          </w:p>
        </w:tc>
      </w:tr>
      <w:tr w:rsidR="00F37940" w:rsidRPr="00A61CBC" w14:paraId="0F369E89" w14:textId="77777777" w:rsidTr="00661127">
        <w:tc>
          <w:tcPr>
            <w:tcW w:w="1741" w:type="dxa"/>
            <w:vAlign w:val="center"/>
          </w:tcPr>
          <w:p w14:paraId="28EBFE94" w14:textId="77777777" w:rsidR="00F37940" w:rsidRPr="00A61CBC" w:rsidRDefault="00F37940" w:rsidP="00196B5F">
            <w:pPr>
              <w:pStyle w:val="TableText"/>
            </w:pPr>
            <w:r w:rsidRPr="00A61CBC">
              <w:t>14</w:t>
            </w:r>
          </w:p>
        </w:tc>
        <w:tc>
          <w:tcPr>
            <w:tcW w:w="2039" w:type="dxa"/>
            <w:vAlign w:val="center"/>
          </w:tcPr>
          <w:p w14:paraId="00923987" w14:textId="77777777" w:rsidR="00F37940" w:rsidRPr="00A61CBC" w:rsidRDefault="00F37940" w:rsidP="00196B5F">
            <w:pPr>
              <w:pStyle w:val="TableText"/>
              <w:rPr>
                <w:b/>
              </w:rPr>
            </w:pPr>
            <w:r w:rsidRPr="00A61CBC">
              <w:t>Closed</w:t>
            </w:r>
          </w:p>
        </w:tc>
        <w:tc>
          <w:tcPr>
            <w:tcW w:w="1804" w:type="dxa"/>
            <w:vAlign w:val="center"/>
          </w:tcPr>
          <w:p w14:paraId="04B5A7A5" w14:textId="77777777" w:rsidR="00F37940" w:rsidRPr="00A61CBC" w:rsidRDefault="00F37940" w:rsidP="00196B5F">
            <w:pPr>
              <w:pStyle w:val="TableText"/>
              <w:rPr>
                <w:b/>
              </w:rPr>
            </w:pPr>
            <w:r w:rsidRPr="00A61CBC">
              <w:t>1.06</w:t>
            </w:r>
          </w:p>
        </w:tc>
        <w:tc>
          <w:tcPr>
            <w:tcW w:w="1853" w:type="dxa"/>
            <w:vAlign w:val="center"/>
          </w:tcPr>
          <w:p w14:paraId="47ED0FE0" w14:textId="77777777" w:rsidR="00F37940" w:rsidRPr="00A61CBC" w:rsidRDefault="00F37940" w:rsidP="00196B5F">
            <w:pPr>
              <w:pStyle w:val="TableText"/>
              <w:rPr>
                <w:b/>
              </w:rPr>
            </w:pPr>
            <w:r w:rsidRPr="00A61CBC">
              <w:t>Pleased</w:t>
            </w:r>
          </w:p>
        </w:tc>
        <w:tc>
          <w:tcPr>
            <w:tcW w:w="1805" w:type="dxa"/>
            <w:vAlign w:val="center"/>
          </w:tcPr>
          <w:p w14:paraId="6C86ECC8" w14:textId="77777777" w:rsidR="00F37940" w:rsidRPr="00A61CBC" w:rsidRDefault="00F37940" w:rsidP="00196B5F">
            <w:pPr>
              <w:pStyle w:val="TableText"/>
              <w:rPr>
                <w:b/>
              </w:rPr>
            </w:pPr>
            <w:r w:rsidRPr="00A61CBC">
              <w:t>1.91</w:t>
            </w:r>
          </w:p>
        </w:tc>
      </w:tr>
      <w:tr w:rsidR="00F37940" w:rsidRPr="00A61CBC" w14:paraId="63A8069B" w14:textId="77777777" w:rsidTr="00661127">
        <w:tc>
          <w:tcPr>
            <w:tcW w:w="1741" w:type="dxa"/>
            <w:vAlign w:val="center"/>
          </w:tcPr>
          <w:p w14:paraId="3D6C9435" w14:textId="77777777" w:rsidR="00F37940" w:rsidRPr="00A61CBC" w:rsidRDefault="00F37940" w:rsidP="00196B5F">
            <w:pPr>
              <w:pStyle w:val="TableText"/>
            </w:pPr>
            <w:r w:rsidRPr="00A61CBC">
              <w:t>15</w:t>
            </w:r>
          </w:p>
        </w:tc>
        <w:tc>
          <w:tcPr>
            <w:tcW w:w="2039" w:type="dxa"/>
            <w:vAlign w:val="center"/>
          </w:tcPr>
          <w:p w14:paraId="097E9611" w14:textId="77777777" w:rsidR="00F37940" w:rsidRPr="00A61CBC" w:rsidRDefault="00F37940" w:rsidP="00196B5F">
            <w:pPr>
              <w:pStyle w:val="TableText"/>
              <w:rPr>
                <w:b/>
              </w:rPr>
            </w:pPr>
            <w:r w:rsidRPr="00A61CBC">
              <w:t>Force</w:t>
            </w:r>
          </w:p>
        </w:tc>
        <w:tc>
          <w:tcPr>
            <w:tcW w:w="1804" w:type="dxa"/>
            <w:vAlign w:val="center"/>
          </w:tcPr>
          <w:p w14:paraId="584FB15D" w14:textId="77777777" w:rsidR="00F37940" w:rsidRPr="00A61CBC" w:rsidRDefault="00F37940" w:rsidP="00196B5F">
            <w:pPr>
              <w:pStyle w:val="TableText"/>
              <w:rPr>
                <w:b/>
              </w:rPr>
            </w:pPr>
            <w:r w:rsidRPr="00A61CBC">
              <w:t>1.04</w:t>
            </w:r>
          </w:p>
        </w:tc>
        <w:tc>
          <w:tcPr>
            <w:tcW w:w="1853" w:type="dxa"/>
            <w:vAlign w:val="center"/>
          </w:tcPr>
          <w:p w14:paraId="0454168E" w14:textId="77777777" w:rsidR="00F37940" w:rsidRPr="00A61CBC" w:rsidRDefault="00F37940" w:rsidP="00196B5F">
            <w:pPr>
              <w:pStyle w:val="TableText"/>
              <w:rPr>
                <w:b/>
              </w:rPr>
            </w:pPr>
            <w:r w:rsidRPr="00A61CBC">
              <w:t>Improved</w:t>
            </w:r>
          </w:p>
        </w:tc>
        <w:tc>
          <w:tcPr>
            <w:tcW w:w="1805" w:type="dxa"/>
            <w:vAlign w:val="center"/>
          </w:tcPr>
          <w:p w14:paraId="28F1E9EE" w14:textId="77777777" w:rsidR="00F37940" w:rsidRPr="00A61CBC" w:rsidRDefault="00F37940" w:rsidP="00196B5F">
            <w:pPr>
              <w:pStyle w:val="TableText"/>
              <w:rPr>
                <w:b/>
              </w:rPr>
            </w:pPr>
            <w:r w:rsidRPr="00A61CBC">
              <w:t>1.89</w:t>
            </w:r>
          </w:p>
        </w:tc>
      </w:tr>
      <w:tr w:rsidR="00F37940" w:rsidRPr="00A61CBC" w14:paraId="3F471940" w14:textId="77777777" w:rsidTr="00661127">
        <w:tc>
          <w:tcPr>
            <w:tcW w:w="1741" w:type="dxa"/>
            <w:vAlign w:val="center"/>
          </w:tcPr>
          <w:p w14:paraId="40125C86" w14:textId="77777777" w:rsidR="00F37940" w:rsidRPr="00A61CBC" w:rsidRDefault="00F37940" w:rsidP="00196B5F">
            <w:pPr>
              <w:pStyle w:val="TableText"/>
            </w:pPr>
            <w:r w:rsidRPr="00A61CBC">
              <w:t>16</w:t>
            </w:r>
          </w:p>
        </w:tc>
        <w:tc>
          <w:tcPr>
            <w:tcW w:w="2039" w:type="dxa"/>
            <w:vAlign w:val="center"/>
          </w:tcPr>
          <w:p w14:paraId="1B744FF5" w14:textId="77777777" w:rsidR="00F37940" w:rsidRPr="00A61CBC" w:rsidRDefault="00F37940" w:rsidP="00196B5F">
            <w:pPr>
              <w:pStyle w:val="TableText"/>
              <w:rPr>
                <w:b/>
              </w:rPr>
            </w:pPr>
            <w:r w:rsidRPr="00A61CBC">
              <w:t>Critical</w:t>
            </w:r>
          </w:p>
        </w:tc>
        <w:tc>
          <w:tcPr>
            <w:tcW w:w="1804" w:type="dxa"/>
            <w:vAlign w:val="center"/>
          </w:tcPr>
          <w:p w14:paraId="582C2439" w14:textId="77777777" w:rsidR="00F37940" w:rsidRPr="00A61CBC" w:rsidRDefault="00F37940" w:rsidP="00196B5F">
            <w:pPr>
              <w:pStyle w:val="TableText"/>
              <w:rPr>
                <w:b/>
              </w:rPr>
            </w:pPr>
            <w:r w:rsidRPr="00A61CBC">
              <w:t>0.90</w:t>
            </w:r>
          </w:p>
        </w:tc>
        <w:tc>
          <w:tcPr>
            <w:tcW w:w="1853" w:type="dxa"/>
            <w:vAlign w:val="center"/>
          </w:tcPr>
          <w:p w14:paraId="30767DB8" w14:textId="77777777" w:rsidR="00F37940" w:rsidRPr="00A61CBC" w:rsidRDefault="00F37940" w:rsidP="00196B5F">
            <w:pPr>
              <w:pStyle w:val="TableText"/>
              <w:rPr>
                <w:b/>
              </w:rPr>
            </w:pPr>
            <w:r w:rsidRPr="00A61CBC">
              <w:t>Success</w:t>
            </w:r>
          </w:p>
        </w:tc>
        <w:tc>
          <w:tcPr>
            <w:tcW w:w="1805" w:type="dxa"/>
            <w:vAlign w:val="center"/>
          </w:tcPr>
          <w:p w14:paraId="4CC1BB9B" w14:textId="77777777" w:rsidR="00F37940" w:rsidRPr="00A61CBC" w:rsidRDefault="00F37940" w:rsidP="00196B5F">
            <w:pPr>
              <w:pStyle w:val="TableText"/>
              <w:rPr>
                <w:b/>
              </w:rPr>
            </w:pPr>
            <w:r w:rsidRPr="00A61CBC">
              <w:t>1.28</w:t>
            </w:r>
          </w:p>
        </w:tc>
      </w:tr>
      <w:tr w:rsidR="00F37940" w:rsidRPr="00A61CBC" w14:paraId="4BF8A485" w14:textId="77777777" w:rsidTr="00661127">
        <w:tc>
          <w:tcPr>
            <w:tcW w:w="1741" w:type="dxa"/>
            <w:vAlign w:val="center"/>
          </w:tcPr>
          <w:p w14:paraId="25A09454" w14:textId="77777777" w:rsidR="00F37940" w:rsidRPr="00A61CBC" w:rsidRDefault="00F37940" w:rsidP="00196B5F">
            <w:pPr>
              <w:pStyle w:val="TableText"/>
            </w:pPr>
            <w:r w:rsidRPr="00A61CBC">
              <w:t>17</w:t>
            </w:r>
          </w:p>
        </w:tc>
        <w:tc>
          <w:tcPr>
            <w:tcW w:w="2039" w:type="dxa"/>
            <w:vAlign w:val="center"/>
          </w:tcPr>
          <w:p w14:paraId="1C671975" w14:textId="77777777" w:rsidR="00F37940" w:rsidRPr="00A61CBC" w:rsidRDefault="00F37940" w:rsidP="00196B5F">
            <w:pPr>
              <w:pStyle w:val="TableText"/>
              <w:rPr>
                <w:b/>
              </w:rPr>
            </w:pPr>
            <w:r w:rsidRPr="00A61CBC">
              <w:t>Recall</w:t>
            </w:r>
          </w:p>
        </w:tc>
        <w:tc>
          <w:tcPr>
            <w:tcW w:w="1804" w:type="dxa"/>
            <w:vAlign w:val="center"/>
          </w:tcPr>
          <w:p w14:paraId="3A486729" w14:textId="77777777" w:rsidR="00F37940" w:rsidRPr="00A61CBC" w:rsidRDefault="00F37940" w:rsidP="00196B5F">
            <w:pPr>
              <w:pStyle w:val="TableText"/>
              <w:rPr>
                <w:b/>
              </w:rPr>
            </w:pPr>
            <w:r w:rsidRPr="00A61CBC">
              <w:t>0.90</w:t>
            </w:r>
          </w:p>
        </w:tc>
        <w:tc>
          <w:tcPr>
            <w:tcW w:w="1853" w:type="dxa"/>
            <w:vAlign w:val="center"/>
          </w:tcPr>
          <w:p w14:paraId="06AA5894" w14:textId="77777777" w:rsidR="00F37940" w:rsidRPr="00A61CBC" w:rsidRDefault="00F37940" w:rsidP="00196B5F">
            <w:pPr>
              <w:pStyle w:val="TableText"/>
              <w:rPr>
                <w:b/>
              </w:rPr>
            </w:pPr>
            <w:r w:rsidRPr="00A61CBC">
              <w:t>Profitability</w:t>
            </w:r>
          </w:p>
        </w:tc>
        <w:tc>
          <w:tcPr>
            <w:tcW w:w="1805" w:type="dxa"/>
            <w:vAlign w:val="center"/>
          </w:tcPr>
          <w:p w14:paraId="5014E095" w14:textId="77777777" w:rsidR="00F37940" w:rsidRPr="00A61CBC" w:rsidRDefault="00F37940" w:rsidP="00196B5F">
            <w:pPr>
              <w:pStyle w:val="TableText"/>
              <w:rPr>
                <w:b/>
              </w:rPr>
            </w:pPr>
            <w:r w:rsidRPr="00A61CBC">
              <w:t>1.21</w:t>
            </w:r>
          </w:p>
        </w:tc>
      </w:tr>
      <w:tr w:rsidR="00F37940" w:rsidRPr="00A61CBC" w14:paraId="23B05408" w14:textId="77777777" w:rsidTr="00661127">
        <w:tc>
          <w:tcPr>
            <w:tcW w:w="1741" w:type="dxa"/>
            <w:vAlign w:val="center"/>
          </w:tcPr>
          <w:p w14:paraId="1CCC6DD7" w14:textId="77777777" w:rsidR="00F37940" w:rsidRPr="00A61CBC" w:rsidRDefault="00F37940" w:rsidP="00196B5F">
            <w:pPr>
              <w:pStyle w:val="TableText"/>
            </w:pPr>
            <w:r w:rsidRPr="00A61CBC">
              <w:t>18</w:t>
            </w:r>
          </w:p>
        </w:tc>
        <w:tc>
          <w:tcPr>
            <w:tcW w:w="2039" w:type="dxa"/>
            <w:vAlign w:val="center"/>
          </w:tcPr>
          <w:p w14:paraId="699E9DAE" w14:textId="77777777" w:rsidR="00F37940" w:rsidRPr="00A61CBC" w:rsidRDefault="00F37940" w:rsidP="00196B5F">
            <w:pPr>
              <w:pStyle w:val="TableText"/>
              <w:rPr>
                <w:b/>
              </w:rPr>
            </w:pPr>
            <w:r w:rsidRPr="00A61CBC">
              <w:t>Impairment</w:t>
            </w:r>
          </w:p>
        </w:tc>
        <w:tc>
          <w:tcPr>
            <w:tcW w:w="1804" w:type="dxa"/>
            <w:vAlign w:val="center"/>
          </w:tcPr>
          <w:p w14:paraId="05140E7B" w14:textId="77777777" w:rsidR="00F37940" w:rsidRPr="00A61CBC" w:rsidRDefault="00F37940" w:rsidP="00196B5F">
            <w:pPr>
              <w:pStyle w:val="TableText"/>
              <w:rPr>
                <w:b/>
              </w:rPr>
            </w:pPr>
            <w:r w:rsidRPr="00A61CBC">
              <w:t>0.89</w:t>
            </w:r>
          </w:p>
        </w:tc>
        <w:tc>
          <w:tcPr>
            <w:tcW w:w="1853" w:type="dxa"/>
            <w:vAlign w:val="center"/>
          </w:tcPr>
          <w:p w14:paraId="6D7C383B" w14:textId="77777777" w:rsidR="00F37940" w:rsidRPr="00A61CBC" w:rsidRDefault="00F37940" w:rsidP="00196B5F">
            <w:pPr>
              <w:pStyle w:val="TableText"/>
              <w:rPr>
                <w:b/>
              </w:rPr>
            </w:pPr>
            <w:r w:rsidRPr="00A61CBC">
              <w:t>Effective</w:t>
            </w:r>
          </w:p>
        </w:tc>
        <w:tc>
          <w:tcPr>
            <w:tcW w:w="1805" w:type="dxa"/>
            <w:vAlign w:val="center"/>
          </w:tcPr>
          <w:p w14:paraId="51862E70" w14:textId="77777777" w:rsidR="00F37940" w:rsidRPr="00A61CBC" w:rsidRDefault="00F37940" w:rsidP="00196B5F">
            <w:pPr>
              <w:pStyle w:val="TableText"/>
              <w:rPr>
                <w:b/>
              </w:rPr>
            </w:pPr>
            <w:r w:rsidRPr="00A61CBC">
              <w:t>1.19</w:t>
            </w:r>
          </w:p>
        </w:tc>
      </w:tr>
      <w:tr w:rsidR="00F37940" w:rsidRPr="00A61CBC" w14:paraId="293F542A" w14:textId="77777777" w:rsidTr="00661127">
        <w:tc>
          <w:tcPr>
            <w:tcW w:w="1741" w:type="dxa"/>
            <w:vAlign w:val="center"/>
          </w:tcPr>
          <w:p w14:paraId="3E948C7A" w14:textId="77777777" w:rsidR="00F37940" w:rsidRPr="00A61CBC" w:rsidRDefault="00F37940" w:rsidP="00196B5F">
            <w:pPr>
              <w:pStyle w:val="TableText"/>
            </w:pPr>
            <w:r w:rsidRPr="00A61CBC">
              <w:t>19</w:t>
            </w:r>
          </w:p>
        </w:tc>
        <w:tc>
          <w:tcPr>
            <w:tcW w:w="2039" w:type="dxa"/>
            <w:vAlign w:val="center"/>
          </w:tcPr>
          <w:p w14:paraId="63DDE86E" w14:textId="77777777" w:rsidR="00F37940" w:rsidRPr="00A61CBC" w:rsidRDefault="00F37940" w:rsidP="00196B5F">
            <w:pPr>
              <w:pStyle w:val="TableText"/>
              <w:rPr>
                <w:b/>
              </w:rPr>
            </w:pPr>
            <w:r w:rsidRPr="00A61CBC">
              <w:t>Break</w:t>
            </w:r>
          </w:p>
        </w:tc>
        <w:tc>
          <w:tcPr>
            <w:tcW w:w="1804" w:type="dxa"/>
            <w:vAlign w:val="center"/>
          </w:tcPr>
          <w:p w14:paraId="532AA212" w14:textId="77777777" w:rsidR="00F37940" w:rsidRPr="00A61CBC" w:rsidRDefault="00F37940" w:rsidP="00196B5F">
            <w:pPr>
              <w:pStyle w:val="TableText"/>
              <w:rPr>
                <w:b/>
              </w:rPr>
            </w:pPr>
            <w:r w:rsidRPr="00A61CBC">
              <w:t>0.85</w:t>
            </w:r>
          </w:p>
        </w:tc>
        <w:tc>
          <w:tcPr>
            <w:tcW w:w="1853" w:type="dxa"/>
            <w:vAlign w:val="center"/>
          </w:tcPr>
          <w:p w14:paraId="25986BC6" w14:textId="77777777" w:rsidR="00F37940" w:rsidRPr="00A61CBC" w:rsidRDefault="00F37940" w:rsidP="00196B5F">
            <w:pPr>
              <w:pStyle w:val="TableText"/>
              <w:rPr>
                <w:b/>
              </w:rPr>
            </w:pPr>
            <w:r w:rsidRPr="00A61CBC">
              <w:t>Excited</w:t>
            </w:r>
          </w:p>
        </w:tc>
        <w:tc>
          <w:tcPr>
            <w:tcW w:w="1805" w:type="dxa"/>
            <w:vAlign w:val="center"/>
          </w:tcPr>
          <w:p w14:paraId="636B5F99" w14:textId="77777777" w:rsidR="00F37940" w:rsidRPr="00A61CBC" w:rsidRDefault="00F37940" w:rsidP="00196B5F">
            <w:pPr>
              <w:pStyle w:val="TableText"/>
              <w:rPr>
                <w:b/>
              </w:rPr>
            </w:pPr>
            <w:r w:rsidRPr="00A61CBC">
              <w:t>1.10</w:t>
            </w:r>
          </w:p>
        </w:tc>
      </w:tr>
      <w:tr w:rsidR="00F37940" w:rsidRPr="00A61CBC" w14:paraId="5D6AF113" w14:textId="77777777" w:rsidTr="00661127">
        <w:tc>
          <w:tcPr>
            <w:tcW w:w="1741" w:type="dxa"/>
            <w:vAlign w:val="center"/>
          </w:tcPr>
          <w:p w14:paraId="7D8C9217" w14:textId="77777777" w:rsidR="00F37940" w:rsidRPr="00A61CBC" w:rsidRDefault="00F37940" w:rsidP="00196B5F">
            <w:pPr>
              <w:pStyle w:val="TableText"/>
            </w:pPr>
            <w:r w:rsidRPr="00A61CBC">
              <w:t>20</w:t>
            </w:r>
          </w:p>
        </w:tc>
        <w:tc>
          <w:tcPr>
            <w:tcW w:w="2039" w:type="dxa"/>
            <w:vAlign w:val="center"/>
          </w:tcPr>
          <w:p w14:paraId="14CD7D76" w14:textId="77777777" w:rsidR="00F37940" w:rsidRPr="00A61CBC" w:rsidRDefault="00F37940" w:rsidP="00196B5F">
            <w:pPr>
              <w:pStyle w:val="TableText"/>
              <w:rPr>
                <w:b/>
              </w:rPr>
            </w:pPr>
            <w:r w:rsidRPr="00A61CBC">
              <w:t>Litigation</w:t>
            </w:r>
          </w:p>
        </w:tc>
        <w:tc>
          <w:tcPr>
            <w:tcW w:w="1804" w:type="dxa"/>
            <w:vAlign w:val="center"/>
          </w:tcPr>
          <w:p w14:paraId="2A52CA25" w14:textId="77777777" w:rsidR="00F37940" w:rsidRPr="00A61CBC" w:rsidRDefault="00F37940" w:rsidP="00196B5F">
            <w:pPr>
              <w:pStyle w:val="TableText"/>
              <w:rPr>
                <w:b/>
              </w:rPr>
            </w:pPr>
            <w:r w:rsidRPr="00A61CBC">
              <w:t>0.79</w:t>
            </w:r>
          </w:p>
        </w:tc>
        <w:tc>
          <w:tcPr>
            <w:tcW w:w="1853" w:type="dxa"/>
            <w:vAlign w:val="center"/>
          </w:tcPr>
          <w:p w14:paraId="4521C2B6" w14:textId="77777777" w:rsidR="00F37940" w:rsidRPr="00A61CBC" w:rsidRDefault="00F37940" w:rsidP="00196B5F">
            <w:pPr>
              <w:pStyle w:val="TableText"/>
              <w:rPr>
                <w:b/>
              </w:rPr>
            </w:pPr>
            <w:r w:rsidRPr="00A61CBC">
              <w:t>Strength</w:t>
            </w:r>
          </w:p>
        </w:tc>
        <w:tc>
          <w:tcPr>
            <w:tcW w:w="1805" w:type="dxa"/>
            <w:vAlign w:val="center"/>
          </w:tcPr>
          <w:p w14:paraId="3B378EB8" w14:textId="77777777" w:rsidR="00F37940" w:rsidRPr="00A61CBC" w:rsidRDefault="00F37940" w:rsidP="00196B5F">
            <w:pPr>
              <w:pStyle w:val="TableText"/>
              <w:rPr>
                <w:b/>
              </w:rPr>
            </w:pPr>
            <w:r w:rsidRPr="00A61CBC">
              <w:t>1.07</w:t>
            </w:r>
          </w:p>
        </w:tc>
      </w:tr>
      <w:tr w:rsidR="00F37940" w:rsidRPr="00A61CBC" w14:paraId="1A53171E" w14:textId="77777777" w:rsidTr="00661127">
        <w:tc>
          <w:tcPr>
            <w:tcW w:w="1741" w:type="dxa"/>
            <w:vAlign w:val="center"/>
          </w:tcPr>
          <w:p w14:paraId="6AAF43A3" w14:textId="77777777" w:rsidR="00F37940" w:rsidRPr="00A61CBC" w:rsidRDefault="00F37940" w:rsidP="00196B5F">
            <w:pPr>
              <w:pStyle w:val="TableText"/>
            </w:pPr>
            <w:r w:rsidRPr="00A61CBC">
              <w:t>21</w:t>
            </w:r>
          </w:p>
        </w:tc>
        <w:tc>
          <w:tcPr>
            <w:tcW w:w="2039" w:type="dxa"/>
            <w:vAlign w:val="center"/>
          </w:tcPr>
          <w:p w14:paraId="60C2A6F8" w14:textId="77777777" w:rsidR="00F37940" w:rsidRPr="00A61CBC" w:rsidRDefault="00F37940" w:rsidP="00196B5F">
            <w:pPr>
              <w:pStyle w:val="TableText"/>
              <w:rPr>
                <w:b/>
              </w:rPr>
            </w:pPr>
            <w:r w:rsidRPr="00A61CBC">
              <w:t>Declines</w:t>
            </w:r>
          </w:p>
        </w:tc>
        <w:tc>
          <w:tcPr>
            <w:tcW w:w="1804" w:type="dxa"/>
            <w:vAlign w:val="center"/>
          </w:tcPr>
          <w:p w14:paraId="268C615F" w14:textId="77777777" w:rsidR="00F37940" w:rsidRPr="00A61CBC" w:rsidRDefault="00F37940" w:rsidP="00196B5F">
            <w:pPr>
              <w:pStyle w:val="TableText"/>
              <w:rPr>
                <w:b/>
              </w:rPr>
            </w:pPr>
            <w:r w:rsidRPr="00A61CBC">
              <w:t>0.76</w:t>
            </w:r>
          </w:p>
        </w:tc>
        <w:tc>
          <w:tcPr>
            <w:tcW w:w="1853" w:type="dxa"/>
            <w:vAlign w:val="center"/>
          </w:tcPr>
          <w:p w14:paraId="728034DA" w14:textId="77777777" w:rsidR="00F37940" w:rsidRPr="00A61CBC" w:rsidRDefault="00F37940" w:rsidP="00196B5F">
            <w:pPr>
              <w:pStyle w:val="TableText"/>
              <w:rPr>
                <w:b/>
              </w:rPr>
            </w:pPr>
            <w:r w:rsidRPr="00A61CBC">
              <w:t>Successful</w:t>
            </w:r>
          </w:p>
        </w:tc>
        <w:tc>
          <w:tcPr>
            <w:tcW w:w="1805" w:type="dxa"/>
            <w:vAlign w:val="center"/>
          </w:tcPr>
          <w:p w14:paraId="3B788A01" w14:textId="77777777" w:rsidR="00F37940" w:rsidRPr="00A61CBC" w:rsidRDefault="00F37940" w:rsidP="00196B5F">
            <w:pPr>
              <w:pStyle w:val="TableText"/>
              <w:rPr>
                <w:b/>
              </w:rPr>
            </w:pPr>
            <w:r w:rsidRPr="00A61CBC">
              <w:t>1.06</w:t>
            </w:r>
          </w:p>
        </w:tc>
      </w:tr>
      <w:tr w:rsidR="00F37940" w:rsidRPr="00A61CBC" w14:paraId="75F906B7" w14:textId="77777777" w:rsidTr="00661127">
        <w:tc>
          <w:tcPr>
            <w:tcW w:w="1741" w:type="dxa"/>
            <w:vAlign w:val="center"/>
          </w:tcPr>
          <w:p w14:paraId="00AA89B5" w14:textId="77777777" w:rsidR="00F37940" w:rsidRPr="00A61CBC" w:rsidRDefault="00F37940" w:rsidP="00196B5F">
            <w:pPr>
              <w:pStyle w:val="TableText"/>
            </w:pPr>
            <w:r w:rsidRPr="00A61CBC">
              <w:t>22</w:t>
            </w:r>
          </w:p>
        </w:tc>
        <w:tc>
          <w:tcPr>
            <w:tcW w:w="2039" w:type="dxa"/>
            <w:vAlign w:val="center"/>
          </w:tcPr>
          <w:p w14:paraId="297193E3" w14:textId="77777777" w:rsidR="00F37940" w:rsidRPr="00A61CBC" w:rsidRDefault="00F37940" w:rsidP="00196B5F">
            <w:pPr>
              <w:pStyle w:val="TableText"/>
              <w:rPr>
                <w:b/>
              </w:rPr>
            </w:pPr>
            <w:r w:rsidRPr="00A61CBC">
              <w:t>Losses</w:t>
            </w:r>
          </w:p>
        </w:tc>
        <w:tc>
          <w:tcPr>
            <w:tcW w:w="1804" w:type="dxa"/>
            <w:vAlign w:val="center"/>
          </w:tcPr>
          <w:p w14:paraId="0543289D" w14:textId="77777777" w:rsidR="00F37940" w:rsidRPr="00A61CBC" w:rsidRDefault="00F37940" w:rsidP="00196B5F">
            <w:pPr>
              <w:pStyle w:val="TableText"/>
              <w:rPr>
                <w:b/>
              </w:rPr>
            </w:pPr>
            <w:r w:rsidRPr="00A61CBC">
              <w:t>0.76</w:t>
            </w:r>
          </w:p>
        </w:tc>
        <w:tc>
          <w:tcPr>
            <w:tcW w:w="1853" w:type="dxa"/>
            <w:vAlign w:val="center"/>
          </w:tcPr>
          <w:p w14:paraId="7C79B00A" w14:textId="77777777" w:rsidR="00F37940" w:rsidRPr="00A61CBC" w:rsidRDefault="00F37940" w:rsidP="00196B5F">
            <w:pPr>
              <w:pStyle w:val="TableText"/>
              <w:rPr>
                <w:b/>
              </w:rPr>
            </w:pPr>
            <w:r w:rsidRPr="00A61CBC">
              <w:t>Improving</w:t>
            </w:r>
          </w:p>
        </w:tc>
        <w:tc>
          <w:tcPr>
            <w:tcW w:w="1805" w:type="dxa"/>
            <w:vAlign w:val="center"/>
          </w:tcPr>
          <w:p w14:paraId="63635D24" w14:textId="77777777" w:rsidR="00F37940" w:rsidRPr="00A61CBC" w:rsidRDefault="00F37940" w:rsidP="00196B5F">
            <w:pPr>
              <w:pStyle w:val="TableText"/>
              <w:rPr>
                <w:b/>
              </w:rPr>
            </w:pPr>
            <w:r w:rsidRPr="00A61CBC">
              <w:t>1.04</w:t>
            </w:r>
          </w:p>
        </w:tc>
      </w:tr>
      <w:tr w:rsidR="00F37940" w:rsidRPr="00A61CBC" w14:paraId="3633248E" w14:textId="77777777" w:rsidTr="00661127">
        <w:tc>
          <w:tcPr>
            <w:tcW w:w="1741" w:type="dxa"/>
            <w:vAlign w:val="center"/>
          </w:tcPr>
          <w:p w14:paraId="6D83961C" w14:textId="77777777" w:rsidR="00F37940" w:rsidRPr="00A61CBC" w:rsidRDefault="00F37940" w:rsidP="00196B5F">
            <w:pPr>
              <w:pStyle w:val="TableText"/>
            </w:pPr>
            <w:r w:rsidRPr="00A61CBC">
              <w:t>23</w:t>
            </w:r>
          </w:p>
        </w:tc>
        <w:tc>
          <w:tcPr>
            <w:tcW w:w="2039" w:type="dxa"/>
            <w:vAlign w:val="center"/>
          </w:tcPr>
          <w:p w14:paraId="6C22A548" w14:textId="77777777" w:rsidR="00F37940" w:rsidRPr="00A61CBC" w:rsidRDefault="00F37940" w:rsidP="00196B5F">
            <w:pPr>
              <w:pStyle w:val="TableText"/>
              <w:rPr>
                <w:b/>
              </w:rPr>
            </w:pPr>
            <w:r w:rsidRPr="00A61CBC">
              <w:t>Slow</w:t>
            </w:r>
          </w:p>
        </w:tc>
        <w:tc>
          <w:tcPr>
            <w:tcW w:w="1804" w:type="dxa"/>
            <w:vAlign w:val="center"/>
          </w:tcPr>
          <w:p w14:paraId="082BB7C4" w14:textId="77777777" w:rsidR="00F37940" w:rsidRPr="00A61CBC" w:rsidRDefault="00F37940" w:rsidP="00196B5F">
            <w:pPr>
              <w:pStyle w:val="TableText"/>
              <w:rPr>
                <w:b/>
              </w:rPr>
            </w:pPr>
            <w:r w:rsidRPr="00A61CBC">
              <w:t>0.71</w:t>
            </w:r>
          </w:p>
        </w:tc>
        <w:tc>
          <w:tcPr>
            <w:tcW w:w="1853" w:type="dxa"/>
            <w:vAlign w:val="center"/>
          </w:tcPr>
          <w:p w14:paraId="10359061" w14:textId="77777777" w:rsidR="00F37940" w:rsidRPr="00A61CBC" w:rsidRDefault="00F37940" w:rsidP="00196B5F">
            <w:pPr>
              <w:pStyle w:val="TableText"/>
              <w:rPr>
                <w:b/>
              </w:rPr>
            </w:pPr>
            <w:r w:rsidRPr="00A61CBC">
              <w:t>Greater</w:t>
            </w:r>
          </w:p>
        </w:tc>
        <w:tc>
          <w:tcPr>
            <w:tcW w:w="1805" w:type="dxa"/>
            <w:vAlign w:val="center"/>
          </w:tcPr>
          <w:p w14:paraId="71F09939" w14:textId="77777777" w:rsidR="00F37940" w:rsidRPr="00A61CBC" w:rsidRDefault="00F37940" w:rsidP="00196B5F">
            <w:pPr>
              <w:pStyle w:val="TableText"/>
              <w:rPr>
                <w:b/>
              </w:rPr>
            </w:pPr>
            <w:r w:rsidRPr="00A61CBC">
              <w:t>1.01</w:t>
            </w:r>
          </w:p>
        </w:tc>
      </w:tr>
      <w:tr w:rsidR="00F37940" w:rsidRPr="00A61CBC" w14:paraId="5838427B" w14:textId="77777777" w:rsidTr="00661127">
        <w:tc>
          <w:tcPr>
            <w:tcW w:w="1741" w:type="dxa"/>
            <w:vAlign w:val="center"/>
          </w:tcPr>
          <w:p w14:paraId="630E375F" w14:textId="77777777" w:rsidR="00F37940" w:rsidRPr="00A61CBC" w:rsidRDefault="00F37940" w:rsidP="00196B5F">
            <w:pPr>
              <w:pStyle w:val="TableText"/>
            </w:pPr>
            <w:r w:rsidRPr="00A61CBC">
              <w:t>24</w:t>
            </w:r>
          </w:p>
        </w:tc>
        <w:tc>
          <w:tcPr>
            <w:tcW w:w="2039" w:type="dxa"/>
            <w:vAlign w:val="center"/>
          </w:tcPr>
          <w:p w14:paraId="336F24E8" w14:textId="77777777" w:rsidR="00F37940" w:rsidRPr="00A61CBC" w:rsidRDefault="00F37940" w:rsidP="00196B5F">
            <w:pPr>
              <w:pStyle w:val="TableText"/>
              <w:rPr>
                <w:b/>
              </w:rPr>
            </w:pPr>
            <w:r w:rsidRPr="00A61CBC">
              <w:t>Challenge</w:t>
            </w:r>
          </w:p>
        </w:tc>
        <w:tc>
          <w:tcPr>
            <w:tcW w:w="1804" w:type="dxa"/>
            <w:vAlign w:val="center"/>
          </w:tcPr>
          <w:p w14:paraId="49E7B99D" w14:textId="77777777" w:rsidR="00F37940" w:rsidRPr="00A61CBC" w:rsidRDefault="00F37940" w:rsidP="00196B5F">
            <w:pPr>
              <w:pStyle w:val="TableText"/>
              <w:rPr>
                <w:b/>
              </w:rPr>
            </w:pPr>
            <w:r w:rsidRPr="00A61CBC">
              <w:t>0.65</w:t>
            </w:r>
          </w:p>
        </w:tc>
        <w:tc>
          <w:tcPr>
            <w:tcW w:w="1853" w:type="dxa"/>
            <w:vAlign w:val="center"/>
          </w:tcPr>
          <w:p w14:paraId="59C89400" w14:textId="77777777" w:rsidR="00F37940" w:rsidRPr="00A61CBC" w:rsidRDefault="00F37940" w:rsidP="00196B5F">
            <w:pPr>
              <w:pStyle w:val="TableText"/>
              <w:rPr>
                <w:b/>
              </w:rPr>
            </w:pPr>
            <w:r w:rsidRPr="00A61CBC">
              <w:t>Improvements</w:t>
            </w:r>
          </w:p>
        </w:tc>
        <w:tc>
          <w:tcPr>
            <w:tcW w:w="1805" w:type="dxa"/>
            <w:vAlign w:val="center"/>
          </w:tcPr>
          <w:p w14:paraId="7EE2A747" w14:textId="77777777" w:rsidR="00F37940" w:rsidRPr="00A61CBC" w:rsidRDefault="00F37940" w:rsidP="00196B5F">
            <w:pPr>
              <w:pStyle w:val="TableText"/>
              <w:rPr>
                <w:b/>
              </w:rPr>
            </w:pPr>
            <w:r w:rsidRPr="00A61CBC">
              <w:t>1.00</w:t>
            </w:r>
          </w:p>
        </w:tc>
      </w:tr>
      <w:tr w:rsidR="00F37940" w:rsidRPr="00A61CBC" w14:paraId="1CAD8382" w14:textId="77777777" w:rsidTr="00661127">
        <w:tc>
          <w:tcPr>
            <w:tcW w:w="1741" w:type="dxa"/>
            <w:vAlign w:val="center"/>
          </w:tcPr>
          <w:p w14:paraId="015B53E9" w14:textId="77777777" w:rsidR="00F37940" w:rsidRPr="00A61CBC" w:rsidRDefault="00F37940" w:rsidP="00196B5F">
            <w:pPr>
              <w:pStyle w:val="TableText"/>
            </w:pPr>
            <w:r w:rsidRPr="00A61CBC">
              <w:t>25</w:t>
            </w:r>
          </w:p>
        </w:tc>
        <w:tc>
          <w:tcPr>
            <w:tcW w:w="2039" w:type="dxa"/>
            <w:vAlign w:val="center"/>
          </w:tcPr>
          <w:p w14:paraId="27AEC25A" w14:textId="77777777" w:rsidR="00F37940" w:rsidRPr="00A61CBC" w:rsidRDefault="00F37940" w:rsidP="00196B5F">
            <w:pPr>
              <w:pStyle w:val="TableText"/>
              <w:rPr>
                <w:b/>
              </w:rPr>
            </w:pPr>
            <w:r w:rsidRPr="00A61CBC">
              <w:t>Bad</w:t>
            </w:r>
          </w:p>
        </w:tc>
        <w:tc>
          <w:tcPr>
            <w:tcW w:w="1804" w:type="dxa"/>
            <w:vAlign w:val="center"/>
          </w:tcPr>
          <w:p w14:paraId="7662ACB7" w14:textId="77777777" w:rsidR="00F37940" w:rsidRPr="00A61CBC" w:rsidRDefault="00F37940" w:rsidP="00196B5F">
            <w:pPr>
              <w:pStyle w:val="TableText"/>
              <w:rPr>
                <w:b/>
              </w:rPr>
            </w:pPr>
            <w:r w:rsidRPr="00A61CBC">
              <w:t>0.65</w:t>
            </w:r>
          </w:p>
        </w:tc>
        <w:tc>
          <w:tcPr>
            <w:tcW w:w="1853" w:type="dxa"/>
            <w:vAlign w:val="center"/>
          </w:tcPr>
          <w:p w14:paraId="4288F2C3" w14:textId="77777777" w:rsidR="00F37940" w:rsidRPr="00A61CBC" w:rsidRDefault="00F37940" w:rsidP="00196B5F">
            <w:pPr>
              <w:pStyle w:val="TableText"/>
              <w:rPr>
                <w:b/>
              </w:rPr>
            </w:pPr>
            <w:r w:rsidRPr="00A61CBC">
              <w:t>Confident</w:t>
            </w:r>
          </w:p>
        </w:tc>
        <w:tc>
          <w:tcPr>
            <w:tcW w:w="1805" w:type="dxa"/>
            <w:vAlign w:val="center"/>
          </w:tcPr>
          <w:p w14:paraId="1AD5F1E4" w14:textId="77777777" w:rsidR="00F37940" w:rsidRPr="00A61CBC" w:rsidRDefault="00F37940" w:rsidP="00196B5F">
            <w:pPr>
              <w:pStyle w:val="TableText"/>
              <w:rPr>
                <w:b/>
              </w:rPr>
            </w:pPr>
            <w:r w:rsidRPr="00A61CBC">
              <w:t>1.00</w:t>
            </w:r>
          </w:p>
        </w:tc>
      </w:tr>
      <w:tr w:rsidR="00F37940" w:rsidRPr="00A61CBC" w14:paraId="12A654C1" w14:textId="77777777" w:rsidTr="00661127">
        <w:tc>
          <w:tcPr>
            <w:tcW w:w="1741" w:type="dxa"/>
            <w:vAlign w:val="center"/>
          </w:tcPr>
          <w:p w14:paraId="479AD73C" w14:textId="77777777" w:rsidR="00F37940" w:rsidRPr="00A61CBC" w:rsidRDefault="00F37940" w:rsidP="00196B5F">
            <w:pPr>
              <w:pStyle w:val="TableText"/>
            </w:pPr>
            <w:r w:rsidRPr="00A61CBC">
              <w:t>26</w:t>
            </w:r>
          </w:p>
        </w:tc>
        <w:tc>
          <w:tcPr>
            <w:tcW w:w="2039" w:type="dxa"/>
            <w:vAlign w:val="center"/>
          </w:tcPr>
          <w:p w14:paraId="1A3FFDCE" w14:textId="77777777" w:rsidR="00F37940" w:rsidRPr="00A61CBC" w:rsidRDefault="00F37940" w:rsidP="00196B5F">
            <w:pPr>
              <w:pStyle w:val="TableText"/>
              <w:rPr>
                <w:b/>
              </w:rPr>
            </w:pPr>
            <w:r w:rsidRPr="00A61CBC">
              <w:t>Problem</w:t>
            </w:r>
          </w:p>
        </w:tc>
        <w:tc>
          <w:tcPr>
            <w:tcW w:w="1804" w:type="dxa"/>
            <w:vAlign w:val="center"/>
          </w:tcPr>
          <w:p w14:paraId="23F8759F" w14:textId="77777777" w:rsidR="00F37940" w:rsidRPr="00A61CBC" w:rsidRDefault="00F37940" w:rsidP="00196B5F">
            <w:pPr>
              <w:pStyle w:val="TableText"/>
              <w:rPr>
                <w:b/>
              </w:rPr>
            </w:pPr>
            <w:r w:rsidRPr="00A61CBC">
              <w:t>0.61</w:t>
            </w:r>
          </w:p>
        </w:tc>
        <w:tc>
          <w:tcPr>
            <w:tcW w:w="1853" w:type="dxa"/>
            <w:vAlign w:val="center"/>
          </w:tcPr>
          <w:p w14:paraId="0DC50791" w14:textId="77777777" w:rsidR="00F37940" w:rsidRPr="00A61CBC" w:rsidRDefault="00F37940" w:rsidP="00196B5F">
            <w:pPr>
              <w:pStyle w:val="TableText"/>
              <w:rPr>
                <w:b/>
              </w:rPr>
            </w:pPr>
            <w:r w:rsidRPr="00A61CBC">
              <w:t>Achieved</w:t>
            </w:r>
          </w:p>
        </w:tc>
        <w:tc>
          <w:tcPr>
            <w:tcW w:w="1805" w:type="dxa"/>
            <w:vAlign w:val="center"/>
          </w:tcPr>
          <w:p w14:paraId="5ABFFEFF" w14:textId="77777777" w:rsidR="00F37940" w:rsidRPr="00A61CBC" w:rsidRDefault="00F37940" w:rsidP="00196B5F">
            <w:pPr>
              <w:pStyle w:val="TableText"/>
              <w:rPr>
                <w:b/>
              </w:rPr>
            </w:pPr>
            <w:r w:rsidRPr="00A61CBC">
              <w:t>0.93</w:t>
            </w:r>
          </w:p>
        </w:tc>
      </w:tr>
      <w:tr w:rsidR="00F37940" w:rsidRPr="00A61CBC" w14:paraId="3AD9569C" w14:textId="77777777" w:rsidTr="00661127">
        <w:tc>
          <w:tcPr>
            <w:tcW w:w="1741" w:type="dxa"/>
            <w:vAlign w:val="center"/>
          </w:tcPr>
          <w:p w14:paraId="120E3AF8" w14:textId="77777777" w:rsidR="00F37940" w:rsidRPr="00A61CBC" w:rsidRDefault="00F37940" w:rsidP="00196B5F">
            <w:pPr>
              <w:pStyle w:val="TableText"/>
            </w:pPr>
            <w:r w:rsidRPr="00A61CBC">
              <w:t>27</w:t>
            </w:r>
          </w:p>
        </w:tc>
        <w:tc>
          <w:tcPr>
            <w:tcW w:w="2039" w:type="dxa"/>
            <w:vAlign w:val="center"/>
          </w:tcPr>
          <w:p w14:paraId="46F9012D" w14:textId="77777777" w:rsidR="00F37940" w:rsidRPr="00A61CBC" w:rsidRDefault="00F37940" w:rsidP="00196B5F">
            <w:pPr>
              <w:pStyle w:val="TableText"/>
              <w:rPr>
                <w:b/>
              </w:rPr>
            </w:pPr>
            <w:r w:rsidRPr="00A61CBC">
              <w:t>Weak</w:t>
            </w:r>
          </w:p>
        </w:tc>
        <w:tc>
          <w:tcPr>
            <w:tcW w:w="1804" w:type="dxa"/>
            <w:vAlign w:val="center"/>
          </w:tcPr>
          <w:p w14:paraId="59AF0751" w14:textId="77777777" w:rsidR="00F37940" w:rsidRPr="00A61CBC" w:rsidRDefault="00F37940" w:rsidP="00196B5F">
            <w:pPr>
              <w:pStyle w:val="TableText"/>
              <w:rPr>
                <w:b/>
              </w:rPr>
            </w:pPr>
            <w:r w:rsidRPr="00A61CBC">
              <w:t>0.61</w:t>
            </w:r>
          </w:p>
        </w:tc>
        <w:tc>
          <w:tcPr>
            <w:tcW w:w="1853" w:type="dxa"/>
            <w:vAlign w:val="center"/>
          </w:tcPr>
          <w:p w14:paraId="2AB8A4D0" w14:textId="77777777" w:rsidR="00F37940" w:rsidRPr="00A61CBC" w:rsidRDefault="00F37940" w:rsidP="00196B5F">
            <w:pPr>
              <w:pStyle w:val="TableText"/>
              <w:rPr>
                <w:b/>
              </w:rPr>
            </w:pPr>
            <w:r w:rsidRPr="00A61CBC">
              <w:t>Advantage</w:t>
            </w:r>
          </w:p>
        </w:tc>
        <w:tc>
          <w:tcPr>
            <w:tcW w:w="1805" w:type="dxa"/>
            <w:vAlign w:val="center"/>
          </w:tcPr>
          <w:p w14:paraId="0897991B" w14:textId="77777777" w:rsidR="00F37940" w:rsidRPr="00A61CBC" w:rsidRDefault="00F37940" w:rsidP="00196B5F">
            <w:pPr>
              <w:pStyle w:val="TableText"/>
              <w:rPr>
                <w:b/>
              </w:rPr>
            </w:pPr>
            <w:r w:rsidRPr="00A61CBC">
              <w:t>0.88</w:t>
            </w:r>
          </w:p>
        </w:tc>
      </w:tr>
      <w:tr w:rsidR="00F37940" w:rsidRPr="00A61CBC" w14:paraId="5CF7D83C" w14:textId="77777777" w:rsidTr="00661127">
        <w:tc>
          <w:tcPr>
            <w:tcW w:w="1741" w:type="dxa"/>
            <w:vAlign w:val="center"/>
          </w:tcPr>
          <w:p w14:paraId="3EDC622F" w14:textId="77777777" w:rsidR="00F37940" w:rsidRPr="00A61CBC" w:rsidRDefault="00F37940" w:rsidP="00196B5F">
            <w:pPr>
              <w:pStyle w:val="TableText"/>
            </w:pPr>
            <w:r w:rsidRPr="00A61CBC">
              <w:t>28</w:t>
            </w:r>
          </w:p>
        </w:tc>
        <w:tc>
          <w:tcPr>
            <w:tcW w:w="2039" w:type="dxa"/>
            <w:vAlign w:val="center"/>
          </w:tcPr>
          <w:p w14:paraId="27AF71CD" w14:textId="77777777" w:rsidR="00F37940" w:rsidRPr="00A61CBC" w:rsidRDefault="00F37940" w:rsidP="00196B5F">
            <w:pPr>
              <w:pStyle w:val="TableText"/>
              <w:rPr>
                <w:b/>
              </w:rPr>
            </w:pPr>
            <w:r w:rsidRPr="00A61CBC">
              <w:t>Volatility</w:t>
            </w:r>
          </w:p>
        </w:tc>
        <w:tc>
          <w:tcPr>
            <w:tcW w:w="1804" w:type="dxa"/>
            <w:vAlign w:val="center"/>
          </w:tcPr>
          <w:p w14:paraId="10AD9F51" w14:textId="77777777" w:rsidR="00F37940" w:rsidRPr="00A61CBC" w:rsidRDefault="00F37940" w:rsidP="00196B5F">
            <w:pPr>
              <w:pStyle w:val="TableText"/>
              <w:rPr>
                <w:b/>
              </w:rPr>
            </w:pPr>
            <w:r w:rsidRPr="00A61CBC">
              <w:t>0.61</w:t>
            </w:r>
          </w:p>
        </w:tc>
        <w:tc>
          <w:tcPr>
            <w:tcW w:w="1853" w:type="dxa"/>
            <w:vAlign w:val="center"/>
          </w:tcPr>
          <w:p w14:paraId="6FC591BB" w14:textId="77777777" w:rsidR="00F37940" w:rsidRPr="00A61CBC" w:rsidRDefault="00F37940" w:rsidP="00196B5F">
            <w:pPr>
              <w:pStyle w:val="TableText"/>
              <w:rPr>
                <w:b/>
              </w:rPr>
            </w:pPr>
            <w:r w:rsidRPr="00A61CBC">
              <w:t>Gain</w:t>
            </w:r>
          </w:p>
        </w:tc>
        <w:tc>
          <w:tcPr>
            <w:tcW w:w="1805" w:type="dxa"/>
            <w:vAlign w:val="center"/>
          </w:tcPr>
          <w:p w14:paraId="0974B2B1" w14:textId="77777777" w:rsidR="00F37940" w:rsidRPr="00A61CBC" w:rsidRDefault="00F37940" w:rsidP="00196B5F">
            <w:pPr>
              <w:pStyle w:val="TableText"/>
              <w:rPr>
                <w:b/>
              </w:rPr>
            </w:pPr>
            <w:r w:rsidRPr="00A61CBC">
              <w:t>0.88</w:t>
            </w:r>
          </w:p>
        </w:tc>
      </w:tr>
      <w:tr w:rsidR="00F37940" w:rsidRPr="00A61CBC" w14:paraId="09015EE5" w14:textId="77777777" w:rsidTr="00661127">
        <w:tc>
          <w:tcPr>
            <w:tcW w:w="1741" w:type="dxa"/>
            <w:vAlign w:val="center"/>
          </w:tcPr>
          <w:p w14:paraId="2B2F6EE2" w14:textId="77777777" w:rsidR="00F37940" w:rsidRPr="00A61CBC" w:rsidRDefault="00F37940" w:rsidP="00196B5F">
            <w:pPr>
              <w:pStyle w:val="TableText"/>
            </w:pPr>
            <w:r w:rsidRPr="00A61CBC">
              <w:t>29</w:t>
            </w:r>
          </w:p>
        </w:tc>
        <w:tc>
          <w:tcPr>
            <w:tcW w:w="2039" w:type="dxa"/>
            <w:vAlign w:val="center"/>
          </w:tcPr>
          <w:p w14:paraId="55BD9BF5" w14:textId="77777777" w:rsidR="00F37940" w:rsidRPr="00A61CBC" w:rsidRDefault="00F37940" w:rsidP="00196B5F">
            <w:pPr>
              <w:pStyle w:val="TableText"/>
              <w:rPr>
                <w:b/>
              </w:rPr>
            </w:pPr>
            <w:r w:rsidRPr="00A61CBC">
              <w:t>Lost</w:t>
            </w:r>
          </w:p>
        </w:tc>
        <w:tc>
          <w:tcPr>
            <w:tcW w:w="1804" w:type="dxa"/>
            <w:vAlign w:val="center"/>
          </w:tcPr>
          <w:p w14:paraId="6614E742" w14:textId="77777777" w:rsidR="00F37940" w:rsidRPr="00A61CBC" w:rsidRDefault="00F37940" w:rsidP="00196B5F">
            <w:pPr>
              <w:pStyle w:val="TableText"/>
              <w:rPr>
                <w:b/>
              </w:rPr>
            </w:pPr>
            <w:r w:rsidRPr="00A61CBC">
              <w:t>0.60</w:t>
            </w:r>
          </w:p>
        </w:tc>
        <w:tc>
          <w:tcPr>
            <w:tcW w:w="1853" w:type="dxa"/>
            <w:vAlign w:val="center"/>
          </w:tcPr>
          <w:p w14:paraId="4AF8C656" w14:textId="77777777" w:rsidR="00F37940" w:rsidRPr="00A61CBC" w:rsidRDefault="00F37940" w:rsidP="00196B5F">
            <w:pPr>
              <w:pStyle w:val="TableText"/>
              <w:rPr>
                <w:b/>
              </w:rPr>
            </w:pPr>
            <w:r w:rsidRPr="00A61CBC">
              <w:t>Despite</w:t>
            </w:r>
          </w:p>
        </w:tc>
        <w:tc>
          <w:tcPr>
            <w:tcW w:w="1805" w:type="dxa"/>
            <w:vAlign w:val="center"/>
          </w:tcPr>
          <w:p w14:paraId="44DDB8A5" w14:textId="77777777" w:rsidR="00F37940" w:rsidRPr="00A61CBC" w:rsidRDefault="00F37940" w:rsidP="00196B5F">
            <w:pPr>
              <w:pStyle w:val="TableText"/>
              <w:rPr>
                <w:b/>
              </w:rPr>
            </w:pPr>
            <w:r w:rsidRPr="00A61CBC">
              <w:t>0.86</w:t>
            </w:r>
          </w:p>
        </w:tc>
      </w:tr>
      <w:tr w:rsidR="00F37940" w:rsidRPr="00A61CBC" w14:paraId="617FF435" w14:textId="77777777" w:rsidTr="00661127">
        <w:tc>
          <w:tcPr>
            <w:tcW w:w="1741" w:type="dxa"/>
            <w:tcBorders>
              <w:bottom w:val="single" w:sz="4" w:space="0" w:color="auto"/>
            </w:tcBorders>
            <w:vAlign w:val="center"/>
          </w:tcPr>
          <w:p w14:paraId="14A23F93" w14:textId="77777777" w:rsidR="00F37940" w:rsidRPr="00A61CBC" w:rsidRDefault="00F37940" w:rsidP="00196B5F">
            <w:pPr>
              <w:pStyle w:val="TableText"/>
            </w:pPr>
            <w:r w:rsidRPr="00A61CBC">
              <w:t>30</w:t>
            </w:r>
          </w:p>
        </w:tc>
        <w:tc>
          <w:tcPr>
            <w:tcW w:w="2039" w:type="dxa"/>
            <w:tcBorders>
              <w:bottom w:val="single" w:sz="4" w:space="0" w:color="auto"/>
            </w:tcBorders>
            <w:vAlign w:val="center"/>
          </w:tcPr>
          <w:p w14:paraId="2F6DAFB6" w14:textId="77777777" w:rsidR="00F37940" w:rsidRPr="00A61CBC" w:rsidRDefault="00F37940" w:rsidP="00196B5F">
            <w:pPr>
              <w:pStyle w:val="TableText"/>
              <w:rPr>
                <w:b/>
              </w:rPr>
            </w:pPr>
            <w:r w:rsidRPr="00A61CBC">
              <w:t>Weakness</w:t>
            </w:r>
          </w:p>
        </w:tc>
        <w:tc>
          <w:tcPr>
            <w:tcW w:w="1804" w:type="dxa"/>
            <w:tcBorders>
              <w:bottom w:val="single" w:sz="4" w:space="0" w:color="auto"/>
            </w:tcBorders>
            <w:vAlign w:val="center"/>
          </w:tcPr>
          <w:p w14:paraId="1DFAB3A2" w14:textId="77777777" w:rsidR="00F37940" w:rsidRPr="00A61CBC" w:rsidRDefault="00F37940" w:rsidP="00196B5F">
            <w:pPr>
              <w:pStyle w:val="TableText"/>
              <w:rPr>
                <w:b/>
              </w:rPr>
            </w:pPr>
            <w:r w:rsidRPr="00A61CBC">
              <w:t>0.59</w:t>
            </w:r>
          </w:p>
        </w:tc>
        <w:tc>
          <w:tcPr>
            <w:tcW w:w="1853" w:type="dxa"/>
            <w:tcBorders>
              <w:bottom w:val="single" w:sz="4" w:space="0" w:color="auto"/>
            </w:tcBorders>
            <w:vAlign w:val="center"/>
          </w:tcPr>
          <w:p w14:paraId="35CA1183" w14:textId="77777777" w:rsidR="00F37940" w:rsidRPr="00A61CBC" w:rsidRDefault="00F37940" w:rsidP="00196B5F">
            <w:pPr>
              <w:pStyle w:val="TableText"/>
              <w:rPr>
                <w:b/>
              </w:rPr>
            </w:pPr>
            <w:r w:rsidRPr="00A61CBC">
              <w:t>Achieve</w:t>
            </w:r>
          </w:p>
        </w:tc>
        <w:tc>
          <w:tcPr>
            <w:tcW w:w="1805" w:type="dxa"/>
            <w:tcBorders>
              <w:bottom w:val="single" w:sz="4" w:space="0" w:color="auto"/>
            </w:tcBorders>
            <w:vAlign w:val="center"/>
          </w:tcPr>
          <w:p w14:paraId="240EA941" w14:textId="77777777" w:rsidR="00F37940" w:rsidRPr="00A61CBC" w:rsidRDefault="00F37940" w:rsidP="00196B5F">
            <w:pPr>
              <w:pStyle w:val="TableText"/>
              <w:rPr>
                <w:b/>
              </w:rPr>
            </w:pPr>
            <w:r w:rsidRPr="00A61CBC">
              <w:t>0.86</w:t>
            </w:r>
          </w:p>
        </w:tc>
      </w:tr>
    </w:tbl>
    <w:p w14:paraId="04C88E0B" w14:textId="77777777" w:rsidR="00F37940" w:rsidRDefault="00F37940" w:rsidP="003E49E8"/>
    <w:p w14:paraId="255E7D6E" w14:textId="77777777" w:rsidR="006708C8" w:rsidRDefault="006708C8">
      <w:pPr>
        <w:sectPr w:rsidR="006708C8" w:rsidSect="00C61886">
          <w:footnotePr>
            <w:numRestart w:val="eachSect"/>
          </w:footnotePr>
          <w:endnotePr>
            <w:numFmt w:val="decimal"/>
          </w:endnotePr>
          <w:pgSz w:w="11906" w:h="16838"/>
          <w:pgMar w:top="1440" w:right="1440" w:bottom="1440" w:left="1440" w:header="708" w:footer="708" w:gutter="0"/>
          <w:cols w:space="708"/>
          <w:docGrid w:linePitch="360"/>
        </w:sectPr>
      </w:pPr>
    </w:p>
    <w:p w14:paraId="1929D3EA" w14:textId="4E274341" w:rsidR="00D45D64" w:rsidRPr="00D45D64" w:rsidRDefault="00D45D64" w:rsidP="00196B5F">
      <w:pPr>
        <w:pStyle w:val="Heading1"/>
        <w:rPr>
          <w:lang w:val="en-GB"/>
        </w:rPr>
      </w:pPr>
      <w:r w:rsidRPr="00D45D64">
        <w:rPr>
          <w:lang w:val="en-GB"/>
        </w:rPr>
        <w:lastRenderedPageBreak/>
        <w:t>Compliance with Ethical Standards</w:t>
      </w:r>
    </w:p>
    <w:p w14:paraId="15D0036E" w14:textId="2CBE08E3" w:rsidR="00D45D64" w:rsidRDefault="00D45D64" w:rsidP="00196B5F">
      <w:pPr>
        <w:pStyle w:val="NoIndentNormal"/>
        <w:rPr>
          <w:lang w:val="en-GB"/>
        </w:rPr>
      </w:pPr>
      <w:r w:rsidRPr="00D45D64">
        <w:rPr>
          <w:lang w:val="en-GB"/>
        </w:rPr>
        <w:t>This research received no specific grant from any funding agency in the public, commercial or not-for-profit sectors.</w:t>
      </w:r>
    </w:p>
    <w:p w14:paraId="5D5A6F4C" w14:textId="1167C4CF" w:rsidR="00D45D64" w:rsidRPr="00D45D64" w:rsidRDefault="00D45D64" w:rsidP="00196B5F">
      <w:pPr>
        <w:pStyle w:val="Heading1"/>
        <w:rPr>
          <w:lang w:val="en-GB"/>
        </w:rPr>
      </w:pPr>
      <w:r w:rsidRPr="00D45D64">
        <w:rPr>
          <w:lang w:val="en-GB"/>
        </w:rPr>
        <w:t>Ethical approval</w:t>
      </w:r>
    </w:p>
    <w:p w14:paraId="53A632CC" w14:textId="19474E3C" w:rsidR="00D45D64" w:rsidRDefault="00D45D64" w:rsidP="00196B5F">
      <w:pPr>
        <w:pStyle w:val="NoIndentNormal"/>
        <w:rPr>
          <w:lang w:val="en-GB"/>
        </w:rPr>
      </w:pPr>
      <w:r w:rsidRPr="00196B5F">
        <w:rPr>
          <w:lang w:val="en-GB"/>
        </w:rPr>
        <w:t>This article does not contain any studies with human participants or animals performed by any of the authors.</w:t>
      </w:r>
      <w:r>
        <w:rPr>
          <w:lang w:val="en-GB"/>
        </w:rPr>
        <w:br w:type="page"/>
      </w:r>
    </w:p>
    <w:p w14:paraId="7BA8A17D" w14:textId="77777777" w:rsidR="00573178" w:rsidRPr="004B5AE8" w:rsidRDefault="00573178" w:rsidP="00196B5F">
      <w:pPr>
        <w:pStyle w:val="Heading1"/>
        <w:rPr>
          <w:lang w:val="en-GB"/>
        </w:rPr>
      </w:pPr>
      <w:r w:rsidRPr="004B5AE8">
        <w:rPr>
          <w:lang w:val="en-GB"/>
        </w:rPr>
        <w:lastRenderedPageBreak/>
        <w:t>References</w:t>
      </w:r>
    </w:p>
    <w:p w14:paraId="5B505FCF" w14:textId="0D580FF1" w:rsidR="00EB408C" w:rsidRPr="003E49E8" w:rsidRDefault="00EB408C" w:rsidP="003E49E8">
      <w:pPr>
        <w:pStyle w:val="References"/>
      </w:pPr>
      <w:r w:rsidRPr="00E62B59">
        <w:t xml:space="preserve">Andreou, P. C., Antoniou, C., Horton, J., </w:t>
      </w:r>
      <w:r w:rsidR="0053550D">
        <w:t>&amp;</w:t>
      </w:r>
      <w:r w:rsidR="0053550D" w:rsidRPr="00E62B59">
        <w:t xml:space="preserve"> </w:t>
      </w:r>
      <w:r w:rsidRPr="00E62B59">
        <w:t>Louca</w:t>
      </w:r>
      <w:r w:rsidRPr="00ED533B">
        <w:t xml:space="preserve">, C. (2016). Corporate governance and firm-specific stock price crashes. </w:t>
      </w:r>
      <w:r w:rsidRPr="00ED533B">
        <w:rPr>
          <w:i/>
        </w:rPr>
        <w:t>European Financial Management</w:t>
      </w:r>
      <w:r w:rsidRPr="00ED533B">
        <w:t xml:space="preserve">, </w:t>
      </w:r>
      <w:r w:rsidRPr="003E49E8">
        <w:rPr>
          <w:i/>
        </w:rPr>
        <w:t>22</w:t>
      </w:r>
      <w:r w:rsidR="0053550D">
        <w:rPr>
          <w:iCs/>
        </w:rPr>
        <w:t>(5)</w:t>
      </w:r>
      <w:r w:rsidRPr="003E49E8">
        <w:t>, 916</w:t>
      </w:r>
      <w:r w:rsidR="0053550D">
        <w:t>–</w:t>
      </w:r>
      <w:r w:rsidRPr="003E49E8">
        <w:t>956.</w:t>
      </w:r>
    </w:p>
    <w:p w14:paraId="35786317" w14:textId="6720C812" w:rsidR="00EB408C" w:rsidRPr="004B5AE8" w:rsidRDefault="00EB408C" w:rsidP="00B70E79">
      <w:pPr>
        <w:pStyle w:val="References"/>
      </w:pPr>
      <w:r w:rsidRPr="004B5AE8">
        <w:t xml:space="preserve">Andreou, P. C., Louca, C., </w:t>
      </w:r>
      <w:r w:rsidR="0053550D">
        <w:t>&amp;</w:t>
      </w:r>
      <w:r w:rsidR="0053550D" w:rsidRPr="004B5AE8">
        <w:t xml:space="preserve"> </w:t>
      </w:r>
      <w:r w:rsidRPr="004B5AE8">
        <w:t xml:space="preserve">Petrou, A. P. (2017). CEO age and stock price crash risk. </w:t>
      </w:r>
      <w:r w:rsidRPr="004B5AE8">
        <w:rPr>
          <w:i/>
        </w:rPr>
        <w:t>Review of Finance</w:t>
      </w:r>
      <w:r w:rsidRPr="004B5AE8">
        <w:t xml:space="preserve">, </w:t>
      </w:r>
      <w:r w:rsidRPr="004B5AE8">
        <w:rPr>
          <w:i/>
        </w:rPr>
        <w:t>21</w:t>
      </w:r>
      <w:r w:rsidR="0053550D">
        <w:rPr>
          <w:iCs/>
        </w:rPr>
        <w:t>(3)</w:t>
      </w:r>
      <w:r w:rsidRPr="004B5AE8">
        <w:t>, 1287</w:t>
      </w:r>
      <w:r w:rsidR="0053550D">
        <w:t>–</w:t>
      </w:r>
      <w:r w:rsidRPr="004B5AE8">
        <w:t>1325.</w:t>
      </w:r>
    </w:p>
    <w:p w14:paraId="667E297E" w14:textId="23C01579" w:rsidR="00EB408C" w:rsidRPr="004B5AE8" w:rsidRDefault="00EB408C">
      <w:pPr>
        <w:pStyle w:val="References"/>
        <w:rPr>
          <w:shd w:val="clear" w:color="auto" w:fill="FFFFFF"/>
        </w:rPr>
      </w:pPr>
      <w:r w:rsidRPr="004B5AE8">
        <w:t xml:space="preserve">Arslan-Ayaydin, Ö., Boudt, K., </w:t>
      </w:r>
      <w:r w:rsidR="0053550D">
        <w:t>&amp;</w:t>
      </w:r>
      <w:r w:rsidR="0053550D" w:rsidRPr="004B5AE8">
        <w:t xml:space="preserve"> </w:t>
      </w:r>
      <w:r w:rsidRPr="004B5AE8">
        <w:t>Thewissen</w:t>
      </w:r>
      <w:r w:rsidRPr="004B5AE8">
        <w:rPr>
          <w:shd w:val="clear" w:color="auto" w:fill="FFFFFF"/>
        </w:rPr>
        <w:t xml:space="preserve">, J. (2016). Managers set the tone: Equity incentives and the tone of earnings press releases. </w:t>
      </w:r>
      <w:r w:rsidRPr="004B5AE8">
        <w:rPr>
          <w:i/>
          <w:shd w:val="clear" w:color="auto" w:fill="FFFFFF"/>
        </w:rPr>
        <w:t>Journal of Banking and Finance, 72</w:t>
      </w:r>
      <w:r w:rsidRPr="004B5AE8">
        <w:rPr>
          <w:shd w:val="clear" w:color="auto" w:fill="FFFFFF"/>
        </w:rPr>
        <w:t>, S132</w:t>
      </w:r>
      <w:r w:rsidR="0053550D">
        <w:rPr>
          <w:shd w:val="clear" w:color="auto" w:fill="FFFFFF"/>
        </w:rPr>
        <w:t>–</w:t>
      </w:r>
      <w:r w:rsidRPr="004B5AE8">
        <w:rPr>
          <w:shd w:val="clear" w:color="auto" w:fill="FFFFFF"/>
        </w:rPr>
        <w:t>S147.</w:t>
      </w:r>
    </w:p>
    <w:p w14:paraId="110AB333" w14:textId="25EF132E" w:rsidR="00EB408C" w:rsidRPr="004B5AE8" w:rsidRDefault="00EB408C">
      <w:pPr>
        <w:pStyle w:val="References"/>
        <w:rPr>
          <w:shd w:val="clear" w:color="auto" w:fill="FFFFFF"/>
        </w:rPr>
      </w:pPr>
      <w:r w:rsidRPr="004B5AE8">
        <w:rPr>
          <w:shd w:val="clear" w:color="auto" w:fill="FFFFFF"/>
        </w:rPr>
        <w:t xml:space="preserve">Baginski, S., Demers, E., Wang, C., &amp; Yu, J. (2016). Contemporaneous verification of language: </w:t>
      </w:r>
      <w:r w:rsidR="0053550D">
        <w:rPr>
          <w:shd w:val="clear" w:color="auto" w:fill="FFFFFF"/>
        </w:rPr>
        <w:t>E</w:t>
      </w:r>
      <w:r w:rsidR="0053550D" w:rsidRPr="004B5AE8">
        <w:rPr>
          <w:shd w:val="clear" w:color="auto" w:fill="FFFFFF"/>
        </w:rPr>
        <w:t xml:space="preserve">vidence </w:t>
      </w:r>
      <w:r w:rsidRPr="004B5AE8">
        <w:rPr>
          <w:shd w:val="clear" w:color="auto" w:fill="FFFFFF"/>
        </w:rPr>
        <w:t>from management earnings forecasts</w:t>
      </w:r>
      <w:r w:rsidR="0053550D" w:rsidRPr="004B5AE8">
        <w:rPr>
          <w:shd w:val="clear" w:color="auto" w:fill="FFFFFF"/>
        </w:rPr>
        <w:t>.</w:t>
      </w:r>
      <w:r w:rsidR="0053550D">
        <w:rPr>
          <w:shd w:val="clear" w:color="auto" w:fill="FFFFFF"/>
        </w:rPr>
        <w:t xml:space="preserve"> </w:t>
      </w:r>
      <w:r w:rsidRPr="004B5AE8">
        <w:rPr>
          <w:i/>
          <w:iCs/>
          <w:shd w:val="clear" w:color="auto" w:fill="FFFFFF"/>
        </w:rPr>
        <w:t>Review of Accounting Studies</w:t>
      </w:r>
      <w:r w:rsidR="0053550D" w:rsidRPr="004B5AE8">
        <w:rPr>
          <w:shd w:val="clear" w:color="auto" w:fill="FFFFFF"/>
        </w:rPr>
        <w:t>,</w:t>
      </w:r>
      <w:r w:rsidR="0053550D">
        <w:rPr>
          <w:shd w:val="clear" w:color="auto" w:fill="FFFFFF"/>
        </w:rPr>
        <w:t xml:space="preserve"> </w:t>
      </w:r>
      <w:r w:rsidRPr="004B5AE8">
        <w:rPr>
          <w:i/>
          <w:iCs/>
          <w:shd w:val="clear" w:color="auto" w:fill="FFFFFF"/>
        </w:rPr>
        <w:t>21</w:t>
      </w:r>
      <w:r w:rsidR="0053550D">
        <w:rPr>
          <w:shd w:val="clear" w:color="auto" w:fill="FFFFFF"/>
        </w:rPr>
        <w:t>(1)</w:t>
      </w:r>
      <w:r w:rsidRPr="004B5AE8">
        <w:rPr>
          <w:shd w:val="clear" w:color="auto" w:fill="FFFFFF"/>
        </w:rPr>
        <w:t>, 165</w:t>
      </w:r>
      <w:r w:rsidR="0053550D">
        <w:rPr>
          <w:shd w:val="clear" w:color="auto" w:fill="FFFFFF"/>
        </w:rPr>
        <w:t>–</w:t>
      </w:r>
      <w:r w:rsidRPr="004B5AE8">
        <w:rPr>
          <w:shd w:val="clear" w:color="auto" w:fill="FFFFFF"/>
        </w:rPr>
        <w:t>197.</w:t>
      </w:r>
    </w:p>
    <w:p w14:paraId="628958A2" w14:textId="4BE3C501" w:rsidR="00EB408C" w:rsidRPr="004B5AE8" w:rsidRDefault="00EB408C">
      <w:pPr>
        <w:pStyle w:val="References"/>
        <w:rPr>
          <w:shd w:val="clear" w:color="auto" w:fill="FFFFFF"/>
        </w:rPr>
      </w:pPr>
      <w:r w:rsidRPr="004B5AE8">
        <w:rPr>
          <w:shd w:val="clear" w:color="auto" w:fill="FFFFFF"/>
        </w:rPr>
        <w:t xml:space="preserve">Barber, B. M., </w:t>
      </w:r>
      <w:r w:rsidR="0053550D">
        <w:rPr>
          <w:shd w:val="clear" w:color="auto" w:fill="FFFFFF"/>
        </w:rPr>
        <w:t>&amp;</w:t>
      </w:r>
      <w:r w:rsidR="0053550D" w:rsidRPr="004B5AE8">
        <w:rPr>
          <w:shd w:val="clear" w:color="auto" w:fill="FFFFFF"/>
        </w:rPr>
        <w:t xml:space="preserve"> </w:t>
      </w:r>
      <w:r w:rsidRPr="004B5AE8">
        <w:rPr>
          <w:shd w:val="clear" w:color="auto" w:fill="FFFFFF"/>
        </w:rPr>
        <w:t>Odean, T. (2013). The behavior of individual investors</w:t>
      </w:r>
      <w:r w:rsidR="0053550D">
        <w:rPr>
          <w:shd w:val="clear" w:color="auto" w:fill="FFFFFF"/>
        </w:rPr>
        <w:t>. In G. Constantinides, M. Harris &amp; R. M. Stulz (eds.),</w:t>
      </w:r>
      <w:r w:rsidR="0053550D" w:rsidRPr="004B5AE8">
        <w:rPr>
          <w:shd w:val="clear" w:color="auto" w:fill="FFFFFF"/>
        </w:rPr>
        <w:t xml:space="preserve"> </w:t>
      </w:r>
      <w:r w:rsidRPr="004B5AE8">
        <w:rPr>
          <w:i/>
          <w:shd w:val="clear" w:color="auto" w:fill="FFFFFF"/>
        </w:rPr>
        <w:t xml:space="preserve">Handbook of the </w:t>
      </w:r>
      <w:r w:rsidR="003843F9">
        <w:rPr>
          <w:i/>
          <w:shd w:val="clear" w:color="auto" w:fill="FFFFFF"/>
        </w:rPr>
        <w:t>e</w:t>
      </w:r>
      <w:r w:rsidR="003843F9" w:rsidRPr="004B5AE8">
        <w:rPr>
          <w:i/>
          <w:shd w:val="clear" w:color="auto" w:fill="FFFFFF"/>
        </w:rPr>
        <w:t xml:space="preserve">conomics </w:t>
      </w:r>
      <w:r w:rsidRPr="004B5AE8">
        <w:rPr>
          <w:i/>
          <w:shd w:val="clear" w:color="auto" w:fill="FFFFFF"/>
        </w:rPr>
        <w:t xml:space="preserve">of </w:t>
      </w:r>
      <w:r w:rsidR="003843F9">
        <w:rPr>
          <w:i/>
          <w:shd w:val="clear" w:color="auto" w:fill="FFFFFF"/>
        </w:rPr>
        <w:t>f</w:t>
      </w:r>
      <w:r w:rsidR="003843F9" w:rsidRPr="004B5AE8">
        <w:rPr>
          <w:i/>
          <w:shd w:val="clear" w:color="auto" w:fill="FFFFFF"/>
        </w:rPr>
        <w:t>inance</w:t>
      </w:r>
      <w:r w:rsidRPr="004B5AE8">
        <w:rPr>
          <w:shd w:val="clear" w:color="auto" w:fill="FFFFFF"/>
        </w:rPr>
        <w:t xml:space="preserve">, </w:t>
      </w:r>
      <w:r w:rsidR="0053550D">
        <w:rPr>
          <w:shd w:val="clear" w:color="auto" w:fill="FFFFFF"/>
        </w:rPr>
        <w:t xml:space="preserve">vol. </w:t>
      </w:r>
      <w:r w:rsidRPr="00196B5F">
        <w:rPr>
          <w:iCs/>
          <w:shd w:val="clear" w:color="auto" w:fill="FFFFFF"/>
        </w:rPr>
        <w:t>2</w:t>
      </w:r>
      <w:r w:rsidR="0053550D">
        <w:rPr>
          <w:shd w:val="clear" w:color="auto" w:fill="FFFFFF"/>
        </w:rPr>
        <w:t xml:space="preserve"> (pp. </w:t>
      </w:r>
      <w:r w:rsidRPr="004B5AE8">
        <w:rPr>
          <w:shd w:val="clear" w:color="auto" w:fill="FFFFFF"/>
        </w:rPr>
        <w:t>1533</w:t>
      </w:r>
      <w:r w:rsidR="0053550D">
        <w:rPr>
          <w:shd w:val="clear" w:color="auto" w:fill="FFFFFF"/>
        </w:rPr>
        <w:t>–</w:t>
      </w:r>
      <w:r w:rsidRPr="004B5AE8">
        <w:rPr>
          <w:shd w:val="clear" w:color="auto" w:fill="FFFFFF"/>
        </w:rPr>
        <w:t>1570</w:t>
      </w:r>
      <w:r w:rsidR="0053550D">
        <w:rPr>
          <w:shd w:val="clear" w:color="auto" w:fill="FFFFFF"/>
        </w:rPr>
        <w:t>)</w:t>
      </w:r>
      <w:r w:rsidRPr="004B5AE8">
        <w:rPr>
          <w:shd w:val="clear" w:color="auto" w:fill="FFFFFF"/>
        </w:rPr>
        <w:t>.</w:t>
      </w:r>
      <w:r w:rsidR="003843F9">
        <w:rPr>
          <w:shd w:val="clear" w:color="auto" w:fill="FFFFFF"/>
        </w:rPr>
        <w:t xml:space="preserve"> Elsevier, Amsterdam.</w:t>
      </w:r>
    </w:p>
    <w:p w14:paraId="4A1A2607" w14:textId="06D47FE5" w:rsidR="00EB408C" w:rsidRPr="00196B5F" w:rsidRDefault="00EB408C">
      <w:pPr>
        <w:pStyle w:val="References"/>
      </w:pPr>
      <w:r w:rsidRPr="004B5AE8">
        <w:rPr>
          <w:shd w:val="clear" w:color="auto" w:fill="FFFFFF"/>
        </w:rPr>
        <w:t xml:space="preserve">Bebchuk, L. A. (2009). </w:t>
      </w:r>
      <w:r w:rsidRPr="004B5AE8">
        <w:rPr>
          <w:i/>
          <w:shd w:val="clear" w:color="auto" w:fill="FFFFFF"/>
        </w:rPr>
        <w:t>Compensation structures and systemic risk</w:t>
      </w:r>
      <w:r w:rsidRPr="004B5AE8">
        <w:rPr>
          <w:shd w:val="clear" w:color="auto" w:fill="FFFFFF"/>
        </w:rPr>
        <w:t>.</w:t>
      </w:r>
      <w:r w:rsidR="003843F9">
        <w:rPr>
          <w:shd w:val="clear" w:color="auto" w:fill="FFFFFF"/>
        </w:rPr>
        <w:t xml:space="preserve"> US Government, Washington, DC.</w:t>
      </w:r>
      <w:r w:rsidRPr="004B5AE8">
        <w:rPr>
          <w:shd w:val="clear" w:color="auto" w:fill="FFFFFF"/>
        </w:rPr>
        <w:t xml:space="preserve"> </w:t>
      </w:r>
      <w:hyperlink r:id="rId12" w:history="1">
        <w:r w:rsidRPr="00196B5F">
          <w:t>https://www.govinfo.gov/content/pkg/CHRG-111hhrg52398/pdf/CHRG-111hhrg52398.pdf</w:t>
        </w:r>
      </w:hyperlink>
      <w:r w:rsidRPr="00196B5F">
        <w:t>.</w:t>
      </w:r>
    </w:p>
    <w:p w14:paraId="6831B8F3" w14:textId="073E0D13" w:rsidR="00EB408C" w:rsidRPr="004B5AE8" w:rsidRDefault="00EB408C">
      <w:pPr>
        <w:pStyle w:val="References"/>
        <w:rPr>
          <w:shd w:val="clear" w:color="auto" w:fill="FFFFFF"/>
        </w:rPr>
      </w:pPr>
      <w:r w:rsidRPr="004B5AE8">
        <w:rPr>
          <w:shd w:val="clear" w:color="auto" w:fill="FFFFFF"/>
        </w:rPr>
        <w:t xml:space="preserve">Benmelech, E., Kandel, E., </w:t>
      </w:r>
      <w:r w:rsidR="00DC4A25">
        <w:rPr>
          <w:shd w:val="clear" w:color="auto" w:fill="FFFFFF"/>
        </w:rPr>
        <w:t>&amp;</w:t>
      </w:r>
      <w:r w:rsidR="00DC4A25" w:rsidRPr="004B5AE8">
        <w:rPr>
          <w:shd w:val="clear" w:color="auto" w:fill="FFFFFF"/>
        </w:rPr>
        <w:t xml:space="preserve"> </w:t>
      </w:r>
      <w:r w:rsidRPr="004B5AE8">
        <w:rPr>
          <w:shd w:val="clear" w:color="auto" w:fill="FFFFFF"/>
        </w:rPr>
        <w:t xml:space="preserve">Veronesi, P. (2010). Stock-based compensation and CEO (dis)incentives. </w:t>
      </w:r>
      <w:r w:rsidRPr="004B5AE8">
        <w:rPr>
          <w:i/>
          <w:shd w:val="clear" w:color="auto" w:fill="FFFFFF"/>
        </w:rPr>
        <w:t>The Quarterly Journal of Economics, 125</w:t>
      </w:r>
      <w:r w:rsidR="00DC4A25">
        <w:rPr>
          <w:iCs/>
          <w:shd w:val="clear" w:color="auto" w:fill="FFFFFF"/>
        </w:rPr>
        <w:t>(4)</w:t>
      </w:r>
      <w:r w:rsidRPr="004B5AE8">
        <w:rPr>
          <w:shd w:val="clear" w:color="auto" w:fill="FFFFFF"/>
        </w:rPr>
        <w:t>, 1769</w:t>
      </w:r>
      <w:r w:rsidR="00DC4A25">
        <w:rPr>
          <w:shd w:val="clear" w:color="auto" w:fill="FFFFFF"/>
        </w:rPr>
        <w:t>–</w:t>
      </w:r>
      <w:r w:rsidRPr="004B5AE8">
        <w:rPr>
          <w:shd w:val="clear" w:color="auto" w:fill="FFFFFF"/>
        </w:rPr>
        <w:t>1820.</w:t>
      </w:r>
    </w:p>
    <w:p w14:paraId="56913D62" w14:textId="72DA14E3" w:rsidR="00EB408C" w:rsidRPr="004B5AE8" w:rsidRDefault="00EB408C">
      <w:pPr>
        <w:pStyle w:val="References"/>
        <w:rPr>
          <w:shd w:val="clear" w:color="auto" w:fill="FFFFFF"/>
        </w:rPr>
      </w:pPr>
      <w:r w:rsidRPr="004B5AE8">
        <w:rPr>
          <w:shd w:val="clear" w:color="auto" w:fill="FFFFFF"/>
        </w:rPr>
        <w:t xml:space="preserve">Blau, B. M., DeLisle, J. R., </w:t>
      </w:r>
      <w:r w:rsidR="00DC4A25">
        <w:rPr>
          <w:shd w:val="clear" w:color="auto" w:fill="FFFFFF"/>
        </w:rPr>
        <w:t>&amp;</w:t>
      </w:r>
      <w:r w:rsidR="00DC4A25" w:rsidRPr="004B5AE8">
        <w:rPr>
          <w:shd w:val="clear" w:color="auto" w:fill="FFFFFF"/>
        </w:rPr>
        <w:t xml:space="preserve"> </w:t>
      </w:r>
      <w:r w:rsidRPr="004B5AE8">
        <w:rPr>
          <w:shd w:val="clear" w:color="auto" w:fill="FFFFFF"/>
        </w:rPr>
        <w:t xml:space="preserve">Price, S. M. (2015). Do sophisticated investors interpret earnings conference call tone differently than investors at large? Evidence from short sales. </w:t>
      </w:r>
      <w:r w:rsidRPr="004B5AE8">
        <w:rPr>
          <w:i/>
          <w:iCs/>
          <w:shd w:val="clear" w:color="auto" w:fill="FFFFFF"/>
        </w:rPr>
        <w:t>Journal of Corporate Finance</w:t>
      </w:r>
      <w:r w:rsidRPr="004B5AE8">
        <w:rPr>
          <w:shd w:val="clear" w:color="auto" w:fill="FFFFFF"/>
        </w:rPr>
        <w:t xml:space="preserve">, </w:t>
      </w:r>
      <w:r w:rsidRPr="004B5AE8">
        <w:rPr>
          <w:i/>
          <w:iCs/>
          <w:shd w:val="clear" w:color="auto" w:fill="FFFFFF"/>
        </w:rPr>
        <w:t>31</w:t>
      </w:r>
      <w:r w:rsidRPr="004B5AE8">
        <w:rPr>
          <w:shd w:val="clear" w:color="auto" w:fill="FFFFFF"/>
        </w:rPr>
        <w:t>, 203</w:t>
      </w:r>
      <w:r w:rsidR="00DC4A25">
        <w:rPr>
          <w:shd w:val="clear" w:color="auto" w:fill="FFFFFF"/>
        </w:rPr>
        <w:t>–</w:t>
      </w:r>
      <w:r w:rsidRPr="004B5AE8">
        <w:rPr>
          <w:shd w:val="clear" w:color="auto" w:fill="FFFFFF"/>
        </w:rPr>
        <w:t>219.</w:t>
      </w:r>
    </w:p>
    <w:p w14:paraId="1CECC327" w14:textId="33604393" w:rsidR="00EB408C" w:rsidRPr="004B5AE8" w:rsidRDefault="00EB408C">
      <w:pPr>
        <w:pStyle w:val="References"/>
        <w:rPr>
          <w:shd w:val="clear" w:color="auto" w:fill="FFFFFF"/>
        </w:rPr>
      </w:pPr>
      <w:r w:rsidRPr="004B5AE8">
        <w:rPr>
          <w:shd w:val="clear" w:color="auto" w:fill="FFFFFF"/>
        </w:rPr>
        <w:t xml:space="preserve">Bloomfield, R. (2008). Discussion of “Annual report readability, current earnings, and earnings persistence”. </w:t>
      </w:r>
      <w:r w:rsidRPr="004B5AE8">
        <w:rPr>
          <w:i/>
          <w:shd w:val="clear" w:color="auto" w:fill="FFFFFF"/>
        </w:rPr>
        <w:t>Journal of Accounting and Economics</w:t>
      </w:r>
      <w:r w:rsidRPr="004B5AE8">
        <w:rPr>
          <w:shd w:val="clear" w:color="auto" w:fill="FFFFFF"/>
        </w:rPr>
        <w:t xml:space="preserve">, </w:t>
      </w:r>
      <w:r w:rsidRPr="004B5AE8">
        <w:rPr>
          <w:i/>
          <w:shd w:val="clear" w:color="auto" w:fill="FFFFFF"/>
        </w:rPr>
        <w:t>45</w:t>
      </w:r>
      <w:r w:rsidRPr="004B5AE8">
        <w:rPr>
          <w:shd w:val="clear" w:color="auto" w:fill="FFFFFF"/>
        </w:rPr>
        <w:t>, 248</w:t>
      </w:r>
      <w:r w:rsidR="00DC4A25">
        <w:rPr>
          <w:shd w:val="clear" w:color="auto" w:fill="FFFFFF"/>
        </w:rPr>
        <w:t>–</w:t>
      </w:r>
      <w:r w:rsidRPr="004B5AE8">
        <w:rPr>
          <w:shd w:val="clear" w:color="auto" w:fill="FFFFFF"/>
        </w:rPr>
        <w:t>252.</w:t>
      </w:r>
    </w:p>
    <w:p w14:paraId="42076DE2" w14:textId="06C65B0C" w:rsidR="00EB408C" w:rsidRPr="004B5AE8" w:rsidRDefault="00EB408C">
      <w:pPr>
        <w:pStyle w:val="References"/>
        <w:rPr>
          <w:shd w:val="clear" w:color="auto" w:fill="FFFFFF"/>
        </w:rPr>
      </w:pPr>
      <w:r w:rsidRPr="004B5AE8">
        <w:rPr>
          <w:shd w:val="clear" w:color="auto" w:fill="FFFFFF"/>
        </w:rPr>
        <w:lastRenderedPageBreak/>
        <w:t xml:space="preserve">Borochin, P., Cicon, J., DeLisle, J., </w:t>
      </w:r>
      <w:r w:rsidR="00DC4A25">
        <w:rPr>
          <w:shd w:val="clear" w:color="auto" w:fill="FFFFFF"/>
        </w:rPr>
        <w:t>&amp;</w:t>
      </w:r>
      <w:r w:rsidR="00DC4A25" w:rsidRPr="004B5AE8">
        <w:rPr>
          <w:shd w:val="clear" w:color="auto" w:fill="FFFFFF"/>
        </w:rPr>
        <w:t xml:space="preserve"> </w:t>
      </w:r>
      <w:r w:rsidRPr="004B5AE8">
        <w:rPr>
          <w:shd w:val="clear" w:color="auto" w:fill="FFFFFF"/>
        </w:rPr>
        <w:t xml:space="preserve">Price, S. M. (2018). The </w:t>
      </w:r>
      <w:r w:rsidR="00DC4A25">
        <w:rPr>
          <w:shd w:val="clear" w:color="auto" w:fill="FFFFFF"/>
        </w:rPr>
        <w:t>e</w:t>
      </w:r>
      <w:r w:rsidR="00DC4A25" w:rsidRPr="004B5AE8">
        <w:rPr>
          <w:shd w:val="clear" w:color="auto" w:fill="FFFFFF"/>
        </w:rPr>
        <w:t xml:space="preserve">ffects </w:t>
      </w:r>
      <w:r w:rsidRPr="004B5AE8">
        <w:rPr>
          <w:shd w:val="clear" w:color="auto" w:fill="FFFFFF"/>
        </w:rPr>
        <w:t>of conference call content on market perceptions of value uncertainty.</w:t>
      </w:r>
      <w:r w:rsidRPr="004B5AE8">
        <w:rPr>
          <w:i/>
          <w:shd w:val="clear" w:color="auto" w:fill="FFFFFF"/>
        </w:rPr>
        <w:t xml:space="preserve"> Journal of Financial Markets, 40, </w:t>
      </w:r>
      <w:r w:rsidRPr="004B5AE8">
        <w:rPr>
          <w:shd w:val="clear" w:color="auto" w:fill="FFFFFF"/>
        </w:rPr>
        <w:t>75</w:t>
      </w:r>
      <w:r w:rsidR="00DC4A25">
        <w:rPr>
          <w:shd w:val="clear" w:color="auto" w:fill="FFFFFF"/>
        </w:rPr>
        <w:t>–</w:t>
      </w:r>
      <w:r w:rsidRPr="004B5AE8">
        <w:rPr>
          <w:shd w:val="clear" w:color="auto" w:fill="FFFFFF"/>
        </w:rPr>
        <w:t>91.</w:t>
      </w:r>
    </w:p>
    <w:p w14:paraId="320F5237" w14:textId="06FF495B" w:rsidR="00EB408C" w:rsidRPr="004B5AE8" w:rsidRDefault="00EB408C">
      <w:pPr>
        <w:pStyle w:val="References"/>
        <w:rPr>
          <w:shd w:val="clear" w:color="auto" w:fill="FFFFFF"/>
        </w:rPr>
      </w:pPr>
      <w:r w:rsidRPr="004B5AE8">
        <w:rPr>
          <w:shd w:val="clear" w:color="auto" w:fill="FFFFFF"/>
        </w:rPr>
        <w:t xml:space="preserve">Bozzolan, S., Cho, C. H., </w:t>
      </w:r>
      <w:r w:rsidR="00DC4A25">
        <w:rPr>
          <w:shd w:val="clear" w:color="auto" w:fill="FFFFFF"/>
        </w:rPr>
        <w:t>&amp;</w:t>
      </w:r>
      <w:r w:rsidR="00DC4A25" w:rsidRPr="004B5AE8">
        <w:rPr>
          <w:shd w:val="clear" w:color="auto" w:fill="FFFFFF"/>
        </w:rPr>
        <w:t xml:space="preserve"> </w:t>
      </w:r>
      <w:r w:rsidRPr="004B5AE8">
        <w:rPr>
          <w:shd w:val="clear" w:color="auto" w:fill="FFFFFF"/>
        </w:rPr>
        <w:t xml:space="preserve">Michelon, G. (2015). Impression management and organizational audiences: The Fiat </w:t>
      </w:r>
      <w:r w:rsidR="00552A95">
        <w:rPr>
          <w:shd w:val="clear" w:color="auto" w:fill="FFFFFF"/>
        </w:rPr>
        <w:t>G</w:t>
      </w:r>
      <w:r w:rsidR="00552A95" w:rsidRPr="004B5AE8">
        <w:rPr>
          <w:shd w:val="clear" w:color="auto" w:fill="FFFFFF"/>
        </w:rPr>
        <w:t xml:space="preserve">roup </w:t>
      </w:r>
      <w:r w:rsidRPr="004B5AE8">
        <w:rPr>
          <w:shd w:val="clear" w:color="auto" w:fill="FFFFFF"/>
        </w:rPr>
        <w:t xml:space="preserve">case. </w:t>
      </w:r>
      <w:r w:rsidRPr="004B5AE8">
        <w:rPr>
          <w:i/>
          <w:iCs/>
          <w:shd w:val="clear" w:color="auto" w:fill="FFFFFF"/>
        </w:rPr>
        <w:t>Journal of Business Ethics</w:t>
      </w:r>
      <w:r w:rsidRPr="004B5AE8">
        <w:rPr>
          <w:shd w:val="clear" w:color="auto" w:fill="FFFFFF"/>
        </w:rPr>
        <w:t xml:space="preserve">, </w:t>
      </w:r>
      <w:r w:rsidRPr="004B5AE8">
        <w:rPr>
          <w:i/>
          <w:iCs/>
          <w:shd w:val="clear" w:color="auto" w:fill="FFFFFF"/>
        </w:rPr>
        <w:t>126</w:t>
      </w:r>
      <w:r w:rsidR="00DC4A25">
        <w:rPr>
          <w:shd w:val="clear" w:color="auto" w:fill="FFFFFF"/>
        </w:rPr>
        <w:t>(1)</w:t>
      </w:r>
      <w:r w:rsidRPr="004B5AE8">
        <w:rPr>
          <w:shd w:val="clear" w:color="auto" w:fill="FFFFFF"/>
        </w:rPr>
        <w:t>, 143</w:t>
      </w:r>
      <w:r w:rsidR="00DC4A25">
        <w:rPr>
          <w:shd w:val="clear" w:color="auto" w:fill="FFFFFF"/>
        </w:rPr>
        <w:t>–</w:t>
      </w:r>
      <w:r w:rsidRPr="004B5AE8">
        <w:rPr>
          <w:shd w:val="clear" w:color="auto" w:fill="FFFFFF"/>
        </w:rPr>
        <w:t>165.</w:t>
      </w:r>
    </w:p>
    <w:p w14:paraId="10D1DD07" w14:textId="655FC047" w:rsidR="00EB408C" w:rsidRDefault="00EB408C">
      <w:pPr>
        <w:pStyle w:val="References"/>
        <w:rPr>
          <w:shd w:val="clear" w:color="auto" w:fill="FFFFFF"/>
        </w:rPr>
      </w:pPr>
      <w:r w:rsidRPr="004B5AE8">
        <w:rPr>
          <w:shd w:val="clear" w:color="auto" w:fill="FFFFFF"/>
        </w:rPr>
        <w:t xml:space="preserve">Breuer, W., Knetsch, A., </w:t>
      </w:r>
      <w:r w:rsidR="00DC4A25">
        <w:rPr>
          <w:shd w:val="clear" w:color="auto" w:fill="FFFFFF"/>
        </w:rPr>
        <w:t>&amp;</w:t>
      </w:r>
      <w:r w:rsidR="00DC4A25" w:rsidRPr="004B5AE8">
        <w:rPr>
          <w:shd w:val="clear" w:color="auto" w:fill="FFFFFF"/>
        </w:rPr>
        <w:t xml:space="preserve"> </w:t>
      </w:r>
      <w:r w:rsidRPr="004B5AE8">
        <w:rPr>
          <w:shd w:val="clear" w:color="auto" w:fill="FFFFFF"/>
        </w:rPr>
        <w:t xml:space="preserve">Salzmann, A. J. (2018). What does it mean when managers talk about trust? </w:t>
      </w:r>
      <w:r w:rsidRPr="004B5AE8">
        <w:rPr>
          <w:i/>
          <w:iCs/>
          <w:shd w:val="clear" w:color="auto" w:fill="FFFFFF"/>
        </w:rPr>
        <w:t>Journal of Business Ethics</w:t>
      </w:r>
      <w:r w:rsidR="00DC4A25">
        <w:rPr>
          <w:shd w:val="clear" w:color="auto" w:fill="FFFFFF"/>
        </w:rPr>
        <w:t xml:space="preserve">. </w:t>
      </w:r>
      <w:r w:rsidR="00DC4A25" w:rsidRPr="00DC4A25">
        <w:rPr>
          <w:shd w:val="clear" w:color="auto" w:fill="FFFFFF"/>
        </w:rPr>
        <w:t>https://doi.org/10.1007/s10551-018-4072-2</w:t>
      </w:r>
      <w:r w:rsidR="00DC4A25">
        <w:rPr>
          <w:shd w:val="clear" w:color="auto" w:fill="FFFFFF"/>
        </w:rPr>
        <w:t>.</w:t>
      </w:r>
    </w:p>
    <w:p w14:paraId="6E90CDB4" w14:textId="2BFD2EEB" w:rsidR="00902519" w:rsidRPr="004B5AE8" w:rsidRDefault="00902519">
      <w:pPr>
        <w:pStyle w:val="References"/>
        <w:rPr>
          <w:shd w:val="clear" w:color="auto" w:fill="FFFFFF"/>
        </w:rPr>
      </w:pPr>
      <w:r w:rsidRPr="00902519">
        <w:rPr>
          <w:shd w:val="clear" w:color="auto" w:fill="FFFFFF"/>
        </w:rPr>
        <w:t xml:space="preserve">Brochet, F., Miller, G. S., Naranjo, P., </w:t>
      </w:r>
      <w:r w:rsidR="00DC4A25">
        <w:rPr>
          <w:shd w:val="clear" w:color="auto" w:fill="FFFFFF"/>
        </w:rPr>
        <w:t>&amp;</w:t>
      </w:r>
      <w:r w:rsidR="00DC4A25" w:rsidRPr="00902519">
        <w:rPr>
          <w:shd w:val="clear" w:color="auto" w:fill="FFFFFF"/>
        </w:rPr>
        <w:t xml:space="preserve"> </w:t>
      </w:r>
      <w:r w:rsidRPr="00902519">
        <w:rPr>
          <w:shd w:val="clear" w:color="auto" w:fill="FFFFFF"/>
        </w:rPr>
        <w:t>Yu, G. (201</w:t>
      </w:r>
      <w:r>
        <w:rPr>
          <w:shd w:val="clear" w:color="auto" w:fill="FFFFFF"/>
        </w:rPr>
        <w:t>9</w:t>
      </w:r>
      <w:r w:rsidRPr="00902519">
        <w:rPr>
          <w:shd w:val="clear" w:color="auto" w:fill="FFFFFF"/>
        </w:rPr>
        <w:t xml:space="preserve">). </w:t>
      </w:r>
      <w:r w:rsidR="00DC4A25" w:rsidRPr="00902519">
        <w:rPr>
          <w:shd w:val="clear" w:color="auto" w:fill="FFFFFF"/>
        </w:rPr>
        <w:t>Managers</w:t>
      </w:r>
      <w:r w:rsidR="00DC4A25">
        <w:rPr>
          <w:shd w:val="clear" w:color="auto" w:fill="FFFFFF"/>
        </w:rPr>
        <w:t>’</w:t>
      </w:r>
      <w:r w:rsidR="00DC4A25" w:rsidRPr="00902519">
        <w:rPr>
          <w:shd w:val="clear" w:color="auto" w:fill="FFFFFF"/>
        </w:rPr>
        <w:t xml:space="preserve"> </w:t>
      </w:r>
      <w:r w:rsidRPr="00902519">
        <w:rPr>
          <w:shd w:val="clear" w:color="auto" w:fill="FFFFFF"/>
        </w:rPr>
        <w:t>cultural background and disclosure attributes.</w:t>
      </w:r>
      <w:r w:rsidR="003C7FB5">
        <w:rPr>
          <w:shd w:val="clear" w:color="auto" w:fill="FFFFFF"/>
        </w:rPr>
        <w:t xml:space="preserve"> </w:t>
      </w:r>
      <w:r w:rsidRPr="00902519">
        <w:rPr>
          <w:i/>
          <w:shd w:val="clear" w:color="auto" w:fill="FFFFFF"/>
        </w:rPr>
        <w:t>The Accounting Review,</w:t>
      </w:r>
      <w:r w:rsidR="003C7FB5">
        <w:rPr>
          <w:i/>
          <w:shd w:val="clear" w:color="auto" w:fill="FFFFFF"/>
        </w:rPr>
        <w:t xml:space="preserve"> </w:t>
      </w:r>
      <w:r w:rsidRPr="00902519">
        <w:rPr>
          <w:i/>
          <w:shd w:val="clear" w:color="auto" w:fill="FFFFFF"/>
        </w:rPr>
        <w:t>94</w:t>
      </w:r>
      <w:r w:rsidR="00DC4A25">
        <w:rPr>
          <w:iCs/>
          <w:shd w:val="clear" w:color="auto" w:fill="FFFFFF"/>
        </w:rPr>
        <w:t>(3)</w:t>
      </w:r>
      <w:r w:rsidRPr="00902519">
        <w:rPr>
          <w:shd w:val="clear" w:color="auto" w:fill="FFFFFF"/>
        </w:rPr>
        <w:t>, 57</w:t>
      </w:r>
      <w:r w:rsidR="00DC4A25">
        <w:rPr>
          <w:shd w:val="clear" w:color="auto" w:fill="FFFFFF"/>
        </w:rPr>
        <w:t>–</w:t>
      </w:r>
      <w:r w:rsidRPr="00902519">
        <w:rPr>
          <w:shd w:val="clear" w:color="auto" w:fill="FFFFFF"/>
        </w:rPr>
        <w:t>86.</w:t>
      </w:r>
    </w:p>
    <w:p w14:paraId="5E190F3C" w14:textId="64E45362" w:rsidR="00EB408C" w:rsidRPr="004B5AE8" w:rsidRDefault="00EB408C">
      <w:pPr>
        <w:pStyle w:val="References"/>
        <w:rPr>
          <w:shd w:val="clear" w:color="auto" w:fill="FFFFFF"/>
        </w:rPr>
      </w:pPr>
      <w:r w:rsidRPr="004B5AE8">
        <w:rPr>
          <w:shd w:val="clear" w:color="auto" w:fill="FFFFFF"/>
        </w:rPr>
        <w:t xml:space="preserve">Brockman, P., Li, X., </w:t>
      </w:r>
      <w:r w:rsidR="00DC4A25">
        <w:rPr>
          <w:shd w:val="clear" w:color="auto" w:fill="FFFFFF"/>
        </w:rPr>
        <w:t>&amp;</w:t>
      </w:r>
      <w:r w:rsidR="00DC4A25" w:rsidRPr="004B5AE8">
        <w:rPr>
          <w:shd w:val="clear" w:color="auto" w:fill="FFFFFF"/>
        </w:rPr>
        <w:t xml:space="preserve"> </w:t>
      </w:r>
      <w:r w:rsidRPr="004B5AE8">
        <w:rPr>
          <w:shd w:val="clear" w:color="auto" w:fill="FFFFFF"/>
        </w:rPr>
        <w:t xml:space="preserve">Price, S. M. (2015). Differences in conference call tones: Managers vs. analysts. </w:t>
      </w:r>
      <w:r w:rsidRPr="004B5AE8">
        <w:rPr>
          <w:i/>
          <w:iCs/>
          <w:shd w:val="clear" w:color="auto" w:fill="FFFFFF"/>
        </w:rPr>
        <w:t>Financial Analysts Journal</w:t>
      </w:r>
      <w:r w:rsidRPr="004B5AE8">
        <w:rPr>
          <w:shd w:val="clear" w:color="auto" w:fill="FFFFFF"/>
        </w:rPr>
        <w:t xml:space="preserve">, </w:t>
      </w:r>
      <w:r w:rsidRPr="004B5AE8">
        <w:rPr>
          <w:i/>
          <w:iCs/>
          <w:shd w:val="clear" w:color="auto" w:fill="FFFFFF"/>
        </w:rPr>
        <w:t>71</w:t>
      </w:r>
      <w:r w:rsidR="00DC4A25">
        <w:rPr>
          <w:shd w:val="clear" w:color="auto" w:fill="FFFFFF"/>
        </w:rPr>
        <w:t>(4)</w:t>
      </w:r>
      <w:r w:rsidRPr="004B5AE8">
        <w:rPr>
          <w:shd w:val="clear" w:color="auto" w:fill="FFFFFF"/>
        </w:rPr>
        <w:t>, 24</w:t>
      </w:r>
      <w:r w:rsidR="00DC4A25">
        <w:rPr>
          <w:shd w:val="clear" w:color="auto" w:fill="FFFFFF"/>
        </w:rPr>
        <w:t>–</w:t>
      </w:r>
      <w:r w:rsidRPr="004B5AE8">
        <w:rPr>
          <w:shd w:val="clear" w:color="auto" w:fill="FFFFFF"/>
        </w:rPr>
        <w:t>42.</w:t>
      </w:r>
    </w:p>
    <w:p w14:paraId="026A6BC2" w14:textId="415C8113" w:rsidR="00EB408C" w:rsidRPr="004B5AE8" w:rsidRDefault="00EB408C">
      <w:pPr>
        <w:pStyle w:val="References"/>
        <w:rPr>
          <w:shd w:val="clear" w:color="auto" w:fill="FFFFFF"/>
        </w:rPr>
      </w:pPr>
      <w:r w:rsidRPr="004B5AE8">
        <w:rPr>
          <w:shd w:val="clear" w:color="auto" w:fill="FFFFFF"/>
        </w:rPr>
        <w:t xml:space="preserve">Brown, S., Hillegeist, S. A., </w:t>
      </w:r>
      <w:r w:rsidR="00DC4A25">
        <w:rPr>
          <w:shd w:val="clear" w:color="auto" w:fill="FFFFFF"/>
        </w:rPr>
        <w:t>&amp;</w:t>
      </w:r>
      <w:r w:rsidR="00DC4A25" w:rsidRPr="004B5AE8">
        <w:rPr>
          <w:shd w:val="clear" w:color="auto" w:fill="FFFFFF"/>
        </w:rPr>
        <w:t xml:space="preserve"> </w:t>
      </w:r>
      <w:r w:rsidRPr="004B5AE8">
        <w:rPr>
          <w:shd w:val="clear" w:color="auto" w:fill="FFFFFF"/>
        </w:rPr>
        <w:t xml:space="preserve">Lo, K. (2004). Conference calls and information asymmetry. </w:t>
      </w:r>
      <w:r w:rsidRPr="004B5AE8">
        <w:rPr>
          <w:i/>
          <w:iCs/>
          <w:shd w:val="clear" w:color="auto" w:fill="FFFFFF"/>
        </w:rPr>
        <w:t>Journal of Accounting and Economics</w:t>
      </w:r>
      <w:r w:rsidRPr="004B5AE8">
        <w:rPr>
          <w:shd w:val="clear" w:color="auto" w:fill="FFFFFF"/>
        </w:rPr>
        <w:t xml:space="preserve">, </w:t>
      </w:r>
      <w:r w:rsidRPr="004B5AE8">
        <w:rPr>
          <w:i/>
          <w:iCs/>
          <w:shd w:val="clear" w:color="auto" w:fill="FFFFFF"/>
        </w:rPr>
        <w:t>37</w:t>
      </w:r>
      <w:r w:rsidR="00DC4A25">
        <w:rPr>
          <w:shd w:val="clear" w:color="auto" w:fill="FFFFFF"/>
        </w:rPr>
        <w:t>(3)</w:t>
      </w:r>
      <w:r w:rsidRPr="004B5AE8">
        <w:rPr>
          <w:shd w:val="clear" w:color="auto" w:fill="FFFFFF"/>
        </w:rPr>
        <w:t>, 343</w:t>
      </w:r>
      <w:r w:rsidR="00DC4A25">
        <w:rPr>
          <w:shd w:val="clear" w:color="auto" w:fill="FFFFFF"/>
        </w:rPr>
        <w:t>–</w:t>
      </w:r>
      <w:r w:rsidRPr="004B5AE8">
        <w:rPr>
          <w:shd w:val="clear" w:color="auto" w:fill="FFFFFF"/>
        </w:rPr>
        <w:t>366.</w:t>
      </w:r>
    </w:p>
    <w:p w14:paraId="47B4A7B9" w14:textId="663021F7" w:rsidR="00EB408C" w:rsidRPr="004B5AE8" w:rsidRDefault="00EB408C">
      <w:pPr>
        <w:pStyle w:val="References"/>
        <w:rPr>
          <w:shd w:val="clear" w:color="auto" w:fill="FFFFFF"/>
        </w:rPr>
      </w:pPr>
      <w:r w:rsidRPr="004B5AE8">
        <w:rPr>
          <w:shd w:val="clear" w:color="auto" w:fill="FFFFFF"/>
        </w:rPr>
        <w:t xml:space="preserve">Burgoon, J., Mayew, W. J., Giboney, J. S., Elkins, A. C., Moffitt, K., Dorn, B., Byrd, M., </w:t>
      </w:r>
      <w:r w:rsidR="00DC4A25">
        <w:rPr>
          <w:shd w:val="clear" w:color="auto" w:fill="FFFFFF"/>
        </w:rPr>
        <w:t xml:space="preserve">&amp; </w:t>
      </w:r>
      <w:r w:rsidRPr="004B5AE8">
        <w:rPr>
          <w:shd w:val="clear" w:color="auto" w:fill="FFFFFF"/>
        </w:rPr>
        <w:t xml:space="preserve">Spitzley, L. (2016). Which spoken language markers identify deception in high-stakes settings? Evidence from earnings conference calls. </w:t>
      </w:r>
      <w:r w:rsidRPr="004B5AE8">
        <w:rPr>
          <w:i/>
          <w:shd w:val="clear" w:color="auto" w:fill="FFFFFF"/>
        </w:rPr>
        <w:t>Journal of Language and Social Psychology</w:t>
      </w:r>
      <w:r w:rsidRPr="004B5AE8">
        <w:rPr>
          <w:shd w:val="clear" w:color="auto" w:fill="FFFFFF"/>
        </w:rPr>
        <w:t xml:space="preserve">, </w:t>
      </w:r>
      <w:r w:rsidRPr="004B5AE8">
        <w:rPr>
          <w:i/>
          <w:shd w:val="clear" w:color="auto" w:fill="FFFFFF"/>
        </w:rPr>
        <w:t>35</w:t>
      </w:r>
      <w:r w:rsidR="00DC4A25">
        <w:rPr>
          <w:iCs/>
          <w:shd w:val="clear" w:color="auto" w:fill="FFFFFF"/>
        </w:rPr>
        <w:t>(2)</w:t>
      </w:r>
      <w:r w:rsidRPr="004B5AE8">
        <w:rPr>
          <w:shd w:val="clear" w:color="auto" w:fill="FFFFFF"/>
        </w:rPr>
        <w:t>, 123–157.</w:t>
      </w:r>
    </w:p>
    <w:p w14:paraId="78935187" w14:textId="75169D99" w:rsidR="00EB408C" w:rsidRPr="004B5AE8" w:rsidRDefault="00EB408C">
      <w:pPr>
        <w:pStyle w:val="References"/>
        <w:rPr>
          <w:lang w:eastAsia="en-GB"/>
        </w:rPr>
      </w:pPr>
      <w:r w:rsidRPr="004B5AE8">
        <w:rPr>
          <w:lang w:eastAsia="en-GB"/>
        </w:rPr>
        <w:t xml:space="preserve">Bushee, B. J., Matsumoto, D. A., </w:t>
      </w:r>
      <w:r w:rsidR="00DC4A25">
        <w:rPr>
          <w:lang w:eastAsia="en-GB"/>
        </w:rPr>
        <w:t>&amp;</w:t>
      </w:r>
      <w:r w:rsidR="00DC4A25" w:rsidRPr="004B5AE8">
        <w:rPr>
          <w:lang w:eastAsia="en-GB"/>
        </w:rPr>
        <w:t xml:space="preserve"> </w:t>
      </w:r>
      <w:r w:rsidRPr="004B5AE8">
        <w:rPr>
          <w:lang w:eastAsia="en-GB"/>
        </w:rPr>
        <w:t xml:space="preserve">Miller, G. S. (2003). Open versus closed conference calls: </w:t>
      </w:r>
      <w:r w:rsidR="00DC4A25">
        <w:rPr>
          <w:lang w:eastAsia="en-GB"/>
        </w:rPr>
        <w:t>T</w:t>
      </w:r>
      <w:r w:rsidR="00DC4A25" w:rsidRPr="004B5AE8">
        <w:rPr>
          <w:lang w:eastAsia="en-GB"/>
        </w:rPr>
        <w:t xml:space="preserve">he </w:t>
      </w:r>
      <w:r w:rsidRPr="004B5AE8">
        <w:rPr>
          <w:lang w:eastAsia="en-GB"/>
        </w:rPr>
        <w:t xml:space="preserve">determinants and effects of broadening access to disclosure. </w:t>
      </w:r>
      <w:r w:rsidRPr="004B5AE8">
        <w:rPr>
          <w:i/>
          <w:iCs/>
          <w:lang w:eastAsia="en-GB"/>
        </w:rPr>
        <w:t>Journal of Accounting and Economics</w:t>
      </w:r>
      <w:r w:rsidRPr="004B5AE8">
        <w:rPr>
          <w:lang w:eastAsia="en-GB"/>
        </w:rPr>
        <w:t xml:space="preserve">, </w:t>
      </w:r>
      <w:r w:rsidRPr="004B5AE8">
        <w:rPr>
          <w:i/>
          <w:iCs/>
          <w:lang w:eastAsia="en-GB"/>
        </w:rPr>
        <w:t>34</w:t>
      </w:r>
      <w:r w:rsidR="00DC4A25">
        <w:rPr>
          <w:lang w:eastAsia="en-GB"/>
        </w:rPr>
        <w:t>(1-3)</w:t>
      </w:r>
      <w:r w:rsidRPr="004B5AE8">
        <w:rPr>
          <w:lang w:eastAsia="en-GB"/>
        </w:rPr>
        <w:t>, 149</w:t>
      </w:r>
      <w:r w:rsidR="00DC4A25">
        <w:rPr>
          <w:lang w:eastAsia="en-GB"/>
        </w:rPr>
        <w:t>–</w:t>
      </w:r>
      <w:r w:rsidRPr="004B5AE8">
        <w:rPr>
          <w:lang w:eastAsia="en-GB"/>
        </w:rPr>
        <w:t>180.</w:t>
      </w:r>
    </w:p>
    <w:p w14:paraId="46AB9969" w14:textId="53282151" w:rsidR="00EB408C" w:rsidRPr="004B5AE8" w:rsidRDefault="00EB408C">
      <w:pPr>
        <w:pStyle w:val="References"/>
        <w:rPr>
          <w:shd w:val="clear" w:color="auto" w:fill="FFFFFF"/>
        </w:rPr>
      </w:pPr>
      <w:r w:rsidRPr="004B5AE8">
        <w:rPr>
          <w:shd w:val="clear" w:color="auto" w:fill="FFFFFF"/>
        </w:rPr>
        <w:t xml:space="preserve">Callen, J. L., </w:t>
      </w:r>
      <w:r w:rsidR="00DC4A25">
        <w:rPr>
          <w:shd w:val="clear" w:color="auto" w:fill="FFFFFF"/>
        </w:rPr>
        <w:t>&amp;</w:t>
      </w:r>
      <w:r w:rsidR="00DC4A25" w:rsidRPr="004B5AE8">
        <w:rPr>
          <w:shd w:val="clear" w:color="auto" w:fill="FFFFFF"/>
        </w:rPr>
        <w:t xml:space="preserve"> </w:t>
      </w:r>
      <w:r w:rsidRPr="004B5AE8">
        <w:rPr>
          <w:shd w:val="clear" w:color="auto" w:fill="FFFFFF"/>
        </w:rPr>
        <w:t>Fang, X. (2017). Crash risk and the auditor</w:t>
      </w:r>
      <w:r w:rsidR="00671C58">
        <w:rPr>
          <w:shd w:val="clear" w:color="auto" w:fill="FFFFFF"/>
        </w:rPr>
        <w:t>–</w:t>
      </w:r>
      <w:r w:rsidRPr="004B5AE8">
        <w:rPr>
          <w:shd w:val="clear" w:color="auto" w:fill="FFFFFF"/>
        </w:rPr>
        <w:t xml:space="preserve">client relationship. </w:t>
      </w:r>
      <w:r w:rsidRPr="004B5AE8">
        <w:rPr>
          <w:i/>
          <w:shd w:val="clear" w:color="auto" w:fill="FFFFFF"/>
        </w:rPr>
        <w:t>Contemporary Accounting Research</w:t>
      </w:r>
      <w:r w:rsidRPr="004B5AE8">
        <w:rPr>
          <w:shd w:val="clear" w:color="auto" w:fill="FFFFFF"/>
        </w:rPr>
        <w:t xml:space="preserve">, </w:t>
      </w:r>
      <w:r w:rsidRPr="004B5AE8">
        <w:rPr>
          <w:i/>
          <w:shd w:val="clear" w:color="auto" w:fill="FFFFFF"/>
        </w:rPr>
        <w:t>34</w:t>
      </w:r>
      <w:r w:rsidR="00671C58">
        <w:rPr>
          <w:iCs/>
          <w:shd w:val="clear" w:color="auto" w:fill="FFFFFF"/>
        </w:rPr>
        <w:t>(3)</w:t>
      </w:r>
      <w:r w:rsidRPr="004B5AE8">
        <w:rPr>
          <w:shd w:val="clear" w:color="auto" w:fill="FFFFFF"/>
        </w:rPr>
        <w:t>, 1715</w:t>
      </w:r>
      <w:r w:rsidR="00671C58">
        <w:rPr>
          <w:shd w:val="clear" w:color="auto" w:fill="FFFFFF"/>
        </w:rPr>
        <w:t>–</w:t>
      </w:r>
      <w:r w:rsidRPr="004B5AE8">
        <w:rPr>
          <w:shd w:val="clear" w:color="auto" w:fill="FFFFFF"/>
        </w:rPr>
        <w:t>1750.</w:t>
      </w:r>
    </w:p>
    <w:p w14:paraId="1C80B2AC" w14:textId="77777777" w:rsidR="00671C58" w:rsidRPr="004B5AE8" w:rsidRDefault="00671C58" w:rsidP="00671C58">
      <w:pPr>
        <w:pStyle w:val="References"/>
        <w:rPr>
          <w:shd w:val="clear" w:color="auto" w:fill="FFFFFF"/>
        </w:rPr>
      </w:pPr>
      <w:r w:rsidRPr="004B5AE8">
        <w:rPr>
          <w:shd w:val="clear" w:color="auto" w:fill="FFFFFF"/>
        </w:rPr>
        <w:t>Camiciottoli, B.</w:t>
      </w:r>
      <w:r>
        <w:rPr>
          <w:shd w:val="clear" w:color="auto" w:fill="FFFFFF"/>
        </w:rPr>
        <w:t xml:space="preserve"> C.</w:t>
      </w:r>
      <w:r w:rsidRPr="004B5AE8">
        <w:rPr>
          <w:shd w:val="clear" w:color="auto" w:fill="FFFFFF"/>
        </w:rPr>
        <w:t xml:space="preserve"> (2011). Ethics and ethos in financial reporting: Analyzing persuasive language in earnings calls. </w:t>
      </w:r>
      <w:r w:rsidRPr="004B5AE8">
        <w:rPr>
          <w:i/>
          <w:shd w:val="clear" w:color="auto" w:fill="FFFFFF"/>
        </w:rPr>
        <w:t>Business Communication Quarterly</w:t>
      </w:r>
      <w:r w:rsidRPr="004B5AE8">
        <w:rPr>
          <w:shd w:val="clear" w:color="auto" w:fill="FFFFFF"/>
        </w:rPr>
        <w:t xml:space="preserve">, </w:t>
      </w:r>
      <w:r w:rsidRPr="004B5AE8">
        <w:rPr>
          <w:i/>
          <w:shd w:val="clear" w:color="auto" w:fill="FFFFFF"/>
        </w:rPr>
        <w:t>74</w:t>
      </w:r>
      <w:r>
        <w:rPr>
          <w:iCs/>
          <w:shd w:val="clear" w:color="auto" w:fill="FFFFFF"/>
        </w:rPr>
        <w:t>(3)</w:t>
      </w:r>
      <w:r w:rsidRPr="004B5AE8">
        <w:rPr>
          <w:shd w:val="clear" w:color="auto" w:fill="FFFFFF"/>
        </w:rPr>
        <w:t>, 298–312.</w:t>
      </w:r>
    </w:p>
    <w:p w14:paraId="4029243E" w14:textId="09A82581" w:rsidR="00EB408C" w:rsidRPr="004B5AE8" w:rsidRDefault="00EB408C" w:rsidP="003E49E8">
      <w:pPr>
        <w:pStyle w:val="References"/>
      </w:pPr>
      <w:r w:rsidRPr="004B5AE8">
        <w:lastRenderedPageBreak/>
        <w:t xml:space="preserve">Chen, J., Hong, H., </w:t>
      </w:r>
      <w:r w:rsidR="00671C58">
        <w:t>&amp;</w:t>
      </w:r>
      <w:r w:rsidR="00671C58" w:rsidRPr="004B5AE8">
        <w:t xml:space="preserve"> </w:t>
      </w:r>
      <w:r w:rsidRPr="004B5AE8">
        <w:t xml:space="preserve">Stein, J. C. (2001). Forecasting crashes: </w:t>
      </w:r>
      <w:r w:rsidR="00671C58">
        <w:t>T</w:t>
      </w:r>
      <w:r w:rsidR="00671C58" w:rsidRPr="004B5AE8">
        <w:t xml:space="preserve">rading </w:t>
      </w:r>
      <w:r w:rsidRPr="004B5AE8">
        <w:t xml:space="preserve">volume, past returns, and conditional skewness in stock prices. </w:t>
      </w:r>
      <w:r w:rsidRPr="004B5AE8">
        <w:rPr>
          <w:i/>
        </w:rPr>
        <w:t>Journal of Financial Economics</w:t>
      </w:r>
      <w:r w:rsidRPr="004B5AE8">
        <w:t xml:space="preserve">, </w:t>
      </w:r>
      <w:r w:rsidRPr="004B5AE8">
        <w:rPr>
          <w:i/>
        </w:rPr>
        <w:t>61</w:t>
      </w:r>
      <w:r w:rsidRPr="004B5AE8">
        <w:t>, 345</w:t>
      </w:r>
      <w:r w:rsidR="00671C58">
        <w:t>–</w:t>
      </w:r>
      <w:r w:rsidRPr="004B5AE8">
        <w:t>381.</w:t>
      </w:r>
    </w:p>
    <w:p w14:paraId="056022DD" w14:textId="08E9DFCD" w:rsidR="00EB408C" w:rsidRPr="004B5AE8" w:rsidRDefault="00EB408C" w:rsidP="00B70E79">
      <w:pPr>
        <w:pStyle w:val="References"/>
        <w:rPr>
          <w:i/>
          <w:shd w:val="clear" w:color="auto" w:fill="FFFFFF"/>
        </w:rPr>
      </w:pPr>
      <w:r w:rsidRPr="004B5AE8">
        <w:rPr>
          <w:shd w:val="clear" w:color="auto" w:fill="FFFFFF"/>
        </w:rPr>
        <w:t xml:space="preserve">Chen, J., Tong, J. Y., Wang, W., </w:t>
      </w:r>
      <w:r w:rsidR="00671C58">
        <w:rPr>
          <w:shd w:val="clear" w:color="auto" w:fill="FFFFFF"/>
        </w:rPr>
        <w:t>&amp;</w:t>
      </w:r>
      <w:r w:rsidR="00671C58" w:rsidRPr="004B5AE8">
        <w:rPr>
          <w:shd w:val="clear" w:color="auto" w:fill="FFFFFF"/>
        </w:rPr>
        <w:t xml:space="preserve"> </w:t>
      </w:r>
      <w:r w:rsidRPr="004B5AE8">
        <w:rPr>
          <w:shd w:val="clear" w:color="auto" w:fill="FFFFFF"/>
        </w:rPr>
        <w:t xml:space="preserve">Zhang, F. (2019). The economic consequences of labor unionization: Evidence from stock price crash risk. </w:t>
      </w:r>
      <w:r w:rsidRPr="004B5AE8">
        <w:rPr>
          <w:i/>
          <w:shd w:val="clear" w:color="auto" w:fill="FFFFFF"/>
        </w:rPr>
        <w:t>Journal of Business Ethics</w:t>
      </w:r>
      <w:r w:rsidRPr="004B5AE8">
        <w:rPr>
          <w:shd w:val="clear" w:color="auto" w:fill="FFFFFF"/>
        </w:rPr>
        <w:t xml:space="preserve">, </w:t>
      </w:r>
      <w:r w:rsidRPr="004B5AE8">
        <w:rPr>
          <w:i/>
          <w:shd w:val="clear" w:color="auto" w:fill="FFFFFF"/>
        </w:rPr>
        <w:t>157</w:t>
      </w:r>
      <w:r w:rsidR="00671C58">
        <w:rPr>
          <w:iCs/>
          <w:shd w:val="clear" w:color="auto" w:fill="FFFFFF"/>
        </w:rPr>
        <w:t>(3)</w:t>
      </w:r>
      <w:r w:rsidRPr="004B5AE8">
        <w:rPr>
          <w:shd w:val="clear" w:color="auto" w:fill="FFFFFF"/>
        </w:rPr>
        <w:t>, 775</w:t>
      </w:r>
      <w:r w:rsidR="00671C58">
        <w:rPr>
          <w:shd w:val="clear" w:color="auto" w:fill="FFFFFF"/>
        </w:rPr>
        <w:t>–</w:t>
      </w:r>
      <w:r w:rsidRPr="004B5AE8">
        <w:rPr>
          <w:shd w:val="clear" w:color="auto" w:fill="FFFFFF"/>
        </w:rPr>
        <w:t>796</w:t>
      </w:r>
      <w:r w:rsidRPr="004B5AE8">
        <w:rPr>
          <w:i/>
          <w:shd w:val="clear" w:color="auto" w:fill="FFFFFF"/>
        </w:rPr>
        <w:t>.</w:t>
      </w:r>
    </w:p>
    <w:p w14:paraId="54261E93" w14:textId="7569F9F7" w:rsidR="00EB408C" w:rsidRPr="004B5AE8" w:rsidRDefault="00EB408C">
      <w:pPr>
        <w:pStyle w:val="References"/>
        <w:rPr>
          <w:shd w:val="clear" w:color="auto" w:fill="FFFFFF"/>
        </w:rPr>
      </w:pPr>
      <w:r w:rsidRPr="004B5AE8">
        <w:rPr>
          <w:shd w:val="clear" w:color="auto" w:fill="FFFFFF"/>
        </w:rPr>
        <w:t xml:space="preserve">Cho, C. H., Phillips, J. R., Hageman, A. M., </w:t>
      </w:r>
      <w:r w:rsidR="00671C58">
        <w:rPr>
          <w:shd w:val="clear" w:color="auto" w:fill="FFFFFF"/>
        </w:rPr>
        <w:t>&amp;</w:t>
      </w:r>
      <w:r w:rsidR="00671C58" w:rsidRPr="004B5AE8">
        <w:rPr>
          <w:shd w:val="clear" w:color="auto" w:fill="FFFFFF"/>
        </w:rPr>
        <w:t xml:space="preserve"> </w:t>
      </w:r>
      <w:r w:rsidRPr="004B5AE8">
        <w:rPr>
          <w:shd w:val="clear" w:color="auto" w:fill="FFFFFF"/>
        </w:rPr>
        <w:t xml:space="preserve">Patten, D. M. (2009). Media richness, user trust, and perceptions of corporate social responsibility: An experimental investigation of visual web site disclosures. </w:t>
      </w:r>
      <w:r w:rsidRPr="004B5AE8">
        <w:rPr>
          <w:i/>
          <w:iCs/>
          <w:shd w:val="clear" w:color="auto" w:fill="FFFFFF"/>
        </w:rPr>
        <w:t>Accounting, Auditing &amp; Accountability Journal</w:t>
      </w:r>
      <w:r w:rsidRPr="004B5AE8">
        <w:rPr>
          <w:shd w:val="clear" w:color="auto" w:fill="FFFFFF"/>
        </w:rPr>
        <w:t xml:space="preserve">, </w:t>
      </w:r>
      <w:r w:rsidRPr="004B5AE8">
        <w:rPr>
          <w:i/>
          <w:iCs/>
          <w:shd w:val="clear" w:color="auto" w:fill="FFFFFF"/>
        </w:rPr>
        <w:t>22</w:t>
      </w:r>
      <w:r w:rsidR="00671C58">
        <w:rPr>
          <w:shd w:val="clear" w:color="auto" w:fill="FFFFFF"/>
        </w:rPr>
        <w:t>(6)</w:t>
      </w:r>
      <w:r w:rsidRPr="004B5AE8">
        <w:rPr>
          <w:shd w:val="clear" w:color="auto" w:fill="FFFFFF"/>
        </w:rPr>
        <w:t>, 933</w:t>
      </w:r>
      <w:r w:rsidR="00671C58">
        <w:rPr>
          <w:shd w:val="clear" w:color="auto" w:fill="FFFFFF"/>
        </w:rPr>
        <w:t>–</w:t>
      </w:r>
      <w:r w:rsidRPr="004B5AE8">
        <w:rPr>
          <w:shd w:val="clear" w:color="auto" w:fill="FFFFFF"/>
        </w:rPr>
        <w:t>952.</w:t>
      </w:r>
    </w:p>
    <w:p w14:paraId="556FC046" w14:textId="1AD1D1DA" w:rsidR="00EB408C" w:rsidRPr="004B5AE8" w:rsidRDefault="00EB408C">
      <w:pPr>
        <w:pStyle w:val="References"/>
        <w:rPr>
          <w:shd w:val="clear" w:color="auto" w:fill="FFFFFF"/>
        </w:rPr>
      </w:pPr>
      <w:r w:rsidRPr="004B5AE8">
        <w:rPr>
          <w:shd w:val="clear" w:color="auto" w:fill="FFFFFF"/>
        </w:rPr>
        <w:t xml:space="preserve">Cho, C. H., Roberts, R. W., </w:t>
      </w:r>
      <w:r w:rsidR="00671C58">
        <w:rPr>
          <w:shd w:val="clear" w:color="auto" w:fill="FFFFFF"/>
        </w:rPr>
        <w:t>&amp;</w:t>
      </w:r>
      <w:r w:rsidR="00671C58" w:rsidRPr="004B5AE8">
        <w:rPr>
          <w:shd w:val="clear" w:color="auto" w:fill="FFFFFF"/>
        </w:rPr>
        <w:t xml:space="preserve"> </w:t>
      </w:r>
      <w:r w:rsidRPr="004B5AE8">
        <w:rPr>
          <w:shd w:val="clear" w:color="auto" w:fill="FFFFFF"/>
        </w:rPr>
        <w:t xml:space="preserve">Patten, D. M. (2010). The language of US corporate environmental disclosure. </w:t>
      </w:r>
      <w:r w:rsidRPr="004B5AE8">
        <w:rPr>
          <w:i/>
          <w:iCs/>
          <w:shd w:val="clear" w:color="auto" w:fill="FFFFFF"/>
        </w:rPr>
        <w:t>Accounting, Organizations and Society</w:t>
      </w:r>
      <w:r w:rsidRPr="004B5AE8">
        <w:rPr>
          <w:shd w:val="clear" w:color="auto" w:fill="FFFFFF"/>
        </w:rPr>
        <w:t xml:space="preserve">, </w:t>
      </w:r>
      <w:r w:rsidRPr="004B5AE8">
        <w:rPr>
          <w:i/>
          <w:iCs/>
          <w:shd w:val="clear" w:color="auto" w:fill="FFFFFF"/>
        </w:rPr>
        <w:t>35</w:t>
      </w:r>
      <w:r w:rsidR="00671C58">
        <w:rPr>
          <w:shd w:val="clear" w:color="auto" w:fill="FFFFFF"/>
        </w:rPr>
        <w:t>(4)</w:t>
      </w:r>
      <w:r w:rsidRPr="004B5AE8">
        <w:rPr>
          <w:shd w:val="clear" w:color="auto" w:fill="FFFFFF"/>
        </w:rPr>
        <w:t>, 431</w:t>
      </w:r>
      <w:r w:rsidR="00671C58">
        <w:rPr>
          <w:shd w:val="clear" w:color="auto" w:fill="FFFFFF"/>
        </w:rPr>
        <w:t>–</w:t>
      </w:r>
      <w:r w:rsidRPr="004B5AE8">
        <w:rPr>
          <w:shd w:val="clear" w:color="auto" w:fill="FFFFFF"/>
        </w:rPr>
        <w:t>443.</w:t>
      </w:r>
    </w:p>
    <w:p w14:paraId="3B301339" w14:textId="1E8B3589" w:rsidR="00EB408C" w:rsidRPr="004B5AE8" w:rsidRDefault="00EB408C">
      <w:pPr>
        <w:pStyle w:val="References"/>
        <w:rPr>
          <w:shd w:val="clear" w:color="auto" w:fill="FFFFFF"/>
        </w:rPr>
      </w:pPr>
      <w:r w:rsidRPr="004B5AE8">
        <w:rPr>
          <w:shd w:val="clear" w:color="auto" w:fill="FFFFFF"/>
        </w:rPr>
        <w:t xml:space="preserve">Clatworthy, M., </w:t>
      </w:r>
      <w:r w:rsidR="00671C58">
        <w:rPr>
          <w:shd w:val="clear" w:color="auto" w:fill="FFFFFF"/>
        </w:rPr>
        <w:t>&amp;</w:t>
      </w:r>
      <w:r w:rsidR="00671C58" w:rsidRPr="004B5AE8">
        <w:rPr>
          <w:shd w:val="clear" w:color="auto" w:fill="FFFFFF"/>
        </w:rPr>
        <w:t xml:space="preserve"> </w:t>
      </w:r>
      <w:r w:rsidRPr="004B5AE8">
        <w:rPr>
          <w:shd w:val="clear" w:color="auto" w:fill="FFFFFF"/>
        </w:rPr>
        <w:t xml:space="preserve">Jones, M. J. (2003). Financial reporting of good news and bad news: Evidence from accounting narratives. </w:t>
      </w:r>
      <w:r w:rsidRPr="004B5AE8">
        <w:rPr>
          <w:i/>
          <w:shd w:val="clear" w:color="auto" w:fill="FFFFFF"/>
        </w:rPr>
        <w:t>Accounting and Business Research</w:t>
      </w:r>
      <w:r w:rsidRPr="004B5AE8">
        <w:rPr>
          <w:shd w:val="clear" w:color="auto" w:fill="FFFFFF"/>
        </w:rPr>
        <w:t xml:space="preserve">, </w:t>
      </w:r>
      <w:r w:rsidRPr="004B5AE8">
        <w:rPr>
          <w:i/>
          <w:shd w:val="clear" w:color="auto" w:fill="FFFFFF"/>
        </w:rPr>
        <w:t>33</w:t>
      </w:r>
      <w:r w:rsidR="00671C58">
        <w:rPr>
          <w:iCs/>
          <w:shd w:val="clear" w:color="auto" w:fill="FFFFFF"/>
        </w:rPr>
        <w:t>(3)</w:t>
      </w:r>
      <w:r w:rsidRPr="004B5AE8">
        <w:rPr>
          <w:shd w:val="clear" w:color="auto" w:fill="FFFFFF"/>
        </w:rPr>
        <w:t>, 171</w:t>
      </w:r>
      <w:r w:rsidR="00671C58">
        <w:rPr>
          <w:shd w:val="clear" w:color="auto" w:fill="FFFFFF"/>
        </w:rPr>
        <w:t>–</w:t>
      </w:r>
      <w:r w:rsidRPr="004B5AE8">
        <w:rPr>
          <w:shd w:val="clear" w:color="auto" w:fill="FFFFFF"/>
        </w:rPr>
        <w:t>185.</w:t>
      </w:r>
    </w:p>
    <w:p w14:paraId="3E5E4AB9" w14:textId="31B44A6C" w:rsidR="00EB408C" w:rsidRPr="004B5AE8" w:rsidRDefault="00EB408C">
      <w:pPr>
        <w:pStyle w:val="References"/>
        <w:rPr>
          <w:shd w:val="clear" w:color="auto" w:fill="FFFFFF"/>
        </w:rPr>
      </w:pPr>
      <w:r w:rsidRPr="004B5AE8">
        <w:rPr>
          <w:shd w:val="clear" w:color="auto" w:fill="FFFFFF"/>
        </w:rPr>
        <w:t xml:space="preserve">Craig, R., </w:t>
      </w:r>
      <w:r w:rsidR="00671C58">
        <w:rPr>
          <w:shd w:val="clear" w:color="auto" w:fill="FFFFFF"/>
        </w:rPr>
        <w:t>&amp;</w:t>
      </w:r>
      <w:r w:rsidR="00671C58" w:rsidRPr="004B5AE8">
        <w:rPr>
          <w:shd w:val="clear" w:color="auto" w:fill="FFFFFF"/>
        </w:rPr>
        <w:t xml:space="preserve"> </w:t>
      </w:r>
      <w:r w:rsidRPr="004B5AE8">
        <w:rPr>
          <w:shd w:val="clear" w:color="auto" w:fill="FFFFFF"/>
        </w:rPr>
        <w:t>Amernic, J. (2018). Are there language markers of hubris in CEO letters to shareholders?</w:t>
      </w:r>
      <w:r w:rsidRPr="004B5AE8">
        <w:rPr>
          <w:i/>
          <w:iCs/>
          <w:shd w:val="clear" w:color="auto" w:fill="FFFFFF"/>
        </w:rPr>
        <w:t xml:space="preserve"> Journal of Business Ethics</w:t>
      </w:r>
      <w:r w:rsidRPr="004B5AE8">
        <w:rPr>
          <w:shd w:val="clear" w:color="auto" w:fill="FFFFFF"/>
        </w:rPr>
        <w:t xml:space="preserve">, </w:t>
      </w:r>
      <w:r w:rsidRPr="004B5AE8">
        <w:rPr>
          <w:i/>
          <w:iCs/>
          <w:shd w:val="clear" w:color="auto" w:fill="FFFFFF"/>
        </w:rPr>
        <w:t>149</w:t>
      </w:r>
      <w:r w:rsidR="00671C58">
        <w:rPr>
          <w:shd w:val="clear" w:color="auto" w:fill="FFFFFF"/>
        </w:rPr>
        <w:t>(4)</w:t>
      </w:r>
      <w:r w:rsidRPr="004B5AE8">
        <w:rPr>
          <w:shd w:val="clear" w:color="auto" w:fill="FFFFFF"/>
        </w:rPr>
        <w:t>, 973</w:t>
      </w:r>
      <w:r w:rsidR="00671C58">
        <w:rPr>
          <w:shd w:val="clear" w:color="auto" w:fill="FFFFFF"/>
        </w:rPr>
        <w:t>–</w:t>
      </w:r>
      <w:r w:rsidRPr="004B5AE8">
        <w:rPr>
          <w:shd w:val="clear" w:color="auto" w:fill="FFFFFF"/>
        </w:rPr>
        <w:t>986.</w:t>
      </w:r>
    </w:p>
    <w:p w14:paraId="4811AD00" w14:textId="4EF4970E" w:rsidR="00EB408C" w:rsidRPr="004B5AE8" w:rsidRDefault="00EB408C">
      <w:pPr>
        <w:pStyle w:val="References"/>
        <w:rPr>
          <w:shd w:val="clear" w:color="auto" w:fill="FFFFFF"/>
        </w:rPr>
      </w:pPr>
      <w:r w:rsidRPr="004B5AE8">
        <w:rPr>
          <w:shd w:val="clear" w:color="auto" w:fill="FFFFFF"/>
        </w:rPr>
        <w:t xml:space="preserve">Davis, A. K., Ge, W., Matsumoto, D., </w:t>
      </w:r>
      <w:r w:rsidR="00671C58">
        <w:rPr>
          <w:shd w:val="clear" w:color="auto" w:fill="FFFFFF"/>
        </w:rPr>
        <w:t>&amp;</w:t>
      </w:r>
      <w:r w:rsidR="00671C58" w:rsidRPr="004B5AE8">
        <w:rPr>
          <w:shd w:val="clear" w:color="auto" w:fill="FFFFFF"/>
        </w:rPr>
        <w:t xml:space="preserve"> </w:t>
      </w:r>
      <w:r w:rsidRPr="004B5AE8">
        <w:rPr>
          <w:shd w:val="clear" w:color="auto" w:fill="FFFFFF"/>
        </w:rPr>
        <w:t xml:space="preserve">Zhang, J. L. (2015). The effect of manager-specific optimism on the tone of earnings conference calls. </w:t>
      </w:r>
      <w:r w:rsidRPr="004B5AE8">
        <w:rPr>
          <w:i/>
          <w:iCs/>
          <w:shd w:val="clear" w:color="auto" w:fill="FFFFFF"/>
        </w:rPr>
        <w:t>Review of Accounting Studies</w:t>
      </w:r>
      <w:r w:rsidRPr="004B5AE8">
        <w:rPr>
          <w:shd w:val="clear" w:color="auto" w:fill="FFFFFF"/>
        </w:rPr>
        <w:t xml:space="preserve">, </w:t>
      </w:r>
      <w:r w:rsidRPr="004B5AE8">
        <w:rPr>
          <w:i/>
          <w:iCs/>
          <w:shd w:val="clear" w:color="auto" w:fill="FFFFFF"/>
        </w:rPr>
        <w:t>20</w:t>
      </w:r>
      <w:r w:rsidR="00671C58">
        <w:rPr>
          <w:shd w:val="clear" w:color="auto" w:fill="FFFFFF"/>
        </w:rPr>
        <w:t>(2)</w:t>
      </w:r>
      <w:r w:rsidRPr="004B5AE8">
        <w:rPr>
          <w:shd w:val="clear" w:color="auto" w:fill="FFFFFF"/>
        </w:rPr>
        <w:t>, 639</w:t>
      </w:r>
      <w:r w:rsidR="00671C58">
        <w:rPr>
          <w:shd w:val="clear" w:color="auto" w:fill="FFFFFF"/>
        </w:rPr>
        <w:t>–</w:t>
      </w:r>
      <w:r w:rsidRPr="004B5AE8">
        <w:rPr>
          <w:shd w:val="clear" w:color="auto" w:fill="FFFFFF"/>
        </w:rPr>
        <w:t>673.</w:t>
      </w:r>
    </w:p>
    <w:p w14:paraId="6926A31A" w14:textId="6443356B" w:rsidR="00EB408C" w:rsidRPr="004B5AE8" w:rsidRDefault="00EB408C">
      <w:pPr>
        <w:pStyle w:val="References"/>
        <w:rPr>
          <w:shd w:val="clear" w:color="auto" w:fill="FFFFFF"/>
        </w:rPr>
      </w:pPr>
      <w:r w:rsidRPr="004B5AE8">
        <w:rPr>
          <w:shd w:val="clear" w:color="auto" w:fill="FFFFFF"/>
        </w:rPr>
        <w:t xml:space="preserve">Davis, A. K., Piger, J. M., </w:t>
      </w:r>
      <w:r w:rsidR="00671C58">
        <w:rPr>
          <w:shd w:val="clear" w:color="auto" w:fill="FFFFFF"/>
        </w:rPr>
        <w:t>&amp;</w:t>
      </w:r>
      <w:r w:rsidR="00671C58" w:rsidRPr="004B5AE8">
        <w:rPr>
          <w:shd w:val="clear" w:color="auto" w:fill="FFFFFF"/>
        </w:rPr>
        <w:t xml:space="preserve"> </w:t>
      </w:r>
      <w:r w:rsidRPr="004B5AE8">
        <w:rPr>
          <w:shd w:val="clear" w:color="auto" w:fill="FFFFFF"/>
        </w:rPr>
        <w:t xml:space="preserve">Sedor, L. M. (2012). Beyond the numbers: Measuring the information content of earnings press release language. </w:t>
      </w:r>
      <w:r w:rsidRPr="004B5AE8">
        <w:rPr>
          <w:i/>
          <w:shd w:val="clear" w:color="auto" w:fill="FFFFFF"/>
        </w:rPr>
        <w:t>Contemporary Accounting Research</w:t>
      </w:r>
      <w:r w:rsidRPr="004B5AE8">
        <w:rPr>
          <w:shd w:val="clear" w:color="auto" w:fill="FFFFFF"/>
        </w:rPr>
        <w:t xml:space="preserve">, </w:t>
      </w:r>
      <w:r w:rsidRPr="004B5AE8">
        <w:rPr>
          <w:i/>
          <w:shd w:val="clear" w:color="auto" w:fill="FFFFFF"/>
        </w:rPr>
        <w:t>29</w:t>
      </w:r>
      <w:r w:rsidR="00671C58">
        <w:rPr>
          <w:iCs/>
          <w:shd w:val="clear" w:color="auto" w:fill="FFFFFF"/>
        </w:rPr>
        <w:t>(3)</w:t>
      </w:r>
      <w:r w:rsidRPr="004B5AE8">
        <w:rPr>
          <w:shd w:val="clear" w:color="auto" w:fill="FFFFFF"/>
        </w:rPr>
        <w:t>, 845</w:t>
      </w:r>
      <w:r w:rsidR="00671C58">
        <w:rPr>
          <w:shd w:val="clear" w:color="auto" w:fill="FFFFFF"/>
        </w:rPr>
        <w:t>–</w:t>
      </w:r>
      <w:r w:rsidRPr="004B5AE8">
        <w:rPr>
          <w:shd w:val="clear" w:color="auto" w:fill="FFFFFF"/>
        </w:rPr>
        <w:t>868.</w:t>
      </w:r>
    </w:p>
    <w:p w14:paraId="0A4C0EF0" w14:textId="2575D0F9" w:rsidR="00EB408C" w:rsidRPr="004B5AE8" w:rsidRDefault="00EB408C">
      <w:pPr>
        <w:pStyle w:val="References"/>
      </w:pPr>
      <w:r w:rsidRPr="004B5AE8">
        <w:t xml:space="preserve">DeFond, M. L., Hung, M., Li, S., </w:t>
      </w:r>
      <w:r w:rsidR="00671C58">
        <w:t>&amp;</w:t>
      </w:r>
      <w:r w:rsidR="00671C58" w:rsidRPr="004B5AE8">
        <w:t xml:space="preserve"> </w:t>
      </w:r>
      <w:r w:rsidRPr="004B5AE8">
        <w:t xml:space="preserve">Li, Y. (2015). Does mandatory IFRS adoption affect crash risk? </w:t>
      </w:r>
      <w:r w:rsidRPr="004B5AE8">
        <w:rPr>
          <w:i/>
        </w:rPr>
        <w:t>The Accounting Review</w:t>
      </w:r>
      <w:r w:rsidRPr="004B5AE8">
        <w:t xml:space="preserve">, </w:t>
      </w:r>
      <w:r w:rsidRPr="004B5AE8">
        <w:rPr>
          <w:i/>
        </w:rPr>
        <w:t>90</w:t>
      </w:r>
      <w:r w:rsidR="00671C58">
        <w:rPr>
          <w:iCs/>
        </w:rPr>
        <w:t>(1)</w:t>
      </w:r>
      <w:r w:rsidRPr="004B5AE8">
        <w:t>, 265</w:t>
      </w:r>
      <w:r w:rsidR="00671C58">
        <w:t>–</w:t>
      </w:r>
      <w:r w:rsidRPr="004B5AE8">
        <w:t>299.</w:t>
      </w:r>
    </w:p>
    <w:p w14:paraId="22E5D5A5" w14:textId="008CEA95" w:rsidR="00EB408C" w:rsidRPr="004B5AE8" w:rsidRDefault="00EB408C">
      <w:pPr>
        <w:pStyle w:val="References"/>
        <w:rPr>
          <w:shd w:val="clear" w:color="auto" w:fill="FFFFFF"/>
        </w:rPr>
      </w:pPr>
      <w:r w:rsidRPr="004B5AE8">
        <w:rPr>
          <w:shd w:val="clear" w:color="auto" w:fill="FFFFFF"/>
        </w:rPr>
        <w:t xml:space="preserve">DePaulo, B. M., Lindsay, J. J., Malone, B. E., Muhlenbruck, L., Charlton, K., </w:t>
      </w:r>
      <w:r w:rsidR="00671C58">
        <w:rPr>
          <w:shd w:val="clear" w:color="auto" w:fill="FFFFFF"/>
        </w:rPr>
        <w:t>&amp;</w:t>
      </w:r>
      <w:r w:rsidR="00671C58" w:rsidRPr="004B5AE8">
        <w:rPr>
          <w:shd w:val="clear" w:color="auto" w:fill="FFFFFF"/>
        </w:rPr>
        <w:t xml:space="preserve"> </w:t>
      </w:r>
      <w:r w:rsidRPr="004B5AE8">
        <w:rPr>
          <w:shd w:val="clear" w:color="auto" w:fill="FFFFFF"/>
        </w:rPr>
        <w:t xml:space="preserve">Cooper, H. (2003). Cues to deception. </w:t>
      </w:r>
      <w:r w:rsidRPr="004B5AE8">
        <w:rPr>
          <w:i/>
          <w:shd w:val="clear" w:color="auto" w:fill="FFFFFF"/>
        </w:rPr>
        <w:t>Psychological Bulletin</w:t>
      </w:r>
      <w:r w:rsidRPr="004B5AE8">
        <w:rPr>
          <w:shd w:val="clear" w:color="auto" w:fill="FFFFFF"/>
        </w:rPr>
        <w:t xml:space="preserve">, </w:t>
      </w:r>
      <w:r w:rsidRPr="004B5AE8">
        <w:rPr>
          <w:i/>
          <w:shd w:val="clear" w:color="auto" w:fill="FFFFFF"/>
        </w:rPr>
        <w:t>129</w:t>
      </w:r>
      <w:r w:rsidR="00671C58">
        <w:rPr>
          <w:iCs/>
          <w:shd w:val="clear" w:color="auto" w:fill="FFFFFF"/>
        </w:rPr>
        <w:t>(1)</w:t>
      </w:r>
      <w:r w:rsidRPr="004B5AE8">
        <w:rPr>
          <w:shd w:val="clear" w:color="auto" w:fill="FFFFFF"/>
        </w:rPr>
        <w:t>, 74</w:t>
      </w:r>
      <w:r w:rsidR="00671C58">
        <w:rPr>
          <w:shd w:val="clear" w:color="auto" w:fill="FFFFFF"/>
        </w:rPr>
        <w:t>–</w:t>
      </w:r>
      <w:r w:rsidRPr="004B5AE8">
        <w:rPr>
          <w:shd w:val="clear" w:color="auto" w:fill="FFFFFF"/>
        </w:rPr>
        <w:t>118.</w:t>
      </w:r>
    </w:p>
    <w:p w14:paraId="6641E737" w14:textId="381517FF" w:rsidR="00EB408C" w:rsidRPr="004B5AE8" w:rsidRDefault="00EB408C">
      <w:pPr>
        <w:pStyle w:val="References"/>
        <w:rPr>
          <w:shd w:val="clear" w:color="auto" w:fill="FFFFFF"/>
        </w:rPr>
      </w:pPr>
      <w:r w:rsidRPr="004B5AE8">
        <w:rPr>
          <w:shd w:val="clear" w:color="auto" w:fill="FFFFFF"/>
        </w:rPr>
        <w:lastRenderedPageBreak/>
        <w:t xml:space="preserve">Evans, J. H., Hannan, R. L., Krishnan, R., </w:t>
      </w:r>
      <w:r w:rsidR="00671C58">
        <w:rPr>
          <w:shd w:val="clear" w:color="auto" w:fill="FFFFFF"/>
        </w:rPr>
        <w:t>&amp;</w:t>
      </w:r>
      <w:r w:rsidR="00671C58" w:rsidRPr="004B5AE8">
        <w:rPr>
          <w:shd w:val="clear" w:color="auto" w:fill="FFFFFF"/>
        </w:rPr>
        <w:t xml:space="preserve"> </w:t>
      </w:r>
      <w:r w:rsidRPr="004B5AE8">
        <w:rPr>
          <w:shd w:val="clear" w:color="auto" w:fill="FFFFFF"/>
        </w:rPr>
        <w:t xml:space="preserve">Moser, D. V. (2001). Honesty in managerial reporting. </w:t>
      </w:r>
      <w:r w:rsidRPr="004B5AE8">
        <w:rPr>
          <w:i/>
          <w:iCs/>
          <w:shd w:val="clear" w:color="auto" w:fill="FFFFFF"/>
        </w:rPr>
        <w:t>The Accounting Review</w:t>
      </w:r>
      <w:r w:rsidRPr="004B5AE8">
        <w:rPr>
          <w:shd w:val="clear" w:color="auto" w:fill="FFFFFF"/>
        </w:rPr>
        <w:t xml:space="preserve">, </w:t>
      </w:r>
      <w:r w:rsidRPr="004B5AE8">
        <w:rPr>
          <w:i/>
          <w:iCs/>
          <w:shd w:val="clear" w:color="auto" w:fill="FFFFFF"/>
        </w:rPr>
        <w:t>76</w:t>
      </w:r>
      <w:r w:rsidR="00671C58">
        <w:rPr>
          <w:shd w:val="clear" w:color="auto" w:fill="FFFFFF"/>
        </w:rPr>
        <w:t>(4)</w:t>
      </w:r>
      <w:r w:rsidRPr="004B5AE8">
        <w:rPr>
          <w:shd w:val="clear" w:color="auto" w:fill="FFFFFF"/>
        </w:rPr>
        <w:t>, 537</w:t>
      </w:r>
      <w:r w:rsidR="00671C58">
        <w:rPr>
          <w:shd w:val="clear" w:color="auto" w:fill="FFFFFF"/>
        </w:rPr>
        <w:t>–</w:t>
      </w:r>
      <w:r w:rsidRPr="004B5AE8">
        <w:rPr>
          <w:shd w:val="clear" w:color="auto" w:fill="FFFFFF"/>
        </w:rPr>
        <w:t>559.</w:t>
      </w:r>
    </w:p>
    <w:p w14:paraId="095025BD" w14:textId="50B085DE" w:rsidR="00EB408C" w:rsidRPr="004B5AE8" w:rsidRDefault="00EB408C">
      <w:pPr>
        <w:pStyle w:val="References"/>
        <w:rPr>
          <w:shd w:val="clear" w:color="auto" w:fill="FFFFFF"/>
        </w:rPr>
      </w:pPr>
      <w:r w:rsidRPr="004B5AE8">
        <w:rPr>
          <w:shd w:val="clear" w:color="auto" w:fill="FFFFFF"/>
        </w:rPr>
        <w:t xml:space="preserve">Feldman, R., Govindaraj, S., Livnat, J., </w:t>
      </w:r>
      <w:r w:rsidR="00671C58">
        <w:rPr>
          <w:shd w:val="clear" w:color="auto" w:fill="FFFFFF"/>
        </w:rPr>
        <w:t>&amp;</w:t>
      </w:r>
      <w:r w:rsidR="00671C58" w:rsidRPr="004B5AE8">
        <w:rPr>
          <w:shd w:val="clear" w:color="auto" w:fill="FFFFFF"/>
        </w:rPr>
        <w:t xml:space="preserve"> </w:t>
      </w:r>
      <w:r w:rsidRPr="004B5AE8">
        <w:rPr>
          <w:shd w:val="clear" w:color="auto" w:fill="FFFFFF"/>
        </w:rPr>
        <w:t xml:space="preserve">Segal, B. (2010). Management’s tone change, post earnings announcement draft and accruals. </w:t>
      </w:r>
      <w:r w:rsidRPr="004B5AE8">
        <w:rPr>
          <w:i/>
          <w:shd w:val="clear" w:color="auto" w:fill="FFFFFF"/>
        </w:rPr>
        <w:t>Review of Accounting Studies</w:t>
      </w:r>
      <w:r w:rsidRPr="004B5AE8">
        <w:rPr>
          <w:shd w:val="clear" w:color="auto" w:fill="FFFFFF"/>
        </w:rPr>
        <w:t xml:space="preserve">, </w:t>
      </w:r>
      <w:r w:rsidRPr="004B5AE8">
        <w:rPr>
          <w:i/>
          <w:shd w:val="clear" w:color="auto" w:fill="FFFFFF"/>
        </w:rPr>
        <w:t>15</w:t>
      </w:r>
      <w:r w:rsidR="00671C58">
        <w:rPr>
          <w:iCs/>
          <w:shd w:val="clear" w:color="auto" w:fill="FFFFFF"/>
        </w:rPr>
        <w:t>(4)</w:t>
      </w:r>
      <w:r w:rsidRPr="004B5AE8">
        <w:rPr>
          <w:shd w:val="clear" w:color="auto" w:fill="FFFFFF"/>
        </w:rPr>
        <w:t>, 915</w:t>
      </w:r>
      <w:r w:rsidR="00671C58">
        <w:rPr>
          <w:shd w:val="clear" w:color="auto" w:fill="FFFFFF"/>
        </w:rPr>
        <w:t>–</w:t>
      </w:r>
      <w:r w:rsidRPr="004B5AE8">
        <w:rPr>
          <w:shd w:val="clear" w:color="auto" w:fill="FFFFFF"/>
        </w:rPr>
        <w:t>953.</w:t>
      </w:r>
    </w:p>
    <w:p w14:paraId="62C487B1" w14:textId="3CA1EEA0" w:rsidR="00EB408C" w:rsidRPr="004B5AE8" w:rsidRDefault="00EB408C">
      <w:pPr>
        <w:pStyle w:val="References"/>
        <w:rPr>
          <w:shd w:val="clear" w:color="auto" w:fill="FFFFFF"/>
        </w:rPr>
      </w:pPr>
      <w:r w:rsidRPr="004B5AE8">
        <w:rPr>
          <w:shd w:val="clear" w:color="auto" w:fill="FFFFFF"/>
        </w:rPr>
        <w:t xml:space="preserve">Frankel, R., </w:t>
      </w:r>
      <w:r w:rsidR="00671C58">
        <w:rPr>
          <w:shd w:val="clear" w:color="auto" w:fill="FFFFFF"/>
        </w:rPr>
        <w:t>&amp;</w:t>
      </w:r>
      <w:r w:rsidR="00671C58" w:rsidRPr="004B5AE8">
        <w:rPr>
          <w:shd w:val="clear" w:color="auto" w:fill="FFFFFF"/>
        </w:rPr>
        <w:t xml:space="preserve"> </w:t>
      </w:r>
      <w:r w:rsidRPr="004B5AE8">
        <w:rPr>
          <w:shd w:val="clear" w:color="auto" w:fill="FFFFFF"/>
        </w:rPr>
        <w:t xml:space="preserve">Li, X. (2004). Characteristics of a firm’s information environment and the information asymmetry between insiders and outsiders. </w:t>
      </w:r>
      <w:r w:rsidRPr="004B5AE8">
        <w:rPr>
          <w:i/>
          <w:shd w:val="clear" w:color="auto" w:fill="FFFFFF"/>
        </w:rPr>
        <w:t>Journal of Accounting and Economics</w:t>
      </w:r>
      <w:r w:rsidRPr="004B5AE8">
        <w:rPr>
          <w:shd w:val="clear" w:color="auto" w:fill="FFFFFF"/>
        </w:rPr>
        <w:t xml:space="preserve">, </w:t>
      </w:r>
      <w:r w:rsidRPr="004B5AE8">
        <w:rPr>
          <w:i/>
          <w:shd w:val="clear" w:color="auto" w:fill="FFFFFF"/>
        </w:rPr>
        <w:t>37</w:t>
      </w:r>
      <w:r w:rsidR="00671C58">
        <w:rPr>
          <w:iCs/>
          <w:shd w:val="clear" w:color="auto" w:fill="FFFFFF"/>
        </w:rPr>
        <w:t>(2)</w:t>
      </w:r>
      <w:r w:rsidRPr="004B5AE8">
        <w:rPr>
          <w:shd w:val="clear" w:color="auto" w:fill="FFFFFF"/>
        </w:rPr>
        <w:t>, 229</w:t>
      </w:r>
      <w:r w:rsidR="00671C58">
        <w:rPr>
          <w:shd w:val="clear" w:color="auto" w:fill="FFFFFF"/>
        </w:rPr>
        <w:t>–</w:t>
      </w:r>
      <w:r w:rsidRPr="004B5AE8">
        <w:rPr>
          <w:shd w:val="clear" w:color="auto" w:fill="FFFFFF"/>
        </w:rPr>
        <w:t>259.</w:t>
      </w:r>
    </w:p>
    <w:p w14:paraId="32F15831" w14:textId="2B4C3642" w:rsidR="00EB408C" w:rsidRPr="004B5AE8" w:rsidRDefault="00EB408C">
      <w:pPr>
        <w:pStyle w:val="References"/>
        <w:rPr>
          <w:shd w:val="clear" w:color="auto" w:fill="FFFFFF"/>
        </w:rPr>
      </w:pPr>
      <w:r w:rsidRPr="004B5AE8">
        <w:rPr>
          <w:shd w:val="clear" w:color="auto" w:fill="FFFFFF"/>
        </w:rPr>
        <w:t xml:space="preserve">Frecka, T. J. (2008). Ethical issues in financial reporting: Is intentionally structuring of lease contracts to avoid capitalization unethical? </w:t>
      </w:r>
      <w:r w:rsidRPr="004B5AE8">
        <w:rPr>
          <w:i/>
          <w:shd w:val="clear" w:color="auto" w:fill="FFFFFF"/>
        </w:rPr>
        <w:t>Journal of Business Ethics</w:t>
      </w:r>
      <w:r w:rsidRPr="004B5AE8">
        <w:rPr>
          <w:shd w:val="clear" w:color="auto" w:fill="FFFFFF"/>
        </w:rPr>
        <w:t xml:space="preserve">, </w:t>
      </w:r>
      <w:r w:rsidRPr="004B5AE8">
        <w:rPr>
          <w:i/>
          <w:shd w:val="clear" w:color="auto" w:fill="FFFFFF"/>
        </w:rPr>
        <w:t>80</w:t>
      </w:r>
      <w:r w:rsidR="0060672D">
        <w:rPr>
          <w:iCs/>
          <w:shd w:val="clear" w:color="auto" w:fill="FFFFFF"/>
        </w:rPr>
        <w:t>(1)</w:t>
      </w:r>
      <w:r w:rsidRPr="004B5AE8">
        <w:rPr>
          <w:shd w:val="clear" w:color="auto" w:fill="FFFFFF"/>
        </w:rPr>
        <w:t>, 45</w:t>
      </w:r>
      <w:r w:rsidR="0060672D">
        <w:rPr>
          <w:shd w:val="clear" w:color="auto" w:fill="FFFFFF"/>
        </w:rPr>
        <w:t>–</w:t>
      </w:r>
      <w:r w:rsidRPr="004B5AE8">
        <w:rPr>
          <w:shd w:val="clear" w:color="auto" w:fill="FFFFFF"/>
        </w:rPr>
        <w:t>59.</w:t>
      </w:r>
    </w:p>
    <w:p w14:paraId="6FD12418" w14:textId="5F483190" w:rsidR="00EB408C" w:rsidRPr="004B5AE8" w:rsidRDefault="00EB408C">
      <w:pPr>
        <w:pStyle w:val="References"/>
        <w:rPr>
          <w:shd w:val="clear" w:color="auto" w:fill="FFFFFF"/>
        </w:rPr>
      </w:pPr>
      <w:r w:rsidRPr="004B5AE8">
        <w:rPr>
          <w:lang w:eastAsia="zh-CN"/>
        </w:rPr>
        <w:t xml:space="preserve">Gibson, R., Tanner, C., </w:t>
      </w:r>
      <w:r w:rsidR="0060672D">
        <w:rPr>
          <w:lang w:eastAsia="zh-CN"/>
        </w:rPr>
        <w:t>&amp;</w:t>
      </w:r>
      <w:r w:rsidR="0060672D" w:rsidRPr="004B5AE8">
        <w:rPr>
          <w:lang w:eastAsia="zh-CN"/>
        </w:rPr>
        <w:t xml:space="preserve"> </w:t>
      </w:r>
      <w:r w:rsidRPr="004B5AE8">
        <w:rPr>
          <w:lang w:eastAsia="zh-CN"/>
        </w:rPr>
        <w:t xml:space="preserve">Wagner, A. F. (2013). Preferences for truthfulness: Heterogeneity among and within individuals. </w:t>
      </w:r>
      <w:r w:rsidRPr="004B5AE8">
        <w:rPr>
          <w:i/>
          <w:lang w:eastAsia="zh-CN"/>
        </w:rPr>
        <w:t>American Economic Review</w:t>
      </w:r>
      <w:r w:rsidRPr="004B5AE8">
        <w:rPr>
          <w:lang w:eastAsia="zh-CN"/>
        </w:rPr>
        <w:t xml:space="preserve">, </w:t>
      </w:r>
      <w:r w:rsidRPr="004B5AE8">
        <w:rPr>
          <w:i/>
          <w:lang w:eastAsia="zh-CN"/>
        </w:rPr>
        <w:t>103</w:t>
      </w:r>
      <w:r w:rsidR="0060672D">
        <w:rPr>
          <w:iCs/>
          <w:lang w:eastAsia="zh-CN"/>
        </w:rPr>
        <w:t>(1)</w:t>
      </w:r>
      <w:r w:rsidRPr="004B5AE8">
        <w:rPr>
          <w:lang w:eastAsia="zh-CN"/>
        </w:rPr>
        <w:t>, 532</w:t>
      </w:r>
      <w:r w:rsidR="0060672D">
        <w:rPr>
          <w:lang w:eastAsia="zh-CN"/>
        </w:rPr>
        <w:t>–</w:t>
      </w:r>
      <w:r w:rsidRPr="004B5AE8">
        <w:rPr>
          <w:lang w:eastAsia="zh-CN"/>
        </w:rPr>
        <w:t>548.</w:t>
      </w:r>
    </w:p>
    <w:p w14:paraId="71CDB6BA" w14:textId="3E81D04E" w:rsidR="00EB408C" w:rsidRPr="004B5AE8" w:rsidRDefault="00EB408C">
      <w:pPr>
        <w:pStyle w:val="References"/>
        <w:rPr>
          <w:shd w:val="clear" w:color="auto" w:fill="FFFFFF"/>
        </w:rPr>
      </w:pPr>
      <w:r w:rsidRPr="004B5AE8">
        <w:rPr>
          <w:lang w:eastAsia="zh-CN"/>
        </w:rPr>
        <w:t xml:space="preserve">Hannan, R. L., Rankin, F. W., </w:t>
      </w:r>
      <w:r w:rsidR="0060672D">
        <w:rPr>
          <w:lang w:eastAsia="zh-CN"/>
        </w:rPr>
        <w:t>&amp;</w:t>
      </w:r>
      <w:r w:rsidR="0060672D" w:rsidRPr="004B5AE8">
        <w:rPr>
          <w:lang w:eastAsia="zh-CN"/>
        </w:rPr>
        <w:t xml:space="preserve"> </w:t>
      </w:r>
      <w:r w:rsidRPr="004B5AE8">
        <w:rPr>
          <w:lang w:eastAsia="zh-CN"/>
        </w:rPr>
        <w:t xml:space="preserve">Towry, K. L. (2006). The effect of information systems on honesty in managerial reporting: A behavioural perspective. </w:t>
      </w:r>
      <w:r w:rsidRPr="004B5AE8">
        <w:rPr>
          <w:i/>
          <w:lang w:eastAsia="zh-CN"/>
        </w:rPr>
        <w:t>Contemporary Accounting Research</w:t>
      </w:r>
      <w:r w:rsidRPr="004B5AE8">
        <w:rPr>
          <w:lang w:eastAsia="zh-CN"/>
        </w:rPr>
        <w:t xml:space="preserve">, </w:t>
      </w:r>
      <w:r w:rsidRPr="004B5AE8">
        <w:rPr>
          <w:i/>
          <w:lang w:eastAsia="zh-CN"/>
        </w:rPr>
        <w:t>23</w:t>
      </w:r>
      <w:r w:rsidR="0060672D">
        <w:rPr>
          <w:iCs/>
          <w:lang w:eastAsia="zh-CN"/>
        </w:rPr>
        <w:t>(4)</w:t>
      </w:r>
      <w:r w:rsidRPr="004B5AE8">
        <w:rPr>
          <w:lang w:eastAsia="zh-CN"/>
        </w:rPr>
        <w:t>, 885</w:t>
      </w:r>
      <w:r w:rsidR="0060672D">
        <w:rPr>
          <w:lang w:eastAsia="zh-CN"/>
        </w:rPr>
        <w:t>–</w:t>
      </w:r>
      <w:r w:rsidRPr="004B5AE8">
        <w:rPr>
          <w:lang w:eastAsia="zh-CN"/>
        </w:rPr>
        <w:t>918</w:t>
      </w:r>
      <w:r w:rsidRPr="004B5AE8">
        <w:rPr>
          <w:i/>
          <w:lang w:eastAsia="zh-CN"/>
        </w:rPr>
        <w:t>.</w:t>
      </w:r>
    </w:p>
    <w:p w14:paraId="00825A94" w14:textId="316088BF" w:rsidR="00EB408C" w:rsidRPr="004B5AE8" w:rsidRDefault="00EB408C">
      <w:pPr>
        <w:pStyle w:val="References"/>
        <w:rPr>
          <w:shd w:val="clear" w:color="auto" w:fill="FFFFFF"/>
        </w:rPr>
      </w:pPr>
      <w:r w:rsidRPr="004B5AE8">
        <w:rPr>
          <w:shd w:val="clear" w:color="auto" w:fill="FFFFFF"/>
        </w:rPr>
        <w:t xml:space="preserve">Henry, E., </w:t>
      </w:r>
      <w:r w:rsidR="0060672D">
        <w:rPr>
          <w:shd w:val="clear" w:color="auto" w:fill="FFFFFF"/>
        </w:rPr>
        <w:t>&amp;</w:t>
      </w:r>
      <w:r w:rsidR="0060672D" w:rsidRPr="004B5AE8">
        <w:rPr>
          <w:shd w:val="clear" w:color="auto" w:fill="FFFFFF"/>
        </w:rPr>
        <w:t xml:space="preserve"> </w:t>
      </w:r>
      <w:r w:rsidRPr="004B5AE8">
        <w:rPr>
          <w:shd w:val="clear" w:color="auto" w:fill="FFFFFF"/>
        </w:rPr>
        <w:t xml:space="preserve">Leone, A. J. (2016). Measuring qualitative information in capital markets research: Comparison of alternative methodologies to measure disclosure tone. </w:t>
      </w:r>
      <w:r w:rsidRPr="004B5AE8">
        <w:rPr>
          <w:i/>
          <w:shd w:val="clear" w:color="auto" w:fill="FFFFFF"/>
        </w:rPr>
        <w:t>The Accounting Review</w:t>
      </w:r>
      <w:r w:rsidRPr="004B5AE8">
        <w:rPr>
          <w:shd w:val="clear" w:color="auto" w:fill="FFFFFF"/>
        </w:rPr>
        <w:t xml:space="preserve">, </w:t>
      </w:r>
      <w:r w:rsidRPr="004B5AE8">
        <w:rPr>
          <w:i/>
          <w:shd w:val="clear" w:color="auto" w:fill="FFFFFF"/>
        </w:rPr>
        <w:t>91</w:t>
      </w:r>
      <w:r w:rsidR="0060672D">
        <w:rPr>
          <w:iCs/>
          <w:shd w:val="clear" w:color="auto" w:fill="FFFFFF"/>
        </w:rPr>
        <w:t>(1)</w:t>
      </w:r>
      <w:r w:rsidRPr="004B5AE8">
        <w:rPr>
          <w:shd w:val="clear" w:color="auto" w:fill="FFFFFF"/>
        </w:rPr>
        <w:t>, 153</w:t>
      </w:r>
      <w:r w:rsidR="0060672D">
        <w:rPr>
          <w:shd w:val="clear" w:color="auto" w:fill="FFFFFF"/>
        </w:rPr>
        <w:t>–</w:t>
      </w:r>
      <w:r w:rsidRPr="004B5AE8">
        <w:rPr>
          <w:shd w:val="clear" w:color="auto" w:fill="FFFFFF"/>
        </w:rPr>
        <w:t>178.</w:t>
      </w:r>
    </w:p>
    <w:p w14:paraId="1BE8794D" w14:textId="77777777" w:rsidR="003448EE" w:rsidRPr="004B5AE8" w:rsidRDefault="003448EE" w:rsidP="003448EE">
      <w:pPr>
        <w:pStyle w:val="References"/>
        <w:rPr>
          <w:shd w:val="clear" w:color="auto" w:fill="FFFFFF"/>
        </w:rPr>
      </w:pPr>
      <w:r w:rsidRPr="004B5AE8">
        <w:rPr>
          <w:shd w:val="clear" w:color="auto" w:fill="FFFFFF"/>
        </w:rPr>
        <w:t xml:space="preserve">Hobson, J. L., Mayew, W. J., Peecher, M., </w:t>
      </w:r>
      <w:r>
        <w:rPr>
          <w:shd w:val="clear" w:color="auto" w:fill="FFFFFF"/>
        </w:rPr>
        <w:t>&amp;</w:t>
      </w:r>
      <w:r w:rsidRPr="004B5AE8">
        <w:rPr>
          <w:shd w:val="clear" w:color="auto" w:fill="FFFFFF"/>
        </w:rPr>
        <w:t xml:space="preserve"> Venkatachalam, M. (2017). Improving experienced auditors’ detection of deception in CEO narratives. </w:t>
      </w:r>
      <w:r w:rsidRPr="004B5AE8">
        <w:rPr>
          <w:i/>
          <w:iCs/>
          <w:shd w:val="clear" w:color="auto" w:fill="FFFFFF"/>
        </w:rPr>
        <w:t>Journal of Accounting Research</w:t>
      </w:r>
      <w:r w:rsidRPr="004B5AE8">
        <w:rPr>
          <w:iCs/>
          <w:shd w:val="clear" w:color="auto" w:fill="FFFFFF"/>
        </w:rPr>
        <w:t xml:space="preserve">, </w:t>
      </w:r>
      <w:r w:rsidRPr="004B5AE8">
        <w:rPr>
          <w:i/>
          <w:iCs/>
          <w:shd w:val="clear" w:color="auto" w:fill="FFFFFF"/>
        </w:rPr>
        <w:t>55</w:t>
      </w:r>
      <w:r>
        <w:rPr>
          <w:shd w:val="clear" w:color="auto" w:fill="FFFFFF"/>
        </w:rPr>
        <w:t>(5)</w:t>
      </w:r>
      <w:r w:rsidRPr="004B5AE8">
        <w:rPr>
          <w:iCs/>
          <w:shd w:val="clear" w:color="auto" w:fill="FFFFFF"/>
        </w:rPr>
        <w:t>, 1137</w:t>
      </w:r>
      <w:r>
        <w:rPr>
          <w:iCs/>
          <w:shd w:val="clear" w:color="auto" w:fill="FFFFFF"/>
        </w:rPr>
        <w:t>–</w:t>
      </w:r>
      <w:r w:rsidRPr="004B5AE8">
        <w:rPr>
          <w:iCs/>
          <w:shd w:val="clear" w:color="auto" w:fill="FFFFFF"/>
        </w:rPr>
        <w:t>1166</w:t>
      </w:r>
      <w:r w:rsidRPr="004B5AE8">
        <w:rPr>
          <w:shd w:val="clear" w:color="auto" w:fill="FFFFFF"/>
        </w:rPr>
        <w:t>.</w:t>
      </w:r>
    </w:p>
    <w:p w14:paraId="23D9817C" w14:textId="1FDC9BF0" w:rsidR="00EB408C" w:rsidRPr="004B5AE8" w:rsidRDefault="00EB408C" w:rsidP="003E49E8">
      <w:pPr>
        <w:pStyle w:val="References"/>
        <w:rPr>
          <w:shd w:val="clear" w:color="auto" w:fill="FFFFFF"/>
        </w:rPr>
      </w:pPr>
      <w:r w:rsidRPr="004B5AE8">
        <w:rPr>
          <w:shd w:val="clear" w:color="auto" w:fill="FFFFFF"/>
        </w:rPr>
        <w:t xml:space="preserve">Hobson, J. L., Mayew, W. J., </w:t>
      </w:r>
      <w:r w:rsidR="0060672D">
        <w:rPr>
          <w:shd w:val="clear" w:color="auto" w:fill="FFFFFF"/>
        </w:rPr>
        <w:t>&amp;</w:t>
      </w:r>
      <w:r w:rsidR="0060672D" w:rsidRPr="004B5AE8">
        <w:rPr>
          <w:shd w:val="clear" w:color="auto" w:fill="FFFFFF"/>
        </w:rPr>
        <w:t xml:space="preserve"> </w:t>
      </w:r>
      <w:r w:rsidRPr="004B5AE8">
        <w:rPr>
          <w:shd w:val="clear" w:color="auto" w:fill="FFFFFF"/>
        </w:rPr>
        <w:t xml:space="preserve">Venkatachalam, M. (2012). Analyzing speech to detect financial misreporting. </w:t>
      </w:r>
      <w:r w:rsidRPr="004B5AE8">
        <w:rPr>
          <w:i/>
          <w:shd w:val="clear" w:color="auto" w:fill="FFFFFF"/>
        </w:rPr>
        <w:t>Journal of Accounting Research</w:t>
      </w:r>
      <w:r w:rsidRPr="004B5AE8">
        <w:rPr>
          <w:shd w:val="clear" w:color="auto" w:fill="FFFFFF"/>
        </w:rPr>
        <w:t xml:space="preserve">, </w:t>
      </w:r>
      <w:r w:rsidRPr="004B5AE8">
        <w:rPr>
          <w:i/>
          <w:shd w:val="clear" w:color="auto" w:fill="FFFFFF"/>
        </w:rPr>
        <w:t>50</w:t>
      </w:r>
      <w:r w:rsidR="0060672D">
        <w:rPr>
          <w:iCs/>
          <w:shd w:val="clear" w:color="auto" w:fill="FFFFFF"/>
        </w:rPr>
        <w:t>(2)</w:t>
      </w:r>
      <w:r w:rsidRPr="004B5AE8">
        <w:rPr>
          <w:shd w:val="clear" w:color="auto" w:fill="FFFFFF"/>
        </w:rPr>
        <w:t>, 349</w:t>
      </w:r>
      <w:r w:rsidR="0060672D">
        <w:rPr>
          <w:shd w:val="clear" w:color="auto" w:fill="FFFFFF"/>
        </w:rPr>
        <w:t>–</w:t>
      </w:r>
      <w:r w:rsidRPr="004B5AE8">
        <w:rPr>
          <w:shd w:val="clear" w:color="auto" w:fill="FFFFFF"/>
        </w:rPr>
        <w:t>392.</w:t>
      </w:r>
    </w:p>
    <w:p w14:paraId="176FF1F8" w14:textId="7F95621C" w:rsidR="00EB408C" w:rsidRPr="004B5AE8" w:rsidRDefault="00EB408C">
      <w:pPr>
        <w:pStyle w:val="References"/>
        <w:rPr>
          <w:shd w:val="clear" w:color="auto" w:fill="FFFFFF"/>
        </w:rPr>
      </w:pPr>
      <w:r w:rsidRPr="004B5AE8">
        <w:rPr>
          <w:shd w:val="clear" w:color="auto" w:fill="FFFFFF"/>
        </w:rPr>
        <w:t xml:space="preserve">Holley, D. M. (1998). Information disclosure in sales. </w:t>
      </w:r>
      <w:r w:rsidRPr="004B5AE8">
        <w:rPr>
          <w:i/>
          <w:shd w:val="clear" w:color="auto" w:fill="FFFFFF"/>
        </w:rPr>
        <w:t>Journal of Business Ethics</w:t>
      </w:r>
      <w:r w:rsidRPr="004B5AE8">
        <w:rPr>
          <w:shd w:val="clear" w:color="auto" w:fill="FFFFFF"/>
        </w:rPr>
        <w:t xml:space="preserve">, </w:t>
      </w:r>
      <w:r w:rsidRPr="004B5AE8">
        <w:rPr>
          <w:i/>
          <w:shd w:val="clear" w:color="auto" w:fill="FFFFFF"/>
        </w:rPr>
        <w:t>17</w:t>
      </w:r>
      <w:r w:rsidR="0060672D">
        <w:rPr>
          <w:iCs/>
          <w:shd w:val="clear" w:color="auto" w:fill="FFFFFF"/>
        </w:rPr>
        <w:t>(6)</w:t>
      </w:r>
      <w:r w:rsidRPr="004B5AE8">
        <w:rPr>
          <w:shd w:val="clear" w:color="auto" w:fill="FFFFFF"/>
        </w:rPr>
        <w:t>, 631–641.</w:t>
      </w:r>
    </w:p>
    <w:p w14:paraId="3CA287DE" w14:textId="2547A893" w:rsidR="00EB408C" w:rsidRPr="004B5AE8" w:rsidRDefault="00EB408C">
      <w:pPr>
        <w:pStyle w:val="References"/>
        <w:rPr>
          <w:shd w:val="clear" w:color="auto" w:fill="FFFFFF"/>
        </w:rPr>
      </w:pPr>
      <w:r w:rsidRPr="004B5AE8">
        <w:rPr>
          <w:shd w:val="clear" w:color="auto" w:fill="FFFFFF"/>
        </w:rPr>
        <w:lastRenderedPageBreak/>
        <w:t>Hooghiemstra, R. (2000). Corporate communication and impression management</w:t>
      </w:r>
      <w:r w:rsidR="0060672D">
        <w:rPr>
          <w:shd w:val="clear" w:color="auto" w:fill="FFFFFF"/>
        </w:rPr>
        <w:t>:</w:t>
      </w:r>
      <w:r w:rsidRPr="004B5AE8">
        <w:rPr>
          <w:shd w:val="clear" w:color="auto" w:fill="FFFFFF"/>
        </w:rPr>
        <w:t xml:space="preserve"> New perspectives why companies engage in corporate social reporting. </w:t>
      </w:r>
      <w:r w:rsidRPr="004B5AE8">
        <w:rPr>
          <w:i/>
          <w:shd w:val="clear" w:color="auto" w:fill="FFFFFF"/>
        </w:rPr>
        <w:t>Journal of Business Ethics</w:t>
      </w:r>
      <w:r w:rsidRPr="004B5AE8">
        <w:rPr>
          <w:shd w:val="clear" w:color="auto" w:fill="FFFFFF"/>
        </w:rPr>
        <w:t xml:space="preserve">, </w:t>
      </w:r>
      <w:r w:rsidRPr="004B5AE8">
        <w:rPr>
          <w:i/>
          <w:shd w:val="clear" w:color="auto" w:fill="FFFFFF"/>
        </w:rPr>
        <w:t>27</w:t>
      </w:r>
      <w:r w:rsidR="0060672D">
        <w:rPr>
          <w:iCs/>
          <w:shd w:val="clear" w:color="auto" w:fill="FFFFFF"/>
        </w:rPr>
        <w:t>(1-2)</w:t>
      </w:r>
      <w:r w:rsidRPr="004B5AE8">
        <w:rPr>
          <w:shd w:val="clear" w:color="auto" w:fill="FFFFFF"/>
        </w:rPr>
        <w:t>, 55</w:t>
      </w:r>
      <w:r w:rsidR="0060672D">
        <w:rPr>
          <w:shd w:val="clear" w:color="auto" w:fill="FFFFFF"/>
        </w:rPr>
        <w:t>–</w:t>
      </w:r>
      <w:r w:rsidRPr="004B5AE8">
        <w:rPr>
          <w:shd w:val="clear" w:color="auto" w:fill="FFFFFF"/>
        </w:rPr>
        <w:t>68.</w:t>
      </w:r>
    </w:p>
    <w:p w14:paraId="42432225" w14:textId="2384D9F9" w:rsidR="00EB408C" w:rsidRPr="004B5AE8" w:rsidRDefault="00EB408C">
      <w:pPr>
        <w:pStyle w:val="References"/>
        <w:rPr>
          <w:shd w:val="clear" w:color="auto" w:fill="FFFFFF"/>
        </w:rPr>
      </w:pPr>
      <w:r w:rsidRPr="004B5AE8">
        <w:rPr>
          <w:shd w:val="clear" w:color="auto" w:fill="FFFFFF"/>
        </w:rPr>
        <w:t xml:space="preserve">Huang, X., Teoh, S. H., </w:t>
      </w:r>
      <w:r w:rsidR="0060672D">
        <w:rPr>
          <w:shd w:val="clear" w:color="auto" w:fill="FFFFFF"/>
        </w:rPr>
        <w:t>&amp;</w:t>
      </w:r>
      <w:r w:rsidR="0060672D" w:rsidRPr="004B5AE8">
        <w:rPr>
          <w:shd w:val="clear" w:color="auto" w:fill="FFFFFF"/>
        </w:rPr>
        <w:t xml:space="preserve"> </w:t>
      </w:r>
      <w:r w:rsidRPr="004B5AE8">
        <w:rPr>
          <w:shd w:val="clear" w:color="auto" w:fill="FFFFFF"/>
        </w:rPr>
        <w:t xml:space="preserve">Zhang, Y. (2014). Tone management. </w:t>
      </w:r>
      <w:r w:rsidRPr="004B5AE8">
        <w:rPr>
          <w:i/>
          <w:iCs/>
          <w:shd w:val="clear" w:color="auto" w:fill="FFFFFF"/>
        </w:rPr>
        <w:t>The Accounting Review</w:t>
      </w:r>
      <w:r w:rsidRPr="004B5AE8">
        <w:rPr>
          <w:shd w:val="clear" w:color="auto" w:fill="FFFFFF"/>
        </w:rPr>
        <w:t xml:space="preserve">, </w:t>
      </w:r>
      <w:r w:rsidRPr="004B5AE8">
        <w:rPr>
          <w:i/>
          <w:iCs/>
          <w:shd w:val="clear" w:color="auto" w:fill="FFFFFF"/>
        </w:rPr>
        <w:t>89</w:t>
      </w:r>
      <w:r w:rsidR="0060672D">
        <w:rPr>
          <w:shd w:val="clear" w:color="auto" w:fill="FFFFFF"/>
        </w:rPr>
        <w:t>(3)</w:t>
      </w:r>
      <w:r w:rsidRPr="004B5AE8">
        <w:rPr>
          <w:shd w:val="clear" w:color="auto" w:fill="FFFFFF"/>
        </w:rPr>
        <w:t>, 1083</w:t>
      </w:r>
      <w:r w:rsidR="0060672D">
        <w:rPr>
          <w:shd w:val="clear" w:color="auto" w:fill="FFFFFF"/>
        </w:rPr>
        <w:t>–</w:t>
      </w:r>
      <w:r w:rsidRPr="004B5AE8">
        <w:rPr>
          <w:shd w:val="clear" w:color="auto" w:fill="FFFFFF"/>
        </w:rPr>
        <w:t>1113.</w:t>
      </w:r>
    </w:p>
    <w:p w14:paraId="2481BEC2" w14:textId="4828B0CC" w:rsidR="00EB408C" w:rsidRPr="004B5AE8" w:rsidRDefault="00EB408C">
      <w:pPr>
        <w:pStyle w:val="References"/>
      </w:pPr>
      <w:r w:rsidRPr="004B5AE8">
        <w:t xml:space="preserve">Hutton, A. P., Marcus, A. J., </w:t>
      </w:r>
      <w:r w:rsidR="0060672D">
        <w:t>&amp;</w:t>
      </w:r>
      <w:r w:rsidR="0060672D" w:rsidRPr="004B5AE8">
        <w:t xml:space="preserve"> </w:t>
      </w:r>
      <w:r w:rsidRPr="004B5AE8">
        <w:t>Tehranian, H. (2009). Opaque financial reports, R</w:t>
      </w:r>
      <w:r w:rsidRPr="004B5AE8">
        <w:rPr>
          <w:vertAlign w:val="superscript"/>
        </w:rPr>
        <w:t>2</w:t>
      </w:r>
      <w:r w:rsidRPr="004B5AE8">
        <w:t xml:space="preserve">, and crash risk. </w:t>
      </w:r>
      <w:r w:rsidRPr="004B5AE8">
        <w:rPr>
          <w:i/>
        </w:rPr>
        <w:t>Journal of Financial Economics</w:t>
      </w:r>
      <w:r w:rsidRPr="004B5AE8">
        <w:t xml:space="preserve">, </w:t>
      </w:r>
      <w:r w:rsidRPr="004B5AE8">
        <w:rPr>
          <w:i/>
        </w:rPr>
        <w:t>94</w:t>
      </w:r>
      <w:r w:rsidR="0060672D">
        <w:rPr>
          <w:iCs/>
        </w:rPr>
        <w:t>(1)</w:t>
      </w:r>
      <w:r w:rsidRPr="004B5AE8">
        <w:t>, 67</w:t>
      </w:r>
      <w:r w:rsidR="0060672D">
        <w:t>–</w:t>
      </w:r>
      <w:r w:rsidRPr="004B5AE8">
        <w:t>86.</w:t>
      </w:r>
    </w:p>
    <w:p w14:paraId="207FDFBC" w14:textId="5C135953" w:rsidR="00EB408C" w:rsidRPr="004B5AE8" w:rsidRDefault="00EB408C">
      <w:pPr>
        <w:pStyle w:val="References"/>
        <w:rPr>
          <w:shd w:val="clear" w:color="auto" w:fill="FFFFFF"/>
        </w:rPr>
      </w:pPr>
      <w:r w:rsidRPr="004B5AE8">
        <w:rPr>
          <w:shd w:val="clear" w:color="auto" w:fill="FFFFFF"/>
        </w:rPr>
        <w:t xml:space="preserve">Hutton, A., Miller, G., </w:t>
      </w:r>
      <w:r w:rsidR="0060672D">
        <w:rPr>
          <w:shd w:val="clear" w:color="auto" w:fill="FFFFFF"/>
        </w:rPr>
        <w:t>&amp;</w:t>
      </w:r>
      <w:r w:rsidR="0060672D" w:rsidRPr="004B5AE8">
        <w:rPr>
          <w:shd w:val="clear" w:color="auto" w:fill="FFFFFF"/>
        </w:rPr>
        <w:t xml:space="preserve"> </w:t>
      </w:r>
      <w:r w:rsidRPr="004B5AE8">
        <w:rPr>
          <w:shd w:val="clear" w:color="auto" w:fill="FFFFFF"/>
        </w:rPr>
        <w:t xml:space="preserve">Skinner, D. (2003). The role of supplementary statements with management earnings forecasts. </w:t>
      </w:r>
      <w:r w:rsidRPr="004B5AE8">
        <w:rPr>
          <w:i/>
          <w:shd w:val="clear" w:color="auto" w:fill="FFFFFF"/>
        </w:rPr>
        <w:t>Journal of Accounting Research</w:t>
      </w:r>
      <w:r w:rsidRPr="004B5AE8">
        <w:rPr>
          <w:shd w:val="clear" w:color="auto" w:fill="FFFFFF"/>
        </w:rPr>
        <w:t xml:space="preserve">, </w:t>
      </w:r>
      <w:r w:rsidRPr="004B5AE8">
        <w:rPr>
          <w:i/>
          <w:shd w:val="clear" w:color="auto" w:fill="FFFFFF"/>
        </w:rPr>
        <w:t>41</w:t>
      </w:r>
      <w:r w:rsidR="0060672D">
        <w:rPr>
          <w:iCs/>
          <w:shd w:val="clear" w:color="auto" w:fill="FFFFFF"/>
        </w:rPr>
        <w:t>(5)</w:t>
      </w:r>
      <w:r w:rsidRPr="004B5AE8">
        <w:rPr>
          <w:shd w:val="clear" w:color="auto" w:fill="FFFFFF"/>
        </w:rPr>
        <w:t>, 867–</w:t>
      </w:r>
      <w:r w:rsidR="0060672D">
        <w:rPr>
          <w:shd w:val="clear" w:color="auto" w:fill="FFFFFF"/>
        </w:rPr>
        <w:t>8</w:t>
      </w:r>
      <w:r w:rsidRPr="004B5AE8">
        <w:rPr>
          <w:shd w:val="clear" w:color="auto" w:fill="FFFFFF"/>
        </w:rPr>
        <w:t>90.</w:t>
      </w:r>
    </w:p>
    <w:p w14:paraId="5B680696" w14:textId="3196AB7F" w:rsidR="00EB408C" w:rsidRPr="004B5AE8" w:rsidRDefault="00EB408C">
      <w:pPr>
        <w:pStyle w:val="References"/>
        <w:rPr>
          <w:shd w:val="clear" w:color="auto" w:fill="FFFFFF"/>
        </w:rPr>
      </w:pPr>
      <w:r w:rsidRPr="004B5AE8">
        <w:rPr>
          <w:shd w:val="clear" w:color="auto" w:fill="FFFFFF"/>
        </w:rPr>
        <w:t xml:space="preserve">Jin, L., </w:t>
      </w:r>
      <w:r w:rsidR="0060672D">
        <w:rPr>
          <w:shd w:val="clear" w:color="auto" w:fill="FFFFFF"/>
        </w:rPr>
        <w:t>&amp;</w:t>
      </w:r>
      <w:r w:rsidR="0060672D" w:rsidRPr="004B5AE8">
        <w:rPr>
          <w:shd w:val="clear" w:color="auto" w:fill="FFFFFF"/>
        </w:rPr>
        <w:t xml:space="preserve"> </w:t>
      </w:r>
      <w:r w:rsidRPr="004B5AE8">
        <w:rPr>
          <w:shd w:val="clear" w:color="auto" w:fill="FFFFFF"/>
        </w:rPr>
        <w:t>Myers, S. (2006). R</w:t>
      </w:r>
      <w:r w:rsidRPr="004B5AE8">
        <w:rPr>
          <w:shd w:val="clear" w:color="auto" w:fill="FFFFFF"/>
          <w:vertAlign w:val="superscript"/>
        </w:rPr>
        <w:t>2</w:t>
      </w:r>
      <w:r w:rsidRPr="004B5AE8">
        <w:rPr>
          <w:shd w:val="clear" w:color="auto" w:fill="FFFFFF"/>
        </w:rPr>
        <w:t xml:space="preserve"> around the world: New theory and new tests. </w:t>
      </w:r>
      <w:r w:rsidRPr="004B5AE8">
        <w:rPr>
          <w:i/>
          <w:shd w:val="clear" w:color="auto" w:fill="FFFFFF"/>
        </w:rPr>
        <w:t>Journal of Financial Economics, 79</w:t>
      </w:r>
      <w:r w:rsidR="0060672D">
        <w:rPr>
          <w:iCs/>
          <w:shd w:val="clear" w:color="auto" w:fill="FFFFFF"/>
        </w:rPr>
        <w:t>(2)</w:t>
      </w:r>
      <w:r w:rsidRPr="004B5AE8">
        <w:rPr>
          <w:shd w:val="clear" w:color="auto" w:fill="FFFFFF"/>
        </w:rPr>
        <w:t>, 257</w:t>
      </w:r>
      <w:r w:rsidR="0060672D">
        <w:rPr>
          <w:shd w:val="clear" w:color="auto" w:fill="FFFFFF"/>
        </w:rPr>
        <w:t>–</w:t>
      </w:r>
      <w:r w:rsidRPr="004B5AE8">
        <w:rPr>
          <w:shd w:val="clear" w:color="auto" w:fill="FFFFFF"/>
        </w:rPr>
        <w:t>292.</w:t>
      </w:r>
    </w:p>
    <w:p w14:paraId="40D18CE5" w14:textId="6E0972E9" w:rsidR="00EB408C" w:rsidRPr="004B5AE8" w:rsidRDefault="00EB408C">
      <w:pPr>
        <w:pStyle w:val="References"/>
        <w:rPr>
          <w:shd w:val="clear" w:color="auto" w:fill="FFFFFF"/>
        </w:rPr>
      </w:pPr>
      <w:r w:rsidRPr="004B5AE8">
        <w:rPr>
          <w:shd w:val="clear" w:color="auto" w:fill="FFFFFF"/>
        </w:rPr>
        <w:t xml:space="preserve">Jo, H., </w:t>
      </w:r>
      <w:r w:rsidR="00B0433D">
        <w:rPr>
          <w:shd w:val="clear" w:color="auto" w:fill="FFFFFF"/>
        </w:rPr>
        <w:t>&amp;</w:t>
      </w:r>
      <w:r w:rsidR="00B0433D" w:rsidRPr="004B5AE8">
        <w:rPr>
          <w:shd w:val="clear" w:color="auto" w:fill="FFFFFF"/>
        </w:rPr>
        <w:t xml:space="preserve"> </w:t>
      </w:r>
      <w:r w:rsidRPr="004B5AE8">
        <w:rPr>
          <w:shd w:val="clear" w:color="auto" w:fill="FFFFFF"/>
        </w:rPr>
        <w:t xml:space="preserve">Kim, Y. (2008). Ethics and disclosure: A study of the financial performance of firms in the seasoned equity offerings market. </w:t>
      </w:r>
      <w:r w:rsidRPr="004B5AE8">
        <w:rPr>
          <w:i/>
          <w:shd w:val="clear" w:color="auto" w:fill="FFFFFF"/>
        </w:rPr>
        <w:t>Journal of Business Ethics</w:t>
      </w:r>
      <w:r w:rsidRPr="004B5AE8">
        <w:rPr>
          <w:shd w:val="clear" w:color="auto" w:fill="FFFFFF"/>
        </w:rPr>
        <w:t xml:space="preserve">, </w:t>
      </w:r>
      <w:r w:rsidRPr="004B5AE8">
        <w:rPr>
          <w:i/>
          <w:shd w:val="clear" w:color="auto" w:fill="FFFFFF"/>
        </w:rPr>
        <w:t>80</w:t>
      </w:r>
      <w:r w:rsidR="0060672D">
        <w:rPr>
          <w:iCs/>
          <w:shd w:val="clear" w:color="auto" w:fill="FFFFFF"/>
        </w:rPr>
        <w:t>(4)</w:t>
      </w:r>
      <w:r w:rsidRPr="004B5AE8">
        <w:rPr>
          <w:shd w:val="clear" w:color="auto" w:fill="FFFFFF"/>
        </w:rPr>
        <w:t>, 855</w:t>
      </w:r>
      <w:r w:rsidR="0060672D">
        <w:rPr>
          <w:shd w:val="clear" w:color="auto" w:fill="FFFFFF"/>
        </w:rPr>
        <w:t>–</w:t>
      </w:r>
      <w:r w:rsidRPr="004B5AE8">
        <w:rPr>
          <w:shd w:val="clear" w:color="auto" w:fill="FFFFFF"/>
        </w:rPr>
        <w:t>878.</w:t>
      </w:r>
    </w:p>
    <w:p w14:paraId="42171651" w14:textId="16A2F245" w:rsidR="00EB408C" w:rsidRPr="004B5AE8" w:rsidRDefault="00EB408C">
      <w:pPr>
        <w:pStyle w:val="References"/>
        <w:rPr>
          <w:shd w:val="clear" w:color="auto" w:fill="FFFFFF"/>
        </w:rPr>
      </w:pPr>
      <w:r w:rsidRPr="004B5AE8">
        <w:rPr>
          <w:shd w:val="clear" w:color="auto" w:fill="FFFFFF"/>
        </w:rPr>
        <w:t xml:space="preserve">Jones, T. (1995). Instrumental stakeholder theory: A synthesis of ethics and economics. </w:t>
      </w:r>
      <w:r w:rsidRPr="004B5AE8">
        <w:rPr>
          <w:i/>
          <w:shd w:val="clear" w:color="auto" w:fill="FFFFFF"/>
        </w:rPr>
        <w:t>Academy of Management Review</w:t>
      </w:r>
      <w:r w:rsidRPr="004B5AE8">
        <w:rPr>
          <w:shd w:val="clear" w:color="auto" w:fill="FFFFFF"/>
        </w:rPr>
        <w:t xml:space="preserve">, </w:t>
      </w:r>
      <w:r w:rsidRPr="004B5AE8">
        <w:rPr>
          <w:i/>
          <w:shd w:val="clear" w:color="auto" w:fill="FFFFFF"/>
        </w:rPr>
        <w:t>20</w:t>
      </w:r>
      <w:r w:rsidR="0060672D">
        <w:rPr>
          <w:iCs/>
          <w:shd w:val="clear" w:color="auto" w:fill="FFFFFF"/>
        </w:rPr>
        <w:t>(2)</w:t>
      </w:r>
      <w:r w:rsidRPr="004B5AE8">
        <w:rPr>
          <w:shd w:val="clear" w:color="auto" w:fill="FFFFFF"/>
        </w:rPr>
        <w:t>, 404–437.</w:t>
      </w:r>
    </w:p>
    <w:p w14:paraId="0ABFF533" w14:textId="6C13737E" w:rsidR="00EB408C" w:rsidRPr="004B5AE8" w:rsidRDefault="00EB408C">
      <w:pPr>
        <w:pStyle w:val="References"/>
      </w:pPr>
      <w:r w:rsidRPr="004B5AE8">
        <w:rPr>
          <w:shd w:val="clear" w:color="auto" w:fill="FFFFFF"/>
        </w:rPr>
        <w:t xml:space="preserve">Jung, M. J., Wong, M. H., </w:t>
      </w:r>
      <w:r w:rsidR="0060672D">
        <w:rPr>
          <w:shd w:val="clear" w:color="auto" w:fill="FFFFFF"/>
        </w:rPr>
        <w:t>&amp;</w:t>
      </w:r>
      <w:r w:rsidR="0060672D" w:rsidRPr="004B5AE8">
        <w:rPr>
          <w:shd w:val="clear" w:color="auto" w:fill="FFFFFF"/>
        </w:rPr>
        <w:t xml:space="preserve"> </w:t>
      </w:r>
      <w:r w:rsidRPr="004B5AE8">
        <w:rPr>
          <w:shd w:val="clear" w:color="auto" w:fill="FFFFFF"/>
        </w:rPr>
        <w:t>Zhang, X. (2016). Buy</w:t>
      </w:r>
      <w:r w:rsidR="0060672D">
        <w:rPr>
          <w:rFonts w:hint="eastAsia"/>
          <w:shd w:val="clear" w:color="auto" w:fill="FFFFFF"/>
        </w:rPr>
        <w:t>-</w:t>
      </w:r>
      <w:r w:rsidRPr="004B5AE8">
        <w:rPr>
          <w:shd w:val="clear" w:color="auto" w:fill="FFFFFF"/>
        </w:rPr>
        <w:t xml:space="preserve">side analysts and earnings conference calls. </w:t>
      </w:r>
      <w:r w:rsidRPr="004B5AE8">
        <w:rPr>
          <w:i/>
          <w:iCs/>
          <w:shd w:val="clear" w:color="auto" w:fill="FFFFFF"/>
        </w:rPr>
        <w:t>Journal of Accounting Research</w:t>
      </w:r>
      <w:r w:rsidRPr="004B5AE8">
        <w:rPr>
          <w:rFonts w:eastAsia="SimSun"/>
          <w:i/>
          <w:iCs/>
          <w:shd w:val="clear" w:color="auto" w:fill="FFFFFF"/>
          <w:lang w:eastAsia="zh-CN"/>
        </w:rPr>
        <w:t>, 56</w:t>
      </w:r>
      <w:r w:rsidR="0060672D">
        <w:rPr>
          <w:rFonts w:eastAsia="SimSun"/>
          <w:shd w:val="clear" w:color="auto" w:fill="FFFFFF"/>
          <w:lang w:eastAsia="zh-CN"/>
        </w:rPr>
        <w:t>(3)</w:t>
      </w:r>
      <w:r w:rsidRPr="004B5AE8">
        <w:rPr>
          <w:shd w:val="clear" w:color="auto" w:fill="FFFFFF"/>
        </w:rPr>
        <w:t>, 1</w:t>
      </w:r>
      <w:r w:rsidR="0060672D">
        <w:rPr>
          <w:shd w:val="clear" w:color="auto" w:fill="FFFFFF"/>
        </w:rPr>
        <w:t>–</w:t>
      </w:r>
      <w:r w:rsidRPr="004B5AE8">
        <w:rPr>
          <w:shd w:val="clear" w:color="auto" w:fill="FFFFFF"/>
        </w:rPr>
        <w:t>40.</w:t>
      </w:r>
    </w:p>
    <w:p w14:paraId="012E5BDB" w14:textId="34CC825E" w:rsidR="00EB408C" w:rsidRPr="004B5AE8" w:rsidRDefault="00EB408C">
      <w:pPr>
        <w:pStyle w:val="References"/>
        <w:rPr>
          <w:shd w:val="clear" w:color="auto" w:fill="FFFFFF"/>
        </w:rPr>
      </w:pPr>
      <w:r w:rsidRPr="004B5AE8">
        <w:rPr>
          <w:shd w:val="clear" w:color="auto" w:fill="FFFFFF"/>
        </w:rPr>
        <w:t xml:space="preserve">Kaplan, S. E., </w:t>
      </w:r>
      <w:r w:rsidR="0060672D">
        <w:rPr>
          <w:shd w:val="clear" w:color="auto" w:fill="FFFFFF"/>
        </w:rPr>
        <w:t>&amp;</w:t>
      </w:r>
      <w:r w:rsidR="0060672D" w:rsidRPr="004B5AE8">
        <w:rPr>
          <w:shd w:val="clear" w:color="auto" w:fill="FFFFFF"/>
        </w:rPr>
        <w:t xml:space="preserve"> </w:t>
      </w:r>
      <w:r w:rsidRPr="004B5AE8">
        <w:rPr>
          <w:shd w:val="clear" w:color="auto" w:fill="FFFFFF"/>
        </w:rPr>
        <w:t xml:space="preserve">Schultz, J. J. (2007). Intentions to report questionable acts: An examination of the influence of anonymous reporting channel, internal audit quality, and setting. </w:t>
      </w:r>
      <w:r w:rsidRPr="004B5AE8">
        <w:rPr>
          <w:i/>
          <w:iCs/>
          <w:shd w:val="clear" w:color="auto" w:fill="FFFFFF"/>
        </w:rPr>
        <w:t>Journal of Business Ethics</w:t>
      </w:r>
      <w:r w:rsidRPr="004B5AE8">
        <w:rPr>
          <w:shd w:val="clear" w:color="auto" w:fill="FFFFFF"/>
        </w:rPr>
        <w:t xml:space="preserve">, </w:t>
      </w:r>
      <w:r w:rsidRPr="004B5AE8">
        <w:rPr>
          <w:i/>
          <w:iCs/>
          <w:shd w:val="clear" w:color="auto" w:fill="FFFFFF"/>
        </w:rPr>
        <w:t>71</w:t>
      </w:r>
      <w:r w:rsidR="0060672D">
        <w:rPr>
          <w:shd w:val="clear" w:color="auto" w:fill="FFFFFF"/>
        </w:rPr>
        <w:t>(2)</w:t>
      </w:r>
      <w:r w:rsidRPr="004B5AE8">
        <w:rPr>
          <w:shd w:val="clear" w:color="auto" w:fill="FFFFFF"/>
        </w:rPr>
        <w:t>, 109</w:t>
      </w:r>
      <w:r w:rsidR="0060672D">
        <w:rPr>
          <w:shd w:val="clear" w:color="auto" w:fill="FFFFFF"/>
        </w:rPr>
        <w:t>–</w:t>
      </w:r>
      <w:r w:rsidRPr="004B5AE8">
        <w:rPr>
          <w:shd w:val="clear" w:color="auto" w:fill="FFFFFF"/>
        </w:rPr>
        <w:t>124.</w:t>
      </w:r>
    </w:p>
    <w:p w14:paraId="6A86881E" w14:textId="7D1BDEF1" w:rsidR="00EB408C" w:rsidRPr="004B5AE8" w:rsidRDefault="00EB408C">
      <w:pPr>
        <w:pStyle w:val="References"/>
        <w:rPr>
          <w:shd w:val="clear" w:color="auto" w:fill="FFFFFF"/>
        </w:rPr>
      </w:pPr>
      <w:r w:rsidRPr="004B5AE8">
        <w:rPr>
          <w:shd w:val="clear" w:color="auto" w:fill="FFFFFF"/>
        </w:rPr>
        <w:t>Kartik, N. (2009). Strategic communication with lying costs.</w:t>
      </w:r>
      <w:r w:rsidR="0060672D">
        <w:rPr>
          <w:shd w:val="clear" w:color="auto" w:fill="FFFFFF"/>
        </w:rPr>
        <w:t xml:space="preserve"> </w:t>
      </w:r>
      <w:r w:rsidRPr="004B5AE8">
        <w:rPr>
          <w:i/>
          <w:iCs/>
          <w:shd w:val="clear" w:color="auto" w:fill="FFFFFF"/>
        </w:rPr>
        <w:t>The Review of Economic Studies</w:t>
      </w:r>
      <w:r w:rsidR="0060672D" w:rsidRPr="004B5AE8">
        <w:rPr>
          <w:shd w:val="clear" w:color="auto" w:fill="FFFFFF"/>
        </w:rPr>
        <w:t>,</w:t>
      </w:r>
      <w:r w:rsidR="0060672D">
        <w:rPr>
          <w:shd w:val="clear" w:color="auto" w:fill="FFFFFF"/>
        </w:rPr>
        <w:t xml:space="preserve"> </w:t>
      </w:r>
      <w:r w:rsidRPr="004B5AE8">
        <w:rPr>
          <w:i/>
          <w:iCs/>
          <w:shd w:val="clear" w:color="auto" w:fill="FFFFFF"/>
        </w:rPr>
        <w:t>76</w:t>
      </w:r>
      <w:r w:rsidR="0060672D">
        <w:rPr>
          <w:shd w:val="clear" w:color="auto" w:fill="FFFFFF"/>
        </w:rPr>
        <w:t>(4)</w:t>
      </w:r>
      <w:r w:rsidRPr="004B5AE8">
        <w:rPr>
          <w:shd w:val="clear" w:color="auto" w:fill="FFFFFF"/>
        </w:rPr>
        <w:t>, 1359</w:t>
      </w:r>
      <w:r w:rsidR="0060672D">
        <w:rPr>
          <w:shd w:val="clear" w:color="auto" w:fill="FFFFFF"/>
        </w:rPr>
        <w:t>–</w:t>
      </w:r>
      <w:r w:rsidRPr="004B5AE8">
        <w:rPr>
          <w:shd w:val="clear" w:color="auto" w:fill="FFFFFF"/>
        </w:rPr>
        <w:t>1395.</w:t>
      </w:r>
    </w:p>
    <w:p w14:paraId="4620E381" w14:textId="3144BCDC" w:rsidR="00EB408C" w:rsidRPr="004B5AE8" w:rsidRDefault="00EB408C">
      <w:pPr>
        <w:pStyle w:val="References"/>
        <w:rPr>
          <w:shd w:val="clear" w:color="auto" w:fill="FFFFFF"/>
        </w:rPr>
      </w:pPr>
      <w:r w:rsidRPr="004B5AE8">
        <w:rPr>
          <w:shd w:val="clear" w:color="auto" w:fill="FFFFFF"/>
        </w:rPr>
        <w:t>Kim, C. F., Wang, K., &amp; Zhang, L. (2019). Readability of 10-K reports and stock price crash risk.</w:t>
      </w:r>
      <w:r w:rsidRPr="004B5AE8">
        <w:rPr>
          <w:i/>
          <w:shd w:val="clear" w:color="auto" w:fill="FFFFFF"/>
        </w:rPr>
        <w:t xml:space="preserve"> Contemporary Accounting Research</w:t>
      </w:r>
      <w:r w:rsidRPr="004B5AE8">
        <w:rPr>
          <w:shd w:val="clear" w:color="auto" w:fill="FFFFFF"/>
        </w:rPr>
        <w:t>,</w:t>
      </w:r>
      <w:r w:rsidRPr="004B5AE8">
        <w:rPr>
          <w:i/>
          <w:shd w:val="clear" w:color="auto" w:fill="FFFFFF"/>
        </w:rPr>
        <w:t xml:space="preserve"> 36</w:t>
      </w:r>
      <w:r w:rsidR="0060672D">
        <w:rPr>
          <w:iCs/>
          <w:shd w:val="clear" w:color="auto" w:fill="FFFFFF"/>
        </w:rPr>
        <w:t>(2)</w:t>
      </w:r>
      <w:r w:rsidRPr="004B5AE8">
        <w:rPr>
          <w:shd w:val="clear" w:color="auto" w:fill="FFFFFF"/>
        </w:rPr>
        <w:t>, 1184</w:t>
      </w:r>
      <w:r w:rsidR="0060672D">
        <w:rPr>
          <w:shd w:val="clear" w:color="auto" w:fill="FFFFFF"/>
        </w:rPr>
        <w:t>–</w:t>
      </w:r>
      <w:r w:rsidRPr="004B5AE8">
        <w:rPr>
          <w:shd w:val="clear" w:color="auto" w:fill="FFFFFF"/>
        </w:rPr>
        <w:t>1216.</w:t>
      </w:r>
    </w:p>
    <w:p w14:paraId="7727FE7D" w14:textId="77777777" w:rsidR="003448EE" w:rsidRPr="004B5AE8" w:rsidRDefault="003448EE" w:rsidP="003448EE">
      <w:pPr>
        <w:pStyle w:val="References"/>
        <w:rPr>
          <w:shd w:val="clear" w:color="auto" w:fill="FFFFFF"/>
        </w:rPr>
      </w:pPr>
      <w:r w:rsidRPr="004B5AE8">
        <w:rPr>
          <w:shd w:val="clear" w:color="auto" w:fill="FFFFFF"/>
        </w:rPr>
        <w:lastRenderedPageBreak/>
        <w:t xml:space="preserve">Kim, J.-B., Li, Y., </w:t>
      </w:r>
      <w:r>
        <w:rPr>
          <w:shd w:val="clear" w:color="auto" w:fill="FFFFFF"/>
        </w:rPr>
        <w:t>&amp;</w:t>
      </w:r>
      <w:r w:rsidRPr="004B5AE8">
        <w:rPr>
          <w:shd w:val="clear" w:color="auto" w:fill="FFFFFF"/>
        </w:rPr>
        <w:t xml:space="preserve"> Zhang, L. (2011a). CFOs versus CEOs: Equity incentives and crashes. </w:t>
      </w:r>
      <w:r w:rsidRPr="004B5AE8">
        <w:rPr>
          <w:i/>
          <w:shd w:val="clear" w:color="auto" w:fill="FFFFFF"/>
        </w:rPr>
        <w:t>Journal of Financial Economics</w:t>
      </w:r>
      <w:r w:rsidRPr="004B5AE8">
        <w:rPr>
          <w:shd w:val="clear" w:color="auto" w:fill="FFFFFF"/>
        </w:rPr>
        <w:t xml:space="preserve">, </w:t>
      </w:r>
      <w:r w:rsidRPr="004B5AE8">
        <w:rPr>
          <w:i/>
          <w:shd w:val="clear" w:color="auto" w:fill="FFFFFF"/>
        </w:rPr>
        <w:t>101</w:t>
      </w:r>
      <w:r>
        <w:rPr>
          <w:iCs/>
          <w:shd w:val="clear" w:color="auto" w:fill="FFFFFF"/>
        </w:rPr>
        <w:t>(3)</w:t>
      </w:r>
      <w:r w:rsidRPr="004B5AE8">
        <w:rPr>
          <w:shd w:val="clear" w:color="auto" w:fill="FFFFFF"/>
        </w:rPr>
        <w:t>, 713</w:t>
      </w:r>
      <w:r>
        <w:rPr>
          <w:shd w:val="clear" w:color="auto" w:fill="FFFFFF"/>
        </w:rPr>
        <w:t>–</w:t>
      </w:r>
      <w:r w:rsidRPr="004B5AE8">
        <w:rPr>
          <w:shd w:val="clear" w:color="auto" w:fill="FFFFFF"/>
        </w:rPr>
        <w:t>730.</w:t>
      </w:r>
    </w:p>
    <w:p w14:paraId="1ECE7330" w14:textId="77777777" w:rsidR="003448EE" w:rsidRPr="004B5AE8" w:rsidRDefault="003448EE" w:rsidP="003448EE">
      <w:pPr>
        <w:pStyle w:val="References"/>
        <w:rPr>
          <w:shd w:val="clear" w:color="auto" w:fill="FFFFFF"/>
        </w:rPr>
      </w:pPr>
      <w:r w:rsidRPr="004B5AE8">
        <w:rPr>
          <w:shd w:val="clear" w:color="auto" w:fill="FFFFFF"/>
        </w:rPr>
        <w:t xml:space="preserve">Kim, J.-B., Li, Y., </w:t>
      </w:r>
      <w:r>
        <w:rPr>
          <w:shd w:val="clear" w:color="auto" w:fill="FFFFFF"/>
        </w:rPr>
        <w:t>&amp;</w:t>
      </w:r>
      <w:r w:rsidRPr="004B5AE8">
        <w:rPr>
          <w:shd w:val="clear" w:color="auto" w:fill="FFFFFF"/>
        </w:rPr>
        <w:t xml:space="preserve"> Zhang, L. (2011b). Corporate tax avoidance and stock price crash risk: Firm-level analysis. </w:t>
      </w:r>
      <w:r w:rsidRPr="004B5AE8">
        <w:rPr>
          <w:i/>
          <w:shd w:val="clear" w:color="auto" w:fill="FFFFFF"/>
        </w:rPr>
        <w:t>Journal of Financial Economics</w:t>
      </w:r>
      <w:r w:rsidRPr="004B5AE8">
        <w:rPr>
          <w:shd w:val="clear" w:color="auto" w:fill="FFFFFF"/>
        </w:rPr>
        <w:t xml:space="preserve">, </w:t>
      </w:r>
      <w:r w:rsidRPr="004B5AE8">
        <w:rPr>
          <w:i/>
          <w:shd w:val="clear" w:color="auto" w:fill="FFFFFF"/>
        </w:rPr>
        <w:t>100</w:t>
      </w:r>
      <w:r>
        <w:rPr>
          <w:iCs/>
          <w:shd w:val="clear" w:color="auto" w:fill="FFFFFF"/>
        </w:rPr>
        <w:t>(3)</w:t>
      </w:r>
      <w:r w:rsidRPr="004B5AE8">
        <w:rPr>
          <w:shd w:val="clear" w:color="auto" w:fill="FFFFFF"/>
        </w:rPr>
        <w:t>, 639</w:t>
      </w:r>
      <w:r>
        <w:rPr>
          <w:shd w:val="clear" w:color="auto" w:fill="FFFFFF"/>
        </w:rPr>
        <w:t>–</w:t>
      </w:r>
      <w:r w:rsidRPr="004B5AE8">
        <w:rPr>
          <w:shd w:val="clear" w:color="auto" w:fill="FFFFFF"/>
        </w:rPr>
        <w:t>662.</w:t>
      </w:r>
    </w:p>
    <w:p w14:paraId="7BF9D875" w14:textId="77777777" w:rsidR="003448EE" w:rsidRPr="004B5AE8" w:rsidRDefault="003448EE" w:rsidP="003448EE">
      <w:pPr>
        <w:pStyle w:val="References"/>
      </w:pPr>
      <w:r w:rsidRPr="004B5AE8">
        <w:t xml:space="preserve">Kim, J.-B., Wang, Z., </w:t>
      </w:r>
      <w:r>
        <w:t>&amp;</w:t>
      </w:r>
      <w:r w:rsidRPr="004B5AE8">
        <w:t xml:space="preserve"> Zhang, L. (2016). CEO overconfidence and stock price crash risk. </w:t>
      </w:r>
      <w:r w:rsidRPr="004B5AE8">
        <w:rPr>
          <w:i/>
        </w:rPr>
        <w:t>Contemporary Accounting Research</w:t>
      </w:r>
      <w:r w:rsidRPr="004B5AE8">
        <w:t xml:space="preserve">, </w:t>
      </w:r>
      <w:r w:rsidRPr="004B5AE8">
        <w:rPr>
          <w:i/>
        </w:rPr>
        <w:t>33</w:t>
      </w:r>
      <w:r>
        <w:rPr>
          <w:iCs/>
        </w:rPr>
        <w:t>(4)</w:t>
      </w:r>
      <w:r w:rsidRPr="004B5AE8">
        <w:t>, 1720</w:t>
      </w:r>
      <w:r>
        <w:t>–</w:t>
      </w:r>
      <w:r w:rsidRPr="004B5AE8">
        <w:t>1749.</w:t>
      </w:r>
    </w:p>
    <w:p w14:paraId="6A163AE6" w14:textId="77777777" w:rsidR="003448EE" w:rsidRPr="004B5AE8" w:rsidRDefault="003448EE" w:rsidP="003448EE">
      <w:pPr>
        <w:pStyle w:val="References"/>
      </w:pPr>
      <w:r w:rsidRPr="004B5AE8">
        <w:t xml:space="preserve">Kim, J.-B., </w:t>
      </w:r>
      <w:r>
        <w:t>&amp;</w:t>
      </w:r>
      <w:r w:rsidRPr="004B5AE8">
        <w:t xml:space="preserve"> Zhang, L. (2016). Accounting conservatism and stock price crash risk: Firm-level evidence. </w:t>
      </w:r>
      <w:r w:rsidRPr="004B5AE8">
        <w:rPr>
          <w:i/>
        </w:rPr>
        <w:t>Contemporary Accounting Research</w:t>
      </w:r>
      <w:r w:rsidRPr="004B5AE8">
        <w:t xml:space="preserve">, </w:t>
      </w:r>
      <w:r w:rsidRPr="004B5AE8">
        <w:rPr>
          <w:i/>
        </w:rPr>
        <w:t>33</w:t>
      </w:r>
      <w:r>
        <w:rPr>
          <w:iCs/>
        </w:rPr>
        <w:t>(1)</w:t>
      </w:r>
      <w:r w:rsidRPr="004B5AE8">
        <w:t>, 412</w:t>
      </w:r>
      <w:r>
        <w:t>–</w:t>
      </w:r>
      <w:r w:rsidRPr="004B5AE8">
        <w:t>441.</w:t>
      </w:r>
    </w:p>
    <w:p w14:paraId="31B1E65D" w14:textId="77777777" w:rsidR="003448EE" w:rsidRPr="004B5AE8" w:rsidRDefault="003448EE" w:rsidP="003448EE">
      <w:pPr>
        <w:pStyle w:val="References"/>
        <w:rPr>
          <w:shd w:val="clear" w:color="auto" w:fill="FFFFFF"/>
        </w:rPr>
      </w:pPr>
      <w:r w:rsidRPr="004B5AE8">
        <w:rPr>
          <w:shd w:val="clear" w:color="auto" w:fill="FFFFFF"/>
        </w:rPr>
        <w:t xml:space="preserve">Kim, J. H., Ahmed, K., </w:t>
      </w:r>
      <w:r>
        <w:rPr>
          <w:shd w:val="clear" w:color="auto" w:fill="FFFFFF"/>
        </w:rPr>
        <w:t>&amp;</w:t>
      </w:r>
      <w:r w:rsidRPr="004B5AE8">
        <w:rPr>
          <w:shd w:val="clear" w:color="auto" w:fill="FFFFFF"/>
        </w:rPr>
        <w:t xml:space="preserve"> Ji, P. I. (2018). Significance testing in accounting research: A critical evaluation based on evidence. </w:t>
      </w:r>
      <w:r w:rsidRPr="004B5AE8">
        <w:rPr>
          <w:i/>
          <w:shd w:val="clear" w:color="auto" w:fill="FFFFFF"/>
        </w:rPr>
        <w:t>Abacus</w:t>
      </w:r>
      <w:r w:rsidRPr="004B5AE8">
        <w:rPr>
          <w:shd w:val="clear" w:color="auto" w:fill="FFFFFF"/>
        </w:rPr>
        <w:t xml:space="preserve">, </w:t>
      </w:r>
      <w:r w:rsidRPr="004B5AE8">
        <w:rPr>
          <w:i/>
          <w:shd w:val="clear" w:color="auto" w:fill="FFFFFF"/>
        </w:rPr>
        <w:t>54</w:t>
      </w:r>
      <w:r>
        <w:rPr>
          <w:iCs/>
          <w:shd w:val="clear" w:color="auto" w:fill="FFFFFF"/>
        </w:rPr>
        <w:t>(4)</w:t>
      </w:r>
      <w:r w:rsidRPr="004B5AE8">
        <w:rPr>
          <w:shd w:val="clear" w:color="auto" w:fill="FFFFFF"/>
        </w:rPr>
        <w:t>, 524</w:t>
      </w:r>
      <w:r>
        <w:rPr>
          <w:shd w:val="clear" w:color="auto" w:fill="FFFFFF"/>
        </w:rPr>
        <w:t>–</w:t>
      </w:r>
      <w:r w:rsidRPr="004B5AE8">
        <w:rPr>
          <w:shd w:val="clear" w:color="auto" w:fill="FFFFFF"/>
        </w:rPr>
        <w:t>546.</w:t>
      </w:r>
    </w:p>
    <w:p w14:paraId="2F69B95B" w14:textId="089C34C4" w:rsidR="00EB408C" w:rsidRPr="004B5AE8" w:rsidRDefault="00EB408C" w:rsidP="003E49E8">
      <w:pPr>
        <w:pStyle w:val="References"/>
      </w:pPr>
      <w:r w:rsidRPr="004B5AE8">
        <w:t xml:space="preserve">Kim, Y., Li, H., </w:t>
      </w:r>
      <w:r w:rsidR="007D3D7E">
        <w:t>&amp;</w:t>
      </w:r>
      <w:r w:rsidR="007D3D7E" w:rsidRPr="004B5AE8">
        <w:t xml:space="preserve"> </w:t>
      </w:r>
      <w:r w:rsidRPr="004B5AE8">
        <w:t xml:space="preserve">Li, S. (2014). Corporate social responsibility and stock price crash risk. </w:t>
      </w:r>
      <w:r w:rsidRPr="004B5AE8">
        <w:rPr>
          <w:i/>
        </w:rPr>
        <w:t>Journal of Banking and Finance, 43</w:t>
      </w:r>
      <w:r w:rsidRPr="004B5AE8">
        <w:t>, 1</w:t>
      </w:r>
      <w:r w:rsidR="007D3D7E">
        <w:t>–</w:t>
      </w:r>
      <w:r w:rsidRPr="004B5AE8">
        <w:t>13.</w:t>
      </w:r>
    </w:p>
    <w:p w14:paraId="05F892CE" w14:textId="1766B6EE" w:rsidR="00EB408C" w:rsidRPr="004B5AE8" w:rsidRDefault="00EB408C" w:rsidP="00B70E79">
      <w:pPr>
        <w:pStyle w:val="References"/>
        <w:rPr>
          <w:shd w:val="clear" w:color="auto" w:fill="FFFFFF"/>
        </w:rPr>
      </w:pPr>
      <w:r w:rsidRPr="004B5AE8">
        <w:rPr>
          <w:shd w:val="clear" w:color="auto" w:fill="FFFFFF"/>
        </w:rPr>
        <w:t xml:space="preserve">Lang, M., </w:t>
      </w:r>
      <w:r w:rsidR="007D3D7E">
        <w:rPr>
          <w:shd w:val="clear" w:color="auto" w:fill="FFFFFF"/>
        </w:rPr>
        <w:t>&amp;</w:t>
      </w:r>
      <w:r w:rsidR="007D3D7E" w:rsidRPr="004B5AE8">
        <w:rPr>
          <w:shd w:val="clear" w:color="auto" w:fill="FFFFFF"/>
        </w:rPr>
        <w:t xml:space="preserve"> </w:t>
      </w:r>
      <w:r w:rsidRPr="004B5AE8">
        <w:rPr>
          <w:shd w:val="clear" w:color="auto" w:fill="FFFFFF"/>
        </w:rPr>
        <w:t xml:space="preserve">Lundholm, R. (1993). Cross-sectional determinants of analyst ratings of corporate disclosures. </w:t>
      </w:r>
      <w:r w:rsidRPr="004B5AE8">
        <w:rPr>
          <w:i/>
          <w:shd w:val="clear" w:color="auto" w:fill="FFFFFF"/>
        </w:rPr>
        <w:t>Journal of Accounting Research</w:t>
      </w:r>
      <w:r w:rsidRPr="004B5AE8">
        <w:rPr>
          <w:shd w:val="clear" w:color="auto" w:fill="FFFFFF"/>
        </w:rPr>
        <w:t xml:space="preserve">, </w:t>
      </w:r>
      <w:r w:rsidRPr="004B5AE8">
        <w:rPr>
          <w:i/>
          <w:shd w:val="clear" w:color="auto" w:fill="FFFFFF"/>
        </w:rPr>
        <w:t>31</w:t>
      </w:r>
      <w:r w:rsidR="007D3D7E">
        <w:rPr>
          <w:iCs/>
          <w:shd w:val="clear" w:color="auto" w:fill="FFFFFF"/>
        </w:rPr>
        <w:t>(2)</w:t>
      </w:r>
      <w:r w:rsidRPr="004B5AE8">
        <w:rPr>
          <w:shd w:val="clear" w:color="auto" w:fill="FFFFFF"/>
        </w:rPr>
        <w:t>, 246</w:t>
      </w:r>
      <w:r w:rsidR="007D3D7E">
        <w:rPr>
          <w:shd w:val="clear" w:color="auto" w:fill="FFFFFF"/>
        </w:rPr>
        <w:t>–</w:t>
      </w:r>
      <w:r w:rsidRPr="004B5AE8">
        <w:rPr>
          <w:shd w:val="clear" w:color="auto" w:fill="FFFFFF"/>
        </w:rPr>
        <w:t>271.</w:t>
      </w:r>
    </w:p>
    <w:p w14:paraId="2C24ABE6" w14:textId="2B424D71" w:rsidR="00EB408C" w:rsidRPr="004B5AE8" w:rsidRDefault="00EB408C">
      <w:pPr>
        <w:pStyle w:val="References"/>
        <w:rPr>
          <w:shd w:val="clear" w:color="auto" w:fill="FFFFFF"/>
        </w:rPr>
      </w:pPr>
      <w:r w:rsidRPr="004B5AE8">
        <w:rPr>
          <w:shd w:val="clear" w:color="auto" w:fill="FFFFFF"/>
        </w:rPr>
        <w:t xml:space="preserve">Larcker, D. F., </w:t>
      </w:r>
      <w:r w:rsidR="007D3D7E">
        <w:rPr>
          <w:shd w:val="clear" w:color="auto" w:fill="FFFFFF"/>
        </w:rPr>
        <w:t>&amp;</w:t>
      </w:r>
      <w:r w:rsidR="007D3D7E" w:rsidRPr="004B5AE8">
        <w:rPr>
          <w:shd w:val="clear" w:color="auto" w:fill="FFFFFF"/>
        </w:rPr>
        <w:t xml:space="preserve"> </w:t>
      </w:r>
      <w:r w:rsidRPr="004B5AE8">
        <w:rPr>
          <w:shd w:val="clear" w:color="auto" w:fill="FFFFFF"/>
        </w:rPr>
        <w:t xml:space="preserve">Zakolyukina, A. A. (2012). Detecting deceptive discussions in conference calls. </w:t>
      </w:r>
      <w:r w:rsidRPr="004B5AE8">
        <w:rPr>
          <w:i/>
          <w:iCs/>
          <w:shd w:val="clear" w:color="auto" w:fill="FFFFFF"/>
        </w:rPr>
        <w:t>Journal of Accounting Research</w:t>
      </w:r>
      <w:r w:rsidRPr="004B5AE8">
        <w:rPr>
          <w:shd w:val="clear" w:color="auto" w:fill="FFFFFF"/>
        </w:rPr>
        <w:t xml:space="preserve">, </w:t>
      </w:r>
      <w:r w:rsidRPr="004B5AE8">
        <w:rPr>
          <w:i/>
          <w:iCs/>
          <w:shd w:val="clear" w:color="auto" w:fill="FFFFFF"/>
        </w:rPr>
        <w:t>50</w:t>
      </w:r>
      <w:r w:rsidR="007D3D7E">
        <w:rPr>
          <w:shd w:val="clear" w:color="auto" w:fill="FFFFFF"/>
        </w:rPr>
        <w:t>(2)</w:t>
      </w:r>
      <w:r w:rsidRPr="004B5AE8">
        <w:rPr>
          <w:shd w:val="clear" w:color="auto" w:fill="FFFFFF"/>
        </w:rPr>
        <w:t>, 495</w:t>
      </w:r>
      <w:r w:rsidR="007D3D7E">
        <w:rPr>
          <w:shd w:val="clear" w:color="auto" w:fill="FFFFFF"/>
        </w:rPr>
        <w:t>–</w:t>
      </w:r>
      <w:r w:rsidRPr="004B5AE8">
        <w:rPr>
          <w:shd w:val="clear" w:color="auto" w:fill="FFFFFF"/>
        </w:rPr>
        <w:t>540.</w:t>
      </w:r>
    </w:p>
    <w:p w14:paraId="15E35FD6" w14:textId="29A1B873" w:rsidR="00EB408C" w:rsidRPr="004B5AE8" w:rsidRDefault="00EB408C">
      <w:pPr>
        <w:pStyle w:val="References"/>
        <w:rPr>
          <w:shd w:val="clear" w:color="auto" w:fill="FFFFFF"/>
        </w:rPr>
      </w:pPr>
      <w:r w:rsidRPr="004B5AE8">
        <w:rPr>
          <w:shd w:val="clear" w:color="auto" w:fill="FFFFFF"/>
        </w:rPr>
        <w:t xml:space="preserve">Lee, D. (2017). Corporate social responsibility and management forecast accuracy. </w:t>
      </w:r>
      <w:r w:rsidRPr="004B5AE8">
        <w:rPr>
          <w:i/>
          <w:shd w:val="clear" w:color="auto" w:fill="FFFFFF"/>
        </w:rPr>
        <w:t>Journal of Business Ethics</w:t>
      </w:r>
      <w:r w:rsidRPr="004B5AE8">
        <w:rPr>
          <w:shd w:val="clear" w:color="auto" w:fill="FFFFFF"/>
        </w:rPr>
        <w:t xml:space="preserve">, </w:t>
      </w:r>
      <w:r w:rsidRPr="004B5AE8">
        <w:rPr>
          <w:i/>
          <w:shd w:val="clear" w:color="auto" w:fill="FFFFFF"/>
        </w:rPr>
        <w:t>140</w:t>
      </w:r>
      <w:r w:rsidR="007D3D7E">
        <w:rPr>
          <w:iCs/>
          <w:shd w:val="clear" w:color="auto" w:fill="FFFFFF"/>
        </w:rPr>
        <w:t>(2)</w:t>
      </w:r>
      <w:r w:rsidRPr="004B5AE8">
        <w:rPr>
          <w:shd w:val="clear" w:color="auto" w:fill="FFFFFF"/>
        </w:rPr>
        <w:t>, 353</w:t>
      </w:r>
      <w:r w:rsidR="007D3D7E">
        <w:rPr>
          <w:shd w:val="clear" w:color="auto" w:fill="FFFFFF"/>
        </w:rPr>
        <w:t>–</w:t>
      </w:r>
      <w:r w:rsidRPr="004B5AE8">
        <w:rPr>
          <w:shd w:val="clear" w:color="auto" w:fill="FFFFFF"/>
        </w:rPr>
        <w:t>367.</w:t>
      </w:r>
    </w:p>
    <w:p w14:paraId="4EE060F2" w14:textId="486EFEAA" w:rsidR="00EB408C" w:rsidRPr="004B5AE8" w:rsidRDefault="00EB408C">
      <w:pPr>
        <w:pStyle w:val="References"/>
        <w:rPr>
          <w:shd w:val="clear" w:color="auto" w:fill="FFFFFF"/>
        </w:rPr>
      </w:pPr>
      <w:r w:rsidRPr="004B5AE8">
        <w:rPr>
          <w:shd w:val="clear" w:color="auto" w:fill="FFFFFF"/>
        </w:rPr>
        <w:t xml:space="preserve">Lee, J. (2016). Can investors detect </w:t>
      </w:r>
      <w:r w:rsidR="007D3D7E" w:rsidRPr="004B5AE8">
        <w:rPr>
          <w:shd w:val="clear" w:color="auto" w:fill="FFFFFF"/>
        </w:rPr>
        <w:t>managers</w:t>
      </w:r>
      <w:r w:rsidR="007D3D7E">
        <w:rPr>
          <w:shd w:val="clear" w:color="auto" w:fill="FFFFFF"/>
        </w:rPr>
        <w:t>’</w:t>
      </w:r>
      <w:r w:rsidR="007D3D7E" w:rsidRPr="004B5AE8">
        <w:rPr>
          <w:shd w:val="clear" w:color="auto" w:fill="FFFFFF"/>
        </w:rPr>
        <w:t xml:space="preserve"> </w:t>
      </w:r>
      <w:r w:rsidRPr="004B5AE8">
        <w:rPr>
          <w:shd w:val="clear" w:color="auto" w:fill="FFFFFF"/>
        </w:rPr>
        <w:t xml:space="preserve">lack of spontaneity? Adherence to predetermined scripts during earnings conference calls. </w:t>
      </w:r>
      <w:r w:rsidRPr="004B5AE8">
        <w:rPr>
          <w:i/>
          <w:iCs/>
          <w:shd w:val="clear" w:color="auto" w:fill="FFFFFF"/>
        </w:rPr>
        <w:t>The Accounting Review</w:t>
      </w:r>
      <w:r w:rsidRPr="004B5AE8">
        <w:rPr>
          <w:shd w:val="clear" w:color="auto" w:fill="FFFFFF"/>
        </w:rPr>
        <w:t xml:space="preserve">, </w:t>
      </w:r>
      <w:r w:rsidRPr="004B5AE8">
        <w:rPr>
          <w:i/>
          <w:iCs/>
          <w:shd w:val="clear" w:color="auto" w:fill="FFFFFF"/>
        </w:rPr>
        <w:t>91</w:t>
      </w:r>
      <w:r w:rsidR="007D3D7E">
        <w:rPr>
          <w:shd w:val="clear" w:color="auto" w:fill="FFFFFF"/>
        </w:rPr>
        <w:t>(1)</w:t>
      </w:r>
      <w:r w:rsidRPr="004B5AE8">
        <w:rPr>
          <w:shd w:val="clear" w:color="auto" w:fill="FFFFFF"/>
        </w:rPr>
        <w:t>, 229</w:t>
      </w:r>
      <w:r w:rsidR="007D3D7E">
        <w:rPr>
          <w:shd w:val="clear" w:color="auto" w:fill="FFFFFF"/>
        </w:rPr>
        <w:t>–</w:t>
      </w:r>
      <w:r w:rsidRPr="004B5AE8">
        <w:rPr>
          <w:shd w:val="clear" w:color="auto" w:fill="FFFFFF"/>
        </w:rPr>
        <w:t>250.</w:t>
      </w:r>
    </w:p>
    <w:p w14:paraId="10F3F357" w14:textId="7DBC5557" w:rsidR="00EB408C" w:rsidRPr="004B5AE8" w:rsidRDefault="00EB408C">
      <w:pPr>
        <w:pStyle w:val="References"/>
        <w:rPr>
          <w:shd w:val="clear" w:color="auto" w:fill="FFFFFF"/>
        </w:rPr>
      </w:pPr>
      <w:r w:rsidRPr="004B5AE8">
        <w:rPr>
          <w:shd w:val="clear" w:color="auto" w:fill="FFFFFF"/>
        </w:rPr>
        <w:t xml:space="preserve">Liu, X. K., Wright, A. M., </w:t>
      </w:r>
      <w:r w:rsidR="007D3D7E">
        <w:rPr>
          <w:shd w:val="clear" w:color="auto" w:fill="FFFFFF"/>
        </w:rPr>
        <w:t>&amp;</w:t>
      </w:r>
      <w:r w:rsidR="007D3D7E" w:rsidRPr="004B5AE8">
        <w:rPr>
          <w:shd w:val="clear" w:color="auto" w:fill="FFFFFF"/>
        </w:rPr>
        <w:t xml:space="preserve"> </w:t>
      </w:r>
      <w:r w:rsidRPr="004B5AE8">
        <w:rPr>
          <w:shd w:val="clear" w:color="auto" w:fill="FFFFFF"/>
        </w:rPr>
        <w:t xml:space="preserve">Wu, Y. J. (2015). Managers’ unethical fraudulent financial reporting: The effect of control strength and control framing. </w:t>
      </w:r>
      <w:r w:rsidRPr="004B5AE8">
        <w:rPr>
          <w:i/>
          <w:iCs/>
          <w:shd w:val="clear" w:color="auto" w:fill="FFFFFF"/>
        </w:rPr>
        <w:t>Journal of Business Ethics</w:t>
      </w:r>
      <w:r w:rsidRPr="004B5AE8">
        <w:rPr>
          <w:shd w:val="clear" w:color="auto" w:fill="FFFFFF"/>
        </w:rPr>
        <w:t xml:space="preserve">, </w:t>
      </w:r>
      <w:r w:rsidRPr="004B5AE8">
        <w:rPr>
          <w:i/>
          <w:iCs/>
          <w:shd w:val="clear" w:color="auto" w:fill="FFFFFF"/>
        </w:rPr>
        <w:t>129</w:t>
      </w:r>
      <w:r w:rsidR="007D3D7E">
        <w:rPr>
          <w:shd w:val="clear" w:color="auto" w:fill="FFFFFF"/>
        </w:rPr>
        <w:t>(2)</w:t>
      </w:r>
      <w:r w:rsidRPr="004B5AE8">
        <w:rPr>
          <w:shd w:val="clear" w:color="auto" w:fill="FFFFFF"/>
        </w:rPr>
        <w:t>, 295</w:t>
      </w:r>
      <w:r w:rsidR="007D3D7E">
        <w:rPr>
          <w:shd w:val="clear" w:color="auto" w:fill="FFFFFF"/>
        </w:rPr>
        <w:t>–</w:t>
      </w:r>
      <w:r w:rsidRPr="004B5AE8">
        <w:rPr>
          <w:shd w:val="clear" w:color="auto" w:fill="FFFFFF"/>
        </w:rPr>
        <w:t>310.</w:t>
      </w:r>
    </w:p>
    <w:p w14:paraId="79CB18C2" w14:textId="0165A40E" w:rsidR="00EB408C" w:rsidRPr="004B5AE8" w:rsidRDefault="00EB408C">
      <w:pPr>
        <w:pStyle w:val="References"/>
        <w:rPr>
          <w:shd w:val="clear" w:color="auto" w:fill="FFFFFF"/>
        </w:rPr>
      </w:pPr>
      <w:r w:rsidRPr="004B5AE8">
        <w:rPr>
          <w:shd w:val="clear" w:color="auto" w:fill="FFFFFF"/>
        </w:rPr>
        <w:lastRenderedPageBreak/>
        <w:t xml:space="preserve">Loughran, T., </w:t>
      </w:r>
      <w:r w:rsidR="007D3D7E">
        <w:rPr>
          <w:shd w:val="clear" w:color="auto" w:fill="FFFFFF"/>
        </w:rPr>
        <w:t>&amp;</w:t>
      </w:r>
      <w:r w:rsidR="007D3D7E" w:rsidRPr="004B5AE8">
        <w:rPr>
          <w:shd w:val="clear" w:color="auto" w:fill="FFFFFF"/>
        </w:rPr>
        <w:t xml:space="preserve"> </w:t>
      </w:r>
      <w:r w:rsidRPr="004B5AE8">
        <w:rPr>
          <w:shd w:val="clear" w:color="auto" w:fill="FFFFFF"/>
        </w:rPr>
        <w:t xml:space="preserve">McDonald, B. (2011). When is a liability not a liability? Textual analysis, dictionaries and 10-Ks. </w:t>
      </w:r>
      <w:r w:rsidRPr="004B5AE8">
        <w:rPr>
          <w:i/>
          <w:shd w:val="clear" w:color="auto" w:fill="FFFFFF"/>
        </w:rPr>
        <w:t>Journal of Finance</w:t>
      </w:r>
      <w:r w:rsidRPr="004B5AE8">
        <w:rPr>
          <w:shd w:val="clear" w:color="auto" w:fill="FFFFFF"/>
        </w:rPr>
        <w:t xml:space="preserve">, </w:t>
      </w:r>
      <w:r w:rsidRPr="004B5AE8">
        <w:rPr>
          <w:i/>
          <w:shd w:val="clear" w:color="auto" w:fill="FFFFFF"/>
        </w:rPr>
        <w:t>66</w:t>
      </w:r>
      <w:r w:rsidR="007D3D7E">
        <w:rPr>
          <w:iCs/>
          <w:shd w:val="clear" w:color="auto" w:fill="FFFFFF"/>
        </w:rPr>
        <w:t>(1)</w:t>
      </w:r>
      <w:r w:rsidRPr="004B5AE8">
        <w:rPr>
          <w:shd w:val="clear" w:color="auto" w:fill="FFFFFF"/>
        </w:rPr>
        <w:t>, 35</w:t>
      </w:r>
      <w:r w:rsidR="007D3D7E">
        <w:rPr>
          <w:shd w:val="clear" w:color="auto" w:fill="FFFFFF"/>
        </w:rPr>
        <w:t>–</w:t>
      </w:r>
      <w:r w:rsidRPr="004B5AE8">
        <w:rPr>
          <w:shd w:val="clear" w:color="auto" w:fill="FFFFFF"/>
        </w:rPr>
        <w:t>65.</w:t>
      </w:r>
    </w:p>
    <w:p w14:paraId="7F81C79A" w14:textId="4CDAAABA" w:rsidR="00EB408C" w:rsidRPr="004B5AE8" w:rsidRDefault="00EB408C">
      <w:pPr>
        <w:pStyle w:val="References"/>
        <w:rPr>
          <w:shd w:val="clear" w:color="auto" w:fill="FFFFFF"/>
        </w:rPr>
      </w:pPr>
      <w:r w:rsidRPr="004B5AE8">
        <w:rPr>
          <w:shd w:val="clear" w:color="auto" w:fill="FFFFFF"/>
        </w:rPr>
        <w:t xml:space="preserve">Loughran, T., </w:t>
      </w:r>
      <w:r w:rsidR="007D3D7E">
        <w:rPr>
          <w:shd w:val="clear" w:color="auto" w:fill="FFFFFF"/>
        </w:rPr>
        <w:t>&amp;</w:t>
      </w:r>
      <w:r w:rsidR="007D3D7E" w:rsidRPr="004B5AE8">
        <w:rPr>
          <w:shd w:val="clear" w:color="auto" w:fill="FFFFFF"/>
        </w:rPr>
        <w:t xml:space="preserve"> </w:t>
      </w:r>
      <w:r w:rsidRPr="004B5AE8">
        <w:rPr>
          <w:shd w:val="clear" w:color="auto" w:fill="FFFFFF"/>
        </w:rPr>
        <w:t>McDonald, B. (2016). Textual analysis in accounting and finance: A survey</w:t>
      </w:r>
      <w:r w:rsidR="007D3D7E" w:rsidRPr="004B5AE8">
        <w:rPr>
          <w:shd w:val="clear" w:color="auto" w:fill="FFFFFF"/>
        </w:rPr>
        <w:t>.</w:t>
      </w:r>
      <w:r w:rsidR="007D3D7E">
        <w:rPr>
          <w:shd w:val="clear" w:color="auto" w:fill="FFFFFF"/>
        </w:rPr>
        <w:t xml:space="preserve"> </w:t>
      </w:r>
      <w:r w:rsidRPr="004B5AE8">
        <w:rPr>
          <w:i/>
          <w:shd w:val="clear" w:color="auto" w:fill="FFFFFF"/>
        </w:rPr>
        <w:t>Journal of Accounting Research</w:t>
      </w:r>
      <w:r w:rsidR="007D3D7E" w:rsidRPr="004B5AE8">
        <w:rPr>
          <w:shd w:val="clear" w:color="auto" w:fill="FFFFFF"/>
        </w:rPr>
        <w:t>,</w:t>
      </w:r>
      <w:r w:rsidR="007D3D7E">
        <w:rPr>
          <w:shd w:val="clear" w:color="auto" w:fill="FFFFFF"/>
        </w:rPr>
        <w:t xml:space="preserve"> </w:t>
      </w:r>
      <w:r w:rsidRPr="004B5AE8">
        <w:rPr>
          <w:i/>
          <w:shd w:val="clear" w:color="auto" w:fill="FFFFFF"/>
        </w:rPr>
        <w:t>54</w:t>
      </w:r>
      <w:r w:rsidR="007D3D7E">
        <w:rPr>
          <w:iCs/>
          <w:shd w:val="clear" w:color="auto" w:fill="FFFFFF"/>
        </w:rPr>
        <w:t>(4)</w:t>
      </w:r>
      <w:r w:rsidRPr="004B5AE8">
        <w:rPr>
          <w:shd w:val="clear" w:color="auto" w:fill="FFFFFF"/>
        </w:rPr>
        <w:t>, 1187</w:t>
      </w:r>
      <w:r w:rsidR="007D3D7E">
        <w:rPr>
          <w:shd w:val="clear" w:color="auto" w:fill="FFFFFF"/>
        </w:rPr>
        <w:t>–</w:t>
      </w:r>
      <w:r w:rsidRPr="004B5AE8">
        <w:rPr>
          <w:shd w:val="clear" w:color="auto" w:fill="FFFFFF"/>
        </w:rPr>
        <w:t>1230.</w:t>
      </w:r>
    </w:p>
    <w:p w14:paraId="30D36C56" w14:textId="483A12BC" w:rsidR="00EB408C" w:rsidRPr="004B5AE8" w:rsidRDefault="00EB408C">
      <w:pPr>
        <w:pStyle w:val="References"/>
        <w:rPr>
          <w:shd w:val="clear" w:color="auto" w:fill="FFFFFF"/>
        </w:rPr>
      </w:pPr>
      <w:r w:rsidRPr="004B5AE8">
        <w:rPr>
          <w:shd w:val="clear" w:color="auto" w:fill="FFFFFF"/>
        </w:rPr>
        <w:t xml:space="preserve">Matsumoto, D., Pronk, M., </w:t>
      </w:r>
      <w:r w:rsidR="007D3D7E">
        <w:rPr>
          <w:shd w:val="clear" w:color="auto" w:fill="FFFFFF"/>
        </w:rPr>
        <w:t>&amp;</w:t>
      </w:r>
      <w:r w:rsidR="007D3D7E" w:rsidRPr="004B5AE8">
        <w:rPr>
          <w:shd w:val="clear" w:color="auto" w:fill="FFFFFF"/>
        </w:rPr>
        <w:t xml:space="preserve"> </w:t>
      </w:r>
      <w:r w:rsidRPr="004B5AE8">
        <w:rPr>
          <w:shd w:val="clear" w:color="auto" w:fill="FFFFFF"/>
        </w:rPr>
        <w:t xml:space="preserve">Roelofsen, E. (2011). What makes conference calls useful? The information content of </w:t>
      </w:r>
      <w:r w:rsidR="007D3D7E" w:rsidRPr="004B5AE8">
        <w:rPr>
          <w:shd w:val="clear" w:color="auto" w:fill="FFFFFF"/>
        </w:rPr>
        <w:t>managers</w:t>
      </w:r>
      <w:r w:rsidR="007D3D7E">
        <w:rPr>
          <w:shd w:val="clear" w:color="auto" w:fill="FFFFFF"/>
        </w:rPr>
        <w:t>’</w:t>
      </w:r>
      <w:r w:rsidR="007D3D7E" w:rsidRPr="004B5AE8">
        <w:rPr>
          <w:shd w:val="clear" w:color="auto" w:fill="FFFFFF"/>
        </w:rPr>
        <w:t xml:space="preserve"> </w:t>
      </w:r>
      <w:r w:rsidRPr="004B5AE8">
        <w:rPr>
          <w:shd w:val="clear" w:color="auto" w:fill="FFFFFF"/>
        </w:rPr>
        <w:t xml:space="preserve">presentations and </w:t>
      </w:r>
      <w:r w:rsidR="007D3D7E" w:rsidRPr="004B5AE8">
        <w:rPr>
          <w:shd w:val="clear" w:color="auto" w:fill="FFFFFF"/>
        </w:rPr>
        <w:t>analysts</w:t>
      </w:r>
      <w:r w:rsidR="007D3D7E">
        <w:rPr>
          <w:shd w:val="clear" w:color="auto" w:fill="FFFFFF"/>
        </w:rPr>
        <w:t>’</w:t>
      </w:r>
      <w:r w:rsidR="007D3D7E" w:rsidRPr="004B5AE8">
        <w:rPr>
          <w:shd w:val="clear" w:color="auto" w:fill="FFFFFF"/>
        </w:rPr>
        <w:t xml:space="preserve"> </w:t>
      </w:r>
      <w:r w:rsidRPr="004B5AE8">
        <w:rPr>
          <w:shd w:val="clear" w:color="auto" w:fill="FFFFFF"/>
        </w:rPr>
        <w:t xml:space="preserve">discussion sessions. </w:t>
      </w:r>
      <w:r w:rsidRPr="004B5AE8">
        <w:rPr>
          <w:i/>
          <w:iCs/>
          <w:shd w:val="clear" w:color="auto" w:fill="FFFFFF"/>
        </w:rPr>
        <w:t>The Accounting Review</w:t>
      </w:r>
      <w:r w:rsidRPr="004B5AE8">
        <w:rPr>
          <w:shd w:val="clear" w:color="auto" w:fill="FFFFFF"/>
        </w:rPr>
        <w:t xml:space="preserve">, </w:t>
      </w:r>
      <w:r w:rsidRPr="004B5AE8">
        <w:rPr>
          <w:i/>
          <w:iCs/>
          <w:shd w:val="clear" w:color="auto" w:fill="FFFFFF"/>
        </w:rPr>
        <w:t>86</w:t>
      </w:r>
      <w:r w:rsidR="007D3D7E">
        <w:rPr>
          <w:shd w:val="clear" w:color="auto" w:fill="FFFFFF"/>
        </w:rPr>
        <w:t>(4)</w:t>
      </w:r>
      <w:r w:rsidRPr="004B5AE8">
        <w:rPr>
          <w:shd w:val="clear" w:color="auto" w:fill="FFFFFF"/>
        </w:rPr>
        <w:t>, 1383</w:t>
      </w:r>
      <w:r w:rsidR="007D3D7E">
        <w:rPr>
          <w:shd w:val="clear" w:color="auto" w:fill="FFFFFF"/>
        </w:rPr>
        <w:t>–</w:t>
      </w:r>
      <w:r w:rsidRPr="004B5AE8">
        <w:rPr>
          <w:shd w:val="clear" w:color="auto" w:fill="FFFFFF"/>
        </w:rPr>
        <w:t>1414.</w:t>
      </w:r>
    </w:p>
    <w:p w14:paraId="44CEFC56" w14:textId="003AF83C" w:rsidR="00EB408C" w:rsidRPr="004B5AE8" w:rsidRDefault="00EB408C">
      <w:pPr>
        <w:pStyle w:val="References"/>
        <w:rPr>
          <w:shd w:val="clear" w:color="auto" w:fill="FFFFFF"/>
        </w:rPr>
      </w:pPr>
      <w:r w:rsidRPr="004B5AE8">
        <w:rPr>
          <w:shd w:val="clear" w:color="auto" w:fill="FFFFFF"/>
        </w:rPr>
        <w:t xml:space="preserve">Merchant, K. A., </w:t>
      </w:r>
      <w:r w:rsidR="007D3D7E">
        <w:rPr>
          <w:shd w:val="clear" w:color="auto" w:fill="FFFFFF"/>
        </w:rPr>
        <w:t>&amp;</w:t>
      </w:r>
      <w:r w:rsidR="007D3D7E" w:rsidRPr="004B5AE8">
        <w:rPr>
          <w:shd w:val="clear" w:color="auto" w:fill="FFFFFF"/>
        </w:rPr>
        <w:t xml:space="preserve"> </w:t>
      </w:r>
      <w:r w:rsidRPr="004B5AE8">
        <w:rPr>
          <w:shd w:val="clear" w:color="auto" w:fill="FFFFFF"/>
        </w:rPr>
        <w:t xml:space="preserve">Rockness, J. (1994). The ethics of managing earnings: An empirical investigation. </w:t>
      </w:r>
      <w:r w:rsidRPr="004B5AE8">
        <w:rPr>
          <w:i/>
          <w:shd w:val="clear" w:color="auto" w:fill="FFFFFF"/>
        </w:rPr>
        <w:t>Journal of Accounting and Public Policy</w:t>
      </w:r>
      <w:r w:rsidRPr="004B5AE8">
        <w:rPr>
          <w:shd w:val="clear" w:color="auto" w:fill="FFFFFF"/>
        </w:rPr>
        <w:t xml:space="preserve">, </w:t>
      </w:r>
      <w:r w:rsidRPr="004B5AE8">
        <w:rPr>
          <w:i/>
          <w:shd w:val="clear" w:color="auto" w:fill="FFFFFF"/>
        </w:rPr>
        <w:t>13</w:t>
      </w:r>
      <w:r w:rsidR="007D3D7E">
        <w:rPr>
          <w:iCs/>
          <w:shd w:val="clear" w:color="auto" w:fill="FFFFFF"/>
        </w:rPr>
        <w:t>(1)</w:t>
      </w:r>
      <w:r w:rsidRPr="004B5AE8">
        <w:rPr>
          <w:shd w:val="clear" w:color="auto" w:fill="FFFFFF"/>
        </w:rPr>
        <w:t>, 79</w:t>
      </w:r>
      <w:r w:rsidR="007D3D7E">
        <w:rPr>
          <w:shd w:val="clear" w:color="auto" w:fill="FFFFFF"/>
        </w:rPr>
        <w:t>–</w:t>
      </w:r>
      <w:r w:rsidRPr="004B5AE8">
        <w:rPr>
          <w:shd w:val="clear" w:color="auto" w:fill="FFFFFF"/>
        </w:rPr>
        <w:t>94.</w:t>
      </w:r>
    </w:p>
    <w:p w14:paraId="53B354EB" w14:textId="6A8F097F" w:rsidR="00EB408C" w:rsidRPr="004B5AE8" w:rsidRDefault="00EB408C">
      <w:pPr>
        <w:pStyle w:val="References"/>
        <w:rPr>
          <w:shd w:val="clear" w:color="auto" w:fill="FFFFFF"/>
        </w:rPr>
      </w:pPr>
      <w:r w:rsidRPr="004B5AE8">
        <w:rPr>
          <w:shd w:val="clear" w:color="auto" w:fill="FFFFFF"/>
        </w:rPr>
        <w:t xml:space="preserve">Merkl-Davies, D. M., </w:t>
      </w:r>
      <w:r w:rsidR="007D3D7E">
        <w:rPr>
          <w:shd w:val="clear" w:color="auto" w:fill="FFFFFF"/>
        </w:rPr>
        <w:t>&amp;</w:t>
      </w:r>
      <w:r w:rsidR="007D3D7E" w:rsidRPr="004B5AE8">
        <w:rPr>
          <w:shd w:val="clear" w:color="auto" w:fill="FFFFFF"/>
        </w:rPr>
        <w:t xml:space="preserve"> </w:t>
      </w:r>
      <w:r w:rsidRPr="004B5AE8">
        <w:rPr>
          <w:shd w:val="clear" w:color="auto" w:fill="FFFFFF"/>
        </w:rPr>
        <w:t xml:space="preserve">Brennan, N. M. (2007). Discretionary disclosure strategies in corporate narratives: Incremental information or impression management? </w:t>
      </w:r>
      <w:r w:rsidRPr="004B5AE8">
        <w:rPr>
          <w:i/>
          <w:shd w:val="clear" w:color="auto" w:fill="FFFFFF"/>
        </w:rPr>
        <w:t>Journal of Accounting Literature</w:t>
      </w:r>
      <w:r w:rsidRPr="004B5AE8">
        <w:rPr>
          <w:shd w:val="clear" w:color="auto" w:fill="FFFFFF"/>
        </w:rPr>
        <w:t xml:space="preserve">, </w:t>
      </w:r>
      <w:r w:rsidRPr="004B5AE8">
        <w:rPr>
          <w:i/>
          <w:shd w:val="clear" w:color="auto" w:fill="FFFFFF"/>
        </w:rPr>
        <w:t>27</w:t>
      </w:r>
      <w:r w:rsidRPr="004B5AE8">
        <w:rPr>
          <w:shd w:val="clear" w:color="auto" w:fill="FFFFFF"/>
        </w:rPr>
        <w:t>, 116</w:t>
      </w:r>
      <w:r w:rsidR="007D3D7E">
        <w:rPr>
          <w:shd w:val="clear" w:color="auto" w:fill="FFFFFF"/>
        </w:rPr>
        <w:t>–</w:t>
      </w:r>
      <w:r w:rsidRPr="004B5AE8">
        <w:rPr>
          <w:shd w:val="clear" w:color="auto" w:fill="FFFFFF"/>
        </w:rPr>
        <w:t>196.</w:t>
      </w:r>
    </w:p>
    <w:p w14:paraId="21CDA7DF" w14:textId="2F5071C4" w:rsidR="00EB408C" w:rsidRPr="004B5AE8" w:rsidRDefault="00EB408C">
      <w:pPr>
        <w:pStyle w:val="References"/>
        <w:rPr>
          <w:shd w:val="clear" w:color="auto" w:fill="FFFFFF"/>
        </w:rPr>
      </w:pPr>
      <w:r w:rsidRPr="004B5AE8">
        <w:rPr>
          <w:shd w:val="clear" w:color="auto" w:fill="FFFFFF"/>
        </w:rPr>
        <w:t xml:space="preserve">Newman, M. L., Pennebaker, J. W., Berry, D. S., </w:t>
      </w:r>
      <w:r w:rsidR="007D3D7E">
        <w:rPr>
          <w:shd w:val="clear" w:color="auto" w:fill="FFFFFF"/>
        </w:rPr>
        <w:t>&amp;</w:t>
      </w:r>
      <w:r w:rsidR="007D3D7E" w:rsidRPr="004B5AE8">
        <w:rPr>
          <w:shd w:val="clear" w:color="auto" w:fill="FFFFFF"/>
        </w:rPr>
        <w:t xml:space="preserve"> </w:t>
      </w:r>
      <w:r w:rsidRPr="004B5AE8">
        <w:rPr>
          <w:shd w:val="clear" w:color="auto" w:fill="FFFFFF"/>
        </w:rPr>
        <w:t xml:space="preserve">Richards, J. M. (2003). Lying words: Predicting deception from linguistic styles. </w:t>
      </w:r>
      <w:r w:rsidRPr="004B5AE8">
        <w:rPr>
          <w:i/>
          <w:shd w:val="clear" w:color="auto" w:fill="FFFFFF"/>
        </w:rPr>
        <w:t>Personality and Social Psychology Bulletin</w:t>
      </w:r>
      <w:r w:rsidRPr="004B5AE8">
        <w:rPr>
          <w:shd w:val="clear" w:color="auto" w:fill="FFFFFF"/>
        </w:rPr>
        <w:t xml:space="preserve">, </w:t>
      </w:r>
      <w:r w:rsidRPr="004B5AE8">
        <w:rPr>
          <w:i/>
          <w:shd w:val="clear" w:color="auto" w:fill="FFFFFF"/>
        </w:rPr>
        <w:t>29</w:t>
      </w:r>
      <w:r w:rsidR="007D3D7E">
        <w:rPr>
          <w:iCs/>
          <w:shd w:val="clear" w:color="auto" w:fill="FFFFFF"/>
        </w:rPr>
        <w:t>(5)</w:t>
      </w:r>
      <w:r w:rsidRPr="004B5AE8">
        <w:rPr>
          <w:shd w:val="clear" w:color="auto" w:fill="FFFFFF"/>
        </w:rPr>
        <w:t>, 665</w:t>
      </w:r>
      <w:r w:rsidR="007D3D7E">
        <w:rPr>
          <w:shd w:val="clear" w:color="auto" w:fill="FFFFFF"/>
        </w:rPr>
        <w:t>–</w:t>
      </w:r>
      <w:r w:rsidRPr="004B5AE8">
        <w:rPr>
          <w:shd w:val="clear" w:color="auto" w:fill="FFFFFF"/>
        </w:rPr>
        <w:t>675.</w:t>
      </w:r>
    </w:p>
    <w:p w14:paraId="69ADCA16" w14:textId="13744812" w:rsidR="00EB408C" w:rsidRPr="004B5AE8" w:rsidRDefault="00EB408C">
      <w:pPr>
        <w:pStyle w:val="References"/>
        <w:rPr>
          <w:shd w:val="clear" w:color="auto" w:fill="FFFFFF"/>
        </w:rPr>
      </w:pPr>
      <w:r w:rsidRPr="004B5AE8">
        <w:rPr>
          <w:shd w:val="clear" w:color="auto" w:fill="FFFFFF"/>
        </w:rPr>
        <w:t xml:space="preserve">Patelli, L., </w:t>
      </w:r>
      <w:r w:rsidR="007D3D7E">
        <w:rPr>
          <w:shd w:val="clear" w:color="auto" w:fill="FFFFFF"/>
        </w:rPr>
        <w:t>&amp;</w:t>
      </w:r>
      <w:r w:rsidR="007D3D7E" w:rsidRPr="004B5AE8">
        <w:rPr>
          <w:shd w:val="clear" w:color="auto" w:fill="FFFFFF"/>
        </w:rPr>
        <w:t xml:space="preserve"> </w:t>
      </w:r>
      <w:r w:rsidRPr="004B5AE8">
        <w:rPr>
          <w:shd w:val="clear" w:color="auto" w:fill="FFFFFF"/>
        </w:rPr>
        <w:t xml:space="preserve">Pedrini, M. (2014). Is the optimism in CEO’s letters to shareholders sincere? Impression management versus communicative action during the economic crisis. </w:t>
      </w:r>
      <w:r w:rsidRPr="004B5AE8">
        <w:rPr>
          <w:i/>
          <w:iCs/>
          <w:shd w:val="clear" w:color="auto" w:fill="FFFFFF"/>
        </w:rPr>
        <w:t>Journal of Business Ethics</w:t>
      </w:r>
      <w:r w:rsidRPr="004B5AE8">
        <w:rPr>
          <w:shd w:val="clear" w:color="auto" w:fill="FFFFFF"/>
        </w:rPr>
        <w:t xml:space="preserve">, </w:t>
      </w:r>
      <w:r w:rsidRPr="004B5AE8">
        <w:rPr>
          <w:i/>
          <w:iCs/>
          <w:shd w:val="clear" w:color="auto" w:fill="FFFFFF"/>
        </w:rPr>
        <w:t>124</w:t>
      </w:r>
      <w:r w:rsidR="007D3D7E">
        <w:rPr>
          <w:shd w:val="clear" w:color="auto" w:fill="FFFFFF"/>
        </w:rPr>
        <w:t>(1)</w:t>
      </w:r>
      <w:r w:rsidRPr="004B5AE8">
        <w:rPr>
          <w:shd w:val="clear" w:color="auto" w:fill="FFFFFF"/>
        </w:rPr>
        <w:t>, 19</w:t>
      </w:r>
      <w:r w:rsidR="007D3D7E">
        <w:rPr>
          <w:shd w:val="clear" w:color="auto" w:fill="FFFFFF"/>
        </w:rPr>
        <w:t>–</w:t>
      </w:r>
      <w:r w:rsidRPr="004B5AE8">
        <w:rPr>
          <w:shd w:val="clear" w:color="auto" w:fill="FFFFFF"/>
        </w:rPr>
        <w:t>34.</w:t>
      </w:r>
    </w:p>
    <w:p w14:paraId="4B2E910C" w14:textId="1379DBE2" w:rsidR="00EB408C" w:rsidRPr="004B5AE8" w:rsidRDefault="00EB408C">
      <w:pPr>
        <w:pStyle w:val="References"/>
        <w:rPr>
          <w:shd w:val="clear" w:color="auto" w:fill="FFFFFF"/>
        </w:rPr>
      </w:pPr>
      <w:r w:rsidRPr="004B5AE8">
        <w:rPr>
          <w:shd w:val="clear" w:color="auto" w:fill="FFFFFF"/>
        </w:rPr>
        <w:t xml:space="preserve">Patelli, L., </w:t>
      </w:r>
      <w:r w:rsidR="007D3D7E">
        <w:rPr>
          <w:shd w:val="clear" w:color="auto" w:fill="FFFFFF"/>
        </w:rPr>
        <w:t>&amp;</w:t>
      </w:r>
      <w:r w:rsidR="007D3D7E" w:rsidRPr="004B5AE8">
        <w:rPr>
          <w:shd w:val="clear" w:color="auto" w:fill="FFFFFF"/>
        </w:rPr>
        <w:t xml:space="preserve"> </w:t>
      </w:r>
      <w:r w:rsidRPr="004B5AE8">
        <w:rPr>
          <w:shd w:val="clear" w:color="auto" w:fill="FFFFFF"/>
        </w:rPr>
        <w:t xml:space="preserve">Pedrini, M. (2015). Is tone at the top associated with financial reporting aggressiveness? </w:t>
      </w:r>
      <w:r w:rsidRPr="004B5AE8">
        <w:rPr>
          <w:i/>
          <w:shd w:val="clear" w:color="auto" w:fill="FFFFFF"/>
        </w:rPr>
        <w:t>Journal of Business Ethics</w:t>
      </w:r>
      <w:r w:rsidRPr="004B5AE8">
        <w:rPr>
          <w:shd w:val="clear" w:color="auto" w:fill="FFFFFF"/>
        </w:rPr>
        <w:t xml:space="preserve">, </w:t>
      </w:r>
      <w:r w:rsidRPr="004B5AE8">
        <w:rPr>
          <w:i/>
          <w:shd w:val="clear" w:color="auto" w:fill="FFFFFF"/>
        </w:rPr>
        <w:t>126</w:t>
      </w:r>
      <w:r w:rsidR="00AA3E35">
        <w:rPr>
          <w:iCs/>
          <w:shd w:val="clear" w:color="auto" w:fill="FFFFFF"/>
        </w:rPr>
        <w:t>(1)</w:t>
      </w:r>
      <w:r w:rsidRPr="004B5AE8">
        <w:rPr>
          <w:shd w:val="clear" w:color="auto" w:fill="FFFFFF"/>
        </w:rPr>
        <w:t>, 3</w:t>
      </w:r>
      <w:r w:rsidR="007D3D7E">
        <w:rPr>
          <w:shd w:val="clear" w:color="auto" w:fill="FFFFFF"/>
        </w:rPr>
        <w:t>–</w:t>
      </w:r>
      <w:r w:rsidRPr="004B5AE8">
        <w:rPr>
          <w:shd w:val="clear" w:color="auto" w:fill="FFFFFF"/>
        </w:rPr>
        <w:t>19.</w:t>
      </w:r>
    </w:p>
    <w:p w14:paraId="547F5825" w14:textId="44F522AD" w:rsidR="00EB408C" w:rsidRPr="004B5AE8" w:rsidRDefault="00EB408C">
      <w:pPr>
        <w:pStyle w:val="References"/>
        <w:rPr>
          <w:shd w:val="clear" w:color="auto" w:fill="FFFFFF"/>
        </w:rPr>
      </w:pPr>
      <w:r w:rsidRPr="004B5AE8">
        <w:rPr>
          <w:shd w:val="clear" w:color="auto" w:fill="FFFFFF"/>
        </w:rPr>
        <w:t>Pennebaker, J.</w:t>
      </w:r>
      <w:r w:rsidR="00AA3E35">
        <w:rPr>
          <w:shd w:val="clear" w:color="auto" w:fill="FFFFFF"/>
        </w:rPr>
        <w:t xml:space="preserve"> </w:t>
      </w:r>
      <w:r w:rsidRPr="004B5AE8">
        <w:rPr>
          <w:shd w:val="clear" w:color="auto" w:fill="FFFFFF"/>
        </w:rPr>
        <w:t>W., Mehl, M.</w:t>
      </w:r>
      <w:r w:rsidR="00AA3E35">
        <w:rPr>
          <w:shd w:val="clear" w:color="auto" w:fill="FFFFFF"/>
        </w:rPr>
        <w:t xml:space="preserve"> </w:t>
      </w:r>
      <w:r w:rsidRPr="004B5AE8">
        <w:rPr>
          <w:shd w:val="clear" w:color="auto" w:fill="FFFFFF"/>
        </w:rPr>
        <w:t xml:space="preserve">R., </w:t>
      </w:r>
      <w:r w:rsidR="00AA3E35">
        <w:rPr>
          <w:shd w:val="clear" w:color="auto" w:fill="FFFFFF"/>
        </w:rPr>
        <w:t xml:space="preserve">&amp; </w:t>
      </w:r>
      <w:r w:rsidRPr="004B5AE8">
        <w:rPr>
          <w:shd w:val="clear" w:color="auto" w:fill="FFFFFF"/>
        </w:rPr>
        <w:t>Niederhoffer, K.</w:t>
      </w:r>
      <w:r w:rsidR="00AA3E35">
        <w:rPr>
          <w:shd w:val="clear" w:color="auto" w:fill="FFFFFF"/>
        </w:rPr>
        <w:t xml:space="preserve"> </w:t>
      </w:r>
      <w:r w:rsidRPr="004B5AE8">
        <w:rPr>
          <w:shd w:val="clear" w:color="auto" w:fill="FFFFFF"/>
        </w:rPr>
        <w:t xml:space="preserve">G. (2003). Psychological aspects of natural language use: </w:t>
      </w:r>
      <w:r w:rsidR="00AA3E35">
        <w:rPr>
          <w:shd w:val="clear" w:color="auto" w:fill="FFFFFF"/>
        </w:rPr>
        <w:t>O</w:t>
      </w:r>
      <w:r w:rsidR="00AA3E35" w:rsidRPr="004B5AE8">
        <w:rPr>
          <w:shd w:val="clear" w:color="auto" w:fill="FFFFFF"/>
        </w:rPr>
        <w:t xml:space="preserve">ur </w:t>
      </w:r>
      <w:r w:rsidRPr="004B5AE8">
        <w:rPr>
          <w:shd w:val="clear" w:color="auto" w:fill="FFFFFF"/>
        </w:rPr>
        <w:t xml:space="preserve">words, our selves. </w:t>
      </w:r>
      <w:r w:rsidRPr="004B5AE8">
        <w:rPr>
          <w:i/>
          <w:shd w:val="clear" w:color="auto" w:fill="FFFFFF"/>
        </w:rPr>
        <w:t>Annual Review of Psychology</w:t>
      </w:r>
      <w:r w:rsidRPr="004B5AE8">
        <w:rPr>
          <w:shd w:val="clear" w:color="auto" w:fill="FFFFFF"/>
        </w:rPr>
        <w:t xml:space="preserve">, </w:t>
      </w:r>
      <w:r w:rsidRPr="004B5AE8">
        <w:rPr>
          <w:i/>
          <w:shd w:val="clear" w:color="auto" w:fill="FFFFFF"/>
        </w:rPr>
        <w:t>54</w:t>
      </w:r>
      <w:r w:rsidRPr="004B5AE8">
        <w:rPr>
          <w:shd w:val="clear" w:color="auto" w:fill="FFFFFF"/>
        </w:rPr>
        <w:t>, 547–577.</w:t>
      </w:r>
    </w:p>
    <w:p w14:paraId="346554AA" w14:textId="3577FA04" w:rsidR="00EB408C" w:rsidRPr="004B5AE8" w:rsidRDefault="00EB408C">
      <w:pPr>
        <w:pStyle w:val="References"/>
        <w:rPr>
          <w:shd w:val="clear" w:color="auto" w:fill="FFFFFF"/>
        </w:rPr>
      </w:pPr>
      <w:r w:rsidRPr="004B5AE8">
        <w:rPr>
          <w:shd w:val="clear" w:color="auto" w:fill="FFFFFF"/>
        </w:rPr>
        <w:t xml:space="preserve">Price, S. M., Doran, J. S., Peterson, D. R., </w:t>
      </w:r>
      <w:r w:rsidR="00AA3E35">
        <w:rPr>
          <w:shd w:val="clear" w:color="auto" w:fill="FFFFFF"/>
        </w:rPr>
        <w:t>&amp;</w:t>
      </w:r>
      <w:r w:rsidR="00AA3E35" w:rsidRPr="004B5AE8">
        <w:rPr>
          <w:shd w:val="clear" w:color="auto" w:fill="FFFFFF"/>
        </w:rPr>
        <w:t xml:space="preserve"> </w:t>
      </w:r>
      <w:r w:rsidRPr="004B5AE8">
        <w:rPr>
          <w:shd w:val="clear" w:color="auto" w:fill="FFFFFF"/>
        </w:rPr>
        <w:t xml:space="preserve">Bliss, B. A. (2012). Earnings conference calls and stock returns: The incremental informativeness of textual tone. </w:t>
      </w:r>
      <w:r w:rsidRPr="004B5AE8">
        <w:rPr>
          <w:i/>
          <w:iCs/>
          <w:shd w:val="clear" w:color="auto" w:fill="FFFFFF"/>
        </w:rPr>
        <w:t>Journal of Banking and Finance</w:t>
      </w:r>
      <w:r w:rsidRPr="004B5AE8">
        <w:rPr>
          <w:shd w:val="clear" w:color="auto" w:fill="FFFFFF"/>
        </w:rPr>
        <w:t xml:space="preserve">, </w:t>
      </w:r>
      <w:r w:rsidRPr="004B5AE8">
        <w:rPr>
          <w:i/>
          <w:iCs/>
          <w:shd w:val="clear" w:color="auto" w:fill="FFFFFF"/>
        </w:rPr>
        <w:t>36</w:t>
      </w:r>
      <w:r w:rsidR="00AA3E35">
        <w:rPr>
          <w:shd w:val="clear" w:color="auto" w:fill="FFFFFF"/>
        </w:rPr>
        <w:t>(4)</w:t>
      </w:r>
      <w:r w:rsidRPr="004B5AE8">
        <w:rPr>
          <w:shd w:val="clear" w:color="auto" w:fill="FFFFFF"/>
        </w:rPr>
        <w:t>, 992</w:t>
      </w:r>
      <w:r w:rsidR="00AA3E35">
        <w:rPr>
          <w:shd w:val="clear" w:color="auto" w:fill="FFFFFF"/>
        </w:rPr>
        <w:t>–</w:t>
      </w:r>
      <w:r w:rsidRPr="004B5AE8">
        <w:rPr>
          <w:shd w:val="clear" w:color="auto" w:fill="FFFFFF"/>
        </w:rPr>
        <w:t>1011.</w:t>
      </w:r>
    </w:p>
    <w:p w14:paraId="465F60FB" w14:textId="56BF442B" w:rsidR="00EB408C" w:rsidRPr="004B5AE8" w:rsidRDefault="00EB408C">
      <w:pPr>
        <w:pStyle w:val="References"/>
        <w:rPr>
          <w:shd w:val="clear" w:color="auto" w:fill="FFFFFF"/>
        </w:rPr>
      </w:pPr>
      <w:r w:rsidRPr="004B5AE8">
        <w:rPr>
          <w:shd w:val="clear" w:color="auto" w:fill="FFFFFF"/>
        </w:rPr>
        <w:lastRenderedPageBreak/>
        <w:t xml:space="preserve">Rogers, J., </w:t>
      </w:r>
      <w:r w:rsidR="00AA3E35">
        <w:rPr>
          <w:shd w:val="clear" w:color="auto" w:fill="FFFFFF"/>
        </w:rPr>
        <w:t>&amp;</w:t>
      </w:r>
      <w:r w:rsidR="00AA3E35" w:rsidRPr="004B5AE8">
        <w:rPr>
          <w:shd w:val="clear" w:color="auto" w:fill="FFFFFF"/>
        </w:rPr>
        <w:t xml:space="preserve"> </w:t>
      </w:r>
      <w:r w:rsidRPr="004B5AE8">
        <w:rPr>
          <w:shd w:val="clear" w:color="auto" w:fill="FFFFFF"/>
        </w:rPr>
        <w:t xml:space="preserve">Stocken, P. (2005). Credibility of management forecasts. </w:t>
      </w:r>
      <w:r w:rsidRPr="004B5AE8">
        <w:rPr>
          <w:i/>
          <w:shd w:val="clear" w:color="auto" w:fill="FFFFFF"/>
        </w:rPr>
        <w:t>The Accounting Review</w:t>
      </w:r>
      <w:r w:rsidRPr="004B5AE8">
        <w:rPr>
          <w:shd w:val="clear" w:color="auto" w:fill="FFFFFF"/>
        </w:rPr>
        <w:t xml:space="preserve">, </w:t>
      </w:r>
      <w:r w:rsidRPr="004B5AE8">
        <w:rPr>
          <w:i/>
          <w:shd w:val="clear" w:color="auto" w:fill="FFFFFF"/>
        </w:rPr>
        <w:t>80</w:t>
      </w:r>
      <w:r w:rsidR="00AA3E35">
        <w:rPr>
          <w:iCs/>
          <w:shd w:val="clear" w:color="auto" w:fill="FFFFFF"/>
        </w:rPr>
        <w:t>(4)</w:t>
      </w:r>
      <w:r w:rsidRPr="004B5AE8">
        <w:rPr>
          <w:shd w:val="clear" w:color="auto" w:fill="FFFFFF"/>
        </w:rPr>
        <w:t>, 1233–</w:t>
      </w:r>
      <w:r w:rsidR="00AA3E35">
        <w:rPr>
          <w:shd w:val="clear" w:color="auto" w:fill="FFFFFF"/>
        </w:rPr>
        <w:t>12</w:t>
      </w:r>
      <w:r w:rsidRPr="004B5AE8">
        <w:rPr>
          <w:shd w:val="clear" w:color="auto" w:fill="FFFFFF"/>
        </w:rPr>
        <w:t>60.</w:t>
      </w:r>
    </w:p>
    <w:p w14:paraId="541846B0" w14:textId="02A701DD" w:rsidR="00EB408C" w:rsidRPr="004B5AE8" w:rsidRDefault="00EB408C">
      <w:pPr>
        <w:pStyle w:val="References"/>
        <w:rPr>
          <w:shd w:val="clear" w:color="auto" w:fill="FFFFFF"/>
        </w:rPr>
      </w:pPr>
      <w:r w:rsidRPr="004B5AE8">
        <w:rPr>
          <w:shd w:val="clear" w:color="auto" w:fill="FFFFFF"/>
        </w:rPr>
        <w:t>Roll, R. (1988). R</w:t>
      </w:r>
      <w:r w:rsidRPr="004B5AE8">
        <w:rPr>
          <w:shd w:val="clear" w:color="auto" w:fill="FFFFFF"/>
          <w:vertAlign w:val="superscript"/>
        </w:rPr>
        <w:t>2</w:t>
      </w:r>
      <w:r w:rsidRPr="004B5AE8">
        <w:rPr>
          <w:shd w:val="clear" w:color="auto" w:fill="FFFFFF"/>
        </w:rPr>
        <w:t xml:space="preserve">. </w:t>
      </w:r>
      <w:r w:rsidRPr="004B5AE8">
        <w:rPr>
          <w:i/>
          <w:shd w:val="clear" w:color="auto" w:fill="FFFFFF"/>
        </w:rPr>
        <w:t>Journal of Finance</w:t>
      </w:r>
      <w:r w:rsidRPr="004B5AE8">
        <w:rPr>
          <w:shd w:val="clear" w:color="auto" w:fill="FFFFFF"/>
        </w:rPr>
        <w:t xml:space="preserve">, </w:t>
      </w:r>
      <w:r w:rsidRPr="004B5AE8">
        <w:rPr>
          <w:i/>
          <w:shd w:val="clear" w:color="auto" w:fill="FFFFFF"/>
        </w:rPr>
        <w:t>43</w:t>
      </w:r>
      <w:r w:rsidR="00AA3E35">
        <w:rPr>
          <w:iCs/>
          <w:shd w:val="clear" w:color="auto" w:fill="FFFFFF"/>
        </w:rPr>
        <w:t>(3)</w:t>
      </w:r>
      <w:r w:rsidRPr="004B5AE8">
        <w:rPr>
          <w:shd w:val="clear" w:color="auto" w:fill="FFFFFF"/>
        </w:rPr>
        <w:t>, 541</w:t>
      </w:r>
      <w:r w:rsidR="00AA3E35">
        <w:rPr>
          <w:shd w:val="clear" w:color="auto" w:fill="FFFFFF"/>
        </w:rPr>
        <w:t>–</w:t>
      </w:r>
      <w:r w:rsidRPr="004B5AE8">
        <w:rPr>
          <w:shd w:val="clear" w:color="auto" w:fill="FFFFFF"/>
        </w:rPr>
        <w:t>566.</w:t>
      </w:r>
    </w:p>
    <w:p w14:paraId="425CAF0B" w14:textId="5BFF1F66" w:rsidR="00EB408C" w:rsidRPr="004B5AE8" w:rsidRDefault="00EB408C">
      <w:pPr>
        <w:pStyle w:val="References"/>
        <w:rPr>
          <w:shd w:val="clear" w:color="auto" w:fill="FFFFFF"/>
        </w:rPr>
      </w:pPr>
      <w:r w:rsidRPr="004B5AE8">
        <w:rPr>
          <w:shd w:val="clear" w:color="auto" w:fill="FFFFFF"/>
        </w:rPr>
        <w:t xml:space="preserve">Ruppel, C. P., </w:t>
      </w:r>
      <w:r w:rsidR="00AA3E35">
        <w:rPr>
          <w:shd w:val="clear" w:color="auto" w:fill="FFFFFF"/>
        </w:rPr>
        <w:t>&amp;</w:t>
      </w:r>
      <w:r w:rsidR="00AA3E35" w:rsidRPr="004B5AE8">
        <w:rPr>
          <w:shd w:val="clear" w:color="auto" w:fill="FFFFFF"/>
        </w:rPr>
        <w:t xml:space="preserve"> </w:t>
      </w:r>
      <w:r w:rsidRPr="004B5AE8">
        <w:rPr>
          <w:shd w:val="clear" w:color="auto" w:fill="FFFFFF"/>
        </w:rPr>
        <w:t xml:space="preserve">Harrington, S. J. (2000). The relationship of communication, ethical work climate, and trust to commitment and innovation. </w:t>
      </w:r>
      <w:r w:rsidRPr="004B5AE8">
        <w:rPr>
          <w:i/>
          <w:shd w:val="clear" w:color="auto" w:fill="FFFFFF"/>
        </w:rPr>
        <w:t>Journal of Business Ethics</w:t>
      </w:r>
      <w:r w:rsidRPr="004B5AE8">
        <w:rPr>
          <w:shd w:val="clear" w:color="auto" w:fill="FFFFFF"/>
        </w:rPr>
        <w:t xml:space="preserve">, </w:t>
      </w:r>
      <w:r w:rsidRPr="004B5AE8">
        <w:rPr>
          <w:i/>
          <w:shd w:val="clear" w:color="auto" w:fill="FFFFFF"/>
        </w:rPr>
        <w:t>25</w:t>
      </w:r>
      <w:r w:rsidR="00AA3E35">
        <w:rPr>
          <w:iCs/>
          <w:shd w:val="clear" w:color="auto" w:fill="FFFFFF"/>
        </w:rPr>
        <w:t>(4)</w:t>
      </w:r>
      <w:r w:rsidRPr="004B5AE8">
        <w:rPr>
          <w:shd w:val="clear" w:color="auto" w:fill="FFFFFF"/>
        </w:rPr>
        <w:t>, 313–328.</w:t>
      </w:r>
    </w:p>
    <w:p w14:paraId="78B4226B" w14:textId="0CC0BC24" w:rsidR="00EB408C" w:rsidRPr="00196B5F" w:rsidRDefault="00EB408C">
      <w:pPr>
        <w:pStyle w:val="References"/>
      </w:pPr>
      <w:r w:rsidRPr="004B5AE8">
        <w:rPr>
          <w:shd w:val="clear" w:color="auto" w:fill="FFFFFF"/>
        </w:rPr>
        <w:t>Stein, K.</w:t>
      </w:r>
      <w:r w:rsidR="00AA3E35">
        <w:rPr>
          <w:shd w:val="clear" w:color="auto" w:fill="FFFFFF"/>
        </w:rPr>
        <w:t xml:space="preserve"> </w:t>
      </w:r>
      <w:r w:rsidRPr="004B5AE8">
        <w:rPr>
          <w:shd w:val="clear" w:color="auto" w:fill="FFFFFF"/>
        </w:rPr>
        <w:t>M. (2018). Improving information for investors in the digital age.</w:t>
      </w:r>
      <w:r w:rsidR="00AA3E35">
        <w:rPr>
          <w:shd w:val="clear" w:color="auto" w:fill="FFFFFF"/>
        </w:rPr>
        <w:t xml:space="preserve"> </w:t>
      </w:r>
      <w:r w:rsidR="00AA3E35" w:rsidRPr="00AA3E35">
        <w:rPr>
          <w:shd w:val="clear" w:color="auto" w:fill="FFFFFF"/>
        </w:rPr>
        <w:t>Address at the Council of Institutional Investors 2018 Fall Conference</w:t>
      </w:r>
      <w:r w:rsidR="00AA3E35">
        <w:rPr>
          <w:shd w:val="clear" w:color="auto" w:fill="FFFFFF"/>
        </w:rPr>
        <w:t>, October 23.</w:t>
      </w:r>
      <w:r w:rsidRPr="004B5AE8">
        <w:rPr>
          <w:shd w:val="clear" w:color="auto" w:fill="FFFFFF"/>
        </w:rPr>
        <w:t xml:space="preserve"> </w:t>
      </w:r>
      <w:hyperlink r:id="rId13" w:history="1">
        <w:r w:rsidRPr="00196B5F">
          <w:t>https://www.sec.gov/news/speech/speech-stein-102318</w:t>
        </w:r>
      </w:hyperlink>
      <w:r w:rsidRPr="00196B5F">
        <w:t>.</w:t>
      </w:r>
    </w:p>
    <w:p w14:paraId="31995284" w14:textId="351C0DF6" w:rsidR="00EB408C" w:rsidRPr="004B5AE8" w:rsidRDefault="00EB408C">
      <w:pPr>
        <w:pStyle w:val="References"/>
        <w:rPr>
          <w:shd w:val="clear" w:color="auto" w:fill="FFFFFF"/>
        </w:rPr>
      </w:pPr>
      <w:r w:rsidRPr="004B5AE8">
        <w:rPr>
          <w:shd w:val="clear" w:color="auto" w:fill="FFFFFF"/>
        </w:rPr>
        <w:t>Stocken, P. C. (2000). Credibility of voluntary disclosure</w:t>
      </w:r>
      <w:r w:rsidR="00AA3E35" w:rsidRPr="004B5AE8">
        <w:rPr>
          <w:shd w:val="clear" w:color="auto" w:fill="FFFFFF"/>
        </w:rPr>
        <w:t>.</w:t>
      </w:r>
      <w:r w:rsidR="00AA3E35">
        <w:rPr>
          <w:shd w:val="clear" w:color="auto" w:fill="FFFFFF"/>
        </w:rPr>
        <w:t xml:space="preserve"> </w:t>
      </w:r>
      <w:r w:rsidRPr="004B5AE8">
        <w:rPr>
          <w:i/>
          <w:iCs/>
          <w:shd w:val="clear" w:color="auto" w:fill="FFFFFF"/>
        </w:rPr>
        <w:t>The RAND Journal of Economics</w:t>
      </w:r>
      <w:r w:rsidRPr="004B5AE8">
        <w:rPr>
          <w:shd w:val="clear" w:color="auto" w:fill="FFFFFF"/>
        </w:rPr>
        <w:t xml:space="preserve">, </w:t>
      </w:r>
      <w:r w:rsidRPr="004B5AE8">
        <w:rPr>
          <w:i/>
          <w:shd w:val="clear" w:color="auto" w:fill="FFFFFF"/>
        </w:rPr>
        <w:t>31</w:t>
      </w:r>
      <w:r w:rsidR="00AA3E35">
        <w:rPr>
          <w:iCs/>
          <w:shd w:val="clear" w:color="auto" w:fill="FFFFFF"/>
        </w:rPr>
        <w:t>(2)</w:t>
      </w:r>
      <w:r w:rsidRPr="004B5AE8">
        <w:rPr>
          <w:shd w:val="clear" w:color="auto" w:fill="FFFFFF"/>
        </w:rPr>
        <w:t>, 359</w:t>
      </w:r>
      <w:r w:rsidR="00AA3E35">
        <w:rPr>
          <w:shd w:val="clear" w:color="auto" w:fill="FFFFFF"/>
        </w:rPr>
        <w:t>–</w:t>
      </w:r>
      <w:r w:rsidRPr="004B5AE8">
        <w:rPr>
          <w:shd w:val="clear" w:color="auto" w:fill="FFFFFF"/>
        </w:rPr>
        <w:t>374.</w:t>
      </w:r>
    </w:p>
    <w:p w14:paraId="1CD1B3B3" w14:textId="30989E35" w:rsidR="00EB408C" w:rsidRPr="004B5AE8" w:rsidRDefault="00EB408C">
      <w:pPr>
        <w:pStyle w:val="References"/>
        <w:rPr>
          <w:shd w:val="clear" w:color="auto" w:fill="FFFFFF"/>
        </w:rPr>
      </w:pPr>
      <w:r w:rsidRPr="004B5AE8">
        <w:rPr>
          <w:shd w:val="clear" w:color="auto" w:fill="FFFFFF"/>
        </w:rPr>
        <w:t xml:space="preserve">Uddin, N., </w:t>
      </w:r>
      <w:r w:rsidR="00AA3E35">
        <w:rPr>
          <w:shd w:val="clear" w:color="auto" w:fill="FFFFFF"/>
        </w:rPr>
        <w:t>&amp;</w:t>
      </w:r>
      <w:r w:rsidR="00AA3E35" w:rsidRPr="004B5AE8">
        <w:rPr>
          <w:shd w:val="clear" w:color="auto" w:fill="FFFFFF"/>
        </w:rPr>
        <w:t xml:space="preserve"> </w:t>
      </w:r>
      <w:r w:rsidRPr="004B5AE8">
        <w:rPr>
          <w:shd w:val="clear" w:color="auto" w:fill="FFFFFF"/>
        </w:rPr>
        <w:t>Gillett, P. R. (2002). The effects of moral reasoning and self-monitoring on CFO intentions to report fraudulently on financial statement</w:t>
      </w:r>
      <w:r w:rsidR="00785907">
        <w:rPr>
          <w:shd w:val="clear" w:color="auto" w:fill="FFFFFF"/>
        </w:rPr>
        <w:t>s</w:t>
      </w:r>
      <w:r w:rsidRPr="004B5AE8">
        <w:rPr>
          <w:shd w:val="clear" w:color="auto" w:fill="FFFFFF"/>
        </w:rPr>
        <w:t xml:space="preserve">. </w:t>
      </w:r>
      <w:r w:rsidRPr="004B5AE8">
        <w:rPr>
          <w:i/>
          <w:shd w:val="clear" w:color="auto" w:fill="FFFFFF"/>
        </w:rPr>
        <w:t>Journal of Business Ethics</w:t>
      </w:r>
      <w:r w:rsidRPr="004B5AE8">
        <w:rPr>
          <w:shd w:val="clear" w:color="auto" w:fill="FFFFFF"/>
        </w:rPr>
        <w:t xml:space="preserve">, </w:t>
      </w:r>
      <w:r w:rsidRPr="004B5AE8">
        <w:rPr>
          <w:i/>
          <w:shd w:val="clear" w:color="auto" w:fill="FFFFFF"/>
        </w:rPr>
        <w:t>40</w:t>
      </w:r>
      <w:r w:rsidR="00AA3E35">
        <w:rPr>
          <w:iCs/>
          <w:shd w:val="clear" w:color="auto" w:fill="FFFFFF"/>
        </w:rPr>
        <w:t>(1)</w:t>
      </w:r>
      <w:r w:rsidRPr="004B5AE8">
        <w:rPr>
          <w:shd w:val="clear" w:color="auto" w:fill="FFFFFF"/>
        </w:rPr>
        <w:t>, 15</w:t>
      </w:r>
      <w:r w:rsidR="00AA3E35">
        <w:rPr>
          <w:shd w:val="clear" w:color="auto" w:fill="FFFFFF"/>
        </w:rPr>
        <w:t>–</w:t>
      </w:r>
      <w:r w:rsidRPr="004B5AE8">
        <w:rPr>
          <w:shd w:val="clear" w:color="auto" w:fill="FFFFFF"/>
        </w:rPr>
        <w:t>32.</w:t>
      </w:r>
    </w:p>
    <w:p w14:paraId="313974BC" w14:textId="77777777" w:rsidR="003448EE" w:rsidRPr="004B5AE8" w:rsidRDefault="003448EE" w:rsidP="003448EE">
      <w:pPr>
        <w:pStyle w:val="References"/>
        <w:rPr>
          <w:rFonts w:eastAsia="Times New Roman"/>
          <w:shd w:val="clear" w:color="auto" w:fill="FFFFFF"/>
        </w:rPr>
      </w:pPr>
      <w:r w:rsidRPr="004B5AE8">
        <w:t>US Chamber of Commerce (2014). Corporate disclosure effectiveness: Ensuring a balanced system that informs and protects investors and facilitates capital formation.</w:t>
      </w:r>
      <w:r>
        <w:t xml:space="preserve"> </w:t>
      </w:r>
      <w:r w:rsidRPr="00AA3E35">
        <w:t>Center for Capital Markets Competitiveness</w:t>
      </w:r>
      <w:r>
        <w:t>, Washington, DC.</w:t>
      </w:r>
      <w:r w:rsidRPr="004B5AE8">
        <w:t xml:space="preserve"> </w:t>
      </w:r>
      <w:hyperlink r:id="rId14" w:history="1">
        <w:r w:rsidRPr="00D81A46">
          <w:t>http://www.centerforcapitalmarkets.com/wp-content/uploads/2014/07/CCMC_Disclosure_Reform_Final_7-28-20141.pdf</w:t>
        </w:r>
      </w:hyperlink>
      <w:r w:rsidRPr="004B5AE8">
        <w:t>.</w:t>
      </w:r>
    </w:p>
    <w:p w14:paraId="33E799F1" w14:textId="3BCA8A75" w:rsidR="00EB408C" w:rsidRPr="004B5AE8" w:rsidRDefault="00EB408C" w:rsidP="003E49E8">
      <w:pPr>
        <w:pStyle w:val="References"/>
        <w:rPr>
          <w:shd w:val="clear" w:color="auto" w:fill="FFFFFF"/>
        </w:rPr>
      </w:pPr>
      <w:r w:rsidRPr="004B5AE8">
        <w:rPr>
          <w:shd w:val="clear" w:color="auto" w:fill="FFFFFF"/>
        </w:rPr>
        <w:t xml:space="preserve">Vrij, A., Edward, K., Roberts, K. P., </w:t>
      </w:r>
      <w:r w:rsidR="00AA3E35">
        <w:rPr>
          <w:shd w:val="clear" w:color="auto" w:fill="FFFFFF"/>
        </w:rPr>
        <w:t>&amp;</w:t>
      </w:r>
      <w:r w:rsidR="00AA3E35" w:rsidRPr="004B5AE8">
        <w:rPr>
          <w:shd w:val="clear" w:color="auto" w:fill="FFFFFF"/>
        </w:rPr>
        <w:t xml:space="preserve"> </w:t>
      </w:r>
      <w:r w:rsidRPr="004B5AE8">
        <w:rPr>
          <w:shd w:val="clear" w:color="auto" w:fill="FFFFFF"/>
        </w:rPr>
        <w:t xml:space="preserve">Bull, R. (2000). Detecting deceit via analysis of verbal and nonverbal behavior. </w:t>
      </w:r>
      <w:r w:rsidRPr="004B5AE8">
        <w:rPr>
          <w:i/>
          <w:shd w:val="clear" w:color="auto" w:fill="FFFFFF"/>
        </w:rPr>
        <w:t>Journal of Nonverbal Behavior</w:t>
      </w:r>
      <w:r w:rsidRPr="004B5AE8">
        <w:rPr>
          <w:shd w:val="clear" w:color="auto" w:fill="FFFFFF"/>
        </w:rPr>
        <w:t xml:space="preserve">, </w:t>
      </w:r>
      <w:r w:rsidRPr="004B5AE8">
        <w:rPr>
          <w:i/>
          <w:shd w:val="clear" w:color="auto" w:fill="FFFFFF"/>
        </w:rPr>
        <w:t>24</w:t>
      </w:r>
      <w:r w:rsidR="00AA3E35">
        <w:rPr>
          <w:iCs/>
          <w:shd w:val="clear" w:color="auto" w:fill="FFFFFF"/>
        </w:rPr>
        <w:t>(4)</w:t>
      </w:r>
      <w:r w:rsidRPr="004B5AE8">
        <w:rPr>
          <w:shd w:val="clear" w:color="auto" w:fill="FFFFFF"/>
        </w:rPr>
        <w:t>, 239</w:t>
      </w:r>
      <w:r w:rsidR="00AA3E35">
        <w:rPr>
          <w:shd w:val="clear" w:color="auto" w:fill="FFFFFF"/>
        </w:rPr>
        <w:t>–</w:t>
      </w:r>
      <w:r w:rsidRPr="004B5AE8">
        <w:rPr>
          <w:shd w:val="clear" w:color="auto" w:fill="FFFFFF"/>
        </w:rPr>
        <w:t>263.</w:t>
      </w:r>
    </w:p>
    <w:p w14:paraId="57098A11" w14:textId="642E86BD" w:rsidR="00EB408C" w:rsidRPr="004B5AE8" w:rsidRDefault="00EB408C" w:rsidP="00B70E79">
      <w:pPr>
        <w:pStyle w:val="References"/>
        <w:rPr>
          <w:shd w:val="clear" w:color="auto" w:fill="FFFFFF"/>
        </w:rPr>
      </w:pPr>
      <w:r w:rsidRPr="004B5AE8">
        <w:rPr>
          <w:shd w:val="clear" w:color="auto" w:fill="FFFFFF"/>
        </w:rPr>
        <w:t xml:space="preserve">Whitener, E. M., Brodt, S. E., Korsgaard, M. A., </w:t>
      </w:r>
      <w:r w:rsidR="00AA3E35">
        <w:rPr>
          <w:shd w:val="clear" w:color="auto" w:fill="FFFFFF"/>
        </w:rPr>
        <w:t>&amp;</w:t>
      </w:r>
      <w:r w:rsidR="00AA3E35" w:rsidRPr="004B5AE8">
        <w:rPr>
          <w:shd w:val="clear" w:color="auto" w:fill="FFFFFF"/>
        </w:rPr>
        <w:t xml:space="preserve"> </w:t>
      </w:r>
      <w:r w:rsidRPr="004B5AE8">
        <w:rPr>
          <w:shd w:val="clear" w:color="auto" w:fill="FFFFFF"/>
        </w:rPr>
        <w:t xml:space="preserve">Werner, J. M. (1998). Managers as initiators of trust: An exchange relationship framework for understanding managerial trustworthy behavior. </w:t>
      </w:r>
      <w:r w:rsidRPr="004B5AE8">
        <w:rPr>
          <w:i/>
          <w:shd w:val="clear" w:color="auto" w:fill="FFFFFF"/>
        </w:rPr>
        <w:t>Academy of Management Review</w:t>
      </w:r>
      <w:r w:rsidRPr="004B5AE8">
        <w:rPr>
          <w:shd w:val="clear" w:color="auto" w:fill="FFFFFF"/>
        </w:rPr>
        <w:t xml:space="preserve">, </w:t>
      </w:r>
      <w:r w:rsidRPr="004B5AE8">
        <w:rPr>
          <w:i/>
          <w:shd w:val="clear" w:color="auto" w:fill="FFFFFF"/>
        </w:rPr>
        <w:t>23</w:t>
      </w:r>
      <w:r w:rsidR="00AA3E35">
        <w:rPr>
          <w:iCs/>
          <w:shd w:val="clear" w:color="auto" w:fill="FFFFFF"/>
        </w:rPr>
        <w:t>(3)</w:t>
      </w:r>
      <w:r w:rsidRPr="004B5AE8">
        <w:rPr>
          <w:shd w:val="clear" w:color="auto" w:fill="FFFFFF"/>
        </w:rPr>
        <w:t>, 513–530.</w:t>
      </w:r>
    </w:p>
    <w:p w14:paraId="24028E03" w14:textId="408C97CF" w:rsidR="00EB408C" w:rsidRPr="004B5AE8" w:rsidRDefault="00EB408C">
      <w:pPr>
        <w:pStyle w:val="References"/>
        <w:rPr>
          <w:shd w:val="clear" w:color="auto" w:fill="FFFFFF"/>
        </w:rPr>
      </w:pPr>
      <w:r w:rsidRPr="004B5AE8">
        <w:rPr>
          <w:shd w:val="clear" w:color="auto" w:fill="FFFFFF"/>
        </w:rPr>
        <w:lastRenderedPageBreak/>
        <w:t xml:space="preserve">Xu, N., Jiang, X., Chan, K. C., </w:t>
      </w:r>
      <w:r w:rsidR="00AA3E35">
        <w:rPr>
          <w:shd w:val="clear" w:color="auto" w:fill="FFFFFF"/>
        </w:rPr>
        <w:t>&amp;</w:t>
      </w:r>
      <w:r w:rsidR="00AA3E35" w:rsidRPr="004B5AE8">
        <w:rPr>
          <w:shd w:val="clear" w:color="auto" w:fill="FFFFFF"/>
        </w:rPr>
        <w:t xml:space="preserve"> </w:t>
      </w:r>
      <w:r w:rsidRPr="004B5AE8">
        <w:rPr>
          <w:shd w:val="clear" w:color="auto" w:fill="FFFFFF"/>
        </w:rPr>
        <w:t xml:space="preserve">Yi, Z. (2013). Analyst coverage, optimism, and stock price crash risk: Evidence from China. </w:t>
      </w:r>
      <w:r w:rsidRPr="004B5AE8">
        <w:rPr>
          <w:i/>
          <w:shd w:val="clear" w:color="auto" w:fill="FFFFFF"/>
        </w:rPr>
        <w:t>Pacific-Basin Finance Journal</w:t>
      </w:r>
      <w:r w:rsidRPr="004B5AE8">
        <w:rPr>
          <w:shd w:val="clear" w:color="auto" w:fill="FFFFFF"/>
        </w:rPr>
        <w:t xml:space="preserve">, </w:t>
      </w:r>
      <w:r w:rsidRPr="004B5AE8">
        <w:rPr>
          <w:i/>
          <w:shd w:val="clear" w:color="auto" w:fill="FFFFFF"/>
        </w:rPr>
        <w:t>25</w:t>
      </w:r>
      <w:r w:rsidR="00AA3E35">
        <w:rPr>
          <w:iCs/>
          <w:shd w:val="clear" w:color="auto" w:fill="FFFFFF"/>
        </w:rPr>
        <w:t>(C)</w:t>
      </w:r>
      <w:r w:rsidRPr="004B5AE8">
        <w:rPr>
          <w:shd w:val="clear" w:color="auto" w:fill="FFFFFF"/>
        </w:rPr>
        <w:t>, 217</w:t>
      </w:r>
      <w:r w:rsidR="00AA3E35">
        <w:rPr>
          <w:shd w:val="clear" w:color="auto" w:fill="FFFFFF"/>
        </w:rPr>
        <w:t>–</w:t>
      </w:r>
      <w:r w:rsidRPr="004B5AE8">
        <w:rPr>
          <w:shd w:val="clear" w:color="auto" w:fill="FFFFFF"/>
        </w:rPr>
        <w:t>239.</w:t>
      </w:r>
    </w:p>
    <w:p w14:paraId="110EC8C8" w14:textId="6CA8AE59" w:rsidR="00EB408C" w:rsidRPr="004B5AE8" w:rsidRDefault="00EB408C">
      <w:pPr>
        <w:pStyle w:val="References"/>
        <w:rPr>
          <w:shd w:val="clear" w:color="auto" w:fill="FFFFFF"/>
        </w:rPr>
      </w:pPr>
      <w:r w:rsidRPr="004B5AE8">
        <w:rPr>
          <w:shd w:val="clear" w:color="auto" w:fill="FFFFFF"/>
        </w:rPr>
        <w:t xml:space="preserve">Yu, F. (2008). Analyst coverage and earnings management. </w:t>
      </w:r>
      <w:r w:rsidRPr="004B5AE8">
        <w:rPr>
          <w:i/>
          <w:shd w:val="clear" w:color="auto" w:fill="FFFFFF"/>
        </w:rPr>
        <w:t>Journal of Financial Economics</w:t>
      </w:r>
      <w:r w:rsidRPr="004B5AE8">
        <w:rPr>
          <w:shd w:val="clear" w:color="auto" w:fill="FFFFFF"/>
        </w:rPr>
        <w:t xml:space="preserve">, </w:t>
      </w:r>
      <w:r w:rsidRPr="004B5AE8">
        <w:rPr>
          <w:i/>
          <w:shd w:val="clear" w:color="auto" w:fill="FFFFFF"/>
        </w:rPr>
        <w:t>88</w:t>
      </w:r>
      <w:r w:rsidR="00AA3E35">
        <w:rPr>
          <w:iCs/>
          <w:shd w:val="clear" w:color="auto" w:fill="FFFFFF"/>
        </w:rPr>
        <w:t>(2)</w:t>
      </w:r>
      <w:r w:rsidRPr="004B5AE8">
        <w:rPr>
          <w:shd w:val="clear" w:color="auto" w:fill="FFFFFF"/>
        </w:rPr>
        <w:t>, 245</w:t>
      </w:r>
      <w:r w:rsidR="00AA3E35">
        <w:rPr>
          <w:shd w:val="clear" w:color="auto" w:fill="FFFFFF"/>
        </w:rPr>
        <w:t>–</w:t>
      </w:r>
      <w:r w:rsidRPr="004B5AE8">
        <w:rPr>
          <w:shd w:val="clear" w:color="auto" w:fill="FFFFFF"/>
        </w:rPr>
        <w:t>271.</w:t>
      </w:r>
    </w:p>
    <w:p w14:paraId="7F396344" w14:textId="043579F0" w:rsidR="00EB408C" w:rsidRPr="004B5AE8" w:rsidRDefault="00EB408C">
      <w:pPr>
        <w:pStyle w:val="References"/>
        <w:rPr>
          <w:shd w:val="clear" w:color="auto" w:fill="FFFFFF"/>
        </w:rPr>
      </w:pPr>
      <w:r w:rsidRPr="004B5AE8">
        <w:rPr>
          <w:shd w:val="clear" w:color="auto" w:fill="FFFFFF"/>
        </w:rPr>
        <w:t xml:space="preserve">Yuthas, K., Rogers, R., </w:t>
      </w:r>
      <w:r w:rsidR="00AA3E35">
        <w:rPr>
          <w:shd w:val="clear" w:color="auto" w:fill="FFFFFF"/>
        </w:rPr>
        <w:t>&amp;</w:t>
      </w:r>
      <w:r w:rsidR="00AA3E35" w:rsidRPr="004B5AE8">
        <w:rPr>
          <w:shd w:val="clear" w:color="auto" w:fill="FFFFFF"/>
        </w:rPr>
        <w:t xml:space="preserve"> </w:t>
      </w:r>
      <w:r w:rsidRPr="004B5AE8">
        <w:rPr>
          <w:shd w:val="clear" w:color="auto" w:fill="FFFFFF"/>
        </w:rPr>
        <w:t xml:space="preserve">Dillard, J. F. (2002). Communicative action and corporate annual reports. </w:t>
      </w:r>
      <w:r w:rsidRPr="004B5AE8">
        <w:rPr>
          <w:i/>
          <w:shd w:val="clear" w:color="auto" w:fill="FFFFFF"/>
        </w:rPr>
        <w:t>Journal of Business Ethics</w:t>
      </w:r>
      <w:r w:rsidRPr="004B5AE8">
        <w:rPr>
          <w:shd w:val="clear" w:color="auto" w:fill="FFFFFF"/>
        </w:rPr>
        <w:t xml:space="preserve">, </w:t>
      </w:r>
      <w:r w:rsidRPr="004B5AE8">
        <w:rPr>
          <w:i/>
          <w:shd w:val="clear" w:color="auto" w:fill="FFFFFF"/>
        </w:rPr>
        <w:t>41</w:t>
      </w:r>
      <w:r w:rsidR="00AA3E35">
        <w:rPr>
          <w:iCs/>
          <w:shd w:val="clear" w:color="auto" w:fill="FFFFFF"/>
        </w:rPr>
        <w:t>(1-2)</w:t>
      </w:r>
      <w:r w:rsidRPr="004B5AE8">
        <w:rPr>
          <w:shd w:val="clear" w:color="auto" w:fill="FFFFFF"/>
        </w:rPr>
        <w:t>, 141</w:t>
      </w:r>
      <w:r w:rsidR="00AA3E35">
        <w:rPr>
          <w:shd w:val="clear" w:color="auto" w:fill="FFFFFF"/>
        </w:rPr>
        <w:t>–</w:t>
      </w:r>
      <w:r w:rsidRPr="004B5AE8">
        <w:rPr>
          <w:shd w:val="clear" w:color="auto" w:fill="FFFFFF"/>
        </w:rPr>
        <w:t>157.</w:t>
      </w:r>
    </w:p>
    <w:p w14:paraId="2DC15833" w14:textId="305A5277" w:rsidR="00C826AF" w:rsidRDefault="00EB408C">
      <w:pPr>
        <w:pStyle w:val="References"/>
        <w:rPr>
          <w:shd w:val="clear" w:color="auto" w:fill="FFFFFF"/>
        </w:rPr>
      </w:pPr>
      <w:r w:rsidRPr="004B5AE8">
        <w:rPr>
          <w:shd w:val="clear" w:color="auto" w:fill="FFFFFF"/>
        </w:rPr>
        <w:t xml:space="preserve">Zuckerman, M., </w:t>
      </w:r>
      <w:r w:rsidR="00AA3E35">
        <w:rPr>
          <w:shd w:val="clear" w:color="auto" w:fill="FFFFFF"/>
        </w:rPr>
        <w:t>&amp;</w:t>
      </w:r>
      <w:r w:rsidR="00AA3E35" w:rsidRPr="004B5AE8">
        <w:rPr>
          <w:shd w:val="clear" w:color="auto" w:fill="FFFFFF"/>
        </w:rPr>
        <w:t xml:space="preserve"> </w:t>
      </w:r>
      <w:r w:rsidRPr="004B5AE8">
        <w:rPr>
          <w:shd w:val="clear" w:color="auto" w:fill="FFFFFF"/>
        </w:rPr>
        <w:t xml:space="preserve">Driver, R. E. (1985). Telling lies: Verbal and nonverbal correlates of deception. In </w:t>
      </w:r>
      <w:r w:rsidR="00AA3E35" w:rsidRPr="004B5AE8">
        <w:rPr>
          <w:shd w:val="clear" w:color="auto" w:fill="FFFFFF"/>
        </w:rPr>
        <w:t xml:space="preserve">A. W. </w:t>
      </w:r>
      <w:r w:rsidRPr="004B5AE8">
        <w:rPr>
          <w:shd w:val="clear" w:color="auto" w:fill="FFFFFF"/>
        </w:rPr>
        <w:t>Siegman</w:t>
      </w:r>
      <w:r w:rsidR="003448EE">
        <w:rPr>
          <w:shd w:val="clear" w:color="auto" w:fill="FFFFFF"/>
        </w:rPr>
        <w:t xml:space="preserve"> &amp; S.</w:t>
      </w:r>
      <w:r w:rsidRPr="004B5AE8">
        <w:rPr>
          <w:shd w:val="clear" w:color="auto" w:fill="FFFFFF"/>
        </w:rPr>
        <w:t xml:space="preserve"> Feldstein (ed</w:t>
      </w:r>
      <w:r w:rsidR="003448EE">
        <w:rPr>
          <w:shd w:val="clear" w:color="auto" w:fill="FFFFFF"/>
        </w:rPr>
        <w:t>s</w:t>
      </w:r>
      <w:r w:rsidRPr="004B5AE8">
        <w:rPr>
          <w:shd w:val="clear" w:color="auto" w:fill="FFFFFF"/>
        </w:rPr>
        <w:t>.)</w:t>
      </w:r>
      <w:r w:rsidR="00785907">
        <w:rPr>
          <w:shd w:val="clear" w:color="auto" w:fill="FFFFFF"/>
        </w:rPr>
        <w:t>,</w:t>
      </w:r>
      <w:r w:rsidRPr="004B5AE8">
        <w:rPr>
          <w:shd w:val="clear" w:color="auto" w:fill="FFFFFF"/>
        </w:rPr>
        <w:t xml:space="preserve"> </w:t>
      </w:r>
      <w:r w:rsidRPr="004B5AE8">
        <w:rPr>
          <w:i/>
          <w:shd w:val="clear" w:color="auto" w:fill="FFFFFF"/>
        </w:rPr>
        <w:t>Multichannel integrations of nonverbal behavior</w:t>
      </w:r>
      <w:r w:rsidR="003448EE">
        <w:rPr>
          <w:shd w:val="clear" w:color="auto" w:fill="FFFFFF"/>
        </w:rPr>
        <w:t xml:space="preserve"> (pp. </w:t>
      </w:r>
      <w:r w:rsidR="003448EE" w:rsidRPr="004B5AE8">
        <w:rPr>
          <w:shd w:val="clear" w:color="auto" w:fill="FFFFFF"/>
        </w:rPr>
        <w:t>129</w:t>
      </w:r>
      <w:r w:rsidR="003448EE">
        <w:rPr>
          <w:shd w:val="clear" w:color="auto" w:fill="FFFFFF"/>
        </w:rPr>
        <w:t>–</w:t>
      </w:r>
      <w:r w:rsidR="003448EE" w:rsidRPr="004B5AE8">
        <w:rPr>
          <w:shd w:val="clear" w:color="auto" w:fill="FFFFFF"/>
        </w:rPr>
        <w:t>147</w:t>
      </w:r>
      <w:r w:rsidR="003448EE">
        <w:rPr>
          <w:shd w:val="clear" w:color="auto" w:fill="FFFFFF"/>
        </w:rPr>
        <w:t>).</w:t>
      </w:r>
      <w:r w:rsidRPr="004B5AE8">
        <w:rPr>
          <w:shd w:val="clear" w:color="auto" w:fill="FFFFFF"/>
        </w:rPr>
        <w:t xml:space="preserve"> Psychology Press,</w:t>
      </w:r>
      <w:r w:rsidR="003448EE">
        <w:rPr>
          <w:shd w:val="clear" w:color="auto" w:fill="FFFFFF"/>
        </w:rPr>
        <w:t xml:space="preserve"> London</w:t>
      </w:r>
      <w:r w:rsidRPr="004B5AE8">
        <w:rPr>
          <w:shd w:val="clear" w:color="auto" w:fill="FFFFFF"/>
        </w:rPr>
        <w:t>.</w:t>
      </w:r>
    </w:p>
    <w:p w14:paraId="7B5FC0CE" w14:textId="23749693" w:rsidR="00105DB5" w:rsidRDefault="00105DB5">
      <w:pPr>
        <w:spacing w:line="240" w:lineRule="auto"/>
        <w:ind w:firstLine="0"/>
        <w:jc w:val="left"/>
        <w:rPr>
          <w:shd w:val="clear" w:color="auto" w:fill="FFFFFF"/>
          <w:lang w:val="en-GB"/>
        </w:rPr>
      </w:pPr>
      <w:r>
        <w:rPr>
          <w:shd w:val="clear" w:color="auto" w:fill="FFFFFF"/>
        </w:rPr>
        <w:br w:type="page"/>
      </w:r>
    </w:p>
    <w:p w14:paraId="2F0EE227" w14:textId="77777777" w:rsidR="00735ADD" w:rsidRPr="00302CE5" w:rsidRDefault="00735ADD" w:rsidP="00694B66">
      <w:pPr>
        <w:pStyle w:val="TableCaption"/>
        <w:rPr>
          <w:b/>
        </w:rPr>
      </w:pPr>
      <w:r w:rsidRPr="00302CE5">
        <w:rPr>
          <w:b/>
        </w:rPr>
        <w:lastRenderedPageBreak/>
        <w:t>Table 1</w:t>
      </w:r>
      <w:r>
        <w:rPr>
          <w:b/>
        </w:rPr>
        <w:t xml:space="preserve">  </w:t>
      </w:r>
      <w:r w:rsidRPr="00F37C2B">
        <w:t xml:space="preserve">Distribution of </w:t>
      </w:r>
      <w:r>
        <w:t>o</w:t>
      </w:r>
      <w:r w:rsidRPr="00F37C2B">
        <w:t xml:space="preserve">bservations over </w:t>
      </w:r>
      <w:r>
        <w:t>i</w:t>
      </w:r>
      <w:r w:rsidRPr="00F37C2B">
        <w:t xml:space="preserve">ndustries and </w:t>
      </w:r>
      <w:r>
        <w:t>y</w:t>
      </w:r>
      <w:r w:rsidRPr="00F37C2B">
        <w:t>ears</w:t>
      </w:r>
    </w:p>
    <w:p w14:paraId="41100577" w14:textId="4B57D3DB" w:rsidR="00735ADD" w:rsidRPr="00E33FEA" w:rsidRDefault="00735ADD" w:rsidP="00694B66">
      <w:pPr>
        <w:pStyle w:val="TableNotes"/>
      </w:pPr>
      <w:r w:rsidRPr="00522B52">
        <w:t xml:space="preserve">Panel A shows the </w:t>
      </w:r>
      <w:r w:rsidR="00105DB5">
        <w:t>distribution of</w:t>
      </w:r>
      <w:r w:rsidR="00105DB5" w:rsidRPr="00DD54F6">
        <w:t xml:space="preserve"> observations of individual firm-year</w:t>
      </w:r>
      <w:r w:rsidR="00105DB5">
        <w:t>s</w:t>
      </w:r>
      <w:r w:rsidR="00105DB5" w:rsidRPr="003A6185" w:rsidDel="00105DB5">
        <w:t xml:space="preserve"> </w:t>
      </w:r>
      <w:r w:rsidRPr="00E33FEA">
        <w:t xml:space="preserve">across 10 </w:t>
      </w:r>
      <w:r w:rsidR="00694B66">
        <w:t xml:space="preserve">SIC industries. </w:t>
      </w:r>
      <w:r w:rsidRPr="003A6185">
        <w:t xml:space="preserve">Panel B shows the distribution </w:t>
      </w:r>
      <w:r w:rsidR="00105DB5">
        <w:t>for the period</w:t>
      </w:r>
      <w:r w:rsidR="00105DB5" w:rsidRPr="003A6185">
        <w:t xml:space="preserve"> </w:t>
      </w:r>
      <w:r w:rsidRPr="00E33FEA">
        <w:t>2010</w:t>
      </w:r>
      <w:r w:rsidR="00105DB5">
        <w:t>–</w:t>
      </w:r>
      <w:r w:rsidRPr="003A6185">
        <w:t>2015.</w:t>
      </w:r>
    </w:p>
    <w:tbl>
      <w:tblPr>
        <w:tblW w:w="0" w:type="auto"/>
        <w:tblLayout w:type="fixed"/>
        <w:tblLook w:val="04A0" w:firstRow="1" w:lastRow="0" w:firstColumn="1" w:lastColumn="0" w:noHBand="0" w:noVBand="1"/>
      </w:tblPr>
      <w:tblGrid>
        <w:gridCol w:w="1943"/>
        <w:gridCol w:w="2331"/>
        <w:gridCol w:w="262"/>
        <w:gridCol w:w="1560"/>
        <w:gridCol w:w="832"/>
        <w:gridCol w:w="302"/>
        <w:gridCol w:w="992"/>
        <w:gridCol w:w="804"/>
      </w:tblGrid>
      <w:tr w:rsidR="00735ADD" w:rsidRPr="003E49E8" w14:paraId="2CFD8475" w14:textId="77777777" w:rsidTr="00746312">
        <w:trPr>
          <w:trHeight w:val="315"/>
        </w:trPr>
        <w:tc>
          <w:tcPr>
            <w:tcW w:w="9026" w:type="dxa"/>
            <w:gridSpan w:val="8"/>
            <w:tcBorders>
              <w:top w:val="single" w:sz="4" w:space="0" w:color="auto"/>
              <w:left w:val="nil"/>
              <w:bottom w:val="nil"/>
              <w:right w:val="nil"/>
            </w:tcBorders>
            <w:shd w:val="clear" w:color="auto" w:fill="auto"/>
            <w:noWrap/>
            <w:vAlign w:val="center"/>
            <w:hideMark/>
          </w:tcPr>
          <w:p w14:paraId="2612741F" w14:textId="77777777" w:rsidR="00735ADD" w:rsidRPr="00B151E1" w:rsidRDefault="00735ADD" w:rsidP="00B151E1">
            <w:pPr>
              <w:pStyle w:val="TableText"/>
              <w:rPr>
                <w:b/>
                <w:bCs/>
              </w:rPr>
            </w:pPr>
            <w:r w:rsidRPr="00B151E1">
              <w:rPr>
                <w:b/>
                <w:bCs/>
              </w:rPr>
              <w:t>Panel A: Distribution of observations over industries</w:t>
            </w:r>
          </w:p>
        </w:tc>
      </w:tr>
      <w:tr w:rsidR="00735ADD" w:rsidRPr="00323BB0" w14:paraId="63BE8080" w14:textId="77777777" w:rsidTr="00746312">
        <w:trPr>
          <w:trHeight w:val="315"/>
        </w:trPr>
        <w:tc>
          <w:tcPr>
            <w:tcW w:w="4536" w:type="dxa"/>
            <w:gridSpan w:val="3"/>
            <w:tcBorders>
              <w:top w:val="single" w:sz="4" w:space="0" w:color="auto"/>
              <w:left w:val="nil"/>
              <w:bottom w:val="single" w:sz="4" w:space="0" w:color="auto"/>
              <w:right w:val="nil"/>
            </w:tcBorders>
            <w:shd w:val="clear" w:color="auto" w:fill="auto"/>
            <w:noWrap/>
            <w:vAlign w:val="center"/>
            <w:hideMark/>
          </w:tcPr>
          <w:p w14:paraId="14CF4304" w14:textId="77777777" w:rsidR="00735ADD" w:rsidRPr="00B151E1" w:rsidRDefault="00735ADD" w:rsidP="00B151E1">
            <w:pPr>
              <w:pStyle w:val="TableText"/>
              <w:rPr>
                <w:b/>
                <w:bCs/>
              </w:rPr>
            </w:pPr>
            <w:r w:rsidRPr="00B151E1">
              <w:rPr>
                <w:b/>
                <w:bCs/>
              </w:rPr>
              <w:t>SIC Industry</w:t>
            </w:r>
          </w:p>
        </w:tc>
        <w:tc>
          <w:tcPr>
            <w:tcW w:w="1560" w:type="dxa"/>
            <w:tcBorders>
              <w:top w:val="single" w:sz="4" w:space="0" w:color="auto"/>
              <w:left w:val="nil"/>
              <w:bottom w:val="single" w:sz="4" w:space="0" w:color="auto"/>
              <w:right w:val="nil"/>
            </w:tcBorders>
            <w:shd w:val="clear" w:color="auto" w:fill="auto"/>
            <w:noWrap/>
            <w:vAlign w:val="center"/>
            <w:hideMark/>
          </w:tcPr>
          <w:p w14:paraId="6E4AA101" w14:textId="77777777" w:rsidR="00735ADD" w:rsidRPr="00B151E1" w:rsidRDefault="00735ADD" w:rsidP="00B151E1">
            <w:pPr>
              <w:pStyle w:val="TableText"/>
              <w:rPr>
                <w:b/>
                <w:bCs/>
              </w:rPr>
            </w:pPr>
            <w:r w:rsidRPr="00B151E1">
              <w:rPr>
                <w:b/>
                <w:bCs/>
              </w:rPr>
              <w:t>SIC Codes</w:t>
            </w:r>
          </w:p>
        </w:tc>
        <w:tc>
          <w:tcPr>
            <w:tcW w:w="1134" w:type="dxa"/>
            <w:gridSpan w:val="2"/>
            <w:tcBorders>
              <w:top w:val="single" w:sz="4" w:space="0" w:color="auto"/>
              <w:left w:val="nil"/>
              <w:bottom w:val="single" w:sz="4" w:space="0" w:color="auto"/>
              <w:right w:val="nil"/>
            </w:tcBorders>
            <w:shd w:val="clear" w:color="auto" w:fill="auto"/>
            <w:noWrap/>
            <w:vAlign w:val="center"/>
            <w:hideMark/>
          </w:tcPr>
          <w:p w14:paraId="400F982D" w14:textId="77777777" w:rsidR="00735ADD" w:rsidRPr="00B151E1" w:rsidRDefault="00735ADD" w:rsidP="00B151E1">
            <w:pPr>
              <w:pStyle w:val="TableText"/>
              <w:jc w:val="right"/>
              <w:rPr>
                <w:b/>
                <w:bCs/>
              </w:rPr>
            </w:pPr>
            <w:r w:rsidRPr="00B151E1">
              <w:rPr>
                <w:b/>
                <w:bCs/>
              </w:rPr>
              <w:t>Freq.</w:t>
            </w:r>
          </w:p>
        </w:tc>
        <w:tc>
          <w:tcPr>
            <w:tcW w:w="992" w:type="dxa"/>
            <w:tcBorders>
              <w:top w:val="single" w:sz="4" w:space="0" w:color="auto"/>
              <w:left w:val="nil"/>
              <w:bottom w:val="single" w:sz="4" w:space="0" w:color="auto"/>
              <w:right w:val="nil"/>
            </w:tcBorders>
            <w:shd w:val="clear" w:color="auto" w:fill="auto"/>
            <w:noWrap/>
            <w:vAlign w:val="center"/>
            <w:hideMark/>
          </w:tcPr>
          <w:p w14:paraId="314DD715" w14:textId="77777777" w:rsidR="00735ADD" w:rsidRPr="00B151E1" w:rsidRDefault="00735ADD" w:rsidP="00B151E1">
            <w:pPr>
              <w:pStyle w:val="TableText"/>
              <w:jc w:val="right"/>
              <w:rPr>
                <w:b/>
                <w:bCs/>
              </w:rPr>
            </w:pPr>
            <w:r w:rsidRPr="00B151E1">
              <w:rPr>
                <w:b/>
                <w:bCs/>
              </w:rPr>
              <w:t>Percent</w:t>
            </w:r>
          </w:p>
        </w:tc>
        <w:tc>
          <w:tcPr>
            <w:tcW w:w="804" w:type="dxa"/>
            <w:tcBorders>
              <w:top w:val="single" w:sz="4" w:space="0" w:color="auto"/>
              <w:left w:val="nil"/>
              <w:bottom w:val="single" w:sz="4" w:space="0" w:color="auto"/>
              <w:right w:val="nil"/>
            </w:tcBorders>
            <w:shd w:val="clear" w:color="auto" w:fill="auto"/>
            <w:noWrap/>
            <w:vAlign w:val="center"/>
            <w:hideMark/>
          </w:tcPr>
          <w:p w14:paraId="12410737" w14:textId="77777777" w:rsidR="00735ADD" w:rsidRPr="00B151E1" w:rsidRDefault="00735ADD" w:rsidP="00B151E1">
            <w:pPr>
              <w:pStyle w:val="TableText"/>
              <w:jc w:val="right"/>
              <w:rPr>
                <w:b/>
                <w:bCs/>
              </w:rPr>
            </w:pPr>
            <w:r w:rsidRPr="00B151E1">
              <w:rPr>
                <w:b/>
                <w:bCs/>
              </w:rPr>
              <w:t>Cum.</w:t>
            </w:r>
          </w:p>
        </w:tc>
      </w:tr>
      <w:tr w:rsidR="00735ADD" w:rsidRPr="00302CE5" w14:paraId="09B5C804" w14:textId="77777777" w:rsidTr="00746312">
        <w:trPr>
          <w:trHeight w:val="315"/>
        </w:trPr>
        <w:tc>
          <w:tcPr>
            <w:tcW w:w="4536" w:type="dxa"/>
            <w:gridSpan w:val="3"/>
            <w:tcBorders>
              <w:top w:val="nil"/>
              <w:left w:val="nil"/>
              <w:bottom w:val="nil"/>
              <w:right w:val="nil"/>
            </w:tcBorders>
            <w:shd w:val="clear" w:color="auto" w:fill="auto"/>
            <w:noWrap/>
            <w:vAlign w:val="center"/>
            <w:hideMark/>
          </w:tcPr>
          <w:p w14:paraId="1E549F32" w14:textId="77777777" w:rsidR="00735ADD" w:rsidRPr="00302CE5" w:rsidRDefault="00735ADD" w:rsidP="00B151E1">
            <w:pPr>
              <w:pStyle w:val="TableText"/>
            </w:pPr>
            <w:r w:rsidRPr="00302CE5">
              <w:t>Agriculture, Forestry &amp; Fishing</w:t>
            </w:r>
          </w:p>
        </w:tc>
        <w:tc>
          <w:tcPr>
            <w:tcW w:w="1560" w:type="dxa"/>
            <w:tcBorders>
              <w:top w:val="nil"/>
              <w:left w:val="nil"/>
              <w:bottom w:val="nil"/>
              <w:right w:val="nil"/>
            </w:tcBorders>
            <w:shd w:val="clear" w:color="auto" w:fill="auto"/>
            <w:noWrap/>
            <w:vAlign w:val="bottom"/>
            <w:hideMark/>
          </w:tcPr>
          <w:p w14:paraId="2F6BFBD6" w14:textId="77777777" w:rsidR="00735ADD" w:rsidRPr="00302CE5" w:rsidRDefault="00735ADD" w:rsidP="00B151E1">
            <w:pPr>
              <w:pStyle w:val="TableText"/>
              <w:rPr>
                <w:rFonts w:eastAsia="Times New Roman"/>
              </w:rPr>
            </w:pPr>
            <w:r w:rsidRPr="00302CE5">
              <w:t>0-999</w:t>
            </w:r>
          </w:p>
        </w:tc>
        <w:tc>
          <w:tcPr>
            <w:tcW w:w="1134" w:type="dxa"/>
            <w:gridSpan w:val="2"/>
            <w:tcBorders>
              <w:top w:val="nil"/>
              <w:left w:val="nil"/>
              <w:bottom w:val="nil"/>
              <w:right w:val="nil"/>
            </w:tcBorders>
            <w:shd w:val="clear" w:color="auto" w:fill="auto"/>
            <w:noWrap/>
            <w:hideMark/>
          </w:tcPr>
          <w:p w14:paraId="5CA8FCD5" w14:textId="77777777" w:rsidR="00735ADD" w:rsidRPr="00302CE5" w:rsidRDefault="00735ADD" w:rsidP="00B151E1">
            <w:pPr>
              <w:pStyle w:val="TableText"/>
              <w:jc w:val="right"/>
            </w:pPr>
            <w:r w:rsidRPr="00302CE5">
              <w:t>24</w:t>
            </w:r>
          </w:p>
        </w:tc>
        <w:tc>
          <w:tcPr>
            <w:tcW w:w="992" w:type="dxa"/>
            <w:tcBorders>
              <w:top w:val="nil"/>
              <w:left w:val="nil"/>
              <w:bottom w:val="nil"/>
              <w:right w:val="nil"/>
            </w:tcBorders>
            <w:shd w:val="clear" w:color="auto" w:fill="auto"/>
            <w:noWrap/>
            <w:hideMark/>
          </w:tcPr>
          <w:p w14:paraId="59F86B24" w14:textId="77777777" w:rsidR="00735ADD" w:rsidRPr="00302CE5" w:rsidRDefault="00735ADD" w:rsidP="00B151E1">
            <w:pPr>
              <w:pStyle w:val="TableText"/>
              <w:jc w:val="right"/>
            </w:pPr>
            <w:r w:rsidRPr="00302CE5">
              <w:t>0.21</w:t>
            </w:r>
          </w:p>
        </w:tc>
        <w:tc>
          <w:tcPr>
            <w:tcW w:w="804" w:type="dxa"/>
            <w:tcBorders>
              <w:top w:val="nil"/>
              <w:left w:val="nil"/>
              <w:bottom w:val="nil"/>
              <w:right w:val="nil"/>
            </w:tcBorders>
            <w:shd w:val="clear" w:color="auto" w:fill="auto"/>
            <w:noWrap/>
            <w:hideMark/>
          </w:tcPr>
          <w:p w14:paraId="2A333645" w14:textId="77777777" w:rsidR="00735ADD" w:rsidRPr="00302CE5" w:rsidRDefault="00735ADD" w:rsidP="00B151E1">
            <w:pPr>
              <w:pStyle w:val="TableText"/>
              <w:jc w:val="right"/>
            </w:pPr>
            <w:r w:rsidRPr="00302CE5">
              <w:t>0.21</w:t>
            </w:r>
          </w:p>
        </w:tc>
      </w:tr>
      <w:tr w:rsidR="00735ADD" w:rsidRPr="00302CE5" w14:paraId="79C3AEB0" w14:textId="77777777" w:rsidTr="00746312">
        <w:trPr>
          <w:trHeight w:val="315"/>
        </w:trPr>
        <w:tc>
          <w:tcPr>
            <w:tcW w:w="4536" w:type="dxa"/>
            <w:gridSpan w:val="3"/>
            <w:tcBorders>
              <w:top w:val="nil"/>
              <w:left w:val="nil"/>
              <w:bottom w:val="nil"/>
              <w:right w:val="nil"/>
            </w:tcBorders>
            <w:shd w:val="clear" w:color="auto" w:fill="auto"/>
            <w:noWrap/>
            <w:vAlign w:val="center"/>
            <w:hideMark/>
          </w:tcPr>
          <w:p w14:paraId="1DC6F7DA" w14:textId="77777777" w:rsidR="00735ADD" w:rsidRPr="00302CE5" w:rsidRDefault="00735ADD" w:rsidP="00B151E1">
            <w:pPr>
              <w:pStyle w:val="TableText"/>
            </w:pPr>
            <w:r w:rsidRPr="00302CE5">
              <w:t>Mining</w:t>
            </w:r>
          </w:p>
        </w:tc>
        <w:tc>
          <w:tcPr>
            <w:tcW w:w="1560" w:type="dxa"/>
            <w:tcBorders>
              <w:top w:val="nil"/>
              <w:left w:val="nil"/>
              <w:bottom w:val="nil"/>
              <w:right w:val="nil"/>
            </w:tcBorders>
            <w:shd w:val="clear" w:color="auto" w:fill="auto"/>
            <w:noWrap/>
            <w:vAlign w:val="bottom"/>
            <w:hideMark/>
          </w:tcPr>
          <w:p w14:paraId="751F3B16" w14:textId="77777777" w:rsidR="00735ADD" w:rsidRPr="00302CE5" w:rsidRDefault="00735ADD" w:rsidP="00B151E1">
            <w:pPr>
              <w:pStyle w:val="TableText"/>
              <w:rPr>
                <w:rFonts w:eastAsia="Times New Roman"/>
              </w:rPr>
            </w:pPr>
            <w:r w:rsidRPr="00302CE5">
              <w:t>1000-1499</w:t>
            </w:r>
          </w:p>
        </w:tc>
        <w:tc>
          <w:tcPr>
            <w:tcW w:w="1134" w:type="dxa"/>
            <w:gridSpan w:val="2"/>
            <w:tcBorders>
              <w:top w:val="nil"/>
              <w:left w:val="nil"/>
              <w:bottom w:val="nil"/>
              <w:right w:val="nil"/>
            </w:tcBorders>
            <w:shd w:val="clear" w:color="auto" w:fill="auto"/>
            <w:noWrap/>
            <w:hideMark/>
          </w:tcPr>
          <w:p w14:paraId="4A2AB37A" w14:textId="77777777" w:rsidR="00735ADD" w:rsidRPr="00302CE5" w:rsidRDefault="00735ADD" w:rsidP="00B151E1">
            <w:pPr>
              <w:pStyle w:val="TableText"/>
              <w:jc w:val="right"/>
            </w:pPr>
            <w:r w:rsidRPr="00302CE5">
              <w:t>910</w:t>
            </w:r>
          </w:p>
        </w:tc>
        <w:tc>
          <w:tcPr>
            <w:tcW w:w="992" w:type="dxa"/>
            <w:tcBorders>
              <w:top w:val="nil"/>
              <w:left w:val="nil"/>
              <w:bottom w:val="nil"/>
              <w:right w:val="nil"/>
            </w:tcBorders>
            <w:shd w:val="clear" w:color="auto" w:fill="auto"/>
            <w:noWrap/>
            <w:hideMark/>
          </w:tcPr>
          <w:p w14:paraId="63342C28" w14:textId="77777777" w:rsidR="00735ADD" w:rsidRPr="00302CE5" w:rsidRDefault="00735ADD" w:rsidP="00B151E1">
            <w:pPr>
              <w:pStyle w:val="TableText"/>
              <w:jc w:val="right"/>
            </w:pPr>
            <w:r w:rsidRPr="00302CE5">
              <w:t>8.02</w:t>
            </w:r>
          </w:p>
        </w:tc>
        <w:tc>
          <w:tcPr>
            <w:tcW w:w="804" w:type="dxa"/>
            <w:tcBorders>
              <w:top w:val="nil"/>
              <w:left w:val="nil"/>
              <w:bottom w:val="nil"/>
              <w:right w:val="nil"/>
            </w:tcBorders>
            <w:shd w:val="clear" w:color="auto" w:fill="auto"/>
            <w:noWrap/>
            <w:hideMark/>
          </w:tcPr>
          <w:p w14:paraId="638ED664" w14:textId="77777777" w:rsidR="00735ADD" w:rsidRPr="00302CE5" w:rsidRDefault="00735ADD" w:rsidP="00B151E1">
            <w:pPr>
              <w:pStyle w:val="TableText"/>
              <w:jc w:val="right"/>
            </w:pPr>
            <w:r w:rsidRPr="00302CE5">
              <w:t>8.23</w:t>
            </w:r>
          </w:p>
        </w:tc>
      </w:tr>
      <w:tr w:rsidR="00735ADD" w:rsidRPr="00302CE5" w14:paraId="6958271F" w14:textId="77777777" w:rsidTr="00746312">
        <w:trPr>
          <w:trHeight w:val="315"/>
        </w:trPr>
        <w:tc>
          <w:tcPr>
            <w:tcW w:w="4536" w:type="dxa"/>
            <w:gridSpan w:val="3"/>
            <w:tcBorders>
              <w:top w:val="nil"/>
              <w:left w:val="nil"/>
              <w:bottom w:val="nil"/>
              <w:right w:val="nil"/>
            </w:tcBorders>
            <w:shd w:val="clear" w:color="auto" w:fill="auto"/>
            <w:noWrap/>
            <w:vAlign w:val="center"/>
            <w:hideMark/>
          </w:tcPr>
          <w:p w14:paraId="63119982" w14:textId="77777777" w:rsidR="00735ADD" w:rsidRPr="00302CE5" w:rsidRDefault="00735ADD" w:rsidP="00B151E1">
            <w:pPr>
              <w:pStyle w:val="TableText"/>
            </w:pPr>
            <w:r w:rsidRPr="00302CE5">
              <w:t>Construction</w:t>
            </w:r>
          </w:p>
        </w:tc>
        <w:tc>
          <w:tcPr>
            <w:tcW w:w="1560" w:type="dxa"/>
            <w:tcBorders>
              <w:top w:val="nil"/>
              <w:left w:val="nil"/>
              <w:bottom w:val="nil"/>
              <w:right w:val="nil"/>
            </w:tcBorders>
            <w:shd w:val="clear" w:color="auto" w:fill="auto"/>
            <w:noWrap/>
            <w:vAlign w:val="bottom"/>
            <w:hideMark/>
          </w:tcPr>
          <w:p w14:paraId="353B0EEE" w14:textId="77777777" w:rsidR="00735ADD" w:rsidRPr="00302CE5" w:rsidRDefault="00735ADD" w:rsidP="00B151E1">
            <w:pPr>
              <w:pStyle w:val="TableText"/>
              <w:rPr>
                <w:rFonts w:eastAsia="Times New Roman"/>
              </w:rPr>
            </w:pPr>
            <w:r w:rsidRPr="00302CE5">
              <w:t>1500-1799</w:t>
            </w:r>
          </w:p>
        </w:tc>
        <w:tc>
          <w:tcPr>
            <w:tcW w:w="1134" w:type="dxa"/>
            <w:gridSpan w:val="2"/>
            <w:tcBorders>
              <w:top w:val="nil"/>
              <w:left w:val="nil"/>
              <w:bottom w:val="nil"/>
              <w:right w:val="nil"/>
            </w:tcBorders>
            <w:shd w:val="clear" w:color="auto" w:fill="auto"/>
            <w:noWrap/>
            <w:hideMark/>
          </w:tcPr>
          <w:p w14:paraId="35B8A038" w14:textId="77777777" w:rsidR="00735ADD" w:rsidRPr="00302CE5" w:rsidRDefault="00735ADD" w:rsidP="00B151E1">
            <w:pPr>
              <w:pStyle w:val="TableText"/>
              <w:jc w:val="right"/>
            </w:pPr>
            <w:r w:rsidRPr="00302CE5">
              <w:t>106</w:t>
            </w:r>
          </w:p>
        </w:tc>
        <w:tc>
          <w:tcPr>
            <w:tcW w:w="992" w:type="dxa"/>
            <w:tcBorders>
              <w:top w:val="nil"/>
              <w:left w:val="nil"/>
              <w:bottom w:val="nil"/>
              <w:right w:val="nil"/>
            </w:tcBorders>
            <w:shd w:val="clear" w:color="auto" w:fill="auto"/>
            <w:noWrap/>
            <w:hideMark/>
          </w:tcPr>
          <w:p w14:paraId="06E7636E" w14:textId="77777777" w:rsidR="00735ADD" w:rsidRPr="00302CE5" w:rsidRDefault="00735ADD" w:rsidP="00B151E1">
            <w:pPr>
              <w:pStyle w:val="TableText"/>
              <w:jc w:val="right"/>
            </w:pPr>
            <w:r w:rsidRPr="00302CE5">
              <w:t>0.93</w:t>
            </w:r>
          </w:p>
        </w:tc>
        <w:tc>
          <w:tcPr>
            <w:tcW w:w="804" w:type="dxa"/>
            <w:tcBorders>
              <w:top w:val="nil"/>
              <w:left w:val="nil"/>
              <w:bottom w:val="nil"/>
              <w:right w:val="nil"/>
            </w:tcBorders>
            <w:shd w:val="clear" w:color="auto" w:fill="auto"/>
            <w:noWrap/>
            <w:hideMark/>
          </w:tcPr>
          <w:p w14:paraId="75DE39B1" w14:textId="77777777" w:rsidR="00735ADD" w:rsidRPr="00302CE5" w:rsidRDefault="00735ADD" w:rsidP="00B151E1">
            <w:pPr>
              <w:pStyle w:val="TableText"/>
              <w:jc w:val="right"/>
            </w:pPr>
            <w:r w:rsidRPr="00302CE5">
              <w:t>9.17</w:t>
            </w:r>
          </w:p>
        </w:tc>
      </w:tr>
      <w:tr w:rsidR="00735ADD" w:rsidRPr="00302CE5" w14:paraId="5307CB08" w14:textId="77777777" w:rsidTr="00746312">
        <w:trPr>
          <w:trHeight w:val="315"/>
        </w:trPr>
        <w:tc>
          <w:tcPr>
            <w:tcW w:w="4536" w:type="dxa"/>
            <w:gridSpan w:val="3"/>
            <w:tcBorders>
              <w:top w:val="nil"/>
              <w:left w:val="nil"/>
              <w:bottom w:val="nil"/>
              <w:right w:val="nil"/>
            </w:tcBorders>
            <w:shd w:val="clear" w:color="auto" w:fill="auto"/>
            <w:noWrap/>
            <w:vAlign w:val="center"/>
            <w:hideMark/>
          </w:tcPr>
          <w:p w14:paraId="75E1B8C9" w14:textId="77777777" w:rsidR="00735ADD" w:rsidRPr="00302CE5" w:rsidRDefault="00735ADD" w:rsidP="00B151E1">
            <w:pPr>
              <w:pStyle w:val="TableText"/>
            </w:pPr>
            <w:r w:rsidRPr="00302CE5">
              <w:t>Manufacturing</w:t>
            </w:r>
          </w:p>
        </w:tc>
        <w:tc>
          <w:tcPr>
            <w:tcW w:w="1560" w:type="dxa"/>
            <w:tcBorders>
              <w:top w:val="nil"/>
              <w:left w:val="nil"/>
              <w:bottom w:val="nil"/>
              <w:right w:val="nil"/>
            </w:tcBorders>
            <w:shd w:val="clear" w:color="auto" w:fill="auto"/>
            <w:noWrap/>
            <w:vAlign w:val="bottom"/>
            <w:hideMark/>
          </w:tcPr>
          <w:p w14:paraId="6F7ADFC4" w14:textId="77777777" w:rsidR="00735ADD" w:rsidRPr="00302CE5" w:rsidRDefault="00735ADD" w:rsidP="00B151E1">
            <w:pPr>
              <w:pStyle w:val="TableText"/>
              <w:rPr>
                <w:rFonts w:eastAsia="Times New Roman"/>
              </w:rPr>
            </w:pPr>
            <w:r w:rsidRPr="00302CE5">
              <w:t>2000-3999</w:t>
            </w:r>
          </w:p>
        </w:tc>
        <w:tc>
          <w:tcPr>
            <w:tcW w:w="1134" w:type="dxa"/>
            <w:gridSpan w:val="2"/>
            <w:tcBorders>
              <w:top w:val="nil"/>
              <w:left w:val="nil"/>
              <w:bottom w:val="nil"/>
              <w:right w:val="nil"/>
            </w:tcBorders>
            <w:shd w:val="clear" w:color="auto" w:fill="auto"/>
            <w:noWrap/>
            <w:hideMark/>
          </w:tcPr>
          <w:p w14:paraId="57E76002" w14:textId="77777777" w:rsidR="00735ADD" w:rsidRPr="00302CE5" w:rsidRDefault="00735ADD" w:rsidP="00B151E1">
            <w:pPr>
              <w:pStyle w:val="TableText"/>
              <w:jc w:val="right"/>
            </w:pPr>
            <w:r w:rsidRPr="00302CE5">
              <w:t>5,342</w:t>
            </w:r>
          </w:p>
        </w:tc>
        <w:tc>
          <w:tcPr>
            <w:tcW w:w="992" w:type="dxa"/>
            <w:tcBorders>
              <w:top w:val="nil"/>
              <w:left w:val="nil"/>
              <w:bottom w:val="nil"/>
              <w:right w:val="nil"/>
            </w:tcBorders>
            <w:shd w:val="clear" w:color="auto" w:fill="auto"/>
            <w:noWrap/>
            <w:hideMark/>
          </w:tcPr>
          <w:p w14:paraId="625B05AA" w14:textId="77777777" w:rsidR="00735ADD" w:rsidRPr="00302CE5" w:rsidRDefault="00735ADD" w:rsidP="00B151E1">
            <w:pPr>
              <w:pStyle w:val="TableText"/>
              <w:jc w:val="right"/>
            </w:pPr>
            <w:r w:rsidRPr="00302CE5">
              <w:t>47.09</w:t>
            </w:r>
          </w:p>
        </w:tc>
        <w:tc>
          <w:tcPr>
            <w:tcW w:w="804" w:type="dxa"/>
            <w:tcBorders>
              <w:top w:val="nil"/>
              <w:left w:val="nil"/>
              <w:bottom w:val="nil"/>
              <w:right w:val="nil"/>
            </w:tcBorders>
            <w:shd w:val="clear" w:color="auto" w:fill="auto"/>
            <w:noWrap/>
            <w:hideMark/>
          </w:tcPr>
          <w:p w14:paraId="58F53BE6" w14:textId="77777777" w:rsidR="00735ADD" w:rsidRPr="00302CE5" w:rsidRDefault="00735ADD" w:rsidP="00B151E1">
            <w:pPr>
              <w:pStyle w:val="TableText"/>
              <w:jc w:val="right"/>
            </w:pPr>
            <w:r w:rsidRPr="00302CE5">
              <w:t>56.25</w:t>
            </w:r>
          </w:p>
        </w:tc>
      </w:tr>
      <w:tr w:rsidR="00735ADD" w:rsidRPr="00302CE5" w14:paraId="3B753249" w14:textId="77777777" w:rsidTr="00746312">
        <w:trPr>
          <w:trHeight w:val="315"/>
        </w:trPr>
        <w:tc>
          <w:tcPr>
            <w:tcW w:w="4536" w:type="dxa"/>
            <w:gridSpan w:val="3"/>
            <w:tcBorders>
              <w:top w:val="nil"/>
              <w:left w:val="nil"/>
              <w:bottom w:val="nil"/>
              <w:right w:val="nil"/>
            </w:tcBorders>
            <w:shd w:val="clear" w:color="auto" w:fill="auto"/>
            <w:noWrap/>
            <w:vAlign w:val="center"/>
            <w:hideMark/>
          </w:tcPr>
          <w:p w14:paraId="6D04E1FF" w14:textId="77777777" w:rsidR="00735ADD" w:rsidRPr="00302CE5" w:rsidRDefault="00735ADD" w:rsidP="00B151E1">
            <w:pPr>
              <w:pStyle w:val="TableText"/>
            </w:pPr>
            <w:r w:rsidRPr="00302CE5">
              <w:t>Transportation, Communications, Electric, Gas &amp; Sanitary Services</w:t>
            </w:r>
          </w:p>
        </w:tc>
        <w:tc>
          <w:tcPr>
            <w:tcW w:w="1560" w:type="dxa"/>
            <w:tcBorders>
              <w:top w:val="nil"/>
              <w:left w:val="nil"/>
              <w:bottom w:val="nil"/>
              <w:right w:val="nil"/>
            </w:tcBorders>
            <w:shd w:val="clear" w:color="auto" w:fill="auto"/>
            <w:noWrap/>
            <w:vAlign w:val="bottom"/>
            <w:hideMark/>
          </w:tcPr>
          <w:p w14:paraId="6F5EE9A5" w14:textId="77777777" w:rsidR="00735ADD" w:rsidRPr="00302CE5" w:rsidRDefault="00735ADD" w:rsidP="00B151E1">
            <w:pPr>
              <w:pStyle w:val="TableText"/>
              <w:jc w:val="left"/>
              <w:rPr>
                <w:rFonts w:eastAsia="Times New Roman"/>
              </w:rPr>
            </w:pPr>
            <w:r w:rsidRPr="00302CE5">
              <w:t>4000-4999</w:t>
            </w:r>
          </w:p>
        </w:tc>
        <w:tc>
          <w:tcPr>
            <w:tcW w:w="1134" w:type="dxa"/>
            <w:gridSpan w:val="2"/>
            <w:tcBorders>
              <w:top w:val="nil"/>
              <w:left w:val="nil"/>
              <w:bottom w:val="nil"/>
              <w:right w:val="nil"/>
            </w:tcBorders>
            <w:shd w:val="clear" w:color="auto" w:fill="auto"/>
            <w:noWrap/>
            <w:vAlign w:val="bottom"/>
            <w:hideMark/>
          </w:tcPr>
          <w:p w14:paraId="27366271" w14:textId="77777777" w:rsidR="00735ADD" w:rsidRPr="00302CE5" w:rsidRDefault="00735ADD" w:rsidP="00B151E1">
            <w:pPr>
              <w:pStyle w:val="TableText"/>
              <w:jc w:val="right"/>
            </w:pPr>
            <w:r w:rsidRPr="00302CE5">
              <w:t>1,355</w:t>
            </w:r>
          </w:p>
        </w:tc>
        <w:tc>
          <w:tcPr>
            <w:tcW w:w="992" w:type="dxa"/>
            <w:tcBorders>
              <w:top w:val="nil"/>
              <w:left w:val="nil"/>
              <w:bottom w:val="nil"/>
              <w:right w:val="nil"/>
            </w:tcBorders>
            <w:shd w:val="clear" w:color="auto" w:fill="auto"/>
            <w:noWrap/>
            <w:vAlign w:val="bottom"/>
            <w:hideMark/>
          </w:tcPr>
          <w:p w14:paraId="6C6B5A7F" w14:textId="77777777" w:rsidR="00735ADD" w:rsidRPr="00302CE5" w:rsidRDefault="00735ADD" w:rsidP="00B151E1">
            <w:pPr>
              <w:pStyle w:val="TableText"/>
              <w:jc w:val="right"/>
            </w:pPr>
            <w:r w:rsidRPr="00302CE5">
              <w:t>11.94</w:t>
            </w:r>
          </w:p>
        </w:tc>
        <w:tc>
          <w:tcPr>
            <w:tcW w:w="804" w:type="dxa"/>
            <w:tcBorders>
              <w:top w:val="nil"/>
              <w:left w:val="nil"/>
              <w:bottom w:val="nil"/>
              <w:right w:val="nil"/>
            </w:tcBorders>
            <w:shd w:val="clear" w:color="auto" w:fill="auto"/>
            <w:noWrap/>
            <w:vAlign w:val="bottom"/>
            <w:hideMark/>
          </w:tcPr>
          <w:p w14:paraId="6D7BA4FB" w14:textId="77777777" w:rsidR="00735ADD" w:rsidRPr="00302CE5" w:rsidRDefault="00735ADD" w:rsidP="00B151E1">
            <w:pPr>
              <w:pStyle w:val="TableText"/>
              <w:jc w:val="right"/>
            </w:pPr>
            <w:r w:rsidRPr="00302CE5">
              <w:t>68.2</w:t>
            </w:r>
          </w:p>
        </w:tc>
      </w:tr>
      <w:tr w:rsidR="00735ADD" w:rsidRPr="00302CE5" w14:paraId="3A7CD96F" w14:textId="77777777" w:rsidTr="00746312">
        <w:trPr>
          <w:trHeight w:val="315"/>
        </w:trPr>
        <w:tc>
          <w:tcPr>
            <w:tcW w:w="4536" w:type="dxa"/>
            <w:gridSpan w:val="3"/>
            <w:tcBorders>
              <w:top w:val="nil"/>
              <w:left w:val="nil"/>
              <w:bottom w:val="nil"/>
              <w:right w:val="nil"/>
            </w:tcBorders>
            <w:shd w:val="clear" w:color="auto" w:fill="auto"/>
            <w:noWrap/>
            <w:vAlign w:val="center"/>
            <w:hideMark/>
          </w:tcPr>
          <w:p w14:paraId="1A16F32A" w14:textId="77777777" w:rsidR="00735ADD" w:rsidRPr="004447D2" w:rsidRDefault="00735ADD" w:rsidP="00B151E1">
            <w:pPr>
              <w:pStyle w:val="TableText"/>
              <w:rPr>
                <w:lang w:val="en-GB"/>
              </w:rPr>
            </w:pPr>
            <w:r w:rsidRPr="00302CE5">
              <w:t>Wholesale Trade</w:t>
            </w:r>
          </w:p>
        </w:tc>
        <w:tc>
          <w:tcPr>
            <w:tcW w:w="1560" w:type="dxa"/>
            <w:tcBorders>
              <w:top w:val="nil"/>
              <w:left w:val="nil"/>
              <w:bottom w:val="nil"/>
              <w:right w:val="nil"/>
            </w:tcBorders>
            <w:shd w:val="clear" w:color="auto" w:fill="auto"/>
            <w:noWrap/>
            <w:vAlign w:val="bottom"/>
            <w:hideMark/>
          </w:tcPr>
          <w:p w14:paraId="7D7B4129" w14:textId="77777777" w:rsidR="00735ADD" w:rsidRPr="00302CE5" w:rsidRDefault="00735ADD" w:rsidP="00B151E1">
            <w:pPr>
              <w:pStyle w:val="TableText"/>
              <w:rPr>
                <w:rFonts w:eastAsia="Times New Roman"/>
              </w:rPr>
            </w:pPr>
            <w:r w:rsidRPr="00302CE5">
              <w:t>5000-5199</w:t>
            </w:r>
          </w:p>
        </w:tc>
        <w:tc>
          <w:tcPr>
            <w:tcW w:w="1134" w:type="dxa"/>
            <w:gridSpan w:val="2"/>
            <w:tcBorders>
              <w:top w:val="nil"/>
              <w:left w:val="nil"/>
              <w:bottom w:val="nil"/>
              <w:right w:val="nil"/>
            </w:tcBorders>
            <w:shd w:val="clear" w:color="auto" w:fill="auto"/>
            <w:noWrap/>
            <w:hideMark/>
          </w:tcPr>
          <w:p w14:paraId="7C7FB6DB" w14:textId="77777777" w:rsidR="00735ADD" w:rsidRPr="00302CE5" w:rsidRDefault="00735ADD" w:rsidP="00B151E1">
            <w:pPr>
              <w:pStyle w:val="TableText"/>
              <w:jc w:val="right"/>
            </w:pPr>
            <w:r w:rsidRPr="00302CE5">
              <w:t>351</w:t>
            </w:r>
          </w:p>
        </w:tc>
        <w:tc>
          <w:tcPr>
            <w:tcW w:w="992" w:type="dxa"/>
            <w:tcBorders>
              <w:top w:val="nil"/>
              <w:left w:val="nil"/>
              <w:bottom w:val="nil"/>
              <w:right w:val="nil"/>
            </w:tcBorders>
            <w:shd w:val="clear" w:color="auto" w:fill="auto"/>
            <w:noWrap/>
            <w:hideMark/>
          </w:tcPr>
          <w:p w14:paraId="4A96DE3A" w14:textId="77777777" w:rsidR="00735ADD" w:rsidRPr="00302CE5" w:rsidRDefault="00735ADD" w:rsidP="00B151E1">
            <w:pPr>
              <w:pStyle w:val="TableText"/>
              <w:jc w:val="right"/>
            </w:pPr>
            <w:r w:rsidRPr="00302CE5">
              <w:t>3.09</w:t>
            </w:r>
          </w:p>
        </w:tc>
        <w:tc>
          <w:tcPr>
            <w:tcW w:w="804" w:type="dxa"/>
            <w:tcBorders>
              <w:top w:val="nil"/>
              <w:left w:val="nil"/>
              <w:bottom w:val="nil"/>
              <w:right w:val="nil"/>
            </w:tcBorders>
            <w:shd w:val="clear" w:color="auto" w:fill="auto"/>
            <w:noWrap/>
            <w:hideMark/>
          </w:tcPr>
          <w:p w14:paraId="18D83BDA" w14:textId="77777777" w:rsidR="00735ADD" w:rsidRPr="00302CE5" w:rsidRDefault="00735ADD" w:rsidP="00B151E1">
            <w:pPr>
              <w:pStyle w:val="TableText"/>
              <w:jc w:val="right"/>
            </w:pPr>
            <w:r w:rsidRPr="00302CE5">
              <w:t>71.29</w:t>
            </w:r>
          </w:p>
        </w:tc>
      </w:tr>
      <w:tr w:rsidR="00735ADD" w:rsidRPr="00302CE5" w14:paraId="2F34B64B" w14:textId="77777777" w:rsidTr="00746312">
        <w:trPr>
          <w:trHeight w:val="315"/>
        </w:trPr>
        <w:tc>
          <w:tcPr>
            <w:tcW w:w="4536" w:type="dxa"/>
            <w:gridSpan w:val="3"/>
            <w:tcBorders>
              <w:top w:val="nil"/>
              <w:left w:val="nil"/>
              <w:bottom w:val="nil"/>
              <w:right w:val="nil"/>
            </w:tcBorders>
            <w:shd w:val="clear" w:color="auto" w:fill="auto"/>
            <w:noWrap/>
            <w:vAlign w:val="center"/>
            <w:hideMark/>
          </w:tcPr>
          <w:p w14:paraId="62AE5CDA" w14:textId="77777777" w:rsidR="00735ADD" w:rsidRPr="00302CE5" w:rsidRDefault="00735ADD" w:rsidP="00B151E1">
            <w:pPr>
              <w:pStyle w:val="TableText"/>
            </w:pPr>
            <w:r w:rsidRPr="00302CE5">
              <w:t>Retail Trade</w:t>
            </w:r>
          </w:p>
        </w:tc>
        <w:tc>
          <w:tcPr>
            <w:tcW w:w="1560" w:type="dxa"/>
            <w:tcBorders>
              <w:top w:val="nil"/>
              <w:left w:val="nil"/>
              <w:bottom w:val="nil"/>
              <w:right w:val="nil"/>
            </w:tcBorders>
            <w:shd w:val="clear" w:color="auto" w:fill="auto"/>
            <w:noWrap/>
            <w:vAlign w:val="bottom"/>
            <w:hideMark/>
          </w:tcPr>
          <w:p w14:paraId="562CF5C1" w14:textId="77777777" w:rsidR="00735ADD" w:rsidRPr="00302CE5" w:rsidRDefault="00735ADD" w:rsidP="00B151E1">
            <w:pPr>
              <w:pStyle w:val="TableText"/>
              <w:rPr>
                <w:rFonts w:eastAsia="Times New Roman"/>
              </w:rPr>
            </w:pPr>
            <w:r w:rsidRPr="00302CE5">
              <w:t>5200-5999</w:t>
            </w:r>
          </w:p>
        </w:tc>
        <w:tc>
          <w:tcPr>
            <w:tcW w:w="1134" w:type="dxa"/>
            <w:gridSpan w:val="2"/>
            <w:tcBorders>
              <w:top w:val="nil"/>
              <w:left w:val="nil"/>
              <w:bottom w:val="nil"/>
              <w:right w:val="nil"/>
            </w:tcBorders>
            <w:shd w:val="clear" w:color="auto" w:fill="auto"/>
            <w:noWrap/>
            <w:hideMark/>
          </w:tcPr>
          <w:p w14:paraId="15DCCFCC" w14:textId="77777777" w:rsidR="00735ADD" w:rsidRPr="00302CE5" w:rsidRDefault="00735ADD" w:rsidP="00B151E1">
            <w:pPr>
              <w:pStyle w:val="TableText"/>
              <w:jc w:val="right"/>
            </w:pPr>
            <w:r w:rsidRPr="00302CE5">
              <w:t>727</w:t>
            </w:r>
          </w:p>
        </w:tc>
        <w:tc>
          <w:tcPr>
            <w:tcW w:w="992" w:type="dxa"/>
            <w:tcBorders>
              <w:top w:val="nil"/>
              <w:left w:val="nil"/>
              <w:bottom w:val="nil"/>
              <w:right w:val="nil"/>
            </w:tcBorders>
            <w:shd w:val="clear" w:color="auto" w:fill="auto"/>
            <w:noWrap/>
            <w:hideMark/>
          </w:tcPr>
          <w:p w14:paraId="531C810D" w14:textId="77777777" w:rsidR="00735ADD" w:rsidRPr="00302CE5" w:rsidRDefault="00735ADD" w:rsidP="00B151E1">
            <w:pPr>
              <w:pStyle w:val="TableText"/>
              <w:jc w:val="right"/>
            </w:pPr>
            <w:r w:rsidRPr="00302CE5">
              <w:t>6.41</w:t>
            </w:r>
          </w:p>
        </w:tc>
        <w:tc>
          <w:tcPr>
            <w:tcW w:w="804" w:type="dxa"/>
            <w:tcBorders>
              <w:top w:val="nil"/>
              <w:left w:val="nil"/>
              <w:bottom w:val="nil"/>
              <w:right w:val="nil"/>
            </w:tcBorders>
            <w:shd w:val="clear" w:color="auto" w:fill="auto"/>
            <w:noWrap/>
            <w:hideMark/>
          </w:tcPr>
          <w:p w14:paraId="078FB58E" w14:textId="77777777" w:rsidR="00735ADD" w:rsidRPr="00302CE5" w:rsidRDefault="00735ADD" w:rsidP="00B151E1">
            <w:pPr>
              <w:pStyle w:val="TableText"/>
              <w:jc w:val="right"/>
            </w:pPr>
            <w:r w:rsidRPr="00302CE5">
              <w:t>77.7</w:t>
            </w:r>
          </w:p>
        </w:tc>
      </w:tr>
      <w:tr w:rsidR="00735ADD" w:rsidRPr="00302CE5" w14:paraId="0FD899FE" w14:textId="77777777" w:rsidTr="00746312">
        <w:trPr>
          <w:trHeight w:val="315"/>
        </w:trPr>
        <w:tc>
          <w:tcPr>
            <w:tcW w:w="4536" w:type="dxa"/>
            <w:gridSpan w:val="3"/>
            <w:tcBorders>
              <w:top w:val="nil"/>
              <w:left w:val="nil"/>
              <w:bottom w:val="nil"/>
              <w:right w:val="nil"/>
            </w:tcBorders>
            <w:shd w:val="clear" w:color="auto" w:fill="auto"/>
            <w:noWrap/>
            <w:vAlign w:val="center"/>
            <w:hideMark/>
          </w:tcPr>
          <w:p w14:paraId="14422D72" w14:textId="77777777" w:rsidR="00735ADD" w:rsidRPr="00302CE5" w:rsidRDefault="00735ADD" w:rsidP="00B151E1">
            <w:pPr>
              <w:pStyle w:val="TableText"/>
            </w:pPr>
            <w:r w:rsidRPr="00302CE5">
              <w:t>Finance, Insurance &amp; Real Estate</w:t>
            </w:r>
          </w:p>
        </w:tc>
        <w:tc>
          <w:tcPr>
            <w:tcW w:w="1560" w:type="dxa"/>
            <w:tcBorders>
              <w:top w:val="nil"/>
              <w:left w:val="nil"/>
              <w:bottom w:val="nil"/>
              <w:right w:val="nil"/>
            </w:tcBorders>
            <w:shd w:val="clear" w:color="auto" w:fill="auto"/>
            <w:noWrap/>
            <w:vAlign w:val="bottom"/>
            <w:hideMark/>
          </w:tcPr>
          <w:p w14:paraId="49D62BDB" w14:textId="77777777" w:rsidR="00735ADD" w:rsidRPr="00302CE5" w:rsidRDefault="00735ADD" w:rsidP="00B151E1">
            <w:pPr>
              <w:pStyle w:val="TableText"/>
              <w:rPr>
                <w:rFonts w:eastAsia="Times New Roman"/>
              </w:rPr>
            </w:pPr>
            <w:r w:rsidRPr="00302CE5">
              <w:t>6000-6799</w:t>
            </w:r>
          </w:p>
        </w:tc>
        <w:tc>
          <w:tcPr>
            <w:tcW w:w="1134" w:type="dxa"/>
            <w:gridSpan w:val="2"/>
            <w:tcBorders>
              <w:top w:val="nil"/>
              <w:left w:val="nil"/>
              <w:bottom w:val="nil"/>
              <w:right w:val="nil"/>
            </w:tcBorders>
            <w:shd w:val="clear" w:color="auto" w:fill="auto"/>
            <w:noWrap/>
            <w:hideMark/>
          </w:tcPr>
          <w:p w14:paraId="385D484D" w14:textId="77777777" w:rsidR="00735ADD" w:rsidRPr="00302CE5" w:rsidRDefault="00735ADD" w:rsidP="00B151E1">
            <w:pPr>
              <w:pStyle w:val="TableText"/>
              <w:jc w:val="right"/>
            </w:pPr>
            <w:r w:rsidRPr="00302CE5">
              <w:t>309</w:t>
            </w:r>
          </w:p>
        </w:tc>
        <w:tc>
          <w:tcPr>
            <w:tcW w:w="992" w:type="dxa"/>
            <w:tcBorders>
              <w:top w:val="nil"/>
              <w:left w:val="nil"/>
              <w:bottom w:val="nil"/>
              <w:right w:val="nil"/>
            </w:tcBorders>
            <w:shd w:val="clear" w:color="auto" w:fill="auto"/>
            <w:noWrap/>
            <w:hideMark/>
          </w:tcPr>
          <w:p w14:paraId="6DAB8058" w14:textId="77777777" w:rsidR="00735ADD" w:rsidRPr="00302CE5" w:rsidRDefault="00735ADD" w:rsidP="00B151E1">
            <w:pPr>
              <w:pStyle w:val="TableText"/>
              <w:jc w:val="right"/>
            </w:pPr>
            <w:r w:rsidRPr="00302CE5">
              <w:t>2.72</w:t>
            </w:r>
          </w:p>
        </w:tc>
        <w:tc>
          <w:tcPr>
            <w:tcW w:w="804" w:type="dxa"/>
            <w:tcBorders>
              <w:top w:val="nil"/>
              <w:left w:val="nil"/>
              <w:bottom w:val="nil"/>
              <w:right w:val="nil"/>
            </w:tcBorders>
            <w:shd w:val="clear" w:color="auto" w:fill="auto"/>
            <w:noWrap/>
            <w:hideMark/>
          </w:tcPr>
          <w:p w14:paraId="6767B005" w14:textId="77777777" w:rsidR="00735ADD" w:rsidRPr="00302CE5" w:rsidRDefault="00735ADD" w:rsidP="00B151E1">
            <w:pPr>
              <w:pStyle w:val="TableText"/>
              <w:jc w:val="right"/>
            </w:pPr>
            <w:r w:rsidRPr="00302CE5">
              <w:t>80.42</w:t>
            </w:r>
          </w:p>
        </w:tc>
      </w:tr>
      <w:tr w:rsidR="00735ADD" w:rsidRPr="00302CE5" w14:paraId="5BC77B31" w14:textId="77777777" w:rsidTr="00746312">
        <w:trPr>
          <w:trHeight w:val="315"/>
        </w:trPr>
        <w:tc>
          <w:tcPr>
            <w:tcW w:w="4536" w:type="dxa"/>
            <w:gridSpan w:val="3"/>
            <w:tcBorders>
              <w:top w:val="nil"/>
              <w:left w:val="nil"/>
              <w:bottom w:val="nil"/>
              <w:right w:val="nil"/>
            </w:tcBorders>
            <w:shd w:val="clear" w:color="auto" w:fill="auto"/>
            <w:noWrap/>
            <w:vAlign w:val="center"/>
            <w:hideMark/>
          </w:tcPr>
          <w:p w14:paraId="03986784" w14:textId="77777777" w:rsidR="00735ADD" w:rsidRPr="00302CE5" w:rsidRDefault="00735ADD" w:rsidP="00B151E1">
            <w:pPr>
              <w:pStyle w:val="TableText"/>
            </w:pPr>
            <w:r w:rsidRPr="00302CE5">
              <w:t>Services</w:t>
            </w:r>
          </w:p>
        </w:tc>
        <w:tc>
          <w:tcPr>
            <w:tcW w:w="1560" w:type="dxa"/>
            <w:tcBorders>
              <w:top w:val="nil"/>
              <w:left w:val="nil"/>
              <w:bottom w:val="nil"/>
              <w:right w:val="nil"/>
            </w:tcBorders>
            <w:shd w:val="clear" w:color="auto" w:fill="auto"/>
            <w:noWrap/>
            <w:vAlign w:val="bottom"/>
            <w:hideMark/>
          </w:tcPr>
          <w:p w14:paraId="08C7D5F3" w14:textId="77777777" w:rsidR="00735ADD" w:rsidRPr="00302CE5" w:rsidRDefault="00735ADD" w:rsidP="00B151E1">
            <w:pPr>
              <w:pStyle w:val="TableText"/>
              <w:rPr>
                <w:rFonts w:eastAsia="Times New Roman"/>
              </w:rPr>
            </w:pPr>
            <w:r w:rsidRPr="00302CE5">
              <w:t>7000-8999</w:t>
            </w:r>
          </w:p>
        </w:tc>
        <w:tc>
          <w:tcPr>
            <w:tcW w:w="1134" w:type="dxa"/>
            <w:gridSpan w:val="2"/>
            <w:tcBorders>
              <w:top w:val="nil"/>
              <w:left w:val="nil"/>
              <w:bottom w:val="nil"/>
              <w:right w:val="nil"/>
            </w:tcBorders>
            <w:shd w:val="clear" w:color="auto" w:fill="auto"/>
            <w:noWrap/>
            <w:hideMark/>
          </w:tcPr>
          <w:p w14:paraId="75677815" w14:textId="77777777" w:rsidR="00735ADD" w:rsidRPr="00302CE5" w:rsidRDefault="00735ADD" w:rsidP="00B151E1">
            <w:pPr>
              <w:pStyle w:val="TableText"/>
              <w:jc w:val="right"/>
            </w:pPr>
            <w:r w:rsidRPr="00302CE5">
              <w:t>2,186</w:t>
            </w:r>
          </w:p>
        </w:tc>
        <w:tc>
          <w:tcPr>
            <w:tcW w:w="992" w:type="dxa"/>
            <w:tcBorders>
              <w:top w:val="nil"/>
              <w:left w:val="nil"/>
              <w:bottom w:val="nil"/>
              <w:right w:val="nil"/>
            </w:tcBorders>
            <w:shd w:val="clear" w:color="auto" w:fill="auto"/>
            <w:noWrap/>
            <w:hideMark/>
          </w:tcPr>
          <w:p w14:paraId="1D76AF4C" w14:textId="77777777" w:rsidR="00735ADD" w:rsidRPr="00302CE5" w:rsidRDefault="00735ADD" w:rsidP="00B151E1">
            <w:pPr>
              <w:pStyle w:val="TableText"/>
              <w:jc w:val="right"/>
            </w:pPr>
            <w:r w:rsidRPr="00302CE5">
              <w:t>19.27</w:t>
            </w:r>
          </w:p>
        </w:tc>
        <w:tc>
          <w:tcPr>
            <w:tcW w:w="804" w:type="dxa"/>
            <w:tcBorders>
              <w:top w:val="nil"/>
              <w:left w:val="nil"/>
              <w:bottom w:val="nil"/>
              <w:right w:val="nil"/>
            </w:tcBorders>
            <w:shd w:val="clear" w:color="auto" w:fill="auto"/>
            <w:noWrap/>
            <w:hideMark/>
          </w:tcPr>
          <w:p w14:paraId="6D2FBF36" w14:textId="77777777" w:rsidR="00735ADD" w:rsidRPr="00302CE5" w:rsidRDefault="00735ADD" w:rsidP="00B151E1">
            <w:pPr>
              <w:pStyle w:val="TableText"/>
              <w:jc w:val="right"/>
            </w:pPr>
            <w:r w:rsidRPr="00302CE5">
              <w:t>99.69</w:t>
            </w:r>
          </w:p>
        </w:tc>
      </w:tr>
      <w:tr w:rsidR="00735ADD" w:rsidRPr="00302CE5" w14:paraId="449A6787" w14:textId="77777777" w:rsidTr="00746312">
        <w:trPr>
          <w:trHeight w:val="315"/>
        </w:trPr>
        <w:tc>
          <w:tcPr>
            <w:tcW w:w="4536" w:type="dxa"/>
            <w:gridSpan w:val="3"/>
            <w:tcBorders>
              <w:top w:val="nil"/>
              <w:left w:val="nil"/>
              <w:bottom w:val="nil"/>
              <w:right w:val="nil"/>
            </w:tcBorders>
            <w:shd w:val="clear" w:color="auto" w:fill="auto"/>
            <w:noWrap/>
            <w:vAlign w:val="center"/>
            <w:hideMark/>
          </w:tcPr>
          <w:p w14:paraId="0ECDFB51" w14:textId="77777777" w:rsidR="00735ADD" w:rsidRPr="00302CE5" w:rsidRDefault="00735ADD" w:rsidP="00B151E1">
            <w:pPr>
              <w:pStyle w:val="TableText"/>
            </w:pPr>
            <w:r w:rsidRPr="00302CE5">
              <w:t>Public Administration</w:t>
            </w:r>
          </w:p>
        </w:tc>
        <w:tc>
          <w:tcPr>
            <w:tcW w:w="1560" w:type="dxa"/>
            <w:tcBorders>
              <w:top w:val="nil"/>
              <w:left w:val="nil"/>
              <w:bottom w:val="nil"/>
              <w:right w:val="nil"/>
            </w:tcBorders>
            <w:shd w:val="clear" w:color="auto" w:fill="auto"/>
            <w:noWrap/>
            <w:vAlign w:val="bottom"/>
            <w:hideMark/>
          </w:tcPr>
          <w:p w14:paraId="0F2F1737" w14:textId="77777777" w:rsidR="00735ADD" w:rsidRPr="00302CE5" w:rsidRDefault="00735ADD" w:rsidP="00B151E1">
            <w:pPr>
              <w:pStyle w:val="TableText"/>
              <w:rPr>
                <w:rFonts w:eastAsia="Times New Roman"/>
              </w:rPr>
            </w:pPr>
            <w:r w:rsidRPr="00302CE5">
              <w:t>9100-9999</w:t>
            </w:r>
          </w:p>
        </w:tc>
        <w:tc>
          <w:tcPr>
            <w:tcW w:w="1134" w:type="dxa"/>
            <w:gridSpan w:val="2"/>
            <w:tcBorders>
              <w:top w:val="nil"/>
              <w:left w:val="nil"/>
              <w:bottom w:val="nil"/>
              <w:right w:val="nil"/>
            </w:tcBorders>
            <w:shd w:val="clear" w:color="auto" w:fill="auto"/>
            <w:noWrap/>
            <w:hideMark/>
          </w:tcPr>
          <w:p w14:paraId="1C9A42B8" w14:textId="77777777" w:rsidR="00735ADD" w:rsidRPr="00302CE5" w:rsidRDefault="00735ADD" w:rsidP="00B151E1">
            <w:pPr>
              <w:pStyle w:val="TableText"/>
              <w:jc w:val="right"/>
            </w:pPr>
            <w:r w:rsidRPr="00302CE5">
              <w:t>35</w:t>
            </w:r>
          </w:p>
        </w:tc>
        <w:tc>
          <w:tcPr>
            <w:tcW w:w="992" w:type="dxa"/>
            <w:tcBorders>
              <w:top w:val="nil"/>
              <w:left w:val="nil"/>
              <w:bottom w:val="nil"/>
              <w:right w:val="nil"/>
            </w:tcBorders>
            <w:shd w:val="clear" w:color="auto" w:fill="auto"/>
            <w:noWrap/>
            <w:hideMark/>
          </w:tcPr>
          <w:p w14:paraId="64FE46FC" w14:textId="77777777" w:rsidR="00735ADD" w:rsidRPr="00302CE5" w:rsidRDefault="00735ADD" w:rsidP="00B151E1">
            <w:pPr>
              <w:pStyle w:val="TableText"/>
              <w:jc w:val="right"/>
            </w:pPr>
            <w:r w:rsidRPr="00302CE5">
              <w:t>0.31</w:t>
            </w:r>
          </w:p>
        </w:tc>
        <w:tc>
          <w:tcPr>
            <w:tcW w:w="804" w:type="dxa"/>
            <w:tcBorders>
              <w:top w:val="nil"/>
              <w:left w:val="nil"/>
              <w:bottom w:val="nil"/>
              <w:right w:val="nil"/>
            </w:tcBorders>
            <w:shd w:val="clear" w:color="auto" w:fill="auto"/>
            <w:noWrap/>
            <w:hideMark/>
          </w:tcPr>
          <w:p w14:paraId="09F62FF4" w14:textId="77777777" w:rsidR="00735ADD" w:rsidRPr="00302CE5" w:rsidRDefault="00735ADD" w:rsidP="00B151E1">
            <w:pPr>
              <w:pStyle w:val="TableText"/>
              <w:jc w:val="right"/>
            </w:pPr>
            <w:r w:rsidRPr="00302CE5">
              <w:t>100</w:t>
            </w:r>
          </w:p>
        </w:tc>
      </w:tr>
      <w:tr w:rsidR="00735ADD" w:rsidRPr="00302CE5" w14:paraId="3B044C01" w14:textId="77777777" w:rsidTr="00746312">
        <w:trPr>
          <w:trHeight w:val="315"/>
        </w:trPr>
        <w:tc>
          <w:tcPr>
            <w:tcW w:w="4536" w:type="dxa"/>
            <w:gridSpan w:val="3"/>
            <w:tcBorders>
              <w:top w:val="single" w:sz="4" w:space="0" w:color="auto"/>
              <w:left w:val="nil"/>
              <w:bottom w:val="single" w:sz="4" w:space="0" w:color="auto"/>
              <w:right w:val="nil"/>
            </w:tcBorders>
            <w:shd w:val="clear" w:color="auto" w:fill="auto"/>
            <w:noWrap/>
            <w:vAlign w:val="center"/>
            <w:hideMark/>
          </w:tcPr>
          <w:p w14:paraId="72826F3F" w14:textId="77777777" w:rsidR="00735ADD" w:rsidRPr="00302CE5" w:rsidRDefault="00735ADD" w:rsidP="00B151E1">
            <w:pPr>
              <w:pStyle w:val="TableText"/>
            </w:pPr>
            <w:r w:rsidRPr="00302CE5">
              <w:t>Total</w:t>
            </w:r>
          </w:p>
        </w:tc>
        <w:tc>
          <w:tcPr>
            <w:tcW w:w="1560" w:type="dxa"/>
            <w:tcBorders>
              <w:top w:val="single" w:sz="4" w:space="0" w:color="auto"/>
              <w:left w:val="nil"/>
              <w:bottom w:val="single" w:sz="4" w:space="0" w:color="auto"/>
              <w:right w:val="nil"/>
            </w:tcBorders>
            <w:shd w:val="clear" w:color="auto" w:fill="auto"/>
            <w:noWrap/>
            <w:vAlign w:val="bottom"/>
            <w:hideMark/>
          </w:tcPr>
          <w:p w14:paraId="10F2AF7D" w14:textId="77777777" w:rsidR="00735ADD" w:rsidRPr="00302CE5" w:rsidRDefault="00735ADD" w:rsidP="00B151E1">
            <w:pPr>
              <w:pStyle w:val="TableText"/>
              <w:rPr>
                <w:rFonts w:eastAsia="Times New Roman"/>
              </w:rPr>
            </w:pPr>
            <w:r w:rsidRPr="00302CE5">
              <w:t> </w:t>
            </w:r>
          </w:p>
        </w:tc>
        <w:tc>
          <w:tcPr>
            <w:tcW w:w="1134" w:type="dxa"/>
            <w:gridSpan w:val="2"/>
            <w:tcBorders>
              <w:top w:val="single" w:sz="4" w:space="0" w:color="auto"/>
              <w:left w:val="nil"/>
              <w:bottom w:val="single" w:sz="4" w:space="0" w:color="auto"/>
              <w:right w:val="nil"/>
            </w:tcBorders>
            <w:shd w:val="clear" w:color="auto" w:fill="auto"/>
            <w:noWrap/>
            <w:hideMark/>
          </w:tcPr>
          <w:p w14:paraId="4942FB97" w14:textId="77777777" w:rsidR="00735ADD" w:rsidRPr="00302CE5" w:rsidRDefault="00735ADD" w:rsidP="00B151E1">
            <w:pPr>
              <w:pStyle w:val="TableText"/>
              <w:jc w:val="right"/>
            </w:pPr>
            <w:r w:rsidRPr="00302CE5">
              <w:t>11,345</w:t>
            </w:r>
          </w:p>
        </w:tc>
        <w:tc>
          <w:tcPr>
            <w:tcW w:w="992" w:type="dxa"/>
            <w:tcBorders>
              <w:top w:val="single" w:sz="4" w:space="0" w:color="auto"/>
              <w:left w:val="nil"/>
              <w:bottom w:val="single" w:sz="4" w:space="0" w:color="auto"/>
              <w:right w:val="nil"/>
            </w:tcBorders>
            <w:shd w:val="clear" w:color="auto" w:fill="auto"/>
            <w:noWrap/>
            <w:hideMark/>
          </w:tcPr>
          <w:p w14:paraId="29BABE00" w14:textId="77777777" w:rsidR="00735ADD" w:rsidRPr="00302CE5" w:rsidRDefault="00735ADD" w:rsidP="00B151E1">
            <w:pPr>
              <w:pStyle w:val="TableText"/>
              <w:jc w:val="right"/>
            </w:pPr>
            <w:r w:rsidRPr="00302CE5">
              <w:t>100</w:t>
            </w:r>
          </w:p>
        </w:tc>
        <w:tc>
          <w:tcPr>
            <w:tcW w:w="804" w:type="dxa"/>
            <w:tcBorders>
              <w:top w:val="single" w:sz="4" w:space="0" w:color="auto"/>
              <w:left w:val="nil"/>
              <w:bottom w:val="single" w:sz="4" w:space="0" w:color="auto"/>
              <w:right w:val="nil"/>
            </w:tcBorders>
            <w:shd w:val="clear" w:color="auto" w:fill="auto"/>
            <w:noWrap/>
            <w:hideMark/>
          </w:tcPr>
          <w:p w14:paraId="7C17E049" w14:textId="77777777" w:rsidR="00735ADD" w:rsidRPr="00302CE5" w:rsidRDefault="00735ADD" w:rsidP="00B151E1">
            <w:pPr>
              <w:pStyle w:val="TableText"/>
              <w:jc w:val="right"/>
            </w:pPr>
          </w:p>
        </w:tc>
      </w:tr>
      <w:tr w:rsidR="00735ADD" w:rsidRPr="00323BB0" w14:paraId="0F837405" w14:textId="77777777" w:rsidTr="00746312">
        <w:trPr>
          <w:trHeight w:val="315"/>
        </w:trPr>
        <w:tc>
          <w:tcPr>
            <w:tcW w:w="9026" w:type="dxa"/>
            <w:gridSpan w:val="8"/>
            <w:tcBorders>
              <w:top w:val="nil"/>
              <w:left w:val="nil"/>
              <w:bottom w:val="nil"/>
              <w:right w:val="nil"/>
            </w:tcBorders>
            <w:shd w:val="clear" w:color="auto" w:fill="auto"/>
            <w:noWrap/>
            <w:vAlign w:val="center"/>
            <w:hideMark/>
          </w:tcPr>
          <w:p w14:paraId="2EE48307" w14:textId="77777777" w:rsidR="00735ADD" w:rsidRPr="00B151E1" w:rsidRDefault="00735ADD" w:rsidP="00B151E1">
            <w:pPr>
              <w:pStyle w:val="TableText"/>
              <w:rPr>
                <w:b/>
                <w:bCs/>
              </w:rPr>
            </w:pPr>
            <w:r w:rsidRPr="00B151E1">
              <w:rPr>
                <w:b/>
                <w:bCs/>
              </w:rPr>
              <w:t>Panel B: Distribution of observations over years</w:t>
            </w:r>
          </w:p>
        </w:tc>
      </w:tr>
      <w:tr w:rsidR="00105DB5" w:rsidRPr="00323BB0" w14:paraId="0AD8556E" w14:textId="77777777" w:rsidTr="00746312">
        <w:trPr>
          <w:trHeight w:val="315"/>
        </w:trPr>
        <w:tc>
          <w:tcPr>
            <w:tcW w:w="1943" w:type="dxa"/>
            <w:tcBorders>
              <w:top w:val="single" w:sz="4" w:space="0" w:color="auto"/>
              <w:left w:val="nil"/>
              <w:bottom w:val="single" w:sz="4" w:space="0" w:color="auto"/>
              <w:right w:val="nil"/>
            </w:tcBorders>
            <w:shd w:val="clear" w:color="auto" w:fill="auto"/>
            <w:noWrap/>
            <w:vAlign w:val="center"/>
            <w:hideMark/>
          </w:tcPr>
          <w:p w14:paraId="41069A70" w14:textId="77777777" w:rsidR="00735ADD" w:rsidRPr="00B151E1" w:rsidRDefault="00735ADD" w:rsidP="00B151E1">
            <w:pPr>
              <w:pStyle w:val="TableText"/>
              <w:rPr>
                <w:b/>
                <w:bCs/>
              </w:rPr>
            </w:pPr>
            <w:r w:rsidRPr="00B151E1">
              <w:rPr>
                <w:b/>
                <w:bCs/>
              </w:rPr>
              <w:t>Year</w:t>
            </w:r>
          </w:p>
        </w:tc>
        <w:tc>
          <w:tcPr>
            <w:tcW w:w="2331" w:type="dxa"/>
            <w:tcBorders>
              <w:top w:val="single" w:sz="4" w:space="0" w:color="auto"/>
              <w:left w:val="nil"/>
              <w:bottom w:val="single" w:sz="4" w:space="0" w:color="auto"/>
              <w:right w:val="nil"/>
            </w:tcBorders>
            <w:shd w:val="clear" w:color="auto" w:fill="auto"/>
            <w:noWrap/>
            <w:vAlign w:val="center"/>
            <w:hideMark/>
          </w:tcPr>
          <w:p w14:paraId="355FA47D" w14:textId="77777777" w:rsidR="00735ADD" w:rsidRPr="00B151E1" w:rsidRDefault="00735ADD" w:rsidP="00B151E1">
            <w:pPr>
              <w:pStyle w:val="TableText"/>
              <w:rPr>
                <w:b/>
                <w:bCs/>
              </w:rPr>
            </w:pPr>
            <w:r w:rsidRPr="00B151E1">
              <w:rPr>
                <w:b/>
                <w:bCs/>
              </w:rPr>
              <w:t>Freq.</w:t>
            </w:r>
          </w:p>
        </w:tc>
        <w:tc>
          <w:tcPr>
            <w:tcW w:w="2654" w:type="dxa"/>
            <w:gridSpan w:val="3"/>
            <w:tcBorders>
              <w:top w:val="single" w:sz="4" w:space="0" w:color="auto"/>
              <w:left w:val="nil"/>
              <w:bottom w:val="single" w:sz="4" w:space="0" w:color="auto"/>
              <w:right w:val="nil"/>
            </w:tcBorders>
            <w:shd w:val="clear" w:color="auto" w:fill="auto"/>
            <w:noWrap/>
            <w:vAlign w:val="center"/>
            <w:hideMark/>
          </w:tcPr>
          <w:p w14:paraId="3136152B" w14:textId="77777777" w:rsidR="00735ADD" w:rsidRPr="00B151E1" w:rsidRDefault="00735ADD" w:rsidP="00B151E1">
            <w:pPr>
              <w:pStyle w:val="TableText"/>
              <w:rPr>
                <w:b/>
                <w:bCs/>
              </w:rPr>
            </w:pPr>
            <w:r w:rsidRPr="00B151E1">
              <w:rPr>
                <w:b/>
                <w:bCs/>
              </w:rPr>
              <w:t>Percent</w:t>
            </w:r>
          </w:p>
        </w:tc>
        <w:tc>
          <w:tcPr>
            <w:tcW w:w="2098" w:type="dxa"/>
            <w:gridSpan w:val="3"/>
            <w:tcBorders>
              <w:top w:val="single" w:sz="4" w:space="0" w:color="auto"/>
              <w:left w:val="nil"/>
              <w:bottom w:val="single" w:sz="4" w:space="0" w:color="auto"/>
              <w:right w:val="nil"/>
            </w:tcBorders>
            <w:shd w:val="clear" w:color="auto" w:fill="auto"/>
            <w:noWrap/>
            <w:vAlign w:val="center"/>
            <w:hideMark/>
          </w:tcPr>
          <w:p w14:paraId="02D6F096" w14:textId="77777777" w:rsidR="00735ADD" w:rsidRPr="00B151E1" w:rsidRDefault="00735ADD" w:rsidP="00B151E1">
            <w:pPr>
              <w:pStyle w:val="TableText"/>
              <w:rPr>
                <w:b/>
                <w:bCs/>
              </w:rPr>
            </w:pPr>
            <w:r w:rsidRPr="00B151E1">
              <w:rPr>
                <w:b/>
                <w:bCs/>
              </w:rPr>
              <w:t>Cum.</w:t>
            </w:r>
          </w:p>
        </w:tc>
      </w:tr>
      <w:tr w:rsidR="00105DB5" w:rsidRPr="00302CE5" w14:paraId="179829AA" w14:textId="77777777" w:rsidTr="00746312">
        <w:trPr>
          <w:trHeight w:val="315"/>
        </w:trPr>
        <w:tc>
          <w:tcPr>
            <w:tcW w:w="1943" w:type="dxa"/>
            <w:tcBorders>
              <w:top w:val="nil"/>
              <w:left w:val="nil"/>
              <w:bottom w:val="nil"/>
              <w:right w:val="nil"/>
            </w:tcBorders>
            <w:shd w:val="clear" w:color="auto" w:fill="auto"/>
            <w:noWrap/>
            <w:vAlign w:val="bottom"/>
            <w:hideMark/>
          </w:tcPr>
          <w:p w14:paraId="28521383" w14:textId="77777777" w:rsidR="00735ADD" w:rsidRPr="00302CE5" w:rsidRDefault="00735ADD" w:rsidP="00B151E1">
            <w:pPr>
              <w:pStyle w:val="TableText"/>
              <w:rPr>
                <w:rFonts w:eastAsia="Times New Roman"/>
              </w:rPr>
            </w:pPr>
            <w:r w:rsidRPr="00302CE5">
              <w:t>2010</w:t>
            </w:r>
          </w:p>
        </w:tc>
        <w:tc>
          <w:tcPr>
            <w:tcW w:w="2331" w:type="dxa"/>
            <w:tcBorders>
              <w:top w:val="nil"/>
              <w:left w:val="nil"/>
              <w:bottom w:val="nil"/>
              <w:right w:val="nil"/>
            </w:tcBorders>
            <w:shd w:val="clear" w:color="auto" w:fill="auto"/>
            <w:noWrap/>
            <w:vAlign w:val="bottom"/>
            <w:hideMark/>
          </w:tcPr>
          <w:p w14:paraId="6FC35C0C" w14:textId="77777777" w:rsidR="00735ADD" w:rsidRPr="00302CE5" w:rsidRDefault="00735ADD" w:rsidP="00B151E1">
            <w:pPr>
              <w:pStyle w:val="TableText"/>
            </w:pPr>
            <w:r w:rsidRPr="00302CE5">
              <w:t>1,802</w:t>
            </w:r>
          </w:p>
        </w:tc>
        <w:tc>
          <w:tcPr>
            <w:tcW w:w="2654" w:type="dxa"/>
            <w:gridSpan w:val="3"/>
            <w:tcBorders>
              <w:top w:val="nil"/>
              <w:left w:val="nil"/>
              <w:bottom w:val="nil"/>
              <w:right w:val="nil"/>
            </w:tcBorders>
            <w:shd w:val="clear" w:color="auto" w:fill="auto"/>
            <w:noWrap/>
            <w:vAlign w:val="bottom"/>
            <w:hideMark/>
          </w:tcPr>
          <w:p w14:paraId="34AF36A7" w14:textId="77777777" w:rsidR="00735ADD" w:rsidRPr="00302CE5" w:rsidRDefault="00735ADD" w:rsidP="00B151E1">
            <w:pPr>
              <w:pStyle w:val="TableText"/>
            </w:pPr>
            <w:r w:rsidRPr="00302CE5">
              <w:t>15.88</w:t>
            </w:r>
          </w:p>
        </w:tc>
        <w:tc>
          <w:tcPr>
            <w:tcW w:w="2098" w:type="dxa"/>
            <w:gridSpan w:val="3"/>
            <w:tcBorders>
              <w:top w:val="nil"/>
              <w:left w:val="nil"/>
              <w:bottom w:val="nil"/>
              <w:right w:val="nil"/>
            </w:tcBorders>
            <w:shd w:val="clear" w:color="auto" w:fill="auto"/>
            <w:noWrap/>
            <w:vAlign w:val="bottom"/>
            <w:hideMark/>
          </w:tcPr>
          <w:p w14:paraId="40D07152" w14:textId="77777777" w:rsidR="00735ADD" w:rsidRPr="00302CE5" w:rsidRDefault="00735ADD" w:rsidP="00B151E1">
            <w:pPr>
              <w:pStyle w:val="TableText"/>
            </w:pPr>
            <w:r w:rsidRPr="00302CE5">
              <w:t>15.88</w:t>
            </w:r>
          </w:p>
        </w:tc>
      </w:tr>
      <w:tr w:rsidR="00105DB5" w:rsidRPr="00302CE5" w14:paraId="1A3EE7C2" w14:textId="77777777" w:rsidTr="00746312">
        <w:trPr>
          <w:trHeight w:val="315"/>
        </w:trPr>
        <w:tc>
          <w:tcPr>
            <w:tcW w:w="1943" w:type="dxa"/>
            <w:tcBorders>
              <w:top w:val="nil"/>
              <w:left w:val="nil"/>
              <w:bottom w:val="nil"/>
              <w:right w:val="nil"/>
            </w:tcBorders>
            <w:shd w:val="clear" w:color="auto" w:fill="auto"/>
            <w:noWrap/>
            <w:vAlign w:val="bottom"/>
            <w:hideMark/>
          </w:tcPr>
          <w:p w14:paraId="43830E30" w14:textId="77777777" w:rsidR="00735ADD" w:rsidRPr="00302CE5" w:rsidRDefault="00735ADD" w:rsidP="00B151E1">
            <w:pPr>
              <w:pStyle w:val="TableText"/>
              <w:rPr>
                <w:rFonts w:eastAsia="Times New Roman"/>
              </w:rPr>
            </w:pPr>
            <w:r w:rsidRPr="00302CE5">
              <w:t>2011</w:t>
            </w:r>
          </w:p>
        </w:tc>
        <w:tc>
          <w:tcPr>
            <w:tcW w:w="2331" w:type="dxa"/>
            <w:tcBorders>
              <w:top w:val="nil"/>
              <w:left w:val="nil"/>
              <w:bottom w:val="nil"/>
              <w:right w:val="nil"/>
            </w:tcBorders>
            <w:shd w:val="clear" w:color="auto" w:fill="auto"/>
            <w:noWrap/>
            <w:vAlign w:val="bottom"/>
            <w:hideMark/>
          </w:tcPr>
          <w:p w14:paraId="15C42075" w14:textId="77777777" w:rsidR="00735ADD" w:rsidRPr="00302CE5" w:rsidRDefault="00735ADD" w:rsidP="00B151E1">
            <w:pPr>
              <w:pStyle w:val="TableText"/>
            </w:pPr>
            <w:r w:rsidRPr="00302CE5">
              <w:t>2,037</w:t>
            </w:r>
          </w:p>
        </w:tc>
        <w:tc>
          <w:tcPr>
            <w:tcW w:w="2654" w:type="dxa"/>
            <w:gridSpan w:val="3"/>
            <w:tcBorders>
              <w:top w:val="nil"/>
              <w:left w:val="nil"/>
              <w:bottom w:val="nil"/>
              <w:right w:val="nil"/>
            </w:tcBorders>
            <w:shd w:val="clear" w:color="auto" w:fill="auto"/>
            <w:noWrap/>
            <w:vAlign w:val="bottom"/>
            <w:hideMark/>
          </w:tcPr>
          <w:p w14:paraId="201DD3E4" w14:textId="77777777" w:rsidR="00735ADD" w:rsidRPr="00302CE5" w:rsidRDefault="00735ADD" w:rsidP="00B151E1">
            <w:pPr>
              <w:pStyle w:val="TableText"/>
            </w:pPr>
            <w:r w:rsidRPr="00302CE5">
              <w:t>17.96</w:t>
            </w:r>
          </w:p>
        </w:tc>
        <w:tc>
          <w:tcPr>
            <w:tcW w:w="2098" w:type="dxa"/>
            <w:gridSpan w:val="3"/>
            <w:tcBorders>
              <w:top w:val="nil"/>
              <w:left w:val="nil"/>
              <w:bottom w:val="nil"/>
              <w:right w:val="nil"/>
            </w:tcBorders>
            <w:shd w:val="clear" w:color="auto" w:fill="auto"/>
            <w:noWrap/>
            <w:vAlign w:val="bottom"/>
            <w:hideMark/>
          </w:tcPr>
          <w:p w14:paraId="33568BD3" w14:textId="77777777" w:rsidR="00735ADD" w:rsidRPr="00302CE5" w:rsidRDefault="00735ADD" w:rsidP="00B151E1">
            <w:pPr>
              <w:pStyle w:val="TableText"/>
            </w:pPr>
            <w:r w:rsidRPr="00302CE5">
              <w:t>33.84</w:t>
            </w:r>
          </w:p>
        </w:tc>
      </w:tr>
      <w:tr w:rsidR="00105DB5" w:rsidRPr="00302CE5" w14:paraId="276F2431" w14:textId="77777777" w:rsidTr="00746312">
        <w:trPr>
          <w:trHeight w:val="315"/>
        </w:trPr>
        <w:tc>
          <w:tcPr>
            <w:tcW w:w="1943" w:type="dxa"/>
            <w:tcBorders>
              <w:top w:val="nil"/>
              <w:left w:val="nil"/>
              <w:bottom w:val="nil"/>
              <w:right w:val="nil"/>
            </w:tcBorders>
            <w:shd w:val="clear" w:color="auto" w:fill="auto"/>
            <w:noWrap/>
            <w:vAlign w:val="bottom"/>
            <w:hideMark/>
          </w:tcPr>
          <w:p w14:paraId="7A4DC99A" w14:textId="77777777" w:rsidR="00735ADD" w:rsidRPr="00302CE5" w:rsidRDefault="00735ADD" w:rsidP="00B151E1">
            <w:pPr>
              <w:pStyle w:val="TableText"/>
              <w:rPr>
                <w:rFonts w:eastAsia="Times New Roman"/>
              </w:rPr>
            </w:pPr>
            <w:r w:rsidRPr="00302CE5">
              <w:t>2012</w:t>
            </w:r>
          </w:p>
        </w:tc>
        <w:tc>
          <w:tcPr>
            <w:tcW w:w="2331" w:type="dxa"/>
            <w:tcBorders>
              <w:top w:val="nil"/>
              <w:left w:val="nil"/>
              <w:bottom w:val="nil"/>
              <w:right w:val="nil"/>
            </w:tcBorders>
            <w:shd w:val="clear" w:color="auto" w:fill="auto"/>
            <w:noWrap/>
            <w:vAlign w:val="bottom"/>
            <w:hideMark/>
          </w:tcPr>
          <w:p w14:paraId="153C07C4" w14:textId="77777777" w:rsidR="00735ADD" w:rsidRPr="00302CE5" w:rsidRDefault="00735ADD" w:rsidP="00B151E1">
            <w:pPr>
              <w:pStyle w:val="TableText"/>
            </w:pPr>
            <w:r w:rsidRPr="00302CE5">
              <w:t>1,873</w:t>
            </w:r>
          </w:p>
        </w:tc>
        <w:tc>
          <w:tcPr>
            <w:tcW w:w="2654" w:type="dxa"/>
            <w:gridSpan w:val="3"/>
            <w:tcBorders>
              <w:top w:val="nil"/>
              <w:left w:val="nil"/>
              <w:bottom w:val="nil"/>
              <w:right w:val="nil"/>
            </w:tcBorders>
            <w:shd w:val="clear" w:color="auto" w:fill="auto"/>
            <w:noWrap/>
            <w:vAlign w:val="bottom"/>
            <w:hideMark/>
          </w:tcPr>
          <w:p w14:paraId="3B02B68E" w14:textId="77777777" w:rsidR="00735ADD" w:rsidRPr="00302CE5" w:rsidRDefault="00735ADD" w:rsidP="00B151E1">
            <w:pPr>
              <w:pStyle w:val="TableText"/>
            </w:pPr>
            <w:r w:rsidRPr="00302CE5">
              <w:t>16.51</w:t>
            </w:r>
          </w:p>
        </w:tc>
        <w:tc>
          <w:tcPr>
            <w:tcW w:w="2098" w:type="dxa"/>
            <w:gridSpan w:val="3"/>
            <w:tcBorders>
              <w:top w:val="nil"/>
              <w:left w:val="nil"/>
              <w:bottom w:val="nil"/>
              <w:right w:val="nil"/>
            </w:tcBorders>
            <w:shd w:val="clear" w:color="auto" w:fill="auto"/>
            <w:noWrap/>
            <w:vAlign w:val="bottom"/>
            <w:hideMark/>
          </w:tcPr>
          <w:p w14:paraId="722242F2" w14:textId="77777777" w:rsidR="00735ADD" w:rsidRPr="00302CE5" w:rsidRDefault="00735ADD" w:rsidP="00B151E1">
            <w:pPr>
              <w:pStyle w:val="TableText"/>
            </w:pPr>
            <w:r w:rsidRPr="00302CE5">
              <w:t>50.35</w:t>
            </w:r>
          </w:p>
        </w:tc>
      </w:tr>
      <w:tr w:rsidR="00105DB5" w:rsidRPr="00302CE5" w14:paraId="13C4E886" w14:textId="77777777" w:rsidTr="00746312">
        <w:trPr>
          <w:trHeight w:val="315"/>
        </w:trPr>
        <w:tc>
          <w:tcPr>
            <w:tcW w:w="1943" w:type="dxa"/>
            <w:tcBorders>
              <w:top w:val="nil"/>
              <w:left w:val="nil"/>
              <w:bottom w:val="nil"/>
              <w:right w:val="nil"/>
            </w:tcBorders>
            <w:shd w:val="clear" w:color="auto" w:fill="auto"/>
            <w:noWrap/>
            <w:vAlign w:val="bottom"/>
            <w:hideMark/>
          </w:tcPr>
          <w:p w14:paraId="6DCC4364" w14:textId="77777777" w:rsidR="00735ADD" w:rsidRPr="00302CE5" w:rsidRDefault="00735ADD" w:rsidP="00B151E1">
            <w:pPr>
              <w:pStyle w:val="TableText"/>
              <w:rPr>
                <w:rFonts w:eastAsia="Times New Roman"/>
              </w:rPr>
            </w:pPr>
            <w:r w:rsidRPr="00302CE5">
              <w:t>2013</w:t>
            </w:r>
          </w:p>
        </w:tc>
        <w:tc>
          <w:tcPr>
            <w:tcW w:w="2331" w:type="dxa"/>
            <w:tcBorders>
              <w:top w:val="nil"/>
              <w:left w:val="nil"/>
              <w:bottom w:val="nil"/>
              <w:right w:val="nil"/>
            </w:tcBorders>
            <w:shd w:val="clear" w:color="auto" w:fill="auto"/>
            <w:noWrap/>
            <w:vAlign w:val="bottom"/>
            <w:hideMark/>
          </w:tcPr>
          <w:p w14:paraId="50423A21" w14:textId="77777777" w:rsidR="00735ADD" w:rsidRPr="00302CE5" w:rsidRDefault="00735ADD" w:rsidP="00B151E1">
            <w:pPr>
              <w:pStyle w:val="TableText"/>
            </w:pPr>
            <w:r w:rsidRPr="00302CE5">
              <w:t>1,877</w:t>
            </w:r>
          </w:p>
        </w:tc>
        <w:tc>
          <w:tcPr>
            <w:tcW w:w="2654" w:type="dxa"/>
            <w:gridSpan w:val="3"/>
            <w:tcBorders>
              <w:top w:val="nil"/>
              <w:left w:val="nil"/>
              <w:bottom w:val="nil"/>
              <w:right w:val="nil"/>
            </w:tcBorders>
            <w:shd w:val="clear" w:color="auto" w:fill="auto"/>
            <w:noWrap/>
            <w:vAlign w:val="bottom"/>
            <w:hideMark/>
          </w:tcPr>
          <w:p w14:paraId="17BCE5EC" w14:textId="77777777" w:rsidR="00735ADD" w:rsidRPr="00302CE5" w:rsidRDefault="00735ADD" w:rsidP="00B151E1">
            <w:pPr>
              <w:pStyle w:val="TableText"/>
            </w:pPr>
            <w:r w:rsidRPr="00302CE5">
              <w:t>16.54</w:t>
            </w:r>
          </w:p>
        </w:tc>
        <w:tc>
          <w:tcPr>
            <w:tcW w:w="2098" w:type="dxa"/>
            <w:gridSpan w:val="3"/>
            <w:tcBorders>
              <w:top w:val="nil"/>
              <w:left w:val="nil"/>
              <w:bottom w:val="nil"/>
              <w:right w:val="nil"/>
            </w:tcBorders>
            <w:shd w:val="clear" w:color="auto" w:fill="auto"/>
            <w:noWrap/>
            <w:vAlign w:val="bottom"/>
            <w:hideMark/>
          </w:tcPr>
          <w:p w14:paraId="44CD51B8" w14:textId="77777777" w:rsidR="00735ADD" w:rsidRPr="00302CE5" w:rsidRDefault="00735ADD" w:rsidP="00B151E1">
            <w:pPr>
              <w:pStyle w:val="TableText"/>
            </w:pPr>
            <w:r w:rsidRPr="00302CE5">
              <w:t>66.89</w:t>
            </w:r>
          </w:p>
        </w:tc>
      </w:tr>
      <w:tr w:rsidR="00105DB5" w:rsidRPr="00302CE5" w14:paraId="1D7FBF7E" w14:textId="77777777" w:rsidTr="00746312">
        <w:trPr>
          <w:trHeight w:val="315"/>
        </w:trPr>
        <w:tc>
          <w:tcPr>
            <w:tcW w:w="1943" w:type="dxa"/>
            <w:tcBorders>
              <w:top w:val="nil"/>
              <w:left w:val="nil"/>
              <w:bottom w:val="nil"/>
              <w:right w:val="nil"/>
            </w:tcBorders>
            <w:shd w:val="clear" w:color="auto" w:fill="auto"/>
            <w:noWrap/>
            <w:vAlign w:val="bottom"/>
            <w:hideMark/>
          </w:tcPr>
          <w:p w14:paraId="041906A5" w14:textId="77777777" w:rsidR="00735ADD" w:rsidRPr="00302CE5" w:rsidRDefault="00735ADD" w:rsidP="00B151E1">
            <w:pPr>
              <w:pStyle w:val="TableText"/>
              <w:rPr>
                <w:rFonts w:eastAsia="Times New Roman"/>
              </w:rPr>
            </w:pPr>
            <w:r w:rsidRPr="00302CE5">
              <w:t>2014</w:t>
            </w:r>
          </w:p>
        </w:tc>
        <w:tc>
          <w:tcPr>
            <w:tcW w:w="2331" w:type="dxa"/>
            <w:tcBorders>
              <w:top w:val="nil"/>
              <w:left w:val="nil"/>
              <w:bottom w:val="nil"/>
              <w:right w:val="nil"/>
            </w:tcBorders>
            <w:shd w:val="clear" w:color="auto" w:fill="auto"/>
            <w:noWrap/>
            <w:vAlign w:val="bottom"/>
            <w:hideMark/>
          </w:tcPr>
          <w:p w14:paraId="4F2090A0" w14:textId="77777777" w:rsidR="00735ADD" w:rsidRPr="00302CE5" w:rsidRDefault="00735ADD" w:rsidP="00B151E1">
            <w:pPr>
              <w:pStyle w:val="TableText"/>
            </w:pPr>
            <w:r w:rsidRPr="00302CE5">
              <w:t>1,896</w:t>
            </w:r>
          </w:p>
        </w:tc>
        <w:tc>
          <w:tcPr>
            <w:tcW w:w="2654" w:type="dxa"/>
            <w:gridSpan w:val="3"/>
            <w:tcBorders>
              <w:top w:val="nil"/>
              <w:left w:val="nil"/>
              <w:bottom w:val="nil"/>
              <w:right w:val="nil"/>
            </w:tcBorders>
            <w:shd w:val="clear" w:color="auto" w:fill="auto"/>
            <w:noWrap/>
            <w:vAlign w:val="bottom"/>
            <w:hideMark/>
          </w:tcPr>
          <w:p w14:paraId="2F593C2B" w14:textId="77777777" w:rsidR="00735ADD" w:rsidRPr="00302CE5" w:rsidRDefault="00735ADD" w:rsidP="00B151E1">
            <w:pPr>
              <w:pStyle w:val="TableText"/>
            </w:pPr>
            <w:r w:rsidRPr="00302CE5">
              <w:t>16.71</w:t>
            </w:r>
          </w:p>
        </w:tc>
        <w:tc>
          <w:tcPr>
            <w:tcW w:w="2098" w:type="dxa"/>
            <w:gridSpan w:val="3"/>
            <w:tcBorders>
              <w:top w:val="nil"/>
              <w:left w:val="nil"/>
              <w:bottom w:val="nil"/>
              <w:right w:val="nil"/>
            </w:tcBorders>
            <w:shd w:val="clear" w:color="auto" w:fill="auto"/>
            <w:noWrap/>
            <w:vAlign w:val="bottom"/>
            <w:hideMark/>
          </w:tcPr>
          <w:p w14:paraId="0D6602A2" w14:textId="77777777" w:rsidR="00735ADD" w:rsidRPr="00302CE5" w:rsidRDefault="00735ADD" w:rsidP="00B151E1">
            <w:pPr>
              <w:pStyle w:val="TableText"/>
            </w:pPr>
            <w:r w:rsidRPr="00302CE5">
              <w:t>83.61</w:t>
            </w:r>
          </w:p>
        </w:tc>
      </w:tr>
      <w:tr w:rsidR="00105DB5" w:rsidRPr="00302CE5" w14:paraId="7DA087D4" w14:textId="77777777" w:rsidTr="00746312">
        <w:trPr>
          <w:trHeight w:val="315"/>
        </w:trPr>
        <w:tc>
          <w:tcPr>
            <w:tcW w:w="1943" w:type="dxa"/>
            <w:tcBorders>
              <w:top w:val="nil"/>
              <w:left w:val="nil"/>
              <w:bottom w:val="nil"/>
              <w:right w:val="nil"/>
            </w:tcBorders>
            <w:shd w:val="clear" w:color="auto" w:fill="auto"/>
            <w:noWrap/>
            <w:vAlign w:val="bottom"/>
            <w:hideMark/>
          </w:tcPr>
          <w:p w14:paraId="48E218EB" w14:textId="77777777" w:rsidR="00735ADD" w:rsidRPr="00302CE5" w:rsidRDefault="00735ADD" w:rsidP="00B151E1">
            <w:pPr>
              <w:pStyle w:val="TableText"/>
              <w:rPr>
                <w:rFonts w:eastAsia="Times New Roman"/>
              </w:rPr>
            </w:pPr>
            <w:r w:rsidRPr="00302CE5">
              <w:t>2015</w:t>
            </w:r>
          </w:p>
        </w:tc>
        <w:tc>
          <w:tcPr>
            <w:tcW w:w="2331" w:type="dxa"/>
            <w:tcBorders>
              <w:top w:val="nil"/>
              <w:left w:val="nil"/>
              <w:bottom w:val="nil"/>
              <w:right w:val="nil"/>
            </w:tcBorders>
            <w:shd w:val="clear" w:color="auto" w:fill="auto"/>
            <w:noWrap/>
            <w:vAlign w:val="bottom"/>
            <w:hideMark/>
          </w:tcPr>
          <w:p w14:paraId="24E2C88A" w14:textId="77777777" w:rsidR="00735ADD" w:rsidRPr="00302CE5" w:rsidRDefault="00735ADD" w:rsidP="00B151E1">
            <w:pPr>
              <w:pStyle w:val="TableText"/>
            </w:pPr>
            <w:r w:rsidRPr="00302CE5">
              <w:t>1,860</w:t>
            </w:r>
          </w:p>
        </w:tc>
        <w:tc>
          <w:tcPr>
            <w:tcW w:w="2654" w:type="dxa"/>
            <w:gridSpan w:val="3"/>
            <w:tcBorders>
              <w:top w:val="nil"/>
              <w:left w:val="nil"/>
              <w:bottom w:val="nil"/>
              <w:right w:val="nil"/>
            </w:tcBorders>
            <w:shd w:val="clear" w:color="auto" w:fill="auto"/>
            <w:noWrap/>
            <w:vAlign w:val="bottom"/>
            <w:hideMark/>
          </w:tcPr>
          <w:p w14:paraId="2B340F74" w14:textId="77777777" w:rsidR="00735ADD" w:rsidRPr="00302CE5" w:rsidRDefault="00735ADD" w:rsidP="00B151E1">
            <w:pPr>
              <w:pStyle w:val="TableText"/>
            </w:pPr>
            <w:r w:rsidRPr="00302CE5">
              <w:t>16.39</w:t>
            </w:r>
          </w:p>
        </w:tc>
        <w:tc>
          <w:tcPr>
            <w:tcW w:w="2098" w:type="dxa"/>
            <w:gridSpan w:val="3"/>
            <w:tcBorders>
              <w:top w:val="nil"/>
              <w:left w:val="nil"/>
              <w:bottom w:val="nil"/>
              <w:right w:val="nil"/>
            </w:tcBorders>
            <w:shd w:val="clear" w:color="auto" w:fill="auto"/>
            <w:noWrap/>
            <w:vAlign w:val="bottom"/>
            <w:hideMark/>
          </w:tcPr>
          <w:p w14:paraId="0741AD43" w14:textId="77777777" w:rsidR="00735ADD" w:rsidRPr="00302CE5" w:rsidRDefault="00735ADD" w:rsidP="00B151E1">
            <w:pPr>
              <w:pStyle w:val="TableText"/>
            </w:pPr>
            <w:r w:rsidRPr="00302CE5">
              <w:t>100</w:t>
            </w:r>
          </w:p>
        </w:tc>
      </w:tr>
      <w:tr w:rsidR="00105DB5" w:rsidRPr="00302CE5" w14:paraId="23912B5B" w14:textId="77777777" w:rsidTr="00746312">
        <w:trPr>
          <w:trHeight w:val="315"/>
        </w:trPr>
        <w:tc>
          <w:tcPr>
            <w:tcW w:w="1943" w:type="dxa"/>
            <w:tcBorders>
              <w:top w:val="single" w:sz="4" w:space="0" w:color="auto"/>
              <w:left w:val="nil"/>
              <w:bottom w:val="single" w:sz="4" w:space="0" w:color="auto"/>
              <w:right w:val="nil"/>
            </w:tcBorders>
            <w:shd w:val="clear" w:color="auto" w:fill="auto"/>
            <w:noWrap/>
            <w:vAlign w:val="bottom"/>
            <w:hideMark/>
          </w:tcPr>
          <w:p w14:paraId="1287BB77" w14:textId="77777777" w:rsidR="00735ADD" w:rsidRPr="00302CE5" w:rsidRDefault="00735ADD" w:rsidP="00B151E1">
            <w:pPr>
              <w:pStyle w:val="TableText"/>
              <w:rPr>
                <w:rFonts w:eastAsia="Times New Roman"/>
              </w:rPr>
            </w:pPr>
            <w:r w:rsidRPr="00302CE5">
              <w:t>Total</w:t>
            </w:r>
          </w:p>
        </w:tc>
        <w:tc>
          <w:tcPr>
            <w:tcW w:w="2331" w:type="dxa"/>
            <w:tcBorders>
              <w:top w:val="single" w:sz="4" w:space="0" w:color="auto"/>
              <w:left w:val="nil"/>
              <w:bottom w:val="single" w:sz="4" w:space="0" w:color="auto"/>
              <w:right w:val="nil"/>
            </w:tcBorders>
            <w:shd w:val="clear" w:color="auto" w:fill="auto"/>
            <w:noWrap/>
            <w:vAlign w:val="bottom"/>
            <w:hideMark/>
          </w:tcPr>
          <w:p w14:paraId="7C2F89FC" w14:textId="77777777" w:rsidR="00735ADD" w:rsidRPr="00302CE5" w:rsidRDefault="00735ADD" w:rsidP="00B151E1">
            <w:pPr>
              <w:pStyle w:val="TableText"/>
            </w:pPr>
            <w:r w:rsidRPr="00302CE5">
              <w:t>11,345</w:t>
            </w:r>
          </w:p>
        </w:tc>
        <w:tc>
          <w:tcPr>
            <w:tcW w:w="2654" w:type="dxa"/>
            <w:gridSpan w:val="3"/>
            <w:tcBorders>
              <w:top w:val="single" w:sz="4" w:space="0" w:color="auto"/>
              <w:left w:val="nil"/>
              <w:bottom w:val="single" w:sz="4" w:space="0" w:color="auto"/>
              <w:right w:val="nil"/>
            </w:tcBorders>
            <w:shd w:val="clear" w:color="auto" w:fill="auto"/>
            <w:noWrap/>
            <w:vAlign w:val="bottom"/>
            <w:hideMark/>
          </w:tcPr>
          <w:p w14:paraId="46CD8CDF" w14:textId="77777777" w:rsidR="00735ADD" w:rsidRPr="00302CE5" w:rsidRDefault="00735ADD" w:rsidP="00B151E1">
            <w:pPr>
              <w:pStyle w:val="TableText"/>
            </w:pPr>
            <w:r w:rsidRPr="00302CE5">
              <w:t>100</w:t>
            </w:r>
          </w:p>
        </w:tc>
        <w:tc>
          <w:tcPr>
            <w:tcW w:w="2098" w:type="dxa"/>
            <w:gridSpan w:val="3"/>
            <w:tcBorders>
              <w:top w:val="single" w:sz="4" w:space="0" w:color="auto"/>
              <w:left w:val="nil"/>
              <w:bottom w:val="single" w:sz="4" w:space="0" w:color="auto"/>
              <w:right w:val="nil"/>
            </w:tcBorders>
            <w:shd w:val="clear" w:color="auto" w:fill="auto"/>
            <w:noWrap/>
            <w:vAlign w:val="bottom"/>
            <w:hideMark/>
          </w:tcPr>
          <w:p w14:paraId="56A21875" w14:textId="77777777" w:rsidR="00735ADD" w:rsidRPr="00302CE5" w:rsidRDefault="00735ADD" w:rsidP="00B151E1">
            <w:pPr>
              <w:pStyle w:val="TableText"/>
            </w:pPr>
          </w:p>
        </w:tc>
      </w:tr>
    </w:tbl>
    <w:p w14:paraId="1338F649" w14:textId="268ACE79" w:rsidR="00105DB5" w:rsidRDefault="00105DB5" w:rsidP="00B70E79"/>
    <w:p w14:paraId="361FCB6E" w14:textId="77777777" w:rsidR="00105DB5" w:rsidRDefault="00105DB5">
      <w:pPr>
        <w:spacing w:line="240" w:lineRule="auto"/>
        <w:ind w:firstLine="0"/>
        <w:jc w:val="left"/>
      </w:pPr>
      <w:r>
        <w:br w:type="page"/>
      </w:r>
    </w:p>
    <w:p w14:paraId="2303314E" w14:textId="77777777" w:rsidR="00735ADD" w:rsidRPr="00302CE5" w:rsidRDefault="00735ADD" w:rsidP="00F80490">
      <w:pPr>
        <w:pStyle w:val="TableCaption"/>
        <w:rPr>
          <w:b/>
        </w:rPr>
      </w:pPr>
      <w:r w:rsidRPr="00302CE5">
        <w:rPr>
          <w:b/>
        </w:rPr>
        <w:lastRenderedPageBreak/>
        <w:t>Table 2</w:t>
      </w:r>
      <w:r>
        <w:rPr>
          <w:b/>
        </w:rPr>
        <w:t xml:space="preserve">  </w:t>
      </w:r>
      <w:r w:rsidRPr="00F37C2B">
        <w:t xml:space="preserve">Descriptive </w:t>
      </w:r>
      <w:r>
        <w:t>s</w:t>
      </w:r>
      <w:r w:rsidRPr="00F37C2B">
        <w:t>tatistics</w:t>
      </w:r>
    </w:p>
    <w:p w14:paraId="7D847DE6" w14:textId="24231694" w:rsidR="00735ADD" w:rsidRDefault="00735ADD" w:rsidP="00F80490">
      <w:pPr>
        <w:pStyle w:val="TableNotes"/>
      </w:pPr>
      <w:r w:rsidRPr="00302CE5">
        <w:t>This table shows summary statistics for</w:t>
      </w:r>
      <w:r>
        <w:t xml:space="preserve"> relevant news </w:t>
      </w:r>
      <w:r w:rsidR="00F552F1">
        <w:t xml:space="preserve">in </w:t>
      </w:r>
      <w:r>
        <w:t>crash week</w:t>
      </w:r>
      <w:r w:rsidR="00F552F1">
        <w:t>s</w:t>
      </w:r>
      <w:r>
        <w:t xml:space="preserve"> (Panel A) and </w:t>
      </w:r>
      <w:r w:rsidRPr="00302CE5">
        <w:t>key variables for US firms with earnings conference calls during the period 2010</w:t>
      </w:r>
      <w:r w:rsidR="00F552F1">
        <w:t>–</w:t>
      </w:r>
      <w:r w:rsidRPr="00302CE5">
        <w:t>2015</w:t>
      </w:r>
      <w:r>
        <w:t xml:space="preserve"> (Panel B)</w:t>
      </w:r>
      <w:r w:rsidRPr="00302CE5">
        <w:t>.</w:t>
      </w:r>
      <w:r w:rsidRPr="00302CE5">
        <w:rPr>
          <w:rFonts w:hint="eastAsia"/>
        </w:rPr>
        <w:t xml:space="preserve"> All continuous variables are winsorized at the 1</w:t>
      </w:r>
      <w:r w:rsidRPr="00302CE5">
        <w:rPr>
          <w:rFonts w:hint="eastAsia"/>
          <w:vertAlign w:val="superscript"/>
        </w:rPr>
        <w:t>st</w:t>
      </w:r>
      <w:r w:rsidRPr="00302CE5">
        <w:rPr>
          <w:rFonts w:hint="eastAsia"/>
        </w:rPr>
        <w:t xml:space="preserve"> and 99</w:t>
      </w:r>
      <w:r w:rsidRPr="00302CE5">
        <w:rPr>
          <w:rFonts w:hint="eastAsia"/>
          <w:vertAlign w:val="superscript"/>
        </w:rPr>
        <w:t>th</w:t>
      </w:r>
      <w:r w:rsidRPr="00302CE5">
        <w:rPr>
          <w:rFonts w:hint="eastAsia"/>
        </w:rPr>
        <w:t xml:space="preserve"> percentile</w:t>
      </w:r>
      <w:r w:rsidR="00F552F1">
        <w:t>s</w:t>
      </w:r>
      <w:r w:rsidRPr="00302CE5">
        <w:rPr>
          <w:rFonts w:hint="eastAsia"/>
        </w:rPr>
        <w:t>.</w:t>
      </w:r>
    </w:p>
    <w:tbl>
      <w:tblPr>
        <w:tblW w:w="5000" w:type="pct"/>
        <w:tblLook w:val="04A0" w:firstRow="1" w:lastRow="0" w:firstColumn="1" w:lastColumn="0" w:noHBand="0" w:noVBand="1"/>
      </w:tblPr>
      <w:tblGrid>
        <w:gridCol w:w="2768"/>
        <w:gridCol w:w="1004"/>
        <w:gridCol w:w="1070"/>
        <w:gridCol w:w="112"/>
        <w:gridCol w:w="861"/>
        <w:gridCol w:w="1072"/>
        <w:gridCol w:w="103"/>
        <w:gridCol w:w="969"/>
        <w:gridCol w:w="1067"/>
      </w:tblGrid>
      <w:tr w:rsidR="00735ADD" w:rsidRPr="00323BB0" w14:paraId="7B4DA16E" w14:textId="77777777" w:rsidTr="00DC68CD">
        <w:trPr>
          <w:trHeight w:val="227"/>
        </w:trPr>
        <w:tc>
          <w:tcPr>
            <w:tcW w:w="5000" w:type="pct"/>
            <w:gridSpan w:val="9"/>
            <w:tcBorders>
              <w:top w:val="single" w:sz="4" w:space="0" w:color="auto"/>
              <w:left w:val="nil"/>
              <w:bottom w:val="single" w:sz="4" w:space="0" w:color="auto"/>
              <w:right w:val="nil"/>
            </w:tcBorders>
            <w:shd w:val="clear" w:color="auto" w:fill="auto"/>
            <w:noWrap/>
            <w:vAlign w:val="center"/>
          </w:tcPr>
          <w:p w14:paraId="257E59F4" w14:textId="7125F258" w:rsidR="00735ADD" w:rsidRPr="00F80490" w:rsidRDefault="00735ADD" w:rsidP="00F80490">
            <w:pPr>
              <w:pStyle w:val="TableText"/>
              <w:rPr>
                <w:rFonts w:eastAsia="Times New Roman"/>
                <w:b/>
                <w:bCs/>
              </w:rPr>
            </w:pPr>
            <w:r w:rsidRPr="00F80490">
              <w:rPr>
                <w:b/>
                <w:bCs/>
              </w:rPr>
              <w:t xml:space="preserve">Panel A: Relevant news </w:t>
            </w:r>
            <w:r w:rsidR="00F552F1">
              <w:rPr>
                <w:b/>
                <w:bCs/>
              </w:rPr>
              <w:t>i</w:t>
            </w:r>
            <w:r w:rsidRPr="00F80490">
              <w:rPr>
                <w:b/>
                <w:bCs/>
              </w:rPr>
              <w:t>n crash week</w:t>
            </w:r>
          </w:p>
        </w:tc>
      </w:tr>
      <w:tr w:rsidR="00735ADD" w:rsidRPr="00A74429" w14:paraId="54100DE9" w14:textId="77777777" w:rsidTr="00DC68CD">
        <w:trPr>
          <w:trHeight w:val="227"/>
        </w:trPr>
        <w:tc>
          <w:tcPr>
            <w:tcW w:w="2744" w:type="pct"/>
            <w:gridSpan w:val="4"/>
            <w:tcBorders>
              <w:top w:val="single" w:sz="4" w:space="0" w:color="auto"/>
              <w:left w:val="nil"/>
              <w:bottom w:val="single" w:sz="4" w:space="0" w:color="auto"/>
              <w:right w:val="nil"/>
            </w:tcBorders>
            <w:shd w:val="clear" w:color="auto" w:fill="auto"/>
            <w:noWrap/>
            <w:vAlign w:val="center"/>
            <w:hideMark/>
          </w:tcPr>
          <w:p w14:paraId="6C36F736" w14:textId="77777777" w:rsidR="00735ADD" w:rsidRPr="00F80490" w:rsidRDefault="00735ADD" w:rsidP="00F80490">
            <w:pPr>
              <w:pStyle w:val="TableText"/>
              <w:rPr>
                <w:i/>
                <w:iCs/>
              </w:rPr>
            </w:pPr>
            <w:r w:rsidRPr="00F80490">
              <w:rPr>
                <w:i/>
                <w:iCs/>
              </w:rPr>
              <w:t>Category</w:t>
            </w:r>
          </w:p>
        </w:tc>
        <w:tc>
          <w:tcPr>
            <w:tcW w:w="1128" w:type="pct"/>
            <w:gridSpan w:val="3"/>
            <w:tcBorders>
              <w:top w:val="single" w:sz="4" w:space="0" w:color="auto"/>
              <w:left w:val="nil"/>
              <w:bottom w:val="single" w:sz="4" w:space="0" w:color="auto"/>
              <w:right w:val="nil"/>
            </w:tcBorders>
            <w:shd w:val="clear" w:color="auto" w:fill="auto"/>
            <w:noWrap/>
            <w:vAlign w:val="center"/>
            <w:hideMark/>
          </w:tcPr>
          <w:p w14:paraId="13B6D55F" w14:textId="77777777" w:rsidR="00735ADD" w:rsidRPr="00F80490" w:rsidRDefault="00735ADD" w:rsidP="00F80490">
            <w:pPr>
              <w:pStyle w:val="TableText"/>
              <w:jc w:val="center"/>
              <w:rPr>
                <w:i/>
                <w:iCs/>
              </w:rPr>
            </w:pPr>
            <w:r w:rsidRPr="00F80490">
              <w:rPr>
                <w:i/>
                <w:iCs/>
              </w:rPr>
              <w:t>Frequency</w:t>
            </w:r>
          </w:p>
        </w:tc>
        <w:tc>
          <w:tcPr>
            <w:tcW w:w="1128" w:type="pct"/>
            <w:gridSpan w:val="2"/>
            <w:tcBorders>
              <w:top w:val="single" w:sz="4" w:space="0" w:color="auto"/>
              <w:left w:val="nil"/>
              <w:bottom w:val="single" w:sz="4" w:space="0" w:color="auto"/>
              <w:right w:val="nil"/>
            </w:tcBorders>
            <w:shd w:val="clear" w:color="auto" w:fill="auto"/>
            <w:noWrap/>
            <w:vAlign w:val="center"/>
            <w:hideMark/>
          </w:tcPr>
          <w:p w14:paraId="68244FA3" w14:textId="77777777" w:rsidR="00735ADD" w:rsidRPr="00F80490" w:rsidRDefault="00735ADD" w:rsidP="00F80490">
            <w:pPr>
              <w:pStyle w:val="TableText"/>
              <w:jc w:val="center"/>
              <w:rPr>
                <w:i/>
                <w:iCs/>
              </w:rPr>
            </w:pPr>
            <w:r w:rsidRPr="00F80490">
              <w:rPr>
                <w:i/>
                <w:iCs/>
              </w:rPr>
              <w:t>Percent</w:t>
            </w:r>
          </w:p>
        </w:tc>
      </w:tr>
      <w:tr w:rsidR="00735ADD" w:rsidRPr="00A74429" w14:paraId="243A06EA" w14:textId="77777777" w:rsidTr="00DC68CD">
        <w:trPr>
          <w:trHeight w:val="227"/>
        </w:trPr>
        <w:tc>
          <w:tcPr>
            <w:tcW w:w="2744" w:type="pct"/>
            <w:gridSpan w:val="4"/>
            <w:tcBorders>
              <w:top w:val="nil"/>
              <w:left w:val="nil"/>
              <w:bottom w:val="nil"/>
              <w:right w:val="nil"/>
            </w:tcBorders>
            <w:shd w:val="clear" w:color="auto" w:fill="auto"/>
            <w:noWrap/>
            <w:vAlign w:val="center"/>
            <w:hideMark/>
          </w:tcPr>
          <w:p w14:paraId="06F27A7D" w14:textId="77777777" w:rsidR="00735ADD" w:rsidRPr="00573769" w:rsidRDefault="00735ADD" w:rsidP="00F80490">
            <w:pPr>
              <w:pStyle w:val="TableText"/>
            </w:pPr>
            <w:r w:rsidRPr="00573769">
              <w:t>No news</w:t>
            </w:r>
          </w:p>
        </w:tc>
        <w:tc>
          <w:tcPr>
            <w:tcW w:w="1128" w:type="pct"/>
            <w:gridSpan w:val="3"/>
            <w:tcBorders>
              <w:top w:val="nil"/>
              <w:left w:val="nil"/>
              <w:bottom w:val="nil"/>
              <w:right w:val="nil"/>
            </w:tcBorders>
            <w:shd w:val="clear" w:color="auto" w:fill="auto"/>
            <w:noWrap/>
            <w:vAlign w:val="center"/>
            <w:hideMark/>
          </w:tcPr>
          <w:p w14:paraId="1F51D4E5" w14:textId="77777777" w:rsidR="00735ADD" w:rsidRPr="00573769" w:rsidRDefault="00735ADD" w:rsidP="00F80490">
            <w:pPr>
              <w:pStyle w:val="TableText"/>
              <w:jc w:val="center"/>
            </w:pPr>
            <w:r w:rsidRPr="00573769">
              <w:t>22</w:t>
            </w:r>
          </w:p>
        </w:tc>
        <w:tc>
          <w:tcPr>
            <w:tcW w:w="1128" w:type="pct"/>
            <w:gridSpan w:val="2"/>
            <w:tcBorders>
              <w:top w:val="nil"/>
              <w:left w:val="nil"/>
              <w:bottom w:val="nil"/>
              <w:right w:val="nil"/>
            </w:tcBorders>
            <w:shd w:val="clear" w:color="auto" w:fill="auto"/>
            <w:noWrap/>
            <w:vAlign w:val="center"/>
            <w:hideMark/>
          </w:tcPr>
          <w:p w14:paraId="2161139C" w14:textId="77777777" w:rsidR="00735ADD" w:rsidRPr="00573769" w:rsidRDefault="00735ADD" w:rsidP="00F80490">
            <w:pPr>
              <w:pStyle w:val="TableText"/>
              <w:jc w:val="center"/>
            </w:pPr>
            <w:r w:rsidRPr="00573769">
              <w:t>44</w:t>
            </w:r>
          </w:p>
        </w:tc>
      </w:tr>
      <w:tr w:rsidR="00735ADD" w:rsidRPr="00A74429" w14:paraId="201AB7A8" w14:textId="77777777" w:rsidTr="00DC68CD">
        <w:trPr>
          <w:trHeight w:val="227"/>
        </w:trPr>
        <w:tc>
          <w:tcPr>
            <w:tcW w:w="2744" w:type="pct"/>
            <w:gridSpan w:val="4"/>
            <w:tcBorders>
              <w:top w:val="nil"/>
              <w:left w:val="nil"/>
              <w:bottom w:val="nil"/>
              <w:right w:val="nil"/>
            </w:tcBorders>
            <w:shd w:val="clear" w:color="auto" w:fill="auto"/>
            <w:noWrap/>
            <w:vAlign w:val="center"/>
            <w:hideMark/>
          </w:tcPr>
          <w:p w14:paraId="6127FE2C" w14:textId="4BC96486" w:rsidR="00735ADD" w:rsidRPr="00573769" w:rsidRDefault="00735ADD" w:rsidP="00F80490">
            <w:pPr>
              <w:pStyle w:val="TableText"/>
            </w:pPr>
            <w:r w:rsidRPr="00573769">
              <w:t>Operation</w:t>
            </w:r>
            <w:r w:rsidR="00F552F1">
              <w:t>s</w:t>
            </w:r>
            <w:r w:rsidRPr="00573769">
              <w:t>-related event</w:t>
            </w:r>
          </w:p>
        </w:tc>
        <w:tc>
          <w:tcPr>
            <w:tcW w:w="1128" w:type="pct"/>
            <w:gridSpan w:val="3"/>
            <w:tcBorders>
              <w:top w:val="nil"/>
              <w:left w:val="nil"/>
              <w:bottom w:val="nil"/>
              <w:right w:val="nil"/>
            </w:tcBorders>
            <w:shd w:val="clear" w:color="auto" w:fill="auto"/>
            <w:noWrap/>
            <w:vAlign w:val="center"/>
            <w:hideMark/>
          </w:tcPr>
          <w:p w14:paraId="564EBC8B" w14:textId="77777777" w:rsidR="00735ADD" w:rsidRPr="00573769" w:rsidRDefault="00735ADD" w:rsidP="00F80490">
            <w:pPr>
              <w:pStyle w:val="TableText"/>
              <w:jc w:val="center"/>
            </w:pPr>
            <w:r w:rsidRPr="00573769">
              <w:t>11</w:t>
            </w:r>
          </w:p>
        </w:tc>
        <w:tc>
          <w:tcPr>
            <w:tcW w:w="1128" w:type="pct"/>
            <w:gridSpan w:val="2"/>
            <w:tcBorders>
              <w:top w:val="nil"/>
              <w:left w:val="nil"/>
              <w:bottom w:val="nil"/>
              <w:right w:val="nil"/>
            </w:tcBorders>
            <w:shd w:val="clear" w:color="auto" w:fill="auto"/>
            <w:noWrap/>
            <w:vAlign w:val="center"/>
            <w:hideMark/>
          </w:tcPr>
          <w:p w14:paraId="25A4032E" w14:textId="77777777" w:rsidR="00735ADD" w:rsidRPr="00573769" w:rsidRDefault="00735ADD" w:rsidP="00F80490">
            <w:pPr>
              <w:pStyle w:val="TableText"/>
              <w:jc w:val="center"/>
            </w:pPr>
            <w:r w:rsidRPr="00573769">
              <w:t>22</w:t>
            </w:r>
          </w:p>
        </w:tc>
      </w:tr>
      <w:tr w:rsidR="00735ADD" w:rsidRPr="00A74429" w14:paraId="7D98B594" w14:textId="77777777" w:rsidTr="00DC68CD">
        <w:trPr>
          <w:trHeight w:val="227"/>
        </w:trPr>
        <w:tc>
          <w:tcPr>
            <w:tcW w:w="2744" w:type="pct"/>
            <w:gridSpan w:val="4"/>
            <w:tcBorders>
              <w:top w:val="nil"/>
              <w:left w:val="nil"/>
              <w:bottom w:val="nil"/>
              <w:right w:val="nil"/>
            </w:tcBorders>
            <w:shd w:val="clear" w:color="auto" w:fill="auto"/>
            <w:noWrap/>
            <w:vAlign w:val="center"/>
            <w:hideMark/>
          </w:tcPr>
          <w:p w14:paraId="3C04677F" w14:textId="77777777" w:rsidR="00735ADD" w:rsidRPr="00573769" w:rsidRDefault="00735ADD" w:rsidP="00F80490">
            <w:pPr>
              <w:pStyle w:val="TableText"/>
            </w:pPr>
            <w:r w:rsidRPr="00573769">
              <w:t>Earnings release</w:t>
            </w:r>
          </w:p>
        </w:tc>
        <w:tc>
          <w:tcPr>
            <w:tcW w:w="1128" w:type="pct"/>
            <w:gridSpan w:val="3"/>
            <w:tcBorders>
              <w:top w:val="nil"/>
              <w:left w:val="nil"/>
              <w:bottom w:val="nil"/>
              <w:right w:val="nil"/>
            </w:tcBorders>
            <w:shd w:val="clear" w:color="auto" w:fill="auto"/>
            <w:noWrap/>
            <w:vAlign w:val="center"/>
            <w:hideMark/>
          </w:tcPr>
          <w:p w14:paraId="10034736" w14:textId="77777777" w:rsidR="00735ADD" w:rsidRPr="00573769" w:rsidRDefault="00735ADD" w:rsidP="00F80490">
            <w:pPr>
              <w:pStyle w:val="TableText"/>
              <w:jc w:val="center"/>
            </w:pPr>
            <w:r w:rsidRPr="00573769">
              <w:t>6</w:t>
            </w:r>
          </w:p>
        </w:tc>
        <w:tc>
          <w:tcPr>
            <w:tcW w:w="1128" w:type="pct"/>
            <w:gridSpan w:val="2"/>
            <w:tcBorders>
              <w:top w:val="nil"/>
              <w:left w:val="nil"/>
              <w:bottom w:val="nil"/>
              <w:right w:val="nil"/>
            </w:tcBorders>
            <w:shd w:val="clear" w:color="auto" w:fill="auto"/>
            <w:noWrap/>
            <w:vAlign w:val="center"/>
            <w:hideMark/>
          </w:tcPr>
          <w:p w14:paraId="68CF8E73" w14:textId="77777777" w:rsidR="00735ADD" w:rsidRPr="00573769" w:rsidRDefault="00735ADD" w:rsidP="00F80490">
            <w:pPr>
              <w:pStyle w:val="TableText"/>
              <w:jc w:val="center"/>
            </w:pPr>
            <w:r w:rsidRPr="00573769">
              <w:t>12</w:t>
            </w:r>
          </w:p>
        </w:tc>
      </w:tr>
      <w:tr w:rsidR="00735ADD" w:rsidRPr="00A74429" w14:paraId="099B4AA9" w14:textId="77777777" w:rsidTr="00DC68CD">
        <w:trPr>
          <w:trHeight w:val="227"/>
        </w:trPr>
        <w:tc>
          <w:tcPr>
            <w:tcW w:w="2744" w:type="pct"/>
            <w:gridSpan w:val="4"/>
            <w:tcBorders>
              <w:top w:val="nil"/>
              <w:left w:val="nil"/>
              <w:bottom w:val="nil"/>
              <w:right w:val="nil"/>
            </w:tcBorders>
            <w:shd w:val="clear" w:color="auto" w:fill="auto"/>
            <w:noWrap/>
            <w:vAlign w:val="center"/>
            <w:hideMark/>
          </w:tcPr>
          <w:p w14:paraId="667AECDE" w14:textId="77777777" w:rsidR="00735ADD" w:rsidRPr="00573769" w:rsidRDefault="00735ADD" w:rsidP="00F80490">
            <w:pPr>
              <w:pStyle w:val="TableText"/>
            </w:pPr>
            <w:r w:rsidRPr="00573769">
              <w:t>Under-performance</w:t>
            </w:r>
          </w:p>
        </w:tc>
        <w:tc>
          <w:tcPr>
            <w:tcW w:w="1128" w:type="pct"/>
            <w:gridSpan w:val="3"/>
            <w:tcBorders>
              <w:top w:val="nil"/>
              <w:left w:val="nil"/>
              <w:bottom w:val="nil"/>
              <w:right w:val="nil"/>
            </w:tcBorders>
            <w:shd w:val="clear" w:color="auto" w:fill="auto"/>
            <w:noWrap/>
            <w:vAlign w:val="center"/>
            <w:hideMark/>
          </w:tcPr>
          <w:p w14:paraId="14DDF577" w14:textId="77777777" w:rsidR="00735ADD" w:rsidRPr="00573769" w:rsidRDefault="00735ADD" w:rsidP="00F80490">
            <w:pPr>
              <w:pStyle w:val="TableText"/>
              <w:jc w:val="center"/>
            </w:pPr>
            <w:r w:rsidRPr="00573769">
              <w:t>5</w:t>
            </w:r>
          </w:p>
        </w:tc>
        <w:tc>
          <w:tcPr>
            <w:tcW w:w="1128" w:type="pct"/>
            <w:gridSpan w:val="2"/>
            <w:tcBorders>
              <w:top w:val="nil"/>
              <w:left w:val="nil"/>
              <w:bottom w:val="nil"/>
              <w:right w:val="nil"/>
            </w:tcBorders>
            <w:shd w:val="clear" w:color="auto" w:fill="auto"/>
            <w:noWrap/>
            <w:vAlign w:val="center"/>
            <w:hideMark/>
          </w:tcPr>
          <w:p w14:paraId="221E9087" w14:textId="77777777" w:rsidR="00735ADD" w:rsidRPr="00573769" w:rsidRDefault="00735ADD" w:rsidP="00F80490">
            <w:pPr>
              <w:pStyle w:val="TableText"/>
              <w:jc w:val="center"/>
            </w:pPr>
            <w:r w:rsidRPr="00573769">
              <w:t>10</w:t>
            </w:r>
          </w:p>
        </w:tc>
      </w:tr>
      <w:tr w:rsidR="00735ADD" w:rsidRPr="00A74429" w14:paraId="2B22260F" w14:textId="77777777" w:rsidTr="00DC68CD">
        <w:trPr>
          <w:trHeight w:val="227"/>
        </w:trPr>
        <w:tc>
          <w:tcPr>
            <w:tcW w:w="2744" w:type="pct"/>
            <w:gridSpan w:val="4"/>
            <w:tcBorders>
              <w:top w:val="nil"/>
              <w:left w:val="nil"/>
              <w:bottom w:val="nil"/>
              <w:right w:val="nil"/>
            </w:tcBorders>
            <w:shd w:val="clear" w:color="auto" w:fill="auto"/>
            <w:noWrap/>
            <w:vAlign w:val="center"/>
            <w:hideMark/>
          </w:tcPr>
          <w:p w14:paraId="258BF10A" w14:textId="57CF1E37" w:rsidR="00735ADD" w:rsidRPr="00573769" w:rsidRDefault="00735ADD" w:rsidP="00F80490">
            <w:pPr>
              <w:pStyle w:val="TableText"/>
            </w:pPr>
            <w:r w:rsidRPr="00573769">
              <w:t xml:space="preserve">Merger </w:t>
            </w:r>
            <w:r w:rsidR="00F80490">
              <w:t>and</w:t>
            </w:r>
            <w:r w:rsidR="00F552F1" w:rsidRPr="00573769">
              <w:t xml:space="preserve"> </w:t>
            </w:r>
            <w:r w:rsidRPr="00573769">
              <w:t>acquisition</w:t>
            </w:r>
          </w:p>
        </w:tc>
        <w:tc>
          <w:tcPr>
            <w:tcW w:w="1128" w:type="pct"/>
            <w:gridSpan w:val="3"/>
            <w:tcBorders>
              <w:top w:val="nil"/>
              <w:left w:val="nil"/>
              <w:bottom w:val="nil"/>
              <w:right w:val="nil"/>
            </w:tcBorders>
            <w:shd w:val="clear" w:color="auto" w:fill="auto"/>
            <w:noWrap/>
            <w:vAlign w:val="center"/>
            <w:hideMark/>
          </w:tcPr>
          <w:p w14:paraId="04AAD697" w14:textId="77777777" w:rsidR="00735ADD" w:rsidRPr="00573769" w:rsidRDefault="00735ADD" w:rsidP="00F80490">
            <w:pPr>
              <w:pStyle w:val="TableText"/>
              <w:jc w:val="center"/>
            </w:pPr>
            <w:r w:rsidRPr="00573769">
              <w:t>3</w:t>
            </w:r>
          </w:p>
        </w:tc>
        <w:tc>
          <w:tcPr>
            <w:tcW w:w="1128" w:type="pct"/>
            <w:gridSpan w:val="2"/>
            <w:tcBorders>
              <w:top w:val="nil"/>
              <w:left w:val="nil"/>
              <w:bottom w:val="nil"/>
              <w:right w:val="nil"/>
            </w:tcBorders>
            <w:shd w:val="clear" w:color="auto" w:fill="auto"/>
            <w:noWrap/>
            <w:vAlign w:val="center"/>
            <w:hideMark/>
          </w:tcPr>
          <w:p w14:paraId="28F71D0C" w14:textId="77777777" w:rsidR="00735ADD" w:rsidRPr="00573769" w:rsidRDefault="00735ADD" w:rsidP="00F80490">
            <w:pPr>
              <w:pStyle w:val="TableText"/>
              <w:jc w:val="center"/>
            </w:pPr>
            <w:r w:rsidRPr="00573769">
              <w:t>6</w:t>
            </w:r>
          </w:p>
        </w:tc>
      </w:tr>
      <w:tr w:rsidR="00735ADD" w:rsidRPr="00A74429" w14:paraId="3773B951" w14:textId="77777777" w:rsidTr="00DC68CD">
        <w:trPr>
          <w:trHeight w:val="227"/>
        </w:trPr>
        <w:tc>
          <w:tcPr>
            <w:tcW w:w="2744" w:type="pct"/>
            <w:gridSpan w:val="4"/>
            <w:tcBorders>
              <w:top w:val="nil"/>
              <w:left w:val="nil"/>
              <w:bottom w:val="nil"/>
              <w:right w:val="nil"/>
            </w:tcBorders>
            <w:shd w:val="clear" w:color="auto" w:fill="auto"/>
            <w:noWrap/>
            <w:vAlign w:val="center"/>
            <w:hideMark/>
          </w:tcPr>
          <w:p w14:paraId="581AD8FA" w14:textId="77777777" w:rsidR="00735ADD" w:rsidRPr="00573769" w:rsidRDefault="00735ADD" w:rsidP="00F80490">
            <w:pPr>
              <w:pStyle w:val="TableText"/>
            </w:pPr>
            <w:r w:rsidRPr="00573769">
              <w:t>Executive turnover</w:t>
            </w:r>
          </w:p>
        </w:tc>
        <w:tc>
          <w:tcPr>
            <w:tcW w:w="1128" w:type="pct"/>
            <w:gridSpan w:val="3"/>
            <w:tcBorders>
              <w:top w:val="nil"/>
              <w:left w:val="nil"/>
              <w:bottom w:val="nil"/>
              <w:right w:val="nil"/>
            </w:tcBorders>
            <w:shd w:val="clear" w:color="auto" w:fill="auto"/>
            <w:noWrap/>
            <w:vAlign w:val="center"/>
            <w:hideMark/>
          </w:tcPr>
          <w:p w14:paraId="1902CC42" w14:textId="77777777" w:rsidR="00735ADD" w:rsidRPr="00573769" w:rsidRDefault="00735ADD" w:rsidP="00F80490">
            <w:pPr>
              <w:pStyle w:val="TableText"/>
              <w:jc w:val="center"/>
            </w:pPr>
            <w:r w:rsidRPr="00573769">
              <w:t>1</w:t>
            </w:r>
          </w:p>
        </w:tc>
        <w:tc>
          <w:tcPr>
            <w:tcW w:w="1128" w:type="pct"/>
            <w:gridSpan w:val="2"/>
            <w:tcBorders>
              <w:top w:val="nil"/>
              <w:left w:val="nil"/>
              <w:bottom w:val="nil"/>
              <w:right w:val="nil"/>
            </w:tcBorders>
            <w:shd w:val="clear" w:color="auto" w:fill="auto"/>
            <w:noWrap/>
            <w:vAlign w:val="center"/>
            <w:hideMark/>
          </w:tcPr>
          <w:p w14:paraId="1B62C6DC" w14:textId="77777777" w:rsidR="00735ADD" w:rsidRPr="00573769" w:rsidRDefault="00735ADD" w:rsidP="00F80490">
            <w:pPr>
              <w:pStyle w:val="TableText"/>
              <w:jc w:val="center"/>
            </w:pPr>
            <w:r w:rsidRPr="00573769">
              <w:t>2</w:t>
            </w:r>
          </w:p>
        </w:tc>
      </w:tr>
      <w:tr w:rsidR="00735ADD" w:rsidRPr="00A74429" w14:paraId="5FD5D808" w14:textId="77777777" w:rsidTr="00DC68CD">
        <w:trPr>
          <w:trHeight w:val="227"/>
        </w:trPr>
        <w:tc>
          <w:tcPr>
            <w:tcW w:w="2744" w:type="pct"/>
            <w:gridSpan w:val="4"/>
            <w:tcBorders>
              <w:top w:val="nil"/>
              <w:left w:val="nil"/>
              <w:bottom w:val="nil"/>
              <w:right w:val="nil"/>
            </w:tcBorders>
            <w:shd w:val="clear" w:color="auto" w:fill="auto"/>
            <w:noWrap/>
            <w:vAlign w:val="center"/>
            <w:hideMark/>
          </w:tcPr>
          <w:p w14:paraId="6D9938A2" w14:textId="77777777" w:rsidR="00735ADD" w:rsidRPr="00573769" w:rsidRDefault="00735ADD" w:rsidP="00F80490">
            <w:pPr>
              <w:pStyle w:val="TableText"/>
            </w:pPr>
            <w:r w:rsidRPr="00573769">
              <w:t>Other</w:t>
            </w:r>
          </w:p>
        </w:tc>
        <w:tc>
          <w:tcPr>
            <w:tcW w:w="1128" w:type="pct"/>
            <w:gridSpan w:val="3"/>
            <w:tcBorders>
              <w:top w:val="nil"/>
              <w:left w:val="nil"/>
              <w:bottom w:val="nil"/>
              <w:right w:val="nil"/>
            </w:tcBorders>
            <w:shd w:val="clear" w:color="auto" w:fill="auto"/>
            <w:noWrap/>
            <w:vAlign w:val="center"/>
            <w:hideMark/>
          </w:tcPr>
          <w:p w14:paraId="2A1E8162" w14:textId="77777777" w:rsidR="00735ADD" w:rsidRPr="00573769" w:rsidRDefault="00735ADD" w:rsidP="00F80490">
            <w:pPr>
              <w:pStyle w:val="TableText"/>
              <w:jc w:val="center"/>
            </w:pPr>
            <w:r w:rsidRPr="00573769">
              <w:t>1</w:t>
            </w:r>
          </w:p>
        </w:tc>
        <w:tc>
          <w:tcPr>
            <w:tcW w:w="1128" w:type="pct"/>
            <w:gridSpan w:val="2"/>
            <w:tcBorders>
              <w:top w:val="nil"/>
              <w:left w:val="nil"/>
              <w:bottom w:val="nil"/>
              <w:right w:val="nil"/>
            </w:tcBorders>
            <w:shd w:val="clear" w:color="auto" w:fill="auto"/>
            <w:noWrap/>
            <w:vAlign w:val="center"/>
            <w:hideMark/>
          </w:tcPr>
          <w:p w14:paraId="6F56610B" w14:textId="77777777" w:rsidR="00735ADD" w:rsidRPr="00573769" w:rsidRDefault="00735ADD" w:rsidP="00F80490">
            <w:pPr>
              <w:pStyle w:val="TableText"/>
              <w:jc w:val="center"/>
            </w:pPr>
            <w:r w:rsidRPr="00573769">
              <w:t>2</w:t>
            </w:r>
          </w:p>
        </w:tc>
      </w:tr>
      <w:tr w:rsidR="00735ADD" w:rsidRPr="00A74429" w14:paraId="5F3796C2" w14:textId="77777777" w:rsidTr="00DC68CD">
        <w:trPr>
          <w:trHeight w:val="227"/>
        </w:trPr>
        <w:tc>
          <w:tcPr>
            <w:tcW w:w="2744" w:type="pct"/>
            <w:gridSpan w:val="4"/>
            <w:tcBorders>
              <w:top w:val="nil"/>
              <w:left w:val="nil"/>
              <w:bottom w:val="nil"/>
              <w:right w:val="nil"/>
            </w:tcBorders>
            <w:shd w:val="clear" w:color="auto" w:fill="auto"/>
            <w:noWrap/>
            <w:vAlign w:val="center"/>
            <w:hideMark/>
          </w:tcPr>
          <w:p w14:paraId="29CDA09F" w14:textId="77777777" w:rsidR="00735ADD" w:rsidRPr="00573769" w:rsidRDefault="00735ADD" w:rsidP="00F80490">
            <w:pPr>
              <w:pStyle w:val="TableText"/>
            </w:pPr>
            <w:r w:rsidRPr="00573769">
              <w:t>SEC investigation</w:t>
            </w:r>
          </w:p>
        </w:tc>
        <w:tc>
          <w:tcPr>
            <w:tcW w:w="1128" w:type="pct"/>
            <w:gridSpan w:val="3"/>
            <w:tcBorders>
              <w:top w:val="nil"/>
              <w:left w:val="nil"/>
              <w:bottom w:val="nil"/>
              <w:right w:val="nil"/>
            </w:tcBorders>
            <w:shd w:val="clear" w:color="auto" w:fill="auto"/>
            <w:noWrap/>
            <w:vAlign w:val="center"/>
            <w:hideMark/>
          </w:tcPr>
          <w:p w14:paraId="5097B4F3" w14:textId="77777777" w:rsidR="00735ADD" w:rsidRPr="00573769" w:rsidRDefault="00735ADD" w:rsidP="00F80490">
            <w:pPr>
              <w:pStyle w:val="TableText"/>
              <w:jc w:val="center"/>
            </w:pPr>
            <w:r w:rsidRPr="00573769">
              <w:t>1</w:t>
            </w:r>
          </w:p>
        </w:tc>
        <w:tc>
          <w:tcPr>
            <w:tcW w:w="1128" w:type="pct"/>
            <w:gridSpan w:val="2"/>
            <w:tcBorders>
              <w:top w:val="nil"/>
              <w:left w:val="nil"/>
              <w:bottom w:val="nil"/>
              <w:right w:val="nil"/>
            </w:tcBorders>
            <w:shd w:val="clear" w:color="auto" w:fill="auto"/>
            <w:noWrap/>
            <w:vAlign w:val="center"/>
            <w:hideMark/>
          </w:tcPr>
          <w:p w14:paraId="6705A92A" w14:textId="77777777" w:rsidR="00735ADD" w:rsidRPr="00573769" w:rsidRDefault="00735ADD" w:rsidP="00F80490">
            <w:pPr>
              <w:pStyle w:val="TableText"/>
              <w:jc w:val="center"/>
            </w:pPr>
            <w:r w:rsidRPr="00573769">
              <w:t>2</w:t>
            </w:r>
          </w:p>
        </w:tc>
      </w:tr>
      <w:tr w:rsidR="00735ADD" w:rsidRPr="00A74429" w14:paraId="3D100949" w14:textId="77777777" w:rsidTr="00DC68CD">
        <w:trPr>
          <w:trHeight w:val="227"/>
        </w:trPr>
        <w:tc>
          <w:tcPr>
            <w:tcW w:w="2744" w:type="pct"/>
            <w:gridSpan w:val="4"/>
            <w:tcBorders>
              <w:top w:val="single" w:sz="4" w:space="0" w:color="auto"/>
              <w:left w:val="nil"/>
              <w:bottom w:val="single" w:sz="4" w:space="0" w:color="auto"/>
              <w:right w:val="nil"/>
            </w:tcBorders>
            <w:shd w:val="clear" w:color="auto" w:fill="auto"/>
            <w:noWrap/>
            <w:vAlign w:val="center"/>
            <w:hideMark/>
          </w:tcPr>
          <w:p w14:paraId="729F7CE5" w14:textId="77777777" w:rsidR="00735ADD" w:rsidRPr="00573769" w:rsidRDefault="00735ADD" w:rsidP="00F80490">
            <w:pPr>
              <w:pStyle w:val="TableText"/>
            </w:pPr>
            <w:r w:rsidRPr="00573769">
              <w:t>Total</w:t>
            </w:r>
          </w:p>
        </w:tc>
        <w:tc>
          <w:tcPr>
            <w:tcW w:w="1128" w:type="pct"/>
            <w:gridSpan w:val="3"/>
            <w:tcBorders>
              <w:top w:val="single" w:sz="4" w:space="0" w:color="auto"/>
              <w:left w:val="nil"/>
              <w:bottom w:val="single" w:sz="4" w:space="0" w:color="auto"/>
              <w:right w:val="nil"/>
            </w:tcBorders>
            <w:shd w:val="clear" w:color="auto" w:fill="auto"/>
            <w:noWrap/>
            <w:vAlign w:val="center"/>
            <w:hideMark/>
          </w:tcPr>
          <w:p w14:paraId="6B875706" w14:textId="77777777" w:rsidR="00735ADD" w:rsidRPr="00573769" w:rsidRDefault="00735ADD" w:rsidP="00F80490">
            <w:pPr>
              <w:pStyle w:val="TableText"/>
              <w:jc w:val="center"/>
            </w:pPr>
            <w:r w:rsidRPr="00573769">
              <w:t>50</w:t>
            </w:r>
          </w:p>
        </w:tc>
        <w:tc>
          <w:tcPr>
            <w:tcW w:w="1128" w:type="pct"/>
            <w:gridSpan w:val="2"/>
            <w:tcBorders>
              <w:top w:val="single" w:sz="4" w:space="0" w:color="auto"/>
              <w:left w:val="nil"/>
              <w:bottom w:val="single" w:sz="4" w:space="0" w:color="auto"/>
              <w:right w:val="nil"/>
            </w:tcBorders>
            <w:shd w:val="clear" w:color="auto" w:fill="auto"/>
            <w:noWrap/>
            <w:vAlign w:val="center"/>
            <w:hideMark/>
          </w:tcPr>
          <w:p w14:paraId="42226882" w14:textId="77777777" w:rsidR="00735ADD" w:rsidRPr="00573769" w:rsidRDefault="00735ADD" w:rsidP="00F80490">
            <w:pPr>
              <w:pStyle w:val="TableText"/>
              <w:jc w:val="center"/>
            </w:pPr>
            <w:r w:rsidRPr="00573769">
              <w:t>100</w:t>
            </w:r>
          </w:p>
        </w:tc>
      </w:tr>
      <w:tr w:rsidR="00735ADD" w:rsidRPr="00323BB0" w14:paraId="7902B915" w14:textId="77777777" w:rsidTr="00DC68CD">
        <w:trPr>
          <w:trHeight w:val="300"/>
        </w:trPr>
        <w:tc>
          <w:tcPr>
            <w:tcW w:w="5000" w:type="pct"/>
            <w:gridSpan w:val="9"/>
            <w:tcBorders>
              <w:top w:val="single" w:sz="4" w:space="0" w:color="auto"/>
              <w:left w:val="nil"/>
              <w:bottom w:val="single" w:sz="4" w:space="0" w:color="auto"/>
              <w:right w:val="nil"/>
            </w:tcBorders>
            <w:shd w:val="clear" w:color="auto" w:fill="auto"/>
            <w:noWrap/>
            <w:vAlign w:val="center"/>
          </w:tcPr>
          <w:p w14:paraId="2B4108FE" w14:textId="77777777" w:rsidR="00735ADD" w:rsidRPr="00F80490" w:rsidRDefault="00735ADD" w:rsidP="00F80490">
            <w:pPr>
              <w:pStyle w:val="TableText"/>
              <w:rPr>
                <w:rFonts w:eastAsia="Times New Roman"/>
                <w:b/>
                <w:bCs/>
                <w:color w:val="000000"/>
              </w:rPr>
            </w:pPr>
            <w:r w:rsidRPr="00F80490">
              <w:rPr>
                <w:b/>
                <w:bCs/>
              </w:rPr>
              <w:t>Panel B: Descriptive statistics for key variables</w:t>
            </w:r>
          </w:p>
        </w:tc>
      </w:tr>
      <w:tr w:rsidR="00735ADD" w:rsidRPr="004F7330" w14:paraId="66A73CFC" w14:textId="77777777" w:rsidTr="00DC68CD">
        <w:trPr>
          <w:trHeight w:val="300"/>
        </w:trPr>
        <w:tc>
          <w:tcPr>
            <w:tcW w:w="1533" w:type="pct"/>
            <w:tcBorders>
              <w:top w:val="single" w:sz="4" w:space="0" w:color="auto"/>
              <w:left w:val="nil"/>
              <w:bottom w:val="single" w:sz="4" w:space="0" w:color="auto"/>
              <w:right w:val="nil"/>
            </w:tcBorders>
            <w:shd w:val="clear" w:color="auto" w:fill="auto"/>
            <w:noWrap/>
            <w:vAlign w:val="center"/>
            <w:hideMark/>
          </w:tcPr>
          <w:p w14:paraId="78835F66" w14:textId="77777777" w:rsidR="00735ADD" w:rsidRPr="00F80490" w:rsidRDefault="00735ADD" w:rsidP="00F80490">
            <w:pPr>
              <w:pStyle w:val="TableText"/>
              <w:rPr>
                <w:i/>
                <w:iCs/>
                <w:lang w:val="en-GB" w:eastAsia="zh-CN"/>
              </w:rPr>
            </w:pPr>
            <w:r w:rsidRPr="00F80490">
              <w:rPr>
                <w:i/>
                <w:iCs/>
                <w:lang w:val="en-GB" w:eastAsia="zh-CN"/>
              </w:rPr>
              <w:t>Variable</w:t>
            </w:r>
          </w:p>
        </w:tc>
        <w:tc>
          <w:tcPr>
            <w:tcW w:w="556" w:type="pct"/>
            <w:tcBorders>
              <w:top w:val="single" w:sz="4" w:space="0" w:color="auto"/>
              <w:left w:val="nil"/>
              <w:bottom w:val="single" w:sz="4" w:space="0" w:color="auto"/>
              <w:right w:val="nil"/>
            </w:tcBorders>
            <w:shd w:val="clear" w:color="auto" w:fill="auto"/>
            <w:noWrap/>
            <w:vAlign w:val="center"/>
            <w:hideMark/>
          </w:tcPr>
          <w:p w14:paraId="62EFC729" w14:textId="77777777" w:rsidR="00735ADD" w:rsidRPr="00F80490" w:rsidRDefault="00735ADD" w:rsidP="00F80490">
            <w:pPr>
              <w:pStyle w:val="TableText"/>
              <w:jc w:val="right"/>
              <w:rPr>
                <w:i/>
                <w:iCs/>
                <w:lang w:val="en-GB" w:eastAsia="zh-CN"/>
              </w:rPr>
            </w:pPr>
            <w:r w:rsidRPr="00F80490">
              <w:rPr>
                <w:i/>
                <w:iCs/>
              </w:rPr>
              <w:t>Number</w:t>
            </w:r>
          </w:p>
        </w:tc>
        <w:tc>
          <w:tcPr>
            <w:tcW w:w="593" w:type="pct"/>
            <w:tcBorders>
              <w:top w:val="single" w:sz="4" w:space="0" w:color="auto"/>
              <w:left w:val="nil"/>
              <w:bottom w:val="single" w:sz="4" w:space="0" w:color="auto"/>
              <w:right w:val="nil"/>
            </w:tcBorders>
            <w:shd w:val="clear" w:color="auto" w:fill="auto"/>
            <w:noWrap/>
            <w:vAlign w:val="center"/>
            <w:hideMark/>
          </w:tcPr>
          <w:p w14:paraId="23B85A85" w14:textId="77777777" w:rsidR="00735ADD" w:rsidRPr="00F80490" w:rsidRDefault="00735ADD" w:rsidP="00F80490">
            <w:pPr>
              <w:pStyle w:val="TableText"/>
              <w:jc w:val="right"/>
              <w:rPr>
                <w:i/>
                <w:iCs/>
                <w:lang w:val="en-GB" w:eastAsia="zh-CN"/>
              </w:rPr>
            </w:pPr>
            <w:r w:rsidRPr="00F80490">
              <w:rPr>
                <w:i/>
                <w:iCs/>
              </w:rPr>
              <w:t>Mean</w:t>
            </w:r>
          </w:p>
        </w:tc>
        <w:tc>
          <w:tcPr>
            <w:tcW w:w="539" w:type="pct"/>
            <w:gridSpan w:val="2"/>
            <w:tcBorders>
              <w:top w:val="single" w:sz="4" w:space="0" w:color="auto"/>
              <w:left w:val="nil"/>
              <w:bottom w:val="single" w:sz="4" w:space="0" w:color="auto"/>
              <w:right w:val="nil"/>
            </w:tcBorders>
            <w:shd w:val="clear" w:color="auto" w:fill="auto"/>
            <w:noWrap/>
            <w:vAlign w:val="center"/>
            <w:hideMark/>
          </w:tcPr>
          <w:p w14:paraId="727565FF" w14:textId="77777777" w:rsidR="00735ADD" w:rsidRPr="00F80490" w:rsidRDefault="00735ADD" w:rsidP="00F80490">
            <w:pPr>
              <w:pStyle w:val="TableText"/>
              <w:jc w:val="right"/>
              <w:rPr>
                <w:i/>
                <w:iCs/>
                <w:lang w:val="en-GB" w:eastAsia="zh-CN"/>
              </w:rPr>
            </w:pPr>
            <w:r w:rsidRPr="00F80490">
              <w:rPr>
                <w:i/>
                <w:iCs/>
              </w:rPr>
              <w:t>Std</w:t>
            </w:r>
          </w:p>
        </w:tc>
        <w:tc>
          <w:tcPr>
            <w:tcW w:w="594" w:type="pct"/>
            <w:tcBorders>
              <w:top w:val="single" w:sz="4" w:space="0" w:color="auto"/>
              <w:left w:val="nil"/>
              <w:bottom w:val="single" w:sz="4" w:space="0" w:color="auto"/>
              <w:right w:val="nil"/>
            </w:tcBorders>
            <w:shd w:val="clear" w:color="auto" w:fill="auto"/>
            <w:noWrap/>
            <w:vAlign w:val="center"/>
            <w:hideMark/>
          </w:tcPr>
          <w:p w14:paraId="1CD6E4FF" w14:textId="77777777" w:rsidR="00735ADD" w:rsidRPr="00F80490" w:rsidRDefault="00735ADD" w:rsidP="00F80490">
            <w:pPr>
              <w:pStyle w:val="TableText"/>
              <w:jc w:val="right"/>
              <w:rPr>
                <w:i/>
                <w:iCs/>
                <w:lang w:val="en-GB" w:eastAsia="zh-CN"/>
              </w:rPr>
            </w:pPr>
            <w:r w:rsidRPr="00F80490">
              <w:rPr>
                <w:i/>
                <w:iCs/>
              </w:rPr>
              <w:t>P25</w:t>
            </w:r>
          </w:p>
        </w:tc>
        <w:tc>
          <w:tcPr>
            <w:tcW w:w="594" w:type="pct"/>
            <w:gridSpan w:val="2"/>
            <w:tcBorders>
              <w:top w:val="single" w:sz="4" w:space="0" w:color="auto"/>
              <w:left w:val="nil"/>
              <w:bottom w:val="single" w:sz="4" w:space="0" w:color="auto"/>
              <w:right w:val="nil"/>
            </w:tcBorders>
            <w:shd w:val="clear" w:color="auto" w:fill="auto"/>
            <w:noWrap/>
            <w:vAlign w:val="center"/>
            <w:hideMark/>
          </w:tcPr>
          <w:p w14:paraId="7B1BB9C3" w14:textId="77777777" w:rsidR="00735ADD" w:rsidRPr="00F80490" w:rsidRDefault="00735ADD" w:rsidP="00F80490">
            <w:pPr>
              <w:pStyle w:val="TableText"/>
              <w:jc w:val="right"/>
              <w:rPr>
                <w:i/>
                <w:iCs/>
                <w:lang w:val="en-GB" w:eastAsia="zh-CN"/>
              </w:rPr>
            </w:pPr>
            <w:r w:rsidRPr="00F80490">
              <w:rPr>
                <w:i/>
                <w:iCs/>
              </w:rPr>
              <w:t>Median</w:t>
            </w:r>
          </w:p>
        </w:tc>
        <w:tc>
          <w:tcPr>
            <w:tcW w:w="591" w:type="pct"/>
            <w:tcBorders>
              <w:top w:val="single" w:sz="4" w:space="0" w:color="auto"/>
              <w:left w:val="nil"/>
              <w:bottom w:val="single" w:sz="4" w:space="0" w:color="auto"/>
              <w:right w:val="nil"/>
            </w:tcBorders>
            <w:shd w:val="clear" w:color="auto" w:fill="auto"/>
            <w:noWrap/>
            <w:vAlign w:val="center"/>
            <w:hideMark/>
          </w:tcPr>
          <w:p w14:paraId="71B277B5" w14:textId="77777777" w:rsidR="00735ADD" w:rsidRPr="00F80490" w:rsidRDefault="00735ADD" w:rsidP="00F80490">
            <w:pPr>
              <w:pStyle w:val="TableText"/>
              <w:jc w:val="right"/>
              <w:rPr>
                <w:i/>
                <w:iCs/>
                <w:lang w:val="en-GB" w:eastAsia="zh-CN"/>
              </w:rPr>
            </w:pPr>
            <w:r w:rsidRPr="00F80490">
              <w:rPr>
                <w:i/>
                <w:iCs/>
              </w:rPr>
              <w:t>P75</w:t>
            </w:r>
          </w:p>
        </w:tc>
      </w:tr>
      <w:tr w:rsidR="00735ADD" w:rsidRPr="004F7330" w14:paraId="361F4E4D" w14:textId="77777777" w:rsidTr="00DC68CD">
        <w:trPr>
          <w:trHeight w:val="300"/>
        </w:trPr>
        <w:tc>
          <w:tcPr>
            <w:tcW w:w="1533" w:type="pct"/>
            <w:tcBorders>
              <w:top w:val="single" w:sz="4" w:space="0" w:color="auto"/>
              <w:left w:val="nil"/>
              <w:bottom w:val="nil"/>
              <w:right w:val="nil"/>
            </w:tcBorders>
            <w:shd w:val="clear" w:color="auto" w:fill="auto"/>
            <w:noWrap/>
            <w:vAlign w:val="center"/>
            <w:hideMark/>
          </w:tcPr>
          <w:p w14:paraId="38DB6E7B" w14:textId="77777777" w:rsidR="00735ADD" w:rsidRPr="004F7330" w:rsidRDefault="00735ADD" w:rsidP="00F80490">
            <w:pPr>
              <w:pStyle w:val="TableText"/>
              <w:rPr>
                <w:lang w:val="en-GB" w:eastAsia="zh-CN"/>
              </w:rPr>
            </w:pPr>
            <m:oMathPara>
              <m:oMathParaPr>
                <m:jc m:val="left"/>
              </m:oMathParaPr>
              <m:oMath>
                <m:r>
                  <w:rPr>
                    <w:rFonts w:ascii="Cambria Math" w:hAnsi="Cambria Math"/>
                    <w:lang w:val="en-GB" w:eastAsia="zh-CN"/>
                  </w:rPr>
                  <m:t>CRASH</m:t>
                </m:r>
              </m:oMath>
            </m:oMathPara>
          </w:p>
        </w:tc>
        <w:tc>
          <w:tcPr>
            <w:tcW w:w="556" w:type="pct"/>
            <w:tcBorders>
              <w:top w:val="single" w:sz="4" w:space="0" w:color="auto"/>
              <w:left w:val="nil"/>
              <w:bottom w:val="nil"/>
              <w:right w:val="nil"/>
            </w:tcBorders>
            <w:shd w:val="clear" w:color="auto" w:fill="auto"/>
            <w:noWrap/>
            <w:vAlign w:val="center"/>
            <w:hideMark/>
          </w:tcPr>
          <w:p w14:paraId="552A43D7" w14:textId="459DFADC" w:rsidR="00735ADD" w:rsidRPr="004F7330" w:rsidRDefault="00735ADD" w:rsidP="00F80490">
            <w:pPr>
              <w:pStyle w:val="TableText"/>
              <w:jc w:val="right"/>
              <w:rPr>
                <w:lang w:val="en-GB" w:eastAsia="zh-CN"/>
              </w:rPr>
            </w:pPr>
            <w:r>
              <w:rPr>
                <w:lang w:val="en-GB" w:eastAsia="zh-CN"/>
              </w:rPr>
              <w:t>11</w:t>
            </w:r>
            <w:r w:rsidR="00F552F1">
              <w:rPr>
                <w:lang w:val="en-GB" w:eastAsia="zh-CN"/>
              </w:rPr>
              <w:t>,</w:t>
            </w:r>
            <w:r>
              <w:rPr>
                <w:lang w:val="en-GB" w:eastAsia="zh-CN"/>
              </w:rPr>
              <w:t>345</w:t>
            </w:r>
          </w:p>
        </w:tc>
        <w:tc>
          <w:tcPr>
            <w:tcW w:w="593" w:type="pct"/>
            <w:tcBorders>
              <w:top w:val="single" w:sz="4" w:space="0" w:color="auto"/>
              <w:left w:val="nil"/>
              <w:bottom w:val="nil"/>
              <w:right w:val="nil"/>
            </w:tcBorders>
            <w:shd w:val="clear" w:color="auto" w:fill="auto"/>
            <w:noWrap/>
            <w:vAlign w:val="center"/>
            <w:hideMark/>
          </w:tcPr>
          <w:p w14:paraId="5179832B" w14:textId="77777777" w:rsidR="00735ADD" w:rsidRPr="004F7330" w:rsidRDefault="00735ADD" w:rsidP="00F80490">
            <w:pPr>
              <w:pStyle w:val="TableText"/>
              <w:jc w:val="right"/>
              <w:rPr>
                <w:lang w:val="en-GB" w:eastAsia="zh-CN"/>
              </w:rPr>
            </w:pPr>
            <w:r w:rsidRPr="004F7330">
              <w:rPr>
                <w:lang w:val="en-GB" w:eastAsia="zh-CN"/>
              </w:rPr>
              <w:t>0.216</w:t>
            </w:r>
          </w:p>
        </w:tc>
        <w:tc>
          <w:tcPr>
            <w:tcW w:w="539" w:type="pct"/>
            <w:gridSpan w:val="2"/>
            <w:tcBorders>
              <w:top w:val="single" w:sz="4" w:space="0" w:color="auto"/>
              <w:left w:val="nil"/>
              <w:bottom w:val="nil"/>
              <w:right w:val="nil"/>
            </w:tcBorders>
            <w:shd w:val="clear" w:color="auto" w:fill="auto"/>
            <w:noWrap/>
            <w:vAlign w:val="center"/>
            <w:hideMark/>
          </w:tcPr>
          <w:p w14:paraId="3DA9F053" w14:textId="77777777" w:rsidR="00735ADD" w:rsidRPr="004F7330" w:rsidRDefault="00735ADD" w:rsidP="00F80490">
            <w:pPr>
              <w:pStyle w:val="TableText"/>
              <w:jc w:val="right"/>
              <w:rPr>
                <w:lang w:val="en-GB" w:eastAsia="zh-CN"/>
              </w:rPr>
            </w:pPr>
            <w:r w:rsidRPr="004F7330">
              <w:rPr>
                <w:lang w:val="en-GB" w:eastAsia="zh-CN"/>
              </w:rPr>
              <w:t>0.411</w:t>
            </w:r>
          </w:p>
        </w:tc>
        <w:tc>
          <w:tcPr>
            <w:tcW w:w="594" w:type="pct"/>
            <w:tcBorders>
              <w:top w:val="single" w:sz="4" w:space="0" w:color="auto"/>
              <w:left w:val="nil"/>
              <w:bottom w:val="nil"/>
              <w:right w:val="nil"/>
            </w:tcBorders>
            <w:shd w:val="clear" w:color="auto" w:fill="auto"/>
            <w:noWrap/>
            <w:vAlign w:val="center"/>
            <w:hideMark/>
          </w:tcPr>
          <w:p w14:paraId="3B75629D" w14:textId="77777777" w:rsidR="00735ADD" w:rsidRPr="004F7330" w:rsidRDefault="00735ADD" w:rsidP="00F80490">
            <w:pPr>
              <w:pStyle w:val="TableText"/>
              <w:jc w:val="right"/>
              <w:rPr>
                <w:lang w:val="en-GB" w:eastAsia="zh-CN"/>
              </w:rPr>
            </w:pPr>
            <w:r w:rsidRPr="004F7330">
              <w:rPr>
                <w:lang w:val="en-GB" w:eastAsia="zh-CN"/>
              </w:rPr>
              <w:t>0.000</w:t>
            </w:r>
          </w:p>
        </w:tc>
        <w:tc>
          <w:tcPr>
            <w:tcW w:w="594" w:type="pct"/>
            <w:gridSpan w:val="2"/>
            <w:tcBorders>
              <w:top w:val="single" w:sz="4" w:space="0" w:color="auto"/>
              <w:left w:val="nil"/>
              <w:bottom w:val="nil"/>
              <w:right w:val="nil"/>
            </w:tcBorders>
            <w:shd w:val="clear" w:color="auto" w:fill="auto"/>
            <w:noWrap/>
            <w:vAlign w:val="center"/>
            <w:hideMark/>
          </w:tcPr>
          <w:p w14:paraId="2154FF4C" w14:textId="77777777" w:rsidR="00735ADD" w:rsidRPr="004F7330" w:rsidRDefault="00735ADD" w:rsidP="00F80490">
            <w:pPr>
              <w:pStyle w:val="TableText"/>
              <w:jc w:val="right"/>
              <w:rPr>
                <w:lang w:val="en-GB" w:eastAsia="zh-CN"/>
              </w:rPr>
            </w:pPr>
            <w:r w:rsidRPr="004F7330">
              <w:rPr>
                <w:lang w:val="en-GB" w:eastAsia="zh-CN"/>
              </w:rPr>
              <w:t>0.000</w:t>
            </w:r>
          </w:p>
        </w:tc>
        <w:tc>
          <w:tcPr>
            <w:tcW w:w="591" w:type="pct"/>
            <w:tcBorders>
              <w:top w:val="single" w:sz="4" w:space="0" w:color="auto"/>
              <w:left w:val="nil"/>
              <w:bottom w:val="nil"/>
              <w:right w:val="nil"/>
            </w:tcBorders>
            <w:shd w:val="clear" w:color="auto" w:fill="auto"/>
            <w:noWrap/>
            <w:vAlign w:val="center"/>
            <w:hideMark/>
          </w:tcPr>
          <w:p w14:paraId="54D2CD6A" w14:textId="77777777" w:rsidR="00735ADD" w:rsidRPr="004F7330" w:rsidRDefault="00735ADD" w:rsidP="00F80490">
            <w:pPr>
              <w:pStyle w:val="TableText"/>
              <w:jc w:val="right"/>
              <w:rPr>
                <w:lang w:val="en-GB" w:eastAsia="zh-CN"/>
              </w:rPr>
            </w:pPr>
            <w:r w:rsidRPr="004F7330">
              <w:rPr>
                <w:lang w:val="en-GB" w:eastAsia="zh-CN"/>
              </w:rPr>
              <w:t>0.000</w:t>
            </w:r>
          </w:p>
        </w:tc>
      </w:tr>
      <w:tr w:rsidR="00735ADD" w:rsidRPr="004F7330" w14:paraId="507C13D1" w14:textId="77777777" w:rsidTr="00DC68CD">
        <w:trPr>
          <w:trHeight w:val="300"/>
        </w:trPr>
        <w:tc>
          <w:tcPr>
            <w:tcW w:w="1533" w:type="pct"/>
            <w:tcBorders>
              <w:top w:val="nil"/>
              <w:left w:val="nil"/>
              <w:bottom w:val="nil"/>
              <w:right w:val="nil"/>
            </w:tcBorders>
            <w:shd w:val="clear" w:color="auto" w:fill="auto"/>
            <w:noWrap/>
            <w:vAlign w:val="center"/>
            <w:hideMark/>
          </w:tcPr>
          <w:p w14:paraId="6A0B9DF0" w14:textId="77777777" w:rsidR="00735ADD" w:rsidRPr="004F7330" w:rsidRDefault="00735ADD" w:rsidP="00F80490">
            <w:pPr>
              <w:pStyle w:val="TableText"/>
              <w:rPr>
                <w:lang w:val="en-GB" w:eastAsia="zh-CN"/>
              </w:rPr>
            </w:pPr>
            <m:oMathPara>
              <m:oMathParaPr>
                <m:jc m:val="left"/>
              </m:oMathParaPr>
              <m:oMath>
                <m:r>
                  <w:rPr>
                    <w:rFonts w:ascii="Cambria Math" w:hAnsi="Cambria Math"/>
                    <w:lang w:val="en-GB" w:eastAsia="zh-CN"/>
                  </w:rPr>
                  <m:t>COUNT</m:t>
                </m:r>
              </m:oMath>
            </m:oMathPara>
          </w:p>
        </w:tc>
        <w:tc>
          <w:tcPr>
            <w:tcW w:w="556" w:type="pct"/>
            <w:tcBorders>
              <w:top w:val="nil"/>
              <w:left w:val="nil"/>
              <w:bottom w:val="nil"/>
              <w:right w:val="nil"/>
            </w:tcBorders>
            <w:shd w:val="clear" w:color="auto" w:fill="auto"/>
            <w:noWrap/>
            <w:vAlign w:val="center"/>
            <w:hideMark/>
          </w:tcPr>
          <w:p w14:paraId="5AB6E258" w14:textId="58ADAA47" w:rsidR="00735ADD" w:rsidRPr="004F7330" w:rsidRDefault="00735ADD" w:rsidP="00F80490">
            <w:pPr>
              <w:pStyle w:val="TableText"/>
              <w:jc w:val="right"/>
              <w:rPr>
                <w:lang w:val="en-GB" w:eastAsia="zh-CN"/>
              </w:rPr>
            </w:pPr>
            <w:r w:rsidRPr="00495BC0">
              <w:rPr>
                <w:lang w:val="en-GB" w:eastAsia="zh-CN"/>
              </w:rPr>
              <w:t>11</w:t>
            </w:r>
            <w:r w:rsidR="00F552F1">
              <w:rPr>
                <w:lang w:val="en-GB" w:eastAsia="zh-CN"/>
              </w:rPr>
              <w:t>,</w:t>
            </w:r>
            <w:r w:rsidRPr="00495BC0">
              <w:rPr>
                <w:lang w:val="en-GB" w:eastAsia="zh-CN"/>
              </w:rPr>
              <w:t>345</w:t>
            </w:r>
          </w:p>
        </w:tc>
        <w:tc>
          <w:tcPr>
            <w:tcW w:w="593" w:type="pct"/>
            <w:tcBorders>
              <w:top w:val="nil"/>
              <w:left w:val="nil"/>
              <w:bottom w:val="nil"/>
              <w:right w:val="nil"/>
            </w:tcBorders>
            <w:shd w:val="clear" w:color="auto" w:fill="auto"/>
            <w:noWrap/>
            <w:vAlign w:val="center"/>
            <w:hideMark/>
          </w:tcPr>
          <w:p w14:paraId="351621DC" w14:textId="77777777" w:rsidR="00735ADD" w:rsidRPr="004F7330" w:rsidRDefault="00735ADD" w:rsidP="00F80490">
            <w:pPr>
              <w:pStyle w:val="TableText"/>
              <w:jc w:val="right"/>
              <w:rPr>
                <w:lang w:val="en-GB" w:eastAsia="zh-CN"/>
              </w:rPr>
            </w:pPr>
            <w:r w:rsidRPr="004F7330">
              <w:rPr>
                <w:lang w:val="en-GB" w:eastAsia="zh-CN"/>
              </w:rPr>
              <w:t>0.014</w:t>
            </w:r>
          </w:p>
        </w:tc>
        <w:tc>
          <w:tcPr>
            <w:tcW w:w="539" w:type="pct"/>
            <w:gridSpan w:val="2"/>
            <w:tcBorders>
              <w:top w:val="nil"/>
              <w:left w:val="nil"/>
              <w:bottom w:val="nil"/>
              <w:right w:val="nil"/>
            </w:tcBorders>
            <w:shd w:val="clear" w:color="auto" w:fill="auto"/>
            <w:noWrap/>
            <w:vAlign w:val="center"/>
            <w:hideMark/>
          </w:tcPr>
          <w:p w14:paraId="2D1DD13C" w14:textId="77777777" w:rsidR="00735ADD" w:rsidRPr="004F7330" w:rsidRDefault="00735ADD" w:rsidP="00F80490">
            <w:pPr>
              <w:pStyle w:val="TableText"/>
              <w:jc w:val="right"/>
              <w:rPr>
                <w:lang w:val="en-GB" w:eastAsia="zh-CN"/>
              </w:rPr>
            </w:pPr>
            <w:r w:rsidRPr="004F7330">
              <w:rPr>
                <w:lang w:val="en-GB" w:eastAsia="zh-CN"/>
              </w:rPr>
              <w:t>0.620</w:t>
            </w:r>
          </w:p>
        </w:tc>
        <w:tc>
          <w:tcPr>
            <w:tcW w:w="594" w:type="pct"/>
            <w:tcBorders>
              <w:top w:val="nil"/>
              <w:left w:val="nil"/>
              <w:bottom w:val="nil"/>
              <w:right w:val="nil"/>
            </w:tcBorders>
            <w:shd w:val="clear" w:color="auto" w:fill="auto"/>
            <w:noWrap/>
            <w:vAlign w:val="center"/>
            <w:hideMark/>
          </w:tcPr>
          <w:p w14:paraId="6BF0BC3E" w14:textId="77777777" w:rsidR="00735ADD" w:rsidRPr="004F7330" w:rsidRDefault="00735ADD" w:rsidP="00F80490">
            <w:pPr>
              <w:pStyle w:val="TableText"/>
              <w:jc w:val="right"/>
              <w:rPr>
                <w:lang w:val="en-GB" w:eastAsia="zh-CN"/>
              </w:rPr>
            </w:pPr>
            <w:r w:rsidRPr="004F7330">
              <w:rPr>
                <w:lang w:val="en-GB" w:eastAsia="zh-CN"/>
              </w:rPr>
              <w:t>0.000</w:t>
            </w:r>
          </w:p>
        </w:tc>
        <w:tc>
          <w:tcPr>
            <w:tcW w:w="594" w:type="pct"/>
            <w:gridSpan w:val="2"/>
            <w:tcBorders>
              <w:top w:val="nil"/>
              <w:left w:val="nil"/>
              <w:bottom w:val="nil"/>
              <w:right w:val="nil"/>
            </w:tcBorders>
            <w:shd w:val="clear" w:color="auto" w:fill="auto"/>
            <w:noWrap/>
            <w:vAlign w:val="center"/>
            <w:hideMark/>
          </w:tcPr>
          <w:p w14:paraId="0D728160" w14:textId="77777777" w:rsidR="00735ADD" w:rsidRPr="004F7330" w:rsidRDefault="00735ADD" w:rsidP="00F80490">
            <w:pPr>
              <w:pStyle w:val="TableText"/>
              <w:jc w:val="right"/>
              <w:rPr>
                <w:lang w:val="en-GB" w:eastAsia="zh-CN"/>
              </w:rPr>
            </w:pPr>
            <w:r w:rsidRPr="004F7330">
              <w:rPr>
                <w:lang w:val="en-GB" w:eastAsia="zh-CN"/>
              </w:rPr>
              <w:t>0.000</w:t>
            </w:r>
          </w:p>
        </w:tc>
        <w:tc>
          <w:tcPr>
            <w:tcW w:w="591" w:type="pct"/>
            <w:tcBorders>
              <w:top w:val="nil"/>
              <w:left w:val="nil"/>
              <w:bottom w:val="nil"/>
              <w:right w:val="nil"/>
            </w:tcBorders>
            <w:shd w:val="clear" w:color="auto" w:fill="auto"/>
            <w:noWrap/>
            <w:vAlign w:val="center"/>
            <w:hideMark/>
          </w:tcPr>
          <w:p w14:paraId="7CD9F43F" w14:textId="77777777" w:rsidR="00735ADD" w:rsidRPr="004F7330" w:rsidRDefault="00735ADD" w:rsidP="00F80490">
            <w:pPr>
              <w:pStyle w:val="TableText"/>
              <w:jc w:val="right"/>
              <w:rPr>
                <w:lang w:val="en-GB" w:eastAsia="zh-CN"/>
              </w:rPr>
            </w:pPr>
            <w:r w:rsidRPr="004F7330">
              <w:rPr>
                <w:lang w:val="en-GB" w:eastAsia="zh-CN"/>
              </w:rPr>
              <w:t>0.000</w:t>
            </w:r>
          </w:p>
        </w:tc>
      </w:tr>
      <w:tr w:rsidR="00735ADD" w:rsidRPr="004F7330" w14:paraId="5DBFAED1" w14:textId="77777777" w:rsidTr="00DC68CD">
        <w:trPr>
          <w:trHeight w:val="300"/>
        </w:trPr>
        <w:tc>
          <w:tcPr>
            <w:tcW w:w="1533" w:type="pct"/>
            <w:tcBorders>
              <w:top w:val="nil"/>
              <w:left w:val="nil"/>
              <w:bottom w:val="nil"/>
              <w:right w:val="nil"/>
            </w:tcBorders>
            <w:shd w:val="clear" w:color="auto" w:fill="auto"/>
            <w:noWrap/>
            <w:vAlign w:val="center"/>
            <w:hideMark/>
          </w:tcPr>
          <w:p w14:paraId="43110760" w14:textId="77777777" w:rsidR="00735ADD" w:rsidRPr="004F7330" w:rsidRDefault="00735ADD" w:rsidP="00F80490">
            <w:pPr>
              <w:pStyle w:val="TableText"/>
              <w:rPr>
                <w:lang w:val="en-GB" w:eastAsia="zh-CN"/>
              </w:rPr>
            </w:pPr>
            <m:oMathPara>
              <m:oMathParaPr>
                <m:jc m:val="left"/>
              </m:oMathParaPr>
              <m:oMath>
                <m:r>
                  <w:rPr>
                    <w:rFonts w:ascii="Cambria Math" w:hAnsi="Cambria Math"/>
                    <w:lang w:val="en-GB" w:eastAsia="zh-CN"/>
                  </w:rPr>
                  <m:t>NCSKEW</m:t>
                </m:r>
              </m:oMath>
            </m:oMathPara>
          </w:p>
        </w:tc>
        <w:tc>
          <w:tcPr>
            <w:tcW w:w="556" w:type="pct"/>
            <w:tcBorders>
              <w:top w:val="nil"/>
              <w:left w:val="nil"/>
              <w:bottom w:val="nil"/>
              <w:right w:val="nil"/>
            </w:tcBorders>
            <w:shd w:val="clear" w:color="auto" w:fill="auto"/>
            <w:noWrap/>
            <w:vAlign w:val="center"/>
            <w:hideMark/>
          </w:tcPr>
          <w:p w14:paraId="7F54CE87" w14:textId="196A5643" w:rsidR="00735ADD" w:rsidRPr="004F7330" w:rsidRDefault="00735ADD" w:rsidP="00F80490">
            <w:pPr>
              <w:pStyle w:val="TableText"/>
              <w:jc w:val="right"/>
              <w:rPr>
                <w:lang w:val="en-GB" w:eastAsia="zh-CN"/>
              </w:rPr>
            </w:pPr>
            <w:r w:rsidRPr="00495BC0">
              <w:rPr>
                <w:lang w:val="en-GB" w:eastAsia="zh-CN"/>
              </w:rPr>
              <w:t>11</w:t>
            </w:r>
            <w:r w:rsidR="00F552F1">
              <w:rPr>
                <w:lang w:val="en-GB" w:eastAsia="zh-CN"/>
              </w:rPr>
              <w:t>,</w:t>
            </w:r>
            <w:r w:rsidRPr="00495BC0">
              <w:rPr>
                <w:lang w:val="en-GB" w:eastAsia="zh-CN"/>
              </w:rPr>
              <w:t>345</w:t>
            </w:r>
          </w:p>
        </w:tc>
        <w:tc>
          <w:tcPr>
            <w:tcW w:w="593" w:type="pct"/>
            <w:tcBorders>
              <w:top w:val="nil"/>
              <w:left w:val="nil"/>
              <w:bottom w:val="nil"/>
              <w:right w:val="nil"/>
            </w:tcBorders>
            <w:shd w:val="clear" w:color="auto" w:fill="auto"/>
            <w:noWrap/>
            <w:vAlign w:val="center"/>
            <w:hideMark/>
          </w:tcPr>
          <w:p w14:paraId="73841D61" w14:textId="77777777" w:rsidR="00735ADD" w:rsidRPr="004F7330" w:rsidRDefault="00735ADD" w:rsidP="00F80490">
            <w:pPr>
              <w:pStyle w:val="TableText"/>
              <w:jc w:val="right"/>
              <w:rPr>
                <w:lang w:val="en-GB" w:eastAsia="zh-CN"/>
              </w:rPr>
            </w:pPr>
            <w:r w:rsidRPr="004F7330">
              <w:rPr>
                <w:lang w:val="en-GB" w:eastAsia="zh-CN"/>
              </w:rPr>
              <w:t>0.076</w:t>
            </w:r>
          </w:p>
        </w:tc>
        <w:tc>
          <w:tcPr>
            <w:tcW w:w="539" w:type="pct"/>
            <w:gridSpan w:val="2"/>
            <w:tcBorders>
              <w:top w:val="nil"/>
              <w:left w:val="nil"/>
              <w:bottom w:val="nil"/>
              <w:right w:val="nil"/>
            </w:tcBorders>
            <w:shd w:val="clear" w:color="auto" w:fill="auto"/>
            <w:noWrap/>
            <w:vAlign w:val="center"/>
            <w:hideMark/>
          </w:tcPr>
          <w:p w14:paraId="2E681AAF" w14:textId="77777777" w:rsidR="00735ADD" w:rsidRPr="004F7330" w:rsidRDefault="00735ADD" w:rsidP="00F80490">
            <w:pPr>
              <w:pStyle w:val="TableText"/>
              <w:jc w:val="right"/>
              <w:rPr>
                <w:lang w:val="en-GB" w:eastAsia="zh-CN"/>
              </w:rPr>
            </w:pPr>
            <w:r w:rsidRPr="004F7330">
              <w:rPr>
                <w:lang w:val="en-GB" w:eastAsia="zh-CN"/>
              </w:rPr>
              <w:t>0.840</w:t>
            </w:r>
          </w:p>
        </w:tc>
        <w:tc>
          <w:tcPr>
            <w:tcW w:w="594" w:type="pct"/>
            <w:tcBorders>
              <w:top w:val="nil"/>
              <w:left w:val="nil"/>
              <w:bottom w:val="nil"/>
              <w:right w:val="nil"/>
            </w:tcBorders>
            <w:shd w:val="clear" w:color="auto" w:fill="auto"/>
            <w:noWrap/>
            <w:vAlign w:val="center"/>
            <w:hideMark/>
          </w:tcPr>
          <w:p w14:paraId="6AD47C92" w14:textId="77777777" w:rsidR="00735ADD" w:rsidRPr="004F7330" w:rsidRDefault="00735ADD" w:rsidP="00F80490">
            <w:pPr>
              <w:pStyle w:val="TableText"/>
              <w:jc w:val="right"/>
              <w:rPr>
                <w:lang w:val="en-GB" w:eastAsia="zh-CN"/>
              </w:rPr>
            </w:pPr>
            <w:r w:rsidRPr="004F7330">
              <w:rPr>
                <w:lang w:val="en-GB" w:eastAsia="zh-CN"/>
              </w:rPr>
              <w:t>-0.409</w:t>
            </w:r>
          </w:p>
        </w:tc>
        <w:tc>
          <w:tcPr>
            <w:tcW w:w="594" w:type="pct"/>
            <w:gridSpan w:val="2"/>
            <w:tcBorders>
              <w:top w:val="nil"/>
              <w:left w:val="nil"/>
              <w:bottom w:val="nil"/>
              <w:right w:val="nil"/>
            </w:tcBorders>
            <w:shd w:val="clear" w:color="auto" w:fill="auto"/>
            <w:noWrap/>
            <w:vAlign w:val="center"/>
            <w:hideMark/>
          </w:tcPr>
          <w:p w14:paraId="74BBD470" w14:textId="77777777" w:rsidR="00735ADD" w:rsidRPr="004F7330" w:rsidRDefault="00735ADD" w:rsidP="00F80490">
            <w:pPr>
              <w:pStyle w:val="TableText"/>
              <w:jc w:val="right"/>
              <w:rPr>
                <w:lang w:val="en-GB" w:eastAsia="zh-CN"/>
              </w:rPr>
            </w:pPr>
            <w:r w:rsidRPr="004F7330">
              <w:rPr>
                <w:lang w:val="en-GB" w:eastAsia="zh-CN"/>
              </w:rPr>
              <w:t>0.016</w:t>
            </w:r>
          </w:p>
        </w:tc>
        <w:tc>
          <w:tcPr>
            <w:tcW w:w="591" w:type="pct"/>
            <w:tcBorders>
              <w:top w:val="nil"/>
              <w:left w:val="nil"/>
              <w:bottom w:val="nil"/>
              <w:right w:val="nil"/>
            </w:tcBorders>
            <w:shd w:val="clear" w:color="auto" w:fill="auto"/>
            <w:noWrap/>
            <w:vAlign w:val="center"/>
            <w:hideMark/>
          </w:tcPr>
          <w:p w14:paraId="64D1C000" w14:textId="77777777" w:rsidR="00735ADD" w:rsidRPr="004F7330" w:rsidRDefault="00735ADD" w:rsidP="00F80490">
            <w:pPr>
              <w:pStyle w:val="TableText"/>
              <w:jc w:val="right"/>
              <w:rPr>
                <w:lang w:val="en-GB" w:eastAsia="zh-CN"/>
              </w:rPr>
            </w:pPr>
            <w:r w:rsidRPr="004F7330">
              <w:rPr>
                <w:lang w:val="en-GB" w:eastAsia="zh-CN"/>
              </w:rPr>
              <w:t>0.479</w:t>
            </w:r>
          </w:p>
        </w:tc>
      </w:tr>
      <w:tr w:rsidR="00735ADD" w:rsidRPr="004F7330" w14:paraId="37B24408" w14:textId="77777777" w:rsidTr="00DC68CD">
        <w:trPr>
          <w:trHeight w:val="300"/>
        </w:trPr>
        <w:tc>
          <w:tcPr>
            <w:tcW w:w="1533" w:type="pct"/>
            <w:tcBorders>
              <w:top w:val="nil"/>
              <w:left w:val="nil"/>
              <w:bottom w:val="nil"/>
              <w:right w:val="nil"/>
            </w:tcBorders>
            <w:shd w:val="clear" w:color="auto" w:fill="auto"/>
            <w:noWrap/>
            <w:vAlign w:val="center"/>
            <w:hideMark/>
          </w:tcPr>
          <w:p w14:paraId="1DA27A92" w14:textId="77777777" w:rsidR="00735ADD" w:rsidRPr="004F7330" w:rsidRDefault="00735ADD" w:rsidP="00F80490">
            <w:pPr>
              <w:pStyle w:val="TableText"/>
              <w:rPr>
                <w:lang w:val="en-GB" w:eastAsia="zh-CN"/>
              </w:rPr>
            </w:pPr>
            <m:oMathPara>
              <m:oMathParaPr>
                <m:jc m:val="left"/>
              </m:oMathParaPr>
              <m:oMath>
                <m:r>
                  <w:rPr>
                    <w:rFonts w:ascii="Cambria Math" w:hAnsi="Cambria Math"/>
                    <w:lang w:val="en-GB" w:eastAsia="zh-CN"/>
                  </w:rPr>
                  <m:t>DUVOL</m:t>
                </m:r>
              </m:oMath>
            </m:oMathPara>
          </w:p>
        </w:tc>
        <w:tc>
          <w:tcPr>
            <w:tcW w:w="556" w:type="pct"/>
            <w:tcBorders>
              <w:top w:val="nil"/>
              <w:left w:val="nil"/>
              <w:bottom w:val="nil"/>
              <w:right w:val="nil"/>
            </w:tcBorders>
            <w:shd w:val="clear" w:color="auto" w:fill="auto"/>
            <w:noWrap/>
            <w:vAlign w:val="center"/>
            <w:hideMark/>
          </w:tcPr>
          <w:p w14:paraId="7D44E311" w14:textId="1F7C1478" w:rsidR="00735ADD" w:rsidRPr="004F7330" w:rsidRDefault="00735ADD" w:rsidP="00F80490">
            <w:pPr>
              <w:pStyle w:val="TableText"/>
              <w:jc w:val="right"/>
              <w:rPr>
                <w:lang w:val="en-GB" w:eastAsia="zh-CN"/>
              </w:rPr>
            </w:pPr>
            <w:r w:rsidRPr="00495BC0">
              <w:rPr>
                <w:lang w:val="en-GB" w:eastAsia="zh-CN"/>
              </w:rPr>
              <w:t>11</w:t>
            </w:r>
            <w:r w:rsidR="00F552F1">
              <w:rPr>
                <w:lang w:val="en-GB" w:eastAsia="zh-CN"/>
              </w:rPr>
              <w:t>,</w:t>
            </w:r>
            <w:r w:rsidRPr="00495BC0">
              <w:rPr>
                <w:lang w:val="en-GB" w:eastAsia="zh-CN"/>
              </w:rPr>
              <w:t>345</w:t>
            </w:r>
          </w:p>
        </w:tc>
        <w:tc>
          <w:tcPr>
            <w:tcW w:w="593" w:type="pct"/>
            <w:tcBorders>
              <w:top w:val="nil"/>
              <w:left w:val="nil"/>
              <w:bottom w:val="nil"/>
              <w:right w:val="nil"/>
            </w:tcBorders>
            <w:shd w:val="clear" w:color="auto" w:fill="auto"/>
            <w:noWrap/>
            <w:vAlign w:val="center"/>
            <w:hideMark/>
          </w:tcPr>
          <w:p w14:paraId="56C7ED93" w14:textId="77777777" w:rsidR="00735ADD" w:rsidRPr="004F7330" w:rsidRDefault="00735ADD" w:rsidP="00F80490">
            <w:pPr>
              <w:pStyle w:val="TableText"/>
              <w:jc w:val="right"/>
              <w:rPr>
                <w:lang w:val="en-GB" w:eastAsia="zh-CN"/>
              </w:rPr>
            </w:pPr>
            <w:r w:rsidRPr="004F7330">
              <w:rPr>
                <w:lang w:val="en-GB" w:eastAsia="zh-CN"/>
              </w:rPr>
              <w:t>0.042</w:t>
            </w:r>
          </w:p>
        </w:tc>
        <w:tc>
          <w:tcPr>
            <w:tcW w:w="539" w:type="pct"/>
            <w:gridSpan w:val="2"/>
            <w:tcBorders>
              <w:top w:val="nil"/>
              <w:left w:val="nil"/>
              <w:bottom w:val="nil"/>
              <w:right w:val="nil"/>
            </w:tcBorders>
            <w:shd w:val="clear" w:color="auto" w:fill="auto"/>
            <w:noWrap/>
            <w:vAlign w:val="center"/>
            <w:hideMark/>
          </w:tcPr>
          <w:p w14:paraId="4EF1F78B" w14:textId="77777777" w:rsidR="00735ADD" w:rsidRPr="004F7330" w:rsidRDefault="00735ADD" w:rsidP="00F80490">
            <w:pPr>
              <w:pStyle w:val="TableText"/>
              <w:jc w:val="right"/>
              <w:rPr>
                <w:lang w:val="en-GB" w:eastAsia="zh-CN"/>
              </w:rPr>
            </w:pPr>
            <w:r w:rsidRPr="004F7330">
              <w:rPr>
                <w:lang w:val="en-GB" w:eastAsia="zh-CN"/>
              </w:rPr>
              <w:t>0.520</w:t>
            </w:r>
          </w:p>
        </w:tc>
        <w:tc>
          <w:tcPr>
            <w:tcW w:w="594" w:type="pct"/>
            <w:tcBorders>
              <w:top w:val="nil"/>
              <w:left w:val="nil"/>
              <w:bottom w:val="nil"/>
              <w:right w:val="nil"/>
            </w:tcBorders>
            <w:shd w:val="clear" w:color="auto" w:fill="auto"/>
            <w:noWrap/>
            <w:vAlign w:val="center"/>
            <w:hideMark/>
          </w:tcPr>
          <w:p w14:paraId="33B272DA" w14:textId="77777777" w:rsidR="00735ADD" w:rsidRPr="004F7330" w:rsidRDefault="00735ADD" w:rsidP="00F80490">
            <w:pPr>
              <w:pStyle w:val="TableText"/>
              <w:jc w:val="right"/>
              <w:rPr>
                <w:lang w:val="en-GB" w:eastAsia="zh-CN"/>
              </w:rPr>
            </w:pPr>
            <w:r w:rsidRPr="004F7330">
              <w:rPr>
                <w:lang w:val="en-GB" w:eastAsia="zh-CN"/>
              </w:rPr>
              <w:t>-0.308</w:t>
            </w:r>
          </w:p>
        </w:tc>
        <w:tc>
          <w:tcPr>
            <w:tcW w:w="594" w:type="pct"/>
            <w:gridSpan w:val="2"/>
            <w:tcBorders>
              <w:top w:val="nil"/>
              <w:left w:val="nil"/>
              <w:bottom w:val="nil"/>
              <w:right w:val="nil"/>
            </w:tcBorders>
            <w:shd w:val="clear" w:color="auto" w:fill="auto"/>
            <w:noWrap/>
            <w:vAlign w:val="center"/>
            <w:hideMark/>
          </w:tcPr>
          <w:p w14:paraId="5FECE97D" w14:textId="77777777" w:rsidR="00735ADD" w:rsidRPr="004F7330" w:rsidRDefault="00735ADD" w:rsidP="00F80490">
            <w:pPr>
              <w:pStyle w:val="TableText"/>
              <w:jc w:val="right"/>
              <w:rPr>
                <w:lang w:val="en-GB" w:eastAsia="zh-CN"/>
              </w:rPr>
            </w:pPr>
            <w:r w:rsidRPr="004F7330">
              <w:rPr>
                <w:lang w:val="en-GB" w:eastAsia="zh-CN"/>
              </w:rPr>
              <w:t>0.016</w:t>
            </w:r>
          </w:p>
        </w:tc>
        <w:tc>
          <w:tcPr>
            <w:tcW w:w="591" w:type="pct"/>
            <w:tcBorders>
              <w:top w:val="nil"/>
              <w:left w:val="nil"/>
              <w:bottom w:val="nil"/>
              <w:right w:val="nil"/>
            </w:tcBorders>
            <w:shd w:val="clear" w:color="auto" w:fill="auto"/>
            <w:noWrap/>
            <w:vAlign w:val="center"/>
            <w:hideMark/>
          </w:tcPr>
          <w:p w14:paraId="1EC64784" w14:textId="77777777" w:rsidR="00735ADD" w:rsidRPr="004F7330" w:rsidRDefault="00735ADD" w:rsidP="00F80490">
            <w:pPr>
              <w:pStyle w:val="TableText"/>
              <w:jc w:val="right"/>
              <w:rPr>
                <w:lang w:val="en-GB" w:eastAsia="zh-CN"/>
              </w:rPr>
            </w:pPr>
            <w:r w:rsidRPr="004F7330">
              <w:rPr>
                <w:lang w:val="en-GB" w:eastAsia="zh-CN"/>
              </w:rPr>
              <w:t>0.360</w:t>
            </w:r>
          </w:p>
        </w:tc>
      </w:tr>
      <w:tr w:rsidR="00735ADD" w:rsidRPr="004F7330" w14:paraId="26837647" w14:textId="77777777" w:rsidTr="00DC68CD">
        <w:trPr>
          <w:trHeight w:val="300"/>
        </w:trPr>
        <w:tc>
          <w:tcPr>
            <w:tcW w:w="1533" w:type="pct"/>
            <w:tcBorders>
              <w:top w:val="nil"/>
              <w:left w:val="nil"/>
              <w:bottom w:val="nil"/>
              <w:right w:val="nil"/>
            </w:tcBorders>
            <w:shd w:val="clear" w:color="auto" w:fill="auto"/>
            <w:noWrap/>
            <w:vAlign w:val="center"/>
            <w:hideMark/>
          </w:tcPr>
          <w:p w14:paraId="4CE8BFC5" w14:textId="77777777" w:rsidR="00735ADD" w:rsidRPr="004F7330" w:rsidRDefault="00735ADD" w:rsidP="00F80490">
            <w:pPr>
              <w:pStyle w:val="TableText"/>
              <w:rPr>
                <w:lang w:val="en-GB" w:eastAsia="zh-CN"/>
              </w:rPr>
            </w:pPr>
            <m:oMathPara>
              <m:oMathParaPr>
                <m:jc m:val="left"/>
              </m:oMathParaPr>
              <m:oMath>
                <m:r>
                  <m:rPr>
                    <m:sty m:val="p"/>
                  </m:rPr>
                  <w:rPr>
                    <w:rFonts w:ascii="Cambria Math" w:hAnsi="Cambria Math"/>
                    <w:lang w:val="en-GB" w:eastAsia="zh-CN"/>
                  </w:rPr>
                  <m:t>∆</m:t>
                </m:r>
                <m:r>
                  <w:rPr>
                    <w:rFonts w:ascii="Cambria Math" w:hAnsi="Cambria Math"/>
                    <w:lang w:val="en-GB" w:eastAsia="zh-CN"/>
                  </w:rPr>
                  <m:t>TURNOVER</m:t>
                </m:r>
              </m:oMath>
            </m:oMathPara>
          </w:p>
        </w:tc>
        <w:tc>
          <w:tcPr>
            <w:tcW w:w="556" w:type="pct"/>
            <w:tcBorders>
              <w:top w:val="nil"/>
              <w:left w:val="nil"/>
              <w:bottom w:val="nil"/>
              <w:right w:val="nil"/>
            </w:tcBorders>
            <w:shd w:val="clear" w:color="auto" w:fill="auto"/>
            <w:noWrap/>
            <w:vAlign w:val="center"/>
            <w:hideMark/>
          </w:tcPr>
          <w:p w14:paraId="1811D2BE" w14:textId="762A080C" w:rsidR="00735ADD" w:rsidRPr="004F7330" w:rsidRDefault="00735ADD" w:rsidP="00F80490">
            <w:pPr>
              <w:pStyle w:val="TableText"/>
              <w:jc w:val="right"/>
              <w:rPr>
                <w:lang w:val="en-GB" w:eastAsia="zh-CN"/>
              </w:rPr>
            </w:pPr>
            <w:r w:rsidRPr="00495BC0">
              <w:rPr>
                <w:lang w:val="en-GB" w:eastAsia="zh-CN"/>
              </w:rPr>
              <w:t>11</w:t>
            </w:r>
            <w:r w:rsidR="00F552F1">
              <w:rPr>
                <w:lang w:val="en-GB" w:eastAsia="zh-CN"/>
              </w:rPr>
              <w:t>,</w:t>
            </w:r>
            <w:r w:rsidRPr="00495BC0">
              <w:rPr>
                <w:lang w:val="en-GB" w:eastAsia="zh-CN"/>
              </w:rPr>
              <w:t>345</w:t>
            </w:r>
          </w:p>
        </w:tc>
        <w:tc>
          <w:tcPr>
            <w:tcW w:w="593" w:type="pct"/>
            <w:tcBorders>
              <w:top w:val="nil"/>
              <w:left w:val="nil"/>
              <w:bottom w:val="nil"/>
              <w:right w:val="nil"/>
            </w:tcBorders>
            <w:shd w:val="clear" w:color="auto" w:fill="auto"/>
            <w:noWrap/>
            <w:vAlign w:val="center"/>
            <w:hideMark/>
          </w:tcPr>
          <w:p w14:paraId="7ECE8542" w14:textId="77777777" w:rsidR="00735ADD" w:rsidRPr="004F7330" w:rsidRDefault="00735ADD" w:rsidP="00F80490">
            <w:pPr>
              <w:pStyle w:val="TableText"/>
              <w:jc w:val="right"/>
              <w:rPr>
                <w:lang w:val="en-GB" w:eastAsia="zh-CN"/>
              </w:rPr>
            </w:pPr>
            <w:r w:rsidRPr="004F7330">
              <w:rPr>
                <w:lang w:val="en-GB" w:eastAsia="zh-CN"/>
              </w:rPr>
              <w:t>-0.005</w:t>
            </w:r>
          </w:p>
        </w:tc>
        <w:tc>
          <w:tcPr>
            <w:tcW w:w="539" w:type="pct"/>
            <w:gridSpan w:val="2"/>
            <w:tcBorders>
              <w:top w:val="nil"/>
              <w:left w:val="nil"/>
              <w:bottom w:val="nil"/>
              <w:right w:val="nil"/>
            </w:tcBorders>
            <w:shd w:val="clear" w:color="auto" w:fill="auto"/>
            <w:noWrap/>
            <w:vAlign w:val="center"/>
            <w:hideMark/>
          </w:tcPr>
          <w:p w14:paraId="53DB24B2" w14:textId="77777777" w:rsidR="00735ADD" w:rsidRPr="004F7330" w:rsidRDefault="00735ADD" w:rsidP="00F80490">
            <w:pPr>
              <w:pStyle w:val="TableText"/>
              <w:jc w:val="right"/>
              <w:rPr>
                <w:lang w:val="en-GB" w:eastAsia="zh-CN"/>
              </w:rPr>
            </w:pPr>
            <w:r w:rsidRPr="004F7330">
              <w:rPr>
                <w:lang w:val="en-GB" w:eastAsia="zh-CN"/>
              </w:rPr>
              <w:t>0.107</w:t>
            </w:r>
          </w:p>
        </w:tc>
        <w:tc>
          <w:tcPr>
            <w:tcW w:w="594" w:type="pct"/>
            <w:tcBorders>
              <w:top w:val="nil"/>
              <w:left w:val="nil"/>
              <w:bottom w:val="nil"/>
              <w:right w:val="nil"/>
            </w:tcBorders>
            <w:shd w:val="clear" w:color="auto" w:fill="auto"/>
            <w:noWrap/>
            <w:vAlign w:val="center"/>
            <w:hideMark/>
          </w:tcPr>
          <w:p w14:paraId="191B93E9" w14:textId="77777777" w:rsidR="00735ADD" w:rsidRPr="004F7330" w:rsidRDefault="00735ADD" w:rsidP="00F80490">
            <w:pPr>
              <w:pStyle w:val="TableText"/>
              <w:jc w:val="right"/>
              <w:rPr>
                <w:lang w:val="en-GB" w:eastAsia="zh-CN"/>
              </w:rPr>
            </w:pPr>
            <w:r w:rsidRPr="004F7330">
              <w:rPr>
                <w:lang w:val="en-GB" w:eastAsia="zh-CN"/>
              </w:rPr>
              <w:t>-0.038</w:t>
            </w:r>
          </w:p>
        </w:tc>
        <w:tc>
          <w:tcPr>
            <w:tcW w:w="594" w:type="pct"/>
            <w:gridSpan w:val="2"/>
            <w:tcBorders>
              <w:top w:val="nil"/>
              <w:left w:val="nil"/>
              <w:bottom w:val="nil"/>
              <w:right w:val="nil"/>
            </w:tcBorders>
            <w:shd w:val="clear" w:color="auto" w:fill="auto"/>
            <w:noWrap/>
            <w:vAlign w:val="center"/>
            <w:hideMark/>
          </w:tcPr>
          <w:p w14:paraId="520623EA" w14:textId="77777777" w:rsidR="00735ADD" w:rsidRPr="004F7330" w:rsidRDefault="00735ADD" w:rsidP="00F80490">
            <w:pPr>
              <w:pStyle w:val="TableText"/>
              <w:jc w:val="right"/>
              <w:rPr>
                <w:lang w:val="en-GB" w:eastAsia="zh-CN"/>
              </w:rPr>
            </w:pPr>
            <w:r w:rsidRPr="004F7330">
              <w:rPr>
                <w:lang w:val="en-GB" w:eastAsia="zh-CN"/>
              </w:rPr>
              <w:t>-0.005</w:t>
            </w:r>
          </w:p>
        </w:tc>
        <w:tc>
          <w:tcPr>
            <w:tcW w:w="591" w:type="pct"/>
            <w:tcBorders>
              <w:top w:val="nil"/>
              <w:left w:val="nil"/>
              <w:bottom w:val="nil"/>
              <w:right w:val="nil"/>
            </w:tcBorders>
            <w:shd w:val="clear" w:color="auto" w:fill="auto"/>
            <w:noWrap/>
            <w:vAlign w:val="center"/>
            <w:hideMark/>
          </w:tcPr>
          <w:p w14:paraId="509CB2C8" w14:textId="77777777" w:rsidR="00735ADD" w:rsidRPr="004F7330" w:rsidRDefault="00735ADD" w:rsidP="00F80490">
            <w:pPr>
              <w:pStyle w:val="TableText"/>
              <w:jc w:val="right"/>
              <w:rPr>
                <w:lang w:val="en-GB" w:eastAsia="zh-CN"/>
              </w:rPr>
            </w:pPr>
            <w:r w:rsidRPr="004F7330">
              <w:rPr>
                <w:lang w:val="en-GB" w:eastAsia="zh-CN"/>
              </w:rPr>
              <w:t>0.026</w:t>
            </w:r>
          </w:p>
        </w:tc>
      </w:tr>
      <w:tr w:rsidR="00735ADD" w:rsidRPr="004F7330" w14:paraId="5AD576D1" w14:textId="77777777" w:rsidTr="00DC68CD">
        <w:trPr>
          <w:trHeight w:val="300"/>
        </w:trPr>
        <w:tc>
          <w:tcPr>
            <w:tcW w:w="1533" w:type="pct"/>
            <w:tcBorders>
              <w:top w:val="nil"/>
              <w:left w:val="nil"/>
              <w:bottom w:val="nil"/>
              <w:right w:val="nil"/>
            </w:tcBorders>
            <w:shd w:val="clear" w:color="auto" w:fill="auto"/>
            <w:noWrap/>
            <w:vAlign w:val="center"/>
            <w:hideMark/>
          </w:tcPr>
          <w:p w14:paraId="1C5D508C" w14:textId="77777777" w:rsidR="00735ADD" w:rsidRPr="004F7330" w:rsidRDefault="00735ADD" w:rsidP="00F80490">
            <w:pPr>
              <w:pStyle w:val="TableText"/>
              <w:rPr>
                <w:lang w:val="en-GB" w:eastAsia="zh-CN"/>
              </w:rPr>
            </w:pPr>
            <m:oMathPara>
              <m:oMathParaPr>
                <m:jc m:val="left"/>
              </m:oMathParaPr>
              <m:oMath>
                <m:r>
                  <w:rPr>
                    <w:rFonts w:ascii="Cambria Math" w:hAnsi="Cambria Math"/>
                    <w:lang w:val="en-GB" w:eastAsia="zh-CN"/>
                  </w:rPr>
                  <m:t>STDFSRET</m:t>
                </m:r>
              </m:oMath>
            </m:oMathPara>
          </w:p>
        </w:tc>
        <w:tc>
          <w:tcPr>
            <w:tcW w:w="556" w:type="pct"/>
            <w:tcBorders>
              <w:top w:val="nil"/>
              <w:left w:val="nil"/>
              <w:bottom w:val="nil"/>
              <w:right w:val="nil"/>
            </w:tcBorders>
            <w:shd w:val="clear" w:color="auto" w:fill="auto"/>
            <w:noWrap/>
            <w:vAlign w:val="center"/>
            <w:hideMark/>
          </w:tcPr>
          <w:p w14:paraId="42E7BAAA" w14:textId="4583A700" w:rsidR="00735ADD" w:rsidRPr="004F7330" w:rsidRDefault="00735ADD" w:rsidP="00F80490">
            <w:pPr>
              <w:pStyle w:val="TableText"/>
              <w:jc w:val="right"/>
              <w:rPr>
                <w:lang w:val="en-GB" w:eastAsia="zh-CN"/>
              </w:rPr>
            </w:pPr>
            <w:r w:rsidRPr="00495BC0">
              <w:rPr>
                <w:lang w:val="en-GB" w:eastAsia="zh-CN"/>
              </w:rPr>
              <w:t>11</w:t>
            </w:r>
            <w:r w:rsidR="00F552F1">
              <w:rPr>
                <w:lang w:val="en-GB" w:eastAsia="zh-CN"/>
              </w:rPr>
              <w:t>,</w:t>
            </w:r>
            <w:r w:rsidRPr="00495BC0">
              <w:rPr>
                <w:lang w:val="en-GB" w:eastAsia="zh-CN"/>
              </w:rPr>
              <w:t>345</w:t>
            </w:r>
          </w:p>
        </w:tc>
        <w:tc>
          <w:tcPr>
            <w:tcW w:w="593" w:type="pct"/>
            <w:tcBorders>
              <w:top w:val="nil"/>
              <w:left w:val="nil"/>
              <w:bottom w:val="nil"/>
              <w:right w:val="nil"/>
            </w:tcBorders>
            <w:shd w:val="clear" w:color="auto" w:fill="auto"/>
            <w:noWrap/>
            <w:vAlign w:val="center"/>
            <w:hideMark/>
          </w:tcPr>
          <w:p w14:paraId="4EF0E140" w14:textId="77777777" w:rsidR="00735ADD" w:rsidRPr="004F7330" w:rsidRDefault="00735ADD" w:rsidP="00F80490">
            <w:pPr>
              <w:pStyle w:val="TableText"/>
              <w:jc w:val="right"/>
              <w:rPr>
                <w:lang w:val="en-GB" w:eastAsia="zh-CN"/>
              </w:rPr>
            </w:pPr>
            <w:r w:rsidRPr="004F7330">
              <w:rPr>
                <w:lang w:val="en-GB" w:eastAsia="zh-CN"/>
              </w:rPr>
              <w:t>0.045</w:t>
            </w:r>
          </w:p>
        </w:tc>
        <w:tc>
          <w:tcPr>
            <w:tcW w:w="539" w:type="pct"/>
            <w:gridSpan w:val="2"/>
            <w:tcBorders>
              <w:top w:val="nil"/>
              <w:left w:val="nil"/>
              <w:bottom w:val="nil"/>
              <w:right w:val="nil"/>
            </w:tcBorders>
            <w:shd w:val="clear" w:color="auto" w:fill="auto"/>
            <w:noWrap/>
            <w:vAlign w:val="center"/>
            <w:hideMark/>
          </w:tcPr>
          <w:p w14:paraId="09FE37C2" w14:textId="77777777" w:rsidR="00735ADD" w:rsidRPr="004F7330" w:rsidRDefault="00735ADD" w:rsidP="00F80490">
            <w:pPr>
              <w:pStyle w:val="TableText"/>
              <w:jc w:val="right"/>
              <w:rPr>
                <w:lang w:val="en-GB" w:eastAsia="zh-CN"/>
              </w:rPr>
            </w:pPr>
            <w:r w:rsidRPr="004F7330">
              <w:rPr>
                <w:lang w:val="en-GB" w:eastAsia="zh-CN"/>
              </w:rPr>
              <w:t>0.023</w:t>
            </w:r>
          </w:p>
        </w:tc>
        <w:tc>
          <w:tcPr>
            <w:tcW w:w="594" w:type="pct"/>
            <w:tcBorders>
              <w:top w:val="nil"/>
              <w:left w:val="nil"/>
              <w:bottom w:val="nil"/>
              <w:right w:val="nil"/>
            </w:tcBorders>
            <w:shd w:val="clear" w:color="auto" w:fill="auto"/>
            <w:noWrap/>
            <w:vAlign w:val="center"/>
            <w:hideMark/>
          </w:tcPr>
          <w:p w14:paraId="78ADC957" w14:textId="77777777" w:rsidR="00735ADD" w:rsidRPr="004F7330" w:rsidRDefault="00735ADD" w:rsidP="00F80490">
            <w:pPr>
              <w:pStyle w:val="TableText"/>
              <w:jc w:val="right"/>
              <w:rPr>
                <w:lang w:val="en-GB" w:eastAsia="zh-CN"/>
              </w:rPr>
            </w:pPr>
            <w:r w:rsidRPr="004F7330">
              <w:rPr>
                <w:lang w:val="en-GB" w:eastAsia="zh-CN"/>
              </w:rPr>
              <w:t>0.028</w:t>
            </w:r>
          </w:p>
        </w:tc>
        <w:tc>
          <w:tcPr>
            <w:tcW w:w="594" w:type="pct"/>
            <w:gridSpan w:val="2"/>
            <w:tcBorders>
              <w:top w:val="nil"/>
              <w:left w:val="nil"/>
              <w:bottom w:val="nil"/>
              <w:right w:val="nil"/>
            </w:tcBorders>
            <w:shd w:val="clear" w:color="auto" w:fill="auto"/>
            <w:noWrap/>
            <w:vAlign w:val="center"/>
            <w:hideMark/>
          </w:tcPr>
          <w:p w14:paraId="3E1213D4" w14:textId="77777777" w:rsidR="00735ADD" w:rsidRPr="004F7330" w:rsidRDefault="00735ADD" w:rsidP="00F80490">
            <w:pPr>
              <w:pStyle w:val="TableText"/>
              <w:jc w:val="right"/>
              <w:rPr>
                <w:lang w:val="en-GB" w:eastAsia="zh-CN"/>
              </w:rPr>
            </w:pPr>
            <w:r w:rsidRPr="004F7330">
              <w:rPr>
                <w:lang w:val="en-GB" w:eastAsia="zh-CN"/>
              </w:rPr>
              <w:t>0.040</w:t>
            </w:r>
          </w:p>
        </w:tc>
        <w:tc>
          <w:tcPr>
            <w:tcW w:w="591" w:type="pct"/>
            <w:tcBorders>
              <w:top w:val="nil"/>
              <w:left w:val="nil"/>
              <w:bottom w:val="nil"/>
              <w:right w:val="nil"/>
            </w:tcBorders>
            <w:shd w:val="clear" w:color="auto" w:fill="auto"/>
            <w:noWrap/>
            <w:vAlign w:val="center"/>
            <w:hideMark/>
          </w:tcPr>
          <w:p w14:paraId="568F845B" w14:textId="77777777" w:rsidR="00735ADD" w:rsidRPr="004F7330" w:rsidRDefault="00735ADD" w:rsidP="00F80490">
            <w:pPr>
              <w:pStyle w:val="TableText"/>
              <w:jc w:val="right"/>
              <w:rPr>
                <w:lang w:val="en-GB" w:eastAsia="zh-CN"/>
              </w:rPr>
            </w:pPr>
            <w:r w:rsidRPr="004F7330">
              <w:rPr>
                <w:lang w:val="en-GB" w:eastAsia="zh-CN"/>
              </w:rPr>
              <w:t>0.056</w:t>
            </w:r>
          </w:p>
        </w:tc>
      </w:tr>
      <w:tr w:rsidR="00735ADD" w:rsidRPr="004F7330" w14:paraId="4ACA9678" w14:textId="77777777" w:rsidTr="00DC68CD">
        <w:trPr>
          <w:trHeight w:val="300"/>
        </w:trPr>
        <w:tc>
          <w:tcPr>
            <w:tcW w:w="1533" w:type="pct"/>
            <w:tcBorders>
              <w:top w:val="nil"/>
              <w:left w:val="nil"/>
              <w:bottom w:val="nil"/>
              <w:right w:val="nil"/>
            </w:tcBorders>
            <w:shd w:val="clear" w:color="auto" w:fill="auto"/>
            <w:noWrap/>
            <w:vAlign w:val="center"/>
            <w:hideMark/>
          </w:tcPr>
          <w:p w14:paraId="4A3C0F02" w14:textId="77777777" w:rsidR="00735ADD" w:rsidRPr="004F7330" w:rsidRDefault="00735ADD" w:rsidP="00F80490">
            <w:pPr>
              <w:pStyle w:val="TableText"/>
              <w:rPr>
                <w:lang w:val="en-GB" w:eastAsia="zh-CN"/>
              </w:rPr>
            </w:pPr>
            <m:oMathPara>
              <m:oMathParaPr>
                <m:jc m:val="left"/>
              </m:oMathParaPr>
              <m:oMath>
                <m:r>
                  <w:rPr>
                    <w:rFonts w:ascii="Cambria Math" w:hAnsi="Cambria Math"/>
                    <w:lang w:val="en-GB" w:eastAsia="zh-CN"/>
                  </w:rPr>
                  <m:t>MEANFSRET</m:t>
                </m:r>
              </m:oMath>
            </m:oMathPara>
          </w:p>
        </w:tc>
        <w:tc>
          <w:tcPr>
            <w:tcW w:w="556" w:type="pct"/>
            <w:tcBorders>
              <w:top w:val="nil"/>
              <w:left w:val="nil"/>
              <w:bottom w:val="nil"/>
              <w:right w:val="nil"/>
            </w:tcBorders>
            <w:shd w:val="clear" w:color="auto" w:fill="auto"/>
            <w:noWrap/>
            <w:vAlign w:val="center"/>
            <w:hideMark/>
          </w:tcPr>
          <w:p w14:paraId="7D18ACD2" w14:textId="66AA818A" w:rsidR="00735ADD" w:rsidRPr="004F7330" w:rsidRDefault="00735ADD" w:rsidP="00F80490">
            <w:pPr>
              <w:pStyle w:val="TableText"/>
              <w:jc w:val="right"/>
              <w:rPr>
                <w:lang w:val="en-GB" w:eastAsia="zh-CN"/>
              </w:rPr>
            </w:pPr>
            <w:r w:rsidRPr="00495BC0">
              <w:rPr>
                <w:lang w:val="en-GB" w:eastAsia="zh-CN"/>
              </w:rPr>
              <w:t>11</w:t>
            </w:r>
            <w:r w:rsidR="00F552F1">
              <w:rPr>
                <w:lang w:val="en-GB" w:eastAsia="zh-CN"/>
              </w:rPr>
              <w:t>,</w:t>
            </w:r>
            <w:r w:rsidRPr="00495BC0">
              <w:rPr>
                <w:lang w:val="en-GB" w:eastAsia="zh-CN"/>
              </w:rPr>
              <w:t>345</w:t>
            </w:r>
          </w:p>
        </w:tc>
        <w:tc>
          <w:tcPr>
            <w:tcW w:w="593" w:type="pct"/>
            <w:tcBorders>
              <w:top w:val="nil"/>
              <w:left w:val="nil"/>
              <w:bottom w:val="nil"/>
              <w:right w:val="nil"/>
            </w:tcBorders>
            <w:shd w:val="clear" w:color="auto" w:fill="auto"/>
            <w:noWrap/>
            <w:vAlign w:val="center"/>
            <w:hideMark/>
          </w:tcPr>
          <w:p w14:paraId="36AAE01D" w14:textId="77777777" w:rsidR="00735ADD" w:rsidRPr="004F7330" w:rsidRDefault="00735ADD" w:rsidP="00F80490">
            <w:pPr>
              <w:pStyle w:val="TableText"/>
              <w:jc w:val="right"/>
              <w:rPr>
                <w:lang w:val="en-GB" w:eastAsia="zh-CN"/>
              </w:rPr>
            </w:pPr>
            <w:r w:rsidRPr="004F7330">
              <w:rPr>
                <w:lang w:val="en-GB" w:eastAsia="zh-CN"/>
              </w:rPr>
              <w:t>-0.124</w:t>
            </w:r>
          </w:p>
        </w:tc>
        <w:tc>
          <w:tcPr>
            <w:tcW w:w="539" w:type="pct"/>
            <w:gridSpan w:val="2"/>
            <w:tcBorders>
              <w:top w:val="nil"/>
              <w:left w:val="nil"/>
              <w:bottom w:val="nil"/>
              <w:right w:val="nil"/>
            </w:tcBorders>
            <w:shd w:val="clear" w:color="auto" w:fill="auto"/>
            <w:noWrap/>
            <w:vAlign w:val="center"/>
            <w:hideMark/>
          </w:tcPr>
          <w:p w14:paraId="54647AB2" w14:textId="77777777" w:rsidR="00735ADD" w:rsidRPr="004F7330" w:rsidRDefault="00735ADD" w:rsidP="00F80490">
            <w:pPr>
              <w:pStyle w:val="TableText"/>
              <w:jc w:val="right"/>
              <w:rPr>
                <w:lang w:val="en-GB" w:eastAsia="zh-CN"/>
              </w:rPr>
            </w:pPr>
            <w:r w:rsidRPr="004F7330">
              <w:rPr>
                <w:lang w:val="en-GB" w:eastAsia="zh-CN"/>
              </w:rPr>
              <w:t>0.136</w:t>
            </w:r>
          </w:p>
        </w:tc>
        <w:tc>
          <w:tcPr>
            <w:tcW w:w="594" w:type="pct"/>
            <w:tcBorders>
              <w:top w:val="nil"/>
              <w:left w:val="nil"/>
              <w:bottom w:val="nil"/>
              <w:right w:val="nil"/>
            </w:tcBorders>
            <w:shd w:val="clear" w:color="auto" w:fill="auto"/>
            <w:noWrap/>
            <w:vAlign w:val="center"/>
            <w:hideMark/>
          </w:tcPr>
          <w:p w14:paraId="2DC3E76A" w14:textId="77777777" w:rsidR="00735ADD" w:rsidRPr="004F7330" w:rsidRDefault="00735ADD" w:rsidP="00F80490">
            <w:pPr>
              <w:pStyle w:val="TableText"/>
              <w:jc w:val="right"/>
              <w:rPr>
                <w:lang w:val="en-GB" w:eastAsia="zh-CN"/>
              </w:rPr>
            </w:pPr>
            <w:r w:rsidRPr="004F7330">
              <w:rPr>
                <w:lang w:val="en-GB" w:eastAsia="zh-CN"/>
              </w:rPr>
              <w:t>-0.154</w:t>
            </w:r>
          </w:p>
        </w:tc>
        <w:tc>
          <w:tcPr>
            <w:tcW w:w="594" w:type="pct"/>
            <w:gridSpan w:val="2"/>
            <w:tcBorders>
              <w:top w:val="nil"/>
              <w:left w:val="nil"/>
              <w:bottom w:val="nil"/>
              <w:right w:val="nil"/>
            </w:tcBorders>
            <w:shd w:val="clear" w:color="auto" w:fill="auto"/>
            <w:noWrap/>
            <w:vAlign w:val="center"/>
            <w:hideMark/>
          </w:tcPr>
          <w:p w14:paraId="4F91A4CC" w14:textId="77777777" w:rsidR="00735ADD" w:rsidRPr="004F7330" w:rsidRDefault="00735ADD" w:rsidP="00F80490">
            <w:pPr>
              <w:pStyle w:val="TableText"/>
              <w:jc w:val="right"/>
              <w:rPr>
                <w:lang w:val="en-GB" w:eastAsia="zh-CN"/>
              </w:rPr>
            </w:pPr>
            <w:r w:rsidRPr="004F7330">
              <w:rPr>
                <w:lang w:val="en-GB" w:eastAsia="zh-CN"/>
              </w:rPr>
              <w:t>-0.078</w:t>
            </w:r>
          </w:p>
        </w:tc>
        <w:tc>
          <w:tcPr>
            <w:tcW w:w="591" w:type="pct"/>
            <w:tcBorders>
              <w:top w:val="nil"/>
              <w:left w:val="nil"/>
              <w:bottom w:val="nil"/>
              <w:right w:val="nil"/>
            </w:tcBorders>
            <w:shd w:val="clear" w:color="auto" w:fill="auto"/>
            <w:noWrap/>
            <w:vAlign w:val="center"/>
            <w:hideMark/>
          </w:tcPr>
          <w:p w14:paraId="216C1767" w14:textId="77777777" w:rsidR="00735ADD" w:rsidRPr="004F7330" w:rsidRDefault="00735ADD" w:rsidP="00F80490">
            <w:pPr>
              <w:pStyle w:val="TableText"/>
              <w:jc w:val="right"/>
              <w:rPr>
                <w:lang w:val="en-GB" w:eastAsia="zh-CN"/>
              </w:rPr>
            </w:pPr>
            <w:r w:rsidRPr="004F7330">
              <w:rPr>
                <w:lang w:val="en-GB" w:eastAsia="zh-CN"/>
              </w:rPr>
              <w:t>-0.039</w:t>
            </w:r>
          </w:p>
        </w:tc>
      </w:tr>
      <w:tr w:rsidR="00735ADD" w:rsidRPr="004F7330" w14:paraId="08409723" w14:textId="77777777" w:rsidTr="00DC68CD">
        <w:trPr>
          <w:trHeight w:val="300"/>
        </w:trPr>
        <w:tc>
          <w:tcPr>
            <w:tcW w:w="1533" w:type="pct"/>
            <w:tcBorders>
              <w:top w:val="nil"/>
              <w:left w:val="nil"/>
              <w:bottom w:val="nil"/>
              <w:right w:val="nil"/>
            </w:tcBorders>
            <w:shd w:val="clear" w:color="auto" w:fill="auto"/>
            <w:noWrap/>
            <w:vAlign w:val="center"/>
            <w:hideMark/>
          </w:tcPr>
          <w:p w14:paraId="58FB6171" w14:textId="77777777" w:rsidR="00735ADD" w:rsidRPr="004F7330" w:rsidRDefault="00735ADD" w:rsidP="00F80490">
            <w:pPr>
              <w:pStyle w:val="TableText"/>
              <w:rPr>
                <w:lang w:val="en-GB" w:eastAsia="zh-CN"/>
              </w:rPr>
            </w:pPr>
            <m:oMathPara>
              <m:oMathParaPr>
                <m:jc m:val="left"/>
              </m:oMathParaPr>
              <m:oMath>
                <m:r>
                  <w:rPr>
                    <w:rFonts w:ascii="Cambria Math" w:hAnsi="Cambria Math"/>
                    <w:lang w:val="en-GB" w:eastAsia="zh-CN"/>
                  </w:rPr>
                  <m:t>SIZE</m:t>
                </m:r>
              </m:oMath>
            </m:oMathPara>
          </w:p>
        </w:tc>
        <w:tc>
          <w:tcPr>
            <w:tcW w:w="556" w:type="pct"/>
            <w:tcBorders>
              <w:top w:val="nil"/>
              <w:left w:val="nil"/>
              <w:bottom w:val="nil"/>
              <w:right w:val="nil"/>
            </w:tcBorders>
            <w:shd w:val="clear" w:color="auto" w:fill="auto"/>
            <w:noWrap/>
            <w:vAlign w:val="center"/>
            <w:hideMark/>
          </w:tcPr>
          <w:p w14:paraId="3ED622D0" w14:textId="36388378" w:rsidR="00735ADD" w:rsidRPr="004F7330" w:rsidRDefault="00735ADD" w:rsidP="00F80490">
            <w:pPr>
              <w:pStyle w:val="TableText"/>
              <w:jc w:val="right"/>
              <w:rPr>
                <w:lang w:val="en-GB" w:eastAsia="zh-CN"/>
              </w:rPr>
            </w:pPr>
            <w:r w:rsidRPr="00495BC0">
              <w:rPr>
                <w:lang w:val="en-GB" w:eastAsia="zh-CN"/>
              </w:rPr>
              <w:t>11</w:t>
            </w:r>
            <w:r w:rsidR="00F552F1">
              <w:rPr>
                <w:lang w:val="en-GB" w:eastAsia="zh-CN"/>
              </w:rPr>
              <w:t>,</w:t>
            </w:r>
            <w:r w:rsidRPr="00495BC0">
              <w:rPr>
                <w:lang w:val="en-GB" w:eastAsia="zh-CN"/>
              </w:rPr>
              <w:t>345</w:t>
            </w:r>
          </w:p>
        </w:tc>
        <w:tc>
          <w:tcPr>
            <w:tcW w:w="593" w:type="pct"/>
            <w:tcBorders>
              <w:top w:val="nil"/>
              <w:left w:val="nil"/>
              <w:bottom w:val="nil"/>
              <w:right w:val="nil"/>
            </w:tcBorders>
            <w:shd w:val="clear" w:color="auto" w:fill="auto"/>
            <w:noWrap/>
            <w:vAlign w:val="center"/>
            <w:hideMark/>
          </w:tcPr>
          <w:p w14:paraId="38025B95" w14:textId="77777777" w:rsidR="00735ADD" w:rsidRPr="004F7330" w:rsidRDefault="00735ADD" w:rsidP="00F80490">
            <w:pPr>
              <w:pStyle w:val="TableText"/>
              <w:jc w:val="right"/>
              <w:rPr>
                <w:lang w:val="en-GB" w:eastAsia="zh-CN"/>
              </w:rPr>
            </w:pPr>
            <w:r w:rsidRPr="004F7330">
              <w:rPr>
                <w:lang w:val="en-GB" w:eastAsia="zh-CN"/>
              </w:rPr>
              <w:t>7.041</w:t>
            </w:r>
          </w:p>
        </w:tc>
        <w:tc>
          <w:tcPr>
            <w:tcW w:w="539" w:type="pct"/>
            <w:gridSpan w:val="2"/>
            <w:tcBorders>
              <w:top w:val="nil"/>
              <w:left w:val="nil"/>
              <w:bottom w:val="nil"/>
              <w:right w:val="nil"/>
            </w:tcBorders>
            <w:shd w:val="clear" w:color="auto" w:fill="auto"/>
            <w:noWrap/>
            <w:vAlign w:val="center"/>
            <w:hideMark/>
          </w:tcPr>
          <w:p w14:paraId="4D802AAF" w14:textId="77777777" w:rsidR="00735ADD" w:rsidRPr="004F7330" w:rsidRDefault="00735ADD" w:rsidP="00F80490">
            <w:pPr>
              <w:pStyle w:val="TableText"/>
              <w:jc w:val="right"/>
              <w:rPr>
                <w:lang w:val="en-GB" w:eastAsia="zh-CN"/>
              </w:rPr>
            </w:pPr>
            <w:r w:rsidRPr="004F7330">
              <w:rPr>
                <w:lang w:val="en-GB" w:eastAsia="zh-CN"/>
              </w:rPr>
              <w:t>1.858</w:t>
            </w:r>
          </w:p>
        </w:tc>
        <w:tc>
          <w:tcPr>
            <w:tcW w:w="594" w:type="pct"/>
            <w:tcBorders>
              <w:top w:val="nil"/>
              <w:left w:val="nil"/>
              <w:bottom w:val="nil"/>
              <w:right w:val="nil"/>
            </w:tcBorders>
            <w:shd w:val="clear" w:color="auto" w:fill="auto"/>
            <w:noWrap/>
            <w:vAlign w:val="center"/>
            <w:hideMark/>
          </w:tcPr>
          <w:p w14:paraId="48F26752" w14:textId="77777777" w:rsidR="00735ADD" w:rsidRPr="004F7330" w:rsidRDefault="00735ADD" w:rsidP="00F80490">
            <w:pPr>
              <w:pStyle w:val="TableText"/>
              <w:jc w:val="right"/>
              <w:rPr>
                <w:lang w:val="en-GB" w:eastAsia="zh-CN"/>
              </w:rPr>
            </w:pPr>
            <w:r w:rsidRPr="004F7330">
              <w:rPr>
                <w:lang w:val="en-GB" w:eastAsia="zh-CN"/>
              </w:rPr>
              <w:t>5.786</w:t>
            </w:r>
          </w:p>
        </w:tc>
        <w:tc>
          <w:tcPr>
            <w:tcW w:w="594" w:type="pct"/>
            <w:gridSpan w:val="2"/>
            <w:tcBorders>
              <w:top w:val="nil"/>
              <w:left w:val="nil"/>
              <w:bottom w:val="nil"/>
              <w:right w:val="nil"/>
            </w:tcBorders>
            <w:shd w:val="clear" w:color="auto" w:fill="auto"/>
            <w:noWrap/>
            <w:vAlign w:val="center"/>
            <w:hideMark/>
          </w:tcPr>
          <w:p w14:paraId="16729646" w14:textId="77777777" w:rsidR="00735ADD" w:rsidRPr="004F7330" w:rsidRDefault="00735ADD" w:rsidP="00F80490">
            <w:pPr>
              <w:pStyle w:val="TableText"/>
              <w:jc w:val="right"/>
              <w:rPr>
                <w:lang w:val="en-GB" w:eastAsia="zh-CN"/>
              </w:rPr>
            </w:pPr>
            <w:r w:rsidRPr="004F7330">
              <w:rPr>
                <w:lang w:val="en-GB" w:eastAsia="zh-CN"/>
              </w:rPr>
              <w:t>7.015</w:t>
            </w:r>
          </w:p>
        </w:tc>
        <w:tc>
          <w:tcPr>
            <w:tcW w:w="591" w:type="pct"/>
            <w:tcBorders>
              <w:top w:val="nil"/>
              <w:left w:val="nil"/>
              <w:bottom w:val="nil"/>
              <w:right w:val="nil"/>
            </w:tcBorders>
            <w:shd w:val="clear" w:color="auto" w:fill="auto"/>
            <w:noWrap/>
            <w:vAlign w:val="center"/>
            <w:hideMark/>
          </w:tcPr>
          <w:p w14:paraId="44FBBAF8" w14:textId="77777777" w:rsidR="00735ADD" w:rsidRPr="004F7330" w:rsidRDefault="00735ADD" w:rsidP="00F80490">
            <w:pPr>
              <w:pStyle w:val="TableText"/>
              <w:jc w:val="right"/>
              <w:rPr>
                <w:lang w:val="en-GB" w:eastAsia="zh-CN"/>
              </w:rPr>
            </w:pPr>
            <w:r w:rsidRPr="004F7330">
              <w:rPr>
                <w:lang w:val="en-GB" w:eastAsia="zh-CN"/>
              </w:rPr>
              <w:t>8.266</w:t>
            </w:r>
          </w:p>
        </w:tc>
      </w:tr>
      <w:tr w:rsidR="00735ADD" w:rsidRPr="004F7330" w14:paraId="375C64C7" w14:textId="77777777" w:rsidTr="00DC68CD">
        <w:trPr>
          <w:trHeight w:val="300"/>
        </w:trPr>
        <w:tc>
          <w:tcPr>
            <w:tcW w:w="1533" w:type="pct"/>
            <w:tcBorders>
              <w:top w:val="nil"/>
              <w:left w:val="nil"/>
              <w:bottom w:val="nil"/>
              <w:right w:val="nil"/>
            </w:tcBorders>
            <w:shd w:val="clear" w:color="auto" w:fill="auto"/>
            <w:noWrap/>
            <w:vAlign w:val="center"/>
            <w:hideMark/>
          </w:tcPr>
          <w:p w14:paraId="30F2C16E" w14:textId="77777777" w:rsidR="00735ADD" w:rsidRPr="004F7330" w:rsidRDefault="00735ADD" w:rsidP="00F80490">
            <w:pPr>
              <w:pStyle w:val="TableText"/>
              <w:rPr>
                <w:lang w:val="en-GB" w:eastAsia="zh-CN"/>
              </w:rPr>
            </w:pPr>
            <m:oMathPara>
              <m:oMathParaPr>
                <m:jc m:val="left"/>
              </m:oMathParaPr>
              <m:oMath>
                <m:r>
                  <w:rPr>
                    <w:rFonts w:ascii="Cambria Math" w:hAnsi="Cambria Math"/>
                    <w:lang w:val="en-GB" w:eastAsia="zh-CN"/>
                  </w:rPr>
                  <m:t>MTB</m:t>
                </m:r>
              </m:oMath>
            </m:oMathPara>
          </w:p>
        </w:tc>
        <w:tc>
          <w:tcPr>
            <w:tcW w:w="556" w:type="pct"/>
            <w:tcBorders>
              <w:top w:val="nil"/>
              <w:left w:val="nil"/>
              <w:bottom w:val="nil"/>
              <w:right w:val="nil"/>
            </w:tcBorders>
            <w:shd w:val="clear" w:color="auto" w:fill="auto"/>
            <w:noWrap/>
            <w:vAlign w:val="center"/>
            <w:hideMark/>
          </w:tcPr>
          <w:p w14:paraId="6BF356C6" w14:textId="3118617F" w:rsidR="00735ADD" w:rsidRPr="004F7330" w:rsidRDefault="00735ADD" w:rsidP="00F80490">
            <w:pPr>
              <w:pStyle w:val="TableText"/>
              <w:jc w:val="right"/>
              <w:rPr>
                <w:lang w:val="en-GB" w:eastAsia="zh-CN"/>
              </w:rPr>
            </w:pPr>
            <w:r w:rsidRPr="00495BC0">
              <w:rPr>
                <w:lang w:val="en-GB" w:eastAsia="zh-CN"/>
              </w:rPr>
              <w:t>11</w:t>
            </w:r>
            <w:r w:rsidR="00F552F1">
              <w:rPr>
                <w:lang w:val="en-GB" w:eastAsia="zh-CN"/>
              </w:rPr>
              <w:t>,</w:t>
            </w:r>
            <w:r w:rsidRPr="00495BC0">
              <w:rPr>
                <w:lang w:val="en-GB" w:eastAsia="zh-CN"/>
              </w:rPr>
              <w:t>345</w:t>
            </w:r>
          </w:p>
        </w:tc>
        <w:tc>
          <w:tcPr>
            <w:tcW w:w="593" w:type="pct"/>
            <w:tcBorders>
              <w:top w:val="nil"/>
              <w:left w:val="nil"/>
              <w:bottom w:val="nil"/>
              <w:right w:val="nil"/>
            </w:tcBorders>
            <w:shd w:val="clear" w:color="auto" w:fill="auto"/>
            <w:noWrap/>
            <w:vAlign w:val="center"/>
            <w:hideMark/>
          </w:tcPr>
          <w:p w14:paraId="7154E482" w14:textId="77777777" w:rsidR="00735ADD" w:rsidRPr="004F7330" w:rsidRDefault="00735ADD" w:rsidP="00F80490">
            <w:pPr>
              <w:pStyle w:val="TableText"/>
              <w:jc w:val="right"/>
              <w:rPr>
                <w:lang w:val="en-GB" w:eastAsia="zh-CN"/>
              </w:rPr>
            </w:pPr>
            <w:r w:rsidRPr="004F7330">
              <w:rPr>
                <w:lang w:val="en-GB" w:eastAsia="zh-CN"/>
              </w:rPr>
              <w:t>2.913</w:t>
            </w:r>
          </w:p>
        </w:tc>
        <w:tc>
          <w:tcPr>
            <w:tcW w:w="539" w:type="pct"/>
            <w:gridSpan w:val="2"/>
            <w:tcBorders>
              <w:top w:val="nil"/>
              <w:left w:val="nil"/>
              <w:bottom w:val="nil"/>
              <w:right w:val="nil"/>
            </w:tcBorders>
            <w:shd w:val="clear" w:color="auto" w:fill="auto"/>
            <w:noWrap/>
            <w:vAlign w:val="center"/>
            <w:hideMark/>
          </w:tcPr>
          <w:p w14:paraId="60CF55B9" w14:textId="77777777" w:rsidR="00735ADD" w:rsidRPr="004F7330" w:rsidRDefault="00735ADD" w:rsidP="00F80490">
            <w:pPr>
              <w:pStyle w:val="TableText"/>
              <w:jc w:val="right"/>
              <w:rPr>
                <w:lang w:val="en-GB" w:eastAsia="zh-CN"/>
              </w:rPr>
            </w:pPr>
            <w:r w:rsidRPr="004F7330">
              <w:rPr>
                <w:lang w:val="en-GB" w:eastAsia="zh-CN"/>
              </w:rPr>
              <w:t>3.390</w:t>
            </w:r>
          </w:p>
        </w:tc>
        <w:tc>
          <w:tcPr>
            <w:tcW w:w="594" w:type="pct"/>
            <w:tcBorders>
              <w:top w:val="nil"/>
              <w:left w:val="nil"/>
              <w:bottom w:val="nil"/>
              <w:right w:val="nil"/>
            </w:tcBorders>
            <w:shd w:val="clear" w:color="auto" w:fill="auto"/>
            <w:noWrap/>
            <w:vAlign w:val="center"/>
            <w:hideMark/>
          </w:tcPr>
          <w:p w14:paraId="0D1875D9" w14:textId="77777777" w:rsidR="00735ADD" w:rsidRPr="004F7330" w:rsidRDefault="00735ADD" w:rsidP="00F80490">
            <w:pPr>
              <w:pStyle w:val="TableText"/>
              <w:jc w:val="right"/>
              <w:rPr>
                <w:lang w:val="en-GB" w:eastAsia="zh-CN"/>
              </w:rPr>
            </w:pPr>
            <w:r w:rsidRPr="004F7330">
              <w:rPr>
                <w:lang w:val="en-GB" w:eastAsia="zh-CN"/>
              </w:rPr>
              <w:t>1.114</w:t>
            </w:r>
          </w:p>
        </w:tc>
        <w:tc>
          <w:tcPr>
            <w:tcW w:w="594" w:type="pct"/>
            <w:gridSpan w:val="2"/>
            <w:tcBorders>
              <w:top w:val="nil"/>
              <w:left w:val="nil"/>
              <w:bottom w:val="nil"/>
              <w:right w:val="nil"/>
            </w:tcBorders>
            <w:shd w:val="clear" w:color="auto" w:fill="auto"/>
            <w:noWrap/>
            <w:vAlign w:val="center"/>
            <w:hideMark/>
          </w:tcPr>
          <w:p w14:paraId="7E6DBEED" w14:textId="77777777" w:rsidR="00735ADD" w:rsidRPr="004F7330" w:rsidRDefault="00735ADD" w:rsidP="00F80490">
            <w:pPr>
              <w:pStyle w:val="TableText"/>
              <w:jc w:val="right"/>
              <w:rPr>
                <w:lang w:val="en-GB" w:eastAsia="zh-CN"/>
              </w:rPr>
            </w:pPr>
            <w:r w:rsidRPr="004F7330">
              <w:rPr>
                <w:lang w:val="en-GB" w:eastAsia="zh-CN"/>
              </w:rPr>
              <w:t>1.896</w:t>
            </w:r>
          </w:p>
        </w:tc>
        <w:tc>
          <w:tcPr>
            <w:tcW w:w="591" w:type="pct"/>
            <w:tcBorders>
              <w:top w:val="nil"/>
              <w:left w:val="nil"/>
              <w:bottom w:val="nil"/>
              <w:right w:val="nil"/>
            </w:tcBorders>
            <w:shd w:val="clear" w:color="auto" w:fill="auto"/>
            <w:noWrap/>
            <w:vAlign w:val="center"/>
            <w:hideMark/>
          </w:tcPr>
          <w:p w14:paraId="534273AC" w14:textId="77777777" w:rsidR="00735ADD" w:rsidRPr="004F7330" w:rsidRDefault="00735ADD" w:rsidP="00F80490">
            <w:pPr>
              <w:pStyle w:val="TableText"/>
              <w:jc w:val="right"/>
              <w:rPr>
                <w:lang w:val="en-GB" w:eastAsia="zh-CN"/>
              </w:rPr>
            </w:pPr>
            <w:r w:rsidRPr="004F7330">
              <w:rPr>
                <w:lang w:val="en-GB" w:eastAsia="zh-CN"/>
              </w:rPr>
              <w:t>3.287</w:t>
            </w:r>
          </w:p>
        </w:tc>
      </w:tr>
      <w:tr w:rsidR="00735ADD" w:rsidRPr="004F7330" w14:paraId="2986EF4C" w14:textId="77777777" w:rsidTr="00DC68CD">
        <w:trPr>
          <w:trHeight w:val="300"/>
        </w:trPr>
        <w:tc>
          <w:tcPr>
            <w:tcW w:w="1533" w:type="pct"/>
            <w:tcBorders>
              <w:top w:val="nil"/>
              <w:left w:val="nil"/>
              <w:bottom w:val="nil"/>
              <w:right w:val="nil"/>
            </w:tcBorders>
            <w:shd w:val="clear" w:color="auto" w:fill="auto"/>
            <w:noWrap/>
            <w:vAlign w:val="center"/>
            <w:hideMark/>
          </w:tcPr>
          <w:p w14:paraId="6E92F138" w14:textId="77777777" w:rsidR="00735ADD" w:rsidRPr="004F7330" w:rsidRDefault="00735ADD" w:rsidP="00F80490">
            <w:pPr>
              <w:pStyle w:val="TableText"/>
              <w:rPr>
                <w:lang w:val="en-GB" w:eastAsia="zh-CN"/>
              </w:rPr>
            </w:pPr>
            <m:oMathPara>
              <m:oMathParaPr>
                <m:jc m:val="left"/>
              </m:oMathParaPr>
              <m:oMath>
                <m:r>
                  <w:rPr>
                    <w:rFonts w:ascii="Cambria Math" w:hAnsi="Cambria Math"/>
                    <w:lang w:val="en-GB" w:eastAsia="zh-CN"/>
                  </w:rPr>
                  <m:t>LEV</m:t>
                </m:r>
              </m:oMath>
            </m:oMathPara>
          </w:p>
        </w:tc>
        <w:tc>
          <w:tcPr>
            <w:tcW w:w="556" w:type="pct"/>
            <w:tcBorders>
              <w:top w:val="nil"/>
              <w:left w:val="nil"/>
              <w:bottom w:val="nil"/>
              <w:right w:val="nil"/>
            </w:tcBorders>
            <w:shd w:val="clear" w:color="auto" w:fill="auto"/>
            <w:noWrap/>
            <w:vAlign w:val="center"/>
            <w:hideMark/>
          </w:tcPr>
          <w:p w14:paraId="163CE3C3" w14:textId="0F6102E2" w:rsidR="00735ADD" w:rsidRPr="004F7330" w:rsidRDefault="00735ADD" w:rsidP="00F80490">
            <w:pPr>
              <w:pStyle w:val="TableText"/>
              <w:jc w:val="right"/>
              <w:rPr>
                <w:lang w:val="en-GB" w:eastAsia="zh-CN"/>
              </w:rPr>
            </w:pPr>
            <w:r w:rsidRPr="00495BC0">
              <w:rPr>
                <w:lang w:val="en-GB" w:eastAsia="zh-CN"/>
              </w:rPr>
              <w:t>11</w:t>
            </w:r>
            <w:r w:rsidR="00F552F1">
              <w:rPr>
                <w:lang w:val="en-GB" w:eastAsia="zh-CN"/>
              </w:rPr>
              <w:t>,</w:t>
            </w:r>
            <w:r w:rsidRPr="00495BC0">
              <w:rPr>
                <w:lang w:val="en-GB" w:eastAsia="zh-CN"/>
              </w:rPr>
              <w:t>345</w:t>
            </w:r>
          </w:p>
        </w:tc>
        <w:tc>
          <w:tcPr>
            <w:tcW w:w="593" w:type="pct"/>
            <w:tcBorders>
              <w:top w:val="nil"/>
              <w:left w:val="nil"/>
              <w:bottom w:val="nil"/>
              <w:right w:val="nil"/>
            </w:tcBorders>
            <w:shd w:val="clear" w:color="auto" w:fill="auto"/>
            <w:noWrap/>
            <w:vAlign w:val="center"/>
            <w:hideMark/>
          </w:tcPr>
          <w:p w14:paraId="38FA7167" w14:textId="77777777" w:rsidR="00735ADD" w:rsidRPr="004F7330" w:rsidRDefault="00735ADD" w:rsidP="00F80490">
            <w:pPr>
              <w:pStyle w:val="TableText"/>
              <w:jc w:val="right"/>
              <w:rPr>
                <w:lang w:val="en-GB" w:eastAsia="zh-CN"/>
              </w:rPr>
            </w:pPr>
            <w:r w:rsidRPr="004F7330">
              <w:rPr>
                <w:lang w:val="en-GB" w:eastAsia="zh-CN"/>
              </w:rPr>
              <w:t>0.189</w:t>
            </w:r>
          </w:p>
        </w:tc>
        <w:tc>
          <w:tcPr>
            <w:tcW w:w="539" w:type="pct"/>
            <w:gridSpan w:val="2"/>
            <w:tcBorders>
              <w:top w:val="nil"/>
              <w:left w:val="nil"/>
              <w:bottom w:val="nil"/>
              <w:right w:val="nil"/>
            </w:tcBorders>
            <w:shd w:val="clear" w:color="auto" w:fill="auto"/>
            <w:noWrap/>
            <w:vAlign w:val="center"/>
            <w:hideMark/>
          </w:tcPr>
          <w:p w14:paraId="7ADD53C8" w14:textId="77777777" w:rsidR="00735ADD" w:rsidRPr="004F7330" w:rsidRDefault="00735ADD" w:rsidP="00F80490">
            <w:pPr>
              <w:pStyle w:val="TableText"/>
              <w:jc w:val="right"/>
              <w:rPr>
                <w:lang w:val="en-GB" w:eastAsia="zh-CN"/>
              </w:rPr>
            </w:pPr>
            <w:r w:rsidRPr="004F7330">
              <w:rPr>
                <w:lang w:val="en-GB" w:eastAsia="zh-CN"/>
              </w:rPr>
              <w:t>0.180</w:t>
            </w:r>
          </w:p>
        </w:tc>
        <w:tc>
          <w:tcPr>
            <w:tcW w:w="594" w:type="pct"/>
            <w:tcBorders>
              <w:top w:val="nil"/>
              <w:left w:val="nil"/>
              <w:bottom w:val="nil"/>
              <w:right w:val="nil"/>
            </w:tcBorders>
            <w:shd w:val="clear" w:color="auto" w:fill="auto"/>
            <w:noWrap/>
            <w:vAlign w:val="center"/>
            <w:hideMark/>
          </w:tcPr>
          <w:p w14:paraId="17E417EB" w14:textId="77777777" w:rsidR="00735ADD" w:rsidRPr="004F7330" w:rsidRDefault="00735ADD" w:rsidP="00F80490">
            <w:pPr>
              <w:pStyle w:val="TableText"/>
              <w:jc w:val="right"/>
              <w:rPr>
                <w:lang w:val="en-GB" w:eastAsia="zh-CN"/>
              </w:rPr>
            </w:pPr>
            <w:r w:rsidRPr="004F7330">
              <w:rPr>
                <w:lang w:val="en-GB" w:eastAsia="zh-CN"/>
              </w:rPr>
              <w:t>0.003</w:t>
            </w:r>
          </w:p>
        </w:tc>
        <w:tc>
          <w:tcPr>
            <w:tcW w:w="594" w:type="pct"/>
            <w:gridSpan w:val="2"/>
            <w:tcBorders>
              <w:top w:val="nil"/>
              <w:left w:val="nil"/>
              <w:bottom w:val="nil"/>
              <w:right w:val="nil"/>
            </w:tcBorders>
            <w:shd w:val="clear" w:color="auto" w:fill="auto"/>
            <w:noWrap/>
            <w:vAlign w:val="center"/>
            <w:hideMark/>
          </w:tcPr>
          <w:p w14:paraId="24765A61" w14:textId="77777777" w:rsidR="00735ADD" w:rsidRPr="004F7330" w:rsidRDefault="00735ADD" w:rsidP="00F80490">
            <w:pPr>
              <w:pStyle w:val="TableText"/>
              <w:jc w:val="right"/>
              <w:rPr>
                <w:lang w:val="en-GB" w:eastAsia="zh-CN"/>
              </w:rPr>
            </w:pPr>
            <w:r w:rsidRPr="004F7330">
              <w:rPr>
                <w:lang w:val="en-GB" w:eastAsia="zh-CN"/>
              </w:rPr>
              <w:t>0.160</w:t>
            </w:r>
          </w:p>
        </w:tc>
        <w:tc>
          <w:tcPr>
            <w:tcW w:w="591" w:type="pct"/>
            <w:tcBorders>
              <w:top w:val="nil"/>
              <w:left w:val="nil"/>
              <w:bottom w:val="nil"/>
              <w:right w:val="nil"/>
            </w:tcBorders>
            <w:shd w:val="clear" w:color="auto" w:fill="auto"/>
            <w:noWrap/>
            <w:vAlign w:val="center"/>
            <w:hideMark/>
          </w:tcPr>
          <w:p w14:paraId="6B760411" w14:textId="77777777" w:rsidR="00735ADD" w:rsidRPr="004F7330" w:rsidRDefault="00735ADD" w:rsidP="00F80490">
            <w:pPr>
              <w:pStyle w:val="TableText"/>
              <w:jc w:val="right"/>
              <w:rPr>
                <w:lang w:val="en-GB" w:eastAsia="zh-CN"/>
              </w:rPr>
            </w:pPr>
            <w:r w:rsidRPr="004F7330">
              <w:rPr>
                <w:lang w:val="en-GB" w:eastAsia="zh-CN"/>
              </w:rPr>
              <w:t>0.308</w:t>
            </w:r>
          </w:p>
        </w:tc>
      </w:tr>
      <w:tr w:rsidR="00735ADD" w:rsidRPr="004F7330" w14:paraId="6D4FDC72" w14:textId="77777777" w:rsidTr="00DC68CD">
        <w:trPr>
          <w:trHeight w:val="300"/>
        </w:trPr>
        <w:tc>
          <w:tcPr>
            <w:tcW w:w="1533" w:type="pct"/>
            <w:tcBorders>
              <w:top w:val="nil"/>
              <w:left w:val="nil"/>
              <w:bottom w:val="nil"/>
              <w:right w:val="nil"/>
            </w:tcBorders>
            <w:shd w:val="clear" w:color="auto" w:fill="auto"/>
            <w:noWrap/>
            <w:vAlign w:val="center"/>
            <w:hideMark/>
          </w:tcPr>
          <w:p w14:paraId="3896F879" w14:textId="77777777" w:rsidR="00735ADD" w:rsidRPr="004F7330" w:rsidRDefault="00735ADD" w:rsidP="00F80490">
            <w:pPr>
              <w:pStyle w:val="TableText"/>
              <w:rPr>
                <w:lang w:val="en-GB" w:eastAsia="zh-CN"/>
              </w:rPr>
            </w:pPr>
            <m:oMathPara>
              <m:oMathParaPr>
                <m:jc m:val="left"/>
              </m:oMathParaPr>
              <m:oMath>
                <m:r>
                  <w:rPr>
                    <w:rFonts w:ascii="Cambria Math" w:hAnsi="Cambria Math"/>
                    <w:lang w:val="en-GB" w:eastAsia="zh-CN"/>
                  </w:rPr>
                  <m:t>ROA</m:t>
                </m:r>
              </m:oMath>
            </m:oMathPara>
          </w:p>
        </w:tc>
        <w:tc>
          <w:tcPr>
            <w:tcW w:w="556" w:type="pct"/>
            <w:tcBorders>
              <w:top w:val="nil"/>
              <w:left w:val="nil"/>
              <w:bottom w:val="nil"/>
              <w:right w:val="nil"/>
            </w:tcBorders>
            <w:shd w:val="clear" w:color="auto" w:fill="auto"/>
            <w:noWrap/>
            <w:vAlign w:val="center"/>
            <w:hideMark/>
          </w:tcPr>
          <w:p w14:paraId="12C706D6" w14:textId="17B83EFE" w:rsidR="00735ADD" w:rsidRPr="004F7330" w:rsidRDefault="00735ADD" w:rsidP="00F80490">
            <w:pPr>
              <w:pStyle w:val="TableText"/>
              <w:jc w:val="right"/>
              <w:rPr>
                <w:lang w:val="en-GB" w:eastAsia="zh-CN"/>
              </w:rPr>
            </w:pPr>
            <w:r w:rsidRPr="00495BC0">
              <w:rPr>
                <w:lang w:val="en-GB" w:eastAsia="zh-CN"/>
              </w:rPr>
              <w:t>11</w:t>
            </w:r>
            <w:r w:rsidR="00F552F1">
              <w:rPr>
                <w:lang w:val="en-GB" w:eastAsia="zh-CN"/>
              </w:rPr>
              <w:t>,</w:t>
            </w:r>
            <w:r w:rsidRPr="00495BC0">
              <w:rPr>
                <w:lang w:val="en-GB" w:eastAsia="zh-CN"/>
              </w:rPr>
              <w:t>345</w:t>
            </w:r>
          </w:p>
        </w:tc>
        <w:tc>
          <w:tcPr>
            <w:tcW w:w="593" w:type="pct"/>
            <w:tcBorders>
              <w:top w:val="nil"/>
              <w:left w:val="nil"/>
              <w:bottom w:val="nil"/>
              <w:right w:val="nil"/>
            </w:tcBorders>
            <w:shd w:val="clear" w:color="auto" w:fill="auto"/>
            <w:noWrap/>
            <w:vAlign w:val="center"/>
            <w:hideMark/>
          </w:tcPr>
          <w:p w14:paraId="785E0127" w14:textId="77777777" w:rsidR="00735ADD" w:rsidRPr="004F7330" w:rsidRDefault="00735ADD" w:rsidP="00F80490">
            <w:pPr>
              <w:pStyle w:val="TableText"/>
              <w:jc w:val="right"/>
              <w:rPr>
                <w:lang w:val="en-GB" w:eastAsia="zh-CN"/>
              </w:rPr>
            </w:pPr>
            <w:r w:rsidRPr="004F7330">
              <w:rPr>
                <w:lang w:val="en-GB" w:eastAsia="zh-CN"/>
              </w:rPr>
              <w:t>0.010</w:t>
            </w:r>
          </w:p>
        </w:tc>
        <w:tc>
          <w:tcPr>
            <w:tcW w:w="539" w:type="pct"/>
            <w:gridSpan w:val="2"/>
            <w:tcBorders>
              <w:top w:val="nil"/>
              <w:left w:val="nil"/>
              <w:bottom w:val="nil"/>
              <w:right w:val="nil"/>
            </w:tcBorders>
            <w:shd w:val="clear" w:color="auto" w:fill="auto"/>
            <w:noWrap/>
            <w:vAlign w:val="center"/>
            <w:hideMark/>
          </w:tcPr>
          <w:p w14:paraId="495F24F6" w14:textId="77777777" w:rsidR="00735ADD" w:rsidRPr="004F7330" w:rsidRDefault="00735ADD" w:rsidP="00F80490">
            <w:pPr>
              <w:pStyle w:val="TableText"/>
              <w:jc w:val="right"/>
              <w:rPr>
                <w:lang w:val="en-GB" w:eastAsia="zh-CN"/>
              </w:rPr>
            </w:pPr>
            <w:r w:rsidRPr="004F7330">
              <w:rPr>
                <w:lang w:val="en-GB" w:eastAsia="zh-CN"/>
              </w:rPr>
              <w:t>0.148</w:t>
            </w:r>
          </w:p>
        </w:tc>
        <w:tc>
          <w:tcPr>
            <w:tcW w:w="594" w:type="pct"/>
            <w:tcBorders>
              <w:top w:val="nil"/>
              <w:left w:val="nil"/>
              <w:bottom w:val="nil"/>
              <w:right w:val="nil"/>
            </w:tcBorders>
            <w:shd w:val="clear" w:color="auto" w:fill="auto"/>
            <w:noWrap/>
            <w:vAlign w:val="center"/>
            <w:hideMark/>
          </w:tcPr>
          <w:p w14:paraId="6219CB81" w14:textId="77777777" w:rsidR="00735ADD" w:rsidRPr="004F7330" w:rsidRDefault="00735ADD" w:rsidP="00F80490">
            <w:pPr>
              <w:pStyle w:val="TableText"/>
              <w:jc w:val="right"/>
              <w:rPr>
                <w:lang w:val="en-GB" w:eastAsia="zh-CN"/>
              </w:rPr>
            </w:pPr>
            <w:r w:rsidRPr="004F7330">
              <w:rPr>
                <w:lang w:val="en-GB" w:eastAsia="zh-CN"/>
              </w:rPr>
              <w:t>-0.003</w:t>
            </w:r>
          </w:p>
        </w:tc>
        <w:tc>
          <w:tcPr>
            <w:tcW w:w="594" w:type="pct"/>
            <w:gridSpan w:val="2"/>
            <w:tcBorders>
              <w:top w:val="nil"/>
              <w:left w:val="nil"/>
              <w:bottom w:val="nil"/>
              <w:right w:val="nil"/>
            </w:tcBorders>
            <w:shd w:val="clear" w:color="auto" w:fill="auto"/>
            <w:noWrap/>
            <w:vAlign w:val="center"/>
            <w:hideMark/>
          </w:tcPr>
          <w:p w14:paraId="12A10169" w14:textId="77777777" w:rsidR="00735ADD" w:rsidRPr="004F7330" w:rsidRDefault="00735ADD" w:rsidP="00F80490">
            <w:pPr>
              <w:pStyle w:val="TableText"/>
              <w:jc w:val="right"/>
              <w:rPr>
                <w:lang w:val="en-GB" w:eastAsia="zh-CN"/>
              </w:rPr>
            </w:pPr>
            <w:r w:rsidRPr="004F7330">
              <w:rPr>
                <w:lang w:val="en-GB" w:eastAsia="zh-CN"/>
              </w:rPr>
              <w:t>0.039</w:t>
            </w:r>
          </w:p>
        </w:tc>
        <w:tc>
          <w:tcPr>
            <w:tcW w:w="591" w:type="pct"/>
            <w:tcBorders>
              <w:top w:val="nil"/>
              <w:left w:val="nil"/>
              <w:bottom w:val="nil"/>
              <w:right w:val="nil"/>
            </w:tcBorders>
            <w:shd w:val="clear" w:color="auto" w:fill="auto"/>
            <w:noWrap/>
            <w:vAlign w:val="center"/>
            <w:hideMark/>
          </w:tcPr>
          <w:p w14:paraId="45BFE20D" w14:textId="77777777" w:rsidR="00735ADD" w:rsidRPr="004F7330" w:rsidRDefault="00735ADD" w:rsidP="00F80490">
            <w:pPr>
              <w:pStyle w:val="TableText"/>
              <w:jc w:val="right"/>
              <w:rPr>
                <w:lang w:val="en-GB" w:eastAsia="zh-CN"/>
              </w:rPr>
            </w:pPr>
            <w:r w:rsidRPr="004F7330">
              <w:rPr>
                <w:lang w:val="en-GB" w:eastAsia="zh-CN"/>
              </w:rPr>
              <w:t>0.077</w:t>
            </w:r>
          </w:p>
        </w:tc>
      </w:tr>
      <w:tr w:rsidR="00735ADD" w:rsidRPr="004F7330" w14:paraId="554826B6" w14:textId="77777777" w:rsidTr="00DC68CD">
        <w:trPr>
          <w:trHeight w:val="300"/>
        </w:trPr>
        <w:tc>
          <w:tcPr>
            <w:tcW w:w="1533" w:type="pct"/>
            <w:tcBorders>
              <w:top w:val="nil"/>
              <w:left w:val="nil"/>
              <w:bottom w:val="nil"/>
              <w:right w:val="nil"/>
            </w:tcBorders>
            <w:shd w:val="clear" w:color="auto" w:fill="auto"/>
            <w:noWrap/>
            <w:vAlign w:val="center"/>
            <w:hideMark/>
          </w:tcPr>
          <w:p w14:paraId="2BC8E572" w14:textId="77777777" w:rsidR="00735ADD" w:rsidRPr="004F7330" w:rsidRDefault="00735ADD" w:rsidP="00F80490">
            <w:pPr>
              <w:pStyle w:val="TableText"/>
              <w:rPr>
                <w:lang w:val="en-GB" w:eastAsia="zh-CN"/>
              </w:rPr>
            </w:pPr>
            <m:oMathPara>
              <m:oMathParaPr>
                <m:jc m:val="left"/>
              </m:oMathParaPr>
              <m:oMath>
                <m:r>
                  <m:rPr>
                    <m:sty m:val="p"/>
                  </m:rPr>
                  <w:rPr>
                    <w:rFonts w:ascii="Cambria Math" w:hAnsi="Cambria Math"/>
                    <w:lang w:val="en-GB" w:eastAsia="zh-CN"/>
                  </w:rPr>
                  <m:t>#</m:t>
                </m:r>
                <m:r>
                  <w:rPr>
                    <w:rFonts w:ascii="Cambria Math" w:hAnsi="Cambria Math"/>
                    <w:lang w:val="en-GB" w:eastAsia="zh-CN"/>
                  </w:rPr>
                  <m:t>ANALYSTS</m:t>
                </m:r>
              </m:oMath>
            </m:oMathPara>
          </w:p>
        </w:tc>
        <w:tc>
          <w:tcPr>
            <w:tcW w:w="556" w:type="pct"/>
            <w:tcBorders>
              <w:top w:val="nil"/>
              <w:left w:val="nil"/>
              <w:bottom w:val="nil"/>
              <w:right w:val="nil"/>
            </w:tcBorders>
            <w:shd w:val="clear" w:color="auto" w:fill="auto"/>
            <w:noWrap/>
            <w:vAlign w:val="center"/>
            <w:hideMark/>
          </w:tcPr>
          <w:p w14:paraId="55170CC5" w14:textId="1255542B" w:rsidR="00735ADD" w:rsidRPr="004F7330" w:rsidRDefault="00735ADD" w:rsidP="00F80490">
            <w:pPr>
              <w:pStyle w:val="TableText"/>
              <w:jc w:val="right"/>
              <w:rPr>
                <w:lang w:val="en-GB" w:eastAsia="zh-CN"/>
              </w:rPr>
            </w:pPr>
            <w:r w:rsidRPr="00495BC0">
              <w:rPr>
                <w:lang w:val="en-GB" w:eastAsia="zh-CN"/>
              </w:rPr>
              <w:t>11</w:t>
            </w:r>
            <w:r w:rsidR="00F552F1">
              <w:rPr>
                <w:lang w:val="en-GB" w:eastAsia="zh-CN"/>
              </w:rPr>
              <w:t>,</w:t>
            </w:r>
            <w:r w:rsidRPr="00495BC0">
              <w:rPr>
                <w:lang w:val="en-GB" w:eastAsia="zh-CN"/>
              </w:rPr>
              <w:t>345</w:t>
            </w:r>
          </w:p>
        </w:tc>
        <w:tc>
          <w:tcPr>
            <w:tcW w:w="593" w:type="pct"/>
            <w:tcBorders>
              <w:top w:val="nil"/>
              <w:left w:val="nil"/>
              <w:bottom w:val="nil"/>
              <w:right w:val="nil"/>
            </w:tcBorders>
            <w:shd w:val="clear" w:color="auto" w:fill="auto"/>
            <w:noWrap/>
            <w:vAlign w:val="center"/>
            <w:hideMark/>
          </w:tcPr>
          <w:p w14:paraId="7051D0E8" w14:textId="77777777" w:rsidR="00735ADD" w:rsidRPr="004F7330" w:rsidRDefault="00735ADD" w:rsidP="00F80490">
            <w:pPr>
              <w:pStyle w:val="TableText"/>
              <w:jc w:val="right"/>
              <w:rPr>
                <w:lang w:val="en-GB" w:eastAsia="zh-CN"/>
              </w:rPr>
            </w:pPr>
            <w:r w:rsidRPr="004F7330">
              <w:rPr>
                <w:lang w:val="en-GB" w:eastAsia="zh-CN"/>
              </w:rPr>
              <w:t>2.036</w:t>
            </w:r>
          </w:p>
        </w:tc>
        <w:tc>
          <w:tcPr>
            <w:tcW w:w="539" w:type="pct"/>
            <w:gridSpan w:val="2"/>
            <w:tcBorders>
              <w:top w:val="nil"/>
              <w:left w:val="nil"/>
              <w:bottom w:val="nil"/>
              <w:right w:val="nil"/>
            </w:tcBorders>
            <w:shd w:val="clear" w:color="auto" w:fill="auto"/>
            <w:noWrap/>
            <w:vAlign w:val="center"/>
            <w:hideMark/>
          </w:tcPr>
          <w:p w14:paraId="0DC85157" w14:textId="77777777" w:rsidR="00735ADD" w:rsidRPr="004F7330" w:rsidRDefault="00735ADD" w:rsidP="00F80490">
            <w:pPr>
              <w:pStyle w:val="TableText"/>
              <w:jc w:val="right"/>
              <w:rPr>
                <w:lang w:val="en-GB" w:eastAsia="zh-CN"/>
              </w:rPr>
            </w:pPr>
            <w:r w:rsidRPr="004F7330">
              <w:rPr>
                <w:lang w:val="en-GB" w:eastAsia="zh-CN"/>
              </w:rPr>
              <w:t>1.051</w:t>
            </w:r>
          </w:p>
        </w:tc>
        <w:tc>
          <w:tcPr>
            <w:tcW w:w="594" w:type="pct"/>
            <w:tcBorders>
              <w:top w:val="nil"/>
              <w:left w:val="nil"/>
              <w:bottom w:val="nil"/>
              <w:right w:val="nil"/>
            </w:tcBorders>
            <w:shd w:val="clear" w:color="auto" w:fill="auto"/>
            <w:noWrap/>
            <w:vAlign w:val="center"/>
            <w:hideMark/>
          </w:tcPr>
          <w:p w14:paraId="58E53039" w14:textId="77777777" w:rsidR="00735ADD" w:rsidRPr="004F7330" w:rsidRDefault="00735ADD" w:rsidP="00F80490">
            <w:pPr>
              <w:pStyle w:val="TableText"/>
              <w:jc w:val="right"/>
              <w:rPr>
                <w:lang w:val="en-GB" w:eastAsia="zh-CN"/>
              </w:rPr>
            </w:pPr>
            <w:r w:rsidRPr="004F7330">
              <w:rPr>
                <w:lang w:val="en-GB" w:eastAsia="zh-CN"/>
              </w:rPr>
              <w:t>1.386</w:t>
            </w:r>
          </w:p>
        </w:tc>
        <w:tc>
          <w:tcPr>
            <w:tcW w:w="594" w:type="pct"/>
            <w:gridSpan w:val="2"/>
            <w:tcBorders>
              <w:top w:val="nil"/>
              <w:left w:val="nil"/>
              <w:bottom w:val="nil"/>
              <w:right w:val="nil"/>
            </w:tcBorders>
            <w:shd w:val="clear" w:color="auto" w:fill="auto"/>
            <w:noWrap/>
            <w:vAlign w:val="center"/>
            <w:hideMark/>
          </w:tcPr>
          <w:p w14:paraId="6B77EEB2" w14:textId="77777777" w:rsidR="00735ADD" w:rsidRPr="004F7330" w:rsidRDefault="00735ADD" w:rsidP="00F80490">
            <w:pPr>
              <w:pStyle w:val="TableText"/>
              <w:jc w:val="right"/>
              <w:rPr>
                <w:lang w:val="en-GB" w:eastAsia="zh-CN"/>
              </w:rPr>
            </w:pPr>
            <w:r w:rsidRPr="004F7330">
              <w:rPr>
                <w:lang w:val="en-GB" w:eastAsia="zh-CN"/>
              </w:rPr>
              <w:t>2.197</w:t>
            </w:r>
          </w:p>
        </w:tc>
        <w:tc>
          <w:tcPr>
            <w:tcW w:w="591" w:type="pct"/>
            <w:tcBorders>
              <w:top w:val="nil"/>
              <w:left w:val="nil"/>
              <w:bottom w:val="nil"/>
              <w:right w:val="nil"/>
            </w:tcBorders>
            <w:shd w:val="clear" w:color="auto" w:fill="auto"/>
            <w:noWrap/>
            <w:vAlign w:val="center"/>
            <w:hideMark/>
          </w:tcPr>
          <w:p w14:paraId="730D0365" w14:textId="77777777" w:rsidR="00735ADD" w:rsidRPr="004F7330" w:rsidRDefault="00735ADD" w:rsidP="00F80490">
            <w:pPr>
              <w:pStyle w:val="TableText"/>
              <w:jc w:val="right"/>
              <w:rPr>
                <w:lang w:val="en-GB" w:eastAsia="zh-CN"/>
              </w:rPr>
            </w:pPr>
            <w:r w:rsidRPr="004F7330">
              <w:rPr>
                <w:lang w:val="en-GB" w:eastAsia="zh-CN"/>
              </w:rPr>
              <w:t>2.833</w:t>
            </w:r>
          </w:p>
        </w:tc>
      </w:tr>
      <w:tr w:rsidR="00735ADD" w:rsidRPr="004F7330" w14:paraId="45DA6295" w14:textId="77777777" w:rsidTr="00DC68CD">
        <w:trPr>
          <w:trHeight w:val="300"/>
        </w:trPr>
        <w:tc>
          <w:tcPr>
            <w:tcW w:w="1533" w:type="pct"/>
            <w:tcBorders>
              <w:top w:val="nil"/>
              <w:left w:val="nil"/>
              <w:bottom w:val="nil"/>
              <w:right w:val="nil"/>
            </w:tcBorders>
            <w:shd w:val="clear" w:color="auto" w:fill="auto"/>
            <w:noWrap/>
            <w:vAlign w:val="center"/>
            <w:hideMark/>
          </w:tcPr>
          <w:p w14:paraId="4C01F90C" w14:textId="77777777" w:rsidR="00735ADD" w:rsidRPr="004F7330" w:rsidRDefault="00735ADD" w:rsidP="00F80490">
            <w:pPr>
              <w:pStyle w:val="TableText"/>
              <w:rPr>
                <w:lang w:val="en-GB" w:eastAsia="zh-CN"/>
              </w:rPr>
            </w:pPr>
            <m:oMathPara>
              <m:oMathParaPr>
                <m:jc m:val="left"/>
              </m:oMathParaPr>
              <m:oMath>
                <m:r>
                  <w:rPr>
                    <w:rFonts w:ascii="Cambria Math" w:hAnsi="Cambria Math"/>
                    <w:lang w:val="en-GB" w:eastAsia="zh-CN"/>
                  </w:rPr>
                  <m:t>TONE</m:t>
                </m:r>
                <m:r>
                  <m:rPr>
                    <m:sty m:val="p"/>
                  </m:rPr>
                  <w:rPr>
                    <w:rFonts w:ascii="Cambria Math" w:hAnsi="Cambria Math"/>
                    <w:lang w:val="en-GB" w:eastAsia="zh-CN"/>
                  </w:rPr>
                  <m:t>_</m:t>
                </m:r>
                <m:r>
                  <w:rPr>
                    <w:rFonts w:ascii="Cambria Math" w:hAnsi="Cambria Math"/>
                    <w:lang w:val="en-GB" w:eastAsia="zh-CN"/>
                  </w:rPr>
                  <m:t>C</m:t>
                </m:r>
              </m:oMath>
            </m:oMathPara>
          </w:p>
        </w:tc>
        <w:tc>
          <w:tcPr>
            <w:tcW w:w="556" w:type="pct"/>
            <w:tcBorders>
              <w:top w:val="nil"/>
              <w:left w:val="nil"/>
              <w:bottom w:val="nil"/>
              <w:right w:val="nil"/>
            </w:tcBorders>
            <w:shd w:val="clear" w:color="auto" w:fill="auto"/>
            <w:noWrap/>
            <w:vAlign w:val="center"/>
            <w:hideMark/>
          </w:tcPr>
          <w:p w14:paraId="02BC0E8A" w14:textId="6E8AAA71" w:rsidR="00735ADD" w:rsidRPr="004F7330" w:rsidRDefault="00735ADD" w:rsidP="00F80490">
            <w:pPr>
              <w:pStyle w:val="TableText"/>
              <w:jc w:val="right"/>
              <w:rPr>
                <w:lang w:val="en-GB" w:eastAsia="zh-CN"/>
              </w:rPr>
            </w:pPr>
            <w:r w:rsidRPr="00495BC0">
              <w:rPr>
                <w:lang w:val="en-GB" w:eastAsia="zh-CN"/>
              </w:rPr>
              <w:t>11</w:t>
            </w:r>
            <w:r w:rsidR="00F552F1">
              <w:rPr>
                <w:lang w:val="en-GB" w:eastAsia="zh-CN"/>
              </w:rPr>
              <w:t>,</w:t>
            </w:r>
            <w:r w:rsidRPr="00495BC0">
              <w:rPr>
                <w:lang w:val="en-GB" w:eastAsia="zh-CN"/>
              </w:rPr>
              <w:t>345</w:t>
            </w:r>
          </w:p>
        </w:tc>
        <w:tc>
          <w:tcPr>
            <w:tcW w:w="593" w:type="pct"/>
            <w:tcBorders>
              <w:top w:val="nil"/>
              <w:left w:val="nil"/>
              <w:bottom w:val="nil"/>
              <w:right w:val="nil"/>
            </w:tcBorders>
            <w:shd w:val="clear" w:color="auto" w:fill="auto"/>
            <w:noWrap/>
            <w:vAlign w:val="center"/>
            <w:hideMark/>
          </w:tcPr>
          <w:p w14:paraId="03867B0F" w14:textId="77777777" w:rsidR="00735ADD" w:rsidRPr="004F7330" w:rsidRDefault="00735ADD" w:rsidP="00F80490">
            <w:pPr>
              <w:pStyle w:val="TableText"/>
              <w:jc w:val="right"/>
              <w:rPr>
                <w:lang w:val="en-GB" w:eastAsia="zh-CN"/>
              </w:rPr>
            </w:pPr>
            <w:r w:rsidRPr="004F7330">
              <w:rPr>
                <w:lang w:val="en-GB" w:eastAsia="zh-CN"/>
              </w:rPr>
              <w:t>0.671</w:t>
            </w:r>
          </w:p>
        </w:tc>
        <w:tc>
          <w:tcPr>
            <w:tcW w:w="539" w:type="pct"/>
            <w:gridSpan w:val="2"/>
            <w:tcBorders>
              <w:top w:val="nil"/>
              <w:left w:val="nil"/>
              <w:bottom w:val="nil"/>
              <w:right w:val="nil"/>
            </w:tcBorders>
            <w:shd w:val="clear" w:color="auto" w:fill="auto"/>
            <w:noWrap/>
            <w:vAlign w:val="center"/>
            <w:hideMark/>
          </w:tcPr>
          <w:p w14:paraId="592BA765" w14:textId="77777777" w:rsidR="00735ADD" w:rsidRPr="004F7330" w:rsidRDefault="00735ADD" w:rsidP="00F80490">
            <w:pPr>
              <w:pStyle w:val="TableText"/>
              <w:jc w:val="right"/>
              <w:rPr>
                <w:lang w:val="en-GB" w:eastAsia="zh-CN"/>
              </w:rPr>
            </w:pPr>
            <w:r w:rsidRPr="004F7330">
              <w:rPr>
                <w:lang w:val="en-GB" w:eastAsia="zh-CN"/>
              </w:rPr>
              <w:t>0.461</w:t>
            </w:r>
          </w:p>
        </w:tc>
        <w:tc>
          <w:tcPr>
            <w:tcW w:w="594" w:type="pct"/>
            <w:tcBorders>
              <w:top w:val="nil"/>
              <w:left w:val="nil"/>
              <w:bottom w:val="nil"/>
              <w:right w:val="nil"/>
            </w:tcBorders>
            <w:shd w:val="clear" w:color="auto" w:fill="auto"/>
            <w:noWrap/>
            <w:vAlign w:val="center"/>
            <w:hideMark/>
          </w:tcPr>
          <w:p w14:paraId="7AC1C052" w14:textId="77777777" w:rsidR="00735ADD" w:rsidRPr="004F7330" w:rsidRDefault="00735ADD" w:rsidP="00F80490">
            <w:pPr>
              <w:pStyle w:val="TableText"/>
              <w:jc w:val="right"/>
              <w:rPr>
                <w:lang w:val="en-GB" w:eastAsia="zh-CN"/>
              </w:rPr>
            </w:pPr>
            <w:r w:rsidRPr="004F7330">
              <w:rPr>
                <w:lang w:val="en-GB" w:eastAsia="zh-CN"/>
              </w:rPr>
              <w:t>0.361</w:t>
            </w:r>
          </w:p>
        </w:tc>
        <w:tc>
          <w:tcPr>
            <w:tcW w:w="594" w:type="pct"/>
            <w:gridSpan w:val="2"/>
            <w:tcBorders>
              <w:top w:val="nil"/>
              <w:left w:val="nil"/>
              <w:bottom w:val="nil"/>
              <w:right w:val="nil"/>
            </w:tcBorders>
            <w:shd w:val="clear" w:color="auto" w:fill="auto"/>
            <w:noWrap/>
            <w:vAlign w:val="center"/>
            <w:hideMark/>
          </w:tcPr>
          <w:p w14:paraId="75FBF742" w14:textId="77777777" w:rsidR="00735ADD" w:rsidRPr="004F7330" w:rsidRDefault="00735ADD" w:rsidP="00F80490">
            <w:pPr>
              <w:pStyle w:val="TableText"/>
              <w:jc w:val="right"/>
              <w:rPr>
                <w:lang w:val="en-GB" w:eastAsia="zh-CN"/>
              </w:rPr>
            </w:pPr>
            <w:r w:rsidRPr="004F7330">
              <w:rPr>
                <w:lang w:val="en-GB" w:eastAsia="zh-CN"/>
              </w:rPr>
              <w:t>0.658</w:t>
            </w:r>
          </w:p>
        </w:tc>
        <w:tc>
          <w:tcPr>
            <w:tcW w:w="591" w:type="pct"/>
            <w:tcBorders>
              <w:top w:val="nil"/>
              <w:left w:val="nil"/>
              <w:bottom w:val="nil"/>
              <w:right w:val="nil"/>
            </w:tcBorders>
            <w:shd w:val="clear" w:color="auto" w:fill="auto"/>
            <w:noWrap/>
            <w:vAlign w:val="center"/>
            <w:hideMark/>
          </w:tcPr>
          <w:p w14:paraId="5E49875A" w14:textId="77777777" w:rsidR="00735ADD" w:rsidRPr="004F7330" w:rsidRDefault="00735ADD" w:rsidP="00F80490">
            <w:pPr>
              <w:pStyle w:val="TableText"/>
              <w:jc w:val="right"/>
              <w:rPr>
                <w:lang w:val="en-GB" w:eastAsia="zh-CN"/>
              </w:rPr>
            </w:pPr>
            <w:r w:rsidRPr="004F7330">
              <w:rPr>
                <w:lang w:val="en-GB" w:eastAsia="zh-CN"/>
              </w:rPr>
              <w:t>0.976</w:t>
            </w:r>
          </w:p>
        </w:tc>
      </w:tr>
      <w:tr w:rsidR="00735ADD" w:rsidRPr="004F7330" w14:paraId="736624A0" w14:textId="77777777" w:rsidTr="00DC68CD">
        <w:trPr>
          <w:trHeight w:val="300"/>
        </w:trPr>
        <w:tc>
          <w:tcPr>
            <w:tcW w:w="1533" w:type="pct"/>
            <w:tcBorders>
              <w:top w:val="nil"/>
              <w:left w:val="nil"/>
              <w:bottom w:val="nil"/>
              <w:right w:val="nil"/>
            </w:tcBorders>
            <w:shd w:val="clear" w:color="auto" w:fill="auto"/>
            <w:noWrap/>
            <w:vAlign w:val="center"/>
            <w:hideMark/>
          </w:tcPr>
          <w:p w14:paraId="6604D4A1" w14:textId="77777777" w:rsidR="00735ADD" w:rsidRPr="004F7330" w:rsidRDefault="00735ADD" w:rsidP="00F80490">
            <w:pPr>
              <w:pStyle w:val="TableText"/>
              <w:rPr>
                <w:lang w:val="en-GB" w:eastAsia="zh-CN"/>
              </w:rPr>
            </w:pPr>
            <m:oMathPara>
              <m:oMathParaPr>
                <m:jc m:val="left"/>
              </m:oMathParaPr>
              <m:oMath>
                <m:r>
                  <w:rPr>
                    <w:rFonts w:ascii="Cambria Math" w:hAnsi="Cambria Math"/>
                    <w:lang w:val="en-GB" w:eastAsia="zh-CN"/>
                  </w:rPr>
                  <m:t>TONE</m:t>
                </m:r>
                <m:r>
                  <m:rPr>
                    <m:sty m:val="p"/>
                  </m:rPr>
                  <w:rPr>
                    <w:rFonts w:ascii="Cambria Math" w:hAnsi="Cambria Math"/>
                    <w:lang w:val="en-GB" w:eastAsia="zh-CN"/>
                  </w:rPr>
                  <m:t>_</m:t>
                </m:r>
                <m:r>
                  <w:rPr>
                    <w:rFonts w:ascii="Cambria Math" w:hAnsi="Cambria Math"/>
                    <w:lang w:val="en-GB" w:eastAsia="zh-CN"/>
                  </w:rPr>
                  <m:t>P</m:t>
                </m:r>
              </m:oMath>
            </m:oMathPara>
          </w:p>
        </w:tc>
        <w:tc>
          <w:tcPr>
            <w:tcW w:w="556" w:type="pct"/>
            <w:tcBorders>
              <w:top w:val="nil"/>
              <w:left w:val="nil"/>
              <w:bottom w:val="nil"/>
              <w:right w:val="nil"/>
            </w:tcBorders>
            <w:shd w:val="clear" w:color="auto" w:fill="auto"/>
            <w:noWrap/>
            <w:vAlign w:val="center"/>
            <w:hideMark/>
          </w:tcPr>
          <w:p w14:paraId="625E10E8" w14:textId="58B9B36D" w:rsidR="00735ADD" w:rsidRPr="004F7330" w:rsidRDefault="00735ADD" w:rsidP="00F80490">
            <w:pPr>
              <w:pStyle w:val="TableText"/>
              <w:jc w:val="right"/>
              <w:rPr>
                <w:lang w:val="en-GB" w:eastAsia="zh-CN"/>
              </w:rPr>
            </w:pPr>
            <w:r w:rsidRPr="00495BC0">
              <w:rPr>
                <w:lang w:val="en-GB" w:eastAsia="zh-CN"/>
              </w:rPr>
              <w:t>11</w:t>
            </w:r>
            <w:r w:rsidR="00F552F1">
              <w:rPr>
                <w:lang w:val="en-GB" w:eastAsia="zh-CN"/>
              </w:rPr>
              <w:t>,</w:t>
            </w:r>
            <w:r w:rsidRPr="00495BC0">
              <w:rPr>
                <w:lang w:val="en-GB" w:eastAsia="zh-CN"/>
              </w:rPr>
              <w:t>345</w:t>
            </w:r>
          </w:p>
        </w:tc>
        <w:tc>
          <w:tcPr>
            <w:tcW w:w="593" w:type="pct"/>
            <w:tcBorders>
              <w:top w:val="nil"/>
              <w:left w:val="nil"/>
              <w:bottom w:val="nil"/>
              <w:right w:val="nil"/>
            </w:tcBorders>
            <w:shd w:val="clear" w:color="auto" w:fill="auto"/>
            <w:noWrap/>
            <w:vAlign w:val="center"/>
            <w:hideMark/>
          </w:tcPr>
          <w:p w14:paraId="4DBB8E1D" w14:textId="77777777" w:rsidR="00735ADD" w:rsidRPr="004F7330" w:rsidRDefault="00735ADD" w:rsidP="00F80490">
            <w:pPr>
              <w:pStyle w:val="TableText"/>
              <w:jc w:val="right"/>
              <w:rPr>
                <w:lang w:val="en-GB" w:eastAsia="zh-CN"/>
              </w:rPr>
            </w:pPr>
            <w:r w:rsidRPr="004F7330">
              <w:rPr>
                <w:lang w:val="en-GB" w:eastAsia="zh-CN"/>
              </w:rPr>
              <w:t>0.985</w:t>
            </w:r>
          </w:p>
        </w:tc>
        <w:tc>
          <w:tcPr>
            <w:tcW w:w="539" w:type="pct"/>
            <w:gridSpan w:val="2"/>
            <w:tcBorders>
              <w:top w:val="nil"/>
              <w:left w:val="nil"/>
              <w:bottom w:val="nil"/>
              <w:right w:val="nil"/>
            </w:tcBorders>
            <w:shd w:val="clear" w:color="auto" w:fill="auto"/>
            <w:noWrap/>
            <w:vAlign w:val="center"/>
            <w:hideMark/>
          </w:tcPr>
          <w:p w14:paraId="2F47D5B6" w14:textId="77777777" w:rsidR="00735ADD" w:rsidRPr="004F7330" w:rsidRDefault="00735ADD" w:rsidP="00F80490">
            <w:pPr>
              <w:pStyle w:val="TableText"/>
              <w:jc w:val="right"/>
              <w:rPr>
                <w:lang w:val="en-GB" w:eastAsia="zh-CN"/>
              </w:rPr>
            </w:pPr>
            <w:r w:rsidRPr="004F7330">
              <w:rPr>
                <w:lang w:val="en-GB" w:eastAsia="zh-CN"/>
              </w:rPr>
              <w:t>0.682</w:t>
            </w:r>
          </w:p>
        </w:tc>
        <w:tc>
          <w:tcPr>
            <w:tcW w:w="594" w:type="pct"/>
            <w:tcBorders>
              <w:top w:val="nil"/>
              <w:left w:val="nil"/>
              <w:bottom w:val="nil"/>
              <w:right w:val="nil"/>
            </w:tcBorders>
            <w:shd w:val="clear" w:color="auto" w:fill="auto"/>
            <w:noWrap/>
            <w:vAlign w:val="center"/>
            <w:hideMark/>
          </w:tcPr>
          <w:p w14:paraId="71DE8586" w14:textId="77777777" w:rsidR="00735ADD" w:rsidRPr="004F7330" w:rsidRDefault="00735ADD" w:rsidP="00F80490">
            <w:pPr>
              <w:pStyle w:val="TableText"/>
              <w:jc w:val="right"/>
              <w:rPr>
                <w:lang w:val="en-GB" w:eastAsia="zh-CN"/>
              </w:rPr>
            </w:pPr>
            <w:r w:rsidRPr="004F7330">
              <w:rPr>
                <w:lang w:val="en-GB" w:eastAsia="zh-CN"/>
              </w:rPr>
              <w:t>0.527</w:t>
            </w:r>
          </w:p>
        </w:tc>
        <w:tc>
          <w:tcPr>
            <w:tcW w:w="594" w:type="pct"/>
            <w:gridSpan w:val="2"/>
            <w:tcBorders>
              <w:top w:val="nil"/>
              <w:left w:val="nil"/>
              <w:bottom w:val="nil"/>
              <w:right w:val="nil"/>
            </w:tcBorders>
            <w:shd w:val="clear" w:color="auto" w:fill="auto"/>
            <w:noWrap/>
            <w:vAlign w:val="center"/>
            <w:hideMark/>
          </w:tcPr>
          <w:p w14:paraId="00B560CB" w14:textId="77777777" w:rsidR="00735ADD" w:rsidRPr="004F7330" w:rsidRDefault="00735ADD" w:rsidP="00F80490">
            <w:pPr>
              <w:pStyle w:val="TableText"/>
              <w:jc w:val="right"/>
              <w:rPr>
                <w:lang w:val="en-GB" w:eastAsia="zh-CN"/>
              </w:rPr>
            </w:pPr>
            <w:r w:rsidRPr="004F7330">
              <w:rPr>
                <w:lang w:val="en-GB" w:eastAsia="zh-CN"/>
              </w:rPr>
              <w:t>0.975</w:t>
            </w:r>
          </w:p>
        </w:tc>
        <w:tc>
          <w:tcPr>
            <w:tcW w:w="591" w:type="pct"/>
            <w:tcBorders>
              <w:top w:val="nil"/>
              <w:left w:val="nil"/>
              <w:bottom w:val="nil"/>
              <w:right w:val="nil"/>
            </w:tcBorders>
            <w:shd w:val="clear" w:color="auto" w:fill="auto"/>
            <w:noWrap/>
            <w:vAlign w:val="center"/>
            <w:hideMark/>
          </w:tcPr>
          <w:p w14:paraId="494EE9A4" w14:textId="77777777" w:rsidR="00735ADD" w:rsidRPr="004F7330" w:rsidRDefault="00735ADD" w:rsidP="00F80490">
            <w:pPr>
              <w:pStyle w:val="TableText"/>
              <w:jc w:val="right"/>
              <w:rPr>
                <w:lang w:val="en-GB" w:eastAsia="zh-CN"/>
              </w:rPr>
            </w:pPr>
            <w:r w:rsidRPr="004F7330">
              <w:rPr>
                <w:lang w:val="en-GB" w:eastAsia="zh-CN"/>
              </w:rPr>
              <w:t>1.436</w:t>
            </w:r>
          </w:p>
        </w:tc>
      </w:tr>
      <w:tr w:rsidR="00735ADD" w:rsidRPr="004F7330" w14:paraId="6FAF9C21" w14:textId="77777777" w:rsidTr="00DC68CD">
        <w:trPr>
          <w:trHeight w:val="300"/>
        </w:trPr>
        <w:tc>
          <w:tcPr>
            <w:tcW w:w="1533" w:type="pct"/>
            <w:tcBorders>
              <w:top w:val="nil"/>
              <w:left w:val="nil"/>
              <w:bottom w:val="nil"/>
              <w:right w:val="nil"/>
            </w:tcBorders>
            <w:shd w:val="clear" w:color="auto" w:fill="auto"/>
            <w:noWrap/>
            <w:vAlign w:val="center"/>
            <w:hideMark/>
          </w:tcPr>
          <w:p w14:paraId="3097F095" w14:textId="77777777" w:rsidR="00735ADD" w:rsidRPr="004F7330" w:rsidRDefault="00735ADD" w:rsidP="00F80490">
            <w:pPr>
              <w:pStyle w:val="TableText"/>
              <w:rPr>
                <w:lang w:val="en-GB" w:eastAsia="zh-CN"/>
              </w:rPr>
            </w:pPr>
            <m:oMathPara>
              <m:oMathParaPr>
                <m:jc m:val="left"/>
              </m:oMathParaPr>
              <m:oMath>
                <m:r>
                  <w:rPr>
                    <w:rFonts w:ascii="Cambria Math" w:hAnsi="Cambria Math"/>
                    <w:lang w:val="en-GB" w:eastAsia="zh-CN"/>
                  </w:rPr>
                  <m:t>TONE</m:t>
                </m:r>
                <m:r>
                  <m:rPr>
                    <m:sty m:val="p"/>
                  </m:rPr>
                  <w:rPr>
                    <w:rFonts w:ascii="Cambria Math" w:hAnsi="Cambria Math"/>
                    <w:lang w:val="en-GB" w:eastAsia="zh-CN"/>
                  </w:rPr>
                  <m:t>_</m:t>
                </m:r>
                <m:r>
                  <w:rPr>
                    <w:rFonts w:ascii="Cambria Math" w:hAnsi="Cambria Math"/>
                    <w:lang w:val="en-GB" w:eastAsia="zh-CN"/>
                  </w:rPr>
                  <m:t>Q</m:t>
                </m:r>
              </m:oMath>
            </m:oMathPara>
          </w:p>
        </w:tc>
        <w:tc>
          <w:tcPr>
            <w:tcW w:w="556" w:type="pct"/>
            <w:tcBorders>
              <w:top w:val="nil"/>
              <w:left w:val="nil"/>
              <w:bottom w:val="nil"/>
              <w:right w:val="nil"/>
            </w:tcBorders>
            <w:shd w:val="clear" w:color="auto" w:fill="auto"/>
            <w:noWrap/>
            <w:vAlign w:val="center"/>
            <w:hideMark/>
          </w:tcPr>
          <w:p w14:paraId="4FF551AE" w14:textId="67253888" w:rsidR="00735ADD" w:rsidRPr="004F7330" w:rsidRDefault="00735ADD" w:rsidP="00F80490">
            <w:pPr>
              <w:pStyle w:val="TableText"/>
              <w:jc w:val="right"/>
              <w:rPr>
                <w:lang w:val="en-GB" w:eastAsia="zh-CN"/>
              </w:rPr>
            </w:pPr>
            <w:r w:rsidRPr="00495BC0">
              <w:rPr>
                <w:lang w:val="en-GB" w:eastAsia="zh-CN"/>
              </w:rPr>
              <w:t>11</w:t>
            </w:r>
            <w:r w:rsidR="00F552F1">
              <w:rPr>
                <w:lang w:val="en-GB" w:eastAsia="zh-CN"/>
              </w:rPr>
              <w:t>,</w:t>
            </w:r>
            <w:r w:rsidRPr="00495BC0">
              <w:rPr>
                <w:lang w:val="en-GB" w:eastAsia="zh-CN"/>
              </w:rPr>
              <w:t>345</w:t>
            </w:r>
          </w:p>
        </w:tc>
        <w:tc>
          <w:tcPr>
            <w:tcW w:w="593" w:type="pct"/>
            <w:tcBorders>
              <w:top w:val="nil"/>
              <w:left w:val="nil"/>
              <w:bottom w:val="nil"/>
              <w:right w:val="nil"/>
            </w:tcBorders>
            <w:shd w:val="clear" w:color="auto" w:fill="auto"/>
            <w:noWrap/>
            <w:vAlign w:val="center"/>
            <w:hideMark/>
          </w:tcPr>
          <w:p w14:paraId="114B59FA" w14:textId="77777777" w:rsidR="00735ADD" w:rsidRPr="004F7330" w:rsidRDefault="00735ADD" w:rsidP="00F80490">
            <w:pPr>
              <w:pStyle w:val="TableText"/>
              <w:jc w:val="right"/>
              <w:rPr>
                <w:lang w:val="en-GB" w:eastAsia="zh-CN"/>
              </w:rPr>
            </w:pPr>
            <w:r w:rsidRPr="004F7330">
              <w:rPr>
                <w:lang w:val="en-GB" w:eastAsia="zh-CN"/>
              </w:rPr>
              <w:t>0.417</w:t>
            </w:r>
          </w:p>
        </w:tc>
        <w:tc>
          <w:tcPr>
            <w:tcW w:w="539" w:type="pct"/>
            <w:gridSpan w:val="2"/>
            <w:tcBorders>
              <w:top w:val="nil"/>
              <w:left w:val="nil"/>
              <w:bottom w:val="nil"/>
              <w:right w:val="nil"/>
            </w:tcBorders>
            <w:shd w:val="clear" w:color="auto" w:fill="auto"/>
            <w:noWrap/>
            <w:vAlign w:val="center"/>
            <w:hideMark/>
          </w:tcPr>
          <w:p w14:paraId="12C79687" w14:textId="77777777" w:rsidR="00735ADD" w:rsidRPr="004F7330" w:rsidRDefault="00735ADD" w:rsidP="00F80490">
            <w:pPr>
              <w:pStyle w:val="TableText"/>
              <w:jc w:val="right"/>
              <w:rPr>
                <w:lang w:val="en-GB" w:eastAsia="zh-CN"/>
              </w:rPr>
            </w:pPr>
            <w:r w:rsidRPr="004F7330">
              <w:rPr>
                <w:lang w:val="en-GB" w:eastAsia="zh-CN"/>
              </w:rPr>
              <w:t>0.457</w:t>
            </w:r>
          </w:p>
        </w:tc>
        <w:tc>
          <w:tcPr>
            <w:tcW w:w="594" w:type="pct"/>
            <w:tcBorders>
              <w:top w:val="nil"/>
              <w:left w:val="nil"/>
              <w:bottom w:val="nil"/>
              <w:right w:val="nil"/>
            </w:tcBorders>
            <w:shd w:val="clear" w:color="auto" w:fill="auto"/>
            <w:noWrap/>
            <w:vAlign w:val="center"/>
            <w:hideMark/>
          </w:tcPr>
          <w:p w14:paraId="0DE67032" w14:textId="77777777" w:rsidR="00735ADD" w:rsidRPr="004F7330" w:rsidRDefault="00735ADD" w:rsidP="00F80490">
            <w:pPr>
              <w:pStyle w:val="TableText"/>
              <w:jc w:val="right"/>
              <w:rPr>
                <w:lang w:val="en-GB" w:eastAsia="zh-CN"/>
              </w:rPr>
            </w:pPr>
            <w:r w:rsidRPr="004F7330">
              <w:rPr>
                <w:lang w:val="en-GB" w:eastAsia="zh-CN"/>
              </w:rPr>
              <w:t>0.121</w:t>
            </w:r>
          </w:p>
        </w:tc>
        <w:tc>
          <w:tcPr>
            <w:tcW w:w="594" w:type="pct"/>
            <w:gridSpan w:val="2"/>
            <w:tcBorders>
              <w:top w:val="nil"/>
              <w:left w:val="nil"/>
              <w:bottom w:val="nil"/>
              <w:right w:val="nil"/>
            </w:tcBorders>
            <w:shd w:val="clear" w:color="auto" w:fill="auto"/>
            <w:noWrap/>
            <w:vAlign w:val="center"/>
            <w:hideMark/>
          </w:tcPr>
          <w:p w14:paraId="5C6AD5A6" w14:textId="77777777" w:rsidR="00735ADD" w:rsidRPr="004F7330" w:rsidRDefault="00735ADD" w:rsidP="00F80490">
            <w:pPr>
              <w:pStyle w:val="TableText"/>
              <w:jc w:val="right"/>
              <w:rPr>
                <w:lang w:val="en-GB" w:eastAsia="zh-CN"/>
              </w:rPr>
            </w:pPr>
            <w:r w:rsidRPr="004F7330">
              <w:rPr>
                <w:lang w:val="en-GB" w:eastAsia="zh-CN"/>
              </w:rPr>
              <w:t>0.408</w:t>
            </w:r>
          </w:p>
        </w:tc>
        <w:tc>
          <w:tcPr>
            <w:tcW w:w="591" w:type="pct"/>
            <w:tcBorders>
              <w:top w:val="nil"/>
              <w:left w:val="nil"/>
              <w:bottom w:val="nil"/>
              <w:right w:val="nil"/>
            </w:tcBorders>
            <w:shd w:val="clear" w:color="auto" w:fill="auto"/>
            <w:noWrap/>
            <w:vAlign w:val="center"/>
            <w:hideMark/>
          </w:tcPr>
          <w:p w14:paraId="099336F2" w14:textId="77777777" w:rsidR="00735ADD" w:rsidRPr="004F7330" w:rsidRDefault="00735ADD" w:rsidP="00F80490">
            <w:pPr>
              <w:pStyle w:val="TableText"/>
              <w:jc w:val="right"/>
              <w:rPr>
                <w:lang w:val="en-GB" w:eastAsia="zh-CN"/>
              </w:rPr>
            </w:pPr>
            <w:r w:rsidRPr="004F7330">
              <w:rPr>
                <w:lang w:val="en-GB" w:eastAsia="zh-CN"/>
              </w:rPr>
              <w:t>0.704</w:t>
            </w:r>
          </w:p>
        </w:tc>
      </w:tr>
      <w:tr w:rsidR="00735ADD" w:rsidRPr="004F7330" w14:paraId="6DF0E21E" w14:textId="77777777" w:rsidTr="00DC68CD">
        <w:trPr>
          <w:trHeight w:val="300"/>
        </w:trPr>
        <w:tc>
          <w:tcPr>
            <w:tcW w:w="1533" w:type="pct"/>
            <w:tcBorders>
              <w:top w:val="nil"/>
              <w:left w:val="nil"/>
              <w:bottom w:val="nil"/>
              <w:right w:val="nil"/>
            </w:tcBorders>
            <w:shd w:val="clear" w:color="auto" w:fill="auto"/>
            <w:noWrap/>
            <w:vAlign w:val="center"/>
            <w:hideMark/>
          </w:tcPr>
          <w:p w14:paraId="3F05A35C" w14:textId="77777777" w:rsidR="00735ADD" w:rsidRPr="004F7330" w:rsidRDefault="00735ADD" w:rsidP="00F80490">
            <w:pPr>
              <w:pStyle w:val="TableText"/>
              <w:rPr>
                <w:lang w:val="en-GB" w:eastAsia="zh-CN"/>
              </w:rPr>
            </w:pPr>
            <m:oMathPara>
              <m:oMathParaPr>
                <m:jc m:val="left"/>
              </m:oMathParaPr>
              <m:oMath>
                <m:r>
                  <w:rPr>
                    <w:rFonts w:ascii="Cambria Math" w:hAnsi="Cambria Math"/>
                    <w:lang w:val="en-GB" w:eastAsia="zh-CN"/>
                  </w:rPr>
                  <m:t>TONE</m:t>
                </m:r>
                <m:r>
                  <m:rPr>
                    <m:sty m:val="p"/>
                  </m:rPr>
                  <w:rPr>
                    <w:rFonts w:ascii="Cambria Math" w:hAnsi="Cambria Math"/>
                    <w:lang w:val="en-GB" w:eastAsia="zh-CN"/>
                  </w:rPr>
                  <m:t>_</m:t>
                </m:r>
                <m:r>
                  <w:rPr>
                    <w:rFonts w:ascii="Cambria Math" w:hAnsi="Cambria Math"/>
                    <w:lang w:val="en-GB" w:eastAsia="zh-CN"/>
                  </w:rPr>
                  <m:t>MAN</m:t>
                </m:r>
              </m:oMath>
            </m:oMathPara>
          </w:p>
        </w:tc>
        <w:tc>
          <w:tcPr>
            <w:tcW w:w="556" w:type="pct"/>
            <w:tcBorders>
              <w:top w:val="nil"/>
              <w:left w:val="nil"/>
              <w:bottom w:val="nil"/>
              <w:right w:val="nil"/>
            </w:tcBorders>
            <w:shd w:val="clear" w:color="auto" w:fill="auto"/>
            <w:noWrap/>
            <w:vAlign w:val="center"/>
            <w:hideMark/>
          </w:tcPr>
          <w:p w14:paraId="5658E68C" w14:textId="19F6B4BE" w:rsidR="00735ADD" w:rsidRPr="004F7330" w:rsidRDefault="00735ADD" w:rsidP="00F80490">
            <w:pPr>
              <w:pStyle w:val="TableText"/>
              <w:jc w:val="right"/>
              <w:rPr>
                <w:lang w:val="en-GB" w:eastAsia="zh-CN"/>
              </w:rPr>
            </w:pPr>
            <w:r w:rsidRPr="00495BC0">
              <w:rPr>
                <w:lang w:val="en-GB" w:eastAsia="zh-CN"/>
              </w:rPr>
              <w:t>11</w:t>
            </w:r>
            <w:r w:rsidR="00F552F1">
              <w:rPr>
                <w:lang w:val="en-GB" w:eastAsia="zh-CN"/>
              </w:rPr>
              <w:t>,</w:t>
            </w:r>
            <w:r w:rsidRPr="00495BC0">
              <w:rPr>
                <w:lang w:val="en-GB" w:eastAsia="zh-CN"/>
              </w:rPr>
              <w:t>345</w:t>
            </w:r>
          </w:p>
        </w:tc>
        <w:tc>
          <w:tcPr>
            <w:tcW w:w="593" w:type="pct"/>
            <w:tcBorders>
              <w:top w:val="nil"/>
              <w:left w:val="nil"/>
              <w:bottom w:val="nil"/>
              <w:right w:val="nil"/>
            </w:tcBorders>
            <w:shd w:val="clear" w:color="auto" w:fill="auto"/>
            <w:noWrap/>
            <w:vAlign w:val="center"/>
            <w:hideMark/>
          </w:tcPr>
          <w:p w14:paraId="2B9178CE" w14:textId="77777777" w:rsidR="00735ADD" w:rsidRPr="004F7330" w:rsidRDefault="00735ADD" w:rsidP="00F80490">
            <w:pPr>
              <w:pStyle w:val="TableText"/>
              <w:jc w:val="right"/>
              <w:rPr>
                <w:lang w:val="en-GB" w:eastAsia="zh-CN"/>
              </w:rPr>
            </w:pPr>
            <w:r w:rsidRPr="004F7330">
              <w:rPr>
                <w:lang w:val="en-GB" w:eastAsia="zh-CN"/>
              </w:rPr>
              <w:t>0.672</w:t>
            </w:r>
          </w:p>
        </w:tc>
        <w:tc>
          <w:tcPr>
            <w:tcW w:w="539" w:type="pct"/>
            <w:gridSpan w:val="2"/>
            <w:tcBorders>
              <w:top w:val="nil"/>
              <w:left w:val="nil"/>
              <w:bottom w:val="nil"/>
              <w:right w:val="nil"/>
            </w:tcBorders>
            <w:shd w:val="clear" w:color="auto" w:fill="auto"/>
            <w:noWrap/>
            <w:vAlign w:val="center"/>
            <w:hideMark/>
          </w:tcPr>
          <w:p w14:paraId="06D4388D" w14:textId="77777777" w:rsidR="00735ADD" w:rsidRPr="004F7330" w:rsidRDefault="00735ADD" w:rsidP="00F80490">
            <w:pPr>
              <w:pStyle w:val="TableText"/>
              <w:jc w:val="right"/>
              <w:rPr>
                <w:lang w:val="en-GB" w:eastAsia="zh-CN"/>
              </w:rPr>
            </w:pPr>
            <w:r w:rsidRPr="004F7330">
              <w:rPr>
                <w:lang w:val="en-GB" w:eastAsia="zh-CN"/>
              </w:rPr>
              <w:t>0.514</w:t>
            </w:r>
          </w:p>
        </w:tc>
        <w:tc>
          <w:tcPr>
            <w:tcW w:w="594" w:type="pct"/>
            <w:tcBorders>
              <w:top w:val="nil"/>
              <w:left w:val="nil"/>
              <w:bottom w:val="nil"/>
              <w:right w:val="nil"/>
            </w:tcBorders>
            <w:shd w:val="clear" w:color="auto" w:fill="auto"/>
            <w:noWrap/>
            <w:vAlign w:val="center"/>
            <w:hideMark/>
          </w:tcPr>
          <w:p w14:paraId="168A382A" w14:textId="77777777" w:rsidR="00735ADD" w:rsidRPr="004F7330" w:rsidRDefault="00735ADD" w:rsidP="00F80490">
            <w:pPr>
              <w:pStyle w:val="TableText"/>
              <w:jc w:val="right"/>
              <w:rPr>
                <w:lang w:val="en-GB" w:eastAsia="zh-CN"/>
              </w:rPr>
            </w:pPr>
            <w:r w:rsidRPr="004F7330">
              <w:rPr>
                <w:lang w:val="en-GB" w:eastAsia="zh-CN"/>
              </w:rPr>
              <w:t>0.331</w:t>
            </w:r>
          </w:p>
        </w:tc>
        <w:tc>
          <w:tcPr>
            <w:tcW w:w="594" w:type="pct"/>
            <w:gridSpan w:val="2"/>
            <w:tcBorders>
              <w:top w:val="nil"/>
              <w:left w:val="nil"/>
              <w:bottom w:val="nil"/>
              <w:right w:val="nil"/>
            </w:tcBorders>
            <w:shd w:val="clear" w:color="auto" w:fill="auto"/>
            <w:noWrap/>
            <w:vAlign w:val="center"/>
            <w:hideMark/>
          </w:tcPr>
          <w:p w14:paraId="4F996CE9" w14:textId="77777777" w:rsidR="00735ADD" w:rsidRPr="004F7330" w:rsidRDefault="00735ADD" w:rsidP="00F80490">
            <w:pPr>
              <w:pStyle w:val="TableText"/>
              <w:jc w:val="right"/>
              <w:rPr>
                <w:lang w:val="en-GB" w:eastAsia="zh-CN"/>
              </w:rPr>
            </w:pPr>
            <w:r w:rsidRPr="004F7330">
              <w:rPr>
                <w:lang w:val="en-GB" w:eastAsia="zh-CN"/>
              </w:rPr>
              <w:t>0.647</w:t>
            </w:r>
          </w:p>
        </w:tc>
        <w:tc>
          <w:tcPr>
            <w:tcW w:w="591" w:type="pct"/>
            <w:tcBorders>
              <w:top w:val="nil"/>
              <w:left w:val="nil"/>
              <w:bottom w:val="nil"/>
              <w:right w:val="nil"/>
            </w:tcBorders>
            <w:shd w:val="clear" w:color="auto" w:fill="auto"/>
            <w:noWrap/>
            <w:vAlign w:val="center"/>
            <w:hideMark/>
          </w:tcPr>
          <w:p w14:paraId="4BF415B0" w14:textId="77777777" w:rsidR="00735ADD" w:rsidRPr="004F7330" w:rsidRDefault="00735ADD" w:rsidP="00F80490">
            <w:pPr>
              <w:pStyle w:val="TableText"/>
              <w:jc w:val="right"/>
              <w:rPr>
                <w:lang w:val="en-GB" w:eastAsia="zh-CN"/>
              </w:rPr>
            </w:pPr>
            <w:r w:rsidRPr="004F7330">
              <w:rPr>
                <w:lang w:val="en-GB" w:eastAsia="zh-CN"/>
              </w:rPr>
              <w:t>0.992</w:t>
            </w:r>
          </w:p>
        </w:tc>
      </w:tr>
      <w:tr w:rsidR="00735ADD" w:rsidRPr="004F7330" w14:paraId="46DE1BB6" w14:textId="77777777" w:rsidTr="00DC68CD">
        <w:trPr>
          <w:trHeight w:val="300"/>
        </w:trPr>
        <w:tc>
          <w:tcPr>
            <w:tcW w:w="1533" w:type="pct"/>
            <w:tcBorders>
              <w:top w:val="nil"/>
              <w:left w:val="nil"/>
              <w:bottom w:val="nil"/>
              <w:right w:val="nil"/>
            </w:tcBorders>
            <w:shd w:val="clear" w:color="auto" w:fill="auto"/>
            <w:noWrap/>
            <w:vAlign w:val="center"/>
            <w:hideMark/>
          </w:tcPr>
          <w:p w14:paraId="4D1F894A" w14:textId="77777777" w:rsidR="00735ADD" w:rsidRPr="006C2EBB" w:rsidRDefault="00735ADD" w:rsidP="00F80490">
            <w:pPr>
              <w:pStyle w:val="TableText"/>
              <w:rPr>
                <w:lang w:val="en-GB" w:eastAsia="zh-CN"/>
              </w:rPr>
            </w:pPr>
            <m:oMathPara>
              <m:oMathParaPr>
                <m:jc m:val="left"/>
              </m:oMathParaPr>
              <m:oMath>
                <m:r>
                  <w:rPr>
                    <w:rFonts w:ascii="Cambria Math" w:hAnsi="Cambria Math"/>
                    <w:lang w:val="en-GB" w:eastAsia="zh-CN"/>
                  </w:rPr>
                  <m:t>TONE</m:t>
                </m:r>
                <m:r>
                  <m:rPr>
                    <m:sty m:val="p"/>
                  </m:rPr>
                  <w:rPr>
                    <w:rFonts w:ascii="Cambria Math" w:hAnsi="Cambria Math"/>
                    <w:lang w:val="en-GB" w:eastAsia="zh-CN"/>
                  </w:rPr>
                  <m:t>_</m:t>
                </m:r>
                <m:r>
                  <w:rPr>
                    <w:rFonts w:ascii="Cambria Math" w:hAnsi="Cambria Math"/>
                    <w:lang w:val="en-GB" w:eastAsia="zh-CN"/>
                  </w:rPr>
                  <m:t>PAR</m:t>
                </m:r>
              </m:oMath>
            </m:oMathPara>
          </w:p>
        </w:tc>
        <w:tc>
          <w:tcPr>
            <w:tcW w:w="556" w:type="pct"/>
            <w:tcBorders>
              <w:top w:val="nil"/>
              <w:left w:val="nil"/>
              <w:bottom w:val="nil"/>
              <w:right w:val="nil"/>
            </w:tcBorders>
            <w:shd w:val="clear" w:color="auto" w:fill="auto"/>
            <w:noWrap/>
            <w:vAlign w:val="center"/>
            <w:hideMark/>
          </w:tcPr>
          <w:p w14:paraId="4DE2C768" w14:textId="28808FC0" w:rsidR="00735ADD" w:rsidRPr="004F7330" w:rsidRDefault="00735ADD" w:rsidP="00F80490">
            <w:pPr>
              <w:pStyle w:val="TableText"/>
              <w:jc w:val="right"/>
              <w:rPr>
                <w:lang w:val="en-GB" w:eastAsia="zh-CN"/>
              </w:rPr>
            </w:pPr>
            <w:r w:rsidRPr="00495BC0">
              <w:rPr>
                <w:lang w:val="en-GB" w:eastAsia="zh-CN"/>
              </w:rPr>
              <w:t>11</w:t>
            </w:r>
            <w:r w:rsidR="00F552F1">
              <w:rPr>
                <w:lang w:val="en-GB" w:eastAsia="zh-CN"/>
              </w:rPr>
              <w:t>,</w:t>
            </w:r>
            <w:r w:rsidRPr="00495BC0">
              <w:rPr>
                <w:lang w:val="en-GB" w:eastAsia="zh-CN"/>
              </w:rPr>
              <w:t>345</w:t>
            </w:r>
          </w:p>
        </w:tc>
        <w:tc>
          <w:tcPr>
            <w:tcW w:w="593" w:type="pct"/>
            <w:tcBorders>
              <w:top w:val="nil"/>
              <w:left w:val="nil"/>
              <w:bottom w:val="nil"/>
              <w:right w:val="nil"/>
            </w:tcBorders>
            <w:shd w:val="clear" w:color="auto" w:fill="auto"/>
            <w:noWrap/>
            <w:vAlign w:val="center"/>
            <w:hideMark/>
          </w:tcPr>
          <w:p w14:paraId="1008AD5C" w14:textId="77777777" w:rsidR="00735ADD" w:rsidRPr="004F7330" w:rsidRDefault="00735ADD" w:rsidP="00F80490">
            <w:pPr>
              <w:pStyle w:val="TableText"/>
              <w:jc w:val="right"/>
              <w:rPr>
                <w:lang w:val="en-GB" w:eastAsia="zh-CN"/>
              </w:rPr>
            </w:pPr>
            <w:r w:rsidRPr="004F7330">
              <w:rPr>
                <w:lang w:val="en-GB" w:eastAsia="zh-CN"/>
              </w:rPr>
              <w:t>-0.184</w:t>
            </w:r>
          </w:p>
        </w:tc>
        <w:tc>
          <w:tcPr>
            <w:tcW w:w="539" w:type="pct"/>
            <w:gridSpan w:val="2"/>
            <w:tcBorders>
              <w:top w:val="nil"/>
              <w:left w:val="nil"/>
              <w:bottom w:val="nil"/>
              <w:right w:val="nil"/>
            </w:tcBorders>
            <w:shd w:val="clear" w:color="auto" w:fill="auto"/>
            <w:noWrap/>
            <w:vAlign w:val="center"/>
            <w:hideMark/>
          </w:tcPr>
          <w:p w14:paraId="37EF6E53" w14:textId="77777777" w:rsidR="00735ADD" w:rsidRPr="004F7330" w:rsidRDefault="00735ADD" w:rsidP="00F80490">
            <w:pPr>
              <w:pStyle w:val="TableText"/>
              <w:jc w:val="right"/>
              <w:rPr>
                <w:lang w:val="en-GB" w:eastAsia="zh-CN"/>
              </w:rPr>
            </w:pPr>
            <w:r w:rsidRPr="004F7330">
              <w:rPr>
                <w:lang w:val="en-GB" w:eastAsia="zh-CN"/>
              </w:rPr>
              <w:t>0.661</w:t>
            </w:r>
          </w:p>
        </w:tc>
        <w:tc>
          <w:tcPr>
            <w:tcW w:w="594" w:type="pct"/>
            <w:tcBorders>
              <w:top w:val="nil"/>
              <w:left w:val="nil"/>
              <w:bottom w:val="nil"/>
              <w:right w:val="nil"/>
            </w:tcBorders>
            <w:shd w:val="clear" w:color="auto" w:fill="auto"/>
            <w:noWrap/>
            <w:vAlign w:val="center"/>
            <w:hideMark/>
          </w:tcPr>
          <w:p w14:paraId="77684010" w14:textId="77777777" w:rsidR="00735ADD" w:rsidRPr="004F7330" w:rsidRDefault="00735ADD" w:rsidP="00F80490">
            <w:pPr>
              <w:pStyle w:val="TableText"/>
              <w:jc w:val="right"/>
              <w:rPr>
                <w:lang w:val="en-GB" w:eastAsia="zh-CN"/>
              </w:rPr>
            </w:pPr>
            <w:r w:rsidRPr="004F7330">
              <w:rPr>
                <w:lang w:val="en-GB" w:eastAsia="zh-CN"/>
              </w:rPr>
              <w:t>-0.560</w:t>
            </w:r>
          </w:p>
        </w:tc>
        <w:tc>
          <w:tcPr>
            <w:tcW w:w="594" w:type="pct"/>
            <w:gridSpan w:val="2"/>
            <w:tcBorders>
              <w:top w:val="nil"/>
              <w:left w:val="nil"/>
              <w:bottom w:val="nil"/>
              <w:right w:val="nil"/>
            </w:tcBorders>
            <w:shd w:val="clear" w:color="auto" w:fill="auto"/>
            <w:noWrap/>
            <w:vAlign w:val="center"/>
            <w:hideMark/>
          </w:tcPr>
          <w:p w14:paraId="756EA4D0" w14:textId="77777777" w:rsidR="00735ADD" w:rsidRPr="004F7330" w:rsidRDefault="00735ADD" w:rsidP="00F80490">
            <w:pPr>
              <w:pStyle w:val="TableText"/>
              <w:jc w:val="right"/>
              <w:rPr>
                <w:lang w:val="en-GB" w:eastAsia="zh-CN"/>
              </w:rPr>
            </w:pPr>
            <w:r w:rsidRPr="004F7330">
              <w:rPr>
                <w:lang w:val="en-GB" w:eastAsia="zh-CN"/>
              </w:rPr>
              <w:t>-0.156</w:t>
            </w:r>
          </w:p>
        </w:tc>
        <w:tc>
          <w:tcPr>
            <w:tcW w:w="591" w:type="pct"/>
            <w:tcBorders>
              <w:top w:val="nil"/>
              <w:left w:val="nil"/>
              <w:bottom w:val="nil"/>
              <w:right w:val="nil"/>
            </w:tcBorders>
            <w:shd w:val="clear" w:color="auto" w:fill="auto"/>
            <w:noWrap/>
            <w:vAlign w:val="center"/>
            <w:hideMark/>
          </w:tcPr>
          <w:p w14:paraId="30B5BB45" w14:textId="77777777" w:rsidR="00735ADD" w:rsidRPr="004F7330" w:rsidRDefault="00735ADD" w:rsidP="00F80490">
            <w:pPr>
              <w:pStyle w:val="TableText"/>
              <w:jc w:val="right"/>
              <w:rPr>
                <w:lang w:val="en-GB" w:eastAsia="zh-CN"/>
              </w:rPr>
            </w:pPr>
            <w:r w:rsidRPr="004F7330">
              <w:rPr>
                <w:lang w:val="en-GB" w:eastAsia="zh-CN"/>
              </w:rPr>
              <w:t>0.245</w:t>
            </w:r>
          </w:p>
        </w:tc>
      </w:tr>
      <w:tr w:rsidR="00735ADD" w:rsidRPr="004F7330" w14:paraId="45FE50A7" w14:textId="77777777" w:rsidTr="00DC68CD">
        <w:trPr>
          <w:trHeight w:val="300"/>
        </w:trPr>
        <w:tc>
          <w:tcPr>
            <w:tcW w:w="1533" w:type="pct"/>
            <w:tcBorders>
              <w:top w:val="nil"/>
              <w:left w:val="nil"/>
              <w:bottom w:val="single" w:sz="4" w:space="0" w:color="auto"/>
              <w:right w:val="nil"/>
            </w:tcBorders>
            <w:shd w:val="clear" w:color="auto" w:fill="auto"/>
            <w:noWrap/>
            <w:vAlign w:val="center"/>
            <w:hideMark/>
          </w:tcPr>
          <w:p w14:paraId="51D9E032" w14:textId="77777777" w:rsidR="00735ADD" w:rsidRPr="00F03900" w:rsidRDefault="00735ADD" w:rsidP="00F80490">
            <w:pPr>
              <w:pStyle w:val="TableText"/>
              <w:rPr>
                <w:rFonts w:eastAsia="Times New Roman"/>
                <w:color w:val="000000"/>
                <w:lang w:val="en-GB" w:eastAsia="zh-CN"/>
              </w:rPr>
            </w:pPr>
            <m:oMathPara>
              <m:oMathParaPr>
                <m:jc m:val="left"/>
              </m:oMathParaPr>
              <m:oMath>
                <m:r>
                  <w:rPr>
                    <w:rFonts w:ascii="Cambria Math" w:hAnsi="Cambria Math"/>
                  </w:rPr>
                  <m:t>RE</m:t>
                </m:r>
                <m:r>
                  <m:rPr>
                    <m:sty m:val="p"/>
                  </m:rPr>
                  <w:rPr>
                    <w:rFonts w:ascii="Cambria Math" w:hAnsi="Cambria Math"/>
                  </w:rPr>
                  <m:t>_</m:t>
                </m:r>
                <m:r>
                  <w:rPr>
                    <w:rFonts w:ascii="Cambria Math" w:hAnsi="Cambria Math"/>
                  </w:rPr>
                  <m:t>TONE</m:t>
                </m:r>
                <m:r>
                  <m:rPr>
                    <m:sty m:val="p"/>
                  </m:rPr>
                  <w:rPr>
                    <w:rFonts w:ascii="Cambria Math" w:hAnsi="Cambria Math"/>
                  </w:rPr>
                  <m:t>_</m:t>
                </m:r>
                <m:r>
                  <w:rPr>
                    <w:rFonts w:ascii="Cambria Math" w:hAnsi="Cambria Math"/>
                  </w:rPr>
                  <m:t>C</m:t>
                </m:r>
              </m:oMath>
            </m:oMathPara>
          </w:p>
        </w:tc>
        <w:tc>
          <w:tcPr>
            <w:tcW w:w="556" w:type="pct"/>
            <w:tcBorders>
              <w:top w:val="nil"/>
              <w:left w:val="nil"/>
              <w:bottom w:val="single" w:sz="4" w:space="0" w:color="auto"/>
              <w:right w:val="nil"/>
            </w:tcBorders>
            <w:shd w:val="clear" w:color="auto" w:fill="auto"/>
            <w:noWrap/>
            <w:vAlign w:val="center"/>
            <w:hideMark/>
          </w:tcPr>
          <w:p w14:paraId="2E7AB828" w14:textId="67179177" w:rsidR="00735ADD" w:rsidRPr="00F03900" w:rsidRDefault="00735ADD" w:rsidP="00F80490">
            <w:pPr>
              <w:pStyle w:val="TableText"/>
              <w:jc w:val="right"/>
              <w:rPr>
                <w:lang w:val="en-GB" w:eastAsia="zh-CN"/>
              </w:rPr>
            </w:pPr>
            <w:r w:rsidRPr="00F03900">
              <w:rPr>
                <w:lang w:val="en-GB" w:eastAsia="zh-CN"/>
              </w:rPr>
              <w:t>1</w:t>
            </w:r>
            <w:r w:rsidR="00F03900" w:rsidRPr="00F03900">
              <w:rPr>
                <w:lang w:val="en-GB" w:eastAsia="zh-CN"/>
              </w:rPr>
              <w:t>0</w:t>
            </w:r>
            <w:r w:rsidR="00F552F1">
              <w:rPr>
                <w:lang w:val="en-GB" w:eastAsia="zh-CN"/>
              </w:rPr>
              <w:t>,</w:t>
            </w:r>
            <w:r w:rsidR="00F03900" w:rsidRPr="00F03900">
              <w:rPr>
                <w:lang w:val="en-GB" w:eastAsia="zh-CN"/>
              </w:rPr>
              <w:t>008</w:t>
            </w:r>
          </w:p>
        </w:tc>
        <w:tc>
          <w:tcPr>
            <w:tcW w:w="593" w:type="pct"/>
            <w:tcBorders>
              <w:top w:val="nil"/>
              <w:left w:val="nil"/>
              <w:bottom w:val="single" w:sz="4" w:space="0" w:color="auto"/>
              <w:right w:val="nil"/>
            </w:tcBorders>
            <w:shd w:val="clear" w:color="auto" w:fill="auto"/>
            <w:noWrap/>
            <w:vAlign w:val="center"/>
            <w:hideMark/>
          </w:tcPr>
          <w:p w14:paraId="34F78FC7" w14:textId="77777777" w:rsidR="00735ADD" w:rsidRPr="00F03900" w:rsidRDefault="00735ADD" w:rsidP="00F80490">
            <w:pPr>
              <w:pStyle w:val="TableText"/>
              <w:jc w:val="right"/>
              <w:rPr>
                <w:lang w:val="en-GB" w:eastAsia="zh-CN"/>
              </w:rPr>
            </w:pPr>
            <w:r w:rsidRPr="00F03900">
              <w:rPr>
                <w:lang w:val="en-GB" w:eastAsia="zh-CN"/>
              </w:rPr>
              <w:t>0.002</w:t>
            </w:r>
          </w:p>
        </w:tc>
        <w:tc>
          <w:tcPr>
            <w:tcW w:w="539" w:type="pct"/>
            <w:gridSpan w:val="2"/>
            <w:tcBorders>
              <w:top w:val="nil"/>
              <w:left w:val="nil"/>
              <w:bottom w:val="single" w:sz="4" w:space="0" w:color="auto"/>
              <w:right w:val="nil"/>
            </w:tcBorders>
            <w:shd w:val="clear" w:color="auto" w:fill="auto"/>
            <w:noWrap/>
            <w:vAlign w:val="center"/>
            <w:hideMark/>
          </w:tcPr>
          <w:p w14:paraId="18539671" w14:textId="77777777" w:rsidR="00735ADD" w:rsidRPr="004F7330" w:rsidRDefault="00735ADD" w:rsidP="00F80490">
            <w:pPr>
              <w:pStyle w:val="TableText"/>
              <w:jc w:val="right"/>
              <w:rPr>
                <w:lang w:val="en-GB" w:eastAsia="zh-CN"/>
              </w:rPr>
            </w:pPr>
            <w:r w:rsidRPr="004F7330">
              <w:rPr>
                <w:lang w:val="en-GB" w:eastAsia="zh-CN"/>
              </w:rPr>
              <w:t>0.447</w:t>
            </w:r>
          </w:p>
        </w:tc>
        <w:tc>
          <w:tcPr>
            <w:tcW w:w="594" w:type="pct"/>
            <w:tcBorders>
              <w:top w:val="nil"/>
              <w:left w:val="nil"/>
              <w:bottom w:val="single" w:sz="4" w:space="0" w:color="auto"/>
              <w:right w:val="nil"/>
            </w:tcBorders>
            <w:shd w:val="clear" w:color="auto" w:fill="auto"/>
            <w:noWrap/>
            <w:vAlign w:val="center"/>
            <w:hideMark/>
          </w:tcPr>
          <w:p w14:paraId="59BF3C06" w14:textId="77777777" w:rsidR="00735ADD" w:rsidRPr="004F7330" w:rsidRDefault="00735ADD" w:rsidP="00F80490">
            <w:pPr>
              <w:pStyle w:val="TableText"/>
              <w:jc w:val="right"/>
              <w:rPr>
                <w:lang w:val="en-GB" w:eastAsia="zh-CN"/>
              </w:rPr>
            </w:pPr>
            <w:r w:rsidRPr="004F7330">
              <w:rPr>
                <w:lang w:val="en-GB" w:eastAsia="zh-CN"/>
              </w:rPr>
              <w:t>-0.305</w:t>
            </w:r>
          </w:p>
        </w:tc>
        <w:tc>
          <w:tcPr>
            <w:tcW w:w="594" w:type="pct"/>
            <w:gridSpan w:val="2"/>
            <w:tcBorders>
              <w:top w:val="nil"/>
              <w:left w:val="nil"/>
              <w:bottom w:val="single" w:sz="4" w:space="0" w:color="auto"/>
              <w:right w:val="nil"/>
            </w:tcBorders>
            <w:shd w:val="clear" w:color="auto" w:fill="auto"/>
            <w:noWrap/>
            <w:vAlign w:val="center"/>
            <w:hideMark/>
          </w:tcPr>
          <w:p w14:paraId="186E9D41" w14:textId="77777777" w:rsidR="00735ADD" w:rsidRPr="004F7330" w:rsidRDefault="00735ADD" w:rsidP="00F80490">
            <w:pPr>
              <w:pStyle w:val="TableText"/>
              <w:jc w:val="right"/>
              <w:rPr>
                <w:lang w:val="en-GB" w:eastAsia="zh-CN"/>
              </w:rPr>
            </w:pPr>
            <w:r w:rsidRPr="004F7330">
              <w:rPr>
                <w:lang w:val="en-GB" w:eastAsia="zh-CN"/>
              </w:rPr>
              <w:t>-0.006</w:t>
            </w:r>
          </w:p>
        </w:tc>
        <w:tc>
          <w:tcPr>
            <w:tcW w:w="591" w:type="pct"/>
            <w:tcBorders>
              <w:top w:val="nil"/>
              <w:left w:val="nil"/>
              <w:bottom w:val="single" w:sz="4" w:space="0" w:color="auto"/>
              <w:right w:val="nil"/>
            </w:tcBorders>
            <w:shd w:val="clear" w:color="auto" w:fill="auto"/>
            <w:noWrap/>
            <w:vAlign w:val="center"/>
            <w:hideMark/>
          </w:tcPr>
          <w:p w14:paraId="66938FBE" w14:textId="77777777" w:rsidR="00735ADD" w:rsidRPr="004F7330" w:rsidRDefault="00735ADD" w:rsidP="00F80490">
            <w:pPr>
              <w:pStyle w:val="TableText"/>
              <w:jc w:val="right"/>
              <w:rPr>
                <w:lang w:val="en-GB" w:eastAsia="zh-CN"/>
              </w:rPr>
            </w:pPr>
            <w:r w:rsidRPr="004F7330">
              <w:rPr>
                <w:lang w:val="en-GB" w:eastAsia="zh-CN"/>
              </w:rPr>
              <w:t>0.296</w:t>
            </w:r>
          </w:p>
        </w:tc>
      </w:tr>
    </w:tbl>
    <w:p w14:paraId="7C8C20A5" w14:textId="77777777" w:rsidR="00735ADD" w:rsidRDefault="00735ADD" w:rsidP="00B70E79"/>
    <w:p w14:paraId="26CD5E1E" w14:textId="77777777" w:rsidR="00735ADD" w:rsidRPr="00302CE5" w:rsidRDefault="00735ADD"/>
    <w:p w14:paraId="2FA06843" w14:textId="77777777" w:rsidR="00735ADD" w:rsidRPr="00302CE5" w:rsidRDefault="00735ADD">
      <w:pPr>
        <w:sectPr w:rsidR="00735ADD" w:rsidRPr="00302CE5">
          <w:pgSz w:w="11906" w:h="16838"/>
          <w:pgMar w:top="1440" w:right="1440" w:bottom="1440" w:left="1440" w:header="708" w:footer="708" w:gutter="0"/>
          <w:cols w:space="708"/>
          <w:docGrid w:linePitch="360"/>
        </w:sectPr>
      </w:pPr>
    </w:p>
    <w:p w14:paraId="37CC9121" w14:textId="77777777" w:rsidR="00735ADD" w:rsidRPr="00302CE5" w:rsidRDefault="00735ADD" w:rsidP="00F80490">
      <w:pPr>
        <w:pStyle w:val="TableCaption"/>
        <w:rPr>
          <w:b/>
        </w:rPr>
      </w:pPr>
      <w:r w:rsidRPr="00302CE5">
        <w:rPr>
          <w:b/>
        </w:rPr>
        <w:lastRenderedPageBreak/>
        <w:t>Table 3</w:t>
      </w:r>
      <w:r>
        <w:rPr>
          <w:b/>
        </w:rPr>
        <w:t xml:space="preserve">  </w:t>
      </w:r>
      <w:r w:rsidRPr="00F37C2B">
        <w:t>Correlation</w:t>
      </w:r>
      <w:r>
        <w:t>s</w:t>
      </w:r>
    </w:p>
    <w:p w14:paraId="1BAC6077" w14:textId="3D2E7286" w:rsidR="00735ADD" w:rsidRDefault="00735ADD" w:rsidP="00F80490">
      <w:pPr>
        <w:pStyle w:val="TableNotes"/>
      </w:pPr>
      <w:r w:rsidRPr="00302CE5">
        <w:t xml:space="preserve">This table presents Pearson correlation coefficients between </w:t>
      </w:r>
      <w:r w:rsidR="00F552F1">
        <w:t>pairs of</w:t>
      </w:r>
      <w:r w:rsidRPr="00302CE5">
        <w:t xml:space="preserve"> key variables.</w:t>
      </w:r>
      <w:r w:rsidRPr="00302CE5">
        <w:rPr>
          <w:rFonts w:hint="eastAsia"/>
        </w:rPr>
        <w:t xml:space="preserve"> All continuous variables are winsorized at the 1</w:t>
      </w:r>
      <w:r w:rsidRPr="00302CE5">
        <w:rPr>
          <w:rFonts w:hint="eastAsia"/>
          <w:vertAlign w:val="superscript"/>
        </w:rPr>
        <w:t>st</w:t>
      </w:r>
      <w:r w:rsidRPr="00302CE5">
        <w:rPr>
          <w:rFonts w:hint="eastAsia"/>
        </w:rPr>
        <w:t xml:space="preserve"> and 99</w:t>
      </w:r>
      <w:r w:rsidRPr="00302CE5">
        <w:rPr>
          <w:rFonts w:hint="eastAsia"/>
          <w:vertAlign w:val="superscript"/>
        </w:rPr>
        <w:t>th</w:t>
      </w:r>
      <w:r w:rsidRPr="00302CE5">
        <w:rPr>
          <w:rFonts w:hint="eastAsia"/>
        </w:rPr>
        <w:t xml:space="preserve"> percentile</w:t>
      </w:r>
      <w:r w:rsidR="00F552F1">
        <w:t>s</w:t>
      </w:r>
      <w:r w:rsidRPr="00302CE5">
        <w:rPr>
          <w:rFonts w:hint="eastAsia"/>
        </w:rPr>
        <w:t xml:space="preserve">. </w:t>
      </w:r>
      <w:r w:rsidR="00F552F1">
        <w:t>V</w:t>
      </w:r>
      <w:r w:rsidRPr="00302CE5">
        <w:rPr>
          <w:rFonts w:hint="eastAsia"/>
        </w:rPr>
        <w:t xml:space="preserve">alues in bold represent correlations significant at </w:t>
      </w:r>
      <w:r w:rsidR="00006435">
        <w:t>the</w:t>
      </w:r>
      <w:r w:rsidR="00006435" w:rsidRPr="00302CE5">
        <w:t xml:space="preserve"> </w:t>
      </w:r>
      <w:r w:rsidRPr="00302CE5">
        <w:t>1%</w:t>
      </w:r>
      <w:r w:rsidRPr="00302CE5">
        <w:rPr>
          <w:rFonts w:hint="eastAsia"/>
        </w:rPr>
        <w:t xml:space="preserve"> level.</w:t>
      </w:r>
    </w:p>
    <w:tbl>
      <w:tblPr>
        <w:tblW w:w="5000" w:type="pct"/>
        <w:tblLayout w:type="fixed"/>
        <w:tblLook w:val="04A0" w:firstRow="1" w:lastRow="0" w:firstColumn="1" w:lastColumn="0" w:noHBand="0" w:noVBand="1"/>
      </w:tblPr>
      <w:tblGrid>
        <w:gridCol w:w="1691"/>
        <w:gridCol w:w="1114"/>
        <w:gridCol w:w="475"/>
        <w:gridCol w:w="639"/>
        <w:gridCol w:w="1114"/>
        <w:gridCol w:w="701"/>
        <w:gridCol w:w="413"/>
        <w:gridCol w:w="1114"/>
        <w:gridCol w:w="930"/>
        <w:gridCol w:w="184"/>
        <w:gridCol w:w="1114"/>
        <w:gridCol w:w="1114"/>
        <w:gridCol w:w="75"/>
        <w:gridCol w:w="1038"/>
        <w:gridCol w:w="1114"/>
        <w:gridCol w:w="1128"/>
      </w:tblGrid>
      <w:tr w:rsidR="00735ADD" w:rsidRPr="00323BB0" w14:paraId="7158CA5D" w14:textId="77777777" w:rsidTr="00F80490">
        <w:trPr>
          <w:trHeight w:val="315"/>
        </w:trPr>
        <w:tc>
          <w:tcPr>
            <w:tcW w:w="5000" w:type="pct"/>
            <w:gridSpan w:val="16"/>
            <w:tcBorders>
              <w:top w:val="single" w:sz="4" w:space="0" w:color="auto"/>
              <w:left w:val="nil"/>
              <w:bottom w:val="single" w:sz="4" w:space="0" w:color="auto"/>
              <w:right w:val="nil"/>
            </w:tcBorders>
            <w:shd w:val="clear" w:color="auto" w:fill="auto"/>
            <w:noWrap/>
            <w:vAlign w:val="center"/>
          </w:tcPr>
          <w:p w14:paraId="1BA3AE0C" w14:textId="77777777" w:rsidR="00735ADD" w:rsidRPr="00F80490" w:rsidRDefault="00735ADD" w:rsidP="00F80490">
            <w:pPr>
              <w:pStyle w:val="TableText"/>
              <w:rPr>
                <w:b/>
                <w:bCs/>
              </w:rPr>
            </w:pPr>
            <w:r w:rsidRPr="00F80490">
              <w:rPr>
                <w:b/>
                <w:bCs/>
              </w:rPr>
              <w:t>Panel A: Dependent and control variables</w:t>
            </w:r>
          </w:p>
        </w:tc>
      </w:tr>
      <w:tr w:rsidR="00735ADD" w:rsidRPr="007A03D3" w14:paraId="32A945E3" w14:textId="77777777" w:rsidTr="00746312">
        <w:trPr>
          <w:trHeight w:val="315"/>
        </w:trPr>
        <w:tc>
          <w:tcPr>
            <w:tcW w:w="606" w:type="pct"/>
            <w:tcBorders>
              <w:top w:val="single" w:sz="4" w:space="0" w:color="auto"/>
              <w:left w:val="nil"/>
              <w:bottom w:val="single" w:sz="4" w:space="0" w:color="auto"/>
              <w:right w:val="nil"/>
            </w:tcBorders>
            <w:shd w:val="clear" w:color="auto" w:fill="auto"/>
            <w:noWrap/>
            <w:vAlign w:val="center"/>
            <w:hideMark/>
          </w:tcPr>
          <w:p w14:paraId="765840FA" w14:textId="77777777" w:rsidR="00735ADD" w:rsidRPr="007A03D3" w:rsidRDefault="00735ADD" w:rsidP="00F80490">
            <w:pPr>
              <w:pStyle w:val="TableText"/>
              <w:rPr>
                <w:lang w:val="en-GB" w:eastAsia="zh-CN"/>
              </w:rPr>
            </w:pPr>
          </w:p>
        </w:tc>
        <w:tc>
          <w:tcPr>
            <w:tcW w:w="399" w:type="pct"/>
            <w:tcBorders>
              <w:top w:val="single" w:sz="4" w:space="0" w:color="auto"/>
              <w:left w:val="nil"/>
              <w:bottom w:val="single" w:sz="4" w:space="0" w:color="auto"/>
              <w:right w:val="nil"/>
            </w:tcBorders>
            <w:shd w:val="clear" w:color="auto" w:fill="auto"/>
            <w:noWrap/>
            <w:vAlign w:val="center"/>
            <w:hideMark/>
          </w:tcPr>
          <w:p w14:paraId="32C1A5F1" w14:textId="77777777" w:rsidR="00735ADD" w:rsidRPr="007A03D3" w:rsidRDefault="00735ADD" w:rsidP="00F80490">
            <w:pPr>
              <w:pStyle w:val="TableText"/>
              <w:jc w:val="right"/>
              <w:rPr>
                <w:rFonts w:eastAsia="Times New Roman"/>
                <w:color w:val="000000"/>
                <w:lang w:val="en-GB" w:eastAsia="zh-CN"/>
              </w:rPr>
            </w:pPr>
            <m:oMathPara>
              <m:oMath>
                <m:r>
                  <w:rPr>
                    <w:rFonts w:ascii="Cambria Math" w:hAnsi="Cambria Math"/>
                    <w:lang w:val="en-GB" w:eastAsia="zh-CN"/>
                  </w:rPr>
                  <m:t>COUNT</m:t>
                </m:r>
              </m:oMath>
            </m:oMathPara>
          </w:p>
        </w:tc>
        <w:tc>
          <w:tcPr>
            <w:tcW w:w="399" w:type="pct"/>
            <w:gridSpan w:val="2"/>
            <w:tcBorders>
              <w:top w:val="single" w:sz="4" w:space="0" w:color="auto"/>
              <w:left w:val="nil"/>
              <w:bottom w:val="single" w:sz="4" w:space="0" w:color="auto"/>
              <w:right w:val="nil"/>
            </w:tcBorders>
            <w:shd w:val="clear" w:color="auto" w:fill="auto"/>
            <w:noWrap/>
            <w:vAlign w:val="center"/>
            <w:hideMark/>
          </w:tcPr>
          <w:p w14:paraId="4A07D06A" w14:textId="77777777" w:rsidR="00735ADD" w:rsidRPr="007A03D3" w:rsidRDefault="00735ADD" w:rsidP="00F80490">
            <w:pPr>
              <w:pStyle w:val="TableText"/>
              <w:jc w:val="right"/>
              <w:rPr>
                <w:rFonts w:eastAsia="Times New Roman"/>
                <w:color w:val="000000"/>
                <w:lang w:val="en-GB" w:eastAsia="zh-CN"/>
              </w:rPr>
            </w:pPr>
            <m:oMathPara>
              <m:oMath>
                <m:r>
                  <w:rPr>
                    <w:rFonts w:ascii="Cambria Math" w:hAnsi="Cambria Math"/>
                  </w:rPr>
                  <m:t>NCSKEW</m:t>
                </m:r>
              </m:oMath>
            </m:oMathPara>
          </w:p>
        </w:tc>
        <w:tc>
          <w:tcPr>
            <w:tcW w:w="399" w:type="pct"/>
            <w:tcBorders>
              <w:top w:val="single" w:sz="4" w:space="0" w:color="auto"/>
              <w:left w:val="nil"/>
              <w:bottom w:val="single" w:sz="4" w:space="0" w:color="auto"/>
              <w:right w:val="nil"/>
            </w:tcBorders>
            <w:shd w:val="clear" w:color="auto" w:fill="auto"/>
            <w:noWrap/>
            <w:vAlign w:val="center"/>
            <w:hideMark/>
          </w:tcPr>
          <w:p w14:paraId="28D33F63" w14:textId="77777777" w:rsidR="00735ADD" w:rsidRPr="007A03D3" w:rsidRDefault="00735ADD" w:rsidP="00F80490">
            <w:pPr>
              <w:pStyle w:val="TableText"/>
              <w:jc w:val="right"/>
              <w:rPr>
                <w:rFonts w:eastAsia="Times New Roman"/>
                <w:color w:val="000000"/>
                <w:lang w:val="en-GB" w:eastAsia="zh-CN"/>
              </w:rPr>
            </w:pPr>
            <m:oMathPara>
              <m:oMath>
                <m:r>
                  <w:rPr>
                    <w:rFonts w:ascii="Cambria Math" w:hAnsi="Cambria Math"/>
                  </w:rPr>
                  <m:t>DUVOL</m:t>
                </m:r>
              </m:oMath>
            </m:oMathPara>
          </w:p>
        </w:tc>
        <w:tc>
          <w:tcPr>
            <w:tcW w:w="399" w:type="pct"/>
            <w:gridSpan w:val="2"/>
            <w:tcBorders>
              <w:top w:val="single" w:sz="4" w:space="0" w:color="auto"/>
              <w:left w:val="nil"/>
              <w:bottom w:val="single" w:sz="4" w:space="0" w:color="auto"/>
              <w:right w:val="nil"/>
            </w:tcBorders>
            <w:shd w:val="clear" w:color="auto" w:fill="auto"/>
            <w:noWrap/>
            <w:vAlign w:val="center"/>
            <w:hideMark/>
          </w:tcPr>
          <w:p w14:paraId="4B337A60" w14:textId="77777777" w:rsidR="00735ADD" w:rsidRPr="007A03D3" w:rsidRDefault="00735ADD" w:rsidP="00F80490">
            <w:pPr>
              <w:pStyle w:val="TableText"/>
              <w:jc w:val="right"/>
              <w:rPr>
                <w:rFonts w:eastAsia="Times New Roman"/>
                <w:color w:val="000000"/>
                <w:lang w:val="en-GB" w:eastAsia="zh-CN"/>
              </w:rPr>
            </w:pPr>
            <m:oMathPara>
              <m:oMath>
                <m:r>
                  <w:rPr>
                    <w:rFonts w:ascii="Cambria Math" w:hAnsi="Cambria Math"/>
                  </w:rPr>
                  <m:t>TONE</m:t>
                </m:r>
                <m:r>
                  <m:rPr>
                    <m:sty m:val="p"/>
                  </m:rPr>
                  <w:rPr>
                    <w:rFonts w:ascii="Cambria Math" w:hAnsi="Cambria Math"/>
                  </w:rPr>
                  <m:t>_</m:t>
                </m:r>
                <m:r>
                  <w:rPr>
                    <w:rFonts w:ascii="Cambria Math" w:hAnsi="Cambria Math"/>
                  </w:rPr>
                  <m:t>C</m:t>
                </m:r>
              </m:oMath>
            </m:oMathPara>
          </w:p>
        </w:tc>
        <w:tc>
          <w:tcPr>
            <w:tcW w:w="399" w:type="pct"/>
            <w:tcBorders>
              <w:top w:val="single" w:sz="4" w:space="0" w:color="auto"/>
              <w:left w:val="nil"/>
              <w:bottom w:val="single" w:sz="4" w:space="0" w:color="auto"/>
              <w:right w:val="nil"/>
            </w:tcBorders>
            <w:shd w:val="clear" w:color="auto" w:fill="auto"/>
            <w:noWrap/>
            <w:vAlign w:val="center"/>
            <w:hideMark/>
          </w:tcPr>
          <w:p w14:paraId="10EAA4AC" w14:textId="77777777" w:rsidR="00735ADD" w:rsidRPr="007A03D3" w:rsidRDefault="00735ADD" w:rsidP="00F80490">
            <w:pPr>
              <w:pStyle w:val="TableText"/>
              <w:jc w:val="right"/>
              <w:rPr>
                <w:rFonts w:eastAsia="Times New Roman"/>
                <w:color w:val="000000"/>
                <w:lang w:val="en-GB" w:eastAsia="zh-CN"/>
              </w:rPr>
            </w:pPr>
            <m:oMathPara>
              <m:oMath>
                <m:r>
                  <m:rPr>
                    <m:sty m:val="p"/>
                  </m:rPr>
                  <w:rPr>
                    <w:rFonts w:ascii="Cambria Math" w:hAnsi="Cambria Math"/>
                  </w:rPr>
                  <m:t>∆</m:t>
                </m:r>
                <m:r>
                  <w:rPr>
                    <w:rFonts w:ascii="Cambria Math" w:hAnsi="Cambria Math"/>
                  </w:rPr>
                  <m:t>TURNOVER</m:t>
                </m:r>
              </m:oMath>
            </m:oMathPara>
          </w:p>
        </w:tc>
        <w:tc>
          <w:tcPr>
            <w:tcW w:w="399" w:type="pct"/>
            <w:gridSpan w:val="2"/>
            <w:tcBorders>
              <w:top w:val="single" w:sz="4" w:space="0" w:color="auto"/>
              <w:left w:val="nil"/>
              <w:bottom w:val="single" w:sz="4" w:space="0" w:color="auto"/>
              <w:right w:val="nil"/>
            </w:tcBorders>
            <w:shd w:val="clear" w:color="auto" w:fill="auto"/>
            <w:noWrap/>
            <w:vAlign w:val="center"/>
            <w:hideMark/>
          </w:tcPr>
          <w:p w14:paraId="14BC0E43" w14:textId="77777777" w:rsidR="00735ADD" w:rsidRPr="007A03D3" w:rsidRDefault="00735ADD" w:rsidP="00F80490">
            <w:pPr>
              <w:pStyle w:val="TableText"/>
              <w:jc w:val="right"/>
              <w:rPr>
                <w:rFonts w:eastAsia="Times New Roman"/>
                <w:color w:val="000000"/>
                <w:lang w:val="en-GB" w:eastAsia="zh-CN"/>
              </w:rPr>
            </w:pPr>
            <m:oMathPara>
              <m:oMath>
                <m:r>
                  <w:rPr>
                    <w:rFonts w:ascii="Cambria Math" w:hAnsi="Cambria Math"/>
                  </w:rPr>
                  <m:t>STDFSRET</m:t>
                </m:r>
              </m:oMath>
            </m:oMathPara>
          </w:p>
        </w:tc>
        <w:tc>
          <w:tcPr>
            <w:tcW w:w="399" w:type="pct"/>
            <w:tcBorders>
              <w:top w:val="single" w:sz="4" w:space="0" w:color="auto"/>
              <w:left w:val="nil"/>
              <w:bottom w:val="single" w:sz="4" w:space="0" w:color="auto"/>
              <w:right w:val="nil"/>
            </w:tcBorders>
            <w:shd w:val="clear" w:color="auto" w:fill="auto"/>
            <w:noWrap/>
            <w:vAlign w:val="center"/>
            <w:hideMark/>
          </w:tcPr>
          <w:p w14:paraId="0D7BE786" w14:textId="77777777" w:rsidR="00735ADD" w:rsidRPr="007A03D3" w:rsidRDefault="00735ADD" w:rsidP="00F80490">
            <w:pPr>
              <w:pStyle w:val="TableText"/>
              <w:jc w:val="right"/>
              <w:rPr>
                <w:rFonts w:eastAsia="Times New Roman"/>
                <w:color w:val="000000"/>
                <w:lang w:val="en-GB" w:eastAsia="zh-CN"/>
              </w:rPr>
            </w:pPr>
            <m:oMathPara>
              <m:oMath>
                <m:r>
                  <w:rPr>
                    <w:rFonts w:ascii="Cambria Math" w:hAnsi="Cambria Math"/>
                  </w:rPr>
                  <m:t>MEANFSRET</m:t>
                </m:r>
              </m:oMath>
            </m:oMathPara>
          </w:p>
        </w:tc>
        <w:tc>
          <w:tcPr>
            <w:tcW w:w="399" w:type="pct"/>
            <w:tcBorders>
              <w:top w:val="single" w:sz="4" w:space="0" w:color="auto"/>
              <w:left w:val="nil"/>
              <w:bottom w:val="single" w:sz="4" w:space="0" w:color="auto"/>
              <w:right w:val="nil"/>
            </w:tcBorders>
            <w:shd w:val="clear" w:color="auto" w:fill="auto"/>
            <w:noWrap/>
            <w:vAlign w:val="center"/>
            <w:hideMark/>
          </w:tcPr>
          <w:p w14:paraId="656DC895" w14:textId="77777777" w:rsidR="00735ADD" w:rsidRPr="007A03D3" w:rsidRDefault="00735ADD" w:rsidP="00F80490">
            <w:pPr>
              <w:pStyle w:val="TableText"/>
              <w:jc w:val="right"/>
              <w:rPr>
                <w:rFonts w:eastAsia="Times New Roman"/>
                <w:color w:val="000000"/>
                <w:lang w:val="en-GB" w:eastAsia="zh-CN"/>
              </w:rPr>
            </w:pPr>
            <m:oMathPara>
              <m:oMath>
                <m:r>
                  <w:rPr>
                    <w:rFonts w:ascii="Cambria Math" w:hAnsi="Cambria Math"/>
                  </w:rPr>
                  <m:t>SIZE</m:t>
                </m:r>
              </m:oMath>
            </m:oMathPara>
          </w:p>
        </w:tc>
        <w:tc>
          <w:tcPr>
            <w:tcW w:w="399" w:type="pct"/>
            <w:gridSpan w:val="2"/>
            <w:tcBorders>
              <w:top w:val="single" w:sz="4" w:space="0" w:color="auto"/>
              <w:left w:val="nil"/>
              <w:bottom w:val="single" w:sz="4" w:space="0" w:color="auto"/>
              <w:right w:val="nil"/>
            </w:tcBorders>
            <w:shd w:val="clear" w:color="auto" w:fill="auto"/>
            <w:noWrap/>
            <w:vAlign w:val="center"/>
            <w:hideMark/>
          </w:tcPr>
          <w:p w14:paraId="3FB4F237" w14:textId="77777777" w:rsidR="00735ADD" w:rsidRPr="007A03D3" w:rsidRDefault="00735ADD" w:rsidP="00F80490">
            <w:pPr>
              <w:pStyle w:val="TableText"/>
              <w:jc w:val="right"/>
              <w:rPr>
                <w:rFonts w:eastAsia="Times New Roman"/>
                <w:color w:val="000000"/>
                <w:lang w:val="en-GB" w:eastAsia="zh-CN"/>
              </w:rPr>
            </w:pPr>
            <m:oMathPara>
              <m:oMath>
                <m:r>
                  <w:rPr>
                    <w:rFonts w:ascii="Cambria Math" w:hAnsi="Cambria Math"/>
                  </w:rPr>
                  <m:t>MTB</m:t>
                </m:r>
              </m:oMath>
            </m:oMathPara>
          </w:p>
        </w:tc>
        <w:tc>
          <w:tcPr>
            <w:tcW w:w="399" w:type="pct"/>
            <w:tcBorders>
              <w:top w:val="single" w:sz="4" w:space="0" w:color="auto"/>
              <w:left w:val="nil"/>
              <w:bottom w:val="single" w:sz="4" w:space="0" w:color="auto"/>
              <w:right w:val="nil"/>
            </w:tcBorders>
            <w:shd w:val="clear" w:color="auto" w:fill="auto"/>
            <w:noWrap/>
            <w:vAlign w:val="center"/>
            <w:hideMark/>
          </w:tcPr>
          <w:p w14:paraId="1BBD0C03" w14:textId="77777777" w:rsidR="00735ADD" w:rsidRPr="007A03D3" w:rsidRDefault="00735ADD" w:rsidP="00F80490">
            <w:pPr>
              <w:pStyle w:val="TableText"/>
              <w:jc w:val="right"/>
              <w:rPr>
                <w:rFonts w:eastAsia="Times New Roman"/>
                <w:color w:val="000000"/>
                <w:lang w:val="en-GB" w:eastAsia="zh-CN"/>
              </w:rPr>
            </w:pPr>
            <m:oMathPara>
              <m:oMath>
                <m:r>
                  <w:rPr>
                    <w:rFonts w:ascii="Cambria Math" w:hAnsi="Cambria Math"/>
                  </w:rPr>
                  <m:t>LEV</m:t>
                </m:r>
              </m:oMath>
            </m:oMathPara>
          </w:p>
        </w:tc>
        <w:tc>
          <w:tcPr>
            <w:tcW w:w="404" w:type="pct"/>
            <w:tcBorders>
              <w:top w:val="single" w:sz="4" w:space="0" w:color="auto"/>
              <w:left w:val="nil"/>
              <w:bottom w:val="single" w:sz="4" w:space="0" w:color="auto"/>
              <w:right w:val="nil"/>
            </w:tcBorders>
            <w:shd w:val="clear" w:color="auto" w:fill="auto"/>
            <w:noWrap/>
            <w:vAlign w:val="center"/>
            <w:hideMark/>
          </w:tcPr>
          <w:p w14:paraId="3E82955F" w14:textId="77777777" w:rsidR="00735ADD" w:rsidRPr="007A03D3" w:rsidRDefault="00735ADD" w:rsidP="00F80490">
            <w:pPr>
              <w:pStyle w:val="TableText"/>
              <w:jc w:val="right"/>
              <w:rPr>
                <w:rFonts w:eastAsia="Times New Roman"/>
                <w:color w:val="000000"/>
                <w:lang w:val="en-GB" w:eastAsia="zh-CN"/>
              </w:rPr>
            </w:pPr>
            <m:oMathPara>
              <m:oMath>
                <m:r>
                  <w:rPr>
                    <w:rFonts w:ascii="Cambria Math" w:hAnsi="Cambria Math"/>
                  </w:rPr>
                  <m:t>ROA</m:t>
                </m:r>
              </m:oMath>
            </m:oMathPara>
          </w:p>
        </w:tc>
      </w:tr>
      <w:tr w:rsidR="00735ADD" w:rsidRPr="007A03D3" w14:paraId="0C9E5FC5" w14:textId="77777777" w:rsidTr="00746312">
        <w:trPr>
          <w:trHeight w:val="315"/>
        </w:trPr>
        <w:tc>
          <w:tcPr>
            <w:tcW w:w="606" w:type="pct"/>
            <w:tcBorders>
              <w:top w:val="nil"/>
              <w:left w:val="nil"/>
              <w:bottom w:val="nil"/>
              <w:right w:val="nil"/>
            </w:tcBorders>
            <w:shd w:val="clear" w:color="auto" w:fill="auto"/>
            <w:noWrap/>
            <w:vAlign w:val="center"/>
            <w:hideMark/>
          </w:tcPr>
          <w:p w14:paraId="22EAF048" w14:textId="77777777" w:rsidR="00735ADD" w:rsidRPr="007A03D3" w:rsidRDefault="00735ADD" w:rsidP="00F80490">
            <w:pPr>
              <w:pStyle w:val="TableText"/>
              <w:rPr>
                <w:rFonts w:eastAsia="Times New Roman"/>
                <w:color w:val="000000"/>
                <w:lang w:val="en-GB" w:eastAsia="zh-CN"/>
              </w:rPr>
            </w:pPr>
            <m:oMathPara>
              <m:oMathParaPr>
                <m:jc m:val="left"/>
              </m:oMathParaPr>
              <m:oMath>
                <m:r>
                  <w:rPr>
                    <w:rFonts w:ascii="Cambria Math" w:hAnsi="Cambria Math"/>
                    <w:lang w:val="en-GB" w:eastAsia="zh-CN"/>
                  </w:rPr>
                  <m:t>COUNT</m:t>
                </m:r>
              </m:oMath>
            </m:oMathPara>
          </w:p>
        </w:tc>
        <w:tc>
          <w:tcPr>
            <w:tcW w:w="399" w:type="pct"/>
            <w:tcBorders>
              <w:top w:val="nil"/>
              <w:left w:val="nil"/>
              <w:bottom w:val="nil"/>
              <w:right w:val="nil"/>
            </w:tcBorders>
            <w:shd w:val="clear" w:color="auto" w:fill="auto"/>
            <w:noWrap/>
            <w:vAlign w:val="center"/>
            <w:hideMark/>
          </w:tcPr>
          <w:p w14:paraId="2A10B354" w14:textId="77777777" w:rsidR="00735ADD" w:rsidRPr="007A03D3" w:rsidRDefault="00735ADD" w:rsidP="00F80490">
            <w:pPr>
              <w:pStyle w:val="TableText"/>
              <w:jc w:val="right"/>
              <w:rPr>
                <w:lang w:val="en-GB" w:eastAsia="zh-CN"/>
              </w:rPr>
            </w:pPr>
            <w:r w:rsidRPr="007A03D3">
              <w:rPr>
                <w:lang w:val="en-GB" w:eastAsia="zh-CN"/>
              </w:rPr>
              <w:t>1</w:t>
            </w:r>
          </w:p>
        </w:tc>
        <w:tc>
          <w:tcPr>
            <w:tcW w:w="399" w:type="pct"/>
            <w:gridSpan w:val="2"/>
            <w:tcBorders>
              <w:top w:val="nil"/>
              <w:left w:val="nil"/>
              <w:bottom w:val="nil"/>
              <w:right w:val="nil"/>
            </w:tcBorders>
            <w:shd w:val="clear" w:color="auto" w:fill="auto"/>
            <w:noWrap/>
            <w:vAlign w:val="center"/>
            <w:hideMark/>
          </w:tcPr>
          <w:p w14:paraId="5DBC67B1" w14:textId="77777777" w:rsidR="00735ADD" w:rsidRPr="007A03D3" w:rsidRDefault="00735ADD" w:rsidP="00F80490">
            <w:pPr>
              <w:pStyle w:val="TableText"/>
              <w:jc w:val="right"/>
              <w:rPr>
                <w:lang w:val="en-GB" w:eastAsia="zh-CN"/>
              </w:rPr>
            </w:pPr>
          </w:p>
        </w:tc>
        <w:tc>
          <w:tcPr>
            <w:tcW w:w="399" w:type="pct"/>
            <w:tcBorders>
              <w:top w:val="nil"/>
              <w:left w:val="nil"/>
              <w:bottom w:val="nil"/>
              <w:right w:val="nil"/>
            </w:tcBorders>
            <w:shd w:val="clear" w:color="auto" w:fill="auto"/>
            <w:noWrap/>
            <w:vAlign w:val="center"/>
            <w:hideMark/>
          </w:tcPr>
          <w:p w14:paraId="1FE2EAC3" w14:textId="77777777" w:rsidR="00735ADD" w:rsidRPr="007A03D3" w:rsidRDefault="00735ADD" w:rsidP="00F80490">
            <w:pPr>
              <w:pStyle w:val="TableText"/>
              <w:jc w:val="right"/>
              <w:rPr>
                <w:lang w:val="en-GB" w:eastAsia="zh-CN"/>
              </w:rPr>
            </w:pPr>
          </w:p>
        </w:tc>
        <w:tc>
          <w:tcPr>
            <w:tcW w:w="399" w:type="pct"/>
            <w:gridSpan w:val="2"/>
            <w:tcBorders>
              <w:top w:val="nil"/>
              <w:left w:val="nil"/>
              <w:bottom w:val="nil"/>
              <w:right w:val="nil"/>
            </w:tcBorders>
            <w:shd w:val="clear" w:color="auto" w:fill="auto"/>
            <w:noWrap/>
            <w:vAlign w:val="center"/>
            <w:hideMark/>
          </w:tcPr>
          <w:p w14:paraId="5F54FF2C" w14:textId="77777777" w:rsidR="00735ADD" w:rsidRPr="007A03D3" w:rsidRDefault="00735ADD" w:rsidP="00F80490">
            <w:pPr>
              <w:pStyle w:val="TableText"/>
              <w:jc w:val="right"/>
              <w:rPr>
                <w:lang w:val="en-GB" w:eastAsia="zh-CN"/>
              </w:rPr>
            </w:pPr>
          </w:p>
        </w:tc>
        <w:tc>
          <w:tcPr>
            <w:tcW w:w="399" w:type="pct"/>
            <w:tcBorders>
              <w:top w:val="nil"/>
              <w:left w:val="nil"/>
              <w:bottom w:val="nil"/>
              <w:right w:val="nil"/>
            </w:tcBorders>
            <w:shd w:val="clear" w:color="auto" w:fill="auto"/>
            <w:noWrap/>
            <w:vAlign w:val="center"/>
            <w:hideMark/>
          </w:tcPr>
          <w:p w14:paraId="5ACE2DFF" w14:textId="77777777" w:rsidR="00735ADD" w:rsidRPr="007A03D3" w:rsidRDefault="00735ADD" w:rsidP="00F80490">
            <w:pPr>
              <w:pStyle w:val="TableText"/>
              <w:jc w:val="right"/>
              <w:rPr>
                <w:lang w:val="en-GB" w:eastAsia="zh-CN"/>
              </w:rPr>
            </w:pPr>
          </w:p>
        </w:tc>
        <w:tc>
          <w:tcPr>
            <w:tcW w:w="399" w:type="pct"/>
            <w:gridSpan w:val="2"/>
            <w:tcBorders>
              <w:top w:val="nil"/>
              <w:left w:val="nil"/>
              <w:bottom w:val="nil"/>
              <w:right w:val="nil"/>
            </w:tcBorders>
            <w:shd w:val="clear" w:color="auto" w:fill="auto"/>
            <w:noWrap/>
            <w:vAlign w:val="center"/>
            <w:hideMark/>
          </w:tcPr>
          <w:p w14:paraId="32C788DF" w14:textId="77777777" w:rsidR="00735ADD" w:rsidRPr="007A03D3" w:rsidRDefault="00735ADD" w:rsidP="00F80490">
            <w:pPr>
              <w:pStyle w:val="TableText"/>
              <w:jc w:val="right"/>
              <w:rPr>
                <w:lang w:val="en-GB" w:eastAsia="zh-CN"/>
              </w:rPr>
            </w:pPr>
          </w:p>
        </w:tc>
        <w:tc>
          <w:tcPr>
            <w:tcW w:w="399" w:type="pct"/>
            <w:tcBorders>
              <w:top w:val="nil"/>
              <w:left w:val="nil"/>
              <w:bottom w:val="nil"/>
              <w:right w:val="nil"/>
            </w:tcBorders>
            <w:shd w:val="clear" w:color="auto" w:fill="auto"/>
            <w:noWrap/>
            <w:vAlign w:val="center"/>
            <w:hideMark/>
          </w:tcPr>
          <w:p w14:paraId="2BDAA8CE" w14:textId="77777777" w:rsidR="00735ADD" w:rsidRPr="007A03D3" w:rsidRDefault="00735ADD" w:rsidP="00F80490">
            <w:pPr>
              <w:pStyle w:val="TableText"/>
              <w:jc w:val="right"/>
              <w:rPr>
                <w:lang w:val="en-GB" w:eastAsia="zh-CN"/>
              </w:rPr>
            </w:pPr>
          </w:p>
        </w:tc>
        <w:tc>
          <w:tcPr>
            <w:tcW w:w="399" w:type="pct"/>
            <w:tcBorders>
              <w:top w:val="nil"/>
              <w:left w:val="nil"/>
              <w:bottom w:val="nil"/>
              <w:right w:val="nil"/>
            </w:tcBorders>
            <w:shd w:val="clear" w:color="auto" w:fill="auto"/>
            <w:noWrap/>
            <w:vAlign w:val="center"/>
            <w:hideMark/>
          </w:tcPr>
          <w:p w14:paraId="7E8ABFD9" w14:textId="77777777" w:rsidR="00735ADD" w:rsidRPr="007A03D3" w:rsidRDefault="00735ADD" w:rsidP="00F80490">
            <w:pPr>
              <w:pStyle w:val="TableText"/>
              <w:jc w:val="right"/>
              <w:rPr>
                <w:lang w:val="en-GB" w:eastAsia="zh-CN"/>
              </w:rPr>
            </w:pPr>
          </w:p>
        </w:tc>
        <w:tc>
          <w:tcPr>
            <w:tcW w:w="399" w:type="pct"/>
            <w:gridSpan w:val="2"/>
            <w:tcBorders>
              <w:top w:val="nil"/>
              <w:left w:val="nil"/>
              <w:bottom w:val="nil"/>
              <w:right w:val="nil"/>
            </w:tcBorders>
            <w:shd w:val="clear" w:color="auto" w:fill="auto"/>
            <w:noWrap/>
            <w:vAlign w:val="center"/>
            <w:hideMark/>
          </w:tcPr>
          <w:p w14:paraId="2BEEDFF2" w14:textId="77777777" w:rsidR="00735ADD" w:rsidRPr="007A03D3" w:rsidRDefault="00735ADD" w:rsidP="00F80490">
            <w:pPr>
              <w:pStyle w:val="TableText"/>
              <w:jc w:val="right"/>
              <w:rPr>
                <w:lang w:val="en-GB" w:eastAsia="zh-CN"/>
              </w:rPr>
            </w:pPr>
          </w:p>
        </w:tc>
        <w:tc>
          <w:tcPr>
            <w:tcW w:w="399" w:type="pct"/>
            <w:tcBorders>
              <w:top w:val="nil"/>
              <w:left w:val="nil"/>
              <w:bottom w:val="nil"/>
              <w:right w:val="nil"/>
            </w:tcBorders>
            <w:shd w:val="clear" w:color="auto" w:fill="auto"/>
            <w:noWrap/>
            <w:vAlign w:val="center"/>
            <w:hideMark/>
          </w:tcPr>
          <w:p w14:paraId="061200FD" w14:textId="77777777" w:rsidR="00735ADD" w:rsidRPr="007A03D3" w:rsidRDefault="00735ADD" w:rsidP="00F80490">
            <w:pPr>
              <w:pStyle w:val="TableText"/>
              <w:jc w:val="right"/>
              <w:rPr>
                <w:lang w:val="en-GB" w:eastAsia="zh-CN"/>
              </w:rPr>
            </w:pPr>
          </w:p>
        </w:tc>
        <w:tc>
          <w:tcPr>
            <w:tcW w:w="404" w:type="pct"/>
            <w:tcBorders>
              <w:top w:val="nil"/>
              <w:left w:val="nil"/>
              <w:bottom w:val="nil"/>
              <w:right w:val="nil"/>
            </w:tcBorders>
            <w:shd w:val="clear" w:color="auto" w:fill="auto"/>
            <w:noWrap/>
            <w:vAlign w:val="center"/>
            <w:hideMark/>
          </w:tcPr>
          <w:p w14:paraId="7BBC949E" w14:textId="77777777" w:rsidR="00735ADD" w:rsidRPr="007A03D3" w:rsidRDefault="00735ADD" w:rsidP="00F80490">
            <w:pPr>
              <w:pStyle w:val="TableText"/>
              <w:jc w:val="right"/>
              <w:rPr>
                <w:lang w:val="en-GB" w:eastAsia="zh-CN"/>
              </w:rPr>
            </w:pPr>
          </w:p>
        </w:tc>
      </w:tr>
      <w:tr w:rsidR="00735ADD" w:rsidRPr="007A03D3" w14:paraId="37E4D038" w14:textId="77777777" w:rsidTr="00746312">
        <w:trPr>
          <w:trHeight w:val="315"/>
        </w:trPr>
        <w:tc>
          <w:tcPr>
            <w:tcW w:w="606" w:type="pct"/>
            <w:tcBorders>
              <w:top w:val="nil"/>
              <w:left w:val="nil"/>
              <w:bottom w:val="nil"/>
              <w:right w:val="nil"/>
            </w:tcBorders>
            <w:shd w:val="clear" w:color="auto" w:fill="auto"/>
            <w:noWrap/>
            <w:vAlign w:val="center"/>
            <w:hideMark/>
          </w:tcPr>
          <w:p w14:paraId="32CCD179" w14:textId="32C0F1B2" w:rsidR="00735ADD" w:rsidRPr="007A03D3" w:rsidRDefault="00785907" w:rsidP="00F80490">
            <w:pPr>
              <w:pStyle w:val="TableText"/>
              <w:rPr>
                <w:rFonts w:eastAsia="Times New Roman"/>
                <w:color w:val="000000"/>
                <w:lang w:val="en-GB" w:eastAsia="zh-CN"/>
              </w:rPr>
            </w:pPr>
            <m:oMathPara>
              <m:oMathParaPr>
                <m:jc m:val="left"/>
              </m:oMathParaPr>
              <m:oMath>
                <m:r>
                  <w:rPr>
                    <w:rFonts w:ascii="Cambria Math" w:hAnsi="Cambria Math"/>
                  </w:rPr>
                  <m:t>NCSKEW</m:t>
                </m:r>
              </m:oMath>
            </m:oMathPara>
          </w:p>
        </w:tc>
        <w:tc>
          <w:tcPr>
            <w:tcW w:w="399" w:type="pct"/>
            <w:tcBorders>
              <w:top w:val="nil"/>
              <w:left w:val="nil"/>
              <w:bottom w:val="nil"/>
              <w:right w:val="nil"/>
            </w:tcBorders>
            <w:shd w:val="clear" w:color="auto" w:fill="auto"/>
            <w:noWrap/>
            <w:vAlign w:val="center"/>
            <w:hideMark/>
          </w:tcPr>
          <w:p w14:paraId="768CDEAD" w14:textId="77777777" w:rsidR="00735ADD" w:rsidRPr="00F80490" w:rsidRDefault="00735ADD" w:rsidP="00F80490">
            <w:pPr>
              <w:pStyle w:val="TableText"/>
              <w:jc w:val="right"/>
              <w:rPr>
                <w:b/>
                <w:bCs/>
                <w:lang w:val="en-GB" w:eastAsia="zh-CN"/>
              </w:rPr>
            </w:pPr>
            <w:r w:rsidRPr="00F80490">
              <w:rPr>
                <w:b/>
                <w:bCs/>
                <w:lang w:val="en-GB" w:eastAsia="zh-CN"/>
              </w:rPr>
              <w:t>0.79</w:t>
            </w:r>
          </w:p>
        </w:tc>
        <w:tc>
          <w:tcPr>
            <w:tcW w:w="399" w:type="pct"/>
            <w:gridSpan w:val="2"/>
            <w:tcBorders>
              <w:top w:val="nil"/>
              <w:left w:val="nil"/>
              <w:bottom w:val="nil"/>
              <w:right w:val="nil"/>
            </w:tcBorders>
            <w:shd w:val="clear" w:color="auto" w:fill="auto"/>
            <w:noWrap/>
            <w:vAlign w:val="center"/>
            <w:hideMark/>
          </w:tcPr>
          <w:p w14:paraId="15479D3E" w14:textId="77777777" w:rsidR="00735ADD" w:rsidRPr="00E33FEA" w:rsidRDefault="00735ADD" w:rsidP="00F80490">
            <w:pPr>
              <w:pStyle w:val="TableText"/>
              <w:jc w:val="right"/>
              <w:rPr>
                <w:lang w:val="en-GB" w:eastAsia="zh-CN"/>
              </w:rPr>
            </w:pPr>
            <w:r w:rsidRPr="003A6185">
              <w:rPr>
                <w:lang w:val="en-GB" w:eastAsia="zh-CN"/>
              </w:rPr>
              <w:t>1</w:t>
            </w:r>
          </w:p>
        </w:tc>
        <w:tc>
          <w:tcPr>
            <w:tcW w:w="399" w:type="pct"/>
            <w:tcBorders>
              <w:top w:val="nil"/>
              <w:left w:val="nil"/>
              <w:bottom w:val="nil"/>
              <w:right w:val="nil"/>
            </w:tcBorders>
            <w:shd w:val="clear" w:color="auto" w:fill="auto"/>
            <w:noWrap/>
            <w:vAlign w:val="center"/>
            <w:hideMark/>
          </w:tcPr>
          <w:p w14:paraId="776819E1" w14:textId="77777777" w:rsidR="00735ADD" w:rsidRPr="00F80490" w:rsidRDefault="00735ADD" w:rsidP="00F80490">
            <w:pPr>
              <w:pStyle w:val="TableText"/>
              <w:jc w:val="right"/>
              <w:rPr>
                <w:b/>
                <w:bCs/>
                <w:lang w:val="en-GB" w:eastAsia="zh-CN"/>
              </w:rPr>
            </w:pPr>
          </w:p>
        </w:tc>
        <w:tc>
          <w:tcPr>
            <w:tcW w:w="399" w:type="pct"/>
            <w:gridSpan w:val="2"/>
            <w:tcBorders>
              <w:top w:val="nil"/>
              <w:left w:val="nil"/>
              <w:bottom w:val="nil"/>
              <w:right w:val="nil"/>
            </w:tcBorders>
            <w:shd w:val="clear" w:color="auto" w:fill="auto"/>
            <w:noWrap/>
            <w:vAlign w:val="center"/>
            <w:hideMark/>
          </w:tcPr>
          <w:p w14:paraId="6FB5BC14" w14:textId="77777777" w:rsidR="00735ADD" w:rsidRPr="00F80490" w:rsidRDefault="00735ADD" w:rsidP="00F80490">
            <w:pPr>
              <w:pStyle w:val="TableText"/>
              <w:jc w:val="right"/>
              <w:rPr>
                <w:b/>
                <w:bCs/>
                <w:lang w:val="en-GB" w:eastAsia="zh-CN"/>
              </w:rPr>
            </w:pPr>
          </w:p>
        </w:tc>
        <w:tc>
          <w:tcPr>
            <w:tcW w:w="399" w:type="pct"/>
            <w:tcBorders>
              <w:top w:val="nil"/>
              <w:left w:val="nil"/>
              <w:bottom w:val="nil"/>
              <w:right w:val="nil"/>
            </w:tcBorders>
            <w:shd w:val="clear" w:color="auto" w:fill="auto"/>
            <w:noWrap/>
            <w:vAlign w:val="center"/>
            <w:hideMark/>
          </w:tcPr>
          <w:p w14:paraId="29FD4879" w14:textId="77777777" w:rsidR="00735ADD" w:rsidRPr="00F80490" w:rsidRDefault="00735ADD" w:rsidP="00F80490">
            <w:pPr>
              <w:pStyle w:val="TableText"/>
              <w:jc w:val="right"/>
              <w:rPr>
                <w:b/>
                <w:bCs/>
                <w:lang w:val="en-GB" w:eastAsia="zh-CN"/>
              </w:rPr>
            </w:pPr>
          </w:p>
        </w:tc>
        <w:tc>
          <w:tcPr>
            <w:tcW w:w="399" w:type="pct"/>
            <w:gridSpan w:val="2"/>
            <w:tcBorders>
              <w:top w:val="nil"/>
              <w:left w:val="nil"/>
              <w:bottom w:val="nil"/>
              <w:right w:val="nil"/>
            </w:tcBorders>
            <w:shd w:val="clear" w:color="auto" w:fill="auto"/>
            <w:noWrap/>
            <w:vAlign w:val="center"/>
            <w:hideMark/>
          </w:tcPr>
          <w:p w14:paraId="74D21183" w14:textId="77777777" w:rsidR="00735ADD" w:rsidRPr="00F80490" w:rsidRDefault="00735ADD" w:rsidP="00F80490">
            <w:pPr>
              <w:pStyle w:val="TableText"/>
              <w:jc w:val="right"/>
              <w:rPr>
                <w:b/>
                <w:bCs/>
                <w:lang w:val="en-GB" w:eastAsia="zh-CN"/>
              </w:rPr>
            </w:pPr>
          </w:p>
        </w:tc>
        <w:tc>
          <w:tcPr>
            <w:tcW w:w="399" w:type="pct"/>
            <w:tcBorders>
              <w:top w:val="nil"/>
              <w:left w:val="nil"/>
              <w:bottom w:val="nil"/>
              <w:right w:val="nil"/>
            </w:tcBorders>
            <w:shd w:val="clear" w:color="auto" w:fill="auto"/>
            <w:noWrap/>
            <w:vAlign w:val="center"/>
            <w:hideMark/>
          </w:tcPr>
          <w:p w14:paraId="39F6BA56" w14:textId="77777777" w:rsidR="00735ADD" w:rsidRPr="00F80490" w:rsidRDefault="00735ADD" w:rsidP="00F80490">
            <w:pPr>
              <w:pStyle w:val="TableText"/>
              <w:jc w:val="right"/>
              <w:rPr>
                <w:b/>
                <w:bCs/>
                <w:lang w:val="en-GB" w:eastAsia="zh-CN"/>
              </w:rPr>
            </w:pPr>
          </w:p>
        </w:tc>
        <w:tc>
          <w:tcPr>
            <w:tcW w:w="399" w:type="pct"/>
            <w:tcBorders>
              <w:top w:val="nil"/>
              <w:left w:val="nil"/>
              <w:bottom w:val="nil"/>
              <w:right w:val="nil"/>
            </w:tcBorders>
            <w:shd w:val="clear" w:color="auto" w:fill="auto"/>
            <w:noWrap/>
            <w:vAlign w:val="center"/>
            <w:hideMark/>
          </w:tcPr>
          <w:p w14:paraId="495756E0" w14:textId="77777777" w:rsidR="00735ADD" w:rsidRPr="00F80490" w:rsidRDefault="00735ADD" w:rsidP="00F80490">
            <w:pPr>
              <w:pStyle w:val="TableText"/>
              <w:jc w:val="right"/>
              <w:rPr>
                <w:b/>
                <w:bCs/>
                <w:lang w:val="en-GB" w:eastAsia="zh-CN"/>
              </w:rPr>
            </w:pPr>
          </w:p>
        </w:tc>
        <w:tc>
          <w:tcPr>
            <w:tcW w:w="399" w:type="pct"/>
            <w:gridSpan w:val="2"/>
            <w:tcBorders>
              <w:top w:val="nil"/>
              <w:left w:val="nil"/>
              <w:bottom w:val="nil"/>
              <w:right w:val="nil"/>
            </w:tcBorders>
            <w:shd w:val="clear" w:color="auto" w:fill="auto"/>
            <w:noWrap/>
            <w:vAlign w:val="center"/>
            <w:hideMark/>
          </w:tcPr>
          <w:p w14:paraId="36AC9CDA" w14:textId="77777777" w:rsidR="00735ADD" w:rsidRPr="00F80490" w:rsidRDefault="00735ADD" w:rsidP="00F80490">
            <w:pPr>
              <w:pStyle w:val="TableText"/>
              <w:jc w:val="right"/>
              <w:rPr>
                <w:b/>
                <w:bCs/>
                <w:lang w:val="en-GB" w:eastAsia="zh-CN"/>
              </w:rPr>
            </w:pPr>
          </w:p>
        </w:tc>
        <w:tc>
          <w:tcPr>
            <w:tcW w:w="399" w:type="pct"/>
            <w:tcBorders>
              <w:top w:val="nil"/>
              <w:left w:val="nil"/>
              <w:bottom w:val="nil"/>
              <w:right w:val="nil"/>
            </w:tcBorders>
            <w:shd w:val="clear" w:color="auto" w:fill="auto"/>
            <w:noWrap/>
            <w:vAlign w:val="center"/>
            <w:hideMark/>
          </w:tcPr>
          <w:p w14:paraId="170A29FE" w14:textId="77777777" w:rsidR="00735ADD" w:rsidRPr="00F80490" w:rsidRDefault="00735ADD" w:rsidP="00F80490">
            <w:pPr>
              <w:pStyle w:val="TableText"/>
              <w:jc w:val="right"/>
              <w:rPr>
                <w:b/>
                <w:bCs/>
                <w:lang w:val="en-GB" w:eastAsia="zh-CN"/>
              </w:rPr>
            </w:pPr>
          </w:p>
        </w:tc>
        <w:tc>
          <w:tcPr>
            <w:tcW w:w="404" w:type="pct"/>
            <w:tcBorders>
              <w:top w:val="nil"/>
              <w:left w:val="nil"/>
              <w:bottom w:val="nil"/>
              <w:right w:val="nil"/>
            </w:tcBorders>
            <w:shd w:val="clear" w:color="auto" w:fill="auto"/>
            <w:noWrap/>
            <w:vAlign w:val="center"/>
            <w:hideMark/>
          </w:tcPr>
          <w:p w14:paraId="7BF9C418" w14:textId="77777777" w:rsidR="00735ADD" w:rsidRPr="00F80490" w:rsidRDefault="00735ADD" w:rsidP="00F80490">
            <w:pPr>
              <w:pStyle w:val="TableText"/>
              <w:jc w:val="right"/>
              <w:rPr>
                <w:b/>
                <w:bCs/>
                <w:lang w:val="en-GB" w:eastAsia="zh-CN"/>
              </w:rPr>
            </w:pPr>
          </w:p>
        </w:tc>
      </w:tr>
      <w:tr w:rsidR="00735ADD" w:rsidRPr="007A03D3" w14:paraId="32691484" w14:textId="77777777" w:rsidTr="00746312">
        <w:trPr>
          <w:trHeight w:val="315"/>
        </w:trPr>
        <w:tc>
          <w:tcPr>
            <w:tcW w:w="606" w:type="pct"/>
            <w:tcBorders>
              <w:top w:val="nil"/>
              <w:left w:val="nil"/>
              <w:bottom w:val="nil"/>
              <w:right w:val="nil"/>
            </w:tcBorders>
            <w:shd w:val="clear" w:color="auto" w:fill="auto"/>
            <w:noWrap/>
            <w:vAlign w:val="center"/>
            <w:hideMark/>
          </w:tcPr>
          <w:p w14:paraId="6014C5CA" w14:textId="71F7DFF4" w:rsidR="00735ADD" w:rsidRPr="007A03D3" w:rsidRDefault="00785907" w:rsidP="00F80490">
            <w:pPr>
              <w:pStyle w:val="TableText"/>
              <w:rPr>
                <w:rFonts w:eastAsia="Times New Roman"/>
                <w:color w:val="000000"/>
                <w:lang w:val="en-GB" w:eastAsia="zh-CN"/>
              </w:rPr>
            </w:pPr>
            <m:oMathPara>
              <m:oMathParaPr>
                <m:jc m:val="left"/>
              </m:oMathParaPr>
              <m:oMath>
                <m:r>
                  <w:rPr>
                    <w:rFonts w:ascii="Cambria Math" w:hAnsi="Cambria Math"/>
                  </w:rPr>
                  <m:t>DUVOL</m:t>
                </m:r>
              </m:oMath>
            </m:oMathPara>
          </w:p>
        </w:tc>
        <w:tc>
          <w:tcPr>
            <w:tcW w:w="399" w:type="pct"/>
            <w:tcBorders>
              <w:top w:val="nil"/>
              <w:left w:val="nil"/>
              <w:bottom w:val="nil"/>
              <w:right w:val="nil"/>
            </w:tcBorders>
            <w:shd w:val="clear" w:color="auto" w:fill="auto"/>
            <w:noWrap/>
            <w:vAlign w:val="center"/>
            <w:hideMark/>
          </w:tcPr>
          <w:p w14:paraId="17F4C13C" w14:textId="77777777" w:rsidR="00735ADD" w:rsidRPr="00F80490" w:rsidRDefault="00735ADD" w:rsidP="00F80490">
            <w:pPr>
              <w:pStyle w:val="TableText"/>
              <w:jc w:val="right"/>
              <w:rPr>
                <w:b/>
                <w:bCs/>
                <w:lang w:val="en-GB" w:eastAsia="zh-CN"/>
              </w:rPr>
            </w:pPr>
            <w:r w:rsidRPr="00F80490">
              <w:rPr>
                <w:b/>
                <w:bCs/>
                <w:lang w:val="en-GB" w:eastAsia="zh-CN"/>
              </w:rPr>
              <w:t>0.65</w:t>
            </w:r>
          </w:p>
        </w:tc>
        <w:tc>
          <w:tcPr>
            <w:tcW w:w="399" w:type="pct"/>
            <w:gridSpan w:val="2"/>
            <w:tcBorders>
              <w:top w:val="nil"/>
              <w:left w:val="nil"/>
              <w:bottom w:val="nil"/>
              <w:right w:val="nil"/>
            </w:tcBorders>
            <w:shd w:val="clear" w:color="auto" w:fill="auto"/>
            <w:noWrap/>
            <w:vAlign w:val="center"/>
            <w:hideMark/>
          </w:tcPr>
          <w:p w14:paraId="23A5CF06" w14:textId="77777777" w:rsidR="00735ADD" w:rsidRPr="00F80490" w:rsidRDefault="00735ADD" w:rsidP="00F80490">
            <w:pPr>
              <w:pStyle w:val="TableText"/>
              <w:jc w:val="right"/>
              <w:rPr>
                <w:b/>
                <w:bCs/>
                <w:lang w:val="en-GB" w:eastAsia="zh-CN"/>
              </w:rPr>
            </w:pPr>
            <w:r w:rsidRPr="00F80490">
              <w:rPr>
                <w:b/>
                <w:bCs/>
                <w:lang w:val="en-GB" w:eastAsia="zh-CN"/>
              </w:rPr>
              <w:t>0.90</w:t>
            </w:r>
          </w:p>
        </w:tc>
        <w:tc>
          <w:tcPr>
            <w:tcW w:w="399" w:type="pct"/>
            <w:tcBorders>
              <w:top w:val="nil"/>
              <w:left w:val="nil"/>
              <w:bottom w:val="nil"/>
              <w:right w:val="nil"/>
            </w:tcBorders>
            <w:shd w:val="clear" w:color="auto" w:fill="auto"/>
            <w:noWrap/>
            <w:vAlign w:val="center"/>
            <w:hideMark/>
          </w:tcPr>
          <w:p w14:paraId="2B03E3CF" w14:textId="77777777" w:rsidR="00735ADD" w:rsidRPr="00E33FEA" w:rsidRDefault="00735ADD" w:rsidP="00F80490">
            <w:pPr>
              <w:pStyle w:val="TableText"/>
              <w:jc w:val="right"/>
              <w:rPr>
                <w:lang w:val="en-GB" w:eastAsia="zh-CN"/>
              </w:rPr>
            </w:pPr>
            <w:r w:rsidRPr="003A6185">
              <w:rPr>
                <w:lang w:val="en-GB" w:eastAsia="zh-CN"/>
              </w:rPr>
              <w:t>1</w:t>
            </w:r>
          </w:p>
        </w:tc>
        <w:tc>
          <w:tcPr>
            <w:tcW w:w="399" w:type="pct"/>
            <w:gridSpan w:val="2"/>
            <w:tcBorders>
              <w:top w:val="nil"/>
              <w:left w:val="nil"/>
              <w:bottom w:val="nil"/>
              <w:right w:val="nil"/>
            </w:tcBorders>
            <w:shd w:val="clear" w:color="auto" w:fill="auto"/>
            <w:noWrap/>
            <w:vAlign w:val="center"/>
            <w:hideMark/>
          </w:tcPr>
          <w:p w14:paraId="4F4752BE" w14:textId="77777777" w:rsidR="00735ADD" w:rsidRPr="00F80490" w:rsidRDefault="00735ADD" w:rsidP="00F80490">
            <w:pPr>
              <w:pStyle w:val="TableText"/>
              <w:jc w:val="right"/>
              <w:rPr>
                <w:b/>
                <w:bCs/>
                <w:lang w:val="en-GB" w:eastAsia="zh-CN"/>
              </w:rPr>
            </w:pPr>
          </w:p>
        </w:tc>
        <w:tc>
          <w:tcPr>
            <w:tcW w:w="399" w:type="pct"/>
            <w:tcBorders>
              <w:top w:val="nil"/>
              <w:left w:val="nil"/>
              <w:bottom w:val="nil"/>
              <w:right w:val="nil"/>
            </w:tcBorders>
            <w:shd w:val="clear" w:color="auto" w:fill="auto"/>
            <w:noWrap/>
            <w:vAlign w:val="center"/>
            <w:hideMark/>
          </w:tcPr>
          <w:p w14:paraId="7E3E14FE" w14:textId="77777777" w:rsidR="00735ADD" w:rsidRPr="00F80490" w:rsidRDefault="00735ADD" w:rsidP="00F80490">
            <w:pPr>
              <w:pStyle w:val="TableText"/>
              <w:jc w:val="right"/>
              <w:rPr>
                <w:b/>
                <w:bCs/>
                <w:lang w:val="en-GB" w:eastAsia="zh-CN"/>
              </w:rPr>
            </w:pPr>
          </w:p>
        </w:tc>
        <w:tc>
          <w:tcPr>
            <w:tcW w:w="399" w:type="pct"/>
            <w:gridSpan w:val="2"/>
            <w:tcBorders>
              <w:top w:val="nil"/>
              <w:left w:val="nil"/>
              <w:bottom w:val="nil"/>
              <w:right w:val="nil"/>
            </w:tcBorders>
            <w:shd w:val="clear" w:color="auto" w:fill="auto"/>
            <w:noWrap/>
            <w:vAlign w:val="center"/>
            <w:hideMark/>
          </w:tcPr>
          <w:p w14:paraId="2EB8498A" w14:textId="77777777" w:rsidR="00735ADD" w:rsidRPr="00F80490" w:rsidRDefault="00735ADD" w:rsidP="00F80490">
            <w:pPr>
              <w:pStyle w:val="TableText"/>
              <w:jc w:val="right"/>
              <w:rPr>
                <w:b/>
                <w:bCs/>
                <w:lang w:val="en-GB" w:eastAsia="zh-CN"/>
              </w:rPr>
            </w:pPr>
          </w:p>
        </w:tc>
        <w:tc>
          <w:tcPr>
            <w:tcW w:w="399" w:type="pct"/>
            <w:tcBorders>
              <w:top w:val="nil"/>
              <w:left w:val="nil"/>
              <w:bottom w:val="nil"/>
              <w:right w:val="nil"/>
            </w:tcBorders>
            <w:shd w:val="clear" w:color="auto" w:fill="auto"/>
            <w:noWrap/>
            <w:vAlign w:val="center"/>
            <w:hideMark/>
          </w:tcPr>
          <w:p w14:paraId="6EE9F0F2" w14:textId="77777777" w:rsidR="00735ADD" w:rsidRPr="00F80490" w:rsidRDefault="00735ADD" w:rsidP="00F80490">
            <w:pPr>
              <w:pStyle w:val="TableText"/>
              <w:jc w:val="right"/>
              <w:rPr>
                <w:b/>
                <w:bCs/>
                <w:lang w:val="en-GB" w:eastAsia="zh-CN"/>
              </w:rPr>
            </w:pPr>
          </w:p>
        </w:tc>
        <w:tc>
          <w:tcPr>
            <w:tcW w:w="399" w:type="pct"/>
            <w:tcBorders>
              <w:top w:val="nil"/>
              <w:left w:val="nil"/>
              <w:bottom w:val="nil"/>
              <w:right w:val="nil"/>
            </w:tcBorders>
            <w:shd w:val="clear" w:color="auto" w:fill="auto"/>
            <w:noWrap/>
            <w:vAlign w:val="center"/>
            <w:hideMark/>
          </w:tcPr>
          <w:p w14:paraId="1FCD6E80" w14:textId="77777777" w:rsidR="00735ADD" w:rsidRPr="00F80490" w:rsidRDefault="00735ADD" w:rsidP="00F80490">
            <w:pPr>
              <w:pStyle w:val="TableText"/>
              <w:jc w:val="right"/>
              <w:rPr>
                <w:b/>
                <w:bCs/>
                <w:lang w:val="en-GB" w:eastAsia="zh-CN"/>
              </w:rPr>
            </w:pPr>
          </w:p>
        </w:tc>
        <w:tc>
          <w:tcPr>
            <w:tcW w:w="399" w:type="pct"/>
            <w:gridSpan w:val="2"/>
            <w:tcBorders>
              <w:top w:val="nil"/>
              <w:left w:val="nil"/>
              <w:bottom w:val="nil"/>
              <w:right w:val="nil"/>
            </w:tcBorders>
            <w:shd w:val="clear" w:color="auto" w:fill="auto"/>
            <w:noWrap/>
            <w:vAlign w:val="center"/>
            <w:hideMark/>
          </w:tcPr>
          <w:p w14:paraId="2714DE46" w14:textId="77777777" w:rsidR="00735ADD" w:rsidRPr="00F80490" w:rsidRDefault="00735ADD" w:rsidP="00F80490">
            <w:pPr>
              <w:pStyle w:val="TableText"/>
              <w:jc w:val="right"/>
              <w:rPr>
                <w:b/>
                <w:bCs/>
                <w:lang w:val="en-GB" w:eastAsia="zh-CN"/>
              </w:rPr>
            </w:pPr>
          </w:p>
        </w:tc>
        <w:tc>
          <w:tcPr>
            <w:tcW w:w="399" w:type="pct"/>
            <w:tcBorders>
              <w:top w:val="nil"/>
              <w:left w:val="nil"/>
              <w:bottom w:val="nil"/>
              <w:right w:val="nil"/>
            </w:tcBorders>
            <w:shd w:val="clear" w:color="auto" w:fill="auto"/>
            <w:noWrap/>
            <w:vAlign w:val="center"/>
            <w:hideMark/>
          </w:tcPr>
          <w:p w14:paraId="669FD8A0" w14:textId="77777777" w:rsidR="00735ADD" w:rsidRPr="00F80490" w:rsidRDefault="00735ADD" w:rsidP="00F80490">
            <w:pPr>
              <w:pStyle w:val="TableText"/>
              <w:jc w:val="right"/>
              <w:rPr>
                <w:b/>
                <w:bCs/>
                <w:lang w:val="en-GB" w:eastAsia="zh-CN"/>
              </w:rPr>
            </w:pPr>
          </w:p>
        </w:tc>
        <w:tc>
          <w:tcPr>
            <w:tcW w:w="404" w:type="pct"/>
            <w:tcBorders>
              <w:top w:val="nil"/>
              <w:left w:val="nil"/>
              <w:bottom w:val="nil"/>
              <w:right w:val="nil"/>
            </w:tcBorders>
            <w:shd w:val="clear" w:color="auto" w:fill="auto"/>
            <w:noWrap/>
            <w:vAlign w:val="center"/>
            <w:hideMark/>
          </w:tcPr>
          <w:p w14:paraId="1D4670FB" w14:textId="77777777" w:rsidR="00735ADD" w:rsidRPr="00F80490" w:rsidRDefault="00735ADD" w:rsidP="00F80490">
            <w:pPr>
              <w:pStyle w:val="TableText"/>
              <w:jc w:val="right"/>
              <w:rPr>
                <w:b/>
                <w:bCs/>
                <w:lang w:val="en-GB" w:eastAsia="zh-CN"/>
              </w:rPr>
            </w:pPr>
          </w:p>
        </w:tc>
      </w:tr>
      <w:tr w:rsidR="00735ADD" w:rsidRPr="007A03D3" w14:paraId="70C624C9" w14:textId="77777777" w:rsidTr="00746312">
        <w:trPr>
          <w:trHeight w:val="315"/>
        </w:trPr>
        <w:tc>
          <w:tcPr>
            <w:tcW w:w="606" w:type="pct"/>
            <w:tcBorders>
              <w:top w:val="nil"/>
              <w:left w:val="nil"/>
              <w:bottom w:val="nil"/>
              <w:right w:val="nil"/>
            </w:tcBorders>
            <w:shd w:val="clear" w:color="auto" w:fill="auto"/>
            <w:noWrap/>
            <w:vAlign w:val="center"/>
            <w:hideMark/>
          </w:tcPr>
          <w:p w14:paraId="0444E2CD" w14:textId="068F31A8" w:rsidR="00735ADD" w:rsidRPr="007A03D3" w:rsidRDefault="00785907" w:rsidP="00F80490">
            <w:pPr>
              <w:pStyle w:val="TableText"/>
              <w:rPr>
                <w:rFonts w:eastAsia="Times New Roman"/>
                <w:color w:val="000000"/>
                <w:lang w:val="en-GB" w:eastAsia="zh-CN"/>
              </w:rPr>
            </w:pPr>
            <m:oMathPara>
              <m:oMathParaPr>
                <m:jc m:val="left"/>
              </m:oMathParaPr>
              <m:oMath>
                <m:r>
                  <w:rPr>
                    <w:rFonts w:ascii="Cambria Math" w:hAnsi="Cambria Math"/>
                  </w:rPr>
                  <m:t>TONE</m:t>
                </m:r>
                <m:r>
                  <m:rPr>
                    <m:sty m:val="p"/>
                  </m:rPr>
                  <w:rPr>
                    <w:rFonts w:ascii="Cambria Math" w:hAnsi="Cambria Math"/>
                  </w:rPr>
                  <m:t>_</m:t>
                </m:r>
                <m:r>
                  <w:rPr>
                    <w:rFonts w:ascii="Cambria Math" w:hAnsi="Cambria Math"/>
                  </w:rPr>
                  <m:t>C</m:t>
                </m:r>
              </m:oMath>
            </m:oMathPara>
          </w:p>
        </w:tc>
        <w:tc>
          <w:tcPr>
            <w:tcW w:w="399" w:type="pct"/>
            <w:tcBorders>
              <w:top w:val="nil"/>
              <w:left w:val="nil"/>
              <w:bottom w:val="nil"/>
              <w:right w:val="nil"/>
            </w:tcBorders>
            <w:shd w:val="clear" w:color="auto" w:fill="auto"/>
            <w:noWrap/>
            <w:vAlign w:val="center"/>
            <w:hideMark/>
          </w:tcPr>
          <w:p w14:paraId="61BD7397" w14:textId="77777777" w:rsidR="00735ADD" w:rsidRPr="00F80490" w:rsidRDefault="00735ADD" w:rsidP="00F80490">
            <w:pPr>
              <w:pStyle w:val="TableText"/>
              <w:jc w:val="right"/>
              <w:rPr>
                <w:b/>
                <w:bCs/>
                <w:lang w:val="en-GB" w:eastAsia="zh-CN"/>
              </w:rPr>
            </w:pPr>
            <w:r w:rsidRPr="00F80490">
              <w:rPr>
                <w:b/>
                <w:bCs/>
                <w:lang w:val="en-GB" w:eastAsia="zh-CN"/>
              </w:rPr>
              <w:t>-0.06</w:t>
            </w:r>
          </w:p>
        </w:tc>
        <w:tc>
          <w:tcPr>
            <w:tcW w:w="399" w:type="pct"/>
            <w:gridSpan w:val="2"/>
            <w:tcBorders>
              <w:top w:val="nil"/>
              <w:left w:val="nil"/>
              <w:bottom w:val="nil"/>
              <w:right w:val="nil"/>
            </w:tcBorders>
            <w:shd w:val="clear" w:color="auto" w:fill="auto"/>
            <w:noWrap/>
            <w:vAlign w:val="center"/>
            <w:hideMark/>
          </w:tcPr>
          <w:p w14:paraId="3C084CA2" w14:textId="77777777" w:rsidR="00735ADD" w:rsidRPr="00F80490" w:rsidRDefault="00735ADD" w:rsidP="00F80490">
            <w:pPr>
              <w:pStyle w:val="TableText"/>
              <w:jc w:val="right"/>
              <w:rPr>
                <w:b/>
                <w:bCs/>
                <w:lang w:val="en-GB" w:eastAsia="zh-CN"/>
              </w:rPr>
            </w:pPr>
            <w:r w:rsidRPr="00F80490">
              <w:rPr>
                <w:b/>
                <w:bCs/>
                <w:lang w:val="en-GB" w:eastAsia="zh-CN"/>
              </w:rPr>
              <w:t>-0.09</w:t>
            </w:r>
          </w:p>
        </w:tc>
        <w:tc>
          <w:tcPr>
            <w:tcW w:w="399" w:type="pct"/>
            <w:tcBorders>
              <w:top w:val="nil"/>
              <w:left w:val="nil"/>
              <w:bottom w:val="nil"/>
              <w:right w:val="nil"/>
            </w:tcBorders>
            <w:shd w:val="clear" w:color="auto" w:fill="auto"/>
            <w:noWrap/>
            <w:vAlign w:val="center"/>
            <w:hideMark/>
          </w:tcPr>
          <w:p w14:paraId="2570C875" w14:textId="77777777" w:rsidR="00735ADD" w:rsidRPr="00F80490" w:rsidRDefault="00735ADD" w:rsidP="00F80490">
            <w:pPr>
              <w:pStyle w:val="TableText"/>
              <w:jc w:val="right"/>
              <w:rPr>
                <w:b/>
                <w:bCs/>
                <w:lang w:val="en-GB" w:eastAsia="zh-CN"/>
              </w:rPr>
            </w:pPr>
            <w:r w:rsidRPr="00F80490">
              <w:rPr>
                <w:b/>
                <w:bCs/>
                <w:lang w:val="en-GB" w:eastAsia="zh-CN"/>
              </w:rPr>
              <w:t>-0.10</w:t>
            </w:r>
          </w:p>
        </w:tc>
        <w:tc>
          <w:tcPr>
            <w:tcW w:w="399" w:type="pct"/>
            <w:gridSpan w:val="2"/>
            <w:tcBorders>
              <w:top w:val="nil"/>
              <w:left w:val="nil"/>
              <w:bottom w:val="nil"/>
              <w:right w:val="nil"/>
            </w:tcBorders>
            <w:shd w:val="clear" w:color="auto" w:fill="auto"/>
            <w:noWrap/>
            <w:vAlign w:val="center"/>
            <w:hideMark/>
          </w:tcPr>
          <w:p w14:paraId="72C6EFAA" w14:textId="77777777" w:rsidR="00735ADD" w:rsidRPr="00E33FEA" w:rsidRDefault="00735ADD" w:rsidP="00F80490">
            <w:pPr>
              <w:pStyle w:val="TableText"/>
              <w:jc w:val="right"/>
              <w:rPr>
                <w:lang w:val="en-GB" w:eastAsia="zh-CN"/>
              </w:rPr>
            </w:pPr>
            <w:r w:rsidRPr="003A6185">
              <w:rPr>
                <w:lang w:val="en-GB" w:eastAsia="zh-CN"/>
              </w:rPr>
              <w:t>1</w:t>
            </w:r>
          </w:p>
        </w:tc>
        <w:tc>
          <w:tcPr>
            <w:tcW w:w="399" w:type="pct"/>
            <w:tcBorders>
              <w:top w:val="nil"/>
              <w:left w:val="nil"/>
              <w:bottom w:val="nil"/>
              <w:right w:val="nil"/>
            </w:tcBorders>
            <w:shd w:val="clear" w:color="auto" w:fill="auto"/>
            <w:noWrap/>
            <w:vAlign w:val="center"/>
            <w:hideMark/>
          </w:tcPr>
          <w:p w14:paraId="54E551AE" w14:textId="77777777" w:rsidR="00735ADD" w:rsidRPr="00F80490" w:rsidRDefault="00735ADD" w:rsidP="00F80490">
            <w:pPr>
              <w:pStyle w:val="TableText"/>
              <w:jc w:val="right"/>
              <w:rPr>
                <w:b/>
                <w:bCs/>
                <w:lang w:val="en-GB" w:eastAsia="zh-CN"/>
              </w:rPr>
            </w:pPr>
          </w:p>
        </w:tc>
        <w:tc>
          <w:tcPr>
            <w:tcW w:w="399" w:type="pct"/>
            <w:gridSpan w:val="2"/>
            <w:tcBorders>
              <w:top w:val="nil"/>
              <w:left w:val="nil"/>
              <w:bottom w:val="nil"/>
              <w:right w:val="nil"/>
            </w:tcBorders>
            <w:shd w:val="clear" w:color="auto" w:fill="auto"/>
            <w:noWrap/>
            <w:vAlign w:val="center"/>
            <w:hideMark/>
          </w:tcPr>
          <w:p w14:paraId="7C7B630A" w14:textId="77777777" w:rsidR="00735ADD" w:rsidRPr="00F80490" w:rsidRDefault="00735ADD" w:rsidP="00F80490">
            <w:pPr>
              <w:pStyle w:val="TableText"/>
              <w:jc w:val="right"/>
              <w:rPr>
                <w:b/>
                <w:bCs/>
                <w:lang w:val="en-GB" w:eastAsia="zh-CN"/>
              </w:rPr>
            </w:pPr>
          </w:p>
        </w:tc>
        <w:tc>
          <w:tcPr>
            <w:tcW w:w="399" w:type="pct"/>
            <w:tcBorders>
              <w:top w:val="nil"/>
              <w:left w:val="nil"/>
              <w:bottom w:val="nil"/>
              <w:right w:val="nil"/>
            </w:tcBorders>
            <w:shd w:val="clear" w:color="auto" w:fill="auto"/>
            <w:noWrap/>
            <w:vAlign w:val="center"/>
            <w:hideMark/>
          </w:tcPr>
          <w:p w14:paraId="249366E1" w14:textId="77777777" w:rsidR="00735ADD" w:rsidRPr="00F80490" w:rsidRDefault="00735ADD" w:rsidP="00F80490">
            <w:pPr>
              <w:pStyle w:val="TableText"/>
              <w:jc w:val="right"/>
              <w:rPr>
                <w:b/>
                <w:bCs/>
                <w:lang w:val="en-GB" w:eastAsia="zh-CN"/>
              </w:rPr>
            </w:pPr>
          </w:p>
        </w:tc>
        <w:tc>
          <w:tcPr>
            <w:tcW w:w="399" w:type="pct"/>
            <w:tcBorders>
              <w:top w:val="nil"/>
              <w:left w:val="nil"/>
              <w:bottom w:val="nil"/>
              <w:right w:val="nil"/>
            </w:tcBorders>
            <w:shd w:val="clear" w:color="auto" w:fill="auto"/>
            <w:noWrap/>
            <w:vAlign w:val="center"/>
            <w:hideMark/>
          </w:tcPr>
          <w:p w14:paraId="45DE7D1C" w14:textId="77777777" w:rsidR="00735ADD" w:rsidRPr="00F80490" w:rsidRDefault="00735ADD" w:rsidP="00F80490">
            <w:pPr>
              <w:pStyle w:val="TableText"/>
              <w:jc w:val="right"/>
              <w:rPr>
                <w:b/>
                <w:bCs/>
                <w:lang w:val="en-GB" w:eastAsia="zh-CN"/>
              </w:rPr>
            </w:pPr>
          </w:p>
        </w:tc>
        <w:tc>
          <w:tcPr>
            <w:tcW w:w="399" w:type="pct"/>
            <w:gridSpan w:val="2"/>
            <w:tcBorders>
              <w:top w:val="nil"/>
              <w:left w:val="nil"/>
              <w:bottom w:val="nil"/>
              <w:right w:val="nil"/>
            </w:tcBorders>
            <w:shd w:val="clear" w:color="auto" w:fill="auto"/>
            <w:noWrap/>
            <w:vAlign w:val="center"/>
            <w:hideMark/>
          </w:tcPr>
          <w:p w14:paraId="03727DEE" w14:textId="77777777" w:rsidR="00735ADD" w:rsidRPr="00F80490" w:rsidRDefault="00735ADD" w:rsidP="00F80490">
            <w:pPr>
              <w:pStyle w:val="TableText"/>
              <w:jc w:val="right"/>
              <w:rPr>
                <w:b/>
                <w:bCs/>
                <w:lang w:val="en-GB" w:eastAsia="zh-CN"/>
              </w:rPr>
            </w:pPr>
          </w:p>
        </w:tc>
        <w:tc>
          <w:tcPr>
            <w:tcW w:w="399" w:type="pct"/>
            <w:tcBorders>
              <w:top w:val="nil"/>
              <w:left w:val="nil"/>
              <w:bottom w:val="nil"/>
              <w:right w:val="nil"/>
            </w:tcBorders>
            <w:shd w:val="clear" w:color="auto" w:fill="auto"/>
            <w:noWrap/>
            <w:vAlign w:val="center"/>
            <w:hideMark/>
          </w:tcPr>
          <w:p w14:paraId="5A55D65F" w14:textId="77777777" w:rsidR="00735ADD" w:rsidRPr="00F80490" w:rsidRDefault="00735ADD" w:rsidP="00F80490">
            <w:pPr>
              <w:pStyle w:val="TableText"/>
              <w:jc w:val="right"/>
              <w:rPr>
                <w:b/>
                <w:bCs/>
                <w:lang w:val="en-GB" w:eastAsia="zh-CN"/>
              </w:rPr>
            </w:pPr>
          </w:p>
        </w:tc>
        <w:tc>
          <w:tcPr>
            <w:tcW w:w="404" w:type="pct"/>
            <w:tcBorders>
              <w:top w:val="nil"/>
              <w:left w:val="nil"/>
              <w:bottom w:val="nil"/>
              <w:right w:val="nil"/>
            </w:tcBorders>
            <w:shd w:val="clear" w:color="auto" w:fill="auto"/>
            <w:noWrap/>
            <w:vAlign w:val="center"/>
            <w:hideMark/>
          </w:tcPr>
          <w:p w14:paraId="2A0DDC38" w14:textId="77777777" w:rsidR="00735ADD" w:rsidRPr="00F80490" w:rsidRDefault="00735ADD" w:rsidP="00F80490">
            <w:pPr>
              <w:pStyle w:val="TableText"/>
              <w:jc w:val="right"/>
              <w:rPr>
                <w:b/>
                <w:bCs/>
                <w:lang w:val="en-GB" w:eastAsia="zh-CN"/>
              </w:rPr>
            </w:pPr>
          </w:p>
        </w:tc>
      </w:tr>
      <w:tr w:rsidR="00735ADD" w:rsidRPr="007A03D3" w14:paraId="115327EB" w14:textId="77777777" w:rsidTr="00746312">
        <w:trPr>
          <w:trHeight w:val="315"/>
        </w:trPr>
        <w:tc>
          <w:tcPr>
            <w:tcW w:w="606" w:type="pct"/>
            <w:tcBorders>
              <w:top w:val="nil"/>
              <w:left w:val="nil"/>
              <w:bottom w:val="nil"/>
              <w:right w:val="nil"/>
            </w:tcBorders>
            <w:shd w:val="clear" w:color="auto" w:fill="auto"/>
            <w:noWrap/>
            <w:vAlign w:val="center"/>
            <w:hideMark/>
          </w:tcPr>
          <w:p w14:paraId="7C7E280E" w14:textId="256BFA74" w:rsidR="00735ADD" w:rsidRPr="007A03D3" w:rsidRDefault="00785907" w:rsidP="00F80490">
            <w:pPr>
              <w:pStyle w:val="TableText"/>
              <w:rPr>
                <w:rFonts w:eastAsia="Times New Roman"/>
                <w:color w:val="000000"/>
                <w:lang w:val="en-GB" w:eastAsia="zh-CN"/>
              </w:rPr>
            </w:pPr>
            <m:oMathPara>
              <m:oMathParaPr>
                <m:jc m:val="left"/>
              </m:oMathParaPr>
              <m:oMath>
                <m:r>
                  <m:rPr>
                    <m:sty m:val="p"/>
                  </m:rPr>
                  <w:rPr>
                    <w:rFonts w:ascii="Cambria Math" w:hAnsi="Cambria Math"/>
                  </w:rPr>
                  <m:t>∆</m:t>
                </m:r>
                <m:r>
                  <w:rPr>
                    <w:rFonts w:ascii="Cambria Math" w:hAnsi="Cambria Math"/>
                  </w:rPr>
                  <m:t>TURNOVER</m:t>
                </m:r>
              </m:oMath>
            </m:oMathPara>
          </w:p>
        </w:tc>
        <w:tc>
          <w:tcPr>
            <w:tcW w:w="399" w:type="pct"/>
            <w:tcBorders>
              <w:top w:val="nil"/>
              <w:left w:val="nil"/>
              <w:bottom w:val="nil"/>
              <w:right w:val="nil"/>
            </w:tcBorders>
            <w:shd w:val="clear" w:color="auto" w:fill="auto"/>
            <w:noWrap/>
            <w:vAlign w:val="center"/>
            <w:hideMark/>
          </w:tcPr>
          <w:p w14:paraId="0ED396CD" w14:textId="77777777" w:rsidR="00735ADD" w:rsidRPr="00E33FEA" w:rsidRDefault="00735ADD" w:rsidP="00F80490">
            <w:pPr>
              <w:pStyle w:val="TableText"/>
              <w:jc w:val="right"/>
              <w:rPr>
                <w:lang w:val="en-GB" w:eastAsia="zh-CN"/>
              </w:rPr>
            </w:pPr>
            <w:r w:rsidRPr="003A6185">
              <w:rPr>
                <w:lang w:val="en-GB" w:eastAsia="zh-CN"/>
              </w:rPr>
              <w:t>0.01</w:t>
            </w:r>
          </w:p>
        </w:tc>
        <w:tc>
          <w:tcPr>
            <w:tcW w:w="399" w:type="pct"/>
            <w:gridSpan w:val="2"/>
            <w:tcBorders>
              <w:top w:val="nil"/>
              <w:left w:val="nil"/>
              <w:bottom w:val="nil"/>
              <w:right w:val="nil"/>
            </w:tcBorders>
            <w:shd w:val="clear" w:color="auto" w:fill="auto"/>
            <w:noWrap/>
            <w:vAlign w:val="center"/>
            <w:hideMark/>
          </w:tcPr>
          <w:p w14:paraId="664CF7BC" w14:textId="77777777" w:rsidR="00735ADD" w:rsidRPr="00F80490" w:rsidRDefault="00735ADD" w:rsidP="00F80490">
            <w:pPr>
              <w:pStyle w:val="TableText"/>
              <w:jc w:val="right"/>
              <w:rPr>
                <w:b/>
                <w:bCs/>
                <w:lang w:val="en-GB" w:eastAsia="zh-CN"/>
              </w:rPr>
            </w:pPr>
            <w:r w:rsidRPr="00F80490">
              <w:rPr>
                <w:b/>
                <w:bCs/>
                <w:lang w:val="en-GB" w:eastAsia="zh-CN"/>
              </w:rPr>
              <w:t>0.05</w:t>
            </w:r>
          </w:p>
        </w:tc>
        <w:tc>
          <w:tcPr>
            <w:tcW w:w="399" w:type="pct"/>
            <w:tcBorders>
              <w:top w:val="nil"/>
              <w:left w:val="nil"/>
              <w:bottom w:val="nil"/>
              <w:right w:val="nil"/>
            </w:tcBorders>
            <w:shd w:val="clear" w:color="auto" w:fill="auto"/>
            <w:noWrap/>
            <w:vAlign w:val="center"/>
            <w:hideMark/>
          </w:tcPr>
          <w:p w14:paraId="31C8C928" w14:textId="77777777" w:rsidR="00735ADD" w:rsidRPr="00F80490" w:rsidRDefault="00735ADD" w:rsidP="00F80490">
            <w:pPr>
              <w:pStyle w:val="TableText"/>
              <w:jc w:val="right"/>
              <w:rPr>
                <w:b/>
                <w:bCs/>
                <w:lang w:val="en-GB" w:eastAsia="zh-CN"/>
              </w:rPr>
            </w:pPr>
            <w:r w:rsidRPr="00F80490">
              <w:rPr>
                <w:b/>
                <w:bCs/>
                <w:lang w:val="en-GB" w:eastAsia="zh-CN"/>
              </w:rPr>
              <w:t>0.05</w:t>
            </w:r>
          </w:p>
        </w:tc>
        <w:tc>
          <w:tcPr>
            <w:tcW w:w="399" w:type="pct"/>
            <w:gridSpan w:val="2"/>
            <w:tcBorders>
              <w:top w:val="nil"/>
              <w:left w:val="nil"/>
              <w:bottom w:val="nil"/>
              <w:right w:val="nil"/>
            </w:tcBorders>
            <w:shd w:val="clear" w:color="auto" w:fill="auto"/>
            <w:noWrap/>
            <w:vAlign w:val="center"/>
            <w:hideMark/>
          </w:tcPr>
          <w:p w14:paraId="7ED9BF8C" w14:textId="77777777" w:rsidR="00735ADD" w:rsidRPr="00F80490" w:rsidRDefault="00735ADD" w:rsidP="00F80490">
            <w:pPr>
              <w:pStyle w:val="TableText"/>
              <w:jc w:val="right"/>
              <w:rPr>
                <w:b/>
                <w:bCs/>
                <w:lang w:val="en-GB" w:eastAsia="zh-CN"/>
              </w:rPr>
            </w:pPr>
            <w:r w:rsidRPr="00F80490">
              <w:rPr>
                <w:b/>
                <w:bCs/>
                <w:lang w:val="en-GB" w:eastAsia="zh-CN"/>
              </w:rPr>
              <w:t>-0.03</w:t>
            </w:r>
          </w:p>
        </w:tc>
        <w:tc>
          <w:tcPr>
            <w:tcW w:w="399" w:type="pct"/>
            <w:tcBorders>
              <w:top w:val="nil"/>
              <w:left w:val="nil"/>
              <w:bottom w:val="nil"/>
              <w:right w:val="nil"/>
            </w:tcBorders>
            <w:shd w:val="clear" w:color="auto" w:fill="auto"/>
            <w:noWrap/>
            <w:vAlign w:val="center"/>
            <w:hideMark/>
          </w:tcPr>
          <w:p w14:paraId="02964AA9" w14:textId="77777777" w:rsidR="00735ADD" w:rsidRPr="00E33FEA" w:rsidRDefault="00735ADD" w:rsidP="00F80490">
            <w:pPr>
              <w:pStyle w:val="TableText"/>
              <w:jc w:val="right"/>
              <w:rPr>
                <w:lang w:val="en-GB" w:eastAsia="zh-CN"/>
              </w:rPr>
            </w:pPr>
            <w:r w:rsidRPr="003A6185">
              <w:rPr>
                <w:lang w:val="en-GB" w:eastAsia="zh-CN"/>
              </w:rPr>
              <w:t>1</w:t>
            </w:r>
          </w:p>
        </w:tc>
        <w:tc>
          <w:tcPr>
            <w:tcW w:w="399" w:type="pct"/>
            <w:gridSpan w:val="2"/>
            <w:tcBorders>
              <w:top w:val="nil"/>
              <w:left w:val="nil"/>
              <w:bottom w:val="nil"/>
              <w:right w:val="nil"/>
            </w:tcBorders>
            <w:shd w:val="clear" w:color="auto" w:fill="auto"/>
            <w:noWrap/>
            <w:vAlign w:val="center"/>
            <w:hideMark/>
          </w:tcPr>
          <w:p w14:paraId="5ABADEFA" w14:textId="77777777" w:rsidR="00735ADD" w:rsidRPr="00F80490" w:rsidRDefault="00735ADD" w:rsidP="00F80490">
            <w:pPr>
              <w:pStyle w:val="TableText"/>
              <w:jc w:val="right"/>
              <w:rPr>
                <w:b/>
                <w:bCs/>
                <w:lang w:val="en-GB" w:eastAsia="zh-CN"/>
              </w:rPr>
            </w:pPr>
          </w:p>
        </w:tc>
        <w:tc>
          <w:tcPr>
            <w:tcW w:w="399" w:type="pct"/>
            <w:tcBorders>
              <w:top w:val="nil"/>
              <w:left w:val="nil"/>
              <w:bottom w:val="nil"/>
              <w:right w:val="nil"/>
            </w:tcBorders>
            <w:shd w:val="clear" w:color="auto" w:fill="auto"/>
            <w:noWrap/>
            <w:vAlign w:val="center"/>
            <w:hideMark/>
          </w:tcPr>
          <w:p w14:paraId="4E0915C2" w14:textId="77777777" w:rsidR="00735ADD" w:rsidRPr="00F80490" w:rsidRDefault="00735ADD" w:rsidP="00F80490">
            <w:pPr>
              <w:pStyle w:val="TableText"/>
              <w:jc w:val="right"/>
              <w:rPr>
                <w:b/>
                <w:bCs/>
                <w:lang w:val="en-GB" w:eastAsia="zh-CN"/>
              </w:rPr>
            </w:pPr>
          </w:p>
        </w:tc>
        <w:tc>
          <w:tcPr>
            <w:tcW w:w="399" w:type="pct"/>
            <w:tcBorders>
              <w:top w:val="nil"/>
              <w:left w:val="nil"/>
              <w:bottom w:val="nil"/>
              <w:right w:val="nil"/>
            </w:tcBorders>
            <w:shd w:val="clear" w:color="auto" w:fill="auto"/>
            <w:noWrap/>
            <w:vAlign w:val="center"/>
            <w:hideMark/>
          </w:tcPr>
          <w:p w14:paraId="4D948466" w14:textId="77777777" w:rsidR="00735ADD" w:rsidRPr="00F80490" w:rsidRDefault="00735ADD" w:rsidP="00F80490">
            <w:pPr>
              <w:pStyle w:val="TableText"/>
              <w:jc w:val="right"/>
              <w:rPr>
                <w:b/>
                <w:bCs/>
                <w:lang w:val="en-GB" w:eastAsia="zh-CN"/>
              </w:rPr>
            </w:pPr>
          </w:p>
        </w:tc>
        <w:tc>
          <w:tcPr>
            <w:tcW w:w="399" w:type="pct"/>
            <w:gridSpan w:val="2"/>
            <w:tcBorders>
              <w:top w:val="nil"/>
              <w:left w:val="nil"/>
              <w:bottom w:val="nil"/>
              <w:right w:val="nil"/>
            </w:tcBorders>
            <w:shd w:val="clear" w:color="auto" w:fill="auto"/>
            <w:noWrap/>
            <w:vAlign w:val="center"/>
            <w:hideMark/>
          </w:tcPr>
          <w:p w14:paraId="55A81D7D" w14:textId="77777777" w:rsidR="00735ADD" w:rsidRPr="00F80490" w:rsidRDefault="00735ADD" w:rsidP="00F80490">
            <w:pPr>
              <w:pStyle w:val="TableText"/>
              <w:jc w:val="right"/>
              <w:rPr>
                <w:b/>
                <w:bCs/>
                <w:lang w:val="en-GB" w:eastAsia="zh-CN"/>
              </w:rPr>
            </w:pPr>
          </w:p>
        </w:tc>
        <w:tc>
          <w:tcPr>
            <w:tcW w:w="399" w:type="pct"/>
            <w:tcBorders>
              <w:top w:val="nil"/>
              <w:left w:val="nil"/>
              <w:bottom w:val="nil"/>
              <w:right w:val="nil"/>
            </w:tcBorders>
            <w:shd w:val="clear" w:color="auto" w:fill="auto"/>
            <w:noWrap/>
            <w:vAlign w:val="center"/>
            <w:hideMark/>
          </w:tcPr>
          <w:p w14:paraId="2D80157C" w14:textId="77777777" w:rsidR="00735ADD" w:rsidRPr="00F80490" w:rsidRDefault="00735ADD" w:rsidP="00F80490">
            <w:pPr>
              <w:pStyle w:val="TableText"/>
              <w:jc w:val="right"/>
              <w:rPr>
                <w:b/>
                <w:bCs/>
                <w:lang w:val="en-GB" w:eastAsia="zh-CN"/>
              </w:rPr>
            </w:pPr>
          </w:p>
        </w:tc>
        <w:tc>
          <w:tcPr>
            <w:tcW w:w="404" w:type="pct"/>
            <w:tcBorders>
              <w:top w:val="nil"/>
              <w:left w:val="nil"/>
              <w:bottom w:val="nil"/>
              <w:right w:val="nil"/>
            </w:tcBorders>
            <w:shd w:val="clear" w:color="auto" w:fill="auto"/>
            <w:noWrap/>
            <w:vAlign w:val="center"/>
            <w:hideMark/>
          </w:tcPr>
          <w:p w14:paraId="25C4FE0E" w14:textId="77777777" w:rsidR="00735ADD" w:rsidRPr="00F80490" w:rsidRDefault="00735ADD" w:rsidP="00F80490">
            <w:pPr>
              <w:pStyle w:val="TableText"/>
              <w:jc w:val="right"/>
              <w:rPr>
                <w:b/>
                <w:bCs/>
                <w:lang w:val="en-GB" w:eastAsia="zh-CN"/>
              </w:rPr>
            </w:pPr>
          </w:p>
        </w:tc>
      </w:tr>
      <w:tr w:rsidR="00735ADD" w:rsidRPr="007A03D3" w14:paraId="635F9917" w14:textId="77777777" w:rsidTr="00746312">
        <w:trPr>
          <w:trHeight w:val="315"/>
        </w:trPr>
        <w:tc>
          <w:tcPr>
            <w:tcW w:w="606" w:type="pct"/>
            <w:tcBorders>
              <w:top w:val="nil"/>
              <w:left w:val="nil"/>
              <w:bottom w:val="nil"/>
              <w:right w:val="nil"/>
            </w:tcBorders>
            <w:shd w:val="clear" w:color="auto" w:fill="auto"/>
            <w:noWrap/>
            <w:vAlign w:val="center"/>
            <w:hideMark/>
          </w:tcPr>
          <w:p w14:paraId="3E2F2B20" w14:textId="0DE50EEA" w:rsidR="00735ADD" w:rsidRPr="007A03D3" w:rsidRDefault="00785907" w:rsidP="00F80490">
            <w:pPr>
              <w:pStyle w:val="TableText"/>
              <w:rPr>
                <w:rFonts w:eastAsia="Times New Roman"/>
                <w:color w:val="000000"/>
                <w:lang w:val="en-GB" w:eastAsia="zh-CN"/>
              </w:rPr>
            </w:pPr>
            <m:oMathPara>
              <m:oMathParaPr>
                <m:jc m:val="left"/>
              </m:oMathParaPr>
              <m:oMath>
                <m:r>
                  <w:rPr>
                    <w:rFonts w:ascii="Cambria Math" w:hAnsi="Cambria Math"/>
                  </w:rPr>
                  <m:t>STDFSRET</m:t>
                </m:r>
              </m:oMath>
            </m:oMathPara>
          </w:p>
        </w:tc>
        <w:tc>
          <w:tcPr>
            <w:tcW w:w="399" w:type="pct"/>
            <w:tcBorders>
              <w:top w:val="nil"/>
              <w:left w:val="nil"/>
              <w:bottom w:val="nil"/>
              <w:right w:val="nil"/>
            </w:tcBorders>
            <w:shd w:val="clear" w:color="auto" w:fill="auto"/>
            <w:noWrap/>
            <w:vAlign w:val="center"/>
            <w:hideMark/>
          </w:tcPr>
          <w:p w14:paraId="329652C7" w14:textId="77777777" w:rsidR="00735ADD" w:rsidRPr="00E33FEA" w:rsidRDefault="00735ADD" w:rsidP="00F80490">
            <w:pPr>
              <w:pStyle w:val="TableText"/>
              <w:jc w:val="right"/>
              <w:rPr>
                <w:lang w:val="en-GB" w:eastAsia="zh-CN"/>
              </w:rPr>
            </w:pPr>
            <w:r w:rsidRPr="003A6185">
              <w:rPr>
                <w:lang w:val="en-GB" w:eastAsia="zh-CN"/>
              </w:rPr>
              <w:t>-0.02</w:t>
            </w:r>
          </w:p>
        </w:tc>
        <w:tc>
          <w:tcPr>
            <w:tcW w:w="399" w:type="pct"/>
            <w:gridSpan w:val="2"/>
            <w:tcBorders>
              <w:top w:val="nil"/>
              <w:left w:val="nil"/>
              <w:bottom w:val="nil"/>
              <w:right w:val="nil"/>
            </w:tcBorders>
            <w:shd w:val="clear" w:color="auto" w:fill="auto"/>
            <w:noWrap/>
            <w:vAlign w:val="center"/>
            <w:hideMark/>
          </w:tcPr>
          <w:p w14:paraId="4BF26233" w14:textId="77777777" w:rsidR="00735ADD" w:rsidRPr="00F80490" w:rsidRDefault="00735ADD" w:rsidP="00F80490">
            <w:pPr>
              <w:pStyle w:val="TableText"/>
              <w:jc w:val="right"/>
              <w:rPr>
                <w:b/>
                <w:bCs/>
                <w:lang w:val="en-GB" w:eastAsia="zh-CN"/>
              </w:rPr>
            </w:pPr>
            <w:r w:rsidRPr="00F80490">
              <w:rPr>
                <w:b/>
                <w:bCs/>
                <w:lang w:val="en-GB" w:eastAsia="zh-CN"/>
              </w:rPr>
              <w:t>0.05</w:t>
            </w:r>
          </w:p>
        </w:tc>
        <w:tc>
          <w:tcPr>
            <w:tcW w:w="399" w:type="pct"/>
            <w:tcBorders>
              <w:top w:val="nil"/>
              <w:left w:val="nil"/>
              <w:bottom w:val="nil"/>
              <w:right w:val="nil"/>
            </w:tcBorders>
            <w:shd w:val="clear" w:color="auto" w:fill="auto"/>
            <w:noWrap/>
            <w:vAlign w:val="center"/>
            <w:hideMark/>
          </w:tcPr>
          <w:p w14:paraId="2CAE2A6D" w14:textId="77777777" w:rsidR="00735ADD" w:rsidRPr="00F80490" w:rsidRDefault="00735ADD" w:rsidP="00F80490">
            <w:pPr>
              <w:pStyle w:val="TableText"/>
              <w:jc w:val="right"/>
              <w:rPr>
                <w:b/>
                <w:bCs/>
                <w:lang w:val="en-GB" w:eastAsia="zh-CN"/>
              </w:rPr>
            </w:pPr>
            <w:r w:rsidRPr="00F80490">
              <w:rPr>
                <w:b/>
                <w:bCs/>
                <w:lang w:val="en-GB" w:eastAsia="zh-CN"/>
              </w:rPr>
              <w:t>0.05</w:t>
            </w:r>
          </w:p>
        </w:tc>
        <w:tc>
          <w:tcPr>
            <w:tcW w:w="399" w:type="pct"/>
            <w:gridSpan w:val="2"/>
            <w:tcBorders>
              <w:top w:val="nil"/>
              <w:left w:val="nil"/>
              <w:bottom w:val="nil"/>
              <w:right w:val="nil"/>
            </w:tcBorders>
            <w:shd w:val="clear" w:color="auto" w:fill="auto"/>
            <w:noWrap/>
            <w:vAlign w:val="center"/>
            <w:hideMark/>
          </w:tcPr>
          <w:p w14:paraId="309E60A7" w14:textId="77777777" w:rsidR="00735ADD" w:rsidRPr="00F80490" w:rsidRDefault="00735ADD" w:rsidP="00F80490">
            <w:pPr>
              <w:pStyle w:val="TableText"/>
              <w:jc w:val="right"/>
              <w:rPr>
                <w:b/>
                <w:bCs/>
                <w:lang w:val="en-GB" w:eastAsia="zh-CN"/>
              </w:rPr>
            </w:pPr>
            <w:r w:rsidRPr="00F80490">
              <w:rPr>
                <w:b/>
                <w:bCs/>
                <w:lang w:val="en-GB" w:eastAsia="zh-CN"/>
              </w:rPr>
              <w:t>-0.13</w:t>
            </w:r>
          </w:p>
        </w:tc>
        <w:tc>
          <w:tcPr>
            <w:tcW w:w="399" w:type="pct"/>
            <w:tcBorders>
              <w:top w:val="nil"/>
              <w:left w:val="nil"/>
              <w:bottom w:val="nil"/>
              <w:right w:val="nil"/>
            </w:tcBorders>
            <w:shd w:val="clear" w:color="auto" w:fill="auto"/>
            <w:noWrap/>
            <w:vAlign w:val="center"/>
            <w:hideMark/>
          </w:tcPr>
          <w:p w14:paraId="46EEC454" w14:textId="77777777" w:rsidR="00735ADD" w:rsidRPr="00F80490" w:rsidRDefault="00735ADD" w:rsidP="00F80490">
            <w:pPr>
              <w:pStyle w:val="TableText"/>
              <w:jc w:val="right"/>
              <w:rPr>
                <w:b/>
                <w:bCs/>
                <w:lang w:val="en-GB" w:eastAsia="zh-CN"/>
              </w:rPr>
            </w:pPr>
            <w:r w:rsidRPr="00F80490">
              <w:rPr>
                <w:b/>
                <w:bCs/>
                <w:lang w:val="en-GB" w:eastAsia="zh-CN"/>
              </w:rPr>
              <w:t>0.22</w:t>
            </w:r>
          </w:p>
        </w:tc>
        <w:tc>
          <w:tcPr>
            <w:tcW w:w="399" w:type="pct"/>
            <w:gridSpan w:val="2"/>
            <w:tcBorders>
              <w:top w:val="nil"/>
              <w:left w:val="nil"/>
              <w:bottom w:val="nil"/>
              <w:right w:val="nil"/>
            </w:tcBorders>
            <w:shd w:val="clear" w:color="auto" w:fill="auto"/>
            <w:noWrap/>
            <w:vAlign w:val="center"/>
            <w:hideMark/>
          </w:tcPr>
          <w:p w14:paraId="50EEA64D" w14:textId="77777777" w:rsidR="00735ADD" w:rsidRPr="00E33FEA" w:rsidRDefault="00735ADD" w:rsidP="00F80490">
            <w:pPr>
              <w:pStyle w:val="TableText"/>
              <w:jc w:val="right"/>
              <w:rPr>
                <w:lang w:val="en-GB" w:eastAsia="zh-CN"/>
              </w:rPr>
            </w:pPr>
            <w:r w:rsidRPr="003A6185">
              <w:rPr>
                <w:lang w:val="en-GB" w:eastAsia="zh-CN"/>
              </w:rPr>
              <w:t>1</w:t>
            </w:r>
          </w:p>
        </w:tc>
        <w:tc>
          <w:tcPr>
            <w:tcW w:w="399" w:type="pct"/>
            <w:tcBorders>
              <w:top w:val="nil"/>
              <w:left w:val="nil"/>
              <w:bottom w:val="nil"/>
              <w:right w:val="nil"/>
            </w:tcBorders>
            <w:shd w:val="clear" w:color="auto" w:fill="auto"/>
            <w:noWrap/>
            <w:vAlign w:val="center"/>
            <w:hideMark/>
          </w:tcPr>
          <w:p w14:paraId="6E6EC55E" w14:textId="77777777" w:rsidR="00735ADD" w:rsidRPr="00F80490" w:rsidRDefault="00735ADD" w:rsidP="00F80490">
            <w:pPr>
              <w:pStyle w:val="TableText"/>
              <w:jc w:val="right"/>
              <w:rPr>
                <w:b/>
                <w:bCs/>
                <w:lang w:val="en-GB" w:eastAsia="zh-CN"/>
              </w:rPr>
            </w:pPr>
          </w:p>
        </w:tc>
        <w:tc>
          <w:tcPr>
            <w:tcW w:w="399" w:type="pct"/>
            <w:tcBorders>
              <w:top w:val="nil"/>
              <w:left w:val="nil"/>
              <w:bottom w:val="nil"/>
              <w:right w:val="nil"/>
            </w:tcBorders>
            <w:shd w:val="clear" w:color="auto" w:fill="auto"/>
            <w:noWrap/>
            <w:vAlign w:val="center"/>
            <w:hideMark/>
          </w:tcPr>
          <w:p w14:paraId="2A96887B" w14:textId="77777777" w:rsidR="00735ADD" w:rsidRPr="00F80490" w:rsidRDefault="00735ADD" w:rsidP="00F80490">
            <w:pPr>
              <w:pStyle w:val="TableText"/>
              <w:jc w:val="right"/>
              <w:rPr>
                <w:b/>
                <w:bCs/>
                <w:lang w:val="en-GB" w:eastAsia="zh-CN"/>
              </w:rPr>
            </w:pPr>
          </w:p>
        </w:tc>
        <w:tc>
          <w:tcPr>
            <w:tcW w:w="399" w:type="pct"/>
            <w:gridSpan w:val="2"/>
            <w:tcBorders>
              <w:top w:val="nil"/>
              <w:left w:val="nil"/>
              <w:bottom w:val="nil"/>
              <w:right w:val="nil"/>
            </w:tcBorders>
            <w:shd w:val="clear" w:color="auto" w:fill="auto"/>
            <w:noWrap/>
            <w:vAlign w:val="center"/>
            <w:hideMark/>
          </w:tcPr>
          <w:p w14:paraId="6BFEAEB9" w14:textId="77777777" w:rsidR="00735ADD" w:rsidRPr="00F80490" w:rsidRDefault="00735ADD" w:rsidP="00F80490">
            <w:pPr>
              <w:pStyle w:val="TableText"/>
              <w:jc w:val="right"/>
              <w:rPr>
                <w:b/>
                <w:bCs/>
                <w:lang w:val="en-GB" w:eastAsia="zh-CN"/>
              </w:rPr>
            </w:pPr>
          </w:p>
        </w:tc>
        <w:tc>
          <w:tcPr>
            <w:tcW w:w="399" w:type="pct"/>
            <w:tcBorders>
              <w:top w:val="nil"/>
              <w:left w:val="nil"/>
              <w:bottom w:val="nil"/>
              <w:right w:val="nil"/>
            </w:tcBorders>
            <w:shd w:val="clear" w:color="auto" w:fill="auto"/>
            <w:noWrap/>
            <w:vAlign w:val="center"/>
            <w:hideMark/>
          </w:tcPr>
          <w:p w14:paraId="2481D975" w14:textId="77777777" w:rsidR="00735ADD" w:rsidRPr="00F80490" w:rsidRDefault="00735ADD" w:rsidP="00F80490">
            <w:pPr>
              <w:pStyle w:val="TableText"/>
              <w:jc w:val="right"/>
              <w:rPr>
                <w:b/>
                <w:bCs/>
                <w:lang w:val="en-GB" w:eastAsia="zh-CN"/>
              </w:rPr>
            </w:pPr>
          </w:p>
        </w:tc>
        <w:tc>
          <w:tcPr>
            <w:tcW w:w="404" w:type="pct"/>
            <w:tcBorders>
              <w:top w:val="nil"/>
              <w:left w:val="nil"/>
              <w:bottom w:val="nil"/>
              <w:right w:val="nil"/>
            </w:tcBorders>
            <w:shd w:val="clear" w:color="auto" w:fill="auto"/>
            <w:noWrap/>
            <w:vAlign w:val="center"/>
            <w:hideMark/>
          </w:tcPr>
          <w:p w14:paraId="248026DC" w14:textId="77777777" w:rsidR="00735ADD" w:rsidRPr="00F80490" w:rsidRDefault="00735ADD" w:rsidP="00F80490">
            <w:pPr>
              <w:pStyle w:val="TableText"/>
              <w:jc w:val="right"/>
              <w:rPr>
                <w:b/>
                <w:bCs/>
                <w:lang w:val="en-GB" w:eastAsia="zh-CN"/>
              </w:rPr>
            </w:pPr>
          </w:p>
        </w:tc>
      </w:tr>
      <w:tr w:rsidR="00735ADD" w:rsidRPr="007A03D3" w14:paraId="44C36BEF" w14:textId="77777777" w:rsidTr="00746312">
        <w:trPr>
          <w:trHeight w:val="315"/>
        </w:trPr>
        <w:tc>
          <w:tcPr>
            <w:tcW w:w="606" w:type="pct"/>
            <w:tcBorders>
              <w:top w:val="nil"/>
              <w:left w:val="nil"/>
              <w:bottom w:val="nil"/>
              <w:right w:val="nil"/>
            </w:tcBorders>
            <w:shd w:val="clear" w:color="auto" w:fill="auto"/>
            <w:noWrap/>
            <w:vAlign w:val="center"/>
            <w:hideMark/>
          </w:tcPr>
          <w:p w14:paraId="6580F905" w14:textId="3927907B" w:rsidR="00735ADD" w:rsidRPr="007A03D3" w:rsidRDefault="00785907" w:rsidP="00F80490">
            <w:pPr>
              <w:pStyle w:val="TableText"/>
              <w:rPr>
                <w:rFonts w:eastAsia="Times New Roman"/>
                <w:color w:val="000000"/>
                <w:lang w:val="en-GB" w:eastAsia="zh-CN"/>
              </w:rPr>
            </w:pPr>
            <m:oMathPara>
              <m:oMathParaPr>
                <m:jc m:val="left"/>
              </m:oMathParaPr>
              <m:oMath>
                <m:r>
                  <w:rPr>
                    <w:rFonts w:ascii="Cambria Math" w:hAnsi="Cambria Math"/>
                  </w:rPr>
                  <m:t>MEANFSRET</m:t>
                </m:r>
              </m:oMath>
            </m:oMathPara>
          </w:p>
        </w:tc>
        <w:tc>
          <w:tcPr>
            <w:tcW w:w="399" w:type="pct"/>
            <w:tcBorders>
              <w:top w:val="nil"/>
              <w:left w:val="nil"/>
              <w:bottom w:val="nil"/>
              <w:right w:val="nil"/>
            </w:tcBorders>
            <w:shd w:val="clear" w:color="auto" w:fill="auto"/>
            <w:noWrap/>
            <w:vAlign w:val="center"/>
            <w:hideMark/>
          </w:tcPr>
          <w:p w14:paraId="1FDE23B6" w14:textId="77777777" w:rsidR="00735ADD" w:rsidRPr="00F80490" w:rsidRDefault="00735ADD" w:rsidP="00F80490">
            <w:pPr>
              <w:pStyle w:val="TableText"/>
              <w:jc w:val="right"/>
              <w:rPr>
                <w:b/>
                <w:bCs/>
                <w:lang w:val="en-GB" w:eastAsia="zh-CN"/>
              </w:rPr>
            </w:pPr>
            <w:r w:rsidRPr="00F80490">
              <w:rPr>
                <w:b/>
                <w:bCs/>
                <w:lang w:val="en-GB" w:eastAsia="zh-CN"/>
              </w:rPr>
              <w:t>0.04</w:t>
            </w:r>
          </w:p>
        </w:tc>
        <w:tc>
          <w:tcPr>
            <w:tcW w:w="399" w:type="pct"/>
            <w:gridSpan w:val="2"/>
            <w:tcBorders>
              <w:top w:val="nil"/>
              <w:left w:val="nil"/>
              <w:bottom w:val="nil"/>
              <w:right w:val="nil"/>
            </w:tcBorders>
            <w:shd w:val="clear" w:color="auto" w:fill="auto"/>
            <w:noWrap/>
            <w:vAlign w:val="center"/>
            <w:hideMark/>
          </w:tcPr>
          <w:p w14:paraId="280CD05D" w14:textId="77777777" w:rsidR="00735ADD" w:rsidRPr="00E33FEA" w:rsidRDefault="00735ADD" w:rsidP="00F80490">
            <w:pPr>
              <w:pStyle w:val="TableText"/>
              <w:jc w:val="right"/>
              <w:rPr>
                <w:lang w:val="en-GB" w:eastAsia="zh-CN"/>
              </w:rPr>
            </w:pPr>
            <w:r w:rsidRPr="003A6185">
              <w:rPr>
                <w:lang w:val="en-GB" w:eastAsia="zh-CN"/>
              </w:rPr>
              <w:t>-0.02</w:t>
            </w:r>
          </w:p>
        </w:tc>
        <w:tc>
          <w:tcPr>
            <w:tcW w:w="399" w:type="pct"/>
            <w:tcBorders>
              <w:top w:val="nil"/>
              <w:left w:val="nil"/>
              <w:bottom w:val="nil"/>
              <w:right w:val="nil"/>
            </w:tcBorders>
            <w:shd w:val="clear" w:color="auto" w:fill="auto"/>
            <w:noWrap/>
            <w:vAlign w:val="center"/>
            <w:hideMark/>
          </w:tcPr>
          <w:p w14:paraId="0EA2520F" w14:textId="77777777" w:rsidR="00735ADD" w:rsidRPr="00F80490" w:rsidRDefault="00735ADD" w:rsidP="00F80490">
            <w:pPr>
              <w:pStyle w:val="TableText"/>
              <w:jc w:val="right"/>
              <w:rPr>
                <w:b/>
                <w:bCs/>
                <w:lang w:val="en-GB" w:eastAsia="zh-CN"/>
              </w:rPr>
            </w:pPr>
            <w:r w:rsidRPr="00F80490">
              <w:rPr>
                <w:b/>
                <w:bCs/>
                <w:lang w:val="en-GB" w:eastAsia="zh-CN"/>
              </w:rPr>
              <w:t>-0.03</w:t>
            </w:r>
          </w:p>
        </w:tc>
        <w:tc>
          <w:tcPr>
            <w:tcW w:w="399" w:type="pct"/>
            <w:gridSpan w:val="2"/>
            <w:tcBorders>
              <w:top w:val="nil"/>
              <w:left w:val="nil"/>
              <w:bottom w:val="nil"/>
              <w:right w:val="nil"/>
            </w:tcBorders>
            <w:shd w:val="clear" w:color="auto" w:fill="auto"/>
            <w:noWrap/>
            <w:vAlign w:val="center"/>
            <w:hideMark/>
          </w:tcPr>
          <w:p w14:paraId="0432CDDD" w14:textId="77777777" w:rsidR="00735ADD" w:rsidRPr="00F80490" w:rsidRDefault="00735ADD" w:rsidP="00F80490">
            <w:pPr>
              <w:pStyle w:val="TableText"/>
              <w:jc w:val="right"/>
              <w:rPr>
                <w:b/>
                <w:bCs/>
                <w:lang w:val="en-GB" w:eastAsia="zh-CN"/>
              </w:rPr>
            </w:pPr>
            <w:r w:rsidRPr="00F80490">
              <w:rPr>
                <w:b/>
                <w:bCs/>
                <w:lang w:val="en-GB" w:eastAsia="zh-CN"/>
              </w:rPr>
              <w:t>0.12</w:t>
            </w:r>
          </w:p>
        </w:tc>
        <w:tc>
          <w:tcPr>
            <w:tcW w:w="399" w:type="pct"/>
            <w:tcBorders>
              <w:top w:val="nil"/>
              <w:left w:val="nil"/>
              <w:bottom w:val="nil"/>
              <w:right w:val="nil"/>
            </w:tcBorders>
            <w:shd w:val="clear" w:color="auto" w:fill="auto"/>
            <w:noWrap/>
            <w:vAlign w:val="center"/>
            <w:hideMark/>
          </w:tcPr>
          <w:p w14:paraId="2C10448B" w14:textId="77777777" w:rsidR="00735ADD" w:rsidRPr="00F80490" w:rsidRDefault="00735ADD" w:rsidP="00F80490">
            <w:pPr>
              <w:pStyle w:val="TableText"/>
              <w:jc w:val="right"/>
              <w:rPr>
                <w:b/>
                <w:bCs/>
                <w:lang w:val="en-GB" w:eastAsia="zh-CN"/>
              </w:rPr>
            </w:pPr>
            <w:r w:rsidRPr="00F80490">
              <w:rPr>
                <w:b/>
                <w:bCs/>
                <w:lang w:val="en-GB" w:eastAsia="zh-CN"/>
              </w:rPr>
              <w:t>-0.25</w:t>
            </w:r>
          </w:p>
        </w:tc>
        <w:tc>
          <w:tcPr>
            <w:tcW w:w="399" w:type="pct"/>
            <w:gridSpan w:val="2"/>
            <w:tcBorders>
              <w:top w:val="nil"/>
              <w:left w:val="nil"/>
              <w:bottom w:val="nil"/>
              <w:right w:val="nil"/>
            </w:tcBorders>
            <w:shd w:val="clear" w:color="auto" w:fill="auto"/>
            <w:noWrap/>
            <w:vAlign w:val="center"/>
            <w:hideMark/>
          </w:tcPr>
          <w:p w14:paraId="07225740" w14:textId="77777777" w:rsidR="00735ADD" w:rsidRPr="00F80490" w:rsidRDefault="00735ADD" w:rsidP="00F80490">
            <w:pPr>
              <w:pStyle w:val="TableText"/>
              <w:jc w:val="right"/>
              <w:rPr>
                <w:b/>
                <w:bCs/>
                <w:lang w:val="en-GB" w:eastAsia="zh-CN"/>
              </w:rPr>
            </w:pPr>
            <w:r w:rsidRPr="00F80490">
              <w:rPr>
                <w:b/>
                <w:bCs/>
                <w:lang w:val="en-GB" w:eastAsia="zh-CN"/>
              </w:rPr>
              <w:t>-0.96</w:t>
            </w:r>
          </w:p>
        </w:tc>
        <w:tc>
          <w:tcPr>
            <w:tcW w:w="399" w:type="pct"/>
            <w:tcBorders>
              <w:top w:val="nil"/>
              <w:left w:val="nil"/>
              <w:bottom w:val="nil"/>
              <w:right w:val="nil"/>
            </w:tcBorders>
            <w:shd w:val="clear" w:color="auto" w:fill="auto"/>
            <w:noWrap/>
            <w:vAlign w:val="center"/>
            <w:hideMark/>
          </w:tcPr>
          <w:p w14:paraId="4B79E20E" w14:textId="77777777" w:rsidR="00735ADD" w:rsidRPr="00E33FEA" w:rsidRDefault="00735ADD" w:rsidP="00F80490">
            <w:pPr>
              <w:pStyle w:val="TableText"/>
              <w:jc w:val="right"/>
              <w:rPr>
                <w:lang w:val="en-GB" w:eastAsia="zh-CN"/>
              </w:rPr>
            </w:pPr>
            <w:r w:rsidRPr="003A6185">
              <w:rPr>
                <w:lang w:val="en-GB" w:eastAsia="zh-CN"/>
              </w:rPr>
              <w:t>1</w:t>
            </w:r>
          </w:p>
        </w:tc>
        <w:tc>
          <w:tcPr>
            <w:tcW w:w="399" w:type="pct"/>
            <w:tcBorders>
              <w:top w:val="nil"/>
              <w:left w:val="nil"/>
              <w:bottom w:val="nil"/>
              <w:right w:val="nil"/>
            </w:tcBorders>
            <w:shd w:val="clear" w:color="auto" w:fill="auto"/>
            <w:noWrap/>
            <w:vAlign w:val="center"/>
            <w:hideMark/>
          </w:tcPr>
          <w:p w14:paraId="1DE20895" w14:textId="77777777" w:rsidR="00735ADD" w:rsidRPr="00F80490" w:rsidRDefault="00735ADD" w:rsidP="00F80490">
            <w:pPr>
              <w:pStyle w:val="TableText"/>
              <w:jc w:val="right"/>
              <w:rPr>
                <w:b/>
                <w:bCs/>
                <w:lang w:val="en-GB" w:eastAsia="zh-CN"/>
              </w:rPr>
            </w:pPr>
          </w:p>
        </w:tc>
        <w:tc>
          <w:tcPr>
            <w:tcW w:w="399" w:type="pct"/>
            <w:gridSpan w:val="2"/>
            <w:tcBorders>
              <w:top w:val="nil"/>
              <w:left w:val="nil"/>
              <w:bottom w:val="nil"/>
              <w:right w:val="nil"/>
            </w:tcBorders>
            <w:shd w:val="clear" w:color="auto" w:fill="auto"/>
            <w:noWrap/>
            <w:vAlign w:val="center"/>
            <w:hideMark/>
          </w:tcPr>
          <w:p w14:paraId="036FF946" w14:textId="77777777" w:rsidR="00735ADD" w:rsidRPr="00F80490" w:rsidRDefault="00735ADD" w:rsidP="00F80490">
            <w:pPr>
              <w:pStyle w:val="TableText"/>
              <w:jc w:val="right"/>
              <w:rPr>
                <w:b/>
                <w:bCs/>
                <w:lang w:val="en-GB" w:eastAsia="zh-CN"/>
              </w:rPr>
            </w:pPr>
          </w:p>
        </w:tc>
        <w:tc>
          <w:tcPr>
            <w:tcW w:w="399" w:type="pct"/>
            <w:tcBorders>
              <w:top w:val="nil"/>
              <w:left w:val="nil"/>
              <w:bottom w:val="nil"/>
              <w:right w:val="nil"/>
            </w:tcBorders>
            <w:shd w:val="clear" w:color="auto" w:fill="auto"/>
            <w:noWrap/>
            <w:vAlign w:val="center"/>
            <w:hideMark/>
          </w:tcPr>
          <w:p w14:paraId="79BAAE4B" w14:textId="77777777" w:rsidR="00735ADD" w:rsidRPr="00F80490" w:rsidRDefault="00735ADD" w:rsidP="00F80490">
            <w:pPr>
              <w:pStyle w:val="TableText"/>
              <w:jc w:val="right"/>
              <w:rPr>
                <w:b/>
                <w:bCs/>
                <w:lang w:val="en-GB" w:eastAsia="zh-CN"/>
              </w:rPr>
            </w:pPr>
          </w:p>
        </w:tc>
        <w:tc>
          <w:tcPr>
            <w:tcW w:w="404" w:type="pct"/>
            <w:tcBorders>
              <w:top w:val="nil"/>
              <w:left w:val="nil"/>
              <w:bottom w:val="nil"/>
              <w:right w:val="nil"/>
            </w:tcBorders>
            <w:shd w:val="clear" w:color="auto" w:fill="auto"/>
            <w:noWrap/>
            <w:vAlign w:val="center"/>
            <w:hideMark/>
          </w:tcPr>
          <w:p w14:paraId="09BD7879" w14:textId="77777777" w:rsidR="00735ADD" w:rsidRPr="00F80490" w:rsidRDefault="00735ADD" w:rsidP="00F80490">
            <w:pPr>
              <w:pStyle w:val="TableText"/>
              <w:jc w:val="right"/>
              <w:rPr>
                <w:b/>
                <w:bCs/>
                <w:lang w:val="en-GB" w:eastAsia="zh-CN"/>
              </w:rPr>
            </w:pPr>
          </w:p>
        </w:tc>
      </w:tr>
      <w:tr w:rsidR="00735ADD" w:rsidRPr="007A03D3" w14:paraId="3B856A88" w14:textId="77777777" w:rsidTr="00746312">
        <w:trPr>
          <w:trHeight w:val="315"/>
        </w:trPr>
        <w:tc>
          <w:tcPr>
            <w:tcW w:w="606" w:type="pct"/>
            <w:tcBorders>
              <w:top w:val="nil"/>
              <w:left w:val="nil"/>
              <w:bottom w:val="nil"/>
              <w:right w:val="nil"/>
            </w:tcBorders>
            <w:shd w:val="clear" w:color="auto" w:fill="auto"/>
            <w:noWrap/>
            <w:vAlign w:val="center"/>
            <w:hideMark/>
          </w:tcPr>
          <w:p w14:paraId="18108F96" w14:textId="1E380DBE" w:rsidR="00735ADD" w:rsidRPr="007A03D3" w:rsidRDefault="00785907" w:rsidP="00F80490">
            <w:pPr>
              <w:pStyle w:val="TableText"/>
              <w:rPr>
                <w:rFonts w:eastAsia="Times New Roman"/>
                <w:color w:val="000000"/>
                <w:lang w:val="en-GB" w:eastAsia="zh-CN"/>
              </w:rPr>
            </w:pPr>
            <m:oMathPara>
              <m:oMathParaPr>
                <m:jc m:val="left"/>
              </m:oMathParaPr>
              <m:oMath>
                <m:r>
                  <w:rPr>
                    <w:rFonts w:ascii="Cambria Math" w:hAnsi="Cambria Math"/>
                  </w:rPr>
                  <m:t>SIZE</m:t>
                </m:r>
              </m:oMath>
            </m:oMathPara>
          </w:p>
        </w:tc>
        <w:tc>
          <w:tcPr>
            <w:tcW w:w="399" w:type="pct"/>
            <w:tcBorders>
              <w:top w:val="nil"/>
              <w:left w:val="nil"/>
              <w:bottom w:val="nil"/>
              <w:right w:val="nil"/>
            </w:tcBorders>
            <w:shd w:val="clear" w:color="auto" w:fill="auto"/>
            <w:noWrap/>
            <w:vAlign w:val="center"/>
            <w:hideMark/>
          </w:tcPr>
          <w:p w14:paraId="4E612636" w14:textId="77777777" w:rsidR="00735ADD" w:rsidRPr="00F80490" w:rsidRDefault="00735ADD" w:rsidP="00F80490">
            <w:pPr>
              <w:pStyle w:val="TableText"/>
              <w:jc w:val="right"/>
              <w:rPr>
                <w:b/>
                <w:bCs/>
                <w:lang w:val="en-GB" w:eastAsia="zh-CN"/>
              </w:rPr>
            </w:pPr>
            <w:r w:rsidRPr="00F80490">
              <w:rPr>
                <w:b/>
                <w:bCs/>
                <w:lang w:val="en-GB" w:eastAsia="zh-CN"/>
              </w:rPr>
              <w:t>0.03</w:t>
            </w:r>
          </w:p>
        </w:tc>
        <w:tc>
          <w:tcPr>
            <w:tcW w:w="399" w:type="pct"/>
            <w:gridSpan w:val="2"/>
            <w:tcBorders>
              <w:top w:val="nil"/>
              <w:left w:val="nil"/>
              <w:bottom w:val="nil"/>
              <w:right w:val="nil"/>
            </w:tcBorders>
            <w:shd w:val="clear" w:color="auto" w:fill="auto"/>
            <w:noWrap/>
            <w:vAlign w:val="center"/>
            <w:hideMark/>
          </w:tcPr>
          <w:p w14:paraId="0003D2B8" w14:textId="77777777" w:rsidR="00735ADD" w:rsidRPr="00E33FEA" w:rsidRDefault="00735ADD" w:rsidP="00F80490">
            <w:pPr>
              <w:pStyle w:val="TableText"/>
              <w:jc w:val="right"/>
              <w:rPr>
                <w:lang w:val="en-GB" w:eastAsia="zh-CN"/>
              </w:rPr>
            </w:pPr>
            <w:r w:rsidRPr="003A6185">
              <w:rPr>
                <w:lang w:val="en-GB" w:eastAsia="zh-CN"/>
              </w:rPr>
              <w:t>0.01</w:t>
            </w:r>
          </w:p>
        </w:tc>
        <w:tc>
          <w:tcPr>
            <w:tcW w:w="399" w:type="pct"/>
            <w:tcBorders>
              <w:top w:val="nil"/>
              <w:left w:val="nil"/>
              <w:bottom w:val="nil"/>
              <w:right w:val="nil"/>
            </w:tcBorders>
            <w:shd w:val="clear" w:color="auto" w:fill="auto"/>
            <w:noWrap/>
            <w:vAlign w:val="center"/>
            <w:hideMark/>
          </w:tcPr>
          <w:p w14:paraId="2DB77BF1" w14:textId="77777777" w:rsidR="00735ADD" w:rsidRPr="000C0134" w:rsidRDefault="00735ADD" w:rsidP="00F80490">
            <w:pPr>
              <w:pStyle w:val="TableText"/>
              <w:jc w:val="right"/>
              <w:rPr>
                <w:lang w:val="en-GB" w:eastAsia="zh-CN"/>
              </w:rPr>
            </w:pPr>
            <w:r w:rsidRPr="000C0134">
              <w:rPr>
                <w:lang w:val="en-GB" w:eastAsia="zh-CN"/>
              </w:rPr>
              <w:t>0.02</w:t>
            </w:r>
          </w:p>
        </w:tc>
        <w:tc>
          <w:tcPr>
            <w:tcW w:w="399" w:type="pct"/>
            <w:gridSpan w:val="2"/>
            <w:tcBorders>
              <w:top w:val="nil"/>
              <w:left w:val="nil"/>
              <w:bottom w:val="nil"/>
              <w:right w:val="nil"/>
            </w:tcBorders>
            <w:shd w:val="clear" w:color="auto" w:fill="auto"/>
            <w:noWrap/>
            <w:vAlign w:val="center"/>
            <w:hideMark/>
          </w:tcPr>
          <w:p w14:paraId="731A8EA3" w14:textId="77777777" w:rsidR="00735ADD" w:rsidRPr="00F80490" w:rsidRDefault="00735ADD" w:rsidP="00F80490">
            <w:pPr>
              <w:pStyle w:val="TableText"/>
              <w:jc w:val="right"/>
              <w:rPr>
                <w:b/>
                <w:bCs/>
                <w:lang w:val="en-GB" w:eastAsia="zh-CN"/>
              </w:rPr>
            </w:pPr>
            <w:r w:rsidRPr="00F80490">
              <w:rPr>
                <w:b/>
                <w:bCs/>
                <w:lang w:val="en-GB" w:eastAsia="zh-CN"/>
              </w:rPr>
              <w:t>0.13</w:t>
            </w:r>
          </w:p>
        </w:tc>
        <w:tc>
          <w:tcPr>
            <w:tcW w:w="399" w:type="pct"/>
            <w:tcBorders>
              <w:top w:val="nil"/>
              <w:left w:val="nil"/>
              <w:bottom w:val="nil"/>
              <w:right w:val="nil"/>
            </w:tcBorders>
            <w:shd w:val="clear" w:color="auto" w:fill="auto"/>
            <w:noWrap/>
            <w:vAlign w:val="center"/>
            <w:hideMark/>
          </w:tcPr>
          <w:p w14:paraId="5CDEF2D2" w14:textId="77777777" w:rsidR="00735ADD" w:rsidRPr="00F80490" w:rsidRDefault="00735ADD" w:rsidP="00F80490">
            <w:pPr>
              <w:pStyle w:val="TableText"/>
              <w:jc w:val="right"/>
              <w:rPr>
                <w:b/>
                <w:bCs/>
                <w:lang w:val="en-GB" w:eastAsia="zh-CN"/>
              </w:rPr>
            </w:pPr>
            <w:r w:rsidRPr="00F80490">
              <w:rPr>
                <w:b/>
                <w:bCs/>
                <w:lang w:val="en-GB" w:eastAsia="zh-CN"/>
              </w:rPr>
              <w:t>-0.03</w:t>
            </w:r>
          </w:p>
        </w:tc>
        <w:tc>
          <w:tcPr>
            <w:tcW w:w="399" w:type="pct"/>
            <w:gridSpan w:val="2"/>
            <w:tcBorders>
              <w:top w:val="nil"/>
              <w:left w:val="nil"/>
              <w:bottom w:val="nil"/>
              <w:right w:val="nil"/>
            </w:tcBorders>
            <w:shd w:val="clear" w:color="auto" w:fill="auto"/>
            <w:noWrap/>
            <w:vAlign w:val="center"/>
            <w:hideMark/>
          </w:tcPr>
          <w:p w14:paraId="70163E39" w14:textId="77777777" w:rsidR="00735ADD" w:rsidRPr="00F80490" w:rsidRDefault="00735ADD" w:rsidP="00F80490">
            <w:pPr>
              <w:pStyle w:val="TableText"/>
              <w:jc w:val="right"/>
              <w:rPr>
                <w:b/>
                <w:bCs/>
                <w:lang w:val="en-GB" w:eastAsia="zh-CN"/>
              </w:rPr>
            </w:pPr>
            <w:r w:rsidRPr="00F80490">
              <w:rPr>
                <w:b/>
                <w:bCs/>
                <w:lang w:val="en-GB" w:eastAsia="zh-CN"/>
              </w:rPr>
              <w:t>-0.58</w:t>
            </w:r>
          </w:p>
        </w:tc>
        <w:tc>
          <w:tcPr>
            <w:tcW w:w="399" w:type="pct"/>
            <w:tcBorders>
              <w:top w:val="nil"/>
              <w:left w:val="nil"/>
              <w:bottom w:val="nil"/>
              <w:right w:val="nil"/>
            </w:tcBorders>
            <w:shd w:val="clear" w:color="auto" w:fill="auto"/>
            <w:noWrap/>
            <w:vAlign w:val="center"/>
            <w:hideMark/>
          </w:tcPr>
          <w:p w14:paraId="205E0C0B" w14:textId="77777777" w:rsidR="00735ADD" w:rsidRPr="00F80490" w:rsidRDefault="00735ADD" w:rsidP="00F80490">
            <w:pPr>
              <w:pStyle w:val="TableText"/>
              <w:jc w:val="right"/>
              <w:rPr>
                <w:b/>
                <w:bCs/>
                <w:lang w:val="en-GB" w:eastAsia="zh-CN"/>
              </w:rPr>
            </w:pPr>
            <w:r w:rsidRPr="00F80490">
              <w:rPr>
                <w:b/>
                <w:bCs/>
                <w:lang w:val="en-GB" w:eastAsia="zh-CN"/>
              </w:rPr>
              <w:t>0.50</w:t>
            </w:r>
          </w:p>
        </w:tc>
        <w:tc>
          <w:tcPr>
            <w:tcW w:w="399" w:type="pct"/>
            <w:tcBorders>
              <w:top w:val="nil"/>
              <w:left w:val="nil"/>
              <w:bottom w:val="nil"/>
              <w:right w:val="nil"/>
            </w:tcBorders>
            <w:shd w:val="clear" w:color="auto" w:fill="auto"/>
            <w:noWrap/>
            <w:vAlign w:val="center"/>
            <w:hideMark/>
          </w:tcPr>
          <w:p w14:paraId="5300B4DF" w14:textId="77777777" w:rsidR="00735ADD" w:rsidRPr="00E33FEA" w:rsidRDefault="00735ADD" w:rsidP="00F80490">
            <w:pPr>
              <w:pStyle w:val="TableText"/>
              <w:jc w:val="right"/>
              <w:rPr>
                <w:lang w:val="en-GB" w:eastAsia="zh-CN"/>
              </w:rPr>
            </w:pPr>
            <w:r w:rsidRPr="003A6185">
              <w:rPr>
                <w:lang w:val="en-GB" w:eastAsia="zh-CN"/>
              </w:rPr>
              <w:t>1</w:t>
            </w:r>
          </w:p>
        </w:tc>
        <w:tc>
          <w:tcPr>
            <w:tcW w:w="399" w:type="pct"/>
            <w:gridSpan w:val="2"/>
            <w:tcBorders>
              <w:top w:val="nil"/>
              <w:left w:val="nil"/>
              <w:bottom w:val="nil"/>
              <w:right w:val="nil"/>
            </w:tcBorders>
            <w:shd w:val="clear" w:color="auto" w:fill="auto"/>
            <w:noWrap/>
            <w:vAlign w:val="center"/>
            <w:hideMark/>
          </w:tcPr>
          <w:p w14:paraId="5D27B5A9" w14:textId="77777777" w:rsidR="00735ADD" w:rsidRPr="00F80490" w:rsidRDefault="00735ADD" w:rsidP="00F80490">
            <w:pPr>
              <w:pStyle w:val="TableText"/>
              <w:jc w:val="right"/>
              <w:rPr>
                <w:b/>
                <w:bCs/>
                <w:lang w:val="en-GB" w:eastAsia="zh-CN"/>
              </w:rPr>
            </w:pPr>
          </w:p>
        </w:tc>
        <w:tc>
          <w:tcPr>
            <w:tcW w:w="399" w:type="pct"/>
            <w:tcBorders>
              <w:top w:val="nil"/>
              <w:left w:val="nil"/>
              <w:bottom w:val="nil"/>
              <w:right w:val="nil"/>
            </w:tcBorders>
            <w:shd w:val="clear" w:color="auto" w:fill="auto"/>
            <w:noWrap/>
            <w:vAlign w:val="center"/>
            <w:hideMark/>
          </w:tcPr>
          <w:p w14:paraId="57710EC0" w14:textId="77777777" w:rsidR="00735ADD" w:rsidRPr="00F80490" w:rsidRDefault="00735ADD" w:rsidP="00F80490">
            <w:pPr>
              <w:pStyle w:val="TableText"/>
              <w:jc w:val="right"/>
              <w:rPr>
                <w:b/>
                <w:bCs/>
                <w:lang w:val="en-GB" w:eastAsia="zh-CN"/>
              </w:rPr>
            </w:pPr>
          </w:p>
        </w:tc>
        <w:tc>
          <w:tcPr>
            <w:tcW w:w="404" w:type="pct"/>
            <w:tcBorders>
              <w:top w:val="nil"/>
              <w:left w:val="nil"/>
              <w:bottom w:val="nil"/>
              <w:right w:val="nil"/>
            </w:tcBorders>
            <w:shd w:val="clear" w:color="auto" w:fill="auto"/>
            <w:noWrap/>
            <w:vAlign w:val="center"/>
            <w:hideMark/>
          </w:tcPr>
          <w:p w14:paraId="274FCD58" w14:textId="77777777" w:rsidR="00735ADD" w:rsidRPr="00F80490" w:rsidRDefault="00735ADD" w:rsidP="00F80490">
            <w:pPr>
              <w:pStyle w:val="TableText"/>
              <w:jc w:val="right"/>
              <w:rPr>
                <w:b/>
                <w:bCs/>
                <w:lang w:val="en-GB" w:eastAsia="zh-CN"/>
              </w:rPr>
            </w:pPr>
          </w:p>
        </w:tc>
      </w:tr>
      <w:tr w:rsidR="00735ADD" w:rsidRPr="007A03D3" w14:paraId="5BB5117E" w14:textId="77777777" w:rsidTr="00746312">
        <w:trPr>
          <w:trHeight w:val="315"/>
        </w:trPr>
        <w:tc>
          <w:tcPr>
            <w:tcW w:w="606" w:type="pct"/>
            <w:tcBorders>
              <w:top w:val="nil"/>
              <w:left w:val="nil"/>
              <w:bottom w:val="nil"/>
              <w:right w:val="nil"/>
            </w:tcBorders>
            <w:shd w:val="clear" w:color="auto" w:fill="auto"/>
            <w:noWrap/>
            <w:vAlign w:val="center"/>
            <w:hideMark/>
          </w:tcPr>
          <w:p w14:paraId="0854BAC7" w14:textId="7D042CF7" w:rsidR="00735ADD" w:rsidRPr="007A03D3" w:rsidRDefault="00785907" w:rsidP="00F80490">
            <w:pPr>
              <w:pStyle w:val="TableText"/>
              <w:rPr>
                <w:rFonts w:eastAsia="Times New Roman"/>
                <w:color w:val="000000"/>
                <w:lang w:val="en-GB" w:eastAsia="zh-CN"/>
              </w:rPr>
            </w:pPr>
            <m:oMathPara>
              <m:oMathParaPr>
                <m:jc m:val="left"/>
              </m:oMathParaPr>
              <m:oMath>
                <m:r>
                  <w:rPr>
                    <w:rFonts w:ascii="Cambria Math" w:hAnsi="Cambria Math"/>
                  </w:rPr>
                  <m:t>MTB</m:t>
                </m:r>
              </m:oMath>
            </m:oMathPara>
          </w:p>
        </w:tc>
        <w:tc>
          <w:tcPr>
            <w:tcW w:w="399" w:type="pct"/>
            <w:tcBorders>
              <w:top w:val="nil"/>
              <w:left w:val="nil"/>
              <w:bottom w:val="nil"/>
              <w:right w:val="nil"/>
            </w:tcBorders>
            <w:shd w:val="clear" w:color="auto" w:fill="auto"/>
            <w:noWrap/>
            <w:vAlign w:val="center"/>
            <w:hideMark/>
          </w:tcPr>
          <w:p w14:paraId="358E0FD4" w14:textId="77777777" w:rsidR="00735ADD" w:rsidRPr="00F80490" w:rsidRDefault="00735ADD" w:rsidP="00F80490">
            <w:pPr>
              <w:pStyle w:val="TableText"/>
              <w:jc w:val="right"/>
              <w:rPr>
                <w:b/>
                <w:bCs/>
                <w:lang w:val="en-GB" w:eastAsia="zh-CN"/>
              </w:rPr>
            </w:pPr>
            <w:r w:rsidRPr="00F80490">
              <w:rPr>
                <w:b/>
                <w:bCs/>
                <w:lang w:val="en-GB" w:eastAsia="zh-CN"/>
              </w:rPr>
              <w:t>-0.05</w:t>
            </w:r>
          </w:p>
        </w:tc>
        <w:tc>
          <w:tcPr>
            <w:tcW w:w="399" w:type="pct"/>
            <w:gridSpan w:val="2"/>
            <w:tcBorders>
              <w:top w:val="nil"/>
              <w:left w:val="nil"/>
              <w:bottom w:val="nil"/>
              <w:right w:val="nil"/>
            </w:tcBorders>
            <w:shd w:val="clear" w:color="auto" w:fill="auto"/>
            <w:noWrap/>
            <w:vAlign w:val="center"/>
            <w:hideMark/>
          </w:tcPr>
          <w:p w14:paraId="2601FFF3" w14:textId="77777777" w:rsidR="00735ADD" w:rsidRPr="00F80490" w:rsidRDefault="00735ADD" w:rsidP="00F80490">
            <w:pPr>
              <w:pStyle w:val="TableText"/>
              <w:jc w:val="right"/>
              <w:rPr>
                <w:b/>
                <w:bCs/>
                <w:lang w:val="en-GB" w:eastAsia="zh-CN"/>
              </w:rPr>
            </w:pPr>
            <w:r w:rsidRPr="00F80490">
              <w:rPr>
                <w:b/>
                <w:bCs/>
                <w:lang w:val="en-GB" w:eastAsia="zh-CN"/>
              </w:rPr>
              <w:t>-0.05</w:t>
            </w:r>
          </w:p>
        </w:tc>
        <w:tc>
          <w:tcPr>
            <w:tcW w:w="399" w:type="pct"/>
            <w:tcBorders>
              <w:top w:val="nil"/>
              <w:left w:val="nil"/>
              <w:bottom w:val="nil"/>
              <w:right w:val="nil"/>
            </w:tcBorders>
            <w:shd w:val="clear" w:color="auto" w:fill="auto"/>
            <w:noWrap/>
            <w:vAlign w:val="center"/>
            <w:hideMark/>
          </w:tcPr>
          <w:p w14:paraId="35C4CF24" w14:textId="77777777" w:rsidR="00735ADD" w:rsidRPr="00F80490" w:rsidRDefault="00735ADD" w:rsidP="00F80490">
            <w:pPr>
              <w:pStyle w:val="TableText"/>
              <w:jc w:val="right"/>
              <w:rPr>
                <w:b/>
                <w:bCs/>
                <w:lang w:val="en-GB" w:eastAsia="zh-CN"/>
              </w:rPr>
            </w:pPr>
            <w:r w:rsidRPr="00F80490">
              <w:rPr>
                <w:b/>
                <w:bCs/>
                <w:lang w:val="en-GB" w:eastAsia="zh-CN"/>
              </w:rPr>
              <w:t>-0.05</w:t>
            </w:r>
          </w:p>
        </w:tc>
        <w:tc>
          <w:tcPr>
            <w:tcW w:w="399" w:type="pct"/>
            <w:gridSpan w:val="2"/>
            <w:tcBorders>
              <w:top w:val="nil"/>
              <w:left w:val="nil"/>
              <w:bottom w:val="nil"/>
              <w:right w:val="nil"/>
            </w:tcBorders>
            <w:shd w:val="clear" w:color="auto" w:fill="auto"/>
            <w:noWrap/>
            <w:vAlign w:val="center"/>
            <w:hideMark/>
          </w:tcPr>
          <w:p w14:paraId="5A4B64F4" w14:textId="77777777" w:rsidR="00735ADD" w:rsidRPr="00F80490" w:rsidRDefault="00735ADD" w:rsidP="00F80490">
            <w:pPr>
              <w:pStyle w:val="TableText"/>
              <w:jc w:val="right"/>
              <w:rPr>
                <w:b/>
                <w:bCs/>
                <w:lang w:val="en-GB" w:eastAsia="zh-CN"/>
              </w:rPr>
            </w:pPr>
            <w:r w:rsidRPr="00F80490">
              <w:rPr>
                <w:b/>
                <w:bCs/>
                <w:lang w:val="en-GB" w:eastAsia="zh-CN"/>
              </w:rPr>
              <w:t>0.11</w:t>
            </w:r>
          </w:p>
        </w:tc>
        <w:tc>
          <w:tcPr>
            <w:tcW w:w="399" w:type="pct"/>
            <w:tcBorders>
              <w:top w:val="nil"/>
              <w:left w:val="nil"/>
              <w:bottom w:val="nil"/>
              <w:right w:val="nil"/>
            </w:tcBorders>
            <w:shd w:val="clear" w:color="auto" w:fill="auto"/>
            <w:noWrap/>
            <w:vAlign w:val="center"/>
            <w:hideMark/>
          </w:tcPr>
          <w:p w14:paraId="196CCC6B" w14:textId="77777777" w:rsidR="00735ADD" w:rsidRPr="00F80490" w:rsidRDefault="00735ADD" w:rsidP="00F80490">
            <w:pPr>
              <w:pStyle w:val="TableText"/>
              <w:jc w:val="right"/>
              <w:rPr>
                <w:b/>
                <w:bCs/>
                <w:lang w:val="en-GB" w:eastAsia="zh-CN"/>
              </w:rPr>
            </w:pPr>
            <w:r w:rsidRPr="00F80490">
              <w:rPr>
                <w:b/>
                <w:bCs/>
                <w:lang w:val="en-GB" w:eastAsia="zh-CN"/>
              </w:rPr>
              <w:t>0.06</w:t>
            </w:r>
          </w:p>
        </w:tc>
        <w:tc>
          <w:tcPr>
            <w:tcW w:w="399" w:type="pct"/>
            <w:gridSpan w:val="2"/>
            <w:tcBorders>
              <w:top w:val="nil"/>
              <w:left w:val="nil"/>
              <w:bottom w:val="nil"/>
              <w:right w:val="nil"/>
            </w:tcBorders>
            <w:shd w:val="clear" w:color="auto" w:fill="auto"/>
            <w:noWrap/>
            <w:vAlign w:val="center"/>
            <w:hideMark/>
          </w:tcPr>
          <w:p w14:paraId="7DEAEE4C" w14:textId="77777777" w:rsidR="00735ADD" w:rsidRPr="00F80490" w:rsidRDefault="00735ADD" w:rsidP="00F80490">
            <w:pPr>
              <w:pStyle w:val="TableText"/>
              <w:jc w:val="right"/>
              <w:rPr>
                <w:b/>
                <w:bCs/>
                <w:lang w:val="en-GB" w:eastAsia="zh-CN"/>
              </w:rPr>
            </w:pPr>
            <w:r w:rsidRPr="00F80490">
              <w:rPr>
                <w:b/>
                <w:bCs/>
                <w:lang w:val="en-GB" w:eastAsia="zh-CN"/>
              </w:rPr>
              <w:t>0.03</w:t>
            </w:r>
          </w:p>
        </w:tc>
        <w:tc>
          <w:tcPr>
            <w:tcW w:w="399" w:type="pct"/>
            <w:tcBorders>
              <w:top w:val="nil"/>
              <w:left w:val="nil"/>
              <w:bottom w:val="nil"/>
              <w:right w:val="nil"/>
            </w:tcBorders>
            <w:shd w:val="clear" w:color="auto" w:fill="auto"/>
            <w:noWrap/>
            <w:vAlign w:val="center"/>
            <w:hideMark/>
          </w:tcPr>
          <w:p w14:paraId="38C4DA1D" w14:textId="77777777" w:rsidR="00735ADD" w:rsidRPr="00F80490" w:rsidRDefault="00735ADD" w:rsidP="00F80490">
            <w:pPr>
              <w:pStyle w:val="TableText"/>
              <w:jc w:val="right"/>
              <w:rPr>
                <w:b/>
                <w:bCs/>
                <w:lang w:val="en-GB" w:eastAsia="zh-CN"/>
              </w:rPr>
            </w:pPr>
            <w:r w:rsidRPr="00F80490">
              <w:rPr>
                <w:b/>
                <w:bCs/>
                <w:lang w:val="en-GB" w:eastAsia="zh-CN"/>
              </w:rPr>
              <w:t>-0.04</w:t>
            </w:r>
          </w:p>
        </w:tc>
        <w:tc>
          <w:tcPr>
            <w:tcW w:w="399" w:type="pct"/>
            <w:tcBorders>
              <w:top w:val="nil"/>
              <w:left w:val="nil"/>
              <w:bottom w:val="nil"/>
              <w:right w:val="nil"/>
            </w:tcBorders>
            <w:shd w:val="clear" w:color="auto" w:fill="auto"/>
            <w:noWrap/>
            <w:vAlign w:val="center"/>
            <w:hideMark/>
          </w:tcPr>
          <w:p w14:paraId="72F051CA" w14:textId="77777777" w:rsidR="00735ADD" w:rsidRPr="00F80490" w:rsidRDefault="00735ADD" w:rsidP="00F80490">
            <w:pPr>
              <w:pStyle w:val="TableText"/>
              <w:jc w:val="right"/>
              <w:rPr>
                <w:b/>
                <w:bCs/>
                <w:lang w:val="en-GB" w:eastAsia="zh-CN"/>
              </w:rPr>
            </w:pPr>
            <w:r w:rsidRPr="00F80490">
              <w:rPr>
                <w:b/>
                <w:bCs/>
                <w:lang w:val="en-GB" w:eastAsia="zh-CN"/>
              </w:rPr>
              <w:t>0.17</w:t>
            </w:r>
          </w:p>
        </w:tc>
        <w:tc>
          <w:tcPr>
            <w:tcW w:w="399" w:type="pct"/>
            <w:gridSpan w:val="2"/>
            <w:tcBorders>
              <w:top w:val="nil"/>
              <w:left w:val="nil"/>
              <w:bottom w:val="nil"/>
              <w:right w:val="nil"/>
            </w:tcBorders>
            <w:shd w:val="clear" w:color="auto" w:fill="auto"/>
            <w:noWrap/>
            <w:vAlign w:val="center"/>
            <w:hideMark/>
          </w:tcPr>
          <w:p w14:paraId="087EA8A0" w14:textId="77777777" w:rsidR="00735ADD" w:rsidRPr="00E33FEA" w:rsidRDefault="00735ADD" w:rsidP="00F80490">
            <w:pPr>
              <w:pStyle w:val="TableText"/>
              <w:jc w:val="right"/>
              <w:rPr>
                <w:lang w:val="en-GB" w:eastAsia="zh-CN"/>
              </w:rPr>
            </w:pPr>
            <w:r w:rsidRPr="003A6185">
              <w:rPr>
                <w:lang w:val="en-GB" w:eastAsia="zh-CN"/>
              </w:rPr>
              <w:t>1</w:t>
            </w:r>
          </w:p>
        </w:tc>
        <w:tc>
          <w:tcPr>
            <w:tcW w:w="399" w:type="pct"/>
            <w:tcBorders>
              <w:top w:val="nil"/>
              <w:left w:val="nil"/>
              <w:bottom w:val="nil"/>
              <w:right w:val="nil"/>
            </w:tcBorders>
            <w:shd w:val="clear" w:color="auto" w:fill="auto"/>
            <w:noWrap/>
            <w:vAlign w:val="center"/>
            <w:hideMark/>
          </w:tcPr>
          <w:p w14:paraId="7E17A783" w14:textId="77777777" w:rsidR="00735ADD" w:rsidRPr="00F80490" w:rsidRDefault="00735ADD" w:rsidP="00F80490">
            <w:pPr>
              <w:pStyle w:val="TableText"/>
              <w:jc w:val="right"/>
              <w:rPr>
                <w:b/>
                <w:bCs/>
                <w:lang w:val="en-GB" w:eastAsia="zh-CN"/>
              </w:rPr>
            </w:pPr>
          </w:p>
        </w:tc>
        <w:tc>
          <w:tcPr>
            <w:tcW w:w="404" w:type="pct"/>
            <w:tcBorders>
              <w:top w:val="nil"/>
              <w:left w:val="nil"/>
              <w:bottom w:val="nil"/>
              <w:right w:val="nil"/>
            </w:tcBorders>
            <w:shd w:val="clear" w:color="auto" w:fill="auto"/>
            <w:noWrap/>
            <w:vAlign w:val="center"/>
            <w:hideMark/>
          </w:tcPr>
          <w:p w14:paraId="6C823EEE" w14:textId="77777777" w:rsidR="00735ADD" w:rsidRPr="00F80490" w:rsidRDefault="00735ADD" w:rsidP="00F80490">
            <w:pPr>
              <w:pStyle w:val="TableText"/>
              <w:jc w:val="right"/>
              <w:rPr>
                <w:b/>
                <w:bCs/>
                <w:lang w:val="en-GB" w:eastAsia="zh-CN"/>
              </w:rPr>
            </w:pPr>
          </w:p>
        </w:tc>
      </w:tr>
      <w:tr w:rsidR="00735ADD" w:rsidRPr="007A03D3" w14:paraId="2E7DB0C6" w14:textId="77777777" w:rsidTr="00746312">
        <w:trPr>
          <w:trHeight w:val="315"/>
        </w:trPr>
        <w:tc>
          <w:tcPr>
            <w:tcW w:w="606" w:type="pct"/>
            <w:tcBorders>
              <w:top w:val="nil"/>
              <w:left w:val="nil"/>
              <w:bottom w:val="nil"/>
              <w:right w:val="nil"/>
            </w:tcBorders>
            <w:shd w:val="clear" w:color="auto" w:fill="auto"/>
            <w:noWrap/>
            <w:vAlign w:val="center"/>
            <w:hideMark/>
          </w:tcPr>
          <w:p w14:paraId="4C6CF14E" w14:textId="0B37FC45" w:rsidR="00735ADD" w:rsidRPr="007A03D3" w:rsidRDefault="00785907" w:rsidP="00F80490">
            <w:pPr>
              <w:pStyle w:val="TableText"/>
              <w:rPr>
                <w:rFonts w:eastAsia="Times New Roman"/>
                <w:color w:val="000000"/>
                <w:lang w:val="en-GB" w:eastAsia="zh-CN"/>
              </w:rPr>
            </w:pPr>
            <m:oMathPara>
              <m:oMathParaPr>
                <m:jc m:val="left"/>
              </m:oMathParaPr>
              <m:oMath>
                <m:r>
                  <w:rPr>
                    <w:rFonts w:ascii="Cambria Math" w:hAnsi="Cambria Math"/>
                  </w:rPr>
                  <m:t>LEV</m:t>
                </m:r>
              </m:oMath>
            </m:oMathPara>
          </w:p>
        </w:tc>
        <w:tc>
          <w:tcPr>
            <w:tcW w:w="399" w:type="pct"/>
            <w:tcBorders>
              <w:top w:val="nil"/>
              <w:left w:val="nil"/>
              <w:bottom w:val="nil"/>
              <w:right w:val="nil"/>
            </w:tcBorders>
            <w:shd w:val="clear" w:color="auto" w:fill="auto"/>
            <w:noWrap/>
            <w:vAlign w:val="center"/>
            <w:hideMark/>
          </w:tcPr>
          <w:p w14:paraId="0A7211B5" w14:textId="77777777" w:rsidR="00735ADD" w:rsidRPr="00E33FEA" w:rsidRDefault="00735ADD" w:rsidP="00F80490">
            <w:pPr>
              <w:pStyle w:val="TableText"/>
              <w:jc w:val="right"/>
              <w:rPr>
                <w:lang w:val="en-GB" w:eastAsia="zh-CN"/>
              </w:rPr>
            </w:pPr>
            <w:r w:rsidRPr="003A6185">
              <w:rPr>
                <w:lang w:val="en-GB" w:eastAsia="zh-CN"/>
              </w:rPr>
              <w:t>0.01</w:t>
            </w:r>
          </w:p>
        </w:tc>
        <w:tc>
          <w:tcPr>
            <w:tcW w:w="399" w:type="pct"/>
            <w:gridSpan w:val="2"/>
            <w:tcBorders>
              <w:top w:val="nil"/>
              <w:left w:val="nil"/>
              <w:bottom w:val="nil"/>
              <w:right w:val="nil"/>
            </w:tcBorders>
            <w:shd w:val="clear" w:color="auto" w:fill="auto"/>
            <w:noWrap/>
            <w:vAlign w:val="center"/>
            <w:hideMark/>
          </w:tcPr>
          <w:p w14:paraId="551E1476" w14:textId="77777777" w:rsidR="00735ADD" w:rsidRPr="000C0134" w:rsidRDefault="00735ADD" w:rsidP="00F80490">
            <w:pPr>
              <w:pStyle w:val="TableText"/>
              <w:jc w:val="right"/>
              <w:rPr>
                <w:lang w:val="en-GB" w:eastAsia="zh-CN"/>
              </w:rPr>
            </w:pPr>
            <w:r w:rsidRPr="000C0134">
              <w:rPr>
                <w:lang w:val="en-GB" w:eastAsia="zh-CN"/>
              </w:rPr>
              <w:t>0.01</w:t>
            </w:r>
          </w:p>
        </w:tc>
        <w:tc>
          <w:tcPr>
            <w:tcW w:w="399" w:type="pct"/>
            <w:tcBorders>
              <w:top w:val="nil"/>
              <w:left w:val="nil"/>
              <w:bottom w:val="nil"/>
              <w:right w:val="nil"/>
            </w:tcBorders>
            <w:shd w:val="clear" w:color="auto" w:fill="auto"/>
            <w:noWrap/>
            <w:vAlign w:val="center"/>
            <w:hideMark/>
          </w:tcPr>
          <w:p w14:paraId="7E03C62F" w14:textId="77777777" w:rsidR="00735ADD" w:rsidRPr="000C0134" w:rsidRDefault="00735ADD" w:rsidP="00F80490">
            <w:pPr>
              <w:pStyle w:val="TableText"/>
              <w:jc w:val="right"/>
              <w:rPr>
                <w:lang w:val="en-GB" w:eastAsia="zh-CN"/>
              </w:rPr>
            </w:pPr>
            <w:r w:rsidRPr="000C0134">
              <w:rPr>
                <w:lang w:val="en-GB" w:eastAsia="zh-CN"/>
              </w:rPr>
              <w:t>0.01</w:t>
            </w:r>
          </w:p>
        </w:tc>
        <w:tc>
          <w:tcPr>
            <w:tcW w:w="399" w:type="pct"/>
            <w:gridSpan w:val="2"/>
            <w:tcBorders>
              <w:top w:val="nil"/>
              <w:left w:val="nil"/>
              <w:bottom w:val="nil"/>
              <w:right w:val="nil"/>
            </w:tcBorders>
            <w:shd w:val="clear" w:color="auto" w:fill="auto"/>
            <w:noWrap/>
            <w:vAlign w:val="center"/>
            <w:hideMark/>
          </w:tcPr>
          <w:p w14:paraId="71D6F8AD" w14:textId="77777777" w:rsidR="00735ADD" w:rsidRPr="00F80490" w:rsidRDefault="00735ADD" w:rsidP="00F80490">
            <w:pPr>
              <w:pStyle w:val="TableText"/>
              <w:jc w:val="right"/>
              <w:rPr>
                <w:b/>
                <w:bCs/>
                <w:lang w:val="en-GB" w:eastAsia="zh-CN"/>
              </w:rPr>
            </w:pPr>
            <w:r w:rsidRPr="00F80490">
              <w:rPr>
                <w:b/>
                <w:bCs/>
                <w:lang w:val="en-GB" w:eastAsia="zh-CN"/>
              </w:rPr>
              <w:t>-0.06</w:t>
            </w:r>
          </w:p>
        </w:tc>
        <w:tc>
          <w:tcPr>
            <w:tcW w:w="399" w:type="pct"/>
            <w:tcBorders>
              <w:top w:val="nil"/>
              <w:left w:val="nil"/>
              <w:bottom w:val="nil"/>
              <w:right w:val="nil"/>
            </w:tcBorders>
            <w:shd w:val="clear" w:color="auto" w:fill="auto"/>
            <w:noWrap/>
            <w:vAlign w:val="center"/>
            <w:hideMark/>
          </w:tcPr>
          <w:p w14:paraId="5F0EEB93" w14:textId="77777777" w:rsidR="00735ADD" w:rsidRPr="00F80490" w:rsidRDefault="00735ADD" w:rsidP="00F80490">
            <w:pPr>
              <w:pStyle w:val="TableText"/>
              <w:jc w:val="right"/>
              <w:rPr>
                <w:b/>
                <w:bCs/>
                <w:lang w:val="en-GB" w:eastAsia="zh-CN"/>
              </w:rPr>
            </w:pPr>
            <w:r w:rsidRPr="00F80490">
              <w:rPr>
                <w:b/>
                <w:bCs/>
                <w:lang w:val="en-GB" w:eastAsia="zh-CN"/>
              </w:rPr>
              <w:t>0.03</w:t>
            </w:r>
          </w:p>
        </w:tc>
        <w:tc>
          <w:tcPr>
            <w:tcW w:w="399" w:type="pct"/>
            <w:gridSpan w:val="2"/>
            <w:tcBorders>
              <w:top w:val="nil"/>
              <w:left w:val="nil"/>
              <w:bottom w:val="nil"/>
              <w:right w:val="nil"/>
            </w:tcBorders>
            <w:shd w:val="clear" w:color="auto" w:fill="auto"/>
            <w:noWrap/>
            <w:vAlign w:val="center"/>
            <w:hideMark/>
          </w:tcPr>
          <w:p w14:paraId="5A704170" w14:textId="77777777" w:rsidR="00735ADD" w:rsidRPr="00F80490" w:rsidRDefault="00735ADD" w:rsidP="00F80490">
            <w:pPr>
              <w:pStyle w:val="TableText"/>
              <w:jc w:val="right"/>
              <w:rPr>
                <w:b/>
                <w:bCs/>
                <w:lang w:val="en-GB" w:eastAsia="zh-CN"/>
              </w:rPr>
            </w:pPr>
            <w:r w:rsidRPr="00F80490">
              <w:rPr>
                <w:b/>
                <w:bCs/>
                <w:lang w:val="en-GB" w:eastAsia="zh-CN"/>
              </w:rPr>
              <w:t>-0.13</w:t>
            </w:r>
          </w:p>
        </w:tc>
        <w:tc>
          <w:tcPr>
            <w:tcW w:w="399" w:type="pct"/>
            <w:tcBorders>
              <w:top w:val="nil"/>
              <w:left w:val="nil"/>
              <w:bottom w:val="nil"/>
              <w:right w:val="nil"/>
            </w:tcBorders>
            <w:shd w:val="clear" w:color="auto" w:fill="auto"/>
            <w:noWrap/>
            <w:vAlign w:val="center"/>
            <w:hideMark/>
          </w:tcPr>
          <w:p w14:paraId="1F8B5A21" w14:textId="77777777" w:rsidR="00735ADD" w:rsidRPr="00F80490" w:rsidRDefault="00735ADD" w:rsidP="00F80490">
            <w:pPr>
              <w:pStyle w:val="TableText"/>
              <w:jc w:val="right"/>
              <w:rPr>
                <w:b/>
                <w:bCs/>
                <w:lang w:val="en-GB" w:eastAsia="zh-CN"/>
              </w:rPr>
            </w:pPr>
            <w:r w:rsidRPr="00F80490">
              <w:rPr>
                <w:b/>
                <w:bCs/>
                <w:lang w:val="en-GB" w:eastAsia="zh-CN"/>
              </w:rPr>
              <w:t>0.10</w:t>
            </w:r>
          </w:p>
        </w:tc>
        <w:tc>
          <w:tcPr>
            <w:tcW w:w="399" w:type="pct"/>
            <w:tcBorders>
              <w:top w:val="nil"/>
              <w:left w:val="nil"/>
              <w:bottom w:val="nil"/>
              <w:right w:val="nil"/>
            </w:tcBorders>
            <w:shd w:val="clear" w:color="auto" w:fill="auto"/>
            <w:noWrap/>
            <w:vAlign w:val="center"/>
            <w:hideMark/>
          </w:tcPr>
          <w:p w14:paraId="400D61CE" w14:textId="77777777" w:rsidR="00735ADD" w:rsidRPr="00F80490" w:rsidRDefault="00735ADD" w:rsidP="00F80490">
            <w:pPr>
              <w:pStyle w:val="TableText"/>
              <w:jc w:val="right"/>
              <w:rPr>
                <w:b/>
                <w:bCs/>
                <w:lang w:val="en-GB" w:eastAsia="zh-CN"/>
              </w:rPr>
            </w:pPr>
            <w:r w:rsidRPr="00F80490">
              <w:rPr>
                <w:b/>
                <w:bCs/>
                <w:lang w:val="en-GB" w:eastAsia="zh-CN"/>
              </w:rPr>
              <w:t>0.21</w:t>
            </w:r>
          </w:p>
        </w:tc>
        <w:tc>
          <w:tcPr>
            <w:tcW w:w="399" w:type="pct"/>
            <w:gridSpan w:val="2"/>
            <w:tcBorders>
              <w:top w:val="nil"/>
              <w:left w:val="nil"/>
              <w:bottom w:val="nil"/>
              <w:right w:val="nil"/>
            </w:tcBorders>
            <w:shd w:val="clear" w:color="auto" w:fill="auto"/>
            <w:noWrap/>
            <w:vAlign w:val="center"/>
            <w:hideMark/>
          </w:tcPr>
          <w:p w14:paraId="5C6DF00E" w14:textId="77777777" w:rsidR="00735ADD" w:rsidRPr="00E33FEA" w:rsidRDefault="00735ADD" w:rsidP="00F80490">
            <w:pPr>
              <w:pStyle w:val="TableText"/>
              <w:jc w:val="right"/>
              <w:rPr>
                <w:lang w:val="en-GB" w:eastAsia="zh-CN"/>
              </w:rPr>
            </w:pPr>
            <w:r w:rsidRPr="003A6185">
              <w:rPr>
                <w:lang w:val="en-GB" w:eastAsia="zh-CN"/>
              </w:rPr>
              <w:t>0.01</w:t>
            </w:r>
          </w:p>
        </w:tc>
        <w:tc>
          <w:tcPr>
            <w:tcW w:w="399" w:type="pct"/>
            <w:tcBorders>
              <w:top w:val="nil"/>
              <w:left w:val="nil"/>
              <w:bottom w:val="nil"/>
              <w:right w:val="nil"/>
            </w:tcBorders>
            <w:shd w:val="clear" w:color="auto" w:fill="auto"/>
            <w:noWrap/>
            <w:vAlign w:val="center"/>
            <w:hideMark/>
          </w:tcPr>
          <w:p w14:paraId="009F2939" w14:textId="77777777" w:rsidR="00735ADD" w:rsidRPr="000C0134" w:rsidRDefault="00735ADD" w:rsidP="00F80490">
            <w:pPr>
              <w:pStyle w:val="TableText"/>
              <w:jc w:val="right"/>
              <w:rPr>
                <w:lang w:val="en-GB" w:eastAsia="zh-CN"/>
              </w:rPr>
            </w:pPr>
            <w:r w:rsidRPr="000C0134">
              <w:rPr>
                <w:lang w:val="en-GB" w:eastAsia="zh-CN"/>
              </w:rPr>
              <w:t>1</w:t>
            </w:r>
          </w:p>
        </w:tc>
        <w:tc>
          <w:tcPr>
            <w:tcW w:w="404" w:type="pct"/>
            <w:tcBorders>
              <w:top w:val="nil"/>
              <w:left w:val="nil"/>
              <w:bottom w:val="nil"/>
              <w:right w:val="nil"/>
            </w:tcBorders>
            <w:shd w:val="clear" w:color="auto" w:fill="auto"/>
            <w:noWrap/>
            <w:vAlign w:val="center"/>
            <w:hideMark/>
          </w:tcPr>
          <w:p w14:paraId="74FD24E7" w14:textId="77777777" w:rsidR="00735ADD" w:rsidRPr="00F80490" w:rsidRDefault="00735ADD" w:rsidP="00F80490">
            <w:pPr>
              <w:pStyle w:val="TableText"/>
              <w:jc w:val="right"/>
              <w:rPr>
                <w:b/>
                <w:bCs/>
                <w:lang w:val="en-GB" w:eastAsia="zh-CN"/>
              </w:rPr>
            </w:pPr>
          </w:p>
        </w:tc>
      </w:tr>
      <w:tr w:rsidR="00735ADD" w:rsidRPr="007A03D3" w14:paraId="38905599" w14:textId="77777777" w:rsidTr="00746312">
        <w:trPr>
          <w:trHeight w:val="315"/>
        </w:trPr>
        <w:tc>
          <w:tcPr>
            <w:tcW w:w="606" w:type="pct"/>
            <w:tcBorders>
              <w:top w:val="nil"/>
              <w:left w:val="nil"/>
              <w:bottom w:val="nil"/>
              <w:right w:val="nil"/>
            </w:tcBorders>
            <w:shd w:val="clear" w:color="auto" w:fill="auto"/>
            <w:noWrap/>
            <w:vAlign w:val="center"/>
            <w:hideMark/>
          </w:tcPr>
          <w:p w14:paraId="26F36EE1" w14:textId="424D7CE3" w:rsidR="00735ADD" w:rsidRPr="007A03D3" w:rsidRDefault="00785907" w:rsidP="00F80490">
            <w:pPr>
              <w:pStyle w:val="TableText"/>
              <w:rPr>
                <w:rFonts w:eastAsia="Times New Roman"/>
                <w:color w:val="000000"/>
                <w:lang w:val="en-GB" w:eastAsia="zh-CN"/>
              </w:rPr>
            </w:pPr>
            <m:oMathPara>
              <m:oMathParaPr>
                <m:jc m:val="left"/>
              </m:oMathParaPr>
              <m:oMath>
                <m:r>
                  <w:rPr>
                    <w:rFonts w:ascii="Cambria Math" w:hAnsi="Cambria Math"/>
                  </w:rPr>
                  <m:t>ROA</m:t>
                </m:r>
              </m:oMath>
            </m:oMathPara>
          </w:p>
        </w:tc>
        <w:tc>
          <w:tcPr>
            <w:tcW w:w="399" w:type="pct"/>
            <w:tcBorders>
              <w:top w:val="nil"/>
              <w:left w:val="nil"/>
              <w:bottom w:val="nil"/>
              <w:right w:val="nil"/>
            </w:tcBorders>
            <w:shd w:val="clear" w:color="auto" w:fill="auto"/>
            <w:noWrap/>
            <w:vAlign w:val="center"/>
            <w:hideMark/>
          </w:tcPr>
          <w:p w14:paraId="63F16422" w14:textId="77777777" w:rsidR="00735ADD" w:rsidRPr="00E33FEA" w:rsidRDefault="00735ADD" w:rsidP="00F80490">
            <w:pPr>
              <w:pStyle w:val="TableText"/>
              <w:jc w:val="right"/>
              <w:rPr>
                <w:lang w:val="en-GB" w:eastAsia="zh-CN"/>
              </w:rPr>
            </w:pPr>
            <w:r w:rsidRPr="003A6185">
              <w:rPr>
                <w:lang w:val="en-GB" w:eastAsia="zh-CN"/>
              </w:rPr>
              <w:t>0.01</w:t>
            </w:r>
          </w:p>
        </w:tc>
        <w:tc>
          <w:tcPr>
            <w:tcW w:w="399" w:type="pct"/>
            <w:gridSpan w:val="2"/>
            <w:tcBorders>
              <w:top w:val="nil"/>
              <w:left w:val="nil"/>
              <w:bottom w:val="nil"/>
              <w:right w:val="nil"/>
            </w:tcBorders>
            <w:shd w:val="clear" w:color="auto" w:fill="auto"/>
            <w:noWrap/>
            <w:vAlign w:val="center"/>
            <w:hideMark/>
          </w:tcPr>
          <w:p w14:paraId="3E9B679C" w14:textId="77777777" w:rsidR="00735ADD" w:rsidRPr="00F80490" w:rsidRDefault="00735ADD" w:rsidP="00F80490">
            <w:pPr>
              <w:pStyle w:val="TableText"/>
              <w:jc w:val="right"/>
              <w:rPr>
                <w:b/>
                <w:bCs/>
                <w:lang w:val="en-GB" w:eastAsia="zh-CN"/>
              </w:rPr>
            </w:pPr>
            <w:r w:rsidRPr="00F80490">
              <w:rPr>
                <w:b/>
                <w:bCs/>
                <w:lang w:val="en-GB" w:eastAsia="zh-CN"/>
              </w:rPr>
              <w:t>-0.03</w:t>
            </w:r>
          </w:p>
        </w:tc>
        <w:tc>
          <w:tcPr>
            <w:tcW w:w="399" w:type="pct"/>
            <w:tcBorders>
              <w:top w:val="nil"/>
              <w:left w:val="nil"/>
              <w:bottom w:val="nil"/>
              <w:right w:val="nil"/>
            </w:tcBorders>
            <w:shd w:val="clear" w:color="auto" w:fill="auto"/>
            <w:noWrap/>
            <w:vAlign w:val="center"/>
            <w:hideMark/>
          </w:tcPr>
          <w:p w14:paraId="6AE29DCA" w14:textId="77777777" w:rsidR="00735ADD" w:rsidRPr="00F80490" w:rsidRDefault="00735ADD" w:rsidP="00F80490">
            <w:pPr>
              <w:pStyle w:val="TableText"/>
              <w:jc w:val="right"/>
              <w:rPr>
                <w:b/>
                <w:bCs/>
                <w:lang w:val="en-GB" w:eastAsia="zh-CN"/>
              </w:rPr>
            </w:pPr>
            <w:r w:rsidRPr="00F80490">
              <w:rPr>
                <w:b/>
                <w:bCs/>
                <w:lang w:val="en-GB" w:eastAsia="zh-CN"/>
              </w:rPr>
              <w:t>-0.02</w:t>
            </w:r>
          </w:p>
        </w:tc>
        <w:tc>
          <w:tcPr>
            <w:tcW w:w="399" w:type="pct"/>
            <w:gridSpan w:val="2"/>
            <w:tcBorders>
              <w:top w:val="nil"/>
              <w:left w:val="nil"/>
              <w:bottom w:val="nil"/>
              <w:right w:val="nil"/>
            </w:tcBorders>
            <w:shd w:val="clear" w:color="auto" w:fill="auto"/>
            <w:noWrap/>
            <w:vAlign w:val="center"/>
            <w:hideMark/>
          </w:tcPr>
          <w:p w14:paraId="12CC5196" w14:textId="77777777" w:rsidR="00735ADD" w:rsidRPr="00F80490" w:rsidRDefault="00735ADD" w:rsidP="00F80490">
            <w:pPr>
              <w:pStyle w:val="TableText"/>
              <w:jc w:val="right"/>
              <w:rPr>
                <w:b/>
                <w:bCs/>
                <w:lang w:val="en-GB" w:eastAsia="zh-CN"/>
              </w:rPr>
            </w:pPr>
            <w:r w:rsidRPr="00F80490">
              <w:rPr>
                <w:b/>
                <w:bCs/>
                <w:lang w:val="en-GB" w:eastAsia="zh-CN"/>
              </w:rPr>
              <w:t>0.13</w:t>
            </w:r>
          </w:p>
        </w:tc>
        <w:tc>
          <w:tcPr>
            <w:tcW w:w="399" w:type="pct"/>
            <w:tcBorders>
              <w:top w:val="nil"/>
              <w:left w:val="nil"/>
              <w:bottom w:val="nil"/>
              <w:right w:val="nil"/>
            </w:tcBorders>
            <w:shd w:val="clear" w:color="auto" w:fill="auto"/>
            <w:noWrap/>
            <w:vAlign w:val="center"/>
            <w:hideMark/>
          </w:tcPr>
          <w:p w14:paraId="43629D11" w14:textId="77777777" w:rsidR="00735ADD" w:rsidRPr="00F80490" w:rsidRDefault="00735ADD" w:rsidP="00F80490">
            <w:pPr>
              <w:pStyle w:val="TableText"/>
              <w:jc w:val="right"/>
              <w:rPr>
                <w:b/>
                <w:bCs/>
                <w:lang w:val="en-GB" w:eastAsia="zh-CN"/>
              </w:rPr>
            </w:pPr>
            <w:r w:rsidRPr="00F80490">
              <w:rPr>
                <w:b/>
                <w:bCs/>
                <w:lang w:val="en-GB" w:eastAsia="zh-CN"/>
              </w:rPr>
              <w:t>-0.03</w:t>
            </w:r>
          </w:p>
        </w:tc>
        <w:tc>
          <w:tcPr>
            <w:tcW w:w="399" w:type="pct"/>
            <w:gridSpan w:val="2"/>
            <w:tcBorders>
              <w:top w:val="nil"/>
              <w:left w:val="nil"/>
              <w:bottom w:val="nil"/>
              <w:right w:val="nil"/>
            </w:tcBorders>
            <w:shd w:val="clear" w:color="auto" w:fill="auto"/>
            <w:noWrap/>
            <w:vAlign w:val="center"/>
            <w:hideMark/>
          </w:tcPr>
          <w:p w14:paraId="39306A25" w14:textId="77777777" w:rsidR="00735ADD" w:rsidRPr="00F80490" w:rsidRDefault="00735ADD" w:rsidP="00F80490">
            <w:pPr>
              <w:pStyle w:val="TableText"/>
              <w:jc w:val="right"/>
              <w:rPr>
                <w:b/>
                <w:bCs/>
                <w:lang w:val="en-GB" w:eastAsia="zh-CN"/>
              </w:rPr>
            </w:pPr>
            <w:r w:rsidRPr="00F80490">
              <w:rPr>
                <w:b/>
                <w:bCs/>
                <w:lang w:val="en-GB" w:eastAsia="zh-CN"/>
              </w:rPr>
              <w:t>-0.49</w:t>
            </w:r>
          </w:p>
        </w:tc>
        <w:tc>
          <w:tcPr>
            <w:tcW w:w="399" w:type="pct"/>
            <w:tcBorders>
              <w:top w:val="nil"/>
              <w:left w:val="nil"/>
              <w:bottom w:val="nil"/>
              <w:right w:val="nil"/>
            </w:tcBorders>
            <w:shd w:val="clear" w:color="auto" w:fill="auto"/>
            <w:noWrap/>
            <w:vAlign w:val="center"/>
            <w:hideMark/>
          </w:tcPr>
          <w:p w14:paraId="1164E689" w14:textId="77777777" w:rsidR="00735ADD" w:rsidRPr="00F80490" w:rsidRDefault="00735ADD" w:rsidP="00F80490">
            <w:pPr>
              <w:pStyle w:val="TableText"/>
              <w:jc w:val="right"/>
              <w:rPr>
                <w:b/>
                <w:bCs/>
                <w:lang w:val="en-GB" w:eastAsia="zh-CN"/>
              </w:rPr>
            </w:pPr>
            <w:r w:rsidRPr="00F80490">
              <w:rPr>
                <w:b/>
                <w:bCs/>
                <w:lang w:val="en-GB" w:eastAsia="zh-CN"/>
              </w:rPr>
              <w:t>0.50</w:t>
            </w:r>
          </w:p>
        </w:tc>
        <w:tc>
          <w:tcPr>
            <w:tcW w:w="399" w:type="pct"/>
            <w:tcBorders>
              <w:top w:val="nil"/>
              <w:left w:val="nil"/>
              <w:bottom w:val="nil"/>
              <w:right w:val="nil"/>
            </w:tcBorders>
            <w:shd w:val="clear" w:color="auto" w:fill="auto"/>
            <w:noWrap/>
            <w:vAlign w:val="center"/>
            <w:hideMark/>
          </w:tcPr>
          <w:p w14:paraId="66ECC81F" w14:textId="77777777" w:rsidR="00735ADD" w:rsidRPr="00F80490" w:rsidRDefault="00735ADD" w:rsidP="00F80490">
            <w:pPr>
              <w:pStyle w:val="TableText"/>
              <w:jc w:val="right"/>
              <w:rPr>
                <w:b/>
                <w:bCs/>
                <w:lang w:val="en-GB" w:eastAsia="zh-CN"/>
              </w:rPr>
            </w:pPr>
            <w:r w:rsidRPr="00F80490">
              <w:rPr>
                <w:b/>
                <w:bCs/>
                <w:lang w:val="en-GB" w:eastAsia="zh-CN"/>
              </w:rPr>
              <w:t>0.37</w:t>
            </w:r>
          </w:p>
        </w:tc>
        <w:tc>
          <w:tcPr>
            <w:tcW w:w="399" w:type="pct"/>
            <w:gridSpan w:val="2"/>
            <w:tcBorders>
              <w:top w:val="nil"/>
              <w:left w:val="nil"/>
              <w:bottom w:val="nil"/>
              <w:right w:val="nil"/>
            </w:tcBorders>
            <w:shd w:val="clear" w:color="auto" w:fill="auto"/>
            <w:noWrap/>
            <w:vAlign w:val="center"/>
            <w:hideMark/>
          </w:tcPr>
          <w:p w14:paraId="24C62980" w14:textId="77777777" w:rsidR="00735ADD" w:rsidRPr="00F80490" w:rsidRDefault="00735ADD" w:rsidP="00F80490">
            <w:pPr>
              <w:pStyle w:val="TableText"/>
              <w:jc w:val="right"/>
              <w:rPr>
                <w:b/>
                <w:bCs/>
                <w:lang w:val="en-GB" w:eastAsia="zh-CN"/>
              </w:rPr>
            </w:pPr>
            <w:r w:rsidRPr="00F80490">
              <w:rPr>
                <w:b/>
                <w:bCs/>
                <w:lang w:val="en-GB" w:eastAsia="zh-CN"/>
              </w:rPr>
              <w:t>-0.05</w:t>
            </w:r>
          </w:p>
        </w:tc>
        <w:tc>
          <w:tcPr>
            <w:tcW w:w="399" w:type="pct"/>
            <w:tcBorders>
              <w:top w:val="nil"/>
              <w:left w:val="nil"/>
              <w:bottom w:val="nil"/>
              <w:right w:val="nil"/>
            </w:tcBorders>
            <w:shd w:val="clear" w:color="auto" w:fill="auto"/>
            <w:noWrap/>
            <w:vAlign w:val="center"/>
            <w:hideMark/>
          </w:tcPr>
          <w:p w14:paraId="6132DDFA" w14:textId="77777777" w:rsidR="00735ADD" w:rsidRPr="00E33FEA" w:rsidRDefault="00735ADD" w:rsidP="00F80490">
            <w:pPr>
              <w:pStyle w:val="TableText"/>
              <w:jc w:val="right"/>
              <w:rPr>
                <w:lang w:val="en-GB" w:eastAsia="zh-CN"/>
              </w:rPr>
            </w:pPr>
            <w:r w:rsidRPr="003A6185">
              <w:rPr>
                <w:lang w:val="en-GB" w:eastAsia="zh-CN"/>
              </w:rPr>
              <w:t>0.01</w:t>
            </w:r>
          </w:p>
        </w:tc>
        <w:tc>
          <w:tcPr>
            <w:tcW w:w="404" w:type="pct"/>
            <w:tcBorders>
              <w:top w:val="nil"/>
              <w:left w:val="nil"/>
              <w:bottom w:val="nil"/>
              <w:right w:val="nil"/>
            </w:tcBorders>
            <w:shd w:val="clear" w:color="auto" w:fill="auto"/>
            <w:noWrap/>
            <w:vAlign w:val="center"/>
            <w:hideMark/>
          </w:tcPr>
          <w:p w14:paraId="777AAEC9" w14:textId="77777777" w:rsidR="00735ADD" w:rsidRPr="000C0134" w:rsidRDefault="00735ADD" w:rsidP="00F80490">
            <w:pPr>
              <w:pStyle w:val="TableText"/>
              <w:jc w:val="right"/>
              <w:rPr>
                <w:lang w:val="en-GB" w:eastAsia="zh-CN"/>
              </w:rPr>
            </w:pPr>
            <w:r w:rsidRPr="000C0134">
              <w:rPr>
                <w:lang w:val="en-GB" w:eastAsia="zh-CN"/>
              </w:rPr>
              <w:t>1</w:t>
            </w:r>
          </w:p>
        </w:tc>
      </w:tr>
      <w:tr w:rsidR="00735ADD" w:rsidRPr="007A03D3" w14:paraId="6F564D09" w14:textId="77777777" w:rsidTr="00746312">
        <w:trPr>
          <w:trHeight w:val="315"/>
        </w:trPr>
        <w:tc>
          <w:tcPr>
            <w:tcW w:w="606" w:type="pct"/>
            <w:tcBorders>
              <w:top w:val="nil"/>
              <w:left w:val="nil"/>
              <w:bottom w:val="single" w:sz="4" w:space="0" w:color="auto"/>
              <w:right w:val="nil"/>
            </w:tcBorders>
            <w:shd w:val="clear" w:color="auto" w:fill="auto"/>
            <w:noWrap/>
            <w:vAlign w:val="center"/>
            <w:hideMark/>
          </w:tcPr>
          <w:p w14:paraId="14309CBC" w14:textId="37E72D3B" w:rsidR="00735ADD" w:rsidRPr="007A03D3" w:rsidRDefault="00785907" w:rsidP="00F80490">
            <w:pPr>
              <w:pStyle w:val="TableText"/>
              <w:rPr>
                <w:lang w:val="en-GB" w:eastAsia="zh-CN"/>
              </w:rPr>
            </w:pPr>
            <m:oMathPara>
              <m:oMathParaPr>
                <m:jc m:val="left"/>
              </m:oMathParaPr>
              <m:oMath>
                <m:r>
                  <m:rPr>
                    <m:sty m:val="p"/>
                  </m:rPr>
                  <w:rPr>
                    <w:rFonts w:ascii="Cambria Math" w:hAnsi="Cambria Math"/>
                    <w:lang w:val="en-GB" w:eastAsia="zh-CN"/>
                  </w:rPr>
                  <m:t>#</m:t>
                </m:r>
                <m:r>
                  <w:rPr>
                    <w:rFonts w:ascii="Cambria Math" w:hAnsi="Cambria Math"/>
                    <w:lang w:val="en-GB" w:eastAsia="zh-CN"/>
                  </w:rPr>
                  <m:t>ANALYSTS</m:t>
                </m:r>
              </m:oMath>
            </m:oMathPara>
          </w:p>
        </w:tc>
        <w:tc>
          <w:tcPr>
            <w:tcW w:w="399" w:type="pct"/>
            <w:tcBorders>
              <w:top w:val="nil"/>
              <w:left w:val="nil"/>
              <w:bottom w:val="single" w:sz="4" w:space="0" w:color="auto"/>
              <w:right w:val="nil"/>
            </w:tcBorders>
            <w:shd w:val="clear" w:color="auto" w:fill="auto"/>
            <w:noWrap/>
            <w:vAlign w:val="center"/>
            <w:hideMark/>
          </w:tcPr>
          <w:p w14:paraId="27F99D15" w14:textId="77777777" w:rsidR="00735ADD" w:rsidRPr="00F80490" w:rsidRDefault="00735ADD" w:rsidP="00F80490">
            <w:pPr>
              <w:pStyle w:val="TableText"/>
              <w:jc w:val="right"/>
              <w:rPr>
                <w:b/>
                <w:bCs/>
                <w:lang w:val="en-GB" w:eastAsia="zh-CN"/>
              </w:rPr>
            </w:pPr>
            <w:r w:rsidRPr="00F80490">
              <w:rPr>
                <w:b/>
                <w:bCs/>
                <w:lang w:val="en-GB" w:eastAsia="zh-CN"/>
              </w:rPr>
              <w:t>0.06</w:t>
            </w:r>
          </w:p>
        </w:tc>
        <w:tc>
          <w:tcPr>
            <w:tcW w:w="399" w:type="pct"/>
            <w:gridSpan w:val="2"/>
            <w:tcBorders>
              <w:top w:val="nil"/>
              <w:left w:val="nil"/>
              <w:bottom w:val="single" w:sz="4" w:space="0" w:color="auto"/>
              <w:right w:val="nil"/>
            </w:tcBorders>
            <w:shd w:val="clear" w:color="auto" w:fill="auto"/>
            <w:noWrap/>
            <w:vAlign w:val="center"/>
            <w:hideMark/>
          </w:tcPr>
          <w:p w14:paraId="2E0BFEBB" w14:textId="77777777" w:rsidR="00735ADD" w:rsidRPr="00F80490" w:rsidRDefault="00735ADD" w:rsidP="00F80490">
            <w:pPr>
              <w:pStyle w:val="TableText"/>
              <w:jc w:val="right"/>
              <w:rPr>
                <w:b/>
                <w:bCs/>
                <w:lang w:val="en-GB" w:eastAsia="zh-CN"/>
              </w:rPr>
            </w:pPr>
            <w:r w:rsidRPr="00F80490">
              <w:rPr>
                <w:b/>
                <w:bCs/>
                <w:lang w:val="en-GB" w:eastAsia="zh-CN"/>
              </w:rPr>
              <w:t>0.07</w:t>
            </w:r>
          </w:p>
        </w:tc>
        <w:tc>
          <w:tcPr>
            <w:tcW w:w="399" w:type="pct"/>
            <w:tcBorders>
              <w:top w:val="nil"/>
              <w:left w:val="nil"/>
              <w:bottom w:val="single" w:sz="4" w:space="0" w:color="auto"/>
              <w:right w:val="nil"/>
            </w:tcBorders>
            <w:shd w:val="clear" w:color="auto" w:fill="auto"/>
            <w:noWrap/>
            <w:vAlign w:val="center"/>
            <w:hideMark/>
          </w:tcPr>
          <w:p w14:paraId="1D380615" w14:textId="77777777" w:rsidR="00735ADD" w:rsidRPr="00F80490" w:rsidRDefault="00735ADD" w:rsidP="00F80490">
            <w:pPr>
              <w:pStyle w:val="TableText"/>
              <w:jc w:val="right"/>
              <w:rPr>
                <w:b/>
                <w:bCs/>
                <w:lang w:val="en-GB" w:eastAsia="zh-CN"/>
              </w:rPr>
            </w:pPr>
            <w:r w:rsidRPr="00F80490">
              <w:rPr>
                <w:b/>
                <w:bCs/>
                <w:lang w:val="en-GB" w:eastAsia="zh-CN"/>
              </w:rPr>
              <w:t>0.08</w:t>
            </w:r>
          </w:p>
        </w:tc>
        <w:tc>
          <w:tcPr>
            <w:tcW w:w="399" w:type="pct"/>
            <w:gridSpan w:val="2"/>
            <w:tcBorders>
              <w:top w:val="nil"/>
              <w:left w:val="nil"/>
              <w:bottom w:val="single" w:sz="4" w:space="0" w:color="auto"/>
              <w:right w:val="nil"/>
            </w:tcBorders>
            <w:shd w:val="clear" w:color="auto" w:fill="auto"/>
            <w:noWrap/>
            <w:vAlign w:val="center"/>
            <w:hideMark/>
          </w:tcPr>
          <w:p w14:paraId="094E054F" w14:textId="77777777" w:rsidR="00735ADD" w:rsidRPr="00F80490" w:rsidRDefault="00735ADD" w:rsidP="00F80490">
            <w:pPr>
              <w:pStyle w:val="TableText"/>
              <w:jc w:val="right"/>
              <w:rPr>
                <w:b/>
                <w:bCs/>
                <w:lang w:val="en-GB" w:eastAsia="zh-CN"/>
              </w:rPr>
            </w:pPr>
            <w:r w:rsidRPr="00F80490">
              <w:rPr>
                <w:b/>
                <w:bCs/>
                <w:lang w:val="en-GB" w:eastAsia="zh-CN"/>
              </w:rPr>
              <w:t>0.07</w:t>
            </w:r>
          </w:p>
        </w:tc>
        <w:tc>
          <w:tcPr>
            <w:tcW w:w="399" w:type="pct"/>
            <w:tcBorders>
              <w:top w:val="nil"/>
              <w:left w:val="nil"/>
              <w:bottom w:val="single" w:sz="4" w:space="0" w:color="auto"/>
              <w:right w:val="nil"/>
            </w:tcBorders>
            <w:shd w:val="clear" w:color="auto" w:fill="auto"/>
            <w:noWrap/>
            <w:vAlign w:val="center"/>
            <w:hideMark/>
          </w:tcPr>
          <w:p w14:paraId="112E6B96" w14:textId="77777777" w:rsidR="00735ADD" w:rsidRPr="00F80490" w:rsidRDefault="00735ADD" w:rsidP="00F80490">
            <w:pPr>
              <w:pStyle w:val="TableText"/>
              <w:jc w:val="right"/>
              <w:rPr>
                <w:b/>
                <w:bCs/>
                <w:lang w:val="en-GB" w:eastAsia="zh-CN"/>
              </w:rPr>
            </w:pPr>
            <w:r w:rsidRPr="00F80490">
              <w:rPr>
                <w:b/>
                <w:bCs/>
                <w:lang w:val="en-GB" w:eastAsia="zh-CN"/>
              </w:rPr>
              <w:t>-0.03</w:t>
            </w:r>
          </w:p>
        </w:tc>
        <w:tc>
          <w:tcPr>
            <w:tcW w:w="399" w:type="pct"/>
            <w:gridSpan w:val="2"/>
            <w:tcBorders>
              <w:top w:val="nil"/>
              <w:left w:val="nil"/>
              <w:bottom w:val="single" w:sz="4" w:space="0" w:color="auto"/>
              <w:right w:val="nil"/>
            </w:tcBorders>
            <w:shd w:val="clear" w:color="auto" w:fill="auto"/>
            <w:noWrap/>
            <w:vAlign w:val="center"/>
            <w:hideMark/>
          </w:tcPr>
          <w:p w14:paraId="3CE222B3" w14:textId="77777777" w:rsidR="00735ADD" w:rsidRPr="00F80490" w:rsidRDefault="00735ADD" w:rsidP="00F80490">
            <w:pPr>
              <w:pStyle w:val="TableText"/>
              <w:jc w:val="right"/>
              <w:rPr>
                <w:b/>
                <w:bCs/>
                <w:lang w:val="en-GB" w:eastAsia="zh-CN"/>
              </w:rPr>
            </w:pPr>
            <w:r w:rsidRPr="00F80490">
              <w:rPr>
                <w:b/>
                <w:bCs/>
                <w:lang w:val="en-GB" w:eastAsia="zh-CN"/>
              </w:rPr>
              <w:t>-0.24</w:t>
            </w:r>
          </w:p>
        </w:tc>
        <w:tc>
          <w:tcPr>
            <w:tcW w:w="399" w:type="pct"/>
            <w:tcBorders>
              <w:top w:val="nil"/>
              <w:left w:val="nil"/>
              <w:bottom w:val="single" w:sz="4" w:space="0" w:color="auto"/>
              <w:right w:val="nil"/>
            </w:tcBorders>
            <w:shd w:val="clear" w:color="auto" w:fill="auto"/>
            <w:noWrap/>
            <w:vAlign w:val="center"/>
            <w:hideMark/>
          </w:tcPr>
          <w:p w14:paraId="4A59F243" w14:textId="77777777" w:rsidR="00735ADD" w:rsidRPr="00F80490" w:rsidRDefault="00735ADD" w:rsidP="00F80490">
            <w:pPr>
              <w:pStyle w:val="TableText"/>
              <w:jc w:val="right"/>
              <w:rPr>
                <w:b/>
                <w:bCs/>
                <w:lang w:val="en-GB" w:eastAsia="zh-CN"/>
              </w:rPr>
            </w:pPr>
            <w:r w:rsidRPr="00F80490">
              <w:rPr>
                <w:b/>
                <w:bCs/>
                <w:lang w:val="en-GB" w:eastAsia="zh-CN"/>
              </w:rPr>
              <w:t>0.22</w:t>
            </w:r>
          </w:p>
        </w:tc>
        <w:tc>
          <w:tcPr>
            <w:tcW w:w="399" w:type="pct"/>
            <w:tcBorders>
              <w:top w:val="nil"/>
              <w:left w:val="nil"/>
              <w:bottom w:val="single" w:sz="4" w:space="0" w:color="auto"/>
              <w:right w:val="nil"/>
            </w:tcBorders>
            <w:shd w:val="clear" w:color="auto" w:fill="auto"/>
            <w:noWrap/>
            <w:vAlign w:val="center"/>
            <w:hideMark/>
          </w:tcPr>
          <w:p w14:paraId="77AFC7E2" w14:textId="77777777" w:rsidR="00735ADD" w:rsidRPr="00F80490" w:rsidRDefault="00735ADD" w:rsidP="00F80490">
            <w:pPr>
              <w:pStyle w:val="TableText"/>
              <w:jc w:val="right"/>
              <w:rPr>
                <w:b/>
                <w:bCs/>
                <w:lang w:val="en-GB" w:eastAsia="zh-CN"/>
              </w:rPr>
            </w:pPr>
            <w:r w:rsidRPr="00F80490">
              <w:rPr>
                <w:b/>
                <w:bCs/>
                <w:lang w:val="en-GB" w:eastAsia="zh-CN"/>
              </w:rPr>
              <w:t>0.50</w:t>
            </w:r>
          </w:p>
        </w:tc>
        <w:tc>
          <w:tcPr>
            <w:tcW w:w="399" w:type="pct"/>
            <w:gridSpan w:val="2"/>
            <w:tcBorders>
              <w:top w:val="nil"/>
              <w:left w:val="nil"/>
              <w:bottom w:val="single" w:sz="4" w:space="0" w:color="auto"/>
              <w:right w:val="nil"/>
            </w:tcBorders>
            <w:shd w:val="clear" w:color="auto" w:fill="auto"/>
            <w:noWrap/>
            <w:vAlign w:val="center"/>
            <w:hideMark/>
          </w:tcPr>
          <w:p w14:paraId="2D94173F" w14:textId="77777777" w:rsidR="00735ADD" w:rsidRPr="00F80490" w:rsidRDefault="00735ADD" w:rsidP="00F80490">
            <w:pPr>
              <w:pStyle w:val="TableText"/>
              <w:jc w:val="right"/>
              <w:rPr>
                <w:b/>
                <w:bCs/>
                <w:lang w:val="en-GB" w:eastAsia="zh-CN"/>
              </w:rPr>
            </w:pPr>
            <w:r w:rsidRPr="00F80490">
              <w:rPr>
                <w:b/>
                <w:bCs/>
                <w:lang w:val="en-GB" w:eastAsia="zh-CN"/>
              </w:rPr>
              <w:t>0.09</w:t>
            </w:r>
          </w:p>
        </w:tc>
        <w:tc>
          <w:tcPr>
            <w:tcW w:w="399" w:type="pct"/>
            <w:tcBorders>
              <w:top w:val="nil"/>
              <w:left w:val="nil"/>
              <w:bottom w:val="single" w:sz="4" w:space="0" w:color="auto"/>
              <w:right w:val="nil"/>
            </w:tcBorders>
            <w:shd w:val="clear" w:color="auto" w:fill="auto"/>
            <w:noWrap/>
            <w:vAlign w:val="center"/>
            <w:hideMark/>
          </w:tcPr>
          <w:p w14:paraId="254CA654" w14:textId="77777777" w:rsidR="00735ADD" w:rsidRPr="00F80490" w:rsidRDefault="00735ADD" w:rsidP="00F80490">
            <w:pPr>
              <w:pStyle w:val="TableText"/>
              <w:jc w:val="right"/>
              <w:rPr>
                <w:b/>
                <w:bCs/>
                <w:lang w:val="en-GB" w:eastAsia="zh-CN"/>
              </w:rPr>
            </w:pPr>
            <w:r w:rsidRPr="00F80490">
              <w:rPr>
                <w:b/>
                <w:bCs/>
                <w:lang w:val="en-GB" w:eastAsia="zh-CN"/>
              </w:rPr>
              <w:t>0.15</w:t>
            </w:r>
          </w:p>
        </w:tc>
        <w:tc>
          <w:tcPr>
            <w:tcW w:w="404" w:type="pct"/>
            <w:tcBorders>
              <w:top w:val="nil"/>
              <w:left w:val="nil"/>
              <w:bottom w:val="single" w:sz="4" w:space="0" w:color="auto"/>
              <w:right w:val="nil"/>
            </w:tcBorders>
            <w:shd w:val="clear" w:color="auto" w:fill="auto"/>
            <w:noWrap/>
            <w:vAlign w:val="center"/>
            <w:hideMark/>
          </w:tcPr>
          <w:p w14:paraId="0895A136" w14:textId="77777777" w:rsidR="00735ADD" w:rsidRPr="00F80490" w:rsidRDefault="00735ADD" w:rsidP="00F80490">
            <w:pPr>
              <w:pStyle w:val="TableText"/>
              <w:jc w:val="right"/>
              <w:rPr>
                <w:b/>
                <w:bCs/>
                <w:lang w:val="en-GB" w:eastAsia="zh-CN"/>
              </w:rPr>
            </w:pPr>
            <w:r w:rsidRPr="00F80490">
              <w:rPr>
                <w:b/>
                <w:bCs/>
                <w:lang w:val="en-GB" w:eastAsia="zh-CN"/>
              </w:rPr>
              <w:t>0.16</w:t>
            </w:r>
          </w:p>
        </w:tc>
      </w:tr>
      <w:tr w:rsidR="00735ADD" w:rsidRPr="00323BB0" w14:paraId="23DC2C81" w14:textId="77777777" w:rsidTr="00746312">
        <w:trPr>
          <w:trHeight w:val="283"/>
        </w:trPr>
        <w:tc>
          <w:tcPr>
            <w:tcW w:w="5000" w:type="pct"/>
            <w:gridSpan w:val="16"/>
            <w:tcBorders>
              <w:top w:val="single" w:sz="4" w:space="0" w:color="auto"/>
              <w:left w:val="nil"/>
              <w:bottom w:val="nil"/>
              <w:right w:val="nil"/>
            </w:tcBorders>
            <w:shd w:val="clear" w:color="auto" w:fill="auto"/>
            <w:noWrap/>
            <w:vAlign w:val="center"/>
            <w:hideMark/>
          </w:tcPr>
          <w:p w14:paraId="5CD649DB" w14:textId="77777777" w:rsidR="00735ADD" w:rsidRPr="00F80490" w:rsidRDefault="00735ADD" w:rsidP="00F80490">
            <w:pPr>
              <w:pStyle w:val="TableText"/>
              <w:rPr>
                <w:b/>
                <w:bCs/>
              </w:rPr>
            </w:pPr>
            <w:r w:rsidRPr="00F80490">
              <w:rPr>
                <w:b/>
                <w:bCs/>
              </w:rPr>
              <w:t>Panel B: Tone measures</w:t>
            </w:r>
          </w:p>
        </w:tc>
      </w:tr>
      <w:tr w:rsidR="00735ADD" w:rsidRPr="00302CE5" w14:paraId="006D9A54" w14:textId="77777777" w:rsidTr="00746312">
        <w:trPr>
          <w:trHeight w:val="283"/>
        </w:trPr>
        <w:tc>
          <w:tcPr>
            <w:tcW w:w="1175" w:type="pct"/>
            <w:gridSpan w:val="3"/>
            <w:tcBorders>
              <w:top w:val="single" w:sz="4" w:space="0" w:color="auto"/>
              <w:left w:val="nil"/>
              <w:bottom w:val="single" w:sz="4" w:space="0" w:color="auto"/>
              <w:right w:val="nil"/>
            </w:tcBorders>
            <w:shd w:val="clear" w:color="auto" w:fill="auto"/>
            <w:noWrap/>
            <w:vAlign w:val="center"/>
            <w:hideMark/>
          </w:tcPr>
          <w:p w14:paraId="50A41173" w14:textId="77777777" w:rsidR="00735ADD" w:rsidRPr="00302CE5" w:rsidRDefault="00735ADD" w:rsidP="00F80490">
            <w:pPr>
              <w:pStyle w:val="TableText"/>
            </w:pPr>
          </w:p>
        </w:tc>
        <w:tc>
          <w:tcPr>
            <w:tcW w:w="879" w:type="pct"/>
            <w:gridSpan w:val="3"/>
            <w:tcBorders>
              <w:top w:val="single" w:sz="4" w:space="0" w:color="auto"/>
              <w:left w:val="nil"/>
              <w:bottom w:val="single" w:sz="4" w:space="0" w:color="auto"/>
              <w:right w:val="nil"/>
            </w:tcBorders>
            <w:shd w:val="clear" w:color="auto" w:fill="auto"/>
            <w:noWrap/>
            <w:vAlign w:val="center"/>
            <w:hideMark/>
          </w:tcPr>
          <w:p w14:paraId="413E58A5" w14:textId="77777777" w:rsidR="00735ADD" w:rsidRPr="00302CE5" w:rsidRDefault="00735ADD" w:rsidP="00F80490">
            <w:pPr>
              <w:pStyle w:val="TableText"/>
              <w:jc w:val="right"/>
            </w:pPr>
            <m:oMathPara>
              <m:oMath>
                <m:r>
                  <w:rPr>
                    <w:rFonts w:ascii="Cambria Math" w:hAnsi="Cambria Math"/>
                  </w:rPr>
                  <m:t>TONE</m:t>
                </m:r>
                <m:r>
                  <m:rPr>
                    <m:sty m:val="p"/>
                  </m:rPr>
                  <w:rPr>
                    <w:rFonts w:ascii="Cambria Math" w:hAnsi="Cambria Math"/>
                  </w:rPr>
                  <m:t>_</m:t>
                </m:r>
                <m:r>
                  <w:rPr>
                    <w:rFonts w:ascii="Cambria Math" w:hAnsi="Cambria Math"/>
                  </w:rPr>
                  <m:t>C</m:t>
                </m:r>
              </m:oMath>
            </m:oMathPara>
          </w:p>
        </w:tc>
        <w:tc>
          <w:tcPr>
            <w:tcW w:w="880" w:type="pct"/>
            <w:gridSpan w:val="3"/>
            <w:tcBorders>
              <w:top w:val="single" w:sz="4" w:space="0" w:color="auto"/>
              <w:left w:val="nil"/>
              <w:bottom w:val="single" w:sz="4" w:space="0" w:color="auto"/>
              <w:right w:val="nil"/>
            </w:tcBorders>
            <w:shd w:val="clear" w:color="auto" w:fill="auto"/>
            <w:noWrap/>
            <w:vAlign w:val="center"/>
            <w:hideMark/>
          </w:tcPr>
          <w:p w14:paraId="0FDB930D" w14:textId="77777777" w:rsidR="00735ADD" w:rsidRPr="00302CE5" w:rsidRDefault="00735ADD" w:rsidP="00F80490">
            <w:pPr>
              <w:pStyle w:val="TableText"/>
              <w:jc w:val="right"/>
            </w:pPr>
            <m:oMathPara>
              <m:oMath>
                <m:r>
                  <w:rPr>
                    <w:rFonts w:ascii="Cambria Math" w:hAnsi="Cambria Math"/>
                  </w:rPr>
                  <m:t>TONE</m:t>
                </m:r>
                <m:r>
                  <m:rPr>
                    <m:sty m:val="p"/>
                  </m:rPr>
                  <w:rPr>
                    <w:rFonts w:ascii="Cambria Math" w:hAnsi="Cambria Math"/>
                  </w:rPr>
                  <m:t>_</m:t>
                </m:r>
                <m:r>
                  <w:rPr>
                    <w:rFonts w:ascii="Cambria Math" w:hAnsi="Cambria Math"/>
                  </w:rPr>
                  <m:t>P</m:t>
                </m:r>
              </m:oMath>
            </m:oMathPara>
          </w:p>
        </w:tc>
        <w:tc>
          <w:tcPr>
            <w:tcW w:w="891" w:type="pct"/>
            <w:gridSpan w:val="4"/>
            <w:tcBorders>
              <w:top w:val="single" w:sz="4" w:space="0" w:color="auto"/>
              <w:left w:val="nil"/>
              <w:bottom w:val="single" w:sz="4" w:space="0" w:color="auto"/>
              <w:right w:val="nil"/>
            </w:tcBorders>
            <w:shd w:val="clear" w:color="auto" w:fill="auto"/>
            <w:noWrap/>
            <w:vAlign w:val="center"/>
            <w:hideMark/>
          </w:tcPr>
          <w:p w14:paraId="75A51CC8" w14:textId="77777777" w:rsidR="00735ADD" w:rsidRPr="00302CE5" w:rsidRDefault="00735ADD" w:rsidP="00F80490">
            <w:pPr>
              <w:pStyle w:val="TableText"/>
              <w:jc w:val="right"/>
            </w:pPr>
            <m:oMathPara>
              <m:oMath>
                <m:r>
                  <w:rPr>
                    <w:rFonts w:ascii="Cambria Math" w:hAnsi="Cambria Math"/>
                  </w:rPr>
                  <m:t>TONE</m:t>
                </m:r>
                <m:r>
                  <m:rPr>
                    <m:sty m:val="p"/>
                  </m:rPr>
                  <w:rPr>
                    <w:rFonts w:ascii="Cambria Math" w:hAnsi="Cambria Math"/>
                  </w:rPr>
                  <m:t>_</m:t>
                </m:r>
                <m:r>
                  <w:rPr>
                    <w:rFonts w:ascii="Cambria Math" w:hAnsi="Cambria Math"/>
                  </w:rPr>
                  <m:t>Q</m:t>
                </m:r>
              </m:oMath>
            </m:oMathPara>
          </w:p>
        </w:tc>
        <w:tc>
          <w:tcPr>
            <w:tcW w:w="1175" w:type="pct"/>
            <w:gridSpan w:val="3"/>
            <w:tcBorders>
              <w:top w:val="single" w:sz="4" w:space="0" w:color="auto"/>
              <w:left w:val="nil"/>
              <w:bottom w:val="single" w:sz="4" w:space="0" w:color="auto"/>
              <w:right w:val="nil"/>
            </w:tcBorders>
            <w:shd w:val="clear" w:color="auto" w:fill="auto"/>
            <w:noWrap/>
            <w:vAlign w:val="center"/>
            <w:hideMark/>
          </w:tcPr>
          <w:p w14:paraId="5A4E144C" w14:textId="77777777" w:rsidR="00735ADD" w:rsidRPr="00302CE5" w:rsidRDefault="00735ADD" w:rsidP="00F80490">
            <w:pPr>
              <w:pStyle w:val="TableText"/>
              <w:jc w:val="right"/>
              <w:rPr>
                <w:rFonts w:eastAsia="SimSun"/>
              </w:rPr>
            </w:pPr>
            <m:oMathPara>
              <m:oMath>
                <m:r>
                  <w:rPr>
                    <w:rFonts w:ascii="Cambria Math" w:hAnsi="Cambria Math"/>
                  </w:rPr>
                  <m:t>TONE</m:t>
                </m:r>
                <m:r>
                  <m:rPr>
                    <m:sty m:val="p"/>
                  </m:rPr>
                  <w:rPr>
                    <w:rFonts w:ascii="Cambria Math" w:hAnsi="Cambria Math"/>
                  </w:rPr>
                  <m:t>_</m:t>
                </m:r>
                <m:r>
                  <w:rPr>
                    <w:rFonts w:ascii="Cambria Math" w:hAnsi="Cambria Math"/>
                  </w:rPr>
                  <m:t>MAN</m:t>
                </m:r>
              </m:oMath>
            </m:oMathPara>
          </w:p>
        </w:tc>
      </w:tr>
      <w:tr w:rsidR="00735ADD" w:rsidRPr="00302CE5" w14:paraId="367931F0" w14:textId="77777777" w:rsidTr="00746312">
        <w:trPr>
          <w:trHeight w:val="283"/>
        </w:trPr>
        <w:tc>
          <w:tcPr>
            <w:tcW w:w="1175" w:type="pct"/>
            <w:gridSpan w:val="3"/>
            <w:tcBorders>
              <w:top w:val="nil"/>
              <w:left w:val="nil"/>
              <w:bottom w:val="nil"/>
              <w:right w:val="nil"/>
            </w:tcBorders>
            <w:shd w:val="clear" w:color="auto" w:fill="auto"/>
            <w:noWrap/>
            <w:vAlign w:val="center"/>
            <w:hideMark/>
          </w:tcPr>
          <w:p w14:paraId="07C63F84" w14:textId="77777777" w:rsidR="00735ADD" w:rsidRPr="00302CE5" w:rsidRDefault="00735ADD" w:rsidP="00F80490">
            <w:pPr>
              <w:pStyle w:val="TableText"/>
            </w:pPr>
            <m:oMathPara>
              <m:oMathParaPr>
                <m:jc m:val="left"/>
              </m:oMathParaPr>
              <m:oMath>
                <m:r>
                  <w:rPr>
                    <w:rFonts w:ascii="Cambria Math" w:hAnsi="Cambria Math"/>
                  </w:rPr>
                  <m:t>TONE</m:t>
                </m:r>
                <m:r>
                  <m:rPr>
                    <m:sty m:val="p"/>
                  </m:rPr>
                  <w:rPr>
                    <w:rFonts w:ascii="Cambria Math" w:hAnsi="Cambria Math"/>
                  </w:rPr>
                  <m:t>_</m:t>
                </m:r>
                <m:r>
                  <w:rPr>
                    <w:rFonts w:ascii="Cambria Math" w:hAnsi="Cambria Math"/>
                  </w:rPr>
                  <m:t>C</m:t>
                </m:r>
              </m:oMath>
            </m:oMathPara>
          </w:p>
        </w:tc>
        <w:tc>
          <w:tcPr>
            <w:tcW w:w="879" w:type="pct"/>
            <w:gridSpan w:val="3"/>
            <w:tcBorders>
              <w:top w:val="nil"/>
              <w:left w:val="nil"/>
              <w:bottom w:val="nil"/>
              <w:right w:val="nil"/>
            </w:tcBorders>
            <w:shd w:val="clear" w:color="auto" w:fill="auto"/>
            <w:noWrap/>
            <w:vAlign w:val="center"/>
            <w:hideMark/>
          </w:tcPr>
          <w:p w14:paraId="5B7F6ADE" w14:textId="77777777" w:rsidR="00735ADD" w:rsidRPr="00302CE5" w:rsidRDefault="00735ADD" w:rsidP="00F80490">
            <w:pPr>
              <w:pStyle w:val="TableText"/>
              <w:jc w:val="right"/>
              <w:rPr>
                <w:rFonts w:eastAsia="Times New Roman"/>
              </w:rPr>
            </w:pPr>
            <w:r w:rsidRPr="00302CE5">
              <w:rPr>
                <w:lang w:val="en-GB" w:eastAsia="zh-CN"/>
              </w:rPr>
              <w:t>1</w:t>
            </w:r>
          </w:p>
        </w:tc>
        <w:tc>
          <w:tcPr>
            <w:tcW w:w="880" w:type="pct"/>
            <w:gridSpan w:val="3"/>
            <w:tcBorders>
              <w:top w:val="nil"/>
              <w:left w:val="nil"/>
              <w:bottom w:val="nil"/>
              <w:right w:val="nil"/>
            </w:tcBorders>
            <w:shd w:val="clear" w:color="auto" w:fill="auto"/>
            <w:noWrap/>
            <w:vAlign w:val="center"/>
            <w:hideMark/>
          </w:tcPr>
          <w:p w14:paraId="4233A9AB" w14:textId="77777777" w:rsidR="00735ADD" w:rsidRPr="00302CE5" w:rsidRDefault="00735ADD" w:rsidP="00F80490">
            <w:pPr>
              <w:pStyle w:val="TableText"/>
              <w:jc w:val="right"/>
            </w:pPr>
          </w:p>
        </w:tc>
        <w:tc>
          <w:tcPr>
            <w:tcW w:w="891" w:type="pct"/>
            <w:gridSpan w:val="4"/>
            <w:tcBorders>
              <w:top w:val="nil"/>
              <w:left w:val="nil"/>
              <w:bottom w:val="nil"/>
              <w:right w:val="nil"/>
            </w:tcBorders>
            <w:shd w:val="clear" w:color="auto" w:fill="auto"/>
            <w:noWrap/>
            <w:vAlign w:val="center"/>
            <w:hideMark/>
          </w:tcPr>
          <w:p w14:paraId="5300CD34" w14:textId="77777777" w:rsidR="00735ADD" w:rsidRPr="00302CE5" w:rsidRDefault="00735ADD" w:rsidP="00F80490">
            <w:pPr>
              <w:pStyle w:val="TableText"/>
              <w:jc w:val="right"/>
            </w:pPr>
          </w:p>
        </w:tc>
        <w:tc>
          <w:tcPr>
            <w:tcW w:w="1175" w:type="pct"/>
            <w:gridSpan w:val="3"/>
            <w:tcBorders>
              <w:top w:val="nil"/>
              <w:left w:val="nil"/>
              <w:bottom w:val="nil"/>
              <w:right w:val="nil"/>
            </w:tcBorders>
            <w:shd w:val="clear" w:color="auto" w:fill="auto"/>
            <w:noWrap/>
            <w:vAlign w:val="center"/>
            <w:hideMark/>
          </w:tcPr>
          <w:p w14:paraId="60CD13B0" w14:textId="77777777" w:rsidR="00735ADD" w:rsidRPr="00302CE5" w:rsidRDefault="00735ADD" w:rsidP="00F80490">
            <w:pPr>
              <w:pStyle w:val="TableText"/>
              <w:jc w:val="right"/>
            </w:pPr>
          </w:p>
        </w:tc>
      </w:tr>
      <w:tr w:rsidR="00735ADD" w:rsidRPr="00302CE5" w14:paraId="1D3BCF0D" w14:textId="77777777" w:rsidTr="00746312">
        <w:trPr>
          <w:trHeight w:val="283"/>
        </w:trPr>
        <w:tc>
          <w:tcPr>
            <w:tcW w:w="1175" w:type="pct"/>
            <w:gridSpan w:val="3"/>
            <w:tcBorders>
              <w:top w:val="nil"/>
              <w:left w:val="nil"/>
              <w:bottom w:val="nil"/>
              <w:right w:val="nil"/>
            </w:tcBorders>
            <w:shd w:val="clear" w:color="auto" w:fill="auto"/>
            <w:noWrap/>
            <w:vAlign w:val="center"/>
            <w:hideMark/>
          </w:tcPr>
          <w:p w14:paraId="627D8659" w14:textId="72FAB40C" w:rsidR="00735ADD" w:rsidRPr="00302CE5" w:rsidRDefault="00785907" w:rsidP="00F80490">
            <w:pPr>
              <w:pStyle w:val="TableText"/>
            </w:pPr>
            <m:oMathPara>
              <m:oMathParaPr>
                <m:jc m:val="left"/>
              </m:oMathParaPr>
              <m:oMath>
                <m:r>
                  <w:rPr>
                    <w:rFonts w:ascii="Cambria Math" w:hAnsi="Cambria Math"/>
                  </w:rPr>
                  <m:t>TONE</m:t>
                </m:r>
                <m:r>
                  <m:rPr>
                    <m:sty m:val="p"/>
                  </m:rPr>
                  <w:rPr>
                    <w:rFonts w:ascii="Cambria Math" w:hAnsi="Cambria Math"/>
                  </w:rPr>
                  <m:t>_</m:t>
                </m:r>
                <m:r>
                  <w:rPr>
                    <w:rFonts w:ascii="Cambria Math" w:hAnsi="Cambria Math"/>
                  </w:rPr>
                  <m:t>P</m:t>
                </m:r>
              </m:oMath>
            </m:oMathPara>
          </w:p>
        </w:tc>
        <w:tc>
          <w:tcPr>
            <w:tcW w:w="879" w:type="pct"/>
            <w:gridSpan w:val="3"/>
            <w:tcBorders>
              <w:top w:val="nil"/>
              <w:left w:val="nil"/>
              <w:bottom w:val="nil"/>
              <w:right w:val="nil"/>
            </w:tcBorders>
            <w:shd w:val="clear" w:color="auto" w:fill="auto"/>
            <w:noWrap/>
            <w:vAlign w:val="center"/>
            <w:hideMark/>
          </w:tcPr>
          <w:p w14:paraId="0497ED16" w14:textId="77777777" w:rsidR="00735ADD" w:rsidRPr="00F80490" w:rsidRDefault="00735ADD" w:rsidP="00F80490">
            <w:pPr>
              <w:pStyle w:val="TableText"/>
              <w:jc w:val="right"/>
              <w:rPr>
                <w:rFonts w:eastAsia="Times New Roman"/>
                <w:b/>
                <w:bCs/>
              </w:rPr>
            </w:pPr>
            <w:r w:rsidRPr="00F80490">
              <w:rPr>
                <w:b/>
                <w:bCs/>
                <w:lang w:val="en-GB" w:eastAsia="zh-CN"/>
              </w:rPr>
              <w:t>0.84</w:t>
            </w:r>
          </w:p>
        </w:tc>
        <w:tc>
          <w:tcPr>
            <w:tcW w:w="880" w:type="pct"/>
            <w:gridSpan w:val="3"/>
            <w:tcBorders>
              <w:top w:val="nil"/>
              <w:left w:val="nil"/>
              <w:bottom w:val="nil"/>
              <w:right w:val="nil"/>
            </w:tcBorders>
            <w:shd w:val="clear" w:color="auto" w:fill="auto"/>
            <w:noWrap/>
            <w:vAlign w:val="center"/>
            <w:hideMark/>
          </w:tcPr>
          <w:p w14:paraId="536F15EB" w14:textId="77777777" w:rsidR="00735ADD" w:rsidRPr="00302CE5" w:rsidRDefault="00735ADD" w:rsidP="00F80490">
            <w:pPr>
              <w:pStyle w:val="TableText"/>
              <w:jc w:val="right"/>
              <w:rPr>
                <w:rFonts w:eastAsia="Times New Roman"/>
              </w:rPr>
            </w:pPr>
            <w:r w:rsidRPr="00302CE5">
              <w:rPr>
                <w:lang w:val="en-GB" w:eastAsia="zh-CN"/>
              </w:rPr>
              <w:t>1</w:t>
            </w:r>
          </w:p>
        </w:tc>
        <w:tc>
          <w:tcPr>
            <w:tcW w:w="891" w:type="pct"/>
            <w:gridSpan w:val="4"/>
            <w:tcBorders>
              <w:top w:val="nil"/>
              <w:left w:val="nil"/>
              <w:bottom w:val="nil"/>
              <w:right w:val="nil"/>
            </w:tcBorders>
            <w:shd w:val="clear" w:color="auto" w:fill="auto"/>
            <w:noWrap/>
            <w:vAlign w:val="center"/>
            <w:hideMark/>
          </w:tcPr>
          <w:p w14:paraId="67A8C9A9" w14:textId="77777777" w:rsidR="00735ADD" w:rsidRPr="00302CE5" w:rsidRDefault="00735ADD" w:rsidP="00F80490">
            <w:pPr>
              <w:pStyle w:val="TableText"/>
              <w:jc w:val="right"/>
            </w:pPr>
          </w:p>
        </w:tc>
        <w:tc>
          <w:tcPr>
            <w:tcW w:w="1175" w:type="pct"/>
            <w:gridSpan w:val="3"/>
            <w:tcBorders>
              <w:top w:val="nil"/>
              <w:left w:val="nil"/>
              <w:bottom w:val="nil"/>
              <w:right w:val="nil"/>
            </w:tcBorders>
            <w:shd w:val="clear" w:color="auto" w:fill="auto"/>
            <w:noWrap/>
            <w:vAlign w:val="center"/>
            <w:hideMark/>
          </w:tcPr>
          <w:p w14:paraId="514D4ACF" w14:textId="77777777" w:rsidR="00735ADD" w:rsidRPr="00302CE5" w:rsidRDefault="00735ADD" w:rsidP="00F80490">
            <w:pPr>
              <w:pStyle w:val="TableText"/>
              <w:jc w:val="right"/>
            </w:pPr>
          </w:p>
        </w:tc>
      </w:tr>
      <w:tr w:rsidR="00735ADD" w:rsidRPr="00302CE5" w14:paraId="3DDB5F2E" w14:textId="77777777" w:rsidTr="00746312">
        <w:trPr>
          <w:trHeight w:val="283"/>
        </w:trPr>
        <w:tc>
          <w:tcPr>
            <w:tcW w:w="1175" w:type="pct"/>
            <w:gridSpan w:val="3"/>
            <w:tcBorders>
              <w:top w:val="nil"/>
              <w:left w:val="nil"/>
              <w:bottom w:val="nil"/>
              <w:right w:val="nil"/>
            </w:tcBorders>
            <w:shd w:val="clear" w:color="auto" w:fill="auto"/>
            <w:noWrap/>
            <w:vAlign w:val="center"/>
            <w:hideMark/>
          </w:tcPr>
          <w:p w14:paraId="1A82F620" w14:textId="321EA64F" w:rsidR="00735ADD" w:rsidRPr="00302CE5" w:rsidRDefault="00785907" w:rsidP="00F80490">
            <w:pPr>
              <w:pStyle w:val="TableText"/>
            </w:pPr>
            <m:oMathPara>
              <m:oMathParaPr>
                <m:jc m:val="left"/>
              </m:oMathParaPr>
              <m:oMath>
                <m:r>
                  <w:rPr>
                    <w:rFonts w:ascii="Cambria Math" w:hAnsi="Cambria Math"/>
                  </w:rPr>
                  <m:t>TONE</m:t>
                </m:r>
                <m:r>
                  <m:rPr>
                    <m:sty m:val="p"/>
                  </m:rPr>
                  <w:rPr>
                    <w:rFonts w:ascii="Cambria Math" w:hAnsi="Cambria Math"/>
                  </w:rPr>
                  <m:t>_</m:t>
                </m:r>
                <m:r>
                  <w:rPr>
                    <w:rFonts w:ascii="Cambria Math" w:hAnsi="Cambria Math"/>
                  </w:rPr>
                  <m:t>Q</m:t>
                </m:r>
              </m:oMath>
            </m:oMathPara>
          </w:p>
        </w:tc>
        <w:tc>
          <w:tcPr>
            <w:tcW w:w="879" w:type="pct"/>
            <w:gridSpan w:val="3"/>
            <w:tcBorders>
              <w:top w:val="nil"/>
              <w:left w:val="nil"/>
              <w:bottom w:val="nil"/>
              <w:right w:val="nil"/>
            </w:tcBorders>
            <w:shd w:val="clear" w:color="auto" w:fill="auto"/>
            <w:noWrap/>
            <w:vAlign w:val="center"/>
            <w:hideMark/>
          </w:tcPr>
          <w:p w14:paraId="2D28D948" w14:textId="77777777" w:rsidR="00735ADD" w:rsidRPr="00F80490" w:rsidRDefault="00735ADD" w:rsidP="00F80490">
            <w:pPr>
              <w:pStyle w:val="TableText"/>
              <w:jc w:val="right"/>
              <w:rPr>
                <w:rFonts w:eastAsia="Times New Roman"/>
                <w:b/>
                <w:bCs/>
              </w:rPr>
            </w:pPr>
            <w:r w:rsidRPr="00F80490">
              <w:rPr>
                <w:b/>
                <w:bCs/>
                <w:lang w:val="en-GB" w:eastAsia="zh-CN"/>
              </w:rPr>
              <w:t>0.75</w:t>
            </w:r>
          </w:p>
        </w:tc>
        <w:tc>
          <w:tcPr>
            <w:tcW w:w="880" w:type="pct"/>
            <w:gridSpan w:val="3"/>
            <w:tcBorders>
              <w:top w:val="nil"/>
              <w:left w:val="nil"/>
              <w:bottom w:val="nil"/>
              <w:right w:val="nil"/>
            </w:tcBorders>
            <w:shd w:val="clear" w:color="auto" w:fill="auto"/>
            <w:noWrap/>
            <w:vAlign w:val="center"/>
            <w:hideMark/>
          </w:tcPr>
          <w:p w14:paraId="132466B7" w14:textId="77777777" w:rsidR="00735ADD" w:rsidRPr="00F80490" w:rsidRDefault="00735ADD" w:rsidP="00F80490">
            <w:pPr>
              <w:pStyle w:val="TableText"/>
              <w:jc w:val="right"/>
              <w:rPr>
                <w:rFonts w:eastAsia="Times New Roman"/>
                <w:b/>
                <w:bCs/>
              </w:rPr>
            </w:pPr>
            <w:r w:rsidRPr="00F80490">
              <w:rPr>
                <w:b/>
                <w:bCs/>
                <w:lang w:val="en-GB" w:eastAsia="zh-CN"/>
              </w:rPr>
              <w:t>0.38</w:t>
            </w:r>
          </w:p>
        </w:tc>
        <w:tc>
          <w:tcPr>
            <w:tcW w:w="891" w:type="pct"/>
            <w:gridSpan w:val="4"/>
            <w:tcBorders>
              <w:top w:val="nil"/>
              <w:left w:val="nil"/>
              <w:bottom w:val="nil"/>
              <w:right w:val="nil"/>
            </w:tcBorders>
            <w:shd w:val="clear" w:color="auto" w:fill="auto"/>
            <w:noWrap/>
            <w:vAlign w:val="center"/>
            <w:hideMark/>
          </w:tcPr>
          <w:p w14:paraId="76853FDC" w14:textId="77777777" w:rsidR="00735ADD" w:rsidRPr="00302CE5" w:rsidRDefault="00735ADD" w:rsidP="00F80490">
            <w:pPr>
              <w:pStyle w:val="TableText"/>
              <w:jc w:val="right"/>
              <w:rPr>
                <w:rFonts w:eastAsia="Times New Roman"/>
              </w:rPr>
            </w:pPr>
            <w:r w:rsidRPr="00302CE5">
              <w:rPr>
                <w:lang w:val="en-GB" w:eastAsia="zh-CN"/>
              </w:rPr>
              <w:t>1</w:t>
            </w:r>
          </w:p>
        </w:tc>
        <w:tc>
          <w:tcPr>
            <w:tcW w:w="1175" w:type="pct"/>
            <w:gridSpan w:val="3"/>
            <w:tcBorders>
              <w:top w:val="nil"/>
              <w:left w:val="nil"/>
              <w:bottom w:val="nil"/>
              <w:right w:val="nil"/>
            </w:tcBorders>
            <w:shd w:val="clear" w:color="auto" w:fill="auto"/>
            <w:noWrap/>
            <w:vAlign w:val="center"/>
            <w:hideMark/>
          </w:tcPr>
          <w:p w14:paraId="70EFE2C4" w14:textId="77777777" w:rsidR="00735ADD" w:rsidRPr="00302CE5" w:rsidRDefault="00735ADD" w:rsidP="00F80490">
            <w:pPr>
              <w:pStyle w:val="TableText"/>
              <w:jc w:val="right"/>
            </w:pPr>
          </w:p>
        </w:tc>
      </w:tr>
      <w:tr w:rsidR="00735ADD" w:rsidRPr="00302CE5" w14:paraId="7DF5F03F" w14:textId="77777777" w:rsidTr="00746312">
        <w:trPr>
          <w:trHeight w:val="283"/>
        </w:trPr>
        <w:tc>
          <w:tcPr>
            <w:tcW w:w="1175" w:type="pct"/>
            <w:gridSpan w:val="3"/>
            <w:tcBorders>
              <w:top w:val="nil"/>
              <w:left w:val="nil"/>
              <w:bottom w:val="nil"/>
              <w:right w:val="nil"/>
            </w:tcBorders>
            <w:shd w:val="clear" w:color="auto" w:fill="auto"/>
            <w:noWrap/>
            <w:vAlign w:val="center"/>
            <w:hideMark/>
          </w:tcPr>
          <w:p w14:paraId="23DF49CB" w14:textId="6F35EFB9" w:rsidR="00735ADD" w:rsidRPr="00302CE5" w:rsidRDefault="00785907" w:rsidP="00F80490">
            <w:pPr>
              <w:pStyle w:val="TableText"/>
              <w:rPr>
                <w:rFonts w:eastAsia="SimSun"/>
              </w:rPr>
            </w:pPr>
            <m:oMathPara>
              <m:oMathParaPr>
                <m:jc m:val="left"/>
              </m:oMathParaPr>
              <m:oMath>
                <m:r>
                  <w:rPr>
                    <w:rFonts w:ascii="Cambria Math" w:hAnsi="Cambria Math"/>
                  </w:rPr>
                  <m:t>TONE</m:t>
                </m:r>
                <m:r>
                  <m:rPr>
                    <m:sty m:val="p"/>
                  </m:rPr>
                  <w:rPr>
                    <w:rFonts w:ascii="Cambria Math" w:hAnsi="Cambria Math"/>
                  </w:rPr>
                  <m:t>_</m:t>
                </m:r>
                <m:r>
                  <w:rPr>
                    <w:rFonts w:ascii="Cambria Math" w:hAnsi="Cambria Math"/>
                  </w:rPr>
                  <m:t>MAN</m:t>
                </m:r>
              </m:oMath>
            </m:oMathPara>
          </w:p>
        </w:tc>
        <w:tc>
          <w:tcPr>
            <w:tcW w:w="879" w:type="pct"/>
            <w:gridSpan w:val="3"/>
            <w:tcBorders>
              <w:top w:val="nil"/>
              <w:left w:val="nil"/>
              <w:bottom w:val="nil"/>
              <w:right w:val="nil"/>
            </w:tcBorders>
            <w:shd w:val="clear" w:color="auto" w:fill="auto"/>
            <w:noWrap/>
            <w:vAlign w:val="center"/>
            <w:hideMark/>
          </w:tcPr>
          <w:p w14:paraId="481EC1AB" w14:textId="77777777" w:rsidR="00735ADD" w:rsidRPr="00F80490" w:rsidRDefault="00735ADD" w:rsidP="00F80490">
            <w:pPr>
              <w:pStyle w:val="TableText"/>
              <w:jc w:val="right"/>
              <w:rPr>
                <w:rFonts w:eastAsia="Times New Roman"/>
                <w:b/>
                <w:bCs/>
              </w:rPr>
            </w:pPr>
            <w:r w:rsidRPr="00F80490">
              <w:rPr>
                <w:b/>
                <w:bCs/>
                <w:lang w:val="en-GB" w:eastAsia="zh-CN"/>
              </w:rPr>
              <w:t>0.70</w:t>
            </w:r>
          </w:p>
        </w:tc>
        <w:tc>
          <w:tcPr>
            <w:tcW w:w="880" w:type="pct"/>
            <w:gridSpan w:val="3"/>
            <w:tcBorders>
              <w:top w:val="nil"/>
              <w:left w:val="nil"/>
              <w:bottom w:val="nil"/>
              <w:right w:val="nil"/>
            </w:tcBorders>
            <w:shd w:val="clear" w:color="auto" w:fill="auto"/>
            <w:noWrap/>
            <w:vAlign w:val="center"/>
            <w:hideMark/>
          </w:tcPr>
          <w:p w14:paraId="5EF89D8D" w14:textId="77777777" w:rsidR="00735ADD" w:rsidRPr="00F80490" w:rsidRDefault="00735ADD" w:rsidP="00F80490">
            <w:pPr>
              <w:pStyle w:val="TableText"/>
              <w:jc w:val="right"/>
              <w:rPr>
                <w:rFonts w:eastAsia="Times New Roman"/>
                <w:b/>
                <w:bCs/>
              </w:rPr>
            </w:pPr>
            <w:r w:rsidRPr="00F80490">
              <w:rPr>
                <w:b/>
                <w:bCs/>
                <w:lang w:val="en-GB" w:eastAsia="zh-CN"/>
              </w:rPr>
              <w:t>0.38</w:t>
            </w:r>
          </w:p>
        </w:tc>
        <w:tc>
          <w:tcPr>
            <w:tcW w:w="891" w:type="pct"/>
            <w:gridSpan w:val="4"/>
            <w:tcBorders>
              <w:top w:val="nil"/>
              <w:left w:val="nil"/>
              <w:bottom w:val="nil"/>
              <w:right w:val="nil"/>
            </w:tcBorders>
            <w:shd w:val="clear" w:color="auto" w:fill="auto"/>
            <w:noWrap/>
            <w:vAlign w:val="center"/>
            <w:hideMark/>
          </w:tcPr>
          <w:p w14:paraId="02C121AA" w14:textId="77777777" w:rsidR="00735ADD" w:rsidRPr="00F80490" w:rsidRDefault="00735ADD" w:rsidP="00F80490">
            <w:pPr>
              <w:pStyle w:val="TableText"/>
              <w:jc w:val="right"/>
              <w:rPr>
                <w:rFonts w:eastAsia="Times New Roman"/>
                <w:b/>
                <w:bCs/>
              </w:rPr>
            </w:pPr>
            <w:r w:rsidRPr="00F80490">
              <w:rPr>
                <w:b/>
                <w:bCs/>
                <w:lang w:val="en-GB" w:eastAsia="zh-CN"/>
              </w:rPr>
              <w:t>0.89</w:t>
            </w:r>
          </w:p>
        </w:tc>
        <w:tc>
          <w:tcPr>
            <w:tcW w:w="1175" w:type="pct"/>
            <w:gridSpan w:val="3"/>
            <w:tcBorders>
              <w:top w:val="nil"/>
              <w:left w:val="nil"/>
              <w:bottom w:val="nil"/>
              <w:right w:val="nil"/>
            </w:tcBorders>
            <w:shd w:val="clear" w:color="auto" w:fill="auto"/>
            <w:noWrap/>
            <w:vAlign w:val="center"/>
            <w:hideMark/>
          </w:tcPr>
          <w:p w14:paraId="46351867" w14:textId="77777777" w:rsidR="00735ADD" w:rsidRPr="00302CE5" w:rsidRDefault="00735ADD" w:rsidP="00F80490">
            <w:pPr>
              <w:pStyle w:val="TableText"/>
              <w:jc w:val="right"/>
              <w:rPr>
                <w:rFonts w:eastAsia="Times New Roman"/>
              </w:rPr>
            </w:pPr>
            <w:r w:rsidRPr="00302CE5">
              <w:rPr>
                <w:lang w:val="en-GB" w:eastAsia="zh-CN"/>
              </w:rPr>
              <w:t>1</w:t>
            </w:r>
          </w:p>
        </w:tc>
      </w:tr>
      <w:tr w:rsidR="00735ADD" w:rsidRPr="00785907" w14:paraId="55A92F84" w14:textId="77777777" w:rsidTr="00746312">
        <w:trPr>
          <w:trHeight w:val="283"/>
        </w:trPr>
        <w:tc>
          <w:tcPr>
            <w:tcW w:w="1175" w:type="pct"/>
            <w:gridSpan w:val="3"/>
            <w:tcBorders>
              <w:top w:val="nil"/>
              <w:left w:val="nil"/>
              <w:bottom w:val="single" w:sz="4" w:space="0" w:color="auto"/>
              <w:right w:val="nil"/>
            </w:tcBorders>
            <w:shd w:val="clear" w:color="auto" w:fill="auto"/>
            <w:noWrap/>
            <w:vAlign w:val="center"/>
            <w:hideMark/>
          </w:tcPr>
          <w:p w14:paraId="5F0EA702" w14:textId="466F30D3" w:rsidR="00735ADD" w:rsidRPr="00302CE5" w:rsidRDefault="00785907" w:rsidP="00F80490">
            <w:pPr>
              <w:pStyle w:val="TableText"/>
              <w:rPr>
                <w:rFonts w:eastAsia="SimSun"/>
              </w:rPr>
            </w:pPr>
            <m:oMathPara>
              <m:oMathParaPr>
                <m:jc m:val="left"/>
              </m:oMathParaPr>
              <m:oMath>
                <m:r>
                  <w:rPr>
                    <w:rFonts w:ascii="Cambria Math" w:hAnsi="Cambria Math"/>
                  </w:rPr>
                  <m:t>TONE</m:t>
                </m:r>
                <m:r>
                  <m:rPr>
                    <m:sty m:val="p"/>
                  </m:rPr>
                  <w:rPr>
                    <w:rFonts w:ascii="Cambria Math" w:hAnsi="Cambria Math"/>
                  </w:rPr>
                  <m:t>_</m:t>
                </m:r>
                <m:r>
                  <w:rPr>
                    <w:rFonts w:ascii="Cambria Math" w:hAnsi="Cambria Math"/>
                  </w:rPr>
                  <m:t>PAR</m:t>
                </m:r>
              </m:oMath>
            </m:oMathPara>
          </w:p>
        </w:tc>
        <w:tc>
          <w:tcPr>
            <w:tcW w:w="879" w:type="pct"/>
            <w:gridSpan w:val="3"/>
            <w:tcBorders>
              <w:top w:val="nil"/>
              <w:left w:val="nil"/>
              <w:bottom w:val="single" w:sz="4" w:space="0" w:color="auto"/>
              <w:right w:val="nil"/>
            </w:tcBorders>
            <w:shd w:val="clear" w:color="auto" w:fill="auto"/>
            <w:noWrap/>
            <w:vAlign w:val="center"/>
            <w:hideMark/>
          </w:tcPr>
          <w:p w14:paraId="5029D6F6" w14:textId="77777777" w:rsidR="00735ADD" w:rsidRPr="00F80490" w:rsidRDefault="00735ADD" w:rsidP="00F80490">
            <w:pPr>
              <w:pStyle w:val="TableText"/>
              <w:jc w:val="right"/>
              <w:rPr>
                <w:rFonts w:eastAsia="Times New Roman"/>
                <w:b/>
                <w:bCs/>
              </w:rPr>
            </w:pPr>
            <w:r w:rsidRPr="00F80490">
              <w:rPr>
                <w:b/>
                <w:bCs/>
                <w:lang w:val="en-GB" w:eastAsia="zh-CN"/>
              </w:rPr>
              <w:t>0.40</w:t>
            </w:r>
          </w:p>
        </w:tc>
        <w:tc>
          <w:tcPr>
            <w:tcW w:w="880" w:type="pct"/>
            <w:gridSpan w:val="3"/>
            <w:tcBorders>
              <w:top w:val="nil"/>
              <w:left w:val="nil"/>
              <w:bottom w:val="single" w:sz="4" w:space="0" w:color="auto"/>
              <w:right w:val="nil"/>
            </w:tcBorders>
            <w:shd w:val="clear" w:color="auto" w:fill="auto"/>
            <w:noWrap/>
            <w:vAlign w:val="center"/>
            <w:hideMark/>
          </w:tcPr>
          <w:p w14:paraId="70287009" w14:textId="77777777" w:rsidR="00735ADD" w:rsidRPr="00F80490" w:rsidRDefault="00735ADD" w:rsidP="00F80490">
            <w:pPr>
              <w:pStyle w:val="TableText"/>
              <w:jc w:val="right"/>
              <w:rPr>
                <w:rFonts w:eastAsia="Times New Roman"/>
                <w:b/>
                <w:bCs/>
              </w:rPr>
            </w:pPr>
            <w:r w:rsidRPr="00F80490">
              <w:rPr>
                <w:b/>
                <w:bCs/>
                <w:lang w:val="en-GB" w:eastAsia="zh-CN"/>
              </w:rPr>
              <w:t>0.18</w:t>
            </w:r>
          </w:p>
        </w:tc>
        <w:tc>
          <w:tcPr>
            <w:tcW w:w="891" w:type="pct"/>
            <w:gridSpan w:val="4"/>
            <w:tcBorders>
              <w:top w:val="nil"/>
              <w:left w:val="nil"/>
              <w:bottom w:val="single" w:sz="4" w:space="0" w:color="auto"/>
              <w:right w:val="nil"/>
            </w:tcBorders>
            <w:shd w:val="clear" w:color="auto" w:fill="auto"/>
            <w:noWrap/>
            <w:vAlign w:val="center"/>
            <w:hideMark/>
          </w:tcPr>
          <w:p w14:paraId="5A5EECD9" w14:textId="77777777" w:rsidR="00735ADD" w:rsidRPr="00F80490" w:rsidRDefault="00735ADD" w:rsidP="00F80490">
            <w:pPr>
              <w:pStyle w:val="TableText"/>
              <w:jc w:val="right"/>
              <w:rPr>
                <w:rFonts w:eastAsia="Times New Roman"/>
                <w:b/>
                <w:bCs/>
              </w:rPr>
            </w:pPr>
            <w:r w:rsidRPr="00F80490">
              <w:rPr>
                <w:b/>
                <w:bCs/>
                <w:lang w:val="en-GB" w:eastAsia="zh-CN"/>
              </w:rPr>
              <w:t>0.60</w:t>
            </w:r>
          </w:p>
        </w:tc>
        <w:tc>
          <w:tcPr>
            <w:tcW w:w="1175" w:type="pct"/>
            <w:gridSpan w:val="3"/>
            <w:tcBorders>
              <w:top w:val="nil"/>
              <w:left w:val="nil"/>
              <w:bottom w:val="single" w:sz="4" w:space="0" w:color="auto"/>
              <w:right w:val="nil"/>
            </w:tcBorders>
            <w:shd w:val="clear" w:color="auto" w:fill="auto"/>
            <w:noWrap/>
            <w:vAlign w:val="center"/>
            <w:hideMark/>
          </w:tcPr>
          <w:p w14:paraId="06B12A1C" w14:textId="77777777" w:rsidR="00735ADD" w:rsidRPr="00F80490" w:rsidRDefault="00735ADD" w:rsidP="00F80490">
            <w:pPr>
              <w:pStyle w:val="TableText"/>
              <w:jc w:val="right"/>
              <w:rPr>
                <w:rFonts w:eastAsia="Times New Roman"/>
                <w:b/>
                <w:bCs/>
              </w:rPr>
            </w:pPr>
            <w:r w:rsidRPr="00F80490">
              <w:rPr>
                <w:b/>
                <w:bCs/>
                <w:lang w:val="en-GB" w:eastAsia="zh-CN"/>
              </w:rPr>
              <w:t>0.23</w:t>
            </w:r>
          </w:p>
        </w:tc>
      </w:tr>
    </w:tbl>
    <w:p w14:paraId="5690AF65" w14:textId="77777777" w:rsidR="00735ADD" w:rsidRPr="00302CE5" w:rsidRDefault="00735ADD" w:rsidP="003E49E8"/>
    <w:p w14:paraId="07A5AABC" w14:textId="77777777" w:rsidR="00735ADD" w:rsidRPr="00302CE5" w:rsidRDefault="00735ADD">
      <w:pPr>
        <w:sectPr w:rsidR="00735ADD" w:rsidRPr="00302CE5" w:rsidSect="00661127">
          <w:pgSz w:w="16838" w:h="11906" w:orient="landscape"/>
          <w:pgMar w:top="1440" w:right="1440" w:bottom="1440" w:left="1440" w:header="708" w:footer="708" w:gutter="0"/>
          <w:cols w:space="708"/>
          <w:docGrid w:linePitch="360"/>
        </w:sectPr>
      </w:pPr>
    </w:p>
    <w:p w14:paraId="79939721" w14:textId="4675BD35" w:rsidR="00735ADD" w:rsidRPr="00302CE5" w:rsidRDefault="00735ADD" w:rsidP="00F80490">
      <w:pPr>
        <w:pStyle w:val="TableCaption"/>
        <w:rPr>
          <w:b/>
        </w:rPr>
      </w:pPr>
      <w:r w:rsidRPr="00302CE5">
        <w:rPr>
          <w:b/>
        </w:rPr>
        <w:lastRenderedPageBreak/>
        <w:t>Table 4</w:t>
      </w:r>
      <w:r>
        <w:rPr>
          <w:b/>
        </w:rPr>
        <w:t xml:space="preserve">  </w:t>
      </w:r>
      <w:r w:rsidR="003D6288">
        <w:t>Tone of c</w:t>
      </w:r>
      <w:r w:rsidRPr="00F37C2B">
        <w:t xml:space="preserve">onference </w:t>
      </w:r>
      <w:r>
        <w:t>c</w:t>
      </w:r>
      <w:r w:rsidRPr="00F37C2B">
        <w:t>all</w:t>
      </w:r>
      <w:r>
        <w:t xml:space="preserve"> and s</w:t>
      </w:r>
      <w:r w:rsidRPr="007C53B8">
        <w:t xml:space="preserve">tock </w:t>
      </w:r>
      <w:r>
        <w:t>p</w:t>
      </w:r>
      <w:r w:rsidRPr="007C53B8">
        <w:t xml:space="preserve">rice </w:t>
      </w:r>
      <w:r>
        <w:t>c</w:t>
      </w:r>
      <w:r w:rsidRPr="007C53B8">
        <w:t xml:space="preserve">rash </w:t>
      </w:r>
      <w:r>
        <w:t>r</w:t>
      </w:r>
      <w:r w:rsidRPr="007C53B8">
        <w:t>isk</w:t>
      </w:r>
    </w:p>
    <w:p w14:paraId="2ED902DD" w14:textId="5C6B0896" w:rsidR="00735ADD" w:rsidRDefault="00735ADD" w:rsidP="008D3761">
      <w:pPr>
        <w:pStyle w:val="TableNotes"/>
      </w:pPr>
      <w:r>
        <w:t xml:space="preserve">This table presents regression results for the predictive power of conference call tone on </w:t>
      </w:r>
      <w:r w:rsidR="008C4253">
        <w:t>SPCR</w:t>
      </w:r>
      <w:r>
        <w:t>. The dependent variable</w:t>
      </w:r>
      <w:r w:rsidR="008D3761">
        <w:t>s</w:t>
      </w:r>
      <w:r>
        <w:t xml:space="preserve"> in Models (1), (2) and (3) </w:t>
      </w:r>
      <w:r w:rsidR="008D3761">
        <w:t xml:space="preserve">are </w:t>
      </w:r>
      <m:oMath>
        <m:r>
          <w:rPr>
            <w:rFonts w:ascii="Cambria Math" w:hAnsi="Cambria Math"/>
          </w:rPr>
          <m:t>COUNT</m:t>
        </m:r>
      </m:oMath>
      <w:r>
        <w:t xml:space="preserve">, </w:t>
      </w:r>
      <m:oMath>
        <m:r>
          <w:rPr>
            <w:rFonts w:ascii="Cambria Math" w:hAnsi="Cambria Math"/>
          </w:rPr>
          <m:t>NCSKEW</m:t>
        </m:r>
      </m:oMath>
      <w:r>
        <w:t xml:space="preserve"> and </w:t>
      </w:r>
      <m:oMath>
        <m:r>
          <w:rPr>
            <w:rFonts w:ascii="Cambria Math" w:hAnsi="Cambria Math"/>
          </w:rPr>
          <m:t>DUVOL</m:t>
        </m:r>
      </m:oMath>
      <w:r>
        <w:t xml:space="preserve">, respectively. The key independent variable is conference call tone, </w:t>
      </w:r>
      <m:oMath>
        <m:r>
          <w:rPr>
            <w:rFonts w:ascii="Cambria Math" w:hAnsi="Cambria Math"/>
          </w:rPr>
          <m:t>TONE_C</m:t>
        </m:r>
      </m:oMath>
      <w:r>
        <w:t>.</w:t>
      </w:r>
      <w:r w:rsidRPr="00A74415">
        <w:rPr>
          <w:rFonts w:hint="eastAsia"/>
        </w:rPr>
        <w:t xml:space="preserve"> </w:t>
      </w:r>
      <w:r w:rsidRPr="00302CE5">
        <w:rPr>
          <w:rFonts w:hint="eastAsia"/>
        </w:rPr>
        <w:t>All continuous variables are winsorized at the 1</w:t>
      </w:r>
      <w:r w:rsidRPr="00302CE5">
        <w:rPr>
          <w:rFonts w:hint="eastAsia"/>
          <w:vertAlign w:val="superscript"/>
        </w:rPr>
        <w:t>st</w:t>
      </w:r>
      <w:r w:rsidRPr="00302CE5">
        <w:rPr>
          <w:rFonts w:hint="eastAsia"/>
        </w:rPr>
        <w:t xml:space="preserve"> and 99</w:t>
      </w:r>
      <w:r w:rsidRPr="00302CE5">
        <w:rPr>
          <w:rFonts w:hint="eastAsia"/>
          <w:vertAlign w:val="superscript"/>
        </w:rPr>
        <w:t>th</w:t>
      </w:r>
      <w:r w:rsidRPr="00302CE5">
        <w:rPr>
          <w:rFonts w:hint="eastAsia"/>
        </w:rPr>
        <w:t xml:space="preserve"> percentile</w:t>
      </w:r>
      <w:r w:rsidR="008D3761">
        <w:t>s</w:t>
      </w:r>
      <w:r w:rsidRPr="00302CE5">
        <w:rPr>
          <w:rFonts w:hint="eastAsia"/>
        </w:rPr>
        <w:t xml:space="preserve">. </w:t>
      </w:r>
      <w:r w:rsidRPr="00302CE5">
        <w:t xml:space="preserve">T-statistics reported in parentheses </w:t>
      </w:r>
      <w:r w:rsidRPr="00302CE5">
        <w:rPr>
          <w:rFonts w:hint="eastAsia"/>
        </w:rPr>
        <w:t>are based on standard errors clustered by firm</w:t>
      </w:r>
      <w:r w:rsidRPr="00302CE5">
        <w:t xml:space="preserve">. *, ** and *** </w:t>
      </w:r>
      <w:r w:rsidR="008D3761">
        <w:t>represent</w:t>
      </w:r>
      <w:r w:rsidRPr="00302CE5">
        <w:t xml:space="preserve"> significance at </w:t>
      </w:r>
      <w:r w:rsidR="008D3761">
        <w:t xml:space="preserve">the </w:t>
      </w:r>
      <w:r w:rsidRPr="00302CE5">
        <w:t>10%, 5% and 1% levels, respectively.</w:t>
      </w:r>
    </w:p>
    <w:tbl>
      <w:tblPr>
        <w:tblW w:w="5000" w:type="pct"/>
        <w:tblLook w:val="04A0" w:firstRow="1" w:lastRow="0" w:firstColumn="1" w:lastColumn="0" w:noHBand="0" w:noVBand="1"/>
      </w:tblPr>
      <w:tblGrid>
        <w:gridCol w:w="2702"/>
        <w:gridCol w:w="2280"/>
        <w:gridCol w:w="2022"/>
        <w:gridCol w:w="2022"/>
      </w:tblGrid>
      <w:tr w:rsidR="00735ADD" w:rsidRPr="00EF32F6" w14:paraId="28B11AA8" w14:textId="77777777" w:rsidTr="00DC68CD">
        <w:trPr>
          <w:trHeight w:val="300"/>
        </w:trPr>
        <w:tc>
          <w:tcPr>
            <w:tcW w:w="1497" w:type="pct"/>
            <w:tcBorders>
              <w:top w:val="single" w:sz="4" w:space="0" w:color="auto"/>
              <w:left w:val="nil"/>
              <w:bottom w:val="nil"/>
              <w:right w:val="nil"/>
            </w:tcBorders>
            <w:shd w:val="clear" w:color="auto" w:fill="auto"/>
            <w:noWrap/>
            <w:vAlign w:val="center"/>
            <w:hideMark/>
          </w:tcPr>
          <w:p w14:paraId="467A94F3" w14:textId="77777777" w:rsidR="00735ADD" w:rsidRPr="00EF32F6" w:rsidRDefault="00735ADD" w:rsidP="003D6288">
            <w:pPr>
              <w:pStyle w:val="TableText"/>
              <w:rPr>
                <w:lang w:val="en-GB" w:eastAsia="zh-CN"/>
              </w:rPr>
            </w:pPr>
          </w:p>
        </w:tc>
        <w:tc>
          <w:tcPr>
            <w:tcW w:w="1263" w:type="pct"/>
            <w:tcBorders>
              <w:top w:val="single" w:sz="4" w:space="0" w:color="auto"/>
              <w:left w:val="nil"/>
              <w:bottom w:val="nil"/>
              <w:right w:val="nil"/>
            </w:tcBorders>
            <w:shd w:val="clear" w:color="auto" w:fill="auto"/>
            <w:noWrap/>
            <w:vAlign w:val="center"/>
            <w:hideMark/>
          </w:tcPr>
          <w:p w14:paraId="67B10498" w14:textId="77777777" w:rsidR="00735ADD" w:rsidRPr="00EF32F6" w:rsidRDefault="00735ADD" w:rsidP="003D6288">
            <w:pPr>
              <w:pStyle w:val="TableText"/>
              <w:jc w:val="right"/>
              <w:rPr>
                <w:lang w:val="en-GB" w:eastAsia="zh-CN"/>
              </w:rPr>
            </w:pPr>
            <w:r w:rsidRPr="00EF32F6">
              <w:rPr>
                <w:lang w:val="en-GB" w:eastAsia="zh-CN"/>
              </w:rPr>
              <w:t>(1)</w:t>
            </w:r>
          </w:p>
        </w:tc>
        <w:tc>
          <w:tcPr>
            <w:tcW w:w="1120" w:type="pct"/>
            <w:tcBorders>
              <w:top w:val="single" w:sz="4" w:space="0" w:color="auto"/>
              <w:left w:val="nil"/>
              <w:bottom w:val="nil"/>
              <w:right w:val="nil"/>
            </w:tcBorders>
            <w:shd w:val="clear" w:color="auto" w:fill="auto"/>
            <w:noWrap/>
            <w:vAlign w:val="center"/>
            <w:hideMark/>
          </w:tcPr>
          <w:p w14:paraId="0D0A1EA7" w14:textId="77777777" w:rsidR="00735ADD" w:rsidRPr="00EF32F6" w:rsidRDefault="00735ADD" w:rsidP="003D6288">
            <w:pPr>
              <w:pStyle w:val="TableText"/>
              <w:jc w:val="right"/>
              <w:rPr>
                <w:lang w:val="en-GB" w:eastAsia="zh-CN"/>
              </w:rPr>
            </w:pPr>
            <w:r w:rsidRPr="00EF32F6">
              <w:rPr>
                <w:lang w:val="en-GB" w:eastAsia="zh-CN"/>
              </w:rPr>
              <w:t>(2)</w:t>
            </w:r>
          </w:p>
        </w:tc>
        <w:tc>
          <w:tcPr>
            <w:tcW w:w="1120" w:type="pct"/>
            <w:tcBorders>
              <w:top w:val="single" w:sz="4" w:space="0" w:color="auto"/>
              <w:left w:val="nil"/>
              <w:bottom w:val="nil"/>
              <w:right w:val="nil"/>
            </w:tcBorders>
            <w:shd w:val="clear" w:color="auto" w:fill="auto"/>
            <w:noWrap/>
            <w:vAlign w:val="center"/>
            <w:hideMark/>
          </w:tcPr>
          <w:p w14:paraId="5846A191" w14:textId="77777777" w:rsidR="00735ADD" w:rsidRPr="00EF32F6" w:rsidRDefault="00735ADD" w:rsidP="003D6288">
            <w:pPr>
              <w:pStyle w:val="TableText"/>
              <w:jc w:val="right"/>
              <w:rPr>
                <w:lang w:val="en-GB" w:eastAsia="zh-CN"/>
              </w:rPr>
            </w:pPr>
            <w:r w:rsidRPr="00EF32F6">
              <w:rPr>
                <w:lang w:val="en-GB" w:eastAsia="zh-CN"/>
              </w:rPr>
              <w:t>(3)</w:t>
            </w:r>
          </w:p>
        </w:tc>
      </w:tr>
      <w:tr w:rsidR="00735ADD" w:rsidRPr="00EF32F6" w14:paraId="7E99FECA" w14:textId="77777777" w:rsidTr="00DC68CD">
        <w:trPr>
          <w:trHeight w:val="300"/>
        </w:trPr>
        <w:tc>
          <w:tcPr>
            <w:tcW w:w="1497" w:type="pct"/>
            <w:tcBorders>
              <w:top w:val="nil"/>
              <w:left w:val="nil"/>
              <w:bottom w:val="single" w:sz="4" w:space="0" w:color="auto"/>
              <w:right w:val="nil"/>
            </w:tcBorders>
            <w:shd w:val="clear" w:color="auto" w:fill="auto"/>
            <w:noWrap/>
            <w:vAlign w:val="center"/>
            <w:hideMark/>
          </w:tcPr>
          <w:p w14:paraId="2D5876D9" w14:textId="77777777" w:rsidR="00735ADD" w:rsidRPr="00EF32F6" w:rsidRDefault="00735ADD" w:rsidP="003D6288">
            <w:pPr>
              <w:pStyle w:val="TableText"/>
              <w:rPr>
                <w:lang w:val="en-GB" w:eastAsia="zh-CN"/>
              </w:rPr>
            </w:pPr>
          </w:p>
        </w:tc>
        <w:tc>
          <w:tcPr>
            <w:tcW w:w="1263" w:type="pct"/>
            <w:tcBorders>
              <w:top w:val="nil"/>
              <w:left w:val="nil"/>
              <w:bottom w:val="single" w:sz="4" w:space="0" w:color="auto"/>
              <w:right w:val="nil"/>
            </w:tcBorders>
            <w:shd w:val="clear" w:color="auto" w:fill="auto"/>
            <w:noWrap/>
            <w:vAlign w:val="center"/>
            <w:hideMark/>
          </w:tcPr>
          <w:p w14:paraId="35D4382D" w14:textId="77777777" w:rsidR="00735ADD" w:rsidRPr="00EF32F6" w:rsidRDefault="008D48AD" w:rsidP="003D6288">
            <w:pPr>
              <w:pStyle w:val="TableText"/>
              <w:jc w:val="right"/>
              <w:rPr>
                <w:rFonts w:eastAsia="Times New Roman"/>
                <w:color w:val="000000"/>
                <w:lang w:val="en-GB" w:eastAsia="zh-CN"/>
              </w:rPr>
            </w:pPr>
            <m:oMathPara>
              <m:oMath>
                <m:sSub>
                  <m:sSubPr>
                    <m:ctrlPr>
                      <w:rPr>
                        <w:rFonts w:ascii="Cambria Math" w:hAnsi="Cambria Math"/>
                      </w:rPr>
                    </m:ctrlPr>
                  </m:sSubPr>
                  <m:e>
                    <m:r>
                      <w:rPr>
                        <w:rFonts w:ascii="Cambria Math" w:hAnsi="Cambria Math"/>
                      </w:rPr>
                      <m:t>COUNT</m:t>
                    </m:r>
                  </m:e>
                  <m:sub>
                    <m:r>
                      <w:rPr>
                        <w:rFonts w:ascii="Cambria Math" w:hAnsi="Cambria Math"/>
                      </w:rPr>
                      <m:t>t</m:t>
                    </m:r>
                  </m:sub>
                </m:sSub>
              </m:oMath>
            </m:oMathPara>
          </w:p>
        </w:tc>
        <w:tc>
          <w:tcPr>
            <w:tcW w:w="1120" w:type="pct"/>
            <w:tcBorders>
              <w:top w:val="nil"/>
              <w:left w:val="nil"/>
              <w:bottom w:val="single" w:sz="4" w:space="0" w:color="auto"/>
              <w:right w:val="nil"/>
            </w:tcBorders>
            <w:shd w:val="clear" w:color="auto" w:fill="auto"/>
            <w:noWrap/>
            <w:vAlign w:val="center"/>
            <w:hideMark/>
          </w:tcPr>
          <w:p w14:paraId="297BEBEB" w14:textId="77777777" w:rsidR="00735ADD" w:rsidRPr="00EF32F6" w:rsidRDefault="008D48AD" w:rsidP="003D6288">
            <w:pPr>
              <w:pStyle w:val="TableText"/>
              <w:jc w:val="right"/>
              <w:rPr>
                <w:rFonts w:eastAsia="Times New Roman"/>
                <w:color w:val="000000"/>
                <w:lang w:val="en-GB" w:eastAsia="zh-CN"/>
              </w:rPr>
            </w:pPr>
            <m:oMathPara>
              <m:oMath>
                <m:sSub>
                  <m:sSubPr>
                    <m:ctrlPr>
                      <w:rPr>
                        <w:rFonts w:ascii="Cambria Math" w:hAnsi="Cambria Math"/>
                      </w:rPr>
                    </m:ctrlPr>
                  </m:sSubPr>
                  <m:e>
                    <m:r>
                      <w:rPr>
                        <w:rFonts w:ascii="Cambria Math" w:hAnsi="Cambria Math"/>
                      </w:rPr>
                      <m:t>NCSKEW</m:t>
                    </m:r>
                  </m:e>
                  <m:sub>
                    <m:r>
                      <w:rPr>
                        <w:rFonts w:ascii="Cambria Math" w:hAnsi="Cambria Math"/>
                      </w:rPr>
                      <m:t>t</m:t>
                    </m:r>
                  </m:sub>
                </m:sSub>
              </m:oMath>
            </m:oMathPara>
          </w:p>
        </w:tc>
        <w:tc>
          <w:tcPr>
            <w:tcW w:w="1120" w:type="pct"/>
            <w:tcBorders>
              <w:top w:val="nil"/>
              <w:left w:val="nil"/>
              <w:bottom w:val="single" w:sz="4" w:space="0" w:color="auto"/>
              <w:right w:val="nil"/>
            </w:tcBorders>
            <w:shd w:val="clear" w:color="auto" w:fill="auto"/>
            <w:noWrap/>
            <w:vAlign w:val="center"/>
            <w:hideMark/>
          </w:tcPr>
          <w:p w14:paraId="12165A7C" w14:textId="77777777" w:rsidR="00735ADD" w:rsidRPr="00EF32F6" w:rsidRDefault="008D48AD" w:rsidP="003D6288">
            <w:pPr>
              <w:pStyle w:val="TableText"/>
              <w:jc w:val="right"/>
              <w:rPr>
                <w:rFonts w:eastAsia="Times New Roman"/>
                <w:color w:val="000000"/>
                <w:lang w:val="en-GB" w:eastAsia="zh-CN"/>
              </w:rPr>
            </w:pPr>
            <m:oMathPara>
              <m:oMath>
                <m:sSub>
                  <m:sSubPr>
                    <m:ctrlPr>
                      <w:rPr>
                        <w:rFonts w:ascii="Cambria Math" w:hAnsi="Cambria Math"/>
                      </w:rPr>
                    </m:ctrlPr>
                  </m:sSubPr>
                  <m:e>
                    <m:r>
                      <w:rPr>
                        <w:rFonts w:ascii="Cambria Math" w:hAnsi="Cambria Math"/>
                      </w:rPr>
                      <m:t>DUVOL</m:t>
                    </m:r>
                  </m:e>
                  <m:sub>
                    <m:r>
                      <w:rPr>
                        <w:rFonts w:ascii="Cambria Math" w:hAnsi="Cambria Math"/>
                      </w:rPr>
                      <m:t>t</m:t>
                    </m:r>
                  </m:sub>
                </m:sSub>
              </m:oMath>
            </m:oMathPara>
          </w:p>
        </w:tc>
      </w:tr>
      <w:tr w:rsidR="00735ADD" w:rsidRPr="00EF32F6" w14:paraId="034EF936" w14:textId="77777777" w:rsidTr="00DC68CD">
        <w:trPr>
          <w:trHeight w:val="300"/>
        </w:trPr>
        <w:tc>
          <w:tcPr>
            <w:tcW w:w="1497" w:type="pct"/>
            <w:tcBorders>
              <w:top w:val="single" w:sz="4" w:space="0" w:color="auto"/>
              <w:left w:val="nil"/>
              <w:bottom w:val="nil"/>
              <w:right w:val="nil"/>
            </w:tcBorders>
            <w:shd w:val="clear" w:color="auto" w:fill="auto"/>
            <w:noWrap/>
            <w:vAlign w:val="center"/>
            <w:hideMark/>
          </w:tcPr>
          <w:p w14:paraId="74D090FA" w14:textId="77777777" w:rsidR="00735ADD" w:rsidRPr="00EF32F6" w:rsidRDefault="008D48AD" w:rsidP="003D6288">
            <w:pPr>
              <w:pStyle w:val="TableText"/>
              <w:rPr>
                <w:rFonts w:eastAsia="Times New Roman"/>
                <w:color w:val="000000"/>
                <w:lang w:val="en-GB" w:eastAsia="zh-CN"/>
              </w:rPr>
            </w:pPr>
            <m:oMathPara>
              <m:oMathParaPr>
                <m:jc m:val="left"/>
              </m:oMathParaPr>
              <m:oMath>
                <m:sSub>
                  <m:sSubPr>
                    <m:ctrlPr>
                      <w:rPr>
                        <w:rFonts w:ascii="Cambria Math" w:hAnsi="Cambria Math"/>
                      </w:rPr>
                    </m:ctrlPr>
                  </m:sSubPr>
                  <m:e>
                    <m:r>
                      <w:rPr>
                        <w:rFonts w:ascii="Cambria Math" w:hAnsi="Cambria Math"/>
                      </w:rPr>
                      <m:t>TONE</m:t>
                    </m:r>
                    <m:r>
                      <m:rPr>
                        <m:sty m:val="p"/>
                      </m:rPr>
                      <w:rPr>
                        <w:rFonts w:ascii="Cambria Math" w:hAnsi="Cambria Math"/>
                      </w:rPr>
                      <m:t>_</m:t>
                    </m:r>
                    <m:r>
                      <w:rPr>
                        <w:rFonts w:ascii="Cambria Math" w:hAnsi="Cambria Math"/>
                      </w:rPr>
                      <m:t>C</m:t>
                    </m:r>
                  </m:e>
                  <m:sub>
                    <m:r>
                      <w:rPr>
                        <w:rFonts w:ascii="Cambria Math" w:hAnsi="Cambria Math"/>
                      </w:rPr>
                      <m:t>t</m:t>
                    </m:r>
                    <m:r>
                      <m:rPr>
                        <m:sty m:val="p"/>
                      </m:rPr>
                      <w:rPr>
                        <w:rFonts w:ascii="Cambria Math" w:hAnsi="Cambria Math"/>
                      </w:rPr>
                      <m:t>-1</m:t>
                    </m:r>
                  </m:sub>
                </m:sSub>
              </m:oMath>
            </m:oMathPara>
          </w:p>
        </w:tc>
        <w:tc>
          <w:tcPr>
            <w:tcW w:w="1263" w:type="pct"/>
            <w:tcBorders>
              <w:top w:val="single" w:sz="4" w:space="0" w:color="auto"/>
              <w:left w:val="nil"/>
              <w:bottom w:val="nil"/>
              <w:right w:val="nil"/>
            </w:tcBorders>
            <w:shd w:val="clear" w:color="auto" w:fill="auto"/>
            <w:noWrap/>
            <w:vAlign w:val="center"/>
            <w:hideMark/>
          </w:tcPr>
          <w:p w14:paraId="0056C1EF" w14:textId="77777777" w:rsidR="00735ADD" w:rsidRPr="00EF32F6" w:rsidRDefault="00735ADD" w:rsidP="003D6288">
            <w:pPr>
              <w:pStyle w:val="TableText"/>
              <w:jc w:val="right"/>
              <w:rPr>
                <w:lang w:val="en-GB" w:eastAsia="zh-CN"/>
              </w:rPr>
            </w:pPr>
            <w:r w:rsidRPr="00EF32F6">
              <w:rPr>
                <w:lang w:val="en-GB" w:eastAsia="zh-CN"/>
              </w:rPr>
              <w:t>-0.092***</w:t>
            </w:r>
          </w:p>
        </w:tc>
        <w:tc>
          <w:tcPr>
            <w:tcW w:w="1120" w:type="pct"/>
            <w:tcBorders>
              <w:top w:val="single" w:sz="4" w:space="0" w:color="auto"/>
              <w:left w:val="nil"/>
              <w:bottom w:val="nil"/>
              <w:right w:val="nil"/>
            </w:tcBorders>
            <w:shd w:val="clear" w:color="auto" w:fill="auto"/>
            <w:noWrap/>
            <w:vAlign w:val="center"/>
            <w:hideMark/>
          </w:tcPr>
          <w:p w14:paraId="1B5A8BB9" w14:textId="77777777" w:rsidR="00735ADD" w:rsidRPr="00EF32F6" w:rsidRDefault="00735ADD" w:rsidP="003D6288">
            <w:pPr>
              <w:pStyle w:val="TableText"/>
              <w:jc w:val="right"/>
              <w:rPr>
                <w:lang w:val="en-GB" w:eastAsia="zh-CN"/>
              </w:rPr>
            </w:pPr>
            <w:r w:rsidRPr="00EF32F6">
              <w:rPr>
                <w:lang w:val="en-GB" w:eastAsia="zh-CN"/>
              </w:rPr>
              <w:t>-0.174***</w:t>
            </w:r>
          </w:p>
        </w:tc>
        <w:tc>
          <w:tcPr>
            <w:tcW w:w="1120" w:type="pct"/>
            <w:tcBorders>
              <w:top w:val="single" w:sz="4" w:space="0" w:color="auto"/>
              <w:left w:val="nil"/>
              <w:bottom w:val="nil"/>
              <w:right w:val="nil"/>
            </w:tcBorders>
            <w:shd w:val="clear" w:color="auto" w:fill="auto"/>
            <w:noWrap/>
            <w:vAlign w:val="center"/>
            <w:hideMark/>
          </w:tcPr>
          <w:p w14:paraId="7BAEFDE3" w14:textId="77777777" w:rsidR="00735ADD" w:rsidRPr="00EF32F6" w:rsidRDefault="00735ADD" w:rsidP="003D6288">
            <w:pPr>
              <w:pStyle w:val="TableText"/>
              <w:jc w:val="right"/>
              <w:rPr>
                <w:lang w:val="en-GB" w:eastAsia="zh-CN"/>
              </w:rPr>
            </w:pPr>
            <w:r w:rsidRPr="00EF32F6">
              <w:rPr>
                <w:lang w:val="en-GB" w:eastAsia="zh-CN"/>
              </w:rPr>
              <w:t>-0.103***</w:t>
            </w:r>
          </w:p>
        </w:tc>
      </w:tr>
      <w:tr w:rsidR="00735ADD" w:rsidRPr="00EF32F6" w14:paraId="1DFF326C" w14:textId="77777777" w:rsidTr="00DC68CD">
        <w:trPr>
          <w:trHeight w:val="300"/>
        </w:trPr>
        <w:tc>
          <w:tcPr>
            <w:tcW w:w="1497" w:type="pct"/>
            <w:tcBorders>
              <w:top w:val="nil"/>
              <w:left w:val="nil"/>
              <w:bottom w:val="nil"/>
              <w:right w:val="nil"/>
            </w:tcBorders>
            <w:shd w:val="clear" w:color="auto" w:fill="auto"/>
            <w:noWrap/>
            <w:vAlign w:val="center"/>
            <w:hideMark/>
          </w:tcPr>
          <w:p w14:paraId="07BB36F5" w14:textId="77777777" w:rsidR="00735ADD" w:rsidRPr="00EF32F6" w:rsidRDefault="00735ADD" w:rsidP="003D6288">
            <w:pPr>
              <w:pStyle w:val="TableText"/>
              <w:rPr>
                <w:lang w:val="en-GB" w:eastAsia="zh-CN"/>
              </w:rPr>
            </w:pPr>
          </w:p>
        </w:tc>
        <w:tc>
          <w:tcPr>
            <w:tcW w:w="1263" w:type="pct"/>
            <w:tcBorders>
              <w:top w:val="nil"/>
              <w:left w:val="nil"/>
              <w:bottom w:val="nil"/>
              <w:right w:val="nil"/>
            </w:tcBorders>
            <w:shd w:val="clear" w:color="auto" w:fill="auto"/>
            <w:noWrap/>
            <w:vAlign w:val="center"/>
            <w:hideMark/>
          </w:tcPr>
          <w:p w14:paraId="3437FA2C" w14:textId="77777777" w:rsidR="00735ADD" w:rsidRPr="00EF32F6" w:rsidRDefault="00735ADD" w:rsidP="003D6288">
            <w:pPr>
              <w:pStyle w:val="TableText"/>
              <w:jc w:val="right"/>
              <w:rPr>
                <w:lang w:val="en-GB" w:eastAsia="zh-CN"/>
              </w:rPr>
            </w:pPr>
            <w:r w:rsidRPr="00EF32F6">
              <w:rPr>
                <w:lang w:val="en-GB" w:eastAsia="zh-CN"/>
              </w:rPr>
              <w:t>(-3.59)</w:t>
            </w:r>
          </w:p>
        </w:tc>
        <w:tc>
          <w:tcPr>
            <w:tcW w:w="1120" w:type="pct"/>
            <w:tcBorders>
              <w:top w:val="nil"/>
              <w:left w:val="nil"/>
              <w:bottom w:val="nil"/>
              <w:right w:val="nil"/>
            </w:tcBorders>
            <w:shd w:val="clear" w:color="auto" w:fill="auto"/>
            <w:noWrap/>
            <w:vAlign w:val="center"/>
            <w:hideMark/>
          </w:tcPr>
          <w:p w14:paraId="6285380C" w14:textId="77777777" w:rsidR="00735ADD" w:rsidRPr="00EF32F6" w:rsidRDefault="00735ADD" w:rsidP="003D6288">
            <w:pPr>
              <w:pStyle w:val="TableText"/>
              <w:jc w:val="right"/>
              <w:rPr>
                <w:lang w:val="en-GB" w:eastAsia="zh-CN"/>
              </w:rPr>
            </w:pPr>
            <w:r w:rsidRPr="00EF32F6">
              <w:rPr>
                <w:lang w:val="en-GB" w:eastAsia="zh-CN"/>
              </w:rPr>
              <w:t>(-4.95)</w:t>
            </w:r>
          </w:p>
        </w:tc>
        <w:tc>
          <w:tcPr>
            <w:tcW w:w="1120" w:type="pct"/>
            <w:tcBorders>
              <w:top w:val="nil"/>
              <w:left w:val="nil"/>
              <w:bottom w:val="nil"/>
              <w:right w:val="nil"/>
            </w:tcBorders>
            <w:shd w:val="clear" w:color="auto" w:fill="auto"/>
            <w:noWrap/>
            <w:vAlign w:val="center"/>
            <w:hideMark/>
          </w:tcPr>
          <w:p w14:paraId="2BC41FA8" w14:textId="77777777" w:rsidR="00735ADD" w:rsidRPr="00EF32F6" w:rsidRDefault="00735ADD" w:rsidP="003D6288">
            <w:pPr>
              <w:pStyle w:val="TableText"/>
              <w:jc w:val="right"/>
              <w:rPr>
                <w:lang w:val="en-GB" w:eastAsia="zh-CN"/>
              </w:rPr>
            </w:pPr>
            <w:r w:rsidRPr="00EF32F6">
              <w:rPr>
                <w:lang w:val="en-GB" w:eastAsia="zh-CN"/>
              </w:rPr>
              <w:t>(-4.69)</w:t>
            </w:r>
          </w:p>
        </w:tc>
      </w:tr>
      <w:tr w:rsidR="00735ADD" w:rsidRPr="00EF32F6" w14:paraId="6C7D5A3D" w14:textId="77777777" w:rsidTr="00DC68CD">
        <w:trPr>
          <w:trHeight w:val="300"/>
        </w:trPr>
        <w:tc>
          <w:tcPr>
            <w:tcW w:w="1497" w:type="pct"/>
            <w:tcBorders>
              <w:top w:val="nil"/>
              <w:left w:val="nil"/>
              <w:bottom w:val="nil"/>
              <w:right w:val="nil"/>
            </w:tcBorders>
            <w:shd w:val="clear" w:color="auto" w:fill="auto"/>
            <w:noWrap/>
            <w:vAlign w:val="center"/>
            <w:hideMark/>
          </w:tcPr>
          <w:p w14:paraId="623E0A29" w14:textId="77777777" w:rsidR="00735ADD" w:rsidRPr="00EF32F6" w:rsidRDefault="008D48AD" w:rsidP="003D6288">
            <w:pPr>
              <w:pStyle w:val="TableText"/>
              <w:rPr>
                <w:rFonts w:eastAsia="Times New Roman"/>
                <w:color w:val="000000"/>
                <w:lang w:val="en-GB" w:eastAsia="zh-CN"/>
              </w:rPr>
            </w:pPr>
            <m:oMathPara>
              <m:oMathParaPr>
                <m:jc m:val="left"/>
              </m:oMathParaPr>
              <m:oMath>
                <m:sSub>
                  <m:sSubPr>
                    <m:ctrlPr>
                      <w:rPr>
                        <w:rFonts w:ascii="Cambria Math" w:hAnsi="Cambria Math"/>
                      </w:rPr>
                    </m:ctrlPr>
                  </m:sSubPr>
                  <m:e>
                    <m:r>
                      <m:rPr>
                        <m:sty m:val="p"/>
                      </m:rPr>
                      <w:rPr>
                        <w:rFonts w:ascii="Cambria Math" w:hAnsi="Cambria Math"/>
                      </w:rPr>
                      <m:t>∆</m:t>
                    </m:r>
                    <m:r>
                      <w:rPr>
                        <w:rFonts w:ascii="Cambria Math" w:hAnsi="Cambria Math"/>
                      </w:rPr>
                      <m:t>TURNOVER</m:t>
                    </m:r>
                  </m:e>
                  <m:sub>
                    <m:r>
                      <w:rPr>
                        <w:rFonts w:ascii="Cambria Math" w:hAnsi="Cambria Math"/>
                      </w:rPr>
                      <m:t>t</m:t>
                    </m:r>
                    <m:r>
                      <m:rPr>
                        <m:sty m:val="p"/>
                      </m:rPr>
                      <w:rPr>
                        <w:rFonts w:ascii="Cambria Math" w:hAnsi="Cambria Math"/>
                      </w:rPr>
                      <m:t>-1</m:t>
                    </m:r>
                  </m:sub>
                </m:sSub>
              </m:oMath>
            </m:oMathPara>
          </w:p>
        </w:tc>
        <w:tc>
          <w:tcPr>
            <w:tcW w:w="1263" w:type="pct"/>
            <w:tcBorders>
              <w:top w:val="nil"/>
              <w:left w:val="nil"/>
              <w:bottom w:val="nil"/>
              <w:right w:val="nil"/>
            </w:tcBorders>
            <w:shd w:val="clear" w:color="auto" w:fill="auto"/>
            <w:noWrap/>
            <w:vAlign w:val="center"/>
            <w:hideMark/>
          </w:tcPr>
          <w:p w14:paraId="0118B831" w14:textId="77777777" w:rsidR="00735ADD" w:rsidRPr="00EF32F6" w:rsidRDefault="00735ADD" w:rsidP="003D6288">
            <w:pPr>
              <w:pStyle w:val="TableText"/>
              <w:jc w:val="right"/>
              <w:rPr>
                <w:lang w:val="en-GB" w:eastAsia="zh-CN"/>
              </w:rPr>
            </w:pPr>
            <w:r w:rsidRPr="00EF32F6">
              <w:rPr>
                <w:lang w:val="en-GB" w:eastAsia="zh-CN"/>
              </w:rPr>
              <w:t>0.061</w:t>
            </w:r>
          </w:p>
        </w:tc>
        <w:tc>
          <w:tcPr>
            <w:tcW w:w="1120" w:type="pct"/>
            <w:tcBorders>
              <w:top w:val="nil"/>
              <w:left w:val="nil"/>
              <w:bottom w:val="nil"/>
              <w:right w:val="nil"/>
            </w:tcBorders>
            <w:shd w:val="clear" w:color="auto" w:fill="auto"/>
            <w:noWrap/>
            <w:vAlign w:val="center"/>
            <w:hideMark/>
          </w:tcPr>
          <w:p w14:paraId="2C5ED57E" w14:textId="77777777" w:rsidR="00735ADD" w:rsidRPr="00EF32F6" w:rsidRDefault="00735ADD" w:rsidP="003D6288">
            <w:pPr>
              <w:pStyle w:val="TableText"/>
              <w:jc w:val="right"/>
              <w:rPr>
                <w:lang w:val="en-GB" w:eastAsia="zh-CN"/>
              </w:rPr>
            </w:pPr>
            <w:r w:rsidRPr="00EF32F6">
              <w:rPr>
                <w:lang w:val="en-GB" w:eastAsia="zh-CN"/>
              </w:rPr>
              <w:t>0.029</w:t>
            </w:r>
          </w:p>
        </w:tc>
        <w:tc>
          <w:tcPr>
            <w:tcW w:w="1120" w:type="pct"/>
            <w:tcBorders>
              <w:top w:val="nil"/>
              <w:left w:val="nil"/>
              <w:bottom w:val="nil"/>
              <w:right w:val="nil"/>
            </w:tcBorders>
            <w:shd w:val="clear" w:color="auto" w:fill="auto"/>
            <w:noWrap/>
            <w:vAlign w:val="center"/>
            <w:hideMark/>
          </w:tcPr>
          <w:p w14:paraId="4D310443" w14:textId="77777777" w:rsidR="00735ADD" w:rsidRPr="00EF32F6" w:rsidRDefault="00735ADD" w:rsidP="003D6288">
            <w:pPr>
              <w:pStyle w:val="TableText"/>
              <w:jc w:val="right"/>
              <w:rPr>
                <w:lang w:val="en-GB" w:eastAsia="zh-CN"/>
              </w:rPr>
            </w:pPr>
            <w:r w:rsidRPr="00EF32F6">
              <w:rPr>
                <w:lang w:val="en-GB" w:eastAsia="zh-CN"/>
              </w:rPr>
              <w:t>-0.050</w:t>
            </w:r>
          </w:p>
        </w:tc>
      </w:tr>
      <w:tr w:rsidR="00735ADD" w:rsidRPr="00EF32F6" w14:paraId="41B8FB34" w14:textId="77777777" w:rsidTr="00DC68CD">
        <w:trPr>
          <w:trHeight w:val="300"/>
        </w:trPr>
        <w:tc>
          <w:tcPr>
            <w:tcW w:w="1497" w:type="pct"/>
            <w:tcBorders>
              <w:top w:val="nil"/>
              <w:left w:val="nil"/>
              <w:bottom w:val="nil"/>
              <w:right w:val="nil"/>
            </w:tcBorders>
            <w:shd w:val="clear" w:color="auto" w:fill="auto"/>
            <w:noWrap/>
            <w:vAlign w:val="center"/>
            <w:hideMark/>
          </w:tcPr>
          <w:p w14:paraId="1FFBBADE" w14:textId="77777777" w:rsidR="00735ADD" w:rsidRPr="00EF32F6" w:rsidRDefault="00735ADD" w:rsidP="003D6288">
            <w:pPr>
              <w:pStyle w:val="TableText"/>
              <w:rPr>
                <w:lang w:val="en-GB" w:eastAsia="zh-CN"/>
              </w:rPr>
            </w:pPr>
          </w:p>
        </w:tc>
        <w:tc>
          <w:tcPr>
            <w:tcW w:w="1263" w:type="pct"/>
            <w:tcBorders>
              <w:top w:val="nil"/>
              <w:left w:val="nil"/>
              <w:bottom w:val="nil"/>
              <w:right w:val="nil"/>
            </w:tcBorders>
            <w:shd w:val="clear" w:color="auto" w:fill="auto"/>
            <w:noWrap/>
            <w:vAlign w:val="center"/>
            <w:hideMark/>
          </w:tcPr>
          <w:p w14:paraId="173C8EEC" w14:textId="77777777" w:rsidR="00735ADD" w:rsidRPr="00EF32F6" w:rsidRDefault="00735ADD" w:rsidP="003D6288">
            <w:pPr>
              <w:pStyle w:val="TableText"/>
              <w:jc w:val="right"/>
              <w:rPr>
                <w:lang w:val="en-GB" w:eastAsia="zh-CN"/>
              </w:rPr>
            </w:pPr>
            <w:r w:rsidRPr="00EF32F6">
              <w:rPr>
                <w:lang w:val="en-GB" w:eastAsia="zh-CN"/>
              </w:rPr>
              <w:t>(0.70)</w:t>
            </w:r>
          </w:p>
        </w:tc>
        <w:tc>
          <w:tcPr>
            <w:tcW w:w="1120" w:type="pct"/>
            <w:tcBorders>
              <w:top w:val="nil"/>
              <w:left w:val="nil"/>
              <w:bottom w:val="nil"/>
              <w:right w:val="nil"/>
            </w:tcBorders>
            <w:shd w:val="clear" w:color="auto" w:fill="auto"/>
            <w:noWrap/>
            <w:vAlign w:val="center"/>
            <w:hideMark/>
          </w:tcPr>
          <w:p w14:paraId="0943B706" w14:textId="77777777" w:rsidR="00735ADD" w:rsidRPr="00EF32F6" w:rsidRDefault="00735ADD" w:rsidP="003D6288">
            <w:pPr>
              <w:pStyle w:val="TableText"/>
              <w:jc w:val="right"/>
              <w:rPr>
                <w:lang w:val="en-GB" w:eastAsia="zh-CN"/>
              </w:rPr>
            </w:pPr>
            <w:r w:rsidRPr="00EF32F6">
              <w:rPr>
                <w:lang w:val="en-GB" w:eastAsia="zh-CN"/>
              </w:rPr>
              <w:t>(0.24)</w:t>
            </w:r>
          </w:p>
        </w:tc>
        <w:tc>
          <w:tcPr>
            <w:tcW w:w="1120" w:type="pct"/>
            <w:tcBorders>
              <w:top w:val="nil"/>
              <w:left w:val="nil"/>
              <w:bottom w:val="nil"/>
              <w:right w:val="nil"/>
            </w:tcBorders>
            <w:shd w:val="clear" w:color="auto" w:fill="auto"/>
            <w:noWrap/>
            <w:vAlign w:val="center"/>
            <w:hideMark/>
          </w:tcPr>
          <w:p w14:paraId="05D11901" w14:textId="77777777" w:rsidR="00735ADD" w:rsidRPr="00EF32F6" w:rsidRDefault="00735ADD" w:rsidP="003D6288">
            <w:pPr>
              <w:pStyle w:val="TableText"/>
              <w:jc w:val="right"/>
              <w:rPr>
                <w:lang w:val="en-GB" w:eastAsia="zh-CN"/>
              </w:rPr>
            </w:pPr>
            <w:r w:rsidRPr="00EF32F6">
              <w:rPr>
                <w:lang w:val="en-GB" w:eastAsia="zh-CN"/>
              </w:rPr>
              <w:t>(-0.65)</w:t>
            </w:r>
          </w:p>
        </w:tc>
      </w:tr>
      <w:tr w:rsidR="00735ADD" w:rsidRPr="00EF32F6" w14:paraId="7891C942" w14:textId="77777777" w:rsidTr="00DC68CD">
        <w:trPr>
          <w:trHeight w:val="300"/>
        </w:trPr>
        <w:tc>
          <w:tcPr>
            <w:tcW w:w="1497" w:type="pct"/>
            <w:tcBorders>
              <w:top w:val="nil"/>
              <w:left w:val="nil"/>
              <w:bottom w:val="nil"/>
              <w:right w:val="nil"/>
            </w:tcBorders>
            <w:shd w:val="clear" w:color="auto" w:fill="auto"/>
            <w:noWrap/>
            <w:vAlign w:val="center"/>
            <w:hideMark/>
          </w:tcPr>
          <w:p w14:paraId="7089CA70" w14:textId="77777777" w:rsidR="00735ADD" w:rsidRPr="00EF32F6" w:rsidRDefault="008D48AD" w:rsidP="003D6288">
            <w:pPr>
              <w:pStyle w:val="TableText"/>
              <w:rPr>
                <w:rFonts w:eastAsia="Times New Roman"/>
                <w:color w:val="000000"/>
                <w:lang w:val="en-GB" w:eastAsia="zh-CN"/>
              </w:rPr>
            </w:pPr>
            <m:oMathPara>
              <m:oMathParaPr>
                <m:jc m:val="left"/>
              </m:oMathParaPr>
              <m:oMath>
                <m:sSub>
                  <m:sSubPr>
                    <m:ctrlPr>
                      <w:rPr>
                        <w:rFonts w:ascii="Cambria Math" w:hAnsi="Cambria Math"/>
                      </w:rPr>
                    </m:ctrlPr>
                  </m:sSubPr>
                  <m:e>
                    <m:r>
                      <w:rPr>
                        <w:rFonts w:ascii="Cambria Math" w:hAnsi="Cambria Math"/>
                      </w:rPr>
                      <m:t>NCSKEW</m:t>
                    </m:r>
                  </m:e>
                  <m:sub>
                    <m:r>
                      <w:rPr>
                        <w:rFonts w:ascii="Cambria Math" w:hAnsi="Cambria Math"/>
                      </w:rPr>
                      <m:t>t</m:t>
                    </m:r>
                    <m:r>
                      <m:rPr>
                        <m:sty m:val="p"/>
                      </m:rPr>
                      <w:rPr>
                        <w:rFonts w:ascii="Cambria Math" w:hAnsi="Cambria Math"/>
                      </w:rPr>
                      <m:t>-1</m:t>
                    </m:r>
                  </m:sub>
                </m:sSub>
              </m:oMath>
            </m:oMathPara>
          </w:p>
        </w:tc>
        <w:tc>
          <w:tcPr>
            <w:tcW w:w="1263" w:type="pct"/>
            <w:tcBorders>
              <w:top w:val="nil"/>
              <w:left w:val="nil"/>
              <w:bottom w:val="nil"/>
              <w:right w:val="nil"/>
            </w:tcBorders>
            <w:shd w:val="clear" w:color="auto" w:fill="auto"/>
            <w:noWrap/>
            <w:vAlign w:val="center"/>
            <w:hideMark/>
          </w:tcPr>
          <w:p w14:paraId="71280EA4" w14:textId="77777777" w:rsidR="00735ADD" w:rsidRPr="00EF32F6" w:rsidRDefault="00735ADD" w:rsidP="003D6288">
            <w:pPr>
              <w:pStyle w:val="TableText"/>
              <w:jc w:val="right"/>
              <w:rPr>
                <w:lang w:val="en-GB" w:eastAsia="zh-CN"/>
              </w:rPr>
            </w:pPr>
            <w:r w:rsidRPr="00EF32F6">
              <w:rPr>
                <w:lang w:val="en-GB" w:eastAsia="zh-CN"/>
              </w:rPr>
              <w:t>-0.139***</w:t>
            </w:r>
          </w:p>
        </w:tc>
        <w:tc>
          <w:tcPr>
            <w:tcW w:w="1120" w:type="pct"/>
            <w:tcBorders>
              <w:top w:val="nil"/>
              <w:left w:val="nil"/>
              <w:bottom w:val="nil"/>
              <w:right w:val="nil"/>
            </w:tcBorders>
            <w:shd w:val="clear" w:color="auto" w:fill="auto"/>
            <w:noWrap/>
            <w:vAlign w:val="center"/>
            <w:hideMark/>
          </w:tcPr>
          <w:p w14:paraId="28C68F68" w14:textId="77777777" w:rsidR="00735ADD" w:rsidRPr="00EF32F6" w:rsidRDefault="00735ADD" w:rsidP="003D6288">
            <w:pPr>
              <w:pStyle w:val="TableText"/>
              <w:jc w:val="right"/>
              <w:rPr>
                <w:lang w:val="en-GB" w:eastAsia="zh-CN"/>
              </w:rPr>
            </w:pPr>
            <w:r w:rsidRPr="00EF32F6">
              <w:rPr>
                <w:lang w:val="en-GB" w:eastAsia="zh-CN"/>
              </w:rPr>
              <w:t>-0.221***</w:t>
            </w:r>
          </w:p>
        </w:tc>
        <w:tc>
          <w:tcPr>
            <w:tcW w:w="1120" w:type="pct"/>
            <w:tcBorders>
              <w:top w:val="nil"/>
              <w:left w:val="nil"/>
              <w:bottom w:val="nil"/>
              <w:right w:val="nil"/>
            </w:tcBorders>
            <w:shd w:val="clear" w:color="auto" w:fill="auto"/>
            <w:noWrap/>
            <w:vAlign w:val="center"/>
            <w:hideMark/>
          </w:tcPr>
          <w:p w14:paraId="64785CEC" w14:textId="77777777" w:rsidR="00735ADD" w:rsidRPr="00EF32F6" w:rsidRDefault="00735ADD" w:rsidP="003D6288">
            <w:pPr>
              <w:pStyle w:val="TableText"/>
              <w:jc w:val="right"/>
              <w:rPr>
                <w:lang w:val="en-GB" w:eastAsia="zh-CN"/>
              </w:rPr>
            </w:pPr>
            <w:r w:rsidRPr="00EF32F6">
              <w:rPr>
                <w:lang w:val="en-GB" w:eastAsia="zh-CN"/>
              </w:rPr>
              <w:t>-0.119***</w:t>
            </w:r>
          </w:p>
        </w:tc>
      </w:tr>
      <w:tr w:rsidR="00735ADD" w:rsidRPr="00EF32F6" w14:paraId="35741E3D" w14:textId="77777777" w:rsidTr="00DC68CD">
        <w:trPr>
          <w:trHeight w:val="300"/>
        </w:trPr>
        <w:tc>
          <w:tcPr>
            <w:tcW w:w="1497" w:type="pct"/>
            <w:tcBorders>
              <w:top w:val="nil"/>
              <w:left w:val="nil"/>
              <w:bottom w:val="nil"/>
              <w:right w:val="nil"/>
            </w:tcBorders>
            <w:shd w:val="clear" w:color="auto" w:fill="auto"/>
            <w:noWrap/>
            <w:vAlign w:val="center"/>
            <w:hideMark/>
          </w:tcPr>
          <w:p w14:paraId="0BE2EF07" w14:textId="77777777" w:rsidR="00735ADD" w:rsidRPr="00EF32F6" w:rsidRDefault="00735ADD" w:rsidP="003D6288">
            <w:pPr>
              <w:pStyle w:val="TableText"/>
              <w:rPr>
                <w:lang w:val="en-GB" w:eastAsia="zh-CN"/>
              </w:rPr>
            </w:pPr>
          </w:p>
        </w:tc>
        <w:tc>
          <w:tcPr>
            <w:tcW w:w="1263" w:type="pct"/>
            <w:tcBorders>
              <w:top w:val="nil"/>
              <w:left w:val="nil"/>
              <w:bottom w:val="nil"/>
              <w:right w:val="nil"/>
            </w:tcBorders>
            <w:shd w:val="clear" w:color="auto" w:fill="auto"/>
            <w:noWrap/>
            <w:vAlign w:val="center"/>
            <w:hideMark/>
          </w:tcPr>
          <w:p w14:paraId="1BF8915F" w14:textId="77777777" w:rsidR="00735ADD" w:rsidRPr="00EF32F6" w:rsidRDefault="00735ADD" w:rsidP="003D6288">
            <w:pPr>
              <w:pStyle w:val="TableText"/>
              <w:jc w:val="right"/>
              <w:rPr>
                <w:lang w:val="en-GB" w:eastAsia="zh-CN"/>
              </w:rPr>
            </w:pPr>
            <w:r w:rsidRPr="00EF32F6">
              <w:rPr>
                <w:lang w:val="en-GB" w:eastAsia="zh-CN"/>
              </w:rPr>
              <w:t>(-13.21)</w:t>
            </w:r>
          </w:p>
        </w:tc>
        <w:tc>
          <w:tcPr>
            <w:tcW w:w="1120" w:type="pct"/>
            <w:tcBorders>
              <w:top w:val="nil"/>
              <w:left w:val="nil"/>
              <w:bottom w:val="nil"/>
              <w:right w:val="nil"/>
            </w:tcBorders>
            <w:shd w:val="clear" w:color="auto" w:fill="auto"/>
            <w:noWrap/>
            <w:vAlign w:val="center"/>
            <w:hideMark/>
          </w:tcPr>
          <w:p w14:paraId="29EDBB56" w14:textId="77777777" w:rsidR="00735ADD" w:rsidRPr="00EF32F6" w:rsidRDefault="00735ADD" w:rsidP="003D6288">
            <w:pPr>
              <w:pStyle w:val="TableText"/>
              <w:jc w:val="right"/>
              <w:rPr>
                <w:lang w:val="en-GB" w:eastAsia="zh-CN"/>
              </w:rPr>
            </w:pPr>
            <w:r w:rsidRPr="00EF32F6">
              <w:rPr>
                <w:lang w:val="en-GB" w:eastAsia="zh-CN"/>
              </w:rPr>
              <w:t>(-15.67)</w:t>
            </w:r>
          </w:p>
        </w:tc>
        <w:tc>
          <w:tcPr>
            <w:tcW w:w="1120" w:type="pct"/>
            <w:tcBorders>
              <w:top w:val="nil"/>
              <w:left w:val="nil"/>
              <w:bottom w:val="nil"/>
              <w:right w:val="nil"/>
            </w:tcBorders>
            <w:shd w:val="clear" w:color="auto" w:fill="auto"/>
            <w:noWrap/>
            <w:vAlign w:val="center"/>
            <w:hideMark/>
          </w:tcPr>
          <w:p w14:paraId="20389335" w14:textId="77777777" w:rsidR="00735ADD" w:rsidRPr="00EF32F6" w:rsidRDefault="00735ADD" w:rsidP="003D6288">
            <w:pPr>
              <w:pStyle w:val="TableText"/>
              <w:jc w:val="right"/>
              <w:rPr>
                <w:lang w:val="en-GB" w:eastAsia="zh-CN"/>
              </w:rPr>
            </w:pPr>
            <w:r w:rsidRPr="00EF32F6">
              <w:rPr>
                <w:lang w:val="en-GB" w:eastAsia="zh-CN"/>
              </w:rPr>
              <w:t>(-14.28)</w:t>
            </w:r>
          </w:p>
        </w:tc>
      </w:tr>
      <w:tr w:rsidR="00735ADD" w:rsidRPr="00EF32F6" w14:paraId="612CB304" w14:textId="77777777" w:rsidTr="00DC68CD">
        <w:trPr>
          <w:trHeight w:val="300"/>
        </w:trPr>
        <w:tc>
          <w:tcPr>
            <w:tcW w:w="1497" w:type="pct"/>
            <w:tcBorders>
              <w:top w:val="nil"/>
              <w:left w:val="nil"/>
              <w:bottom w:val="nil"/>
              <w:right w:val="nil"/>
            </w:tcBorders>
            <w:shd w:val="clear" w:color="auto" w:fill="auto"/>
            <w:noWrap/>
            <w:vAlign w:val="center"/>
            <w:hideMark/>
          </w:tcPr>
          <w:p w14:paraId="42B8D6A9" w14:textId="77777777" w:rsidR="00735ADD" w:rsidRPr="00EF32F6" w:rsidRDefault="008D48AD" w:rsidP="003D6288">
            <w:pPr>
              <w:pStyle w:val="TableText"/>
              <w:rPr>
                <w:rFonts w:eastAsia="Times New Roman"/>
                <w:color w:val="000000"/>
                <w:lang w:val="en-GB" w:eastAsia="zh-CN"/>
              </w:rPr>
            </w:pPr>
            <m:oMathPara>
              <m:oMathParaPr>
                <m:jc m:val="left"/>
              </m:oMathParaPr>
              <m:oMath>
                <m:sSub>
                  <m:sSubPr>
                    <m:ctrlPr>
                      <w:rPr>
                        <w:rFonts w:ascii="Cambria Math" w:hAnsi="Cambria Math"/>
                      </w:rPr>
                    </m:ctrlPr>
                  </m:sSubPr>
                  <m:e>
                    <m:r>
                      <w:rPr>
                        <w:rFonts w:ascii="Cambria Math" w:hAnsi="Cambria Math"/>
                      </w:rPr>
                      <m:t>STDFSRET</m:t>
                    </m:r>
                  </m:e>
                  <m:sub>
                    <m:r>
                      <w:rPr>
                        <w:rFonts w:ascii="Cambria Math" w:hAnsi="Cambria Math"/>
                      </w:rPr>
                      <m:t>t</m:t>
                    </m:r>
                    <m:r>
                      <m:rPr>
                        <m:sty m:val="p"/>
                      </m:rPr>
                      <w:rPr>
                        <w:rFonts w:ascii="Cambria Math" w:hAnsi="Cambria Math"/>
                      </w:rPr>
                      <m:t>-1</m:t>
                    </m:r>
                  </m:sub>
                </m:sSub>
              </m:oMath>
            </m:oMathPara>
          </w:p>
        </w:tc>
        <w:tc>
          <w:tcPr>
            <w:tcW w:w="1263" w:type="pct"/>
            <w:tcBorders>
              <w:top w:val="nil"/>
              <w:left w:val="nil"/>
              <w:bottom w:val="nil"/>
              <w:right w:val="nil"/>
            </w:tcBorders>
            <w:shd w:val="clear" w:color="auto" w:fill="auto"/>
            <w:noWrap/>
            <w:vAlign w:val="center"/>
            <w:hideMark/>
          </w:tcPr>
          <w:p w14:paraId="480FFCB1" w14:textId="77777777" w:rsidR="00735ADD" w:rsidRPr="00EF32F6" w:rsidRDefault="00735ADD" w:rsidP="003D6288">
            <w:pPr>
              <w:pStyle w:val="TableText"/>
              <w:jc w:val="right"/>
              <w:rPr>
                <w:lang w:val="en-GB" w:eastAsia="zh-CN"/>
              </w:rPr>
            </w:pPr>
            <w:r w:rsidRPr="00EF32F6">
              <w:rPr>
                <w:lang w:val="en-GB" w:eastAsia="zh-CN"/>
              </w:rPr>
              <w:t>-0.494</w:t>
            </w:r>
          </w:p>
        </w:tc>
        <w:tc>
          <w:tcPr>
            <w:tcW w:w="1120" w:type="pct"/>
            <w:tcBorders>
              <w:top w:val="nil"/>
              <w:left w:val="nil"/>
              <w:bottom w:val="nil"/>
              <w:right w:val="nil"/>
            </w:tcBorders>
            <w:shd w:val="clear" w:color="auto" w:fill="auto"/>
            <w:noWrap/>
            <w:vAlign w:val="center"/>
            <w:hideMark/>
          </w:tcPr>
          <w:p w14:paraId="285DF056" w14:textId="77777777" w:rsidR="00735ADD" w:rsidRPr="00EF32F6" w:rsidRDefault="00735ADD" w:rsidP="003D6288">
            <w:pPr>
              <w:pStyle w:val="TableText"/>
              <w:jc w:val="right"/>
              <w:rPr>
                <w:lang w:val="en-GB" w:eastAsia="zh-CN"/>
              </w:rPr>
            </w:pPr>
            <w:r w:rsidRPr="00EF32F6">
              <w:rPr>
                <w:lang w:val="en-GB" w:eastAsia="zh-CN"/>
              </w:rPr>
              <w:t>-1.219</w:t>
            </w:r>
          </w:p>
        </w:tc>
        <w:tc>
          <w:tcPr>
            <w:tcW w:w="1120" w:type="pct"/>
            <w:tcBorders>
              <w:top w:val="nil"/>
              <w:left w:val="nil"/>
              <w:bottom w:val="nil"/>
              <w:right w:val="nil"/>
            </w:tcBorders>
            <w:shd w:val="clear" w:color="auto" w:fill="auto"/>
            <w:noWrap/>
            <w:vAlign w:val="center"/>
            <w:hideMark/>
          </w:tcPr>
          <w:p w14:paraId="36D9EB82" w14:textId="77777777" w:rsidR="00735ADD" w:rsidRPr="00EF32F6" w:rsidRDefault="00735ADD" w:rsidP="003D6288">
            <w:pPr>
              <w:pStyle w:val="TableText"/>
              <w:jc w:val="right"/>
              <w:rPr>
                <w:lang w:val="en-GB" w:eastAsia="zh-CN"/>
              </w:rPr>
            </w:pPr>
            <w:r w:rsidRPr="00EF32F6">
              <w:rPr>
                <w:lang w:val="en-GB" w:eastAsia="zh-CN"/>
              </w:rPr>
              <w:t>2.339</w:t>
            </w:r>
          </w:p>
        </w:tc>
      </w:tr>
      <w:tr w:rsidR="00735ADD" w:rsidRPr="00EF32F6" w14:paraId="66F17C0D" w14:textId="77777777" w:rsidTr="00DC68CD">
        <w:trPr>
          <w:trHeight w:val="300"/>
        </w:trPr>
        <w:tc>
          <w:tcPr>
            <w:tcW w:w="1497" w:type="pct"/>
            <w:tcBorders>
              <w:top w:val="nil"/>
              <w:left w:val="nil"/>
              <w:bottom w:val="nil"/>
              <w:right w:val="nil"/>
            </w:tcBorders>
            <w:shd w:val="clear" w:color="auto" w:fill="auto"/>
            <w:noWrap/>
            <w:vAlign w:val="center"/>
            <w:hideMark/>
          </w:tcPr>
          <w:p w14:paraId="0ADC83A9" w14:textId="77777777" w:rsidR="00735ADD" w:rsidRPr="00EF32F6" w:rsidRDefault="00735ADD" w:rsidP="003D6288">
            <w:pPr>
              <w:pStyle w:val="TableText"/>
              <w:rPr>
                <w:lang w:val="en-GB" w:eastAsia="zh-CN"/>
              </w:rPr>
            </w:pPr>
          </w:p>
        </w:tc>
        <w:tc>
          <w:tcPr>
            <w:tcW w:w="1263" w:type="pct"/>
            <w:tcBorders>
              <w:top w:val="nil"/>
              <w:left w:val="nil"/>
              <w:bottom w:val="nil"/>
              <w:right w:val="nil"/>
            </w:tcBorders>
            <w:shd w:val="clear" w:color="auto" w:fill="auto"/>
            <w:noWrap/>
            <w:vAlign w:val="center"/>
            <w:hideMark/>
          </w:tcPr>
          <w:p w14:paraId="48B3B0C1" w14:textId="77777777" w:rsidR="00735ADD" w:rsidRPr="00EF32F6" w:rsidRDefault="00735ADD" w:rsidP="003D6288">
            <w:pPr>
              <w:pStyle w:val="TableText"/>
              <w:jc w:val="right"/>
              <w:rPr>
                <w:lang w:val="en-GB" w:eastAsia="zh-CN"/>
              </w:rPr>
            </w:pPr>
            <w:r w:rsidRPr="00EF32F6">
              <w:rPr>
                <w:lang w:val="en-GB" w:eastAsia="zh-CN"/>
              </w:rPr>
              <w:t>(-0.20)</w:t>
            </w:r>
          </w:p>
        </w:tc>
        <w:tc>
          <w:tcPr>
            <w:tcW w:w="1120" w:type="pct"/>
            <w:tcBorders>
              <w:top w:val="nil"/>
              <w:left w:val="nil"/>
              <w:bottom w:val="nil"/>
              <w:right w:val="nil"/>
            </w:tcBorders>
            <w:shd w:val="clear" w:color="auto" w:fill="auto"/>
            <w:noWrap/>
            <w:vAlign w:val="center"/>
            <w:hideMark/>
          </w:tcPr>
          <w:p w14:paraId="3090A518" w14:textId="77777777" w:rsidR="00735ADD" w:rsidRPr="00EF32F6" w:rsidRDefault="00735ADD" w:rsidP="003D6288">
            <w:pPr>
              <w:pStyle w:val="TableText"/>
              <w:jc w:val="right"/>
              <w:rPr>
                <w:lang w:val="en-GB" w:eastAsia="zh-CN"/>
              </w:rPr>
            </w:pPr>
            <w:r w:rsidRPr="00EF32F6">
              <w:rPr>
                <w:lang w:val="en-GB" w:eastAsia="zh-CN"/>
              </w:rPr>
              <w:t>(-0.36)</w:t>
            </w:r>
          </w:p>
        </w:tc>
        <w:tc>
          <w:tcPr>
            <w:tcW w:w="1120" w:type="pct"/>
            <w:tcBorders>
              <w:top w:val="nil"/>
              <w:left w:val="nil"/>
              <w:bottom w:val="nil"/>
              <w:right w:val="nil"/>
            </w:tcBorders>
            <w:shd w:val="clear" w:color="auto" w:fill="auto"/>
            <w:noWrap/>
            <w:vAlign w:val="center"/>
            <w:hideMark/>
          </w:tcPr>
          <w:p w14:paraId="381A6069" w14:textId="77777777" w:rsidR="00735ADD" w:rsidRPr="00EF32F6" w:rsidRDefault="00735ADD" w:rsidP="003D6288">
            <w:pPr>
              <w:pStyle w:val="TableText"/>
              <w:jc w:val="right"/>
              <w:rPr>
                <w:lang w:val="en-GB" w:eastAsia="zh-CN"/>
              </w:rPr>
            </w:pPr>
            <w:r w:rsidRPr="00EF32F6">
              <w:rPr>
                <w:lang w:val="en-GB" w:eastAsia="zh-CN"/>
              </w:rPr>
              <w:t>(1.14)</w:t>
            </w:r>
          </w:p>
        </w:tc>
      </w:tr>
      <w:tr w:rsidR="00735ADD" w:rsidRPr="00EF32F6" w14:paraId="132E6ABA" w14:textId="77777777" w:rsidTr="00DC68CD">
        <w:trPr>
          <w:trHeight w:val="300"/>
        </w:trPr>
        <w:tc>
          <w:tcPr>
            <w:tcW w:w="1497" w:type="pct"/>
            <w:tcBorders>
              <w:top w:val="nil"/>
              <w:left w:val="nil"/>
              <w:bottom w:val="nil"/>
              <w:right w:val="nil"/>
            </w:tcBorders>
            <w:shd w:val="clear" w:color="auto" w:fill="auto"/>
            <w:noWrap/>
            <w:vAlign w:val="center"/>
            <w:hideMark/>
          </w:tcPr>
          <w:p w14:paraId="5930EBBE" w14:textId="77777777" w:rsidR="00735ADD" w:rsidRPr="00EF32F6" w:rsidRDefault="008D48AD" w:rsidP="003D6288">
            <w:pPr>
              <w:pStyle w:val="TableText"/>
              <w:rPr>
                <w:rFonts w:eastAsia="Times New Roman"/>
                <w:color w:val="000000"/>
                <w:lang w:val="en-GB" w:eastAsia="zh-CN"/>
              </w:rPr>
            </w:pPr>
            <m:oMathPara>
              <m:oMathParaPr>
                <m:jc m:val="left"/>
              </m:oMathParaPr>
              <m:oMath>
                <m:sSub>
                  <m:sSubPr>
                    <m:ctrlPr>
                      <w:rPr>
                        <w:rFonts w:ascii="Cambria Math" w:hAnsi="Cambria Math"/>
                      </w:rPr>
                    </m:ctrlPr>
                  </m:sSubPr>
                  <m:e>
                    <m:r>
                      <w:rPr>
                        <w:rFonts w:ascii="Cambria Math" w:hAnsi="Cambria Math"/>
                      </w:rPr>
                      <m:t>MEANFSRET</m:t>
                    </m:r>
                  </m:e>
                  <m:sub>
                    <m:r>
                      <w:rPr>
                        <w:rFonts w:ascii="Cambria Math" w:hAnsi="Cambria Math"/>
                      </w:rPr>
                      <m:t>t</m:t>
                    </m:r>
                    <m:r>
                      <m:rPr>
                        <m:sty m:val="p"/>
                      </m:rPr>
                      <w:rPr>
                        <w:rFonts w:ascii="Cambria Math" w:hAnsi="Cambria Math"/>
                      </w:rPr>
                      <m:t>-1</m:t>
                    </m:r>
                  </m:sub>
                </m:sSub>
              </m:oMath>
            </m:oMathPara>
          </w:p>
        </w:tc>
        <w:tc>
          <w:tcPr>
            <w:tcW w:w="1263" w:type="pct"/>
            <w:tcBorders>
              <w:top w:val="nil"/>
              <w:left w:val="nil"/>
              <w:bottom w:val="nil"/>
              <w:right w:val="nil"/>
            </w:tcBorders>
            <w:shd w:val="clear" w:color="auto" w:fill="auto"/>
            <w:noWrap/>
            <w:vAlign w:val="center"/>
            <w:hideMark/>
          </w:tcPr>
          <w:p w14:paraId="44D0BCE0" w14:textId="77777777" w:rsidR="00735ADD" w:rsidRPr="00EF32F6" w:rsidRDefault="00735ADD" w:rsidP="003D6288">
            <w:pPr>
              <w:pStyle w:val="TableText"/>
              <w:jc w:val="right"/>
              <w:rPr>
                <w:lang w:val="en-GB" w:eastAsia="zh-CN"/>
              </w:rPr>
            </w:pPr>
            <w:r w:rsidRPr="00EF32F6">
              <w:rPr>
                <w:lang w:val="en-GB" w:eastAsia="zh-CN"/>
              </w:rPr>
              <w:t>0.065</w:t>
            </w:r>
          </w:p>
        </w:tc>
        <w:tc>
          <w:tcPr>
            <w:tcW w:w="1120" w:type="pct"/>
            <w:tcBorders>
              <w:top w:val="nil"/>
              <w:left w:val="nil"/>
              <w:bottom w:val="nil"/>
              <w:right w:val="nil"/>
            </w:tcBorders>
            <w:shd w:val="clear" w:color="auto" w:fill="auto"/>
            <w:noWrap/>
            <w:vAlign w:val="center"/>
            <w:hideMark/>
          </w:tcPr>
          <w:p w14:paraId="16EAC9F3" w14:textId="77777777" w:rsidR="00735ADD" w:rsidRPr="00EF32F6" w:rsidRDefault="00735ADD" w:rsidP="003D6288">
            <w:pPr>
              <w:pStyle w:val="TableText"/>
              <w:jc w:val="right"/>
              <w:rPr>
                <w:lang w:val="en-GB" w:eastAsia="zh-CN"/>
              </w:rPr>
            </w:pPr>
            <w:r w:rsidRPr="00EF32F6">
              <w:rPr>
                <w:lang w:val="en-GB" w:eastAsia="zh-CN"/>
              </w:rPr>
              <w:t>0.080</w:t>
            </w:r>
          </w:p>
        </w:tc>
        <w:tc>
          <w:tcPr>
            <w:tcW w:w="1120" w:type="pct"/>
            <w:tcBorders>
              <w:top w:val="nil"/>
              <w:left w:val="nil"/>
              <w:bottom w:val="nil"/>
              <w:right w:val="nil"/>
            </w:tcBorders>
            <w:shd w:val="clear" w:color="auto" w:fill="auto"/>
            <w:noWrap/>
            <w:vAlign w:val="center"/>
            <w:hideMark/>
          </w:tcPr>
          <w:p w14:paraId="48522A52" w14:textId="77777777" w:rsidR="00735ADD" w:rsidRPr="00EF32F6" w:rsidRDefault="00735ADD" w:rsidP="003D6288">
            <w:pPr>
              <w:pStyle w:val="TableText"/>
              <w:jc w:val="right"/>
              <w:rPr>
                <w:lang w:val="en-GB" w:eastAsia="zh-CN"/>
              </w:rPr>
            </w:pPr>
            <w:r w:rsidRPr="00EF32F6">
              <w:rPr>
                <w:lang w:val="en-GB" w:eastAsia="zh-CN"/>
              </w:rPr>
              <w:t>0.509</w:t>
            </w:r>
          </w:p>
        </w:tc>
      </w:tr>
      <w:tr w:rsidR="00735ADD" w:rsidRPr="00EF32F6" w14:paraId="4FD07695" w14:textId="77777777" w:rsidTr="00DC68CD">
        <w:trPr>
          <w:trHeight w:val="300"/>
        </w:trPr>
        <w:tc>
          <w:tcPr>
            <w:tcW w:w="1497" w:type="pct"/>
            <w:tcBorders>
              <w:top w:val="nil"/>
              <w:left w:val="nil"/>
              <w:bottom w:val="nil"/>
              <w:right w:val="nil"/>
            </w:tcBorders>
            <w:shd w:val="clear" w:color="auto" w:fill="auto"/>
            <w:noWrap/>
            <w:vAlign w:val="center"/>
            <w:hideMark/>
          </w:tcPr>
          <w:p w14:paraId="76C11A5D" w14:textId="77777777" w:rsidR="00735ADD" w:rsidRPr="00EF32F6" w:rsidRDefault="00735ADD" w:rsidP="003D6288">
            <w:pPr>
              <w:pStyle w:val="TableText"/>
              <w:rPr>
                <w:lang w:val="en-GB" w:eastAsia="zh-CN"/>
              </w:rPr>
            </w:pPr>
          </w:p>
        </w:tc>
        <w:tc>
          <w:tcPr>
            <w:tcW w:w="1263" w:type="pct"/>
            <w:tcBorders>
              <w:top w:val="nil"/>
              <w:left w:val="nil"/>
              <w:bottom w:val="nil"/>
              <w:right w:val="nil"/>
            </w:tcBorders>
            <w:shd w:val="clear" w:color="auto" w:fill="auto"/>
            <w:noWrap/>
            <w:vAlign w:val="center"/>
            <w:hideMark/>
          </w:tcPr>
          <w:p w14:paraId="691D55D9" w14:textId="77777777" w:rsidR="00735ADD" w:rsidRPr="00EF32F6" w:rsidRDefault="00735ADD" w:rsidP="003D6288">
            <w:pPr>
              <w:pStyle w:val="TableText"/>
              <w:jc w:val="right"/>
              <w:rPr>
                <w:lang w:val="en-GB" w:eastAsia="zh-CN"/>
              </w:rPr>
            </w:pPr>
            <w:r w:rsidRPr="00EF32F6">
              <w:rPr>
                <w:lang w:val="en-GB" w:eastAsia="zh-CN"/>
              </w:rPr>
              <w:t>(0.16)</w:t>
            </w:r>
          </w:p>
        </w:tc>
        <w:tc>
          <w:tcPr>
            <w:tcW w:w="1120" w:type="pct"/>
            <w:tcBorders>
              <w:top w:val="nil"/>
              <w:left w:val="nil"/>
              <w:bottom w:val="nil"/>
              <w:right w:val="nil"/>
            </w:tcBorders>
            <w:shd w:val="clear" w:color="auto" w:fill="auto"/>
            <w:noWrap/>
            <w:vAlign w:val="center"/>
            <w:hideMark/>
          </w:tcPr>
          <w:p w14:paraId="25734D9C" w14:textId="77777777" w:rsidR="00735ADD" w:rsidRPr="00EF32F6" w:rsidRDefault="00735ADD" w:rsidP="003D6288">
            <w:pPr>
              <w:pStyle w:val="TableText"/>
              <w:jc w:val="right"/>
              <w:rPr>
                <w:lang w:val="en-GB" w:eastAsia="zh-CN"/>
              </w:rPr>
            </w:pPr>
            <w:r w:rsidRPr="00EF32F6">
              <w:rPr>
                <w:lang w:val="en-GB" w:eastAsia="zh-CN"/>
              </w:rPr>
              <w:t>(0.14)</w:t>
            </w:r>
          </w:p>
        </w:tc>
        <w:tc>
          <w:tcPr>
            <w:tcW w:w="1120" w:type="pct"/>
            <w:tcBorders>
              <w:top w:val="nil"/>
              <w:left w:val="nil"/>
              <w:bottom w:val="nil"/>
              <w:right w:val="nil"/>
            </w:tcBorders>
            <w:shd w:val="clear" w:color="auto" w:fill="auto"/>
            <w:noWrap/>
            <w:vAlign w:val="center"/>
            <w:hideMark/>
          </w:tcPr>
          <w:p w14:paraId="5375231A" w14:textId="77777777" w:rsidR="00735ADD" w:rsidRPr="00EF32F6" w:rsidRDefault="00735ADD" w:rsidP="003D6288">
            <w:pPr>
              <w:pStyle w:val="TableText"/>
              <w:jc w:val="right"/>
              <w:rPr>
                <w:lang w:val="en-GB" w:eastAsia="zh-CN"/>
              </w:rPr>
            </w:pPr>
            <w:r w:rsidRPr="00EF32F6">
              <w:rPr>
                <w:lang w:val="en-GB" w:eastAsia="zh-CN"/>
              </w:rPr>
              <w:t>(1.60)</w:t>
            </w:r>
          </w:p>
        </w:tc>
      </w:tr>
      <w:tr w:rsidR="00735ADD" w:rsidRPr="00EF32F6" w14:paraId="686E1E36" w14:textId="77777777" w:rsidTr="00DC68CD">
        <w:trPr>
          <w:trHeight w:val="300"/>
        </w:trPr>
        <w:tc>
          <w:tcPr>
            <w:tcW w:w="1497" w:type="pct"/>
            <w:tcBorders>
              <w:top w:val="nil"/>
              <w:left w:val="nil"/>
              <w:bottom w:val="nil"/>
              <w:right w:val="nil"/>
            </w:tcBorders>
            <w:shd w:val="clear" w:color="auto" w:fill="auto"/>
            <w:noWrap/>
            <w:vAlign w:val="center"/>
            <w:hideMark/>
          </w:tcPr>
          <w:p w14:paraId="0B621FAD" w14:textId="77777777" w:rsidR="00735ADD" w:rsidRPr="00EF32F6" w:rsidRDefault="008D48AD" w:rsidP="003D6288">
            <w:pPr>
              <w:pStyle w:val="TableText"/>
              <w:rPr>
                <w:rFonts w:eastAsia="Times New Roman"/>
                <w:color w:val="000000"/>
                <w:lang w:val="en-GB" w:eastAsia="zh-CN"/>
              </w:rPr>
            </w:pPr>
            <m:oMathPara>
              <m:oMathParaPr>
                <m:jc m:val="left"/>
              </m:oMathParaPr>
              <m:oMath>
                <m:sSub>
                  <m:sSubPr>
                    <m:ctrlPr>
                      <w:rPr>
                        <w:rFonts w:ascii="Cambria Math" w:hAnsi="Cambria Math"/>
                      </w:rPr>
                    </m:ctrlPr>
                  </m:sSubPr>
                  <m:e>
                    <m:r>
                      <w:rPr>
                        <w:rFonts w:ascii="Cambria Math" w:hAnsi="Cambria Math"/>
                      </w:rPr>
                      <m:t>SIZE</m:t>
                    </m:r>
                  </m:e>
                  <m:sub>
                    <m:r>
                      <w:rPr>
                        <w:rFonts w:ascii="Cambria Math" w:hAnsi="Cambria Math"/>
                      </w:rPr>
                      <m:t>t</m:t>
                    </m:r>
                    <m:r>
                      <m:rPr>
                        <m:sty m:val="p"/>
                      </m:rPr>
                      <w:rPr>
                        <w:rFonts w:ascii="Cambria Math" w:hAnsi="Cambria Math"/>
                      </w:rPr>
                      <m:t>-1</m:t>
                    </m:r>
                  </m:sub>
                </m:sSub>
              </m:oMath>
            </m:oMathPara>
          </w:p>
        </w:tc>
        <w:tc>
          <w:tcPr>
            <w:tcW w:w="1263" w:type="pct"/>
            <w:tcBorders>
              <w:top w:val="nil"/>
              <w:left w:val="nil"/>
              <w:bottom w:val="nil"/>
              <w:right w:val="nil"/>
            </w:tcBorders>
            <w:shd w:val="clear" w:color="auto" w:fill="auto"/>
            <w:noWrap/>
            <w:vAlign w:val="center"/>
            <w:hideMark/>
          </w:tcPr>
          <w:p w14:paraId="4E65F8C1" w14:textId="77777777" w:rsidR="00735ADD" w:rsidRPr="00EF32F6" w:rsidRDefault="00735ADD" w:rsidP="003D6288">
            <w:pPr>
              <w:pStyle w:val="TableText"/>
              <w:jc w:val="right"/>
              <w:rPr>
                <w:lang w:val="en-GB" w:eastAsia="zh-CN"/>
              </w:rPr>
            </w:pPr>
            <w:r w:rsidRPr="00EF32F6">
              <w:rPr>
                <w:lang w:val="en-GB" w:eastAsia="zh-CN"/>
              </w:rPr>
              <w:t>0.250***</w:t>
            </w:r>
          </w:p>
        </w:tc>
        <w:tc>
          <w:tcPr>
            <w:tcW w:w="1120" w:type="pct"/>
            <w:tcBorders>
              <w:top w:val="nil"/>
              <w:left w:val="nil"/>
              <w:bottom w:val="nil"/>
              <w:right w:val="nil"/>
            </w:tcBorders>
            <w:shd w:val="clear" w:color="auto" w:fill="auto"/>
            <w:noWrap/>
            <w:vAlign w:val="center"/>
            <w:hideMark/>
          </w:tcPr>
          <w:p w14:paraId="3904D3D6" w14:textId="77777777" w:rsidR="00735ADD" w:rsidRPr="00EF32F6" w:rsidRDefault="00735ADD" w:rsidP="003D6288">
            <w:pPr>
              <w:pStyle w:val="TableText"/>
              <w:jc w:val="right"/>
              <w:rPr>
                <w:lang w:val="en-GB" w:eastAsia="zh-CN"/>
              </w:rPr>
            </w:pPr>
            <w:r w:rsidRPr="00EF32F6">
              <w:rPr>
                <w:lang w:val="en-GB" w:eastAsia="zh-CN"/>
              </w:rPr>
              <w:t>0.456***</w:t>
            </w:r>
          </w:p>
        </w:tc>
        <w:tc>
          <w:tcPr>
            <w:tcW w:w="1120" w:type="pct"/>
            <w:tcBorders>
              <w:top w:val="nil"/>
              <w:left w:val="nil"/>
              <w:bottom w:val="nil"/>
              <w:right w:val="nil"/>
            </w:tcBorders>
            <w:shd w:val="clear" w:color="auto" w:fill="auto"/>
            <w:noWrap/>
            <w:vAlign w:val="center"/>
            <w:hideMark/>
          </w:tcPr>
          <w:p w14:paraId="093F9CC6" w14:textId="77777777" w:rsidR="00735ADD" w:rsidRPr="00EF32F6" w:rsidRDefault="00735ADD" w:rsidP="003D6288">
            <w:pPr>
              <w:pStyle w:val="TableText"/>
              <w:jc w:val="right"/>
              <w:rPr>
                <w:lang w:val="en-GB" w:eastAsia="zh-CN"/>
              </w:rPr>
            </w:pPr>
            <w:r w:rsidRPr="00EF32F6">
              <w:rPr>
                <w:lang w:val="en-GB" w:eastAsia="zh-CN"/>
              </w:rPr>
              <w:t>0.310***</w:t>
            </w:r>
          </w:p>
        </w:tc>
      </w:tr>
      <w:tr w:rsidR="00735ADD" w:rsidRPr="00EF32F6" w14:paraId="00907DCF" w14:textId="77777777" w:rsidTr="00DC68CD">
        <w:trPr>
          <w:trHeight w:val="300"/>
        </w:trPr>
        <w:tc>
          <w:tcPr>
            <w:tcW w:w="1497" w:type="pct"/>
            <w:tcBorders>
              <w:top w:val="nil"/>
              <w:left w:val="nil"/>
              <w:bottom w:val="nil"/>
              <w:right w:val="nil"/>
            </w:tcBorders>
            <w:shd w:val="clear" w:color="auto" w:fill="auto"/>
            <w:noWrap/>
            <w:vAlign w:val="center"/>
            <w:hideMark/>
          </w:tcPr>
          <w:p w14:paraId="6389E5FE" w14:textId="77777777" w:rsidR="00735ADD" w:rsidRPr="00EF32F6" w:rsidRDefault="00735ADD" w:rsidP="003D6288">
            <w:pPr>
              <w:pStyle w:val="TableText"/>
              <w:rPr>
                <w:lang w:val="en-GB" w:eastAsia="zh-CN"/>
              </w:rPr>
            </w:pPr>
          </w:p>
        </w:tc>
        <w:tc>
          <w:tcPr>
            <w:tcW w:w="1263" w:type="pct"/>
            <w:tcBorders>
              <w:top w:val="nil"/>
              <w:left w:val="nil"/>
              <w:bottom w:val="nil"/>
              <w:right w:val="nil"/>
            </w:tcBorders>
            <w:shd w:val="clear" w:color="auto" w:fill="auto"/>
            <w:noWrap/>
            <w:vAlign w:val="center"/>
            <w:hideMark/>
          </w:tcPr>
          <w:p w14:paraId="3C491C16" w14:textId="77777777" w:rsidR="00735ADD" w:rsidRPr="00EF32F6" w:rsidRDefault="00735ADD" w:rsidP="003D6288">
            <w:pPr>
              <w:pStyle w:val="TableText"/>
              <w:jc w:val="right"/>
              <w:rPr>
                <w:lang w:val="en-GB" w:eastAsia="zh-CN"/>
              </w:rPr>
            </w:pPr>
            <w:r w:rsidRPr="00EF32F6">
              <w:rPr>
                <w:lang w:val="en-GB" w:eastAsia="zh-CN"/>
              </w:rPr>
              <w:t>(9.01)</w:t>
            </w:r>
          </w:p>
        </w:tc>
        <w:tc>
          <w:tcPr>
            <w:tcW w:w="1120" w:type="pct"/>
            <w:tcBorders>
              <w:top w:val="nil"/>
              <w:left w:val="nil"/>
              <w:bottom w:val="nil"/>
              <w:right w:val="nil"/>
            </w:tcBorders>
            <w:shd w:val="clear" w:color="auto" w:fill="auto"/>
            <w:noWrap/>
            <w:vAlign w:val="center"/>
            <w:hideMark/>
          </w:tcPr>
          <w:p w14:paraId="5BC75786" w14:textId="77777777" w:rsidR="00735ADD" w:rsidRPr="00EF32F6" w:rsidRDefault="00735ADD" w:rsidP="003D6288">
            <w:pPr>
              <w:pStyle w:val="TableText"/>
              <w:jc w:val="right"/>
              <w:rPr>
                <w:lang w:val="en-GB" w:eastAsia="zh-CN"/>
              </w:rPr>
            </w:pPr>
            <w:r w:rsidRPr="00EF32F6">
              <w:rPr>
                <w:lang w:val="en-GB" w:eastAsia="zh-CN"/>
              </w:rPr>
              <w:t>(11.64)</w:t>
            </w:r>
          </w:p>
        </w:tc>
        <w:tc>
          <w:tcPr>
            <w:tcW w:w="1120" w:type="pct"/>
            <w:tcBorders>
              <w:top w:val="nil"/>
              <w:left w:val="nil"/>
              <w:bottom w:val="nil"/>
              <w:right w:val="nil"/>
            </w:tcBorders>
            <w:shd w:val="clear" w:color="auto" w:fill="auto"/>
            <w:noWrap/>
            <w:vAlign w:val="center"/>
            <w:hideMark/>
          </w:tcPr>
          <w:p w14:paraId="0975A03A" w14:textId="77777777" w:rsidR="00735ADD" w:rsidRPr="00EF32F6" w:rsidRDefault="00735ADD" w:rsidP="003D6288">
            <w:pPr>
              <w:pStyle w:val="TableText"/>
              <w:jc w:val="right"/>
              <w:rPr>
                <w:lang w:val="en-GB" w:eastAsia="zh-CN"/>
              </w:rPr>
            </w:pPr>
            <w:r w:rsidRPr="00EF32F6">
              <w:rPr>
                <w:lang w:val="en-GB" w:eastAsia="zh-CN"/>
              </w:rPr>
              <w:t>(12.64)</w:t>
            </w:r>
          </w:p>
        </w:tc>
      </w:tr>
      <w:tr w:rsidR="00735ADD" w:rsidRPr="00EF32F6" w14:paraId="1BC73E4F" w14:textId="77777777" w:rsidTr="00DC68CD">
        <w:trPr>
          <w:trHeight w:val="300"/>
        </w:trPr>
        <w:tc>
          <w:tcPr>
            <w:tcW w:w="1497" w:type="pct"/>
            <w:tcBorders>
              <w:top w:val="nil"/>
              <w:left w:val="nil"/>
              <w:bottom w:val="nil"/>
              <w:right w:val="nil"/>
            </w:tcBorders>
            <w:shd w:val="clear" w:color="auto" w:fill="auto"/>
            <w:noWrap/>
            <w:vAlign w:val="center"/>
            <w:hideMark/>
          </w:tcPr>
          <w:p w14:paraId="42370C2C" w14:textId="77777777" w:rsidR="00735ADD" w:rsidRPr="00EF32F6" w:rsidRDefault="008D48AD" w:rsidP="003D6288">
            <w:pPr>
              <w:pStyle w:val="TableText"/>
              <w:rPr>
                <w:rFonts w:eastAsia="Times New Roman"/>
                <w:color w:val="000000"/>
                <w:lang w:val="en-GB" w:eastAsia="zh-CN"/>
              </w:rPr>
            </w:pPr>
            <m:oMathPara>
              <m:oMathParaPr>
                <m:jc m:val="left"/>
              </m:oMathParaPr>
              <m:oMath>
                <m:sSub>
                  <m:sSubPr>
                    <m:ctrlPr>
                      <w:rPr>
                        <w:rFonts w:ascii="Cambria Math" w:hAnsi="Cambria Math"/>
                      </w:rPr>
                    </m:ctrlPr>
                  </m:sSubPr>
                  <m:e>
                    <m:r>
                      <w:rPr>
                        <w:rFonts w:ascii="Cambria Math" w:hAnsi="Cambria Math"/>
                      </w:rPr>
                      <m:t>MTB</m:t>
                    </m:r>
                  </m:e>
                  <m:sub>
                    <m:r>
                      <w:rPr>
                        <w:rFonts w:ascii="Cambria Math" w:hAnsi="Cambria Math"/>
                      </w:rPr>
                      <m:t>t</m:t>
                    </m:r>
                    <m:r>
                      <m:rPr>
                        <m:sty m:val="p"/>
                      </m:rPr>
                      <w:rPr>
                        <w:rFonts w:ascii="Cambria Math" w:hAnsi="Cambria Math"/>
                      </w:rPr>
                      <m:t>-1</m:t>
                    </m:r>
                  </m:sub>
                </m:sSub>
              </m:oMath>
            </m:oMathPara>
          </w:p>
        </w:tc>
        <w:tc>
          <w:tcPr>
            <w:tcW w:w="1263" w:type="pct"/>
            <w:tcBorders>
              <w:top w:val="nil"/>
              <w:left w:val="nil"/>
              <w:bottom w:val="nil"/>
              <w:right w:val="nil"/>
            </w:tcBorders>
            <w:shd w:val="clear" w:color="auto" w:fill="auto"/>
            <w:noWrap/>
            <w:vAlign w:val="center"/>
            <w:hideMark/>
          </w:tcPr>
          <w:p w14:paraId="54DAC0A3" w14:textId="77777777" w:rsidR="00735ADD" w:rsidRPr="00EF32F6" w:rsidRDefault="00735ADD" w:rsidP="003D6288">
            <w:pPr>
              <w:pStyle w:val="TableText"/>
              <w:jc w:val="right"/>
              <w:rPr>
                <w:lang w:val="en-GB" w:eastAsia="zh-CN"/>
              </w:rPr>
            </w:pPr>
            <w:r w:rsidRPr="00EF32F6">
              <w:rPr>
                <w:lang w:val="en-GB" w:eastAsia="zh-CN"/>
              </w:rPr>
              <w:t>-0.003</w:t>
            </w:r>
          </w:p>
        </w:tc>
        <w:tc>
          <w:tcPr>
            <w:tcW w:w="1120" w:type="pct"/>
            <w:tcBorders>
              <w:top w:val="nil"/>
              <w:left w:val="nil"/>
              <w:bottom w:val="nil"/>
              <w:right w:val="nil"/>
            </w:tcBorders>
            <w:shd w:val="clear" w:color="auto" w:fill="auto"/>
            <w:noWrap/>
            <w:vAlign w:val="center"/>
            <w:hideMark/>
          </w:tcPr>
          <w:p w14:paraId="671D0B8C" w14:textId="77777777" w:rsidR="00735ADD" w:rsidRPr="00EF32F6" w:rsidRDefault="00735ADD" w:rsidP="003D6288">
            <w:pPr>
              <w:pStyle w:val="TableText"/>
              <w:jc w:val="right"/>
              <w:rPr>
                <w:lang w:val="en-GB" w:eastAsia="zh-CN"/>
              </w:rPr>
            </w:pPr>
            <w:r w:rsidRPr="00EF32F6">
              <w:rPr>
                <w:lang w:val="en-GB" w:eastAsia="zh-CN"/>
              </w:rPr>
              <w:t>0.002</w:t>
            </w:r>
          </w:p>
        </w:tc>
        <w:tc>
          <w:tcPr>
            <w:tcW w:w="1120" w:type="pct"/>
            <w:tcBorders>
              <w:top w:val="nil"/>
              <w:left w:val="nil"/>
              <w:bottom w:val="nil"/>
              <w:right w:val="nil"/>
            </w:tcBorders>
            <w:shd w:val="clear" w:color="auto" w:fill="auto"/>
            <w:noWrap/>
            <w:vAlign w:val="center"/>
            <w:hideMark/>
          </w:tcPr>
          <w:p w14:paraId="6050EDFF" w14:textId="77777777" w:rsidR="00735ADD" w:rsidRPr="00EF32F6" w:rsidRDefault="00735ADD" w:rsidP="003D6288">
            <w:pPr>
              <w:pStyle w:val="TableText"/>
              <w:jc w:val="right"/>
              <w:rPr>
                <w:lang w:val="en-GB" w:eastAsia="zh-CN"/>
              </w:rPr>
            </w:pPr>
            <w:r w:rsidRPr="00EF32F6">
              <w:rPr>
                <w:lang w:val="en-GB" w:eastAsia="zh-CN"/>
              </w:rPr>
              <w:t>0.002</w:t>
            </w:r>
          </w:p>
        </w:tc>
      </w:tr>
      <w:tr w:rsidR="00735ADD" w:rsidRPr="00EF32F6" w14:paraId="212B9B05" w14:textId="77777777" w:rsidTr="00DC68CD">
        <w:trPr>
          <w:trHeight w:val="300"/>
        </w:trPr>
        <w:tc>
          <w:tcPr>
            <w:tcW w:w="1497" w:type="pct"/>
            <w:tcBorders>
              <w:top w:val="nil"/>
              <w:left w:val="nil"/>
              <w:bottom w:val="nil"/>
              <w:right w:val="nil"/>
            </w:tcBorders>
            <w:shd w:val="clear" w:color="auto" w:fill="auto"/>
            <w:noWrap/>
            <w:vAlign w:val="center"/>
            <w:hideMark/>
          </w:tcPr>
          <w:p w14:paraId="45AE1B0A" w14:textId="77777777" w:rsidR="00735ADD" w:rsidRPr="00EF32F6" w:rsidRDefault="00735ADD" w:rsidP="003D6288">
            <w:pPr>
              <w:pStyle w:val="TableText"/>
              <w:rPr>
                <w:lang w:val="en-GB" w:eastAsia="zh-CN"/>
              </w:rPr>
            </w:pPr>
          </w:p>
        </w:tc>
        <w:tc>
          <w:tcPr>
            <w:tcW w:w="1263" w:type="pct"/>
            <w:tcBorders>
              <w:top w:val="nil"/>
              <w:left w:val="nil"/>
              <w:bottom w:val="nil"/>
              <w:right w:val="nil"/>
            </w:tcBorders>
            <w:shd w:val="clear" w:color="auto" w:fill="auto"/>
            <w:noWrap/>
            <w:vAlign w:val="center"/>
            <w:hideMark/>
          </w:tcPr>
          <w:p w14:paraId="43502D44" w14:textId="77777777" w:rsidR="00735ADD" w:rsidRPr="00EF32F6" w:rsidRDefault="00735ADD" w:rsidP="003D6288">
            <w:pPr>
              <w:pStyle w:val="TableText"/>
              <w:jc w:val="right"/>
              <w:rPr>
                <w:lang w:val="en-GB" w:eastAsia="zh-CN"/>
              </w:rPr>
            </w:pPr>
            <w:r w:rsidRPr="00EF32F6">
              <w:rPr>
                <w:lang w:val="en-GB" w:eastAsia="zh-CN"/>
              </w:rPr>
              <w:t>(-0.44)</w:t>
            </w:r>
          </w:p>
        </w:tc>
        <w:tc>
          <w:tcPr>
            <w:tcW w:w="1120" w:type="pct"/>
            <w:tcBorders>
              <w:top w:val="nil"/>
              <w:left w:val="nil"/>
              <w:bottom w:val="nil"/>
              <w:right w:val="nil"/>
            </w:tcBorders>
            <w:shd w:val="clear" w:color="auto" w:fill="auto"/>
            <w:noWrap/>
            <w:vAlign w:val="center"/>
            <w:hideMark/>
          </w:tcPr>
          <w:p w14:paraId="75E57359" w14:textId="77777777" w:rsidR="00735ADD" w:rsidRPr="00EF32F6" w:rsidRDefault="00735ADD" w:rsidP="003D6288">
            <w:pPr>
              <w:pStyle w:val="TableText"/>
              <w:jc w:val="right"/>
              <w:rPr>
                <w:lang w:val="en-GB" w:eastAsia="zh-CN"/>
              </w:rPr>
            </w:pPr>
            <w:r w:rsidRPr="00EF32F6">
              <w:rPr>
                <w:lang w:val="en-GB" w:eastAsia="zh-CN"/>
              </w:rPr>
              <w:t>(0.25)</w:t>
            </w:r>
          </w:p>
        </w:tc>
        <w:tc>
          <w:tcPr>
            <w:tcW w:w="1120" w:type="pct"/>
            <w:tcBorders>
              <w:top w:val="nil"/>
              <w:left w:val="nil"/>
              <w:bottom w:val="nil"/>
              <w:right w:val="nil"/>
            </w:tcBorders>
            <w:shd w:val="clear" w:color="auto" w:fill="auto"/>
            <w:noWrap/>
            <w:vAlign w:val="center"/>
            <w:hideMark/>
          </w:tcPr>
          <w:p w14:paraId="7E8721E0" w14:textId="77777777" w:rsidR="00735ADD" w:rsidRPr="00EF32F6" w:rsidRDefault="00735ADD" w:rsidP="003D6288">
            <w:pPr>
              <w:pStyle w:val="TableText"/>
              <w:jc w:val="right"/>
              <w:rPr>
                <w:lang w:val="en-GB" w:eastAsia="zh-CN"/>
              </w:rPr>
            </w:pPr>
            <w:r w:rsidRPr="00EF32F6">
              <w:rPr>
                <w:lang w:val="en-GB" w:eastAsia="zh-CN"/>
              </w:rPr>
              <w:t>(0.40)</w:t>
            </w:r>
          </w:p>
        </w:tc>
      </w:tr>
      <w:tr w:rsidR="00735ADD" w:rsidRPr="00EF32F6" w14:paraId="04EBDDDD" w14:textId="77777777" w:rsidTr="00DC68CD">
        <w:trPr>
          <w:trHeight w:val="300"/>
        </w:trPr>
        <w:tc>
          <w:tcPr>
            <w:tcW w:w="1497" w:type="pct"/>
            <w:tcBorders>
              <w:top w:val="nil"/>
              <w:left w:val="nil"/>
              <w:bottom w:val="nil"/>
              <w:right w:val="nil"/>
            </w:tcBorders>
            <w:shd w:val="clear" w:color="auto" w:fill="auto"/>
            <w:noWrap/>
            <w:vAlign w:val="center"/>
            <w:hideMark/>
          </w:tcPr>
          <w:p w14:paraId="20E6C00C" w14:textId="77777777" w:rsidR="00735ADD" w:rsidRPr="00EF32F6" w:rsidRDefault="008D48AD" w:rsidP="003D6288">
            <w:pPr>
              <w:pStyle w:val="TableText"/>
              <w:rPr>
                <w:rFonts w:eastAsia="Times New Roman"/>
                <w:color w:val="000000"/>
                <w:lang w:val="en-GB" w:eastAsia="zh-CN"/>
              </w:rPr>
            </w:pPr>
            <m:oMathPara>
              <m:oMathParaPr>
                <m:jc m:val="left"/>
              </m:oMathParaPr>
              <m:oMath>
                <m:sSub>
                  <m:sSubPr>
                    <m:ctrlPr>
                      <w:rPr>
                        <w:rFonts w:ascii="Cambria Math" w:hAnsi="Cambria Math"/>
                      </w:rPr>
                    </m:ctrlPr>
                  </m:sSubPr>
                  <m:e>
                    <m:r>
                      <w:rPr>
                        <w:rFonts w:ascii="Cambria Math" w:hAnsi="Cambria Math"/>
                      </w:rPr>
                      <m:t>LEV</m:t>
                    </m:r>
                  </m:e>
                  <m:sub>
                    <m:r>
                      <w:rPr>
                        <w:rFonts w:ascii="Cambria Math" w:hAnsi="Cambria Math"/>
                      </w:rPr>
                      <m:t>t</m:t>
                    </m:r>
                    <m:r>
                      <m:rPr>
                        <m:sty m:val="p"/>
                      </m:rPr>
                      <w:rPr>
                        <w:rFonts w:ascii="Cambria Math" w:hAnsi="Cambria Math"/>
                      </w:rPr>
                      <m:t>-1</m:t>
                    </m:r>
                  </m:sub>
                </m:sSub>
              </m:oMath>
            </m:oMathPara>
          </w:p>
        </w:tc>
        <w:tc>
          <w:tcPr>
            <w:tcW w:w="1263" w:type="pct"/>
            <w:tcBorders>
              <w:top w:val="nil"/>
              <w:left w:val="nil"/>
              <w:bottom w:val="nil"/>
              <w:right w:val="nil"/>
            </w:tcBorders>
            <w:shd w:val="clear" w:color="auto" w:fill="auto"/>
            <w:noWrap/>
            <w:vAlign w:val="center"/>
            <w:hideMark/>
          </w:tcPr>
          <w:p w14:paraId="4F624CCC" w14:textId="77777777" w:rsidR="00735ADD" w:rsidRPr="00EF32F6" w:rsidRDefault="00735ADD" w:rsidP="003D6288">
            <w:pPr>
              <w:pStyle w:val="TableText"/>
              <w:jc w:val="right"/>
              <w:rPr>
                <w:lang w:val="en-GB" w:eastAsia="zh-CN"/>
              </w:rPr>
            </w:pPr>
            <w:r w:rsidRPr="00EF32F6">
              <w:rPr>
                <w:lang w:val="en-GB" w:eastAsia="zh-CN"/>
              </w:rPr>
              <w:t>0.227</w:t>
            </w:r>
          </w:p>
        </w:tc>
        <w:tc>
          <w:tcPr>
            <w:tcW w:w="1120" w:type="pct"/>
            <w:tcBorders>
              <w:top w:val="nil"/>
              <w:left w:val="nil"/>
              <w:bottom w:val="nil"/>
              <w:right w:val="nil"/>
            </w:tcBorders>
            <w:shd w:val="clear" w:color="auto" w:fill="auto"/>
            <w:noWrap/>
            <w:vAlign w:val="center"/>
            <w:hideMark/>
          </w:tcPr>
          <w:p w14:paraId="0929100B" w14:textId="77777777" w:rsidR="00735ADD" w:rsidRPr="00EF32F6" w:rsidRDefault="00735ADD" w:rsidP="003D6288">
            <w:pPr>
              <w:pStyle w:val="TableText"/>
              <w:jc w:val="right"/>
              <w:rPr>
                <w:lang w:val="en-GB" w:eastAsia="zh-CN"/>
              </w:rPr>
            </w:pPr>
            <w:r w:rsidRPr="00EF32F6">
              <w:rPr>
                <w:lang w:val="en-GB" w:eastAsia="zh-CN"/>
              </w:rPr>
              <w:t>0.456**</w:t>
            </w:r>
          </w:p>
        </w:tc>
        <w:tc>
          <w:tcPr>
            <w:tcW w:w="1120" w:type="pct"/>
            <w:tcBorders>
              <w:top w:val="nil"/>
              <w:left w:val="nil"/>
              <w:bottom w:val="nil"/>
              <w:right w:val="nil"/>
            </w:tcBorders>
            <w:shd w:val="clear" w:color="auto" w:fill="auto"/>
            <w:noWrap/>
            <w:vAlign w:val="center"/>
            <w:hideMark/>
          </w:tcPr>
          <w:p w14:paraId="075938FC" w14:textId="77777777" w:rsidR="00735ADD" w:rsidRPr="00EF32F6" w:rsidRDefault="00735ADD" w:rsidP="003D6288">
            <w:pPr>
              <w:pStyle w:val="TableText"/>
              <w:jc w:val="right"/>
              <w:rPr>
                <w:lang w:val="en-GB" w:eastAsia="zh-CN"/>
              </w:rPr>
            </w:pPr>
            <w:r w:rsidRPr="00EF32F6">
              <w:rPr>
                <w:lang w:val="en-GB" w:eastAsia="zh-CN"/>
              </w:rPr>
              <w:t>0.270**</w:t>
            </w:r>
          </w:p>
        </w:tc>
      </w:tr>
      <w:tr w:rsidR="00735ADD" w:rsidRPr="00EF32F6" w14:paraId="52DEC509" w14:textId="77777777" w:rsidTr="00DC68CD">
        <w:trPr>
          <w:trHeight w:val="300"/>
        </w:trPr>
        <w:tc>
          <w:tcPr>
            <w:tcW w:w="1497" w:type="pct"/>
            <w:tcBorders>
              <w:top w:val="nil"/>
              <w:left w:val="nil"/>
              <w:bottom w:val="nil"/>
              <w:right w:val="nil"/>
            </w:tcBorders>
            <w:shd w:val="clear" w:color="auto" w:fill="auto"/>
            <w:noWrap/>
            <w:vAlign w:val="center"/>
            <w:hideMark/>
          </w:tcPr>
          <w:p w14:paraId="67AB113E" w14:textId="77777777" w:rsidR="00735ADD" w:rsidRPr="00EF32F6" w:rsidRDefault="00735ADD" w:rsidP="003D6288">
            <w:pPr>
              <w:pStyle w:val="TableText"/>
              <w:rPr>
                <w:lang w:val="en-GB" w:eastAsia="zh-CN"/>
              </w:rPr>
            </w:pPr>
          </w:p>
        </w:tc>
        <w:tc>
          <w:tcPr>
            <w:tcW w:w="1263" w:type="pct"/>
            <w:tcBorders>
              <w:top w:val="nil"/>
              <w:left w:val="nil"/>
              <w:bottom w:val="nil"/>
              <w:right w:val="nil"/>
            </w:tcBorders>
            <w:shd w:val="clear" w:color="auto" w:fill="auto"/>
            <w:noWrap/>
            <w:vAlign w:val="center"/>
            <w:hideMark/>
          </w:tcPr>
          <w:p w14:paraId="28C16CF0" w14:textId="77777777" w:rsidR="00735ADD" w:rsidRPr="00EF32F6" w:rsidRDefault="00735ADD" w:rsidP="003D6288">
            <w:pPr>
              <w:pStyle w:val="TableText"/>
              <w:jc w:val="right"/>
              <w:rPr>
                <w:lang w:val="en-GB" w:eastAsia="zh-CN"/>
              </w:rPr>
            </w:pPr>
            <w:r w:rsidRPr="00EF32F6">
              <w:rPr>
                <w:lang w:val="en-GB" w:eastAsia="zh-CN"/>
              </w:rPr>
              <w:t>(1.55)</w:t>
            </w:r>
          </w:p>
        </w:tc>
        <w:tc>
          <w:tcPr>
            <w:tcW w:w="1120" w:type="pct"/>
            <w:tcBorders>
              <w:top w:val="nil"/>
              <w:left w:val="nil"/>
              <w:bottom w:val="nil"/>
              <w:right w:val="nil"/>
            </w:tcBorders>
            <w:shd w:val="clear" w:color="auto" w:fill="auto"/>
            <w:noWrap/>
            <w:vAlign w:val="center"/>
            <w:hideMark/>
          </w:tcPr>
          <w:p w14:paraId="1F7CFEDE" w14:textId="77777777" w:rsidR="00735ADD" w:rsidRPr="00EF32F6" w:rsidRDefault="00735ADD" w:rsidP="003D6288">
            <w:pPr>
              <w:pStyle w:val="TableText"/>
              <w:jc w:val="right"/>
              <w:rPr>
                <w:lang w:val="en-GB" w:eastAsia="zh-CN"/>
              </w:rPr>
            </w:pPr>
            <w:r w:rsidRPr="00EF32F6">
              <w:rPr>
                <w:lang w:val="en-GB" w:eastAsia="zh-CN"/>
              </w:rPr>
              <w:t>(2.35)</w:t>
            </w:r>
          </w:p>
        </w:tc>
        <w:tc>
          <w:tcPr>
            <w:tcW w:w="1120" w:type="pct"/>
            <w:tcBorders>
              <w:top w:val="nil"/>
              <w:left w:val="nil"/>
              <w:bottom w:val="nil"/>
              <w:right w:val="nil"/>
            </w:tcBorders>
            <w:shd w:val="clear" w:color="auto" w:fill="auto"/>
            <w:noWrap/>
            <w:vAlign w:val="center"/>
            <w:hideMark/>
          </w:tcPr>
          <w:p w14:paraId="194A4FA9" w14:textId="77777777" w:rsidR="00735ADD" w:rsidRPr="00EF32F6" w:rsidRDefault="00735ADD" w:rsidP="003D6288">
            <w:pPr>
              <w:pStyle w:val="TableText"/>
              <w:jc w:val="right"/>
              <w:rPr>
                <w:lang w:val="en-GB" w:eastAsia="zh-CN"/>
              </w:rPr>
            </w:pPr>
            <w:r w:rsidRPr="00EF32F6">
              <w:rPr>
                <w:lang w:val="en-GB" w:eastAsia="zh-CN"/>
              </w:rPr>
              <w:t>(2.34)</w:t>
            </w:r>
          </w:p>
        </w:tc>
      </w:tr>
      <w:tr w:rsidR="00735ADD" w:rsidRPr="00EF32F6" w14:paraId="3E24BD84" w14:textId="77777777" w:rsidTr="00DC68CD">
        <w:trPr>
          <w:trHeight w:val="300"/>
        </w:trPr>
        <w:tc>
          <w:tcPr>
            <w:tcW w:w="1497" w:type="pct"/>
            <w:tcBorders>
              <w:top w:val="nil"/>
              <w:left w:val="nil"/>
              <w:bottom w:val="nil"/>
              <w:right w:val="nil"/>
            </w:tcBorders>
            <w:shd w:val="clear" w:color="auto" w:fill="auto"/>
            <w:noWrap/>
            <w:vAlign w:val="center"/>
            <w:hideMark/>
          </w:tcPr>
          <w:p w14:paraId="4739BE6A" w14:textId="77777777" w:rsidR="00735ADD" w:rsidRPr="00EF32F6" w:rsidRDefault="008D48AD" w:rsidP="003D6288">
            <w:pPr>
              <w:pStyle w:val="TableText"/>
              <w:rPr>
                <w:rFonts w:eastAsia="Times New Roman"/>
                <w:color w:val="000000"/>
                <w:lang w:val="en-GB" w:eastAsia="zh-CN"/>
              </w:rPr>
            </w:pPr>
            <m:oMathPara>
              <m:oMathParaPr>
                <m:jc m:val="left"/>
              </m:oMathParaPr>
              <m:oMath>
                <m:sSub>
                  <m:sSubPr>
                    <m:ctrlPr>
                      <w:rPr>
                        <w:rFonts w:ascii="Cambria Math" w:hAnsi="Cambria Math"/>
                      </w:rPr>
                    </m:ctrlPr>
                  </m:sSubPr>
                  <m:e>
                    <m:r>
                      <w:rPr>
                        <w:rFonts w:ascii="Cambria Math" w:hAnsi="Cambria Math"/>
                      </w:rPr>
                      <m:t>ROA</m:t>
                    </m:r>
                  </m:e>
                  <m:sub>
                    <m:r>
                      <w:rPr>
                        <w:rFonts w:ascii="Cambria Math" w:hAnsi="Cambria Math"/>
                      </w:rPr>
                      <m:t>t</m:t>
                    </m:r>
                    <m:r>
                      <m:rPr>
                        <m:sty m:val="p"/>
                      </m:rPr>
                      <w:rPr>
                        <w:rFonts w:ascii="Cambria Math" w:hAnsi="Cambria Math"/>
                      </w:rPr>
                      <m:t>-1</m:t>
                    </m:r>
                  </m:sub>
                </m:sSub>
              </m:oMath>
            </m:oMathPara>
          </w:p>
        </w:tc>
        <w:tc>
          <w:tcPr>
            <w:tcW w:w="1263" w:type="pct"/>
            <w:tcBorders>
              <w:top w:val="nil"/>
              <w:left w:val="nil"/>
              <w:bottom w:val="nil"/>
              <w:right w:val="nil"/>
            </w:tcBorders>
            <w:shd w:val="clear" w:color="auto" w:fill="auto"/>
            <w:noWrap/>
            <w:vAlign w:val="center"/>
            <w:hideMark/>
          </w:tcPr>
          <w:p w14:paraId="0D4AC1AD" w14:textId="77777777" w:rsidR="00735ADD" w:rsidRPr="00EF32F6" w:rsidRDefault="00735ADD" w:rsidP="003D6288">
            <w:pPr>
              <w:pStyle w:val="TableText"/>
              <w:jc w:val="right"/>
              <w:rPr>
                <w:lang w:val="en-GB" w:eastAsia="zh-CN"/>
              </w:rPr>
            </w:pPr>
            <w:r w:rsidRPr="00EF32F6">
              <w:rPr>
                <w:lang w:val="en-GB" w:eastAsia="zh-CN"/>
              </w:rPr>
              <w:t>0.061</w:t>
            </w:r>
          </w:p>
        </w:tc>
        <w:tc>
          <w:tcPr>
            <w:tcW w:w="1120" w:type="pct"/>
            <w:tcBorders>
              <w:top w:val="nil"/>
              <w:left w:val="nil"/>
              <w:bottom w:val="nil"/>
              <w:right w:val="nil"/>
            </w:tcBorders>
            <w:shd w:val="clear" w:color="auto" w:fill="auto"/>
            <w:noWrap/>
            <w:vAlign w:val="center"/>
            <w:hideMark/>
          </w:tcPr>
          <w:p w14:paraId="07F4C32C" w14:textId="77777777" w:rsidR="00735ADD" w:rsidRPr="00EF32F6" w:rsidRDefault="00735ADD" w:rsidP="003D6288">
            <w:pPr>
              <w:pStyle w:val="TableText"/>
              <w:jc w:val="right"/>
              <w:rPr>
                <w:lang w:val="en-GB" w:eastAsia="zh-CN"/>
              </w:rPr>
            </w:pPr>
            <w:r w:rsidRPr="00EF32F6">
              <w:rPr>
                <w:lang w:val="en-GB" w:eastAsia="zh-CN"/>
              </w:rPr>
              <w:t>-0.069</w:t>
            </w:r>
          </w:p>
        </w:tc>
        <w:tc>
          <w:tcPr>
            <w:tcW w:w="1120" w:type="pct"/>
            <w:tcBorders>
              <w:top w:val="nil"/>
              <w:left w:val="nil"/>
              <w:bottom w:val="nil"/>
              <w:right w:val="nil"/>
            </w:tcBorders>
            <w:shd w:val="clear" w:color="auto" w:fill="auto"/>
            <w:noWrap/>
            <w:vAlign w:val="center"/>
            <w:hideMark/>
          </w:tcPr>
          <w:p w14:paraId="53F020BC" w14:textId="77777777" w:rsidR="00735ADD" w:rsidRPr="00EF32F6" w:rsidRDefault="00735ADD" w:rsidP="003D6288">
            <w:pPr>
              <w:pStyle w:val="TableText"/>
              <w:jc w:val="right"/>
              <w:rPr>
                <w:lang w:val="en-GB" w:eastAsia="zh-CN"/>
              </w:rPr>
            </w:pPr>
            <w:r w:rsidRPr="00EF32F6">
              <w:rPr>
                <w:lang w:val="en-GB" w:eastAsia="zh-CN"/>
              </w:rPr>
              <w:t>-0.042</w:t>
            </w:r>
          </w:p>
        </w:tc>
      </w:tr>
      <w:tr w:rsidR="00735ADD" w:rsidRPr="00EF32F6" w14:paraId="5AB70237" w14:textId="77777777" w:rsidTr="00DC68CD">
        <w:trPr>
          <w:trHeight w:val="300"/>
        </w:trPr>
        <w:tc>
          <w:tcPr>
            <w:tcW w:w="1497" w:type="pct"/>
            <w:tcBorders>
              <w:top w:val="nil"/>
              <w:left w:val="nil"/>
              <w:bottom w:val="nil"/>
              <w:right w:val="nil"/>
            </w:tcBorders>
            <w:shd w:val="clear" w:color="auto" w:fill="auto"/>
            <w:noWrap/>
            <w:vAlign w:val="center"/>
            <w:hideMark/>
          </w:tcPr>
          <w:p w14:paraId="2287360A" w14:textId="77777777" w:rsidR="00735ADD" w:rsidRPr="00EF32F6" w:rsidRDefault="00735ADD" w:rsidP="003D6288">
            <w:pPr>
              <w:pStyle w:val="TableText"/>
              <w:rPr>
                <w:lang w:val="en-GB" w:eastAsia="zh-CN"/>
              </w:rPr>
            </w:pPr>
          </w:p>
        </w:tc>
        <w:tc>
          <w:tcPr>
            <w:tcW w:w="1263" w:type="pct"/>
            <w:tcBorders>
              <w:top w:val="nil"/>
              <w:left w:val="nil"/>
              <w:bottom w:val="nil"/>
              <w:right w:val="nil"/>
            </w:tcBorders>
            <w:shd w:val="clear" w:color="auto" w:fill="auto"/>
            <w:noWrap/>
            <w:vAlign w:val="center"/>
            <w:hideMark/>
          </w:tcPr>
          <w:p w14:paraId="3830E33E" w14:textId="77777777" w:rsidR="00735ADD" w:rsidRPr="00EF32F6" w:rsidRDefault="00735ADD" w:rsidP="003D6288">
            <w:pPr>
              <w:pStyle w:val="TableText"/>
              <w:jc w:val="right"/>
              <w:rPr>
                <w:lang w:val="en-GB" w:eastAsia="zh-CN"/>
              </w:rPr>
            </w:pPr>
            <w:r w:rsidRPr="00EF32F6">
              <w:rPr>
                <w:lang w:val="en-GB" w:eastAsia="zh-CN"/>
              </w:rPr>
              <w:t>(0.46)</w:t>
            </w:r>
          </w:p>
        </w:tc>
        <w:tc>
          <w:tcPr>
            <w:tcW w:w="1120" w:type="pct"/>
            <w:tcBorders>
              <w:top w:val="nil"/>
              <w:left w:val="nil"/>
              <w:bottom w:val="nil"/>
              <w:right w:val="nil"/>
            </w:tcBorders>
            <w:shd w:val="clear" w:color="auto" w:fill="auto"/>
            <w:noWrap/>
            <w:vAlign w:val="center"/>
            <w:hideMark/>
          </w:tcPr>
          <w:p w14:paraId="468A918C" w14:textId="77777777" w:rsidR="00735ADD" w:rsidRPr="00EF32F6" w:rsidRDefault="00735ADD" w:rsidP="003D6288">
            <w:pPr>
              <w:pStyle w:val="TableText"/>
              <w:jc w:val="right"/>
              <w:rPr>
                <w:lang w:val="en-GB" w:eastAsia="zh-CN"/>
              </w:rPr>
            </w:pPr>
            <w:r w:rsidRPr="00EF32F6">
              <w:rPr>
                <w:lang w:val="en-GB" w:eastAsia="zh-CN"/>
              </w:rPr>
              <w:t>(-0.39)</w:t>
            </w:r>
          </w:p>
        </w:tc>
        <w:tc>
          <w:tcPr>
            <w:tcW w:w="1120" w:type="pct"/>
            <w:tcBorders>
              <w:top w:val="nil"/>
              <w:left w:val="nil"/>
              <w:bottom w:val="nil"/>
              <w:right w:val="nil"/>
            </w:tcBorders>
            <w:shd w:val="clear" w:color="auto" w:fill="auto"/>
            <w:noWrap/>
            <w:vAlign w:val="center"/>
            <w:hideMark/>
          </w:tcPr>
          <w:p w14:paraId="4CFE8166" w14:textId="77777777" w:rsidR="00735ADD" w:rsidRPr="00EF32F6" w:rsidRDefault="00735ADD" w:rsidP="003D6288">
            <w:pPr>
              <w:pStyle w:val="TableText"/>
              <w:jc w:val="right"/>
              <w:rPr>
                <w:lang w:val="en-GB" w:eastAsia="zh-CN"/>
              </w:rPr>
            </w:pPr>
            <w:r w:rsidRPr="00EF32F6">
              <w:rPr>
                <w:lang w:val="en-GB" w:eastAsia="zh-CN"/>
              </w:rPr>
              <w:t>(-0.37)</w:t>
            </w:r>
          </w:p>
        </w:tc>
      </w:tr>
      <w:tr w:rsidR="00735ADD" w:rsidRPr="00EF32F6" w14:paraId="13BB221C" w14:textId="77777777" w:rsidTr="00DC68CD">
        <w:trPr>
          <w:trHeight w:val="300"/>
        </w:trPr>
        <w:tc>
          <w:tcPr>
            <w:tcW w:w="1497" w:type="pct"/>
            <w:tcBorders>
              <w:top w:val="nil"/>
              <w:left w:val="nil"/>
              <w:bottom w:val="nil"/>
              <w:right w:val="nil"/>
            </w:tcBorders>
            <w:shd w:val="clear" w:color="auto" w:fill="auto"/>
            <w:noWrap/>
            <w:vAlign w:val="center"/>
            <w:hideMark/>
          </w:tcPr>
          <w:p w14:paraId="39DCE1DB" w14:textId="77777777" w:rsidR="00735ADD" w:rsidRPr="00EF32F6" w:rsidRDefault="008D48AD" w:rsidP="003D6288">
            <w:pPr>
              <w:pStyle w:val="TableText"/>
              <w:rPr>
                <w:lang w:val="en-GB" w:eastAsia="zh-CN"/>
              </w:rPr>
            </w:pPr>
            <m:oMathPara>
              <m:oMathParaPr>
                <m:jc m:val="left"/>
              </m:oMathParaPr>
              <m:oMath>
                <m:sSub>
                  <m:sSubPr>
                    <m:ctrlPr>
                      <w:rPr>
                        <w:rFonts w:ascii="Cambria Math" w:hAnsi="Cambria Math"/>
                        <w:lang w:val="en-GB" w:eastAsia="zh-CN"/>
                      </w:rPr>
                    </m:ctrlPr>
                  </m:sSubPr>
                  <m:e>
                    <m:r>
                      <m:rPr>
                        <m:sty m:val="p"/>
                      </m:rPr>
                      <w:rPr>
                        <w:rFonts w:ascii="Cambria Math" w:hAnsi="Cambria Math"/>
                        <w:lang w:val="en-GB" w:eastAsia="zh-CN"/>
                      </w:rPr>
                      <m:t>#</m:t>
                    </m:r>
                    <m:r>
                      <w:rPr>
                        <w:rFonts w:ascii="Cambria Math" w:hAnsi="Cambria Math"/>
                        <w:lang w:val="en-GB" w:eastAsia="zh-CN"/>
                      </w:rPr>
                      <m:t>ANALYSTS</m:t>
                    </m:r>
                  </m:e>
                  <m:sub>
                    <m:r>
                      <w:rPr>
                        <w:rFonts w:ascii="Cambria Math" w:hAnsi="Cambria Math"/>
                        <w:lang w:val="en-GB" w:eastAsia="zh-CN"/>
                      </w:rPr>
                      <m:t>t</m:t>
                    </m:r>
                    <m:r>
                      <m:rPr>
                        <m:sty m:val="p"/>
                      </m:rPr>
                      <w:rPr>
                        <w:rFonts w:ascii="Cambria Math" w:hAnsi="Cambria Math"/>
                        <w:lang w:val="en-GB" w:eastAsia="zh-CN"/>
                      </w:rPr>
                      <m:t>-1</m:t>
                    </m:r>
                  </m:sub>
                </m:sSub>
              </m:oMath>
            </m:oMathPara>
          </w:p>
        </w:tc>
        <w:tc>
          <w:tcPr>
            <w:tcW w:w="1263" w:type="pct"/>
            <w:tcBorders>
              <w:top w:val="nil"/>
              <w:left w:val="nil"/>
              <w:bottom w:val="nil"/>
              <w:right w:val="nil"/>
            </w:tcBorders>
            <w:shd w:val="clear" w:color="auto" w:fill="auto"/>
            <w:noWrap/>
            <w:vAlign w:val="center"/>
            <w:hideMark/>
          </w:tcPr>
          <w:p w14:paraId="69D15B48" w14:textId="77777777" w:rsidR="00735ADD" w:rsidRPr="00EF32F6" w:rsidRDefault="00735ADD" w:rsidP="003D6288">
            <w:pPr>
              <w:pStyle w:val="TableText"/>
              <w:jc w:val="right"/>
              <w:rPr>
                <w:lang w:val="en-GB" w:eastAsia="zh-CN"/>
              </w:rPr>
            </w:pPr>
            <w:r w:rsidRPr="00EF32F6">
              <w:rPr>
                <w:lang w:val="en-GB" w:eastAsia="zh-CN"/>
              </w:rPr>
              <w:t>0.034</w:t>
            </w:r>
          </w:p>
        </w:tc>
        <w:tc>
          <w:tcPr>
            <w:tcW w:w="1120" w:type="pct"/>
            <w:tcBorders>
              <w:top w:val="nil"/>
              <w:left w:val="nil"/>
              <w:bottom w:val="nil"/>
              <w:right w:val="nil"/>
            </w:tcBorders>
            <w:shd w:val="clear" w:color="auto" w:fill="auto"/>
            <w:noWrap/>
            <w:vAlign w:val="center"/>
            <w:hideMark/>
          </w:tcPr>
          <w:p w14:paraId="1FA7D95C" w14:textId="77777777" w:rsidR="00735ADD" w:rsidRPr="00EF32F6" w:rsidRDefault="00735ADD" w:rsidP="003D6288">
            <w:pPr>
              <w:pStyle w:val="TableText"/>
              <w:jc w:val="right"/>
              <w:rPr>
                <w:lang w:val="en-GB" w:eastAsia="zh-CN"/>
              </w:rPr>
            </w:pPr>
            <w:r w:rsidRPr="00EF32F6">
              <w:rPr>
                <w:lang w:val="en-GB" w:eastAsia="zh-CN"/>
              </w:rPr>
              <w:t>0.088*</w:t>
            </w:r>
          </w:p>
        </w:tc>
        <w:tc>
          <w:tcPr>
            <w:tcW w:w="1120" w:type="pct"/>
            <w:tcBorders>
              <w:top w:val="nil"/>
              <w:left w:val="nil"/>
              <w:bottom w:val="nil"/>
              <w:right w:val="nil"/>
            </w:tcBorders>
            <w:shd w:val="clear" w:color="auto" w:fill="auto"/>
            <w:noWrap/>
            <w:vAlign w:val="center"/>
            <w:hideMark/>
          </w:tcPr>
          <w:p w14:paraId="054A7019" w14:textId="77777777" w:rsidR="00735ADD" w:rsidRPr="00EF32F6" w:rsidRDefault="00735ADD" w:rsidP="003D6288">
            <w:pPr>
              <w:pStyle w:val="TableText"/>
              <w:jc w:val="right"/>
              <w:rPr>
                <w:lang w:val="en-GB" w:eastAsia="zh-CN"/>
              </w:rPr>
            </w:pPr>
            <w:r w:rsidRPr="00EF32F6">
              <w:rPr>
                <w:lang w:val="en-GB" w:eastAsia="zh-CN"/>
              </w:rPr>
              <w:t>0.047</w:t>
            </w:r>
          </w:p>
        </w:tc>
      </w:tr>
      <w:tr w:rsidR="00735ADD" w:rsidRPr="00EF32F6" w14:paraId="28CE25B2" w14:textId="77777777" w:rsidTr="00DC68CD">
        <w:trPr>
          <w:trHeight w:val="300"/>
        </w:trPr>
        <w:tc>
          <w:tcPr>
            <w:tcW w:w="1497" w:type="pct"/>
            <w:tcBorders>
              <w:top w:val="nil"/>
              <w:left w:val="nil"/>
              <w:bottom w:val="nil"/>
              <w:right w:val="nil"/>
            </w:tcBorders>
            <w:shd w:val="clear" w:color="auto" w:fill="auto"/>
            <w:noWrap/>
            <w:vAlign w:val="center"/>
            <w:hideMark/>
          </w:tcPr>
          <w:p w14:paraId="0D185A67" w14:textId="77777777" w:rsidR="00735ADD" w:rsidRPr="00EF32F6" w:rsidRDefault="00735ADD" w:rsidP="003D6288">
            <w:pPr>
              <w:pStyle w:val="TableText"/>
              <w:rPr>
                <w:lang w:val="en-GB" w:eastAsia="zh-CN"/>
              </w:rPr>
            </w:pPr>
          </w:p>
        </w:tc>
        <w:tc>
          <w:tcPr>
            <w:tcW w:w="1263" w:type="pct"/>
            <w:tcBorders>
              <w:top w:val="nil"/>
              <w:left w:val="nil"/>
              <w:bottom w:val="nil"/>
              <w:right w:val="nil"/>
            </w:tcBorders>
            <w:shd w:val="clear" w:color="auto" w:fill="auto"/>
            <w:noWrap/>
            <w:vAlign w:val="center"/>
            <w:hideMark/>
          </w:tcPr>
          <w:p w14:paraId="7A50C6CE" w14:textId="77777777" w:rsidR="00735ADD" w:rsidRPr="00EF32F6" w:rsidRDefault="00735ADD" w:rsidP="003D6288">
            <w:pPr>
              <w:pStyle w:val="TableText"/>
              <w:jc w:val="right"/>
              <w:rPr>
                <w:lang w:val="en-GB" w:eastAsia="zh-CN"/>
              </w:rPr>
            </w:pPr>
            <w:r w:rsidRPr="00EF32F6">
              <w:rPr>
                <w:lang w:val="en-GB" w:eastAsia="zh-CN"/>
              </w:rPr>
              <w:t>(0.94)</w:t>
            </w:r>
          </w:p>
        </w:tc>
        <w:tc>
          <w:tcPr>
            <w:tcW w:w="1120" w:type="pct"/>
            <w:tcBorders>
              <w:top w:val="nil"/>
              <w:left w:val="nil"/>
              <w:bottom w:val="nil"/>
              <w:right w:val="nil"/>
            </w:tcBorders>
            <w:shd w:val="clear" w:color="auto" w:fill="auto"/>
            <w:noWrap/>
            <w:vAlign w:val="center"/>
            <w:hideMark/>
          </w:tcPr>
          <w:p w14:paraId="07E7BF2E" w14:textId="77777777" w:rsidR="00735ADD" w:rsidRPr="00EF32F6" w:rsidRDefault="00735ADD" w:rsidP="003D6288">
            <w:pPr>
              <w:pStyle w:val="TableText"/>
              <w:jc w:val="right"/>
              <w:rPr>
                <w:lang w:val="en-GB" w:eastAsia="zh-CN"/>
              </w:rPr>
            </w:pPr>
            <w:r w:rsidRPr="00EF32F6">
              <w:rPr>
                <w:lang w:val="en-GB" w:eastAsia="zh-CN"/>
              </w:rPr>
              <w:t>(1.79)</w:t>
            </w:r>
          </w:p>
        </w:tc>
        <w:tc>
          <w:tcPr>
            <w:tcW w:w="1120" w:type="pct"/>
            <w:tcBorders>
              <w:top w:val="nil"/>
              <w:left w:val="nil"/>
              <w:bottom w:val="nil"/>
              <w:right w:val="nil"/>
            </w:tcBorders>
            <w:shd w:val="clear" w:color="auto" w:fill="auto"/>
            <w:noWrap/>
            <w:vAlign w:val="center"/>
            <w:hideMark/>
          </w:tcPr>
          <w:p w14:paraId="609E0261" w14:textId="77777777" w:rsidR="00735ADD" w:rsidRPr="00EF32F6" w:rsidRDefault="00735ADD" w:rsidP="003D6288">
            <w:pPr>
              <w:pStyle w:val="TableText"/>
              <w:jc w:val="right"/>
              <w:rPr>
                <w:lang w:val="en-GB" w:eastAsia="zh-CN"/>
              </w:rPr>
            </w:pPr>
            <w:r w:rsidRPr="00EF32F6">
              <w:rPr>
                <w:lang w:val="en-GB" w:eastAsia="zh-CN"/>
              </w:rPr>
              <w:t>(1.55)</w:t>
            </w:r>
          </w:p>
        </w:tc>
      </w:tr>
      <w:tr w:rsidR="00735ADD" w:rsidRPr="00EF32F6" w14:paraId="5F0F9EC2" w14:textId="77777777" w:rsidTr="00DC68CD">
        <w:trPr>
          <w:trHeight w:val="300"/>
        </w:trPr>
        <w:tc>
          <w:tcPr>
            <w:tcW w:w="1497" w:type="pct"/>
            <w:tcBorders>
              <w:top w:val="nil"/>
              <w:left w:val="nil"/>
              <w:bottom w:val="nil"/>
              <w:right w:val="nil"/>
            </w:tcBorders>
            <w:shd w:val="clear" w:color="auto" w:fill="auto"/>
            <w:noWrap/>
            <w:vAlign w:val="center"/>
            <w:hideMark/>
          </w:tcPr>
          <w:p w14:paraId="0788EB12" w14:textId="77777777" w:rsidR="00735ADD" w:rsidRPr="00EF32F6" w:rsidRDefault="00735ADD" w:rsidP="003D6288">
            <w:pPr>
              <w:pStyle w:val="TableText"/>
              <w:rPr>
                <w:lang w:val="en-GB" w:eastAsia="zh-CN"/>
              </w:rPr>
            </w:pPr>
            <w:r w:rsidRPr="00302CE5">
              <w:t>Constant</w:t>
            </w:r>
          </w:p>
        </w:tc>
        <w:tc>
          <w:tcPr>
            <w:tcW w:w="1263" w:type="pct"/>
            <w:tcBorders>
              <w:top w:val="nil"/>
              <w:left w:val="nil"/>
              <w:bottom w:val="nil"/>
              <w:right w:val="nil"/>
            </w:tcBorders>
            <w:shd w:val="clear" w:color="auto" w:fill="auto"/>
            <w:noWrap/>
            <w:vAlign w:val="center"/>
            <w:hideMark/>
          </w:tcPr>
          <w:p w14:paraId="2AAEB701" w14:textId="77777777" w:rsidR="00735ADD" w:rsidRPr="00EF32F6" w:rsidRDefault="00735ADD" w:rsidP="003D6288">
            <w:pPr>
              <w:pStyle w:val="TableText"/>
              <w:jc w:val="right"/>
              <w:rPr>
                <w:lang w:val="en-GB" w:eastAsia="zh-CN"/>
              </w:rPr>
            </w:pPr>
            <w:r w:rsidRPr="00EF32F6">
              <w:rPr>
                <w:lang w:val="en-GB" w:eastAsia="zh-CN"/>
              </w:rPr>
              <w:t>-2.021***</w:t>
            </w:r>
          </w:p>
        </w:tc>
        <w:tc>
          <w:tcPr>
            <w:tcW w:w="1120" w:type="pct"/>
            <w:tcBorders>
              <w:top w:val="nil"/>
              <w:left w:val="nil"/>
              <w:bottom w:val="nil"/>
              <w:right w:val="nil"/>
            </w:tcBorders>
            <w:shd w:val="clear" w:color="auto" w:fill="auto"/>
            <w:noWrap/>
            <w:vAlign w:val="center"/>
            <w:hideMark/>
          </w:tcPr>
          <w:p w14:paraId="0BAF7450" w14:textId="77777777" w:rsidR="00735ADD" w:rsidRPr="00EF32F6" w:rsidRDefault="00735ADD" w:rsidP="003D6288">
            <w:pPr>
              <w:pStyle w:val="TableText"/>
              <w:jc w:val="right"/>
              <w:rPr>
                <w:lang w:val="en-GB" w:eastAsia="zh-CN"/>
              </w:rPr>
            </w:pPr>
            <w:r w:rsidRPr="00EF32F6">
              <w:rPr>
                <w:lang w:val="en-GB" w:eastAsia="zh-CN"/>
              </w:rPr>
              <w:t>-3.037***</w:t>
            </w:r>
          </w:p>
        </w:tc>
        <w:tc>
          <w:tcPr>
            <w:tcW w:w="1120" w:type="pct"/>
            <w:tcBorders>
              <w:top w:val="nil"/>
              <w:left w:val="nil"/>
              <w:bottom w:val="nil"/>
              <w:right w:val="nil"/>
            </w:tcBorders>
            <w:shd w:val="clear" w:color="auto" w:fill="auto"/>
            <w:noWrap/>
            <w:vAlign w:val="center"/>
            <w:hideMark/>
          </w:tcPr>
          <w:p w14:paraId="650DD775" w14:textId="77777777" w:rsidR="00735ADD" w:rsidRPr="00EF32F6" w:rsidRDefault="00735ADD" w:rsidP="003D6288">
            <w:pPr>
              <w:pStyle w:val="TableText"/>
              <w:jc w:val="right"/>
              <w:rPr>
                <w:lang w:val="en-GB" w:eastAsia="zh-CN"/>
              </w:rPr>
            </w:pPr>
            <w:r w:rsidRPr="00EF32F6">
              <w:rPr>
                <w:lang w:val="en-GB" w:eastAsia="zh-CN"/>
              </w:rPr>
              <w:t>-2.037***</w:t>
            </w:r>
          </w:p>
        </w:tc>
      </w:tr>
      <w:tr w:rsidR="00735ADD" w:rsidRPr="00EF32F6" w14:paraId="58FE99C9" w14:textId="77777777" w:rsidTr="00DC68CD">
        <w:trPr>
          <w:trHeight w:val="300"/>
        </w:trPr>
        <w:tc>
          <w:tcPr>
            <w:tcW w:w="1497" w:type="pct"/>
            <w:tcBorders>
              <w:top w:val="nil"/>
              <w:left w:val="nil"/>
              <w:bottom w:val="nil"/>
              <w:right w:val="nil"/>
            </w:tcBorders>
            <w:shd w:val="clear" w:color="auto" w:fill="auto"/>
            <w:noWrap/>
            <w:vAlign w:val="center"/>
            <w:hideMark/>
          </w:tcPr>
          <w:p w14:paraId="754A70F5" w14:textId="77777777" w:rsidR="00735ADD" w:rsidRPr="00EF32F6" w:rsidRDefault="00735ADD" w:rsidP="003D6288">
            <w:pPr>
              <w:pStyle w:val="TableText"/>
              <w:rPr>
                <w:lang w:val="en-GB" w:eastAsia="zh-CN"/>
              </w:rPr>
            </w:pPr>
          </w:p>
        </w:tc>
        <w:tc>
          <w:tcPr>
            <w:tcW w:w="1263" w:type="pct"/>
            <w:tcBorders>
              <w:top w:val="nil"/>
              <w:left w:val="nil"/>
              <w:bottom w:val="nil"/>
              <w:right w:val="nil"/>
            </w:tcBorders>
            <w:shd w:val="clear" w:color="auto" w:fill="auto"/>
            <w:noWrap/>
            <w:vAlign w:val="center"/>
            <w:hideMark/>
          </w:tcPr>
          <w:p w14:paraId="43DC6A34" w14:textId="77777777" w:rsidR="00735ADD" w:rsidRPr="00EF32F6" w:rsidRDefault="00735ADD" w:rsidP="003D6288">
            <w:pPr>
              <w:pStyle w:val="TableText"/>
              <w:jc w:val="right"/>
              <w:rPr>
                <w:lang w:val="en-GB" w:eastAsia="zh-CN"/>
              </w:rPr>
            </w:pPr>
            <w:r w:rsidRPr="00EF32F6">
              <w:rPr>
                <w:lang w:val="en-GB" w:eastAsia="zh-CN"/>
              </w:rPr>
              <w:t>(-8.23)</w:t>
            </w:r>
          </w:p>
        </w:tc>
        <w:tc>
          <w:tcPr>
            <w:tcW w:w="1120" w:type="pct"/>
            <w:tcBorders>
              <w:top w:val="nil"/>
              <w:left w:val="nil"/>
              <w:bottom w:val="nil"/>
              <w:right w:val="nil"/>
            </w:tcBorders>
            <w:shd w:val="clear" w:color="auto" w:fill="auto"/>
            <w:noWrap/>
            <w:vAlign w:val="center"/>
            <w:hideMark/>
          </w:tcPr>
          <w:p w14:paraId="79E328D3" w14:textId="77777777" w:rsidR="00735ADD" w:rsidRPr="00EF32F6" w:rsidRDefault="00735ADD" w:rsidP="003D6288">
            <w:pPr>
              <w:pStyle w:val="TableText"/>
              <w:jc w:val="right"/>
              <w:rPr>
                <w:lang w:val="en-GB" w:eastAsia="zh-CN"/>
              </w:rPr>
            </w:pPr>
            <w:r w:rsidRPr="00EF32F6">
              <w:rPr>
                <w:lang w:val="en-GB" w:eastAsia="zh-CN"/>
              </w:rPr>
              <w:t>(-8.59)</w:t>
            </w:r>
          </w:p>
        </w:tc>
        <w:tc>
          <w:tcPr>
            <w:tcW w:w="1120" w:type="pct"/>
            <w:tcBorders>
              <w:top w:val="nil"/>
              <w:left w:val="nil"/>
              <w:bottom w:val="nil"/>
              <w:right w:val="nil"/>
            </w:tcBorders>
            <w:shd w:val="clear" w:color="auto" w:fill="auto"/>
            <w:noWrap/>
            <w:vAlign w:val="center"/>
            <w:hideMark/>
          </w:tcPr>
          <w:p w14:paraId="1AA221FD" w14:textId="77777777" w:rsidR="00735ADD" w:rsidRPr="00EF32F6" w:rsidRDefault="00735ADD" w:rsidP="003D6288">
            <w:pPr>
              <w:pStyle w:val="TableText"/>
              <w:jc w:val="right"/>
              <w:rPr>
                <w:lang w:val="en-GB" w:eastAsia="zh-CN"/>
              </w:rPr>
            </w:pPr>
            <w:r w:rsidRPr="00EF32F6">
              <w:rPr>
                <w:lang w:val="en-GB" w:eastAsia="zh-CN"/>
              </w:rPr>
              <w:t>(-8.72)</w:t>
            </w:r>
          </w:p>
        </w:tc>
      </w:tr>
      <w:tr w:rsidR="00735ADD" w:rsidRPr="00EF32F6" w14:paraId="09897F69" w14:textId="77777777" w:rsidTr="00DC68CD">
        <w:trPr>
          <w:trHeight w:val="300"/>
        </w:trPr>
        <w:tc>
          <w:tcPr>
            <w:tcW w:w="1497" w:type="pct"/>
            <w:tcBorders>
              <w:top w:val="nil"/>
              <w:left w:val="nil"/>
              <w:bottom w:val="nil"/>
              <w:right w:val="nil"/>
            </w:tcBorders>
            <w:shd w:val="clear" w:color="auto" w:fill="auto"/>
            <w:noWrap/>
            <w:vAlign w:val="center"/>
            <w:hideMark/>
          </w:tcPr>
          <w:p w14:paraId="3A5E9AAC" w14:textId="77777777" w:rsidR="00735ADD" w:rsidRPr="00EF32F6" w:rsidRDefault="00735ADD" w:rsidP="003D6288">
            <w:pPr>
              <w:pStyle w:val="TableText"/>
              <w:rPr>
                <w:lang w:val="en-GB" w:eastAsia="zh-CN"/>
              </w:rPr>
            </w:pPr>
            <w:r w:rsidRPr="00302CE5">
              <w:t>Observations</w:t>
            </w:r>
          </w:p>
        </w:tc>
        <w:tc>
          <w:tcPr>
            <w:tcW w:w="1263" w:type="pct"/>
            <w:tcBorders>
              <w:top w:val="nil"/>
              <w:left w:val="nil"/>
              <w:bottom w:val="nil"/>
              <w:right w:val="nil"/>
            </w:tcBorders>
            <w:shd w:val="clear" w:color="auto" w:fill="auto"/>
            <w:noWrap/>
            <w:vAlign w:val="center"/>
            <w:hideMark/>
          </w:tcPr>
          <w:p w14:paraId="5A608C7A" w14:textId="77777777" w:rsidR="00735ADD" w:rsidRPr="00EF32F6" w:rsidRDefault="00735ADD" w:rsidP="003D6288">
            <w:pPr>
              <w:pStyle w:val="TableText"/>
              <w:jc w:val="right"/>
              <w:rPr>
                <w:lang w:val="en-GB" w:eastAsia="zh-CN"/>
              </w:rPr>
            </w:pPr>
            <w:r w:rsidRPr="00EF32F6">
              <w:rPr>
                <w:lang w:val="en-GB" w:eastAsia="zh-CN"/>
              </w:rPr>
              <w:t>8004</w:t>
            </w:r>
          </w:p>
        </w:tc>
        <w:tc>
          <w:tcPr>
            <w:tcW w:w="1120" w:type="pct"/>
            <w:tcBorders>
              <w:top w:val="nil"/>
              <w:left w:val="nil"/>
              <w:bottom w:val="nil"/>
              <w:right w:val="nil"/>
            </w:tcBorders>
            <w:shd w:val="clear" w:color="auto" w:fill="auto"/>
            <w:noWrap/>
            <w:vAlign w:val="center"/>
            <w:hideMark/>
          </w:tcPr>
          <w:p w14:paraId="44FA15E9" w14:textId="77777777" w:rsidR="00735ADD" w:rsidRPr="00EF32F6" w:rsidRDefault="00735ADD" w:rsidP="003D6288">
            <w:pPr>
              <w:pStyle w:val="TableText"/>
              <w:jc w:val="right"/>
              <w:rPr>
                <w:lang w:val="en-GB" w:eastAsia="zh-CN"/>
              </w:rPr>
            </w:pPr>
            <w:r w:rsidRPr="00EF32F6">
              <w:rPr>
                <w:lang w:val="en-GB" w:eastAsia="zh-CN"/>
              </w:rPr>
              <w:t>8004</w:t>
            </w:r>
          </w:p>
        </w:tc>
        <w:tc>
          <w:tcPr>
            <w:tcW w:w="1120" w:type="pct"/>
            <w:tcBorders>
              <w:top w:val="nil"/>
              <w:left w:val="nil"/>
              <w:bottom w:val="nil"/>
              <w:right w:val="nil"/>
            </w:tcBorders>
            <w:shd w:val="clear" w:color="auto" w:fill="auto"/>
            <w:noWrap/>
            <w:vAlign w:val="center"/>
            <w:hideMark/>
          </w:tcPr>
          <w:p w14:paraId="49277392" w14:textId="77777777" w:rsidR="00735ADD" w:rsidRPr="00EF32F6" w:rsidRDefault="00735ADD" w:rsidP="003D6288">
            <w:pPr>
              <w:pStyle w:val="TableText"/>
              <w:jc w:val="right"/>
              <w:rPr>
                <w:lang w:val="en-GB" w:eastAsia="zh-CN"/>
              </w:rPr>
            </w:pPr>
            <w:r w:rsidRPr="00EF32F6">
              <w:rPr>
                <w:lang w:val="en-GB" w:eastAsia="zh-CN"/>
              </w:rPr>
              <w:t>8004</w:t>
            </w:r>
          </w:p>
        </w:tc>
      </w:tr>
      <w:tr w:rsidR="00735ADD" w:rsidRPr="00EF32F6" w14:paraId="3FCCAE44" w14:textId="77777777" w:rsidTr="00DC68CD">
        <w:trPr>
          <w:trHeight w:val="300"/>
        </w:trPr>
        <w:tc>
          <w:tcPr>
            <w:tcW w:w="1497" w:type="pct"/>
            <w:tcBorders>
              <w:top w:val="nil"/>
              <w:left w:val="nil"/>
              <w:bottom w:val="nil"/>
              <w:right w:val="nil"/>
            </w:tcBorders>
            <w:shd w:val="clear" w:color="auto" w:fill="auto"/>
            <w:noWrap/>
            <w:vAlign w:val="center"/>
            <w:hideMark/>
          </w:tcPr>
          <w:p w14:paraId="7AE98AAD" w14:textId="77777777" w:rsidR="00735ADD" w:rsidRPr="00EF32F6" w:rsidRDefault="00735ADD" w:rsidP="003D6288">
            <w:pPr>
              <w:pStyle w:val="TableText"/>
              <w:rPr>
                <w:lang w:val="en-GB" w:eastAsia="zh-CN"/>
              </w:rPr>
            </w:pPr>
            <w:r w:rsidRPr="00302CE5">
              <w:t xml:space="preserve">Adjusted </w:t>
            </w:r>
            <m:oMath>
              <m:sSup>
                <m:sSupPr>
                  <m:ctrlPr>
                    <w:rPr>
                      <w:rFonts w:ascii="Cambria Math" w:hAnsi="Cambria Math"/>
                      <w:i/>
                    </w:rPr>
                  </m:ctrlPr>
                </m:sSupPr>
                <m:e>
                  <m:r>
                    <w:rPr>
                      <w:rFonts w:ascii="Cambria Math" w:hAnsi="Cambria Math"/>
                    </w:rPr>
                    <m:t>R</m:t>
                  </m:r>
                </m:e>
                <m:sup>
                  <m:r>
                    <w:rPr>
                      <w:rFonts w:ascii="Cambria Math" w:hAnsi="Cambria Math"/>
                    </w:rPr>
                    <m:t>2</m:t>
                  </m:r>
                </m:sup>
              </m:sSup>
            </m:oMath>
          </w:p>
        </w:tc>
        <w:tc>
          <w:tcPr>
            <w:tcW w:w="1263" w:type="pct"/>
            <w:tcBorders>
              <w:top w:val="nil"/>
              <w:left w:val="nil"/>
              <w:bottom w:val="nil"/>
              <w:right w:val="nil"/>
            </w:tcBorders>
            <w:shd w:val="clear" w:color="auto" w:fill="auto"/>
            <w:noWrap/>
            <w:vAlign w:val="center"/>
            <w:hideMark/>
          </w:tcPr>
          <w:p w14:paraId="6C79FD24" w14:textId="77777777" w:rsidR="00735ADD" w:rsidRPr="00EF32F6" w:rsidRDefault="00735ADD" w:rsidP="003D6288">
            <w:pPr>
              <w:pStyle w:val="TableText"/>
              <w:jc w:val="right"/>
              <w:rPr>
                <w:lang w:val="en-GB" w:eastAsia="zh-CN"/>
              </w:rPr>
            </w:pPr>
            <w:r w:rsidRPr="00EF32F6">
              <w:rPr>
                <w:lang w:val="en-GB" w:eastAsia="zh-CN"/>
              </w:rPr>
              <w:t>0.06</w:t>
            </w:r>
          </w:p>
        </w:tc>
        <w:tc>
          <w:tcPr>
            <w:tcW w:w="1120" w:type="pct"/>
            <w:tcBorders>
              <w:top w:val="nil"/>
              <w:left w:val="nil"/>
              <w:bottom w:val="nil"/>
              <w:right w:val="nil"/>
            </w:tcBorders>
            <w:shd w:val="clear" w:color="auto" w:fill="auto"/>
            <w:noWrap/>
            <w:vAlign w:val="center"/>
            <w:hideMark/>
          </w:tcPr>
          <w:p w14:paraId="1EF1364E" w14:textId="77777777" w:rsidR="00735ADD" w:rsidRPr="00EF32F6" w:rsidRDefault="00735ADD" w:rsidP="003D6288">
            <w:pPr>
              <w:pStyle w:val="TableText"/>
              <w:jc w:val="right"/>
              <w:rPr>
                <w:lang w:val="en-GB" w:eastAsia="zh-CN"/>
              </w:rPr>
            </w:pPr>
            <w:r w:rsidRPr="00EF32F6">
              <w:rPr>
                <w:lang w:val="en-GB" w:eastAsia="zh-CN"/>
              </w:rPr>
              <w:t>0.10</w:t>
            </w:r>
          </w:p>
        </w:tc>
        <w:tc>
          <w:tcPr>
            <w:tcW w:w="1120" w:type="pct"/>
            <w:tcBorders>
              <w:top w:val="nil"/>
              <w:left w:val="nil"/>
              <w:bottom w:val="nil"/>
              <w:right w:val="nil"/>
            </w:tcBorders>
            <w:shd w:val="clear" w:color="auto" w:fill="auto"/>
            <w:noWrap/>
            <w:vAlign w:val="center"/>
            <w:hideMark/>
          </w:tcPr>
          <w:p w14:paraId="26BD1B4A" w14:textId="77777777" w:rsidR="00735ADD" w:rsidRPr="00EF32F6" w:rsidRDefault="00735ADD" w:rsidP="003D6288">
            <w:pPr>
              <w:pStyle w:val="TableText"/>
              <w:jc w:val="right"/>
              <w:rPr>
                <w:lang w:val="en-GB" w:eastAsia="zh-CN"/>
              </w:rPr>
            </w:pPr>
            <w:r w:rsidRPr="00EF32F6">
              <w:rPr>
                <w:lang w:val="en-GB" w:eastAsia="zh-CN"/>
              </w:rPr>
              <w:t>0.10</w:t>
            </w:r>
          </w:p>
        </w:tc>
      </w:tr>
      <w:tr w:rsidR="00735ADD" w:rsidRPr="00EF32F6" w14:paraId="2E606A13" w14:textId="77777777" w:rsidTr="00DC68CD">
        <w:trPr>
          <w:trHeight w:val="300"/>
        </w:trPr>
        <w:tc>
          <w:tcPr>
            <w:tcW w:w="1497" w:type="pct"/>
            <w:tcBorders>
              <w:top w:val="nil"/>
              <w:left w:val="nil"/>
              <w:right w:val="nil"/>
            </w:tcBorders>
            <w:shd w:val="clear" w:color="auto" w:fill="auto"/>
            <w:noWrap/>
            <w:vAlign w:val="center"/>
          </w:tcPr>
          <w:p w14:paraId="2A462C03" w14:textId="77777777" w:rsidR="00735ADD" w:rsidRPr="00302CE5" w:rsidRDefault="00735ADD" w:rsidP="003D6288">
            <w:pPr>
              <w:pStyle w:val="TableText"/>
            </w:pPr>
            <w:r>
              <w:t>Year-fixed effects</w:t>
            </w:r>
          </w:p>
        </w:tc>
        <w:tc>
          <w:tcPr>
            <w:tcW w:w="1263" w:type="pct"/>
            <w:tcBorders>
              <w:top w:val="nil"/>
              <w:left w:val="nil"/>
              <w:right w:val="nil"/>
            </w:tcBorders>
            <w:shd w:val="clear" w:color="auto" w:fill="auto"/>
            <w:noWrap/>
            <w:vAlign w:val="center"/>
          </w:tcPr>
          <w:p w14:paraId="6113499A" w14:textId="77777777" w:rsidR="00735ADD" w:rsidRPr="00EF32F6" w:rsidRDefault="00735ADD" w:rsidP="003D6288">
            <w:pPr>
              <w:pStyle w:val="TableText"/>
              <w:jc w:val="right"/>
              <w:rPr>
                <w:rFonts w:eastAsia="Times New Roman"/>
                <w:lang w:val="en-GB" w:eastAsia="zh-CN"/>
              </w:rPr>
            </w:pPr>
            <w:r w:rsidRPr="00302CE5">
              <w:rPr>
                <w:lang w:val="en-GB" w:eastAsia="zh-CN"/>
              </w:rPr>
              <w:t>Yes</w:t>
            </w:r>
          </w:p>
        </w:tc>
        <w:tc>
          <w:tcPr>
            <w:tcW w:w="1120" w:type="pct"/>
            <w:tcBorders>
              <w:top w:val="nil"/>
              <w:left w:val="nil"/>
              <w:right w:val="nil"/>
            </w:tcBorders>
            <w:shd w:val="clear" w:color="auto" w:fill="auto"/>
            <w:noWrap/>
            <w:vAlign w:val="center"/>
          </w:tcPr>
          <w:p w14:paraId="3BFB82F8" w14:textId="77777777" w:rsidR="00735ADD" w:rsidRPr="00EF32F6" w:rsidRDefault="00735ADD" w:rsidP="003D6288">
            <w:pPr>
              <w:pStyle w:val="TableText"/>
              <w:jc w:val="right"/>
              <w:rPr>
                <w:rFonts w:eastAsia="Times New Roman"/>
                <w:lang w:val="en-GB" w:eastAsia="zh-CN"/>
              </w:rPr>
            </w:pPr>
            <w:r w:rsidRPr="00302CE5">
              <w:rPr>
                <w:lang w:val="en-GB" w:eastAsia="zh-CN"/>
              </w:rPr>
              <w:t>Yes</w:t>
            </w:r>
          </w:p>
        </w:tc>
        <w:tc>
          <w:tcPr>
            <w:tcW w:w="1120" w:type="pct"/>
            <w:tcBorders>
              <w:top w:val="nil"/>
              <w:left w:val="nil"/>
              <w:right w:val="nil"/>
            </w:tcBorders>
            <w:shd w:val="clear" w:color="auto" w:fill="auto"/>
            <w:noWrap/>
            <w:vAlign w:val="center"/>
          </w:tcPr>
          <w:p w14:paraId="3ADC3EC2" w14:textId="77777777" w:rsidR="00735ADD" w:rsidRPr="00EF32F6" w:rsidRDefault="00735ADD" w:rsidP="003D6288">
            <w:pPr>
              <w:pStyle w:val="TableText"/>
              <w:jc w:val="right"/>
              <w:rPr>
                <w:rFonts w:eastAsia="Times New Roman"/>
                <w:lang w:val="en-GB" w:eastAsia="zh-CN"/>
              </w:rPr>
            </w:pPr>
            <w:r w:rsidRPr="00302CE5">
              <w:rPr>
                <w:lang w:val="en-GB" w:eastAsia="zh-CN"/>
              </w:rPr>
              <w:t>Yes</w:t>
            </w:r>
          </w:p>
        </w:tc>
      </w:tr>
      <w:tr w:rsidR="00735ADD" w:rsidRPr="00EF32F6" w14:paraId="48BC4607" w14:textId="77777777" w:rsidTr="00DC68CD">
        <w:trPr>
          <w:trHeight w:val="300"/>
        </w:trPr>
        <w:tc>
          <w:tcPr>
            <w:tcW w:w="1497" w:type="pct"/>
            <w:tcBorders>
              <w:top w:val="nil"/>
              <w:left w:val="nil"/>
              <w:bottom w:val="single" w:sz="4" w:space="0" w:color="auto"/>
              <w:right w:val="nil"/>
            </w:tcBorders>
            <w:shd w:val="clear" w:color="auto" w:fill="auto"/>
            <w:noWrap/>
            <w:vAlign w:val="center"/>
          </w:tcPr>
          <w:p w14:paraId="43D22D53" w14:textId="77777777" w:rsidR="00735ADD" w:rsidRPr="00302CE5" w:rsidRDefault="00735ADD" w:rsidP="003D6288">
            <w:pPr>
              <w:pStyle w:val="TableText"/>
            </w:pPr>
            <w:r w:rsidRPr="00302CE5">
              <w:t>Firm</w:t>
            </w:r>
            <w:r>
              <w:t>-</w:t>
            </w:r>
            <w:r w:rsidRPr="00302CE5">
              <w:t>fixed effect</w:t>
            </w:r>
            <w:r>
              <w:t>s</w:t>
            </w:r>
          </w:p>
        </w:tc>
        <w:tc>
          <w:tcPr>
            <w:tcW w:w="1263" w:type="pct"/>
            <w:tcBorders>
              <w:top w:val="nil"/>
              <w:left w:val="nil"/>
              <w:bottom w:val="single" w:sz="4" w:space="0" w:color="auto"/>
              <w:right w:val="nil"/>
            </w:tcBorders>
            <w:shd w:val="clear" w:color="auto" w:fill="auto"/>
            <w:noWrap/>
            <w:vAlign w:val="center"/>
          </w:tcPr>
          <w:p w14:paraId="71219B7F" w14:textId="77777777" w:rsidR="00735ADD" w:rsidRPr="00EF32F6" w:rsidRDefault="00735ADD" w:rsidP="003D6288">
            <w:pPr>
              <w:pStyle w:val="TableText"/>
              <w:jc w:val="right"/>
              <w:rPr>
                <w:rFonts w:eastAsia="Times New Roman"/>
                <w:lang w:val="en-GB" w:eastAsia="zh-CN"/>
              </w:rPr>
            </w:pPr>
            <w:r w:rsidRPr="00302CE5">
              <w:rPr>
                <w:lang w:val="en-GB" w:eastAsia="zh-CN"/>
              </w:rPr>
              <w:t>Yes</w:t>
            </w:r>
          </w:p>
        </w:tc>
        <w:tc>
          <w:tcPr>
            <w:tcW w:w="1120" w:type="pct"/>
            <w:tcBorders>
              <w:top w:val="nil"/>
              <w:left w:val="nil"/>
              <w:bottom w:val="single" w:sz="4" w:space="0" w:color="auto"/>
              <w:right w:val="nil"/>
            </w:tcBorders>
            <w:shd w:val="clear" w:color="auto" w:fill="auto"/>
            <w:noWrap/>
            <w:vAlign w:val="center"/>
          </w:tcPr>
          <w:p w14:paraId="315748E1" w14:textId="77777777" w:rsidR="00735ADD" w:rsidRPr="00EF32F6" w:rsidRDefault="00735ADD" w:rsidP="003D6288">
            <w:pPr>
              <w:pStyle w:val="TableText"/>
              <w:jc w:val="right"/>
              <w:rPr>
                <w:rFonts w:eastAsia="Times New Roman"/>
                <w:lang w:val="en-GB" w:eastAsia="zh-CN"/>
              </w:rPr>
            </w:pPr>
            <w:r w:rsidRPr="00302CE5">
              <w:rPr>
                <w:lang w:val="en-GB" w:eastAsia="zh-CN"/>
              </w:rPr>
              <w:t>Yes</w:t>
            </w:r>
          </w:p>
        </w:tc>
        <w:tc>
          <w:tcPr>
            <w:tcW w:w="1120" w:type="pct"/>
            <w:tcBorders>
              <w:top w:val="nil"/>
              <w:left w:val="nil"/>
              <w:bottom w:val="single" w:sz="4" w:space="0" w:color="auto"/>
              <w:right w:val="nil"/>
            </w:tcBorders>
            <w:shd w:val="clear" w:color="auto" w:fill="auto"/>
            <w:noWrap/>
            <w:vAlign w:val="center"/>
          </w:tcPr>
          <w:p w14:paraId="7C93AF62" w14:textId="77777777" w:rsidR="00735ADD" w:rsidRPr="00EF32F6" w:rsidRDefault="00735ADD" w:rsidP="003D6288">
            <w:pPr>
              <w:pStyle w:val="TableText"/>
              <w:jc w:val="right"/>
              <w:rPr>
                <w:rFonts w:eastAsia="Times New Roman"/>
                <w:lang w:val="en-GB" w:eastAsia="zh-CN"/>
              </w:rPr>
            </w:pPr>
            <w:r w:rsidRPr="00302CE5">
              <w:rPr>
                <w:lang w:val="en-GB" w:eastAsia="zh-CN"/>
              </w:rPr>
              <w:t>Yes</w:t>
            </w:r>
          </w:p>
        </w:tc>
      </w:tr>
    </w:tbl>
    <w:p w14:paraId="79D74518" w14:textId="77777777" w:rsidR="00735ADD" w:rsidRDefault="00735ADD" w:rsidP="003E49E8"/>
    <w:p w14:paraId="52829FA8" w14:textId="77777777" w:rsidR="00735ADD" w:rsidRPr="00302CE5" w:rsidRDefault="00735ADD" w:rsidP="00B70E79"/>
    <w:p w14:paraId="7833C645" w14:textId="77777777" w:rsidR="00735ADD" w:rsidRPr="00302CE5" w:rsidRDefault="00735ADD">
      <w:pPr>
        <w:sectPr w:rsidR="00735ADD" w:rsidRPr="00302CE5" w:rsidSect="00661127">
          <w:pgSz w:w="11906" w:h="16838"/>
          <w:pgMar w:top="1440" w:right="1440" w:bottom="1440" w:left="1440" w:header="708" w:footer="708" w:gutter="0"/>
          <w:cols w:space="708"/>
          <w:docGrid w:linePitch="360"/>
        </w:sectPr>
      </w:pPr>
    </w:p>
    <w:p w14:paraId="754A47E3" w14:textId="5873928B" w:rsidR="00735ADD" w:rsidRPr="00F37C2B" w:rsidRDefault="00735ADD" w:rsidP="003D6288">
      <w:pPr>
        <w:pStyle w:val="TableCaption"/>
      </w:pPr>
      <w:r w:rsidRPr="00302CE5">
        <w:rPr>
          <w:b/>
        </w:rPr>
        <w:lastRenderedPageBreak/>
        <w:t>Table 5</w:t>
      </w:r>
      <w:r>
        <w:rPr>
          <w:b/>
        </w:rPr>
        <w:t xml:space="preserve">  </w:t>
      </w:r>
      <w:r w:rsidRPr="00E14D9E">
        <w:t xml:space="preserve">Results </w:t>
      </w:r>
      <w:r w:rsidR="008D3761">
        <w:t xml:space="preserve">of </w:t>
      </w:r>
      <w:r>
        <w:t>robustness tests</w:t>
      </w:r>
    </w:p>
    <w:p w14:paraId="4A9C28B2" w14:textId="52C45D4C" w:rsidR="00735ADD" w:rsidRPr="00B70E79" w:rsidRDefault="00735ADD" w:rsidP="003D6288">
      <w:pPr>
        <w:pStyle w:val="TableNotes"/>
      </w:pPr>
      <w:r>
        <w:t xml:space="preserve">This table presents regression results </w:t>
      </w:r>
      <w:r w:rsidR="008D3761">
        <w:t xml:space="preserve">of </w:t>
      </w:r>
      <w:r>
        <w:t xml:space="preserve">robustness tests using alternative tone and </w:t>
      </w:r>
      <w:r w:rsidR="003D6288">
        <w:t>stock price crash risk</w:t>
      </w:r>
      <w:r w:rsidR="008C4253" w:rsidDel="008C4253">
        <w:t xml:space="preserve"> </w:t>
      </w:r>
      <w:r>
        <w:t>measures. Panel</w:t>
      </w:r>
      <w:r w:rsidR="008D3761">
        <w:t>s</w:t>
      </w:r>
      <w:r>
        <w:t xml:space="preserve"> A and B present results obtained using two alternative measures of tone, residual tone (</w:t>
      </w:r>
      <m:oMath>
        <m:r>
          <w:rPr>
            <w:rFonts w:ascii="Cambria Math" w:hAnsi="Cambria Math"/>
          </w:rPr>
          <m:t>RE_TONE_C)</m:t>
        </m:r>
      </m:oMath>
      <w:r>
        <w:t xml:space="preserve"> and change in tone </w:t>
      </w:r>
      <w:r w:rsidR="008D3761">
        <w:t>(</w:t>
      </w:r>
      <m:oMath>
        <m:r>
          <w:rPr>
            <w:rFonts w:ascii="Cambria Math" w:hAnsi="Cambria Math"/>
          </w:rPr>
          <m:t>∆TONE_C</m:t>
        </m:r>
      </m:oMath>
      <w:r w:rsidR="008D3761">
        <w:t>)</w:t>
      </w:r>
      <w:r>
        <w:t>, respectively. The dependent variable</w:t>
      </w:r>
      <w:r w:rsidR="00263AD2">
        <w:t>s</w:t>
      </w:r>
      <w:r>
        <w:t xml:space="preserve"> in Models (1), (2) and (3) </w:t>
      </w:r>
      <w:r w:rsidR="00263AD2">
        <w:t>are</w:t>
      </w:r>
      <w:r>
        <w:t xml:space="preserve"> </w:t>
      </w:r>
      <m:oMath>
        <m:r>
          <w:rPr>
            <w:rFonts w:ascii="Cambria Math" w:hAnsi="Cambria Math"/>
          </w:rPr>
          <m:t>COUNT</m:t>
        </m:r>
      </m:oMath>
      <w:r>
        <w:t xml:space="preserve">, </w:t>
      </w:r>
      <m:oMath>
        <m:r>
          <w:rPr>
            <w:rFonts w:ascii="Cambria Math" w:hAnsi="Cambria Math"/>
          </w:rPr>
          <m:t>NCSKEW</m:t>
        </m:r>
      </m:oMath>
      <w:r>
        <w:t xml:space="preserve"> and </w:t>
      </w:r>
      <m:oMath>
        <m:r>
          <w:rPr>
            <w:rFonts w:ascii="Cambria Math" w:hAnsi="Cambria Math"/>
          </w:rPr>
          <m:t>DUVOL</m:t>
        </m:r>
      </m:oMath>
      <w:r>
        <w:t xml:space="preserve">, respectively. Panel C presents results obtained using an alternative </w:t>
      </w:r>
      <w:r w:rsidR="003D6288">
        <w:t>stock price crash risk</w:t>
      </w:r>
      <w:r w:rsidR="008C4253" w:rsidDel="008C4253">
        <w:t xml:space="preserve"> </w:t>
      </w:r>
      <w:r>
        <w:t xml:space="preserve">measure, </w:t>
      </w:r>
      <m:oMath>
        <m:r>
          <w:rPr>
            <w:rFonts w:ascii="Cambria Math" w:hAnsi="Cambria Math"/>
          </w:rPr>
          <m:t>CRASH</m:t>
        </m:r>
      </m:oMath>
      <w:r>
        <w:t>. The key independent variables in Model</w:t>
      </w:r>
      <w:r w:rsidR="00EB22D5">
        <w:t>s</w:t>
      </w:r>
      <w:r>
        <w:t xml:space="preserve"> (1) and (2) of Panel C are conference call tone</w:t>
      </w:r>
      <w:r w:rsidR="00263AD2">
        <w:t xml:space="preserve"> (</w:t>
      </w:r>
      <m:oMath>
        <m:r>
          <w:rPr>
            <w:rFonts w:ascii="Cambria Math" w:hAnsi="Cambria Math"/>
          </w:rPr>
          <m:t>TONE_C</m:t>
        </m:r>
      </m:oMath>
      <w:r w:rsidR="00263AD2">
        <w:t>)</w:t>
      </w:r>
      <w:r>
        <w:t xml:space="preserve"> and r</w:t>
      </w:r>
      <w:r w:rsidRPr="00741BF8">
        <w:t xml:space="preserve">esidual </w:t>
      </w:r>
      <w:r>
        <w:t>t</w:t>
      </w:r>
      <w:r w:rsidRPr="00741BF8">
        <w:t xml:space="preserve">one of </w:t>
      </w:r>
      <w:r>
        <w:t>e</w:t>
      </w:r>
      <w:r w:rsidRPr="00741BF8">
        <w:t xml:space="preserve">arnings </w:t>
      </w:r>
      <w:r>
        <w:t>c</w:t>
      </w:r>
      <w:r w:rsidRPr="00741BF8">
        <w:t xml:space="preserve">onference </w:t>
      </w:r>
      <w:r>
        <w:t>c</w:t>
      </w:r>
      <w:r w:rsidRPr="00741BF8">
        <w:t>all</w:t>
      </w:r>
      <w:r w:rsidR="00263AD2">
        <w:t xml:space="preserve"> (</w:t>
      </w:r>
      <m:oMath>
        <m:r>
          <w:rPr>
            <w:rFonts w:ascii="Cambria Math" w:hAnsi="Cambria Math"/>
          </w:rPr>
          <m:t>RE_TONE_C</m:t>
        </m:r>
      </m:oMath>
      <w:r w:rsidR="00263AD2">
        <w:t>)</w:t>
      </w:r>
      <w:r>
        <w:t>.</w:t>
      </w:r>
      <w:r w:rsidRPr="00A74415">
        <w:rPr>
          <w:rFonts w:hint="eastAsia"/>
        </w:rPr>
        <w:t xml:space="preserve"> </w:t>
      </w:r>
      <w:r w:rsidRPr="00302CE5">
        <w:rPr>
          <w:rFonts w:hint="eastAsia"/>
        </w:rPr>
        <w:t>All continuous variables are winsorized at the 1</w:t>
      </w:r>
      <w:r w:rsidRPr="00302CE5">
        <w:rPr>
          <w:rFonts w:hint="eastAsia"/>
          <w:vertAlign w:val="superscript"/>
        </w:rPr>
        <w:t>st</w:t>
      </w:r>
      <w:r w:rsidRPr="00302CE5">
        <w:rPr>
          <w:rFonts w:hint="eastAsia"/>
        </w:rPr>
        <w:t xml:space="preserve"> and 99</w:t>
      </w:r>
      <w:r w:rsidRPr="00302CE5">
        <w:rPr>
          <w:rFonts w:hint="eastAsia"/>
          <w:vertAlign w:val="superscript"/>
        </w:rPr>
        <w:t>th</w:t>
      </w:r>
      <w:r w:rsidRPr="00302CE5">
        <w:rPr>
          <w:rFonts w:hint="eastAsia"/>
        </w:rPr>
        <w:t xml:space="preserve"> percentile</w:t>
      </w:r>
      <w:r w:rsidR="00263AD2">
        <w:t>s</w:t>
      </w:r>
      <w:r w:rsidRPr="00302CE5">
        <w:rPr>
          <w:rFonts w:hint="eastAsia"/>
        </w:rPr>
        <w:t xml:space="preserve">. </w:t>
      </w:r>
      <w:r w:rsidRPr="00302CE5">
        <w:t xml:space="preserve">T-statistics reported in parentheses </w:t>
      </w:r>
      <w:r w:rsidRPr="00302CE5">
        <w:rPr>
          <w:rFonts w:hint="eastAsia"/>
        </w:rPr>
        <w:t>are based on standard errors clustered by firm</w:t>
      </w:r>
      <w:r w:rsidRPr="00302CE5">
        <w:t xml:space="preserve">. *, ** and *** </w:t>
      </w:r>
      <w:r w:rsidR="00263AD2">
        <w:t>represent</w:t>
      </w:r>
      <w:r w:rsidRPr="00302CE5">
        <w:t xml:space="preserve"> significance at </w:t>
      </w:r>
      <w:r w:rsidR="00263AD2">
        <w:t xml:space="preserve">the </w:t>
      </w:r>
      <w:r w:rsidRPr="00302CE5">
        <w:t>10%, 5% and 1% levels, respectively.</w:t>
      </w:r>
    </w:p>
    <w:tbl>
      <w:tblPr>
        <w:tblW w:w="5000" w:type="pct"/>
        <w:tblLook w:val="04A0" w:firstRow="1" w:lastRow="0" w:firstColumn="1" w:lastColumn="0" w:noHBand="0" w:noVBand="1"/>
      </w:tblPr>
      <w:tblGrid>
        <w:gridCol w:w="3167"/>
        <w:gridCol w:w="1350"/>
        <w:gridCol w:w="603"/>
        <w:gridCol w:w="1760"/>
        <w:gridCol w:w="193"/>
        <w:gridCol w:w="1953"/>
      </w:tblGrid>
      <w:tr w:rsidR="00735ADD" w:rsidRPr="00323BB0" w14:paraId="0E6BE68E" w14:textId="77777777" w:rsidTr="00DC68CD">
        <w:trPr>
          <w:trHeight w:val="315"/>
        </w:trPr>
        <w:tc>
          <w:tcPr>
            <w:tcW w:w="5000" w:type="pct"/>
            <w:gridSpan w:val="6"/>
            <w:tcBorders>
              <w:top w:val="single" w:sz="4" w:space="0" w:color="auto"/>
              <w:left w:val="nil"/>
              <w:bottom w:val="nil"/>
              <w:right w:val="nil"/>
            </w:tcBorders>
            <w:shd w:val="clear" w:color="auto" w:fill="auto"/>
            <w:noWrap/>
            <w:vAlign w:val="center"/>
          </w:tcPr>
          <w:p w14:paraId="63D21B3D" w14:textId="523C1D73" w:rsidR="00735ADD" w:rsidRPr="003D6288" w:rsidRDefault="00735ADD" w:rsidP="003D6288">
            <w:pPr>
              <w:pStyle w:val="TableText"/>
              <w:rPr>
                <w:rFonts w:eastAsia="Times New Roman"/>
                <w:b/>
                <w:bCs/>
              </w:rPr>
            </w:pPr>
            <w:r w:rsidRPr="003D6288">
              <w:rPr>
                <w:b/>
                <w:bCs/>
                <w:lang w:val="en-GB" w:eastAsia="zh-CN"/>
              </w:rPr>
              <w:t xml:space="preserve">Panel A: </w:t>
            </w:r>
            <w:r w:rsidR="00263AD2">
              <w:rPr>
                <w:b/>
                <w:bCs/>
                <w:lang w:val="en-GB" w:eastAsia="zh-CN"/>
              </w:rPr>
              <w:t>R</w:t>
            </w:r>
            <w:r w:rsidRPr="003D6288">
              <w:rPr>
                <w:b/>
                <w:bCs/>
                <w:lang w:val="en-GB" w:eastAsia="zh-CN"/>
              </w:rPr>
              <w:t>esidual tone of conference call and stock price crash risk</w:t>
            </w:r>
          </w:p>
        </w:tc>
      </w:tr>
      <w:tr w:rsidR="00735ADD" w:rsidRPr="00302CE5" w14:paraId="27EBDD1A" w14:textId="77777777" w:rsidTr="00DC68CD">
        <w:trPr>
          <w:trHeight w:val="315"/>
        </w:trPr>
        <w:tc>
          <w:tcPr>
            <w:tcW w:w="1754" w:type="pct"/>
            <w:tcBorders>
              <w:top w:val="single" w:sz="4" w:space="0" w:color="auto"/>
              <w:left w:val="nil"/>
              <w:bottom w:val="nil"/>
              <w:right w:val="nil"/>
            </w:tcBorders>
            <w:shd w:val="clear" w:color="auto" w:fill="auto"/>
            <w:noWrap/>
            <w:vAlign w:val="center"/>
            <w:hideMark/>
          </w:tcPr>
          <w:p w14:paraId="5C787E92" w14:textId="77777777" w:rsidR="00735ADD" w:rsidRPr="00302CE5" w:rsidRDefault="00735ADD" w:rsidP="003D6288">
            <w:pPr>
              <w:pStyle w:val="TableText"/>
            </w:pPr>
          </w:p>
        </w:tc>
        <w:tc>
          <w:tcPr>
            <w:tcW w:w="1082" w:type="pct"/>
            <w:gridSpan w:val="2"/>
            <w:tcBorders>
              <w:top w:val="single" w:sz="4" w:space="0" w:color="auto"/>
              <w:left w:val="nil"/>
              <w:bottom w:val="nil"/>
              <w:right w:val="nil"/>
            </w:tcBorders>
            <w:vAlign w:val="center"/>
          </w:tcPr>
          <w:p w14:paraId="159C8E98" w14:textId="77777777" w:rsidR="00735ADD" w:rsidRPr="00302CE5" w:rsidRDefault="00735ADD" w:rsidP="003D6288">
            <w:pPr>
              <w:pStyle w:val="TableText"/>
              <w:jc w:val="right"/>
            </w:pPr>
            <w:r w:rsidRPr="00302CE5">
              <w:t>(1)</w:t>
            </w:r>
          </w:p>
        </w:tc>
        <w:tc>
          <w:tcPr>
            <w:tcW w:w="1082" w:type="pct"/>
            <w:gridSpan w:val="2"/>
            <w:tcBorders>
              <w:top w:val="single" w:sz="4" w:space="0" w:color="auto"/>
              <w:left w:val="nil"/>
              <w:bottom w:val="nil"/>
              <w:right w:val="nil"/>
            </w:tcBorders>
            <w:shd w:val="clear" w:color="auto" w:fill="auto"/>
            <w:noWrap/>
            <w:vAlign w:val="center"/>
            <w:hideMark/>
          </w:tcPr>
          <w:p w14:paraId="321711BF" w14:textId="77777777" w:rsidR="00735ADD" w:rsidRPr="00302CE5" w:rsidRDefault="00735ADD" w:rsidP="003D6288">
            <w:pPr>
              <w:pStyle w:val="TableText"/>
              <w:jc w:val="right"/>
            </w:pPr>
            <w:r w:rsidRPr="00302CE5">
              <w:t>(2)</w:t>
            </w:r>
          </w:p>
        </w:tc>
        <w:tc>
          <w:tcPr>
            <w:tcW w:w="1082" w:type="pct"/>
            <w:tcBorders>
              <w:top w:val="single" w:sz="4" w:space="0" w:color="auto"/>
              <w:left w:val="nil"/>
              <w:bottom w:val="nil"/>
              <w:right w:val="nil"/>
            </w:tcBorders>
            <w:shd w:val="clear" w:color="auto" w:fill="auto"/>
            <w:noWrap/>
            <w:vAlign w:val="center"/>
            <w:hideMark/>
          </w:tcPr>
          <w:p w14:paraId="3A108C87" w14:textId="77777777" w:rsidR="00735ADD" w:rsidRPr="00302CE5" w:rsidRDefault="00735ADD" w:rsidP="003D6288">
            <w:pPr>
              <w:pStyle w:val="TableText"/>
              <w:jc w:val="right"/>
            </w:pPr>
            <w:r w:rsidRPr="00302CE5">
              <w:t>(3)</w:t>
            </w:r>
          </w:p>
        </w:tc>
      </w:tr>
      <w:tr w:rsidR="00735ADD" w:rsidRPr="00302CE5" w14:paraId="09D6EEEF" w14:textId="77777777" w:rsidTr="00DC68CD">
        <w:trPr>
          <w:trHeight w:val="315"/>
        </w:trPr>
        <w:tc>
          <w:tcPr>
            <w:tcW w:w="1754" w:type="pct"/>
            <w:tcBorders>
              <w:top w:val="nil"/>
              <w:left w:val="nil"/>
              <w:bottom w:val="single" w:sz="4" w:space="0" w:color="auto"/>
              <w:right w:val="nil"/>
            </w:tcBorders>
            <w:shd w:val="clear" w:color="auto" w:fill="auto"/>
            <w:noWrap/>
            <w:vAlign w:val="center"/>
            <w:hideMark/>
          </w:tcPr>
          <w:p w14:paraId="1E8E01EB" w14:textId="77777777" w:rsidR="00735ADD" w:rsidRPr="00302CE5" w:rsidRDefault="00735ADD" w:rsidP="003D6288">
            <w:pPr>
              <w:pStyle w:val="TableText"/>
            </w:pPr>
          </w:p>
        </w:tc>
        <w:tc>
          <w:tcPr>
            <w:tcW w:w="1082" w:type="pct"/>
            <w:gridSpan w:val="2"/>
            <w:tcBorders>
              <w:top w:val="nil"/>
              <w:left w:val="nil"/>
              <w:bottom w:val="single" w:sz="4" w:space="0" w:color="auto"/>
              <w:right w:val="nil"/>
            </w:tcBorders>
            <w:vAlign w:val="center"/>
          </w:tcPr>
          <w:p w14:paraId="48EC552F" w14:textId="77777777" w:rsidR="00735ADD" w:rsidRPr="00302CE5" w:rsidRDefault="008D48AD" w:rsidP="003D6288">
            <w:pPr>
              <w:pStyle w:val="TableText"/>
              <w:jc w:val="right"/>
            </w:pPr>
            <m:oMathPara>
              <m:oMath>
                <m:sSub>
                  <m:sSubPr>
                    <m:ctrlPr>
                      <w:rPr>
                        <w:rFonts w:ascii="Cambria Math" w:hAnsi="Cambria Math"/>
                      </w:rPr>
                    </m:ctrlPr>
                  </m:sSubPr>
                  <m:e>
                    <m:r>
                      <w:rPr>
                        <w:rFonts w:ascii="Cambria Math" w:hAnsi="Cambria Math"/>
                      </w:rPr>
                      <m:t>COUNT</m:t>
                    </m:r>
                  </m:e>
                  <m:sub>
                    <m:r>
                      <w:rPr>
                        <w:rFonts w:ascii="Cambria Math" w:hAnsi="Cambria Math"/>
                      </w:rPr>
                      <m:t>t</m:t>
                    </m:r>
                  </m:sub>
                </m:sSub>
              </m:oMath>
            </m:oMathPara>
          </w:p>
        </w:tc>
        <w:tc>
          <w:tcPr>
            <w:tcW w:w="1082" w:type="pct"/>
            <w:gridSpan w:val="2"/>
            <w:tcBorders>
              <w:top w:val="nil"/>
              <w:left w:val="nil"/>
              <w:bottom w:val="single" w:sz="4" w:space="0" w:color="auto"/>
              <w:right w:val="nil"/>
            </w:tcBorders>
            <w:shd w:val="clear" w:color="auto" w:fill="auto"/>
            <w:noWrap/>
            <w:vAlign w:val="center"/>
            <w:hideMark/>
          </w:tcPr>
          <w:p w14:paraId="2D8CCA7C" w14:textId="77777777" w:rsidR="00735ADD" w:rsidRPr="00302CE5" w:rsidRDefault="008D48AD" w:rsidP="003D6288">
            <w:pPr>
              <w:pStyle w:val="TableText"/>
              <w:jc w:val="right"/>
              <w:rPr>
                <w:rFonts w:eastAsia="Times New Roman"/>
                <w:color w:val="000000"/>
              </w:rPr>
            </w:pPr>
            <m:oMathPara>
              <m:oMath>
                <m:sSub>
                  <m:sSubPr>
                    <m:ctrlPr>
                      <w:rPr>
                        <w:rFonts w:ascii="Cambria Math" w:hAnsi="Cambria Math"/>
                      </w:rPr>
                    </m:ctrlPr>
                  </m:sSubPr>
                  <m:e>
                    <m:r>
                      <w:rPr>
                        <w:rFonts w:ascii="Cambria Math" w:hAnsi="Cambria Math"/>
                      </w:rPr>
                      <m:t>NCSKEW</m:t>
                    </m:r>
                  </m:e>
                  <m:sub>
                    <m:r>
                      <w:rPr>
                        <w:rFonts w:ascii="Cambria Math" w:hAnsi="Cambria Math"/>
                      </w:rPr>
                      <m:t>t</m:t>
                    </m:r>
                  </m:sub>
                </m:sSub>
              </m:oMath>
            </m:oMathPara>
          </w:p>
        </w:tc>
        <w:tc>
          <w:tcPr>
            <w:tcW w:w="1082" w:type="pct"/>
            <w:tcBorders>
              <w:top w:val="nil"/>
              <w:left w:val="nil"/>
              <w:bottom w:val="single" w:sz="4" w:space="0" w:color="auto"/>
              <w:right w:val="nil"/>
            </w:tcBorders>
            <w:shd w:val="clear" w:color="auto" w:fill="auto"/>
            <w:noWrap/>
            <w:vAlign w:val="center"/>
            <w:hideMark/>
          </w:tcPr>
          <w:p w14:paraId="0D40CBCB" w14:textId="77777777" w:rsidR="00735ADD" w:rsidRPr="00302CE5" w:rsidRDefault="008D48AD" w:rsidP="003D6288">
            <w:pPr>
              <w:pStyle w:val="TableText"/>
              <w:jc w:val="right"/>
              <w:rPr>
                <w:rFonts w:eastAsia="Times New Roman"/>
                <w:color w:val="000000"/>
              </w:rPr>
            </w:pPr>
            <m:oMathPara>
              <m:oMath>
                <m:sSub>
                  <m:sSubPr>
                    <m:ctrlPr>
                      <w:rPr>
                        <w:rFonts w:ascii="Cambria Math" w:hAnsi="Cambria Math"/>
                      </w:rPr>
                    </m:ctrlPr>
                  </m:sSubPr>
                  <m:e>
                    <m:r>
                      <w:rPr>
                        <w:rFonts w:ascii="Cambria Math" w:hAnsi="Cambria Math"/>
                      </w:rPr>
                      <m:t>DUVOL</m:t>
                    </m:r>
                  </m:e>
                  <m:sub>
                    <m:r>
                      <w:rPr>
                        <w:rFonts w:ascii="Cambria Math" w:hAnsi="Cambria Math"/>
                      </w:rPr>
                      <m:t>t</m:t>
                    </m:r>
                  </m:sub>
                </m:sSub>
              </m:oMath>
            </m:oMathPara>
          </w:p>
        </w:tc>
      </w:tr>
      <w:tr w:rsidR="00735ADD" w:rsidRPr="00302CE5" w14:paraId="594BD3E9" w14:textId="77777777" w:rsidTr="00DC68CD">
        <w:trPr>
          <w:trHeight w:val="315"/>
        </w:trPr>
        <w:tc>
          <w:tcPr>
            <w:tcW w:w="1754" w:type="pct"/>
            <w:tcBorders>
              <w:top w:val="single" w:sz="4" w:space="0" w:color="auto"/>
              <w:left w:val="nil"/>
              <w:bottom w:val="nil"/>
              <w:right w:val="nil"/>
            </w:tcBorders>
            <w:shd w:val="clear" w:color="auto" w:fill="auto"/>
            <w:noWrap/>
            <w:vAlign w:val="center"/>
            <w:hideMark/>
          </w:tcPr>
          <w:p w14:paraId="1599058B" w14:textId="77777777" w:rsidR="00735ADD" w:rsidRPr="00302CE5" w:rsidRDefault="008D48AD" w:rsidP="003D6288">
            <w:pPr>
              <w:pStyle w:val="TableText"/>
            </w:pPr>
            <m:oMathPara>
              <m:oMathParaPr>
                <m:jc m:val="left"/>
              </m:oMathParaPr>
              <m:oMath>
                <m:sSub>
                  <m:sSubPr>
                    <m:ctrlPr>
                      <w:rPr>
                        <w:rFonts w:ascii="Cambria Math" w:hAnsi="Cambria Math"/>
                      </w:rPr>
                    </m:ctrlPr>
                  </m:sSubPr>
                  <m:e>
                    <m:r>
                      <w:rPr>
                        <w:rFonts w:ascii="Cambria Math" w:hAnsi="Cambria Math"/>
                      </w:rPr>
                      <m:t>RE</m:t>
                    </m:r>
                    <m:r>
                      <m:rPr>
                        <m:sty m:val="p"/>
                      </m:rPr>
                      <w:rPr>
                        <w:rFonts w:ascii="Cambria Math" w:hAnsi="Cambria Math"/>
                      </w:rPr>
                      <m:t>_</m:t>
                    </m:r>
                    <m:r>
                      <w:rPr>
                        <w:rFonts w:ascii="Cambria Math" w:hAnsi="Cambria Math"/>
                      </w:rPr>
                      <m:t>TONE</m:t>
                    </m:r>
                    <m:r>
                      <m:rPr>
                        <m:sty m:val="p"/>
                      </m:rPr>
                      <w:rPr>
                        <w:rFonts w:ascii="Cambria Math" w:hAnsi="Cambria Math"/>
                      </w:rPr>
                      <m:t>_</m:t>
                    </m:r>
                    <m:r>
                      <w:rPr>
                        <w:rFonts w:ascii="Cambria Math" w:hAnsi="Cambria Math"/>
                      </w:rPr>
                      <m:t>C</m:t>
                    </m:r>
                  </m:e>
                  <m:sub>
                    <m:r>
                      <w:rPr>
                        <w:rFonts w:ascii="Cambria Math" w:hAnsi="Cambria Math"/>
                      </w:rPr>
                      <m:t>t</m:t>
                    </m:r>
                    <m:r>
                      <m:rPr>
                        <m:sty m:val="p"/>
                      </m:rPr>
                      <w:rPr>
                        <w:rFonts w:ascii="Cambria Math" w:hAnsi="Cambria Math"/>
                      </w:rPr>
                      <m:t>-1</m:t>
                    </m:r>
                  </m:sub>
                </m:sSub>
              </m:oMath>
            </m:oMathPara>
          </w:p>
        </w:tc>
        <w:tc>
          <w:tcPr>
            <w:tcW w:w="1082" w:type="pct"/>
            <w:gridSpan w:val="2"/>
            <w:tcBorders>
              <w:top w:val="single" w:sz="4" w:space="0" w:color="auto"/>
              <w:left w:val="nil"/>
              <w:bottom w:val="nil"/>
              <w:right w:val="nil"/>
            </w:tcBorders>
            <w:vAlign w:val="center"/>
          </w:tcPr>
          <w:p w14:paraId="2A765A3F" w14:textId="77777777" w:rsidR="00735ADD" w:rsidRPr="00302CE5" w:rsidRDefault="00735ADD" w:rsidP="003D6288">
            <w:pPr>
              <w:pStyle w:val="TableText"/>
              <w:jc w:val="right"/>
              <w:rPr>
                <w:rFonts w:eastAsia="MS Mincho"/>
              </w:rPr>
            </w:pPr>
            <w:r w:rsidRPr="00302CE5">
              <w:rPr>
                <w:lang w:val="en-GB" w:eastAsia="zh-CN"/>
              </w:rPr>
              <w:t>-0.08</w:t>
            </w:r>
            <w:r>
              <w:rPr>
                <w:lang w:val="en-GB" w:eastAsia="zh-CN"/>
              </w:rPr>
              <w:t>3</w:t>
            </w:r>
            <w:r w:rsidRPr="00302CE5">
              <w:rPr>
                <w:lang w:val="en-GB" w:eastAsia="zh-CN"/>
              </w:rPr>
              <w:t>***</w:t>
            </w:r>
          </w:p>
        </w:tc>
        <w:tc>
          <w:tcPr>
            <w:tcW w:w="1082" w:type="pct"/>
            <w:gridSpan w:val="2"/>
            <w:tcBorders>
              <w:top w:val="single" w:sz="4" w:space="0" w:color="auto"/>
              <w:left w:val="nil"/>
              <w:bottom w:val="nil"/>
              <w:right w:val="nil"/>
            </w:tcBorders>
            <w:shd w:val="clear" w:color="auto" w:fill="auto"/>
            <w:noWrap/>
            <w:vAlign w:val="center"/>
          </w:tcPr>
          <w:p w14:paraId="1970F7EF" w14:textId="77777777" w:rsidR="00735ADD" w:rsidRPr="00302CE5" w:rsidRDefault="00735ADD" w:rsidP="003D6288">
            <w:pPr>
              <w:pStyle w:val="TableText"/>
              <w:jc w:val="right"/>
              <w:rPr>
                <w:rFonts w:eastAsia="Times New Roman"/>
              </w:rPr>
            </w:pPr>
            <w:r w:rsidRPr="00302CE5">
              <w:rPr>
                <w:lang w:val="en-GB" w:eastAsia="zh-CN"/>
              </w:rPr>
              <w:t>-0.1</w:t>
            </w:r>
            <w:r>
              <w:rPr>
                <w:lang w:val="en-GB" w:eastAsia="zh-CN"/>
              </w:rPr>
              <w:t>56</w:t>
            </w:r>
            <w:r w:rsidRPr="00302CE5">
              <w:rPr>
                <w:lang w:val="en-GB" w:eastAsia="zh-CN"/>
              </w:rPr>
              <w:t>***</w:t>
            </w:r>
          </w:p>
        </w:tc>
        <w:tc>
          <w:tcPr>
            <w:tcW w:w="1082" w:type="pct"/>
            <w:tcBorders>
              <w:top w:val="single" w:sz="4" w:space="0" w:color="auto"/>
              <w:left w:val="nil"/>
              <w:bottom w:val="nil"/>
              <w:right w:val="nil"/>
            </w:tcBorders>
            <w:shd w:val="clear" w:color="auto" w:fill="auto"/>
            <w:noWrap/>
            <w:vAlign w:val="center"/>
          </w:tcPr>
          <w:p w14:paraId="1DE44585" w14:textId="77777777" w:rsidR="00735ADD" w:rsidRPr="00302CE5" w:rsidRDefault="00735ADD" w:rsidP="003D6288">
            <w:pPr>
              <w:pStyle w:val="TableText"/>
              <w:jc w:val="right"/>
              <w:rPr>
                <w:rFonts w:eastAsia="Times New Roman"/>
              </w:rPr>
            </w:pPr>
            <w:r w:rsidRPr="00302CE5">
              <w:rPr>
                <w:lang w:val="en-GB" w:eastAsia="zh-CN"/>
              </w:rPr>
              <w:t>-0.09</w:t>
            </w:r>
            <w:r>
              <w:rPr>
                <w:lang w:val="en-GB" w:eastAsia="zh-CN"/>
              </w:rPr>
              <w:t>4</w:t>
            </w:r>
            <w:r w:rsidRPr="00302CE5">
              <w:rPr>
                <w:lang w:val="en-GB" w:eastAsia="zh-CN"/>
              </w:rPr>
              <w:t>***</w:t>
            </w:r>
          </w:p>
        </w:tc>
      </w:tr>
      <w:tr w:rsidR="00735ADD" w:rsidRPr="00302CE5" w14:paraId="31471396" w14:textId="77777777" w:rsidTr="00DC68CD">
        <w:trPr>
          <w:trHeight w:val="315"/>
        </w:trPr>
        <w:tc>
          <w:tcPr>
            <w:tcW w:w="1754" w:type="pct"/>
            <w:tcBorders>
              <w:top w:val="nil"/>
              <w:left w:val="nil"/>
              <w:bottom w:val="nil"/>
              <w:right w:val="nil"/>
            </w:tcBorders>
            <w:shd w:val="clear" w:color="auto" w:fill="auto"/>
            <w:noWrap/>
            <w:vAlign w:val="center"/>
            <w:hideMark/>
          </w:tcPr>
          <w:p w14:paraId="4D0D6E41" w14:textId="77777777" w:rsidR="00735ADD" w:rsidRPr="00302CE5" w:rsidRDefault="00735ADD" w:rsidP="003D6288">
            <w:pPr>
              <w:pStyle w:val="TableText"/>
            </w:pPr>
          </w:p>
        </w:tc>
        <w:tc>
          <w:tcPr>
            <w:tcW w:w="1082" w:type="pct"/>
            <w:gridSpan w:val="2"/>
            <w:tcBorders>
              <w:top w:val="nil"/>
              <w:left w:val="nil"/>
              <w:bottom w:val="nil"/>
              <w:right w:val="nil"/>
            </w:tcBorders>
            <w:vAlign w:val="center"/>
          </w:tcPr>
          <w:p w14:paraId="174BA0F0" w14:textId="77777777" w:rsidR="00735ADD" w:rsidRPr="00302CE5" w:rsidRDefault="00735ADD" w:rsidP="003D6288">
            <w:pPr>
              <w:pStyle w:val="TableText"/>
              <w:jc w:val="right"/>
              <w:rPr>
                <w:rFonts w:eastAsia="MS Mincho"/>
              </w:rPr>
            </w:pPr>
            <w:r w:rsidRPr="00302CE5">
              <w:rPr>
                <w:lang w:val="en-GB" w:eastAsia="zh-CN"/>
              </w:rPr>
              <w:t>(-3.</w:t>
            </w:r>
            <w:r>
              <w:rPr>
                <w:lang w:val="en-GB" w:eastAsia="zh-CN"/>
              </w:rPr>
              <w:t>00</w:t>
            </w:r>
            <w:r w:rsidRPr="00302CE5">
              <w:rPr>
                <w:lang w:val="en-GB" w:eastAsia="zh-CN"/>
              </w:rPr>
              <w:t>)</w:t>
            </w:r>
          </w:p>
        </w:tc>
        <w:tc>
          <w:tcPr>
            <w:tcW w:w="1082" w:type="pct"/>
            <w:gridSpan w:val="2"/>
            <w:tcBorders>
              <w:top w:val="nil"/>
              <w:left w:val="nil"/>
              <w:bottom w:val="nil"/>
              <w:right w:val="nil"/>
            </w:tcBorders>
            <w:shd w:val="clear" w:color="auto" w:fill="auto"/>
            <w:noWrap/>
            <w:vAlign w:val="center"/>
          </w:tcPr>
          <w:p w14:paraId="4B69CB30" w14:textId="77777777" w:rsidR="00735ADD" w:rsidRPr="00302CE5" w:rsidRDefault="00735ADD" w:rsidP="003D6288">
            <w:pPr>
              <w:pStyle w:val="TableText"/>
              <w:jc w:val="right"/>
              <w:rPr>
                <w:rFonts w:eastAsia="Times New Roman"/>
              </w:rPr>
            </w:pPr>
            <w:r w:rsidRPr="00302CE5">
              <w:rPr>
                <w:lang w:val="en-GB" w:eastAsia="zh-CN"/>
              </w:rPr>
              <w:t>(-4.</w:t>
            </w:r>
            <w:r>
              <w:rPr>
                <w:lang w:val="en-GB" w:eastAsia="zh-CN"/>
              </w:rPr>
              <w:t>16</w:t>
            </w:r>
            <w:r w:rsidRPr="00302CE5">
              <w:rPr>
                <w:lang w:val="en-GB" w:eastAsia="zh-CN"/>
              </w:rPr>
              <w:t>)</w:t>
            </w:r>
          </w:p>
        </w:tc>
        <w:tc>
          <w:tcPr>
            <w:tcW w:w="1082" w:type="pct"/>
            <w:tcBorders>
              <w:top w:val="nil"/>
              <w:left w:val="nil"/>
              <w:bottom w:val="nil"/>
              <w:right w:val="nil"/>
            </w:tcBorders>
            <w:shd w:val="clear" w:color="auto" w:fill="auto"/>
            <w:noWrap/>
            <w:vAlign w:val="center"/>
          </w:tcPr>
          <w:p w14:paraId="34A4CC86" w14:textId="77777777" w:rsidR="00735ADD" w:rsidRPr="00302CE5" w:rsidRDefault="00735ADD" w:rsidP="003D6288">
            <w:pPr>
              <w:pStyle w:val="TableText"/>
              <w:jc w:val="right"/>
              <w:rPr>
                <w:rFonts w:eastAsia="Times New Roman"/>
              </w:rPr>
            </w:pPr>
            <w:r w:rsidRPr="00302CE5">
              <w:rPr>
                <w:lang w:val="en-GB" w:eastAsia="zh-CN"/>
              </w:rPr>
              <w:t>(-4.</w:t>
            </w:r>
            <w:r>
              <w:rPr>
                <w:lang w:val="en-GB" w:eastAsia="zh-CN"/>
              </w:rPr>
              <w:t>07</w:t>
            </w:r>
            <w:r w:rsidRPr="00302CE5">
              <w:rPr>
                <w:lang w:val="en-GB" w:eastAsia="zh-CN"/>
              </w:rPr>
              <w:t>)</w:t>
            </w:r>
          </w:p>
        </w:tc>
      </w:tr>
      <w:tr w:rsidR="00735ADD" w:rsidRPr="00302CE5" w14:paraId="4B95FDD0" w14:textId="77777777" w:rsidTr="00DC68CD">
        <w:trPr>
          <w:trHeight w:val="315"/>
        </w:trPr>
        <w:tc>
          <w:tcPr>
            <w:tcW w:w="1754" w:type="pct"/>
            <w:tcBorders>
              <w:top w:val="nil"/>
              <w:left w:val="nil"/>
              <w:bottom w:val="nil"/>
              <w:right w:val="nil"/>
            </w:tcBorders>
            <w:shd w:val="clear" w:color="auto" w:fill="auto"/>
            <w:noWrap/>
            <w:vAlign w:val="center"/>
          </w:tcPr>
          <w:p w14:paraId="0EC73258" w14:textId="77777777" w:rsidR="00735ADD" w:rsidRPr="00302CE5" w:rsidRDefault="00735ADD" w:rsidP="003D6288">
            <w:pPr>
              <w:pStyle w:val="TableText"/>
            </w:pPr>
            <w:r>
              <w:t>Controls</w:t>
            </w:r>
          </w:p>
        </w:tc>
        <w:tc>
          <w:tcPr>
            <w:tcW w:w="1082" w:type="pct"/>
            <w:gridSpan w:val="2"/>
            <w:tcBorders>
              <w:top w:val="nil"/>
              <w:left w:val="nil"/>
              <w:bottom w:val="nil"/>
              <w:right w:val="nil"/>
            </w:tcBorders>
            <w:vAlign w:val="center"/>
          </w:tcPr>
          <w:p w14:paraId="0AE30D13" w14:textId="77777777" w:rsidR="00735ADD" w:rsidRPr="00302CE5" w:rsidRDefault="00735ADD" w:rsidP="003D6288">
            <w:pPr>
              <w:pStyle w:val="TableText"/>
              <w:jc w:val="right"/>
              <w:rPr>
                <w:lang w:val="en-GB" w:eastAsia="zh-CN"/>
              </w:rPr>
            </w:pPr>
            <w:r>
              <w:rPr>
                <w:lang w:val="en-GB" w:eastAsia="zh-CN"/>
              </w:rPr>
              <w:t>Yes</w:t>
            </w:r>
          </w:p>
        </w:tc>
        <w:tc>
          <w:tcPr>
            <w:tcW w:w="1082" w:type="pct"/>
            <w:gridSpan w:val="2"/>
            <w:tcBorders>
              <w:top w:val="nil"/>
              <w:left w:val="nil"/>
              <w:bottom w:val="nil"/>
              <w:right w:val="nil"/>
            </w:tcBorders>
            <w:shd w:val="clear" w:color="auto" w:fill="auto"/>
            <w:noWrap/>
            <w:vAlign w:val="center"/>
          </w:tcPr>
          <w:p w14:paraId="437940BC" w14:textId="77777777" w:rsidR="00735ADD" w:rsidRPr="00302CE5" w:rsidRDefault="00735ADD" w:rsidP="003D6288">
            <w:pPr>
              <w:pStyle w:val="TableText"/>
              <w:jc w:val="right"/>
              <w:rPr>
                <w:lang w:val="en-GB" w:eastAsia="zh-CN"/>
              </w:rPr>
            </w:pPr>
            <w:r>
              <w:rPr>
                <w:lang w:val="en-GB" w:eastAsia="zh-CN"/>
              </w:rPr>
              <w:t>Yes</w:t>
            </w:r>
          </w:p>
        </w:tc>
        <w:tc>
          <w:tcPr>
            <w:tcW w:w="1082" w:type="pct"/>
            <w:tcBorders>
              <w:top w:val="nil"/>
              <w:left w:val="nil"/>
              <w:bottom w:val="nil"/>
              <w:right w:val="nil"/>
            </w:tcBorders>
            <w:shd w:val="clear" w:color="auto" w:fill="auto"/>
            <w:noWrap/>
            <w:vAlign w:val="center"/>
          </w:tcPr>
          <w:p w14:paraId="1DB533EE" w14:textId="77777777" w:rsidR="00735ADD" w:rsidRPr="00302CE5" w:rsidRDefault="00735ADD" w:rsidP="003D6288">
            <w:pPr>
              <w:pStyle w:val="TableText"/>
              <w:jc w:val="right"/>
              <w:rPr>
                <w:lang w:val="en-GB" w:eastAsia="zh-CN"/>
              </w:rPr>
            </w:pPr>
            <w:r>
              <w:rPr>
                <w:lang w:val="en-GB" w:eastAsia="zh-CN"/>
              </w:rPr>
              <w:t>Yes</w:t>
            </w:r>
          </w:p>
        </w:tc>
      </w:tr>
      <w:tr w:rsidR="00735ADD" w:rsidRPr="00302CE5" w14:paraId="5AFFEC21" w14:textId="77777777" w:rsidTr="00DC68CD">
        <w:trPr>
          <w:trHeight w:val="315"/>
        </w:trPr>
        <w:tc>
          <w:tcPr>
            <w:tcW w:w="1754" w:type="pct"/>
            <w:tcBorders>
              <w:top w:val="nil"/>
              <w:left w:val="nil"/>
              <w:bottom w:val="nil"/>
              <w:right w:val="nil"/>
            </w:tcBorders>
            <w:shd w:val="clear" w:color="auto" w:fill="auto"/>
            <w:noWrap/>
            <w:vAlign w:val="center"/>
            <w:hideMark/>
          </w:tcPr>
          <w:p w14:paraId="5436F1EC" w14:textId="77777777" w:rsidR="00735ADD" w:rsidRPr="00302CE5" w:rsidRDefault="00735ADD" w:rsidP="003D6288">
            <w:pPr>
              <w:pStyle w:val="TableText"/>
            </w:pPr>
            <w:r w:rsidRPr="00302CE5">
              <w:t>Observations</w:t>
            </w:r>
          </w:p>
        </w:tc>
        <w:tc>
          <w:tcPr>
            <w:tcW w:w="1082" w:type="pct"/>
            <w:gridSpan w:val="2"/>
            <w:tcBorders>
              <w:top w:val="nil"/>
              <w:left w:val="nil"/>
              <w:bottom w:val="nil"/>
              <w:right w:val="nil"/>
            </w:tcBorders>
            <w:vAlign w:val="center"/>
          </w:tcPr>
          <w:p w14:paraId="5AEBD103" w14:textId="77777777" w:rsidR="00735ADD" w:rsidRPr="00302CE5" w:rsidRDefault="00735ADD" w:rsidP="003D6288">
            <w:pPr>
              <w:pStyle w:val="TableText"/>
              <w:jc w:val="right"/>
              <w:rPr>
                <w:rFonts w:eastAsia="MS Mincho"/>
              </w:rPr>
            </w:pPr>
            <w:r w:rsidRPr="00302CE5">
              <w:rPr>
                <w:lang w:val="en-GB" w:eastAsia="zh-CN"/>
              </w:rPr>
              <w:t>7231</w:t>
            </w:r>
          </w:p>
        </w:tc>
        <w:tc>
          <w:tcPr>
            <w:tcW w:w="1082" w:type="pct"/>
            <w:gridSpan w:val="2"/>
            <w:tcBorders>
              <w:top w:val="nil"/>
              <w:left w:val="nil"/>
              <w:bottom w:val="nil"/>
              <w:right w:val="nil"/>
            </w:tcBorders>
            <w:shd w:val="clear" w:color="auto" w:fill="auto"/>
            <w:noWrap/>
            <w:vAlign w:val="center"/>
          </w:tcPr>
          <w:p w14:paraId="23BE379C" w14:textId="77777777" w:rsidR="00735ADD" w:rsidRPr="00302CE5" w:rsidRDefault="00735ADD" w:rsidP="003D6288">
            <w:pPr>
              <w:pStyle w:val="TableText"/>
              <w:jc w:val="right"/>
              <w:rPr>
                <w:rFonts w:eastAsia="Times New Roman"/>
              </w:rPr>
            </w:pPr>
            <w:r w:rsidRPr="00302CE5">
              <w:rPr>
                <w:lang w:val="en-GB" w:eastAsia="zh-CN"/>
              </w:rPr>
              <w:t>7231</w:t>
            </w:r>
          </w:p>
        </w:tc>
        <w:tc>
          <w:tcPr>
            <w:tcW w:w="1082" w:type="pct"/>
            <w:tcBorders>
              <w:top w:val="nil"/>
              <w:left w:val="nil"/>
              <w:bottom w:val="nil"/>
              <w:right w:val="nil"/>
            </w:tcBorders>
            <w:shd w:val="clear" w:color="auto" w:fill="auto"/>
            <w:noWrap/>
            <w:vAlign w:val="center"/>
          </w:tcPr>
          <w:p w14:paraId="53681524" w14:textId="77777777" w:rsidR="00735ADD" w:rsidRPr="00302CE5" w:rsidRDefault="00735ADD" w:rsidP="003D6288">
            <w:pPr>
              <w:pStyle w:val="TableText"/>
              <w:jc w:val="right"/>
              <w:rPr>
                <w:rFonts w:eastAsia="Times New Roman"/>
              </w:rPr>
            </w:pPr>
            <w:r w:rsidRPr="00302CE5">
              <w:rPr>
                <w:lang w:val="en-GB" w:eastAsia="zh-CN"/>
              </w:rPr>
              <w:t>7231</w:t>
            </w:r>
          </w:p>
        </w:tc>
      </w:tr>
      <w:tr w:rsidR="00735ADD" w:rsidRPr="00302CE5" w14:paraId="7A856F4F" w14:textId="77777777" w:rsidTr="00DC68CD">
        <w:trPr>
          <w:trHeight w:val="315"/>
        </w:trPr>
        <w:tc>
          <w:tcPr>
            <w:tcW w:w="1754" w:type="pct"/>
            <w:tcBorders>
              <w:top w:val="nil"/>
              <w:left w:val="nil"/>
              <w:bottom w:val="nil"/>
              <w:right w:val="nil"/>
            </w:tcBorders>
            <w:shd w:val="clear" w:color="auto" w:fill="auto"/>
            <w:noWrap/>
            <w:vAlign w:val="center"/>
            <w:hideMark/>
          </w:tcPr>
          <w:p w14:paraId="271296F7" w14:textId="77777777" w:rsidR="00735ADD" w:rsidRPr="00302CE5" w:rsidRDefault="00735ADD" w:rsidP="003D6288">
            <w:pPr>
              <w:pStyle w:val="TableText"/>
            </w:pPr>
            <w:r w:rsidRPr="00302CE5">
              <w:t xml:space="preserve">Adjusted </w:t>
            </w:r>
            <m:oMath>
              <m:sSup>
                <m:sSupPr>
                  <m:ctrlPr>
                    <w:rPr>
                      <w:rFonts w:ascii="Cambria Math" w:hAnsi="Cambria Math"/>
                      <w:i/>
                    </w:rPr>
                  </m:ctrlPr>
                </m:sSupPr>
                <m:e>
                  <m:r>
                    <w:rPr>
                      <w:rFonts w:ascii="Cambria Math" w:hAnsi="Cambria Math"/>
                    </w:rPr>
                    <m:t>R</m:t>
                  </m:r>
                </m:e>
                <m:sup>
                  <m:r>
                    <w:rPr>
                      <w:rFonts w:ascii="Cambria Math" w:hAnsi="Cambria Math"/>
                    </w:rPr>
                    <m:t>2</m:t>
                  </m:r>
                </m:sup>
              </m:sSup>
            </m:oMath>
          </w:p>
        </w:tc>
        <w:tc>
          <w:tcPr>
            <w:tcW w:w="1082" w:type="pct"/>
            <w:gridSpan w:val="2"/>
            <w:tcBorders>
              <w:top w:val="nil"/>
              <w:left w:val="nil"/>
              <w:bottom w:val="nil"/>
              <w:right w:val="nil"/>
            </w:tcBorders>
            <w:vAlign w:val="center"/>
          </w:tcPr>
          <w:p w14:paraId="0F364791" w14:textId="77777777" w:rsidR="00735ADD" w:rsidRPr="00302CE5" w:rsidRDefault="00735ADD" w:rsidP="003D6288">
            <w:pPr>
              <w:pStyle w:val="TableText"/>
              <w:jc w:val="right"/>
              <w:rPr>
                <w:rFonts w:eastAsia="MS Mincho"/>
              </w:rPr>
            </w:pPr>
            <w:r w:rsidRPr="00302CE5">
              <w:rPr>
                <w:lang w:val="en-GB" w:eastAsia="zh-CN"/>
              </w:rPr>
              <w:t>0.06</w:t>
            </w:r>
          </w:p>
        </w:tc>
        <w:tc>
          <w:tcPr>
            <w:tcW w:w="1082" w:type="pct"/>
            <w:gridSpan w:val="2"/>
            <w:tcBorders>
              <w:top w:val="nil"/>
              <w:left w:val="nil"/>
              <w:bottom w:val="nil"/>
              <w:right w:val="nil"/>
            </w:tcBorders>
            <w:shd w:val="clear" w:color="auto" w:fill="auto"/>
            <w:noWrap/>
            <w:vAlign w:val="center"/>
          </w:tcPr>
          <w:p w14:paraId="3064443E" w14:textId="77777777" w:rsidR="00735ADD" w:rsidRPr="00302CE5" w:rsidRDefault="00735ADD" w:rsidP="003D6288">
            <w:pPr>
              <w:pStyle w:val="TableText"/>
              <w:jc w:val="right"/>
              <w:rPr>
                <w:rFonts w:eastAsia="Times New Roman"/>
              </w:rPr>
            </w:pPr>
            <w:r w:rsidRPr="00302CE5">
              <w:rPr>
                <w:lang w:val="en-GB" w:eastAsia="zh-CN"/>
              </w:rPr>
              <w:t>0.1</w:t>
            </w:r>
            <w:r>
              <w:rPr>
                <w:lang w:val="en-GB" w:eastAsia="zh-CN"/>
              </w:rPr>
              <w:t>1</w:t>
            </w:r>
          </w:p>
        </w:tc>
        <w:tc>
          <w:tcPr>
            <w:tcW w:w="1082" w:type="pct"/>
            <w:tcBorders>
              <w:top w:val="nil"/>
              <w:left w:val="nil"/>
              <w:bottom w:val="nil"/>
              <w:right w:val="nil"/>
            </w:tcBorders>
            <w:shd w:val="clear" w:color="auto" w:fill="auto"/>
            <w:noWrap/>
            <w:vAlign w:val="center"/>
          </w:tcPr>
          <w:p w14:paraId="119ACBB4" w14:textId="77777777" w:rsidR="00735ADD" w:rsidRPr="00302CE5" w:rsidRDefault="00735ADD" w:rsidP="003D6288">
            <w:pPr>
              <w:pStyle w:val="TableText"/>
              <w:jc w:val="right"/>
              <w:rPr>
                <w:rFonts w:eastAsia="Times New Roman"/>
              </w:rPr>
            </w:pPr>
            <w:r w:rsidRPr="00302CE5">
              <w:rPr>
                <w:lang w:val="en-GB" w:eastAsia="zh-CN"/>
              </w:rPr>
              <w:t>0.10</w:t>
            </w:r>
          </w:p>
        </w:tc>
      </w:tr>
      <w:tr w:rsidR="00735ADD" w:rsidRPr="00302CE5" w14:paraId="65A2491D" w14:textId="77777777" w:rsidTr="00DC68CD">
        <w:trPr>
          <w:trHeight w:val="315"/>
        </w:trPr>
        <w:tc>
          <w:tcPr>
            <w:tcW w:w="1754" w:type="pct"/>
            <w:tcBorders>
              <w:top w:val="nil"/>
              <w:left w:val="nil"/>
              <w:bottom w:val="nil"/>
              <w:right w:val="nil"/>
            </w:tcBorders>
            <w:shd w:val="clear" w:color="auto" w:fill="auto"/>
            <w:noWrap/>
            <w:vAlign w:val="center"/>
            <w:hideMark/>
          </w:tcPr>
          <w:p w14:paraId="6C0C2F5E" w14:textId="77777777" w:rsidR="00735ADD" w:rsidRPr="00302CE5" w:rsidRDefault="00735ADD" w:rsidP="003D6288">
            <w:pPr>
              <w:pStyle w:val="TableText"/>
            </w:pPr>
            <w:r>
              <w:t>Year-fixed effects</w:t>
            </w:r>
          </w:p>
        </w:tc>
        <w:tc>
          <w:tcPr>
            <w:tcW w:w="1082" w:type="pct"/>
            <w:gridSpan w:val="2"/>
            <w:tcBorders>
              <w:top w:val="nil"/>
              <w:left w:val="nil"/>
              <w:bottom w:val="nil"/>
              <w:right w:val="nil"/>
            </w:tcBorders>
            <w:vAlign w:val="center"/>
          </w:tcPr>
          <w:p w14:paraId="2A822B27" w14:textId="77777777" w:rsidR="00735ADD" w:rsidRPr="00302CE5" w:rsidRDefault="00735ADD" w:rsidP="003D6288">
            <w:pPr>
              <w:pStyle w:val="TableText"/>
              <w:jc w:val="right"/>
              <w:rPr>
                <w:rFonts w:eastAsia="MS Mincho"/>
              </w:rPr>
            </w:pPr>
            <w:r w:rsidRPr="00302CE5">
              <w:rPr>
                <w:lang w:val="en-GB" w:eastAsia="zh-CN"/>
              </w:rPr>
              <w:t>Yes</w:t>
            </w:r>
          </w:p>
        </w:tc>
        <w:tc>
          <w:tcPr>
            <w:tcW w:w="1082" w:type="pct"/>
            <w:gridSpan w:val="2"/>
            <w:tcBorders>
              <w:top w:val="nil"/>
              <w:left w:val="nil"/>
              <w:bottom w:val="nil"/>
              <w:right w:val="nil"/>
            </w:tcBorders>
            <w:shd w:val="clear" w:color="auto" w:fill="auto"/>
            <w:noWrap/>
            <w:vAlign w:val="center"/>
          </w:tcPr>
          <w:p w14:paraId="5EBE3056" w14:textId="77777777" w:rsidR="00735ADD" w:rsidRPr="00302CE5" w:rsidRDefault="00735ADD" w:rsidP="003D6288">
            <w:pPr>
              <w:pStyle w:val="TableText"/>
              <w:jc w:val="right"/>
              <w:rPr>
                <w:rFonts w:eastAsia="Times New Roman"/>
              </w:rPr>
            </w:pPr>
            <w:r w:rsidRPr="00302CE5">
              <w:rPr>
                <w:lang w:val="en-GB" w:eastAsia="zh-CN"/>
              </w:rPr>
              <w:t>Yes</w:t>
            </w:r>
          </w:p>
        </w:tc>
        <w:tc>
          <w:tcPr>
            <w:tcW w:w="1082" w:type="pct"/>
            <w:tcBorders>
              <w:top w:val="nil"/>
              <w:left w:val="nil"/>
              <w:bottom w:val="nil"/>
              <w:right w:val="nil"/>
            </w:tcBorders>
            <w:shd w:val="clear" w:color="auto" w:fill="auto"/>
            <w:noWrap/>
            <w:vAlign w:val="center"/>
          </w:tcPr>
          <w:p w14:paraId="415143C9" w14:textId="77777777" w:rsidR="00735ADD" w:rsidRPr="00302CE5" w:rsidRDefault="00735ADD" w:rsidP="003D6288">
            <w:pPr>
              <w:pStyle w:val="TableText"/>
              <w:jc w:val="right"/>
              <w:rPr>
                <w:rFonts w:eastAsia="Times New Roman"/>
              </w:rPr>
            </w:pPr>
            <w:r w:rsidRPr="00302CE5">
              <w:rPr>
                <w:lang w:val="en-GB" w:eastAsia="zh-CN"/>
              </w:rPr>
              <w:t>Yes</w:t>
            </w:r>
          </w:p>
        </w:tc>
      </w:tr>
      <w:tr w:rsidR="00735ADD" w:rsidRPr="00302CE5" w14:paraId="56D9EE19" w14:textId="77777777" w:rsidTr="00DC68CD">
        <w:trPr>
          <w:trHeight w:val="315"/>
        </w:trPr>
        <w:tc>
          <w:tcPr>
            <w:tcW w:w="1754" w:type="pct"/>
            <w:tcBorders>
              <w:top w:val="nil"/>
              <w:left w:val="nil"/>
              <w:bottom w:val="single" w:sz="4" w:space="0" w:color="auto"/>
              <w:right w:val="nil"/>
            </w:tcBorders>
            <w:shd w:val="clear" w:color="auto" w:fill="auto"/>
            <w:noWrap/>
            <w:vAlign w:val="center"/>
            <w:hideMark/>
          </w:tcPr>
          <w:p w14:paraId="1DDBC83C" w14:textId="77777777" w:rsidR="00735ADD" w:rsidRPr="00302CE5" w:rsidRDefault="00735ADD" w:rsidP="003D6288">
            <w:pPr>
              <w:pStyle w:val="TableText"/>
            </w:pPr>
            <w:r>
              <w:t>Firm-fixed effects</w:t>
            </w:r>
          </w:p>
        </w:tc>
        <w:tc>
          <w:tcPr>
            <w:tcW w:w="1082" w:type="pct"/>
            <w:gridSpan w:val="2"/>
            <w:tcBorders>
              <w:top w:val="nil"/>
              <w:left w:val="nil"/>
              <w:bottom w:val="single" w:sz="4" w:space="0" w:color="auto"/>
              <w:right w:val="nil"/>
            </w:tcBorders>
            <w:vAlign w:val="center"/>
          </w:tcPr>
          <w:p w14:paraId="139D7274" w14:textId="77777777" w:rsidR="00735ADD" w:rsidRPr="00302CE5" w:rsidRDefault="00735ADD" w:rsidP="003D6288">
            <w:pPr>
              <w:pStyle w:val="TableText"/>
              <w:jc w:val="right"/>
              <w:rPr>
                <w:rFonts w:eastAsia="MS Mincho"/>
              </w:rPr>
            </w:pPr>
            <w:r w:rsidRPr="00302CE5">
              <w:rPr>
                <w:lang w:val="en-GB" w:eastAsia="zh-CN"/>
              </w:rPr>
              <w:t>Yes</w:t>
            </w:r>
          </w:p>
        </w:tc>
        <w:tc>
          <w:tcPr>
            <w:tcW w:w="1082" w:type="pct"/>
            <w:gridSpan w:val="2"/>
            <w:tcBorders>
              <w:top w:val="nil"/>
              <w:left w:val="nil"/>
              <w:bottom w:val="single" w:sz="4" w:space="0" w:color="auto"/>
              <w:right w:val="nil"/>
            </w:tcBorders>
            <w:shd w:val="clear" w:color="auto" w:fill="auto"/>
            <w:noWrap/>
            <w:vAlign w:val="center"/>
          </w:tcPr>
          <w:p w14:paraId="1A3C78A7" w14:textId="77777777" w:rsidR="00735ADD" w:rsidRPr="00302CE5" w:rsidRDefault="00735ADD" w:rsidP="003D6288">
            <w:pPr>
              <w:pStyle w:val="TableText"/>
              <w:jc w:val="right"/>
              <w:rPr>
                <w:rFonts w:eastAsia="Times New Roman"/>
              </w:rPr>
            </w:pPr>
            <w:r w:rsidRPr="00302CE5">
              <w:rPr>
                <w:lang w:val="en-GB" w:eastAsia="zh-CN"/>
              </w:rPr>
              <w:t>Yes</w:t>
            </w:r>
          </w:p>
        </w:tc>
        <w:tc>
          <w:tcPr>
            <w:tcW w:w="1082" w:type="pct"/>
            <w:tcBorders>
              <w:top w:val="nil"/>
              <w:left w:val="nil"/>
              <w:bottom w:val="single" w:sz="4" w:space="0" w:color="auto"/>
              <w:right w:val="nil"/>
            </w:tcBorders>
            <w:shd w:val="clear" w:color="auto" w:fill="auto"/>
            <w:noWrap/>
            <w:vAlign w:val="center"/>
          </w:tcPr>
          <w:p w14:paraId="1CED4E1A" w14:textId="77777777" w:rsidR="00735ADD" w:rsidRPr="00302CE5" w:rsidRDefault="00735ADD" w:rsidP="003D6288">
            <w:pPr>
              <w:pStyle w:val="TableText"/>
              <w:jc w:val="right"/>
              <w:rPr>
                <w:rFonts w:eastAsia="Times New Roman"/>
              </w:rPr>
            </w:pPr>
            <w:r w:rsidRPr="00302CE5">
              <w:rPr>
                <w:lang w:val="en-GB" w:eastAsia="zh-CN"/>
              </w:rPr>
              <w:t>Yes</w:t>
            </w:r>
          </w:p>
        </w:tc>
      </w:tr>
      <w:tr w:rsidR="00735ADD" w:rsidRPr="00323BB0" w14:paraId="0D62D360" w14:textId="77777777" w:rsidTr="00DC68CD">
        <w:trPr>
          <w:trHeight w:val="315"/>
        </w:trPr>
        <w:tc>
          <w:tcPr>
            <w:tcW w:w="5000" w:type="pct"/>
            <w:gridSpan w:val="6"/>
            <w:tcBorders>
              <w:top w:val="single" w:sz="4" w:space="0" w:color="auto"/>
              <w:left w:val="nil"/>
              <w:bottom w:val="single" w:sz="4" w:space="0" w:color="auto"/>
              <w:right w:val="nil"/>
            </w:tcBorders>
            <w:shd w:val="clear" w:color="auto" w:fill="auto"/>
            <w:noWrap/>
            <w:vAlign w:val="center"/>
          </w:tcPr>
          <w:p w14:paraId="019006D5" w14:textId="6742B3BE" w:rsidR="00735ADD" w:rsidRPr="003D6288" w:rsidRDefault="00735ADD" w:rsidP="003D6288">
            <w:pPr>
              <w:pStyle w:val="TableText"/>
              <w:rPr>
                <w:b/>
                <w:bCs/>
                <w:lang w:val="en-GB" w:eastAsia="zh-CN"/>
              </w:rPr>
            </w:pPr>
            <w:r w:rsidRPr="003D6288">
              <w:rPr>
                <w:b/>
                <w:bCs/>
                <w:lang w:val="en-GB" w:eastAsia="zh-CN"/>
              </w:rPr>
              <w:t xml:space="preserve">Panel B: </w:t>
            </w:r>
            <w:r w:rsidR="00263AD2">
              <w:rPr>
                <w:b/>
                <w:bCs/>
                <w:lang w:val="en-GB" w:eastAsia="zh-CN"/>
              </w:rPr>
              <w:t>C</w:t>
            </w:r>
            <w:r w:rsidRPr="003D6288">
              <w:rPr>
                <w:b/>
                <w:bCs/>
                <w:lang w:val="en-GB" w:eastAsia="zh-CN"/>
              </w:rPr>
              <w:t>hange in tone of conference call and stock price crash risk</w:t>
            </w:r>
          </w:p>
        </w:tc>
      </w:tr>
      <w:tr w:rsidR="00735ADD" w:rsidRPr="00302CE5" w14:paraId="7D22B3AB" w14:textId="77777777" w:rsidTr="00DC68CD">
        <w:trPr>
          <w:trHeight w:val="315"/>
        </w:trPr>
        <w:tc>
          <w:tcPr>
            <w:tcW w:w="1754" w:type="pct"/>
            <w:tcBorders>
              <w:top w:val="single" w:sz="4" w:space="0" w:color="auto"/>
              <w:left w:val="nil"/>
              <w:bottom w:val="nil"/>
              <w:right w:val="nil"/>
            </w:tcBorders>
            <w:shd w:val="clear" w:color="auto" w:fill="auto"/>
            <w:noWrap/>
            <w:vAlign w:val="center"/>
          </w:tcPr>
          <w:p w14:paraId="2353D3FB" w14:textId="77777777" w:rsidR="00735ADD" w:rsidRDefault="00735ADD" w:rsidP="003D6288">
            <w:pPr>
              <w:pStyle w:val="TableText"/>
            </w:pPr>
          </w:p>
        </w:tc>
        <w:tc>
          <w:tcPr>
            <w:tcW w:w="1082" w:type="pct"/>
            <w:gridSpan w:val="2"/>
            <w:tcBorders>
              <w:top w:val="single" w:sz="4" w:space="0" w:color="auto"/>
              <w:left w:val="nil"/>
              <w:bottom w:val="nil"/>
              <w:right w:val="nil"/>
            </w:tcBorders>
            <w:vAlign w:val="center"/>
          </w:tcPr>
          <w:p w14:paraId="61F81BCF" w14:textId="77777777" w:rsidR="00735ADD" w:rsidRPr="00302CE5" w:rsidRDefault="00735ADD" w:rsidP="003D6288">
            <w:pPr>
              <w:pStyle w:val="TableText"/>
              <w:jc w:val="right"/>
              <w:rPr>
                <w:rFonts w:eastAsia="SimSun"/>
                <w:lang w:val="en-GB" w:eastAsia="zh-CN"/>
              </w:rPr>
            </w:pPr>
            <w:r w:rsidRPr="00302CE5">
              <w:t>(1)</w:t>
            </w:r>
          </w:p>
        </w:tc>
        <w:tc>
          <w:tcPr>
            <w:tcW w:w="1082" w:type="pct"/>
            <w:gridSpan w:val="2"/>
            <w:tcBorders>
              <w:top w:val="single" w:sz="4" w:space="0" w:color="auto"/>
              <w:left w:val="nil"/>
              <w:bottom w:val="nil"/>
              <w:right w:val="nil"/>
            </w:tcBorders>
            <w:shd w:val="clear" w:color="auto" w:fill="auto"/>
            <w:noWrap/>
            <w:vAlign w:val="center"/>
          </w:tcPr>
          <w:p w14:paraId="064FD1AC" w14:textId="77777777" w:rsidR="00735ADD" w:rsidRPr="00302CE5" w:rsidRDefault="00735ADD" w:rsidP="003D6288">
            <w:pPr>
              <w:pStyle w:val="TableText"/>
              <w:jc w:val="right"/>
              <w:rPr>
                <w:rFonts w:eastAsia="SimSun"/>
                <w:lang w:val="en-GB" w:eastAsia="zh-CN"/>
              </w:rPr>
            </w:pPr>
            <w:r w:rsidRPr="00302CE5">
              <w:t>(2)</w:t>
            </w:r>
          </w:p>
        </w:tc>
        <w:tc>
          <w:tcPr>
            <w:tcW w:w="1082" w:type="pct"/>
            <w:tcBorders>
              <w:top w:val="single" w:sz="4" w:space="0" w:color="auto"/>
              <w:left w:val="nil"/>
              <w:bottom w:val="nil"/>
              <w:right w:val="nil"/>
            </w:tcBorders>
            <w:shd w:val="clear" w:color="auto" w:fill="auto"/>
            <w:noWrap/>
            <w:vAlign w:val="center"/>
          </w:tcPr>
          <w:p w14:paraId="3F2B59D9" w14:textId="77777777" w:rsidR="00735ADD" w:rsidRPr="00302CE5" w:rsidRDefault="00735ADD" w:rsidP="003D6288">
            <w:pPr>
              <w:pStyle w:val="TableText"/>
              <w:jc w:val="right"/>
              <w:rPr>
                <w:rFonts w:eastAsia="SimSun"/>
                <w:lang w:val="en-GB" w:eastAsia="zh-CN"/>
              </w:rPr>
            </w:pPr>
            <w:r w:rsidRPr="00302CE5">
              <w:t>(3)</w:t>
            </w:r>
          </w:p>
        </w:tc>
      </w:tr>
      <w:tr w:rsidR="00735ADD" w:rsidRPr="00302CE5" w14:paraId="03EF3BA6" w14:textId="77777777" w:rsidTr="00DC68CD">
        <w:trPr>
          <w:trHeight w:val="315"/>
        </w:trPr>
        <w:tc>
          <w:tcPr>
            <w:tcW w:w="1754" w:type="pct"/>
            <w:tcBorders>
              <w:left w:val="nil"/>
              <w:bottom w:val="single" w:sz="4" w:space="0" w:color="auto"/>
              <w:right w:val="nil"/>
            </w:tcBorders>
            <w:shd w:val="clear" w:color="auto" w:fill="auto"/>
            <w:noWrap/>
            <w:vAlign w:val="center"/>
          </w:tcPr>
          <w:p w14:paraId="37539F28" w14:textId="77777777" w:rsidR="00735ADD" w:rsidRDefault="00735ADD" w:rsidP="003D6288">
            <w:pPr>
              <w:pStyle w:val="TableText"/>
            </w:pPr>
          </w:p>
        </w:tc>
        <w:tc>
          <w:tcPr>
            <w:tcW w:w="1082" w:type="pct"/>
            <w:gridSpan w:val="2"/>
            <w:tcBorders>
              <w:left w:val="nil"/>
              <w:bottom w:val="single" w:sz="4" w:space="0" w:color="auto"/>
              <w:right w:val="nil"/>
            </w:tcBorders>
            <w:vAlign w:val="center"/>
          </w:tcPr>
          <w:p w14:paraId="1E0D9B13" w14:textId="77777777" w:rsidR="00735ADD" w:rsidRPr="00302CE5" w:rsidRDefault="008D48AD" w:rsidP="003D6288">
            <w:pPr>
              <w:pStyle w:val="TableText"/>
              <w:jc w:val="right"/>
              <w:rPr>
                <w:rFonts w:eastAsia="SimSun"/>
                <w:color w:val="000000"/>
                <w:lang w:val="en-GB" w:eastAsia="zh-CN"/>
              </w:rPr>
            </w:pPr>
            <m:oMathPara>
              <m:oMath>
                <m:sSub>
                  <m:sSubPr>
                    <m:ctrlPr>
                      <w:rPr>
                        <w:rFonts w:ascii="Cambria Math" w:hAnsi="Cambria Math"/>
                      </w:rPr>
                    </m:ctrlPr>
                  </m:sSubPr>
                  <m:e>
                    <m:r>
                      <w:rPr>
                        <w:rFonts w:ascii="Cambria Math" w:hAnsi="Cambria Math"/>
                      </w:rPr>
                      <m:t>COUNT</m:t>
                    </m:r>
                  </m:e>
                  <m:sub>
                    <m:r>
                      <w:rPr>
                        <w:rFonts w:ascii="Cambria Math" w:hAnsi="Cambria Math"/>
                      </w:rPr>
                      <m:t>t</m:t>
                    </m:r>
                  </m:sub>
                </m:sSub>
              </m:oMath>
            </m:oMathPara>
          </w:p>
        </w:tc>
        <w:tc>
          <w:tcPr>
            <w:tcW w:w="1082" w:type="pct"/>
            <w:gridSpan w:val="2"/>
            <w:tcBorders>
              <w:left w:val="nil"/>
              <w:bottom w:val="single" w:sz="4" w:space="0" w:color="auto"/>
              <w:right w:val="nil"/>
            </w:tcBorders>
            <w:shd w:val="clear" w:color="auto" w:fill="auto"/>
            <w:noWrap/>
            <w:vAlign w:val="center"/>
          </w:tcPr>
          <w:p w14:paraId="0B02DDB4" w14:textId="77777777" w:rsidR="00735ADD" w:rsidRPr="00302CE5" w:rsidRDefault="008D48AD" w:rsidP="003D6288">
            <w:pPr>
              <w:pStyle w:val="TableText"/>
              <w:jc w:val="right"/>
              <w:rPr>
                <w:rFonts w:eastAsia="SimSun"/>
                <w:color w:val="000000"/>
                <w:lang w:val="en-GB" w:eastAsia="zh-CN"/>
              </w:rPr>
            </w:pPr>
            <m:oMathPara>
              <m:oMath>
                <m:sSub>
                  <m:sSubPr>
                    <m:ctrlPr>
                      <w:rPr>
                        <w:rFonts w:ascii="Cambria Math" w:hAnsi="Cambria Math"/>
                      </w:rPr>
                    </m:ctrlPr>
                  </m:sSubPr>
                  <m:e>
                    <m:r>
                      <w:rPr>
                        <w:rFonts w:ascii="Cambria Math" w:hAnsi="Cambria Math"/>
                      </w:rPr>
                      <m:t>NCSKEW</m:t>
                    </m:r>
                  </m:e>
                  <m:sub>
                    <m:r>
                      <w:rPr>
                        <w:rFonts w:ascii="Cambria Math" w:hAnsi="Cambria Math"/>
                      </w:rPr>
                      <m:t>t</m:t>
                    </m:r>
                  </m:sub>
                </m:sSub>
              </m:oMath>
            </m:oMathPara>
          </w:p>
        </w:tc>
        <w:tc>
          <w:tcPr>
            <w:tcW w:w="1082" w:type="pct"/>
            <w:tcBorders>
              <w:left w:val="nil"/>
              <w:bottom w:val="single" w:sz="4" w:space="0" w:color="auto"/>
              <w:right w:val="nil"/>
            </w:tcBorders>
            <w:shd w:val="clear" w:color="auto" w:fill="auto"/>
            <w:noWrap/>
            <w:vAlign w:val="center"/>
          </w:tcPr>
          <w:p w14:paraId="080005E8" w14:textId="77777777" w:rsidR="00735ADD" w:rsidRPr="00302CE5" w:rsidRDefault="008D48AD" w:rsidP="003D6288">
            <w:pPr>
              <w:pStyle w:val="TableText"/>
              <w:jc w:val="right"/>
              <w:rPr>
                <w:rFonts w:eastAsia="SimSun"/>
                <w:color w:val="000000"/>
                <w:lang w:val="en-GB" w:eastAsia="zh-CN"/>
              </w:rPr>
            </w:pPr>
            <m:oMathPara>
              <m:oMath>
                <m:sSub>
                  <m:sSubPr>
                    <m:ctrlPr>
                      <w:rPr>
                        <w:rFonts w:ascii="Cambria Math" w:hAnsi="Cambria Math"/>
                      </w:rPr>
                    </m:ctrlPr>
                  </m:sSubPr>
                  <m:e>
                    <m:r>
                      <w:rPr>
                        <w:rFonts w:ascii="Cambria Math" w:hAnsi="Cambria Math"/>
                      </w:rPr>
                      <m:t>DUVOL</m:t>
                    </m:r>
                  </m:e>
                  <m:sub>
                    <m:r>
                      <w:rPr>
                        <w:rFonts w:ascii="Cambria Math" w:hAnsi="Cambria Math"/>
                      </w:rPr>
                      <m:t>t</m:t>
                    </m:r>
                  </m:sub>
                </m:sSub>
              </m:oMath>
            </m:oMathPara>
          </w:p>
        </w:tc>
      </w:tr>
      <w:tr w:rsidR="00735ADD" w:rsidRPr="00302CE5" w14:paraId="73450BFA" w14:textId="77777777" w:rsidTr="00DC68CD">
        <w:trPr>
          <w:trHeight w:val="315"/>
        </w:trPr>
        <w:tc>
          <w:tcPr>
            <w:tcW w:w="1754" w:type="pct"/>
            <w:tcBorders>
              <w:top w:val="single" w:sz="4" w:space="0" w:color="auto"/>
              <w:left w:val="nil"/>
              <w:bottom w:val="nil"/>
              <w:right w:val="nil"/>
            </w:tcBorders>
            <w:shd w:val="clear" w:color="auto" w:fill="auto"/>
            <w:noWrap/>
            <w:vAlign w:val="center"/>
            <w:hideMark/>
          </w:tcPr>
          <w:p w14:paraId="0BD002C9" w14:textId="77777777" w:rsidR="00735ADD" w:rsidRPr="00302CE5" w:rsidRDefault="008D48AD" w:rsidP="003D6288">
            <w:pPr>
              <w:pStyle w:val="TableText"/>
            </w:pPr>
            <m:oMathPara>
              <m:oMathParaPr>
                <m:jc m:val="left"/>
              </m:oMathParaPr>
              <m:oMath>
                <m:sSub>
                  <m:sSubPr>
                    <m:ctrlPr>
                      <w:rPr>
                        <w:rFonts w:ascii="Cambria Math" w:hAnsi="Cambria Math"/>
                      </w:rPr>
                    </m:ctrlPr>
                  </m:sSubPr>
                  <m:e>
                    <m:r>
                      <m:rPr>
                        <m:sty m:val="p"/>
                      </m:rPr>
                      <w:rPr>
                        <w:rFonts w:ascii="Cambria Math" w:hAnsi="Cambria Math"/>
                      </w:rPr>
                      <m:t>∆</m:t>
                    </m:r>
                    <m:r>
                      <w:rPr>
                        <w:rFonts w:ascii="Cambria Math" w:hAnsi="Cambria Math"/>
                      </w:rPr>
                      <m:t>TONE</m:t>
                    </m:r>
                    <m:r>
                      <m:rPr>
                        <m:sty m:val="p"/>
                      </m:rPr>
                      <w:rPr>
                        <w:rFonts w:ascii="Cambria Math" w:hAnsi="Cambria Math"/>
                      </w:rPr>
                      <m:t>_</m:t>
                    </m:r>
                    <m:r>
                      <w:rPr>
                        <w:rFonts w:ascii="Cambria Math" w:hAnsi="Cambria Math"/>
                      </w:rPr>
                      <m:t>C</m:t>
                    </m:r>
                  </m:e>
                  <m:sub>
                    <m:r>
                      <w:rPr>
                        <w:rFonts w:ascii="Cambria Math" w:hAnsi="Cambria Math"/>
                      </w:rPr>
                      <m:t>t</m:t>
                    </m:r>
                    <m:r>
                      <m:rPr>
                        <m:sty m:val="p"/>
                      </m:rPr>
                      <w:rPr>
                        <w:rFonts w:ascii="Cambria Math" w:hAnsi="Cambria Math"/>
                      </w:rPr>
                      <m:t>-1</m:t>
                    </m:r>
                  </m:sub>
                </m:sSub>
              </m:oMath>
            </m:oMathPara>
          </w:p>
        </w:tc>
        <w:tc>
          <w:tcPr>
            <w:tcW w:w="1082" w:type="pct"/>
            <w:gridSpan w:val="2"/>
            <w:tcBorders>
              <w:top w:val="single" w:sz="4" w:space="0" w:color="auto"/>
              <w:left w:val="nil"/>
              <w:bottom w:val="nil"/>
              <w:right w:val="nil"/>
            </w:tcBorders>
            <w:vAlign w:val="center"/>
          </w:tcPr>
          <w:p w14:paraId="46078454" w14:textId="77777777" w:rsidR="00735ADD" w:rsidRPr="00302CE5" w:rsidRDefault="00735ADD" w:rsidP="003D6288">
            <w:pPr>
              <w:pStyle w:val="TableText"/>
              <w:jc w:val="right"/>
              <w:rPr>
                <w:rFonts w:eastAsia="MS Mincho"/>
              </w:rPr>
            </w:pPr>
            <w:r w:rsidRPr="00302CE5">
              <w:rPr>
                <w:lang w:val="en-GB" w:eastAsia="zh-CN"/>
              </w:rPr>
              <w:t>-0.0</w:t>
            </w:r>
            <w:r>
              <w:rPr>
                <w:lang w:val="en-GB" w:eastAsia="zh-CN"/>
              </w:rPr>
              <w:t>43</w:t>
            </w:r>
            <w:r w:rsidRPr="00302CE5">
              <w:rPr>
                <w:lang w:val="en-GB" w:eastAsia="zh-CN"/>
              </w:rPr>
              <w:t>*</w:t>
            </w:r>
          </w:p>
        </w:tc>
        <w:tc>
          <w:tcPr>
            <w:tcW w:w="1082" w:type="pct"/>
            <w:gridSpan w:val="2"/>
            <w:tcBorders>
              <w:top w:val="single" w:sz="4" w:space="0" w:color="auto"/>
              <w:left w:val="nil"/>
              <w:bottom w:val="nil"/>
              <w:right w:val="nil"/>
            </w:tcBorders>
            <w:shd w:val="clear" w:color="auto" w:fill="auto"/>
            <w:noWrap/>
            <w:vAlign w:val="center"/>
          </w:tcPr>
          <w:p w14:paraId="296C63E8" w14:textId="77777777" w:rsidR="00735ADD" w:rsidRPr="00302CE5" w:rsidRDefault="00735ADD" w:rsidP="003D6288">
            <w:pPr>
              <w:pStyle w:val="TableText"/>
              <w:jc w:val="right"/>
              <w:rPr>
                <w:rFonts w:eastAsia="Times New Roman"/>
              </w:rPr>
            </w:pPr>
            <w:r w:rsidRPr="00302CE5">
              <w:rPr>
                <w:lang w:val="en-GB" w:eastAsia="zh-CN"/>
              </w:rPr>
              <w:t>-0.1</w:t>
            </w:r>
            <w:r>
              <w:rPr>
                <w:lang w:val="en-GB" w:eastAsia="zh-CN"/>
              </w:rPr>
              <w:t>19</w:t>
            </w:r>
            <w:r w:rsidRPr="00302CE5">
              <w:rPr>
                <w:lang w:val="en-GB" w:eastAsia="zh-CN"/>
              </w:rPr>
              <w:t>***</w:t>
            </w:r>
          </w:p>
        </w:tc>
        <w:tc>
          <w:tcPr>
            <w:tcW w:w="1082" w:type="pct"/>
            <w:tcBorders>
              <w:top w:val="single" w:sz="4" w:space="0" w:color="auto"/>
              <w:left w:val="nil"/>
              <w:bottom w:val="nil"/>
              <w:right w:val="nil"/>
            </w:tcBorders>
            <w:shd w:val="clear" w:color="auto" w:fill="auto"/>
            <w:noWrap/>
            <w:vAlign w:val="center"/>
          </w:tcPr>
          <w:p w14:paraId="3E418982" w14:textId="77777777" w:rsidR="00735ADD" w:rsidRPr="00302CE5" w:rsidRDefault="00735ADD" w:rsidP="003D6288">
            <w:pPr>
              <w:pStyle w:val="TableText"/>
              <w:jc w:val="right"/>
              <w:rPr>
                <w:rFonts w:eastAsia="Times New Roman"/>
              </w:rPr>
            </w:pPr>
            <w:r w:rsidRPr="00302CE5">
              <w:rPr>
                <w:lang w:val="en-GB" w:eastAsia="zh-CN"/>
              </w:rPr>
              <w:t>-0.0</w:t>
            </w:r>
            <w:r>
              <w:rPr>
                <w:lang w:val="en-GB" w:eastAsia="zh-CN"/>
              </w:rPr>
              <w:t>76</w:t>
            </w:r>
            <w:r w:rsidRPr="00302CE5">
              <w:rPr>
                <w:lang w:val="en-GB" w:eastAsia="zh-CN"/>
              </w:rPr>
              <w:t>***</w:t>
            </w:r>
          </w:p>
        </w:tc>
      </w:tr>
      <w:tr w:rsidR="00735ADD" w:rsidRPr="00302CE5" w14:paraId="378710D0" w14:textId="77777777" w:rsidTr="00DC68CD">
        <w:trPr>
          <w:trHeight w:val="315"/>
        </w:trPr>
        <w:tc>
          <w:tcPr>
            <w:tcW w:w="1754" w:type="pct"/>
            <w:tcBorders>
              <w:top w:val="nil"/>
              <w:left w:val="nil"/>
              <w:bottom w:val="nil"/>
              <w:right w:val="nil"/>
            </w:tcBorders>
            <w:shd w:val="clear" w:color="auto" w:fill="auto"/>
            <w:noWrap/>
            <w:vAlign w:val="center"/>
            <w:hideMark/>
          </w:tcPr>
          <w:p w14:paraId="3AE96829" w14:textId="77777777" w:rsidR="00735ADD" w:rsidRPr="00302CE5" w:rsidRDefault="00735ADD" w:rsidP="003D6288">
            <w:pPr>
              <w:pStyle w:val="TableText"/>
            </w:pPr>
          </w:p>
        </w:tc>
        <w:tc>
          <w:tcPr>
            <w:tcW w:w="1082" w:type="pct"/>
            <w:gridSpan w:val="2"/>
            <w:tcBorders>
              <w:top w:val="nil"/>
              <w:left w:val="nil"/>
              <w:bottom w:val="nil"/>
              <w:right w:val="nil"/>
            </w:tcBorders>
            <w:vAlign w:val="center"/>
          </w:tcPr>
          <w:p w14:paraId="274DCDEE" w14:textId="77777777" w:rsidR="00735ADD" w:rsidRPr="00302CE5" w:rsidRDefault="00735ADD" w:rsidP="003D6288">
            <w:pPr>
              <w:pStyle w:val="TableText"/>
              <w:jc w:val="right"/>
              <w:rPr>
                <w:rFonts w:eastAsia="MS Mincho"/>
              </w:rPr>
            </w:pPr>
            <w:r w:rsidRPr="00302CE5">
              <w:rPr>
                <w:lang w:val="en-GB" w:eastAsia="zh-CN"/>
              </w:rPr>
              <w:t>(-</w:t>
            </w:r>
            <w:r>
              <w:rPr>
                <w:lang w:val="en-GB" w:eastAsia="zh-CN"/>
              </w:rPr>
              <w:t>1.89</w:t>
            </w:r>
            <w:r w:rsidRPr="00302CE5">
              <w:rPr>
                <w:lang w:val="en-GB" w:eastAsia="zh-CN"/>
              </w:rPr>
              <w:t>)</w:t>
            </w:r>
          </w:p>
        </w:tc>
        <w:tc>
          <w:tcPr>
            <w:tcW w:w="1082" w:type="pct"/>
            <w:gridSpan w:val="2"/>
            <w:tcBorders>
              <w:top w:val="nil"/>
              <w:left w:val="nil"/>
              <w:bottom w:val="nil"/>
              <w:right w:val="nil"/>
            </w:tcBorders>
            <w:shd w:val="clear" w:color="auto" w:fill="auto"/>
            <w:noWrap/>
            <w:vAlign w:val="center"/>
          </w:tcPr>
          <w:p w14:paraId="6EE1DF8D" w14:textId="77777777" w:rsidR="00735ADD" w:rsidRPr="00302CE5" w:rsidRDefault="00735ADD" w:rsidP="003D6288">
            <w:pPr>
              <w:pStyle w:val="TableText"/>
              <w:jc w:val="right"/>
              <w:rPr>
                <w:rFonts w:eastAsia="Times New Roman"/>
              </w:rPr>
            </w:pPr>
            <w:r w:rsidRPr="00302CE5">
              <w:rPr>
                <w:lang w:val="en-GB" w:eastAsia="zh-CN"/>
              </w:rPr>
              <w:t>(-</w:t>
            </w:r>
            <w:r>
              <w:rPr>
                <w:lang w:val="en-GB" w:eastAsia="zh-CN"/>
              </w:rPr>
              <w:t>3.79</w:t>
            </w:r>
            <w:r w:rsidRPr="00302CE5">
              <w:rPr>
                <w:lang w:val="en-GB" w:eastAsia="zh-CN"/>
              </w:rPr>
              <w:t>)</w:t>
            </w:r>
          </w:p>
        </w:tc>
        <w:tc>
          <w:tcPr>
            <w:tcW w:w="1082" w:type="pct"/>
            <w:tcBorders>
              <w:top w:val="nil"/>
              <w:left w:val="nil"/>
              <w:bottom w:val="nil"/>
              <w:right w:val="nil"/>
            </w:tcBorders>
            <w:shd w:val="clear" w:color="auto" w:fill="auto"/>
            <w:noWrap/>
            <w:vAlign w:val="center"/>
          </w:tcPr>
          <w:p w14:paraId="6A4A17FC" w14:textId="77777777" w:rsidR="00735ADD" w:rsidRPr="00302CE5" w:rsidRDefault="00735ADD" w:rsidP="003D6288">
            <w:pPr>
              <w:pStyle w:val="TableText"/>
              <w:jc w:val="right"/>
              <w:rPr>
                <w:rFonts w:eastAsia="Times New Roman"/>
              </w:rPr>
            </w:pPr>
            <w:r w:rsidRPr="00302CE5">
              <w:rPr>
                <w:lang w:val="en-GB" w:eastAsia="zh-CN"/>
              </w:rPr>
              <w:t>(-</w:t>
            </w:r>
            <w:r>
              <w:rPr>
                <w:lang w:val="en-GB" w:eastAsia="zh-CN"/>
              </w:rPr>
              <w:t>3.97</w:t>
            </w:r>
            <w:r w:rsidRPr="00302CE5">
              <w:rPr>
                <w:lang w:val="en-GB" w:eastAsia="zh-CN"/>
              </w:rPr>
              <w:t>)</w:t>
            </w:r>
          </w:p>
        </w:tc>
      </w:tr>
      <w:tr w:rsidR="00735ADD" w:rsidRPr="00302CE5" w14:paraId="0C3BD03C" w14:textId="77777777" w:rsidTr="00DC68CD">
        <w:trPr>
          <w:trHeight w:val="315"/>
        </w:trPr>
        <w:tc>
          <w:tcPr>
            <w:tcW w:w="1754" w:type="pct"/>
            <w:tcBorders>
              <w:top w:val="nil"/>
              <w:left w:val="nil"/>
              <w:bottom w:val="nil"/>
              <w:right w:val="nil"/>
            </w:tcBorders>
            <w:shd w:val="clear" w:color="auto" w:fill="auto"/>
            <w:noWrap/>
            <w:vAlign w:val="center"/>
          </w:tcPr>
          <w:p w14:paraId="539CD57A" w14:textId="77777777" w:rsidR="00735ADD" w:rsidRPr="00302CE5" w:rsidRDefault="00735ADD" w:rsidP="003D6288">
            <w:pPr>
              <w:pStyle w:val="TableText"/>
            </w:pPr>
            <w:r>
              <w:t>Controls</w:t>
            </w:r>
          </w:p>
        </w:tc>
        <w:tc>
          <w:tcPr>
            <w:tcW w:w="1082" w:type="pct"/>
            <w:gridSpan w:val="2"/>
            <w:tcBorders>
              <w:top w:val="nil"/>
              <w:left w:val="nil"/>
              <w:bottom w:val="nil"/>
              <w:right w:val="nil"/>
            </w:tcBorders>
            <w:vAlign w:val="center"/>
          </w:tcPr>
          <w:p w14:paraId="42B681F6" w14:textId="77777777" w:rsidR="00735ADD" w:rsidRPr="00302CE5" w:rsidRDefault="00735ADD" w:rsidP="003D6288">
            <w:pPr>
              <w:pStyle w:val="TableText"/>
              <w:jc w:val="right"/>
              <w:rPr>
                <w:lang w:val="en-GB" w:eastAsia="zh-CN"/>
              </w:rPr>
            </w:pPr>
            <w:r>
              <w:rPr>
                <w:lang w:val="en-GB" w:eastAsia="zh-CN"/>
              </w:rPr>
              <w:t>Yes</w:t>
            </w:r>
          </w:p>
        </w:tc>
        <w:tc>
          <w:tcPr>
            <w:tcW w:w="1082" w:type="pct"/>
            <w:gridSpan w:val="2"/>
            <w:tcBorders>
              <w:top w:val="nil"/>
              <w:left w:val="nil"/>
              <w:bottom w:val="nil"/>
              <w:right w:val="nil"/>
            </w:tcBorders>
            <w:shd w:val="clear" w:color="auto" w:fill="auto"/>
            <w:noWrap/>
            <w:vAlign w:val="center"/>
          </w:tcPr>
          <w:p w14:paraId="6EA48FA2" w14:textId="77777777" w:rsidR="00735ADD" w:rsidRPr="00302CE5" w:rsidRDefault="00735ADD" w:rsidP="003D6288">
            <w:pPr>
              <w:pStyle w:val="TableText"/>
              <w:jc w:val="right"/>
              <w:rPr>
                <w:lang w:val="en-GB" w:eastAsia="zh-CN"/>
              </w:rPr>
            </w:pPr>
            <w:r>
              <w:rPr>
                <w:lang w:val="en-GB" w:eastAsia="zh-CN"/>
              </w:rPr>
              <w:t>Yes</w:t>
            </w:r>
          </w:p>
        </w:tc>
        <w:tc>
          <w:tcPr>
            <w:tcW w:w="1082" w:type="pct"/>
            <w:tcBorders>
              <w:top w:val="nil"/>
              <w:left w:val="nil"/>
              <w:bottom w:val="nil"/>
              <w:right w:val="nil"/>
            </w:tcBorders>
            <w:shd w:val="clear" w:color="auto" w:fill="auto"/>
            <w:noWrap/>
            <w:vAlign w:val="center"/>
          </w:tcPr>
          <w:p w14:paraId="3A272ED1" w14:textId="77777777" w:rsidR="00735ADD" w:rsidRPr="00302CE5" w:rsidRDefault="00735ADD" w:rsidP="003D6288">
            <w:pPr>
              <w:pStyle w:val="TableText"/>
              <w:jc w:val="right"/>
              <w:rPr>
                <w:lang w:val="en-GB" w:eastAsia="zh-CN"/>
              </w:rPr>
            </w:pPr>
            <w:r>
              <w:rPr>
                <w:lang w:val="en-GB" w:eastAsia="zh-CN"/>
              </w:rPr>
              <w:t>Yes</w:t>
            </w:r>
          </w:p>
        </w:tc>
      </w:tr>
      <w:tr w:rsidR="00735ADD" w:rsidRPr="00302CE5" w14:paraId="229D293E" w14:textId="77777777" w:rsidTr="00DC68CD">
        <w:trPr>
          <w:trHeight w:val="315"/>
        </w:trPr>
        <w:tc>
          <w:tcPr>
            <w:tcW w:w="1754" w:type="pct"/>
            <w:tcBorders>
              <w:top w:val="nil"/>
              <w:left w:val="nil"/>
              <w:bottom w:val="nil"/>
              <w:right w:val="nil"/>
            </w:tcBorders>
            <w:shd w:val="clear" w:color="auto" w:fill="auto"/>
            <w:noWrap/>
            <w:vAlign w:val="center"/>
            <w:hideMark/>
          </w:tcPr>
          <w:p w14:paraId="6DB04C22" w14:textId="77777777" w:rsidR="00735ADD" w:rsidRPr="00302CE5" w:rsidRDefault="00735ADD" w:rsidP="003D6288">
            <w:pPr>
              <w:pStyle w:val="TableText"/>
            </w:pPr>
            <w:r w:rsidRPr="00302CE5">
              <w:t>Observations</w:t>
            </w:r>
          </w:p>
        </w:tc>
        <w:tc>
          <w:tcPr>
            <w:tcW w:w="1082" w:type="pct"/>
            <w:gridSpan w:val="2"/>
            <w:tcBorders>
              <w:top w:val="nil"/>
              <w:left w:val="nil"/>
              <w:bottom w:val="nil"/>
              <w:right w:val="nil"/>
            </w:tcBorders>
            <w:vAlign w:val="center"/>
          </w:tcPr>
          <w:p w14:paraId="1F65B95A" w14:textId="77777777" w:rsidR="00735ADD" w:rsidRPr="00302CE5" w:rsidRDefault="00735ADD" w:rsidP="003D6288">
            <w:pPr>
              <w:pStyle w:val="TableText"/>
              <w:jc w:val="right"/>
              <w:rPr>
                <w:rFonts w:eastAsia="MS Mincho"/>
              </w:rPr>
            </w:pPr>
            <w:r>
              <w:rPr>
                <w:lang w:val="en-GB" w:eastAsia="zh-CN"/>
              </w:rPr>
              <w:t>5504</w:t>
            </w:r>
          </w:p>
        </w:tc>
        <w:tc>
          <w:tcPr>
            <w:tcW w:w="1082" w:type="pct"/>
            <w:gridSpan w:val="2"/>
            <w:tcBorders>
              <w:top w:val="nil"/>
              <w:left w:val="nil"/>
              <w:bottom w:val="nil"/>
              <w:right w:val="nil"/>
            </w:tcBorders>
            <w:shd w:val="clear" w:color="auto" w:fill="auto"/>
            <w:noWrap/>
            <w:vAlign w:val="center"/>
          </w:tcPr>
          <w:p w14:paraId="1C84750F" w14:textId="77777777" w:rsidR="00735ADD" w:rsidRPr="00302CE5" w:rsidRDefault="00735ADD" w:rsidP="003D6288">
            <w:pPr>
              <w:pStyle w:val="TableText"/>
              <w:jc w:val="right"/>
              <w:rPr>
                <w:rFonts w:eastAsia="Times New Roman"/>
              </w:rPr>
            </w:pPr>
            <w:r>
              <w:rPr>
                <w:lang w:val="en-GB" w:eastAsia="zh-CN"/>
              </w:rPr>
              <w:t>5504</w:t>
            </w:r>
          </w:p>
        </w:tc>
        <w:tc>
          <w:tcPr>
            <w:tcW w:w="1082" w:type="pct"/>
            <w:tcBorders>
              <w:top w:val="nil"/>
              <w:left w:val="nil"/>
              <w:bottom w:val="nil"/>
              <w:right w:val="nil"/>
            </w:tcBorders>
            <w:shd w:val="clear" w:color="auto" w:fill="auto"/>
            <w:noWrap/>
            <w:vAlign w:val="center"/>
          </w:tcPr>
          <w:p w14:paraId="208B7F3E" w14:textId="77777777" w:rsidR="00735ADD" w:rsidRPr="00302CE5" w:rsidRDefault="00735ADD" w:rsidP="003D6288">
            <w:pPr>
              <w:pStyle w:val="TableText"/>
              <w:jc w:val="right"/>
              <w:rPr>
                <w:rFonts w:eastAsia="Times New Roman"/>
              </w:rPr>
            </w:pPr>
            <w:r>
              <w:rPr>
                <w:lang w:val="en-GB" w:eastAsia="zh-CN"/>
              </w:rPr>
              <w:t>5504</w:t>
            </w:r>
          </w:p>
        </w:tc>
      </w:tr>
      <w:tr w:rsidR="00735ADD" w:rsidRPr="00302CE5" w14:paraId="5A725DFF" w14:textId="77777777" w:rsidTr="00DC68CD">
        <w:trPr>
          <w:trHeight w:val="315"/>
        </w:trPr>
        <w:tc>
          <w:tcPr>
            <w:tcW w:w="1754" w:type="pct"/>
            <w:tcBorders>
              <w:top w:val="nil"/>
              <w:left w:val="nil"/>
              <w:bottom w:val="nil"/>
              <w:right w:val="nil"/>
            </w:tcBorders>
            <w:shd w:val="clear" w:color="auto" w:fill="auto"/>
            <w:noWrap/>
            <w:vAlign w:val="center"/>
            <w:hideMark/>
          </w:tcPr>
          <w:p w14:paraId="02440073" w14:textId="77777777" w:rsidR="00735ADD" w:rsidRPr="00302CE5" w:rsidRDefault="00735ADD" w:rsidP="003D6288">
            <w:pPr>
              <w:pStyle w:val="TableText"/>
            </w:pPr>
            <w:r w:rsidRPr="00302CE5">
              <w:t xml:space="preserve">Adjusted </w:t>
            </w:r>
            <m:oMath>
              <m:sSup>
                <m:sSupPr>
                  <m:ctrlPr>
                    <w:rPr>
                      <w:rFonts w:ascii="Cambria Math" w:hAnsi="Cambria Math"/>
                      <w:i/>
                    </w:rPr>
                  </m:ctrlPr>
                </m:sSupPr>
                <m:e>
                  <m:r>
                    <w:rPr>
                      <w:rFonts w:ascii="Cambria Math" w:hAnsi="Cambria Math"/>
                    </w:rPr>
                    <m:t>R</m:t>
                  </m:r>
                </m:e>
                <m:sup>
                  <m:r>
                    <w:rPr>
                      <w:rFonts w:ascii="Cambria Math" w:hAnsi="Cambria Math"/>
                    </w:rPr>
                    <m:t>2</m:t>
                  </m:r>
                </m:sup>
              </m:sSup>
            </m:oMath>
          </w:p>
        </w:tc>
        <w:tc>
          <w:tcPr>
            <w:tcW w:w="1082" w:type="pct"/>
            <w:gridSpan w:val="2"/>
            <w:tcBorders>
              <w:top w:val="nil"/>
              <w:left w:val="nil"/>
              <w:bottom w:val="nil"/>
              <w:right w:val="nil"/>
            </w:tcBorders>
            <w:vAlign w:val="center"/>
          </w:tcPr>
          <w:p w14:paraId="05D1F5DA" w14:textId="77777777" w:rsidR="00735ADD" w:rsidRPr="00302CE5" w:rsidRDefault="00735ADD" w:rsidP="003D6288">
            <w:pPr>
              <w:pStyle w:val="TableText"/>
              <w:jc w:val="right"/>
              <w:rPr>
                <w:rFonts w:eastAsia="MS Mincho"/>
              </w:rPr>
            </w:pPr>
            <w:r w:rsidRPr="00302CE5">
              <w:rPr>
                <w:lang w:val="en-GB" w:eastAsia="zh-CN"/>
              </w:rPr>
              <w:t>0.0</w:t>
            </w:r>
            <w:r>
              <w:rPr>
                <w:lang w:val="en-GB" w:eastAsia="zh-CN"/>
              </w:rPr>
              <w:t>1</w:t>
            </w:r>
          </w:p>
        </w:tc>
        <w:tc>
          <w:tcPr>
            <w:tcW w:w="1082" w:type="pct"/>
            <w:gridSpan w:val="2"/>
            <w:tcBorders>
              <w:top w:val="nil"/>
              <w:left w:val="nil"/>
              <w:bottom w:val="nil"/>
              <w:right w:val="nil"/>
            </w:tcBorders>
            <w:shd w:val="clear" w:color="auto" w:fill="auto"/>
            <w:noWrap/>
            <w:vAlign w:val="center"/>
          </w:tcPr>
          <w:p w14:paraId="62D156E8" w14:textId="77777777" w:rsidR="00735ADD" w:rsidRPr="00302CE5" w:rsidRDefault="00735ADD" w:rsidP="003D6288">
            <w:pPr>
              <w:pStyle w:val="TableText"/>
              <w:jc w:val="right"/>
              <w:rPr>
                <w:rFonts w:eastAsia="Times New Roman"/>
              </w:rPr>
            </w:pPr>
            <w:r w:rsidRPr="00302CE5">
              <w:rPr>
                <w:lang w:val="en-GB" w:eastAsia="zh-CN"/>
              </w:rPr>
              <w:t>0.</w:t>
            </w:r>
            <w:r>
              <w:rPr>
                <w:lang w:val="en-GB" w:eastAsia="zh-CN"/>
              </w:rPr>
              <w:t>02</w:t>
            </w:r>
          </w:p>
        </w:tc>
        <w:tc>
          <w:tcPr>
            <w:tcW w:w="1082" w:type="pct"/>
            <w:tcBorders>
              <w:top w:val="nil"/>
              <w:left w:val="nil"/>
              <w:bottom w:val="nil"/>
              <w:right w:val="nil"/>
            </w:tcBorders>
            <w:shd w:val="clear" w:color="auto" w:fill="auto"/>
            <w:noWrap/>
            <w:vAlign w:val="center"/>
          </w:tcPr>
          <w:p w14:paraId="13FFE149" w14:textId="77777777" w:rsidR="00735ADD" w:rsidRPr="00302CE5" w:rsidRDefault="00735ADD" w:rsidP="003D6288">
            <w:pPr>
              <w:pStyle w:val="TableText"/>
              <w:jc w:val="right"/>
              <w:rPr>
                <w:rFonts w:eastAsia="Times New Roman"/>
              </w:rPr>
            </w:pPr>
            <w:r w:rsidRPr="00302CE5">
              <w:rPr>
                <w:lang w:val="en-GB" w:eastAsia="zh-CN"/>
              </w:rPr>
              <w:t>0.</w:t>
            </w:r>
            <w:r>
              <w:rPr>
                <w:lang w:val="en-GB" w:eastAsia="zh-CN"/>
              </w:rPr>
              <w:t>02</w:t>
            </w:r>
          </w:p>
        </w:tc>
      </w:tr>
      <w:tr w:rsidR="00735ADD" w:rsidRPr="00302CE5" w14:paraId="6318FAB6" w14:textId="77777777" w:rsidTr="00DC68CD">
        <w:trPr>
          <w:trHeight w:val="315"/>
        </w:trPr>
        <w:tc>
          <w:tcPr>
            <w:tcW w:w="1754" w:type="pct"/>
            <w:tcBorders>
              <w:top w:val="nil"/>
              <w:left w:val="nil"/>
              <w:bottom w:val="nil"/>
              <w:right w:val="nil"/>
            </w:tcBorders>
            <w:shd w:val="clear" w:color="auto" w:fill="auto"/>
            <w:noWrap/>
            <w:vAlign w:val="center"/>
            <w:hideMark/>
          </w:tcPr>
          <w:p w14:paraId="708CED7B" w14:textId="77777777" w:rsidR="00735ADD" w:rsidRPr="00302CE5" w:rsidRDefault="00735ADD" w:rsidP="003D6288">
            <w:pPr>
              <w:pStyle w:val="TableText"/>
            </w:pPr>
            <w:r>
              <w:t>Year-fixed effects</w:t>
            </w:r>
          </w:p>
        </w:tc>
        <w:tc>
          <w:tcPr>
            <w:tcW w:w="1082" w:type="pct"/>
            <w:gridSpan w:val="2"/>
            <w:tcBorders>
              <w:top w:val="nil"/>
              <w:left w:val="nil"/>
              <w:bottom w:val="nil"/>
              <w:right w:val="nil"/>
            </w:tcBorders>
            <w:vAlign w:val="center"/>
          </w:tcPr>
          <w:p w14:paraId="697F6C76" w14:textId="77777777" w:rsidR="00735ADD" w:rsidRPr="00302CE5" w:rsidRDefault="00735ADD" w:rsidP="003D6288">
            <w:pPr>
              <w:pStyle w:val="TableText"/>
              <w:jc w:val="right"/>
              <w:rPr>
                <w:rFonts w:eastAsia="MS Mincho"/>
              </w:rPr>
            </w:pPr>
            <w:r w:rsidRPr="00302CE5">
              <w:rPr>
                <w:lang w:val="en-GB" w:eastAsia="zh-CN"/>
              </w:rPr>
              <w:t>Yes</w:t>
            </w:r>
          </w:p>
        </w:tc>
        <w:tc>
          <w:tcPr>
            <w:tcW w:w="1082" w:type="pct"/>
            <w:gridSpan w:val="2"/>
            <w:tcBorders>
              <w:top w:val="nil"/>
              <w:left w:val="nil"/>
              <w:bottom w:val="nil"/>
              <w:right w:val="nil"/>
            </w:tcBorders>
            <w:shd w:val="clear" w:color="auto" w:fill="auto"/>
            <w:noWrap/>
            <w:vAlign w:val="center"/>
          </w:tcPr>
          <w:p w14:paraId="5870D08B" w14:textId="77777777" w:rsidR="00735ADD" w:rsidRPr="00302CE5" w:rsidRDefault="00735ADD" w:rsidP="003D6288">
            <w:pPr>
              <w:pStyle w:val="TableText"/>
              <w:jc w:val="right"/>
              <w:rPr>
                <w:rFonts w:eastAsia="Times New Roman"/>
              </w:rPr>
            </w:pPr>
            <w:r w:rsidRPr="00302CE5">
              <w:rPr>
                <w:lang w:val="en-GB" w:eastAsia="zh-CN"/>
              </w:rPr>
              <w:t>Yes</w:t>
            </w:r>
          </w:p>
        </w:tc>
        <w:tc>
          <w:tcPr>
            <w:tcW w:w="1082" w:type="pct"/>
            <w:tcBorders>
              <w:top w:val="nil"/>
              <w:left w:val="nil"/>
              <w:bottom w:val="nil"/>
              <w:right w:val="nil"/>
            </w:tcBorders>
            <w:shd w:val="clear" w:color="auto" w:fill="auto"/>
            <w:noWrap/>
            <w:vAlign w:val="center"/>
          </w:tcPr>
          <w:p w14:paraId="7AFD50FD" w14:textId="77777777" w:rsidR="00735ADD" w:rsidRPr="00302CE5" w:rsidRDefault="00735ADD" w:rsidP="003D6288">
            <w:pPr>
              <w:pStyle w:val="TableText"/>
              <w:jc w:val="right"/>
              <w:rPr>
                <w:rFonts w:eastAsia="Times New Roman"/>
              </w:rPr>
            </w:pPr>
            <w:r w:rsidRPr="00302CE5">
              <w:rPr>
                <w:lang w:val="en-GB" w:eastAsia="zh-CN"/>
              </w:rPr>
              <w:t>Yes</w:t>
            </w:r>
          </w:p>
        </w:tc>
      </w:tr>
      <w:tr w:rsidR="00735ADD" w:rsidRPr="00302CE5" w14:paraId="19B1BC7A" w14:textId="77777777" w:rsidTr="00DC68CD">
        <w:trPr>
          <w:trHeight w:val="315"/>
        </w:trPr>
        <w:tc>
          <w:tcPr>
            <w:tcW w:w="1754" w:type="pct"/>
            <w:tcBorders>
              <w:top w:val="nil"/>
              <w:left w:val="nil"/>
              <w:bottom w:val="single" w:sz="4" w:space="0" w:color="auto"/>
              <w:right w:val="nil"/>
            </w:tcBorders>
            <w:shd w:val="clear" w:color="auto" w:fill="auto"/>
            <w:noWrap/>
            <w:vAlign w:val="center"/>
            <w:hideMark/>
          </w:tcPr>
          <w:p w14:paraId="5056FB3F" w14:textId="77777777" w:rsidR="00735ADD" w:rsidRPr="00302CE5" w:rsidRDefault="00735ADD" w:rsidP="003D6288">
            <w:pPr>
              <w:pStyle w:val="TableText"/>
            </w:pPr>
            <w:r>
              <w:t>Firm-fixed effects</w:t>
            </w:r>
          </w:p>
        </w:tc>
        <w:tc>
          <w:tcPr>
            <w:tcW w:w="1082" w:type="pct"/>
            <w:gridSpan w:val="2"/>
            <w:tcBorders>
              <w:top w:val="nil"/>
              <w:left w:val="nil"/>
              <w:bottom w:val="single" w:sz="4" w:space="0" w:color="auto"/>
              <w:right w:val="nil"/>
            </w:tcBorders>
            <w:vAlign w:val="center"/>
          </w:tcPr>
          <w:p w14:paraId="33F185A4" w14:textId="77777777" w:rsidR="00735ADD" w:rsidRPr="00302CE5" w:rsidRDefault="00735ADD" w:rsidP="003D6288">
            <w:pPr>
              <w:pStyle w:val="TableText"/>
              <w:jc w:val="right"/>
              <w:rPr>
                <w:rFonts w:eastAsia="MS Mincho"/>
              </w:rPr>
            </w:pPr>
            <w:r w:rsidRPr="00302CE5">
              <w:rPr>
                <w:lang w:val="en-GB" w:eastAsia="zh-CN"/>
              </w:rPr>
              <w:t>Yes</w:t>
            </w:r>
          </w:p>
        </w:tc>
        <w:tc>
          <w:tcPr>
            <w:tcW w:w="1082" w:type="pct"/>
            <w:gridSpan w:val="2"/>
            <w:tcBorders>
              <w:top w:val="nil"/>
              <w:left w:val="nil"/>
              <w:bottom w:val="single" w:sz="4" w:space="0" w:color="auto"/>
              <w:right w:val="nil"/>
            </w:tcBorders>
            <w:shd w:val="clear" w:color="auto" w:fill="auto"/>
            <w:noWrap/>
            <w:vAlign w:val="center"/>
          </w:tcPr>
          <w:p w14:paraId="53A0B1AE" w14:textId="77777777" w:rsidR="00735ADD" w:rsidRPr="00302CE5" w:rsidRDefault="00735ADD" w:rsidP="003D6288">
            <w:pPr>
              <w:pStyle w:val="TableText"/>
              <w:jc w:val="right"/>
              <w:rPr>
                <w:rFonts w:eastAsia="Times New Roman"/>
              </w:rPr>
            </w:pPr>
            <w:r w:rsidRPr="00302CE5">
              <w:rPr>
                <w:lang w:val="en-GB" w:eastAsia="zh-CN"/>
              </w:rPr>
              <w:t>Yes</w:t>
            </w:r>
          </w:p>
        </w:tc>
        <w:tc>
          <w:tcPr>
            <w:tcW w:w="1082" w:type="pct"/>
            <w:tcBorders>
              <w:top w:val="nil"/>
              <w:left w:val="nil"/>
              <w:bottom w:val="single" w:sz="4" w:space="0" w:color="auto"/>
              <w:right w:val="nil"/>
            </w:tcBorders>
            <w:shd w:val="clear" w:color="auto" w:fill="auto"/>
            <w:noWrap/>
            <w:vAlign w:val="center"/>
          </w:tcPr>
          <w:p w14:paraId="56CD3687" w14:textId="77777777" w:rsidR="00735ADD" w:rsidRPr="00302CE5" w:rsidRDefault="00735ADD" w:rsidP="003D6288">
            <w:pPr>
              <w:pStyle w:val="TableText"/>
              <w:jc w:val="right"/>
              <w:rPr>
                <w:rFonts w:eastAsia="Times New Roman"/>
              </w:rPr>
            </w:pPr>
            <w:r w:rsidRPr="00302CE5">
              <w:rPr>
                <w:lang w:val="en-GB" w:eastAsia="zh-CN"/>
              </w:rPr>
              <w:t>Yes</w:t>
            </w:r>
          </w:p>
        </w:tc>
      </w:tr>
      <w:tr w:rsidR="00735ADD" w:rsidRPr="00323BB0" w14:paraId="373DCC53" w14:textId="77777777" w:rsidTr="00DC68CD">
        <w:trPr>
          <w:trHeight w:val="315"/>
        </w:trPr>
        <w:tc>
          <w:tcPr>
            <w:tcW w:w="5000" w:type="pct"/>
            <w:gridSpan w:val="6"/>
            <w:tcBorders>
              <w:top w:val="single" w:sz="4" w:space="0" w:color="auto"/>
              <w:left w:val="nil"/>
              <w:bottom w:val="nil"/>
              <w:right w:val="nil"/>
            </w:tcBorders>
            <w:shd w:val="clear" w:color="auto" w:fill="auto"/>
            <w:noWrap/>
            <w:vAlign w:val="center"/>
          </w:tcPr>
          <w:p w14:paraId="52984938" w14:textId="04F6809B" w:rsidR="00735ADD" w:rsidRPr="003D6288" w:rsidRDefault="00735ADD" w:rsidP="003D6288">
            <w:pPr>
              <w:pStyle w:val="TableText"/>
              <w:rPr>
                <w:b/>
                <w:bCs/>
                <w:lang w:val="en-GB" w:eastAsia="zh-CN"/>
              </w:rPr>
            </w:pPr>
            <w:r w:rsidRPr="003D6288">
              <w:rPr>
                <w:b/>
                <w:bCs/>
                <w:lang w:val="en-GB" w:eastAsia="zh-CN"/>
              </w:rPr>
              <w:t xml:space="preserve">Panel C: </w:t>
            </w:r>
            <w:r w:rsidR="00263AD2">
              <w:rPr>
                <w:b/>
                <w:bCs/>
                <w:lang w:val="en-GB" w:eastAsia="zh-CN"/>
              </w:rPr>
              <w:t>T</w:t>
            </w:r>
            <w:r w:rsidRPr="003D6288">
              <w:rPr>
                <w:b/>
                <w:bCs/>
                <w:lang w:val="en-GB" w:eastAsia="zh-CN"/>
              </w:rPr>
              <w:t>one of conference call and stock price crash indicator</w:t>
            </w:r>
          </w:p>
        </w:tc>
      </w:tr>
      <w:tr w:rsidR="00735ADD" w:rsidRPr="00050FF7" w14:paraId="214F3417" w14:textId="77777777" w:rsidTr="00DC68CD">
        <w:trPr>
          <w:trHeight w:val="315"/>
        </w:trPr>
        <w:tc>
          <w:tcPr>
            <w:tcW w:w="2502" w:type="pct"/>
            <w:gridSpan w:val="2"/>
            <w:tcBorders>
              <w:top w:val="single" w:sz="4" w:space="0" w:color="auto"/>
              <w:left w:val="nil"/>
              <w:bottom w:val="nil"/>
              <w:right w:val="nil"/>
            </w:tcBorders>
            <w:shd w:val="clear" w:color="auto" w:fill="auto"/>
            <w:noWrap/>
            <w:vAlign w:val="center"/>
            <w:hideMark/>
          </w:tcPr>
          <w:p w14:paraId="58D463F8" w14:textId="77777777" w:rsidR="00735ADD" w:rsidRPr="00050FF7" w:rsidRDefault="00735ADD" w:rsidP="003D6288">
            <w:pPr>
              <w:pStyle w:val="TableText"/>
              <w:rPr>
                <w:lang w:val="en-GB" w:eastAsia="zh-CN"/>
              </w:rPr>
            </w:pPr>
          </w:p>
        </w:tc>
        <w:tc>
          <w:tcPr>
            <w:tcW w:w="1309" w:type="pct"/>
            <w:gridSpan w:val="2"/>
            <w:tcBorders>
              <w:top w:val="single" w:sz="4" w:space="0" w:color="auto"/>
              <w:left w:val="nil"/>
              <w:bottom w:val="nil"/>
              <w:right w:val="nil"/>
            </w:tcBorders>
            <w:shd w:val="clear" w:color="auto" w:fill="auto"/>
            <w:noWrap/>
            <w:vAlign w:val="center"/>
            <w:hideMark/>
          </w:tcPr>
          <w:p w14:paraId="670BF66F" w14:textId="77777777" w:rsidR="00735ADD" w:rsidRPr="00050FF7" w:rsidRDefault="00735ADD" w:rsidP="003D6288">
            <w:pPr>
              <w:pStyle w:val="TableText"/>
              <w:jc w:val="right"/>
              <w:rPr>
                <w:lang w:val="en-GB" w:eastAsia="zh-CN"/>
              </w:rPr>
            </w:pPr>
            <w:r w:rsidRPr="00050FF7">
              <w:rPr>
                <w:lang w:val="en-GB" w:eastAsia="zh-CN"/>
              </w:rPr>
              <w:t>(1)</w:t>
            </w:r>
          </w:p>
        </w:tc>
        <w:tc>
          <w:tcPr>
            <w:tcW w:w="1189" w:type="pct"/>
            <w:gridSpan w:val="2"/>
            <w:tcBorders>
              <w:top w:val="single" w:sz="4" w:space="0" w:color="auto"/>
              <w:left w:val="nil"/>
              <w:bottom w:val="nil"/>
              <w:right w:val="nil"/>
            </w:tcBorders>
            <w:shd w:val="clear" w:color="auto" w:fill="auto"/>
            <w:noWrap/>
            <w:vAlign w:val="center"/>
            <w:hideMark/>
          </w:tcPr>
          <w:p w14:paraId="50F9FC41" w14:textId="77777777" w:rsidR="00735ADD" w:rsidRPr="00050FF7" w:rsidRDefault="00735ADD" w:rsidP="003D6288">
            <w:pPr>
              <w:pStyle w:val="TableText"/>
              <w:jc w:val="right"/>
              <w:rPr>
                <w:lang w:val="en-GB" w:eastAsia="zh-CN"/>
              </w:rPr>
            </w:pPr>
            <w:r w:rsidRPr="00050FF7">
              <w:rPr>
                <w:lang w:val="en-GB" w:eastAsia="zh-CN"/>
              </w:rPr>
              <w:t>(2)</w:t>
            </w:r>
          </w:p>
        </w:tc>
      </w:tr>
      <w:tr w:rsidR="00735ADD" w:rsidRPr="00050FF7" w14:paraId="71319030" w14:textId="77777777" w:rsidTr="00DC68CD">
        <w:trPr>
          <w:trHeight w:val="315"/>
        </w:trPr>
        <w:tc>
          <w:tcPr>
            <w:tcW w:w="2502" w:type="pct"/>
            <w:gridSpan w:val="2"/>
            <w:tcBorders>
              <w:top w:val="nil"/>
              <w:left w:val="nil"/>
              <w:bottom w:val="single" w:sz="4" w:space="0" w:color="auto"/>
              <w:right w:val="nil"/>
            </w:tcBorders>
            <w:shd w:val="clear" w:color="auto" w:fill="auto"/>
            <w:noWrap/>
            <w:vAlign w:val="center"/>
            <w:hideMark/>
          </w:tcPr>
          <w:p w14:paraId="768E0E19" w14:textId="77777777" w:rsidR="00735ADD" w:rsidRPr="00050FF7" w:rsidRDefault="00735ADD" w:rsidP="003D6288">
            <w:pPr>
              <w:pStyle w:val="TableText"/>
              <w:rPr>
                <w:lang w:val="en-GB" w:eastAsia="zh-CN"/>
              </w:rPr>
            </w:pPr>
          </w:p>
        </w:tc>
        <w:tc>
          <w:tcPr>
            <w:tcW w:w="1309" w:type="pct"/>
            <w:gridSpan w:val="2"/>
            <w:tcBorders>
              <w:top w:val="nil"/>
              <w:left w:val="nil"/>
              <w:bottom w:val="single" w:sz="4" w:space="0" w:color="auto"/>
              <w:right w:val="nil"/>
            </w:tcBorders>
            <w:shd w:val="clear" w:color="auto" w:fill="auto"/>
            <w:noWrap/>
            <w:vAlign w:val="center"/>
            <w:hideMark/>
          </w:tcPr>
          <w:p w14:paraId="42BFDAAE" w14:textId="77777777" w:rsidR="00735ADD" w:rsidRPr="00050FF7" w:rsidRDefault="00735ADD" w:rsidP="003D6288">
            <w:pPr>
              <w:pStyle w:val="TableText"/>
              <w:jc w:val="right"/>
              <w:rPr>
                <w:rFonts w:eastAsia="Times New Roman"/>
                <w:color w:val="000000"/>
                <w:lang w:val="en-GB" w:eastAsia="zh-CN"/>
              </w:rPr>
            </w:pPr>
            <m:oMathPara>
              <m:oMath>
                <m:r>
                  <w:rPr>
                    <w:rFonts w:ascii="Cambria Math" w:hAnsi="Cambria Math"/>
                  </w:rPr>
                  <m:t>CRASH</m:t>
                </m:r>
              </m:oMath>
            </m:oMathPara>
          </w:p>
        </w:tc>
        <w:tc>
          <w:tcPr>
            <w:tcW w:w="1189" w:type="pct"/>
            <w:gridSpan w:val="2"/>
            <w:tcBorders>
              <w:top w:val="nil"/>
              <w:left w:val="nil"/>
              <w:bottom w:val="single" w:sz="4" w:space="0" w:color="auto"/>
              <w:right w:val="nil"/>
            </w:tcBorders>
            <w:shd w:val="clear" w:color="auto" w:fill="auto"/>
            <w:noWrap/>
            <w:vAlign w:val="center"/>
            <w:hideMark/>
          </w:tcPr>
          <w:p w14:paraId="553519F4" w14:textId="77777777" w:rsidR="00735ADD" w:rsidRPr="00050FF7" w:rsidRDefault="00735ADD" w:rsidP="003D6288">
            <w:pPr>
              <w:pStyle w:val="TableText"/>
              <w:jc w:val="right"/>
              <w:rPr>
                <w:rFonts w:eastAsia="Times New Roman"/>
                <w:color w:val="000000"/>
                <w:lang w:val="en-GB" w:eastAsia="zh-CN"/>
              </w:rPr>
            </w:pPr>
            <m:oMathPara>
              <m:oMath>
                <m:r>
                  <w:rPr>
                    <w:rFonts w:ascii="Cambria Math" w:hAnsi="Cambria Math"/>
                  </w:rPr>
                  <m:t>CRASH</m:t>
                </m:r>
              </m:oMath>
            </m:oMathPara>
          </w:p>
        </w:tc>
      </w:tr>
      <w:tr w:rsidR="00735ADD" w:rsidRPr="00694571" w14:paraId="5D49E44B" w14:textId="77777777" w:rsidTr="00DC68CD">
        <w:trPr>
          <w:trHeight w:val="315"/>
        </w:trPr>
        <w:tc>
          <w:tcPr>
            <w:tcW w:w="2502" w:type="pct"/>
            <w:gridSpan w:val="2"/>
            <w:tcBorders>
              <w:top w:val="nil"/>
              <w:left w:val="nil"/>
              <w:bottom w:val="nil"/>
              <w:right w:val="nil"/>
            </w:tcBorders>
            <w:shd w:val="clear" w:color="auto" w:fill="auto"/>
            <w:noWrap/>
            <w:vAlign w:val="center"/>
            <w:hideMark/>
          </w:tcPr>
          <w:p w14:paraId="15756685" w14:textId="77777777" w:rsidR="00735ADD" w:rsidRPr="00050FF7" w:rsidRDefault="008D48AD" w:rsidP="003D6288">
            <w:pPr>
              <w:pStyle w:val="TableText"/>
              <w:rPr>
                <w:rFonts w:eastAsia="Times New Roman"/>
                <w:color w:val="000000"/>
                <w:lang w:val="en-GB" w:eastAsia="zh-CN"/>
              </w:rPr>
            </w:pPr>
            <m:oMathPara>
              <m:oMathParaPr>
                <m:jc m:val="left"/>
              </m:oMathParaPr>
              <m:oMath>
                <m:sSub>
                  <m:sSubPr>
                    <m:ctrlPr>
                      <w:rPr>
                        <w:rFonts w:ascii="Cambria Math" w:hAnsi="Cambria Math"/>
                      </w:rPr>
                    </m:ctrlPr>
                  </m:sSubPr>
                  <m:e>
                    <m:r>
                      <w:rPr>
                        <w:rFonts w:ascii="Cambria Math" w:hAnsi="Cambria Math"/>
                      </w:rPr>
                      <m:t>TONE</m:t>
                    </m:r>
                    <m:r>
                      <m:rPr>
                        <m:sty m:val="p"/>
                      </m:rPr>
                      <w:rPr>
                        <w:rFonts w:ascii="Cambria Math" w:hAnsi="Cambria Math"/>
                      </w:rPr>
                      <m:t>_</m:t>
                    </m:r>
                    <m:r>
                      <w:rPr>
                        <w:rFonts w:ascii="Cambria Math" w:hAnsi="Cambria Math"/>
                      </w:rPr>
                      <m:t>C</m:t>
                    </m:r>
                  </m:e>
                  <m:sub>
                    <m:r>
                      <w:rPr>
                        <w:rFonts w:ascii="Cambria Math" w:hAnsi="Cambria Math"/>
                      </w:rPr>
                      <m:t>t</m:t>
                    </m:r>
                    <m:r>
                      <m:rPr>
                        <m:sty m:val="p"/>
                      </m:rPr>
                      <w:rPr>
                        <w:rFonts w:ascii="Cambria Math" w:hAnsi="Cambria Math"/>
                      </w:rPr>
                      <m:t>-1</m:t>
                    </m:r>
                  </m:sub>
                </m:sSub>
              </m:oMath>
            </m:oMathPara>
          </w:p>
        </w:tc>
        <w:tc>
          <w:tcPr>
            <w:tcW w:w="1309" w:type="pct"/>
            <w:gridSpan w:val="2"/>
            <w:tcBorders>
              <w:top w:val="nil"/>
              <w:left w:val="nil"/>
              <w:bottom w:val="nil"/>
              <w:right w:val="nil"/>
            </w:tcBorders>
            <w:shd w:val="clear" w:color="auto" w:fill="auto"/>
            <w:noWrap/>
            <w:vAlign w:val="center"/>
            <w:hideMark/>
          </w:tcPr>
          <w:p w14:paraId="53EAB124" w14:textId="77777777" w:rsidR="00735ADD" w:rsidRPr="00694571" w:rsidRDefault="00735ADD" w:rsidP="003D6288">
            <w:pPr>
              <w:pStyle w:val="TableText"/>
              <w:jc w:val="right"/>
              <w:rPr>
                <w:rFonts w:eastAsia="Times New Roman"/>
                <w:lang w:val="en-GB" w:eastAsia="zh-CN"/>
              </w:rPr>
            </w:pPr>
            <w:r w:rsidRPr="00694571">
              <w:t>-0.</w:t>
            </w:r>
            <w:r>
              <w:t>357</w:t>
            </w:r>
            <w:r w:rsidRPr="00694571">
              <w:t>***</w:t>
            </w:r>
          </w:p>
        </w:tc>
        <w:tc>
          <w:tcPr>
            <w:tcW w:w="1189" w:type="pct"/>
            <w:gridSpan w:val="2"/>
            <w:tcBorders>
              <w:top w:val="nil"/>
              <w:left w:val="nil"/>
              <w:bottom w:val="nil"/>
              <w:right w:val="nil"/>
            </w:tcBorders>
            <w:shd w:val="clear" w:color="auto" w:fill="auto"/>
            <w:noWrap/>
            <w:vAlign w:val="center"/>
            <w:hideMark/>
          </w:tcPr>
          <w:p w14:paraId="6D9A8E16" w14:textId="77777777" w:rsidR="00735ADD" w:rsidRPr="00694571" w:rsidRDefault="00735ADD" w:rsidP="003D6288">
            <w:pPr>
              <w:pStyle w:val="TableText"/>
              <w:jc w:val="right"/>
              <w:rPr>
                <w:lang w:val="en-GB" w:eastAsia="zh-CN"/>
              </w:rPr>
            </w:pPr>
          </w:p>
        </w:tc>
      </w:tr>
      <w:tr w:rsidR="00735ADD" w:rsidRPr="00694571" w14:paraId="4FD1B5DE" w14:textId="77777777" w:rsidTr="00DC68CD">
        <w:trPr>
          <w:trHeight w:val="315"/>
        </w:trPr>
        <w:tc>
          <w:tcPr>
            <w:tcW w:w="2502" w:type="pct"/>
            <w:gridSpan w:val="2"/>
            <w:tcBorders>
              <w:top w:val="nil"/>
              <w:left w:val="nil"/>
              <w:bottom w:val="nil"/>
              <w:right w:val="nil"/>
            </w:tcBorders>
            <w:shd w:val="clear" w:color="auto" w:fill="auto"/>
            <w:noWrap/>
            <w:vAlign w:val="center"/>
            <w:hideMark/>
          </w:tcPr>
          <w:p w14:paraId="76C7E649" w14:textId="77777777" w:rsidR="00735ADD" w:rsidRPr="00050FF7" w:rsidRDefault="00735ADD" w:rsidP="003D6288">
            <w:pPr>
              <w:pStyle w:val="TableText"/>
              <w:rPr>
                <w:lang w:val="en-GB" w:eastAsia="zh-CN"/>
              </w:rPr>
            </w:pPr>
          </w:p>
        </w:tc>
        <w:tc>
          <w:tcPr>
            <w:tcW w:w="1309" w:type="pct"/>
            <w:gridSpan w:val="2"/>
            <w:tcBorders>
              <w:top w:val="nil"/>
              <w:left w:val="nil"/>
              <w:bottom w:val="nil"/>
              <w:right w:val="nil"/>
            </w:tcBorders>
            <w:shd w:val="clear" w:color="auto" w:fill="auto"/>
            <w:noWrap/>
            <w:vAlign w:val="center"/>
            <w:hideMark/>
          </w:tcPr>
          <w:p w14:paraId="6DDA84F0" w14:textId="77777777" w:rsidR="00735ADD" w:rsidRPr="00694571" w:rsidRDefault="00735ADD" w:rsidP="003D6288">
            <w:pPr>
              <w:pStyle w:val="TableText"/>
              <w:jc w:val="right"/>
              <w:rPr>
                <w:rFonts w:eastAsia="Times New Roman"/>
                <w:lang w:val="en-GB" w:eastAsia="zh-CN"/>
              </w:rPr>
            </w:pPr>
            <w:r w:rsidRPr="00694571">
              <w:t>(-</w:t>
            </w:r>
            <w:r>
              <w:t>3.37</w:t>
            </w:r>
            <w:r w:rsidRPr="00694571">
              <w:t>)</w:t>
            </w:r>
          </w:p>
        </w:tc>
        <w:tc>
          <w:tcPr>
            <w:tcW w:w="1189" w:type="pct"/>
            <w:gridSpan w:val="2"/>
            <w:tcBorders>
              <w:top w:val="nil"/>
              <w:left w:val="nil"/>
              <w:bottom w:val="nil"/>
              <w:right w:val="nil"/>
            </w:tcBorders>
            <w:shd w:val="clear" w:color="auto" w:fill="auto"/>
            <w:noWrap/>
            <w:vAlign w:val="center"/>
            <w:hideMark/>
          </w:tcPr>
          <w:p w14:paraId="732AE64B" w14:textId="77777777" w:rsidR="00735ADD" w:rsidRPr="00694571" w:rsidRDefault="00735ADD" w:rsidP="003D6288">
            <w:pPr>
              <w:pStyle w:val="TableText"/>
              <w:jc w:val="right"/>
              <w:rPr>
                <w:lang w:val="en-GB" w:eastAsia="zh-CN"/>
              </w:rPr>
            </w:pPr>
          </w:p>
        </w:tc>
      </w:tr>
      <w:tr w:rsidR="00735ADD" w:rsidRPr="00694571" w14:paraId="31B0B285" w14:textId="77777777" w:rsidTr="00DC68CD">
        <w:trPr>
          <w:trHeight w:val="315"/>
        </w:trPr>
        <w:tc>
          <w:tcPr>
            <w:tcW w:w="2502" w:type="pct"/>
            <w:gridSpan w:val="2"/>
            <w:tcBorders>
              <w:top w:val="nil"/>
              <w:left w:val="nil"/>
              <w:bottom w:val="nil"/>
              <w:right w:val="nil"/>
            </w:tcBorders>
            <w:shd w:val="clear" w:color="auto" w:fill="auto"/>
            <w:noWrap/>
            <w:vAlign w:val="center"/>
            <w:hideMark/>
          </w:tcPr>
          <w:p w14:paraId="3B3AF1C5" w14:textId="77777777" w:rsidR="00735ADD" w:rsidRPr="00050FF7" w:rsidRDefault="008D48AD" w:rsidP="003D6288">
            <w:pPr>
              <w:pStyle w:val="TableText"/>
              <w:rPr>
                <w:rFonts w:eastAsia="Times New Roman"/>
                <w:color w:val="000000"/>
                <w:lang w:val="en-GB" w:eastAsia="zh-CN"/>
              </w:rPr>
            </w:pPr>
            <m:oMathPara>
              <m:oMathParaPr>
                <m:jc m:val="left"/>
              </m:oMathParaPr>
              <m:oMath>
                <m:sSub>
                  <m:sSubPr>
                    <m:ctrlPr>
                      <w:rPr>
                        <w:rFonts w:ascii="Cambria Math" w:hAnsi="Cambria Math"/>
                      </w:rPr>
                    </m:ctrlPr>
                  </m:sSubPr>
                  <m:e>
                    <m:r>
                      <w:rPr>
                        <w:rFonts w:ascii="Cambria Math" w:hAnsi="Cambria Math"/>
                      </w:rPr>
                      <m:t>RE</m:t>
                    </m:r>
                    <m:r>
                      <m:rPr>
                        <m:sty m:val="p"/>
                      </m:rPr>
                      <w:rPr>
                        <w:rFonts w:ascii="Cambria Math" w:hAnsi="Cambria Math"/>
                      </w:rPr>
                      <m:t>_</m:t>
                    </m:r>
                    <m:r>
                      <w:rPr>
                        <w:rFonts w:ascii="Cambria Math" w:hAnsi="Cambria Math"/>
                      </w:rPr>
                      <m:t>TONE</m:t>
                    </m:r>
                    <m:r>
                      <m:rPr>
                        <m:sty m:val="p"/>
                      </m:rPr>
                      <w:rPr>
                        <w:rFonts w:ascii="Cambria Math" w:hAnsi="Cambria Math"/>
                      </w:rPr>
                      <m:t>_</m:t>
                    </m:r>
                    <m:r>
                      <w:rPr>
                        <w:rFonts w:ascii="Cambria Math" w:hAnsi="Cambria Math"/>
                      </w:rPr>
                      <m:t>C</m:t>
                    </m:r>
                  </m:e>
                  <m:sub>
                    <m:r>
                      <w:rPr>
                        <w:rFonts w:ascii="Cambria Math" w:hAnsi="Cambria Math"/>
                      </w:rPr>
                      <m:t>t</m:t>
                    </m:r>
                    <m:r>
                      <m:rPr>
                        <m:sty m:val="p"/>
                      </m:rPr>
                      <w:rPr>
                        <w:rFonts w:ascii="Cambria Math" w:hAnsi="Cambria Math"/>
                      </w:rPr>
                      <m:t>-1</m:t>
                    </m:r>
                  </m:sub>
                </m:sSub>
              </m:oMath>
            </m:oMathPara>
          </w:p>
        </w:tc>
        <w:tc>
          <w:tcPr>
            <w:tcW w:w="1309" w:type="pct"/>
            <w:gridSpan w:val="2"/>
            <w:tcBorders>
              <w:top w:val="nil"/>
              <w:left w:val="nil"/>
              <w:bottom w:val="nil"/>
              <w:right w:val="nil"/>
            </w:tcBorders>
            <w:shd w:val="clear" w:color="auto" w:fill="auto"/>
            <w:noWrap/>
            <w:vAlign w:val="center"/>
            <w:hideMark/>
          </w:tcPr>
          <w:p w14:paraId="5F59F086" w14:textId="77777777" w:rsidR="00735ADD" w:rsidRPr="00694571" w:rsidRDefault="00735ADD" w:rsidP="003D6288">
            <w:pPr>
              <w:pStyle w:val="TableText"/>
              <w:jc w:val="right"/>
              <w:rPr>
                <w:lang w:val="en-GB" w:eastAsia="zh-CN"/>
              </w:rPr>
            </w:pPr>
          </w:p>
        </w:tc>
        <w:tc>
          <w:tcPr>
            <w:tcW w:w="1189" w:type="pct"/>
            <w:gridSpan w:val="2"/>
            <w:tcBorders>
              <w:top w:val="nil"/>
              <w:left w:val="nil"/>
              <w:bottom w:val="nil"/>
              <w:right w:val="nil"/>
            </w:tcBorders>
            <w:shd w:val="clear" w:color="auto" w:fill="auto"/>
            <w:noWrap/>
            <w:vAlign w:val="center"/>
            <w:hideMark/>
          </w:tcPr>
          <w:p w14:paraId="186D3C58" w14:textId="77777777" w:rsidR="00735ADD" w:rsidRPr="00694571" w:rsidRDefault="00735ADD" w:rsidP="003D6288">
            <w:pPr>
              <w:pStyle w:val="TableText"/>
              <w:jc w:val="right"/>
              <w:rPr>
                <w:rFonts w:eastAsia="Times New Roman"/>
                <w:lang w:val="en-GB" w:eastAsia="zh-CN"/>
              </w:rPr>
            </w:pPr>
            <w:r w:rsidRPr="00694571">
              <w:t>-0.</w:t>
            </w:r>
            <w:r>
              <w:t>307</w:t>
            </w:r>
            <w:r w:rsidRPr="00694571">
              <w:t>***</w:t>
            </w:r>
          </w:p>
        </w:tc>
      </w:tr>
      <w:tr w:rsidR="00735ADD" w:rsidRPr="00694571" w14:paraId="2F2CE6E6" w14:textId="77777777" w:rsidTr="00DC68CD">
        <w:trPr>
          <w:trHeight w:val="315"/>
        </w:trPr>
        <w:tc>
          <w:tcPr>
            <w:tcW w:w="2502" w:type="pct"/>
            <w:gridSpan w:val="2"/>
            <w:tcBorders>
              <w:top w:val="nil"/>
              <w:left w:val="nil"/>
              <w:bottom w:val="nil"/>
              <w:right w:val="nil"/>
            </w:tcBorders>
            <w:shd w:val="clear" w:color="auto" w:fill="auto"/>
            <w:noWrap/>
            <w:vAlign w:val="center"/>
            <w:hideMark/>
          </w:tcPr>
          <w:p w14:paraId="62BD54C8" w14:textId="77777777" w:rsidR="00735ADD" w:rsidRPr="00050FF7" w:rsidRDefault="00735ADD" w:rsidP="003D6288">
            <w:pPr>
              <w:pStyle w:val="TableText"/>
              <w:rPr>
                <w:lang w:val="en-GB" w:eastAsia="zh-CN"/>
              </w:rPr>
            </w:pPr>
          </w:p>
        </w:tc>
        <w:tc>
          <w:tcPr>
            <w:tcW w:w="1309" w:type="pct"/>
            <w:gridSpan w:val="2"/>
            <w:tcBorders>
              <w:top w:val="nil"/>
              <w:left w:val="nil"/>
              <w:bottom w:val="nil"/>
              <w:right w:val="nil"/>
            </w:tcBorders>
            <w:shd w:val="clear" w:color="auto" w:fill="auto"/>
            <w:noWrap/>
            <w:vAlign w:val="center"/>
            <w:hideMark/>
          </w:tcPr>
          <w:p w14:paraId="146A6CE7" w14:textId="77777777" w:rsidR="00735ADD" w:rsidRPr="00694571" w:rsidRDefault="00735ADD" w:rsidP="003D6288">
            <w:pPr>
              <w:pStyle w:val="TableText"/>
              <w:jc w:val="right"/>
              <w:rPr>
                <w:lang w:val="en-GB" w:eastAsia="zh-CN"/>
              </w:rPr>
            </w:pPr>
          </w:p>
        </w:tc>
        <w:tc>
          <w:tcPr>
            <w:tcW w:w="1189" w:type="pct"/>
            <w:gridSpan w:val="2"/>
            <w:tcBorders>
              <w:top w:val="nil"/>
              <w:left w:val="nil"/>
              <w:bottom w:val="nil"/>
              <w:right w:val="nil"/>
            </w:tcBorders>
            <w:shd w:val="clear" w:color="auto" w:fill="auto"/>
            <w:noWrap/>
            <w:vAlign w:val="center"/>
            <w:hideMark/>
          </w:tcPr>
          <w:p w14:paraId="51E09124" w14:textId="77777777" w:rsidR="00735ADD" w:rsidRPr="00694571" w:rsidRDefault="00735ADD" w:rsidP="003D6288">
            <w:pPr>
              <w:pStyle w:val="TableText"/>
              <w:jc w:val="right"/>
              <w:rPr>
                <w:rFonts w:eastAsia="Times New Roman"/>
                <w:lang w:val="en-GB" w:eastAsia="zh-CN"/>
              </w:rPr>
            </w:pPr>
            <w:r w:rsidRPr="00694571">
              <w:t>(-</w:t>
            </w:r>
            <w:r>
              <w:t>2.70</w:t>
            </w:r>
            <w:r w:rsidRPr="00694571">
              <w:t>)</w:t>
            </w:r>
          </w:p>
        </w:tc>
      </w:tr>
      <w:tr w:rsidR="00735ADD" w:rsidRPr="00694571" w14:paraId="75B418D4" w14:textId="77777777" w:rsidTr="00DC68CD">
        <w:trPr>
          <w:trHeight w:val="315"/>
        </w:trPr>
        <w:tc>
          <w:tcPr>
            <w:tcW w:w="2502" w:type="pct"/>
            <w:gridSpan w:val="2"/>
            <w:tcBorders>
              <w:top w:val="nil"/>
              <w:left w:val="nil"/>
              <w:bottom w:val="nil"/>
              <w:right w:val="nil"/>
            </w:tcBorders>
            <w:shd w:val="clear" w:color="auto" w:fill="auto"/>
            <w:noWrap/>
            <w:vAlign w:val="center"/>
          </w:tcPr>
          <w:p w14:paraId="68A2D0B5" w14:textId="77777777" w:rsidR="00735ADD" w:rsidRPr="00050FF7" w:rsidRDefault="00735ADD" w:rsidP="003D6288">
            <w:pPr>
              <w:pStyle w:val="TableText"/>
              <w:rPr>
                <w:lang w:val="en-GB" w:eastAsia="zh-CN"/>
              </w:rPr>
            </w:pPr>
            <w:r>
              <w:rPr>
                <w:lang w:val="en-GB" w:eastAsia="zh-CN"/>
              </w:rPr>
              <w:t>Controls</w:t>
            </w:r>
          </w:p>
        </w:tc>
        <w:tc>
          <w:tcPr>
            <w:tcW w:w="1309" w:type="pct"/>
            <w:gridSpan w:val="2"/>
            <w:tcBorders>
              <w:top w:val="nil"/>
              <w:left w:val="nil"/>
              <w:bottom w:val="nil"/>
              <w:right w:val="nil"/>
            </w:tcBorders>
            <w:shd w:val="clear" w:color="auto" w:fill="auto"/>
            <w:noWrap/>
            <w:vAlign w:val="center"/>
          </w:tcPr>
          <w:p w14:paraId="492D90B6" w14:textId="77777777" w:rsidR="00735ADD" w:rsidRPr="00694571" w:rsidRDefault="00735ADD" w:rsidP="003D6288">
            <w:pPr>
              <w:pStyle w:val="TableText"/>
              <w:jc w:val="right"/>
              <w:rPr>
                <w:lang w:val="en-GB" w:eastAsia="zh-CN"/>
              </w:rPr>
            </w:pPr>
            <w:r>
              <w:rPr>
                <w:lang w:val="en-GB" w:eastAsia="zh-CN"/>
              </w:rPr>
              <w:t>Yes</w:t>
            </w:r>
          </w:p>
        </w:tc>
        <w:tc>
          <w:tcPr>
            <w:tcW w:w="1189" w:type="pct"/>
            <w:gridSpan w:val="2"/>
            <w:tcBorders>
              <w:top w:val="nil"/>
              <w:left w:val="nil"/>
              <w:bottom w:val="nil"/>
              <w:right w:val="nil"/>
            </w:tcBorders>
            <w:shd w:val="clear" w:color="auto" w:fill="auto"/>
            <w:noWrap/>
            <w:vAlign w:val="center"/>
          </w:tcPr>
          <w:p w14:paraId="7415719A" w14:textId="77777777" w:rsidR="00735ADD" w:rsidRPr="00694571" w:rsidRDefault="00735ADD" w:rsidP="003D6288">
            <w:pPr>
              <w:pStyle w:val="TableText"/>
              <w:jc w:val="right"/>
            </w:pPr>
            <w:r>
              <w:t>Yes</w:t>
            </w:r>
          </w:p>
        </w:tc>
      </w:tr>
      <w:tr w:rsidR="00735ADD" w:rsidRPr="00694571" w14:paraId="0802B0A8" w14:textId="77777777" w:rsidTr="00DC68CD">
        <w:trPr>
          <w:trHeight w:val="315"/>
        </w:trPr>
        <w:tc>
          <w:tcPr>
            <w:tcW w:w="2502" w:type="pct"/>
            <w:gridSpan w:val="2"/>
            <w:tcBorders>
              <w:top w:val="nil"/>
              <w:left w:val="nil"/>
              <w:bottom w:val="nil"/>
              <w:right w:val="nil"/>
            </w:tcBorders>
            <w:shd w:val="clear" w:color="auto" w:fill="auto"/>
            <w:noWrap/>
            <w:vAlign w:val="center"/>
          </w:tcPr>
          <w:p w14:paraId="19296ED6" w14:textId="77777777" w:rsidR="00735ADD" w:rsidRPr="00050FF7" w:rsidRDefault="00735ADD" w:rsidP="003D6288">
            <w:pPr>
              <w:pStyle w:val="TableText"/>
              <w:rPr>
                <w:lang w:val="en-GB" w:eastAsia="zh-CN"/>
              </w:rPr>
            </w:pPr>
            <w:r>
              <w:rPr>
                <w:lang w:val="en-GB" w:eastAsia="zh-CN"/>
              </w:rPr>
              <w:t>Observations</w:t>
            </w:r>
          </w:p>
        </w:tc>
        <w:tc>
          <w:tcPr>
            <w:tcW w:w="1309" w:type="pct"/>
            <w:gridSpan w:val="2"/>
            <w:tcBorders>
              <w:top w:val="nil"/>
              <w:left w:val="nil"/>
              <w:bottom w:val="nil"/>
              <w:right w:val="nil"/>
            </w:tcBorders>
            <w:shd w:val="clear" w:color="auto" w:fill="auto"/>
            <w:noWrap/>
            <w:vAlign w:val="center"/>
          </w:tcPr>
          <w:p w14:paraId="658DB7EB" w14:textId="77777777" w:rsidR="00735ADD" w:rsidRPr="00694571" w:rsidRDefault="00735ADD" w:rsidP="003D6288">
            <w:pPr>
              <w:pStyle w:val="TableText"/>
              <w:jc w:val="right"/>
              <w:rPr>
                <w:lang w:val="en-GB" w:eastAsia="zh-CN"/>
              </w:rPr>
            </w:pPr>
            <w:r>
              <w:rPr>
                <w:lang w:val="en-GB" w:eastAsia="zh-CN"/>
              </w:rPr>
              <w:t>4703</w:t>
            </w:r>
          </w:p>
        </w:tc>
        <w:tc>
          <w:tcPr>
            <w:tcW w:w="1189" w:type="pct"/>
            <w:gridSpan w:val="2"/>
            <w:tcBorders>
              <w:top w:val="nil"/>
              <w:left w:val="nil"/>
              <w:bottom w:val="nil"/>
              <w:right w:val="nil"/>
            </w:tcBorders>
            <w:shd w:val="clear" w:color="auto" w:fill="auto"/>
            <w:noWrap/>
            <w:vAlign w:val="center"/>
          </w:tcPr>
          <w:p w14:paraId="08D5AAB6" w14:textId="77777777" w:rsidR="00735ADD" w:rsidRPr="00694571" w:rsidRDefault="00735ADD" w:rsidP="003D6288">
            <w:pPr>
              <w:pStyle w:val="TableText"/>
              <w:jc w:val="right"/>
            </w:pPr>
            <w:r>
              <w:t>4311</w:t>
            </w:r>
          </w:p>
        </w:tc>
      </w:tr>
      <w:tr w:rsidR="00735ADD" w:rsidRPr="00694571" w14:paraId="7B4EC9EA" w14:textId="77777777" w:rsidTr="00DC68CD">
        <w:trPr>
          <w:trHeight w:val="315"/>
        </w:trPr>
        <w:tc>
          <w:tcPr>
            <w:tcW w:w="2502" w:type="pct"/>
            <w:gridSpan w:val="2"/>
            <w:tcBorders>
              <w:top w:val="nil"/>
              <w:left w:val="nil"/>
              <w:bottom w:val="nil"/>
              <w:right w:val="nil"/>
            </w:tcBorders>
            <w:shd w:val="clear" w:color="auto" w:fill="auto"/>
            <w:noWrap/>
            <w:vAlign w:val="center"/>
          </w:tcPr>
          <w:p w14:paraId="6A3FDAC5" w14:textId="77777777" w:rsidR="00735ADD" w:rsidRPr="00050FF7" w:rsidRDefault="00735ADD" w:rsidP="003D6288">
            <w:pPr>
              <w:pStyle w:val="TableText"/>
              <w:rPr>
                <w:lang w:val="en-GB" w:eastAsia="zh-CN"/>
              </w:rPr>
            </w:pPr>
            <w:r>
              <w:rPr>
                <w:lang w:val="en-GB" w:eastAsia="zh-CN"/>
              </w:rPr>
              <w:t xml:space="preserve">Pseudo </w:t>
            </w:r>
            <m:oMath>
              <m:sSup>
                <m:sSupPr>
                  <m:ctrlPr>
                    <w:rPr>
                      <w:rFonts w:ascii="Cambria Math" w:hAnsi="Cambria Math"/>
                      <w:i/>
                    </w:rPr>
                  </m:ctrlPr>
                </m:sSupPr>
                <m:e>
                  <m:r>
                    <w:rPr>
                      <w:rFonts w:ascii="Cambria Math" w:hAnsi="Cambria Math"/>
                    </w:rPr>
                    <m:t>R</m:t>
                  </m:r>
                </m:e>
                <m:sup>
                  <m:r>
                    <w:rPr>
                      <w:rFonts w:ascii="Cambria Math" w:hAnsi="Cambria Math"/>
                    </w:rPr>
                    <m:t>2</m:t>
                  </m:r>
                </m:sup>
              </m:sSup>
            </m:oMath>
          </w:p>
        </w:tc>
        <w:tc>
          <w:tcPr>
            <w:tcW w:w="1309" w:type="pct"/>
            <w:gridSpan w:val="2"/>
            <w:tcBorders>
              <w:top w:val="nil"/>
              <w:left w:val="nil"/>
              <w:bottom w:val="nil"/>
              <w:right w:val="nil"/>
            </w:tcBorders>
            <w:shd w:val="clear" w:color="auto" w:fill="auto"/>
            <w:noWrap/>
            <w:vAlign w:val="center"/>
          </w:tcPr>
          <w:p w14:paraId="2EB8AB2F" w14:textId="77777777" w:rsidR="00735ADD" w:rsidRPr="00694571" w:rsidRDefault="00735ADD" w:rsidP="003D6288">
            <w:pPr>
              <w:pStyle w:val="TableText"/>
              <w:jc w:val="right"/>
              <w:rPr>
                <w:lang w:val="en-GB" w:eastAsia="zh-CN"/>
              </w:rPr>
            </w:pPr>
            <w:r>
              <w:rPr>
                <w:lang w:val="en-GB" w:eastAsia="zh-CN"/>
              </w:rPr>
              <w:t>0.09</w:t>
            </w:r>
          </w:p>
        </w:tc>
        <w:tc>
          <w:tcPr>
            <w:tcW w:w="1189" w:type="pct"/>
            <w:gridSpan w:val="2"/>
            <w:tcBorders>
              <w:top w:val="nil"/>
              <w:left w:val="nil"/>
              <w:bottom w:val="nil"/>
              <w:right w:val="nil"/>
            </w:tcBorders>
            <w:shd w:val="clear" w:color="auto" w:fill="auto"/>
            <w:noWrap/>
            <w:vAlign w:val="center"/>
          </w:tcPr>
          <w:p w14:paraId="7D8BE7F6" w14:textId="77777777" w:rsidR="00735ADD" w:rsidRPr="00694571" w:rsidRDefault="00735ADD" w:rsidP="003D6288">
            <w:pPr>
              <w:pStyle w:val="TableText"/>
              <w:jc w:val="right"/>
            </w:pPr>
            <w:r>
              <w:t>0.09</w:t>
            </w:r>
          </w:p>
        </w:tc>
      </w:tr>
      <w:tr w:rsidR="00735ADD" w:rsidRPr="00694571" w14:paraId="727AAAA0" w14:textId="77777777" w:rsidTr="00DC68CD">
        <w:trPr>
          <w:trHeight w:val="315"/>
        </w:trPr>
        <w:tc>
          <w:tcPr>
            <w:tcW w:w="2502" w:type="pct"/>
            <w:gridSpan w:val="2"/>
            <w:tcBorders>
              <w:top w:val="nil"/>
              <w:left w:val="nil"/>
              <w:right w:val="nil"/>
            </w:tcBorders>
            <w:shd w:val="clear" w:color="auto" w:fill="auto"/>
            <w:noWrap/>
            <w:vAlign w:val="center"/>
          </w:tcPr>
          <w:p w14:paraId="18A51876" w14:textId="77777777" w:rsidR="00735ADD" w:rsidRPr="00050FF7" w:rsidRDefault="00735ADD" w:rsidP="003D6288">
            <w:pPr>
              <w:pStyle w:val="TableText"/>
              <w:rPr>
                <w:lang w:val="en-GB" w:eastAsia="zh-CN"/>
              </w:rPr>
            </w:pPr>
            <w:r>
              <w:rPr>
                <w:lang w:val="en-GB" w:eastAsia="zh-CN"/>
              </w:rPr>
              <w:t>Year-fixed effects</w:t>
            </w:r>
          </w:p>
        </w:tc>
        <w:tc>
          <w:tcPr>
            <w:tcW w:w="1309" w:type="pct"/>
            <w:gridSpan w:val="2"/>
            <w:tcBorders>
              <w:top w:val="nil"/>
              <w:left w:val="nil"/>
              <w:right w:val="nil"/>
            </w:tcBorders>
            <w:shd w:val="clear" w:color="auto" w:fill="auto"/>
            <w:noWrap/>
            <w:vAlign w:val="center"/>
          </w:tcPr>
          <w:p w14:paraId="10A8237D" w14:textId="77777777" w:rsidR="00735ADD" w:rsidRPr="00694571" w:rsidRDefault="00735ADD" w:rsidP="003D6288">
            <w:pPr>
              <w:pStyle w:val="TableText"/>
              <w:jc w:val="right"/>
              <w:rPr>
                <w:lang w:val="en-GB" w:eastAsia="zh-CN"/>
              </w:rPr>
            </w:pPr>
            <w:r>
              <w:rPr>
                <w:lang w:val="en-GB" w:eastAsia="zh-CN"/>
              </w:rPr>
              <w:t>Yes</w:t>
            </w:r>
          </w:p>
        </w:tc>
        <w:tc>
          <w:tcPr>
            <w:tcW w:w="1189" w:type="pct"/>
            <w:gridSpan w:val="2"/>
            <w:tcBorders>
              <w:top w:val="nil"/>
              <w:left w:val="nil"/>
              <w:right w:val="nil"/>
            </w:tcBorders>
            <w:shd w:val="clear" w:color="auto" w:fill="auto"/>
            <w:noWrap/>
            <w:vAlign w:val="center"/>
          </w:tcPr>
          <w:p w14:paraId="1D6623DE" w14:textId="77777777" w:rsidR="00735ADD" w:rsidRPr="00694571" w:rsidRDefault="00735ADD" w:rsidP="003D6288">
            <w:pPr>
              <w:pStyle w:val="TableText"/>
              <w:jc w:val="right"/>
            </w:pPr>
            <w:r>
              <w:t>Yes</w:t>
            </w:r>
          </w:p>
        </w:tc>
      </w:tr>
      <w:tr w:rsidR="00735ADD" w:rsidRPr="00694571" w14:paraId="35CD8177" w14:textId="77777777" w:rsidTr="00DC68CD">
        <w:trPr>
          <w:trHeight w:val="315"/>
        </w:trPr>
        <w:tc>
          <w:tcPr>
            <w:tcW w:w="2502" w:type="pct"/>
            <w:gridSpan w:val="2"/>
            <w:tcBorders>
              <w:left w:val="nil"/>
              <w:bottom w:val="single" w:sz="4" w:space="0" w:color="auto"/>
              <w:right w:val="nil"/>
            </w:tcBorders>
            <w:shd w:val="clear" w:color="auto" w:fill="auto"/>
            <w:noWrap/>
            <w:vAlign w:val="center"/>
          </w:tcPr>
          <w:p w14:paraId="66F0B80E" w14:textId="77777777" w:rsidR="00735ADD" w:rsidRPr="00050FF7" w:rsidRDefault="00735ADD" w:rsidP="003D6288">
            <w:pPr>
              <w:pStyle w:val="TableText"/>
              <w:rPr>
                <w:lang w:val="en-GB" w:eastAsia="zh-CN"/>
              </w:rPr>
            </w:pPr>
            <w:r>
              <w:rPr>
                <w:lang w:val="en-GB" w:eastAsia="zh-CN"/>
              </w:rPr>
              <w:t>Firm-fixed effects</w:t>
            </w:r>
          </w:p>
        </w:tc>
        <w:tc>
          <w:tcPr>
            <w:tcW w:w="1309" w:type="pct"/>
            <w:gridSpan w:val="2"/>
            <w:tcBorders>
              <w:left w:val="nil"/>
              <w:bottom w:val="single" w:sz="4" w:space="0" w:color="auto"/>
              <w:right w:val="nil"/>
            </w:tcBorders>
            <w:shd w:val="clear" w:color="auto" w:fill="auto"/>
            <w:noWrap/>
            <w:vAlign w:val="center"/>
          </w:tcPr>
          <w:p w14:paraId="3BD1DBB6" w14:textId="77777777" w:rsidR="00735ADD" w:rsidRPr="00694571" w:rsidRDefault="00735ADD" w:rsidP="003D6288">
            <w:pPr>
              <w:pStyle w:val="TableText"/>
              <w:jc w:val="right"/>
              <w:rPr>
                <w:lang w:val="en-GB" w:eastAsia="zh-CN"/>
              </w:rPr>
            </w:pPr>
            <w:r>
              <w:rPr>
                <w:lang w:val="en-GB" w:eastAsia="zh-CN"/>
              </w:rPr>
              <w:t>Yes</w:t>
            </w:r>
          </w:p>
        </w:tc>
        <w:tc>
          <w:tcPr>
            <w:tcW w:w="1189" w:type="pct"/>
            <w:gridSpan w:val="2"/>
            <w:tcBorders>
              <w:left w:val="nil"/>
              <w:bottom w:val="single" w:sz="4" w:space="0" w:color="auto"/>
              <w:right w:val="nil"/>
            </w:tcBorders>
            <w:shd w:val="clear" w:color="auto" w:fill="auto"/>
            <w:noWrap/>
            <w:vAlign w:val="center"/>
          </w:tcPr>
          <w:p w14:paraId="7CE69ACC" w14:textId="77777777" w:rsidR="00735ADD" w:rsidRPr="00694571" w:rsidRDefault="00735ADD" w:rsidP="003D6288">
            <w:pPr>
              <w:pStyle w:val="TableText"/>
              <w:jc w:val="right"/>
            </w:pPr>
            <w:r>
              <w:t>Yes</w:t>
            </w:r>
          </w:p>
        </w:tc>
      </w:tr>
    </w:tbl>
    <w:p w14:paraId="27EC87BA" w14:textId="77777777" w:rsidR="00735ADD" w:rsidRDefault="00735ADD">
      <w:r>
        <w:br w:type="page"/>
      </w:r>
    </w:p>
    <w:p w14:paraId="381FA7B6" w14:textId="77777777" w:rsidR="00735ADD" w:rsidRPr="00302CE5" w:rsidRDefault="00735ADD">
      <w:pPr>
        <w:sectPr w:rsidR="00735ADD" w:rsidRPr="00302CE5" w:rsidSect="00661127">
          <w:pgSz w:w="11906" w:h="16838"/>
          <w:pgMar w:top="1440" w:right="1440" w:bottom="1440" w:left="1440" w:header="708" w:footer="708" w:gutter="0"/>
          <w:cols w:space="708"/>
          <w:docGrid w:linePitch="360"/>
        </w:sectPr>
      </w:pPr>
    </w:p>
    <w:p w14:paraId="3171D359" w14:textId="614C1648" w:rsidR="00735ADD" w:rsidRPr="00302CE5" w:rsidRDefault="00735ADD" w:rsidP="0001454F">
      <w:pPr>
        <w:pStyle w:val="TableCaption"/>
        <w:rPr>
          <w:b/>
        </w:rPr>
      </w:pPr>
      <w:r>
        <w:rPr>
          <w:b/>
        </w:rPr>
        <w:lastRenderedPageBreak/>
        <w:t xml:space="preserve">Table 6  </w:t>
      </w:r>
      <w:r>
        <w:t>Analyses</w:t>
      </w:r>
      <w:r w:rsidRPr="00F37C2B">
        <w:t xml:space="preserve"> </w:t>
      </w:r>
      <w:r w:rsidR="00263AD2">
        <w:t>for</w:t>
      </w:r>
      <w:r w:rsidR="00263AD2" w:rsidRPr="00F37C2B">
        <w:t xml:space="preserve"> </w:t>
      </w:r>
      <w:r>
        <w:t>d</w:t>
      </w:r>
      <w:r w:rsidRPr="00F37C2B">
        <w:t xml:space="preserve">ifferent </w:t>
      </w:r>
      <w:r>
        <w:t>c</w:t>
      </w:r>
      <w:r w:rsidRPr="00F37C2B">
        <w:t xml:space="preserve">all </w:t>
      </w:r>
      <w:r>
        <w:t>s</w:t>
      </w:r>
      <w:r w:rsidRPr="00F37C2B">
        <w:t xml:space="preserve">ections and </w:t>
      </w:r>
      <w:r>
        <w:t>p</w:t>
      </w:r>
      <w:r w:rsidRPr="00F37C2B">
        <w:t>articipants</w:t>
      </w:r>
    </w:p>
    <w:p w14:paraId="1F9D1BFE" w14:textId="791BB159" w:rsidR="00735ADD" w:rsidRPr="00302CE5" w:rsidRDefault="00735ADD" w:rsidP="0001454F">
      <w:pPr>
        <w:pStyle w:val="TableNotes"/>
      </w:pPr>
      <w:r>
        <w:t xml:space="preserve">Panel A presents regression results for the predictive power of tone </w:t>
      </w:r>
      <w:r w:rsidR="00263AD2">
        <w:t>in the pre</w:t>
      </w:r>
      <w:r w:rsidR="00EB22D5">
        <w:t xml:space="preserve">sentation </w:t>
      </w:r>
      <w:r w:rsidR="00263AD2">
        <w:t xml:space="preserve">section </w:t>
      </w:r>
      <w:r>
        <w:t>(</w:t>
      </w:r>
      <m:oMath>
        <m:r>
          <w:rPr>
            <w:rFonts w:ascii="Cambria Math" w:hAnsi="Cambria Math"/>
          </w:rPr>
          <m:t>TONE_P</m:t>
        </m:r>
      </m:oMath>
      <w:r w:rsidR="00263AD2">
        <w:t>)</w:t>
      </w:r>
      <w:r>
        <w:t xml:space="preserve"> and</w:t>
      </w:r>
      <w:r w:rsidR="00263AD2">
        <w:t xml:space="preserve"> </w:t>
      </w:r>
      <w:r w:rsidR="0001454F">
        <w:t xml:space="preserve">the </w:t>
      </w:r>
      <w:r w:rsidR="00263AD2">
        <w:t>Q&amp;A section</w:t>
      </w:r>
      <w:r>
        <w:t xml:space="preserve"> </w:t>
      </w:r>
      <w:r w:rsidR="00263AD2">
        <w:t>(</w:t>
      </w:r>
      <m:oMath>
        <m:r>
          <w:rPr>
            <w:rFonts w:ascii="Cambria Math" w:hAnsi="Cambria Math"/>
          </w:rPr>
          <m:t>TONE_Q</m:t>
        </m:r>
      </m:oMath>
      <w:r w:rsidR="00263AD2">
        <w:t>)</w:t>
      </w:r>
      <w:r>
        <w:t xml:space="preserve"> on </w:t>
      </w:r>
      <w:r w:rsidR="008C4253">
        <w:t>SPCR</w:t>
      </w:r>
      <w:r>
        <w:t>. Panel B shows results for the effect of manager tone (</w:t>
      </w:r>
      <m:oMath>
        <m:r>
          <w:rPr>
            <w:rFonts w:ascii="Cambria Math" w:hAnsi="Cambria Math"/>
          </w:rPr>
          <m:t>TONE_MAN</m:t>
        </m:r>
      </m:oMath>
      <w:r>
        <w:t>) and participant tone (</w:t>
      </w:r>
      <m:oMath>
        <m:r>
          <w:rPr>
            <w:rFonts w:ascii="Cambria Math" w:hAnsi="Cambria Math"/>
          </w:rPr>
          <m:t>TONE_PAR</m:t>
        </m:r>
      </m:oMath>
      <w:r>
        <w:t xml:space="preserve">) on </w:t>
      </w:r>
      <w:r w:rsidR="0001454F">
        <w:t>stock price crash risk</w:t>
      </w:r>
      <w:r>
        <w:t>. The dependent variable</w:t>
      </w:r>
      <w:r w:rsidR="00263AD2">
        <w:t>s</w:t>
      </w:r>
      <w:r>
        <w:t xml:space="preserve"> in Models (1), (2) and (3) </w:t>
      </w:r>
      <w:r w:rsidR="00263AD2">
        <w:t xml:space="preserve">are </w:t>
      </w:r>
      <m:oMath>
        <m:r>
          <w:rPr>
            <w:rFonts w:ascii="Cambria Math" w:hAnsi="Cambria Math"/>
          </w:rPr>
          <m:t>COUNT</m:t>
        </m:r>
      </m:oMath>
      <w:r>
        <w:t xml:space="preserve">, </w:t>
      </w:r>
      <m:oMath>
        <m:r>
          <w:rPr>
            <w:rFonts w:ascii="Cambria Math" w:hAnsi="Cambria Math"/>
          </w:rPr>
          <m:t>NCSKEW</m:t>
        </m:r>
      </m:oMath>
      <w:r>
        <w:t xml:space="preserve"> and </w:t>
      </w:r>
      <m:oMath>
        <m:r>
          <w:rPr>
            <w:rFonts w:ascii="Cambria Math" w:hAnsi="Cambria Math"/>
          </w:rPr>
          <m:t>DUVOL</m:t>
        </m:r>
      </m:oMath>
      <w:r>
        <w:t xml:space="preserve">, respectively. </w:t>
      </w:r>
      <w:r w:rsidRPr="00302CE5">
        <w:rPr>
          <w:rFonts w:hint="eastAsia"/>
        </w:rPr>
        <w:t>All continuous variables are winsorized at the 1</w:t>
      </w:r>
      <w:r w:rsidRPr="00302CE5">
        <w:rPr>
          <w:rFonts w:hint="eastAsia"/>
          <w:vertAlign w:val="superscript"/>
        </w:rPr>
        <w:t>st</w:t>
      </w:r>
      <w:r w:rsidRPr="00302CE5">
        <w:rPr>
          <w:rFonts w:hint="eastAsia"/>
        </w:rPr>
        <w:t xml:space="preserve"> and 99</w:t>
      </w:r>
      <w:r w:rsidRPr="00302CE5">
        <w:rPr>
          <w:rFonts w:hint="eastAsia"/>
          <w:vertAlign w:val="superscript"/>
        </w:rPr>
        <w:t>th</w:t>
      </w:r>
      <w:r w:rsidRPr="00302CE5">
        <w:rPr>
          <w:rFonts w:hint="eastAsia"/>
        </w:rPr>
        <w:t xml:space="preserve"> percentile</w:t>
      </w:r>
      <w:r w:rsidR="00263AD2">
        <w:t>s</w:t>
      </w:r>
      <w:r w:rsidRPr="00302CE5">
        <w:rPr>
          <w:rFonts w:hint="eastAsia"/>
        </w:rPr>
        <w:t xml:space="preserve">. </w:t>
      </w:r>
      <w:r w:rsidRPr="00302CE5">
        <w:t xml:space="preserve">T-statistics reported in parentheses </w:t>
      </w:r>
      <w:r w:rsidRPr="00302CE5">
        <w:rPr>
          <w:rFonts w:hint="eastAsia"/>
        </w:rPr>
        <w:t>are based on standard errors clustered by firm</w:t>
      </w:r>
      <w:r w:rsidRPr="00302CE5">
        <w:t xml:space="preserve">. *, ** and *** </w:t>
      </w:r>
      <w:r w:rsidR="00263AD2">
        <w:t>represent</w:t>
      </w:r>
      <w:r w:rsidRPr="00302CE5">
        <w:t xml:space="preserve"> significance at </w:t>
      </w:r>
      <w:r w:rsidR="00263AD2">
        <w:t xml:space="preserve">the </w:t>
      </w:r>
      <w:r w:rsidRPr="00302CE5">
        <w:t>10%, 5% and 1% levels, respectively.</w:t>
      </w:r>
    </w:p>
    <w:tbl>
      <w:tblPr>
        <w:tblW w:w="5000" w:type="pct"/>
        <w:tblLook w:val="04A0" w:firstRow="1" w:lastRow="0" w:firstColumn="1" w:lastColumn="0" w:noHBand="0" w:noVBand="1"/>
      </w:tblPr>
      <w:tblGrid>
        <w:gridCol w:w="2256"/>
        <w:gridCol w:w="2256"/>
        <w:gridCol w:w="2257"/>
        <w:gridCol w:w="2257"/>
      </w:tblGrid>
      <w:tr w:rsidR="00735ADD" w:rsidRPr="00302CE5" w14:paraId="235B369C" w14:textId="77777777" w:rsidTr="00DC68CD">
        <w:trPr>
          <w:trHeight w:val="283"/>
        </w:trPr>
        <w:tc>
          <w:tcPr>
            <w:tcW w:w="1250" w:type="pct"/>
            <w:tcBorders>
              <w:top w:val="single" w:sz="4" w:space="0" w:color="auto"/>
              <w:left w:val="nil"/>
              <w:bottom w:val="nil"/>
              <w:right w:val="nil"/>
            </w:tcBorders>
            <w:shd w:val="clear" w:color="auto" w:fill="auto"/>
            <w:noWrap/>
            <w:vAlign w:val="center"/>
            <w:hideMark/>
          </w:tcPr>
          <w:p w14:paraId="7E64ACE9" w14:textId="77777777" w:rsidR="00735ADD" w:rsidRPr="00302CE5" w:rsidRDefault="00735ADD" w:rsidP="0001454F">
            <w:pPr>
              <w:pStyle w:val="TableText"/>
            </w:pPr>
          </w:p>
        </w:tc>
        <w:tc>
          <w:tcPr>
            <w:tcW w:w="1250" w:type="pct"/>
            <w:tcBorders>
              <w:top w:val="single" w:sz="4" w:space="0" w:color="auto"/>
              <w:left w:val="nil"/>
              <w:bottom w:val="nil"/>
              <w:right w:val="nil"/>
            </w:tcBorders>
            <w:shd w:val="clear" w:color="auto" w:fill="auto"/>
            <w:noWrap/>
            <w:vAlign w:val="center"/>
            <w:hideMark/>
          </w:tcPr>
          <w:p w14:paraId="774A753B" w14:textId="77777777" w:rsidR="00735ADD" w:rsidRPr="00302CE5" w:rsidRDefault="00735ADD" w:rsidP="0001454F">
            <w:pPr>
              <w:pStyle w:val="TableText"/>
              <w:jc w:val="right"/>
            </w:pPr>
            <w:r w:rsidRPr="00302CE5">
              <w:t>(</w:t>
            </w:r>
            <w:r>
              <w:t>1</w:t>
            </w:r>
            <w:r w:rsidRPr="00302CE5">
              <w:t>)</w:t>
            </w:r>
          </w:p>
        </w:tc>
        <w:tc>
          <w:tcPr>
            <w:tcW w:w="1250" w:type="pct"/>
            <w:tcBorders>
              <w:top w:val="single" w:sz="4" w:space="0" w:color="auto"/>
              <w:left w:val="nil"/>
              <w:bottom w:val="nil"/>
              <w:right w:val="nil"/>
            </w:tcBorders>
            <w:shd w:val="clear" w:color="auto" w:fill="auto"/>
            <w:noWrap/>
            <w:vAlign w:val="center"/>
            <w:hideMark/>
          </w:tcPr>
          <w:p w14:paraId="7E804BBF" w14:textId="77777777" w:rsidR="00735ADD" w:rsidRPr="00302CE5" w:rsidRDefault="00735ADD" w:rsidP="0001454F">
            <w:pPr>
              <w:pStyle w:val="TableText"/>
              <w:jc w:val="right"/>
            </w:pPr>
            <w:r w:rsidRPr="00302CE5">
              <w:t>(</w:t>
            </w:r>
            <w:r>
              <w:t>2</w:t>
            </w:r>
            <w:r w:rsidRPr="00302CE5">
              <w:t>)</w:t>
            </w:r>
          </w:p>
        </w:tc>
        <w:tc>
          <w:tcPr>
            <w:tcW w:w="1250" w:type="pct"/>
            <w:tcBorders>
              <w:top w:val="single" w:sz="4" w:space="0" w:color="auto"/>
              <w:left w:val="nil"/>
              <w:bottom w:val="nil"/>
              <w:right w:val="nil"/>
            </w:tcBorders>
            <w:shd w:val="clear" w:color="auto" w:fill="auto"/>
            <w:noWrap/>
            <w:vAlign w:val="center"/>
            <w:hideMark/>
          </w:tcPr>
          <w:p w14:paraId="1AE6CD35" w14:textId="77777777" w:rsidR="00735ADD" w:rsidRPr="00302CE5" w:rsidRDefault="00735ADD" w:rsidP="0001454F">
            <w:pPr>
              <w:pStyle w:val="TableText"/>
              <w:jc w:val="right"/>
            </w:pPr>
            <w:r w:rsidRPr="00302CE5">
              <w:t>(</w:t>
            </w:r>
            <w:r>
              <w:t>3</w:t>
            </w:r>
            <w:r w:rsidRPr="00302CE5">
              <w:t>)</w:t>
            </w:r>
          </w:p>
        </w:tc>
      </w:tr>
      <w:tr w:rsidR="00735ADD" w:rsidRPr="00302CE5" w14:paraId="058AFDF5" w14:textId="77777777" w:rsidTr="00DC68CD">
        <w:trPr>
          <w:trHeight w:val="283"/>
        </w:trPr>
        <w:tc>
          <w:tcPr>
            <w:tcW w:w="1250" w:type="pct"/>
            <w:tcBorders>
              <w:top w:val="nil"/>
              <w:left w:val="nil"/>
              <w:bottom w:val="single" w:sz="4" w:space="0" w:color="auto"/>
              <w:right w:val="nil"/>
            </w:tcBorders>
            <w:shd w:val="clear" w:color="auto" w:fill="auto"/>
            <w:noWrap/>
            <w:vAlign w:val="center"/>
            <w:hideMark/>
          </w:tcPr>
          <w:p w14:paraId="7D4AB5AA" w14:textId="77777777" w:rsidR="00735ADD" w:rsidRPr="00302CE5" w:rsidRDefault="00735ADD" w:rsidP="0001454F">
            <w:pPr>
              <w:pStyle w:val="TableText"/>
            </w:pPr>
          </w:p>
        </w:tc>
        <w:tc>
          <w:tcPr>
            <w:tcW w:w="1250" w:type="pct"/>
            <w:tcBorders>
              <w:top w:val="nil"/>
              <w:left w:val="nil"/>
              <w:bottom w:val="single" w:sz="4" w:space="0" w:color="auto"/>
              <w:right w:val="nil"/>
            </w:tcBorders>
            <w:shd w:val="clear" w:color="auto" w:fill="auto"/>
            <w:noWrap/>
            <w:vAlign w:val="center"/>
            <w:hideMark/>
          </w:tcPr>
          <w:p w14:paraId="36284766" w14:textId="77777777" w:rsidR="00735ADD" w:rsidRPr="00302CE5" w:rsidRDefault="008D48AD" w:rsidP="0001454F">
            <w:pPr>
              <w:pStyle w:val="TableText"/>
              <w:jc w:val="right"/>
            </w:pPr>
            <m:oMathPara>
              <m:oMath>
                <m:sSub>
                  <m:sSubPr>
                    <m:ctrlPr>
                      <w:rPr>
                        <w:rFonts w:ascii="Cambria Math" w:hAnsi="Cambria Math"/>
                      </w:rPr>
                    </m:ctrlPr>
                  </m:sSubPr>
                  <m:e>
                    <m:r>
                      <w:rPr>
                        <w:rFonts w:ascii="Cambria Math" w:hAnsi="Cambria Math"/>
                      </w:rPr>
                      <m:t>COUNT</m:t>
                    </m:r>
                  </m:e>
                  <m:sub>
                    <m:r>
                      <w:rPr>
                        <w:rFonts w:ascii="Cambria Math" w:hAnsi="Cambria Math"/>
                      </w:rPr>
                      <m:t>t</m:t>
                    </m:r>
                  </m:sub>
                </m:sSub>
              </m:oMath>
            </m:oMathPara>
          </w:p>
        </w:tc>
        <w:tc>
          <w:tcPr>
            <w:tcW w:w="1250" w:type="pct"/>
            <w:tcBorders>
              <w:top w:val="nil"/>
              <w:left w:val="nil"/>
              <w:bottom w:val="single" w:sz="4" w:space="0" w:color="auto"/>
              <w:right w:val="nil"/>
            </w:tcBorders>
            <w:shd w:val="clear" w:color="auto" w:fill="auto"/>
            <w:noWrap/>
            <w:vAlign w:val="center"/>
            <w:hideMark/>
          </w:tcPr>
          <w:p w14:paraId="4247EBA5" w14:textId="77777777" w:rsidR="00735ADD" w:rsidRPr="00302CE5" w:rsidRDefault="008D48AD" w:rsidP="0001454F">
            <w:pPr>
              <w:pStyle w:val="TableText"/>
              <w:jc w:val="right"/>
            </w:pPr>
            <m:oMathPara>
              <m:oMath>
                <m:sSub>
                  <m:sSubPr>
                    <m:ctrlPr>
                      <w:rPr>
                        <w:rFonts w:ascii="Cambria Math" w:hAnsi="Cambria Math"/>
                      </w:rPr>
                    </m:ctrlPr>
                  </m:sSubPr>
                  <m:e>
                    <m:r>
                      <w:rPr>
                        <w:rFonts w:ascii="Cambria Math" w:hAnsi="Cambria Math"/>
                      </w:rPr>
                      <m:t>NCSKEW</m:t>
                    </m:r>
                  </m:e>
                  <m:sub>
                    <m:r>
                      <w:rPr>
                        <w:rFonts w:ascii="Cambria Math" w:hAnsi="Cambria Math"/>
                      </w:rPr>
                      <m:t>t</m:t>
                    </m:r>
                  </m:sub>
                </m:sSub>
              </m:oMath>
            </m:oMathPara>
          </w:p>
        </w:tc>
        <w:tc>
          <w:tcPr>
            <w:tcW w:w="1250" w:type="pct"/>
            <w:tcBorders>
              <w:top w:val="nil"/>
              <w:left w:val="nil"/>
              <w:bottom w:val="single" w:sz="4" w:space="0" w:color="auto"/>
              <w:right w:val="nil"/>
            </w:tcBorders>
            <w:shd w:val="clear" w:color="auto" w:fill="auto"/>
            <w:noWrap/>
            <w:vAlign w:val="center"/>
            <w:hideMark/>
          </w:tcPr>
          <w:p w14:paraId="5C27FFBE" w14:textId="77777777" w:rsidR="00735ADD" w:rsidRPr="00302CE5" w:rsidRDefault="008D48AD" w:rsidP="0001454F">
            <w:pPr>
              <w:pStyle w:val="TableText"/>
              <w:jc w:val="right"/>
            </w:pPr>
            <m:oMathPara>
              <m:oMath>
                <m:sSub>
                  <m:sSubPr>
                    <m:ctrlPr>
                      <w:rPr>
                        <w:rFonts w:ascii="Cambria Math" w:hAnsi="Cambria Math"/>
                      </w:rPr>
                    </m:ctrlPr>
                  </m:sSubPr>
                  <m:e>
                    <m:r>
                      <w:rPr>
                        <w:rFonts w:ascii="Cambria Math" w:hAnsi="Cambria Math"/>
                      </w:rPr>
                      <m:t>DUVOL</m:t>
                    </m:r>
                  </m:e>
                  <m:sub>
                    <m:r>
                      <w:rPr>
                        <w:rFonts w:ascii="Cambria Math" w:hAnsi="Cambria Math"/>
                      </w:rPr>
                      <m:t>t</m:t>
                    </m:r>
                  </m:sub>
                </m:sSub>
              </m:oMath>
            </m:oMathPara>
          </w:p>
        </w:tc>
      </w:tr>
      <w:tr w:rsidR="00735ADD" w:rsidRPr="00323BB0" w14:paraId="0E0B6C97" w14:textId="77777777" w:rsidTr="00DC68CD">
        <w:trPr>
          <w:trHeight w:val="283"/>
        </w:trPr>
        <w:tc>
          <w:tcPr>
            <w:tcW w:w="5000" w:type="pct"/>
            <w:gridSpan w:val="4"/>
            <w:tcBorders>
              <w:top w:val="single" w:sz="4" w:space="0" w:color="auto"/>
              <w:left w:val="nil"/>
              <w:bottom w:val="single" w:sz="4" w:space="0" w:color="auto"/>
              <w:right w:val="nil"/>
            </w:tcBorders>
            <w:shd w:val="clear" w:color="auto" w:fill="auto"/>
            <w:noWrap/>
            <w:vAlign w:val="center"/>
          </w:tcPr>
          <w:p w14:paraId="403D62FD" w14:textId="77777777" w:rsidR="00735ADD" w:rsidRPr="0001454F" w:rsidRDefault="00735ADD" w:rsidP="0001454F">
            <w:pPr>
              <w:pStyle w:val="TableText"/>
              <w:jc w:val="center"/>
              <w:rPr>
                <w:rFonts w:eastAsia="SimSun"/>
                <w:b/>
                <w:bCs/>
                <w:color w:val="000000"/>
                <w:lang w:val="en-GB" w:eastAsia="zh-CN"/>
              </w:rPr>
            </w:pPr>
            <w:r w:rsidRPr="0001454F">
              <w:rPr>
                <w:rFonts w:eastAsia="SimSun"/>
                <w:b/>
                <w:bCs/>
                <w:color w:val="000000"/>
                <w:lang w:val="en-GB" w:eastAsia="zh-CN"/>
              </w:rPr>
              <w:t xml:space="preserve">Panel A: </w:t>
            </w:r>
            <w:r w:rsidRPr="0001454F">
              <w:rPr>
                <w:b/>
                <w:bCs/>
              </w:rPr>
              <w:t>Different call sections</w:t>
            </w:r>
          </w:p>
        </w:tc>
      </w:tr>
      <w:tr w:rsidR="00735ADD" w:rsidRPr="00302CE5" w14:paraId="2E527F3B" w14:textId="77777777" w:rsidTr="00DC68CD">
        <w:trPr>
          <w:trHeight w:val="283"/>
        </w:trPr>
        <w:tc>
          <w:tcPr>
            <w:tcW w:w="1250" w:type="pct"/>
            <w:tcBorders>
              <w:top w:val="single" w:sz="4" w:space="0" w:color="auto"/>
              <w:left w:val="nil"/>
              <w:bottom w:val="nil"/>
              <w:right w:val="nil"/>
            </w:tcBorders>
            <w:shd w:val="clear" w:color="auto" w:fill="auto"/>
            <w:noWrap/>
            <w:vAlign w:val="center"/>
            <w:hideMark/>
          </w:tcPr>
          <w:p w14:paraId="675186D0" w14:textId="77777777" w:rsidR="00735ADD" w:rsidRPr="00302CE5" w:rsidRDefault="008D48AD" w:rsidP="0001454F">
            <w:pPr>
              <w:pStyle w:val="TableText"/>
            </w:pPr>
            <m:oMathPara>
              <m:oMathParaPr>
                <m:jc m:val="left"/>
              </m:oMathParaPr>
              <m:oMath>
                <m:sSub>
                  <m:sSubPr>
                    <m:ctrlPr>
                      <w:rPr>
                        <w:rFonts w:ascii="Cambria Math" w:hAnsi="Cambria Math"/>
                      </w:rPr>
                    </m:ctrlPr>
                  </m:sSubPr>
                  <m:e>
                    <m:r>
                      <w:rPr>
                        <w:rFonts w:ascii="Cambria Math" w:hAnsi="Cambria Math"/>
                      </w:rPr>
                      <m:t>TONE</m:t>
                    </m:r>
                    <m:r>
                      <m:rPr>
                        <m:sty m:val="p"/>
                      </m:rPr>
                      <w:rPr>
                        <w:rFonts w:ascii="Cambria Math" w:hAnsi="Cambria Math"/>
                      </w:rPr>
                      <m:t>_</m:t>
                    </m:r>
                    <m:r>
                      <w:rPr>
                        <w:rFonts w:ascii="Cambria Math" w:hAnsi="Cambria Math"/>
                      </w:rPr>
                      <m:t>P</m:t>
                    </m:r>
                  </m:e>
                  <m:sub>
                    <m:r>
                      <w:rPr>
                        <w:rFonts w:ascii="Cambria Math" w:hAnsi="Cambria Math"/>
                      </w:rPr>
                      <m:t>t</m:t>
                    </m:r>
                    <m:r>
                      <m:rPr>
                        <m:sty m:val="p"/>
                      </m:rPr>
                      <w:rPr>
                        <w:rFonts w:ascii="Cambria Math" w:hAnsi="Cambria Math"/>
                      </w:rPr>
                      <m:t>-1</m:t>
                    </m:r>
                  </m:sub>
                </m:sSub>
              </m:oMath>
            </m:oMathPara>
          </w:p>
        </w:tc>
        <w:tc>
          <w:tcPr>
            <w:tcW w:w="1250" w:type="pct"/>
            <w:tcBorders>
              <w:top w:val="single" w:sz="4" w:space="0" w:color="auto"/>
              <w:left w:val="nil"/>
              <w:bottom w:val="nil"/>
              <w:right w:val="nil"/>
            </w:tcBorders>
            <w:shd w:val="clear" w:color="auto" w:fill="auto"/>
            <w:noWrap/>
            <w:vAlign w:val="bottom"/>
          </w:tcPr>
          <w:p w14:paraId="3DADCEFA" w14:textId="77777777" w:rsidR="00735ADD" w:rsidRPr="00DD6492" w:rsidRDefault="00735ADD" w:rsidP="0001454F">
            <w:pPr>
              <w:pStyle w:val="TableText"/>
              <w:jc w:val="right"/>
              <w:rPr>
                <w:rFonts w:eastAsia="Times New Roman"/>
              </w:rPr>
            </w:pPr>
            <w:r w:rsidRPr="00DD6492">
              <w:t>-0.033*</w:t>
            </w:r>
          </w:p>
        </w:tc>
        <w:tc>
          <w:tcPr>
            <w:tcW w:w="1250" w:type="pct"/>
            <w:tcBorders>
              <w:top w:val="single" w:sz="4" w:space="0" w:color="auto"/>
              <w:left w:val="nil"/>
              <w:bottom w:val="nil"/>
              <w:right w:val="nil"/>
            </w:tcBorders>
            <w:shd w:val="clear" w:color="auto" w:fill="auto"/>
            <w:noWrap/>
            <w:vAlign w:val="bottom"/>
          </w:tcPr>
          <w:p w14:paraId="4FEA187F" w14:textId="77777777" w:rsidR="00735ADD" w:rsidRPr="00DD6492" w:rsidRDefault="00735ADD" w:rsidP="0001454F">
            <w:pPr>
              <w:pStyle w:val="TableText"/>
              <w:jc w:val="right"/>
              <w:rPr>
                <w:rFonts w:eastAsia="Times New Roman"/>
              </w:rPr>
            </w:pPr>
            <w:r w:rsidRPr="00DD6492">
              <w:t>-0.049**</w:t>
            </w:r>
          </w:p>
        </w:tc>
        <w:tc>
          <w:tcPr>
            <w:tcW w:w="1250" w:type="pct"/>
            <w:tcBorders>
              <w:top w:val="single" w:sz="4" w:space="0" w:color="auto"/>
              <w:left w:val="nil"/>
              <w:bottom w:val="nil"/>
              <w:right w:val="nil"/>
            </w:tcBorders>
            <w:shd w:val="clear" w:color="auto" w:fill="auto"/>
            <w:noWrap/>
            <w:vAlign w:val="bottom"/>
          </w:tcPr>
          <w:p w14:paraId="62BAAB82" w14:textId="77777777" w:rsidR="00735ADD" w:rsidRPr="00DD6492" w:rsidRDefault="00735ADD" w:rsidP="0001454F">
            <w:pPr>
              <w:pStyle w:val="TableText"/>
              <w:jc w:val="right"/>
              <w:rPr>
                <w:rFonts w:eastAsia="Times New Roman"/>
              </w:rPr>
            </w:pPr>
            <w:r w:rsidRPr="00DD6492">
              <w:t>-0.030**</w:t>
            </w:r>
          </w:p>
        </w:tc>
      </w:tr>
      <w:tr w:rsidR="00735ADD" w:rsidRPr="00302CE5" w14:paraId="2500D5CE" w14:textId="77777777" w:rsidTr="00DC68CD">
        <w:trPr>
          <w:trHeight w:val="283"/>
        </w:trPr>
        <w:tc>
          <w:tcPr>
            <w:tcW w:w="1250" w:type="pct"/>
            <w:tcBorders>
              <w:top w:val="nil"/>
              <w:left w:val="nil"/>
              <w:bottom w:val="nil"/>
              <w:right w:val="nil"/>
            </w:tcBorders>
            <w:shd w:val="clear" w:color="auto" w:fill="auto"/>
            <w:noWrap/>
            <w:vAlign w:val="center"/>
            <w:hideMark/>
          </w:tcPr>
          <w:p w14:paraId="2DE7CE94" w14:textId="77777777" w:rsidR="00735ADD" w:rsidRPr="00302CE5" w:rsidRDefault="00735ADD" w:rsidP="0001454F">
            <w:pPr>
              <w:pStyle w:val="TableText"/>
            </w:pPr>
          </w:p>
        </w:tc>
        <w:tc>
          <w:tcPr>
            <w:tcW w:w="1250" w:type="pct"/>
            <w:tcBorders>
              <w:top w:val="nil"/>
              <w:left w:val="nil"/>
              <w:bottom w:val="nil"/>
              <w:right w:val="nil"/>
            </w:tcBorders>
            <w:shd w:val="clear" w:color="auto" w:fill="auto"/>
            <w:noWrap/>
            <w:vAlign w:val="bottom"/>
          </w:tcPr>
          <w:p w14:paraId="30ECDCEE" w14:textId="77777777" w:rsidR="00735ADD" w:rsidRPr="00DD6492" w:rsidRDefault="00735ADD" w:rsidP="0001454F">
            <w:pPr>
              <w:pStyle w:val="TableText"/>
              <w:jc w:val="right"/>
              <w:rPr>
                <w:rFonts w:eastAsia="Times New Roman"/>
              </w:rPr>
            </w:pPr>
            <w:r w:rsidRPr="00DD6492">
              <w:t>(-1.86)</w:t>
            </w:r>
          </w:p>
        </w:tc>
        <w:tc>
          <w:tcPr>
            <w:tcW w:w="1250" w:type="pct"/>
            <w:tcBorders>
              <w:top w:val="nil"/>
              <w:left w:val="nil"/>
              <w:bottom w:val="nil"/>
              <w:right w:val="nil"/>
            </w:tcBorders>
            <w:shd w:val="clear" w:color="auto" w:fill="auto"/>
            <w:noWrap/>
            <w:vAlign w:val="bottom"/>
          </w:tcPr>
          <w:p w14:paraId="09E47626" w14:textId="77777777" w:rsidR="00735ADD" w:rsidRPr="00DD6492" w:rsidRDefault="00735ADD" w:rsidP="0001454F">
            <w:pPr>
              <w:pStyle w:val="TableText"/>
              <w:jc w:val="right"/>
              <w:rPr>
                <w:rFonts w:eastAsia="Times New Roman"/>
              </w:rPr>
            </w:pPr>
            <w:r w:rsidRPr="00DD6492">
              <w:t>(-1.99)</w:t>
            </w:r>
          </w:p>
        </w:tc>
        <w:tc>
          <w:tcPr>
            <w:tcW w:w="1250" w:type="pct"/>
            <w:tcBorders>
              <w:top w:val="nil"/>
              <w:left w:val="nil"/>
              <w:bottom w:val="nil"/>
              <w:right w:val="nil"/>
            </w:tcBorders>
            <w:shd w:val="clear" w:color="auto" w:fill="auto"/>
            <w:noWrap/>
            <w:vAlign w:val="bottom"/>
          </w:tcPr>
          <w:p w14:paraId="1C95418F" w14:textId="77777777" w:rsidR="00735ADD" w:rsidRPr="00DD6492" w:rsidRDefault="00735ADD" w:rsidP="0001454F">
            <w:pPr>
              <w:pStyle w:val="TableText"/>
              <w:jc w:val="right"/>
              <w:rPr>
                <w:rFonts w:eastAsia="Times New Roman"/>
              </w:rPr>
            </w:pPr>
            <w:r w:rsidRPr="00DD6492">
              <w:t>(-1.99)</w:t>
            </w:r>
          </w:p>
        </w:tc>
      </w:tr>
      <w:tr w:rsidR="00735ADD" w:rsidRPr="00302CE5" w14:paraId="029BD6BA" w14:textId="77777777" w:rsidTr="00DC68CD">
        <w:trPr>
          <w:trHeight w:val="283"/>
        </w:trPr>
        <w:tc>
          <w:tcPr>
            <w:tcW w:w="1250" w:type="pct"/>
            <w:tcBorders>
              <w:top w:val="nil"/>
              <w:left w:val="nil"/>
              <w:bottom w:val="nil"/>
              <w:right w:val="nil"/>
            </w:tcBorders>
            <w:shd w:val="clear" w:color="auto" w:fill="auto"/>
            <w:noWrap/>
            <w:vAlign w:val="center"/>
            <w:hideMark/>
          </w:tcPr>
          <w:p w14:paraId="2C1704EC" w14:textId="77777777" w:rsidR="00735ADD" w:rsidRPr="00302CE5" w:rsidRDefault="008D48AD" w:rsidP="0001454F">
            <w:pPr>
              <w:pStyle w:val="TableText"/>
            </w:pPr>
            <m:oMathPara>
              <m:oMathParaPr>
                <m:jc m:val="left"/>
              </m:oMathParaPr>
              <m:oMath>
                <m:sSub>
                  <m:sSubPr>
                    <m:ctrlPr>
                      <w:rPr>
                        <w:rFonts w:ascii="Cambria Math" w:hAnsi="Cambria Math"/>
                      </w:rPr>
                    </m:ctrlPr>
                  </m:sSubPr>
                  <m:e>
                    <m:r>
                      <w:rPr>
                        <w:rFonts w:ascii="Cambria Math" w:hAnsi="Cambria Math"/>
                      </w:rPr>
                      <m:t>TONE</m:t>
                    </m:r>
                    <m:r>
                      <m:rPr>
                        <m:sty m:val="p"/>
                      </m:rPr>
                      <w:rPr>
                        <w:rFonts w:ascii="Cambria Math" w:hAnsi="Cambria Math"/>
                      </w:rPr>
                      <m:t>_</m:t>
                    </m:r>
                    <m:r>
                      <w:rPr>
                        <w:rFonts w:ascii="Cambria Math" w:hAnsi="Cambria Math"/>
                      </w:rPr>
                      <m:t>Q</m:t>
                    </m:r>
                  </m:e>
                  <m:sub>
                    <m:r>
                      <w:rPr>
                        <w:rFonts w:ascii="Cambria Math" w:hAnsi="Cambria Math"/>
                      </w:rPr>
                      <m:t>t</m:t>
                    </m:r>
                    <m:r>
                      <m:rPr>
                        <m:sty m:val="p"/>
                      </m:rPr>
                      <w:rPr>
                        <w:rFonts w:ascii="Cambria Math" w:hAnsi="Cambria Math"/>
                      </w:rPr>
                      <m:t>-1</m:t>
                    </m:r>
                  </m:sub>
                </m:sSub>
              </m:oMath>
            </m:oMathPara>
          </w:p>
        </w:tc>
        <w:tc>
          <w:tcPr>
            <w:tcW w:w="1250" w:type="pct"/>
            <w:tcBorders>
              <w:top w:val="nil"/>
              <w:left w:val="nil"/>
              <w:bottom w:val="nil"/>
              <w:right w:val="nil"/>
            </w:tcBorders>
            <w:shd w:val="clear" w:color="auto" w:fill="auto"/>
            <w:noWrap/>
            <w:vAlign w:val="bottom"/>
          </w:tcPr>
          <w:p w14:paraId="0A249759" w14:textId="77777777" w:rsidR="00735ADD" w:rsidRPr="00DD6492" w:rsidRDefault="00735ADD" w:rsidP="0001454F">
            <w:pPr>
              <w:pStyle w:val="TableText"/>
              <w:jc w:val="right"/>
              <w:rPr>
                <w:rFonts w:eastAsia="Times New Roman"/>
              </w:rPr>
            </w:pPr>
            <w:r w:rsidRPr="00DD6492">
              <w:t>-0.055**</w:t>
            </w:r>
          </w:p>
        </w:tc>
        <w:tc>
          <w:tcPr>
            <w:tcW w:w="1250" w:type="pct"/>
            <w:tcBorders>
              <w:top w:val="nil"/>
              <w:left w:val="nil"/>
              <w:bottom w:val="nil"/>
              <w:right w:val="nil"/>
            </w:tcBorders>
            <w:shd w:val="clear" w:color="auto" w:fill="auto"/>
            <w:noWrap/>
            <w:vAlign w:val="bottom"/>
          </w:tcPr>
          <w:p w14:paraId="38CEDAFE" w14:textId="77777777" w:rsidR="00735ADD" w:rsidRPr="00DD6492" w:rsidRDefault="00735ADD" w:rsidP="0001454F">
            <w:pPr>
              <w:pStyle w:val="TableText"/>
              <w:jc w:val="right"/>
              <w:rPr>
                <w:rFonts w:eastAsia="Times New Roman"/>
              </w:rPr>
            </w:pPr>
            <w:r w:rsidRPr="00DD6492">
              <w:t>-0.122***</w:t>
            </w:r>
          </w:p>
        </w:tc>
        <w:tc>
          <w:tcPr>
            <w:tcW w:w="1250" w:type="pct"/>
            <w:tcBorders>
              <w:top w:val="nil"/>
              <w:left w:val="nil"/>
              <w:bottom w:val="nil"/>
              <w:right w:val="nil"/>
            </w:tcBorders>
            <w:shd w:val="clear" w:color="auto" w:fill="auto"/>
            <w:noWrap/>
            <w:vAlign w:val="bottom"/>
          </w:tcPr>
          <w:p w14:paraId="72B41BCF" w14:textId="77777777" w:rsidR="00735ADD" w:rsidRPr="00DD6492" w:rsidRDefault="00735ADD" w:rsidP="0001454F">
            <w:pPr>
              <w:pStyle w:val="TableText"/>
              <w:jc w:val="right"/>
              <w:rPr>
                <w:rFonts w:eastAsia="Times New Roman"/>
              </w:rPr>
            </w:pPr>
            <w:r w:rsidRPr="00DD6492">
              <w:t>-0.076***</w:t>
            </w:r>
          </w:p>
        </w:tc>
      </w:tr>
      <w:tr w:rsidR="00735ADD" w:rsidRPr="00302CE5" w14:paraId="4CB201A2" w14:textId="77777777" w:rsidTr="00DC68CD">
        <w:trPr>
          <w:trHeight w:val="283"/>
        </w:trPr>
        <w:tc>
          <w:tcPr>
            <w:tcW w:w="1250" w:type="pct"/>
            <w:tcBorders>
              <w:top w:val="nil"/>
              <w:left w:val="nil"/>
              <w:bottom w:val="nil"/>
              <w:right w:val="nil"/>
            </w:tcBorders>
            <w:shd w:val="clear" w:color="auto" w:fill="auto"/>
            <w:noWrap/>
            <w:vAlign w:val="center"/>
            <w:hideMark/>
          </w:tcPr>
          <w:p w14:paraId="2F89613B" w14:textId="77777777" w:rsidR="00735ADD" w:rsidRPr="00302CE5" w:rsidRDefault="00735ADD" w:rsidP="0001454F">
            <w:pPr>
              <w:pStyle w:val="TableText"/>
            </w:pPr>
          </w:p>
        </w:tc>
        <w:tc>
          <w:tcPr>
            <w:tcW w:w="1250" w:type="pct"/>
            <w:tcBorders>
              <w:top w:val="nil"/>
              <w:left w:val="nil"/>
              <w:bottom w:val="nil"/>
              <w:right w:val="nil"/>
            </w:tcBorders>
            <w:shd w:val="clear" w:color="auto" w:fill="auto"/>
            <w:noWrap/>
            <w:vAlign w:val="center"/>
          </w:tcPr>
          <w:p w14:paraId="4463EF19" w14:textId="77777777" w:rsidR="00735ADD" w:rsidRPr="00302CE5" w:rsidRDefault="00735ADD" w:rsidP="0001454F">
            <w:pPr>
              <w:pStyle w:val="TableText"/>
              <w:jc w:val="right"/>
              <w:rPr>
                <w:rFonts w:eastAsia="Times New Roman"/>
              </w:rPr>
            </w:pPr>
            <w:r w:rsidRPr="00302CE5">
              <w:rPr>
                <w:lang w:val="en-GB" w:eastAsia="zh-CN"/>
              </w:rPr>
              <w:t>(-2.37)</w:t>
            </w:r>
          </w:p>
        </w:tc>
        <w:tc>
          <w:tcPr>
            <w:tcW w:w="1250" w:type="pct"/>
            <w:tcBorders>
              <w:top w:val="nil"/>
              <w:left w:val="nil"/>
              <w:bottom w:val="nil"/>
              <w:right w:val="nil"/>
            </w:tcBorders>
            <w:shd w:val="clear" w:color="auto" w:fill="auto"/>
            <w:noWrap/>
            <w:vAlign w:val="center"/>
          </w:tcPr>
          <w:p w14:paraId="48D87AAF" w14:textId="77777777" w:rsidR="00735ADD" w:rsidRPr="00302CE5" w:rsidRDefault="00735ADD" w:rsidP="0001454F">
            <w:pPr>
              <w:pStyle w:val="TableText"/>
              <w:jc w:val="right"/>
              <w:rPr>
                <w:rFonts w:eastAsia="Times New Roman"/>
              </w:rPr>
            </w:pPr>
            <w:r w:rsidRPr="00302CE5">
              <w:rPr>
                <w:lang w:val="en-GB" w:eastAsia="zh-CN"/>
              </w:rPr>
              <w:t>(-3.90)</w:t>
            </w:r>
          </w:p>
        </w:tc>
        <w:tc>
          <w:tcPr>
            <w:tcW w:w="1250" w:type="pct"/>
            <w:tcBorders>
              <w:top w:val="nil"/>
              <w:left w:val="nil"/>
              <w:bottom w:val="nil"/>
              <w:right w:val="nil"/>
            </w:tcBorders>
            <w:shd w:val="clear" w:color="auto" w:fill="auto"/>
            <w:noWrap/>
            <w:vAlign w:val="center"/>
          </w:tcPr>
          <w:p w14:paraId="33E754EE" w14:textId="77777777" w:rsidR="00735ADD" w:rsidRPr="00302CE5" w:rsidRDefault="00735ADD" w:rsidP="0001454F">
            <w:pPr>
              <w:pStyle w:val="TableText"/>
              <w:jc w:val="right"/>
              <w:rPr>
                <w:rFonts w:eastAsia="Times New Roman"/>
              </w:rPr>
            </w:pPr>
            <w:r w:rsidRPr="00302CE5">
              <w:rPr>
                <w:lang w:val="en-GB" w:eastAsia="zh-CN"/>
              </w:rPr>
              <w:t>(-3.84)</w:t>
            </w:r>
          </w:p>
        </w:tc>
      </w:tr>
      <w:tr w:rsidR="00735ADD" w:rsidRPr="00302CE5" w14:paraId="220EED9E" w14:textId="77777777" w:rsidTr="00DC68CD">
        <w:trPr>
          <w:trHeight w:val="283"/>
        </w:trPr>
        <w:tc>
          <w:tcPr>
            <w:tcW w:w="1250" w:type="pct"/>
            <w:tcBorders>
              <w:top w:val="nil"/>
              <w:left w:val="nil"/>
              <w:bottom w:val="nil"/>
              <w:right w:val="nil"/>
            </w:tcBorders>
            <w:shd w:val="clear" w:color="auto" w:fill="auto"/>
            <w:noWrap/>
            <w:vAlign w:val="center"/>
            <w:hideMark/>
          </w:tcPr>
          <w:p w14:paraId="63F56F27" w14:textId="77777777" w:rsidR="00735ADD" w:rsidRPr="00302CE5" w:rsidRDefault="00735ADD" w:rsidP="0001454F">
            <w:pPr>
              <w:pStyle w:val="TableText"/>
            </w:pPr>
            <w:r w:rsidRPr="00302CE5">
              <w:t xml:space="preserve">Adjusted </w:t>
            </w:r>
            <m:oMath>
              <m:sSup>
                <m:sSupPr>
                  <m:ctrlPr>
                    <w:rPr>
                      <w:rFonts w:ascii="Cambria Math" w:hAnsi="Cambria Math"/>
                      <w:i/>
                    </w:rPr>
                  </m:ctrlPr>
                </m:sSupPr>
                <m:e>
                  <m:r>
                    <w:rPr>
                      <w:rFonts w:ascii="Cambria Math" w:hAnsi="Cambria Math"/>
                    </w:rPr>
                    <m:t>R</m:t>
                  </m:r>
                </m:e>
                <m:sup>
                  <m:r>
                    <w:rPr>
                      <w:rFonts w:ascii="Cambria Math" w:hAnsi="Cambria Math"/>
                    </w:rPr>
                    <m:t>2</m:t>
                  </m:r>
                </m:sup>
              </m:sSup>
            </m:oMath>
          </w:p>
        </w:tc>
        <w:tc>
          <w:tcPr>
            <w:tcW w:w="1250" w:type="pct"/>
            <w:tcBorders>
              <w:top w:val="nil"/>
              <w:left w:val="nil"/>
              <w:bottom w:val="nil"/>
              <w:right w:val="nil"/>
            </w:tcBorders>
            <w:shd w:val="clear" w:color="auto" w:fill="auto"/>
            <w:noWrap/>
            <w:vAlign w:val="center"/>
          </w:tcPr>
          <w:p w14:paraId="59B61A10" w14:textId="77777777" w:rsidR="00735ADD" w:rsidRPr="00302CE5" w:rsidRDefault="00735ADD" w:rsidP="0001454F">
            <w:pPr>
              <w:pStyle w:val="TableText"/>
              <w:jc w:val="right"/>
              <w:rPr>
                <w:rFonts w:eastAsia="Times New Roman"/>
              </w:rPr>
            </w:pPr>
            <w:r w:rsidRPr="00302CE5">
              <w:rPr>
                <w:lang w:val="en-GB" w:eastAsia="zh-CN"/>
              </w:rPr>
              <w:t>0.06</w:t>
            </w:r>
          </w:p>
        </w:tc>
        <w:tc>
          <w:tcPr>
            <w:tcW w:w="1250" w:type="pct"/>
            <w:tcBorders>
              <w:top w:val="nil"/>
              <w:left w:val="nil"/>
              <w:bottom w:val="nil"/>
              <w:right w:val="nil"/>
            </w:tcBorders>
            <w:shd w:val="clear" w:color="auto" w:fill="auto"/>
            <w:noWrap/>
            <w:vAlign w:val="center"/>
          </w:tcPr>
          <w:p w14:paraId="3A12AB0F" w14:textId="77777777" w:rsidR="00735ADD" w:rsidRPr="00302CE5" w:rsidRDefault="00735ADD" w:rsidP="0001454F">
            <w:pPr>
              <w:pStyle w:val="TableText"/>
              <w:jc w:val="right"/>
              <w:rPr>
                <w:rFonts w:eastAsia="Times New Roman"/>
              </w:rPr>
            </w:pPr>
            <w:r w:rsidRPr="00302CE5">
              <w:rPr>
                <w:lang w:val="en-GB" w:eastAsia="zh-CN"/>
              </w:rPr>
              <w:t>0.10</w:t>
            </w:r>
          </w:p>
        </w:tc>
        <w:tc>
          <w:tcPr>
            <w:tcW w:w="1250" w:type="pct"/>
            <w:tcBorders>
              <w:top w:val="nil"/>
              <w:left w:val="nil"/>
              <w:bottom w:val="nil"/>
              <w:right w:val="nil"/>
            </w:tcBorders>
            <w:shd w:val="clear" w:color="auto" w:fill="auto"/>
            <w:noWrap/>
            <w:vAlign w:val="center"/>
          </w:tcPr>
          <w:p w14:paraId="793930B8" w14:textId="77777777" w:rsidR="00735ADD" w:rsidRPr="00302CE5" w:rsidRDefault="00735ADD" w:rsidP="0001454F">
            <w:pPr>
              <w:pStyle w:val="TableText"/>
              <w:jc w:val="right"/>
              <w:rPr>
                <w:rFonts w:eastAsia="Times New Roman"/>
              </w:rPr>
            </w:pPr>
            <w:r w:rsidRPr="00302CE5">
              <w:rPr>
                <w:lang w:val="en-GB" w:eastAsia="zh-CN"/>
              </w:rPr>
              <w:t>0.10</w:t>
            </w:r>
          </w:p>
        </w:tc>
      </w:tr>
      <w:tr w:rsidR="00735ADD" w:rsidRPr="00302CE5" w14:paraId="2E0B8F1D" w14:textId="77777777" w:rsidTr="00DC68CD">
        <w:trPr>
          <w:trHeight w:val="283"/>
        </w:trPr>
        <w:tc>
          <w:tcPr>
            <w:tcW w:w="1250" w:type="pct"/>
            <w:tcBorders>
              <w:top w:val="nil"/>
              <w:left w:val="nil"/>
              <w:bottom w:val="nil"/>
              <w:right w:val="nil"/>
            </w:tcBorders>
            <w:shd w:val="clear" w:color="auto" w:fill="auto"/>
            <w:noWrap/>
            <w:vAlign w:val="center"/>
          </w:tcPr>
          <w:p w14:paraId="31BE9A18" w14:textId="77777777" w:rsidR="00735ADD" w:rsidRPr="00302CE5" w:rsidRDefault="00735ADD" w:rsidP="0001454F">
            <w:pPr>
              <w:pStyle w:val="TableText"/>
            </w:pPr>
            <w:r w:rsidRPr="00302CE5">
              <w:t>Controls</w:t>
            </w:r>
          </w:p>
        </w:tc>
        <w:tc>
          <w:tcPr>
            <w:tcW w:w="1250" w:type="pct"/>
            <w:tcBorders>
              <w:top w:val="nil"/>
              <w:left w:val="nil"/>
              <w:bottom w:val="nil"/>
              <w:right w:val="nil"/>
            </w:tcBorders>
            <w:shd w:val="clear" w:color="auto" w:fill="auto"/>
            <w:noWrap/>
            <w:vAlign w:val="center"/>
          </w:tcPr>
          <w:p w14:paraId="782A606F" w14:textId="77777777" w:rsidR="00735ADD" w:rsidRPr="00302CE5" w:rsidRDefault="00735ADD" w:rsidP="0001454F">
            <w:pPr>
              <w:pStyle w:val="TableText"/>
              <w:jc w:val="right"/>
              <w:rPr>
                <w:lang w:val="en-GB" w:eastAsia="zh-CN"/>
              </w:rPr>
            </w:pPr>
            <w:r w:rsidRPr="00302CE5">
              <w:rPr>
                <w:lang w:val="en-GB" w:eastAsia="zh-CN"/>
              </w:rPr>
              <w:t>Yes</w:t>
            </w:r>
          </w:p>
        </w:tc>
        <w:tc>
          <w:tcPr>
            <w:tcW w:w="1250" w:type="pct"/>
            <w:tcBorders>
              <w:top w:val="nil"/>
              <w:left w:val="nil"/>
              <w:bottom w:val="nil"/>
              <w:right w:val="nil"/>
            </w:tcBorders>
            <w:shd w:val="clear" w:color="auto" w:fill="auto"/>
            <w:noWrap/>
            <w:vAlign w:val="center"/>
          </w:tcPr>
          <w:p w14:paraId="0CC27ABD" w14:textId="77777777" w:rsidR="00735ADD" w:rsidRPr="00302CE5" w:rsidRDefault="00735ADD" w:rsidP="0001454F">
            <w:pPr>
              <w:pStyle w:val="TableText"/>
              <w:jc w:val="right"/>
              <w:rPr>
                <w:lang w:val="en-GB" w:eastAsia="zh-CN"/>
              </w:rPr>
            </w:pPr>
            <w:r w:rsidRPr="00302CE5">
              <w:rPr>
                <w:lang w:val="en-GB" w:eastAsia="zh-CN"/>
              </w:rPr>
              <w:t>Yes</w:t>
            </w:r>
          </w:p>
        </w:tc>
        <w:tc>
          <w:tcPr>
            <w:tcW w:w="1250" w:type="pct"/>
            <w:tcBorders>
              <w:top w:val="nil"/>
              <w:left w:val="nil"/>
              <w:bottom w:val="nil"/>
              <w:right w:val="nil"/>
            </w:tcBorders>
            <w:shd w:val="clear" w:color="auto" w:fill="auto"/>
            <w:noWrap/>
            <w:vAlign w:val="center"/>
          </w:tcPr>
          <w:p w14:paraId="1BEB543E" w14:textId="77777777" w:rsidR="00735ADD" w:rsidRPr="00302CE5" w:rsidRDefault="00735ADD" w:rsidP="0001454F">
            <w:pPr>
              <w:pStyle w:val="TableText"/>
              <w:jc w:val="right"/>
              <w:rPr>
                <w:lang w:val="en-GB" w:eastAsia="zh-CN"/>
              </w:rPr>
            </w:pPr>
            <w:r w:rsidRPr="00302CE5">
              <w:rPr>
                <w:lang w:val="en-GB" w:eastAsia="zh-CN"/>
              </w:rPr>
              <w:t>Yes</w:t>
            </w:r>
          </w:p>
        </w:tc>
      </w:tr>
      <w:tr w:rsidR="00735ADD" w:rsidRPr="00302CE5" w14:paraId="4B630BA2" w14:textId="77777777" w:rsidTr="00DC68CD">
        <w:trPr>
          <w:trHeight w:val="283"/>
        </w:trPr>
        <w:tc>
          <w:tcPr>
            <w:tcW w:w="1250" w:type="pct"/>
            <w:tcBorders>
              <w:top w:val="nil"/>
              <w:left w:val="nil"/>
              <w:bottom w:val="nil"/>
              <w:right w:val="nil"/>
            </w:tcBorders>
            <w:shd w:val="clear" w:color="auto" w:fill="auto"/>
            <w:noWrap/>
            <w:vAlign w:val="center"/>
            <w:hideMark/>
          </w:tcPr>
          <w:p w14:paraId="0C7E150B" w14:textId="77777777" w:rsidR="00735ADD" w:rsidRPr="00302CE5" w:rsidRDefault="00735ADD" w:rsidP="0001454F">
            <w:pPr>
              <w:pStyle w:val="TableText"/>
            </w:pPr>
            <w:r w:rsidRPr="00302CE5">
              <w:t>Observations</w:t>
            </w:r>
          </w:p>
        </w:tc>
        <w:tc>
          <w:tcPr>
            <w:tcW w:w="1250" w:type="pct"/>
            <w:tcBorders>
              <w:top w:val="nil"/>
              <w:left w:val="nil"/>
              <w:bottom w:val="nil"/>
              <w:right w:val="nil"/>
            </w:tcBorders>
            <w:shd w:val="clear" w:color="auto" w:fill="auto"/>
            <w:noWrap/>
            <w:vAlign w:val="center"/>
            <w:hideMark/>
          </w:tcPr>
          <w:p w14:paraId="5BFA01BD" w14:textId="77777777" w:rsidR="00735ADD" w:rsidRPr="00302CE5" w:rsidRDefault="00735ADD" w:rsidP="0001454F">
            <w:pPr>
              <w:pStyle w:val="TableText"/>
              <w:jc w:val="right"/>
              <w:rPr>
                <w:rFonts w:eastAsia="Times New Roman"/>
              </w:rPr>
            </w:pPr>
            <w:r w:rsidRPr="00302CE5">
              <w:rPr>
                <w:lang w:val="en-GB" w:eastAsia="zh-CN"/>
              </w:rPr>
              <w:t>8004</w:t>
            </w:r>
          </w:p>
        </w:tc>
        <w:tc>
          <w:tcPr>
            <w:tcW w:w="1250" w:type="pct"/>
            <w:tcBorders>
              <w:top w:val="nil"/>
              <w:left w:val="nil"/>
              <w:bottom w:val="nil"/>
              <w:right w:val="nil"/>
            </w:tcBorders>
            <w:shd w:val="clear" w:color="auto" w:fill="auto"/>
            <w:noWrap/>
            <w:vAlign w:val="center"/>
            <w:hideMark/>
          </w:tcPr>
          <w:p w14:paraId="21219916" w14:textId="77777777" w:rsidR="00735ADD" w:rsidRPr="00302CE5" w:rsidRDefault="00735ADD" w:rsidP="0001454F">
            <w:pPr>
              <w:pStyle w:val="TableText"/>
              <w:jc w:val="right"/>
              <w:rPr>
                <w:rFonts w:eastAsia="Times New Roman"/>
              </w:rPr>
            </w:pPr>
            <w:r w:rsidRPr="00302CE5">
              <w:rPr>
                <w:lang w:val="en-GB" w:eastAsia="zh-CN"/>
              </w:rPr>
              <w:t>8004</w:t>
            </w:r>
          </w:p>
        </w:tc>
        <w:tc>
          <w:tcPr>
            <w:tcW w:w="1250" w:type="pct"/>
            <w:tcBorders>
              <w:top w:val="nil"/>
              <w:left w:val="nil"/>
              <w:bottom w:val="nil"/>
              <w:right w:val="nil"/>
            </w:tcBorders>
            <w:shd w:val="clear" w:color="auto" w:fill="auto"/>
            <w:noWrap/>
            <w:vAlign w:val="center"/>
            <w:hideMark/>
          </w:tcPr>
          <w:p w14:paraId="20FAAA46" w14:textId="77777777" w:rsidR="00735ADD" w:rsidRPr="00302CE5" w:rsidRDefault="00735ADD" w:rsidP="0001454F">
            <w:pPr>
              <w:pStyle w:val="TableText"/>
              <w:jc w:val="right"/>
              <w:rPr>
                <w:rFonts w:eastAsia="Times New Roman"/>
              </w:rPr>
            </w:pPr>
            <w:r w:rsidRPr="00302CE5">
              <w:rPr>
                <w:lang w:val="en-GB" w:eastAsia="zh-CN"/>
              </w:rPr>
              <w:t>8004</w:t>
            </w:r>
          </w:p>
        </w:tc>
      </w:tr>
      <w:tr w:rsidR="00735ADD" w:rsidRPr="00302CE5" w14:paraId="27E134BB" w14:textId="77777777" w:rsidTr="00DC68CD">
        <w:trPr>
          <w:trHeight w:val="283"/>
        </w:trPr>
        <w:tc>
          <w:tcPr>
            <w:tcW w:w="1250" w:type="pct"/>
            <w:tcBorders>
              <w:top w:val="nil"/>
              <w:left w:val="nil"/>
              <w:bottom w:val="nil"/>
              <w:right w:val="nil"/>
            </w:tcBorders>
            <w:shd w:val="clear" w:color="auto" w:fill="auto"/>
            <w:noWrap/>
            <w:vAlign w:val="center"/>
            <w:hideMark/>
          </w:tcPr>
          <w:p w14:paraId="31C21547" w14:textId="77777777" w:rsidR="00735ADD" w:rsidRPr="00302CE5" w:rsidRDefault="00735ADD" w:rsidP="0001454F">
            <w:pPr>
              <w:pStyle w:val="TableText"/>
            </w:pPr>
            <w:r>
              <w:t>Year-fixed effects</w:t>
            </w:r>
          </w:p>
        </w:tc>
        <w:tc>
          <w:tcPr>
            <w:tcW w:w="1250" w:type="pct"/>
            <w:tcBorders>
              <w:top w:val="nil"/>
              <w:left w:val="nil"/>
              <w:bottom w:val="nil"/>
              <w:right w:val="nil"/>
            </w:tcBorders>
            <w:shd w:val="clear" w:color="auto" w:fill="auto"/>
            <w:noWrap/>
            <w:vAlign w:val="center"/>
            <w:hideMark/>
          </w:tcPr>
          <w:p w14:paraId="7DB70CF2" w14:textId="77777777" w:rsidR="00735ADD" w:rsidRPr="00302CE5" w:rsidRDefault="00735ADD" w:rsidP="0001454F">
            <w:pPr>
              <w:pStyle w:val="TableText"/>
              <w:jc w:val="right"/>
              <w:rPr>
                <w:rFonts w:eastAsia="Times New Roman"/>
              </w:rPr>
            </w:pPr>
            <w:r w:rsidRPr="00302CE5">
              <w:rPr>
                <w:lang w:val="en-GB" w:eastAsia="zh-CN"/>
              </w:rPr>
              <w:t>Yes</w:t>
            </w:r>
          </w:p>
        </w:tc>
        <w:tc>
          <w:tcPr>
            <w:tcW w:w="1250" w:type="pct"/>
            <w:tcBorders>
              <w:top w:val="nil"/>
              <w:left w:val="nil"/>
              <w:bottom w:val="nil"/>
              <w:right w:val="nil"/>
            </w:tcBorders>
            <w:shd w:val="clear" w:color="auto" w:fill="auto"/>
            <w:noWrap/>
            <w:vAlign w:val="center"/>
            <w:hideMark/>
          </w:tcPr>
          <w:p w14:paraId="72789D0B" w14:textId="77777777" w:rsidR="00735ADD" w:rsidRPr="00302CE5" w:rsidRDefault="00735ADD" w:rsidP="0001454F">
            <w:pPr>
              <w:pStyle w:val="TableText"/>
              <w:jc w:val="right"/>
              <w:rPr>
                <w:rFonts w:eastAsia="Times New Roman"/>
              </w:rPr>
            </w:pPr>
            <w:r w:rsidRPr="00302CE5">
              <w:rPr>
                <w:lang w:val="en-GB" w:eastAsia="zh-CN"/>
              </w:rPr>
              <w:t>Yes</w:t>
            </w:r>
          </w:p>
        </w:tc>
        <w:tc>
          <w:tcPr>
            <w:tcW w:w="1250" w:type="pct"/>
            <w:tcBorders>
              <w:top w:val="nil"/>
              <w:left w:val="nil"/>
              <w:bottom w:val="nil"/>
              <w:right w:val="nil"/>
            </w:tcBorders>
            <w:shd w:val="clear" w:color="auto" w:fill="auto"/>
            <w:noWrap/>
            <w:vAlign w:val="center"/>
            <w:hideMark/>
          </w:tcPr>
          <w:p w14:paraId="182D9606" w14:textId="77777777" w:rsidR="00735ADD" w:rsidRPr="00302CE5" w:rsidRDefault="00735ADD" w:rsidP="0001454F">
            <w:pPr>
              <w:pStyle w:val="TableText"/>
              <w:jc w:val="right"/>
              <w:rPr>
                <w:rFonts w:eastAsia="Times New Roman"/>
              </w:rPr>
            </w:pPr>
            <w:r w:rsidRPr="00302CE5">
              <w:rPr>
                <w:lang w:val="en-GB" w:eastAsia="zh-CN"/>
              </w:rPr>
              <w:t>Yes</w:t>
            </w:r>
          </w:p>
        </w:tc>
      </w:tr>
      <w:tr w:rsidR="00735ADD" w:rsidRPr="00302CE5" w14:paraId="0D4BA33D" w14:textId="77777777" w:rsidTr="00DC68CD">
        <w:trPr>
          <w:trHeight w:val="283"/>
        </w:trPr>
        <w:tc>
          <w:tcPr>
            <w:tcW w:w="1250" w:type="pct"/>
            <w:tcBorders>
              <w:top w:val="nil"/>
              <w:left w:val="nil"/>
              <w:bottom w:val="single" w:sz="4" w:space="0" w:color="auto"/>
              <w:right w:val="nil"/>
            </w:tcBorders>
            <w:shd w:val="clear" w:color="auto" w:fill="auto"/>
            <w:noWrap/>
            <w:vAlign w:val="center"/>
            <w:hideMark/>
          </w:tcPr>
          <w:p w14:paraId="05B0A787" w14:textId="77777777" w:rsidR="00735ADD" w:rsidRPr="00302CE5" w:rsidRDefault="00735ADD" w:rsidP="0001454F">
            <w:pPr>
              <w:pStyle w:val="TableText"/>
            </w:pPr>
            <w:r>
              <w:t>Firm-fixed effects</w:t>
            </w:r>
          </w:p>
        </w:tc>
        <w:tc>
          <w:tcPr>
            <w:tcW w:w="1250" w:type="pct"/>
            <w:tcBorders>
              <w:top w:val="nil"/>
              <w:left w:val="nil"/>
              <w:bottom w:val="single" w:sz="4" w:space="0" w:color="auto"/>
              <w:right w:val="nil"/>
            </w:tcBorders>
            <w:shd w:val="clear" w:color="auto" w:fill="auto"/>
            <w:noWrap/>
            <w:vAlign w:val="center"/>
            <w:hideMark/>
          </w:tcPr>
          <w:p w14:paraId="6517A55B" w14:textId="77777777" w:rsidR="00735ADD" w:rsidRPr="00302CE5" w:rsidRDefault="00735ADD" w:rsidP="0001454F">
            <w:pPr>
              <w:pStyle w:val="TableText"/>
              <w:jc w:val="right"/>
              <w:rPr>
                <w:rFonts w:eastAsia="Times New Roman"/>
              </w:rPr>
            </w:pPr>
            <w:r w:rsidRPr="00302CE5">
              <w:rPr>
                <w:lang w:val="en-GB" w:eastAsia="zh-CN"/>
              </w:rPr>
              <w:t>Yes</w:t>
            </w:r>
          </w:p>
        </w:tc>
        <w:tc>
          <w:tcPr>
            <w:tcW w:w="1250" w:type="pct"/>
            <w:tcBorders>
              <w:top w:val="nil"/>
              <w:left w:val="nil"/>
              <w:bottom w:val="single" w:sz="4" w:space="0" w:color="auto"/>
              <w:right w:val="nil"/>
            </w:tcBorders>
            <w:shd w:val="clear" w:color="auto" w:fill="auto"/>
            <w:noWrap/>
            <w:vAlign w:val="center"/>
            <w:hideMark/>
          </w:tcPr>
          <w:p w14:paraId="572F808E" w14:textId="77777777" w:rsidR="00735ADD" w:rsidRPr="00302CE5" w:rsidRDefault="00735ADD" w:rsidP="0001454F">
            <w:pPr>
              <w:pStyle w:val="TableText"/>
              <w:jc w:val="right"/>
              <w:rPr>
                <w:rFonts w:eastAsia="Times New Roman"/>
              </w:rPr>
            </w:pPr>
            <w:r w:rsidRPr="00302CE5">
              <w:rPr>
                <w:lang w:val="en-GB" w:eastAsia="zh-CN"/>
              </w:rPr>
              <w:t>Yes</w:t>
            </w:r>
          </w:p>
        </w:tc>
        <w:tc>
          <w:tcPr>
            <w:tcW w:w="1250" w:type="pct"/>
            <w:tcBorders>
              <w:top w:val="nil"/>
              <w:left w:val="nil"/>
              <w:bottom w:val="single" w:sz="4" w:space="0" w:color="auto"/>
              <w:right w:val="nil"/>
            </w:tcBorders>
            <w:shd w:val="clear" w:color="auto" w:fill="auto"/>
            <w:noWrap/>
            <w:vAlign w:val="center"/>
            <w:hideMark/>
          </w:tcPr>
          <w:p w14:paraId="5463A206" w14:textId="77777777" w:rsidR="00735ADD" w:rsidRPr="00302CE5" w:rsidRDefault="00735ADD" w:rsidP="0001454F">
            <w:pPr>
              <w:pStyle w:val="TableText"/>
              <w:jc w:val="right"/>
              <w:rPr>
                <w:rFonts w:eastAsia="Times New Roman"/>
              </w:rPr>
            </w:pPr>
            <w:r w:rsidRPr="00302CE5">
              <w:rPr>
                <w:lang w:val="en-GB" w:eastAsia="zh-CN"/>
              </w:rPr>
              <w:t>Yes</w:t>
            </w:r>
          </w:p>
        </w:tc>
      </w:tr>
      <w:tr w:rsidR="00735ADD" w:rsidRPr="00323BB0" w14:paraId="15760C5B" w14:textId="77777777" w:rsidTr="00DC68CD">
        <w:trPr>
          <w:trHeight w:val="283"/>
        </w:trPr>
        <w:tc>
          <w:tcPr>
            <w:tcW w:w="5000" w:type="pct"/>
            <w:gridSpan w:val="4"/>
            <w:tcBorders>
              <w:top w:val="single" w:sz="4" w:space="0" w:color="auto"/>
              <w:left w:val="nil"/>
              <w:bottom w:val="single" w:sz="4" w:space="0" w:color="auto"/>
              <w:right w:val="nil"/>
            </w:tcBorders>
            <w:shd w:val="clear" w:color="auto" w:fill="auto"/>
            <w:noWrap/>
            <w:vAlign w:val="center"/>
          </w:tcPr>
          <w:p w14:paraId="29C21395" w14:textId="366FA1F6" w:rsidR="00735ADD" w:rsidRPr="0001454F" w:rsidRDefault="00735ADD" w:rsidP="0001454F">
            <w:pPr>
              <w:pStyle w:val="TableText"/>
              <w:jc w:val="center"/>
              <w:rPr>
                <w:rFonts w:eastAsia="SimSun"/>
                <w:b/>
                <w:bCs/>
                <w:color w:val="000000"/>
                <w:lang w:val="en-GB" w:eastAsia="zh-CN"/>
              </w:rPr>
            </w:pPr>
            <w:r w:rsidRPr="0001454F">
              <w:rPr>
                <w:rFonts w:eastAsia="SimSun"/>
                <w:b/>
                <w:bCs/>
                <w:color w:val="000000"/>
                <w:lang w:val="en-GB" w:eastAsia="zh-CN"/>
              </w:rPr>
              <w:t xml:space="preserve">Panel B: </w:t>
            </w:r>
            <w:r w:rsidRPr="0001454F">
              <w:rPr>
                <w:b/>
                <w:bCs/>
              </w:rPr>
              <w:t>Tone of managers and participants</w:t>
            </w:r>
          </w:p>
        </w:tc>
      </w:tr>
      <w:tr w:rsidR="00735ADD" w:rsidRPr="00DD6492" w14:paraId="0240444B" w14:textId="77777777" w:rsidTr="00DC68CD">
        <w:trPr>
          <w:trHeight w:val="283"/>
        </w:trPr>
        <w:tc>
          <w:tcPr>
            <w:tcW w:w="1250" w:type="pct"/>
            <w:tcBorders>
              <w:top w:val="single" w:sz="4" w:space="0" w:color="auto"/>
              <w:left w:val="nil"/>
              <w:bottom w:val="nil"/>
              <w:right w:val="nil"/>
            </w:tcBorders>
            <w:shd w:val="clear" w:color="auto" w:fill="auto"/>
            <w:noWrap/>
            <w:vAlign w:val="center"/>
            <w:hideMark/>
          </w:tcPr>
          <w:p w14:paraId="6CC4AEA3" w14:textId="77777777" w:rsidR="00735ADD" w:rsidRPr="00DD6492" w:rsidRDefault="008D48AD" w:rsidP="0001454F">
            <w:pPr>
              <w:pStyle w:val="TableText"/>
              <w:rPr>
                <w:rFonts w:eastAsia="SimSun"/>
              </w:rPr>
            </w:pPr>
            <m:oMathPara>
              <m:oMathParaPr>
                <m:jc m:val="left"/>
              </m:oMathParaPr>
              <m:oMath>
                <m:sSub>
                  <m:sSubPr>
                    <m:ctrlPr>
                      <w:rPr>
                        <w:rFonts w:ascii="Cambria Math" w:hAnsi="Cambria Math"/>
                      </w:rPr>
                    </m:ctrlPr>
                  </m:sSubPr>
                  <m:e>
                    <m:r>
                      <w:rPr>
                        <w:rFonts w:ascii="Cambria Math" w:hAnsi="Cambria Math"/>
                      </w:rPr>
                      <m:t>TONE</m:t>
                    </m:r>
                    <m:r>
                      <m:rPr>
                        <m:sty m:val="p"/>
                      </m:rPr>
                      <w:rPr>
                        <w:rFonts w:ascii="Cambria Math" w:hAnsi="Cambria Math"/>
                      </w:rPr>
                      <m:t>_</m:t>
                    </m:r>
                    <m:r>
                      <w:rPr>
                        <w:rFonts w:ascii="Cambria Math" w:hAnsi="Cambria Math"/>
                      </w:rPr>
                      <m:t>MAN</m:t>
                    </m:r>
                  </m:e>
                  <m:sub>
                    <m:r>
                      <w:rPr>
                        <w:rFonts w:ascii="Cambria Math" w:hAnsi="Cambria Math"/>
                      </w:rPr>
                      <m:t>t</m:t>
                    </m:r>
                    <m:r>
                      <m:rPr>
                        <m:sty m:val="p"/>
                      </m:rPr>
                      <w:rPr>
                        <w:rFonts w:ascii="Cambria Math" w:hAnsi="Cambria Math"/>
                      </w:rPr>
                      <m:t>-1</m:t>
                    </m:r>
                  </m:sub>
                </m:sSub>
              </m:oMath>
            </m:oMathPara>
          </w:p>
        </w:tc>
        <w:tc>
          <w:tcPr>
            <w:tcW w:w="1250" w:type="pct"/>
            <w:tcBorders>
              <w:top w:val="single" w:sz="4" w:space="0" w:color="auto"/>
              <w:left w:val="nil"/>
              <w:bottom w:val="nil"/>
              <w:right w:val="nil"/>
            </w:tcBorders>
            <w:shd w:val="clear" w:color="auto" w:fill="auto"/>
            <w:noWrap/>
            <w:vAlign w:val="bottom"/>
            <w:hideMark/>
          </w:tcPr>
          <w:p w14:paraId="506C8A2A" w14:textId="77777777" w:rsidR="00735ADD" w:rsidRPr="00DD6492" w:rsidRDefault="00735ADD" w:rsidP="0001454F">
            <w:pPr>
              <w:pStyle w:val="TableText"/>
              <w:jc w:val="right"/>
              <w:rPr>
                <w:rFonts w:eastAsia="Times New Roman"/>
              </w:rPr>
            </w:pPr>
            <w:r w:rsidRPr="00DD6492">
              <w:t>-0.049**</w:t>
            </w:r>
          </w:p>
        </w:tc>
        <w:tc>
          <w:tcPr>
            <w:tcW w:w="1250" w:type="pct"/>
            <w:tcBorders>
              <w:top w:val="single" w:sz="4" w:space="0" w:color="auto"/>
              <w:left w:val="nil"/>
              <w:bottom w:val="nil"/>
              <w:right w:val="nil"/>
            </w:tcBorders>
            <w:shd w:val="clear" w:color="auto" w:fill="auto"/>
            <w:noWrap/>
            <w:vAlign w:val="bottom"/>
            <w:hideMark/>
          </w:tcPr>
          <w:p w14:paraId="6EFD5D46" w14:textId="77777777" w:rsidR="00735ADD" w:rsidRPr="00DD6492" w:rsidRDefault="00735ADD" w:rsidP="0001454F">
            <w:pPr>
              <w:pStyle w:val="TableText"/>
              <w:jc w:val="right"/>
              <w:rPr>
                <w:rFonts w:eastAsia="Times New Roman"/>
              </w:rPr>
            </w:pPr>
            <w:r w:rsidRPr="00DD6492">
              <w:t>-0.090***</w:t>
            </w:r>
          </w:p>
        </w:tc>
        <w:tc>
          <w:tcPr>
            <w:tcW w:w="1250" w:type="pct"/>
            <w:tcBorders>
              <w:top w:val="single" w:sz="4" w:space="0" w:color="auto"/>
              <w:left w:val="nil"/>
              <w:bottom w:val="nil"/>
              <w:right w:val="nil"/>
            </w:tcBorders>
            <w:shd w:val="clear" w:color="auto" w:fill="auto"/>
            <w:noWrap/>
            <w:vAlign w:val="bottom"/>
            <w:hideMark/>
          </w:tcPr>
          <w:p w14:paraId="08F0357A" w14:textId="77777777" w:rsidR="00735ADD" w:rsidRPr="00DD6492" w:rsidRDefault="00735ADD" w:rsidP="0001454F">
            <w:pPr>
              <w:pStyle w:val="TableText"/>
              <w:jc w:val="right"/>
              <w:rPr>
                <w:rFonts w:eastAsia="Times New Roman"/>
              </w:rPr>
            </w:pPr>
            <w:r w:rsidRPr="00DD6492">
              <w:t>-0.053***</w:t>
            </w:r>
          </w:p>
        </w:tc>
      </w:tr>
      <w:tr w:rsidR="00735ADD" w:rsidRPr="00DD6492" w14:paraId="44880CD0" w14:textId="77777777" w:rsidTr="00DC68CD">
        <w:trPr>
          <w:trHeight w:val="283"/>
        </w:trPr>
        <w:tc>
          <w:tcPr>
            <w:tcW w:w="1250" w:type="pct"/>
            <w:tcBorders>
              <w:top w:val="nil"/>
              <w:left w:val="nil"/>
              <w:bottom w:val="nil"/>
              <w:right w:val="nil"/>
            </w:tcBorders>
            <w:shd w:val="clear" w:color="auto" w:fill="auto"/>
            <w:noWrap/>
            <w:vAlign w:val="center"/>
            <w:hideMark/>
          </w:tcPr>
          <w:p w14:paraId="7688A2D8" w14:textId="77777777" w:rsidR="00735ADD" w:rsidRPr="00DD6492" w:rsidRDefault="00735ADD" w:rsidP="0001454F">
            <w:pPr>
              <w:pStyle w:val="TableText"/>
            </w:pPr>
          </w:p>
        </w:tc>
        <w:tc>
          <w:tcPr>
            <w:tcW w:w="1250" w:type="pct"/>
            <w:tcBorders>
              <w:top w:val="nil"/>
              <w:left w:val="nil"/>
              <w:bottom w:val="nil"/>
              <w:right w:val="nil"/>
            </w:tcBorders>
            <w:shd w:val="clear" w:color="auto" w:fill="auto"/>
            <w:noWrap/>
            <w:vAlign w:val="bottom"/>
            <w:hideMark/>
          </w:tcPr>
          <w:p w14:paraId="72DC421D" w14:textId="77777777" w:rsidR="00735ADD" w:rsidRPr="00DD6492" w:rsidRDefault="00735ADD" w:rsidP="0001454F">
            <w:pPr>
              <w:pStyle w:val="TableText"/>
              <w:jc w:val="right"/>
              <w:rPr>
                <w:rFonts w:eastAsia="Times New Roman"/>
              </w:rPr>
            </w:pPr>
            <w:r w:rsidRPr="00DD6492">
              <w:t>(-2.40)</w:t>
            </w:r>
          </w:p>
        </w:tc>
        <w:tc>
          <w:tcPr>
            <w:tcW w:w="1250" w:type="pct"/>
            <w:tcBorders>
              <w:top w:val="nil"/>
              <w:left w:val="nil"/>
              <w:bottom w:val="nil"/>
              <w:right w:val="nil"/>
            </w:tcBorders>
            <w:shd w:val="clear" w:color="auto" w:fill="auto"/>
            <w:noWrap/>
            <w:vAlign w:val="bottom"/>
            <w:hideMark/>
          </w:tcPr>
          <w:p w14:paraId="06E136DE" w14:textId="77777777" w:rsidR="00735ADD" w:rsidRPr="00DD6492" w:rsidRDefault="00735ADD" w:rsidP="0001454F">
            <w:pPr>
              <w:pStyle w:val="TableText"/>
              <w:jc w:val="right"/>
              <w:rPr>
                <w:rFonts w:eastAsia="Times New Roman"/>
              </w:rPr>
            </w:pPr>
            <w:r w:rsidRPr="00DD6492">
              <w:t>(-3.32)</w:t>
            </w:r>
          </w:p>
        </w:tc>
        <w:tc>
          <w:tcPr>
            <w:tcW w:w="1250" w:type="pct"/>
            <w:tcBorders>
              <w:top w:val="nil"/>
              <w:left w:val="nil"/>
              <w:bottom w:val="nil"/>
              <w:right w:val="nil"/>
            </w:tcBorders>
            <w:shd w:val="clear" w:color="auto" w:fill="auto"/>
            <w:noWrap/>
            <w:vAlign w:val="bottom"/>
            <w:hideMark/>
          </w:tcPr>
          <w:p w14:paraId="09029E85" w14:textId="77777777" w:rsidR="00735ADD" w:rsidRPr="00DD6492" w:rsidRDefault="00735ADD" w:rsidP="0001454F">
            <w:pPr>
              <w:pStyle w:val="TableText"/>
              <w:jc w:val="right"/>
              <w:rPr>
                <w:rFonts w:eastAsia="Times New Roman"/>
              </w:rPr>
            </w:pPr>
            <w:r w:rsidRPr="00DD6492">
              <w:t>(-3.06)</w:t>
            </w:r>
          </w:p>
        </w:tc>
      </w:tr>
      <w:tr w:rsidR="00735ADD" w:rsidRPr="00DD6492" w14:paraId="7EC1C2AB" w14:textId="77777777" w:rsidTr="00DC68CD">
        <w:trPr>
          <w:trHeight w:val="283"/>
        </w:trPr>
        <w:tc>
          <w:tcPr>
            <w:tcW w:w="1250" w:type="pct"/>
            <w:tcBorders>
              <w:top w:val="nil"/>
              <w:left w:val="nil"/>
              <w:bottom w:val="nil"/>
              <w:right w:val="nil"/>
            </w:tcBorders>
            <w:shd w:val="clear" w:color="auto" w:fill="auto"/>
            <w:noWrap/>
            <w:vAlign w:val="center"/>
            <w:hideMark/>
          </w:tcPr>
          <w:p w14:paraId="32605FC1" w14:textId="77777777" w:rsidR="00735ADD" w:rsidRPr="00DD6492" w:rsidRDefault="008D48AD" w:rsidP="0001454F">
            <w:pPr>
              <w:pStyle w:val="TableText"/>
              <w:rPr>
                <w:rFonts w:eastAsia="SimSun"/>
              </w:rPr>
            </w:pPr>
            <m:oMathPara>
              <m:oMathParaPr>
                <m:jc m:val="left"/>
              </m:oMathParaPr>
              <m:oMath>
                <m:sSub>
                  <m:sSubPr>
                    <m:ctrlPr>
                      <w:rPr>
                        <w:rFonts w:ascii="Cambria Math" w:hAnsi="Cambria Math"/>
                      </w:rPr>
                    </m:ctrlPr>
                  </m:sSubPr>
                  <m:e>
                    <m:r>
                      <w:rPr>
                        <w:rFonts w:ascii="Cambria Math" w:hAnsi="Cambria Math"/>
                      </w:rPr>
                      <m:t>TONE</m:t>
                    </m:r>
                    <m:r>
                      <m:rPr>
                        <m:sty m:val="p"/>
                      </m:rPr>
                      <w:rPr>
                        <w:rFonts w:ascii="Cambria Math" w:hAnsi="Cambria Math"/>
                      </w:rPr>
                      <m:t>_</m:t>
                    </m:r>
                    <m:r>
                      <w:rPr>
                        <w:rFonts w:ascii="Cambria Math" w:hAnsi="Cambria Math"/>
                      </w:rPr>
                      <m:t>PAR</m:t>
                    </m:r>
                  </m:e>
                  <m:sub>
                    <m:r>
                      <w:rPr>
                        <w:rFonts w:ascii="Cambria Math" w:hAnsi="Cambria Math"/>
                      </w:rPr>
                      <m:t>t</m:t>
                    </m:r>
                    <m:r>
                      <m:rPr>
                        <m:sty m:val="p"/>
                      </m:rPr>
                      <w:rPr>
                        <w:rFonts w:ascii="Cambria Math" w:hAnsi="Cambria Math"/>
                      </w:rPr>
                      <m:t>-1</m:t>
                    </m:r>
                  </m:sub>
                </m:sSub>
              </m:oMath>
            </m:oMathPara>
          </w:p>
        </w:tc>
        <w:tc>
          <w:tcPr>
            <w:tcW w:w="1250" w:type="pct"/>
            <w:tcBorders>
              <w:top w:val="nil"/>
              <w:left w:val="nil"/>
              <w:bottom w:val="nil"/>
              <w:right w:val="nil"/>
            </w:tcBorders>
            <w:shd w:val="clear" w:color="auto" w:fill="auto"/>
            <w:noWrap/>
            <w:vAlign w:val="bottom"/>
            <w:hideMark/>
          </w:tcPr>
          <w:p w14:paraId="364640F0" w14:textId="77777777" w:rsidR="00735ADD" w:rsidRPr="00DD6492" w:rsidRDefault="00735ADD" w:rsidP="0001454F">
            <w:pPr>
              <w:pStyle w:val="TableText"/>
              <w:jc w:val="right"/>
              <w:rPr>
                <w:rFonts w:eastAsia="Times New Roman"/>
              </w:rPr>
            </w:pPr>
            <w:r w:rsidRPr="00DD6492">
              <w:t>-0.014</w:t>
            </w:r>
          </w:p>
        </w:tc>
        <w:tc>
          <w:tcPr>
            <w:tcW w:w="1250" w:type="pct"/>
            <w:tcBorders>
              <w:top w:val="nil"/>
              <w:left w:val="nil"/>
              <w:bottom w:val="nil"/>
              <w:right w:val="nil"/>
            </w:tcBorders>
            <w:shd w:val="clear" w:color="auto" w:fill="auto"/>
            <w:noWrap/>
            <w:vAlign w:val="bottom"/>
            <w:hideMark/>
          </w:tcPr>
          <w:p w14:paraId="4035F827" w14:textId="77777777" w:rsidR="00735ADD" w:rsidRPr="00DD6492" w:rsidRDefault="00735ADD" w:rsidP="0001454F">
            <w:pPr>
              <w:pStyle w:val="TableText"/>
              <w:jc w:val="right"/>
              <w:rPr>
                <w:rFonts w:eastAsia="Times New Roman"/>
              </w:rPr>
            </w:pPr>
            <w:r w:rsidRPr="00DD6492">
              <w:t>-0.046**</w:t>
            </w:r>
          </w:p>
        </w:tc>
        <w:tc>
          <w:tcPr>
            <w:tcW w:w="1250" w:type="pct"/>
            <w:tcBorders>
              <w:top w:val="nil"/>
              <w:left w:val="nil"/>
              <w:bottom w:val="nil"/>
              <w:right w:val="nil"/>
            </w:tcBorders>
            <w:shd w:val="clear" w:color="auto" w:fill="auto"/>
            <w:noWrap/>
            <w:vAlign w:val="bottom"/>
            <w:hideMark/>
          </w:tcPr>
          <w:p w14:paraId="717DB626" w14:textId="77777777" w:rsidR="00735ADD" w:rsidRPr="00DD6492" w:rsidRDefault="00735ADD" w:rsidP="0001454F">
            <w:pPr>
              <w:pStyle w:val="TableText"/>
              <w:jc w:val="right"/>
              <w:rPr>
                <w:rFonts w:eastAsia="Times New Roman"/>
              </w:rPr>
            </w:pPr>
            <w:r w:rsidRPr="00DD6492">
              <w:t>-0.031**</w:t>
            </w:r>
          </w:p>
        </w:tc>
      </w:tr>
      <w:tr w:rsidR="00735ADD" w:rsidRPr="00DD6492" w14:paraId="21B9AC8C" w14:textId="77777777" w:rsidTr="00DC68CD">
        <w:trPr>
          <w:trHeight w:val="283"/>
        </w:trPr>
        <w:tc>
          <w:tcPr>
            <w:tcW w:w="1250" w:type="pct"/>
            <w:tcBorders>
              <w:top w:val="nil"/>
              <w:left w:val="nil"/>
              <w:bottom w:val="nil"/>
              <w:right w:val="nil"/>
            </w:tcBorders>
            <w:shd w:val="clear" w:color="auto" w:fill="auto"/>
            <w:noWrap/>
            <w:vAlign w:val="center"/>
            <w:hideMark/>
          </w:tcPr>
          <w:p w14:paraId="6A56057E" w14:textId="77777777" w:rsidR="00735ADD" w:rsidRPr="00DD6492" w:rsidRDefault="00735ADD" w:rsidP="0001454F">
            <w:pPr>
              <w:pStyle w:val="TableText"/>
            </w:pPr>
          </w:p>
        </w:tc>
        <w:tc>
          <w:tcPr>
            <w:tcW w:w="1250" w:type="pct"/>
            <w:tcBorders>
              <w:top w:val="nil"/>
              <w:left w:val="nil"/>
              <w:bottom w:val="nil"/>
              <w:right w:val="nil"/>
            </w:tcBorders>
            <w:shd w:val="clear" w:color="auto" w:fill="auto"/>
            <w:noWrap/>
            <w:vAlign w:val="bottom"/>
            <w:hideMark/>
          </w:tcPr>
          <w:p w14:paraId="011D97DB" w14:textId="77777777" w:rsidR="00735ADD" w:rsidRPr="00DD6492" w:rsidRDefault="00735ADD" w:rsidP="0001454F">
            <w:pPr>
              <w:pStyle w:val="TableText"/>
              <w:jc w:val="right"/>
              <w:rPr>
                <w:rFonts w:eastAsia="Times New Roman"/>
              </w:rPr>
            </w:pPr>
            <w:r w:rsidRPr="00DD6492">
              <w:t>(-0.99)</w:t>
            </w:r>
          </w:p>
        </w:tc>
        <w:tc>
          <w:tcPr>
            <w:tcW w:w="1250" w:type="pct"/>
            <w:tcBorders>
              <w:top w:val="nil"/>
              <w:left w:val="nil"/>
              <w:bottom w:val="nil"/>
              <w:right w:val="nil"/>
            </w:tcBorders>
            <w:shd w:val="clear" w:color="auto" w:fill="auto"/>
            <w:noWrap/>
            <w:vAlign w:val="bottom"/>
            <w:hideMark/>
          </w:tcPr>
          <w:p w14:paraId="6757614E" w14:textId="77777777" w:rsidR="00735ADD" w:rsidRPr="00DD6492" w:rsidRDefault="00735ADD" w:rsidP="0001454F">
            <w:pPr>
              <w:pStyle w:val="TableText"/>
              <w:jc w:val="right"/>
              <w:rPr>
                <w:rFonts w:eastAsia="Times New Roman"/>
              </w:rPr>
            </w:pPr>
            <w:r w:rsidRPr="00DD6492">
              <w:t>(-2.39)</w:t>
            </w:r>
          </w:p>
        </w:tc>
        <w:tc>
          <w:tcPr>
            <w:tcW w:w="1250" w:type="pct"/>
            <w:tcBorders>
              <w:top w:val="nil"/>
              <w:left w:val="nil"/>
              <w:bottom w:val="nil"/>
              <w:right w:val="nil"/>
            </w:tcBorders>
            <w:shd w:val="clear" w:color="auto" w:fill="auto"/>
            <w:noWrap/>
            <w:vAlign w:val="bottom"/>
            <w:hideMark/>
          </w:tcPr>
          <w:p w14:paraId="1E3CE8BF" w14:textId="77777777" w:rsidR="00735ADD" w:rsidRPr="00DD6492" w:rsidRDefault="00735ADD" w:rsidP="0001454F">
            <w:pPr>
              <w:pStyle w:val="TableText"/>
              <w:jc w:val="right"/>
              <w:rPr>
                <w:rFonts w:eastAsia="Times New Roman"/>
              </w:rPr>
            </w:pPr>
            <w:r w:rsidRPr="00DD6492">
              <w:t>(-2.57)</w:t>
            </w:r>
          </w:p>
        </w:tc>
      </w:tr>
      <w:tr w:rsidR="00735ADD" w:rsidRPr="00302CE5" w14:paraId="6FACB769" w14:textId="77777777" w:rsidTr="00DC68CD">
        <w:trPr>
          <w:trHeight w:val="283"/>
        </w:trPr>
        <w:tc>
          <w:tcPr>
            <w:tcW w:w="1250" w:type="pct"/>
            <w:tcBorders>
              <w:top w:val="nil"/>
              <w:left w:val="nil"/>
              <w:bottom w:val="nil"/>
              <w:right w:val="nil"/>
            </w:tcBorders>
            <w:shd w:val="clear" w:color="auto" w:fill="auto"/>
            <w:noWrap/>
            <w:vAlign w:val="center"/>
            <w:hideMark/>
          </w:tcPr>
          <w:p w14:paraId="6B1D436F" w14:textId="77777777" w:rsidR="00735ADD" w:rsidRPr="00302CE5" w:rsidRDefault="00735ADD" w:rsidP="0001454F">
            <w:pPr>
              <w:pStyle w:val="TableText"/>
            </w:pPr>
            <w:r w:rsidRPr="00302CE5">
              <w:t xml:space="preserve">Adjusted </w:t>
            </w:r>
            <m:oMath>
              <m:sSup>
                <m:sSupPr>
                  <m:ctrlPr>
                    <w:rPr>
                      <w:rFonts w:ascii="Cambria Math" w:hAnsi="Cambria Math"/>
                      <w:i/>
                    </w:rPr>
                  </m:ctrlPr>
                </m:sSupPr>
                <m:e>
                  <m:r>
                    <w:rPr>
                      <w:rFonts w:ascii="Cambria Math" w:hAnsi="Cambria Math"/>
                    </w:rPr>
                    <m:t>R</m:t>
                  </m:r>
                </m:e>
                <m:sup>
                  <m:r>
                    <w:rPr>
                      <w:rFonts w:ascii="Cambria Math" w:hAnsi="Cambria Math"/>
                    </w:rPr>
                    <m:t>2</m:t>
                  </m:r>
                </m:sup>
              </m:sSup>
            </m:oMath>
          </w:p>
        </w:tc>
        <w:tc>
          <w:tcPr>
            <w:tcW w:w="1250" w:type="pct"/>
            <w:tcBorders>
              <w:top w:val="nil"/>
              <w:left w:val="nil"/>
              <w:bottom w:val="nil"/>
              <w:right w:val="nil"/>
            </w:tcBorders>
            <w:shd w:val="clear" w:color="auto" w:fill="auto"/>
            <w:noWrap/>
            <w:vAlign w:val="center"/>
            <w:hideMark/>
          </w:tcPr>
          <w:p w14:paraId="5CB0EB97" w14:textId="77777777" w:rsidR="00735ADD" w:rsidRPr="00302CE5" w:rsidRDefault="00735ADD" w:rsidP="0001454F">
            <w:pPr>
              <w:pStyle w:val="TableText"/>
              <w:jc w:val="right"/>
              <w:rPr>
                <w:rFonts w:eastAsia="Times New Roman"/>
              </w:rPr>
            </w:pPr>
            <w:r w:rsidRPr="00302CE5">
              <w:rPr>
                <w:lang w:val="en-GB" w:eastAsia="zh-CN"/>
              </w:rPr>
              <w:t>0.06</w:t>
            </w:r>
          </w:p>
        </w:tc>
        <w:tc>
          <w:tcPr>
            <w:tcW w:w="1250" w:type="pct"/>
            <w:tcBorders>
              <w:top w:val="nil"/>
              <w:left w:val="nil"/>
              <w:bottom w:val="nil"/>
              <w:right w:val="nil"/>
            </w:tcBorders>
            <w:shd w:val="clear" w:color="auto" w:fill="auto"/>
            <w:noWrap/>
            <w:vAlign w:val="center"/>
            <w:hideMark/>
          </w:tcPr>
          <w:p w14:paraId="0A4AD9D9" w14:textId="77777777" w:rsidR="00735ADD" w:rsidRPr="00302CE5" w:rsidRDefault="00735ADD" w:rsidP="0001454F">
            <w:pPr>
              <w:pStyle w:val="TableText"/>
              <w:jc w:val="right"/>
              <w:rPr>
                <w:rFonts w:eastAsia="Times New Roman"/>
              </w:rPr>
            </w:pPr>
            <w:r w:rsidRPr="00302CE5">
              <w:rPr>
                <w:lang w:val="en-GB" w:eastAsia="zh-CN"/>
              </w:rPr>
              <w:t>0.10</w:t>
            </w:r>
          </w:p>
        </w:tc>
        <w:tc>
          <w:tcPr>
            <w:tcW w:w="1250" w:type="pct"/>
            <w:tcBorders>
              <w:top w:val="nil"/>
              <w:left w:val="nil"/>
              <w:bottom w:val="nil"/>
              <w:right w:val="nil"/>
            </w:tcBorders>
            <w:shd w:val="clear" w:color="auto" w:fill="auto"/>
            <w:noWrap/>
            <w:vAlign w:val="center"/>
            <w:hideMark/>
          </w:tcPr>
          <w:p w14:paraId="74941313" w14:textId="77777777" w:rsidR="00735ADD" w:rsidRPr="00302CE5" w:rsidRDefault="00735ADD" w:rsidP="0001454F">
            <w:pPr>
              <w:pStyle w:val="TableText"/>
              <w:jc w:val="right"/>
              <w:rPr>
                <w:rFonts w:eastAsia="Times New Roman"/>
              </w:rPr>
            </w:pPr>
            <w:r w:rsidRPr="00302CE5">
              <w:rPr>
                <w:lang w:val="en-GB" w:eastAsia="zh-CN"/>
              </w:rPr>
              <w:t>0.10</w:t>
            </w:r>
          </w:p>
        </w:tc>
      </w:tr>
      <w:tr w:rsidR="00735ADD" w:rsidRPr="00302CE5" w14:paraId="4654382B" w14:textId="77777777" w:rsidTr="00DC68CD">
        <w:trPr>
          <w:trHeight w:val="283"/>
        </w:trPr>
        <w:tc>
          <w:tcPr>
            <w:tcW w:w="1250" w:type="pct"/>
            <w:tcBorders>
              <w:top w:val="nil"/>
              <w:left w:val="nil"/>
              <w:bottom w:val="nil"/>
              <w:right w:val="nil"/>
            </w:tcBorders>
            <w:shd w:val="clear" w:color="auto" w:fill="auto"/>
            <w:noWrap/>
            <w:vAlign w:val="center"/>
          </w:tcPr>
          <w:p w14:paraId="50052C8E" w14:textId="77777777" w:rsidR="00735ADD" w:rsidRPr="00302CE5" w:rsidRDefault="00735ADD" w:rsidP="0001454F">
            <w:pPr>
              <w:pStyle w:val="TableText"/>
            </w:pPr>
            <w:r w:rsidRPr="00302CE5">
              <w:t>Controls</w:t>
            </w:r>
          </w:p>
        </w:tc>
        <w:tc>
          <w:tcPr>
            <w:tcW w:w="1250" w:type="pct"/>
            <w:tcBorders>
              <w:top w:val="nil"/>
              <w:left w:val="nil"/>
              <w:bottom w:val="nil"/>
              <w:right w:val="nil"/>
            </w:tcBorders>
            <w:shd w:val="clear" w:color="auto" w:fill="auto"/>
            <w:noWrap/>
            <w:vAlign w:val="center"/>
          </w:tcPr>
          <w:p w14:paraId="718B35B3" w14:textId="77777777" w:rsidR="00735ADD" w:rsidRPr="00302CE5" w:rsidRDefault="00735ADD" w:rsidP="0001454F">
            <w:pPr>
              <w:pStyle w:val="TableText"/>
              <w:jc w:val="right"/>
              <w:rPr>
                <w:lang w:val="en-GB" w:eastAsia="zh-CN"/>
              </w:rPr>
            </w:pPr>
            <w:r w:rsidRPr="00302CE5">
              <w:rPr>
                <w:lang w:val="en-GB" w:eastAsia="zh-CN"/>
              </w:rPr>
              <w:t>Yes</w:t>
            </w:r>
          </w:p>
        </w:tc>
        <w:tc>
          <w:tcPr>
            <w:tcW w:w="1250" w:type="pct"/>
            <w:tcBorders>
              <w:top w:val="nil"/>
              <w:left w:val="nil"/>
              <w:bottom w:val="nil"/>
              <w:right w:val="nil"/>
            </w:tcBorders>
            <w:shd w:val="clear" w:color="auto" w:fill="auto"/>
            <w:noWrap/>
            <w:vAlign w:val="center"/>
          </w:tcPr>
          <w:p w14:paraId="0498065F" w14:textId="77777777" w:rsidR="00735ADD" w:rsidRPr="00302CE5" w:rsidRDefault="00735ADD" w:rsidP="0001454F">
            <w:pPr>
              <w:pStyle w:val="TableText"/>
              <w:jc w:val="right"/>
              <w:rPr>
                <w:lang w:val="en-GB" w:eastAsia="zh-CN"/>
              </w:rPr>
            </w:pPr>
            <w:r w:rsidRPr="00302CE5">
              <w:rPr>
                <w:lang w:val="en-GB" w:eastAsia="zh-CN"/>
              </w:rPr>
              <w:t>Yes</w:t>
            </w:r>
          </w:p>
        </w:tc>
        <w:tc>
          <w:tcPr>
            <w:tcW w:w="1250" w:type="pct"/>
            <w:tcBorders>
              <w:top w:val="nil"/>
              <w:left w:val="nil"/>
              <w:bottom w:val="nil"/>
              <w:right w:val="nil"/>
            </w:tcBorders>
            <w:shd w:val="clear" w:color="auto" w:fill="auto"/>
            <w:noWrap/>
            <w:vAlign w:val="center"/>
          </w:tcPr>
          <w:p w14:paraId="5739252E" w14:textId="77777777" w:rsidR="00735ADD" w:rsidRPr="00302CE5" w:rsidRDefault="00735ADD" w:rsidP="0001454F">
            <w:pPr>
              <w:pStyle w:val="TableText"/>
              <w:jc w:val="right"/>
              <w:rPr>
                <w:lang w:val="en-GB" w:eastAsia="zh-CN"/>
              </w:rPr>
            </w:pPr>
            <w:r w:rsidRPr="00302CE5">
              <w:rPr>
                <w:lang w:val="en-GB" w:eastAsia="zh-CN"/>
              </w:rPr>
              <w:t>Yes</w:t>
            </w:r>
          </w:p>
        </w:tc>
      </w:tr>
      <w:tr w:rsidR="00735ADD" w:rsidRPr="00302CE5" w14:paraId="710074A6" w14:textId="77777777" w:rsidTr="00DC68CD">
        <w:trPr>
          <w:trHeight w:val="283"/>
        </w:trPr>
        <w:tc>
          <w:tcPr>
            <w:tcW w:w="1250" w:type="pct"/>
            <w:tcBorders>
              <w:top w:val="nil"/>
              <w:left w:val="nil"/>
              <w:bottom w:val="nil"/>
              <w:right w:val="nil"/>
            </w:tcBorders>
            <w:shd w:val="clear" w:color="auto" w:fill="auto"/>
            <w:noWrap/>
            <w:vAlign w:val="center"/>
            <w:hideMark/>
          </w:tcPr>
          <w:p w14:paraId="27FB9706" w14:textId="77777777" w:rsidR="00735ADD" w:rsidRPr="00302CE5" w:rsidRDefault="00735ADD" w:rsidP="0001454F">
            <w:pPr>
              <w:pStyle w:val="TableText"/>
            </w:pPr>
            <w:r w:rsidRPr="00302CE5">
              <w:t>Observations</w:t>
            </w:r>
          </w:p>
        </w:tc>
        <w:tc>
          <w:tcPr>
            <w:tcW w:w="1250" w:type="pct"/>
            <w:tcBorders>
              <w:top w:val="nil"/>
              <w:left w:val="nil"/>
              <w:bottom w:val="nil"/>
              <w:right w:val="nil"/>
            </w:tcBorders>
            <w:shd w:val="clear" w:color="auto" w:fill="auto"/>
            <w:noWrap/>
            <w:vAlign w:val="center"/>
            <w:hideMark/>
          </w:tcPr>
          <w:p w14:paraId="79DD8D01" w14:textId="77777777" w:rsidR="00735ADD" w:rsidRPr="00302CE5" w:rsidRDefault="00735ADD" w:rsidP="0001454F">
            <w:pPr>
              <w:pStyle w:val="TableText"/>
              <w:jc w:val="right"/>
              <w:rPr>
                <w:rFonts w:eastAsia="Times New Roman"/>
              </w:rPr>
            </w:pPr>
            <w:r w:rsidRPr="00302CE5">
              <w:rPr>
                <w:lang w:val="en-GB" w:eastAsia="zh-CN"/>
              </w:rPr>
              <w:t>8004</w:t>
            </w:r>
          </w:p>
        </w:tc>
        <w:tc>
          <w:tcPr>
            <w:tcW w:w="1250" w:type="pct"/>
            <w:tcBorders>
              <w:top w:val="nil"/>
              <w:left w:val="nil"/>
              <w:bottom w:val="nil"/>
              <w:right w:val="nil"/>
            </w:tcBorders>
            <w:shd w:val="clear" w:color="auto" w:fill="auto"/>
            <w:noWrap/>
            <w:vAlign w:val="center"/>
            <w:hideMark/>
          </w:tcPr>
          <w:p w14:paraId="437758AC" w14:textId="77777777" w:rsidR="00735ADD" w:rsidRPr="00302CE5" w:rsidRDefault="00735ADD" w:rsidP="0001454F">
            <w:pPr>
              <w:pStyle w:val="TableText"/>
              <w:jc w:val="right"/>
              <w:rPr>
                <w:rFonts w:eastAsia="Times New Roman"/>
              </w:rPr>
            </w:pPr>
            <w:r w:rsidRPr="00302CE5">
              <w:rPr>
                <w:lang w:val="en-GB" w:eastAsia="zh-CN"/>
              </w:rPr>
              <w:t>8004</w:t>
            </w:r>
          </w:p>
        </w:tc>
        <w:tc>
          <w:tcPr>
            <w:tcW w:w="1250" w:type="pct"/>
            <w:tcBorders>
              <w:top w:val="nil"/>
              <w:left w:val="nil"/>
              <w:bottom w:val="nil"/>
              <w:right w:val="nil"/>
            </w:tcBorders>
            <w:shd w:val="clear" w:color="auto" w:fill="auto"/>
            <w:noWrap/>
            <w:vAlign w:val="center"/>
            <w:hideMark/>
          </w:tcPr>
          <w:p w14:paraId="54919B52" w14:textId="77777777" w:rsidR="00735ADD" w:rsidRPr="00302CE5" w:rsidRDefault="00735ADD" w:rsidP="0001454F">
            <w:pPr>
              <w:pStyle w:val="TableText"/>
              <w:jc w:val="right"/>
              <w:rPr>
                <w:rFonts w:eastAsia="Times New Roman"/>
              </w:rPr>
            </w:pPr>
            <w:r w:rsidRPr="00302CE5">
              <w:rPr>
                <w:lang w:val="en-GB" w:eastAsia="zh-CN"/>
              </w:rPr>
              <w:t>8004</w:t>
            </w:r>
          </w:p>
        </w:tc>
      </w:tr>
      <w:tr w:rsidR="00735ADD" w:rsidRPr="00302CE5" w14:paraId="3F77AEBC" w14:textId="77777777" w:rsidTr="00DC68CD">
        <w:trPr>
          <w:trHeight w:val="283"/>
        </w:trPr>
        <w:tc>
          <w:tcPr>
            <w:tcW w:w="1250" w:type="pct"/>
            <w:tcBorders>
              <w:top w:val="nil"/>
              <w:left w:val="nil"/>
              <w:bottom w:val="nil"/>
              <w:right w:val="nil"/>
            </w:tcBorders>
            <w:shd w:val="clear" w:color="auto" w:fill="auto"/>
            <w:noWrap/>
            <w:vAlign w:val="center"/>
            <w:hideMark/>
          </w:tcPr>
          <w:p w14:paraId="3987F8AB" w14:textId="77777777" w:rsidR="00735ADD" w:rsidRPr="00302CE5" w:rsidRDefault="00735ADD" w:rsidP="0001454F">
            <w:pPr>
              <w:pStyle w:val="TableText"/>
            </w:pPr>
            <w:r>
              <w:t>Year-fixed effects</w:t>
            </w:r>
          </w:p>
        </w:tc>
        <w:tc>
          <w:tcPr>
            <w:tcW w:w="1250" w:type="pct"/>
            <w:tcBorders>
              <w:top w:val="nil"/>
              <w:left w:val="nil"/>
              <w:bottom w:val="nil"/>
              <w:right w:val="nil"/>
            </w:tcBorders>
            <w:shd w:val="clear" w:color="auto" w:fill="auto"/>
            <w:noWrap/>
            <w:vAlign w:val="center"/>
            <w:hideMark/>
          </w:tcPr>
          <w:p w14:paraId="305B9568" w14:textId="77777777" w:rsidR="00735ADD" w:rsidRPr="00302CE5" w:rsidRDefault="00735ADD" w:rsidP="0001454F">
            <w:pPr>
              <w:pStyle w:val="TableText"/>
              <w:jc w:val="right"/>
              <w:rPr>
                <w:rFonts w:eastAsia="Times New Roman"/>
              </w:rPr>
            </w:pPr>
            <w:r w:rsidRPr="00302CE5">
              <w:rPr>
                <w:lang w:val="en-GB" w:eastAsia="zh-CN"/>
              </w:rPr>
              <w:t>Yes</w:t>
            </w:r>
          </w:p>
        </w:tc>
        <w:tc>
          <w:tcPr>
            <w:tcW w:w="1250" w:type="pct"/>
            <w:tcBorders>
              <w:top w:val="nil"/>
              <w:left w:val="nil"/>
              <w:bottom w:val="nil"/>
              <w:right w:val="nil"/>
            </w:tcBorders>
            <w:shd w:val="clear" w:color="auto" w:fill="auto"/>
            <w:noWrap/>
            <w:vAlign w:val="center"/>
            <w:hideMark/>
          </w:tcPr>
          <w:p w14:paraId="447F9617" w14:textId="77777777" w:rsidR="00735ADD" w:rsidRPr="00302CE5" w:rsidRDefault="00735ADD" w:rsidP="0001454F">
            <w:pPr>
              <w:pStyle w:val="TableText"/>
              <w:jc w:val="right"/>
              <w:rPr>
                <w:rFonts w:eastAsia="Times New Roman"/>
              </w:rPr>
            </w:pPr>
            <w:r w:rsidRPr="00302CE5">
              <w:rPr>
                <w:lang w:val="en-GB" w:eastAsia="zh-CN"/>
              </w:rPr>
              <w:t>Yes</w:t>
            </w:r>
          </w:p>
        </w:tc>
        <w:tc>
          <w:tcPr>
            <w:tcW w:w="1250" w:type="pct"/>
            <w:tcBorders>
              <w:top w:val="nil"/>
              <w:left w:val="nil"/>
              <w:bottom w:val="nil"/>
              <w:right w:val="nil"/>
            </w:tcBorders>
            <w:shd w:val="clear" w:color="auto" w:fill="auto"/>
            <w:noWrap/>
            <w:vAlign w:val="center"/>
            <w:hideMark/>
          </w:tcPr>
          <w:p w14:paraId="6DADCBFE" w14:textId="77777777" w:rsidR="00735ADD" w:rsidRPr="00302CE5" w:rsidRDefault="00735ADD" w:rsidP="0001454F">
            <w:pPr>
              <w:pStyle w:val="TableText"/>
              <w:jc w:val="right"/>
              <w:rPr>
                <w:rFonts w:eastAsia="Times New Roman"/>
              </w:rPr>
            </w:pPr>
            <w:r w:rsidRPr="00302CE5">
              <w:rPr>
                <w:lang w:val="en-GB" w:eastAsia="zh-CN"/>
              </w:rPr>
              <w:t>Yes</w:t>
            </w:r>
          </w:p>
        </w:tc>
      </w:tr>
      <w:tr w:rsidR="00735ADD" w:rsidRPr="00302CE5" w14:paraId="6DCEED5A" w14:textId="77777777" w:rsidTr="00DC68CD">
        <w:trPr>
          <w:trHeight w:val="283"/>
        </w:trPr>
        <w:tc>
          <w:tcPr>
            <w:tcW w:w="1250" w:type="pct"/>
            <w:tcBorders>
              <w:top w:val="nil"/>
              <w:left w:val="nil"/>
              <w:bottom w:val="single" w:sz="4" w:space="0" w:color="auto"/>
              <w:right w:val="nil"/>
            </w:tcBorders>
            <w:shd w:val="clear" w:color="auto" w:fill="auto"/>
            <w:noWrap/>
            <w:vAlign w:val="center"/>
            <w:hideMark/>
          </w:tcPr>
          <w:p w14:paraId="6D7725A8" w14:textId="77777777" w:rsidR="00735ADD" w:rsidRPr="00302CE5" w:rsidRDefault="00735ADD" w:rsidP="0001454F">
            <w:pPr>
              <w:pStyle w:val="TableText"/>
            </w:pPr>
            <w:r>
              <w:t>Firm-fixed effects</w:t>
            </w:r>
          </w:p>
        </w:tc>
        <w:tc>
          <w:tcPr>
            <w:tcW w:w="1250" w:type="pct"/>
            <w:tcBorders>
              <w:top w:val="nil"/>
              <w:left w:val="nil"/>
              <w:bottom w:val="single" w:sz="4" w:space="0" w:color="auto"/>
              <w:right w:val="nil"/>
            </w:tcBorders>
            <w:shd w:val="clear" w:color="auto" w:fill="auto"/>
            <w:noWrap/>
            <w:vAlign w:val="center"/>
            <w:hideMark/>
          </w:tcPr>
          <w:p w14:paraId="0EEC8330" w14:textId="77777777" w:rsidR="00735ADD" w:rsidRPr="00302CE5" w:rsidRDefault="00735ADD" w:rsidP="0001454F">
            <w:pPr>
              <w:pStyle w:val="TableText"/>
              <w:jc w:val="right"/>
              <w:rPr>
                <w:rFonts w:eastAsia="Times New Roman"/>
              </w:rPr>
            </w:pPr>
            <w:r w:rsidRPr="00302CE5">
              <w:rPr>
                <w:lang w:val="en-GB" w:eastAsia="zh-CN"/>
              </w:rPr>
              <w:t>Yes</w:t>
            </w:r>
          </w:p>
        </w:tc>
        <w:tc>
          <w:tcPr>
            <w:tcW w:w="1250" w:type="pct"/>
            <w:tcBorders>
              <w:top w:val="nil"/>
              <w:left w:val="nil"/>
              <w:bottom w:val="single" w:sz="4" w:space="0" w:color="auto"/>
              <w:right w:val="nil"/>
            </w:tcBorders>
            <w:shd w:val="clear" w:color="auto" w:fill="auto"/>
            <w:noWrap/>
            <w:vAlign w:val="center"/>
            <w:hideMark/>
          </w:tcPr>
          <w:p w14:paraId="2271844F" w14:textId="77777777" w:rsidR="00735ADD" w:rsidRPr="00302CE5" w:rsidRDefault="00735ADD" w:rsidP="0001454F">
            <w:pPr>
              <w:pStyle w:val="TableText"/>
              <w:jc w:val="right"/>
              <w:rPr>
                <w:rFonts w:eastAsia="Times New Roman"/>
              </w:rPr>
            </w:pPr>
            <w:r w:rsidRPr="00302CE5">
              <w:rPr>
                <w:lang w:val="en-GB" w:eastAsia="zh-CN"/>
              </w:rPr>
              <w:t>Yes</w:t>
            </w:r>
          </w:p>
        </w:tc>
        <w:tc>
          <w:tcPr>
            <w:tcW w:w="1250" w:type="pct"/>
            <w:tcBorders>
              <w:top w:val="nil"/>
              <w:left w:val="nil"/>
              <w:bottom w:val="single" w:sz="4" w:space="0" w:color="auto"/>
              <w:right w:val="nil"/>
            </w:tcBorders>
            <w:shd w:val="clear" w:color="auto" w:fill="auto"/>
            <w:noWrap/>
            <w:vAlign w:val="center"/>
            <w:hideMark/>
          </w:tcPr>
          <w:p w14:paraId="77ED8331" w14:textId="77777777" w:rsidR="00735ADD" w:rsidRPr="00302CE5" w:rsidRDefault="00735ADD" w:rsidP="0001454F">
            <w:pPr>
              <w:pStyle w:val="TableText"/>
              <w:jc w:val="right"/>
              <w:rPr>
                <w:rFonts w:eastAsia="Times New Roman"/>
              </w:rPr>
            </w:pPr>
            <w:r w:rsidRPr="00302CE5">
              <w:rPr>
                <w:lang w:val="en-GB" w:eastAsia="zh-CN"/>
              </w:rPr>
              <w:t>Yes</w:t>
            </w:r>
          </w:p>
        </w:tc>
      </w:tr>
    </w:tbl>
    <w:p w14:paraId="36748DF5" w14:textId="77777777" w:rsidR="00735ADD" w:rsidRPr="00302CE5" w:rsidRDefault="00735ADD" w:rsidP="003E49E8"/>
    <w:p w14:paraId="3076B803" w14:textId="77777777" w:rsidR="00735ADD" w:rsidRPr="00302CE5" w:rsidRDefault="00735ADD">
      <w:pPr>
        <w:sectPr w:rsidR="00735ADD" w:rsidRPr="00302CE5" w:rsidSect="007D50C5">
          <w:pgSz w:w="11906" w:h="16838"/>
          <w:pgMar w:top="1440" w:right="1440" w:bottom="1440" w:left="1440" w:header="708" w:footer="708" w:gutter="0"/>
          <w:cols w:space="708"/>
          <w:docGrid w:linePitch="360"/>
        </w:sectPr>
      </w:pPr>
    </w:p>
    <w:p w14:paraId="557E13EB" w14:textId="23540374" w:rsidR="00735ADD" w:rsidRDefault="00735ADD" w:rsidP="0001454F">
      <w:pPr>
        <w:pStyle w:val="TableCaption"/>
      </w:pPr>
      <w:r>
        <w:rPr>
          <w:b/>
        </w:rPr>
        <w:lastRenderedPageBreak/>
        <w:t xml:space="preserve">Table 7  </w:t>
      </w:r>
      <w:r w:rsidRPr="00F37C2B">
        <w:t>Sub</w:t>
      </w:r>
      <w:r w:rsidR="00263AD2">
        <w:t>-</w:t>
      </w:r>
      <w:r w:rsidRPr="00F37C2B">
        <w:t xml:space="preserve">sample </w:t>
      </w:r>
      <w:r>
        <w:t>analyses: Information environment and managers’ equity incentives</w:t>
      </w:r>
    </w:p>
    <w:p w14:paraId="02455C91" w14:textId="16AC9824" w:rsidR="00735ADD" w:rsidRDefault="00735ADD" w:rsidP="0001454F">
      <w:pPr>
        <w:pStyle w:val="TableNotes"/>
      </w:pPr>
      <w:r>
        <w:t xml:space="preserve">This table presents results for the effect of conference call tone on </w:t>
      </w:r>
      <w:r w:rsidR="0001454F">
        <w:t>stock price crash risk</w:t>
      </w:r>
      <w:r w:rsidR="008C4253" w:rsidDel="008C4253">
        <w:t xml:space="preserve"> </w:t>
      </w:r>
      <w:r>
        <w:t>in sub</w:t>
      </w:r>
      <w:r w:rsidR="00263AD2">
        <w:t>-</w:t>
      </w:r>
      <w:r>
        <w:t xml:space="preserve">sample tests based on </w:t>
      </w:r>
      <w:r w:rsidR="00263AD2">
        <w:t xml:space="preserve">the </w:t>
      </w:r>
      <w:r>
        <w:t>information environment and managers’ equity incentives. Panel A presents results for two sub</w:t>
      </w:r>
      <w:r w:rsidR="00263AD2">
        <w:t>-</w:t>
      </w:r>
      <w:r>
        <w:t>samples based on analyst following</w:t>
      </w:r>
      <w:r w:rsidR="00263AD2">
        <w:t xml:space="preserve">, and </w:t>
      </w:r>
      <w:r>
        <w:t>Panel B for two sub</w:t>
      </w:r>
      <w:r w:rsidR="00263AD2">
        <w:t>-</w:t>
      </w:r>
      <w:r>
        <w:t xml:space="preserve">samples based on CEO option incentives. </w:t>
      </w:r>
      <w:r w:rsidRPr="00302CE5">
        <w:rPr>
          <w:rFonts w:hint="eastAsia"/>
        </w:rPr>
        <w:t>All continuous variables are winsorized at the 1</w:t>
      </w:r>
      <w:r w:rsidRPr="00302CE5">
        <w:rPr>
          <w:rFonts w:hint="eastAsia"/>
          <w:vertAlign w:val="superscript"/>
        </w:rPr>
        <w:t>st</w:t>
      </w:r>
      <w:r w:rsidRPr="00302CE5">
        <w:rPr>
          <w:rFonts w:hint="eastAsia"/>
        </w:rPr>
        <w:t xml:space="preserve"> and 99</w:t>
      </w:r>
      <w:r w:rsidRPr="00302CE5">
        <w:rPr>
          <w:rFonts w:hint="eastAsia"/>
          <w:vertAlign w:val="superscript"/>
        </w:rPr>
        <w:t>th</w:t>
      </w:r>
      <w:r w:rsidRPr="00302CE5">
        <w:rPr>
          <w:rFonts w:hint="eastAsia"/>
        </w:rPr>
        <w:t xml:space="preserve"> percentile</w:t>
      </w:r>
      <w:r w:rsidR="00263AD2">
        <w:t>s</w:t>
      </w:r>
      <w:r w:rsidRPr="00302CE5">
        <w:rPr>
          <w:rFonts w:hint="eastAsia"/>
        </w:rPr>
        <w:t xml:space="preserve">. </w:t>
      </w:r>
      <w:r w:rsidRPr="00302CE5">
        <w:t xml:space="preserve">T-statistics reported in parentheses </w:t>
      </w:r>
      <w:r w:rsidRPr="00302CE5">
        <w:rPr>
          <w:rFonts w:hint="eastAsia"/>
        </w:rPr>
        <w:t>are based on standard errors clustered by firm</w:t>
      </w:r>
      <w:r w:rsidRPr="00302CE5">
        <w:t xml:space="preserve">. *, ** and *** </w:t>
      </w:r>
      <w:r w:rsidR="00263AD2">
        <w:t>represent</w:t>
      </w:r>
      <w:r w:rsidRPr="00302CE5">
        <w:t xml:space="preserve"> significance at </w:t>
      </w:r>
      <w:r w:rsidR="00263AD2">
        <w:t xml:space="preserve">the </w:t>
      </w:r>
      <w:r w:rsidRPr="00302CE5">
        <w:t>10%, 5% and 1% levels, respectively.</w:t>
      </w:r>
    </w:p>
    <w:tbl>
      <w:tblPr>
        <w:tblW w:w="5000" w:type="pct"/>
        <w:tblLook w:val="04A0" w:firstRow="1" w:lastRow="0" w:firstColumn="1" w:lastColumn="0" w:noHBand="0" w:noVBand="1"/>
      </w:tblPr>
      <w:tblGrid>
        <w:gridCol w:w="2805"/>
        <w:gridCol w:w="1826"/>
        <w:gridCol w:w="1823"/>
        <w:gridCol w:w="1929"/>
        <w:gridCol w:w="1929"/>
        <w:gridCol w:w="1823"/>
        <w:gridCol w:w="1823"/>
      </w:tblGrid>
      <w:tr w:rsidR="00735ADD" w:rsidRPr="00302CE5" w14:paraId="1EAC5F85" w14:textId="77777777" w:rsidTr="00DC68CD">
        <w:trPr>
          <w:trHeight w:val="283"/>
        </w:trPr>
        <w:tc>
          <w:tcPr>
            <w:tcW w:w="1005" w:type="pct"/>
            <w:tcBorders>
              <w:top w:val="single" w:sz="4" w:space="0" w:color="auto"/>
              <w:left w:val="nil"/>
              <w:bottom w:val="nil"/>
              <w:right w:val="nil"/>
            </w:tcBorders>
            <w:shd w:val="clear" w:color="auto" w:fill="auto"/>
            <w:noWrap/>
            <w:vAlign w:val="center"/>
            <w:hideMark/>
          </w:tcPr>
          <w:p w14:paraId="314D3E3E" w14:textId="77777777" w:rsidR="00735ADD" w:rsidRPr="00302CE5" w:rsidRDefault="00735ADD" w:rsidP="0001454F">
            <w:pPr>
              <w:pStyle w:val="TableText"/>
            </w:pPr>
          </w:p>
        </w:tc>
        <w:tc>
          <w:tcPr>
            <w:tcW w:w="654" w:type="pct"/>
            <w:tcBorders>
              <w:top w:val="single" w:sz="4" w:space="0" w:color="auto"/>
              <w:left w:val="nil"/>
              <w:bottom w:val="nil"/>
              <w:right w:val="nil"/>
            </w:tcBorders>
            <w:shd w:val="clear" w:color="auto" w:fill="auto"/>
            <w:noWrap/>
            <w:vAlign w:val="center"/>
            <w:hideMark/>
          </w:tcPr>
          <w:p w14:paraId="7B59B094" w14:textId="77777777" w:rsidR="00735ADD" w:rsidRPr="00302CE5" w:rsidRDefault="00735ADD" w:rsidP="0001454F">
            <w:pPr>
              <w:pStyle w:val="TableText"/>
              <w:jc w:val="right"/>
            </w:pPr>
            <w:r w:rsidRPr="00302CE5">
              <w:t>(1)</w:t>
            </w:r>
          </w:p>
        </w:tc>
        <w:tc>
          <w:tcPr>
            <w:tcW w:w="653" w:type="pct"/>
            <w:tcBorders>
              <w:top w:val="single" w:sz="4" w:space="0" w:color="auto"/>
              <w:left w:val="nil"/>
              <w:bottom w:val="nil"/>
              <w:right w:val="nil"/>
            </w:tcBorders>
            <w:shd w:val="clear" w:color="auto" w:fill="auto"/>
            <w:noWrap/>
            <w:vAlign w:val="center"/>
            <w:hideMark/>
          </w:tcPr>
          <w:p w14:paraId="3AD818B9" w14:textId="77777777" w:rsidR="00735ADD" w:rsidRPr="00302CE5" w:rsidRDefault="00735ADD" w:rsidP="0001454F">
            <w:pPr>
              <w:pStyle w:val="TableText"/>
              <w:jc w:val="right"/>
            </w:pPr>
            <w:r w:rsidRPr="00302CE5">
              <w:t>(2)</w:t>
            </w:r>
          </w:p>
        </w:tc>
        <w:tc>
          <w:tcPr>
            <w:tcW w:w="691" w:type="pct"/>
            <w:tcBorders>
              <w:top w:val="single" w:sz="4" w:space="0" w:color="auto"/>
              <w:left w:val="nil"/>
              <w:bottom w:val="nil"/>
              <w:right w:val="nil"/>
            </w:tcBorders>
            <w:shd w:val="clear" w:color="auto" w:fill="auto"/>
            <w:noWrap/>
            <w:vAlign w:val="center"/>
            <w:hideMark/>
          </w:tcPr>
          <w:p w14:paraId="0F394DE6" w14:textId="77777777" w:rsidR="00735ADD" w:rsidRPr="00302CE5" w:rsidRDefault="00735ADD" w:rsidP="0001454F">
            <w:pPr>
              <w:pStyle w:val="TableText"/>
              <w:jc w:val="right"/>
            </w:pPr>
            <w:r w:rsidRPr="00302CE5">
              <w:t>(3)</w:t>
            </w:r>
          </w:p>
        </w:tc>
        <w:tc>
          <w:tcPr>
            <w:tcW w:w="691" w:type="pct"/>
            <w:tcBorders>
              <w:top w:val="single" w:sz="4" w:space="0" w:color="auto"/>
              <w:left w:val="nil"/>
              <w:bottom w:val="nil"/>
              <w:right w:val="nil"/>
            </w:tcBorders>
            <w:shd w:val="clear" w:color="auto" w:fill="auto"/>
            <w:noWrap/>
            <w:vAlign w:val="center"/>
            <w:hideMark/>
          </w:tcPr>
          <w:p w14:paraId="246E181E" w14:textId="77777777" w:rsidR="00735ADD" w:rsidRPr="00302CE5" w:rsidRDefault="00735ADD" w:rsidP="0001454F">
            <w:pPr>
              <w:pStyle w:val="TableText"/>
              <w:jc w:val="right"/>
            </w:pPr>
            <w:r w:rsidRPr="00302CE5">
              <w:t>(4)</w:t>
            </w:r>
          </w:p>
        </w:tc>
        <w:tc>
          <w:tcPr>
            <w:tcW w:w="653" w:type="pct"/>
            <w:tcBorders>
              <w:top w:val="single" w:sz="4" w:space="0" w:color="auto"/>
              <w:left w:val="nil"/>
              <w:bottom w:val="nil"/>
              <w:right w:val="nil"/>
            </w:tcBorders>
            <w:shd w:val="clear" w:color="auto" w:fill="auto"/>
            <w:noWrap/>
            <w:vAlign w:val="center"/>
            <w:hideMark/>
          </w:tcPr>
          <w:p w14:paraId="2EA00D24" w14:textId="77777777" w:rsidR="00735ADD" w:rsidRPr="00302CE5" w:rsidRDefault="00735ADD" w:rsidP="0001454F">
            <w:pPr>
              <w:pStyle w:val="TableText"/>
              <w:jc w:val="right"/>
            </w:pPr>
            <w:r w:rsidRPr="00302CE5">
              <w:t>(5)</w:t>
            </w:r>
          </w:p>
        </w:tc>
        <w:tc>
          <w:tcPr>
            <w:tcW w:w="653" w:type="pct"/>
            <w:tcBorders>
              <w:top w:val="single" w:sz="4" w:space="0" w:color="auto"/>
              <w:left w:val="nil"/>
              <w:bottom w:val="nil"/>
              <w:right w:val="nil"/>
            </w:tcBorders>
            <w:shd w:val="clear" w:color="auto" w:fill="auto"/>
            <w:noWrap/>
            <w:vAlign w:val="center"/>
            <w:hideMark/>
          </w:tcPr>
          <w:p w14:paraId="4D24FA8A" w14:textId="77777777" w:rsidR="00735ADD" w:rsidRPr="00302CE5" w:rsidRDefault="00735ADD" w:rsidP="0001454F">
            <w:pPr>
              <w:pStyle w:val="TableText"/>
              <w:jc w:val="right"/>
            </w:pPr>
            <w:r w:rsidRPr="00302CE5">
              <w:t>(6)</w:t>
            </w:r>
          </w:p>
        </w:tc>
      </w:tr>
      <w:tr w:rsidR="00735ADD" w:rsidRPr="00302CE5" w14:paraId="1F7E1B40" w14:textId="77777777" w:rsidTr="00DC68CD">
        <w:trPr>
          <w:trHeight w:val="283"/>
        </w:trPr>
        <w:tc>
          <w:tcPr>
            <w:tcW w:w="1005" w:type="pct"/>
            <w:tcBorders>
              <w:top w:val="nil"/>
              <w:left w:val="nil"/>
              <w:bottom w:val="single" w:sz="4" w:space="0" w:color="auto"/>
              <w:right w:val="nil"/>
            </w:tcBorders>
            <w:shd w:val="clear" w:color="auto" w:fill="auto"/>
            <w:noWrap/>
            <w:vAlign w:val="center"/>
            <w:hideMark/>
          </w:tcPr>
          <w:p w14:paraId="55D92D8F" w14:textId="77777777" w:rsidR="00735ADD" w:rsidRPr="00302CE5" w:rsidRDefault="00735ADD" w:rsidP="0001454F">
            <w:pPr>
              <w:pStyle w:val="TableText"/>
            </w:pPr>
          </w:p>
        </w:tc>
        <w:tc>
          <w:tcPr>
            <w:tcW w:w="654" w:type="pct"/>
            <w:tcBorders>
              <w:top w:val="nil"/>
              <w:left w:val="nil"/>
              <w:bottom w:val="single" w:sz="4" w:space="0" w:color="auto"/>
              <w:right w:val="nil"/>
            </w:tcBorders>
            <w:shd w:val="clear" w:color="auto" w:fill="auto"/>
            <w:noWrap/>
            <w:vAlign w:val="center"/>
            <w:hideMark/>
          </w:tcPr>
          <w:p w14:paraId="07B5A24A" w14:textId="77777777" w:rsidR="00735ADD" w:rsidRPr="00302CE5" w:rsidRDefault="008D48AD" w:rsidP="0001454F">
            <w:pPr>
              <w:pStyle w:val="TableText"/>
              <w:jc w:val="right"/>
              <w:rPr>
                <w:rFonts w:eastAsia="Times New Roman"/>
                <w:color w:val="000000"/>
              </w:rPr>
            </w:pPr>
            <m:oMathPara>
              <m:oMath>
                <m:sSub>
                  <m:sSubPr>
                    <m:ctrlPr>
                      <w:rPr>
                        <w:rFonts w:ascii="Cambria Math" w:hAnsi="Cambria Math"/>
                      </w:rPr>
                    </m:ctrlPr>
                  </m:sSubPr>
                  <m:e>
                    <m:r>
                      <w:rPr>
                        <w:rFonts w:ascii="Cambria Math" w:hAnsi="Cambria Math"/>
                      </w:rPr>
                      <m:t>COUNT</m:t>
                    </m:r>
                  </m:e>
                  <m:sub>
                    <m:r>
                      <w:rPr>
                        <w:rFonts w:ascii="Cambria Math" w:hAnsi="Cambria Math"/>
                      </w:rPr>
                      <m:t>t</m:t>
                    </m:r>
                  </m:sub>
                </m:sSub>
              </m:oMath>
            </m:oMathPara>
          </w:p>
        </w:tc>
        <w:tc>
          <w:tcPr>
            <w:tcW w:w="653" w:type="pct"/>
            <w:tcBorders>
              <w:top w:val="nil"/>
              <w:left w:val="nil"/>
              <w:bottom w:val="single" w:sz="4" w:space="0" w:color="auto"/>
              <w:right w:val="nil"/>
            </w:tcBorders>
            <w:shd w:val="clear" w:color="auto" w:fill="auto"/>
            <w:noWrap/>
            <w:vAlign w:val="center"/>
            <w:hideMark/>
          </w:tcPr>
          <w:p w14:paraId="5E1FB477" w14:textId="77777777" w:rsidR="00735ADD" w:rsidRPr="00302CE5" w:rsidRDefault="008D48AD" w:rsidP="0001454F">
            <w:pPr>
              <w:pStyle w:val="TableText"/>
              <w:jc w:val="right"/>
              <w:rPr>
                <w:rFonts w:eastAsia="Times New Roman"/>
                <w:color w:val="000000"/>
              </w:rPr>
            </w:pPr>
            <m:oMathPara>
              <m:oMath>
                <m:sSub>
                  <m:sSubPr>
                    <m:ctrlPr>
                      <w:rPr>
                        <w:rFonts w:ascii="Cambria Math" w:hAnsi="Cambria Math"/>
                      </w:rPr>
                    </m:ctrlPr>
                  </m:sSubPr>
                  <m:e>
                    <m:r>
                      <w:rPr>
                        <w:rFonts w:ascii="Cambria Math" w:hAnsi="Cambria Math"/>
                      </w:rPr>
                      <m:t>COUNT</m:t>
                    </m:r>
                  </m:e>
                  <m:sub>
                    <m:r>
                      <w:rPr>
                        <w:rFonts w:ascii="Cambria Math" w:hAnsi="Cambria Math"/>
                      </w:rPr>
                      <m:t>t</m:t>
                    </m:r>
                  </m:sub>
                </m:sSub>
              </m:oMath>
            </m:oMathPara>
          </w:p>
        </w:tc>
        <w:tc>
          <w:tcPr>
            <w:tcW w:w="691" w:type="pct"/>
            <w:tcBorders>
              <w:top w:val="nil"/>
              <w:left w:val="nil"/>
              <w:bottom w:val="single" w:sz="4" w:space="0" w:color="auto"/>
              <w:right w:val="nil"/>
            </w:tcBorders>
            <w:shd w:val="clear" w:color="auto" w:fill="auto"/>
            <w:noWrap/>
            <w:vAlign w:val="center"/>
            <w:hideMark/>
          </w:tcPr>
          <w:p w14:paraId="015B334B" w14:textId="77777777" w:rsidR="00735ADD" w:rsidRPr="00302CE5" w:rsidRDefault="008D48AD" w:rsidP="0001454F">
            <w:pPr>
              <w:pStyle w:val="TableText"/>
              <w:jc w:val="right"/>
              <w:rPr>
                <w:rFonts w:eastAsia="Times New Roman"/>
                <w:color w:val="000000"/>
              </w:rPr>
            </w:pPr>
            <m:oMathPara>
              <m:oMath>
                <m:sSub>
                  <m:sSubPr>
                    <m:ctrlPr>
                      <w:rPr>
                        <w:rFonts w:ascii="Cambria Math" w:hAnsi="Cambria Math"/>
                      </w:rPr>
                    </m:ctrlPr>
                  </m:sSubPr>
                  <m:e>
                    <m:r>
                      <w:rPr>
                        <w:rFonts w:ascii="Cambria Math" w:hAnsi="Cambria Math"/>
                      </w:rPr>
                      <m:t>NCSKEW</m:t>
                    </m:r>
                  </m:e>
                  <m:sub>
                    <m:r>
                      <w:rPr>
                        <w:rFonts w:ascii="Cambria Math" w:hAnsi="Cambria Math"/>
                      </w:rPr>
                      <m:t>t</m:t>
                    </m:r>
                  </m:sub>
                </m:sSub>
              </m:oMath>
            </m:oMathPara>
          </w:p>
        </w:tc>
        <w:tc>
          <w:tcPr>
            <w:tcW w:w="691" w:type="pct"/>
            <w:tcBorders>
              <w:top w:val="nil"/>
              <w:left w:val="nil"/>
              <w:bottom w:val="single" w:sz="4" w:space="0" w:color="auto"/>
              <w:right w:val="nil"/>
            </w:tcBorders>
            <w:shd w:val="clear" w:color="auto" w:fill="auto"/>
            <w:noWrap/>
            <w:vAlign w:val="center"/>
            <w:hideMark/>
          </w:tcPr>
          <w:p w14:paraId="22CB739A" w14:textId="77777777" w:rsidR="00735ADD" w:rsidRPr="00302CE5" w:rsidRDefault="008D48AD" w:rsidP="0001454F">
            <w:pPr>
              <w:pStyle w:val="TableText"/>
              <w:jc w:val="right"/>
              <w:rPr>
                <w:rFonts w:eastAsia="Times New Roman"/>
                <w:color w:val="000000"/>
              </w:rPr>
            </w:pPr>
            <m:oMathPara>
              <m:oMath>
                <m:sSub>
                  <m:sSubPr>
                    <m:ctrlPr>
                      <w:rPr>
                        <w:rFonts w:ascii="Cambria Math" w:hAnsi="Cambria Math"/>
                      </w:rPr>
                    </m:ctrlPr>
                  </m:sSubPr>
                  <m:e>
                    <m:r>
                      <w:rPr>
                        <w:rFonts w:ascii="Cambria Math" w:hAnsi="Cambria Math"/>
                      </w:rPr>
                      <m:t>NCSKEW</m:t>
                    </m:r>
                  </m:e>
                  <m:sub>
                    <m:r>
                      <w:rPr>
                        <w:rFonts w:ascii="Cambria Math" w:hAnsi="Cambria Math"/>
                      </w:rPr>
                      <m:t>t</m:t>
                    </m:r>
                  </m:sub>
                </m:sSub>
              </m:oMath>
            </m:oMathPara>
          </w:p>
        </w:tc>
        <w:tc>
          <w:tcPr>
            <w:tcW w:w="653" w:type="pct"/>
            <w:tcBorders>
              <w:top w:val="nil"/>
              <w:left w:val="nil"/>
              <w:bottom w:val="single" w:sz="4" w:space="0" w:color="auto"/>
              <w:right w:val="nil"/>
            </w:tcBorders>
            <w:shd w:val="clear" w:color="auto" w:fill="auto"/>
            <w:noWrap/>
            <w:vAlign w:val="center"/>
            <w:hideMark/>
          </w:tcPr>
          <w:p w14:paraId="721EACFD" w14:textId="77777777" w:rsidR="00735ADD" w:rsidRPr="00302CE5" w:rsidRDefault="008D48AD" w:rsidP="0001454F">
            <w:pPr>
              <w:pStyle w:val="TableText"/>
              <w:jc w:val="right"/>
              <w:rPr>
                <w:rFonts w:eastAsia="Times New Roman"/>
                <w:color w:val="000000"/>
              </w:rPr>
            </w:pPr>
            <m:oMathPara>
              <m:oMath>
                <m:sSub>
                  <m:sSubPr>
                    <m:ctrlPr>
                      <w:rPr>
                        <w:rFonts w:ascii="Cambria Math" w:hAnsi="Cambria Math"/>
                      </w:rPr>
                    </m:ctrlPr>
                  </m:sSubPr>
                  <m:e>
                    <m:r>
                      <w:rPr>
                        <w:rFonts w:ascii="Cambria Math" w:hAnsi="Cambria Math"/>
                      </w:rPr>
                      <m:t>DUVOL</m:t>
                    </m:r>
                  </m:e>
                  <m:sub>
                    <m:r>
                      <w:rPr>
                        <w:rFonts w:ascii="Cambria Math" w:hAnsi="Cambria Math"/>
                      </w:rPr>
                      <m:t>t</m:t>
                    </m:r>
                  </m:sub>
                </m:sSub>
              </m:oMath>
            </m:oMathPara>
          </w:p>
        </w:tc>
        <w:tc>
          <w:tcPr>
            <w:tcW w:w="653" w:type="pct"/>
            <w:tcBorders>
              <w:top w:val="nil"/>
              <w:left w:val="nil"/>
              <w:bottom w:val="single" w:sz="4" w:space="0" w:color="auto"/>
              <w:right w:val="nil"/>
            </w:tcBorders>
            <w:shd w:val="clear" w:color="auto" w:fill="auto"/>
            <w:noWrap/>
            <w:vAlign w:val="center"/>
            <w:hideMark/>
          </w:tcPr>
          <w:p w14:paraId="1DDF6DA5" w14:textId="77777777" w:rsidR="00735ADD" w:rsidRPr="00302CE5" w:rsidRDefault="008D48AD" w:rsidP="0001454F">
            <w:pPr>
              <w:pStyle w:val="TableText"/>
              <w:jc w:val="right"/>
              <w:rPr>
                <w:rFonts w:eastAsia="Times New Roman"/>
                <w:color w:val="000000"/>
              </w:rPr>
            </w:pPr>
            <m:oMathPara>
              <m:oMath>
                <m:sSub>
                  <m:sSubPr>
                    <m:ctrlPr>
                      <w:rPr>
                        <w:rFonts w:ascii="Cambria Math" w:hAnsi="Cambria Math"/>
                      </w:rPr>
                    </m:ctrlPr>
                  </m:sSubPr>
                  <m:e>
                    <m:r>
                      <w:rPr>
                        <w:rFonts w:ascii="Cambria Math" w:hAnsi="Cambria Math"/>
                      </w:rPr>
                      <m:t>DUVOL</m:t>
                    </m:r>
                  </m:e>
                  <m:sub>
                    <m:r>
                      <w:rPr>
                        <w:rFonts w:ascii="Cambria Math" w:hAnsi="Cambria Math"/>
                      </w:rPr>
                      <m:t>t</m:t>
                    </m:r>
                  </m:sub>
                </m:sSub>
              </m:oMath>
            </m:oMathPara>
          </w:p>
        </w:tc>
      </w:tr>
      <w:tr w:rsidR="00735ADD" w:rsidRPr="00323BB0" w14:paraId="3BD0937E" w14:textId="77777777" w:rsidTr="00DC68CD">
        <w:trPr>
          <w:trHeight w:val="283"/>
        </w:trPr>
        <w:tc>
          <w:tcPr>
            <w:tcW w:w="5000" w:type="pct"/>
            <w:gridSpan w:val="7"/>
            <w:tcBorders>
              <w:top w:val="nil"/>
              <w:left w:val="nil"/>
              <w:bottom w:val="single" w:sz="4" w:space="0" w:color="auto"/>
              <w:right w:val="nil"/>
            </w:tcBorders>
            <w:shd w:val="clear" w:color="auto" w:fill="auto"/>
            <w:noWrap/>
            <w:vAlign w:val="center"/>
            <w:hideMark/>
          </w:tcPr>
          <w:p w14:paraId="43E82497" w14:textId="77777777" w:rsidR="00735ADD" w:rsidRPr="0001454F" w:rsidRDefault="00735ADD" w:rsidP="0001454F">
            <w:pPr>
              <w:pStyle w:val="TableText"/>
              <w:jc w:val="center"/>
              <w:rPr>
                <w:b/>
                <w:bCs/>
                <w:lang w:eastAsia="zh-CN"/>
              </w:rPr>
            </w:pPr>
            <w:r w:rsidRPr="0001454F">
              <w:rPr>
                <w:b/>
                <w:bCs/>
              </w:rPr>
              <w:t>Panel A: Analyst following</w:t>
            </w:r>
          </w:p>
        </w:tc>
      </w:tr>
      <w:tr w:rsidR="00735ADD" w:rsidRPr="00302CE5" w14:paraId="45B6256E" w14:textId="77777777" w:rsidTr="00DC68CD">
        <w:trPr>
          <w:trHeight w:val="283"/>
        </w:trPr>
        <w:tc>
          <w:tcPr>
            <w:tcW w:w="1005" w:type="pct"/>
            <w:tcBorders>
              <w:top w:val="single" w:sz="4" w:space="0" w:color="auto"/>
              <w:left w:val="nil"/>
              <w:bottom w:val="single" w:sz="4" w:space="0" w:color="auto"/>
              <w:right w:val="nil"/>
            </w:tcBorders>
            <w:shd w:val="clear" w:color="auto" w:fill="auto"/>
            <w:noWrap/>
            <w:vAlign w:val="center"/>
            <w:hideMark/>
          </w:tcPr>
          <w:p w14:paraId="4BB70C0F" w14:textId="77777777" w:rsidR="00735ADD" w:rsidRPr="00302CE5" w:rsidRDefault="00735ADD" w:rsidP="0001454F">
            <w:pPr>
              <w:pStyle w:val="TableText"/>
            </w:pPr>
          </w:p>
        </w:tc>
        <w:tc>
          <w:tcPr>
            <w:tcW w:w="654" w:type="pct"/>
            <w:tcBorders>
              <w:top w:val="single" w:sz="4" w:space="0" w:color="auto"/>
              <w:left w:val="nil"/>
              <w:bottom w:val="single" w:sz="4" w:space="0" w:color="auto"/>
              <w:right w:val="nil"/>
            </w:tcBorders>
            <w:shd w:val="clear" w:color="auto" w:fill="auto"/>
            <w:noWrap/>
            <w:vAlign w:val="center"/>
            <w:hideMark/>
          </w:tcPr>
          <w:p w14:paraId="485679A2" w14:textId="77777777" w:rsidR="00735ADD" w:rsidRPr="00B51982" w:rsidRDefault="00735ADD" w:rsidP="0001454F">
            <w:pPr>
              <w:pStyle w:val="TableText"/>
              <w:jc w:val="right"/>
            </w:pPr>
            <w:r w:rsidRPr="00B51982">
              <w:t>High</w:t>
            </w:r>
          </w:p>
        </w:tc>
        <w:tc>
          <w:tcPr>
            <w:tcW w:w="653" w:type="pct"/>
            <w:tcBorders>
              <w:top w:val="single" w:sz="4" w:space="0" w:color="auto"/>
              <w:left w:val="nil"/>
              <w:bottom w:val="single" w:sz="4" w:space="0" w:color="auto"/>
              <w:right w:val="nil"/>
            </w:tcBorders>
            <w:shd w:val="clear" w:color="auto" w:fill="auto"/>
            <w:noWrap/>
            <w:vAlign w:val="center"/>
            <w:hideMark/>
          </w:tcPr>
          <w:p w14:paraId="3885220E" w14:textId="77777777" w:rsidR="00735ADD" w:rsidRPr="00B51982" w:rsidRDefault="00735ADD" w:rsidP="0001454F">
            <w:pPr>
              <w:pStyle w:val="TableText"/>
              <w:jc w:val="right"/>
            </w:pPr>
            <w:r w:rsidRPr="00B51982">
              <w:t>Low</w:t>
            </w:r>
          </w:p>
        </w:tc>
        <w:tc>
          <w:tcPr>
            <w:tcW w:w="691" w:type="pct"/>
            <w:tcBorders>
              <w:top w:val="single" w:sz="4" w:space="0" w:color="auto"/>
              <w:left w:val="nil"/>
              <w:bottom w:val="single" w:sz="4" w:space="0" w:color="auto"/>
              <w:right w:val="nil"/>
            </w:tcBorders>
            <w:shd w:val="clear" w:color="auto" w:fill="auto"/>
            <w:noWrap/>
            <w:vAlign w:val="center"/>
            <w:hideMark/>
          </w:tcPr>
          <w:p w14:paraId="667843A2" w14:textId="77777777" w:rsidR="00735ADD" w:rsidRPr="00B51982" w:rsidRDefault="00735ADD" w:rsidP="0001454F">
            <w:pPr>
              <w:pStyle w:val="TableText"/>
              <w:jc w:val="right"/>
            </w:pPr>
            <w:r w:rsidRPr="00B51982">
              <w:t>High</w:t>
            </w:r>
          </w:p>
        </w:tc>
        <w:tc>
          <w:tcPr>
            <w:tcW w:w="691" w:type="pct"/>
            <w:tcBorders>
              <w:top w:val="single" w:sz="4" w:space="0" w:color="auto"/>
              <w:left w:val="nil"/>
              <w:bottom w:val="single" w:sz="4" w:space="0" w:color="auto"/>
              <w:right w:val="nil"/>
            </w:tcBorders>
            <w:shd w:val="clear" w:color="auto" w:fill="auto"/>
            <w:noWrap/>
            <w:vAlign w:val="center"/>
            <w:hideMark/>
          </w:tcPr>
          <w:p w14:paraId="2EC781CF" w14:textId="77777777" w:rsidR="00735ADD" w:rsidRPr="00B51982" w:rsidRDefault="00735ADD" w:rsidP="0001454F">
            <w:pPr>
              <w:pStyle w:val="TableText"/>
              <w:jc w:val="right"/>
            </w:pPr>
            <w:r w:rsidRPr="00B51982">
              <w:t>Low</w:t>
            </w:r>
          </w:p>
        </w:tc>
        <w:tc>
          <w:tcPr>
            <w:tcW w:w="653" w:type="pct"/>
            <w:tcBorders>
              <w:top w:val="single" w:sz="4" w:space="0" w:color="auto"/>
              <w:left w:val="nil"/>
              <w:bottom w:val="single" w:sz="4" w:space="0" w:color="auto"/>
              <w:right w:val="nil"/>
            </w:tcBorders>
            <w:shd w:val="clear" w:color="auto" w:fill="auto"/>
            <w:noWrap/>
            <w:vAlign w:val="center"/>
            <w:hideMark/>
          </w:tcPr>
          <w:p w14:paraId="36CBA184" w14:textId="77777777" w:rsidR="00735ADD" w:rsidRPr="00B51982" w:rsidRDefault="00735ADD" w:rsidP="0001454F">
            <w:pPr>
              <w:pStyle w:val="TableText"/>
              <w:jc w:val="right"/>
            </w:pPr>
            <w:r w:rsidRPr="00B51982">
              <w:t>High</w:t>
            </w:r>
          </w:p>
        </w:tc>
        <w:tc>
          <w:tcPr>
            <w:tcW w:w="653" w:type="pct"/>
            <w:tcBorders>
              <w:top w:val="single" w:sz="4" w:space="0" w:color="auto"/>
              <w:left w:val="nil"/>
              <w:bottom w:val="single" w:sz="4" w:space="0" w:color="auto"/>
              <w:right w:val="nil"/>
            </w:tcBorders>
            <w:shd w:val="clear" w:color="auto" w:fill="auto"/>
            <w:noWrap/>
            <w:vAlign w:val="center"/>
            <w:hideMark/>
          </w:tcPr>
          <w:p w14:paraId="3D000B16" w14:textId="77777777" w:rsidR="00735ADD" w:rsidRPr="00B51982" w:rsidRDefault="00735ADD" w:rsidP="0001454F">
            <w:pPr>
              <w:pStyle w:val="TableText"/>
              <w:jc w:val="right"/>
            </w:pPr>
            <w:r w:rsidRPr="00B51982">
              <w:t>Low</w:t>
            </w:r>
          </w:p>
        </w:tc>
      </w:tr>
      <w:tr w:rsidR="00735ADD" w:rsidRPr="0096124E" w14:paraId="190BD76A" w14:textId="77777777" w:rsidTr="00DC68CD">
        <w:trPr>
          <w:trHeight w:val="283"/>
        </w:trPr>
        <w:tc>
          <w:tcPr>
            <w:tcW w:w="1005" w:type="pct"/>
            <w:tcBorders>
              <w:top w:val="nil"/>
              <w:left w:val="nil"/>
              <w:bottom w:val="nil"/>
              <w:right w:val="nil"/>
            </w:tcBorders>
            <w:shd w:val="clear" w:color="auto" w:fill="auto"/>
            <w:noWrap/>
            <w:vAlign w:val="center"/>
            <w:hideMark/>
          </w:tcPr>
          <w:p w14:paraId="77C6D003" w14:textId="77777777" w:rsidR="00735ADD" w:rsidRPr="0096124E" w:rsidRDefault="008D48AD" w:rsidP="0001454F">
            <w:pPr>
              <w:pStyle w:val="TableText"/>
              <w:rPr>
                <w:rFonts w:eastAsia="Times New Roman"/>
                <w:color w:val="000000"/>
              </w:rPr>
            </w:pPr>
            <m:oMathPara>
              <m:oMathParaPr>
                <m:jc m:val="left"/>
              </m:oMathParaPr>
              <m:oMath>
                <m:sSub>
                  <m:sSubPr>
                    <m:ctrlPr>
                      <w:rPr>
                        <w:rFonts w:ascii="Cambria Math" w:hAnsi="Cambria Math"/>
                      </w:rPr>
                    </m:ctrlPr>
                  </m:sSubPr>
                  <m:e>
                    <m:r>
                      <w:rPr>
                        <w:rFonts w:ascii="Cambria Math" w:hAnsi="Cambria Math"/>
                      </w:rPr>
                      <m:t>TONE</m:t>
                    </m:r>
                    <m:r>
                      <m:rPr>
                        <m:sty m:val="p"/>
                      </m:rPr>
                      <w:rPr>
                        <w:rFonts w:ascii="Cambria Math" w:hAnsi="Cambria Math"/>
                      </w:rPr>
                      <m:t>_</m:t>
                    </m:r>
                    <m:r>
                      <w:rPr>
                        <w:rFonts w:ascii="Cambria Math" w:hAnsi="Cambria Math"/>
                      </w:rPr>
                      <m:t>C</m:t>
                    </m:r>
                  </m:e>
                  <m:sub>
                    <m:r>
                      <w:rPr>
                        <w:rFonts w:ascii="Cambria Math" w:hAnsi="Cambria Math"/>
                      </w:rPr>
                      <m:t>t</m:t>
                    </m:r>
                    <m:r>
                      <m:rPr>
                        <m:sty m:val="p"/>
                      </m:rPr>
                      <w:rPr>
                        <w:rFonts w:ascii="Cambria Math" w:hAnsi="Cambria Math"/>
                      </w:rPr>
                      <m:t>-1</m:t>
                    </m:r>
                  </m:sub>
                </m:sSub>
              </m:oMath>
            </m:oMathPara>
          </w:p>
        </w:tc>
        <w:tc>
          <w:tcPr>
            <w:tcW w:w="654" w:type="pct"/>
            <w:tcBorders>
              <w:top w:val="nil"/>
              <w:left w:val="nil"/>
              <w:bottom w:val="nil"/>
              <w:right w:val="nil"/>
            </w:tcBorders>
            <w:shd w:val="clear" w:color="auto" w:fill="auto"/>
            <w:noWrap/>
            <w:vAlign w:val="bottom"/>
          </w:tcPr>
          <w:p w14:paraId="2127083D" w14:textId="77777777" w:rsidR="00735ADD" w:rsidRPr="0096124E" w:rsidRDefault="00735ADD" w:rsidP="0001454F">
            <w:pPr>
              <w:pStyle w:val="TableText"/>
              <w:jc w:val="right"/>
              <w:rPr>
                <w:rFonts w:eastAsia="Times New Roman"/>
              </w:rPr>
            </w:pPr>
            <w:r w:rsidRPr="0096124E">
              <w:t>-0.104***</w:t>
            </w:r>
          </w:p>
        </w:tc>
        <w:tc>
          <w:tcPr>
            <w:tcW w:w="653" w:type="pct"/>
            <w:tcBorders>
              <w:top w:val="nil"/>
              <w:left w:val="nil"/>
              <w:bottom w:val="nil"/>
              <w:right w:val="nil"/>
            </w:tcBorders>
            <w:shd w:val="clear" w:color="auto" w:fill="auto"/>
            <w:noWrap/>
            <w:vAlign w:val="bottom"/>
          </w:tcPr>
          <w:p w14:paraId="7173DD74" w14:textId="77777777" w:rsidR="00735ADD" w:rsidRPr="0096124E" w:rsidRDefault="00735ADD" w:rsidP="0001454F">
            <w:pPr>
              <w:pStyle w:val="TableText"/>
              <w:jc w:val="right"/>
              <w:rPr>
                <w:rFonts w:eastAsia="Times New Roman"/>
              </w:rPr>
            </w:pPr>
            <w:r w:rsidRPr="0096124E">
              <w:t>-0.046</w:t>
            </w:r>
          </w:p>
        </w:tc>
        <w:tc>
          <w:tcPr>
            <w:tcW w:w="691" w:type="pct"/>
            <w:tcBorders>
              <w:top w:val="nil"/>
              <w:left w:val="nil"/>
              <w:bottom w:val="nil"/>
              <w:right w:val="nil"/>
            </w:tcBorders>
            <w:shd w:val="clear" w:color="auto" w:fill="auto"/>
            <w:noWrap/>
            <w:vAlign w:val="bottom"/>
          </w:tcPr>
          <w:p w14:paraId="0503AE6B" w14:textId="77777777" w:rsidR="00735ADD" w:rsidRPr="0096124E" w:rsidRDefault="00735ADD" w:rsidP="0001454F">
            <w:pPr>
              <w:pStyle w:val="TableText"/>
              <w:jc w:val="right"/>
              <w:rPr>
                <w:rFonts w:eastAsia="Times New Roman"/>
              </w:rPr>
            </w:pPr>
            <w:r w:rsidRPr="0096124E">
              <w:t>-0.210***</w:t>
            </w:r>
          </w:p>
        </w:tc>
        <w:tc>
          <w:tcPr>
            <w:tcW w:w="691" w:type="pct"/>
            <w:tcBorders>
              <w:top w:val="nil"/>
              <w:left w:val="nil"/>
              <w:bottom w:val="nil"/>
              <w:right w:val="nil"/>
            </w:tcBorders>
            <w:shd w:val="clear" w:color="auto" w:fill="auto"/>
            <w:noWrap/>
            <w:vAlign w:val="bottom"/>
          </w:tcPr>
          <w:p w14:paraId="7946FB56" w14:textId="77777777" w:rsidR="00735ADD" w:rsidRPr="0096124E" w:rsidRDefault="00735ADD" w:rsidP="0001454F">
            <w:pPr>
              <w:pStyle w:val="TableText"/>
              <w:jc w:val="right"/>
              <w:rPr>
                <w:rFonts w:eastAsia="Times New Roman"/>
              </w:rPr>
            </w:pPr>
            <w:r w:rsidRPr="0096124E">
              <w:t>-0.081</w:t>
            </w:r>
          </w:p>
        </w:tc>
        <w:tc>
          <w:tcPr>
            <w:tcW w:w="653" w:type="pct"/>
            <w:tcBorders>
              <w:top w:val="nil"/>
              <w:left w:val="nil"/>
              <w:bottom w:val="nil"/>
              <w:right w:val="nil"/>
            </w:tcBorders>
            <w:shd w:val="clear" w:color="auto" w:fill="auto"/>
            <w:noWrap/>
            <w:vAlign w:val="bottom"/>
          </w:tcPr>
          <w:p w14:paraId="3325027C" w14:textId="77777777" w:rsidR="00735ADD" w:rsidRPr="0096124E" w:rsidRDefault="00735ADD" w:rsidP="0001454F">
            <w:pPr>
              <w:pStyle w:val="TableText"/>
              <w:jc w:val="right"/>
              <w:rPr>
                <w:rFonts w:eastAsia="Times New Roman"/>
              </w:rPr>
            </w:pPr>
            <w:r w:rsidRPr="0096124E">
              <w:t>-0.126***</w:t>
            </w:r>
          </w:p>
        </w:tc>
        <w:tc>
          <w:tcPr>
            <w:tcW w:w="653" w:type="pct"/>
            <w:tcBorders>
              <w:top w:val="nil"/>
              <w:left w:val="nil"/>
              <w:bottom w:val="nil"/>
              <w:right w:val="nil"/>
            </w:tcBorders>
            <w:shd w:val="clear" w:color="auto" w:fill="auto"/>
            <w:noWrap/>
            <w:vAlign w:val="bottom"/>
          </w:tcPr>
          <w:p w14:paraId="2DDD2CC9" w14:textId="77777777" w:rsidR="00735ADD" w:rsidRPr="0096124E" w:rsidRDefault="00735ADD" w:rsidP="0001454F">
            <w:pPr>
              <w:pStyle w:val="TableText"/>
              <w:jc w:val="right"/>
              <w:rPr>
                <w:rFonts w:eastAsia="Times New Roman"/>
              </w:rPr>
            </w:pPr>
            <w:r w:rsidRPr="0096124E">
              <w:t>-0.053</w:t>
            </w:r>
          </w:p>
        </w:tc>
      </w:tr>
      <w:tr w:rsidR="00735ADD" w:rsidRPr="0096124E" w14:paraId="23089C3D" w14:textId="77777777" w:rsidTr="00DC68CD">
        <w:trPr>
          <w:trHeight w:val="283"/>
        </w:trPr>
        <w:tc>
          <w:tcPr>
            <w:tcW w:w="1005" w:type="pct"/>
            <w:tcBorders>
              <w:top w:val="nil"/>
              <w:left w:val="nil"/>
              <w:bottom w:val="nil"/>
              <w:right w:val="nil"/>
            </w:tcBorders>
            <w:shd w:val="clear" w:color="auto" w:fill="auto"/>
            <w:noWrap/>
            <w:vAlign w:val="center"/>
            <w:hideMark/>
          </w:tcPr>
          <w:p w14:paraId="7653C06A" w14:textId="77777777" w:rsidR="00735ADD" w:rsidRPr="0096124E" w:rsidRDefault="00735ADD" w:rsidP="0001454F">
            <w:pPr>
              <w:pStyle w:val="TableText"/>
            </w:pPr>
          </w:p>
        </w:tc>
        <w:tc>
          <w:tcPr>
            <w:tcW w:w="654" w:type="pct"/>
            <w:tcBorders>
              <w:top w:val="nil"/>
              <w:left w:val="nil"/>
              <w:bottom w:val="nil"/>
              <w:right w:val="nil"/>
            </w:tcBorders>
            <w:shd w:val="clear" w:color="auto" w:fill="auto"/>
            <w:noWrap/>
            <w:vAlign w:val="bottom"/>
          </w:tcPr>
          <w:p w14:paraId="0609AA95" w14:textId="77777777" w:rsidR="00735ADD" w:rsidRPr="0096124E" w:rsidRDefault="00735ADD" w:rsidP="0001454F">
            <w:pPr>
              <w:pStyle w:val="TableText"/>
              <w:jc w:val="right"/>
              <w:rPr>
                <w:rFonts w:eastAsia="Times New Roman"/>
              </w:rPr>
            </w:pPr>
            <w:r w:rsidRPr="0096124E">
              <w:t>(-2.92)</w:t>
            </w:r>
          </w:p>
        </w:tc>
        <w:tc>
          <w:tcPr>
            <w:tcW w:w="653" w:type="pct"/>
            <w:tcBorders>
              <w:top w:val="nil"/>
              <w:left w:val="nil"/>
              <w:bottom w:val="nil"/>
              <w:right w:val="nil"/>
            </w:tcBorders>
            <w:shd w:val="clear" w:color="auto" w:fill="auto"/>
            <w:noWrap/>
            <w:vAlign w:val="bottom"/>
          </w:tcPr>
          <w:p w14:paraId="3BE1C436" w14:textId="77777777" w:rsidR="00735ADD" w:rsidRPr="0096124E" w:rsidRDefault="00735ADD" w:rsidP="0001454F">
            <w:pPr>
              <w:pStyle w:val="TableText"/>
              <w:jc w:val="right"/>
              <w:rPr>
                <w:rFonts w:eastAsia="Times New Roman"/>
              </w:rPr>
            </w:pPr>
            <w:r w:rsidRPr="0096124E">
              <w:t>(-1.15)</w:t>
            </w:r>
          </w:p>
        </w:tc>
        <w:tc>
          <w:tcPr>
            <w:tcW w:w="691" w:type="pct"/>
            <w:tcBorders>
              <w:top w:val="nil"/>
              <w:left w:val="nil"/>
              <w:bottom w:val="nil"/>
              <w:right w:val="nil"/>
            </w:tcBorders>
            <w:shd w:val="clear" w:color="auto" w:fill="auto"/>
            <w:noWrap/>
            <w:vAlign w:val="bottom"/>
          </w:tcPr>
          <w:p w14:paraId="5F311A4A" w14:textId="77777777" w:rsidR="00735ADD" w:rsidRPr="0096124E" w:rsidRDefault="00735ADD" w:rsidP="0001454F">
            <w:pPr>
              <w:pStyle w:val="TableText"/>
              <w:jc w:val="right"/>
              <w:rPr>
                <w:rFonts w:eastAsia="Times New Roman"/>
              </w:rPr>
            </w:pPr>
            <w:r w:rsidRPr="0096124E">
              <w:t>(-4.46)</w:t>
            </w:r>
          </w:p>
        </w:tc>
        <w:tc>
          <w:tcPr>
            <w:tcW w:w="691" w:type="pct"/>
            <w:tcBorders>
              <w:top w:val="nil"/>
              <w:left w:val="nil"/>
              <w:bottom w:val="nil"/>
              <w:right w:val="nil"/>
            </w:tcBorders>
            <w:shd w:val="clear" w:color="auto" w:fill="auto"/>
            <w:noWrap/>
            <w:vAlign w:val="bottom"/>
          </w:tcPr>
          <w:p w14:paraId="79CA7E71" w14:textId="77777777" w:rsidR="00735ADD" w:rsidRPr="0096124E" w:rsidRDefault="00735ADD" w:rsidP="0001454F">
            <w:pPr>
              <w:pStyle w:val="TableText"/>
              <w:jc w:val="right"/>
              <w:rPr>
                <w:rFonts w:eastAsia="Times New Roman"/>
              </w:rPr>
            </w:pPr>
            <w:r w:rsidRPr="0096124E">
              <w:t>(-1.52)</w:t>
            </w:r>
          </w:p>
        </w:tc>
        <w:tc>
          <w:tcPr>
            <w:tcW w:w="653" w:type="pct"/>
            <w:tcBorders>
              <w:top w:val="nil"/>
              <w:left w:val="nil"/>
              <w:bottom w:val="nil"/>
              <w:right w:val="nil"/>
            </w:tcBorders>
            <w:shd w:val="clear" w:color="auto" w:fill="auto"/>
            <w:noWrap/>
            <w:vAlign w:val="bottom"/>
          </w:tcPr>
          <w:p w14:paraId="6861B507" w14:textId="77777777" w:rsidR="00735ADD" w:rsidRPr="0096124E" w:rsidRDefault="00735ADD" w:rsidP="0001454F">
            <w:pPr>
              <w:pStyle w:val="TableText"/>
              <w:jc w:val="right"/>
              <w:rPr>
                <w:rFonts w:eastAsia="Times New Roman"/>
              </w:rPr>
            </w:pPr>
            <w:r w:rsidRPr="0096124E">
              <w:t>(-4.20)</w:t>
            </w:r>
          </w:p>
        </w:tc>
        <w:tc>
          <w:tcPr>
            <w:tcW w:w="653" w:type="pct"/>
            <w:tcBorders>
              <w:top w:val="nil"/>
              <w:left w:val="nil"/>
              <w:bottom w:val="nil"/>
              <w:right w:val="nil"/>
            </w:tcBorders>
            <w:shd w:val="clear" w:color="auto" w:fill="auto"/>
            <w:noWrap/>
            <w:vAlign w:val="bottom"/>
          </w:tcPr>
          <w:p w14:paraId="076AB0AD" w14:textId="77777777" w:rsidR="00735ADD" w:rsidRPr="0096124E" w:rsidRDefault="00735ADD" w:rsidP="0001454F">
            <w:pPr>
              <w:pStyle w:val="TableText"/>
              <w:jc w:val="right"/>
              <w:rPr>
                <w:rFonts w:eastAsia="Times New Roman"/>
              </w:rPr>
            </w:pPr>
            <w:r w:rsidRPr="0096124E">
              <w:t>(-1.61)</w:t>
            </w:r>
          </w:p>
        </w:tc>
      </w:tr>
      <w:tr w:rsidR="00735ADD" w:rsidRPr="00B51982" w14:paraId="126221DA" w14:textId="77777777" w:rsidTr="00DC68CD">
        <w:trPr>
          <w:trHeight w:val="283"/>
        </w:trPr>
        <w:tc>
          <w:tcPr>
            <w:tcW w:w="1005" w:type="pct"/>
            <w:tcBorders>
              <w:top w:val="nil"/>
              <w:left w:val="nil"/>
              <w:bottom w:val="nil"/>
              <w:right w:val="nil"/>
            </w:tcBorders>
            <w:shd w:val="clear" w:color="auto" w:fill="auto"/>
            <w:noWrap/>
            <w:vAlign w:val="center"/>
            <w:hideMark/>
          </w:tcPr>
          <w:p w14:paraId="1C5E9D44" w14:textId="77777777" w:rsidR="00735ADD" w:rsidRPr="00B51982" w:rsidRDefault="00735ADD" w:rsidP="0001454F">
            <w:pPr>
              <w:pStyle w:val="TableText"/>
            </w:pPr>
            <w:r w:rsidRPr="00B51982">
              <w:t>Controls</w:t>
            </w:r>
          </w:p>
        </w:tc>
        <w:tc>
          <w:tcPr>
            <w:tcW w:w="654" w:type="pct"/>
            <w:tcBorders>
              <w:top w:val="nil"/>
              <w:left w:val="nil"/>
              <w:bottom w:val="nil"/>
              <w:right w:val="nil"/>
            </w:tcBorders>
            <w:shd w:val="clear" w:color="auto" w:fill="auto"/>
            <w:noWrap/>
            <w:vAlign w:val="center"/>
          </w:tcPr>
          <w:p w14:paraId="74C3E9A8" w14:textId="77777777" w:rsidR="00735ADD" w:rsidRPr="00B51982" w:rsidRDefault="00735ADD" w:rsidP="0001454F">
            <w:pPr>
              <w:pStyle w:val="TableText"/>
              <w:jc w:val="right"/>
            </w:pPr>
            <w:r>
              <w:t>Yes</w:t>
            </w:r>
          </w:p>
        </w:tc>
        <w:tc>
          <w:tcPr>
            <w:tcW w:w="653" w:type="pct"/>
            <w:tcBorders>
              <w:top w:val="nil"/>
              <w:left w:val="nil"/>
              <w:bottom w:val="nil"/>
              <w:right w:val="nil"/>
            </w:tcBorders>
            <w:shd w:val="clear" w:color="auto" w:fill="auto"/>
            <w:noWrap/>
            <w:vAlign w:val="center"/>
          </w:tcPr>
          <w:p w14:paraId="1AE7B577" w14:textId="77777777" w:rsidR="00735ADD" w:rsidRPr="00B51982" w:rsidRDefault="00735ADD" w:rsidP="0001454F">
            <w:pPr>
              <w:pStyle w:val="TableText"/>
              <w:jc w:val="right"/>
            </w:pPr>
            <w:r>
              <w:t>Yes</w:t>
            </w:r>
          </w:p>
        </w:tc>
        <w:tc>
          <w:tcPr>
            <w:tcW w:w="691" w:type="pct"/>
            <w:tcBorders>
              <w:top w:val="nil"/>
              <w:left w:val="nil"/>
              <w:bottom w:val="nil"/>
              <w:right w:val="nil"/>
            </w:tcBorders>
            <w:shd w:val="clear" w:color="auto" w:fill="auto"/>
            <w:noWrap/>
            <w:vAlign w:val="center"/>
          </w:tcPr>
          <w:p w14:paraId="46294B34" w14:textId="77777777" w:rsidR="00735ADD" w:rsidRPr="00B51982" w:rsidRDefault="00735ADD" w:rsidP="0001454F">
            <w:pPr>
              <w:pStyle w:val="TableText"/>
              <w:jc w:val="right"/>
            </w:pPr>
            <w:r>
              <w:t>Yes</w:t>
            </w:r>
          </w:p>
        </w:tc>
        <w:tc>
          <w:tcPr>
            <w:tcW w:w="691" w:type="pct"/>
            <w:tcBorders>
              <w:top w:val="nil"/>
              <w:left w:val="nil"/>
              <w:bottom w:val="nil"/>
              <w:right w:val="nil"/>
            </w:tcBorders>
            <w:shd w:val="clear" w:color="auto" w:fill="auto"/>
            <w:noWrap/>
            <w:vAlign w:val="center"/>
          </w:tcPr>
          <w:p w14:paraId="3936F3D7" w14:textId="77777777" w:rsidR="00735ADD" w:rsidRPr="00B51982" w:rsidRDefault="00735ADD" w:rsidP="0001454F">
            <w:pPr>
              <w:pStyle w:val="TableText"/>
              <w:jc w:val="right"/>
            </w:pPr>
            <w:r>
              <w:t>Yes</w:t>
            </w:r>
          </w:p>
        </w:tc>
        <w:tc>
          <w:tcPr>
            <w:tcW w:w="653" w:type="pct"/>
            <w:tcBorders>
              <w:top w:val="nil"/>
              <w:left w:val="nil"/>
              <w:bottom w:val="nil"/>
              <w:right w:val="nil"/>
            </w:tcBorders>
            <w:shd w:val="clear" w:color="auto" w:fill="auto"/>
            <w:noWrap/>
            <w:vAlign w:val="center"/>
          </w:tcPr>
          <w:p w14:paraId="0C3552CE" w14:textId="77777777" w:rsidR="00735ADD" w:rsidRPr="00B51982" w:rsidRDefault="00735ADD" w:rsidP="0001454F">
            <w:pPr>
              <w:pStyle w:val="TableText"/>
              <w:jc w:val="right"/>
            </w:pPr>
            <w:r>
              <w:t>Yes</w:t>
            </w:r>
          </w:p>
        </w:tc>
        <w:tc>
          <w:tcPr>
            <w:tcW w:w="653" w:type="pct"/>
            <w:tcBorders>
              <w:top w:val="nil"/>
              <w:left w:val="nil"/>
              <w:bottom w:val="nil"/>
              <w:right w:val="nil"/>
            </w:tcBorders>
            <w:shd w:val="clear" w:color="auto" w:fill="auto"/>
            <w:noWrap/>
            <w:vAlign w:val="center"/>
          </w:tcPr>
          <w:p w14:paraId="74B65830" w14:textId="77777777" w:rsidR="00735ADD" w:rsidRPr="00B51982" w:rsidRDefault="00735ADD" w:rsidP="0001454F">
            <w:pPr>
              <w:pStyle w:val="TableText"/>
              <w:jc w:val="right"/>
            </w:pPr>
            <w:r>
              <w:t>Yes</w:t>
            </w:r>
          </w:p>
        </w:tc>
      </w:tr>
      <w:tr w:rsidR="00735ADD" w:rsidRPr="00B51982" w14:paraId="0C3FA684" w14:textId="77777777" w:rsidTr="00DC68CD">
        <w:trPr>
          <w:trHeight w:val="283"/>
        </w:trPr>
        <w:tc>
          <w:tcPr>
            <w:tcW w:w="1005" w:type="pct"/>
            <w:tcBorders>
              <w:top w:val="nil"/>
              <w:left w:val="nil"/>
              <w:bottom w:val="nil"/>
              <w:right w:val="nil"/>
            </w:tcBorders>
            <w:shd w:val="clear" w:color="auto" w:fill="auto"/>
            <w:noWrap/>
            <w:vAlign w:val="center"/>
            <w:hideMark/>
          </w:tcPr>
          <w:p w14:paraId="59B957C6" w14:textId="77777777" w:rsidR="00735ADD" w:rsidRPr="00B51982" w:rsidRDefault="00735ADD" w:rsidP="0001454F">
            <w:pPr>
              <w:pStyle w:val="TableText"/>
            </w:pPr>
            <w:r w:rsidRPr="00B51982">
              <w:t>Observations</w:t>
            </w:r>
          </w:p>
        </w:tc>
        <w:tc>
          <w:tcPr>
            <w:tcW w:w="654" w:type="pct"/>
            <w:tcBorders>
              <w:top w:val="nil"/>
              <w:left w:val="nil"/>
              <w:bottom w:val="nil"/>
              <w:right w:val="nil"/>
            </w:tcBorders>
            <w:shd w:val="clear" w:color="auto" w:fill="auto"/>
            <w:noWrap/>
            <w:vAlign w:val="center"/>
          </w:tcPr>
          <w:p w14:paraId="36692DE2" w14:textId="77777777" w:rsidR="00735ADD" w:rsidRPr="00B51982" w:rsidRDefault="00735ADD" w:rsidP="0001454F">
            <w:pPr>
              <w:pStyle w:val="TableText"/>
              <w:jc w:val="right"/>
            </w:pPr>
            <w:r>
              <w:t>4521</w:t>
            </w:r>
          </w:p>
        </w:tc>
        <w:tc>
          <w:tcPr>
            <w:tcW w:w="653" w:type="pct"/>
            <w:tcBorders>
              <w:top w:val="nil"/>
              <w:left w:val="nil"/>
              <w:bottom w:val="nil"/>
              <w:right w:val="nil"/>
            </w:tcBorders>
            <w:shd w:val="clear" w:color="auto" w:fill="auto"/>
            <w:noWrap/>
            <w:vAlign w:val="center"/>
          </w:tcPr>
          <w:p w14:paraId="7C12009A" w14:textId="77777777" w:rsidR="00735ADD" w:rsidRPr="00B51982" w:rsidRDefault="00735ADD" w:rsidP="0001454F">
            <w:pPr>
              <w:pStyle w:val="TableText"/>
              <w:jc w:val="right"/>
            </w:pPr>
            <w:r>
              <w:t>3483</w:t>
            </w:r>
          </w:p>
        </w:tc>
        <w:tc>
          <w:tcPr>
            <w:tcW w:w="691" w:type="pct"/>
            <w:tcBorders>
              <w:top w:val="nil"/>
              <w:left w:val="nil"/>
              <w:bottom w:val="nil"/>
              <w:right w:val="nil"/>
            </w:tcBorders>
            <w:shd w:val="clear" w:color="auto" w:fill="auto"/>
            <w:noWrap/>
            <w:vAlign w:val="center"/>
          </w:tcPr>
          <w:p w14:paraId="59AE1B6A" w14:textId="77777777" w:rsidR="00735ADD" w:rsidRPr="00B51982" w:rsidRDefault="00735ADD" w:rsidP="0001454F">
            <w:pPr>
              <w:pStyle w:val="TableText"/>
              <w:jc w:val="right"/>
            </w:pPr>
            <w:r>
              <w:t>4521</w:t>
            </w:r>
          </w:p>
        </w:tc>
        <w:tc>
          <w:tcPr>
            <w:tcW w:w="691" w:type="pct"/>
            <w:tcBorders>
              <w:top w:val="nil"/>
              <w:left w:val="nil"/>
              <w:bottom w:val="nil"/>
              <w:right w:val="nil"/>
            </w:tcBorders>
            <w:shd w:val="clear" w:color="auto" w:fill="auto"/>
            <w:noWrap/>
            <w:vAlign w:val="center"/>
          </w:tcPr>
          <w:p w14:paraId="075E9AF0" w14:textId="77777777" w:rsidR="00735ADD" w:rsidRPr="00B51982" w:rsidRDefault="00735ADD" w:rsidP="0001454F">
            <w:pPr>
              <w:pStyle w:val="TableText"/>
              <w:jc w:val="right"/>
            </w:pPr>
            <w:r>
              <w:t>3483</w:t>
            </w:r>
          </w:p>
        </w:tc>
        <w:tc>
          <w:tcPr>
            <w:tcW w:w="653" w:type="pct"/>
            <w:tcBorders>
              <w:top w:val="nil"/>
              <w:left w:val="nil"/>
              <w:bottom w:val="nil"/>
              <w:right w:val="nil"/>
            </w:tcBorders>
            <w:shd w:val="clear" w:color="auto" w:fill="auto"/>
            <w:noWrap/>
            <w:vAlign w:val="center"/>
          </w:tcPr>
          <w:p w14:paraId="536A8C1A" w14:textId="77777777" w:rsidR="00735ADD" w:rsidRPr="00B51982" w:rsidRDefault="00735ADD" w:rsidP="0001454F">
            <w:pPr>
              <w:pStyle w:val="TableText"/>
              <w:jc w:val="right"/>
            </w:pPr>
            <w:r>
              <w:t>4521</w:t>
            </w:r>
          </w:p>
        </w:tc>
        <w:tc>
          <w:tcPr>
            <w:tcW w:w="653" w:type="pct"/>
            <w:tcBorders>
              <w:top w:val="nil"/>
              <w:left w:val="nil"/>
              <w:bottom w:val="nil"/>
              <w:right w:val="nil"/>
            </w:tcBorders>
            <w:shd w:val="clear" w:color="auto" w:fill="auto"/>
            <w:noWrap/>
            <w:vAlign w:val="center"/>
          </w:tcPr>
          <w:p w14:paraId="398DB403" w14:textId="77777777" w:rsidR="00735ADD" w:rsidRPr="00B51982" w:rsidRDefault="00735ADD" w:rsidP="0001454F">
            <w:pPr>
              <w:pStyle w:val="TableText"/>
              <w:jc w:val="right"/>
            </w:pPr>
            <w:r>
              <w:t>3483</w:t>
            </w:r>
          </w:p>
        </w:tc>
      </w:tr>
      <w:tr w:rsidR="00735ADD" w:rsidRPr="00B51982" w14:paraId="6FCFCBA9" w14:textId="77777777" w:rsidTr="00DC68CD">
        <w:trPr>
          <w:trHeight w:val="283"/>
        </w:trPr>
        <w:tc>
          <w:tcPr>
            <w:tcW w:w="1005" w:type="pct"/>
            <w:tcBorders>
              <w:top w:val="nil"/>
              <w:left w:val="nil"/>
              <w:right w:val="nil"/>
            </w:tcBorders>
            <w:shd w:val="clear" w:color="auto" w:fill="auto"/>
            <w:noWrap/>
            <w:vAlign w:val="center"/>
            <w:hideMark/>
          </w:tcPr>
          <w:p w14:paraId="00E3DE1D" w14:textId="77777777" w:rsidR="00735ADD" w:rsidRPr="00B51982" w:rsidRDefault="00735ADD" w:rsidP="0001454F">
            <w:pPr>
              <w:pStyle w:val="TableText"/>
            </w:pPr>
            <w:r w:rsidRPr="00B51982">
              <w:t xml:space="preserve">Adjusted </w:t>
            </w:r>
            <m:oMath>
              <m:sSup>
                <m:sSupPr>
                  <m:ctrlPr>
                    <w:rPr>
                      <w:rFonts w:ascii="Cambria Math" w:hAnsi="Cambria Math"/>
                      <w:i/>
                    </w:rPr>
                  </m:ctrlPr>
                </m:sSupPr>
                <m:e>
                  <m:r>
                    <w:rPr>
                      <w:rFonts w:ascii="Cambria Math" w:hAnsi="Cambria Math"/>
                    </w:rPr>
                    <m:t>R</m:t>
                  </m:r>
                </m:e>
                <m:sup>
                  <m:r>
                    <w:rPr>
                      <w:rFonts w:ascii="Cambria Math" w:hAnsi="Cambria Math"/>
                    </w:rPr>
                    <m:t>2</m:t>
                  </m:r>
                </m:sup>
              </m:sSup>
            </m:oMath>
          </w:p>
        </w:tc>
        <w:tc>
          <w:tcPr>
            <w:tcW w:w="654" w:type="pct"/>
            <w:tcBorders>
              <w:top w:val="nil"/>
              <w:left w:val="nil"/>
              <w:right w:val="nil"/>
            </w:tcBorders>
            <w:shd w:val="clear" w:color="auto" w:fill="auto"/>
            <w:noWrap/>
            <w:vAlign w:val="center"/>
          </w:tcPr>
          <w:p w14:paraId="40CCAEF0" w14:textId="77777777" w:rsidR="00735ADD" w:rsidRPr="00B51982" w:rsidRDefault="00735ADD" w:rsidP="0001454F">
            <w:pPr>
              <w:pStyle w:val="TableText"/>
              <w:jc w:val="right"/>
            </w:pPr>
            <w:r>
              <w:t>0.06</w:t>
            </w:r>
          </w:p>
        </w:tc>
        <w:tc>
          <w:tcPr>
            <w:tcW w:w="653" w:type="pct"/>
            <w:tcBorders>
              <w:top w:val="nil"/>
              <w:left w:val="nil"/>
              <w:right w:val="nil"/>
            </w:tcBorders>
            <w:shd w:val="clear" w:color="auto" w:fill="auto"/>
            <w:noWrap/>
            <w:vAlign w:val="center"/>
          </w:tcPr>
          <w:p w14:paraId="07601412" w14:textId="77777777" w:rsidR="00735ADD" w:rsidRPr="00B51982" w:rsidRDefault="00735ADD" w:rsidP="0001454F">
            <w:pPr>
              <w:pStyle w:val="TableText"/>
              <w:jc w:val="right"/>
            </w:pPr>
            <w:r>
              <w:t>0.07</w:t>
            </w:r>
          </w:p>
        </w:tc>
        <w:tc>
          <w:tcPr>
            <w:tcW w:w="691" w:type="pct"/>
            <w:tcBorders>
              <w:top w:val="nil"/>
              <w:left w:val="nil"/>
              <w:right w:val="nil"/>
            </w:tcBorders>
            <w:shd w:val="clear" w:color="auto" w:fill="auto"/>
            <w:noWrap/>
            <w:vAlign w:val="center"/>
          </w:tcPr>
          <w:p w14:paraId="0BEE9E2E" w14:textId="77777777" w:rsidR="00735ADD" w:rsidRPr="00B51982" w:rsidRDefault="00735ADD" w:rsidP="0001454F">
            <w:pPr>
              <w:pStyle w:val="TableText"/>
              <w:jc w:val="right"/>
            </w:pPr>
            <w:r>
              <w:t>0.10</w:t>
            </w:r>
          </w:p>
        </w:tc>
        <w:tc>
          <w:tcPr>
            <w:tcW w:w="691" w:type="pct"/>
            <w:tcBorders>
              <w:top w:val="nil"/>
              <w:left w:val="nil"/>
              <w:right w:val="nil"/>
            </w:tcBorders>
            <w:shd w:val="clear" w:color="auto" w:fill="auto"/>
            <w:noWrap/>
            <w:vAlign w:val="center"/>
          </w:tcPr>
          <w:p w14:paraId="5C37018F" w14:textId="77777777" w:rsidR="00735ADD" w:rsidRPr="00B51982" w:rsidRDefault="00735ADD" w:rsidP="0001454F">
            <w:pPr>
              <w:pStyle w:val="TableText"/>
              <w:jc w:val="right"/>
            </w:pPr>
            <w:r>
              <w:t>0.12</w:t>
            </w:r>
          </w:p>
        </w:tc>
        <w:tc>
          <w:tcPr>
            <w:tcW w:w="653" w:type="pct"/>
            <w:tcBorders>
              <w:top w:val="nil"/>
              <w:left w:val="nil"/>
              <w:right w:val="nil"/>
            </w:tcBorders>
            <w:shd w:val="clear" w:color="auto" w:fill="auto"/>
            <w:noWrap/>
            <w:vAlign w:val="center"/>
          </w:tcPr>
          <w:p w14:paraId="4543A34A" w14:textId="77777777" w:rsidR="00735ADD" w:rsidRPr="00B51982" w:rsidRDefault="00735ADD" w:rsidP="0001454F">
            <w:pPr>
              <w:pStyle w:val="TableText"/>
              <w:jc w:val="right"/>
            </w:pPr>
            <w:r>
              <w:t>0.10</w:t>
            </w:r>
          </w:p>
        </w:tc>
        <w:tc>
          <w:tcPr>
            <w:tcW w:w="653" w:type="pct"/>
            <w:tcBorders>
              <w:top w:val="nil"/>
              <w:left w:val="nil"/>
              <w:right w:val="nil"/>
            </w:tcBorders>
            <w:shd w:val="clear" w:color="auto" w:fill="auto"/>
            <w:noWrap/>
            <w:vAlign w:val="center"/>
          </w:tcPr>
          <w:p w14:paraId="4EDC2DA4" w14:textId="77777777" w:rsidR="00735ADD" w:rsidRPr="00B51982" w:rsidRDefault="00735ADD" w:rsidP="0001454F">
            <w:pPr>
              <w:pStyle w:val="TableText"/>
              <w:jc w:val="right"/>
            </w:pPr>
            <w:r>
              <w:t>0.11</w:t>
            </w:r>
          </w:p>
        </w:tc>
      </w:tr>
      <w:tr w:rsidR="00735ADD" w:rsidRPr="00B51982" w14:paraId="28BAAB91" w14:textId="77777777" w:rsidTr="00DC68CD">
        <w:trPr>
          <w:trHeight w:val="283"/>
        </w:trPr>
        <w:tc>
          <w:tcPr>
            <w:tcW w:w="1005" w:type="pct"/>
            <w:tcBorders>
              <w:top w:val="nil"/>
              <w:left w:val="nil"/>
              <w:right w:val="nil"/>
            </w:tcBorders>
            <w:shd w:val="clear" w:color="auto" w:fill="auto"/>
            <w:noWrap/>
            <w:vAlign w:val="center"/>
          </w:tcPr>
          <w:p w14:paraId="11C4FF7E" w14:textId="77777777" w:rsidR="00735ADD" w:rsidRPr="00B51982" w:rsidRDefault="00735ADD" w:rsidP="0001454F">
            <w:pPr>
              <w:pStyle w:val="TableText"/>
            </w:pPr>
            <w:r>
              <w:t>Year-fixed effects</w:t>
            </w:r>
          </w:p>
        </w:tc>
        <w:tc>
          <w:tcPr>
            <w:tcW w:w="654" w:type="pct"/>
            <w:tcBorders>
              <w:top w:val="nil"/>
              <w:left w:val="nil"/>
              <w:right w:val="nil"/>
            </w:tcBorders>
            <w:shd w:val="clear" w:color="auto" w:fill="auto"/>
            <w:noWrap/>
            <w:vAlign w:val="center"/>
          </w:tcPr>
          <w:p w14:paraId="4D8A4A3B" w14:textId="77777777" w:rsidR="00735ADD" w:rsidRDefault="00735ADD" w:rsidP="0001454F">
            <w:pPr>
              <w:pStyle w:val="TableText"/>
              <w:jc w:val="right"/>
            </w:pPr>
            <w:r>
              <w:t>Yes</w:t>
            </w:r>
          </w:p>
        </w:tc>
        <w:tc>
          <w:tcPr>
            <w:tcW w:w="653" w:type="pct"/>
            <w:tcBorders>
              <w:top w:val="nil"/>
              <w:left w:val="nil"/>
              <w:right w:val="nil"/>
            </w:tcBorders>
            <w:shd w:val="clear" w:color="auto" w:fill="auto"/>
            <w:noWrap/>
            <w:vAlign w:val="center"/>
          </w:tcPr>
          <w:p w14:paraId="4D4EA1E2" w14:textId="77777777" w:rsidR="00735ADD" w:rsidRDefault="00735ADD" w:rsidP="0001454F">
            <w:pPr>
              <w:pStyle w:val="TableText"/>
              <w:jc w:val="right"/>
            </w:pPr>
            <w:r>
              <w:t>Yes</w:t>
            </w:r>
          </w:p>
        </w:tc>
        <w:tc>
          <w:tcPr>
            <w:tcW w:w="691" w:type="pct"/>
            <w:tcBorders>
              <w:top w:val="nil"/>
              <w:left w:val="nil"/>
              <w:right w:val="nil"/>
            </w:tcBorders>
            <w:shd w:val="clear" w:color="auto" w:fill="auto"/>
            <w:noWrap/>
            <w:vAlign w:val="center"/>
          </w:tcPr>
          <w:p w14:paraId="5CA53CE2" w14:textId="77777777" w:rsidR="00735ADD" w:rsidRDefault="00735ADD" w:rsidP="0001454F">
            <w:pPr>
              <w:pStyle w:val="TableText"/>
              <w:jc w:val="right"/>
            </w:pPr>
            <w:r>
              <w:t>Yes</w:t>
            </w:r>
          </w:p>
        </w:tc>
        <w:tc>
          <w:tcPr>
            <w:tcW w:w="691" w:type="pct"/>
            <w:tcBorders>
              <w:top w:val="nil"/>
              <w:left w:val="nil"/>
              <w:right w:val="nil"/>
            </w:tcBorders>
            <w:shd w:val="clear" w:color="auto" w:fill="auto"/>
            <w:noWrap/>
            <w:vAlign w:val="center"/>
          </w:tcPr>
          <w:p w14:paraId="4A1D8584" w14:textId="77777777" w:rsidR="00735ADD" w:rsidRDefault="00735ADD" w:rsidP="0001454F">
            <w:pPr>
              <w:pStyle w:val="TableText"/>
              <w:jc w:val="right"/>
            </w:pPr>
            <w:r>
              <w:t>Yes</w:t>
            </w:r>
          </w:p>
        </w:tc>
        <w:tc>
          <w:tcPr>
            <w:tcW w:w="653" w:type="pct"/>
            <w:tcBorders>
              <w:top w:val="nil"/>
              <w:left w:val="nil"/>
              <w:right w:val="nil"/>
            </w:tcBorders>
            <w:shd w:val="clear" w:color="auto" w:fill="auto"/>
            <w:noWrap/>
            <w:vAlign w:val="center"/>
          </w:tcPr>
          <w:p w14:paraId="6997E381" w14:textId="77777777" w:rsidR="00735ADD" w:rsidRDefault="00735ADD" w:rsidP="0001454F">
            <w:pPr>
              <w:pStyle w:val="TableText"/>
              <w:jc w:val="right"/>
            </w:pPr>
            <w:r>
              <w:t>Yes</w:t>
            </w:r>
          </w:p>
        </w:tc>
        <w:tc>
          <w:tcPr>
            <w:tcW w:w="653" w:type="pct"/>
            <w:tcBorders>
              <w:top w:val="nil"/>
              <w:left w:val="nil"/>
              <w:right w:val="nil"/>
            </w:tcBorders>
            <w:shd w:val="clear" w:color="auto" w:fill="auto"/>
            <w:noWrap/>
            <w:vAlign w:val="center"/>
          </w:tcPr>
          <w:p w14:paraId="02FFC1CE" w14:textId="77777777" w:rsidR="00735ADD" w:rsidRDefault="00735ADD" w:rsidP="0001454F">
            <w:pPr>
              <w:pStyle w:val="TableText"/>
              <w:jc w:val="right"/>
            </w:pPr>
            <w:r>
              <w:t>Yes</w:t>
            </w:r>
          </w:p>
        </w:tc>
      </w:tr>
      <w:tr w:rsidR="00735ADD" w:rsidRPr="00B51982" w14:paraId="13FF62EF" w14:textId="77777777" w:rsidTr="00DC68CD">
        <w:trPr>
          <w:trHeight w:val="283"/>
        </w:trPr>
        <w:tc>
          <w:tcPr>
            <w:tcW w:w="1005" w:type="pct"/>
            <w:tcBorders>
              <w:left w:val="nil"/>
              <w:bottom w:val="single" w:sz="4" w:space="0" w:color="auto"/>
              <w:right w:val="nil"/>
            </w:tcBorders>
            <w:shd w:val="clear" w:color="auto" w:fill="auto"/>
            <w:noWrap/>
            <w:vAlign w:val="center"/>
          </w:tcPr>
          <w:p w14:paraId="1C54A835" w14:textId="77777777" w:rsidR="00735ADD" w:rsidRPr="00B51982" w:rsidRDefault="00735ADD" w:rsidP="0001454F">
            <w:pPr>
              <w:pStyle w:val="TableText"/>
            </w:pPr>
            <w:r>
              <w:t>Firm-fixed effects</w:t>
            </w:r>
          </w:p>
        </w:tc>
        <w:tc>
          <w:tcPr>
            <w:tcW w:w="654" w:type="pct"/>
            <w:tcBorders>
              <w:left w:val="nil"/>
              <w:bottom w:val="single" w:sz="4" w:space="0" w:color="auto"/>
              <w:right w:val="nil"/>
            </w:tcBorders>
            <w:shd w:val="clear" w:color="auto" w:fill="auto"/>
            <w:noWrap/>
            <w:vAlign w:val="center"/>
          </w:tcPr>
          <w:p w14:paraId="76C5AB27" w14:textId="77777777" w:rsidR="00735ADD" w:rsidRDefault="00735ADD" w:rsidP="0001454F">
            <w:pPr>
              <w:pStyle w:val="TableText"/>
              <w:jc w:val="right"/>
            </w:pPr>
            <w:r>
              <w:t>Yes</w:t>
            </w:r>
          </w:p>
        </w:tc>
        <w:tc>
          <w:tcPr>
            <w:tcW w:w="653" w:type="pct"/>
            <w:tcBorders>
              <w:left w:val="nil"/>
              <w:bottom w:val="single" w:sz="4" w:space="0" w:color="auto"/>
              <w:right w:val="nil"/>
            </w:tcBorders>
            <w:shd w:val="clear" w:color="auto" w:fill="auto"/>
            <w:noWrap/>
            <w:vAlign w:val="center"/>
          </w:tcPr>
          <w:p w14:paraId="1843F653" w14:textId="77777777" w:rsidR="00735ADD" w:rsidRDefault="00735ADD" w:rsidP="0001454F">
            <w:pPr>
              <w:pStyle w:val="TableText"/>
              <w:jc w:val="right"/>
            </w:pPr>
            <w:r>
              <w:t>Yes</w:t>
            </w:r>
          </w:p>
        </w:tc>
        <w:tc>
          <w:tcPr>
            <w:tcW w:w="691" w:type="pct"/>
            <w:tcBorders>
              <w:left w:val="nil"/>
              <w:bottom w:val="single" w:sz="4" w:space="0" w:color="auto"/>
              <w:right w:val="nil"/>
            </w:tcBorders>
            <w:shd w:val="clear" w:color="auto" w:fill="auto"/>
            <w:noWrap/>
            <w:vAlign w:val="center"/>
          </w:tcPr>
          <w:p w14:paraId="024D8B13" w14:textId="77777777" w:rsidR="00735ADD" w:rsidRDefault="00735ADD" w:rsidP="0001454F">
            <w:pPr>
              <w:pStyle w:val="TableText"/>
              <w:jc w:val="right"/>
            </w:pPr>
            <w:r>
              <w:t>Yes</w:t>
            </w:r>
          </w:p>
        </w:tc>
        <w:tc>
          <w:tcPr>
            <w:tcW w:w="691" w:type="pct"/>
            <w:tcBorders>
              <w:left w:val="nil"/>
              <w:bottom w:val="single" w:sz="4" w:space="0" w:color="auto"/>
              <w:right w:val="nil"/>
            </w:tcBorders>
            <w:shd w:val="clear" w:color="auto" w:fill="auto"/>
            <w:noWrap/>
            <w:vAlign w:val="center"/>
          </w:tcPr>
          <w:p w14:paraId="73DCFEDD" w14:textId="77777777" w:rsidR="00735ADD" w:rsidRDefault="00735ADD" w:rsidP="0001454F">
            <w:pPr>
              <w:pStyle w:val="TableText"/>
              <w:jc w:val="right"/>
            </w:pPr>
            <w:r>
              <w:t>Yes</w:t>
            </w:r>
          </w:p>
        </w:tc>
        <w:tc>
          <w:tcPr>
            <w:tcW w:w="653" w:type="pct"/>
            <w:tcBorders>
              <w:left w:val="nil"/>
              <w:bottom w:val="single" w:sz="4" w:space="0" w:color="auto"/>
              <w:right w:val="nil"/>
            </w:tcBorders>
            <w:shd w:val="clear" w:color="auto" w:fill="auto"/>
            <w:noWrap/>
            <w:vAlign w:val="center"/>
          </w:tcPr>
          <w:p w14:paraId="002A4F84" w14:textId="77777777" w:rsidR="00735ADD" w:rsidRDefault="00735ADD" w:rsidP="0001454F">
            <w:pPr>
              <w:pStyle w:val="TableText"/>
              <w:jc w:val="right"/>
            </w:pPr>
            <w:r>
              <w:t>Yes</w:t>
            </w:r>
          </w:p>
        </w:tc>
        <w:tc>
          <w:tcPr>
            <w:tcW w:w="653" w:type="pct"/>
            <w:tcBorders>
              <w:left w:val="nil"/>
              <w:bottom w:val="single" w:sz="4" w:space="0" w:color="auto"/>
              <w:right w:val="nil"/>
            </w:tcBorders>
            <w:shd w:val="clear" w:color="auto" w:fill="auto"/>
            <w:noWrap/>
            <w:vAlign w:val="center"/>
          </w:tcPr>
          <w:p w14:paraId="72391C4B" w14:textId="77777777" w:rsidR="00735ADD" w:rsidRDefault="00735ADD" w:rsidP="0001454F">
            <w:pPr>
              <w:pStyle w:val="TableText"/>
              <w:jc w:val="right"/>
            </w:pPr>
            <w:r>
              <w:t>Yes</w:t>
            </w:r>
          </w:p>
        </w:tc>
      </w:tr>
      <w:tr w:rsidR="00735ADD" w:rsidRPr="00323BB0" w14:paraId="0E3F29DA" w14:textId="77777777" w:rsidTr="00DC68CD">
        <w:trPr>
          <w:trHeight w:val="283"/>
        </w:trPr>
        <w:tc>
          <w:tcPr>
            <w:tcW w:w="5000" w:type="pct"/>
            <w:gridSpan w:val="7"/>
            <w:tcBorders>
              <w:top w:val="single" w:sz="4" w:space="0" w:color="auto"/>
              <w:left w:val="nil"/>
              <w:bottom w:val="single" w:sz="4" w:space="0" w:color="auto"/>
              <w:right w:val="nil"/>
            </w:tcBorders>
            <w:shd w:val="clear" w:color="auto" w:fill="auto"/>
            <w:noWrap/>
            <w:vAlign w:val="center"/>
            <w:hideMark/>
          </w:tcPr>
          <w:p w14:paraId="47832C16" w14:textId="77777777" w:rsidR="00735ADD" w:rsidRPr="0001454F" w:rsidRDefault="00735ADD" w:rsidP="0001454F">
            <w:pPr>
              <w:pStyle w:val="TableText"/>
              <w:jc w:val="center"/>
              <w:rPr>
                <w:b/>
                <w:bCs/>
              </w:rPr>
            </w:pPr>
            <w:r w:rsidRPr="0001454F">
              <w:rPr>
                <w:b/>
                <w:bCs/>
              </w:rPr>
              <w:t>Panel B: CEO option incentives</w:t>
            </w:r>
          </w:p>
        </w:tc>
      </w:tr>
      <w:tr w:rsidR="00735ADD" w:rsidRPr="00302CE5" w14:paraId="652BCFBF" w14:textId="77777777" w:rsidTr="00DC68CD">
        <w:trPr>
          <w:trHeight w:val="283"/>
        </w:trPr>
        <w:tc>
          <w:tcPr>
            <w:tcW w:w="1005" w:type="pct"/>
            <w:tcBorders>
              <w:top w:val="single" w:sz="4" w:space="0" w:color="auto"/>
              <w:left w:val="nil"/>
              <w:bottom w:val="single" w:sz="4" w:space="0" w:color="auto"/>
              <w:right w:val="nil"/>
            </w:tcBorders>
            <w:shd w:val="clear" w:color="auto" w:fill="auto"/>
            <w:noWrap/>
            <w:vAlign w:val="center"/>
            <w:hideMark/>
          </w:tcPr>
          <w:p w14:paraId="28354C37" w14:textId="77777777" w:rsidR="00735ADD" w:rsidRPr="00302CE5" w:rsidRDefault="00735ADD" w:rsidP="0001454F">
            <w:pPr>
              <w:pStyle w:val="TableText"/>
            </w:pPr>
          </w:p>
        </w:tc>
        <w:tc>
          <w:tcPr>
            <w:tcW w:w="654" w:type="pct"/>
            <w:tcBorders>
              <w:top w:val="single" w:sz="4" w:space="0" w:color="auto"/>
              <w:left w:val="nil"/>
              <w:bottom w:val="single" w:sz="4" w:space="0" w:color="auto"/>
              <w:right w:val="nil"/>
            </w:tcBorders>
            <w:vAlign w:val="center"/>
          </w:tcPr>
          <w:p w14:paraId="1FB9A06A" w14:textId="77777777" w:rsidR="00735ADD" w:rsidRPr="00B51982" w:rsidRDefault="00735ADD" w:rsidP="0001454F">
            <w:pPr>
              <w:pStyle w:val="TableText"/>
              <w:jc w:val="right"/>
              <w:rPr>
                <w:rFonts w:eastAsia="Times New Roman"/>
              </w:rPr>
            </w:pPr>
            <w:r w:rsidRPr="00B51982">
              <w:rPr>
                <w:lang w:val="en-GB" w:eastAsia="zh-CN"/>
              </w:rPr>
              <w:t>High</w:t>
            </w:r>
          </w:p>
        </w:tc>
        <w:tc>
          <w:tcPr>
            <w:tcW w:w="653" w:type="pct"/>
            <w:tcBorders>
              <w:top w:val="single" w:sz="4" w:space="0" w:color="auto"/>
              <w:left w:val="nil"/>
              <w:bottom w:val="single" w:sz="4" w:space="0" w:color="auto"/>
              <w:right w:val="nil"/>
            </w:tcBorders>
            <w:shd w:val="clear" w:color="auto" w:fill="auto"/>
            <w:noWrap/>
            <w:vAlign w:val="center"/>
            <w:hideMark/>
          </w:tcPr>
          <w:p w14:paraId="2F4BD275" w14:textId="77777777" w:rsidR="00735ADD" w:rsidRPr="00B51982" w:rsidRDefault="00735ADD" w:rsidP="0001454F">
            <w:pPr>
              <w:pStyle w:val="TableText"/>
              <w:jc w:val="right"/>
              <w:rPr>
                <w:rFonts w:eastAsia="Times New Roman"/>
              </w:rPr>
            </w:pPr>
            <w:r w:rsidRPr="00B51982">
              <w:rPr>
                <w:lang w:val="en-GB" w:eastAsia="zh-CN"/>
              </w:rPr>
              <w:t>Low</w:t>
            </w:r>
          </w:p>
        </w:tc>
        <w:tc>
          <w:tcPr>
            <w:tcW w:w="691" w:type="pct"/>
            <w:tcBorders>
              <w:top w:val="single" w:sz="4" w:space="0" w:color="auto"/>
              <w:left w:val="nil"/>
              <w:bottom w:val="single" w:sz="4" w:space="0" w:color="auto"/>
              <w:right w:val="nil"/>
            </w:tcBorders>
            <w:vAlign w:val="center"/>
          </w:tcPr>
          <w:p w14:paraId="0AD5A514" w14:textId="77777777" w:rsidR="00735ADD" w:rsidRPr="00B51982" w:rsidRDefault="00735ADD" w:rsidP="0001454F">
            <w:pPr>
              <w:pStyle w:val="TableText"/>
              <w:jc w:val="right"/>
              <w:rPr>
                <w:rFonts w:eastAsia="Times New Roman"/>
              </w:rPr>
            </w:pPr>
            <w:r w:rsidRPr="00B51982">
              <w:rPr>
                <w:lang w:val="en-GB" w:eastAsia="zh-CN"/>
              </w:rPr>
              <w:t>High</w:t>
            </w:r>
          </w:p>
        </w:tc>
        <w:tc>
          <w:tcPr>
            <w:tcW w:w="691" w:type="pct"/>
            <w:tcBorders>
              <w:top w:val="single" w:sz="4" w:space="0" w:color="auto"/>
              <w:left w:val="nil"/>
              <w:bottom w:val="single" w:sz="4" w:space="0" w:color="auto"/>
              <w:right w:val="nil"/>
            </w:tcBorders>
            <w:shd w:val="clear" w:color="auto" w:fill="auto"/>
            <w:noWrap/>
            <w:vAlign w:val="center"/>
            <w:hideMark/>
          </w:tcPr>
          <w:p w14:paraId="412AAA2F" w14:textId="77777777" w:rsidR="00735ADD" w:rsidRPr="00B51982" w:rsidRDefault="00735ADD" w:rsidP="0001454F">
            <w:pPr>
              <w:pStyle w:val="TableText"/>
              <w:jc w:val="right"/>
              <w:rPr>
                <w:rFonts w:eastAsia="Times New Roman"/>
              </w:rPr>
            </w:pPr>
            <w:r w:rsidRPr="00B51982">
              <w:rPr>
                <w:lang w:val="en-GB" w:eastAsia="zh-CN"/>
              </w:rPr>
              <w:t>Low</w:t>
            </w:r>
          </w:p>
        </w:tc>
        <w:tc>
          <w:tcPr>
            <w:tcW w:w="653" w:type="pct"/>
            <w:tcBorders>
              <w:top w:val="single" w:sz="4" w:space="0" w:color="auto"/>
              <w:left w:val="nil"/>
              <w:bottom w:val="single" w:sz="4" w:space="0" w:color="auto"/>
              <w:right w:val="nil"/>
            </w:tcBorders>
            <w:vAlign w:val="center"/>
          </w:tcPr>
          <w:p w14:paraId="1CCFB693" w14:textId="77777777" w:rsidR="00735ADD" w:rsidRPr="00B51982" w:rsidRDefault="00735ADD" w:rsidP="0001454F">
            <w:pPr>
              <w:pStyle w:val="TableText"/>
              <w:jc w:val="right"/>
              <w:rPr>
                <w:rFonts w:eastAsia="Times New Roman"/>
              </w:rPr>
            </w:pPr>
            <w:r w:rsidRPr="00B51982">
              <w:rPr>
                <w:lang w:val="en-GB" w:eastAsia="zh-CN"/>
              </w:rPr>
              <w:t>High</w:t>
            </w:r>
          </w:p>
        </w:tc>
        <w:tc>
          <w:tcPr>
            <w:tcW w:w="653" w:type="pct"/>
            <w:tcBorders>
              <w:top w:val="single" w:sz="4" w:space="0" w:color="auto"/>
              <w:left w:val="nil"/>
              <w:bottom w:val="single" w:sz="4" w:space="0" w:color="auto"/>
              <w:right w:val="nil"/>
            </w:tcBorders>
            <w:shd w:val="clear" w:color="auto" w:fill="auto"/>
            <w:noWrap/>
            <w:vAlign w:val="center"/>
            <w:hideMark/>
          </w:tcPr>
          <w:p w14:paraId="679BF5A6" w14:textId="77777777" w:rsidR="00735ADD" w:rsidRPr="00B51982" w:rsidRDefault="00735ADD" w:rsidP="0001454F">
            <w:pPr>
              <w:pStyle w:val="TableText"/>
              <w:jc w:val="right"/>
              <w:rPr>
                <w:rFonts w:eastAsia="Times New Roman"/>
              </w:rPr>
            </w:pPr>
            <w:r w:rsidRPr="00B51982">
              <w:rPr>
                <w:lang w:val="en-GB" w:eastAsia="zh-CN"/>
              </w:rPr>
              <w:t>Low</w:t>
            </w:r>
          </w:p>
        </w:tc>
      </w:tr>
      <w:tr w:rsidR="00735ADD" w:rsidRPr="00302CE5" w14:paraId="132FE95F" w14:textId="77777777" w:rsidTr="00DC68CD">
        <w:trPr>
          <w:trHeight w:val="283"/>
        </w:trPr>
        <w:tc>
          <w:tcPr>
            <w:tcW w:w="1005" w:type="pct"/>
            <w:tcBorders>
              <w:top w:val="nil"/>
              <w:left w:val="nil"/>
              <w:bottom w:val="nil"/>
              <w:right w:val="nil"/>
            </w:tcBorders>
            <w:shd w:val="clear" w:color="auto" w:fill="auto"/>
            <w:noWrap/>
            <w:vAlign w:val="center"/>
            <w:hideMark/>
          </w:tcPr>
          <w:p w14:paraId="5CCDC88C" w14:textId="77777777" w:rsidR="00735ADD" w:rsidRPr="00302CE5" w:rsidRDefault="008D48AD" w:rsidP="0001454F">
            <w:pPr>
              <w:pStyle w:val="TableText"/>
              <w:rPr>
                <w:rFonts w:eastAsia="Times New Roman"/>
                <w:color w:val="000000"/>
              </w:rPr>
            </w:pPr>
            <m:oMathPara>
              <m:oMathParaPr>
                <m:jc m:val="left"/>
              </m:oMathParaPr>
              <m:oMath>
                <m:sSub>
                  <m:sSubPr>
                    <m:ctrlPr>
                      <w:rPr>
                        <w:rFonts w:ascii="Cambria Math" w:hAnsi="Cambria Math"/>
                      </w:rPr>
                    </m:ctrlPr>
                  </m:sSubPr>
                  <m:e>
                    <m:r>
                      <w:rPr>
                        <w:rFonts w:ascii="Cambria Math" w:hAnsi="Cambria Math"/>
                      </w:rPr>
                      <m:t>TONE</m:t>
                    </m:r>
                    <m:r>
                      <m:rPr>
                        <m:sty m:val="p"/>
                      </m:rPr>
                      <w:rPr>
                        <w:rFonts w:ascii="Cambria Math" w:hAnsi="Cambria Math"/>
                      </w:rPr>
                      <m:t>_</m:t>
                    </m:r>
                    <m:r>
                      <w:rPr>
                        <w:rFonts w:ascii="Cambria Math" w:hAnsi="Cambria Math"/>
                      </w:rPr>
                      <m:t>C</m:t>
                    </m:r>
                  </m:e>
                  <m:sub>
                    <m:r>
                      <w:rPr>
                        <w:rFonts w:ascii="Cambria Math" w:hAnsi="Cambria Math"/>
                      </w:rPr>
                      <m:t>t</m:t>
                    </m:r>
                    <m:r>
                      <m:rPr>
                        <m:sty m:val="p"/>
                      </m:rPr>
                      <w:rPr>
                        <w:rFonts w:ascii="Cambria Math" w:hAnsi="Cambria Math"/>
                      </w:rPr>
                      <m:t>-1</m:t>
                    </m:r>
                  </m:sub>
                </m:sSub>
              </m:oMath>
            </m:oMathPara>
          </w:p>
        </w:tc>
        <w:tc>
          <w:tcPr>
            <w:tcW w:w="654" w:type="pct"/>
            <w:tcBorders>
              <w:top w:val="nil"/>
              <w:left w:val="nil"/>
              <w:bottom w:val="nil"/>
              <w:right w:val="nil"/>
            </w:tcBorders>
            <w:vAlign w:val="bottom"/>
          </w:tcPr>
          <w:p w14:paraId="5D938DDB" w14:textId="77777777" w:rsidR="00735ADD" w:rsidRPr="0096124E" w:rsidRDefault="00735ADD" w:rsidP="0001454F">
            <w:pPr>
              <w:pStyle w:val="TableText"/>
              <w:jc w:val="right"/>
              <w:rPr>
                <w:rFonts w:eastAsia="Times New Roman"/>
              </w:rPr>
            </w:pPr>
            <w:r w:rsidRPr="0096124E">
              <w:t>-0.098*</w:t>
            </w:r>
          </w:p>
        </w:tc>
        <w:tc>
          <w:tcPr>
            <w:tcW w:w="653" w:type="pct"/>
            <w:tcBorders>
              <w:top w:val="nil"/>
              <w:left w:val="nil"/>
              <w:bottom w:val="nil"/>
              <w:right w:val="nil"/>
            </w:tcBorders>
            <w:shd w:val="clear" w:color="auto" w:fill="auto"/>
            <w:noWrap/>
            <w:vAlign w:val="bottom"/>
          </w:tcPr>
          <w:p w14:paraId="00B5F316" w14:textId="77777777" w:rsidR="00735ADD" w:rsidRPr="0096124E" w:rsidRDefault="00735ADD" w:rsidP="0001454F">
            <w:pPr>
              <w:pStyle w:val="TableText"/>
              <w:jc w:val="right"/>
              <w:rPr>
                <w:rFonts w:eastAsia="Times New Roman"/>
              </w:rPr>
            </w:pPr>
            <w:r w:rsidRPr="0096124E">
              <w:t>-0.135***</w:t>
            </w:r>
          </w:p>
        </w:tc>
        <w:tc>
          <w:tcPr>
            <w:tcW w:w="691" w:type="pct"/>
            <w:tcBorders>
              <w:top w:val="nil"/>
              <w:left w:val="nil"/>
              <w:bottom w:val="nil"/>
              <w:right w:val="nil"/>
            </w:tcBorders>
            <w:vAlign w:val="bottom"/>
          </w:tcPr>
          <w:p w14:paraId="5F3B5561" w14:textId="77777777" w:rsidR="00735ADD" w:rsidRPr="0096124E" w:rsidRDefault="00735ADD" w:rsidP="0001454F">
            <w:pPr>
              <w:pStyle w:val="TableText"/>
              <w:jc w:val="right"/>
              <w:rPr>
                <w:rFonts w:eastAsia="Times New Roman"/>
              </w:rPr>
            </w:pPr>
            <w:r w:rsidRPr="0096124E">
              <w:t>-0.179***</w:t>
            </w:r>
          </w:p>
        </w:tc>
        <w:tc>
          <w:tcPr>
            <w:tcW w:w="691" w:type="pct"/>
            <w:tcBorders>
              <w:top w:val="nil"/>
              <w:left w:val="nil"/>
              <w:bottom w:val="nil"/>
              <w:right w:val="nil"/>
            </w:tcBorders>
            <w:shd w:val="clear" w:color="auto" w:fill="auto"/>
            <w:noWrap/>
            <w:vAlign w:val="bottom"/>
          </w:tcPr>
          <w:p w14:paraId="02474189" w14:textId="77777777" w:rsidR="00735ADD" w:rsidRPr="0096124E" w:rsidRDefault="00735ADD" w:rsidP="0001454F">
            <w:pPr>
              <w:pStyle w:val="TableText"/>
              <w:jc w:val="right"/>
              <w:rPr>
                <w:rFonts w:eastAsia="Times New Roman"/>
              </w:rPr>
            </w:pPr>
            <w:r w:rsidRPr="0096124E">
              <w:t>-0.246***</w:t>
            </w:r>
          </w:p>
        </w:tc>
        <w:tc>
          <w:tcPr>
            <w:tcW w:w="653" w:type="pct"/>
            <w:tcBorders>
              <w:top w:val="nil"/>
              <w:left w:val="nil"/>
              <w:bottom w:val="nil"/>
              <w:right w:val="nil"/>
            </w:tcBorders>
            <w:vAlign w:val="bottom"/>
          </w:tcPr>
          <w:p w14:paraId="02A9D4CD" w14:textId="77777777" w:rsidR="00735ADD" w:rsidRPr="0096124E" w:rsidRDefault="00735ADD" w:rsidP="0001454F">
            <w:pPr>
              <w:pStyle w:val="TableText"/>
              <w:jc w:val="right"/>
              <w:rPr>
                <w:rFonts w:eastAsia="Times New Roman"/>
              </w:rPr>
            </w:pPr>
            <w:r w:rsidRPr="0096124E">
              <w:t>-0.075*</w:t>
            </w:r>
          </w:p>
        </w:tc>
        <w:tc>
          <w:tcPr>
            <w:tcW w:w="653" w:type="pct"/>
            <w:tcBorders>
              <w:top w:val="nil"/>
              <w:left w:val="nil"/>
              <w:bottom w:val="nil"/>
              <w:right w:val="nil"/>
            </w:tcBorders>
            <w:shd w:val="clear" w:color="auto" w:fill="auto"/>
            <w:noWrap/>
            <w:vAlign w:val="bottom"/>
          </w:tcPr>
          <w:p w14:paraId="48558082" w14:textId="77777777" w:rsidR="00735ADD" w:rsidRPr="0096124E" w:rsidRDefault="00735ADD" w:rsidP="0001454F">
            <w:pPr>
              <w:pStyle w:val="TableText"/>
              <w:jc w:val="right"/>
              <w:rPr>
                <w:rFonts w:eastAsia="Times New Roman"/>
              </w:rPr>
            </w:pPr>
            <w:r w:rsidRPr="0096124E">
              <w:t>-0.165***</w:t>
            </w:r>
          </w:p>
        </w:tc>
      </w:tr>
      <w:tr w:rsidR="00735ADD" w:rsidRPr="00302CE5" w14:paraId="3F8DA08B" w14:textId="77777777" w:rsidTr="00DC68CD">
        <w:trPr>
          <w:trHeight w:val="283"/>
        </w:trPr>
        <w:tc>
          <w:tcPr>
            <w:tcW w:w="1005" w:type="pct"/>
            <w:tcBorders>
              <w:top w:val="nil"/>
              <w:left w:val="nil"/>
              <w:bottom w:val="nil"/>
              <w:right w:val="nil"/>
            </w:tcBorders>
            <w:shd w:val="clear" w:color="auto" w:fill="auto"/>
            <w:noWrap/>
            <w:vAlign w:val="center"/>
            <w:hideMark/>
          </w:tcPr>
          <w:p w14:paraId="30188DCC" w14:textId="77777777" w:rsidR="00735ADD" w:rsidRPr="00302CE5" w:rsidRDefault="00735ADD" w:rsidP="0001454F">
            <w:pPr>
              <w:pStyle w:val="TableText"/>
            </w:pPr>
          </w:p>
        </w:tc>
        <w:tc>
          <w:tcPr>
            <w:tcW w:w="654" w:type="pct"/>
            <w:tcBorders>
              <w:top w:val="nil"/>
              <w:left w:val="nil"/>
              <w:bottom w:val="nil"/>
              <w:right w:val="nil"/>
            </w:tcBorders>
            <w:vAlign w:val="bottom"/>
          </w:tcPr>
          <w:p w14:paraId="39048BFF" w14:textId="77777777" w:rsidR="00735ADD" w:rsidRPr="0096124E" w:rsidRDefault="00735ADD" w:rsidP="0001454F">
            <w:pPr>
              <w:pStyle w:val="TableText"/>
              <w:jc w:val="right"/>
              <w:rPr>
                <w:rFonts w:eastAsia="Times New Roman"/>
              </w:rPr>
            </w:pPr>
            <w:r w:rsidRPr="0096124E">
              <w:t>(-1.90)</w:t>
            </w:r>
          </w:p>
        </w:tc>
        <w:tc>
          <w:tcPr>
            <w:tcW w:w="653" w:type="pct"/>
            <w:tcBorders>
              <w:top w:val="nil"/>
              <w:left w:val="nil"/>
              <w:bottom w:val="nil"/>
              <w:right w:val="nil"/>
            </w:tcBorders>
            <w:shd w:val="clear" w:color="auto" w:fill="auto"/>
            <w:noWrap/>
            <w:vAlign w:val="bottom"/>
          </w:tcPr>
          <w:p w14:paraId="7E7B9B03" w14:textId="77777777" w:rsidR="00735ADD" w:rsidRPr="0096124E" w:rsidRDefault="00735ADD" w:rsidP="0001454F">
            <w:pPr>
              <w:pStyle w:val="TableText"/>
              <w:jc w:val="right"/>
              <w:rPr>
                <w:rFonts w:eastAsia="Times New Roman"/>
              </w:rPr>
            </w:pPr>
            <w:r w:rsidRPr="0096124E">
              <w:t>(-2.77)</w:t>
            </w:r>
          </w:p>
        </w:tc>
        <w:tc>
          <w:tcPr>
            <w:tcW w:w="691" w:type="pct"/>
            <w:tcBorders>
              <w:top w:val="nil"/>
              <w:left w:val="nil"/>
              <w:bottom w:val="nil"/>
              <w:right w:val="nil"/>
            </w:tcBorders>
            <w:vAlign w:val="bottom"/>
          </w:tcPr>
          <w:p w14:paraId="66F6B913" w14:textId="77777777" w:rsidR="00735ADD" w:rsidRPr="0096124E" w:rsidRDefault="00735ADD" w:rsidP="0001454F">
            <w:pPr>
              <w:pStyle w:val="TableText"/>
              <w:jc w:val="right"/>
              <w:rPr>
                <w:rFonts w:eastAsia="Times New Roman"/>
              </w:rPr>
            </w:pPr>
            <w:r w:rsidRPr="0096124E">
              <w:t>(-2.59)</w:t>
            </w:r>
          </w:p>
        </w:tc>
        <w:tc>
          <w:tcPr>
            <w:tcW w:w="691" w:type="pct"/>
            <w:tcBorders>
              <w:top w:val="nil"/>
              <w:left w:val="nil"/>
              <w:bottom w:val="nil"/>
              <w:right w:val="nil"/>
            </w:tcBorders>
            <w:shd w:val="clear" w:color="auto" w:fill="auto"/>
            <w:noWrap/>
            <w:vAlign w:val="bottom"/>
          </w:tcPr>
          <w:p w14:paraId="2226F8D4" w14:textId="77777777" w:rsidR="00735ADD" w:rsidRPr="0096124E" w:rsidRDefault="00735ADD" w:rsidP="0001454F">
            <w:pPr>
              <w:pStyle w:val="TableText"/>
              <w:jc w:val="right"/>
              <w:rPr>
                <w:rFonts w:eastAsia="Times New Roman"/>
              </w:rPr>
            </w:pPr>
            <w:r w:rsidRPr="0096124E">
              <w:t>(-3.43)</w:t>
            </w:r>
          </w:p>
        </w:tc>
        <w:tc>
          <w:tcPr>
            <w:tcW w:w="653" w:type="pct"/>
            <w:tcBorders>
              <w:top w:val="nil"/>
              <w:left w:val="nil"/>
              <w:bottom w:val="nil"/>
              <w:right w:val="nil"/>
            </w:tcBorders>
            <w:vAlign w:val="bottom"/>
          </w:tcPr>
          <w:p w14:paraId="4C249835" w14:textId="77777777" w:rsidR="00735ADD" w:rsidRPr="0096124E" w:rsidRDefault="00735ADD" w:rsidP="0001454F">
            <w:pPr>
              <w:pStyle w:val="TableText"/>
              <w:jc w:val="right"/>
              <w:rPr>
                <w:rFonts w:eastAsia="Times New Roman"/>
              </w:rPr>
            </w:pPr>
            <w:r w:rsidRPr="0096124E">
              <w:t>(-1.79)</w:t>
            </w:r>
          </w:p>
        </w:tc>
        <w:tc>
          <w:tcPr>
            <w:tcW w:w="653" w:type="pct"/>
            <w:tcBorders>
              <w:top w:val="nil"/>
              <w:left w:val="nil"/>
              <w:bottom w:val="nil"/>
              <w:right w:val="nil"/>
            </w:tcBorders>
            <w:shd w:val="clear" w:color="auto" w:fill="auto"/>
            <w:noWrap/>
            <w:vAlign w:val="bottom"/>
          </w:tcPr>
          <w:p w14:paraId="32F01620" w14:textId="77777777" w:rsidR="00735ADD" w:rsidRPr="0096124E" w:rsidRDefault="00735ADD" w:rsidP="0001454F">
            <w:pPr>
              <w:pStyle w:val="TableText"/>
              <w:jc w:val="right"/>
              <w:rPr>
                <w:rFonts w:eastAsia="Times New Roman"/>
              </w:rPr>
            </w:pPr>
            <w:r w:rsidRPr="0096124E">
              <w:t>(-3.91)</w:t>
            </w:r>
          </w:p>
        </w:tc>
      </w:tr>
      <w:tr w:rsidR="00735ADD" w:rsidRPr="00302CE5" w14:paraId="6F430F26" w14:textId="77777777" w:rsidTr="00DC68CD">
        <w:trPr>
          <w:trHeight w:val="283"/>
        </w:trPr>
        <w:tc>
          <w:tcPr>
            <w:tcW w:w="1005" w:type="pct"/>
            <w:tcBorders>
              <w:top w:val="nil"/>
              <w:left w:val="nil"/>
              <w:bottom w:val="nil"/>
              <w:right w:val="nil"/>
            </w:tcBorders>
            <w:shd w:val="clear" w:color="auto" w:fill="auto"/>
            <w:noWrap/>
            <w:vAlign w:val="center"/>
            <w:hideMark/>
          </w:tcPr>
          <w:p w14:paraId="3754C2F2" w14:textId="77777777" w:rsidR="00735ADD" w:rsidRPr="00302CE5" w:rsidRDefault="00735ADD" w:rsidP="0001454F">
            <w:pPr>
              <w:pStyle w:val="TableText"/>
            </w:pPr>
            <w:r w:rsidRPr="00302CE5">
              <w:t>Controls</w:t>
            </w:r>
          </w:p>
        </w:tc>
        <w:tc>
          <w:tcPr>
            <w:tcW w:w="654" w:type="pct"/>
            <w:tcBorders>
              <w:top w:val="nil"/>
              <w:left w:val="nil"/>
              <w:bottom w:val="nil"/>
              <w:right w:val="nil"/>
            </w:tcBorders>
            <w:vAlign w:val="center"/>
          </w:tcPr>
          <w:p w14:paraId="49C79E92" w14:textId="77777777" w:rsidR="00735ADD" w:rsidRPr="00B51982" w:rsidRDefault="00735ADD" w:rsidP="0001454F">
            <w:pPr>
              <w:pStyle w:val="TableText"/>
              <w:jc w:val="right"/>
            </w:pPr>
            <w:r>
              <w:t>Yes</w:t>
            </w:r>
          </w:p>
        </w:tc>
        <w:tc>
          <w:tcPr>
            <w:tcW w:w="653" w:type="pct"/>
            <w:tcBorders>
              <w:top w:val="nil"/>
              <w:left w:val="nil"/>
              <w:bottom w:val="nil"/>
              <w:right w:val="nil"/>
            </w:tcBorders>
            <w:shd w:val="clear" w:color="auto" w:fill="auto"/>
            <w:noWrap/>
            <w:vAlign w:val="center"/>
          </w:tcPr>
          <w:p w14:paraId="0A1B2D05" w14:textId="77777777" w:rsidR="00735ADD" w:rsidRPr="00B51982" w:rsidRDefault="00735ADD" w:rsidP="0001454F">
            <w:pPr>
              <w:pStyle w:val="TableText"/>
              <w:jc w:val="right"/>
            </w:pPr>
            <w:r>
              <w:t>Yes</w:t>
            </w:r>
          </w:p>
        </w:tc>
        <w:tc>
          <w:tcPr>
            <w:tcW w:w="691" w:type="pct"/>
            <w:tcBorders>
              <w:top w:val="nil"/>
              <w:left w:val="nil"/>
              <w:bottom w:val="nil"/>
              <w:right w:val="nil"/>
            </w:tcBorders>
            <w:vAlign w:val="center"/>
          </w:tcPr>
          <w:p w14:paraId="4F9AD475" w14:textId="77777777" w:rsidR="00735ADD" w:rsidRPr="00B51982" w:rsidRDefault="00735ADD" w:rsidP="0001454F">
            <w:pPr>
              <w:pStyle w:val="TableText"/>
              <w:jc w:val="right"/>
            </w:pPr>
            <w:r>
              <w:t>Yes</w:t>
            </w:r>
          </w:p>
        </w:tc>
        <w:tc>
          <w:tcPr>
            <w:tcW w:w="691" w:type="pct"/>
            <w:tcBorders>
              <w:top w:val="nil"/>
              <w:left w:val="nil"/>
              <w:bottom w:val="nil"/>
              <w:right w:val="nil"/>
            </w:tcBorders>
            <w:shd w:val="clear" w:color="auto" w:fill="auto"/>
            <w:noWrap/>
            <w:vAlign w:val="center"/>
          </w:tcPr>
          <w:p w14:paraId="01D57CD3" w14:textId="77777777" w:rsidR="00735ADD" w:rsidRPr="00B51982" w:rsidRDefault="00735ADD" w:rsidP="0001454F">
            <w:pPr>
              <w:pStyle w:val="TableText"/>
              <w:jc w:val="right"/>
            </w:pPr>
            <w:r>
              <w:t>Yes</w:t>
            </w:r>
          </w:p>
        </w:tc>
        <w:tc>
          <w:tcPr>
            <w:tcW w:w="653" w:type="pct"/>
            <w:tcBorders>
              <w:top w:val="nil"/>
              <w:left w:val="nil"/>
              <w:bottom w:val="nil"/>
              <w:right w:val="nil"/>
            </w:tcBorders>
            <w:vAlign w:val="center"/>
          </w:tcPr>
          <w:p w14:paraId="762268D7" w14:textId="77777777" w:rsidR="00735ADD" w:rsidRPr="00B51982" w:rsidRDefault="00735ADD" w:rsidP="0001454F">
            <w:pPr>
              <w:pStyle w:val="TableText"/>
              <w:jc w:val="right"/>
            </w:pPr>
            <w:r>
              <w:t>Yes</w:t>
            </w:r>
          </w:p>
        </w:tc>
        <w:tc>
          <w:tcPr>
            <w:tcW w:w="653" w:type="pct"/>
            <w:tcBorders>
              <w:top w:val="nil"/>
              <w:left w:val="nil"/>
              <w:bottom w:val="nil"/>
              <w:right w:val="nil"/>
            </w:tcBorders>
            <w:shd w:val="clear" w:color="auto" w:fill="auto"/>
            <w:noWrap/>
            <w:vAlign w:val="center"/>
          </w:tcPr>
          <w:p w14:paraId="211CF72C" w14:textId="77777777" w:rsidR="00735ADD" w:rsidRPr="00B51982" w:rsidRDefault="00735ADD" w:rsidP="0001454F">
            <w:pPr>
              <w:pStyle w:val="TableText"/>
              <w:jc w:val="right"/>
            </w:pPr>
            <w:r>
              <w:t>Yes</w:t>
            </w:r>
          </w:p>
        </w:tc>
      </w:tr>
      <w:tr w:rsidR="00735ADD" w:rsidRPr="00302CE5" w14:paraId="46534866" w14:textId="77777777" w:rsidTr="00DC68CD">
        <w:trPr>
          <w:trHeight w:val="283"/>
        </w:trPr>
        <w:tc>
          <w:tcPr>
            <w:tcW w:w="1005" w:type="pct"/>
            <w:tcBorders>
              <w:top w:val="nil"/>
              <w:left w:val="nil"/>
              <w:right w:val="nil"/>
            </w:tcBorders>
            <w:shd w:val="clear" w:color="auto" w:fill="auto"/>
            <w:noWrap/>
            <w:vAlign w:val="center"/>
            <w:hideMark/>
          </w:tcPr>
          <w:p w14:paraId="7AA91F89" w14:textId="77777777" w:rsidR="00735ADD" w:rsidRPr="00302CE5" w:rsidRDefault="00735ADD" w:rsidP="0001454F">
            <w:pPr>
              <w:pStyle w:val="TableText"/>
            </w:pPr>
            <w:r w:rsidRPr="00302CE5">
              <w:t>Observations</w:t>
            </w:r>
          </w:p>
        </w:tc>
        <w:tc>
          <w:tcPr>
            <w:tcW w:w="654" w:type="pct"/>
            <w:tcBorders>
              <w:top w:val="nil"/>
              <w:left w:val="nil"/>
              <w:right w:val="nil"/>
            </w:tcBorders>
            <w:vAlign w:val="center"/>
          </w:tcPr>
          <w:p w14:paraId="452BB8FD" w14:textId="77777777" w:rsidR="00735ADD" w:rsidRPr="00B51982" w:rsidRDefault="00735ADD" w:rsidP="0001454F">
            <w:pPr>
              <w:pStyle w:val="TableText"/>
              <w:jc w:val="right"/>
            </w:pPr>
            <w:r>
              <w:t>2440</w:t>
            </w:r>
          </w:p>
        </w:tc>
        <w:tc>
          <w:tcPr>
            <w:tcW w:w="653" w:type="pct"/>
            <w:tcBorders>
              <w:top w:val="nil"/>
              <w:left w:val="nil"/>
              <w:right w:val="nil"/>
            </w:tcBorders>
            <w:shd w:val="clear" w:color="auto" w:fill="auto"/>
            <w:noWrap/>
            <w:vAlign w:val="center"/>
          </w:tcPr>
          <w:p w14:paraId="3964A33E" w14:textId="77777777" w:rsidR="00735ADD" w:rsidRPr="00B51982" w:rsidRDefault="00735ADD" w:rsidP="0001454F">
            <w:pPr>
              <w:pStyle w:val="TableText"/>
              <w:jc w:val="right"/>
            </w:pPr>
            <w:r>
              <w:t>2257</w:t>
            </w:r>
          </w:p>
        </w:tc>
        <w:tc>
          <w:tcPr>
            <w:tcW w:w="691" w:type="pct"/>
            <w:tcBorders>
              <w:top w:val="nil"/>
              <w:left w:val="nil"/>
              <w:right w:val="nil"/>
            </w:tcBorders>
            <w:vAlign w:val="center"/>
          </w:tcPr>
          <w:p w14:paraId="64D7597D" w14:textId="77777777" w:rsidR="00735ADD" w:rsidRPr="00B51982" w:rsidRDefault="00735ADD" w:rsidP="0001454F">
            <w:pPr>
              <w:pStyle w:val="TableText"/>
              <w:jc w:val="right"/>
            </w:pPr>
            <w:r>
              <w:t>2440</w:t>
            </w:r>
          </w:p>
        </w:tc>
        <w:tc>
          <w:tcPr>
            <w:tcW w:w="691" w:type="pct"/>
            <w:tcBorders>
              <w:top w:val="nil"/>
              <w:left w:val="nil"/>
              <w:right w:val="nil"/>
            </w:tcBorders>
            <w:shd w:val="clear" w:color="auto" w:fill="auto"/>
            <w:noWrap/>
            <w:vAlign w:val="center"/>
          </w:tcPr>
          <w:p w14:paraId="3490F3B1" w14:textId="77777777" w:rsidR="00735ADD" w:rsidRPr="00B51982" w:rsidRDefault="00735ADD" w:rsidP="0001454F">
            <w:pPr>
              <w:pStyle w:val="TableText"/>
              <w:jc w:val="right"/>
            </w:pPr>
            <w:r>
              <w:t>2257</w:t>
            </w:r>
          </w:p>
        </w:tc>
        <w:tc>
          <w:tcPr>
            <w:tcW w:w="653" w:type="pct"/>
            <w:tcBorders>
              <w:top w:val="nil"/>
              <w:left w:val="nil"/>
              <w:right w:val="nil"/>
            </w:tcBorders>
            <w:vAlign w:val="center"/>
          </w:tcPr>
          <w:p w14:paraId="37E19AA1" w14:textId="77777777" w:rsidR="00735ADD" w:rsidRPr="00B51982" w:rsidRDefault="00735ADD" w:rsidP="0001454F">
            <w:pPr>
              <w:pStyle w:val="TableText"/>
              <w:jc w:val="right"/>
            </w:pPr>
            <w:r>
              <w:t>2440</w:t>
            </w:r>
          </w:p>
        </w:tc>
        <w:tc>
          <w:tcPr>
            <w:tcW w:w="653" w:type="pct"/>
            <w:tcBorders>
              <w:top w:val="nil"/>
              <w:left w:val="nil"/>
              <w:right w:val="nil"/>
            </w:tcBorders>
            <w:shd w:val="clear" w:color="auto" w:fill="auto"/>
            <w:noWrap/>
            <w:vAlign w:val="center"/>
          </w:tcPr>
          <w:p w14:paraId="64F5D758" w14:textId="77777777" w:rsidR="00735ADD" w:rsidRPr="00B51982" w:rsidRDefault="00735ADD" w:rsidP="0001454F">
            <w:pPr>
              <w:pStyle w:val="TableText"/>
              <w:jc w:val="right"/>
            </w:pPr>
            <w:r>
              <w:t>2257</w:t>
            </w:r>
          </w:p>
        </w:tc>
      </w:tr>
      <w:tr w:rsidR="00735ADD" w:rsidRPr="00302CE5" w14:paraId="60B8F493" w14:textId="77777777" w:rsidTr="00DC68CD">
        <w:trPr>
          <w:trHeight w:val="283"/>
        </w:trPr>
        <w:tc>
          <w:tcPr>
            <w:tcW w:w="1005" w:type="pct"/>
            <w:tcBorders>
              <w:top w:val="nil"/>
              <w:left w:val="nil"/>
              <w:right w:val="nil"/>
            </w:tcBorders>
            <w:shd w:val="clear" w:color="auto" w:fill="auto"/>
            <w:noWrap/>
            <w:vAlign w:val="center"/>
            <w:hideMark/>
          </w:tcPr>
          <w:p w14:paraId="040D4D72" w14:textId="77777777" w:rsidR="00735ADD" w:rsidRPr="00302CE5" w:rsidRDefault="00735ADD" w:rsidP="0001454F">
            <w:pPr>
              <w:pStyle w:val="TableText"/>
            </w:pPr>
            <w:r w:rsidRPr="00302CE5">
              <w:t xml:space="preserve">Adjusted </w:t>
            </w:r>
            <m:oMath>
              <m:sSup>
                <m:sSupPr>
                  <m:ctrlPr>
                    <w:rPr>
                      <w:rFonts w:ascii="Cambria Math" w:hAnsi="Cambria Math"/>
                      <w:i/>
                    </w:rPr>
                  </m:ctrlPr>
                </m:sSupPr>
                <m:e>
                  <m:r>
                    <w:rPr>
                      <w:rFonts w:ascii="Cambria Math" w:hAnsi="Cambria Math"/>
                    </w:rPr>
                    <m:t>R</m:t>
                  </m:r>
                </m:e>
                <m:sup>
                  <m:r>
                    <w:rPr>
                      <w:rFonts w:ascii="Cambria Math" w:hAnsi="Cambria Math"/>
                    </w:rPr>
                    <m:t>2</m:t>
                  </m:r>
                </m:sup>
              </m:sSup>
            </m:oMath>
          </w:p>
        </w:tc>
        <w:tc>
          <w:tcPr>
            <w:tcW w:w="654" w:type="pct"/>
            <w:tcBorders>
              <w:top w:val="nil"/>
              <w:left w:val="nil"/>
              <w:right w:val="nil"/>
            </w:tcBorders>
            <w:vAlign w:val="center"/>
          </w:tcPr>
          <w:p w14:paraId="0D60C078" w14:textId="77777777" w:rsidR="00735ADD" w:rsidRPr="00B51982" w:rsidRDefault="00735ADD" w:rsidP="0001454F">
            <w:pPr>
              <w:pStyle w:val="TableText"/>
              <w:jc w:val="right"/>
            </w:pPr>
            <w:r>
              <w:t>0.07</w:t>
            </w:r>
          </w:p>
        </w:tc>
        <w:tc>
          <w:tcPr>
            <w:tcW w:w="653" w:type="pct"/>
            <w:tcBorders>
              <w:top w:val="nil"/>
              <w:left w:val="nil"/>
              <w:right w:val="nil"/>
            </w:tcBorders>
            <w:shd w:val="clear" w:color="auto" w:fill="auto"/>
            <w:noWrap/>
            <w:vAlign w:val="center"/>
          </w:tcPr>
          <w:p w14:paraId="53C47BF5" w14:textId="77777777" w:rsidR="00735ADD" w:rsidRPr="00B51982" w:rsidRDefault="00735ADD" w:rsidP="0001454F">
            <w:pPr>
              <w:pStyle w:val="TableText"/>
              <w:jc w:val="right"/>
            </w:pPr>
            <w:r>
              <w:t>0.08</w:t>
            </w:r>
          </w:p>
        </w:tc>
        <w:tc>
          <w:tcPr>
            <w:tcW w:w="691" w:type="pct"/>
            <w:tcBorders>
              <w:top w:val="nil"/>
              <w:left w:val="nil"/>
              <w:right w:val="nil"/>
            </w:tcBorders>
            <w:vAlign w:val="center"/>
          </w:tcPr>
          <w:p w14:paraId="33D440F8" w14:textId="77777777" w:rsidR="00735ADD" w:rsidRPr="00B51982" w:rsidRDefault="00735ADD" w:rsidP="0001454F">
            <w:pPr>
              <w:pStyle w:val="TableText"/>
              <w:jc w:val="right"/>
            </w:pPr>
            <w:r>
              <w:t>0.10</w:t>
            </w:r>
          </w:p>
        </w:tc>
        <w:tc>
          <w:tcPr>
            <w:tcW w:w="691" w:type="pct"/>
            <w:tcBorders>
              <w:top w:val="nil"/>
              <w:left w:val="nil"/>
              <w:right w:val="nil"/>
            </w:tcBorders>
            <w:shd w:val="clear" w:color="auto" w:fill="auto"/>
            <w:noWrap/>
            <w:vAlign w:val="center"/>
          </w:tcPr>
          <w:p w14:paraId="70CD3133" w14:textId="77777777" w:rsidR="00735ADD" w:rsidRPr="00B51982" w:rsidRDefault="00735ADD" w:rsidP="0001454F">
            <w:pPr>
              <w:pStyle w:val="TableText"/>
              <w:jc w:val="right"/>
            </w:pPr>
            <w:r>
              <w:t>0.12</w:t>
            </w:r>
          </w:p>
        </w:tc>
        <w:tc>
          <w:tcPr>
            <w:tcW w:w="653" w:type="pct"/>
            <w:tcBorders>
              <w:top w:val="nil"/>
              <w:left w:val="nil"/>
              <w:right w:val="nil"/>
            </w:tcBorders>
            <w:vAlign w:val="center"/>
          </w:tcPr>
          <w:p w14:paraId="0AE559D5" w14:textId="77777777" w:rsidR="00735ADD" w:rsidRPr="00B51982" w:rsidRDefault="00735ADD" w:rsidP="0001454F">
            <w:pPr>
              <w:pStyle w:val="TableText"/>
              <w:jc w:val="right"/>
            </w:pPr>
            <w:r>
              <w:t>0.10</w:t>
            </w:r>
          </w:p>
        </w:tc>
        <w:tc>
          <w:tcPr>
            <w:tcW w:w="653" w:type="pct"/>
            <w:tcBorders>
              <w:top w:val="nil"/>
              <w:left w:val="nil"/>
              <w:right w:val="nil"/>
            </w:tcBorders>
            <w:shd w:val="clear" w:color="auto" w:fill="auto"/>
            <w:noWrap/>
            <w:vAlign w:val="center"/>
          </w:tcPr>
          <w:p w14:paraId="1BB3EDDD" w14:textId="77777777" w:rsidR="00735ADD" w:rsidRPr="00B51982" w:rsidRDefault="00735ADD" w:rsidP="0001454F">
            <w:pPr>
              <w:pStyle w:val="TableText"/>
              <w:jc w:val="right"/>
            </w:pPr>
            <w:r>
              <w:t>0.11</w:t>
            </w:r>
          </w:p>
        </w:tc>
      </w:tr>
      <w:tr w:rsidR="00735ADD" w14:paraId="7ABF8893" w14:textId="77777777" w:rsidTr="00DC68CD">
        <w:trPr>
          <w:trHeight w:val="283"/>
        </w:trPr>
        <w:tc>
          <w:tcPr>
            <w:tcW w:w="1005" w:type="pct"/>
            <w:tcBorders>
              <w:top w:val="nil"/>
              <w:left w:val="nil"/>
              <w:right w:val="nil"/>
            </w:tcBorders>
            <w:shd w:val="clear" w:color="auto" w:fill="auto"/>
            <w:noWrap/>
            <w:vAlign w:val="center"/>
            <w:hideMark/>
          </w:tcPr>
          <w:p w14:paraId="328B9B92" w14:textId="77777777" w:rsidR="00735ADD" w:rsidRPr="00B51982" w:rsidRDefault="00735ADD" w:rsidP="0001454F">
            <w:pPr>
              <w:pStyle w:val="TableText"/>
            </w:pPr>
            <w:r>
              <w:t>Year-fixed effects</w:t>
            </w:r>
          </w:p>
        </w:tc>
        <w:tc>
          <w:tcPr>
            <w:tcW w:w="654" w:type="pct"/>
            <w:tcBorders>
              <w:top w:val="nil"/>
              <w:left w:val="nil"/>
              <w:right w:val="nil"/>
            </w:tcBorders>
            <w:shd w:val="clear" w:color="auto" w:fill="auto"/>
            <w:vAlign w:val="center"/>
          </w:tcPr>
          <w:p w14:paraId="30DC06A8" w14:textId="77777777" w:rsidR="00735ADD" w:rsidRDefault="00735ADD" w:rsidP="0001454F">
            <w:pPr>
              <w:pStyle w:val="TableText"/>
              <w:jc w:val="right"/>
            </w:pPr>
            <w:r>
              <w:t>Yes</w:t>
            </w:r>
          </w:p>
        </w:tc>
        <w:tc>
          <w:tcPr>
            <w:tcW w:w="653" w:type="pct"/>
            <w:tcBorders>
              <w:top w:val="nil"/>
              <w:left w:val="nil"/>
              <w:right w:val="nil"/>
            </w:tcBorders>
            <w:shd w:val="clear" w:color="auto" w:fill="auto"/>
            <w:noWrap/>
            <w:vAlign w:val="center"/>
          </w:tcPr>
          <w:p w14:paraId="03F833FA" w14:textId="77777777" w:rsidR="00735ADD" w:rsidRDefault="00735ADD" w:rsidP="0001454F">
            <w:pPr>
              <w:pStyle w:val="TableText"/>
              <w:jc w:val="right"/>
            </w:pPr>
            <w:r>
              <w:t>Yes</w:t>
            </w:r>
          </w:p>
        </w:tc>
        <w:tc>
          <w:tcPr>
            <w:tcW w:w="691" w:type="pct"/>
            <w:tcBorders>
              <w:top w:val="nil"/>
              <w:left w:val="nil"/>
              <w:right w:val="nil"/>
            </w:tcBorders>
            <w:shd w:val="clear" w:color="auto" w:fill="auto"/>
            <w:vAlign w:val="center"/>
          </w:tcPr>
          <w:p w14:paraId="63EEA23C" w14:textId="77777777" w:rsidR="00735ADD" w:rsidRDefault="00735ADD" w:rsidP="0001454F">
            <w:pPr>
              <w:pStyle w:val="TableText"/>
              <w:jc w:val="right"/>
            </w:pPr>
            <w:r>
              <w:t>Yes</w:t>
            </w:r>
          </w:p>
        </w:tc>
        <w:tc>
          <w:tcPr>
            <w:tcW w:w="691" w:type="pct"/>
            <w:tcBorders>
              <w:top w:val="nil"/>
              <w:left w:val="nil"/>
              <w:right w:val="nil"/>
            </w:tcBorders>
            <w:shd w:val="clear" w:color="auto" w:fill="auto"/>
            <w:noWrap/>
            <w:vAlign w:val="center"/>
          </w:tcPr>
          <w:p w14:paraId="54D2BC46" w14:textId="77777777" w:rsidR="00735ADD" w:rsidRDefault="00735ADD" w:rsidP="0001454F">
            <w:pPr>
              <w:pStyle w:val="TableText"/>
              <w:jc w:val="right"/>
            </w:pPr>
            <w:r>
              <w:t>Yes</w:t>
            </w:r>
          </w:p>
        </w:tc>
        <w:tc>
          <w:tcPr>
            <w:tcW w:w="653" w:type="pct"/>
            <w:tcBorders>
              <w:top w:val="nil"/>
              <w:left w:val="nil"/>
              <w:right w:val="nil"/>
            </w:tcBorders>
            <w:shd w:val="clear" w:color="auto" w:fill="auto"/>
            <w:vAlign w:val="center"/>
          </w:tcPr>
          <w:p w14:paraId="338DB986" w14:textId="77777777" w:rsidR="00735ADD" w:rsidRDefault="00735ADD" w:rsidP="0001454F">
            <w:pPr>
              <w:pStyle w:val="TableText"/>
              <w:jc w:val="right"/>
            </w:pPr>
            <w:r>
              <w:t>Yes</w:t>
            </w:r>
          </w:p>
        </w:tc>
        <w:tc>
          <w:tcPr>
            <w:tcW w:w="653" w:type="pct"/>
            <w:tcBorders>
              <w:top w:val="nil"/>
              <w:left w:val="nil"/>
              <w:right w:val="nil"/>
            </w:tcBorders>
            <w:shd w:val="clear" w:color="auto" w:fill="auto"/>
            <w:noWrap/>
            <w:vAlign w:val="center"/>
          </w:tcPr>
          <w:p w14:paraId="5F131954" w14:textId="77777777" w:rsidR="00735ADD" w:rsidRDefault="00735ADD" w:rsidP="0001454F">
            <w:pPr>
              <w:pStyle w:val="TableText"/>
              <w:jc w:val="right"/>
            </w:pPr>
            <w:r>
              <w:t>Yes</w:t>
            </w:r>
          </w:p>
        </w:tc>
      </w:tr>
      <w:tr w:rsidR="00735ADD" w14:paraId="2D54C41E" w14:textId="77777777" w:rsidTr="00DC68CD">
        <w:trPr>
          <w:trHeight w:val="283"/>
        </w:trPr>
        <w:tc>
          <w:tcPr>
            <w:tcW w:w="1005" w:type="pct"/>
            <w:tcBorders>
              <w:top w:val="nil"/>
              <w:left w:val="nil"/>
              <w:bottom w:val="single" w:sz="4" w:space="0" w:color="auto"/>
              <w:right w:val="nil"/>
            </w:tcBorders>
            <w:shd w:val="clear" w:color="auto" w:fill="auto"/>
            <w:noWrap/>
            <w:vAlign w:val="center"/>
            <w:hideMark/>
          </w:tcPr>
          <w:p w14:paraId="20E7602C" w14:textId="77777777" w:rsidR="00735ADD" w:rsidRPr="00B51982" w:rsidRDefault="00735ADD" w:rsidP="0001454F">
            <w:pPr>
              <w:pStyle w:val="TableText"/>
            </w:pPr>
            <w:r>
              <w:t>Firm-fixed effects</w:t>
            </w:r>
          </w:p>
        </w:tc>
        <w:tc>
          <w:tcPr>
            <w:tcW w:w="654" w:type="pct"/>
            <w:tcBorders>
              <w:top w:val="nil"/>
              <w:left w:val="nil"/>
              <w:bottom w:val="single" w:sz="4" w:space="0" w:color="auto"/>
              <w:right w:val="nil"/>
            </w:tcBorders>
            <w:shd w:val="clear" w:color="auto" w:fill="auto"/>
            <w:vAlign w:val="center"/>
          </w:tcPr>
          <w:p w14:paraId="676139B2" w14:textId="77777777" w:rsidR="00735ADD" w:rsidRDefault="00735ADD" w:rsidP="0001454F">
            <w:pPr>
              <w:pStyle w:val="TableText"/>
              <w:jc w:val="right"/>
            </w:pPr>
            <w:r>
              <w:t>Yes</w:t>
            </w:r>
          </w:p>
        </w:tc>
        <w:tc>
          <w:tcPr>
            <w:tcW w:w="653" w:type="pct"/>
            <w:tcBorders>
              <w:top w:val="nil"/>
              <w:left w:val="nil"/>
              <w:bottom w:val="single" w:sz="4" w:space="0" w:color="auto"/>
              <w:right w:val="nil"/>
            </w:tcBorders>
            <w:shd w:val="clear" w:color="auto" w:fill="auto"/>
            <w:noWrap/>
            <w:vAlign w:val="center"/>
          </w:tcPr>
          <w:p w14:paraId="17EF46F8" w14:textId="77777777" w:rsidR="00735ADD" w:rsidRDefault="00735ADD" w:rsidP="0001454F">
            <w:pPr>
              <w:pStyle w:val="TableText"/>
              <w:jc w:val="right"/>
            </w:pPr>
            <w:r>
              <w:t>Yes</w:t>
            </w:r>
          </w:p>
        </w:tc>
        <w:tc>
          <w:tcPr>
            <w:tcW w:w="691" w:type="pct"/>
            <w:tcBorders>
              <w:top w:val="nil"/>
              <w:left w:val="nil"/>
              <w:bottom w:val="single" w:sz="4" w:space="0" w:color="auto"/>
              <w:right w:val="nil"/>
            </w:tcBorders>
            <w:shd w:val="clear" w:color="auto" w:fill="auto"/>
            <w:vAlign w:val="center"/>
          </w:tcPr>
          <w:p w14:paraId="518261BF" w14:textId="77777777" w:rsidR="00735ADD" w:rsidRDefault="00735ADD" w:rsidP="0001454F">
            <w:pPr>
              <w:pStyle w:val="TableText"/>
              <w:jc w:val="right"/>
            </w:pPr>
            <w:r>
              <w:t>Yes</w:t>
            </w:r>
          </w:p>
        </w:tc>
        <w:tc>
          <w:tcPr>
            <w:tcW w:w="691" w:type="pct"/>
            <w:tcBorders>
              <w:top w:val="nil"/>
              <w:left w:val="nil"/>
              <w:bottom w:val="single" w:sz="4" w:space="0" w:color="auto"/>
              <w:right w:val="nil"/>
            </w:tcBorders>
            <w:shd w:val="clear" w:color="auto" w:fill="auto"/>
            <w:noWrap/>
            <w:vAlign w:val="center"/>
          </w:tcPr>
          <w:p w14:paraId="11ECCB6F" w14:textId="77777777" w:rsidR="00735ADD" w:rsidRDefault="00735ADD" w:rsidP="0001454F">
            <w:pPr>
              <w:pStyle w:val="TableText"/>
              <w:jc w:val="right"/>
            </w:pPr>
            <w:r>
              <w:t>Yes</w:t>
            </w:r>
          </w:p>
        </w:tc>
        <w:tc>
          <w:tcPr>
            <w:tcW w:w="653" w:type="pct"/>
            <w:tcBorders>
              <w:top w:val="nil"/>
              <w:left w:val="nil"/>
              <w:bottom w:val="single" w:sz="4" w:space="0" w:color="auto"/>
              <w:right w:val="nil"/>
            </w:tcBorders>
            <w:shd w:val="clear" w:color="auto" w:fill="auto"/>
            <w:vAlign w:val="center"/>
          </w:tcPr>
          <w:p w14:paraId="44451C25" w14:textId="77777777" w:rsidR="00735ADD" w:rsidRDefault="00735ADD" w:rsidP="0001454F">
            <w:pPr>
              <w:pStyle w:val="TableText"/>
              <w:jc w:val="right"/>
            </w:pPr>
            <w:r>
              <w:t>Yes</w:t>
            </w:r>
          </w:p>
        </w:tc>
        <w:tc>
          <w:tcPr>
            <w:tcW w:w="653" w:type="pct"/>
            <w:tcBorders>
              <w:top w:val="nil"/>
              <w:left w:val="nil"/>
              <w:bottom w:val="single" w:sz="4" w:space="0" w:color="auto"/>
              <w:right w:val="nil"/>
            </w:tcBorders>
            <w:shd w:val="clear" w:color="auto" w:fill="auto"/>
            <w:noWrap/>
            <w:vAlign w:val="center"/>
          </w:tcPr>
          <w:p w14:paraId="2A558179" w14:textId="77777777" w:rsidR="00735ADD" w:rsidRDefault="00735ADD" w:rsidP="0001454F">
            <w:pPr>
              <w:pStyle w:val="TableText"/>
              <w:jc w:val="right"/>
            </w:pPr>
            <w:r>
              <w:t>Yes</w:t>
            </w:r>
          </w:p>
        </w:tc>
      </w:tr>
    </w:tbl>
    <w:p w14:paraId="035BBB70" w14:textId="28EF5A06" w:rsidR="00840C34" w:rsidRPr="00F37940" w:rsidRDefault="00840C34">
      <w:pPr>
        <w:rPr>
          <w:lang w:val="en-GB"/>
        </w:rPr>
      </w:pPr>
    </w:p>
    <w:sectPr w:rsidR="00840C34" w:rsidRPr="00F37940" w:rsidSect="009646E4">
      <w:pgSz w:w="16838" w:h="11906"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174CB4" w16cid:durableId="21449171"/>
  <w16cid:commentId w16cid:paraId="08A90030" w16cid:durableId="214490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63FE8" w14:textId="77777777" w:rsidR="008D48AD" w:rsidRDefault="008D48AD" w:rsidP="003E49E8">
      <w:r>
        <w:separator/>
      </w:r>
    </w:p>
  </w:endnote>
  <w:endnote w:type="continuationSeparator" w:id="0">
    <w:p w14:paraId="0803AE2D" w14:textId="77777777" w:rsidR="008D48AD" w:rsidRPr="00694B66" w:rsidRDefault="008D48AD" w:rsidP="00B70E79">
      <w:pPr>
        <w:rPr>
          <w:sz w:val="20"/>
          <w:szCs w:val="20"/>
        </w:rPr>
      </w:pPr>
      <w:r w:rsidRPr="00694B66">
        <w:rPr>
          <w:sz w:val="16"/>
          <w:szCs w:val="16"/>
        </w:rPr>
        <w:continuationSeparator/>
      </w:r>
    </w:p>
  </w:endnote>
  <w:endnote w:type="continuationNotice" w:id="1">
    <w:p w14:paraId="262E746A" w14:textId="77777777" w:rsidR="008D48AD" w:rsidRPr="00694B66" w:rsidRDefault="008D48AD">
      <w:pPr>
        <w:spacing w:line="240" w:lineRule="auto"/>
        <w:rPr>
          <w:sz w:val="20"/>
          <w:szCs w:val="20"/>
        </w:rPr>
      </w:pPr>
    </w:p>
  </w:endnote>
  <w:endnote w:id="2">
    <w:p w14:paraId="0D2E4EAE" w14:textId="4B317948" w:rsidR="00562699" w:rsidRPr="00665BA3" w:rsidRDefault="00562699" w:rsidP="00382C3A">
      <w:pPr>
        <w:pStyle w:val="EndnoteText"/>
        <w:spacing w:line="240" w:lineRule="auto"/>
      </w:pPr>
      <w:r w:rsidRPr="00665BA3">
        <w:rPr>
          <w:rStyle w:val="EndnoteReference"/>
        </w:rPr>
        <w:endnoteRef/>
      </w:r>
      <w:r w:rsidRPr="00665BA3">
        <w:t xml:space="preserve"> </w:t>
      </w:r>
      <w:r>
        <w:t>A</w:t>
      </w:r>
      <w:r w:rsidRPr="00B70E79">
        <w:t>nalytical research on voluntary disclosure argues that qualitative disclosure</w:t>
      </w:r>
      <w:r>
        <w:t>s are “cheap talk” that</w:t>
      </w:r>
      <w:r w:rsidRPr="00B70E79">
        <w:t xml:space="preserve"> may lack credibility, especially when difficult to verify (e.g., Baginski </w:t>
      </w:r>
      <w:r w:rsidRPr="00DF7A80">
        <w:rPr>
          <w:iCs/>
        </w:rPr>
        <w:t>et al</w:t>
      </w:r>
      <w:r w:rsidRPr="00B70E79">
        <w:rPr>
          <w:iCs/>
        </w:rPr>
        <w:t>. 2</w:t>
      </w:r>
      <w:r w:rsidRPr="00E27587">
        <w:t>016; Kartik 2009; Stocken 2000). Th</w:t>
      </w:r>
      <w:r>
        <w:t>us,</w:t>
      </w:r>
      <w:r w:rsidRPr="00B70E79">
        <w:t xml:space="preserve"> managers may opportunistically inflate </w:t>
      </w:r>
      <w:r>
        <w:t>the</w:t>
      </w:r>
      <w:r w:rsidRPr="00E27587">
        <w:t xml:space="preserve"> tone </w:t>
      </w:r>
      <w:r>
        <w:t>of</w:t>
      </w:r>
      <w:r w:rsidRPr="00E27587">
        <w:t xml:space="preserve"> conference calls </w:t>
      </w:r>
      <w:r>
        <w:t>through</w:t>
      </w:r>
      <w:r w:rsidRPr="00B70E79">
        <w:t xml:space="preserve"> excessive</w:t>
      </w:r>
      <w:r w:rsidRPr="00E27587">
        <w:t xml:space="preserve"> us</w:t>
      </w:r>
      <w:r>
        <w:t>e of</w:t>
      </w:r>
      <w:r w:rsidRPr="00B70E79">
        <w:t xml:space="preserve"> positive words</w:t>
      </w:r>
      <w:r>
        <w:t xml:space="preserve"> to</w:t>
      </w:r>
      <w:r w:rsidRPr="00B70E79">
        <w:t xml:space="preserve"> hid</w:t>
      </w:r>
      <w:r>
        <w:t>e</w:t>
      </w:r>
      <w:r w:rsidRPr="00B70E79">
        <w:t xml:space="preserve"> bad news. We gratefully acknowledge </w:t>
      </w:r>
      <w:r>
        <w:t>a reviewer</w:t>
      </w:r>
      <w:r w:rsidRPr="00B70E79">
        <w:t xml:space="preserve"> for suggesting this point.</w:t>
      </w:r>
    </w:p>
  </w:endnote>
  <w:endnote w:id="3">
    <w:p w14:paraId="050208DC" w14:textId="79D15A66" w:rsidR="00562699" w:rsidRDefault="00562699" w:rsidP="00382C3A">
      <w:pPr>
        <w:pStyle w:val="EndnoteText"/>
        <w:spacing w:line="240" w:lineRule="auto"/>
      </w:pPr>
      <w:r w:rsidRPr="00665BA3">
        <w:rPr>
          <w:rStyle w:val="EndnoteReference"/>
        </w:rPr>
        <w:endnoteRef/>
      </w:r>
      <w:r w:rsidRPr="00665BA3">
        <w:t xml:space="preserve"> </w:t>
      </w:r>
      <w:r>
        <w:t xml:space="preserve">This paper focuses on the predictive power of fourth-quarter conference call tone, when firms make forecasts over longer horizons than in the other three quarters. Nevertheless, untabulated results show consistent evidence of the </w:t>
      </w:r>
      <w:r w:rsidRPr="00EB14D2">
        <w:t xml:space="preserve">predictive power </w:t>
      </w:r>
      <w:r>
        <w:t>of call tone for stock price crash risk</w:t>
      </w:r>
      <w:r w:rsidRPr="008C4253" w:rsidDel="008C4253">
        <w:t xml:space="preserve"> </w:t>
      </w:r>
      <w:r>
        <w:t>using quarterly tone data.</w:t>
      </w:r>
    </w:p>
    <w:p w14:paraId="1B9989D6" w14:textId="678C51BE" w:rsidR="00562699" w:rsidRPr="00665BA3" w:rsidRDefault="00562699" w:rsidP="00382C3A">
      <w:pPr>
        <w:pStyle w:val="EndnoteText"/>
        <w:spacing w:line="240" w:lineRule="auto"/>
      </w:pPr>
      <w:r>
        <w:rPr>
          <w:rStyle w:val="EndnoteReference"/>
        </w:rPr>
        <w:t>3</w:t>
      </w:r>
      <w:r w:rsidRPr="00665BA3">
        <w:rPr>
          <w:rStyle w:val="EndnoteReference"/>
        </w:rPr>
        <w:t xml:space="preserve"> </w:t>
      </w:r>
      <w:r w:rsidRPr="00665BA3">
        <w:rPr>
          <w:rStyle w:val="EndnoteReference"/>
          <w:vertAlign w:val="baseline"/>
        </w:rPr>
        <w:t>Results are not sensitive to the use of industry-fixed effect</w:t>
      </w:r>
      <w:r w:rsidRPr="00665BA3">
        <w:t>s</w:t>
      </w:r>
      <w:r w:rsidRPr="00665BA3">
        <w:rPr>
          <w:rStyle w:val="EndnoteReference"/>
          <w:vertAlign w:val="baseline"/>
        </w:rPr>
        <w:t xml:space="preserve"> instead</w:t>
      </w:r>
      <w:r w:rsidRPr="00665BA3">
        <w:t xml:space="preserve"> of firm-fixed effects</w:t>
      </w:r>
      <w:r w:rsidRPr="00665BA3">
        <w:rPr>
          <w:rStyle w:val="EndnoteReference"/>
          <w:vertAlign w:val="baseline"/>
        </w:rPr>
        <w:t>.</w:t>
      </w:r>
    </w:p>
  </w:endnote>
  <w:endnote w:id="4">
    <w:p w14:paraId="6A26235E" w14:textId="576B8BE9" w:rsidR="00562699" w:rsidRPr="00F519DD" w:rsidRDefault="00562699" w:rsidP="00382C3A">
      <w:pPr>
        <w:pStyle w:val="EndnoteText"/>
        <w:spacing w:line="240" w:lineRule="auto"/>
      </w:pPr>
    </w:p>
  </w:endnote>
  <w:endnote w:id="5">
    <w:p w14:paraId="4C7D7CAB" w14:textId="2C76FDED" w:rsidR="00562699" w:rsidRPr="00665BA3" w:rsidRDefault="00562699" w:rsidP="00382C3A">
      <w:pPr>
        <w:pStyle w:val="EndnoteText"/>
        <w:spacing w:line="240" w:lineRule="auto"/>
      </w:pPr>
      <w:r w:rsidRPr="00DE2017">
        <w:rPr>
          <w:rStyle w:val="EndnoteReference"/>
        </w:rPr>
        <w:endnoteRef/>
      </w:r>
      <w:r w:rsidRPr="00DE2017">
        <w:t xml:space="preserve"> </w:t>
      </w:r>
      <w:r>
        <w:t>In this paper, tone is defined as disclosure tone and is measured by the use of positive or negative words. This definition differs from the linguistic concept of ‘evaluation marker’ and the psychology concept of ‘affective states’. We thank a reviewer for raising this point.</w:t>
      </w:r>
    </w:p>
  </w:endnote>
  <w:endnote w:id="6">
    <w:p w14:paraId="5AC8A303" w14:textId="09F9E6DD" w:rsidR="00562699" w:rsidRPr="00665BA3" w:rsidRDefault="00562699" w:rsidP="00382C3A">
      <w:pPr>
        <w:pStyle w:val="EndnoteText"/>
        <w:spacing w:line="240" w:lineRule="auto"/>
      </w:pPr>
      <w:r w:rsidRPr="00665BA3">
        <w:rPr>
          <w:rStyle w:val="EndnoteReference"/>
        </w:rPr>
        <w:endnoteRef/>
      </w:r>
      <w:r w:rsidRPr="00665BA3">
        <w:t xml:space="preserve"> </w:t>
      </w:r>
      <w:r>
        <w:t>W</w:t>
      </w:r>
      <w:r w:rsidRPr="00665BA3">
        <w:t>e use the March 2015 version of the dictionary</w:t>
      </w:r>
      <w:r>
        <w:t>,</w:t>
      </w:r>
      <w:r w:rsidRPr="00665BA3">
        <w:t xml:space="preserve"> available at</w:t>
      </w:r>
      <w:r w:rsidRPr="00B70E79">
        <w:t xml:space="preserve"> </w:t>
      </w:r>
      <w:hyperlink r:id="rId1" w:history="1">
        <w:r w:rsidRPr="00DF7A80">
          <w:t>http://www3.nd.edu/~mcdonald/Word_Lists.html</w:t>
        </w:r>
      </w:hyperlink>
      <w:r w:rsidRPr="00665BA3">
        <w:t>.</w:t>
      </w:r>
    </w:p>
  </w:endnote>
  <w:endnote w:id="7">
    <w:p w14:paraId="680E194C" w14:textId="024EA5B7" w:rsidR="00562699" w:rsidRPr="00F519DD" w:rsidRDefault="00562699" w:rsidP="00382C3A">
      <w:pPr>
        <w:pStyle w:val="EndnoteText"/>
        <w:spacing w:line="240" w:lineRule="auto"/>
      </w:pPr>
      <w:r w:rsidRPr="00665BA3">
        <w:rPr>
          <w:rStyle w:val="EndnoteReference"/>
        </w:rPr>
        <w:endnoteRef/>
      </w:r>
      <w:r w:rsidRPr="00665BA3">
        <w:t xml:space="preserve"> </w:t>
      </w:r>
      <w:r w:rsidRPr="009E65CB">
        <w:t xml:space="preserve">Higher values of tone variables </w:t>
      </w:r>
      <w:r>
        <w:t xml:space="preserve">also </w:t>
      </w:r>
      <w:r w:rsidRPr="009E65CB">
        <w:t xml:space="preserve">indicate </w:t>
      </w:r>
      <w:r>
        <w:t>low</w:t>
      </w:r>
      <w:r w:rsidRPr="009E65CB">
        <w:t xml:space="preserve"> levels of </w:t>
      </w:r>
      <w:r>
        <w:t>pessimism.</w:t>
      </w:r>
      <w:r w:rsidRPr="009E65CB">
        <w:t xml:space="preserve"> </w:t>
      </w:r>
      <w:r w:rsidRPr="00665BA3">
        <w:t xml:space="preserve">Loughran and McDonald (2016) show that measuring tone using positive words </w:t>
      </w:r>
      <w:r>
        <w:t>may</w:t>
      </w:r>
      <w:r w:rsidRPr="00665BA3">
        <w:t xml:space="preserve"> introduce measurement error and lead to low statistical power </w:t>
      </w:r>
      <w:r>
        <w:t>in</w:t>
      </w:r>
      <w:r w:rsidRPr="00665BA3">
        <w:t xml:space="preserve"> empirical tests. To mitigate </w:t>
      </w:r>
      <w:r>
        <w:t>this concern</w:t>
      </w:r>
      <w:r w:rsidRPr="00665BA3">
        <w:t xml:space="preserve">, we perform robustness tests using the </w:t>
      </w:r>
      <w:r>
        <w:t xml:space="preserve">net </w:t>
      </w:r>
      <w:r w:rsidRPr="00665BA3">
        <w:t xml:space="preserve">pessimistic tone measure (calculated as the percentage of negative words </w:t>
      </w:r>
      <w:r>
        <w:t>in</w:t>
      </w:r>
      <w:r w:rsidRPr="00665BA3">
        <w:t xml:space="preserve"> the total number of words). </w:t>
      </w:r>
      <w:r>
        <w:t>The r</w:t>
      </w:r>
      <w:r w:rsidRPr="00665BA3">
        <w:t xml:space="preserve">esults </w:t>
      </w:r>
      <w:r>
        <w:t xml:space="preserve">in Online Appendix Table A1 </w:t>
      </w:r>
      <w:r w:rsidRPr="00665BA3">
        <w:t xml:space="preserve">suggest that our findings </w:t>
      </w:r>
      <w:r>
        <w:t>are robust</w:t>
      </w:r>
      <w:r w:rsidRPr="00665BA3">
        <w:t>.</w:t>
      </w:r>
    </w:p>
  </w:endnote>
  <w:endnote w:id="8">
    <w:p w14:paraId="5A8DCA9E" w14:textId="49C4F915" w:rsidR="00562699" w:rsidRPr="00665BA3" w:rsidRDefault="00562699" w:rsidP="00382C3A">
      <w:pPr>
        <w:pStyle w:val="EndnoteText"/>
        <w:spacing w:line="240" w:lineRule="auto"/>
      </w:pPr>
      <w:r w:rsidRPr="00665BA3">
        <w:rPr>
          <w:rStyle w:val="EndnoteReference"/>
        </w:rPr>
        <w:endnoteRef/>
      </w:r>
      <w:r w:rsidRPr="00665BA3">
        <w:t xml:space="preserve"> The number of observations shown in Table 4 is 8</w:t>
      </w:r>
      <w:r>
        <w:t>,</w:t>
      </w:r>
      <w:r w:rsidRPr="00665BA3">
        <w:t>004, which is smaller than the sample size discussed in</w:t>
      </w:r>
      <w:r>
        <w:t xml:space="preserve"> the</w:t>
      </w:r>
      <w:r w:rsidRPr="00665BA3">
        <w:t xml:space="preserve"> </w:t>
      </w:r>
      <w:r>
        <w:t>“Sample” sub-s</w:t>
      </w:r>
      <w:r w:rsidRPr="00665BA3">
        <w:t>ection because we use lead-lag regression</w:t>
      </w:r>
      <w:r>
        <w:t>,</w:t>
      </w:r>
      <w:r w:rsidRPr="00665BA3">
        <w:t xml:space="preserve"> as specified in Equation (1).</w:t>
      </w:r>
    </w:p>
  </w:endnote>
  <w:endnote w:id="9">
    <w:p w14:paraId="0932BC12" w14:textId="03BDF661" w:rsidR="00562699" w:rsidRPr="00A407FC" w:rsidRDefault="00562699" w:rsidP="00382C3A">
      <w:pPr>
        <w:pStyle w:val="EndnoteText"/>
        <w:spacing w:line="240" w:lineRule="auto"/>
      </w:pPr>
      <w:r w:rsidRPr="00A407FC">
        <w:rPr>
          <w:rStyle w:val="EndnoteReference"/>
        </w:rPr>
        <w:endnoteRef/>
      </w:r>
      <w:r w:rsidRPr="00A407FC">
        <w:t xml:space="preserve"> </w:t>
      </w:r>
      <w:r>
        <w:t>Our subsequent analyses are also robust when using the adjusted critical value for t-statistics calculated using Kim</w:t>
      </w:r>
      <w:r w:rsidRPr="00D81A46">
        <w:t xml:space="preserve"> et al.</w:t>
      </w:r>
      <w:r>
        <w:t>’s</w:t>
      </w:r>
      <w:r w:rsidRPr="00D81A46">
        <w:t xml:space="preserve"> </w:t>
      </w:r>
      <w:r>
        <w:t>(2018) method</w:t>
      </w:r>
      <w:r>
        <w:rPr>
          <w:lang w:val="en-GB"/>
        </w:rPr>
        <w:t>.</w:t>
      </w:r>
    </w:p>
  </w:endnote>
  <w:endnote w:id="10">
    <w:p w14:paraId="24574016" w14:textId="4A4453D4" w:rsidR="00562699" w:rsidRPr="004B0587" w:rsidRDefault="00562699" w:rsidP="00382C3A">
      <w:pPr>
        <w:pStyle w:val="EndnoteText"/>
        <w:spacing w:line="240" w:lineRule="auto"/>
      </w:pPr>
      <w:r>
        <w:rPr>
          <w:rStyle w:val="EndnoteReference"/>
        </w:rPr>
        <w:endnoteRef/>
      </w:r>
      <w:r>
        <w:t xml:space="preserve"> </w:t>
      </w:r>
      <w:r w:rsidRPr="00E753D5">
        <w:t xml:space="preserve">Our results are robust </w:t>
      </w:r>
      <w:r>
        <w:t>after</w:t>
      </w:r>
      <w:r w:rsidRPr="00E753D5">
        <w:t xml:space="preserve"> controlling</w:t>
      </w:r>
      <w:r>
        <w:t xml:space="preserve"> for</w:t>
      </w:r>
      <w:r w:rsidRPr="00E753D5">
        <w:t xml:space="preserve"> additional variables</w:t>
      </w:r>
      <w:r>
        <w:t>, including</w:t>
      </w:r>
      <w:r w:rsidRPr="00E753D5">
        <w:t xml:space="preserve"> short-term market reactions, other conference call characteristics, annual report characteristics and complexity, executive characteristics and incentives, and corporate governance features.</w:t>
      </w:r>
      <w:r>
        <w:t xml:space="preserve"> Relevant results are presented in the Online Appendix. </w:t>
      </w:r>
      <w:r w:rsidRPr="00665BA3">
        <w:t>While firm-fixed effect regression controls for time</w:t>
      </w:r>
      <w:r>
        <w:t>-</w:t>
      </w:r>
      <w:r w:rsidRPr="00665BA3">
        <w:t xml:space="preserve">invariant omitted factors, it fails to control </w:t>
      </w:r>
      <w:r>
        <w:t>for</w:t>
      </w:r>
      <w:r w:rsidRPr="00665BA3">
        <w:t xml:space="preserve"> selection bias caused by time</w:t>
      </w:r>
      <w:r>
        <w:t>-</w:t>
      </w:r>
      <w:r w:rsidRPr="00665BA3">
        <w:t>varying fact</w:t>
      </w:r>
      <w:r>
        <w:t>or</w:t>
      </w:r>
      <w:r w:rsidRPr="00665BA3">
        <w:t xml:space="preserve">s. To this end, we </w:t>
      </w:r>
      <w:r>
        <w:t>adopt</w:t>
      </w:r>
      <w:r w:rsidRPr="00665BA3">
        <w:t xml:space="preserve"> </w:t>
      </w:r>
      <w:r>
        <w:t xml:space="preserve">a </w:t>
      </w:r>
      <w:r w:rsidRPr="00665BA3">
        <w:t>propensity score</w:t>
      </w:r>
      <w:r>
        <w:t>-</w:t>
      </w:r>
      <w:r w:rsidRPr="00665BA3">
        <w:t xml:space="preserve">matching approach. The treatment group (control group) includes firms with conference call tone above (below) </w:t>
      </w:r>
      <w:r>
        <w:t xml:space="preserve">the </w:t>
      </w:r>
      <w:r w:rsidRPr="00665BA3">
        <w:t>median. The</w:t>
      </w:r>
      <w:r>
        <w:t>se</w:t>
      </w:r>
      <w:r w:rsidRPr="00665BA3">
        <w:t xml:space="preserve"> groups are matched to be as statistically alike as possible</w:t>
      </w:r>
      <w:r>
        <w:t>,</w:t>
      </w:r>
      <w:r w:rsidRPr="00665BA3">
        <w:t xml:space="preserve"> with covariates the same as controls in </w:t>
      </w:r>
      <w:r>
        <w:t xml:space="preserve">the </w:t>
      </w:r>
      <w:r w:rsidRPr="00665BA3">
        <w:t>main regressions. The matched firms use a nearest neighbor algorithm with caliper 0.01, no replacement and results restrict</w:t>
      </w:r>
      <w:r>
        <w:t>ed</w:t>
      </w:r>
      <w:r w:rsidRPr="00665BA3">
        <w:t xml:space="preserve"> to common support. After matching, we still find a significant and </w:t>
      </w:r>
      <w:r>
        <w:t>negative</w:t>
      </w:r>
      <w:r w:rsidRPr="00665BA3">
        <w:t xml:space="preserve"> association between conference call tone and </w:t>
      </w:r>
      <w:r>
        <w:t>stock price crash risk</w:t>
      </w:r>
      <w:r w:rsidRPr="00665BA3">
        <w:t>.</w:t>
      </w:r>
    </w:p>
  </w:endnote>
  <w:endnote w:id="11">
    <w:p w14:paraId="6FC16F85" w14:textId="2120DE70" w:rsidR="00562699" w:rsidRPr="00103EFF" w:rsidRDefault="00562699" w:rsidP="00382C3A">
      <w:pPr>
        <w:pStyle w:val="EndnoteText"/>
        <w:spacing w:line="240" w:lineRule="auto"/>
      </w:pPr>
      <w:r w:rsidRPr="006B77E0">
        <w:rPr>
          <w:rStyle w:val="EndnoteReference"/>
        </w:rPr>
        <w:endnoteRef/>
      </w:r>
      <w:r w:rsidRPr="006B77E0">
        <w:t xml:space="preserve"> The economic significance of the coefficient </w:t>
      </w:r>
      <w:r>
        <w:t>on</w:t>
      </w:r>
      <w:r w:rsidRPr="006B77E0">
        <w:t xml:space="preserve"> </w:t>
      </w:r>
      <m:oMath>
        <m:r>
          <w:rPr>
            <w:rFonts w:ascii="Cambria Math" w:hAnsi="Cambria Math" w:hint="eastAsia"/>
          </w:rPr>
          <m:t>TONE_C</m:t>
        </m:r>
      </m:oMath>
      <w:r w:rsidRPr="00103EFF">
        <w:t xml:space="preserve"> is comparable with </w:t>
      </w:r>
      <w:r w:rsidRPr="00694B66">
        <w:t>previous</w:t>
      </w:r>
      <w:r w:rsidRPr="00103EFF">
        <w:t xml:space="preserve"> literature (e.g., Blau </w:t>
      </w:r>
      <w:r w:rsidRPr="00196B5F">
        <w:rPr>
          <w:iCs/>
        </w:rPr>
        <w:t>et al</w:t>
      </w:r>
      <w:r w:rsidRPr="00B70E79">
        <w:rPr>
          <w:iCs/>
        </w:rPr>
        <w:t>.</w:t>
      </w:r>
      <w:r w:rsidRPr="00103EFF">
        <w:t xml:space="preserve"> 2015). Additionally, as we focus on the long-term predictive power of tone, the economic significance of </w:t>
      </w:r>
      <w:r w:rsidRPr="007C5CB5">
        <w:t xml:space="preserve">predictive power </w:t>
      </w:r>
      <w:r w:rsidRPr="00103EFF">
        <w:t>is smaller than</w:t>
      </w:r>
      <w:r>
        <w:t xml:space="preserve"> that</w:t>
      </w:r>
      <w:r w:rsidRPr="00103EFF">
        <w:t xml:space="preserve"> over a shorter horizon. As conference calls are a timely disclosure platform, call tone </w:t>
      </w:r>
      <w:r>
        <w:t xml:space="preserve">is expected to have </w:t>
      </w:r>
      <w:r w:rsidRPr="00103EFF">
        <w:t>stronger economic significance over a shorter horizon.</w:t>
      </w:r>
    </w:p>
  </w:endnote>
  <w:endnote w:id="12">
    <w:p w14:paraId="3F5D76FB" w14:textId="60FC8DFB" w:rsidR="00562699" w:rsidRPr="00A407FC" w:rsidRDefault="00562699" w:rsidP="00382C3A">
      <w:pPr>
        <w:pStyle w:val="EndnoteText"/>
        <w:spacing w:line="240" w:lineRule="auto"/>
      </w:pPr>
      <w:r w:rsidRPr="00A407FC">
        <w:rPr>
          <w:rStyle w:val="EndnoteReference"/>
        </w:rPr>
        <w:endnoteRef/>
      </w:r>
      <w:r w:rsidRPr="00A407FC">
        <w:t xml:space="preserve"> </w:t>
      </w:r>
      <w:r>
        <w:t>In order to obtain the residual tone measure, we regress conference call tone (</w:t>
      </w:r>
      <m:oMath>
        <m:r>
          <w:rPr>
            <w:rFonts w:ascii="Cambria Math" w:hAnsi="Cambria Math"/>
          </w:rPr>
          <m:t>TONE</m:t>
        </m:r>
      </m:oMath>
      <w:r>
        <w:t>) on the ratio of EBIT to beginning total assets (</w:t>
      </w:r>
      <m:oMath>
        <m:r>
          <w:rPr>
            <w:rFonts w:ascii="Cambria Math" w:hAnsi="Cambria Math"/>
          </w:rPr>
          <m:t>EARN</m:t>
        </m:r>
      </m:oMath>
      <w:r>
        <w:t>), contemporaneous annual stock returns (</w:t>
      </w:r>
      <m:oMath>
        <m:r>
          <w:rPr>
            <w:rFonts w:ascii="Cambria Math" w:hAnsi="Cambria Math"/>
          </w:rPr>
          <m:t>RET</m:t>
        </m:r>
      </m:oMath>
      <w:r>
        <w:t>), the natural logarithm of the market capitalization at the end of one fiscal year (</w:t>
      </w:r>
      <m:oMath>
        <m:r>
          <w:rPr>
            <w:rFonts w:ascii="Cambria Math" w:hAnsi="Cambria Math"/>
          </w:rPr>
          <m:t>SIZE</m:t>
        </m:r>
      </m:oMath>
      <w:r>
        <w:t>), book-to-market ratio at the end of one fiscal year (</w:t>
      </w:r>
      <m:oMath>
        <m:r>
          <w:rPr>
            <w:rFonts w:ascii="Cambria Math" w:hAnsi="Cambria Math"/>
          </w:rPr>
          <m:t>BTM</m:t>
        </m:r>
      </m:oMath>
      <w:r>
        <w:t>), the standard deviation of monthly stock return over one fiscal year (</w:t>
      </w:r>
      <m:oMath>
        <m:r>
          <w:rPr>
            <w:rFonts w:ascii="Cambria Math" w:hAnsi="Cambria Math"/>
          </w:rPr>
          <m:t>STD_RET</m:t>
        </m:r>
      </m:oMath>
      <w:r>
        <w:t xml:space="preserve">), the standard deviation of </w:t>
      </w:r>
      <m:oMath>
        <m:r>
          <w:rPr>
            <w:rFonts w:ascii="Cambria Math" w:hAnsi="Cambria Math"/>
          </w:rPr>
          <m:t>EARN</m:t>
        </m:r>
      </m:oMath>
      <w:r>
        <w:t xml:space="preserve"> over the previous five years (</w:t>
      </w:r>
      <m:oMath>
        <m:r>
          <w:rPr>
            <w:rFonts w:ascii="Cambria Math" w:hAnsi="Cambria Math"/>
          </w:rPr>
          <m:t>STD_EARN</m:t>
        </m:r>
      </m:oMath>
      <w:r>
        <w:t>), the natural logarithm of one plus age from the first year the firm entered the CRSP dataset (</w:t>
      </w:r>
      <m:oMath>
        <m:r>
          <w:rPr>
            <w:rFonts w:ascii="Cambria Math" w:hAnsi="Cambria Math"/>
          </w:rPr>
          <m:t>AGE</m:t>
        </m:r>
      </m:oMath>
      <w:r>
        <w:t>), the natural logarithm of one plus the number of business segments (</w:t>
      </w:r>
      <m:oMath>
        <m:r>
          <w:rPr>
            <w:rFonts w:ascii="Cambria Math" w:hAnsi="Cambria Math"/>
          </w:rPr>
          <m:t>BUSSEG</m:t>
        </m:r>
      </m:oMath>
      <w:r>
        <w:t>), the natural logarithm of one plus the number of geographic segments (</w:t>
      </w:r>
      <m:oMath>
        <m:r>
          <w:rPr>
            <w:rFonts w:ascii="Cambria Math" w:hAnsi="Cambria Math"/>
          </w:rPr>
          <m:t>GEOSEG</m:t>
        </m:r>
      </m:oMath>
      <w:r>
        <w:t xml:space="preserve">), a dummy variable which equals 1 when </w:t>
      </w:r>
      <m:oMath>
        <m:r>
          <w:rPr>
            <w:rFonts w:ascii="Cambria Math" w:hAnsi="Cambria Math"/>
          </w:rPr>
          <m:t>EARN</m:t>
        </m:r>
      </m:oMath>
      <w:r>
        <w:t xml:space="preserve"> is negative (</w:t>
      </w:r>
      <m:oMath>
        <m:r>
          <w:rPr>
            <w:rFonts w:ascii="Cambria Math" w:hAnsi="Cambria Math"/>
          </w:rPr>
          <m:t>LOSS</m:t>
        </m:r>
      </m:oMath>
      <w:r>
        <w:t xml:space="preserve">), the first difference of </w:t>
      </w:r>
      <m:oMath>
        <m:r>
          <w:rPr>
            <w:rFonts w:ascii="Cambria Math" w:hAnsi="Cambria Math"/>
          </w:rPr>
          <m:t>EARN</m:t>
        </m:r>
      </m:oMath>
      <w:r>
        <w:t xml:space="preserve"> (</w:t>
      </w:r>
      <m:oMath>
        <m:r>
          <m:rPr>
            <m:sty m:val="p"/>
          </m:rPr>
          <w:rPr>
            <w:rFonts w:ascii="Cambria Math" w:hAnsi="Cambria Math"/>
          </w:rPr>
          <m:t>∆</m:t>
        </m:r>
        <m:r>
          <w:rPr>
            <w:rFonts w:ascii="Cambria Math" w:hAnsi="Cambria Math"/>
          </w:rPr>
          <m:t>EARN</m:t>
        </m:r>
      </m:oMath>
      <w:r>
        <w:t>), analyst forecast error (</w:t>
      </w:r>
      <m:oMath>
        <m:r>
          <w:rPr>
            <w:rFonts w:ascii="Cambria Math" w:hAnsi="Cambria Math"/>
          </w:rPr>
          <m:t>AFE</m:t>
        </m:r>
      </m:oMath>
      <w:r>
        <w:t>), and a</w:t>
      </w:r>
      <w:r w:rsidRPr="00C228E9">
        <w:t>nalyst consensus forecast for one-year-ahead earnings per share divided by stock price per share at the end of the fiscal year</w:t>
      </w:r>
      <w:r>
        <w:t xml:space="preserve"> (</w:t>
      </w:r>
      <m:oMath>
        <m:r>
          <w:rPr>
            <w:rFonts w:ascii="Cambria Math" w:hAnsi="Cambria Math"/>
          </w:rPr>
          <m:t>AF</m:t>
        </m:r>
      </m:oMath>
      <w:r>
        <w:t>).</w:t>
      </w:r>
    </w:p>
  </w:endnote>
  <w:endnote w:id="13">
    <w:p w14:paraId="7FAA4B47" w14:textId="7C0911C8" w:rsidR="00562699" w:rsidRPr="00DE2017" w:rsidRDefault="00562699" w:rsidP="00382C3A">
      <w:pPr>
        <w:pStyle w:val="EndnoteText"/>
        <w:spacing w:line="240" w:lineRule="auto"/>
      </w:pPr>
      <w:r w:rsidRPr="006B77E0">
        <w:rPr>
          <w:rStyle w:val="EndnoteReference"/>
        </w:rPr>
        <w:endnoteRef/>
      </w:r>
      <w:r w:rsidRPr="006B77E0">
        <w:t xml:space="preserve"> </w:t>
      </w:r>
      <w:r w:rsidRPr="00103EFF">
        <w:t xml:space="preserve">The original number of observations for </w:t>
      </w:r>
      <m:oMath>
        <m:r>
          <w:rPr>
            <w:rFonts w:ascii="Cambria Math" w:hAnsi="Cambria Math" w:hint="eastAsia"/>
          </w:rPr>
          <m:t>RE_TONE_C</m:t>
        </m:r>
      </m:oMath>
      <w:r w:rsidRPr="00FF512D">
        <w:t xml:space="preserve"> is 10,008</w:t>
      </w:r>
      <w:r>
        <w:t>,</w:t>
      </w:r>
      <w:r w:rsidRPr="00FF512D">
        <w:t xml:space="preserve"> and the final number of observations is 7,231 in Table 5 </w:t>
      </w:r>
      <w:r>
        <w:t>owing</w:t>
      </w:r>
      <w:r w:rsidRPr="00FF512D">
        <w:t xml:space="preserve"> to lead-lag regression specification</w:t>
      </w:r>
      <w:r w:rsidRPr="00DE2017">
        <w:t>.</w:t>
      </w:r>
    </w:p>
  </w:endnote>
  <w:endnote w:id="14">
    <w:p w14:paraId="456BB6F7" w14:textId="1ECF4929" w:rsidR="00562699" w:rsidRPr="00665BA3" w:rsidRDefault="00562699" w:rsidP="00382C3A">
      <w:pPr>
        <w:pStyle w:val="EndnoteText"/>
        <w:spacing w:line="240" w:lineRule="auto"/>
      </w:pPr>
      <w:r w:rsidRPr="00665BA3">
        <w:rPr>
          <w:rStyle w:val="EndnoteReference"/>
        </w:rPr>
        <w:endnoteRef/>
      </w:r>
      <w:r w:rsidRPr="00665BA3">
        <w:t xml:space="preserve"> </w:t>
      </w:r>
      <w:r>
        <w:t xml:space="preserve">Both Borochin </w:t>
      </w:r>
      <w:r w:rsidRPr="00196B5F">
        <w:rPr>
          <w:iCs/>
        </w:rPr>
        <w:t>et al.</w:t>
      </w:r>
      <w:r>
        <w:t xml:space="preserve"> (2018) and Brockman </w:t>
      </w:r>
      <w:r w:rsidRPr="00196B5F">
        <w:rPr>
          <w:iCs/>
        </w:rPr>
        <w:t>et al.</w:t>
      </w:r>
      <w:r w:rsidRPr="003A6185">
        <w:rPr>
          <w:iCs/>
        </w:rPr>
        <w:t xml:space="preserve"> </w:t>
      </w:r>
      <w:r>
        <w:t xml:space="preserve">(2015) focus on short-term market reactions to tone. Their findings indicate that investors are suspicious of managers’ disclosure incentives and place more value on incentives than private information. However, this does not contradict our findings, which suggest that managers possess private information on potential stock </w:t>
      </w:r>
      <w:r w:rsidRPr="00694B66">
        <w:t>price</w:t>
      </w:r>
      <w:r>
        <w:t xml:space="preserve"> crashes and tend to communicate truthfully during conference calls.</w:t>
      </w:r>
    </w:p>
  </w:endnote>
  <w:endnote w:id="15">
    <w:p w14:paraId="1B7B75B0" w14:textId="531ACD0D" w:rsidR="00562699" w:rsidRPr="00FB270C" w:rsidRDefault="00562699" w:rsidP="00382C3A">
      <w:pPr>
        <w:pStyle w:val="EndnoteText"/>
        <w:spacing w:line="240" w:lineRule="auto"/>
      </w:pPr>
      <w:r>
        <w:rPr>
          <w:rStyle w:val="EndnoteReference"/>
        </w:rPr>
        <w:endnoteRef/>
      </w:r>
      <w:r>
        <w:t xml:space="preserve"> W</w:t>
      </w:r>
      <w:r w:rsidRPr="006708C8">
        <w:t>e divide our sample based on CEO option incentives</w:t>
      </w:r>
      <w:r>
        <w:t>.</w:t>
      </w:r>
      <w:r w:rsidRPr="00C23758">
        <w:t xml:space="preserve"> Our results are robust </w:t>
      </w:r>
      <w:r>
        <w:t>to</w:t>
      </w:r>
      <w:r w:rsidRPr="00C23758">
        <w:t xml:space="preserve"> using CFO option incentives instead.</w:t>
      </w:r>
    </w:p>
  </w:endnote>
  <w:endnote w:id="16">
    <w:p w14:paraId="257FEAF2" w14:textId="58B13F84" w:rsidR="00562699" w:rsidRPr="00FB270C" w:rsidRDefault="00562699" w:rsidP="00382C3A">
      <w:pPr>
        <w:pStyle w:val="EndnoteText"/>
        <w:spacing w:line="240" w:lineRule="auto"/>
      </w:pPr>
      <w:r>
        <w:rPr>
          <w:rStyle w:val="EndnoteReference"/>
        </w:rPr>
        <w:endnoteRef/>
      </w:r>
      <w:r>
        <w:t xml:space="preserve"> Our investigation of</w:t>
      </w:r>
      <w:r w:rsidRPr="00BB2C1A">
        <w:t xml:space="preserve"> </w:t>
      </w:r>
      <w:r>
        <w:t xml:space="preserve">managers’ </w:t>
      </w:r>
      <w:r w:rsidRPr="00BB2C1A">
        <w:t xml:space="preserve">ethical reporting behavior </w:t>
      </w:r>
      <w:r>
        <w:t xml:space="preserve">is based </w:t>
      </w:r>
      <w:r w:rsidRPr="00BB2C1A">
        <w:t xml:space="preserve">on a large sample of conference call transcripts. </w:t>
      </w:r>
      <w:r>
        <w:t>The closest previous</w:t>
      </w:r>
      <w:r w:rsidRPr="006E5E11">
        <w:t xml:space="preserve"> study that explicitly investigates ethical reporting in the context of conference calls</w:t>
      </w:r>
      <w:r>
        <w:t xml:space="preserve"> is by</w:t>
      </w:r>
      <w:r w:rsidRPr="006E5E11">
        <w:t xml:space="preserve"> Camiciottoli (2011)</w:t>
      </w:r>
      <w:r>
        <w:t xml:space="preserve">, who </w:t>
      </w:r>
      <w:r w:rsidRPr="006E5E11">
        <w:t>analyzes 10 call transcripts to examine the strategic usage of ethics-related language</w:t>
      </w:r>
      <w:r>
        <w:t xml:space="preserve"> and</w:t>
      </w:r>
      <w:r w:rsidRPr="006E5E11">
        <w:t xml:space="preserve"> finds that managers use conference call disclosure</w:t>
      </w:r>
      <w:r>
        <w:t>s</w:t>
      </w:r>
      <w:r w:rsidRPr="006E5E11">
        <w:t xml:space="preserve"> to convey a message o</w:t>
      </w:r>
      <w:r>
        <w:t>f</w:t>
      </w:r>
      <w:r w:rsidRPr="006E5E11">
        <w:t xml:space="preserve"> trustworthiness and confidence.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13DE7" w14:textId="77777777" w:rsidR="00562699" w:rsidRDefault="00562699" w:rsidP="00694B6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C4072D4" w14:textId="77777777" w:rsidR="00562699" w:rsidRDefault="00562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1E318" w14:textId="00BAD780" w:rsidR="00562699" w:rsidRPr="00694B66" w:rsidRDefault="00562699" w:rsidP="00694B66">
    <w:pPr>
      <w:pStyle w:val="NoIndentNormal"/>
      <w:jc w:val="center"/>
      <w:rPr>
        <w:sz w:val="20"/>
        <w:szCs w:val="20"/>
      </w:rPr>
    </w:pPr>
    <w:r w:rsidRPr="00694B66">
      <w:rPr>
        <w:rStyle w:val="PageNumber"/>
        <w:sz w:val="20"/>
        <w:szCs w:val="20"/>
      </w:rPr>
      <w:fldChar w:fldCharType="begin"/>
    </w:r>
    <w:r w:rsidRPr="00694B66">
      <w:rPr>
        <w:rStyle w:val="PageNumber"/>
        <w:sz w:val="20"/>
        <w:szCs w:val="20"/>
      </w:rPr>
      <w:instrText xml:space="preserve">PAGE  </w:instrText>
    </w:r>
    <w:r w:rsidRPr="00694B66">
      <w:rPr>
        <w:rStyle w:val="PageNumber"/>
        <w:sz w:val="20"/>
        <w:szCs w:val="20"/>
      </w:rPr>
      <w:fldChar w:fldCharType="separate"/>
    </w:r>
    <w:r w:rsidR="004D2479">
      <w:rPr>
        <w:rStyle w:val="PageNumber"/>
        <w:noProof/>
        <w:sz w:val="20"/>
        <w:szCs w:val="20"/>
      </w:rPr>
      <w:t>1</w:t>
    </w:r>
    <w:r w:rsidRPr="00694B66">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37A48" w14:textId="77777777" w:rsidR="0012369B" w:rsidRDefault="0012369B" w:rsidP="00694B6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876EC41" w14:textId="77777777" w:rsidR="0012369B" w:rsidRDefault="001236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298727"/>
      <w:docPartObj>
        <w:docPartGallery w:val="Page Numbers (Bottom of Page)"/>
        <w:docPartUnique/>
      </w:docPartObj>
    </w:sdtPr>
    <w:sdtEndPr>
      <w:rPr>
        <w:noProof/>
      </w:rPr>
    </w:sdtEndPr>
    <w:sdtContent>
      <w:p w14:paraId="091B873A" w14:textId="0ED3E6C6" w:rsidR="0012369B" w:rsidRPr="003E49E8" w:rsidRDefault="0012369B" w:rsidP="003E49E8">
        <w:pPr>
          <w:pStyle w:val="Footer"/>
          <w:jc w:val="center"/>
        </w:pPr>
        <w:r w:rsidRPr="00694B66">
          <w:rPr>
            <w:sz w:val="20"/>
            <w:szCs w:val="20"/>
          </w:rPr>
          <w:fldChar w:fldCharType="begin"/>
        </w:r>
        <w:r w:rsidRPr="00694B66">
          <w:rPr>
            <w:sz w:val="20"/>
            <w:szCs w:val="20"/>
          </w:rPr>
          <w:instrText xml:space="preserve"> PAGE   \* MERGEFORMAT </w:instrText>
        </w:r>
        <w:r w:rsidRPr="00694B66">
          <w:rPr>
            <w:sz w:val="20"/>
            <w:szCs w:val="20"/>
          </w:rPr>
          <w:fldChar w:fldCharType="separate"/>
        </w:r>
        <w:r w:rsidR="004D2479">
          <w:rPr>
            <w:noProof/>
            <w:sz w:val="20"/>
            <w:szCs w:val="20"/>
          </w:rPr>
          <w:t>24</w:t>
        </w:r>
        <w:r w:rsidRPr="00694B66">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A1F70" w14:textId="77777777" w:rsidR="008D48AD" w:rsidRDefault="008D48AD" w:rsidP="002B325C">
      <w:r>
        <w:separator/>
      </w:r>
    </w:p>
  </w:footnote>
  <w:footnote w:type="continuationSeparator" w:id="0">
    <w:p w14:paraId="03F1874A" w14:textId="77777777" w:rsidR="008D48AD" w:rsidRDefault="008D48AD" w:rsidP="00473725">
      <w:r>
        <w:continuationSeparator/>
      </w:r>
    </w:p>
    <w:p w14:paraId="63DFD2F6" w14:textId="77777777" w:rsidR="008D48AD" w:rsidRDefault="008D48AD" w:rsidP="00473725"/>
    <w:p w14:paraId="1CAD003C" w14:textId="77777777" w:rsidR="008D48AD" w:rsidRDefault="008D48AD" w:rsidP="003E49E8"/>
  </w:footnote>
  <w:footnote w:id="1">
    <w:p w14:paraId="784331A6" w14:textId="77777777" w:rsidR="0019783B" w:rsidRDefault="0019783B" w:rsidP="0019783B">
      <w:pPr>
        <w:pStyle w:val="FootnoteText"/>
        <w:spacing w:line="240" w:lineRule="auto"/>
      </w:pPr>
      <w:r>
        <w:rPr>
          <w:rStyle w:val="FootnoteReference"/>
        </w:rPr>
        <w:footnoteRef/>
      </w:r>
      <w:r>
        <w:t xml:space="preserve"> </w:t>
      </w:r>
      <w:r w:rsidRPr="00EE1D93">
        <w:t xml:space="preserve">We would like to thank </w:t>
      </w:r>
      <w:r>
        <w:rPr>
          <w:rFonts w:hint="eastAsia"/>
        </w:rPr>
        <w:t>Charlie X. Cai</w:t>
      </w:r>
      <w:r>
        <w:rPr>
          <w:rFonts w:ascii="SimSun" w:hAnsi="SimSun" w:hint="eastAsia"/>
        </w:rPr>
        <w:t>,</w:t>
      </w:r>
      <w:r>
        <w:rPr>
          <w:rFonts w:hint="eastAsia"/>
        </w:rPr>
        <w:t xml:space="preserve"> </w:t>
      </w:r>
      <w:r w:rsidRPr="00472C69">
        <w:t>Marc Goergen</w:t>
      </w:r>
      <w:r>
        <w:t>,</w:t>
      </w:r>
      <w:r>
        <w:rPr>
          <w:rFonts w:hint="eastAsia"/>
        </w:rPr>
        <w:t xml:space="preserve"> Kalin Kolev, </w:t>
      </w:r>
      <w:r>
        <w:t xml:space="preserve">Bill Mayew, </w:t>
      </w:r>
      <w:r>
        <w:rPr>
          <w:rFonts w:hint="eastAsia"/>
        </w:rPr>
        <w:t>Ken Peasnell</w:t>
      </w:r>
      <w:r>
        <w:t xml:space="preserve">, </w:t>
      </w:r>
      <w:r>
        <w:rPr>
          <w:rFonts w:hint="eastAsia"/>
        </w:rPr>
        <w:t xml:space="preserve">Geoffrey Wood, </w:t>
      </w:r>
      <w:r>
        <w:t xml:space="preserve">Steven Young, and participants at </w:t>
      </w:r>
      <w:r>
        <w:rPr>
          <w:rFonts w:hint="eastAsia"/>
        </w:rPr>
        <w:t xml:space="preserve">the </w:t>
      </w:r>
      <w:r>
        <w:t xml:space="preserve">Brown Bag Seminar at </w:t>
      </w:r>
      <w:r>
        <w:rPr>
          <w:rFonts w:hint="eastAsia"/>
        </w:rPr>
        <w:t xml:space="preserve">Essex Business School, European </w:t>
      </w:r>
      <w:r>
        <w:t xml:space="preserve">Accounting Association 2018 Annual </w:t>
      </w:r>
      <w:r w:rsidRPr="00DE210B">
        <w:t>Congress</w:t>
      </w:r>
      <w:r>
        <w:t>,</w:t>
      </w:r>
      <w:r w:rsidRPr="00DE210B">
        <w:t xml:space="preserve"> </w:t>
      </w:r>
      <w:r>
        <w:t>and European Financial Management Association 2018 Annual Meeting</w:t>
      </w:r>
      <w:r>
        <w:rPr>
          <w:rFonts w:hint="eastAsia"/>
        </w:rPr>
        <w:t xml:space="preserve"> </w:t>
      </w:r>
      <w:r w:rsidRPr="00EE1D93">
        <w:t>for helpful comments.</w:t>
      </w:r>
      <w:r>
        <w:t xml:space="preserve"> </w:t>
      </w:r>
      <w:r w:rsidRPr="00242758">
        <w:t xml:space="preserve">The previous version of this paper </w:t>
      </w:r>
      <w:r>
        <w:t xml:space="preserve">was </w:t>
      </w:r>
      <w:r w:rsidRPr="00242758">
        <w:t>circulated under the title “The Crash Alarm is Ringing: The Predictability of Earnings Conference Call Tone for Price Crash Risk”.</w:t>
      </w:r>
    </w:p>
    <w:p w14:paraId="44D49B26" w14:textId="77777777" w:rsidR="0019783B" w:rsidRDefault="0019783B" w:rsidP="0019783B">
      <w:pPr>
        <w:pStyle w:val="FootnoteText"/>
        <w:spacing w:line="240" w:lineRule="auto"/>
      </w:pPr>
    </w:p>
    <w:p w14:paraId="2B50E5BC" w14:textId="77777777" w:rsidR="0019783B" w:rsidRDefault="0019783B" w:rsidP="0019783B">
      <w:pPr>
        <w:pStyle w:val="FootnoteText"/>
        <w:spacing w:line="240" w:lineRule="auto"/>
      </w:pPr>
      <w:r>
        <w:t xml:space="preserve">Conflict of Interest: Xi Fu declares that </w:t>
      </w:r>
      <w:r w:rsidRPr="002A5976">
        <w:t xml:space="preserve">she has no conflict of interest. </w:t>
      </w:r>
      <w:r>
        <w:t>Xiaoxi Wu</w:t>
      </w:r>
      <w:r w:rsidRPr="002A5976">
        <w:t xml:space="preserve"> declares that she has no conflict of interest.</w:t>
      </w:r>
      <w:r>
        <w:t xml:space="preserve"> Zhifang Zhang</w:t>
      </w:r>
      <w:r w:rsidRPr="002A5976">
        <w:t xml:space="preserve"> </w:t>
      </w:r>
      <w:r>
        <w:t xml:space="preserve">declares that </w:t>
      </w:r>
      <w:r w:rsidRPr="002A5976">
        <w:t>she has no conflict of interest.</w:t>
      </w:r>
    </w:p>
    <w:p w14:paraId="598A2A79" w14:textId="77777777" w:rsidR="0019783B" w:rsidRPr="002A5976" w:rsidRDefault="0019783B" w:rsidP="0019783B">
      <w:pPr>
        <w:pStyle w:val="FootnoteText"/>
        <w:spacing w:line="240" w:lineRule="auto"/>
      </w:pPr>
    </w:p>
  </w:footnote>
  <w:footnote w:id="2">
    <w:p w14:paraId="248C413F" w14:textId="77777777" w:rsidR="0019783B" w:rsidRPr="008E7321" w:rsidRDefault="0019783B" w:rsidP="0019783B">
      <w:pPr>
        <w:pStyle w:val="FootnoteText"/>
        <w:spacing w:line="240" w:lineRule="auto"/>
      </w:pPr>
      <w:r w:rsidRPr="008E7321">
        <w:rPr>
          <w:rStyle w:val="FootnoteReference"/>
        </w:rPr>
        <w:footnoteRef/>
      </w:r>
      <w:r w:rsidRPr="008E7321">
        <w:t xml:space="preserve"> Corresponding author. University of Liverpool</w:t>
      </w:r>
      <w:r>
        <w:t xml:space="preserve"> M</w:t>
      </w:r>
      <w:r>
        <w:rPr>
          <w:rFonts w:hint="eastAsia"/>
        </w:rPr>
        <w:t>anagement</w:t>
      </w:r>
      <w:r>
        <w:t xml:space="preserve"> School, University of Liverpool</w:t>
      </w:r>
      <w:r w:rsidRPr="008E7321">
        <w:t xml:space="preserve">, Chatham Street, Liverpool L69 7ZH, United Kingdom. Email: </w:t>
      </w:r>
      <w:hyperlink r:id="rId1" w:history="1">
        <w:r w:rsidRPr="008E7321">
          <w:rPr>
            <w:rStyle w:val="Hyperlink"/>
          </w:rPr>
          <w:t>Xi.Fu@liverpool.ac.uk</w:t>
        </w:r>
      </w:hyperlink>
      <w:r w:rsidRPr="008E7321">
        <w:t>.</w:t>
      </w:r>
      <w:r>
        <w:t xml:space="preserve"> T</w:t>
      </w:r>
      <w:r>
        <w:rPr>
          <w:rFonts w:hint="eastAsia"/>
        </w:rPr>
        <w:t>el</w:t>
      </w:r>
      <w:r>
        <w:t>: +</w:t>
      </w:r>
      <w:r w:rsidRPr="0038295E">
        <w:t>44(0)151</w:t>
      </w:r>
      <w:r>
        <w:t>794</w:t>
      </w:r>
      <w:r w:rsidRPr="0038295E">
        <w:t>9827</w:t>
      </w:r>
      <w:r>
        <w:t>.</w:t>
      </w:r>
    </w:p>
  </w:footnote>
  <w:footnote w:id="3">
    <w:p w14:paraId="33AFC6D5" w14:textId="77777777" w:rsidR="0019783B" w:rsidRPr="00867B60" w:rsidRDefault="0019783B" w:rsidP="0019783B">
      <w:pPr>
        <w:pStyle w:val="FootnoteText"/>
        <w:spacing w:line="240" w:lineRule="auto"/>
      </w:pPr>
      <w:r w:rsidRPr="002C326F">
        <w:rPr>
          <w:rStyle w:val="FootnoteReference"/>
        </w:rPr>
        <w:footnoteRef/>
      </w:r>
      <w:r w:rsidRPr="002C326F">
        <w:rPr>
          <w:lang w:val="en-GB"/>
        </w:rPr>
        <w:t xml:space="preserve"> Bocconi </w:t>
      </w:r>
      <w:r w:rsidRPr="002C326F">
        <w:t xml:space="preserve">University, </w:t>
      </w:r>
      <w:r w:rsidRPr="002C326F">
        <w:rPr>
          <w:lang w:val="en-GB"/>
        </w:rPr>
        <w:t>Via Röntgen 1, Milan 20136, Italy</w:t>
      </w:r>
      <w:r w:rsidRPr="002C326F">
        <w:t xml:space="preserve">. Email: </w:t>
      </w:r>
      <w:hyperlink r:id="rId2" w:history="1">
        <w:r w:rsidRPr="002C326F">
          <w:rPr>
            <w:rStyle w:val="Hyperlink"/>
            <w:lang w:val="en-GB"/>
          </w:rPr>
          <w:t>xiaoxi.wu@unibocconi.it</w:t>
        </w:r>
      </w:hyperlink>
      <w:r w:rsidRPr="002C326F">
        <w:t>.</w:t>
      </w:r>
    </w:p>
  </w:footnote>
  <w:footnote w:id="4">
    <w:p w14:paraId="796BB503" w14:textId="77777777" w:rsidR="0019783B" w:rsidRPr="00D66752" w:rsidRDefault="0019783B" w:rsidP="0019783B">
      <w:pPr>
        <w:pStyle w:val="FootnoteText"/>
        <w:spacing w:line="240" w:lineRule="auto"/>
      </w:pPr>
      <w:r w:rsidRPr="00D66752">
        <w:rPr>
          <w:rStyle w:val="FootnoteReference"/>
        </w:rPr>
        <w:footnoteRef/>
      </w:r>
      <w:r w:rsidRPr="00D66752">
        <w:rPr>
          <w:rStyle w:val="FootnoteReference"/>
        </w:rPr>
        <w:t xml:space="preserve"> Warwick Business School, University of Warwick, Scarman Road, Coventry CV4 7AL, United Kingdom</w:t>
      </w:r>
      <w:r>
        <w:rPr>
          <w:rStyle w:val="FootnoteReference"/>
        </w:rPr>
        <w:t>.</w:t>
      </w:r>
      <w:r w:rsidRPr="00D66752">
        <w:rPr>
          <w:rStyle w:val="FootnoteReference"/>
        </w:rPr>
        <w:t xml:space="preserve"> Email: </w:t>
      </w:r>
      <w:hyperlink r:id="rId3" w:history="1">
        <w:r w:rsidRPr="005C0DED">
          <w:rPr>
            <w:rStyle w:val="Hyperlink"/>
          </w:rPr>
          <w:t>Zhifang.Zhang@wbs.ac.uk</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02B92"/>
    <w:multiLevelType w:val="hybridMultilevel"/>
    <w:tmpl w:val="90DA9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D22CF0"/>
    <w:multiLevelType w:val="hybridMultilevel"/>
    <w:tmpl w:val="41302B84"/>
    <w:lvl w:ilvl="0" w:tplc="3724D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006913"/>
    <w:multiLevelType w:val="hybridMultilevel"/>
    <w:tmpl w:val="9E885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8D1DD8"/>
    <w:multiLevelType w:val="hybridMultilevel"/>
    <w:tmpl w:val="0A04A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13443C"/>
    <w:multiLevelType w:val="hybridMultilevel"/>
    <w:tmpl w:val="A55C48A6"/>
    <w:lvl w:ilvl="0" w:tplc="E6FAC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720"/>
  <w:characterSpacingControl w:val="doNotCompress"/>
  <w:hdrShapeDefaults>
    <o:shapedefaults v:ext="edit" spidmax="2049"/>
  </w:hdrShapeDefaults>
  <w:footnotePr>
    <w:numFmt w:val="chicago"/>
    <w:numRestart w:val="eachSect"/>
    <w:footnote w:id="-1"/>
    <w:footnote w:id="0"/>
  </w:footnotePr>
  <w:endnotePr>
    <w:pos w:val="sectEnd"/>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AA9"/>
    <w:rsid w:val="0000011B"/>
    <w:rsid w:val="0000217D"/>
    <w:rsid w:val="000022A3"/>
    <w:rsid w:val="000024B7"/>
    <w:rsid w:val="00002689"/>
    <w:rsid w:val="00003441"/>
    <w:rsid w:val="000039FF"/>
    <w:rsid w:val="00003C56"/>
    <w:rsid w:val="00003F42"/>
    <w:rsid w:val="00004389"/>
    <w:rsid w:val="00005A54"/>
    <w:rsid w:val="00005F51"/>
    <w:rsid w:val="00006435"/>
    <w:rsid w:val="000067E5"/>
    <w:rsid w:val="00006B43"/>
    <w:rsid w:val="00006D8E"/>
    <w:rsid w:val="0000734B"/>
    <w:rsid w:val="00007705"/>
    <w:rsid w:val="00007DCA"/>
    <w:rsid w:val="00007E7E"/>
    <w:rsid w:val="00010AD8"/>
    <w:rsid w:val="00010D2F"/>
    <w:rsid w:val="00011C82"/>
    <w:rsid w:val="000123F1"/>
    <w:rsid w:val="000134B3"/>
    <w:rsid w:val="0001454F"/>
    <w:rsid w:val="0001497A"/>
    <w:rsid w:val="00014DC6"/>
    <w:rsid w:val="00014ED6"/>
    <w:rsid w:val="0001554C"/>
    <w:rsid w:val="00016802"/>
    <w:rsid w:val="00016A20"/>
    <w:rsid w:val="00016DB0"/>
    <w:rsid w:val="0001751D"/>
    <w:rsid w:val="00017A86"/>
    <w:rsid w:val="00017AA3"/>
    <w:rsid w:val="00017BAF"/>
    <w:rsid w:val="00020341"/>
    <w:rsid w:val="00020F0B"/>
    <w:rsid w:val="00020F62"/>
    <w:rsid w:val="00020FF6"/>
    <w:rsid w:val="000210CE"/>
    <w:rsid w:val="00021A0F"/>
    <w:rsid w:val="00021C4E"/>
    <w:rsid w:val="00021C8E"/>
    <w:rsid w:val="00022035"/>
    <w:rsid w:val="000221B3"/>
    <w:rsid w:val="000222E4"/>
    <w:rsid w:val="00022543"/>
    <w:rsid w:val="0002266B"/>
    <w:rsid w:val="00022AE7"/>
    <w:rsid w:val="00022E8A"/>
    <w:rsid w:val="000231AE"/>
    <w:rsid w:val="00023628"/>
    <w:rsid w:val="00024710"/>
    <w:rsid w:val="00024D5F"/>
    <w:rsid w:val="00025194"/>
    <w:rsid w:val="000259D1"/>
    <w:rsid w:val="00025A6A"/>
    <w:rsid w:val="00025B48"/>
    <w:rsid w:val="00025F06"/>
    <w:rsid w:val="00026236"/>
    <w:rsid w:val="00026AC7"/>
    <w:rsid w:val="0002701E"/>
    <w:rsid w:val="00027056"/>
    <w:rsid w:val="00027515"/>
    <w:rsid w:val="0002768B"/>
    <w:rsid w:val="00027AD3"/>
    <w:rsid w:val="00030283"/>
    <w:rsid w:val="0003055A"/>
    <w:rsid w:val="00030CAF"/>
    <w:rsid w:val="00030FD5"/>
    <w:rsid w:val="00031230"/>
    <w:rsid w:val="000314AF"/>
    <w:rsid w:val="00031610"/>
    <w:rsid w:val="0003192B"/>
    <w:rsid w:val="00031993"/>
    <w:rsid w:val="000319A5"/>
    <w:rsid w:val="000319CF"/>
    <w:rsid w:val="00031AAF"/>
    <w:rsid w:val="00032792"/>
    <w:rsid w:val="000328BB"/>
    <w:rsid w:val="00033F4A"/>
    <w:rsid w:val="00033F77"/>
    <w:rsid w:val="00034014"/>
    <w:rsid w:val="00034AF4"/>
    <w:rsid w:val="0003533F"/>
    <w:rsid w:val="000359AB"/>
    <w:rsid w:val="00035A17"/>
    <w:rsid w:val="00035B39"/>
    <w:rsid w:val="00035D11"/>
    <w:rsid w:val="00035E3E"/>
    <w:rsid w:val="000360EC"/>
    <w:rsid w:val="00036646"/>
    <w:rsid w:val="00036A18"/>
    <w:rsid w:val="00036A77"/>
    <w:rsid w:val="00036B8E"/>
    <w:rsid w:val="00036E17"/>
    <w:rsid w:val="00036ED1"/>
    <w:rsid w:val="00037CC7"/>
    <w:rsid w:val="000403D7"/>
    <w:rsid w:val="00040A8C"/>
    <w:rsid w:val="00040DF2"/>
    <w:rsid w:val="00040EF7"/>
    <w:rsid w:val="00041415"/>
    <w:rsid w:val="0004147F"/>
    <w:rsid w:val="00041D7D"/>
    <w:rsid w:val="00041E4A"/>
    <w:rsid w:val="00042721"/>
    <w:rsid w:val="00042979"/>
    <w:rsid w:val="00042C1E"/>
    <w:rsid w:val="000438E8"/>
    <w:rsid w:val="00043A73"/>
    <w:rsid w:val="00043D85"/>
    <w:rsid w:val="0004414D"/>
    <w:rsid w:val="00045206"/>
    <w:rsid w:val="00046D3D"/>
    <w:rsid w:val="000472F2"/>
    <w:rsid w:val="000500EF"/>
    <w:rsid w:val="00050353"/>
    <w:rsid w:val="000508AB"/>
    <w:rsid w:val="00050C49"/>
    <w:rsid w:val="00050EE3"/>
    <w:rsid w:val="00050FF7"/>
    <w:rsid w:val="00052119"/>
    <w:rsid w:val="0005231B"/>
    <w:rsid w:val="0005259D"/>
    <w:rsid w:val="00052A7F"/>
    <w:rsid w:val="00052C93"/>
    <w:rsid w:val="00052E2D"/>
    <w:rsid w:val="00052E5D"/>
    <w:rsid w:val="00052ED8"/>
    <w:rsid w:val="00052EEB"/>
    <w:rsid w:val="00052F47"/>
    <w:rsid w:val="00053141"/>
    <w:rsid w:val="000531D4"/>
    <w:rsid w:val="0005341D"/>
    <w:rsid w:val="0005359C"/>
    <w:rsid w:val="0005360A"/>
    <w:rsid w:val="00053FD8"/>
    <w:rsid w:val="0005405C"/>
    <w:rsid w:val="0005425B"/>
    <w:rsid w:val="00054399"/>
    <w:rsid w:val="00054458"/>
    <w:rsid w:val="00054E91"/>
    <w:rsid w:val="0005526B"/>
    <w:rsid w:val="000553E7"/>
    <w:rsid w:val="00055739"/>
    <w:rsid w:val="00055A8D"/>
    <w:rsid w:val="00055AC6"/>
    <w:rsid w:val="000561EA"/>
    <w:rsid w:val="00056CC2"/>
    <w:rsid w:val="00057531"/>
    <w:rsid w:val="0005771B"/>
    <w:rsid w:val="00057B16"/>
    <w:rsid w:val="00057E02"/>
    <w:rsid w:val="000605BF"/>
    <w:rsid w:val="00060D21"/>
    <w:rsid w:val="00061823"/>
    <w:rsid w:val="000622E8"/>
    <w:rsid w:val="00062529"/>
    <w:rsid w:val="000627CA"/>
    <w:rsid w:val="00062B0F"/>
    <w:rsid w:val="0006443E"/>
    <w:rsid w:val="000649EC"/>
    <w:rsid w:val="00064CA8"/>
    <w:rsid w:val="00064EC2"/>
    <w:rsid w:val="0006542B"/>
    <w:rsid w:val="00066428"/>
    <w:rsid w:val="00066468"/>
    <w:rsid w:val="0006675E"/>
    <w:rsid w:val="000668C4"/>
    <w:rsid w:val="00066AB6"/>
    <w:rsid w:val="00067A76"/>
    <w:rsid w:val="00067DC1"/>
    <w:rsid w:val="00067DF0"/>
    <w:rsid w:val="000704F9"/>
    <w:rsid w:val="00070EF0"/>
    <w:rsid w:val="000713B3"/>
    <w:rsid w:val="00071D0B"/>
    <w:rsid w:val="00071E48"/>
    <w:rsid w:val="000729A8"/>
    <w:rsid w:val="00072D06"/>
    <w:rsid w:val="00072FB8"/>
    <w:rsid w:val="000735F3"/>
    <w:rsid w:val="000741A0"/>
    <w:rsid w:val="00074326"/>
    <w:rsid w:val="00074382"/>
    <w:rsid w:val="00074436"/>
    <w:rsid w:val="00074654"/>
    <w:rsid w:val="00074989"/>
    <w:rsid w:val="00074F02"/>
    <w:rsid w:val="00075426"/>
    <w:rsid w:val="00075509"/>
    <w:rsid w:val="00075766"/>
    <w:rsid w:val="00075A3B"/>
    <w:rsid w:val="0007632B"/>
    <w:rsid w:val="000768E8"/>
    <w:rsid w:val="00076A34"/>
    <w:rsid w:val="00076EC1"/>
    <w:rsid w:val="00077207"/>
    <w:rsid w:val="00077970"/>
    <w:rsid w:val="00080021"/>
    <w:rsid w:val="0008033C"/>
    <w:rsid w:val="00080861"/>
    <w:rsid w:val="00080B7F"/>
    <w:rsid w:val="00080E8E"/>
    <w:rsid w:val="00080F76"/>
    <w:rsid w:val="000812D4"/>
    <w:rsid w:val="000814E1"/>
    <w:rsid w:val="00081A01"/>
    <w:rsid w:val="00081D42"/>
    <w:rsid w:val="000820A7"/>
    <w:rsid w:val="000825CE"/>
    <w:rsid w:val="0008284B"/>
    <w:rsid w:val="0008295F"/>
    <w:rsid w:val="00084B03"/>
    <w:rsid w:val="00084BE0"/>
    <w:rsid w:val="000850C3"/>
    <w:rsid w:val="0008535B"/>
    <w:rsid w:val="000853AD"/>
    <w:rsid w:val="00085547"/>
    <w:rsid w:val="0008572B"/>
    <w:rsid w:val="00085DEF"/>
    <w:rsid w:val="00086304"/>
    <w:rsid w:val="000864C6"/>
    <w:rsid w:val="0008687A"/>
    <w:rsid w:val="000869A0"/>
    <w:rsid w:val="00087286"/>
    <w:rsid w:val="00087F71"/>
    <w:rsid w:val="00090686"/>
    <w:rsid w:val="000906DD"/>
    <w:rsid w:val="00090A51"/>
    <w:rsid w:val="00090EFD"/>
    <w:rsid w:val="00090FEC"/>
    <w:rsid w:val="00091051"/>
    <w:rsid w:val="000915EC"/>
    <w:rsid w:val="00091FBC"/>
    <w:rsid w:val="00092383"/>
    <w:rsid w:val="000923C1"/>
    <w:rsid w:val="00092BD4"/>
    <w:rsid w:val="000930B9"/>
    <w:rsid w:val="00093225"/>
    <w:rsid w:val="000933FA"/>
    <w:rsid w:val="000937F2"/>
    <w:rsid w:val="00093BDB"/>
    <w:rsid w:val="00093C33"/>
    <w:rsid w:val="00094608"/>
    <w:rsid w:val="00094CFE"/>
    <w:rsid w:val="00094FA0"/>
    <w:rsid w:val="00095500"/>
    <w:rsid w:val="000955DE"/>
    <w:rsid w:val="0009642E"/>
    <w:rsid w:val="000966A8"/>
    <w:rsid w:val="000967A3"/>
    <w:rsid w:val="00096DB6"/>
    <w:rsid w:val="00096F61"/>
    <w:rsid w:val="000A03D5"/>
    <w:rsid w:val="000A04EE"/>
    <w:rsid w:val="000A0557"/>
    <w:rsid w:val="000A0C2E"/>
    <w:rsid w:val="000A123C"/>
    <w:rsid w:val="000A1757"/>
    <w:rsid w:val="000A1CE1"/>
    <w:rsid w:val="000A1D33"/>
    <w:rsid w:val="000A32CB"/>
    <w:rsid w:val="000A3332"/>
    <w:rsid w:val="000A360E"/>
    <w:rsid w:val="000A3A03"/>
    <w:rsid w:val="000A3E7D"/>
    <w:rsid w:val="000A470D"/>
    <w:rsid w:val="000A4C67"/>
    <w:rsid w:val="000A5334"/>
    <w:rsid w:val="000A58CA"/>
    <w:rsid w:val="000A63ED"/>
    <w:rsid w:val="000A6D77"/>
    <w:rsid w:val="000A79CF"/>
    <w:rsid w:val="000A7B95"/>
    <w:rsid w:val="000B04A9"/>
    <w:rsid w:val="000B04CD"/>
    <w:rsid w:val="000B06B7"/>
    <w:rsid w:val="000B0EF9"/>
    <w:rsid w:val="000B1311"/>
    <w:rsid w:val="000B150E"/>
    <w:rsid w:val="000B18F1"/>
    <w:rsid w:val="000B1A80"/>
    <w:rsid w:val="000B1D38"/>
    <w:rsid w:val="000B1FEF"/>
    <w:rsid w:val="000B2266"/>
    <w:rsid w:val="000B2763"/>
    <w:rsid w:val="000B2BBC"/>
    <w:rsid w:val="000B3013"/>
    <w:rsid w:val="000B3202"/>
    <w:rsid w:val="000B38F9"/>
    <w:rsid w:val="000B39E5"/>
    <w:rsid w:val="000B3A11"/>
    <w:rsid w:val="000B4D7A"/>
    <w:rsid w:val="000B51D4"/>
    <w:rsid w:val="000B520D"/>
    <w:rsid w:val="000B5B67"/>
    <w:rsid w:val="000B5C5D"/>
    <w:rsid w:val="000B6134"/>
    <w:rsid w:val="000B62C8"/>
    <w:rsid w:val="000B68D9"/>
    <w:rsid w:val="000B6B88"/>
    <w:rsid w:val="000B6C0E"/>
    <w:rsid w:val="000B721D"/>
    <w:rsid w:val="000B7E62"/>
    <w:rsid w:val="000B7F0E"/>
    <w:rsid w:val="000C0134"/>
    <w:rsid w:val="000C01A9"/>
    <w:rsid w:val="000C13E9"/>
    <w:rsid w:val="000C1436"/>
    <w:rsid w:val="000C15AB"/>
    <w:rsid w:val="000C194E"/>
    <w:rsid w:val="000C1D1B"/>
    <w:rsid w:val="000C2AC0"/>
    <w:rsid w:val="000C3B68"/>
    <w:rsid w:val="000C3BE7"/>
    <w:rsid w:val="000C440D"/>
    <w:rsid w:val="000C4817"/>
    <w:rsid w:val="000C5343"/>
    <w:rsid w:val="000C5A2D"/>
    <w:rsid w:val="000C5BCE"/>
    <w:rsid w:val="000C5CBC"/>
    <w:rsid w:val="000C6234"/>
    <w:rsid w:val="000C6AC1"/>
    <w:rsid w:val="000C6E3A"/>
    <w:rsid w:val="000C7A46"/>
    <w:rsid w:val="000D0C4A"/>
    <w:rsid w:val="000D1059"/>
    <w:rsid w:val="000D15D1"/>
    <w:rsid w:val="000D1A67"/>
    <w:rsid w:val="000D1C23"/>
    <w:rsid w:val="000D2119"/>
    <w:rsid w:val="000D23EB"/>
    <w:rsid w:val="000D24FE"/>
    <w:rsid w:val="000D2706"/>
    <w:rsid w:val="000D29A0"/>
    <w:rsid w:val="000D36DA"/>
    <w:rsid w:val="000D3CEC"/>
    <w:rsid w:val="000D41CE"/>
    <w:rsid w:val="000D422B"/>
    <w:rsid w:val="000D4630"/>
    <w:rsid w:val="000D4963"/>
    <w:rsid w:val="000D4A71"/>
    <w:rsid w:val="000D4CBE"/>
    <w:rsid w:val="000D5032"/>
    <w:rsid w:val="000D514A"/>
    <w:rsid w:val="000D570B"/>
    <w:rsid w:val="000D5894"/>
    <w:rsid w:val="000D6439"/>
    <w:rsid w:val="000D66B6"/>
    <w:rsid w:val="000D70C5"/>
    <w:rsid w:val="000D73A5"/>
    <w:rsid w:val="000D755F"/>
    <w:rsid w:val="000D77BD"/>
    <w:rsid w:val="000D7D38"/>
    <w:rsid w:val="000E0B14"/>
    <w:rsid w:val="000E0CA1"/>
    <w:rsid w:val="000E0D05"/>
    <w:rsid w:val="000E123D"/>
    <w:rsid w:val="000E14AA"/>
    <w:rsid w:val="000E181F"/>
    <w:rsid w:val="000E1E51"/>
    <w:rsid w:val="000E23CC"/>
    <w:rsid w:val="000E2A08"/>
    <w:rsid w:val="000E2B7B"/>
    <w:rsid w:val="000E3215"/>
    <w:rsid w:val="000E3B33"/>
    <w:rsid w:val="000E3E40"/>
    <w:rsid w:val="000E432D"/>
    <w:rsid w:val="000E4462"/>
    <w:rsid w:val="000E4995"/>
    <w:rsid w:val="000E52D8"/>
    <w:rsid w:val="000E5848"/>
    <w:rsid w:val="000E5C77"/>
    <w:rsid w:val="000E658C"/>
    <w:rsid w:val="000E6B44"/>
    <w:rsid w:val="000E6B4E"/>
    <w:rsid w:val="000E6F49"/>
    <w:rsid w:val="000E7400"/>
    <w:rsid w:val="000E75EB"/>
    <w:rsid w:val="000E7780"/>
    <w:rsid w:val="000E7B40"/>
    <w:rsid w:val="000E7F61"/>
    <w:rsid w:val="000F0257"/>
    <w:rsid w:val="000F11E5"/>
    <w:rsid w:val="000F1434"/>
    <w:rsid w:val="000F18AA"/>
    <w:rsid w:val="000F20C5"/>
    <w:rsid w:val="000F2857"/>
    <w:rsid w:val="000F2B87"/>
    <w:rsid w:val="000F2E5B"/>
    <w:rsid w:val="000F301C"/>
    <w:rsid w:val="000F363B"/>
    <w:rsid w:val="000F3F44"/>
    <w:rsid w:val="000F4420"/>
    <w:rsid w:val="000F4620"/>
    <w:rsid w:val="000F478A"/>
    <w:rsid w:val="000F4A1A"/>
    <w:rsid w:val="000F5C23"/>
    <w:rsid w:val="000F66F8"/>
    <w:rsid w:val="000F692B"/>
    <w:rsid w:val="000F7287"/>
    <w:rsid w:val="000F756F"/>
    <w:rsid w:val="000F78A2"/>
    <w:rsid w:val="000F78B4"/>
    <w:rsid w:val="0010018A"/>
    <w:rsid w:val="0010054F"/>
    <w:rsid w:val="00100930"/>
    <w:rsid w:val="0010161B"/>
    <w:rsid w:val="00102141"/>
    <w:rsid w:val="00102A29"/>
    <w:rsid w:val="00103193"/>
    <w:rsid w:val="00103D96"/>
    <w:rsid w:val="00103EFF"/>
    <w:rsid w:val="00104E3D"/>
    <w:rsid w:val="00105307"/>
    <w:rsid w:val="00105DB5"/>
    <w:rsid w:val="00105EFD"/>
    <w:rsid w:val="0010607C"/>
    <w:rsid w:val="0010666C"/>
    <w:rsid w:val="001066A9"/>
    <w:rsid w:val="00106B0C"/>
    <w:rsid w:val="00107531"/>
    <w:rsid w:val="00107585"/>
    <w:rsid w:val="00107ADA"/>
    <w:rsid w:val="00107D3C"/>
    <w:rsid w:val="00107DBA"/>
    <w:rsid w:val="00110238"/>
    <w:rsid w:val="00111108"/>
    <w:rsid w:val="00111739"/>
    <w:rsid w:val="00111747"/>
    <w:rsid w:val="00111D4D"/>
    <w:rsid w:val="00111DCB"/>
    <w:rsid w:val="00111FEE"/>
    <w:rsid w:val="0011253F"/>
    <w:rsid w:val="00112A30"/>
    <w:rsid w:val="00112A41"/>
    <w:rsid w:val="00112B17"/>
    <w:rsid w:val="001130E0"/>
    <w:rsid w:val="00113282"/>
    <w:rsid w:val="001132FD"/>
    <w:rsid w:val="00113C05"/>
    <w:rsid w:val="00113F0E"/>
    <w:rsid w:val="001140F5"/>
    <w:rsid w:val="001143CB"/>
    <w:rsid w:val="00114BC3"/>
    <w:rsid w:val="00114D06"/>
    <w:rsid w:val="00114D88"/>
    <w:rsid w:val="0011536E"/>
    <w:rsid w:val="00115703"/>
    <w:rsid w:val="0011638D"/>
    <w:rsid w:val="00116515"/>
    <w:rsid w:val="00117762"/>
    <w:rsid w:val="0011792F"/>
    <w:rsid w:val="00117D75"/>
    <w:rsid w:val="00120146"/>
    <w:rsid w:val="001205D2"/>
    <w:rsid w:val="001207A0"/>
    <w:rsid w:val="00120995"/>
    <w:rsid w:val="00120CB6"/>
    <w:rsid w:val="00120D27"/>
    <w:rsid w:val="001215C4"/>
    <w:rsid w:val="00121C69"/>
    <w:rsid w:val="00121E89"/>
    <w:rsid w:val="0012239F"/>
    <w:rsid w:val="0012249E"/>
    <w:rsid w:val="001224D5"/>
    <w:rsid w:val="00122CBC"/>
    <w:rsid w:val="001234DD"/>
    <w:rsid w:val="0012369B"/>
    <w:rsid w:val="0012370F"/>
    <w:rsid w:val="00123839"/>
    <w:rsid w:val="00123A8F"/>
    <w:rsid w:val="00123DB1"/>
    <w:rsid w:val="00124472"/>
    <w:rsid w:val="00124AC0"/>
    <w:rsid w:val="00124D31"/>
    <w:rsid w:val="00124F6E"/>
    <w:rsid w:val="0012519E"/>
    <w:rsid w:val="001266B0"/>
    <w:rsid w:val="00126765"/>
    <w:rsid w:val="00126C8C"/>
    <w:rsid w:val="00126E75"/>
    <w:rsid w:val="001273A5"/>
    <w:rsid w:val="0012763B"/>
    <w:rsid w:val="00127BBB"/>
    <w:rsid w:val="00130563"/>
    <w:rsid w:val="001307C7"/>
    <w:rsid w:val="00130849"/>
    <w:rsid w:val="0013087B"/>
    <w:rsid w:val="001309B7"/>
    <w:rsid w:val="001311D8"/>
    <w:rsid w:val="00131709"/>
    <w:rsid w:val="00131741"/>
    <w:rsid w:val="00131E72"/>
    <w:rsid w:val="001327BA"/>
    <w:rsid w:val="00132B67"/>
    <w:rsid w:val="00132B81"/>
    <w:rsid w:val="00132D21"/>
    <w:rsid w:val="0013366A"/>
    <w:rsid w:val="00134370"/>
    <w:rsid w:val="0013443F"/>
    <w:rsid w:val="001346C6"/>
    <w:rsid w:val="0013486D"/>
    <w:rsid w:val="00134B87"/>
    <w:rsid w:val="0013539E"/>
    <w:rsid w:val="00135DFA"/>
    <w:rsid w:val="001362CD"/>
    <w:rsid w:val="0013658E"/>
    <w:rsid w:val="001366ED"/>
    <w:rsid w:val="00136BF7"/>
    <w:rsid w:val="00137210"/>
    <w:rsid w:val="00137717"/>
    <w:rsid w:val="00137BC0"/>
    <w:rsid w:val="001401C9"/>
    <w:rsid w:val="001401D5"/>
    <w:rsid w:val="00140464"/>
    <w:rsid w:val="001404A9"/>
    <w:rsid w:val="00140C79"/>
    <w:rsid w:val="001415D1"/>
    <w:rsid w:val="00141D05"/>
    <w:rsid w:val="00142146"/>
    <w:rsid w:val="0014265A"/>
    <w:rsid w:val="00142F80"/>
    <w:rsid w:val="00143EC6"/>
    <w:rsid w:val="00144357"/>
    <w:rsid w:val="00144D15"/>
    <w:rsid w:val="00144E32"/>
    <w:rsid w:val="00145354"/>
    <w:rsid w:val="00146085"/>
    <w:rsid w:val="00146466"/>
    <w:rsid w:val="001465ED"/>
    <w:rsid w:val="00146727"/>
    <w:rsid w:val="00146B99"/>
    <w:rsid w:val="00146FB4"/>
    <w:rsid w:val="001474FE"/>
    <w:rsid w:val="0014760F"/>
    <w:rsid w:val="00147B7C"/>
    <w:rsid w:val="00150A4C"/>
    <w:rsid w:val="00150F64"/>
    <w:rsid w:val="0015189B"/>
    <w:rsid w:val="00151A39"/>
    <w:rsid w:val="001521AE"/>
    <w:rsid w:val="001523E1"/>
    <w:rsid w:val="001525A4"/>
    <w:rsid w:val="00153282"/>
    <w:rsid w:val="00154616"/>
    <w:rsid w:val="001546CF"/>
    <w:rsid w:val="001548AF"/>
    <w:rsid w:val="00154E4D"/>
    <w:rsid w:val="001553E9"/>
    <w:rsid w:val="00155548"/>
    <w:rsid w:val="00155669"/>
    <w:rsid w:val="00156593"/>
    <w:rsid w:val="00156C75"/>
    <w:rsid w:val="00156D47"/>
    <w:rsid w:val="00156E0D"/>
    <w:rsid w:val="001578E0"/>
    <w:rsid w:val="0016035C"/>
    <w:rsid w:val="001609B4"/>
    <w:rsid w:val="00160AEE"/>
    <w:rsid w:val="0016102A"/>
    <w:rsid w:val="0016133E"/>
    <w:rsid w:val="001613B1"/>
    <w:rsid w:val="001616FA"/>
    <w:rsid w:val="00161BFE"/>
    <w:rsid w:val="0016358E"/>
    <w:rsid w:val="00163F4B"/>
    <w:rsid w:val="001640C4"/>
    <w:rsid w:val="00165B38"/>
    <w:rsid w:val="00165F1A"/>
    <w:rsid w:val="00166FB7"/>
    <w:rsid w:val="00167005"/>
    <w:rsid w:val="00167172"/>
    <w:rsid w:val="00167489"/>
    <w:rsid w:val="001704ED"/>
    <w:rsid w:val="0017067B"/>
    <w:rsid w:val="001707B2"/>
    <w:rsid w:val="00171099"/>
    <w:rsid w:val="0017205A"/>
    <w:rsid w:val="0017246B"/>
    <w:rsid w:val="0017258A"/>
    <w:rsid w:val="00172642"/>
    <w:rsid w:val="00172A29"/>
    <w:rsid w:val="00173025"/>
    <w:rsid w:val="001731DB"/>
    <w:rsid w:val="00173807"/>
    <w:rsid w:val="00173A29"/>
    <w:rsid w:val="0017477D"/>
    <w:rsid w:val="0017492B"/>
    <w:rsid w:val="00174EBD"/>
    <w:rsid w:val="001754AD"/>
    <w:rsid w:val="0017566E"/>
    <w:rsid w:val="00175C9B"/>
    <w:rsid w:val="00176328"/>
    <w:rsid w:val="001764F7"/>
    <w:rsid w:val="00176754"/>
    <w:rsid w:val="00176A64"/>
    <w:rsid w:val="001773FD"/>
    <w:rsid w:val="001775B9"/>
    <w:rsid w:val="00177C18"/>
    <w:rsid w:val="00177C40"/>
    <w:rsid w:val="00177E19"/>
    <w:rsid w:val="00177E6F"/>
    <w:rsid w:val="00180185"/>
    <w:rsid w:val="00181305"/>
    <w:rsid w:val="0018154D"/>
    <w:rsid w:val="0018266C"/>
    <w:rsid w:val="001828C8"/>
    <w:rsid w:val="001832B2"/>
    <w:rsid w:val="00183A26"/>
    <w:rsid w:val="00183ED2"/>
    <w:rsid w:val="00184499"/>
    <w:rsid w:val="001844C5"/>
    <w:rsid w:val="0018476A"/>
    <w:rsid w:val="00184883"/>
    <w:rsid w:val="00184C27"/>
    <w:rsid w:val="00184D57"/>
    <w:rsid w:val="00184D59"/>
    <w:rsid w:val="001850B4"/>
    <w:rsid w:val="00185306"/>
    <w:rsid w:val="001859EF"/>
    <w:rsid w:val="00185CFB"/>
    <w:rsid w:val="00186B0E"/>
    <w:rsid w:val="00187780"/>
    <w:rsid w:val="0019027D"/>
    <w:rsid w:val="0019038E"/>
    <w:rsid w:val="001907C6"/>
    <w:rsid w:val="001907F2"/>
    <w:rsid w:val="0019089E"/>
    <w:rsid w:val="00190C5E"/>
    <w:rsid w:val="00191040"/>
    <w:rsid w:val="0019124E"/>
    <w:rsid w:val="0019130B"/>
    <w:rsid w:val="00191595"/>
    <w:rsid w:val="0019189C"/>
    <w:rsid w:val="00191D5C"/>
    <w:rsid w:val="00192632"/>
    <w:rsid w:val="00192D33"/>
    <w:rsid w:val="001930B0"/>
    <w:rsid w:val="00193C4A"/>
    <w:rsid w:val="00194030"/>
    <w:rsid w:val="001947F7"/>
    <w:rsid w:val="00194C70"/>
    <w:rsid w:val="00194E14"/>
    <w:rsid w:val="00194E9B"/>
    <w:rsid w:val="0019518D"/>
    <w:rsid w:val="00195299"/>
    <w:rsid w:val="0019612B"/>
    <w:rsid w:val="001961BA"/>
    <w:rsid w:val="001965A5"/>
    <w:rsid w:val="001966E8"/>
    <w:rsid w:val="00196B5F"/>
    <w:rsid w:val="00196F05"/>
    <w:rsid w:val="0019783B"/>
    <w:rsid w:val="001978CF"/>
    <w:rsid w:val="001A09C8"/>
    <w:rsid w:val="001A0A00"/>
    <w:rsid w:val="001A1191"/>
    <w:rsid w:val="001A11BB"/>
    <w:rsid w:val="001A1231"/>
    <w:rsid w:val="001A1673"/>
    <w:rsid w:val="001A1C3D"/>
    <w:rsid w:val="001A259B"/>
    <w:rsid w:val="001A2A69"/>
    <w:rsid w:val="001A37A0"/>
    <w:rsid w:val="001A37E9"/>
    <w:rsid w:val="001A4233"/>
    <w:rsid w:val="001A4745"/>
    <w:rsid w:val="001A4F57"/>
    <w:rsid w:val="001A515C"/>
    <w:rsid w:val="001A588B"/>
    <w:rsid w:val="001A5DE1"/>
    <w:rsid w:val="001A7374"/>
    <w:rsid w:val="001A75AB"/>
    <w:rsid w:val="001A7954"/>
    <w:rsid w:val="001A7E97"/>
    <w:rsid w:val="001B0146"/>
    <w:rsid w:val="001B0AC5"/>
    <w:rsid w:val="001B10DF"/>
    <w:rsid w:val="001B1551"/>
    <w:rsid w:val="001B17D4"/>
    <w:rsid w:val="001B184A"/>
    <w:rsid w:val="001B1EC8"/>
    <w:rsid w:val="001B2207"/>
    <w:rsid w:val="001B221A"/>
    <w:rsid w:val="001B2558"/>
    <w:rsid w:val="001B269C"/>
    <w:rsid w:val="001B2949"/>
    <w:rsid w:val="001B2BA9"/>
    <w:rsid w:val="001B306E"/>
    <w:rsid w:val="001B4836"/>
    <w:rsid w:val="001B4BAE"/>
    <w:rsid w:val="001B506A"/>
    <w:rsid w:val="001B50E5"/>
    <w:rsid w:val="001B5207"/>
    <w:rsid w:val="001B559F"/>
    <w:rsid w:val="001B5B00"/>
    <w:rsid w:val="001B5C40"/>
    <w:rsid w:val="001B5CB6"/>
    <w:rsid w:val="001B6046"/>
    <w:rsid w:val="001B692A"/>
    <w:rsid w:val="001B6FD2"/>
    <w:rsid w:val="001B70CF"/>
    <w:rsid w:val="001B715E"/>
    <w:rsid w:val="001B76CE"/>
    <w:rsid w:val="001B7B24"/>
    <w:rsid w:val="001B7B35"/>
    <w:rsid w:val="001B7B53"/>
    <w:rsid w:val="001B7F3E"/>
    <w:rsid w:val="001B7FC4"/>
    <w:rsid w:val="001C017C"/>
    <w:rsid w:val="001C05B9"/>
    <w:rsid w:val="001C086F"/>
    <w:rsid w:val="001C0979"/>
    <w:rsid w:val="001C1D9D"/>
    <w:rsid w:val="001C214D"/>
    <w:rsid w:val="001C2171"/>
    <w:rsid w:val="001C2300"/>
    <w:rsid w:val="001C3D0A"/>
    <w:rsid w:val="001C42C7"/>
    <w:rsid w:val="001C4841"/>
    <w:rsid w:val="001C4AA2"/>
    <w:rsid w:val="001C4D21"/>
    <w:rsid w:val="001C5370"/>
    <w:rsid w:val="001C5387"/>
    <w:rsid w:val="001C538E"/>
    <w:rsid w:val="001C59A0"/>
    <w:rsid w:val="001C5C36"/>
    <w:rsid w:val="001C6087"/>
    <w:rsid w:val="001C60B1"/>
    <w:rsid w:val="001C6586"/>
    <w:rsid w:val="001C680D"/>
    <w:rsid w:val="001C6D91"/>
    <w:rsid w:val="001C7113"/>
    <w:rsid w:val="001C7339"/>
    <w:rsid w:val="001C76F1"/>
    <w:rsid w:val="001C7C67"/>
    <w:rsid w:val="001C7CEF"/>
    <w:rsid w:val="001C7D8F"/>
    <w:rsid w:val="001D0462"/>
    <w:rsid w:val="001D0742"/>
    <w:rsid w:val="001D14EB"/>
    <w:rsid w:val="001D1892"/>
    <w:rsid w:val="001D1920"/>
    <w:rsid w:val="001D1B12"/>
    <w:rsid w:val="001D1D53"/>
    <w:rsid w:val="001D278A"/>
    <w:rsid w:val="001D2E41"/>
    <w:rsid w:val="001D33A5"/>
    <w:rsid w:val="001D3539"/>
    <w:rsid w:val="001D368C"/>
    <w:rsid w:val="001D3708"/>
    <w:rsid w:val="001D3CCE"/>
    <w:rsid w:val="001D3E14"/>
    <w:rsid w:val="001D4AC7"/>
    <w:rsid w:val="001D4E1B"/>
    <w:rsid w:val="001D5468"/>
    <w:rsid w:val="001D580C"/>
    <w:rsid w:val="001D5E61"/>
    <w:rsid w:val="001D6068"/>
    <w:rsid w:val="001D617F"/>
    <w:rsid w:val="001D644C"/>
    <w:rsid w:val="001D6CCB"/>
    <w:rsid w:val="001D708A"/>
    <w:rsid w:val="001D741D"/>
    <w:rsid w:val="001D75A9"/>
    <w:rsid w:val="001E01B3"/>
    <w:rsid w:val="001E0600"/>
    <w:rsid w:val="001E171E"/>
    <w:rsid w:val="001E17D6"/>
    <w:rsid w:val="001E1AB2"/>
    <w:rsid w:val="001E1B66"/>
    <w:rsid w:val="001E22B7"/>
    <w:rsid w:val="001E22DD"/>
    <w:rsid w:val="001E3814"/>
    <w:rsid w:val="001E3B1D"/>
    <w:rsid w:val="001E4016"/>
    <w:rsid w:val="001E40B4"/>
    <w:rsid w:val="001E44EE"/>
    <w:rsid w:val="001E49A5"/>
    <w:rsid w:val="001E4BF8"/>
    <w:rsid w:val="001E4D47"/>
    <w:rsid w:val="001E4FB4"/>
    <w:rsid w:val="001E5343"/>
    <w:rsid w:val="001E5519"/>
    <w:rsid w:val="001E55E9"/>
    <w:rsid w:val="001E5E5D"/>
    <w:rsid w:val="001E6149"/>
    <w:rsid w:val="001E647E"/>
    <w:rsid w:val="001E6975"/>
    <w:rsid w:val="001E71AF"/>
    <w:rsid w:val="001E7A78"/>
    <w:rsid w:val="001E7AA6"/>
    <w:rsid w:val="001F0450"/>
    <w:rsid w:val="001F0989"/>
    <w:rsid w:val="001F0F70"/>
    <w:rsid w:val="001F1268"/>
    <w:rsid w:val="001F145D"/>
    <w:rsid w:val="001F2637"/>
    <w:rsid w:val="001F39E6"/>
    <w:rsid w:val="001F3D33"/>
    <w:rsid w:val="001F43A2"/>
    <w:rsid w:val="001F4853"/>
    <w:rsid w:val="001F4E99"/>
    <w:rsid w:val="001F5517"/>
    <w:rsid w:val="001F56E5"/>
    <w:rsid w:val="001F58FA"/>
    <w:rsid w:val="001F5A58"/>
    <w:rsid w:val="001F61FF"/>
    <w:rsid w:val="001F6521"/>
    <w:rsid w:val="001F66FE"/>
    <w:rsid w:val="001F68D7"/>
    <w:rsid w:val="001F69D9"/>
    <w:rsid w:val="001F70CC"/>
    <w:rsid w:val="001F7263"/>
    <w:rsid w:val="001F7409"/>
    <w:rsid w:val="001F76F5"/>
    <w:rsid w:val="001F7819"/>
    <w:rsid w:val="001F794D"/>
    <w:rsid w:val="001F7CF0"/>
    <w:rsid w:val="00200D2E"/>
    <w:rsid w:val="00200D33"/>
    <w:rsid w:val="00201427"/>
    <w:rsid w:val="00201A2E"/>
    <w:rsid w:val="00202020"/>
    <w:rsid w:val="0020267B"/>
    <w:rsid w:val="002034EE"/>
    <w:rsid w:val="0020381F"/>
    <w:rsid w:val="002038D3"/>
    <w:rsid w:val="00203DD5"/>
    <w:rsid w:val="00203F49"/>
    <w:rsid w:val="002044C3"/>
    <w:rsid w:val="00204C40"/>
    <w:rsid w:val="0020501D"/>
    <w:rsid w:val="00205169"/>
    <w:rsid w:val="00205FD1"/>
    <w:rsid w:val="00206FAA"/>
    <w:rsid w:val="0020722C"/>
    <w:rsid w:val="0020732F"/>
    <w:rsid w:val="00207423"/>
    <w:rsid w:val="00210123"/>
    <w:rsid w:val="00210344"/>
    <w:rsid w:val="0021052F"/>
    <w:rsid w:val="0021057B"/>
    <w:rsid w:val="0021068C"/>
    <w:rsid w:val="00210A28"/>
    <w:rsid w:val="00210DA5"/>
    <w:rsid w:val="002113EF"/>
    <w:rsid w:val="002114B9"/>
    <w:rsid w:val="00211814"/>
    <w:rsid w:val="00211F6C"/>
    <w:rsid w:val="0021253B"/>
    <w:rsid w:val="00212A86"/>
    <w:rsid w:val="00213910"/>
    <w:rsid w:val="00213FB7"/>
    <w:rsid w:val="00214051"/>
    <w:rsid w:val="00214129"/>
    <w:rsid w:val="00214246"/>
    <w:rsid w:val="00214256"/>
    <w:rsid w:val="00214A68"/>
    <w:rsid w:val="00214F31"/>
    <w:rsid w:val="002152C8"/>
    <w:rsid w:val="002153CA"/>
    <w:rsid w:val="00215889"/>
    <w:rsid w:val="00215B98"/>
    <w:rsid w:val="002165E9"/>
    <w:rsid w:val="002176C8"/>
    <w:rsid w:val="00217C34"/>
    <w:rsid w:val="002200FC"/>
    <w:rsid w:val="00220557"/>
    <w:rsid w:val="00220726"/>
    <w:rsid w:val="00220982"/>
    <w:rsid w:val="002209B5"/>
    <w:rsid w:val="00221298"/>
    <w:rsid w:val="002223FA"/>
    <w:rsid w:val="0022254D"/>
    <w:rsid w:val="00222832"/>
    <w:rsid w:val="002233B6"/>
    <w:rsid w:val="002236D2"/>
    <w:rsid w:val="00223885"/>
    <w:rsid w:val="0022393E"/>
    <w:rsid w:val="00223B3F"/>
    <w:rsid w:val="00223D08"/>
    <w:rsid w:val="00224234"/>
    <w:rsid w:val="0022481B"/>
    <w:rsid w:val="00224D50"/>
    <w:rsid w:val="00224E0C"/>
    <w:rsid w:val="0022531F"/>
    <w:rsid w:val="002253E2"/>
    <w:rsid w:val="00225518"/>
    <w:rsid w:val="002255CE"/>
    <w:rsid w:val="002261DA"/>
    <w:rsid w:val="002265CC"/>
    <w:rsid w:val="002265F2"/>
    <w:rsid w:val="002268CE"/>
    <w:rsid w:val="00226BB6"/>
    <w:rsid w:val="002273AA"/>
    <w:rsid w:val="00230C57"/>
    <w:rsid w:val="00230D74"/>
    <w:rsid w:val="00230DE6"/>
    <w:rsid w:val="00230F29"/>
    <w:rsid w:val="002315FF"/>
    <w:rsid w:val="00231600"/>
    <w:rsid w:val="0023197F"/>
    <w:rsid w:val="00231B2F"/>
    <w:rsid w:val="00231FB0"/>
    <w:rsid w:val="002326EC"/>
    <w:rsid w:val="002327D5"/>
    <w:rsid w:val="00232AE9"/>
    <w:rsid w:val="002332D0"/>
    <w:rsid w:val="00233348"/>
    <w:rsid w:val="00233754"/>
    <w:rsid w:val="002338D1"/>
    <w:rsid w:val="002346B8"/>
    <w:rsid w:val="002349FE"/>
    <w:rsid w:val="00234ACF"/>
    <w:rsid w:val="002350B1"/>
    <w:rsid w:val="00235299"/>
    <w:rsid w:val="002352C1"/>
    <w:rsid w:val="0023560C"/>
    <w:rsid w:val="002356F7"/>
    <w:rsid w:val="00237266"/>
    <w:rsid w:val="00237285"/>
    <w:rsid w:val="00237392"/>
    <w:rsid w:val="00237753"/>
    <w:rsid w:val="00237754"/>
    <w:rsid w:val="00237C48"/>
    <w:rsid w:val="00237E82"/>
    <w:rsid w:val="002401BF"/>
    <w:rsid w:val="0024033D"/>
    <w:rsid w:val="00240399"/>
    <w:rsid w:val="0024050B"/>
    <w:rsid w:val="002406F7"/>
    <w:rsid w:val="00240B81"/>
    <w:rsid w:val="00240F16"/>
    <w:rsid w:val="0024132D"/>
    <w:rsid w:val="002413CF"/>
    <w:rsid w:val="002417D3"/>
    <w:rsid w:val="00241F43"/>
    <w:rsid w:val="0024220E"/>
    <w:rsid w:val="00242652"/>
    <w:rsid w:val="002426DF"/>
    <w:rsid w:val="00242758"/>
    <w:rsid w:val="00242CE0"/>
    <w:rsid w:val="00242F75"/>
    <w:rsid w:val="00242FE8"/>
    <w:rsid w:val="00243153"/>
    <w:rsid w:val="002440E0"/>
    <w:rsid w:val="002441F9"/>
    <w:rsid w:val="00244279"/>
    <w:rsid w:val="00244816"/>
    <w:rsid w:val="00244A01"/>
    <w:rsid w:val="00245005"/>
    <w:rsid w:val="002453B1"/>
    <w:rsid w:val="0024556B"/>
    <w:rsid w:val="002458BF"/>
    <w:rsid w:val="002466D2"/>
    <w:rsid w:val="00247637"/>
    <w:rsid w:val="002477C0"/>
    <w:rsid w:val="00247D7B"/>
    <w:rsid w:val="0025032D"/>
    <w:rsid w:val="002504C8"/>
    <w:rsid w:val="002508A1"/>
    <w:rsid w:val="00250DA8"/>
    <w:rsid w:val="00251264"/>
    <w:rsid w:val="00251E0E"/>
    <w:rsid w:val="002539FE"/>
    <w:rsid w:val="00253AE4"/>
    <w:rsid w:val="00253C6D"/>
    <w:rsid w:val="00254214"/>
    <w:rsid w:val="002546DB"/>
    <w:rsid w:val="002548E4"/>
    <w:rsid w:val="00254D23"/>
    <w:rsid w:val="00255296"/>
    <w:rsid w:val="0025537A"/>
    <w:rsid w:val="00255E35"/>
    <w:rsid w:val="00255F36"/>
    <w:rsid w:val="002566FC"/>
    <w:rsid w:val="00257216"/>
    <w:rsid w:val="00257F42"/>
    <w:rsid w:val="00257F7F"/>
    <w:rsid w:val="002609D0"/>
    <w:rsid w:val="00260ABF"/>
    <w:rsid w:val="00260D90"/>
    <w:rsid w:val="00260DA5"/>
    <w:rsid w:val="00260DDF"/>
    <w:rsid w:val="002610C8"/>
    <w:rsid w:val="002614A7"/>
    <w:rsid w:val="002622AB"/>
    <w:rsid w:val="00262DF9"/>
    <w:rsid w:val="002631BB"/>
    <w:rsid w:val="002631F0"/>
    <w:rsid w:val="002634E2"/>
    <w:rsid w:val="002637F5"/>
    <w:rsid w:val="00263AD2"/>
    <w:rsid w:val="00264651"/>
    <w:rsid w:val="002647C2"/>
    <w:rsid w:val="002648E7"/>
    <w:rsid w:val="00264D4B"/>
    <w:rsid w:val="0026506A"/>
    <w:rsid w:val="002651C0"/>
    <w:rsid w:val="002651FA"/>
    <w:rsid w:val="00265372"/>
    <w:rsid w:val="00265BB7"/>
    <w:rsid w:val="00265E81"/>
    <w:rsid w:val="00265F94"/>
    <w:rsid w:val="00265FB7"/>
    <w:rsid w:val="0026679B"/>
    <w:rsid w:val="00266A54"/>
    <w:rsid w:val="00267223"/>
    <w:rsid w:val="00267BBA"/>
    <w:rsid w:val="00267F8E"/>
    <w:rsid w:val="002719BE"/>
    <w:rsid w:val="0027214F"/>
    <w:rsid w:val="00272E7E"/>
    <w:rsid w:val="00273198"/>
    <w:rsid w:val="00273567"/>
    <w:rsid w:val="00273641"/>
    <w:rsid w:val="002739A6"/>
    <w:rsid w:val="00273D8C"/>
    <w:rsid w:val="002743EF"/>
    <w:rsid w:val="0027458A"/>
    <w:rsid w:val="0027466A"/>
    <w:rsid w:val="0027630C"/>
    <w:rsid w:val="0027655F"/>
    <w:rsid w:val="002768C5"/>
    <w:rsid w:val="00276976"/>
    <w:rsid w:val="00276A80"/>
    <w:rsid w:val="00276B27"/>
    <w:rsid w:val="00276FA2"/>
    <w:rsid w:val="002771D4"/>
    <w:rsid w:val="002771F6"/>
    <w:rsid w:val="00277EAE"/>
    <w:rsid w:val="002801B3"/>
    <w:rsid w:val="002802CD"/>
    <w:rsid w:val="002802E9"/>
    <w:rsid w:val="00280595"/>
    <w:rsid w:val="0028077E"/>
    <w:rsid w:val="00280A8C"/>
    <w:rsid w:val="00281583"/>
    <w:rsid w:val="00281A5A"/>
    <w:rsid w:val="00281D92"/>
    <w:rsid w:val="0028312B"/>
    <w:rsid w:val="002832CF"/>
    <w:rsid w:val="00284002"/>
    <w:rsid w:val="00284112"/>
    <w:rsid w:val="0028419A"/>
    <w:rsid w:val="00284C7F"/>
    <w:rsid w:val="00285FC2"/>
    <w:rsid w:val="0028663D"/>
    <w:rsid w:val="002866B3"/>
    <w:rsid w:val="00286C89"/>
    <w:rsid w:val="00286EB3"/>
    <w:rsid w:val="002873C0"/>
    <w:rsid w:val="00287FBB"/>
    <w:rsid w:val="0029000C"/>
    <w:rsid w:val="00290AAE"/>
    <w:rsid w:val="00290D85"/>
    <w:rsid w:val="00291A55"/>
    <w:rsid w:val="00291A76"/>
    <w:rsid w:val="00291E34"/>
    <w:rsid w:val="00291EAB"/>
    <w:rsid w:val="00293884"/>
    <w:rsid w:val="00293D76"/>
    <w:rsid w:val="00293DC9"/>
    <w:rsid w:val="0029401B"/>
    <w:rsid w:val="0029475A"/>
    <w:rsid w:val="00294A8C"/>
    <w:rsid w:val="0029596A"/>
    <w:rsid w:val="00295C76"/>
    <w:rsid w:val="00295CA9"/>
    <w:rsid w:val="00295F0C"/>
    <w:rsid w:val="00296C97"/>
    <w:rsid w:val="00296E9E"/>
    <w:rsid w:val="00297949"/>
    <w:rsid w:val="00297A02"/>
    <w:rsid w:val="00297C12"/>
    <w:rsid w:val="00297CEB"/>
    <w:rsid w:val="002A1381"/>
    <w:rsid w:val="002A1841"/>
    <w:rsid w:val="002A1959"/>
    <w:rsid w:val="002A1CD8"/>
    <w:rsid w:val="002A24A4"/>
    <w:rsid w:val="002A3076"/>
    <w:rsid w:val="002A3159"/>
    <w:rsid w:val="002A4DD6"/>
    <w:rsid w:val="002A4E5A"/>
    <w:rsid w:val="002A57F1"/>
    <w:rsid w:val="002A5BB8"/>
    <w:rsid w:val="002A5F50"/>
    <w:rsid w:val="002A5FF5"/>
    <w:rsid w:val="002A6121"/>
    <w:rsid w:val="002A6709"/>
    <w:rsid w:val="002A6800"/>
    <w:rsid w:val="002A6B70"/>
    <w:rsid w:val="002A736B"/>
    <w:rsid w:val="002A7B97"/>
    <w:rsid w:val="002B0290"/>
    <w:rsid w:val="002B190F"/>
    <w:rsid w:val="002B21DA"/>
    <w:rsid w:val="002B2BB1"/>
    <w:rsid w:val="002B325C"/>
    <w:rsid w:val="002B331C"/>
    <w:rsid w:val="002B3698"/>
    <w:rsid w:val="002B38B6"/>
    <w:rsid w:val="002B38F9"/>
    <w:rsid w:val="002B3E69"/>
    <w:rsid w:val="002B4C1D"/>
    <w:rsid w:val="002B4C90"/>
    <w:rsid w:val="002B4E2A"/>
    <w:rsid w:val="002B5160"/>
    <w:rsid w:val="002B5785"/>
    <w:rsid w:val="002B5842"/>
    <w:rsid w:val="002B58F0"/>
    <w:rsid w:val="002B5A59"/>
    <w:rsid w:val="002B644E"/>
    <w:rsid w:val="002B6495"/>
    <w:rsid w:val="002B7F3D"/>
    <w:rsid w:val="002C0666"/>
    <w:rsid w:val="002C1227"/>
    <w:rsid w:val="002C1553"/>
    <w:rsid w:val="002C1EA9"/>
    <w:rsid w:val="002C243C"/>
    <w:rsid w:val="002C24E4"/>
    <w:rsid w:val="002C26A5"/>
    <w:rsid w:val="002C2911"/>
    <w:rsid w:val="002C37E5"/>
    <w:rsid w:val="002C38C0"/>
    <w:rsid w:val="002C3C49"/>
    <w:rsid w:val="002C481C"/>
    <w:rsid w:val="002C4BB6"/>
    <w:rsid w:val="002C4DCA"/>
    <w:rsid w:val="002C4F73"/>
    <w:rsid w:val="002C51C1"/>
    <w:rsid w:val="002C5A47"/>
    <w:rsid w:val="002C6139"/>
    <w:rsid w:val="002C70A5"/>
    <w:rsid w:val="002C7145"/>
    <w:rsid w:val="002C7198"/>
    <w:rsid w:val="002C7650"/>
    <w:rsid w:val="002C77BE"/>
    <w:rsid w:val="002C7F21"/>
    <w:rsid w:val="002D08AB"/>
    <w:rsid w:val="002D08C7"/>
    <w:rsid w:val="002D0CB8"/>
    <w:rsid w:val="002D0D82"/>
    <w:rsid w:val="002D0D91"/>
    <w:rsid w:val="002D0F4E"/>
    <w:rsid w:val="002D1060"/>
    <w:rsid w:val="002D1C16"/>
    <w:rsid w:val="002D1D7F"/>
    <w:rsid w:val="002D26D5"/>
    <w:rsid w:val="002D2A89"/>
    <w:rsid w:val="002D2E16"/>
    <w:rsid w:val="002D3265"/>
    <w:rsid w:val="002D36CB"/>
    <w:rsid w:val="002D3745"/>
    <w:rsid w:val="002D3A7B"/>
    <w:rsid w:val="002D3D73"/>
    <w:rsid w:val="002D46F4"/>
    <w:rsid w:val="002D484E"/>
    <w:rsid w:val="002D5056"/>
    <w:rsid w:val="002D5681"/>
    <w:rsid w:val="002D5BC9"/>
    <w:rsid w:val="002D64EC"/>
    <w:rsid w:val="002D68B7"/>
    <w:rsid w:val="002D6DFC"/>
    <w:rsid w:val="002D7490"/>
    <w:rsid w:val="002D789B"/>
    <w:rsid w:val="002E01D2"/>
    <w:rsid w:val="002E07AF"/>
    <w:rsid w:val="002E07D1"/>
    <w:rsid w:val="002E08A1"/>
    <w:rsid w:val="002E0D94"/>
    <w:rsid w:val="002E0F01"/>
    <w:rsid w:val="002E1173"/>
    <w:rsid w:val="002E1187"/>
    <w:rsid w:val="002E17A4"/>
    <w:rsid w:val="002E1C30"/>
    <w:rsid w:val="002E2710"/>
    <w:rsid w:val="002E2728"/>
    <w:rsid w:val="002E2842"/>
    <w:rsid w:val="002E3B00"/>
    <w:rsid w:val="002E48D7"/>
    <w:rsid w:val="002E4F7C"/>
    <w:rsid w:val="002E5A4D"/>
    <w:rsid w:val="002E61CF"/>
    <w:rsid w:val="002E64EB"/>
    <w:rsid w:val="002E6ADF"/>
    <w:rsid w:val="002E6D7B"/>
    <w:rsid w:val="002E6EAE"/>
    <w:rsid w:val="002E74EF"/>
    <w:rsid w:val="002E7AC8"/>
    <w:rsid w:val="002F0246"/>
    <w:rsid w:val="002F0262"/>
    <w:rsid w:val="002F055E"/>
    <w:rsid w:val="002F06A9"/>
    <w:rsid w:val="002F08F2"/>
    <w:rsid w:val="002F0A6F"/>
    <w:rsid w:val="002F1042"/>
    <w:rsid w:val="002F1124"/>
    <w:rsid w:val="002F20CF"/>
    <w:rsid w:val="002F21AD"/>
    <w:rsid w:val="002F22CC"/>
    <w:rsid w:val="002F2580"/>
    <w:rsid w:val="002F330F"/>
    <w:rsid w:val="002F35AD"/>
    <w:rsid w:val="002F38AE"/>
    <w:rsid w:val="002F3D2C"/>
    <w:rsid w:val="002F45EC"/>
    <w:rsid w:val="002F49D1"/>
    <w:rsid w:val="002F4F8E"/>
    <w:rsid w:val="002F5351"/>
    <w:rsid w:val="002F559E"/>
    <w:rsid w:val="002F6BBC"/>
    <w:rsid w:val="002F7DD9"/>
    <w:rsid w:val="002F7EFB"/>
    <w:rsid w:val="00300669"/>
    <w:rsid w:val="003006A8"/>
    <w:rsid w:val="003007D0"/>
    <w:rsid w:val="003007DD"/>
    <w:rsid w:val="00300DCB"/>
    <w:rsid w:val="003016BA"/>
    <w:rsid w:val="0030188E"/>
    <w:rsid w:val="00301ACA"/>
    <w:rsid w:val="00301F11"/>
    <w:rsid w:val="003021E2"/>
    <w:rsid w:val="0030257F"/>
    <w:rsid w:val="0030260A"/>
    <w:rsid w:val="00302874"/>
    <w:rsid w:val="00302CE5"/>
    <w:rsid w:val="00302F7A"/>
    <w:rsid w:val="0030307E"/>
    <w:rsid w:val="00303143"/>
    <w:rsid w:val="0030341D"/>
    <w:rsid w:val="003036F3"/>
    <w:rsid w:val="00304143"/>
    <w:rsid w:val="003042D0"/>
    <w:rsid w:val="003046C9"/>
    <w:rsid w:val="003049D2"/>
    <w:rsid w:val="00304C93"/>
    <w:rsid w:val="0030574C"/>
    <w:rsid w:val="003059EF"/>
    <w:rsid w:val="003062FC"/>
    <w:rsid w:val="00306513"/>
    <w:rsid w:val="00306AC9"/>
    <w:rsid w:val="00306F19"/>
    <w:rsid w:val="00306F97"/>
    <w:rsid w:val="003073A7"/>
    <w:rsid w:val="0030776E"/>
    <w:rsid w:val="00307ABA"/>
    <w:rsid w:val="00307EF1"/>
    <w:rsid w:val="00310653"/>
    <w:rsid w:val="00310C93"/>
    <w:rsid w:val="00310DB2"/>
    <w:rsid w:val="00310E5A"/>
    <w:rsid w:val="0031163D"/>
    <w:rsid w:val="00311A4D"/>
    <w:rsid w:val="00311CC5"/>
    <w:rsid w:val="00313155"/>
    <w:rsid w:val="00313494"/>
    <w:rsid w:val="00313615"/>
    <w:rsid w:val="0031362F"/>
    <w:rsid w:val="0031378F"/>
    <w:rsid w:val="0031466B"/>
    <w:rsid w:val="00314813"/>
    <w:rsid w:val="003151D8"/>
    <w:rsid w:val="003153ED"/>
    <w:rsid w:val="003158B7"/>
    <w:rsid w:val="00316220"/>
    <w:rsid w:val="00317C71"/>
    <w:rsid w:val="00317E26"/>
    <w:rsid w:val="0032015E"/>
    <w:rsid w:val="0032022D"/>
    <w:rsid w:val="0032034F"/>
    <w:rsid w:val="00320845"/>
    <w:rsid w:val="00320CCE"/>
    <w:rsid w:val="00320D70"/>
    <w:rsid w:val="00321324"/>
    <w:rsid w:val="00321E47"/>
    <w:rsid w:val="003220F4"/>
    <w:rsid w:val="0032257C"/>
    <w:rsid w:val="00323BB0"/>
    <w:rsid w:val="00323CDC"/>
    <w:rsid w:val="0032436E"/>
    <w:rsid w:val="003243E8"/>
    <w:rsid w:val="00324944"/>
    <w:rsid w:val="00324C45"/>
    <w:rsid w:val="00324C69"/>
    <w:rsid w:val="003250C4"/>
    <w:rsid w:val="00325123"/>
    <w:rsid w:val="0032535F"/>
    <w:rsid w:val="00325531"/>
    <w:rsid w:val="00325676"/>
    <w:rsid w:val="00325D74"/>
    <w:rsid w:val="003273DC"/>
    <w:rsid w:val="00327893"/>
    <w:rsid w:val="00327908"/>
    <w:rsid w:val="00327949"/>
    <w:rsid w:val="00327DEB"/>
    <w:rsid w:val="003304B7"/>
    <w:rsid w:val="00330874"/>
    <w:rsid w:val="00330BDB"/>
    <w:rsid w:val="0033109A"/>
    <w:rsid w:val="0033109D"/>
    <w:rsid w:val="0033144D"/>
    <w:rsid w:val="00331A41"/>
    <w:rsid w:val="00331AC7"/>
    <w:rsid w:val="00331CA0"/>
    <w:rsid w:val="00331F56"/>
    <w:rsid w:val="003322E0"/>
    <w:rsid w:val="0033306A"/>
    <w:rsid w:val="003331BA"/>
    <w:rsid w:val="003334D6"/>
    <w:rsid w:val="003336F0"/>
    <w:rsid w:val="003336F6"/>
    <w:rsid w:val="00333808"/>
    <w:rsid w:val="00333D07"/>
    <w:rsid w:val="00334437"/>
    <w:rsid w:val="003346AB"/>
    <w:rsid w:val="003348AA"/>
    <w:rsid w:val="003349E9"/>
    <w:rsid w:val="00334E37"/>
    <w:rsid w:val="00335675"/>
    <w:rsid w:val="003356A1"/>
    <w:rsid w:val="0033593A"/>
    <w:rsid w:val="00336CE5"/>
    <w:rsid w:val="00337075"/>
    <w:rsid w:val="00337277"/>
    <w:rsid w:val="00337592"/>
    <w:rsid w:val="003403C3"/>
    <w:rsid w:val="0034056E"/>
    <w:rsid w:val="003415CE"/>
    <w:rsid w:val="00342A34"/>
    <w:rsid w:val="00342B1E"/>
    <w:rsid w:val="00342D95"/>
    <w:rsid w:val="00343888"/>
    <w:rsid w:val="00343A96"/>
    <w:rsid w:val="003448EE"/>
    <w:rsid w:val="00344911"/>
    <w:rsid w:val="003450E5"/>
    <w:rsid w:val="003460EB"/>
    <w:rsid w:val="003467B6"/>
    <w:rsid w:val="00347758"/>
    <w:rsid w:val="00347B9C"/>
    <w:rsid w:val="00347D17"/>
    <w:rsid w:val="003505C4"/>
    <w:rsid w:val="003505C5"/>
    <w:rsid w:val="0035089C"/>
    <w:rsid w:val="0035112C"/>
    <w:rsid w:val="00351132"/>
    <w:rsid w:val="00351153"/>
    <w:rsid w:val="00351957"/>
    <w:rsid w:val="00351C0C"/>
    <w:rsid w:val="00351C6A"/>
    <w:rsid w:val="00351C7A"/>
    <w:rsid w:val="00351D4C"/>
    <w:rsid w:val="00352BCA"/>
    <w:rsid w:val="0035333C"/>
    <w:rsid w:val="00353385"/>
    <w:rsid w:val="00353AE5"/>
    <w:rsid w:val="00353B00"/>
    <w:rsid w:val="00355045"/>
    <w:rsid w:val="003557BD"/>
    <w:rsid w:val="0035585B"/>
    <w:rsid w:val="00355937"/>
    <w:rsid w:val="0035677C"/>
    <w:rsid w:val="003570E1"/>
    <w:rsid w:val="003578D1"/>
    <w:rsid w:val="0036060B"/>
    <w:rsid w:val="0036061B"/>
    <w:rsid w:val="00360823"/>
    <w:rsid w:val="00361322"/>
    <w:rsid w:val="00361EBF"/>
    <w:rsid w:val="00361F26"/>
    <w:rsid w:val="00361F29"/>
    <w:rsid w:val="003620E0"/>
    <w:rsid w:val="00362426"/>
    <w:rsid w:val="00362944"/>
    <w:rsid w:val="00362D8E"/>
    <w:rsid w:val="00362E5A"/>
    <w:rsid w:val="0036339D"/>
    <w:rsid w:val="00363643"/>
    <w:rsid w:val="00363B6A"/>
    <w:rsid w:val="00363BC7"/>
    <w:rsid w:val="0036427C"/>
    <w:rsid w:val="00364549"/>
    <w:rsid w:val="00364F91"/>
    <w:rsid w:val="00364FF8"/>
    <w:rsid w:val="003652E1"/>
    <w:rsid w:val="0036563C"/>
    <w:rsid w:val="0036566D"/>
    <w:rsid w:val="003660DD"/>
    <w:rsid w:val="00366395"/>
    <w:rsid w:val="003665A7"/>
    <w:rsid w:val="00366983"/>
    <w:rsid w:val="00366A23"/>
    <w:rsid w:val="00366A2B"/>
    <w:rsid w:val="00366C59"/>
    <w:rsid w:val="00366CC5"/>
    <w:rsid w:val="00366E32"/>
    <w:rsid w:val="00367E7A"/>
    <w:rsid w:val="0037017E"/>
    <w:rsid w:val="0037030F"/>
    <w:rsid w:val="00371222"/>
    <w:rsid w:val="003716E2"/>
    <w:rsid w:val="00371B0A"/>
    <w:rsid w:val="00371B4D"/>
    <w:rsid w:val="00371E7A"/>
    <w:rsid w:val="00371F71"/>
    <w:rsid w:val="00372F3A"/>
    <w:rsid w:val="00373790"/>
    <w:rsid w:val="003740EA"/>
    <w:rsid w:val="003742F0"/>
    <w:rsid w:val="00374C4D"/>
    <w:rsid w:val="00374FBE"/>
    <w:rsid w:val="003758CE"/>
    <w:rsid w:val="00375DC0"/>
    <w:rsid w:val="00376405"/>
    <w:rsid w:val="00376570"/>
    <w:rsid w:val="00377366"/>
    <w:rsid w:val="00377634"/>
    <w:rsid w:val="0037797E"/>
    <w:rsid w:val="0038021D"/>
    <w:rsid w:val="00380742"/>
    <w:rsid w:val="00380AD3"/>
    <w:rsid w:val="00380C63"/>
    <w:rsid w:val="00380DE3"/>
    <w:rsid w:val="003812A2"/>
    <w:rsid w:val="00382C3A"/>
    <w:rsid w:val="0038333C"/>
    <w:rsid w:val="003843F9"/>
    <w:rsid w:val="00384529"/>
    <w:rsid w:val="00384CF1"/>
    <w:rsid w:val="00385361"/>
    <w:rsid w:val="003858CE"/>
    <w:rsid w:val="003861F1"/>
    <w:rsid w:val="00386ED4"/>
    <w:rsid w:val="00387540"/>
    <w:rsid w:val="00387C98"/>
    <w:rsid w:val="003907CD"/>
    <w:rsid w:val="00390F99"/>
    <w:rsid w:val="003910DE"/>
    <w:rsid w:val="00391799"/>
    <w:rsid w:val="00391B1F"/>
    <w:rsid w:val="00391B4F"/>
    <w:rsid w:val="00392646"/>
    <w:rsid w:val="00392665"/>
    <w:rsid w:val="003929F2"/>
    <w:rsid w:val="003929F3"/>
    <w:rsid w:val="00392CF5"/>
    <w:rsid w:val="00392D7F"/>
    <w:rsid w:val="00392E18"/>
    <w:rsid w:val="003932A8"/>
    <w:rsid w:val="00393631"/>
    <w:rsid w:val="00393AA8"/>
    <w:rsid w:val="00393BBF"/>
    <w:rsid w:val="00394098"/>
    <w:rsid w:val="003949D0"/>
    <w:rsid w:val="00394A0D"/>
    <w:rsid w:val="00394BAF"/>
    <w:rsid w:val="0039556F"/>
    <w:rsid w:val="00396650"/>
    <w:rsid w:val="00396B73"/>
    <w:rsid w:val="00396C94"/>
    <w:rsid w:val="0039714F"/>
    <w:rsid w:val="0039787E"/>
    <w:rsid w:val="003A1156"/>
    <w:rsid w:val="003A132A"/>
    <w:rsid w:val="003A1425"/>
    <w:rsid w:val="003A17EF"/>
    <w:rsid w:val="003A1878"/>
    <w:rsid w:val="003A2170"/>
    <w:rsid w:val="003A2268"/>
    <w:rsid w:val="003A2AB3"/>
    <w:rsid w:val="003A2FD2"/>
    <w:rsid w:val="003A3210"/>
    <w:rsid w:val="003A3A4B"/>
    <w:rsid w:val="003A3F60"/>
    <w:rsid w:val="003A4118"/>
    <w:rsid w:val="003A464C"/>
    <w:rsid w:val="003A4B5E"/>
    <w:rsid w:val="003A5628"/>
    <w:rsid w:val="003A56C6"/>
    <w:rsid w:val="003A596A"/>
    <w:rsid w:val="003A6174"/>
    <w:rsid w:val="003A6185"/>
    <w:rsid w:val="003A6855"/>
    <w:rsid w:val="003A6B36"/>
    <w:rsid w:val="003A7004"/>
    <w:rsid w:val="003A7575"/>
    <w:rsid w:val="003A77B6"/>
    <w:rsid w:val="003A7A34"/>
    <w:rsid w:val="003A7AAB"/>
    <w:rsid w:val="003A7EFB"/>
    <w:rsid w:val="003A7F02"/>
    <w:rsid w:val="003B1375"/>
    <w:rsid w:val="003B1B5F"/>
    <w:rsid w:val="003B2060"/>
    <w:rsid w:val="003B305C"/>
    <w:rsid w:val="003B38EA"/>
    <w:rsid w:val="003B3B2D"/>
    <w:rsid w:val="003B4237"/>
    <w:rsid w:val="003B4CB3"/>
    <w:rsid w:val="003B4FCC"/>
    <w:rsid w:val="003B557B"/>
    <w:rsid w:val="003B59E5"/>
    <w:rsid w:val="003B5B0F"/>
    <w:rsid w:val="003B5C4E"/>
    <w:rsid w:val="003B69F8"/>
    <w:rsid w:val="003B6AED"/>
    <w:rsid w:val="003B6C8F"/>
    <w:rsid w:val="003B74EC"/>
    <w:rsid w:val="003B7552"/>
    <w:rsid w:val="003B7885"/>
    <w:rsid w:val="003C0646"/>
    <w:rsid w:val="003C0FD7"/>
    <w:rsid w:val="003C126A"/>
    <w:rsid w:val="003C1970"/>
    <w:rsid w:val="003C1F17"/>
    <w:rsid w:val="003C1F1E"/>
    <w:rsid w:val="003C2127"/>
    <w:rsid w:val="003C2639"/>
    <w:rsid w:val="003C291D"/>
    <w:rsid w:val="003C2B9F"/>
    <w:rsid w:val="003C2D39"/>
    <w:rsid w:val="003C2F4D"/>
    <w:rsid w:val="003C3112"/>
    <w:rsid w:val="003C33AA"/>
    <w:rsid w:val="003C398E"/>
    <w:rsid w:val="003C39E7"/>
    <w:rsid w:val="003C3CC5"/>
    <w:rsid w:val="003C4138"/>
    <w:rsid w:val="003C5977"/>
    <w:rsid w:val="003C59D7"/>
    <w:rsid w:val="003C647C"/>
    <w:rsid w:val="003C66C5"/>
    <w:rsid w:val="003C6D02"/>
    <w:rsid w:val="003C7263"/>
    <w:rsid w:val="003C7FB5"/>
    <w:rsid w:val="003D0284"/>
    <w:rsid w:val="003D06CB"/>
    <w:rsid w:val="003D12FD"/>
    <w:rsid w:val="003D1359"/>
    <w:rsid w:val="003D18FD"/>
    <w:rsid w:val="003D192B"/>
    <w:rsid w:val="003D1B1E"/>
    <w:rsid w:val="003D1CCC"/>
    <w:rsid w:val="003D1E8C"/>
    <w:rsid w:val="003D238C"/>
    <w:rsid w:val="003D274B"/>
    <w:rsid w:val="003D27E3"/>
    <w:rsid w:val="003D289D"/>
    <w:rsid w:val="003D2A76"/>
    <w:rsid w:val="003D2BF6"/>
    <w:rsid w:val="003D43CF"/>
    <w:rsid w:val="003D45A4"/>
    <w:rsid w:val="003D51A0"/>
    <w:rsid w:val="003D5368"/>
    <w:rsid w:val="003D5FF4"/>
    <w:rsid w:val="003D6288"/>
    <w:rsid w:val="003D6D7C"/>
    <w:rsid w:val="003D6D9C"/>
    <w:rsid w:val="003D733B"/>
    <w:rsid w:val="003D7A05"/>
    <w:rsid w:val="003D7CB1"/>
    <w:rsid w:val="003E00DA"/>
    <w:rsid w:val="003E05AB"/>
    <w:rsid w:val="003E08A9"/>
    <w:rsid w:val="003E169B"/>
    <w:rsid w:val="003E1A5E"/>
    <w:rsid w:val="003E1A5F"/>
    <w:rsid w:val="003E277C"/>
    <w:rsid w:val="003E28D2"/>
    <w:rsid w:val="003E2F70"/>
    <w:rsid w:val="003E2F85"/>
    <w:rsid w:val="003E3290"/>
    <w:rsid w:val="003E32B6"/>
    <w:rsid w:val="003E372B"/>
    <w:rsid w:val="003E3F48"/>
    <w:rsid w:val="003E40A8"/>
    <w:rsid w:val="003E42D0"/>
    <w:rsid w:val="003E49E8"/>
    <w:rsid w:val="003E583E"/>
    <w:rsid w:val="003E5924"/>
    <w:rsid w:val="003E658E"/>
    <w:rsid w:val="003E682B"/>
    <w:rsid w:val="003E6BE2"/>
    <w:rsid w:val="003E6E67"/>
    <w:rsid w:val="003E7A79"/>
    <w:rsid w:val="003E7DCA"/>
    <w:rsid w:val="003F0145"/>
    <w:rsid w:val="003F095F"/>
    <w:rsid w:val="003F0C06"/>
    <w:rsid w:val="003F14CB"/>
    <w:rsid w:val="003F1715"/>
    <w:rsid w:val="003F1803"/>
    <w:rsid w:val="003F1DF4"/>
    <w:rsid w:val="003F3712"/>
    <w:rsid w:val="003F405F"/>
    <w:rsid w:val="003F4128"/>
    <w:rsid w:val="003F52D0"/>
    <w:rsid w:val="003F5B6B"/>
    <w:rsid w:val="003F5E9F"/>
    <w:rsid w:val="003F6585"/>
    <w:rsid w:val="003F6D9F"/>
    <w:rsid w:val="003F6F51"/>
    <w:rsid w:val="003F767C"/>
    <w:rsid w:val="003F7BAD"/>
    <w:rsid w:val="003F7D53"/>
    <w:rsid w:val="00400419"/>
    <w:rsid w:val="00400761"/>
    <w:rsid w:val="00401A95"/>
    <w:rsid w:val="004023FF"/>
    <w:rsid w:val="00402D08"/>
    <w:rsid w:val="00402FDB"/>
    <w:rsid w:val="004032C8"/>
    <w:rsid w:val="004036D8"/>
    <w:rsid w:val="0040380D"/>
    <w:rsid w:val="004039F3"/>
    <w:rsid w:val="004049CE"/>
    <w:rsid w:val="00404F19"/>
    <w:rsid w:val="00405113"/>
    <w:rsid w:val="004053C8"/>
    <w:rsid w:val="00405677"/>
    <w:rsid w:val="00405686"/>
    <w:rsid w:val="004057A7"/>
    <w:rsid w:val="00405A22"/>
    <w:rsid w:val="00405D8B"/>
    <w:rsid w:val="00406007"/>
    <w:rsid w:val="004061C7"/>
    <w:rsid w:val="00406737"/>
    <w:rsid w:val="00406813"/>
    <w:rsid w:val="00407408"/>
    <w:rsid w:val="00407726"/>
    <w:rsid w:val="004078DB"/>
    <w:rsid w:val="00407E28"/>
    <w:rsid w:val="00410696"/>
    <w:rsid w:val="004106A0"/>
    <w:rsid w:val="00410730"/>
    <w:rsid w:val="00410CE5"/>
    <w:rsid w:val="00410F38"/>
    <w:rsid w:val="00410F55"/>
    <w:rsid w:val="004114B9"/>
    <w:rsid w:val="00411B83"/>
    <w:rsid w:val="00411C4D"/>
    <w:rsid w:val="0041230F"/>
    <w:rsid w:val="0041264E"/>
    <w:rsid w:val="00412F9C"/>
    <w:rsid w:val="0041320A"/>
    <w:rsid w:val="0041334F"/>
    <w:rsid w:val="004136B3"/>
    <w:rsid w:val="00413D5F"/>
    <w:rsid w:val="00413E38"/>
    <w:rsid w:val="00413F26"/>
    <w:rsid w:val="0041405C"/>
    <w:rsid w:val="00415451"/>
    <w:rsid w:val="0041566C"/>
    <w:rsid w:val="004156B0"/>
    <w:rsid w:val="004156FE"/>
    <w:rsid w:val="00415AA9"/>
    <w:rsid w:val="00415C48"/>
    <w:rsid w:val="00415CED"/>
    <w:rsid w:val="00415F19"/>
    <w:rsid w:val="00415F3C"/>
    <w:rsid w:val="00415FBE"/>
    <w:rsid w:val="0041612D"/>
    <w:rsid w:val="004161B1"/>
    <w:rsid w:val="00416D5B"/>
    <w:rsid w:val="00416F4C"/>
    <w:rsid w:val="004170B0"/>
    <w:rsid w:val="0041718B"/>
    <w:rsid w:val="00417686"/>
    <w:rsid w:val="0042019F"/>
    <w:rsid w:val="004203F9"/>
    <w:rsid w:val="00420B46"/>
    <w:rsid w:val="004211E1"/>
    <w:rsid w:val="0042196F"/>
    <w:rsid w:val="00421B06"/>
    <w:rsid w:val="0042233E"/>
    <w:rsid w:val="00422853"/>
    <w:rsid w:val="00422C52"/>
    <w:rsid w:val="0042356B"/>
    <w:rsid w:val="00423875"/>
    <w:rsid w:val="00423D90"/>
    <w:rsid w:val="00424F01"/>
    <w:rsid w:val="00425438"/>
    <w:rsid w:val="004259F1"/>
    <w:rsid w:val="00426BAC"/>
    <w:rsid w:val="00426FE2"/>
    <w:rsid w:val="004272E1"/>
    <w:rsid w:val="004276A9"/>
    <w:rsid w:val="004277F2"/>
    <w:rsid w:val="004277F3"/>
    <w:rsid w:val="0042796B"/>
    <w:rsid w:val="00427C76"/>
    <w:rsid w:val="00430300"/>
    <w:rsid w:val="004309CB"/>
    <w:rsid w:val="004314EC"/>
    <w:rsid w:val="004316E0"/>
    <w:rsid w:val="00432516"/>
    <w:rsid w:val="00432559"/>
    <w:rsid w:val="00432767"/>
    <w:rsid w:val="00432FC0"/>
    <w:rsid w:val="004330F2"/>
    <w:rsid w:val="004334FC"/>
    <w:rsid w:val="0043350E"/>
    <w:rsid w:val="00433543"/>
    <w:rsid w:val="00433D83"/>
    <w:rsid w:val="00434396"/>
    <w:rsid w:val="00434408"/>
    <w:rsid w:val="0043446A"/>
    <w:rsid w:val="004346FA"/>
    <w:rsid w:val="00434CB0"/>
    <w:rsid w:val="004351D6"/>
    <w:rsid w:val="0043558C"/>
    <w:rsid w:val="0043581A"/>
    <w:rsid w:val="0043585B"/>
    <w:rsid w:val="00435992"/>
    <w:rsid w:val="00435CA1"/>
    <w:rsid w:val="00436202"/>
    <w:rsid w:val="00436D55"/>
    <w:rsid w:val="00436E77"/>
    <w:rsid w:val="004370FA"/>
    <w:rsid w:val="0043718F"/>
    <w:rsid w:val="0043751C"/>
    <w:rsid w:val="00437598"/>
    <w:rsid w:val="004378C5"/>
    <w:rsid w:val="00437AAC"/>
    <w:rsid w:val="004403B2"/>
    <w:rsid w:val="0044044C"/>
    <w:rsid w:val="00441A73"/>
    <w:rsid w:val="00441E4A"/>
    <w:rsid w:val="0044202D"/>
    <w:rsid w:val="00442042"/>
    <w:rsid w:val="00442429"/>
    <w:rsid w:val="004425D8"/>
    <w:rsid w:val="004426FF"/>
    <w:rsid w:val="00442B0B"/>
    <w:rsid w:val="00443054"/>
    <w:rsid w:val="00443120"/>
    <w:rsid w:val="004433DD"/>
    <w:rsid w:val="00443909"/>
    <w:rsid w:val="00443984"/>
    <w:rsid w:val="00443BDB"/>
    <w:rsid w:val="00443CD0"/>
    <w:rsid w:val="00443D34"/>
    <w:rsid w:val="00443E8D"/>
    <w:rsid w:val="004442B8"/>
    <w:rsid w:val="004443BA"/>
    <w:rsid w:val="0044447B"/>
    <w:rsid w:val="0044455D"/>
    <w:rsid w:val="004447D2"/>
    <w:rsid w:val="00445755"/>
    <w:rsid w:val="00445832"/>
    <w:rsid w:val="00445C88"/>
    <w:rsid w:val="00445CD4"/>
    <w:rsid w:val="004464EF"/>
    <w:rsid w:val="004472EC"/>
    <w:rsid w:val="004474E0"/>
    <w:rsid w:val="00447B04"/>
    <w:rsid w:val="00447D18"/>
    <w:rsid w:val="00447EAE"/>
    <w:rsid w:val="004502BC"/>
    <w:rsid w:val="00451336"/>
    <w:rsid w:val="004514CE"/>
    <w:rsid w:val="00451534"/>
    <w:rsid w:val="00451859"/>
    <w:rsid w:val="004523CA"/>
    <w:rsid w:val="00452862"/>
    <w:rsid w:val="00452B54"/>
    <w:rsid w:val="004531B9"/>
    <w:rsid w:val="0045326A"/>
    <w:rsid w:val="004533E7"/>
    <w:rsid w:val="00453A29"/>
    <w:rsid w:val="00453A31"/>
    <w:rsid w:val="00453A98"/>
    <w:rsid w:val="00454360"/>
    <w:rsid w:val="00454C08"/>
    <w:rsid w:val="00454F6C"/>
    <w:rsid w:val="00455395"/>
    <w:rsid w:val="004554FA"/>
    <w:rsid w:val="0045642B"/>
    <w:rsid w:val="00456564"/>
    <w:rsid w:val="00456CC3"/>
    <w:rsid w:val="0045736D"/>
    <w:rsid w:val="00457490"/>
    <w:rsid w:val="00457662"/>
    <w:rsid w:val="00457DE0"/>
    <w:rsid w:val="00460374"/>
    <w:rsid w:val="00460DF0"/>
    <w:rsid w:val="0046145A"/>
    <w:rsid w:val="00461527"/>
    <w:rsid w:val="0046161B"/>
    <w:rsid w:val="00461748"/>
    <w:rsid w:val="00461ABD"/>
    <w:rsid w:val="0046208B"/>
    <w:rsid w:val="00462608"/>
    <w:rsid w:val="00462B78"/>
    <w:rsid w:val="00463435"/>
    <w:rsid w:val="004634CE"/>
    <w:rsid w:val="004636C2"/>
    <w:rsid w:val="00463E6A"/>
    <w:rsid w:val="00463EF8"/>
    <w:rsid w:val="00464568"/>
    <w:rsid w:val="00464F11"/>
    <w:rsid w:val="00465556"/>
    <w:rsid w:val="0046567A"/>
    <w:rsid w:val="00465A36"/>
    <w:rsid w:val="00465B27"/>
    <w:rsid w:val="0046605E"/>
    <w:rsid w:val="00466DD5"/>
    <w:rsid w:val="0046713B"/>
    <w:rsid w:val="00467475"/>
    <w:rsid w:val="00467FB5"/>
    <w:rsid w:val="00467FE2"/>
    <w:rsid w:val="00470A42"/>
    <w:rsid w:val="00471EDC"/>
    <w:rsid w:val="004724D1"/>
    <w:rsid w:val="00472C69"/>
    <w:rsid w:val="0047305C"/>
    <w:rsid w:val="00473725"/>
    <w:rsid w:val="004737DA"/>
    <w:rsid w:val="00473ED7"/>
    <w:rsid w:val="004742A5"/>
    <w:rsid w:val="004748CA"/>
    <w:rsid w:val="00475269"/>
    <w:rsid w:val="00476C16"/>
    <w:rsid w:val="00476EA9"/>
    <w:rsid w:val="00477064"/>
    <w:rsid w:val="0047775B"/>
    <w:rsid w:val="00477AE6"/>
    <w:rsid w:val="00477F0F"/>
    <w:rsid w:val="00477FDC"/>
    <w:rsid w:val="00480620"/>
    <w:rsid w:val="0048080A"/>
    <w:rsid w:val="00480C67"/>
    <w:rsid w:val="004814C6"/>
    <w:rsid w:val="004819A2"/>
    <w:rsid w:val="00481A1D"/>
    <w:rsid w:val="00481A93"/>
    <w:rsid w:val="00482004"/>
    <w:rsid w:val="0048254D"/>
    <w:rsid w:val="00482A32"/>
    <w:rsid w:val="00482C21"/>
    <w:rsid w:val="0048309C"/>
    <w:rsid w:val="004831B4"/>
    <w:rsid w:val="00483716"/>
    <w:rsid w:val="00483B2A"/>
    <w:rsid w:val="004843D5"/>
    <w:rsid w:val="00484E52"/>
    <w:rsid w:val="0048531C"/>
    <w:rsid w:val="004857B4"/>
    <w:rsid w:val="00485985"/>
    <w:rsid w:val="00485A33"/>
    <w:rsid w:val="004863C7"/>
    <w:rsid w:val="00486679"/>
    <w:rsid w:val="00486E81"/>
    <w:rsid w:val="00486ECA"/>
    <w:rsid w:val="00486FD6"/>
    <w:rsid w:val="00487131"/>
    <w:rsid w:val="00487F6E"/>
    <w:rsid w:val="0049031B"/>
    <w:rsid w:val="00490816"/>
    <w:rsid w:val="00490A05"/>
    <w:rsid w:val="00490AC1"/>
    <w:rsid w:val="00490D21"/>
    <w:rsid w:val="00491BD5"/>
    <w:rsid w:val="00491E44"/>
    <w:rsid w:val="00492FA9"/>
    <w:rsid w:val="0049365B"/>
    <w:rsid w:val="004940C6"/>
    <w:rsid w:val="0049467E"/>
    <w:rsid w:val="00494FB0"/>
    <w:rsid w:val="004952CC"/>
    <w:rsid w:val="0049543D"/>
    <w:rsid w:val="00495758"/>
    <w:rsid w:val="00495CD1"/>
    <w:rsid w:val="00495F16"/>
    <w:rsid w:val="0049636F"/>
    <w:rsid w:val="004964B2"/>
    <w:rsid w:val="00496588"/>
    <w:rsid w:val="004967CE"/>
    <w:rsid w:val="00496DE5"/>
    <w:rsid w:val="004970FD"/>
    <w:rsid w:val="0049755A"/>
    <w:rsid w:val="00497CF3"/>
    <w:rsid w:val="004A05B5"/>
    <w:rsid w:val="004A13ED"/>
    <w:rsid w:val="004A1799"/>
    <w:rsid w:val="004A18B1"/>
    <w:rsid w:val="004A1B6F"/>
    <w:rsid w:val="004A1C82"/>
    <w:rsid w:val="004A2984"/>
    <w:rsid w:val="004A2A33"/>
    <w:rsid w:val="004A2BD0"/>
    <w:rsid w:val="004A2D4C"/>
    <w:rsid w:val="004A2EBF"/>
    <w:rsid w:val="004A3120"/>
    <w:rsid w:val="004A3191"/>
    <w:rsid w:val="004A338B"/>
    <w:rsid w:val="004A3912"/>
    <w:rsid w:val="004A496E"/>
    <w:rsid w:val="004A4D72"/>
    <w:rsid w:val="004A57D6"/>
    <w:rsid w:val="004A5A56"/>
    <w:rsid w:val="004A67D8"/>
    <w:rsid w:val="004A68A3"/>
    <w:rsid w:val="004A6DD4"/>
    <w:rsid w:val="004A72C1"/>
    <w:rsid w:val="004A7AF3"/>
    <w:rsid w:val="004A7C8E"/>
    <w:rsid w:val="004B0229"/>
    <w:rsid w:val="004B0587"/>
    <w:rsid w:val="004B0941"/>
    <w:rsid w:val="004B0ED2"/>
    <w:rsid w:val="004B1F73"/>
    <w:rsid w:val="004B2273"/>
    <w:rsid w:val="004B2350"/>
    <w:rsid w:val="004B276B"/>
    <w:rsid w:val="004B27B4"/>
    <w:rsid w:val="004B2809"/>
    <w:rsid w:val="004B30B5"/>
    <w:rsid w:val="004B3181"/>
    <w:rsid w:val="004B3EAE"/>
    <w:rsid w:val="004B436F"/>
    <w:rsid w:val="004B4FC3"/>
    <w:rsid w:val="004B5005"/>
    <w:rsid w:val="004B5E1D"/>
    <w:rsid w:val="004B5E3F"/>
    <w:rsid w:val="004B641F"/>
    <w:rsid w:val="004B6B5D"/>
    <w:rsid w:val="004B6E00"/>
    <w:rsid w:val="004B748E"/>
    <w:rsid w:val="004B7735"/>
    <w:rsid w:val="004B7C0A"/>
    <w:rsid w:val="004B7F32"/>
    <w:rsid w:val="004C01F1"/>
    <w:rsid w:val="004C04DE"/>
    <w:rsid w:val="004C0F4F"/>
    <w:rsid w:val="004C147C"/>
    <w:rsid w:val="004C1933"/>
    <w:rsid w:val="004C1B38"/>
    <w:rsid w:val="004C1BCE"/>
    <w:rsid w:val="004C1C2F"/>
    <w:rsid w:val="004C1DDD"/>
    <w:rsid w:val="004C33EF"/>
    <w:rsid w:val="004C3691"/>
    <w:rsid w:val="004C45DA"/>
    <w:rsid w:val="004C4CC0"/>
    <w:rsid w:val="004C5CD7"/>
    <w:rsid w:val="004C61C4"/>
    <w:rsid w:val="004C6216"/>
    <w:rsid w:val="004C653B"/>
    <w:rsid w:val="004C682D"/>
    <w:rsid w:val="004C75F8"/>
    <w:rsid w:val="004C7886"/>
    <w:rsid w:val="004C7D9F"/>
    <w:rsid w:val="004C7F4F"/>
    <w:rsid w:val="004C7FBF"/>
    <w:rsid w:val="004D032A"/>
    <w:rsid w:val="004D040A"/>
    <w:rsid w:val="004D0698"/>
    <w:rsid w:val="004D0E6C"/>
    <w:rsid w:val="004D11E0"/>
    <w:rsid w:val="004D1864"/>
    <w:rsid w:val="004D1BD5"/>
    <w:rsid w:val="004D1EB8"/>
    <w:rsid w:val="004D2317"/>
    <w:rsid w:val="004D2479"/>
    <w:rsid w:val="004D2A5A"/>
    <w:rsid w:val="004D2DAB"/>
    <w:rsid w:val="004D3843"/>
    <w:rsid w:val="004D40C3"/>
    <w:rsid w:val="004D41BC"/>
    <w:rsid w:val="004D4246"/>
    <w:rsid w:val="004D48B5"/>
    <w:rsid w:val="004D4B0B"/>
    <w:rsid w:val="004D5452"/>
    <w:rsid w:val="004D5682"/>
    <w:rsid w:val="004D6352"/>
    <w:rsid w:val="004D6457"/>
    <w:rsid w:val="004D656A"/>
    <w:rsid w:val="004D6AB7"/>
    <w:rsid w:val="004D70A1"/>
    <w:rsid w:val="004D70DC"/>
    <w:rsid w:val="004D723E"/>
    <w:rsid w:val="004D7309"/>
    <w:rsid w:val="004D7C83"/>
    <w:rsid w:val="004E044B"/>
    <w:rsid w:val="004E0539"/>
    <w:rsid w:val="004E0664"/>
    <w:rsid w:val="004E09E1"/>
    <w:rsid w:val="004E0AAE"/>
    <w:rsid w:val="004E0EDE"/>
    <w:rsid w:val="004E196C"/>
    <w:rsid w:val="004E1B2C"/>
    <w:rsid w:val="004E25E8"/>
    <w:rsid w:val="004E26C9"/>
    <w:rsid w:val="004E29FB"/>
    <w:rsid w:val="004E2A1E"/>
    <w:rsid w:val="004E2A7B"/>
    <w:rsid w:val="004E391E"/>
    <w:rsid w:val="004E3AC6"/>
    <w:rsid w:val="004E3D78"/>
    <w:rsid w:val="004E3E59"/>
    <w:rsid w:val="004E4451"/>
    <w:rsid w:val="004E45C6"/>
    <w:rsid w:val="004E469E"/>
    <w:rsid w:val="004E474B"/>
    <w:rsid w:val="004E47DA"/>
    <w:rsid w:val="004E4BB5"/>
    <w:rsid w:val="004E4DC2"/>
    <w:rsid w:val="004E4E8E"/>
    <w:rsid w:val="004E5107"/>
    <w:rsid w:val="004E53B1"/>
    <w:rsid w:val="004E55FA"/>
    <w:rsid w:val="004E577E"/>
    <w:rsid w:val="004E64B0"/>
    <w:rsid w:val="004E64FA"/>
    <w:rsid w:val="004E74A3"/>
    <w:rsid w:val="004E7531"/>
    <w:rsid w:val="004E7765"/>
    <w:rsid w:val="004E7915"/>
    <w:rsid w:val="004E7E88"/>
    <w:rsid w:val="004E7EE7"/>
    <w:rsid w:val="004F0920"/>
    <w:rsid w:val="004F0CC6"/>
    <w:rsid w:val="004F0D0C"/>
    <w:rsid w:val="004F10F0"/>
    <w:rsid w:val="004F14B4"/>
    <w:rsid w:val="004F1911"/>
    <w:rsid w:val="004F1B78"/>
    <w:rsid w:val="004F1C8C"/>
    <w:rsid w:val="004F2323"/>
    <w:rsid w:val="004F2A72"/>
    <w:rsid w:val="004F2C9D"/>
    <w:rsid w:val="004F3332"/>
    <w:rsid w:val="004F3AE9"/>
    <w:rsid w:val="004F418D"/>
    <w:rsid w:val="004F48F3"/>
    <w:rsid w:val="004F51D4"/>
    <w:rsid w:val="004F522A"/>
    <w:rsid w:val="004F5B19"/>
    <w:rsid w:val="004F5D2C"/>
    <w:rsid w:val="004F66B6"/>
    <w:rsid w:val="004F7330"/>
    <w:rsid w:val="004F7802"/>
    <w:rsid w:val="004F78F2"/>
    <w:rsid w:val="00500014"/>
    <w:rsid w:val="0050009F"/>
    <w:rsid w:val="005003FD"/>
    <w:rsid w:val="00500604"/>
    <w:rsid w:val="0050063E"/>
    <w:rsid w:val="00500B76"/>
    <w:rsid w:val="00500CD6"/>
    <w:rsid w:val="0050100A"/>
    <w:rsid w:val="005012F2"/>
    <w:rsid w:val="00501686"/>
    <w:rsid w:val="00501A08"/>
    <w:rsid w:val="00501E7B"/>
    <w:rsid w:val="00501F70"/>
    <w:rsid w:val="0050213C"/>
    <w:rsid w:val="005024ED"/>
    <w:rsid w:val="005027C8"/>
    <w:rsid w:val="00502A23"/>
    <w:rsid w:val="00503462"/>
    <w:rsid w:val="0050447C"/>
    <w:rsid w:val="00504673"/>
    <w:rsid w:val="00504774"/>
    <w:rsid w:val="0050486F"/>
    <w:rsid w:val="00504BE8"/>
    <w:rsid w:val="00505798"/>
    <w:rsid w:val="00505A8C"/>
    <w:rsid w:val="00505C2A"/>
    <w:rsid w:val="00505D95"/>
    <w:rsid w:val="005063AE"/>
    <w:rsid w:val="005069A0"/>
    <w:rsid w:val="00506E86"/>
    <w:rsid w:val="0050733D"/>
    <w:rsid w:val="005073FC"/>
    <w:rsid w:val="00507ACD"/>
    <w:rsid w:val="00507BE0"/>
    <w:rsid w:val="005100A4"/>
    <w:rsid w:val="00510D0F"/>
    <w:rsid w:val="00511C46"/>
    <w:rsid w:val="00513060"/>
    <w:rsid w:val="00514465"/>
    <w:rsid w:val="005149AA"/>
    <w:rsid w:val="00514B2C"/>
    <w:rsid w:val="00515F5C"/>
    <w:rsid w:val="00516712"/>
    <w:rsid w:val="00516A1E"/>
    <w:rsid w:val="00516BF0"/>
    <w:rsid w:val="00517384"/>
    <w:rsid w:val="005179B4"/>
    <w:rsid w:val="00517BFD"/>
    <w:rsid w:val="00520549"/>
    <w:rsid w:val="00520AB9"/>
    <w:rsid w:val="005224E1"/>
    <w:rsid w:val="005226B0"/>
    <w:rsid w:val="00522841"/>
    <w:rsid w:val="00522B52"/>
    <w:rsid w:val="00522C97"/>
    <w:rsid w:val="00523674"/>
    <w:rsid w:val="005238C6"/>
    <w:rsid w:val="00523C20"/>
    <w:rsid w:val="00523F58"/>
    <w:rsid w:val="0052464C"/>
    <w:rsid w:val="005246AF"/>
    <w:rsid w:val="005247DC"/>
    <w:rsid w:val="00525106"/>
    <w:rsid w:val="00525355"/>
    <w:rsid w:val="005253B8"/>
    <w:rsid w:val="0052545C"/>
    <w:rsid w:val="0052558C"/>
    <w:rsid w:val="00525B71"/>
    <w:rsid w:val="00525CA6"/>
    <w:rsid w:val="00526122"/>
    <w:rsid w:val="00526189"/>
    <w:rsid w:val="0052680C"/>
    <w:rsid w:val="00526C81"/>
    <w:rsid w:val="00526CB8"/>
    <w:rsid w:val="00527088"/>
    <w:rsid w:val="0052715F"/>
    <w:rsid w:val="00527893"/>
    <w:rsid w:val="00527E6E"/>
    <w:rsid w:val="00527F62"/>
    <w:rsid w:val="00530112"/>
    <w:rsid w:val="00530218"/>
    <w:rsid w:val="00530294"/>
    <w:rsid w:val="00530322"/>
    <w:rsid w:val="0053084B"/>
    <w:rsid w:val="00530EA1"/>
    <w:rsid w:val="00531EA5"/>
    <w:rsid w:val="0053200C"/>
    <w:rsid w:val="005327FE"/>
    <w:rsid w:val="00533230"/>
    <w:rsid w:val="00533404"/>
    <w:rsid w:val="00533EF4"/>
    <w:rsid w:val="00533F39"/>
    <w:rsid w:val="00534154"/>
    <w:rsid w:val="00534719"/>
    <w:rsid w:val="00534958"/>
    <w:rsid w:val="00535495"/>
    <w:rsid w:val="0053550D"/>
    <w:rsid w:val="00535790"/>
    <w:rsid w:val="00535AC7"/>
    <w:rsid w:val="00535BB0"/>
    <w:rsid w:val="00536362"/>
    <w:rsid w:val="0053698C"/>
    <w:rsid w:val="00537004"/>
    <w:rsid w:val="00537E63"/>
    <w:rsid w:val="005401F3"/>
    <w:rsid w:val="00540260"/>
    <w:rsid w:val="005406CE"/>
    <w:rsid w:val="00540D42"/>
    <w:rsid w:val="00540D89"/>
    <w:rsid w:val="00540DE3"/>
    <w:rsid w:val="00541155"/>
    <w:rsid w:val="005412AE"/>
    <w:rsid w:val="00541386"/>
    <w:rsid w:val="005413F3"/>
    <w:rsid w:val="0054169F"/>
    <w:rsid w:val="00541C8F"/>
    <w:rsid w:val="00541D7F"/>
    <w:rsid w:val="00541F22"/>
    <w:rsid w:val="00542D25"/>
    <w:rsid w:val="00543831"/>
    <w:rsid w:val="00543D0E"/>
    <w:rsid w:val="00543D43"/>
    <w:rsid w:val="00543E01"/>
    <w:rsid w:val="005447AC"/>
    <w:rsid w:val="005448E5"/>
    <w:rsid w:val="00544D53"/>
    <w:rsid w:val="005451AB"/>
    <w:rsid w:val="005459DF"/>
    <w:rsid w:val="00545C35"/>
    <w:rsid w:val="00546128"/>
    <w:rsid w:val="005464BB"/>
    <w:rsid w:val="00546A81"/>
    <w:rsid w:val="00546B68"/>
    <w:rsid w:val="00547E8E"/>
    <w:rsid w:val="0055042E"/>
    <w:rsid w:val="00550926"/>
    <w:rsid w:val="00550978"/>
    <w:rsid w:val="00550F3D"/>
    <w:rsid w:val="0055131A"/>
    <w:rsid w:val="0055252A"/>
    <w:rsid w:val="0055283C"/>
    <w:rsid w:val="00552A95"/>
    <w:rsid w:val="00552B02"/>
    <w:rsid w:val="00552B78"/>
    <w:rsid w:val="00553475"/>
    <w:rsid w:val="005535B8"/>
    <w:rsid w:val="005535F7"/>
    <w:rsid w:val="00553784"/>
    <w:rsid w:val="005538AD"/>
    <w:rsid w:val="00553BD1"/>
    <w:rsid w:val="00554646"/>
    <w:rsid w:val="0055559D"/>
    <w:rsid w:val="00555817"/>
    <w:rsid w:val="005560A8"/>
    <w:rsid w:val="00556D1E"/>
    <w:rsid w:val="00556D31"/>
    <w:rsid w:val="00557042"/>
    <w:rsid w:val="00557D03"/>
    <w:rsid w:val="00560EBB"/>
    <w:rsid w:val="00561817"/>
    <w:rsid w:val="005619D6"/>
    <w:rsid w:val="00562041"/>
    <w:rsid w:val="0056232A"/>
    <w:rsid w:val="0056247F"/>
    <w:rsid w:val="00562629"/>
    <w:rsid w:val="00562699"/>
    <w:rsid w:val="005629C0"/>
    <w:rsid w:val="00562AFC"/>
    <w:rsid w:val="00563733"/>
    <w:rsid w:val="00563AA6"/>
    <w:rsid w:val="00563C18"/>
    <w:rsid w:val="00563DB6"/>
    <w:rsid w:val="00564576"/>
    <w:rsid w:val="00564811"/>
    <w:rsid w:val="00564BDC"/>
    <w:rsid w:val="0056529A"/>
    <w:rsid w:val="005656E1"/>
    <w:rsid w:val="00565966"/>
    <w:rsid w:val="00565C1E"/>
    <w:rsid w:val="005661DC"/>
    <w:rsid w:val="0056656B"/>
    <w:rsid w:val="005677B5"/>
    <w:rsid w:val="00567937"/>
    <w:rsid w:val="00570B9E"/>
    <w:rsid w:val="00570C81"/>
    <w:rsid w:val="00570F91"/>
    <w:rsid w:val="00571A4B"/>
    <w:rsid w:val="00571ADD"/>
    <w:rsid w:val="00571DEA"/>
    <w:rsid w:val="00571E1B"/>
    <w:rsid w:val="00572427"/>
    <w:rsid w:val="00572BC5"/>
    <w:rsid w:val="00573178"/>
    <w:rsid w:val="00573394"/>
    <w:rsid w:val="00573B3C"/>
    <w:rsid w:val="00573D1E"/>
    <w:rsid w:val="00573E43"/>
    <w:rsid w:val="00573E75"/>
    <w:rsid w:val="00573E84"/>
    <w:rsid w:val="00573F69"/>
    <w:rsid w:val="005740DC"/>
    <w:rsid w:val="00574574"/>
    <w:rsid w:val="0057498F"/>
    <w:rsid w:val="00575262"/>
    <w:rsid w:val="005753AB"/>
    <w:rsid w:val="0057543B"/>
    <w:rsid w:val="005760D5"/>
    <w:rsid w:val="00576110"/>
    <w:rsid w:val="005771E8"/>
    <w:rsid w:val="00577376"/>
    <w:rsid w:val="00577CE4"/>
    <w:rsid w:val="00577D1B"/>
    <w:rsid w:val="00577DA8"/>
    <w:rsid w:val="00580263"/>
    <w:rsid w:val="005803FB"/>
    <w:rsid w:val="005808DC"/>
    <w:rsid w:val="00580A06"/>
    <w:rsid w:val="00580B6B"/>
    <w:rsid w:val="00580EC8"/>
    <w:rsid w:val="00582D18"/>
    <w:rsid w:val="00582EEF"/>
    <w:rsid w:val="00583372"/>
    <w:rsid w:val="00583706"/>
    <w:rsid w:val="00583D57"/>
    <w:rsid w:val="00584C0B"/>
    <w:rsid w:val="00585061"/>
    <w:rsid w:val="00585121"/>
    <w:rsid w:val="00585362"/>
    <w:rsid w:val="005855EA"/>
    <w:rsid w:val="005859C1"/>
    <w:rsid w:val="00585C3B"/>
    <w:rsid w:val="00585E21"/>
    <w:rsid w:val="00586C38"/>
    <w:rsid w:val="00587E34"/>
    <w:rsid w:val="00587FF6"/>
    <w:rsid w:val="00590258"/>
    <w:rsid w:val="0059062B"/>
    <w:rsid w:val="00590A15"/>
    <w:rsid w:val="00590A4E"/>
    <w:rsid w:val="00590A50"/>
    <w:rsid w:val="00590B14"/>
    <w:rsid w:val="00590DCF"/>
    <w:rsid w:val="005915B6"/>
    <w:rsid w:val="005918CE"/>
    <w:rsid w:val="00591E83"/>
    <w:rsid w:val="00592103"/>
    <w:rsid w:val="005926DF"/>
    <w:rsid w:val="00592C20"/>
    <w:rsid w:val="0059333E"/>
    <w:rsid w:val="005936E7"/>
    <w:rsid w:val="005939D0"/>
    <w:rsid w:val="00593B31"/>
    <w:rsid w:val="00593CF1"/>
    <w:rsid w:val="00594D93"/>
    <w:rsid w:val="00595678"/>
    <w:rsid w:val="00595A4E"/>
    <w:rsid w:val="005962A1"/>
    <w:rsid w:val="0059640C"/>
    <w:rsid w:val="00596487"/>
    <w:rsid w:val="00596BD2"/>
    <w:rsid w:val="00597CAA"/>
    <w:rsid w:val="00597D82"/>
    <w:rsid w:val="00597E1A"/>
    <w:rsid w:val="005A066C"/>
    <w:rsid w:val="005A0702"/>
    <w:rsid w:val="005A0DEB"/>
    <w:rsid w:val="005A1190"/>
    <w:rsid w:val="005A11C3"/>
    <w:rsid w:val="005A1868"/>
    <w:rsid w:val="005A1A25"/>
    <w:rsid w:val="005A22FF"/>
    <w:rsid w:val="005A2B07"/>
    <w:rsid w:val="005A2B7D"/>
    <w:rsid w:val="005A3152"/>
    <w:rsid w:val="005A3480"/>
    <w:rsid w:val="005A45EE"/>
    <w:rsid w:val="005A48CB"/>
    <w:rsid w:val="005A62B6"/>
    <w:rsid w:val="005A63C5"/>
    <w:rsid w:val="005A64A5"/>
    <w:rsid w:val="005A6F84"/>
    <w:rsid w:val="005A7359"/>
    <w:rsid w:val="005B08BB"/>
    <w:rsid w:val="005B0925"/>
    <w:rsid w:val="005B13D2"/>
    <w:rsid w:val="005B15F8"/>
    <w:rsid w:val="005B1709"/>
    <w:rsid w:val="005B18F6"/>
    <w:rsid w:val="005B1A9D"/>
    <w:rsid w:val="005B2404"/>
    <w:rsid w:val="005B2982"/>
    <w:rsid w:val="005B2F2A"/>
    <w:rsid w:val="005B32C5"/>
    <w:rsid w:val="005B3BCC"/>
    <w:rsid w:val="005B40F5"/>
    <w:rsid w:val="005B41AA"/>
    <w:rsid w:val="005B42FA"/>
    <w:rsid w:val="005B469F"/>
    <w:rsid w:val="005B4798"/>
    <w:rsid w:val="005B4C99"/>
    <w:rsid w:val="005B4D4D"/>
    <w:rsid w:val="005B5008"/>
    <w:rsid w:val="005B5AFF"/>
    <w:rsid w:val="005B5E0D"/>
    <w:rsid w:val="005B6939"/>
    <w:rsid w:val="005B7196"/>
    <w:rsid w:val="005B78A8"/>
    <w:rsid w:val="005B7B48"/>
    <w:rsid w:val="005B7FA0"/>
    <w:rsid w:val="005C0264"/>
    <w:rsid w:val="005C0287"/>
    <w:rsid w:val="005C02FF"/>
    <w:rsid w:val="005C0386"/>
    <w:rsid w:val="005C049B"/>
    <w:rsid w:val="005C05AB"/>
    <w:rsid w:val="005C0634"/>
    <w:rsid w:val="005C1288"/>
    <w:rsid w:val="005C18B9"/>
    <w:rsid w:val="005C1B63"/>
    <w:rsid w:val="005C1E6D"/>
    <w:rsid w:val="005C2A3E"/>
    <w:rsid w:val="005C3E41"/>
    <w:rsid w:val="005C4070"/>
    <w:rsid w:val="005C40AA"/>
    <w:rsid w:val="005C4545"/>
    <w:rsid w:val="005C4CC3"/>
    <w:rsid w:val="005C4E01"/>
    <w:rsid w:val="005C4F63"/>
    <w:rsid w:val="005C5298"/>
    <w:rsid w:val="005C5A67"/>
    <w:rsid w:val="005C62C9"/>
    <w:rsid w:val="005C6496"/>
    <w:rsid w:val="005C7507"/>
    <w:rsid w:val="005C7682"/>
    <w:rsid w:val="005D0F14"/>
    <w:rsid w:val="005D1273"/>
    <w:rsid w:val="005D13CF"/>
    <w:rsid w:val="005D1BB8"/>
    <w:rsid w:val="005D1C01"/>
    <w:rsid w:val="005D1D42"/>
    <w:rsid w:val="005D2595"/>
    <w:rsid w:val="005D268E"/>
    <w:rsid w:val="005D2F7B"/>
    <w:rsid w:val="005D2F85"/>
    <w:rsid w:val="005D2FC8"/>
    <w:rsid w:val="005D307E"/>
    <w:rsid w:val="005D30B6"/>
    <w:rsid w:val="005D3211"/>
    <w:rsid w:val="005D3664"/>
    <w:rsid w:val="005D3BAD"/>
    <w:rsid w:val="005D40D0"/>
    <w:rsid w:val="005D4102"/>
    <w:rsid w:val="005D4C7A"/>
    <w:rsid w:val="005D566E"/>
    <w:rsid w:val="005D5BC5"/>
    <w:rsid w:val="005D6457"/>
    <w:rsid w:val="005D66D8"/>
    <w:rsid w:val="005D7642"/>
    <w:rsid w:val="005E0195"/>
    <w:rsid w:val="005E08D1"/>
    <w:rsid w:val="005E0A63"/>
    <w:rsid w:val="005E0ABD"/>
    <w:rsid w:val="005E0D87"/>
    <w:rsid w:val="005E0E2B"/>
    <w:rsid w:val="005E1313"/>
    <w:rsid w:val="005E1711"/>
    <w:rsid w:val="005E1B2C"/>
    <w:rsid w:val="005E255C"/>
    <w:rsid w:val="005E291F"/>
    <w:rsid w:val="005E2A7D"/>
    <w:rsid w:val="005E2DAD"/>
    <w:rsid w:val="005E308B"/>
    <w:rsid w:val="005E30DE"/>
    <w:rsid w:val="005E36DD"/>
    <w:rsid w:val="005E4204"/>
    <w:rsid w:val="005E423B"/>
    <w:rsid w:val="005E4562"/>
    <w:rsid w:val="005E458B"/>
    <w:rsid w:val="005E487E"/>
    <w:rsid w:val="005E4A1D"/>
    <w:rsid w:val="005E541A"/>
    <w:rsid w:val="005E54A0"/>
    <w:rsid w:val="005E609A"/>
    <w:rsid w:val="005E621F"/>
    <w:rsid w:val="005E732E"/>
    <w:rsid w:val="005E7B93"/>
    <w:rsid w:val="005E7CA6"/>
    <w:rsid w:val="005F00FB"/>
    <w:rsid w:val="005F148F"/>
    <w:rsid w:val="005F24FD"/>
    <w:rsid w:val="005F288F"/>
    <w:rsid w:val="005F2890"/>
    <w:rsid w:val="005F292B"/>
    <w:rsid w:val="005F2C7E"/>
    <w:rsid w:val="005F3BC6"/>
    <w:rsid w:val="005F3D2F"/>
    <w:rsid w:val="005F40A4"/>
    <w:rsid w:val="005F49B8"/>
    <w:rsid w:val="005F4D58"/>
    <w:rsid w:val="005F4DF4"/>
    <w:rsid w:val="005F4F88"/>
    <w:rsid w:val="005F5BE9"/>
    <w:rsid w:val="005F618B"/>
    <w:rsid w:val="005F626B"/>
    <w:rsid w:val="005F651D"/>
    <w:rsid w:val="005F67FB"/>
    <w:rsid w:val="005F6AF2"/>
    <w:rsid w:val="005F6B40"/>
    <w:rsid w:val="005F75E6"/>
    <w:rsid w:val="005F79DE"/>
    <w:rsid w:val="00600533"/>
    <w:rsid w:val="00600E7A"/>
    <w:rsid w:val="0060108F"/>
    <w:rsid w:val="006014CA"/>
    <w:rsid w:val="00601D9E"/>
    <w:rsid w:val="00601E8A"/>
    <w:rsid w:val="00602515"/>
    <w:rsid w:val="006026C4"/>
    <w:rsid w:val="00602D9C"/>
    <w:rsid w:val="00602D9E"/>
    <w:rsid w:val="0060305B"/>
    <w:rsid w:val="00603672"/>
    <w:rsid w:val="006039CF"/>
    <w:rsid w:val="00603DE0"/>
    <w:rsid w:val="0060407A"/>
    <w:rsid w:val="00604209"/>
    <w:rsid w:val="00604ED0"/>
    <w:rsid w:val="00605119"/>
    <w:rsid w:val="00605217"/>
    <w:rsid w:val="00605EB1"/>
    <w:rsid w:val="00605EB9"/>
    <w:rsid w:val="00606486"/>
    <w:rsid w:val="0060672D"/>
    <w:rsid w:val="0060688D"/>
    <w:rsid w:val="00606BD5"/>
    <w:rsid w:val="00607110"/>
    <w:rsid w:val="00607116"/>
    <w:rsid w:val="006079BC"/>
    <w:rsid w:val="00607B57"/>
    <w:rsid w:val="00607C5B"/>
    <w:rsid w:val="00607F02"/>
    <w:rsid w:val="00611064"/>
    <w:rsid w:val="00611206"/>
    <w:rsid w:val="0061146A"/>
    <w:rsid w:val="006118C8"/>
    <w:rsid w:val="0061254D"/>
    <w:rsid w:val="006129B5"/>
    <w:rsid w:val="0061313F"/>
    <w:rsid w:val="006138F7"/>
    <w:rsid w:val="00613A8A"/>
    <w:rsid w:val="00613C0E"/>
    <w:rsid w:val="006144A9"/>
    <w:rsid w:val="00614523"/>
    <w:rsid w:val="00614A6B"/>
    <w:rsid w:val="00614BC4"/>
    <w:rsid w:val="006155ED"/>
    <w:rsid w:val="0061584B"/>
    <w:rsid w:val="00615F09"/>
    <w:rsid w:val="006160C4"/>
    <w:rsid w:val="006161FD"/>
    <w:rsid w:val="00617091"/>
    <w:rsid w:val="00617139"/>
    <w:rsid w:val="0061770E"/>
    <w:rsid w:val="00617AFF"/>
    <w:rsid w:val="00617E60"/>
    <w:rsid w:val="006207A4"/>
    <w:rsid w:val="00620A81"/>
    <w:rsid w:val="00620F34"/>
    <w:rsid w:val="0062157C"/>
    <w:rsid w:val="006229C5"/>
    <w:rsid w:val="00622C07"/>
    <w:rsid w:val="00622C38"/>
    <w:rsid w:val="00622EF9"/>
    <w:rsid w:val="00622F72"/>
    <w:rsid w:val="006234C5"/>
    <w:rsid w:val="00623A79"/>
    <w:rsid w:val="00623E50"/>
    <w:rsid w:val="00624307"/>
    <w:rsid w:val="0062449A"/>
    <w:rsid w:val="00624CE6"/>
    <w:rsid w:val="0062515F"/>
    <w:rsid w:val="006254FA"/>
    <w:rsid w:val="00625DB1"/>
    <w:rsid w:val="00626531"/>
    <w:rsid w:val="006274A2"/>
    <w:rsid w:val="006300C6"/>
    <w:rsid w:val="00630BCF"/>
    <w:rsid w:val="00630CD1"/>
    <w:rsid w:val="0063109B"/>
    <w:rsid w:val="006311E7"/>
    <w:rsid w:val="006313E7"/>
    <w:rsid w:val="006318B7"/>
    <w:rsid w:val="0063245C"/>
    <w:rsid w:val="00632597"/>
    <w:rsid w:val="006325E1"/>
    <w:rsid w:val="00632808"/>
    <w:rsid w:val="006328E4"/>
    <w:rsid w:val="00632FBE"/>
    <w:rsid w:val="006339AD"/>
    <w:rsid w:val="00633E03"/>
    <w:rsid w:val="00634247"/>
    <w:rsid w:val="006346C3"/>
    <w:rsid w:val="0063484B"/>
    <w:rsid w:val="00634E55"/>
    <w:rsid w:val="006354FC"/>
    <w:rsid w:val="0063561F"/>
    <w:rsid w:val="006358F8"/>
    <w:rsid w:val="00635BF7"/>
    <w:rsid w:val="00635DCF"/>
    <w:rsid w:val="0063633A"/>
    <w:rsid w:val="006368EF"/>
    <w:rsid w:val="00636C5F"/>
    <w:rsid w:val="00637725"/>
    <w:rsid w:val="0063787B"/>
    <w:rsid w:val="00637E22"/>
    <w:rsid w:val="00640487"/>
    <w:rsid w:val="00640A80"/>
    <w:rsid w:val="00640FBE"/>
    <w:rsid w:val="0064103C"/>
    <w:rsid w:val="00641DE1"/>
    <w:rsid w:val="006430F5"/>
    <w:rsid w:val="00644AD0"/>
    <w:rsid w:val="00644C1F"/>
    <w:rsid w:val="0064566F"/>
    <w:rsid w:val="006458A2"/>
    <w:rsid w:val="00645BF3"/>
    <w:rsid w:val="0064624D"/>
    <w:rsid w:val="006471D1"/>
    <w:rsid w:val="00647377"/>
    <w:rsid w:val="00647B16"/>
    <w:rsid w:val="00647BCA"/>
    <w:rsid w:val="0065156E"/>
    <w:rsid w:val="00651BBC"/>
    <w:rsid w:val="00651F99"/>
    <w:rsid w:val="00652176"/>
    <w:rsid w:val="006521D0"/>
    <w:rsid w:val="00652332"/>
    <w:rsid w:val="006524A4"/>
    <w:rsid w:val="006524BC"/>
    <w:rsid w:val="00653259"/>
    <w:rsid w:val="00653624"/>
    <w:rsid w:val="00653C0C"/>
    <w:rsid w:val="00653FB5"/>
    <w:rsid w:val="00654C23"/>
    <w:rsid w:val="00654E17"/>
    <w:rsid w:val="0065640C"/>
    <w:rsid w:val="00656671"/>
    <w:rsid w:val="00656CD9"/>
    <w:rsid w:val="00656F36"/>
    <w:rsid w:val="006573BF"/>
    <w:rsid w:val="00657D57"/>
    <w:rsid w:val="00657E5B"/>
    <w:rsid w:val="00660325"/>
    <w:rsid w:val="00660CEB"/>
    <w:rsid w:val="00661127"/>
    <w:rsid w:val="00661470"/>
    <w:rsid w:val="00662B8B"/>
    <w:rsid w:val="00662BEE"/>
    <w:rsid w:val="00662D25"/>
    <w:rsid w:val="00662FB4"/>
    <w:rsid w:val="006630B9"/>
    <w:rsid w:val="00663302"/>
    <w:rsid w:val="006633A9"/>
    <w:rsid w:val="0066344A"/>
    <w:rsid w:val="00663928"/>
    <w:rsid w:val="00663C2E"/>
    <w:rsid w:val="00663FDB"/>
    <w:rsid w:val="00664848"/>
    <w:rsid w:val="006648AB"/>
    <w:rsid w:val="00664BB0"/>
    <w:rsid w:val="00664D6D"/>
    <w:rsid w:val="00665BA3"/>
    <w:rsid w:val="006660F1"/>
    <w:rsid w:val="00666114"/>
    <w:rsid w:val="006665C2"/>
    <w:rsid w:val="006669D5"/>
    <w:rsid w:val="00667668"/>
    <w:rsid w:val="00667A0E"/>
    <w:rsid w:val="00667A4C"/>
    <w:rsid w:val="006703FA"/>
    <w:rsid w:val="00670623"/>
    <w:rsid w:val="006708C8"/>
    <w:rsid w:val="00670F6A"/>
    <w:rsid w:val="0067117B"/>
    <w:rsid w:val="00671C58"/>
    <w:rsid w:val="00671F2D"/>
    <w:rsid w:val="00672674"/>
    <w:rsid w:val="006728DB"/>
    <w:rsid w:val="006729BE"/>
    <w:rsid w:val="00672CF7"/>
    <w:rsid w:val="00672CFF"/>
    <w:rsid w:val="00672D40"/>
    <w:rsid w:val="00672E17"/>
    <w:rsid w:val="0067301B"/>
    <w:rsid w:val="00673410"/>
    <w:rsid w:val="0067398B"/>
    <w:rsid w:val="00673A11"/>
    <w:rsid w:val="00673CD1"/>
    <w:rsid w:val="00673F29"/>
    <w:rsid w:val="00673FB5"/>
    <w:rsid w:val="0067403A"/>
    <w:rsid w:val="00674369"/>
    <w:rsid w:val="00674BB4"/>
    <w:rsid w:val="00675C44"/>
    <w:rsid w:val="00676095"/>
    <w:rsid w:val="0067613C"/>
    <w:rsid w:val="00676F50"/>
    <w:rsid w:val="00676FDC"/>
    <w:rsid w:val="00677160"/>
    <w:rsid w:val="00677168"/>
    <w:rsid w:val="00677710"/>
    <w:rsid w:val="00677B52"/>
    <w:rsid w:val="00677CC1"/>
    <w:rsid w:val="00677CCE"/>
    <w:rsid w:val="00680F75"/>
    <w:rsid w:val="0068110B"/>
    <w:rsid w:val="006814ED"/>
    <w:rsid w:val="00681A50"/>
    <w:rsid w:val="00681F55"/>
    <w:rsid w:val="0068225F"/>
    <w:rsid w:val="00682837"/>
    <w:rsid w:val="00682C19"/>
    <w:rsid w:val="00682F74"/>
    <w:rsid w:val="00683092"/>
    <w:rsid w:val="006831B8"/>
    <w:rsid w:val="006837A4"/>
    <w:rsid w:val="00684352"/>
    <w:rsid w:val="006844E7"/>
    <w:rsid w:val="00684515"/>
    <w:rsid w:val="00684861"/>
    <w:rsid w:val="00684B73"/>
    <w:rsid w:val="00684E16"/>
    <w:rsid w:val="00684FB9"/>
    <w:rsid w:val="0068583E"/>
    <w:rsid w:val="00685934"/>
    <w:rsid w:val="00685CB3"/>
    <w:rsid w:val="0068658D"/>
    <w:rsid w:val="00686691"/>
    <w:rsid w:val="0068681F"/>
    <w:rsid w:val="00687131"/>
    <w:rsid w:val="00687B0A"/>
    <w:rsid w:val="0069048C"/>
    <w:rsid w:val="0069079C"/>
    <w:rsid w:val="00690CB3"/>
    <w:rsid w:val="00691C07"/>
    <w:rsid w:val="0069238C"/>
    <w:rsid w:val="00692549"/>
    <w:rsid w:val="006926AD"/>
    <w:rsid w:val="00692B5A"/>
    <w:rsid w:val="00692BC6"/>
    <w:rsid w:val="006931C4"/>
    <w:rsid w:val="006936D2"/>
    <w:rsid w:val="00693924"/>
    <w:rsid w:val="00693D34"/>
    <w:rsid w:val="00693E36"/>
    <w:rsid w:val="006943C0"/>
    <w:rsid w:val="00694571"/>
    <w:rsid w:val="00694A9E"/>
    <w:rsid w:val="00694B66"/>
    <w:rsid w:val="00694BAD"/>
    <w:rsid w:val="00694BC3"/>
    <w:rsid w:val="00694F6B"/>
    <w:rsid w:val="00694FCE"/>
    <w:rsid w:val="006957F1"/>
    <w:rsid w:val="00696150"/>
    <w:rsid w:val="006962E2"/>
    <w:rsid w:val="006962F4"/>
    <w:rsid w:val="00696754"/>
    <w:rsid w:val="00697092"/>
    <w:rsid w:val="006A06FF"/>
    <w:rsid w:val="006A1357"/>
    <w:rsid w:val="006A14A9"/>
    <w:rsid w:val="006A1622"/>
    <w:rsid w:val="006A1E29"/>
    <w:rsid w:val="006A200E"/>
    <w:rsid w:val="006A2171"/>
    <w:rsid w:val="006A23F0"/>
    <w:rsid w:val="006A2906"/>
    <w:rsid w:val="006A3773"/>
    <w:rsid w:val="006A3A75"/>
    <w:rsid w:val="006A4D25"/>
    <w:rsid w:val="006A5565"/>
    <w:rsid w:val="006A5719"/>
    <w:rsid w:val="006A5780"/>
    <w:rsid w:val="006A5EC8"/>
    <w:rsid w:val="006A62B7"/>
    <w:rsid w:val="006A6BC7"/>
    <w:rsid w:val="006A6BDB"/>
    <w:rsid w:val="006A7511"/>
    <w:rsid w:val="006A7C27"/>
    <w:rsid w:val="006A7E5C"/>
    <w:rsid w:val="006B0440"/>
    <w:rsid w:val="006B0F06"/>
    <w:rsid w:val="006B15B2"/>
    <w:rsid w:val="006B2755"/>
    <w:rsid w:val="006B2D15"/>
    <w:rsid w:val="006B305B"/>
    <w:rsid w:val="006B3137"/>
    <w:rsid w:val="006B3743"/>
    <w:rsid w:val="006B3B27"/>
    <w:rsid w:val="006B3F68"/>
    <w:rsid w:val="006B41EF"/>
    <w:rsid w:val="006B4408"/>
    <w:rsid w:val="006B4BDE"/>
    <w:rsid w:val="006B516A"/>
    <w:rsid w:val="006B5A9B"/>
    <w:rsid w:val="006B5BB2"/>
    <w:rsid w:val="006B6007"/>
    <w:rsid w:val="006B617C"/>
    <w:rsid w:val="006B6279"/>
    <w:rsid w:val="006B688B"/>
    <w:rsid w:val="006B6890"/>
    <w:rsid w:val="006B6AD9"/>
    <w:rsid w:val="006B6B2D"/>
    <w:rsid w:val="006B6E15"/>
    <w:rsid w:val="006B715C"/>
    <w:rsid w:val="006B7535"/>
    <w:rsid w:val="006B778A"/>
    <w:rsid w:val="006B77E0"/>
    <w:rsid w:val="006B7DD2"/>
    <w:rsid w:val="006B7FD3"/>
    <w:rsid w:val="006C00E6"/>
    <w:rsid w:val="006C01BE"/>
    <w:rsid w:val="006C02CB"/>
    <w:rsid w:val="006C08AC"/>
    <w:rsid w:val="006C0993"/>
    <w:rsid w:val="006C0DC1"/>
    <w:rsid w:val="006C1140"/>
    <w:rsid w:val="006C20E8"/>
    <w:rsid w:val="006C2349"/>
    <w:rsid w:val="006C2558"/>
    <w:rsid w:val="006C273D"/>
    <w:rsid w:val="006C2EBB"/>
    <w:rsid w:val="006C33D7"/>
    <w:rsid w:val="006C35CA"/>
    <w:rsid w:val="006C3663"/>
    <w:rsid w:val="006C377F"/>
    <w:rsid w:val="006C3A71"/>
    <w:rsid w:val="006C3BB5"/>
    <w:rsid w:val="006C3C1C"/>
    <w:rsid w:val="006C3CD2"/>
    <w:rsid w:val="006C452E"/>
    <w:rsid w:val="006C4647"/>
    <w:rsid w:val="006C4F1F"/>
    <w:rsid w:val="006C53C8"/>
    <w:rsid w:val="006C58C4"/>
    <w:rsid w:val="006C5C23"/>
    <w:rsid w:val="006C5E98"/>
    <w:rsid w:val="006C6AD9"/>
    <w:rsid w:val="006C6ECA"/>
    <w:rsid w:val="006C7441"/>
    <w:rsid w:val="006C7C11"/>
    <w:rsid w:val="006C7EC3"/>
    <w:rsid w:val="006D0814"/>
    <w:rsid w:val="006D149C"/>
    <w:rsid w:val="006D16A9"/>
    <w:rsid w:val="006D1D58"/>
    <w:rsid w:val="006D262A"/>
    <w:rsid w:val="006D26CF"/>
    <w:rsid w:val="006D2C4B"/>
    <w:rsid w:val="006D3137"/>
    <w:rsid w:val="006D3653"/>
    <w:rsid w:val="006D36C2"/>
    <w:rsid w:val="006D3CA1"/>
    <w:rsid w:val="006D3F78"/>
    <w:rsid w:val="006D4005"/>
    <w:rsid w:val="006D4CAF"/>
    <w:rsid w:val="006D4D4B"/>
    <w:rsid w:val="006D5213"/>
    <w:rsid w:val="006D58B1"/>
    <w:rsid w:val="006D5B59"/>
    <w:rsid w:val="006D5CE8"/>
    <w:rsid w:val="006D6070"/>
    <w:rsid w:val="006D6D82"/>
    <w:rsid w:val="006D74AB"/>
    <w:rsid w:val="006D7B63"/>
    <w:rsid w:val="006D7BFB"/>
    <w:rsid w:val="006D7CF4"/>
    <w:rsid w:val="006E0D72"/>
    <w:rsid w:val="006E0D89"/>
    <w:rsid w:val="006E0F71"/>
    <w:rsid w:val="006E129B"/>
    <w:rsid w:val="006E16CE"/>
    <w:rsid w:val="006E1DFE"/>
    <w:rsid w:val="006E1F18"/>
    <w:rsid w:val="006E23B2"/>
    <w:rsid w:val="006E2D3E"/>
    <w:rsid w:val="006E2D65"/>
    <w:rsid w:val="006E2F55"/>
    <w:rsid w:val="006E306C"/>
    <w:rsid w:val="006E31FC"/>
    <w:rsid w:val="006E32D8"/>
    <w:rsid w:val="006E340D"/>
    <w:rsid w:val="006E383B"/>
    <w:rsid w:val="006E391C"/>
    <w:rsid w:val="006E3CFD"/>
    <w:rsid w:val="006E3E9B"/>
    <w:rsid w:val="006E42C3"/>
    <w:rsid w:val="006E436E"/>
    <w:rsid w:val="006E4EA3"/>
    <w:rsid w:val="006E4F96"/>
    <w:rsid w:val="006E516D"/>
    <w:rsid w:val="006E58E0"/>
    <w:rsid w:val="006E596E"/>
    <w:rsid w:val="006E5F81"/>
    <w:rsid w:val="006E5F91"/>
    <w:rsid w:val="006E622F"/>
    <w:rsid w:val="006E6828"/>
    <w:rsid w:val="006E6A63"/>
    <w:rsid w:val="006E6B5F"/>
    <w:rsid w:val="006E7574"/>
    <w:rsid w:val="006E7A0F"/>
    <w:rsid w:val="006E7AD2"/>
    <w:rsid w:val="006F03DE"/>
    <w:rsid w:val="006F080D"/>
    <w:rsid w:val="006F12A8"/>
    <w:rsid w:val="006F13F5"/>
    <w:rsid w:val="006F14D6"/>
    <w:rsid w:val="006F1E3F"/>
    <w:rsid w:val="006F249E"/>
    <w:rsid w:val="006F2A41"/>
    <w:rsid w:val="006F2ABE"/>
    <w:rsid w:val="006F2B09"/>
    <w:rsid w:val="006F305F"/>
    <w:rsid w:val="006F38F3"/>
    <w:rsid w:val="006F4EFF"/>
    <w:rsid w:val="006F514B"/>
    <w:rsid w:val="006F522E"/>
    <w:rsid w:val="006F5479"/>
    <w:rsid w:val="006F5849"/>
    <w:rsid w:val="006F6771"/>
    <w:rsid w:val="006F6A5E"/>
    <w:rsid w:val="006F7732"/>
    <w:rsid w:val="006F7FE9"/>
    <w:rsid w:val="007002E7"/>
    <w:rsid w:val="00700497"/>
    <w:rsid w:val="00700A0C"/>
    <w:rsid w:val="00700D35"/>
    <w:rsid w:val="00700F22"/>
    <w:rsid w:val="00701520"/>
    <w:rsid w:val="007015FB"/>
    <w:rsid w:val="00701627"/>
    <w:rsid w:val="00701A3A"/>
    <w:rsid w:val="00701BF2"/>
    <w:rsid w:val="0070207C"/>
    <w:rsid w:val="0070215A"/>
    <w:rsid w:val="0070239D"/>
    <w:rsid w:val="00702586"/>
    <w:rsid w:val="00702848"/>
    <w:rsid w:val="007036CD"/>
    <w:rsid w:val="0070376C"/>
    <w:rsid w:val="00703787"/>
    <w:rsid w:val="00703A2E"/>
    <w:rsid w:val="00703AE9"/>
    <w:rsid w:val="00703AED"/>
    <w:rsid w:val="00703D30"/>
    <w:rsid w:val="00703F1C"/>
    <w:rsid w:val="007048AE"/>
    <w:rsid w:val="00704AB4"/>
    <w:rsid w:val="00704BD3"/>
    <w:rsid w:val="00704C4A"/>
    <w:rsid w:val="007053A6"/>
    <w:rsid w:val="007055C1"/>
    <w:rsid w:val="007060F2"/>
    <w:rsid w:val="0070634E"/>
    <w:rsid w:val="007064E9"/>
    <w:rsid w:val="007067C8"/>
    <w:rsid w:val="007076A2"/>
    <w:rsid w:val="00710576"/>
    <w:rsid w:val="007106D6"/>
    <w:rsid w:val="007108C6"/>
    <w:rsid w:val="007112EA"/>
    <w:rsid w:val="00711D6F"/>
    <w:rsid w:val="00711E41"/>
    <w:rsid w:val="00712283"/>
    <w:rsid w:val="00712846"/>
    <w:rsid w:val="00713130"/>
    <w:rsid w:val="00713CB6"/>
    <w:rsid w:val="007141D8"/>
    <w:rsid w:val="00714433"/>
    <w:rsid w:val="007144C3"/>
    <w:rsid w:val="00714E1F"/>
    <w:rsid w:val="0071525E"/>
    <w:rsid w:val="00715957"/>
    <w:rsid w:val="00715C58"/>
    <w:rsid w:val="00715D74"/>
    <w:rsid w:val="0071644B"/>
    <w:rsid w:val="00716576"/>
    <w:rsid w:val="00716973"/>
    <w:rsid w:val="00716B26"/>
    <w:rsid w:val="00717449"/>
    <w:rsid w:val="0072036F"/>
    <w:rsid w:val="007205A1"/>
    <w:rsid w:val="00720797"/>
    <w:rsid w:val="00720AFF"/>
    <w:rsid w:val="00720B59"/>
    <w:rsid w:val="00720C6B"/>
    <w:rsid w:val="00721085"/>
    <w:rsid w:val="007211A1"/>
    <w:rsid w:val="00721276"/>
    <w:rsid w:val="00721309"/>
    <w:rsid w:val="0072228A"/>
    <w:rsid w:val="00722A1B"/>
    <w:rsid w:val="00722A31"/>
    <w:rsid w:val="00722D49"/>
    <w:rsid w:val="0072360A"/>
    <w:rsid w:val="00723693"/>
    <w:rsid w:val="0072390C"/>
    <w:rsid w:val="00723C2D"/>
    <w:rsid w:val="007245C1"/>
    <w:rsid w:val="00724805"/>
    <w:rsid w:val="00724928"/>
    <w:rsid w:val="007255B8"/>
    <w:rsid w:val="00725729"/>
    <w:rsid w:val="00725853"/>
    <w:rsid w:val="00725B8E"/>
    <w:rsid w:val="00725FE4"/>
    <w:rsid w:val="00726B7C"/>
    <w:rsid w:val="00726D8B"/>
    <w:rsid w:val="00726F22"/>
    <w:rsid w:val="00726F88"/>
    <w:rsid w:val="007279D8"/>
    <w:rsid w:val="00727B7C"/>
    <w:rsid w:val="00727F60"/>
    <w:rsid w:val="00730407"/>
    <w:rsid w:val="00730433"/>
    <w:rsid w:val="00730DDA"/>
    <w:rsid w:val="00730EB4"/>
    <w:rsid w:val="0073122E"/>
    <w:rsid w:val="0073168F"/>
    <w:rsid w:val="00731D62"/>
    <w:rsid w:val="007321D7"/>
    <w:rsid w:val="00732238"/>
    <w:rsid w:val="00732334"/>
    <w:rsid w:val="0073270F"/>
    <w:rsid w:val="00732C56"/>
    <w:rsid w:val="00732CEA"/>
    <w:rsid w:val="00733641"/>
    <w:rsid w:val="00733C93"/>
    <w:rsid w:val="007340CB"/>
    <w:rsid w:val="007347A0"/>
    <w:rsid w:val="007347E1"/>
    <w:rsid w:val="00734E69"/>
    <w:rsid w:val="007350DA"/>
    <w:rsid w:val="007354CD"/>
    <w:rsid w:val="00735597"/>
    <w:rsid w:val="00735ADD"/>
    <w:rsid w:val="00735D17"/>
    <w:rsid w:val="00736AC5"/>
    <w:rsid w:val="00737613"/>
    <w:rsid w:val="00737C8D"/>
    <w:rsid w:val="007405C6"/>
    <w:rsid w:val="0074086C"/>
    <w:rsid w:val="00741A0C"/>
    <w:rsid w:val="00741A97"/>
    <w:rsid w:val="00741BF8"/>
    <w:rsid w:val="00742350"/>
    <w:rsid w:val="00742EAE"/>
    <w:rsid w:val="0074339C"/>
    <w:rsid w:val="007434FB"/>
    <w:rsid w:val="007438C8"/>
    <w:rsid w:val="00743BA5"/>
    <w:rsid w:val="00744101"/>
    <w:rsid w:val="00745100"/>
    <w:rsid w:val="007454CA"/>
    <w:rsid w:val="007458E0"/>
    <w:rsid w:val="00745C4C"/>
    <w:rsid w:val="00745CD9"/>
    <w:rsid w:val="00745FD7"/>
    <w:rsid w:val="00745FF3"/>
    <w:rsid w:val="00746312"/>
    <w:rsid w:val="00746383"/>
    <w:rsid w:val="0074687C"/>
    <w:rsid w:val="00746956"/>
    <w:rsid w:val="00746B16"/>
    <w:rsid w:val="00746DE3"/>
    <w:rsid w:val="00746E30"/>
    <w:rsid w:val="00746F56"/>
    <w:rsid w:val="0074752E"/>
    <w:rsid w:val="00747553"/>
    <w:rsid w:val="007476C9"/>
    <w:rsid w:val="0074772A"/>
    <w:rsid w:val="00747D0B"/>
    <w:rsid w:val="007505B5"/>
    <w:rsid w:val="00750744"/>
    <w:rsid w:val="0075096A"/>
    <w:rsid w:val="00751C2E"/>
    <w:rsid w:val="00751CD6"/>
    <w:rsid w:val="00752299"/>
    <w:rsid w:val="00752322"/>
    <w:rsid w:val="0075243C"/>
    <w:rsid w:val="00752AC8"/>
    <w:rsid w:val="00752D7B"/>
    <w:rsid w:val="007531F5"/>
    <w:rsid w:val="00753292"/>
    <w:rsid w:val="007533A2"/>
    <w:rsid w:val="0075433D"/>
    <w:rsid w:val="00754960"/>
    <w:rsid w:val="00754975"/>
    <w:rsid w:val="00754CB0"/>
    <w:rsid w:val="00754ED2"/>
    <w:rsid w:val="00755393"/>
    <w:rsid w:val="0075578F"/>
    <w:rsid w:val="00755864"/>
    <w:rsid w:val="00756066"/>
    <w:rsid w:val="007567BE"/>
    <w:rsid w:val="0075685B"/>
    <w:rsid w:val="007569A9"/>
    <w:rsid w:val="007569AE"/>
    <w:rsid w:val="00756C15"/>
    <w:rsid w:val="0075774E"/>
    <w:rsid w:val="00757935"/>
    <w:rsid w:val="00757946"/>
    <w:rsid w:val="00757A1D"/>
    <w:rsid w:val="0076046E"/>
    <w:rsid w:val="00760945"/>
    <w:rsid w:val="00760DF2"/>
    <w:rsid w:val="0076168F"/>
    <w:rsid w:val="0076175B"/>
    <w:rsid w:val="00761930"/>
    <w:rsid w:val="00761B71"/>
    <w:rsid w:val="00761D5B"/>
    <w:rsid w:val="00761D84"/>
    <w:rsid w:val="00761DF6"/>
    <w:rsid w:val="00762B7E"/>
    <w:rsid w:val="007634BE"/>
    <w:rsid w:val="0076487E"/>
    <w:rsid w:val="00766C84"/>
    <w:rsid w:val="00766D03"/>
    <w:rsid w:val="00767678"/>
    <w:rsid w:val="00767A96"/>
    <w:rsid w:val="00770545"/>
    <w:rsid w:val="00770ACF"/>
    <w:rsid w:val="00770B84"/>
    <w:rsid w:val="00770EB0"/>
    <w:rsid w:val="00770F04"/>
    <w:rsid w:val="0077132A"/>
    <w:rsid w:val="007714D7"/>
    <w:rsid w:val="0077179D"/>
    <w:rsid w:val="00771C96"/>
    <w:rsid w:val="00771EEE"/>
    <w:rsid w:val="00772287"/>
    <w:rsid w:val="00772CC2"/>
    <w:rsid w:val="00772E78"/>
    <w:rsid w:val="00772F3D"/>
    <w:rsid w:val="00772FA3"/>
    <w:rsid w:val="007737B5"/>
    <w:rsid w:val="00773C00"/>
    <w:rsid w:val="007748DF"/>
    <w:rsid w:val="00774AE3"/>
    <w:rsid w:val="00774D16"/>
    <w:rsid w:val="00775208"/>
    <w:rsid w:val="0077585C"/>
    <w:rsid w:val="0077586B"/>
    <w:rsid w:val="00775899"/>
    <w:rsid w:val="00775A00"/>
    <w:rsid w:val="00775BD6"/>
    <w:rsid w:val="00775FED"/>
    <w:rsid w:val="00776099"/>
    <w:rsid w:val="0077659E"/>
    <w:rsid w:val="0077673C"/>
    <w:rsid w:val="00776BF3"/>
    <w:rsid w:val="00776E6F"/>
    <w:rsid w:val="00777784"/>
    <w:rsid w:val="007779B3"/>
    <w:rsid w:val="00777A88"/>
    <w:rsid w:val="00777AAD"/>
    <w:rsid w:val="00777BBC"/>
    <w:rsid w:val="00780045"/>
    <w:rsid w:val="00780215"/>
    <w:rsid w:val="007803DB"/>
    <w:rsid w:val="007803EE"/>
    <w:rsid w:val="00780DD6"/>
    <w:rsid w:val="00781CF2"/>
    <w:rsid w:val="007820CB"/>
    <w:rsid w:val="007824A7"/>
    <w:rsid w:val="00782A08"/>
    <w:rsid w:val="00782BC2"/>
    <w:rsid w:val="00782E67"/>
    <w:rsid w:val="007837EF"/>
    <w:rsid w:val="007853F7"/>
    <w:rsid w:val="00785407"/>
    <w:rsid w:val="007857B0"/>
    <w:rsid w:val="007857B5"/>
    <w:rsid w:val="00785907"/>
    <w:rsid w:val="00785D47"/>
    <w:rsid w:val="00785D85"/>
    <w:rsid w:val="00786845"/>
    <w:rsid w:val="00786D40"/>
    <w:rsid w:val="007871F5"/>
    <w:rsid w:val="00790486"/>
    <w:rsid w:val="0079153A"/>
    <w:rsid w:val="007917B0"/>
    <w:rsid w:val="00791813"/>
    <w:rsid w:val="00791B9C"/>
    <w:rsid w:val="00791CB5"/>
    <w:rsid w:val="00792739"/>
    <w:rsid w:val="00792D8A"/>
    <w:rsid w:val="0079320C"/>
    <w:rsid w:val="00793467"/>
    <w:rsid w:val="00793515"/>
    <w:rsid w:val="0079376F"/>
    <w:rsid w:val="007938AB"/>
    <w:rsid w:val="007938D8"/>
    <w:rsid w:val="00793B5F"/>
    <w:rsid w:val="00793FE6"/>
    <w:rsid w:val="0079456E"/>
    <w:rsid w:val="007957EF"/>
    <w:rsid w:val="0079599A"/>
    <w:rsid w:val="00795BAC"/>
    <w:rsid w:val="00796078"/>
    <w:rsid w:val="007971D1"/>
    <w:rsid w:val="0079722C"/>
    <w:rsid w:val="007975D6"/>
    <w:rsid w:val="00797880"/>
    <w:rsid w:val="007A0364"/>
    <w:rsid w:val="007A03D3"/>
    <w:rsid w:val="007A078A"/>
    <w:rsid w:val="007A07DB"/>
    <w:rsid w:val="007A0A41"/>
    <w:rsid w:val="007A1106"/>
    <w:rsid w:val="007A1194"/>
    <w:rsid w:val="007A1353"/>
    <w:rsid w:val="007A1AB1"/>
    <w:rsid w:val="007A1C77"/>
    <w:rsid w:val="007A2574"/>
    <w:rsid w:val="007A3186"/>
    <w:rsid w:val="007A330F"/>
    <w:rsid w:val="007A38D1"/>
    <w:rsid w:val="007A3908"/>
    <w:rsid w:val="007A4FFE"/>
    <w:rsid w:val="007A55B6"/>
    <w:rsid w:val="007A5A6C"/>
    <w:rsid w:val="007A5F7F"/>
    <w:rsid w:val="007A5F99"/>
    <w:rsid w:val="007A652D"/>
    <w:rsid w:val="007A6530"/>
    <w:rsid w:val="007A6A22"/>
    <w:rsid w:val="007A6D8B"/>
    <w:rsid w:val="007A7666"/>
    <w:rsid w:val="007A7748"/>
    <w:rsid w:val="007A7956"/>
    <w:rsid w:val="007A7D25"/>
    <w:rsid w:val="007B00D0"/>
    <w:rsid w:val="007B012C"/>
    <w:rsid w:val="007B0A33"/>
    <w:rsid w:val="007B182F"/>
    <w:rsid w:val="007B1B61"/>
    <w:rsid w:val="007B1CBB"/>
    <w:rsid w:val="007B2015"/>
    <w:rsid w:val="007B216A"/>
    <w:rsid w:val="007B23B6"/>
    <w:rsid w:val="007B240B"/>
    <w:rsid w:val="007B245D"/>
    <w:rsid w:val="007B257B"/>
    <w:rsid w:val="007B26C5"/>
    <w:rsid w:val="007B2B72"/>
    <w:rsid w:val="007B32F9"/>
    <w:rsid w:val="007B330A"/>
    <w:rsid w:val="007B36EA"/>
    <w:rsid w:val="007B3A46"/>
    <w:rsid w:val="007B3B36"/>
    <w:rsid w:val="007B402A"/>
    <w:rsid w:val="007B4E69"/>
    <w:rsid w:val="007B53BD"/>
    <w:rsid w:val="007B58B5"/>
    <w:rsid w:val="007B6AD3"/>
    <w:rsid w:val="007B6E50"/>
    <w:rsid w:val="007B7123"/>
    <w:rsid w:val="007B7623"/>
    <w:rsid w:val="007B7B74"/>
    <w:rsid w:val="007B7EFF"/>
    <w:rsid w:val="007C0167"/>
    <w:rsid w:val="007C0649"/>
    <w:rsid w:val="007C128F"/>
    <w:rsid w:val="007C1386"/>
    <w:rsid w:val="007C1AC0"/>
    <w:rsid w:val="007C1E78"/>
    <w:rsid w:val="007C2AD2"/>
    <w:rsid w:val="007C338B"/>
    <w:rsid w:val="007C49B3"/>
    <w:rsid w:val="007C50CA"/>
    <w:rsid w:val="007C5235"/>
    <w:rsid w:val="007C539A"/>
    <w:rsid w:val="007C56C3"/>
    <w:rsid w:val="007C5CB5"/>
    <w:rsid w:val="007C5DCE"/>
    <w:rsid w:val="007C6358"/>
    <w:rsid w:val="007C6742"/>
    <w:rsid w:val="007C6E74"/>
    <w:rsid w:val="007C6FAA"/>
    <w:rsid w:val="007C703B"/>
    <w:rsid w:val="007C7D07"/>
    <w:rsid w:val="007D01EF"/>
    <w:rsid w:val="007D04CA"/>
    <w:rsid w:val="007D09A4"/>
    <w:rsid w:val="007D0BCF"/>
    <w:rsid w:val="007D0EF2"/>
    <w:rsid w:val="007D1687"/>
    <w:rsid w:val="007D1723"/>
    <w:rsid w:val="007D1EE3"/>
    <w:rsid w:val="007D1EF7"/>
    <w:rsid w:val="007D23DC"/>
    <w:rsid w:val="007D24B8"/>
    <w:rsid w:val="007D2CE4"/>
    <w:rsid w:val="007D30CF"/>
    <w:rsid w:val="007D30FD"/>
    <w:rsid w:val="007D3D7E"/>
    <w:rsid w:val="007D430E"/>
    <w:rsid w:val="007D5040"/>
    <w:rsid w:val="007D50C5"/>
    <w:rsid w:val="007D51CA"/>
    <w:rsid w:val="007D586C"/>
    <w:rsid w:val="007D5895"/>
    <w:rsid w:val="007D5EFE"/>
    <w:rsid w:val="007D64E9"/>
    <w:rsid w:val="007D6C2B"/>
    <w:rsid w:val="007D720E"/>
    <w:rsid w:val="007D7B86"/>
    <w:rsid w:val="007D7E1D"/>
    <w:rsid w:val="007E0765"/>
    <w:rsid w:val="007E0BFD"/>
    <w:rsid w:val="007E0D32"/>
    <w:rsid w:val="007E0DF0"/>
    <w:rsid w:val="007E13EA"/>
    <w:rsid w:val="007E207D"/>
    <w:rsid w:val="007E277E"/>
    <w:rsid w:val="007E32F3"/>
    <w:rsid w:val="007E3704"/>
    <w:rsid w:val="007E3F35"/>
    <w:rsid w:val="007E43B2"/>
    <w:rsid w:val="007E44AA"/>
    <w:rsid w:val="007E4CED"/>
    <w:rsid w:val="007E56D2"/>
    <w:rsid w:val="007E5737"/>
    <w:rsid w:val="007E5B7E"/>
    <w:rsid w:val="007E5DC7"/>
    <w:rsid w:val="007E5E81"/>
    <w:rsid w:val="007E60AF"/>
    <w:rsid w:val="007E61CF"/>
    <w:rsid w:val="007E62B5"/>
    <w:rsid w:val="007E66AE"/>
    <w:rsid w:val="007E67E6"/>
    <w:rsid w:val="007E68E5"/>
    <w:rsid w:val="007E6AA4"/>
    <w:rsid w:val="007E707A"/>
    <w:rsid w:val="007E7272"/>
    <w:rsid w:val="007E75F1"/>
    <w:rsid w:val="007E76FC"/>
    <w:rsid w:val="007E7BC6"/>
    <w:rsid w:val="007E7CDF"/>
    <w:rsid w:val="007F0102"/>
    <w:rsid w:val="007F0188"/>
    <w:rsid w:val="007F0502"/>
    <w:rsid w:val="007F085E"/>
    <w:rsid w:val="007F08A2"/>
    <w:rsid w:val="007F0965"/>
    <w:rsid w:val="007F0EA7"/>
    <w:rsid w:val="007F10E1"/>
    <w:rsid w:val="007F1635"/>
    <w:rsid w:val="007F1813"/>
    <w:rsid w:val="007F1877"/>
    <w:rsid w:val="007F1CC4"/>
    <w:rsid w:val="007F2044"/>
    <w:rsid w:val="007F21B0"/>
    <w:rsid w:val="007F277F"/>
    <w:rsid w:val="007F2A22"/>
    <w:rsid w:val="007F317B"/>
    <w:rsid w:val="007F3F8B"/>
    <w:rsid w:val="007F42F3"/>
    <w:rsid w:val="007F461F"/>
    <w:rsid w:val="007F4681"/>
    <w:rsid w:val="007F488B"/>
    <w:rsid w:val="007F4A38"/>
    <w:rsid w:val="007F4B20"/>
    <w:rsid w:val="007F4EA8"/>
    <w:rsid w:val="007F4FEB"/>
    <w:rsid w:val="007F51A2"/>
    <w:rsid w:val="007F5282"/>
    <w:rsid w:val="007F5BF2"/>
    <w:rsid w:val="007F6219"/>
    <w:rsid w:val="007F6232"/>
    <w:rsid w:val="007F68BB"/>
    <w:rsid w:val="007F6FCC"/>
    <w:rsid w:val="007F7736"/>
    <w:rsid w:val="007F7826"/>
    <w:rsid w:val="008003E4"/>
    <w:rsid w:val="00800551"/>
    <w:rsid w:val="0080094B"/>
    <w:rsid w:val="008009C1"/>
    <w:rsid w:val="00800D02"/>
    <w:rsid w:val="0080169D"/>
    <w:rsid w:val="008016DB"/>
    <w:rsid w:val="008017E9"/>
    <w:rsid w:val="00801852"/>
    <w:rsid w:val="00801C15"/>
    <w:rsid w:val="00801EFB"/>
    <w:rsid w:val="008020E3"/>
    <w:rsid w:val="0080271B"/>
    <w:rsid w:val="00802A6A"/>
    <w:rsid w:val="00802D3F"/>
    <w:rsid w:val="008037E9"/>
    <w:rsid w:val="00803B13"/>
    <w:rsid w:val="00803BD6"/>
    <w:rsid w:val="008043CB"/>
    <w:rsid w:val="0080454B"/>
    <w:rsid w:val="00805354"/>
    <w:rsid w:val="0080587A"/>
    <w:rsid w:val="00806156"/>
    <w:rsid w:val="008061B1"/>
    <w:rsid w:val="00806A09"/>
    <w:rsid w:val="00807023"/>
    <w:rsid w:val="0080765D"/>
    <w:rsid w:val="0080769A"/>
    <w:rsid w:val="00807CFE"/>
    <w:rsid w:val="0081086C"/>
    <w:rsid w:val="00810943"/>
    <w:rsid w:val="00810D5A"/>
    <w:rsid w:val="008112BC"/>
    <w:rsid w:val="0081161C"/>
    <w:rsid w:val="0081213A"/>
    <w:rsid w:val="008126F4"/>
    <w:rsid w:val="00812FB2"/>
    <w:rsid w:val="0081312D"/>
    <w:rsid w:val="00813592"/>
    <w:rsid w:val="00814528"/>
    <w:rsid w:val="00814680"/>
    <w:rsid w:val="008147AC"/>
    <w:rsid w:val="0081511E"/>
    <w:rsid w:val="008151AB"/>
    <w:rsid w:val="008155A9"/>
    <w:rsid w:val="008156FA"/>
    <w:rsid w:val="00815962"/>
    <w:rsid w:val="008159E2"/>
    <w:rsid w:val="00815AFE"/>
    <w:rsid w:val="00815D11"/>
    <w:rsid w:val="00816517"/>
    <w:rsid w:val="0081668C"/>
    <w:rsid w:val="00816D4E"/>
    <w:rsid w:val="00816E00"/>
    <w:rsid w:val="008200F2"/>
    <w:rsid w:val="008201D4"/>
    <w:rsid w:val="00820BAD"/>
    <w:rsid w:val="00820CDA"/>
    <w:rsid w:val="00820DC7"/>
    <w:rsid w:val="008218EB"/>
    <w:rsid w:val="00821F09"/>
    <w:rsid w:val="00822491"/>
    <w:rsid w:val="008227FA"/>
    <w:rsid w:val="00822CB9"/>
    <w:rsid w:val="00822FAC"/>
    <w:rsid w:val="00823225"/>
    <w:rsid w:val="008232EC"/>
    <w:rsid w:val="008232F2"/>
    <w:rsid w:val="0082355C"/>
    <w:rsid w:val="008235A9"/>
    <w:rsid w:val="00823828"/>
    <w:rsid w:val="00823A38"/>
    <w:rsid w:val="00823B6C"/>
    <w:rsid w:val="00824281"/>
    <w:rsid w:val="00824433"/>
    <w:rsid w:val="008249C9"/>
    <w:rsid w:val="00825458"/>
    <w:rsid w:val="0082583F"/>
    <w:rsid w:val="00825D9F"/>
    <w:rsid w:val="008260E1"/>
    <w:rsid w:val="0083149F"/>
    <w:rsid w:val="00831BB3"/>
    <w:rsid w:val="00831FFE"/>
    <w:rsid w:val="00832085"/>
    <w:rsid w:val="008326C6"/>
    <w:rsid w:val="00832B8C"/>
    <w:rsid w:val="00833543"/>
    <w:rsid w:val="008337EA"/>
    <w:rsid w:val="00833AAF"/>
    <w:rsid w:val="00833E80"/>
    <w:rsid w:val="008341CD"/>
    <w:rsid w:val="0083498C"/>
    <w:rsid w:val="00834CF1"/>
    <w:rsid w:val="00834D52"/>
    <w:rsid w:val="00834DDD"/>
    <w:rsid w:val="00835228"/>
    <w:rsid w:val="00835D96"/>
    <w:rsid w:val="00835E48"/>
    <w:rsid w:val="00836104"/>
    <w:rsid w:val="0083617A"/>
    <w:rsid w:val="00836487"/>
    <w:rsid w:val="00836E4F"/>
    <w:rsid w:val="008373E5"/>
    <w:rsid w:val="008375DB"/>
    <w:rsid w:val="00837716"/>
    <w:rsid w:val="008379BA"/>
    <w:rsid w:val="00840536"/>
    <w:rsid w:val="008408C4"/>
    <w:rsid w:val="00840C34"/>
    <w:rsid w:val="00840DE9"/>
    <w:rsid w:val="00840EA1"/>
    <w:rsid w:val="00841415"/>
    <w:rsid w:val="00841466"/>
    <w:rsid w:val="00841473"/>
    <w:rsid w:val="008423F8"/>
    <w:rsid w:val="00842520"/>
    <w:rsid w:val="008427E6"/>
    <w:rsid w:val="00843109"/>
    <w:rsid w:val="00843EB3"/>
    <w:rsid w:val="00844035"/>
    <w:rsid w:val="00844CA6"/>
    <w:rsid w:val="00845DEF"/>
    <w:rsid w:val="0084624A"/>
    <w:rsid w:val="00846542"/>
    <w:rsid w:val="008465FE"/>
    <w:rsid w:val="008466E2"/>
    <w:rsid w:val="00846DE0"/>
    <w:rsid w:val="00846F92"/>
    <w:rsid w:val="00847B2B"/>
    <w:rsid w:val="008503B4"/>
    <w:rsid w:val="00850853"/>
    <w:rsid w:val="00850CED"/>
    <w:rsid w:val="00850E22"/>
    <w:rsid w:val="00851168"/>
    <w:rsid w:val="00851874"/>
    <w:rsid w:val="0085248D"/>
    <w:rsid w:val="008525A4"/>
    <w:rsid w:val="00852F79"/>
    <w:rsid w:val="00853A63"/>
    <w:rsid w:val="00853E19"/>
    <w:rsid w:val="00853F79"/>
    <w:rsid w:val="00854162"/>
    <w:rsid w:val="0085449F"/>
    <w:rsid w:val="00854879"/>
    <w:rsid w:val="00855B05"/>
    <w:rsid w:val="00855D53"/>
    <w:rsid w:val="00856469"/>
    <w:rsid w:val="00856AC1"/>
    <w:rsid w:val="00856B7B"/>
    <w:rsid w:val="00860FFE"/>
    <w:rsid w:val="008617D2"/>
    <w:rsid w:val="00861DBB"/>
    <w:rsid w:val="00861F32"/>
    <w:rsid w:val="00862106"/>
    <w:rsid w:val="008621BA"/>
    <w:rsid w:val="00862217"/>
    <w:rsid w:val="008624EE"/>
    <w:rsid w:val="00862712"/>
    <w:rsid w:val="00862E3E"/>
    <w:rsid w:val="00863016"/>
    <w:rsid w:val="008639D3"/>
    <w:rsid w:val="00863D4C"/>
    <w:rsid w:val="00864240"/>
    <w:rsid w:val="008645DC"/>
    <w:rsid w:val="008646BA"/>
    <w:rsid w:val="00865207"/>
    <w:rsid w:val="008659E6"/>
    <w:rsid w:val="008659F8"/>
    <w:rsid w:val="00865C5F"/>
    <w:rsid w:val="00865C77"/>
    <w:rsid w:val="0086627C"/>
    <w:rsid w:val="008665C2"/>
    <w:rsid w:val="0086685E"/>
    <w:rsid w:val="00866DB3"/>
    <w:rsid w:val="00866FFE"/>
    <w:rsid w:val="00867BE4"/>
    <w:rsid w:val="00870218"/>
    <w:rsid w:val="008710A2"/>
    <w:rsid w:val="00871F09"/>
    <w:rsid w:val="00872493"/>
    <w:rsid w:val="00872B8A"/>
    <w:rsid w:val="00872C14"/>
    <w:rsid w:val="00873575"/>
    <w:rsid w:val="0087357C"/>
    <w:rsid w:val="008735CF"/>
    <w:rsid w:val="0087419B"/>
    <w:rsid w:val="008744EB"/>
    <w:rsid w:val="008748F3"/>
    <w:rsid w:val="00874FDD"/>
    <w:rsid w:val="00875BA9"/>
    <w:rsid w:val="00875E44"/>
    <w:rsid w:val="0087635B"/>
    <w:rsid w:val="0087676B"/>
    <w:rsid w:val="00876C0A"/>
    <w:rsid w:val="008770E0"/>
    <w:rsid w:val="008771A0"/>
    <w:rsid w:val="00877B15"/>
    <w:rsid w:val="00877B67"/>
    <w:rsid w:val="0088039A"/>
    <w:rsid w:val="00880516"/>
    <w:rsid w:val="00881322"/>
    <w:rsid w:val="00881408"/>
    <w:rsid w:val="00881C25"/>
    <w:rsid w:val="00882015"/>
    <w:rsid w:val="00882200"/>
    <w:rsid w:val="008826C5"/>
    <w:rsid w:val="00882DB7"/>
    <w:rsid w:val="00883348"/>
    <w:rsid w:val="00883468"/>
    <w:rsid w:val="008835F0"/>
    <w:rsid w:val="00884798"/>
    <w:rsid w:val="00884890"/>
    <w:rsid w:val="0088506C"/>
    <w:rsid w:val="00885357"/>
    <w:rsid w:val="00885C67"/>
    <w:rsid w:val="008860DE"/>
    <w:rsid w:val="00886647"/>
    <w:rsid w:val="00887154"/>
    <w:rsid w:val="008872AD"/>
    <w:rsid w:val="00887311"/>
    <w:rsid w:val="008875DE"/>
    <w:rsid w:val="008877CA"/>
    <w:rsid w:val="00887C78"/>
    <w:rsid w:val="008907EC"/>
    <w:rsid w:val="00890BBA"/>
    <w:rsid w:val="008919BA"/>
    <w:rsid w:val="00891DE3"/>
    <w:rsid w:val="00891F6F"/>
    <w:rsid w:val="00892216"/>
    <w:rsid w:val="008922B2"/>
    <w:rsid w:val="008927C7"/>
    <w:rsid w:val="00892C54"/>
    <w:rsid w:val="008936EB"/>
    <w:rsid w:val="00893C7E"/>
    <w:rsid w:val="00893D1C"/>
    <w:rsid w:val="00893E38"/>
    <w:rsid w:val="00893F18"/>
    <w:rsid w:val="00894045"/>
    <w:rsid w:val="00894617"/>
    <w:rsid w:val="00894885"/>
    <w:rsid w:val="0089524D"/>
    <w:rsid w:val="0089624D"/>
    <w:rsid w:val="00896A34"/>
    <w:rsid w:val="0089740B"/>
    <w:rsid w:val="008975B3"/>
    <w:rsid w:val="00897D8E"/>
    <w:rsid w:val="008A0128"/>
    <w:rsid w:val="008A04FA"/>
    <w:rsid w:val="008A077C"/>
    <w:rsid w:val="008A078B"/>
    <w:rsid w:val="008A0F61"/>
    <w:rsid w:val="008A1BBB"/>
    <w:rsid w:val="008A220F"/>
    <w:rsid w:val="008A2334"/>
    <w:rsid w:val="008A25B4"/>
    <w:rsid w:val="008A27B7"/>
    <w:rsid w:val="008A3116"/>
    <w:rsid w:val="008A3317"/>
    <w:rsid w:val="008A3492"/>
    <w:rsid w:val="008A375F"/>
    <w:rsid w:val="008A3BA9"/>
    <w:rsid w:val="008A3D35"/>
    <w:rsid w:val="008A4552"/>
    <w:rsid w:val="008A5AB7"/>
    <w:rsid w:val="008A5B6F"/>
    <w:rsid w:val="008A5F9B"/>
    <w:rsid w:val="008A6053"/>
    <w:rsid w:val="008A61C6"/>
    <w:rsid w:val="008A6A6F"/>
    <w:rsid w:val="008A7A6B"/>
    <w:rsid w:val="008B001A"/>
    <w:rsid w:val="008B06F4"/>
    <w:rsid w:val="008B0990"/>
    <w:rsid w:val="008B1052"/>
    <w:rsid w:val="008B14F6"/>
    <w:rsid w:val="008B15C9"/>
    <w:rsid w:val="008B282F"/>
    <w:rsid w:val="008B2989"/>
    <w:rsid w:val="008B3353"/>
    <w:rsid w:val="008B35EE"/>
    <w:rsid w:val="008B38E6"/>
    <w:rsid w:val="008B3FCD"/>
    <w:rsid w:val="008B4016"/>
    <w:rsid w:val="008B4205"/>
    <w:rsid w:val="008B458D"/>
    <w:rsid w:val="008B4636"/>
    <w:rsid w:val="008B476E"/>
    <w:rsid w:val="008B48BC"/>
    <w:rsid w:val="008B48C0"/>
    <w:rsid w:val="008B4C69"/>
    <w:rsid w:val="008B4FB8"/>
    <w:rsid w:val="008B5643"/>
    <w:rsid w:val="008B5907"/>
    <w:rsid w:val="008B5AF0"/>
    <w:rsid w:val="008B61D4"/>
    <w:rsid w:val="008B63DC"/>
    <w:rsid w:val="008B6631"/>
    <w:rsid w:val="008B68B2"/>
    <w:rsid w:val="008B701F"/>
    <w:rsid w:val="008B7222"/>
    <w:rsid w:val="008B7237"/>
    <w:rsid w:val="008B75AE"/>
    <w:rsid w:val="008B7BD5"/>
    <w:rsid w:val="008C0437"/>
    <w:rsid w:val="008C0815"/>
    <w:rsid w:val="008C0928"/>
    <w:rsid w:val="008C0BE3"/>
    <w:rsid w:val="008C0C87"/>
    <w:rsid w:val="008C13ED"/>
    <w:rsid w:val="008C1A44"/>
    <w:rsid w:val="008C2B09"/>
    <w:rsid w:val="008C30E9"/>
    <w:rsid w:val="008C3465"/>
    <w:rsid w:val="008C35C5"/>
    <w:rsid w:val="008C3718"/>
    <w:rsid w:val="008C39ED"/>
    <w:rsid w:val="008C416F"/>
    <w:rsid w:val="008C4253"/>
    <w:rsid w:val="008C5386"/>
    <w:rsid w:val="008C5601"/>
    <w:rsid w:val="008C686D"/>
    <w:rsid w:val="008C6DA6"/>
    <w:rsid w:val="008C719B"/>
    <w:rsid w:val="008C720E"/>
    <w:rsid w:val="008C7293"/>
    <w:rsid w:val="008C7805"/>
    <w:rsid w:val="008C7E51"/>
    <w:rsid w:val="008C7F0C"/>
    <w:rsid w:val="008D006C"/>
    <w:rsid w:val="008D0419"/>
    <w:rsid w:val="008D05C4"/>
    <w:rsid w:val="008D0A21"/>
    <w:rsid w:val="008D127A"/>
    <w:rsid w:val="008D1898"/>
    <w:rsid w:val="008D1A20"/>
    <w:rsid w:val="008D1EF8"/>
    <w:rsid w:val="008D2788"/>
    <w:rsid w:val="008D2805"/>
    <w:rsid w:val="008D32F7"/>
    <w:rsid w:val="008D3761"/>
    <w:rsid w:val="008D4214"/>
    <w:rsid w:val="008D4538"/>
    <w:rsid w:val="008D48AD"/>
    <w:rsid w:val="008D4A83"/>
    <w:rsid w:val="008D4FA6"/>
    <w:rsid w:val="008D50EB"/>
    <w:rsid w:val="008D532F"/>
    <w:rsid w:val="008D6598"/>
    <w:rsid w:val="008D66D0"/>
    <w:rsid w:val="008D6A7C"/>
    <w:rsid w:val="008D6E4F"/>
    <w:rsid w:val="008D7816"/>
    <w:rsid w:val="008D7A1D"/>
    <w:rsid w:val="008D7BDA"/>
    <w:rsid w:val="008D7EB2"/>
    <w:rsid w:val="008E0649"/>
    <w:rsid w:val="008E0B3E"/>
    <w:rsid w:val="008E0C74"/>
    <w:rsid w:val="008E1107"/>
    <w:rsid w:val="008E11AB"/>
    <w:rsid w:val="008E127B"/>
    <w:rsid w:val="008E1480"/>
    <w:rsid w:val="008E1AE3"/>
    <w:rsid w:val="008E2435"/>
    <w:rsid w:val="008E3487"/>
    <w:rsid w:val="008E3A18"/>
    <w:rsid w:val="008E3BF5"/>
    <w:rsid w:val="008E3E64"/>
    <w:rsid w:val="008E3ED1"/>
    <w:rsid w:val="008E3F1F"/>
    <w:rsid w:val="008E443E"/>
    <w:rsid w:val="008E44BD"/>
    <w:rsid w:val="008E4A69"/>
    <w:rsid w:val="008E4B3C"/>
    <w:rsid w:val="008E551B"/>
    <w:rsid w:val="008E56EC"/>
    <w:rsid w:val="008E5C8A"/>
    <w:rsid w:val="008E5E79"/>
    <w:rsid w:val="008E62E4"/>
    <w:rsid w:val="008E7C37"/>
    <w:rsid w:val="008F0318"/>
    <w:rsid w:val="008F086A"/>
    <w:rsid w:val="008F1508"/>
    <w:rsid w:val="008F1542"/>
    <w:rsid w:val="008F205C"/>
    <w:rsid w:val="008F2A29"/>
    <w:rsid w:val="008F2F1D"/>
    <w:rsid w:val="008F33E3"/>
    <w:rsid w:val="008F3AFF"/>
    <w:rsid w:val="008F3D4E"/>
    <w:rsid w:val="008F4D29"/>
    <w:rsid w:val="008F50BB"/>
    <w:rsid w:val="008F5119"/>
    <w:rsid w:val="008F654B"/>
    <w:rsid w:val="008F65AE"/>
    <w:rsid w:val="008F6A66"/>
    <w:rsid w:val="008F6FD2"/>
    <w:rsid w:val="008F7075"/>
    <w:rsid w:val="008F7500"/>
    <w:rsid w:val="008F7AB5"/>
    <w:rsid w:val="008F7CE9"/>
    <w:rsid w:val="008F7E4E"/>
    <w:rsid w:val="00900442"/>
    <w:rsid w:val="009011C5"/>
    <w:rsid w:val="00901C19"/>
    <w:rsid w:val="00901D0F"/>
    <w:rsid w:val="00901DB8"/>
    <w:rsid w:val="009020F3"/>
    <w:rsid w:val="00902430"/>
    <w:rsid w:val="00902519"/>
    <w:rsid w:val="00903A8F"/>
    <w:rsid w:val="00903B7C"/>
    <w:rsid w:val="00904270"/>
    <w:rsid w:val="0090432A"/>
    <w:rsid w:val="009043A1"/>
    <w:rsid w:val="0090470B"/>
    <w:rsid w:val="00904EA3"/>
    <w:rsid w:val="00905CBB"/>
    <w:rsid w:val="00906381"/>
    <w:rsid w:val="009067AB"/>
    <w:rsid w:val="00907367"/>
    <w:rsid w:val="00907455"/>
    <w:rsid w:val="00907726"/>
    <w:rsid w:val="00907D76"/>
    <w:rsid w:val="00907FDC"/>
    <w:rsid w:val="00910BCE"/>
    <w:rsid w:val="00910DAA"/>
    <w:rsid w:val="00910F3C"/>
    <w:rsid w:val="00910FD9"/>
    <w:rsid w:val="009112CD"/>
    <w:rsid w:val="009119BB"/>
    <w:rsid w:val="00911B8F"/>
    <w:rsid w:val="00911D2A"/>
    <w:rsid w:val="00911F0D"/>
    <w:rsid w:val="00912321"/>
    <w:rsid w:val="00912CB5"/>
    <w:rsid w:val="00913276"/>
    <w:rsid w:val="0091392F"/>
    <w:rsid w:val="00913CDD"/>
    <w:rsid w:val="009143EC"/>
    <w:rsid w:val="0091472E"/>
    <w:rsid w:val="00915204"/>
    <w:rsid w:val="0091550E"/>
    <w:rsid w:val="00915C8B"/>
    <w:rsid w:val="00915F6E"/>
    <w:rsid w:val="0091692C"/>
    <w:rsid w:val="00916D39"/>
    <w:rsid w:val="00916F78"/>
    <w:rsid w:val="00917532"/>
    <w:rsid w:val="00917EBF"/>
    <w:rsid w:val="009204D4"/>
    <w:rsid w:val="00921A24"/>
    <w:rsid w:val="00921C04"/>
    <w:rsid w:val="00921DFB"/>
    <w:rsid w:val="00921E63"/>
    <w:rsid w:val="0092251E"/>
    <w:rsid w:val="0092276E"/>
    <w:rsid w:val="00922FDC"/>
    <w:rsid w:val="00923219"/>
    <w:rsid w:val="00923A88"/>
    <w:rsid w:val="00923C77"/>
    <w:rsid w:val="00923CDE"/>
    <w:rsid w:val="00924014"/>
    <w:rsid w:val="00924C07"/>
    <w:rsid w:val="00925150"/>
    <w:rsid w:val="00926665"/>
    <w:rsid w:val="00926979"/>
    <w:rsid w:val="00926CC9"/>
    <w:rsid w:val="00926E16"/>
    <w:rsid w:val="00927573"/>
    <w:rsid w:val="00927744"/>
    <w:rsid w:val="00930901"/>
    <w:rsid w:val="0093161B"/>
    <w:rsid w:val="00932076"/>
    <w:rsid w:val="009321A0"/>
    <w:rsid w:val="00932251"/>
    <w:rsid w:val="009328D3"/>
    <w:rsid w:val="0093297A"/>
    <w:rsid w:val="00932C18"/>
    <w:rsid w:val="00934164"/>
    <w:rsid w:val="00934237"/>
    <w:rsid w:val="0093435A"/>
    <w:rsid w:val="00934A26"/>
    <w:rsid w:val="00934B8A"/>
    <w:rsid w:val="00935450"/>
    <w:rsid w:val="00935531"/>
    <w:rsid w:val="009356EB"/>
    <w:rsid w:val="00935C26"/>
    <w:rsid w:val="00935F65"/>
    <w:rsid w:val="00936979"/>
    <w:rsid w:val="00936EF4"/>
    <w:rsid w:val="0093716F"/>
    <w:rsid w:val="00937401"/>
    <w:rsid w:val="0093740C"/>
    <w:rsid w:val="009376FD"/>
    <w:rsid w:val="009378F5"/>
    <w:rsid w:val="00937DE6"/>
    <w:rsid w:val="00940385"/>
    <w:rsid w:val="009406B5"/>
    <w:rsid w:val="00940EB7"/>
    <w:rsid w:val="00941017"/>
    <w:rsid w:val="00941AD1"/>
    <w:rsid w:val="00942073"/>
    <w:rsid w:val="009422E0"/>
    <w:rsid w:val="009428EA"/>
    <w:rsid w:val="00942A7C"/>
    <w:rsid w:val="00942AE5"/>
    <w:rsid w:val="00942CAD"/>
    <w:rsid w:val="00943112"/>
    <w:rsid w:val="009431E2"/>
    <w:rsid w:val="00943332"/>
    <w:rsid w:val="0094363B"/>
    <w:rsid w:val="00943A36"/>
    <w:rsid w:val="00943D02"/>
    <w:rsid w:val="00943FDD"/>
    <w:rsid w:val="00944015"/>
    <w:rsid w:val="00944458"/>
    <w:rsid w:val="00944B3D"/>
    <w:rsid w:val="00944C58"/>
    <w:rsid w:val="00944D33"/>
    <w:rsid w:val="00944D6B"/>
    <w:rsid w:val="009452CD"/>
    <w:rsid w:val="009456F5"/>
    <w:rsid w:val="00945E9E"/>
    <w:rsid w:val="0094660D"/>
    <w:rsid w:val="0094694A"/>
    <w:rsid w:val="00946FDE"/>
    <w:rsid w:val="00947197"/>
    <w:rsid w:val="009477A4"/>
    <w:rsid w:val="00947C77"/>
    <w:rsid w:val="00947D57"/>
    <w:rsid w:val="00947D64"/>
    <w:rsid w:val="009502D4"/>
    <w:rsid w:val="00950F0D"/>
    <w:rsid w:val="00951AD8"/>
    <w:rsid w:val="00952BE3"/>
    <w:rsid w:val="00952BF2"/>
    <w:rsid w:val="00952DC4"/>
    <w:rsid w:val="00952F84"/>
    <w:rsid w:val="00952FF0"/>
    <w:rsid w:val="009534A9"/>
    <w:rsid w:val="00953C60"/>
    <w:rsid w:val="009541F4"/>
    <w:rsid w:val="00954580"/>
    <w:rsid w:val="009545E6"/>
    <w:rsid w:val="00954D51"/>
    <w:rsid w:val="009555E5"/>
    <w:rsid w:val="00955B82"/>
    <w:rsid w:val="009563C9"/>
    <w:rsid w:val="00956FB8"/>
    <w:rsid w:val="00957162"/>
    <w:rsid w:val="00957855"/>
    <w:rsid w:val="00957BE4"/>
    <w:rsid w:val="00957CF7"/>
    <w:rsid w:val="00957F6D"/>
    <w:rsid w:val="00960193"/>
    <w:rsid w:val="0096124E"/>
    <w:rsid w:val="009613E8"/>
    <w:rsid w:val="0096198C"/>
    <w:rsid w:val="00961B50"/>
    <w:rsid w:val="009620AC"/>
    <w:rsid w:val="00962222"/>
    <w:rsid w:val="009623BD"/>
    <w:rsid w:val="009625B9"/>
    <w:rsid w:val="0096266C"/>
    <w:rsid w:val="00963022"/>
    <w:rsid w:val="009631FE"/>
    <w:rsid w:val="0096339B"/>
    <w:rsid w:val="00964559"/>
    <w:rsid w:val="009646E4"/>
    <w:rsid w:val="0096488E"/>
    <w:rsid w:val="00964C46"/>
    <w:rsid w:val="009653DC"/>
    <w:rsid w:val="00965940"/>
    <w:rsid w:val="009659CC"/>
    <w:rsid w:val="00965A5B"/>
    <w:rsid w:val="00966254"/>
    <w:rsid w:val="00966B6E"/>
    <w:rsid w:val="00966F90"/>
    <w:rsid w:val="00967435"/>
    <w:rsid w:val="00967998"/>
    <w:rsid w:val="009679BF"/>
    <w:rsid w:val="00967D61"/>
    <w:rsid w:val="00967DB6"/>
    <w:rsid w:val="00970039"/>
    <w:rsid w:val="0097053A"/>
    <w:rsid w:val="0097171D"/>
    <w:rsid w:val="009720A1"/>
    <w:rsid w:val="0097237F"/>
    <w:rsid w:val="009723A4"/>
    <w:rsid w:val="0097279B"/>
    <w:rsid w:val="00972B27"/>
    <w:rsid w:val="00972D60"/>
    <w:rsid w:val="0097334F"/>
    <w:rsid w:val="009733A0"/>
    <w:rsid w:val="00973491"/>
    <w:rsid w:val="00974695"/>
    <w:rsid w:val="009748ED"/>
    <w:rsid w:val="00975043"/>
    <w:rsid w:val="00975844"/>
    <w:rsid w:val="00975A11"/>
    <w:rsid w:val="00975A2E"/>
    <w:rsid w:val="00975F93"/>
    <w:rsid w:val="009761EE"/>
    <w:rsid w:val="009769F6"/>
    <w:rsid w:val="0097716E"/>
    <w:rsid w:val="009775CA"/>
    <w:rsid w:val="00977B9D"/>
    <w:rsid w:val="00977E8B"/>
    <w:rsid w:val="00980664"/>
    <w:rsid w:val="00980747"/>
    <w:rsid w:val="00981180"/>
    <w:rsid w:val="0098120F"/>
    <w:rsid w:val="00981690"/>
    <w:rsid w:val="0098182A"/>
    <w:rsid w:val="00981A69"/>
    <w:rsid w:val="009822A4"/>
    <w:rsid w:val="00983067"/>
    <w:rsid w:val="00983B63"/>
    <w:rsid w:val="00983DEA"/>
    <w:rsid w:val="00983E51"/>
    <w:rsid w:val="00983EE2"/>
    <w:rsid w:val="0098408D"/>
    <w:rsid w:val="0098480D"/>
    <w:rsid w:val="00984C0D"/>
    <w:rsid w:val="00984F57"/>
    <w:rsid w:val="00984F67"/>
    <w:rsid w:val="009857DB"/>
    <w:rsid w:val="009857E0"/>
    <w:rsid w:val="00985947"/>
    <w:rsid w:val="009865DA"/>
    <w:rsid w:val="00986985"/>
    <w:rsid w:val="00986C74"/>
    <w:rsid w:val="00987479"/>
    <w:rsid w:val="009876A8"/>
    <w:rsid w:val="009879C0"/>
    <w:rsid w:val="00987AA9"/>
    <w:rsid w:val="00990344"/>
    <w:rsid w:val="00990A79"/>
    <w:rsid w:val="0099105C"/>
    <w:rsid w:val="0099126C"/>
    <w:rsid w:val="009915B4"/>
    <w:rsid w:val="0099226B"/>
    <w:rsid w:val="00992293"/>
    <w:rsid w:val="00992709"/>
    <w:rsid w:val="00992C68"/>
    <w:rsid w:val="00993B23"/>
    <w:rsid w:val="00993E42"/>
    <w:rsid w:val="00994792"/>
    <w:rsid w:val="009948F8"/>
    <w:rsid w:val="00995B63"/>
    <w:rsid w:val="0099699E"/>
    <w:rsid w:val="00996DE3"/>
    <w:rsid w:val="0099737B"/>
    <w:rsid w:val="009973CD"/>
    <w:rsid w:val="00997B3F"/>
    <w:rsid w:val="009A045A"/>
    <w:rsid w:val="009A04BC"/>
    <w:rsid w:val="009A0557"/>
    <w:rsid w:val="009A0B1F"/>
    <w:rsid w:val="009A0DB6"/>
    <w:rsid w:val="009A0E0D"/>
    <w:rsid w:val="009A1550"/>
    <w:rsid w:val="009A1642"/>
    <w:rsid w:val="009A1658"/>
    <w:rsid w:val="009A1DB4"/>
    <w:rsid w:val="009A24B6"/>
    <w:rsid w:val="009A25AA"/>
    <w:rsid w:val="009A2FF7"/>
    <w:rsid w:val="009A30B3"/>
    <w:rsid w:val="009A3486"/>
    <w:rsid w:val="009A34DD"/>
    <w:rsid w:val="009A386E"/>
    <w:rsid w:val="009A4AE0"/>
    <w:rsid w:val="009A4BAC"/>
    <w:rsid w:val="009A4E53"/>
    <w:rsid w:val="009A5477"/>
    <w:rsid w:val="009A55B1"/>
    <w:rsid w:val="009A5736"/>
    <w:rsid w:val="009A597F"/>
    <w:rsid w:val="009A617C"/>
    <w:rsid w:val="009A61B8"/>
    <w:rsid w:val="009A6A7F"/>
    <w:rsid w:val="009A7856"/>
    <w:rsid w:val="009A7991"/>
    <w:rsid w:val="009B0149"/>
    <w:rsid w:val="009B0360"/>
    <w:rsid w:val="009B053E"/>
    <w:rsid w:val="009B0F54"/>
    <w:rsid w:val="009B1796"/>
    <w:rsid w:val="009B1B22"/>
    <w:rsid w:val="009B1BDB"/>
    <w:rsid w:val="009B1C9D"/>
    <w:rsid w:val="009B1D4E"/>
    <w:rsid w:val="009B2198"/>
    <w:rsid w:val="009B223C"/>
    <w:rsid w:val="009B26BC"/>
    <w:rsid w:val="009B2938"/>
    <w:rsid w:val="009B2C60"/>
    <w:rsid w:val="009B2E61"/>
    <w:rsid w:val="009B34DF"/>
    <w:rsid w:val="009B3E30"/>
    <w:rsid w:val="009B4166"/>
    <w:rsid w:val="009B4557"/>
    <w:rsid w:val="009B481E"/>
    <w:rsid w:val="009B4EAA"/>
    <w:rsid w:val="009B4EDA"/>
    <w:rsid w:val="009B4F0E"/>
    <w:rsid w:val="009B5425"/>
    <w:rsid w:val="009B58F9"/>
    <w:rsid w:val="009B59BF"/>
    <w:rsid w:val="009B5C55"/>
    <w:rsid w:val="009B6B58"/>
    <w:rsid w:val="009B764F"/>
    <w:rsid w:val="009B7659"/>
    <w:rsid w:val="009B7719"/>
    <w:rsid w:val="009B7AFB"/>
    <w:rsid w:val="009C07F5"/>
    <w:rsid w:val="009C0D35"/>
    <w:rsid w:val="009C0E2C"/>
    <w:rsid w:val="009C15B6"/>
    <w:rsid w:val="009C1A72"/>
    <w:rsid w:val="009C2C50"/>
    <w:rsid w:val="009C2DCE"/>
    <w:rsid w:val="009C2EA9"/>
    <w:rsid w:val="009C2ED8"/>
    <w:rsid w:val="009C3A39"/>
    <w:rsid w:val="009C3E38"/>
    <w:rsid w:val="009C3F49"/>
    <w:rsid w:val="009C3FD1"/>
    <w:rsid w:val="009C4C3B"/>
    <w:rsid w:val="009C4E40"/>
    <w:rsid w:val="009C4EA5"/>
    <w:rsid w:val="009C4FDC"/>
    <w:rsid w:val="009C51A0"/>
    <w:rsid w:val="009C60DA"/>
    <w:rsid w:val="009C6117"/>
    <w:rsid w:val="009C6510"/>
    <w:rsid w:val="009C6523"/>
    <w:rsid w:val="009C6E4E"/>
    <w:rsid w:val="009C6F97"/>
    <w:rsid w:val="009C736F"/>
    <w:rsid w:val="009C74C7"/>
    <w:rsid w:val="009C7B30"/>
    <w:rsid w:val="009C7CC2"/>
    <w:rsid w:val="009D007E"/>
    <w:rsid w:val="009D04D5"/>
    <w:rsid w:val="009D05E6"/>
    <w:rsid w:val="009D060C"/>
    <w:rsid w:val="009D0F75"/>
    <w:rsid w:val="009D10DE"/>
    <w:rsid w:val="009D111F"/>
    <w:rsid w:val="009D19EC"/>
    <w:rsid w:val="009D1B7C"/>
    <w:rsid w:val="009D1D57"/>
    <w:rsid w:val="009D1D69"/>
    <w:rsid w:val="009D1F8F"/>
    <w:rsid w:val="009D1FF0"/>
    <w:rsid w:val="009D22C5"/>
    <w:rsid w:val="009D25FC"/>
    <w:rsid w:val="009D2889"/>
    <w:rsid w:val="009D2E05"/>
    <w:rsid w:val="009D31F3"/>
    <w:rsid w:val="009D388A"/>
    <w:rsid w:val="009D3A93"/>
    <w:rsid w:val="009D3B29"/>
    <w:rsid w:val="009D434A"/>
    <w:rsid w:val="009D4474"/>
    <w:rsid w:val="009D4C52"/>
    <w:rsid w:val="009D5A2B"/>
    <w:rsid w:val="009D6201"/>
    <w:rsid w:val="009D65CB"/>
    <w:rsid w:val="009D6F76"/>
    <w:rsid w:val="009D7607"/>
    <w:rsid w:val="009E0642"/>
    <w:rsid w:val="009E074D"/>
    <w:rsid w:val="009E07BF"/>
    <w:rsid w:val="009E08CD"/>
    <w:rsid w:val="009E0B4F"/>
    <w:rsid w:val="009E0C08"/>
    <w:rsid w:val="009E1037"/>
    <w:rsid w:val="009E1854"/>
    <w:rsid w:val="009E1981"/>
    <w:rsid w:val="009E1DB8"/>
    <w:rsid w:val="009E1F3B"/>
    <w:rsid w:val="009E24D8"/>
    <w:rsid w:val="009E3163"/>
    <w:rsid w:val="009E37A5"/>
    <w:rsid w:val="009E38E3"/>
    <w:rsid w:val="009E3F4C"/>
    <w:rsid w:val="009E4B91"/>
    <w:rsid w:val="009E4BB5"/>
    <w:rsid w:val="009E5191"/>
    <w:rsid w:val="009E5205"/>
    <w:rsid w:val="009E53CF"/>
    <w:rsid w:val="009E5ABF"/>
    <w:rsid w:val="009E5D59"/>
    <w:rsid w:val="009E6385"/>
    <w:rsid w:val="009E65CB"/>
    <w:rsid w:val="009E6C19"/>
    <w:rsid w:val="009E6D8A"/>
    <w:rsid w:val="009E6DFD"/>
    <w:rsid w:val="009E7228"/>
    <w:rsid w:val="009E7615"/>
    <w:rsid w:val="009E784F"/>
    <w:rsid w:val="009E7BE4"/>
    <w:rsid w:val="009F0629"/>
    <w:rsid w:val="009F06F0"/>
    <w:rsid w:val="009F07E6"/>
    <w:rsid w:val="009F0A12"/>
    <w:rsid w:val="009F0AE6"/>
    <w:rsid w:val="009F1221"/>
    <w:rsid w:val="009F1505"/>
    <w:rsid w:val="009F16F8"/>
    <w:rsid w:val="009F30B0"/>
    <w:rsid w:val="009F3450"/>
    <w:rsid w:val="009F3458"/>
    <w:rsid w:val="009F4DF0"/>
    <w:rsid w:val="009F57AD"/>
    <w:rsid w:val="009F5AB8"/>
    <w:rsid w:val="009F64FA"/>
    <w:rsid w:val="009F67C1"/>
    <w:rsid w:val="009F73EA"/>
    <w:rsid w:val="009F76B6"/>
    <w:rsid w:val="00A004B6"/>
    <w:rsid w:val="00A007BC"/>
    <w:rsid w:val="00A00AD9"/>
    <w:rsid w:val="00A00CBF"/>
    <w:rsid w:val="00A00E83"/>
    <w:rsid w:val="00A00F29"/>
    <w:rsid w:val="00A01531"/>
    <w:rsid w:val="00A015C2"/>
    <w:rsid w:val="00A02388"/>
    <w:rsid w:val="00A0254A"/>
    <w:rsid w:val="00A026AC"/>
    <w:rsid w:val="00A02855"/>
    <w:rsid w:val="00A03313"/>
    <w:rsid w:val="00A03FFF"/>
    <w:rsid w:val="00A04E70"/>
    <w:rsid w:val="00A04ECF"/>
    <w:rsid w:val="00A04FC0"/>
    <w:rsid w:val="00A060B5"/>
    <w:rsid w:val="00A060B6"/>
    <w:rsid w:val="00A06353"/>
    <w:rsid w:val="00A068FB"/>
    <w:rsid w:val="00A07802"/>
    <w:rsid w:val="00A07961"/>
    <w:rsid w:val="00A07CC6"/>
    <w:rsid w:val="00A1033B"/>
    <w:rsid w:val="00A104A1"/>
    <w:rsid w:val="00A10763"/>
    <w:rsid w:val="00A113CD"/>
    <w:rsid w:val="00A114DD"/>
    <w:rsid w:val="00A11CC8"/>
    <w:rsid w:val="00A11D7C"/>
    <w:rsid w:val="00A12229"/>
    <w:rsid w:val="00A124EB"/>
    <w:rsid w:val="00A12DEA"/>
    <w:rsid w:val="00A143AC"/>
    <w:rsid w:val="00A14A6C"/>
    <w:rsid w:val="00A15860"/>
    <w:rsid w:val="00A15A44"/>
    <w:rsid w:val="00A15A66"/>
    <w:rsid w:val="00A15CA4"/>
    <w:rsid w:val="00A15E6A"/>
    <w:rsid w:val="00A16B66"/>
    <w:rsid w:val="00A16FE0"/>
    <w:rsid w:val="00A1793C"/>
    <w:rsid w:val="00A17C5A"/>
    <w:rsid w:val="00A17F69"/>
    <w:rsid w:val="00A2016C"/>
    <w:rsid w:val="00A2046F"/>
    <w:rsid w:val="00A204DF"/>
    <w:rsid w:val="00A20550"/>
    <w:rsid w:val="00A20D0C"/>
    <w:rsid w:val="00A20DB7"/>
    <w:rsid w:val="00A215E8"/>
    <w:rsid w:val="00A2169C"/>
    <w:rsid w:val="00A2178F"/>
    <w:rsid w:val="00A219A2"/>
    <w:rsid w:val="00A21D4A"/>
    <w:rsid w:val="00A2401E"/>
    <w:rsid w:val="00A24CA4"/>
    <w:rsid w:val="00A25041"/>
    <w:rsid w:val="00A25246"/>
    <w:rsid w:val="00A253DE"/>
    <w:rsid w:val="00A255BA"/>
    <w:rsid w:val="00A2623B"/>
    <w:rsid w:val="00A26286"/>
    <w:rsid w:val="00A264FE"/>
    <w:rsid w:val="00A26607"/>
    <w:rsid w:val="00A266C6"/>
    <w:rsid w:val="00A27143"/>
    <w:rsid w:val="00A27256"/>
    <w:rsid w:val="00A27C10"/>
    <w:rsid w:val="00A3034A"/>
    <w:rsid w:val="00A306EA"/>
    <w:rsid w:val="00A3118F"/>
    <w:rsid w:val="00A31302"/>
    <w:rsid w:val="00A31B9F"/>
    <w:rsid w:val="00A31DDF"/>
    <w:rsid w:val="00A326A8"/>
    <w:rsid w:val="00A326AD"/>
    <w:rsid w:val="00A327A2"/>
    <w:rsid w:val="00A32924"/>
    <w:rsid w:val="00A329A2"/>
    <w:rsid w:val="00A32BD4"/>
    <w:rsid w:val="00A336DF"/>
    <w:rsid w:val="00A33B4F"/>
    <w:rsid w:val="00A33FF9"/>
    <w:rsid w:val="00A3439E"/>
    <w:rsid w:val="00A35384"/>
    <w:rsid w:val="00A3541E"/>
    <w:rsid w:val="00A36077"/>
    <w:rsid w:val="00A3622D"/>
    <w:rsid w:val="00A36643"/>
    <w:rsid w:val="00A36705"/>
    <w:rsid w:val="00A377C1"/>
    <w:rsid w:val="00A407FC"/>
    <w:rsid w:val="00A40BDF"/>
    <w:rsid w:val="00A40E78"/>
    <w:rsid w:val="00A415C9"/>
    <w:rsid w:val="00A4211D"/>
    <w:rsid w:val="00A42D85"/>
    <w:rsid w:val="00A42FC3"/>
    <w:rsid w:val="00A434D2"/>
    <w:rsid w:val="00A435AE"/>
    <w:rsid w:val="00A435F7"/>
    <w:rsid w:val="00A43724"/>
    <w:rsid w:val="00A43EC8"/>
    <w:rsid w:val="00A442F3"/>
    <w:rsid w:val="00A44352"/>
    <w:rsid w:val="00A44401"/>
    <w:rsid w:val="00A4482B"/>
    <w:rsid w:val="00A44E96"/>
    <w:rsid w:val="00A452DD"/>
    <w:rsid w:val="00A4571B"/>
    <w:rsid w:val="00A45721"/>
    <w:rsid w:val="00A45F23"/>
    <w:rsid w:val="00A46020"/>
    <w:rsid w:val="00A46BCD"/>
    <w:rsid w:val="00A46DE7"/>
    <w:rsid w:val="00A46FC1"/>
    <w:rsid w:val="00A47FDC"/>
    <w:rsid w:val="00A5034F"/>
    <w:rsid w:val="00A505BD"/>
    <w:rsid w:val="00A50CAD"/>
    <w:rsid w:val="00A5111C"/>
    <w:rsid w:val="00A5123A"/>
    <w:rsid w:val="00A51674"/>
    <w:rsid w:val="00A51EDC"/>
    <w:rsid w:val="00A51F65"/>
    <w:rsid w:val="00A5256F"/>
    <w:rsid w:val="00A52684"/>
    <w:rsid w:val="00A527B2"/>
    <w:rsid w:val="00A5297B"/>
    <w:rsid w:val="00A538BA"/>
    <w:rsid w:val="00A538D1"/>
    <w:rsid w:val="00A538EC"/>
    <w:rsid w:val="00A538FC"/>
    <w:rsid w:val="00A54C14"/>
    <w:rsid w:val="00A552EA"/>
    <w:rsid w:val="00A55842"/>
    <w:rsid w:val="00A561E7"/>
    <w:rsid w:val="00A564B2"/>
    <w:rsid w:val="00A56877"/>
    <w:rsid w:val="00A56AA6"/>
    <w:rsid w:val="00A56AC9"/>
    <w:rsid w:val="00A56F78"/>
    <w:rsid w:val="00A57383"/>
    <w:rsid w:val="00A602C1"/>
    <w:rsid w:val="00A60770"/>
    <w:rsid w:val="00A609B4"/>
    <w:rsid w:val="00A61863"/>
    <w:rsid w:val="00A61B5F"/>
    <w:rsid w:val="00A61CBC"/>
    <w:rsid w:val="00A62219"/>
    <w:rsid w:val="00A62482"/>
    <w:rsid w:val="00A62BF7"/>
    <w:rsid w:val="00A62D0E"/>
    <w:rsid w:val="00A62DBB"/>
    <w:rsid w:val="00A62FD7"/>
    <w:rsid w:val="00A63767"/>
    <w:rsid w:val="00A638F2"/>
    <w:rsid w:val="00A63921"/>
    <w:rsid w:val="00A63B84"/>
    <w:rsid w:val="00A640D4"/>
    <w:rsid w:val="00A65AAB"/>
    <w:rsid w:val="00A65C67"/>
    <w:rsid w:val="00A65EBF"/>
    <w:rsid w:val="00A65F69"/>
    <w:rsid w:val="00A665DA"/>
    <w:rsid w:val="00A66737"/>
    <w:rsid w:val="00A66AD3"/>
    <w:rsid w:val="00A66C0B"/>
    <w:rsid w:val="00A66EB2"/>
    <w:rsid w:val="00A677FB"/>
    <w:rsid w:val="00A67813"/>
    <w:rsid w:val="00A67B6F"/>
    <w:rsid w:val="00A67D0A"/>
    <w:rsid w:val="00A67F37"/>
    <w:rsid w:val="00A7117E"/>
    <w:rsid w:val="00A71C17"/>
    <w:rsid w:val="00A72178"/>
    <w:rsid w:val="00A7247E"/>
    <w:rsid w:val="00A725B0"/>
    <w:rsid w:val="00A73FC2"/>
    <w:rsid w:val="00A74003"/>
    <w:rsid w:val="00A74155"/>
    <w:rsid w:val="00A74415"/>
    <w:rsid w:val="00A74429"/>
    <w:rsid w:val="00A7486D"/>
    <w:rsid w:val="00A7542A"/>
    <w:rsid w:val="00A75585"/>
    <w:rsid w:val="00A7558E"/>
    <w:rsid w:val="00A75BD3"/>
    <w:rsid w:val="00A764C5"/>
    <w:rsid w:val="00A76558"/>
    <w:rsid w:val="00A76579"/>
    <w:rsid w:val="00A769FF"/>
    <w:rsid w:val="00A76B4F"/>
    <w:rsid w:val="00A76BF4"/>
    <w:rsid w:val="00A76CC4"/>
    <w:rsid w:val="00A76F3E"/>
    <w:rsid w:val="00A771D7"/>
    <w:rsid w:val="00A772F0"/>
    <w:rsid w:val="00A77442"/>
    <w:rsid w:val="00A77AA2"/>
    <w:rsid w:val="00A77C98"/>
    <w:rsid w:val="00A802D2"/>
    <w:rsid w:val="00A80598"/>
    <w:rsid w:val="00A80986"/>
    <w:rsid w:val="00A80ADF"/>
    <w:rsid w:val="00A8160F"/>
    <w:rsid w:val="00A8190F"/>
    <w:rsid w:val="00A82160"/>
    <w:rsid w:val="00A82554"/>
    <w:rsid w:val="00A825D0"/>
    <w:rsid w:val="00A82C22"/>
    <w:rsid w:val="00A83B06"/>
    <w:rsid w:val="00A83C2F"/>
    <w:rsid w:val="00A83FB2"/>
    <w:rsid w:val="00A84118"/>
    <w:rsid w:val="00A842A8"/>
    <w:rsid w:val="00A8461B"/>
    <w:rsid w:val="00A853BC"/>
    <w:rsid w:val="00A853F1"/>
    <w:rsid w:val="00A8546F"/>
    <w:rsid w:val="00A85868"/>
    <w:rsid w:val="00A85ACD"/>
    <w:rsid w:val="00A85B37"/>
    <w:rsid w:val="00A86546"/>
    <w:rsid w:val="00A865F2"/>
    <w:rsid w:val="00A86EDA"/>
    <w:rsid w:val="00A871B9"/>
    <w:rsid w:val="00A871C9"/>
    <w:rsid w:val="00A875D8"/>
    <w:rsid w:val="00A87866"/>
    <w:rsid w:val="00A87BFF"/>
    <w:rsid w:val="00A90991"/>
    <w:rsid w:val="00A90F4B"/>
    <w:rsid w:val="00A913C6"/>
    <w:rsid w:val="00A9198E"/>
    <w:rsid w:val="00A91BDC"/>
    <w:rsid w:val="00A91DCA"/>
    <w:rsid w:val="00A91EBB"/>
    <w:rsid w:val="00A9209C"/>
    <w:rsid w:val="00A92D09"/>
    <w:rsid w:val="00A93846"/>
    <w:rsid w:val="00A93A5C"/>
    <w:rsid w:val="00A93CCC"/>
    <w:rsid w:val="00A93F4D"/>
    <w:rsid w:val="00A9481C"/>
    <w:rsid w:val="00A959B2"/>
    <w:rsid w:val="00A95E6B"/>
    <w:rsid w:val="00A9604C"/>
    <w:rsid w:val="00A96921"/>
    <w:rsid w:val="00A97282"/>
    <w:rsid w:val="00A972C1"/>
    <w:rsid w:val="00A97ADC"/>
    <w:rsid w:val="00AA05F4"/>
    <w:rsid w:val="00AA07E0"/>
    <w:rsid w:val="00AA0D79"/>
    <w:rsid w:val="00AA0EB1"/>
    <w:rsid w:val="00AA0EFB"/>
    <w:rsid w:val="00AA14F2"/>
    <w:rsid w:val="00AA1C4A"/>
    <w:rsid w:val="00AA2047"/>
    <w:rsid w:val="00AA2705"/>
    <w:rsid w:val="00AA3E35"/>
    <w:rsid w:val="00AA4075"/>
    <w:rsid w:val="00AA4712"/>
    <w:rsid w:val="00AA4B12"/>
    <w:rsid w:val="00AA551E"/>
    <w:rsid w:val="00AA5578"/>
    <w:rsid w:val="00AA5ADC"/>
    <w:rsid w:val="00AA5D2B"/>
    <w:rsid w:val="00AA5F71"/>
    <w:rsid w:val="00AA5F87"/>
    <w:rsid w:val="00AA5FB3"/>
    <w:rsid w:val="00AA61CA"/>
    <w:rsid w:val="00AA659F"/>
    <w:rsid w:val="00AA6624"/>
    <w:rsid w:val="00AA7562"/>
    <w:rsid w:val="00AA757A"/>
    <w:rsid w:val="00AA79A5"/>
    <w:rsid w:val="00AA7F89"/>
    <w:rsid w:val="00AB053D"/>
    <w:rsid w:val="00AB1016"/>
    <w:rsid w:val="00AB17CD"/>
    <w:rsid w:val="00AB1ACF"/>
    <w:rsid w:val="00AB1FBD"/>
    <w:rsid w:val="00AB26EF"/>
    <w:rsid w:val="00AB2772"/>
    <w:rsid w:val="00AB2903"/>
    <w:rsid w:val="00AB29C1"/>
    <w:rsid w:val="00AB38E1"/>
    <w:rsid w:val="00AB3E22"/>
    <w:rsid w:val="00AB3E3E"/>
    <w:rsid w:val="00AB3EFF"/>
    <w:rsid w:val="00AB417D"/>
    <w:rsid w:val="00AB45E9"/>
    <w:rsid w:val="00AB50BE"/>
    <w:rsid w:val="00AB555D"/>
    <w:rsid w:val="00AB5835"/>
    <w:rsid w:val="00AC0357"/>
    <w:rsid w:val="00AC0912"/>
    <w:rsid w:val="00AC2470"/>
    <w:rsid w:val="00AC28A9"/>
    <w:rsid w:val="00AC28AA"/>
    <w:rsid w:val="00AC2B92"/>
    <w:rsid w:val="00AC3029"/>
    <w:rsid w:val="00AC3264"/>
    <w:rsid w:val="00AC3472"/>
    <w:rsid w:val="00AC3A86"/>
    <w:rsid w:val="00AC3C1E"/>
    <w:rsid w:val="00AC3D06"/>
    <w:rsid w:val="00AC4BB6"/>
    <w:rsid w:val="00AC4E35"/>
    <w:rsid w:val="00AC4EF7"/>
    <w:rsid w:val="00AC5259"/>
    <w:rsid w:val="00AC5EE0"/>
    <w:rsid w:val="00AC60D4"/>
    <w:rsid w:val="00AC633C"/>
    <w:rsid w:val="00AC6A93"/>
    <w:rsid w:val="00AC6CF7"/>
    <w:rsid w:val="00AC6F8C"/>
    <w:rsid w:val="00AC70D9"/>
    <w:rsid w:val="00AC7223"/>
    <w:rsid w:val="00AC758F"/>
    <w:rsid w:val="00AC780F"/>
    <w:rsid w:val="00AC798F"/>
    <w:rsid w:val="00AC79A2"/>
    <w:rsid w:val="00AC7A20"/>
    <w:rsid w:val="00AD1297"/>
    <w:rsid w:val="00AD26E8"/>
    <w:rsid w:val="00AD28BA"/>
    <w:rsid w:val="00AD2CAE"/>
    <w:rsid w:val="00AD2F88"/>
    <w:rsid w:val="00AD350C"/>
    <w:rsid w:val="00AD370B"/>
    <w:rsid w:val="00AD3CB4"/>
    <w:rsid w:val="00AD3E79"/>
    <w:rsid w:val="00AD420A"/>
    <w:rsid w:val="00AD47EA"/>
    <w:rsid w:val="00AD4868"/>
    <w:rsid w:val="00AD532B"/>
    <w:rsid w:val="00AD575E"/>
    <w:rsid w:val="00AD5BFE"/>
    <w:rsid w:val="00AD5CF0"/>
    <w:rsid w:val="00AD6208"/>
    <w:rsid w:val="00AD6517"/>
    <w:rsid w:val="00AD73A6"/>
    <w:rsid w:val="00AD79E7"/>
    <w:rsid w:val="00AD7D15"/>
    <w:rsid w:val="00AD7D6F"/>
    <w:rsid w:val="00AE0169"/>
    <w:rsid w:val="00AE02DD"/>
    <w:rsid w:val="00AE08BE"/>
    <w:rsid w:val="00AE13E4"/>
    <w:rsid w:val="00AE1C19"/>
    <w:rsid w:val="00AE1F0D"/>
    <w:rsid w:val="00AE1FB2"/>
    <w:rsid w:val="00AE2227"/>
    <w:rsid w:val="00AE2467"/>
    <w:rsid w:val="00AE2F6E"/>
    <w:rsid w:val="00AE307A"/>
    <w:rsid w:val="00AE38BD"/>
    <w:rsid w:val="00AE39F1"/>
    <w:rsid w:val="00AE42D5"/>
    <w:rsid w:val="00AE4B77"/>
    <w:rsid w:val="00AE523A"/>
    <w:rsid w:val="00AE55CA"/>
    <w:rsid w:val="00AE5B18"/>
    <w:rsid w:val="00AE5CD4"/>
    <w:rsid w:val="00AE624D"/>
    <w:rsid w:val="00AE6256"/>
    <w:rsid w:val="00AE6428"/>
    <w:rsid w:val="00AE6A18"/>
    <w:rsid w:val="00AE6ACE"/>
    <w:rsid w:val="00AE72F2"/>
    <w:rsid w:val="00AE7314"/>
    <w:rsid w:val="00AE7899"/>
    <w:rsid w:val="00AE7A8B"/>
    <w:rsid w:val="00AF014E"/>
    <w:rsid w:val="00AF0242"/>
    <w:rsid w:val="00AF0AD2"/>
    <w:rsid w:val="00AF118A"/>
    <w:rsid w:val="00AF21E4"/>
    <w:rsid w:val="00AF2434"/>
    <w:rsid w:val="00AF256D"/>
    <w:rsid w:val="00AF2B3D"/>
    <w:rsid w:val="00AF2C08"/>
    <w:rsid w:val="00AF35EE"/>
    <w:rsid w:val="00AF3671"/>
    <w:rsid w:val="00AF36B0"/>
    <w:rsid w:val="00AF39D2"/>
    <w:rsid w:val="00AF4AA5"/>
    <w:rsid w:val="00AF5ED0"/>
    <w:rsid w:val="00AF60E6"/>
    <w:rsid w:val="00AF68BF"/>
    <w:rsid w:val="00AF70CE"/>
    <w:rsid w:val="00B00007"/>
    <w:rsid w:val="00B0022A"/>
    <w:rsid w:val="00B003B1"/>
    <w:rsid w:val="00B007C8"/>
    <w:rsid w:val="00B0093D"/>
    <w:rsid w:val="00B00A2B"/>
    <w:rsid w:val="00B00BC0"/>
    <w:rsid w:val="00B00F8A"/>
    <w:rsid w:val="00B0153A"/>
    <w:rsid w:val="00B01BE0"/>
    <w:rsid w:val="00B01DED"/>
    <w:rsid w:val="00B02C8D"/>
    <w:rsid w:val="00B02F27"/>
    <w:rsid w:val="00B03880"/>
    <w:rsid w:val="00B03A0A"/>
    <w:rsid w:val="00B03B27"/>
    <w:rsid w:val="00B040C6"/>
    <w:rsid w:val="00B0433D"/>
    <w:rsid w:val="00B04359"/>
    <w:rsid w:val="00B04780"/>
    <w:rsid w:val="00B04D06"/>
    <w:rsid w:val="00B04D1C"/>
    <w:rsid w:val="00B0508C"/>
    <w:rsid w:val="00B05BFF"/>
    <w:rsid w:val="00B05EBE"/>
    <w:rsid w:val="00B067AB"/>
    <w:rsid w:val="00B070FA"/>
    <w:rsid w:val="00B1076D"/>
    <w:rsid w:val="00B11DFC"/>
    <w:rsid w:val="00B12063"/>
    <w:rsid w:val="00B123D0"/>
    <w:rsid w:val="00B125C5"/>
    <w:rsid w:val="00B1265B"/>
    <w:rsid w:val="00B12C51"/>
    <w:rsid w:val="00B12FA9"/>
    <w:rsid w:val="00B130E7"/>
    <w:rsid w:val="00B131FE"/>
    <w:rsid w:val="00B13A36"/>
    <w:rsid w:val="00B13E47"/>
    <w:rsid w:val="00B143B4"/>
    <w:rsid w:val="00B14AD1"/>
    <w:rsid w:val="00B14C8E"/>
    <w:rsid w:val="00B151E1"/>
    <w:rsid w:val="00B15422"/>
    <w:rsid w:val="00B15704"/>
    <w:rsid w:val="00B15954"/>
    <w:rsid w:val="00B15C14"/>
    <w:rsid w:val="00B15D37"/>
    <w:rsid w:val="00B16051"/>
    <w:rsid w:val="00B164EB"/>
    <w:rsid w:val="00B16DD4"/>
    <w:rsid w:val="00B16F60"/>
    <w:rsid w:val="00B17114"/>
    <w:rsid w:val="00B17161"/>
    <w:rsid w:val="00B17536"/>
    <w:rsid w:val="00B176A2"/>
    <w:rsid w:val="00B1773D"/>
    <w:rsid w:val="00B17A93"/>
    <w:rsid w:val="00B17BC4"/>
    <w:rsid w:val="00B205F5"/>
    <w:rsid w:val="00B207E3"/>
    <w:rsid w:val="00B20C59"/>
    <w:rsid w:val="00B212A4"/>
    <w:rsid w:val="00B21456"/>
    <w:rsid w:val="00B21B9D"/>
    <w:rsid w:val="00B21D0A"/>
    <w:rsid w:val="00B22051"/>
    <w:rsid w:val="00B225B8"/>
    <w:rsid w:val="00B227C7"/>
    <w:rsid w:val="00B243FD"/>
    <w:rsid w:val="00B245CD"/>
    <w:rsid w:val="00B24A67"/>
    <w:rsid w:val="00B24E55"/>
    <w:rsid w:val="00B25B4A"/>
    <w:rsid w:val="00B26A1D"/>
    <w:rsid w:val="00B2789A"/>
    <w:rsid w:val="00B31361"/>
    <w:rsid w:val="00B31756"/>
    <w:rsid w:val="00B31981"/>
    <w:rsid w:val="00B31E76"/>
    <w:rsid w:val="00B327E3"/>
    <w:rsid w:val="00B33236"/>
    <w:rsid w:val="00B33A9C"/>
    <w:rsid w:val="00B33DCD"/>
    <w:rsid w:val="00B34006"/>
    <w:rsid w:val="00B3407A"/>
    <w:rsid w:val="00B34556"/>
    <w:rsid w:val="00B350FC"/>
    <w:rsid w:val="00B35560"/>
    <w:rsid w:val="00B35C52"/>
    <w:rsid w:val="00B35D50"/>
    <w:rsid w:val="00B35F1B"/>
    <w:rsid w:val="00B35F4B"/>
    <w:rsid w:val="00B36321"/>
    <w:rsid w:val="00B36372"/>
    <w:rsid w:val="00B36987"/>
    <w:rsid w:val="00B372EB"/>
    <w:rsid w:val="00B37910"/>
    <w:rsid w:val="00B37EC3"/>
    <w:rsid w:val="00B400E0"/>
    <w:rsid w:val="00B4050F"/>
    <w:rsid w:val="00B4087C"/>
    <w:rsid w:val="00B40A32"/>
    <w:rsid w:val="00B40D0D"/>
    <w:rsid w:val="00B4172C"/>
    <w:rsid w:val="00B41778"/>
    <w:rsid w:val="00B41A9D"/>
    <w:rsid w:val="00B42321"/>
    <w:rsid w:val="00B42519"/>
    <w:rsid w:val="00B42AAC"/>
    <w:rsid w:val="00B432B2"/>
    <w:rsid w:val="00B43E21"/>
    <w:rsid w:val="00B43E9B"/>
    <w:rsid w:val="00B441E3"/>
    <w:rsid w:val="00B44560"/>
    <w:rsid w:val="00B44659"/>
    <w:rsid w:val="00B451A3"/>
    <w:rsid w:val="00B4556E"/>
    <w:rsid w:val="00B45912"/>
    <w:rsid w:val="00B45ECE"/>
    <w:rsid w:val="00B45FC5"/>
    <w:rsid w:val="00B475A9"/>
    <w:rsid w:val="00B479DC"/>
    <w:rsid w:val="00B50324"/>
    <w:rsid w:val="00B5059C"/>
    <w:rsid w:val="00B50B19"/>
    <w:rsid w:val="00B5196F"/>
    <w:rsid w:val="00B51982"/>
    <w:rsid w:val="00B51AD8"/>
    <w:rsid w:val="00B51DF8"/>
    <w:rsid w:val="00B52026"/>
    <w:rsid w:val="00B520B0"/>
    <w:rsid w:val="00B52F21"/>
    <w:rsid w:val="00B53025"/>
    <w:rsid w:val="00B53486"/>
    <w:rsid w:val="00B535A0"/>
    <w:rsid w:val="00B5366D"/>
    <w:rsid w:val="00B5390C"/>
    <w:rsid w:val="00B539A5"/>
    <w:rsid w:val="00B53ACB"/>
    <w:rsid w:val="00B53EB2"/>
    <w:rsid w:val="00B53FDF"/>
    <w:rsid w:val="00B541A8"/>
    <w:rsid w:val="00B5494C"/>
    <w:rsid w:val="00B55C4A"/>
    <w:rsid w:val="00B560A6"/>
    <w:rsid w:val="00B567D5"/>
    <w:rsid w:val="00B57B55"/>
    <w:rsid w:val="00B60432"/>
    <w:rsid w:val="00B6146D"/>
    <w:rsid w:val="00B616BC"/>
    <w:rsid w:val="00B61727"/>
    <w:rsid w:val="00B61DD6"/>
    <w:rsid w:val="00B62F55"/>
    <w:rsid w:val="00B63547"/>
    <w:rsid w:val="00B63C51"/>
    <w:rsid w:val="00B63E3B"/>
    <w:rsid w:val="00B642BA"/>
    <w:rsid w:val="00B64B51"/>
    <w:rsid w:val="00B64C33"/>
    <w:rsid w:val="00B64C62"/>
    <w:rsid w:val="00B64E28"/>
    <w:rsid w:val="00B6562D"/>
    <w:rsid w:val="00B65696"/>
    <w:rsid w:val="00B65B68"/>
    <w:rsid w:val="00B66BC4"/>
    <w:rsid w:val="00B676E9"/>
    <w:rsid w:val="00B67F4E"/>
    <w:rsid w:val="00B702A7"/>
    <w:rsid w:val="00B70801"/>
    <w:rsid w:val="00B70C6F"/>
    <w:rsid w:val="00B70E79"/>
    <w:rsid w:val="00B71056"/>
    <w:rsid w:val="00B712CE"/>
    <w:rsid w:val="00B721ED"/>
    <w:rsid w:val="00B72A5A"/>
    <w:rsid w:val="00B72B44"/>
    <w:rsid w:val="00B72D22"/>
    <w:rsid w:val="00B72FE9"/>
    <w:rsid w:val="00B73182"/>
    <w:rsid w:val="00B7338E"/>
    <w:rsid w:val="00B733E5"/>
    <w:rsid w:val="00B735C5"/>
    <w:rsid w:val="00B737D7"/>
    <w:rsid w:val="00B73BB3"/>
    <w:rsid w:val="00B73E3E"/>
    <w:rsid w:val="00B73FF5"/>
    <w:rsid w:val="00B74115"/>
    <w:rsid w:val="00B75220"/>
    <w:rsid w:val="00B7538A"/>
    <w:rsid w:val="00B754E3"/>
    <w:rsid w:val="00B75543"/>
    <w:rsid w:val="00B756F9"/>
    <w:rsid w:val="00B7582F"/>
    <w:rsid w:val="00B759D5"/>
    <w:rsid w:val="00B75FF5"/>
    <w:rsid w:val="00B764EA"/>
    <w:rsid w:val="00B7692E"/>
    <w:rsid w:val="00B76A70"/>
    <w:rsid w:val="00B76A97"/>
    <w:rsid w:val="00B76ABF"/>
    <w:rsid w:val="00B76C61"/>
    <w:rsid w:val="00B76CF4"/>
    <w:rsid w:val="00B76F72"/>
    <w:rsid w:val="00B7707B"/>
    <w:rsid w:val="00B77814"/>
    <w:rsid w:val="00B80169"/>
    <w:rsid w:val="00B8123C"/>
    <w:rsid w:val="00B82424"/>
    <w:rsid w:val="00B829A9"/>
    <w:rsid w:val="00B82C79"/>
    <w:rsid w:val="00B82F1B"/>
    <w:rsid w:val="00B832CA"/>
    <w:rsid w:val="00B8339F"/>
    <w:rsid w:val="00B83C1D"/>
    <w:rsid w:val="00B83C23"/>
    <w:rsid w:val="00B83E34"/>
    <w:rsid w:val="00B83EE2"/>
    <w:rsid w:val="00B84244"/>
    <w:rsid w:val="00B84562"/>
    <w:rsid w:val="00B845AF"/>
    <w:rsid w:val="00B845B9"/>
    <w:rsid w:val="00B84D82"/>
    <w:rsid w:val="00B85210"/>
    <w:rsid w:val="00B85525"/>
    <w:rsid w:val="00B85ABB"/>
    <w:rsid w:val="00B85C33"/>
    <w:rsid w:val="00B85DE1"/>
    <w:rsid w:val="00B86B3A"/>
    <w:rsid w:val="00B86BC1"/>
    <w:rsid w:val="00B87304"/>
    <w:rsid w:val="00B87518"/>
    <w:rsid w:val="00B87C06"/>
    <w:rsid w:val="00B87F14"/>
    <w:rsid w:val="00B905FD"/>
    <w:rsid w:val="00B90607"/>
    <w:rsid w:val="00B90765"/>
    <w:rsid w:val="00B90CF4"/>
    <w:rsid w:val="00B91964"/>
    <w:rsid w:val="00B9204B"/>
    <w:rsid w:val="00B9270A"/>
    <w:rsid w:val="00B929CE"/>
    <w:rsid w:val="00B92B94"/>
    <w:rsid w:val="00B92CA4"/>
    <w:rsid w:val="00B936C7"/>
    <w:rsid w:val="00B936D2"/>
    <w:rsid w:val="00B937B1"/>
    <w:rsid w:val="00B937D6"/>
    <w:rsid w:val="00B93D4B"/>
    <w:rsid w:val="00B93FB8"/>
    <w:rsid w:val="00B9445D"/>
    <w:rsid w:val="00B947F2"/>
    <w:rsid w:val="00B949B5"/>
    <w:rsid w:val="00B9538D"/>
    <w:rsid w:val="00B95545"/>
    <w:rsid w:val="00B95C90"/>
    <w:rsid w:val="00B96099"/>
    <w:rsid w:val="00B967D4"/>
    <w:rsid w:val="00B9698A"/>
    <w:rsid w:val="00B96A11"/>
    <w:rsid w:val="00B97017"/>
    <w:rsid w:val="00B97732"/>
    <w:rsid w:val="00B9775F"/>
    <w:rsid w:val="00B977FA"/>
    <w:rsid w:val="00B97EA5"/>
    <w:rsid w:val="00BA0529"/>
    <w:rsid w:val="00BA0555"/>
    <w:rsid w:val="00BA07CB"/>
    <w:rsid w:val="00BA08C5"/>
    <w:rsid w:val="00BA0F59"/>
    <w:rsid w:val="00BA0F8B"/>
    <w:rsid w:val="00BA10C8"/>
    <w:rsid w:val="00BA1433"/>
    <w:rsid w:val="00BA1A85"/>
    <w:rsid w:val="00BA41E8"/>
    <w:rsid w:val="00BA42DB"/>
    <w:rsid w:val="00BA4AD2"/>
    <w:rsid w:val="00BA4D0A"/>
    <w:rsid w:val="00BA4DEA"/>
    <w:rsid w:val="00BA4F88"/>
    <w:rsid w:val="00BA514D"/>
    <w:rsid w:val="00BA5C3C"/>
    <w:rsid w:val="00BA5E88"/>
    <w:rsid w:val="00BA613C"/>
    <w:rsid w:val="00BA6216"/>
    <w:rsid w:val="00BA66CD"/>
    <w:rsid w:val="00BA6A91"/>
    <w:rsid w:val="00BA72EE"/>
    <w:rsid w:val="00BA7CB2"/>
    <w:rsid w:val="00BB0227"/>
    <w:rsid w:val="00BB0320"/>
    <w:rsid w:val="00BB0D9B"/>
    <w:rsid w:val="00BB1E50"/>
    <w:rsid w:val="00BB27E9"/>
    <w:rsid w:val="00BB2BB0"/>
    <w:rsid w:val="00BB2C1A"/>
    <w:rsid w:val="00BB2F79"/>
    <w:rsid w:val="00BB3033"/>
    <w:rsid w:val="00BB308E"/>
    <w:rsid w:val="00BB3109"/>
    <w:rsid w:val="00BB3491"/>
    <w:rsid w:val="00BB357B"/>
    <w:rsid w:val="00BB3750"/>
    <w:rsid w:val="00BB3970"/>
    <w:rsid w:val="00BB3BBF"/>
    <w:rsid w:val="00BB3FA4"/>
    <w:rsid w:val="00BB46A0"/>
    <w:rsid w:val="00BB4777"/>
    <w:rsid w:val="00BB49AB"/>
    <w:rsid w:val="00BB4B01"/>
    <w:rsid w:val="00BB4D97"/>
    <w:rsid w:val="00BB4F98"/>
    <w:rsid w:val="00BB57FD"/>
    <w:rsid w:val="00BB5842"/>
    <w:rsid w:val="00BB5C6B"/>
    <w:rsid w:val="00BB5F3F"/>
    <w:rsid w:val="00BB64F8"/>
    <w:rsid w:val="00BB6977"/>
    <w:rsid w:val="00BB6CE3"/>
    <w:rsid w:val="00BB70AF"/>
    <w:rsid w:val="00BB7618"/>
    <w:rsid w:val="00BB76A0"/>
    <w:rsid w:val="00BB787E"/>
    <w:rsid w:val="00BB7A2F"/>
    <w:rsid w:val="00BB7B8B"/>
    <w:rsid w:val="00BC0185"/>
    <w:rsid w:val="00BC03F9"/>
    <w:rsid w:val="00BC069B"/>
    <w:rsid w:val="00BC07A5"/>
    <w:rsid w:val="00BC0909"/>
    <w:rsid w:val="00BC0BCF"/>
    <w:rsid w:val="00BC12BA"/>
    <w:rsid w:val="00BC12FB"/>
    <w:rsid w:val="00BC26DC"/>
    <w:rsid w:val="00BC2B00"/>
    <w:rsid w:val="00BC2C68"/>
    <w:rsid w:val="00BC2EBB"/>
    <w:rsid w:val="00BC30C0"/>
    <w:rsid w:val="00BC3549"/>
    <w:rsid w:val="00BC42CE"/>
    <w:rsid w:val="00BC43A9"/>
    <w:rsid w:val="00BC46E3"/>
    <w:rsid w:val="00BC4D18"/>
    <w:rsid w:val="00BC4EEF"/>
    <w:rsid w:val="00BC5075"/>
    <w:rsid w:val="00BC561D"/>
    <w:rsid w:val="00BC57AD"/>
    <w:rsid w:val="00BC5B88"/>
    <w:rsid w:val="00BC5DE0"/>
    <w:rsid w:val="00BC6288"/>
    <w:rsid w:val="00BC669D"/>
    <w:rsid w:val="00BC6A15"/>
    <w:rsid w:val="00BC6E5D"/>
    <w:rsid w:val="00BC7283"/>
    <w:rsid w:val="00BC748E"/>
    <w:rsid w:val="00BD0508"/>
    <w:rsid w:val="00BD077B"/>
    <w:rsid w:val="00BD082E"/>
    <w:rsid w:val="00BD0917"/>
    <w:rsid w:val="00BD1070"/>
    <w:rsid w:val="00BD10D1"/>
    <w:rsid w:val="00BD1571"/>
    <w:rsid w:val="00BD23C8"/>
    <w:rsid w:val="00BD280E"/>
    <w:rsid w:val="00BD2951"/>
    <w:rsid w:val="00BD311B"/>
    <w:rsid w:val="00BD354F"/>
    <w:rsid w:val="00BD37E6"/>
    <w:rsid w:val="00BD3907"/>
    <w:rsid w:val="00BD3932"/>
    <w:rsid w:val="00BD3FD4"/>
    <w:rsid w:val="00BD41F2"/>
    <w:rsid w:val="00BD4DE2"/>
    <w:rsid w:val="00BD4E25"/>
    <w:rsid w:val="00BD5757"/>
    <w:rsid w:val="00BD6845"/>
    <w:rsid w:val="00BD6A5D"/>
    <w:rsid w:val="00BD6DCE"/>
    <w:rsid w:val="00BD6E0A"/>
    <w:rsid w:val="00BD7676"/>
    <w:rsid w:val="00BD79CF"/>
    <w:rsid w:val="00BD7B24"/>
    <w:rsid w:val="00BD7E9D"/>
    <w:rsid w:val="00BE0003"/>
    <w:rsid w:val="00BE0429"/>
    <w:rsid w:val="00BE09E3"/>
    <w:rsid w:val="00BE0E28"/>
    <w:rsid w:val="00BE10BF"/>
    <w:rsid w:val="00BE11FC"/>
    <w:rsid w:val="00BE127D"/>
    <w:rsid w:val="00BE1482"/>
    <w:rsid w:val="00BE1759"/>
    <w:rsid w:val="00BE22BE"/>
    <w:rsid w:val="00BE2AE5"/>
    <w:rsid w:val="00BE2CA7"/>
    <w:rsid w:val="00BE2F64"/>
    <w:rsid w:val="00BE39F5"/>
    <w:rsid w:val="00BE4287"/>
    <w:rsid w:val="00BE53E6"/>
    <w:rsid w:val="00BE575C"/>
    <w:rsid w:val="00BE579A"/>
    <w:rsid w:val="00BE5810"/>
    <w:rsid w:val="00BE5F93"/>
    <w:rsid w:val="00BE61A4"/>
    <w:rsid w:val="00BE6475"/>
    <w:rsid w:val="00BE6EBA"/>
    <w:rsid w:val="00BE6FC4"/>
    <w:rsid w:val="00BE7CF3"/>
    <w:rsid w:val="00BE7ED1"/>
    <w:rsid w:val="00BF02E8"/>
    <w:rsid w:val="00BF0578"/>
    <w:rsid w:val="00BF0790"/>
    <w:rsid w:val="00BF0F11"/>
    <w:rsid w:val="00BF1B3A"/>
    <w:rsid w:val="00BF1B51"/>
    <w:rsid w:val="00BF1C33"/>
    <w:rsid w:val="00BF1C5F"/>
    <w:rsid w:val="00BF2186"/>
    <w:rsid w:val="00BF246B"/>
    <w:rsid w:val="00BF28BE"/>
    <w:rsid w:val="00BF327F"/>
    <w:rsid w:val="00BF37D6"/>
    <w:rsid w:val="00BF3AEE"/>
    <w:rsid w:val="00BF3BCE"/>
    <w:rsid w:val="00BF468A"/>
    <w:rsid w:val="00BF4A8F"/>
    <w:rsid w:val="00BF4AB9"/>
    <w:rsid w:val="00BF4C30"/>
    <w:rsid w:val="00BF5109"/>
    <w:rsid w:val="00BF568B"/>
    <w:rsid w:val="00BF5BAA"/>
    <w:rsid w:val="00BF5F02"/>
    <w:rsid w:val="00BF6166"/>
    <w:rsid w:val="00BF63AC"/>
    <w:rsid w:val="00BF6520"/>
    <w:rsid w:val="00BF665F"/>
    <w:rsid w:val="00BF6980"/>
    <w:rsid w:val="00BF6B14"/>
    <w:rsid w:val="00BF6BED"/>
    <w:rsid w:val="00BF6CC1"/>
    <w:rsid w:val="00BF7204"/>
    <w:rsid w:val="00BF75A2"/>
    <w:rsid w:val="00C00BD0"/>
    <w:rsid w:val="00C0164D"/>
    <w:rsid w:val="00C027CC"/>
    <w:rsid w:val="00C032A6"/>
    <w:rsid w:val="00C03314"/>
    <w:rsid w:val="00C03499"/>
    <w:rsid w:val="00C034AE"/>
    <w:rsid w:val="00C035EC"/>
    <w:rsid w:val="00C038C3"/>
    <w:rsid w:val="00C03D41"/>
    <w:rsid w:val="00C040CA"/>
    <w:rsid w:val="00C040D8"/>
    <w:rsid w:val="00C04366"/>
    <w:rsid w:val="00C04F42"/>
    <w:rsid w:val="00C05DB4"/>
    <w:rsid w:val="00C067F3"/>
    <w:rsid w:val="00C069AC"/>
    <w:rsid w:val="00C0705B"/>
    <w:rsid w:val="00C07123"/>
    <w:rsid w:val="00C07926"/>
    <w:rsid w:val="00C0796B"/>
    <w:rsid w:val="00C07EA7"/>
    <w:rsid w:val="00C102EE"/>
    <w:rsid w:val="00C1103C"/>
    <w:rsid w:val="00C1151B"/>
    <w:rsid w:val="00C1169F"/>
    <w:rsid w:val="00C11D05"/>
    <w:rsid w:val="00C11E80"/>
    <w:rsid w:val="00C11FB3"/>
    <w:rsid w:val="00C12361"/>
    <w:rsid w:val="00C123C6"/>
    <w:rsid w:val="00C12EC3"/>
    <w:rsid w:val="00C130DB"/>
    <w:rsid w:val="00C134AD"/>
    <w:rsid w:val="00C13953"/>
    <w:rsid w:val="00C13B83"/>
    <w:rsid w:val="00C14FFF"/>
    <w:rsid w:val="00C159C1"/>
    <w:rsid w:val="00C15A37"/>
    <w:rsid w:val="00C16313"/>
    <w:rsid w:val="00C166DF"/>
    <w:rsid w:val="00C168DB"/>
    <w:rsid w:val="00C16C07"/>
    <w:rsid w:val="00C16DC8"/>
    <w:rsid w:val="00C17681"/>
    <w:rsid w:val="00C20533"/>
    <w:rsid w:val="00C20793"/>
    <w:rsid w:val="00C2090F"/>
    <w:rsid w:val="00C20F1D"/>
    <w:rsid w:val="00C21385"/>
    <w:rsid w:val="00C21C94"/>
    <w:rsid w:val="00C222A9"/>
    <w:rsid w:val="00C225D7"/>
    <w:rsid w:val="00C22654"/>
    <w:rsid w:val="00C228E9"/>
    <w:rsid w:val="00C229C8"/>
    <w:rsid w:val="00C22E08"/>
    <w:rsid w:val="00C2333B"/>
    <w:rsid w:val="00C235DD"/>
    <w:rsid w:val="00C23758"/>
    <w:rsid w:val="00C23780"/>
    <w:rsid w:val="00C23800"/>
    <w:rsid w:val="00C2398F"/>
    <w:rsid w:val="00C239C8"/>
    <w:rsid w:val="00C23C4B"/>
    <w:rsid w:val="00C241E5"/>
    <w:rsid w:val="00C246A1"/>
    <w:rsid w:val="00C24957"/>
    <w:rsid w:val="00C24B4F"/>
    <w:rsid w:val="00C24BB5"/>
    <w:rsid w:val="00C24CD8"/>
    <w:rsid w:val="00C2553C"/>
    <w:rsid w:val="00C2608F"/>
    <w:rsid w:val="00C262AB"/>
    <w:rsid w:val="00C2687D"/>
    <w:rsid w:val="00C26B3C"/>
    <w:rsid w:val="00C26B93"/>
    <w:rsid w:val="00C26F23"/>
    <w:rsid w:val="00C2704D"/>
    <w:rsid w:val="00C270C9"/>
    <w:rsid w:val="00C27390"/>
    <w:rsid w:val="00C2798D"/>
    <w:rsid w:val="00C27B8B"/>
    <w:rsid w:val="00C27C61"/>
    <w:rsid w:val="00C27F27"/>
    <w:rsid w:val="00C306D3"/>
    <w:rsid w:val="00C3123A"/>
    <w:rsid w:val="00C31AEE"/>
    <w:rsid w:val="00C3226E"/>
    <w:rsid w:val="00C32EF6"/>
    <w:rsid w:val="00C33008"/>
    <w:rsid w:val="00C33109"/>
    <w:rsid w:val="00C33BC6"/>
    <w:rsid w:val="00C3437F"/>
    <w:rsid w:val="00C34773"/>
    <w:rsid w:val="00C34DF5"/>
    <w:rsid w:val="00C34FDE"/>
    <w:rsid w:val="00C35020"/>
    <w:rsid w:val="00C350FA"/>
    <w:rsid w:val="00C35A06"/>
    <w:rsid w:val="00C35C97"/>
    <w:rsid w:val="00C35EE3"/>
    <w:rsid w:val="00C365C9"/>
    <w:rsid w:val="00C36A45"/>
    <w:rsid w:val="00C36A74"/>
    <w:rsid w:val="00C36C0F"/>
    <w:rsid w:val="00C3709D"/>
    <w:rsid w:val="00C372A6"/>
    <w:rsid w:val="00C400A0"/>
    <w:rsid w:val="00C40154"/>
    <w:rsid w:val="00C40261"/>
    <w:rsid w:val="00C40386"/>
    <w:rsid w:val="00C40AFD"/>
    <w:rsid w:val="00C40D38"/>
    <w:rsid w:val="00C40F77"/>
    <w:rsid w:val="00C41808"/>
    <w:rsid w:val="00C41917"/>
    <w:rsid w:val="00C42557"/>
    <w:rsid w:val="00C427E2"/>
    <w:rsid w:val="00C42819"/>
    <w:rsid w:val="00C42F31"/>
    <w:rsid w:val="00C43091"/>
    <w:rsid w:val="00C436E9"/>
    <w:rsid w:val="00C43BFE"/>
    <w:rsid w:val="00C44564"/>
    <w:rsid w:val="00C44763"/>
    <w:rsid w:val="00C4521C"/>
    <w:rsid w:val="00C4528B"/>
    <w:rsid w:val="00C452AD"/>
    <w:rsid w:val="00C45646"/>
    <w:rsid w:val="00C4687A"/>
    <w:rsid w:val="00C46B32"/>
    <w:rsid w:val="00C46C9C"/>
    <w:rsid w:val="00C474AD"/>
    <w:rsid w:val="00C47835"/>
    <w:rsid w:val="00C47BA8"/>
    <w:rsid w:val="00C47DAF"/>
    <w:rsid w:val="00C47E6D"/>
    <w:rsid w:val="00C47F1A"/>
    <w:rsid w:val="00C5023E"/>
    <w:rsid w:val="00C503EA"/>
    <w:rsid w:val="00C50805"/>
    <w:rsid w:val="00C50B15"/>
    <w:rsid w:val="00C5112A"/>
    <w:rsid w:val="00C511F6"/>
    <w:rsid w:val="00C513D2"/>
    <w:rsid w:val="00C51C6B"/>
    <w:rsid w:val="00C51DEF"/>
    <w:rsid w:val="00C522BD"/>
    <w:rsid w:val="00C52705"/>
    <w:rsid w:val="00C53772"/>
    <w:rsid w:val="00C538F7"/>
    <w:rsid w:val="00C5505A"/>
    <w:rsid w:val="00C5597C"/>
    <w:rsid w:val="00C55ABE"/>
    <w:rsid w:val="00C55C18"/>
    <w:rsid w:val="00C55D45"/>
    <w:rsid w:val="00C565AE"/>
    <w:rsid w:val="00C56679"/>
    <w:rsid w:val="00C56AC0"/>
    <w:rsid w:val="00C56C8C"/>
    <w:rsid w:val="00C56DCA"/>
    <w:rsid w:val="00C5724D"/>
    <w:rsid w:val="00C5725B"/>
    <w:rsid w:val="00C574EA"/>
    <w:rsid w:val="00C57FF5"/>
    <w:rsid w:val="00C607AB"/>
    <w:rsid w:val="00C60851"/>
    <w:rsid w:val="00C61236"/>
    <w:rsid w:val="00C61886"/>
    <w:rsid w:val="00C61A64"/>
    <w:rsid w:val="00C62050"/>
    <w:rsid w:val="00C6205D"/>
    <w:rsid w:val="00C621F9"/>
    <w:rsid w:val="00C62FDE"/>
    <w:rsid w:val="00C63239"/>
    <w:rsid w:val="00C635D7"/>
    <w:rsid w:val="00C63766"/>
    <w:rsid w:val="00C63AC4"/>
    <w:rsid w:val="00C63E51"/>
    <w:rsid w:val="00C63E82"/>
    <w:rsid w:val="00C641CF"/>
    <w:rsid w:val="00C6455A"/>
    <w:rsid w:val="00C64585"/>
    <w:rsid w:val="00C646EC"/>
    <w:rsid w:val="00C65541"/>
    <w:rsid w:val="00C657F1"/>
    <w:rsid w:val="00C658AA"/>
    <w:rsid w:val="00C65FDF"/>
    <w:rsid w:val="00C6636A"/>
    <w:rsid w:val="00C668AC"/>
    <w:rsid w:val="00C66A8C"/>
    <w:rsid w:val="00C66F02"/>
    <w:rsid w:val="00C6737C"/>
    <w:rsid w:val="00C67515"/>
    <w:rsid w:val="00C67D77"/>
    <w:rsid w:val="00C70AA9"/>
    <w:rsid w:val="00C70AC0"/>
    <w:rsid w:val="00C70D2F"/>
    <w:rsid w:val="00C71033"/>
    <w:rsid w:val="00C71141"/>
    <w:rsid w:val="00C711F6"/>
    <w:rsid w:val="00C712BC"/>
    <w:rsid w:val="00C71712"/>
    <w:rsid w:val="00C717AB"/>
    <w:rsid w:val="00C71E87"/>
    <w:rsid w:val="00C7223F"/>
    <w:rsid w:val="00C72319"/>
    <w:rsid w:val="00C7277A"/>
    <w:rsid w:val="00C72A47"/>
    <w:rsid w:val="00C72DA1"/>
    <w:rsid w:val="00C72DE0"/>
    <w:rsid w:val="00C72F8C"/>
    <w:rsid w:val="00C73126"/>
    <w:rsid w:val="00C731ED"/>
    <w:rsid w:val="00C732C7"/>
    <w:rsid w:val="00C73CFB"/>
    <w:rsid w:val="00C73D6F"/>
    <w:rsid w:val="00C73DAA"/>
    <w:rsid w:val="00C73DD5"/>
    <w:rsid w:val="00C74B5D"/>
    <w:rsid w:val="00C75CA2"/>
    <w:rsid w:val="00C75CB1"/>
    <w:rsid w:val="00C75E96"/>
    <w:rsid w:val="00C76E41"/>
    <w:rsid w:val="00C7739C"/>
    <w:rsid w:val="00C773C3"/>
    <w:rsid w:val="00C7740A"/>
    <w:rsid w:val="00C77663"/>
    <w:rsid w:val="00C77B9D"/>
    <w:rsid w:val="00C8168A"/>
    <w:rsid w:val="00C818CB"/>
    <w:rsid w:val="00C81C12"/>
    <w:rsid w:val="00C826AF"/>
    <w:rsid w:val="00C82BE8"/>
    <w:rsid w:val="00C82EC7"/>
    <w:rsid w:val="00C82F47"/>
    <w:rsid w:val="00C82FC9"/>
    <w:rsid w:val="00C830AD"/>
    <w:rsid w:val="00C83296"/>
    <w:rsid w:val="00C83432"/>
    <w:rsid w:val="00C83675"/>
    <w:rsid w:val="00C83769"/>
    <w:rsid w:val="00C8448C"/>
    <w:rsid w:val="00C8480E"/>
    <w:rsid w:val="00C84E2B"/>
    <w:rsid w:val="00C84E81"/>
    <w:rsid w:val="00C84EA1"/>
    <w:rsid w:val="00C85589"/>
    <w:rsid w:val="00C85E4A"/>
    <w:rsid w:val="00C85E8B"/>
    <w:rsid w:val="00C85F85"/>
    <w:rsid w:val="00C86024"/>
    <w:rsid w:val="00C861EC"/>
    <w:rsid w:val="00C86305"/>
    <w:rsid w:val="00C8737C"/>
    <w:rsid w:val="00C8776B"/>
    <w:rsid w:val="00C90C28"/>
    <w:rsid w:val="00C92134"/>
    <w:rsid w:val="00C92E80"/>
    <w:rsid w:val="00C9305E"/>
    <w:rsid w:val="00C931AA"/>
    <w:rsid w:val="00C93521"/>
    <w:rsid w:val="00C93616"/>
    <w:rsid w:val="00C952B1"/>
    <w:rsid w:val="00C954FD"/>
    <w:rsid w:val="00C957DF"/>
    <w:rsid w:val="00C96252"/>
    <w:rsid w:val="00C9670C"/>
    <w:rsid w:val="00C96E78"/>
    <w:rsid w:val="00C96EB9"/>
    <w:rsid w:val="00C96F4F"/>
    <w:rsid w:val="00C970F7"/>
    <w:rsid w:val="00C9743B"/>
    <w:rsid w:val="00C97826"/>
    <w:rsid w:val="00C979AC"/>
    <w:rsid w:val="00CA09AA"/>
    <w:rsid w:val="00CA0CFB"/>
    <w:rsid w:val="00CA0EA4"/>
    <w:rsid w:val="00CA0EFE"/>
    <w:rsid w:val="00CA104B"/>
    <w:rsid w:val="00CA1378"/>
    <w:rsid w:val="00CA1493"/>
    <w:rsid w:val="00CA14B9"/>
    <w:rsid w:val="00CA22BB"/>
    <w:rsid w:val="00CA2876"/>
    <w:rsid w:val="00CA3536"/>
    <w:rsid w:val="00CA3771"/>
    <w:rsid w:val="00CA38DE"/>
    <w:rsid w:val="00CA3ACF"/>
    <w:rsid w:val="00CA4330"/>
    <w:rsid w:val="00CA45B0"/>
    <w:rsid w:val="00CA52FD"/>
    <w:rsid w:val="00CA59D7"/>
    <w:rsid w:val="00CA60A9"/>
    <w:rsid w:val="00CA62D0"/>
    <w:rsid w:val="00CA6B29"/>
    <w:rsid w:val="00CA6BAA"/>
    <w:rsid w:val="00CA710A"/>
    <w:rsid w:val="00CA7F28"/>
    <w:rsid w:val="00CB150A"/>
    <w:rsid w:val="00CB1A56"/>
    <w:rsid w:val="00CB1E6A"/>
    <w:rsid w:val="00CB20D5"/>
    <w:rsid w:val="00CB2538"/>
    <w:rsid w:val="00CB2AD0"/>
    <w:rsid w:val="00CB3BC0"/>
    <w:rsid w:val="00CB3C2F"/>
    <w:rsid w:val="00CB4C7E"/>
    <w:rsid w:val="00CB5246"/>
    <w:rsid w:val="00CB5405"/>
    <w:rsid w:val="00CB57AD"/>
    <w:rsid w:val="00CB5C8C"/>
    <w:rsid w:val="00CB6469"/>
    <w:rsid w:val="00CB657A"/>
    <w:rsid w:val="00CB6CDE"/>
    <w:rsid w:val="00CB7459"/>
    <w:rsid w:val="00CB753A"/>
    <w:rsid w:val="00CB7BC1"/>
    <w:rsid w:val="00CB7EE6"/>
    <w:rsid w:val="00CC08E2"/>
    <w:rsid w:val="00CC0A89"/>
    <w:rsid w:val="00CC0E27"/>
    <w:rsid w:val="00CC0F45"/>
    <w:rsid w:val="00CC13D7"/>
    <w:rsid w:val="00CC1AD1"/>
    <w:rsid w:val="00CC1CF3"/>
    <w:rsid w:val="00CC2B31"/>
    <w:rsid w:val="00CC3071"/>
    <w:rsid w:val="00CC3CDD"/>
    <w:rsid w:val="00CC3E3D"/>
    <w:rsid w:val="00CC457E"/>
    <w:rsid w:val="00CC461E"/>
    <w:rsid w:val="00CC4832"/>
    <w:rsid w:val="00CC490D"/>
    <w:rsid w:val="00CC4D1A"/>
    <w:rsid w:val="00CC4D21"/>
    <w:rsid w:val="00CC4DD9"/>
    <w:rsid w:val="00CC4F9E"/>
    <w:rsid w:val="00CC5D2E"/>
    <w:rsid w:val="00CC5D4C"/>
    <w:rsid w:val="00CC5F6A"/>
    <w:rsid w:val="00CC629E"/>
    <w:rsid w:val="00CC63E0"/>
    <w:rsid w:val="00CC651A"/>
    <w:rsid w:val="00CC65C6"/>
    <w:rsid w:val="00CC66DF"/>
    <w:rsid w:val="00CC6983"/>
    <w:rsid w:val="00CC6A88"/>
    <w:rsid w:val="00CC6D16"/>
    <w:rsid w:val="00CC713D"/>
    <w:rsid w:val="00CC723D"/>
    <w:rsid w:val="00CC7509"/>
    <w:rsid w:val="00CC7563"/>
    <w:rsid w:val="00CC79B8"/>
    <w:rsid w:val="00CC7E3D"/>
    <w:rsid w:val="00CD0345"/>
    <w:rsid w:val="00CD05AF"/>
    <w:rsid w:val="00CD175D"/>
    <w:rsid w:val="00CD1C6B"/>
    <w:rsid w:val="00CD2F4A"/>
    <w:rsid w:val="00CD3309"/>
    <w:rsid w:val="00CD37EB"/>
    <w:rsid w:val="00CD39A7"/>
    <w:rsid w:val="00CD3E2C"/>
    <w:rsid w:val="00CD409E"/>
    <w:rsid w:val="00CD479A"/>
    <w:rsid w:val="00CD4A41"/>
    <w:rsid w:val="00CD4F24"/>
    <w:rsid w:val="00CD570B"/>
    <w:rsid w:val="00CD5BB7"/>
    <w:rsid w:val="00CD60DC"/>
    <w:rsid w:val="00CD6361"/>
    <w:rsid w:val="00CD6EE5"/>
    <w:rsid w:val="00CD750A"/>
    <w:rsid w:val="00CD7838"/>
    <w:rsid w:val="00CD7990"/>
    <w:rsid w:val="00CD7A7B"/>
    <w:rsid w:val="00CD7D8B"/>
    <w:rsid w:val="00CE0408"/>
    <w:rsid w:val="00CE05BE"/>
    <w:rsid w:val="00CE071E"/>
    <w:rsid w:val="00CE14FA"/>
    <w:rsid w:val="00CE1FFA"/>
    <w:rsid w:val="00CE2688"/>
    <w:rsid w:val="00CE3116"/>
    <w:rsid w:val="00CE374C"/>
    <w:rsid w:val="00CE3B26"/>
    <w:rsid w:val="00CE4489"/>
    <w:rsid w:val="00CE4669"/>
    <w:rsid w:val="00CE4A0B"/>
    <w:rsid w:val="00CE4A94"/>
    <w:rsid w:val="00CE4B1E"/>
    <w:rsid w:val="00CE5C48"/>
    <w:rsid w:val="00CE5F7B"/>
    <w:rsid w:val="00CE7318"/>
    <w:rsid w:val="00CE7BA6"/>
    <w:rsid w:val="00CE7FA5"/>
    <w:rsid w:val="00CF0248"/>
    <w:rsid w:val="00CF06D1"/>
    <w:rsid w:val="00CF0952"/>
    <w:rsid w:val="00CF11FC"/>
    <w:rsid w:val="00CF18C4"/>
    <w:rsid w:val="00CF18D9"/>
    <w:rsid w:val="00CF1BAE"/>
    <w:rsid w:val="00CF1CCA"/>
    <w:rsid w:val="00CF1D25"/>
    <w:rsid w:val="00CF1D7B"/>
    <w:rsid w:val="00CF1D92"/>
    <w:rsid w:val="00CF1E96"/>
    <w:rsid w:val="00CF20F3"/>
    <w:rsid w:val="00CF24EA"/>
    <w:rsid w:val="00CF280D"/>
    <w:rsid w:val="00CF28DB"/>
    <w:rsid w:val="00CF2DC8"/>
    <w:rsid w:val="00CF2EC3"/>
    <w:rsid w:val="00CF302F"/>
    <w:rsid w:val="00CF31AD"/>
    <w:rsid w:val="00CF32F8"/>
    <w:rsid w:val="00CF34AE"/>
    <w:rsid w:val="00CF361F"/>
    <w:rsid w:val="00CF39F7"/>
    <w:rsid w:val="00CF3A55"/>
    <w:rsid w:val="00CF461F"/>
    <w:rsid w:val="00CF479E"/>
    <w:rsid w:val="00CF520F"/>
    <w:rsid w:val="00CF57CB"/>
    <w:rsid w:val="00CF58A6"/>
    <w:rsid w:val="00CF5988"/>
    <w:rsid w:val="00CF5C49"/>
    <w:rsid w:val="00CF6138"/>
    <w:rsid w:val="00CF6314"/>
    <w:rsid w:val="00CF64B8"/>
    <w:rsid w:val="00CF72A2"/>
    <w:rsid w:val="00D00282"/>
    <w:rsid w:val="00D0061A"/>
    <w:rsid w:val="00D00BA9"/>
    <w:rsid w:val="00D0175F"/>
    <w:rsid w:val="00D01EC3"/>
    <w:rsid w:val="00D022F3"/>
    <w:rsid w:val="00D02A73"/>
    <w:rsid w:val="00D03746"/>
    <w:rsid w:val="00D03CED"/>
    <w:rsid w:val="00D03D73"/>
    <w:rsid w:val="00D044C4"/>
    <w:rsid w:val="00D04634"/>
    <w:rsid w:val="00D0476D"/>
    <w:rsid w:val="00D047F5"/>
    <w:rsid w:val="00D04952"/>
    <w:rsid w:val="00D04D64"/>
    <w:rsid w:val="00D04F40"/>
    <w:rsid w:val="00D051D2"/>
    <w:rsid w:val="00D05507"/>
    <w:rsid w:val="00D05516"/>
    <w:rsid w:val="00D05683"/>
    <w:rsid w:val="00D05701"/>
    <w:rsid w:val="00D06533"/>
    <w:rsid w:val="00D06A88"/>
    <w:rsid w:val="00D06B73"/>
    <w:rsid w:val="00D06CD8"/>
    <w:rsid w:val="00D06FE1"/>
    <w:rsid w:val="00D073D2"/>
    <w:rsid w:val="00D07601"/>
    <w:rsid w:val="00D10032"/>
    <w:rsid w:val="00D102C2"/>
    <w:rsid w:val="00D1103F"/>
    <w:rsid w:val="00D11079"/>
    <w:rsid w:val="00D11596"/>
    <w:rsid w:val="00D119DB"/>
    <w:rsid w:val="00D128C2"/>
    <w:rsid w:val="00D132C4"/>
    <w:rsid w:val="00D138E0"/>
    <w:rsid w:val="00D13E5B"/>
    <w:rsid w:val="00D158F4"/>
    <w:rsid w:val="00D15B42"/>
    <w:rsid w:val="00D165B8"/>
    <w:rsid w:val="00D16703"/>
    <w:rsid w:val="00D1699E"/>
    <w:rsid w:val="00D16AF8"/>
    <w:rsid w:val="00D17080"/>
    <w:rsid w:val="00D17153"/>
    <w:rsid w:val="00D17575"/>
    <w:rsid w:val="00D17C5A"/>
    <w:rsid w:val="00D17EAA"/>
    <w:rsid w:val="00D203A6"/>
    <w:rsid w:val="00D20666"/>
    <w:rsid w:val="00D20BEE"/>
    <w:rsid w:val="00D20DA7"/>
    <w:rsid w:val="00D2196E"/>
    <w:rsid w:val="00D21A3A"/>
    <w:rsid w:val="00D21F63"/>
    <w:rsid w:val="00D22766"/>
    <w:rsid w:val="00D229C4"/>
    <w:rsid w:val="00D22E86"/>
    <w:rsid w:val="00D23065"/>
    <w:rsid w:val="00D23C02"/>
    <w:rsid w:val="00D23F7C"/>
    <w:rsid w:val="00D23FD4"/>
    <w:rsid w:val="00D240F6"/>
    <w:rsid w:val="00D245A5"/>
    <w:rsid w:val="00D24D27"/>
    <w:rsid w:val="00D2596B"/>
    <w:rsid w:val="00D25BA9"/>
    <w:rsid w:val="00D265D5"/>
    <w:rsid w:val="00D27583"/>
    <w:rsid w:val="00D311BC"/>
    <w:rsid w:val="00D313CA"/>
    <w:rsid w:val="00D3151B"/>
    <w:rsid w:val="00D318F1"/>
    <w:rsid w:val="00D3278A"/>
    <w:rsid w:val="00D3376D"/>
    <w:rsid w:val="00D3388B"/>
    <w:rsid w:val="00D33BFD"/>
    <w:rsid w:val="00D33D2B"/>
    <w:rsid w:val="00D33DC5"/>
    <w:rsid w:val="00D33E55"/>
    <w:rsid w:val="00D33F7B"/>
    <w:rsid w:val="00D34AC7"/>
    <w:rsid w:val="00D34C04"/>
    <w:rsid w:val="00D3547A"/>
    <w:rsid w:val="00D35C59"/>
    <w:rsid w:val="00D36249"/>
    <w:rsid w:val="00D3638B"/>
    <w:rsid w:val="00D36848"/>
    <w:rsid w:val="00D3704D"/>
    <w:rsid w:val="00D3785A"/>
    <w:rsid w:val="00D37962"/>
    <w:rsid w:val="00D37E2E"/>
    <w:rsid w:val="00D405B0"/>
    <w:rsid w:val="00D4080A"/>
    <w:rsid w:val="00D41270"/>
    <w:rsid w:val="00D41CBB"/>
    <w:rsid w:val="00D42025"/>
    <w:rsid w:val="00D42CF6"/>
    <w:rsid w:val="00D4326B"/>
    <w:rsid w:val="00D434FC"/>
    <w:rsid w:val="00D43F59"/>
    <w:rsid w:val="00D4408B"/>
    <w:rsid w:val="00D4443F"/>
    <w:rsid w:val="00D449A9"/>
    <w:rsid w:val="00D44A74"/>
    <w:rsid w:val="00D45492"/>
    <w:rsid w:val="00D45C1D"/>
    <w:rsid w:val="00D45D39"/>
    <w:rsid w:val="00D45D64"/>
    <w:rsid w:val="00D45E40"/>
    <w:rsid w:val="00D46269"/>
    <w:rsid w:val="00D46995"/>
    <w:rsid w:val="00D46FE5"/>
    <w:rsid w:val="00D47170"/>
    <w:rsid w:val="00D4747D"/>
    <w:rsid w:val="00D4770C"/>
    <w:rsid w:val="00D479FC"/>
    <w:rsid w:val="00D47E44"/>
    <w:rsid w:val="00D47FD3"/>
    <w:rsid w:val="00D5101D"/>
    <w:rsid w:val="00D516F2"/>
    <w:rsid w:val="00D5187A"/>
    <w:rsid w:val="00D51919"/>
    <w:rsid w:val="00D51B95"/>
    <w:rsid w:val="00D52CB0"/>
    <w:rsid w:val="00D53426"/>
    <w:rsid w:val="00D53EC4"/>
    <w:rsid w:val="00D542BB"/>
    <w:rsid w:val="00D5481C"/>
    <w:rsid w:val="00D549FF"/>
    <w:rsid w:val="00D54F48"/>
    <w:rsid w:val="00D55096"/>
    <w:rsid w:val="00D553D0"/>
    <w:rsid w:val="00D554A0"/>
    <w:rsid w:val="00D5593E"/>
    <w:rsid w:val="00D563F9"/>
    <w:rsid w:val="00D56467"/>
    <w:rsid w:val="00D564EE"/>
    <w:rsid w:val="00D56572"/>
    <w:rsid w:val="00D57182"/>
    <w:rsid w:val="00D57A07"/>
    <w:rsid w:val="00D57E1B"/>
    <w:rsid w:val="00D61B06"/>
    <w:rsid w:val="00D627E7"/>
    <w:rsid w:val="00D62F11"/>
    <w:rsid w:val="00D63672"/>
    <w:rsid w:val="00D63C07"/>
    <w:rsid w:val="00D63D76"/>
    <w:rsid w:val="00D63F34"/>
    <w:rsid w:val="00D64B75"/>
    <w:rsid w:val="00D65592"/>
    <w:rsid w:val="00D65633"/>
    <w:rsid w:val="00D65843"/>
    <w:rsid w:val="00D66E24"/>
    <w:rsid w:val="00D67D61"/>
    <w:rsid w:val="00D704AB"/>
    <w:rsid w:val="00D704C0"/>
    <w:rsid w:val="00D7077E"/>
    <w:rsid w:val="00D708BE"/>
    <w:rsid w:val="00D70C8C"/>
    <w:rsid w:val="00D70C97"/>
    <w:rsid w:val="00D71E4B"/>
    <w:rsid w:val="00D71FDC"/>
    <w:rsid w:val="00D72B2D"/>
    <w:rsid w:val="00D739AF"/>
    <w:rsid w:val="00D73B2E"/>
    <w:rsid w:val="00D73F71"/>
    <w:rsid w:val="00D740C9"/>
    <w:rsid w:val="00D7464F"/>
    <w:rsid w:val="00D746B8"/>
    <w:rsid w:val="00D7493C"/>
    <w:rsid w:val="00D74B2F"/>
    <w:rsid w:val="00D74E21"/>
    <w:rsid w:val="00D74F2D"/>
    <w:rsid w:val="00D74FE0"/>
    <w:rsid w:val="00D751E1"/>
    <w:rsid w:val="00D75599"/>
    <w:rsid w:val="00D75B23"/>
    <w:rsid w:val="00D760B3"/>
    <w:rsid w:val="00D761AA"/>
    <w:rsid w:val="00D76389"/>
    <w:rsid w:val="00D7693D"/>
    <w:rsid w:val="00D76FC2"/>
    <w:rsid w:val="00D77810"/>
    <w:rsid w:val="00D77982"/>
    <w:rsid w:val="00D8058D"/>
    <w:rsid w:val="00D815C3"/>
    <w:rsid w:val="00D815D3"/>
    <w:rsid w:val="00D81704"/>
    <w:rsid w:val="00D81930"/>
    <w:rsid w:val="00D81A9E"/>
    <w:rsid w:val="00D8206C"/>
    <w:rsid w:val="00D823C3"/>
    <w:rsid w:val="00D82681"/>
    <w:rsid w:val="00D828E8"/>
    <w:rsid w:val="00D82DDF"/>
    <w:rsid w:val="00D833C4"/>
    <w:rsid w:val="00D83652"/>
    <w:rsid w:val="00D83A4E"/>
    <w:rsid w:val="00D844DD"/>
    <w:rsid w:val="00D8474C"/>
    <w:rsid w:val="00D851C3"/>
    <w:rsid w:val="00D857D2"/>
    <w:rsid w:val="00D857DA"/>
    <w:rsid w:val="00D86135"/>
    <w:rsid w:val="00D86A85"/>
    <w:rsid w:val="00D86C6C"/>
    <w:rsid w:val="00D875E0"/>
    <w:rsid w:val="00D8791E"/>
    <w:rsid w:val="00D87993"/>
    <w:rsid w:val="00D87A59"/>
    <w:rsid w:val="00D87F3A"/>
    <w:rsid w:val="00D90EB2"/>
    <w:rsid w:val="00D90F9F"/>
    <w:rsid w:val="00D91081"/>
    <w:rsid w:val="00D91BCD"/>
    <w:rsid w:val="00D91BF5"/>
    <w:rsid w:val="00D92424"/>
    <w:rsid w:val="00D924A2"/>
    <w:rsid w:val="00D9262C"/>
    <w:rsid w:val="00D9294C"/>
    <w:rsid w:val="00D92999"/>
    <w:rsid w:val="00D929DE"/>
    <w:rsid w:val="00D92A2B"/>
    <w:rsid w:val="00D92AAC"/>
    <w:rsid w:val="00D92BED"/>
    <w:rsid w:val="00D934C7"/>
    <w:rsid w:val="00D93542"/>
    <w:rsid w:val="00D93983"/>
    <w:rsid w:val="00D939EC"/>
    <w:rsid w:val="00D942A3"/>
    <w:rsid w:val="00D94970"/>
    <w:rsid w:val="00D95240"/>
    <w:rsid w:val="00D95706"/>
    <w:rsid w:val="00D95C0D"/>
    <w:rsid w:val="00D965A3"/>
    <w:rsid w:val="00D9685F"/>
    <w:rsid w:val="00D975A7"/>
    <w:rsid w:val="00D97E84"/>
    <w:rsid w:val="00DA00FC"/>
    <w:rsid w:val="00DA02A4"/>
    <w:rsid w:val="00DA15F2"/>
    <w:rsid w:val="00DA169A"/>
    <w:rsid w:val="00DA17F4"/>
    <w:rsid w:val="00DA2436"/>
    <w:rsid w:val="00DA24A0"/>
    <w:rsid w:val="00DA26C8"/>
    <w:rsid w:val="00DA277F"/>
    <w:rsid w:val="00DA27F6"/>
    <w:rsid w:val="00DA284D"/>
    <w:rsid w:val="00DA2C6F"/>
    <w:rsid w:val="00DA2E6F"/>
    <w:rsid w:val="00DA39CA"/>
    <w:rsid w:val="00DA4AC6"/>
    <w:rsid w:val="00DA4BAA"/>
    <w:rsid w:val="00DA4C88"/>
    <w:rsid w:val="00DA4DD0"/>
    <w:rsid w:val="00DA4ED9"/>
    <w:rsid w:val="00DA5046"/>
    <w:rsid w:val="00DA53DF"/>
    <w:rsid w:val="00DA5429"/>
    <w:rsid w:val="00DA5C31"/>
    <w:rsid w:val="00DA5D1D"/>
    <w:rsid w:val="00DA5E85"/>
    <w:rsid w:val="00DA602F"/>
    <w:rsid w:val="00DA64D0"/>
    <w:rsid w:val="00DA68A6"/>
    <w:rsid w:val="00DA6B25"/>
    <w:rsid w:val="00DA6E2B"/>
    <w:rsid w:val="00DA6FD3"/>
    <w:rsid w:val="00DA731A"/>
    <w:rsid w:val="00DA7FBA"/>
    <w:rsid w:val="00DB006A"/>
    <w:rsid w:val="00DB08E3"/>
    <w:rsid w:val="00DB0988"/>
    <w:rsid w:val="00DB1B76"/>
    <w:rsid w:val="00DB1DA3"/>
    <w:rsid w:val="00DB22BF"/>
    <w:rsid w:val="00DB2522"/>
    <w:rsid w:val="00DB256E"/>
    <w:rsid w:val="00DB2583"/>
    <w:rsid w:val="00DB2670"/>
    <w:rsid w:val="00DB2830"/>
    <w:rsid w:val="00DB29C9"/>
    <w:rsid w:val="00DB3296"/>
    <w:rsid w:val="00DB3908"/>
    <w:rsid w:val="00DB3DDE"/>
    <w:rsid w:val="00DB3FC1"/>
    <w:rsid w:val="00DB4260"/>
    <w:rsid w:val="00DB464A"/>
    <w:rsid w:val="00DB4BA2"/>
    <w:rsid w:val="00DB4C34"/>
    <w:rsid w:val="00DB586D"/>
    <w:rsid w:val="00DB5909"/>
    <w:rsid w:val="00DB6277"/>
    <w:rsid w:val="00DB6A7C"/>
    <w:rsid w:val="00DB6B78"/>
    <w:rsid w:val="00DB6E1A"/>
    <w:rsid w:val="00DB74BB"/>
    <w:rsid w:val="00DB7BB7"/>
    <w:rsid w:val="00DB7CD8"/>
    <w:rsid w:val="00DC008E"/>
    <w:rsid w:val="00DC085E"/>
    <w:rsid w:val="00DC087E"/>
    <w:rsid w:val="00DC0888"/>
    <w:rsid w:val="00DC08AB"/>
    <w:rsid w:val="00DC0FF5"/>
    <w:rsid w:val="00DC2591"/>
    <w:rsid w:val="00DC2B80"/>
    <w:rsid w:val="00DC2C18"/>
    <w:rsid w:val="00DC2C7E"/>
    <w:rsid w:val="00DC30C9"/>
    <w:rsid w:val="00DC3199"/>
    <w:rsid w:val="00DC3606"/>
    <w:rsid w:val="00DC4031"/>
    <w:rsid w:val="00DC4098"/>
    <w:rsid w:val="00DC410C"/>
    <w:rsid w:val="00DC4A25"/>
    <w:rsid w:val="00DC4B18"/>
    <w:rsid w:val="00DC4D8B"/>
    <w:rsid w:val="00DC5186"/>
    <w:rsid w:val="00DC531B"/>
    <w:rsid w:val="00DC6087"/>
    <w:rsid w:val="00DC640F"/>
    <w:rsid w:val="00DC672D"/>
    <w:rsid w:val="00DC68CD"/>
    <w:rsid w:val="00DC6A76"/>
    <w:rsid w:val="00DC6A9F"/>
    <w:rsid w:val="00DC6FF2"/>
    <w:rsid w:val="00DC7459"/>
    <w:rsid w:val="00DC7772"/>
    <w:rsid w:val="00DC7A43"/>
    <w:rsid w:val="00DD0480"/>
    <w:rsid w:val="00DD08A2"/>
    <w:rsid w:val="00DD0BD5"/>
    <w:rsid w:val="00DD120A"/>
    <w:rsid w:val="00DD1317"/>
    <w:rsid w:val="00DD1541"/>
    <w:rsid w:val="00DD1569"/>
    <w:rsid w:val="00DD1737"/>
    <w:rsid w:val="00DD199F"/>
    <w:rsid w:val="00DD1C71"/>
    <w:rsid w:val="00DD27B2"/>
    <w:rsid w:val="00DD2974"/>
    <w:rsid w:val="00DD2B91"/>
    <w:rsid w:val="00DD2BEB"/>
    <w:rsid w:val="00DD2CB5"/>
    <w:rsid w:val="00DD382E"/>
    <w:rsid w:val="00DD3B90"/>
    <w:rsid w:val="00DD4353"/>
    <w:rsid w:val="00DD436B"/>
    <w:rsid w:val="00DD4551"/>
    <w:rsid w:val="00DD50B1"/>
    <w:rsid w:val="00DD5189"/>
    <w:rsid w:val="00DD5298"/>
    <w:rsid w:val="00DD5783"/>
    <w:rsid w:val="00DD5CC6"/>
    <w:rsid w:val="00DD6041"/>
    <w:rsid w:val="00DD611E"/>
    <w:rsid w:val="00DD616F"/>
    <w:rsid w:val="00DD620A"/>
    <w:rsid w:val="00DD6492"/>
    <w:rsid w:val="00DD6C8F"/>
    <w:rsid w:val="00DD6F8C"/>
    <w:rsid w:val="00DD743F"/>
    <w:rsid w:val="00DD7855"/>
    <w:rsid w:val="00DD7C69"/>
    <w:rsid w:val="00DE0108"/>
    <w:rsid w:val="00DE02F1"/>
    <w:rsid w:val="00DE0938"/>
    <w:rsid w:val="00DE1312"/>
    <w:rsid w:val="00DE1545"/>
    <w:rsid w:val="00DE180D"/>
    <w:rsid w:val="00DE192E"/>
    <w:rsid w:val="00DE1B28"/>
    <w:rsid w:val="00DE2017"/>
    <w:rsid w:val="00DE21A0"/>
    <w:rsid w:val="00DE3D55"/>
    <w:rsid w:val="00DE46A0"/>
    <w:rsid w:val="00DE4728"/>
    <w:rsid w:val="00DE4A43"/>
    <w:rsid w:val="00DE4B51"/>
    <w:rsid w:val="00DE541A"/>
    <w:rsid w:val="00DE597C"/>
    <w:rsid w:val="00DE5E72"/>
    <w:rsid w:val="00DE5EF4"/>
    <w:rsid w:val="00DE60D6"/>
    <w:rsid w:val="00DE6663"/>
    <w:rsid w:val="00DE6BC8"/>
    <w:rsid w:val="00DE6C27"/>
    <w:rsid w:val="00DE6FE8"/>
    <w:rsid w:val="00DE7785"/>
    <w:rsid w:val="00DF06E1"/>
    <w:rsid w:val="00DF09DD"/>
    <w:rsid w:val="00DF10C5"/>
    <w:rsid w:val="00DF14D7"/>
    <w:rsid w:val="00DF1C8D"/>
    <w:rsid w:val="00DF1FCD"/>
    <w:rsid w:val="00DF2787"/>
    <w:rsid w:val="00DF31A3"/>
    <w:rsid w:val="00DF3B87"/>
    <w:rsid w:val="00DF3BE5"/>
    <w:rsid w:val="00DF3C95"/>
    <w:rsid w:val="00DF52F9"/>
    <w:rsid w:val="00DF68FC"/>
    <w:rsid w:val="00DF6FC5"/>
    <w:rsid w:val="00DF7A80"/>
    <w:rsid w:val="00DF7BF4"/>
    <w:rsid w:val="00E00240"/>
    <w:rsid w:val="00E0056F"/>
    <w:rsid w:val="00E0078D"/>
    <w:rsid w:val="00E0144F"/>
    <w:rsid w:val="00E01710"/>
    <w:rsid w:val="00E017C0"/>
    <w:rsid w:val="00E0204B"/>
    <w:rsid w:val="00E02063"/>
    <w:rsid w:val="00E033C4"/>
    <w:rsid w:val="00E03781"/>
    <w:rsid w:val="00E03940"/>
    <w:rsid w:val="00E03D79"/>
    <w:rsid w:val="00E04452"/>
    <w:rsid w:val="00E046FB"/>
    <w:rsid w:val="00E04A21"/>
    <w:rsid w:val="00E04FA3"/>
    <w:rsid w:val="00E05109"/>
    <w:rsid w:val="00E05508"/>
    <w:rsid w:val="00E05ED0"/>
    <w:rsid w:val="00E0646A"/>
    <w:rsid w:val="00E06BE6"/>
    <w:rsid w:val="00E07123"/>
    <w:rsid w:val="00E074F0"/>
    <w:rsid w:val="00E0750D"/>
    <w:rsid w:val="00E0769D"/>
    <w:rsid w:val="00E07726"/>
    <w:rsid w:val="00E0780F"/>
    <w:rsid w:val="00E07C62"/>
    <w:rsid w:val="00E07EE4"/>
    <w:rsid w:val="00E100AC"/>
    <w:rsid w:val="00E10329"/>
    <w:rsid w:val="00E10861"/>
    <w:rsid w:val="00E10CF2"/>
    <w:rsid w:val="00E1226F"/>
    <w:rsid w:val="00E125ED"/>
    <w:rsid w:val="00E12853"/>
    <w:rsid w:val="00E1359F"/>
    <w:rsid w:val="00E13709"/>
    <w:rsid w:val="00E13D5A"/>
    <w:rsid w:val="00E144B5"/>
    <w:rsid w:val="00E14725"/>
    <w:rsid w:val="00E14D9E"/>
    <w:rsid w:val="00E15324"/>
    <w:rsid w:val="00E15856"/>
    <w:rsid w:val="00E15D73"/>
    <w:rsid w:val="00E15EB3"/>
    <w:rsid w:val="00E16716"/>
    <w:rsid w:val="00E16861"/>
    <w:rsid w:val="00E168ED"/>
    <w:rsid w:val="00E16D2C"/>
    <w:rsid w:val="00E176CE"/>
    <w:rsid w:val="00E17761"/>
    <w:rsid w:val="00E205FA"/>
    <w:rsid w:val="00E20C9F"/>
    <w:rsid w:val="00E21382"/>
    <w:rsid w:val="00E2172E"/>
    <w:rsid w:val="00E217F6"/>
    <w:rsid w:val="00E22141"/>
    <w:rsid w:val="00E2226B"/>
    <w:rsid w:val="00E2281B"/>
    <w:rsid w:val="00E22B6B"/>
    <w:rsid w:val="00E22E37"/>
    <w:rsid w:val="00E22EFF"/>
    <w:rsid w:val="00E239AF"/>
    <w:rsid w:val="00E24155"/>
    <w:rsid w:val="00E24424"/>
    <w:rsid w:val="00E24506"/>
    <w:rsid w:val="00E24650"/>
    <w:rsid w:val="00E246FF"/>
    <w:rsid w:val="00E24743"/>
    <w:rsid w:val="00E24873"/>
    <w:rsid w:val="00E24A49"/>
    <w:rsid w:val="00E24D1B"/>
    <w:rsid w:val="00E24E9A"/>
    <w:rsid w:val="00E25357"/>
    <w:rsid w:val="00E25A58"/>
    <w:rsid w:val="00E26235"/>
    <w:rsid w:val="00E26290"/>
    <w:rsid w:val="00E268C1"/>
    <w:rsid w:val="00E27587"/>
    <w:rsid w:val="00E27707"/>
    <w:rsid w:val="00E27B4A"/>
    <w:rsid w:val="00E27FE3"/>
    <w:rsid w:val="00E3001F"/>
    <w:rsid w:val="00E307EC"/>
    <w:rsid w:val="00E30A1E"/>
    <w:rsid w:val="00E3128C"/>
    <w:rsid w:val="00E31506"/>
    <w:rsid w:val="00E31DBD"/>
    <w:rsid w:val="00E33008"/>
    <w:rsid w:val="00E33FEA"/>
    <w:rsid w:val="00E34153"/>
    <w:rsid w:val="00E34ECD"/>
    <w:rsid w:val="00E35455"/>
    <w:rsid w:val="00E35852"/>
    <w:rsid w:val="00E35A05"/>
    <w:rsid w:val="00E35DD8"/>
    <w:rsid w:val="00E36431"/>
    <w:rsid w:val="00E367FB"/>
    <w:rsid w:val="00E36980"/>
    <w:rsid w:val="00E36A50"/>
    <w:rsid w:val="00E36B2F"/>
    <w:rsid w:val="00E377F6"/>
    <w:rsid w:val="00E37B1D"/>
    <w:rsid w:val="00E37D14"/>
    <w:rsid w:val="00E37FC7"/>
    <w:rsid w:val="00E40058"/>
    <w:rsid w:val="00E40522"/>
    <w:rsid w:val="00E405D7"/>
    <w:rsid w:val="00E41EF5"/>
    <w:rsid w:val="00E41F31"/>
    <w:rsid w:val="00E42221"/>
    <w:rsid w:val="00E42709"/>
    <w:rsid w:val="00E42A7D"/>
    <w:rsid w:val="00E42C15"/>
    <w:rsid w:val="00E42C84"/>
    <w:rsid w:val="00E42DB0"/>
    <w:rsid w:val="00E42E46"/>
    <w:rsid w:val="00E42FE3"/>
    <w:rsid w:val="00E432F1"/>
    <w:rsid w:val="00E435BF"/>
    <w:rsid w:val="00E438C0"/>
    <w:rsid w:val="00E43BC1"/>
    <w:rsid w:val="00E43F8C"/>
    <w:rsid w:val="00E4442A"/>
    <w:rsid w:val="00E44F5F"/>
    <w:rsid w:val="00E45EC1"/>
    <w:rsid w:val="00E4651D"/>
    <w:rsid w:val="00E46F9C"/>
    <w:rsid w:val="00E47393"/>
    <w:rsid w:val="00E47713"/>
    <w:rsid w:val="00E477EC"/>
    <w:rsid w:val="00E4799C"/>
    <w:rsid w:val="00E510D3"/>
    <w:rsid w:val="00E5122D"/>
    <w:rsid w:val="00E51370"/>
    <w:rsid w:val="00E5185B"/>
    <w:rsid w:val="00E518F2"/>
    <w:rsid w:val="00E51936"/>
    <w:rsid w:val="00E519F1"/>
    <w:rsid w:val="00E52074"/>
    <w:rsid w:val="00E523A1"/>
    <w:rsid w:val="00E52555"/>
    <w:rsid w:val="00E52796"/>
    <w:rsid w:val="00E52CCC"/>
    <w:rsid w:val="00E52E09"/>
    <w:rsid w:val="00E537C0"/>
    <w:rsid w:val="00E53D93"/>
    <w:rsid w:val="00E53F6D"/>
    <w:rsid w:val="00E5426B"/>
    <w:rsid w:val="00E543F6"/>
    <w:rsid w:val="00E54720"/>
    <w:rsid w:val="00E55A21"/>
    <w:rsid w:val="00E56126"/>
    <w:rsid w:val="00E564FB"/>
    <w:rsid w:val="00E57637"/>
    <w:rsid w:val="00E57F64"/>
    <w:rsid w:val="00E6056C"/>
    <w:rsid w:val="00E608C0"/>
    <w:rsid w:val="00E609BC"/>
    <w:rsid w:val="00E609EA"/>
    <w:rsid w:val="00E60AA5"/>
    <w:rsid w:val="00E60F53"/>
    <w:rsid w:val="00E614D6"/>
    <w:rsid w:val="00E617A1"/>
    <w:rsid w:val="00E61CE8"/>
    <w:rsid w:val="00E62259"/>
    <w:rsid w:val="00E62B59"/>
    <w:rsid w:val="00E62F4C"/>
    <w:rsid w:val="00E6347E"/>
    <w:rsid w:val="00E63875"/>
    <w:rsid w:val="00E638AF"/>
    <w:rsid w:val="00E63EC5"/>
    <w:rsid w:val="00E63FBE"/>
    <w:rsid w:val="00E63FF4"/>
    <w:rsid w:val="00E644FB"/>
    <w:rsid w:val="00E64824"/>
    <w:rsid w:val="00E6499E"/>
    <w:rsid w:val="00E64A23"/>
    <w:rsid w:val="00E64B52"/>
    <w:rsid w:val="00E64CFF"/>
    <w:rsid w:val="00E6554D"/>
    <w:rsid w:val="00E655A2"/>
    <w:rsid w:val="00E65AA0"/>
    <w:rsid w:val="00E65B90"/>
    <w:rsid w:val="00E65C06"/>
    <w:rsid w:val="00E66513"/>
    <w:rsid w:val="00E665F6"/>
    <w:rsid w:val="00E66662"/>
    <w:rsid w:val="00E66B2A"/>
    <w:rsid w:val="00E66FD0"/>
    <w:rsid w:val="00E670F0"/>
    <w:rsid w:val="00E679ED"/>
    <w:rsid w:val="00E67E5F"/>
    <w:rsid w:val="00E700D6"/>
    <w:rsid w:val="00E70443"/>
    <w:rsid w:val="00E7045C"/>
    <w:rsid w:val="00E70980"/>
    <w:rsid w:val="00E709F3"/>
    <w:rsid w:val="00E70AC5"/>
    <w:rsid w:val="00E70DDB"/>
    <w:rsid w:val="00E70F43"/>
    <w:rsid w:val="00E7122A"/>
    <w:rsid w:val="00E7128C"/>
    <w:rsid w:val="00E714A8"/>
    <w:rsid w:val="00E71513"/>
    <w:rsid w:val="00E72185"/>
    <w:rsid w:val="00E72C55"/>
    <w:rsid w:val="00E72F5A"/>
    <w:rsid w:val="00E7300C"/>
    <w:rsid w:val="00E73074"/>
    <w:rsid w:val="00E730BA"/>
    <w:rsid w:val="00E73383"/>
    <w:rsid w:val="00E73BE3"/>
    <w:rsid w:val="00E748F8"/>
    <w:rsid w:val="00E74BF5"/>
    <w:rsid w:val="00E75104"/>
    <w:rsid w:val="00E75132"/>
    <w:rsid w:val="00E753D5"/>
    <w:rsid w:val="00E7541E"/>
    <w:rsid w:val="00E7566A"/>
    <w:rsid w:val="00E758CC"/>
    <w:rsid w:val="00E7591D"/>
    <w:rsid w:val="00E7591F"/>
    <w:rsid w:val="00E75B45"/>
    <w:rsid w:val="00E75F09"/>
    <w:rsid w:val="00E75F41"/>
    <w:rsid w:val="00E766F5"/>
    <w:rsid w:val="00E76B78"/>
    <w:rsid w:val="00E7709B"/>
    <w:rsid w:val="00E7712C"/>
    <w:rsid w:val="00E7772B"/>
    <w:rsid w:val="00E77993"/>
    <w:rsid w:val="00E800FC"/>
    <w:rsid w:val="00E80539"/>
    <w:rsid w:val="00E80DE5"/>
    <w:rsid w:val="00E80E1A"/>
    <w:rsid w:val="00E80F08"/>
    <w:rsid w:val="00E81094"/>
    <w:rsid w:val="00E812AA"/>
    <w:rsid w:val="00E81556"/>
    <w:rsid w:val="00E815D6"/>
    <w:rsid w:val="00E8166F"/>
    <w:rsid w:val="00E81B50"/>
    <w:rsid w:val="00E81DF4"/>
    <w:rsid w:val="00E8206E"/>
    <w:rsid w:val="00E8334E"/>
    <w:rsid w:val="00E83A71"/>
    <w:rsid w:val="00E84368"/>
    <w:rsid w:val="00E8437E"/>
    <w:rsid w:val="00E8445B"/>
    <w:rsid w:val="00E84C03"/>
    <w:rsid w:val="00E85058"/>
    <w:rsid w:val="00E85B17"/>
    <w:rsid w:val="00E86200"/>
    <w:rsid w:val="00E86C8D"/>
    <w:rsid w:val="00E871DE"/>
    <w:rsid w:val="00E873FD"/>
    <w:rsid w:val="00E875F2"/>
    <w:rsid w:val="00E87653"/>
    <w:rsid w:val="00E878A9"/>
    <w:rsid w:val="00E87CF7"/>
    <w:rsid w:val="00E87D23"/>
    <w:rsid w:val="00E900C8"/>
    <w:rsid w:val="00E90523"/>
    <w:rsid w:val="00E90F29"/>
    <w:rsid w:val="00E91553"/>
    <w:rsid w:val="00E91576"/>
    <w:rsid w:val="00E9174E"/>
    <w:rsid w:val="00E91853"/>
    <w:rsid w:val="00E92F1E"/>
    <w:rsid w:val="00E945F3"/>
    <w:rsid w:val="00E9487B"/>
    <w:rsid w:val="00E94989"/>
    <w:rsid w:val="00E94B09"/>
    <w:rsid w:val="00E94F57"/>
    <w:rsid w:val="00E956D2"/>
    <w:rsid w:val="00E95AAD"/>
    <w:rsid w:val="00E95F93"/>
    <w:rsid w:val="00E96176"/>
    <w:rsid w:val="00E96291"/>
    <w:rsid w:val="00E967B4"/>
    <w:rsid w:val="00E96B5E"/>
    <w:rsid w:val="00E96CDD"/>
    <w:rsid w:val="00E973ED"/>
    <w:rsid w:val="00E97736"/>
    <w:rsid w:val="00E97794"/>
    <w:rsid w:val="00E97C8B"/>
    <w:rsid w:val="00EA0417"/>
    <w:rsid w:val="00EA0FB1"/>
    <w:rsid w:val="00EA1254"/>
    <w:rsid w:val="00EA14D6"/>
    <w:rsid w:val="00EA18CC"/>
    <w:rsid w:val="00EA1B49"/>
    <w:rsid w:val="00EA1E73"/>
    <w:rsid w:val="00EA1F3F"/>
    <w:rsid w:val="00EA261F"/>
    <w:rsid w:val="00EA2C39"/>
    <w:rsid w:val="00EA2C4D"/>
    <w:rsid w:val="00EA399E"/>
    <w:rsid w:val="00EA3C78"/>
    <w:rsid w:val="00EA469D"/>
    <w:rsid w:val="00EA4893"/>
    <w:rsid w:val="00EA4DCF"/>
    <w:rsid w:val="00EA4FC2"/>
    <w:rsid w:val="00EA5BEA"/>
    <w:rsid w:val="00EA7392"/>
    <w:rsid w:val="00EA79FE"/>
    <w:rsid w:val="00EA7EC9"/>
    <w:rsid w:val="00EB00D1"/>
    <w:rsid w:val="00EB0ADC"/>
    <w:rsid w:val="00EB14D2"/>
    <w:rsid w:val="00EB1566"/>
    <w:rsid w:val="00EB16F8"/>
    <w:rsid w:val="00EB17F0"/>
    <w:rsid w:val="00EB18A7"/>
    <w:rsid w:val="00EB1D20"/>
    <w:rsid w:val="00EB1E34"/>
    <w:rsid w:val="00EB22D5"/>
    <w:rsid w:val="00EB2357"/>
    <w:rsid w:val="00EB2D10"/>
    <w:rsid w:val="00EB2E00"/>
    <w:rsid w:val="00EB2E99"/>
    <w:rsid w:val="00EB3383"/>
    <w:rsid w:val="00EB3C27"/>
    <w:rsid w:val="00EB3C96"/>
    <w:rsid w:val="00EB3DCC"/>
    <w:rsid w:val="00EB408C"/>
    <w:rsid w:val="00EB41BC"/>
    <w:rsid w:val="00EB42B8"/>
    <w:rsid w:val="00EB486B"/>
    <w:rsid w:val="00EB4A96"/>
    <w:rsid w:val="00EB5093"/>
    <w:rsid w:val="00EB5534"/>
    <w:rsid w:val="00EB5607"/>
    <w:rsid w:val="00EB5DFF"/>
    <w:rsid w:val="00EB5FD3"/>
    <w:rsid w:val="00EB6125"/>
    <w:rsid w:val="00EB6F57"/>
    <w:rsid w:val="00EB7314"/>
    <w:rsid w:val="00EB7D30"/>
    <w:rsid w:val="00EC0487"/>
    <w:rsid w:val="00EC0AC6"/>
    <w:rsid w:val="00EC0EC9"/>
    <w:rsid w:val="00EC0F12"/>
    <w:rsid w:val="00EC146D"/>
    <w:rsid w:val="00EC16A8"/>
    <w:rsid w:val="00EC1840"/>
    <w:rsid w:val="00EC23DC"/>
    <w:rsid w:val="00EC368E"/>
    <w:rsid w:val="00EC36C4"/>
    <w:rsid w:val="00EC40CE"/>
    <w:rsid w:val="00EC4722"/>
    <w:rsid w:val="00EC534F"/>
    <w:rsid w:val="00EC5576"/>
    <w:rsid w:val="00EC5906"/>
    <w:rsid w:val="00EC590C"/>
    <w:rsid w:val="00EC5CE9"/>
    <w:rsid w:val="00EC72BF"/>
    <w:rsid w:val="00EC77B9"/>
    <w:rsid w:val="00EC77F1"/>
    <w:rsid w:val="00EC7E64"/>
    <w:rsid w:val="00ED030A"/>
    <w:rsid w:val="00ED059E"/>
    <w:rsid w:val="00ED0CA2"/>
    <w:rsid w:val="00ED0F60"/>
    <w:rsid w:val="00ED15F7"/>
    <w:rsid w:val="00ED1A15"/>
    <w:rsid w:val="00ED24A8"/>
    <w:rsid w:val="00ED375B"/>
    <w:rsid w:val="00ED382A"/>
    <w:rsid w:val="00ED3EA4"/>
    <w:rsid w:val="00ED400E"/>
    <w:rsid w:val="00ED4447"/>
    <w:rsid w:val="00ED4726"/>
    <w:rsid w:val="00ED4825"/>
    <w:rsid w:val="00ED4C2A"/>
    <w:rsid w:val="00ED5010"/>
    <w:rsid w:val="00ED533B"/>
    <w:rsid w:val="00ED539A"/>
    <w:rsid w:val="00ED5441"/>
    <w:rsid w:val="00ED5569"/>
    <w:rsid w:val="00ED55EE"/>
    <w:rsid w:val="00ED5B6F"/>
    <w:rsid w:val="00ED5C6B"/>
    <w:rsid w:val="00ED5F03"/>
    <w:rsid w:val="00ED6011"/>
    <w:rsid w:val="00ED6124"/>
    <w:rsid w:val="00ED687C"/>
    <w:rsid w:val="00ED70C6"/>
    <w:rsid w:val="00ED7EB1"/>
    <w:rsid w:val="00EE03B8"/>
    <w:rsid w:val="00EE0510"/>
    <w:rsid w:val="00EE0AB8"/>
    <w:rsid w:val="00EE0BBC"/>
    <w:rsid w:val="00EE1A53"/>
    <w:rsid w:val="00EE1C35"/>
    <w:rsid w:val="00EE1D93"/>
    <w:rsid w:val="00EE20B7"/>
    <w:rsid w:val="00EE25DA"/>
    <w:rsid w:val="00EE2D46"/>
    <w:rsid w:val="00EE2DEE"/>
    <w:rsid w:val="00EE316B"/>
    <w:rsid w:val="00EE392A"/>
    <w:rsid w:val="00EE3FD6"/>
    <w:rsid w:val="00EE54D7"/>
    <w:rsid w:val="00EE564B"/>
    <w:rsid w:val="00EE5686"/>
    <w:rsid w:val="00EE5A5D"/>
    <w:rsid w:val="00EE5B0B"/>
    <w:rsid w:val="00EE6101"/>
    <w:rsid w:val="00EE64A1"/>
    <w:rsid w:val="00EE666B"/>
    <w:rsid w:val="00EE6B37"/>
    <w:rsid w:val="00EE6BF4"/>
    <w:rsid w:val="00EE6E60"/>
    <w:rsid w:val="00EE6E8F"/>
    <w:rsid w:val="00EE7678"/>
    <w:rsid w:val="00EF020A"/>
    <w:rsid w:val="00EF07DF"/>
    <w:rsid w:val="00EF12C5"/>
    <w:rsid w:val="00EF13E7"/>
    <w:rsid w:val="00EF1AF4"/>
    <w:rsid w:val="00EF1BE9"/>
    <w:rsid w:val="00EF2A97"/>
    <w:rsid w:val="00EF2F3E"/>
    <w:rsid w:val="00EF2FE9"/>
    <w:rsid w:val="00EF2FFA"/>
    <w:rsid w:val="00EF32F6"/>
    <w:rsid w:val="00EF36FC"/>
    <w:rsid w:val="00EF4550"/>
    <w:rsid w:val="00EF46F6"/>
    <w:rsid w:val="00EF476C"/>
    <w:rsid w:val="00EF488B"/>
    <w:rsid w:val="00EF4DC1"/>
    <w:rsid w:val="00EF4FDB"/>
    <w:rsid w:val="00EF507E"/>
    <w:rsid w:val="00EF54A2"/>
    <w:rsid w:val="00EF56AA"/>
    <w:rsid w:val="00EF56CE"/>
    <w:rsid w:val="00EF7733"/>
    <w:rsid w:val="00EF7A21"/>
    <w:rsid w:val="00F00182"/>
    <w:rsid w:val="00F00620"/>
    <w:rsid w:val="00F00A66"/>
    <w:rsid w:val="00F02025"/>
    <w:rsid w:val="00F0223B"/>
    <w:rsid w:val="00F02D98"/>
    <w:rsid w:val="00F02E62"/>
    <w:rsid w:val="00F0306C"/>
    <w:rsid w:val="00F037ED"/>
    <w:rsid w:val="00F0385F"/>
    <w:rsid w:val="00F03886"/>
    <w:rsid w:val="00F03900"/>
    <w:rsid w:val="00F03BBE"/>
    <w:rsid w:val="00F0465B"/>
    <w:rsid w:val="00F050FF"/>
    <w:rsid w:val="00F05909"/>
    <w:rsid w:val="00F05934"/>
    <w:rsid w:val="00F05EAB"/>
    <w:rsid w:val="00F071B7"/>
    <w:rsid w:val="00F07833"/>
    <w:rsid w:val="00F07ECF"/>
    <w:rsid w:val="00F10758"/>
    <w:rsid w:val="00F108A1"/>
    <w:rsid w:val="00F10964"/>
    <w:rsid w:val="00F10B72"/>
    <w:rsid w:val="00F10DDD"/>
    <w:rsid w:val="00F11210"/>
    <w:rsid w:val="00F11A4C"/>
    <w:rsid w:val="00F12263"/>
    <w:rsid w:val="00F12295"/>
    <w:rsid w:val="00F125FC"/>
    <w:rsid w:val="00F1272B"/>
    <w:rsid w:val="00F13931"/>
    <w:rsid w:val="00F149D0"/>
    <w:rsid w:val="00F15123"/>
    <w:rsid w:val="00F151E5"/>
    <w:rsid w:val="00F155B3"/>
    <w:rsid w:val="00F1565E"/>
    <w:rsid w:val="00F15945"/>
    <w:rsid w:val="00F15D7F"/>
    <w:rsid w:val="00F17281"/>
    <w:rsid w:val="00F177FA"/>
    <w:rsid w:val="00F2004E"/>
    <w:rsid w:val="00F204A1"/>
    <w:rsid w:val="00F20C6A"/>
    <w:rsid w:val="00F20D75"/>
    <w:rsid w:val="00F2137A"/>
    <w:rsid w:val="00F21DFD"/>
    <w:rsid w:val="00F21FF0"/>
    <w:rsid w:val="00F22D07"/>
    <w:rsid w:val="00F22D79"/>
    <w:rsid w:val="00F23784"/>
    <w:rsid w:val="00F23827"/>
    <w:rsid w:val="00F239C4"/>
    <w:rsid w:val="00F23C00"/>
    <w:rsid w:val="00F23CE3"/>
    <w:rsid w:val="00F23EED"/>
    <w:rsid w:val="00F24099"/>
    <w:rsid w:val="00F24812"/>
    <w:rsid w:val="00F24E94"/>
    <w:rsid w:val="00F250A0"/>
    <w:rsid w:val="00F255A1"/>
    <w:rsid w:val="00F26216"/>
    <w:rsid w:val="00F26ED5"/>
    <w:rsid w:val="00F3026C"/>
    <w:rsid w:val="00F3046C"/>
    <w:rsid w:val="00F308CF"/>
    <w:rsid w:val="00F30BD6"/>
    <w:rsid w:val="00F30ED6"/>
    <w:rsid w:val="00F31130"/>
    <w:rsid w:val="00F31202"/>
    <w:rsid w:val="00F3170B"/>
    <w:rsid w:val="00F31802"/>
    <w:rsid w:val="00F322AE"/>
    <w:rsid w:val="00F3257A"/>
    <w:rsid w:val="00F32939"/>
    <w:rsid w:val="00F32DE2"/>
    <w:rsid w:val="00F3323F"/>
    <w:rsid w:val="00F3396B"/>
    <w:rsid w:val="00F33CB0"/>
    <w:rsid w:val="00F3412B"/>
    <w:rsid w:val="00F342A4"/>
    <w:rsid w:val="00F34330"/>
    <w:rsid w:val="00F34BD4"/>
    <w:rsid w:val="00F34D20"/>
    <w:rsid w:val="00F3547D"/>
    <w:rsid w:val="00F357C4"/>
    <w:rsid w:val="00F360AD"/>
    <w:rsid w:val="00F36742"/>
    <w:rsid w:val="00F36A25"/>
    <w:rsid w:val="00F370B9"/>
    <w:rsid w:val="00F375B4"/>
    <w:rsid w:val="00F37940"/>
    <w:rsid w:val="00F37AB4"/>
    <w:rsid w:val="00F37C2B"/>
    <w:rsid w:val="00F37DC5"/>
    <w:rsid w:val="00F40C31"/>
    <w:rsid w:val="00F40D19"/>
    <w:rsid w:val="00F40F1D"/>
    <w:rsid w:val="00F41868"/>
    <w:rsid w:val="00F421BB"/>
    <w:rsid w:val="00F429C0"/>
    <w:rsid w:val="00F42E38"/>
    <w:rsid w:val="00F43179"/>
    <w:rsid w:val="00F43A36"/>
    <w:rsid w:val="00F43AEE"/>
    <w:rsid w:val="00F44085"/>
    <w:rsid w:val="00F44253"/>
    <w:rsid w:val="00F4432E"/>
    <w:rsid w:val="00F453F8"/>
    <w:rsid w:val="00F454CE"/>
    <w:rsid w:val="00F45D7E"/>
    <w:rsid w:val="00F45E3F"/>
    <w:rsid w:val="00F4728A"/>
    <w:rsid w:val="00F47A4F"/>
    <w:rsid w:val="00F5032C"/>
    <w:rsid w:val="00F50C23"/>
    <w:rsid w:val="00F50DEC"/>
    <w:rsid w:val="00F516A4"/>
    <w:rsid w:val="00F517C0"/>
    <w:rsid w:val="00F519DD"/>
    <w:rsid w:val="00F51CAA"/>
    <w:rsid w:val="00F51D39"/>
    <w:rsid w:val="00F52648"/>
    <w:rsid w:val="00F527C3"/>
    <w:rsid w:val="00F52836"/>
    <w:rsid w:val="00F52AE2"/>
    <w:rsid w:val="00F52FF0"/>
    <w:rsid w:val="00F539AB"/>
    <w:rsid w:val="00F53D3F"/>
    <w:rsid w:val="00F53D7A"/>
    <w:rsid w:val="00F53FA9"/>
    <w:rsid w:val="00F54510"/>
    <w:rsid w:val="00F5465E"/>
    <w:rsid w:val="00F54967"/>
    <w:rsid w:val="00F552F1"/>
    <w:rsid w:val="00F5547B"/>
    <w:rsid w:val="00F556C0"/>
    <w:rsid w:val="00F561B9"/>
    <w:rsid w:val="00F569E4"/>
    <w:rsid w:val="00F56D08"/>
    <w:rsid w:val="00F57926"/>
    <w:rsid w:val="00F61E21"/>
    <w:rsid w:val="00F61F03"/>
    <w:rsid w:val="00F61F8C"/>
    <w:rsid w:val="00F62759"/>
    <w:rsid w:val="00F627C2"/>
    <w:rsid w:val="00F63054"/>
    <w:rsid w:val="00F63202"/>
    <w:rsid w:val="00F633BD"/>
    <w:rsid w:val="00F644C2"/>
    <w:rsid w:val="00F6465A"/>
    <w:rsid w:val="00F649F7"/>
    <w:rsid w:val="00F64F7B"/>
    <w:rsid w:val="00F651B6"/>
    <w:rsid w:val="00F65903"/>
    <w:rsid w:val="00F659AB"/>
    <w:rsid w:val="00F65A2C"/>
    <w:rsid w:val="00F65E7F"/>
    <w:rsid w:val="00F661DD"/>
    <w:rsid w:val="00F66426"/>
    <w:rsid w:val="00F6662C"/>
    <w:rsid w:val="00F67054"/>
    <w:rsid w:val="00F67570"/>
    <w:rsid w:val="00F67779"/>
    <w:rsid w:val="00F67AAF"/>
    <w:rsid w:val="00F67E21"/>
    <w:rsid w:val="00F67E39"/>
    <w:rsid w:val="00F70841"/>
    <w:rsid w:val="00F70AD0"/>
    <w:rsid w:val="00F72344"/>
    <w:rsid w:val="00F72741"/>
    <w:rsid w:val="00F72E6D"/>
    <w:rsid w:val="00F7333C"/>
    <w:rsid w:val="00F733FD"/>
    <w:rsid w:val="00F739E6"/>
    <w:rsid w:val="00F73CA4"/>
    <w:rsid w:val="00F73E46"/>
    <w:rsid w:val="00F7401F"/>
    <w:rsid w:val="00F742DA"/>
    <w:rsid w:val="00F743E1"/>
    <w:rsid w:val="00F7447C"/>
    <w:rsid w:val="00F74D64"/>
    <w:rsid w:val="00F74EC5"/>
    <w:rsid w:val="00F75638"/>
    <w:rsid w:val="00F75CFC"/>
    <w:rsid w:val="00F75D17"/>
    <w:rsid w:val="00F75DE3"/>
    <w:rsid w:val="00F76D1D"/>
    <w:rsid w:val="00F77130"/>
    <w:rsid w:val="00F776D2"/>
    <w:rsid w:val="00F80490"/>
    <w:rsid w:val="00F80552"/>
    <w:rsid w:val="00F806EE"/>
    <w:rsid w:val="00F807EA"/>
    <w:rsid w:val="00F810C2"/>
    <w:rsid w:val="00F81C3C"/>
    <w:rsid w:val="00F822A6"/>
    <w:rsid w:val="00F825B5"/>
    <w:rsid w:val="00F8297C"/>
    <w:rsid w:val="00F83D18"/>
    <w:rsid w:val="00F83EFC"/>
    <w:rsid w:val="00F840F2"/>
    <w:rsid w:val="00F85494"/>
    <w:rsid w:val="00F86B84"/>
    <w:rsid w:val="00F8723A"/>
    <w:rsid w:val="00F875D9"/>
    <w:rsid w:val="00F8782F"/>
    <w:rsid w:val="00F9044D"/>
    <w:rsid w:val="00F905F9"/>
    <w:rsid w:val="00F908AA"/>
    <w:rsid w:val="00F90C08"/>
    <w:rsid w:val="00F9183B"/>
    <w:rsid w:val="00F91BD3"/>
    <w:rsid w:val="00F91CE9"/>
    <w:rsid w:val="00F92210"/>
    <w:rsid w:val="00F92D12"/>
    <w:rsid w:val="00F92FB3"/>
    <w:rsid w:val="00F933CA"/>
    <w:rsid w:val="00F93A18"/>
    <w:rsid w:val="00F93A6D"/>
    <w:rsid w:val="00F93C6C"/>
    <w:rsid w:val="00F93E31"/>
    <w:rsid w:val="00F93F00"/>
    <w:rsid w:val="00F94947"/>
    <w:rsid w:val="00F94B74"/>
    <w:rsid w:val="00F9528B"/>
    <w:rsid w:val="00F957A3"/>
    <w:rsid w:val="00F95F7E"/>
    <w:rsid w:val="00F962F8"/>
    <w:rsid w:val="00F97653"/>
    <w:rsid w:val="00F97ABF"/>
    <w:rsid w:val="00F97FCC"/>
    <w:rsid w:val="00FA001E"/>
    <w:rsid w:val="00FA0672"/>
    <w:rsid w:val="00FA0A86"/>
    <w:rsid w:val="00FA0D25"/>
    <w:rsid w:val="00FA0D62"/>
    <w:rsid w:val="00FA0F63"/>
    <w:rsid w:val="00FA1C44"/>
    <w:rsid w:val="00FA1FF6"/>
    <w:rsid w:val="00FA3370"/>
    <w:rsid w:val="00FA3510"/>
    <w:rsid w:val="00FA38FE"/>
    <w:rsid w:val="00FA3C8F"/>
    <w:rsid w:val="00FA3C94"/>
    <w:rsid w:val="00FA3D36"/>
    <w:rsid w:val="00FA42FE"/>
    <w:rsid w:val="00FA4515"/>
    <w:rsid w:val="00FA45A5"/>
    <w:rsid w:val="00FA4706"/>
    <w:rsid w:val="00FA4F5E"/>
    <w:rsid w:val="00FA54C8"/>
    <w:rsid w:val="00FA5601"/>
    <w:rsid w:val="00FA57DC"/>
    <w:rsid w:val="00FA593C"/>
    <w:rsid w:val="00FA5A33"/>
    <w:rsid w:val="00FA5DB6"/>
    <w:rsid w:val="00FA6245"/>
    <w:rsid w:val="00FA649E"/>
    <w:rsid w:val="00FA66B6"/>
    <w:rsid w:val="00FA6727"/>
    <w:rsid w:val="00FA676E"/>
    <w:rsid w:val="00FA6F83"/>
    <w:rsid w:val="00FA71DD"/>
    <w:rsid w:val="00FA75CB"/>
    <w:rsid w:val="00FA7F8E"/>
    <w:rsid w:val="00FB0EC6"/>
    <w:rsid w:val="00FB1309"/>
    <w:rsid w:val="00FB196D"/>
    <w:rsid w:val="00FB1A2A"/>
    <w:rsid w:val="00FB1B70"/>
    <w:rsid w:val="00FB1F8F"/>
    <w:rsid w:val="00FB1FC8"/>
    <w:rsid w:val="00FB21C4"/>
    <w:rsid w:val="00FB267A"/>
    <w:rsid w:val="00FB270C"/>
    <w:rsid w:val="00FB2CB7"/>
    <w:rsid w:val="00FB32CA"/>
    <w:rsid w:val="00FB34CE"/>
    <w:rsid w:val="00FB3A8A"/>
    <w:rsid w:val="00FB3C29"/>
    <w:rsid w:val="00FB42B8"/>
    <w:rsid w:val="00FB49FC"/>
    <w:rsid w:val="00FB4E6C"/>
    <w:rsid w:val="00FB5A50"/>
    <w:rsid w:val="00FB5C0D"/>
    <w:rsid w:val="00FB6043"/>
    <w:rsid w:val="00FB7317"/>
    <w:rsid w:val="00FB7703"/>
    <w:rsid w:val="00FC0862"/>
    <w:rsid w:val="00FC093A"/>
    <w:rsid w:val="00FC13DA"/>
    <w:rsid w:val="00FC1573"/>
    <w:rsid w:val="00FC17DE"/>
    <w:rsid w:val="00FC1844"/>
    <w:rsid w:val="00FC1A05"/>
    <w:rsid w:val="00FC22D7"/>
    <w:rsid w:val="00FC2AF5"/>
    <w:rsid w:val="00FC2B5D"/>
    <w:rsid w:val="00FC4229"/>
    <w:rsid w:val="00FC4331"/>
    <w:rsid w:val="00FC5EF4"/>
    <w:rsid w:val="00FC629E"/>
    <w:rsid w:val="00FC641B"/>
    <w:rsid w:val="00FC6523"/>
    <w:rsid w:val="00FC7201"/>
    <w:rsid w:val="00FC75F0"/>
    <w:rsid w:val="00FC7C24"/>
    <w:rsid w:val="00FC7D16"/>
    <w:rsid w:val="00FC7FA3"/>
    <w:rsid w:val="00FD03E5"/>
    <w:rsid w:val="00FD06DA"/>
    <w:rsid w:val="00FD1871"/>
    <w:rsid w:val="00FD21E0"/>
    <w:rsid w:val="00FD255B"/>
    <w:rsid w:val="00FD277E"/>
    <w:rsid w:val="00FD2927"/>
    <w:rsid w:val="00FD2FF5"/>
    <w:rsid w:val="00FD4802"/>
    <w:rsid w:val="00FD52ED"/>
    <w:rsid w:val="00FD55D0"/>
    <w:rsid w:val="00FD55D2"/>
    <w:rsid w:val="00FD6E1E"/>
    <w:rsid w:val="00FD6E4C"/>
    <w:rsid w:val="00FD716F"/>
    <w:rsid w:val="00FD79C3"/>
    <w:rsid w:val="00FE04FC"/>
    <w:rsid w:val="00FE0E89"/>
    <w:rsid w:val="00FE1298"/>
    <w:rsid w:val="00FE14D7"/>
    <w:rsid w:val="00FE17EC"/>
    <w:rsid w:val="00FE1887"/>
    <w:rsid w:val="00FE1C1B"/>
    <w:rsid w:val="00FE1E8C"/>
    <w:rsid w:val="00FE210C"/>
    <w:rsid w:val="00FE2DA6"/>
    <w:rsid w:val="00FE3092"/>
    <w:rsid w:val="00FE383E"/>
    <w:rsid w:val="00FE38F3"/>
    <w:rsid w:val="00FE3982"/>
    <w:rsid w:val="00FE3F9F"/>
    <w:rsid w:val="00FE5260"/>
    <w:rsid w:val="00FE592B"/>
    <w:rsid w:val="00FE6A68"/>
    <w:rsid w:val="00FE7A9C"/>
    <w:rsid w:val="00FF0365"/>
    <w:rsid w:val="00FF03E5"/>
    <w:rsid w:val="00FF066D"/>
    <w:rsid w:val="00FF06AD"/>
    <w:rsid w:val="00FF0BB2"/>
    <w:rsid w:val="00FF0FE8"/>
    <w:rsid w:val="00FF1277"/>
    <w:rsid w:val="00FF140F"/>
    <w:rsid w:val="00FF1D2D"/>
    <w:rsid w:val="00FF2D1D"/>
    <w:rsid w:val="00FF2FB0"/>
    <w:rsid w:val="00FF3165"/>
    <w:rsid w:val="00FF341D"/>
    <w:rsid w:val="00FF38A6"/>
    <w:rsid w:val="00FF3A98"/>
    <w:rsid w:val="00FF3B85"/>
    <w:rsid w:val="00FF43F8"/>
    <w:rsid w:val="00FF44FD"/>
    <w:rsid w:val="00FF48C6"/>
    <w:rsid w:val="00FF4B0F"/>
    <w:rsid w:val="00FF4D67"/>
    <w:rsid w:val="00FF4D7D"/>
    <w:rsid w:val="00FF4E32"/>
    <w:rsid w:val="00FF512D"/>
    <w:rsid w:val="00FF5294"/>
    <w:rsid w:val="00FF6692"/>
    <w:rsid w:val="00FF6D54"/>
    <w:rsid w:val="00FF7314"/>
    <w:rsid w:val="00FF7990"/>
    <w:rsid w:val="00FF7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10DE5E"/>
  <w14:defaultImageDpi w14:val="300"/>
  <w15:docId w15:val="{EBF9323B-ACA9-8842-A479-DE60ABF0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8EE"/>
    <w:pPr>
      <w:spacing w:line="480" w:lineRule="auto"/>
      <w:ind w:firstLine="426"/>
      <w:jc w:val="both"/>
    </w:pPr>
    <w:rPr>
      <w:rFonts w:ascii="Times New Roman" w:hAnsi="Times New Roman" w:cs="Times New Roman"/>
    </w:rPr>
  </w:style>
  <w:style w:type="paragraph" w:styleId="Heading1">
    <w:name w:val="heading 1"/>
    <w:next w:val="Normal"/>
    <w:link w:val="Heading1Char"/>
    <w:uiPriority w:val="9"/>
    <w:qFormat/>
    <w:rsid w:val="00ED533B"/>
    <w:pPr>
      <w:keepNext/>
      <w:keepLines/>
      <w:spacing w:before="240" w:after="120" w:line="480" w:lineRule="auto"/>
      <w:outlineLvl w:val="0"/>
    </w:pPr>
    <w:rPr>
      <w:rFonts w:ascii="Times New Roman" w:eastAsiaTheme="majorEastAsia" w:hAnsi="Times New Roman" w:cstheme="majorBidi"/>
      <w:b/>
      <w:sz w:val="28"/>
      <w:szCs w:val="32"/>
    </w:rPr>
  </w:style>
  <w:style w:type="paragraph" w:styleId="Heading2">
    <w:name w:val="heading 2"/>
    <w:next w:val="Normal"/>
    <w:link w:val="Heading2Char"/>
    <w:uiPriority w:val="9"/>
    <w:unhideWhenUsed/>
    <w:qFormat/>
    <w:rsid w:val="00ED533B"/>
    <w:pPr>
      <w:keepNext/>
      <w:keepLines/>
      <w:spacing w:before="240" w:after="120" w:line="480" w:lineRule="auto"/>
      <w:outlineLvl w:val="1"/>
    </w:pPr>
    <w:rPr>
      <w:rFonts w:ascii="Times New Roman" w:eastAsiaTheme="majorEastAsia" w:hAnsi="Times New Roman" w:cstheme="majorBidi"/>
      <w:b/>
      <w:bCs/>
      <w:szCs w:val="26"/>
      <w:lang w:eastAsia="zh-CN"/>
    </w:rPr>
  </w:style>
  <w:style w:type="paragraph" w:styleId="Heading3">
    <w:name w:val="heading 3"/>
    <w:next w:val="Normal"/>
    <w:link w:val="Heading3Char"/>
    <w:uiPriority w:val="9"/>
    <w:unhideWhenUsed/>
    <w:qFormat/>
    <w:rsid w:val="005E609A"/>
    <w:pPr>
      <w:keepNext/>
      <w:keepLines/>
      <w:spacing w:before="240" w:after="120" w:line="480" w:lineRule="auto"/>
      <w:outlineLvl w:val="2"/>
    </w:pPr>
    <w:rPr>
      <w:rFonts w:ascii="Times New Roman" w:eastAsiaTheme="majorEastAsia" w:hAnsi="Times New Roman"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uiPriority w:val="99"/>
    <w:unhideWhenUsed/>
    <w:rsid w:val="00ED533B"/>
    <w:pPr>
      <w:spacing w:line="480" w:lineRule="auto"/>
      <w:jc w:val="both"/>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uiPriority w:val="99"/>
    <w:rsid w:val="00ED533B"/>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unhideWhenUsed/>
    <w:rsid w:val="00987AA9"/>
    <w:rPr>
      <w:vertAlign w:val="superscript"/>
    </w:rPr>
  </w:style>
  <w:style w:type="paragraph" w:styleId="Footer">
    <w:name w:val="footer"/>
    <w:basedOn w:val="Normal"/>
    <w:link w:val="FooterChar"/>
    <w:uiPriority w:val="99"/>
    <w:unhideWhenUsed/>
    <w:rsid w:val="00987AA9"/>
    <w:pPr>
      <w:tabs>
        <w:tab w:val="center" w:pos="4320"/>
        <w:tab w:val="right" w:pos="8640"/>
      </w:tabs>
    </w:pPr>
  </w:style>
  <w:style w:type="character" w:customStyle="1" w:styleId="FooterChar">
    <w:name w:val="Footer Char"/>
    <w:basedOn w:val="DefaultParagraphFont"/>
    <w:link w:val="Footer"/>
    <w:uiPriority w:val="99"/>
    <w:rsid w:val="00987AA9"/>
  </w:style>
  <w:style w:type="character" w:styleId="PageNumber">
    <w:name w:val="page number"/>
    <w:basedOn w:val="DefaultParagraphFont"/>
    <w:uiPriority w:val="99"/>
    <w:semiHidden/>
    <w:unhideWhenUsed/>
    <w:rsid w:val="00987AA9"/>
  </w:style>
  <w:style w:type="character" w:styleId="Hyperlink">
    <w:name w:val="Hyperlink"/>
    <w:basedOn w:val="DefaultParagraphFont"/>
    <w:uiPriority w:val="99"/>
    <w:unhideWhenUsed/>
    <w:rsid w:val="00987AA9"/>
    <w:rPr>
      <w:color w:val="0000FF" w:themeColor="hyperlink"/>
      <w:u w:val="single"/>
    </w:rPr>
  </w:style>
  <w:style w:type="character" w:customStyle="1" w:styleId="UnresolvedMention1">
    <w:name w:val="Unresolved Mention1"/>
    <w:basedOn w:val="DefaultParagraphFont"/>
    <w:uiPriority w:val="99"/>
    <w:semiHidden/>
    <w:unhideWhenUsed/>
    <w:rsid w:val="00987AA9"/>
    <w:rPr>
      <w:color w:val="808080"/>
      <w:shd w:val="clear" w:color="auto" w:fill="E6E6E6"/>
    </w:rPr>
  </w:style>
  <w:style w:type="paragraph" w:styleId="BalloonText">
    <w:name w:val="Balloon Text"/>
    <w:basedOn w:val="Normal"/>
    <w:link w:val="BalloonTextChar"/>
    <w:uiPriority w:val="99"/>
    <w:semiHidden/>
    <w:unhideWhenUsed/>
    <w:rsid w:val="00987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AA9"/>
    <w:rPr>
      <w:rFonts w:ascii="Segoe UI" w:hAnsi="Segoe UI" w:cs="Segoe UI"/>
      <w:sz w:val="18"/>
      <w:szCs w:val="18"/>
    </w:rPr>
  </w:style>
  <w:style w:type="character" w:styleId="PlaceholderText">
    <w:name w:val="Placeholder Text"/>
    <w:basedOn w:val="DefaultParagraphFont"/>
    <w:uiPriority w:val="99"/>
    <w:semiHidden/>
    <w:rsid w:val="00987AA9"/>
    <w:rPr>
      <w:color w:val="808080"/>
    </w:rPr>
  </w:style>
  <w:style w:type="table" w:styleId="TableGrid">
    <w:name w:val="Table Grid"/>
    <w:basedOn w:val="TableNormal"/>
    <w:uiPriority w:val="59"/>
    <w:rsid w:val="00987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7AA9"/>
    <w:pPr>
      <w:ind w:left="720"/>
      <w:contextualSpacing/>
    </w:pPr>
  </w:style>
  <w:style w:type="paragraph" w:styleId="Header">
    <w:name w:val="header"/>
    <w:basedOn w:val="Normal"/>
    <w:link w:val="HeaderChar"/>
    <w:uiPriority w:val="99"/>
    <w:unhideWhenUsed/>
    <w:rsid w:val="00987AA9"/>
    <w:pPr>
      <w:tabs>
        <w:tab w:val="center" w:pos="4513"/>
        <w:tab w:val="right" w:pos="9026"/>
      </w:tabs>
    </w:pPr>
  </w:style>
  <w:style w:type="character" w:customStyle="1" w:styleId="HeaderChar">
    <w:name w:val="Header Char"/>
    <w:basedOn w:val="DefaultParagraphFont"/>
    <w:link w:val="Header"/>
    <w:uiPriority w:val="99"/>
    <w:rsid w:val="00987AA9"/>
  </w:style>
  <w:style w:type="character" w:styleId="CommentReference">
    <w:name w:val="annotation reference"/>
    <w:basedOn w:val="DefaultParagraphFont"/>
    <w:uiPriority w:val="99"/>
    <w:semiHidden/>
    <w:unhideWhenUsed/>
    <w:rsid w:val="00987AA9"/>
    <w:rPr>
      <w:sz w:val="18"/>
      <w:szCs w:val="18"/>
    </w:rPr>
  </w:style>
  <w:style w:type="paragraph" w:styleId="CommentText">
    <w:name w:val="annotation text"/>
    <w:basedOn w:val="Normal"/>
    <w:link w:val="CommentTextChar"/>
    <w:uiPriority w:val="99"/>
    <w:unhideWhenUsed/>
    <w:rsid w:val="00987AA9"/>
  </w:style>
  <w:style w:type="character" w:customStyle="1" w:styleId="CommentTextChar">
    <w:name w:val="Comment Text Char"/>
    <w:basedOn w:val="DefaultParagraphFont"/>
    <w:link w:val="CommentText"/>
    <w:uiPriority w:val="99"/>
    <w:rsid w:val="00987AA9"/>
  </w:style>
  <w:style w:type="paragraph" w:styleId="CommentSubject">
    <w:name w:val="annotation subject"/>
    <w:basedOn w:val="CommentText"/>
    <w:next w:val="CommentText"/>
    <w:link w:val="CommentSubjectChar"/>
    <w:uiPriority w:val="99"/>
    <w:semiHidden/>
    <w:unhideWhenUsed/>
    <w:rsid w:val="00987AA9"/>
    <w:rPr>
      <w:b/>
      <w:bCs/>
      <w:sz w:val="20"/>
      <w:szCs w:val="20"/>
    </w:rPr>
  </w:style>
  <w:style w:type="character" w:customStyle="1" w:styleId="CommentSubjectChar">
    <w:name w:val="Comment Subject Char"/>
    <w:basedOn w:val="CommentTextChar"/>
    <w:link w:val="CommentSubject"/>
    <w:uiPriority w:val="99"/>
    <w:semiHidden/>
    <w:rsid w:val="00987AA9"/>
    <w:rPr>
      <w:b/>
      <w:bCs/>
      <w:sz w:val="20"/>
      <w:szCs w:val="20"/>
    </w:rPr>
  </w:style>
  <w:style w:type="numbering" w:customStyle="1" w:styleId="NoList1">
    <w:name w:val="No List1"/>
    <w:next w:val="NoList"/>
    <w:uiPriority w:val="99"/>
    <w:semiHidden/>
    <w:unhideWhenUsed/>
    <w:rsid w:val="005E0E2B"/>
  </w:style>
  <w:style w:type="character" w:customStyle="1" w:styleId="Hyperlink1">
    <w:name w:val="Hyperlink1"/>
    <w:basedOn w:val="DefaultParagraphFont"/>
    <w:uiPriority w:val="99"/>
    <w:unhideWhenUsed/>
    <w:rsid w:val="005E0E2B"/>
    <w:rPr>
      <w:color w:val="0000FF"/>
      <w:u w:val="single"/>
    </w:rPr>
  </w:style>
  <w:style w:type="character" w:customStyle="1" w:styleId="Heading1Char">
    <w:name w:val="Heading 1 Char"/>
    <w:basedOn w:val="DefaultParagraphFont"/>
    <w:link w:val="Heading1"/>
    <w:uiPriority w:val="9"/>
    <w:rsid w:val="00ED533B"/>
    <w:rPr>
      <w:rFonts w:ascii="Times New Roman" w:eastAsiaTheme="majorEastAsia" w:hAnsi="Times New Roman" w:cstheme="majorBidi"/>
      <w:b/>
      <w:sz w:val="28"/>
      <w:szCs w:val="32"/>
    </w:rPr>
  </w:style>
  <w:style w:type="character" w:styleId="FollowedHyperlink">
    <w:name w:val="FollowedHyperlink"/>
    <w:basedOn w:val="DefaultParagraphFont"/>
    <w:uiPriority w:val="99"/>
    <w:semiHidden/>
    <w:unhideWhenUsed/>
    <w:rsid w:val="00C63239"/>
    <w:rPr>
      <w:color w:val="954F72"/>
      <w:u w:val="single"/>
    </w:rPr>
  </w:style>
  <w:style w:type="paragraph" w:customStyle="1" w:styleId="msonormal0">
    <w:name w:val="msonormal"/>
    <w:basedOn w:val="Normal"/>
    <w:rsid w:val="00C63239"/>
    <w:pPr>
      <w:spacing w:before="100" w:beforeAutospacing="1" w:after="100" w:afterAutospacing="1"/>
    </w:pPr>
    <w:rPr>
      <w:rFonts w:eastAsia="Times New Roman"/>
      <w:lang w:val="en-GB" w:eastAsia="zh-CN"/>
    </w:rPr>
  </w:style>
  <w:style w:type="paragraph" w:customStyle="1" w:styleId="xl65">
    <w:name w:val="xl65"/>
    <w:basedOn w:val="Normal"/>
    <w:rsid w:val="00C63239"/>
    <w:pPr>
      <w:spacing w:before="100" w:beforeAutospacing="1" w:after="100" w:afterAutospacing="1"/>
      <w:jc w:val="center"/>
    </w:pPr>
    <w:rPr>
      <w:rFonts w:eastAsia="Times New Roman"/>
      <w:lang w:val="en-GB" w:eastAsia="zh-CN"/>
    </w:rPr>
  </w:style>
  <w:style w:type="paragraph" w:customStyle="1" w:styleId="xl66">
    <w:name w:val="xl66"/>
    <w:basedOn w:val="Normal"/>
    <w:rsid w:val="00C63239"/>
    <w:pPr>
      <w:spacing w:before="100" w:beforeAutospacing="1" w:after="100" w:afterAutospacing="1"/>
    </w:pPr>
    <w:rPr>
      <w:rFonts w:eastAsia="Times New Roman"/>
      <w:lang w:val="en-GB" w:eastAsia="zh-CN"/>
    </w:rPr>
  </w:style>
  <w:style w:type="paragraph" w:customStyle="1" w:styleId="xl67">
    <w:name w:val="xl67"/>
    <w:basedOn w:val="Normal"/>
    <w:rsid w:val="00C63239"/>
    <w:pPr>
      <w:pBdr>
        <w:top w:val="single" w:sz="4" w:space="0" w:color="auto"/>
      </w:pBdr>
      <w:spacing w:before="100" w:beforeAutospacing="1" w:after="100" w:afterAutospacing="1"/>
    </w:pPr>
    <w:rPr>
      <w:rFonts w:eastAsia="Times New Roman"/>
      <w:lang w:val="en-GB" w:eastAsia="zh-CN"/>
    </w:rPr>
  </w:style>
  <w:style w:type="paragraph" w:customStyle="1" w:styleId="xl68">
    <w:name w:val="xl68"/>
    <w:basedOn w:val="Normal"/>
    <w:rsid w:val="00C63239"/>
    <w:pPr>
      <w:pBdr>
        <w:bottom w:val="single" w:sz="4" w:space="0" w:color="auto"/>
      </w:pBdr>
      <w:spacing w:before="100" w:beforeAutospacing="1" w:after="100" w:afterAutospacing="1"/>
    </w:pPr>
    <w:rPr>
      <w:rFonts w:eastAsia="Times New Roman"/>
      <w:lang w:val="en-GB" w:eastAsia="zh-CN"/>
    </w:rPr>
  </w:style>
  <w:style w:type="paragraph" w:customStyle="1" w:styleId="xl69">
    <w:name w:val="xl69"/>
    <w:basedOn w:val="Normal"/>
    <w:rsid w:val="00C63239"/>
    <w:pPr>
      <w:pBdr>
        <w:bottom w:val="single" w:sz="4" w:space="0" w:color="auto"/>
      </w:pBdr>
      <w:spacing w:before="100" w:beforeAutospacing="1" w:after="100" w:afterAutospacing="1"/>
      <w:jc w:val="center"/>
    </w:pPr>
    <w:rPr>
      <w:rFonts w:eastAsia="Times New Roman"/>
      <w:lang w:val="en-GB" w:eastAsia="zh-CN"/>
    </w:rPr>
  </w:style>
  <w:style w:type="paragraph" w:customStyle="1" w:styleId="xl70">
    <w:name w:val="xl70"/>
    <w:basedOn w:val="Normal"/>
    <w:rsid w:val="00C63239"/>
    <w:pPr>
      <w:pBdr>
        <w:top w:val="single" w:sz="4" w:space="0" w:color="auto"/>
      </w:pBdr>
      <w:spacing w:before="100" w:beforeAutospacing="1" w:after="100" w:afterAutospacing="1"/>
      <w:jc w:val="center"/>
    </w:pPr>
    <w:rPr>
      <w:rFonts w:eastAsia="Times New Roman"/>
      <w:lang w:val="en-GB" w:eastAsia="zh-CN"/>
    </w:rPr>
  </w:style>
  <w:style w:type="paragraph" w:customStyle="1" w:styleId="xl71">
    <w:name w:val="xl71"/>
    <w:basedOn w:val="Normal"/>
    <w:rsid w:val="00C63239"/>
    <w:pPr>
      <w:pBdr>
        <w:bottom w:val="single" w:sz="4" w:space="0" w:color="auto"/>
      </w:pBdr>
      <w:spacing w:before="100" w:beforeAutospacing="1" w:after="100" w:afterAutospacing="1"/>
      <w:jc w:val="center"/>
      <w:textAlignment w:val="center"/>
    </w:pPr>
    <w:rPr>
      <w:rFonts w:eastAsia="Times New Roman"/>
      <w:lang w:val="en-GB" w:eastAsia="zh-CN"/>
    </w:rPr>
  </w:style>
  <w:style w:type="paragraph" w:customStyle="1" w:styleId="xl72">
    <w:name w:val="xl72"/>
    <w:basedOn w:val="Normal"/>
    <w:rsid w:val="00C63239"/>
    <w:pPr>
      <w:spacing w:before="100" w:beforeAutospacing="1" w:after="100" w:afterAutospacing="1"/>
      <w:jc w:val="center"/>
      <w:textAlignment w:val="center"/>
    </w:pPr>
    <w:rPr>
      <w:rFonts w:eastAsia="Times New Roman"/>
      <w:lang w:val="en-GB" w:eastAsia="zh-CN"/>
    </w:rPr>
  </w:style>
  <w:style w:type="paragraph" w:customStyle="1" w:styleId="xl73">
    <w:name w:val="xl73"/>
    <w:basedOn w:val="Normal"/>
    <w:rsid w:val="00C63239"/>
    <w:pPr>
      <w:spacing w:before="100" w:beforeAutospacing="1" w:after="100" w:afterAutospacing="1"/>
    </w:pPr>
    <w:rPr>
      <w:rFonts w:eastAsia="Times New Roman"/>
      <w:b/>
      <w:bCs/>
      <w:i/>
      <w:iCs/>
      <w:lang w:val="en-GB" w:eastAsia="zh-CN"/>
    </w:rPr>
  </w:style>
  <w:style w:type="numbering" w:customStyle="1" w:styleId="NoList2">
    <w:name w:val="No List2"/>
    <w:next w:val="NoList"/>
    <w:uiPriority w:val="99"/>
    <w:semiHidden/>
    <w:unhideWhenUsed/>
    <w:rsid w:val="00302CE5"/>
  </w:style>
  <w:style w:type="numbering" w:customStyle="1" w:styleId="NoList11">
    <w:name w:val="No List11"/>
    <w:next w:val="NoList"/>
    <w:uiPriority w:val="99"/>
    <w:semiHidden/>
    <w:unhideWhenUsed/>
    <w:rsid w:val="00302CE5"/>
  </w:style>
  <w:style w:type="table" w:customStyle="1" w:styleId="TableGrid1">
    <w:name w:val="Table Grid1"/>
    <w:basedOn w:val="TableNormal"/>
    <w:next w:val="TableGrid"/>
    <w:uiPriority w:val="59"/>
    <w:rsid w:val="00302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A132A"/>
  </w:style>
  <w:style w:type="character" w:customStyle="1" w:styleId="Heading2Char">
    <w:name w:val="Heading 2 Char"/>
    <w:basedOn w:val="DefaultParagraphFont"/>
    <w:link w:val="Heading2"/>
    <w:uiPriority w:val="9"/>
    <w:rsid w:val="00ED533B"/>
    <w:rPr>
      <w:rFonts w:ascii="Times New Roman" w:eastAsiaTheme="majorEastAsia" w:hAnsi="Times New Roman" w:cstheme="majorBidi"/>
      <w:b/>
      <w:bCs/>
      <w:szCs w:val="26"/>
      <w:lang w:eastAsia="zh-CN"/>
    </w:rPr>
  </w:style>
  <w:style w:type="character" w:customStyle="1" w:styleId="Heading3Char">
    <w:name w:val="Heading 3 Char"/>
    <w:basedOn w:val="DefaultParagraphFont"/>
    <w:link w:val="Heading3"/>
    <w:uiPriority w:val="9"/>
    <w:rsid w:val="005E609A"/>
    <w:rPr>
      <w:rFonts w:ascii="Times New Roman" w:eastAsiaTheme="majorEastAsia" w:hAnsi="Times New Roman" w:cstheme="majorBidi"/>
      <w:bCs/>
      <w:i/>
    </w:rPr>
  </w:style>
  <w:style w:type="paragraph" w:styleId="PlainText">
    <w:name w:val="Plain Text"/>
    <w:basedOn w:val="Normal"/>
    <w:link w:val="PlainTextChar"/>
    <w:uiPriority w:val="99"/>
    <w:unhideWhenUsed/>
    <w:rsid w:val="00665BA3"/>
    <w:rPr>
      <w:rFonts w:ascii="Calibri" w:hAnsi="Calibri"/>
      <w:sz w:val="22"/>
      <w:szCs w:val="21"/>
      <w:lang w:val="en-GB" w:eastAsia="zh-CN"/>
    </w:rPr>
  </w:style>
  <w:style w:type="character" w:customStyle="1" w:styleId="PlainTextChar">
    <w:name w:val="Plain Text Char"/>
    <w:basedOn w:val="DefaultParagraphFont"/>
    <w:link w:val="PlainText"/>
    <w:uiPriority w:val="99"/>
    <w:rsid w:val="00665BA3"/>
    <w:rPr>
      <w:rFonts w:ascii="Calibri" w:hAnsi="Calibri"/>
      <w:sz w:val="22"/>
      <w:szCs w:val="21"/>
      <w:lang w:val="en-GB" w:eastAsia="zh-CN"/>
    </w:rPr>
  </w:style>
  <w:style w:type="character" w:customStyle="1" w:styleId="UnresolvedMention2">
    <w:name w:val="Unresolved Mention2"/>
    <w:basedOn w:val="DefaultParagraphFont"/>
    <w:uiPriority w:val="99"/>
    <w:semiHidden/>
    <w:unhideWhenUsed/>
    <w:rsid w:val="004F1911"/>
    <w:rPr>
      <w:color w:val="605E5C"/>
      <w:shd w:val="clear" w:color="auto" w:fill="E1DFDD"/>
    </w:rPr>
  </w:style>
  <w:style w:type="character" w:customStyle="1" w:styleId="author">
    <w:name w:val="author"/>
    <w:basedOn w:val="DefaultParagraphFont"/>
    <w:rsid w:val="007D5040"/>
  </w:style>
  <w:style w:type="character" w:customStyle="1" w:styleId="smallcaps">
    <w:name w:val="smallcaps"/>
    <w:basedOn w:val="DefaultParagraphFont"/>
    <w:rsid w:val="007D5040"/>
  </w:style>
  <w:style w:type="character" w:customStyle="1" w:styleId="articletitle">
    <w:name w:val="articletitle"/>
    <w:basedOn w:val="DefaultParagraphFont"/>
    <w:rsid w:val="007D5040"/>
  </w:style>
  <w:style w:type="character" w:customStyle="1" w:styleId="journaltitle">
    <w:name w:val="journaltitle"/>
    <w:basedOn w:val="DefaultParagraphFont"/>
    <w:rsid w:val="007D5040"/>
  </w:style>
  <w:style w:type="character" w:customStyle="1" w:styleId="vol">
    <w:name w:val="vol"/>
    <w:basedOn w:val="DefaultParagraphFont"/>
    <w:rsid w:val="007D5040"/>
  </w:style>
  <w:style w:type="character" w:customStyle="1" w:styleId="pubyear">
    <w:name w:val="pubyear"/>
    <w:basedOn w:val="DefaultParagraphFont"/>
    <w:rsid w:val="007D5040"/>
  </w:style>
  <w:style w:type="character" w:customStyle="1" w:styleId="pagefirst">
    <w:name w:val="pagefirst"/>
    <w:basedOn w:val="DefaultParagraphFont"/>
    <w:rsid w:val="007D5040"/>
  </w:style>
  <w:style w:type="character" w:customStyle="1" w:styleId="pagelast">
    <w:name w:val="pagelast"/>
    <w:basedOn w:val="DefaultParagraphFont"/>
    <w:rsid w:val="007D5040"/>
  </w:style>
  <w:style w:type="paragraph" w:styleId="EndnoteText">
    <w:name w:val="endnote text"/>
    <w:link w:val="EndnoteTextChar"/>
    <w:uiPriority w:val="99"/>
    <w:unhideWhenUsed/>
    <w:rsid w:val="00E27587"/>
    <w:pPr>
      <w:spacing w:line="480" w:lineRule="auto"/>
      <w:jc w:val="both"/>
    </w:pPr>
    <w:rPr>
      <w:rFonts w:ascii="Times New Roman" w:hAnsi="Times New Roman" w:cs="Times New Roman"/>
    </w:rPr>
  </w:style>
  <w:style w:type="character" w:customStyle="1" w:styleId="EndnoteTextChar">
    <w:name w:val="Endnote Text Char"/>
    <w:basedOn w:val="DefaultParagraphFont"/>
    <w:link w:val="EndnoteText"/>
    <w:uiPriority w:val="99"/>
    <w:rsid w:val="00E27587"/>
    <w:rPr>
      <w:rFonts w:ascii="Times New Roman" w:hAnsi="Times New Roman" w:cs="Times New Roman"/>
    </w:rPr>
  </w:style>
  <w:style w:type="character" w:styleId="EndnoteReference">
    <w:name w:val="endnote reference"/>
    <w:basedOn w:val="DefaultParagraphFont"/>
    <w:uiPriority w:val="99"/>
    <w:semiHidden/>
    <w:unhideWhenUsed/>
    <w:rsid w:val="006708C8"/>
    <w:rPr>
      <w:vertAlign w:val="superscript"/>
    </w:rPr>
  </w:style>
  <w:style w:type="paragraph" w:customStyle="1" w:styleId="References">
    <w:name w:val="References"/>
    <w:qFormat/>
    <w:rsid w:val="00ED533B"/>
    <w:pPr>
      <w:spacing w:line="480" w:lineRule="auto"/>
      <w:ind w:left="425" w:hanging="425"/>
      <w:jc w:val="both"/>
    </w:pPr>
    <w:rPr>
      <w:rFonts w:ascii="Times New Roman" w:hAnsi="Times New Roman" w:cs="Times New Roman"/>
      <w:lang w:val="en-GB"/>
    </w:rPr>
  </w:style>
  <w:style w:type="paragraph" w:styleId="Subtitle">
    <w:name w:val="Subtitle"/>
    <w:next w:val="Normal"/>
    <w:link w:val="SubtitleChar"/>
    <w:uiPriority w:val="11"/>
    <w:qFormat/>
    <w:rsid w:val="00E62B59"/>
    <w:pPr>
      <w:spacing w:after="240"/>
      <w:jc w:val="center"/>
    </w:pPr>
    <w:rPr>
      <w:rFonts w:ascii="Times New Roman" w:eastAsiaTheme="majorEastAsia" w:hAnsi="Times New Roman" w:cstheme="majorBidi"/>
      <w:b/>
      <w:bCs/>
      <w:sz w:val="28"/>
      <w:szCs w:val="28"/>
    </w:rPr>
  </w:style>
  <w:style w:type="character" w:customStyle="1" w:styleId="SubtitleChar">
    <w:name w:val="Subtitle Char"/>
    <w:basedOn w:val="DefaultParagraphFont"/>
    <w:link w:val="Subtitle"/>
    <w:uiPriority w:val="11"/>
    <w:rsid w:val="00E62B59"/>
    <w:rPr>
      <w:rFonts w:ascii="Times New Roman" w:eastAsiaTheme="majorEastAsia" w:hAnsi="Times New Roman" w:cstheme="majorBidi"/>
      <w:b/>
      <w:bCs/>
      <w:sz w:val="28"/>
      <w:szCs w:val="28"/>
    </w:rPr>
  </w:style>
  <w:style w:type="paragraph" w:styleId="Title">
    <w:name w:val="Title"/>
    <w:next w:val="Normal"/>
    <w:link w:val="TitleChar"/>
    <w:uiPriority w:val="10"/>
    <w:qFormat/>
    <w:rsid w:val="00E62B59"/>
    <w:pPr>
      <w:spacing w:line="360" w:lineRule="auto"/>
      <w:jc w:val="center"/>
    </w:pPr>
    <w:rPr>
      <w:rFonts w:ascii="Times New Roman" w:hAnsi="Times New Roman" w:cs="Times New Roman"/>
      <w:b/>
      <w:sz w:val="28"/>
      <w:lang w:val="en-GB"/>
    </w:rPr>
  </w:style>
  <w:style w:type="character" w:customStyle="1" w:styleId="TitleChar">
    <w:name w:val="Title Char"/>
    <w:basedOn w:val="DefaultParagraphFont"/>
    <w:link w:val="Title"/>
    <w:uiPriority w:val="10"/>
    <w:rsid w:val="00E62B59"/>
    <w:rPr>
      <w:rFonts w:ascii="Times New Roman" w:hAnsi="Times New Roman" w:cs="Times New Roman"/>
      <w:b/>
      <w:sz w:val="28"/>
      <w:lang w:val="en-GB"/>
    </w:rPr>
  </w:style>
  <w:style w:type="paragraph" w:customStyle="1" w:styleId="NoIndentNormal">
    <w:name w:val="NoIndentNormal"/>
    <w:qFormat/>
    <w:rsid w:val="00ED533B"/>
    <w:pPr>
      <w:spacing w:line="480" w:lineRule="auto"/>
      <w:jc w:val="both"/>
    </w:pPr>
    <w:rPr>
      <w:rFonts w:ascii="Times New Roman" w:hAnsi="Times New Roman"/>
      <w:lang w:eastAsia="zh-CN"/>
    </w:rPr>
  </w:style>
  <w:style w:type="paragraph" w:customStyle="1" w:styleId="InsertInstruct">
    <w:name w:val="InsertInstruct"/>
    <w:qFormat/>
    <w:rsid w:val="00ED533B"/>
    <w:pPr>
      <w:spacing w:line="480" w:lineRule="auto"/>
      <w:jc w:val="center"/>
    </w:pPr>
    <w:rPr>
      <w:rFonts w:ascii="Times New Roman" w:hAnsi="Times New Roman"/>
    </w:rPr>
  </w:style>
  <w:style w:type="paragraph" w:customStyle="1" w:styleId="Equations">
    <w:name w:val="Equations"/>
    <w:qFormat/>
    <w:rsid w:val="005E609A"/>
    <w:pPr>
      <w:spacing w:line="480" w:lineRule="auto"/>
      <w:ind w:firstLine="720"/>
      <w:jc w:val="both"/>
    </w:pPr>
    <w:rPr>
      <w:rFonts w:ascii="Cambria Math" w:hAnsi="Cambria Math"/>
      <w:i/>
    </w:rPr>
  </w:style>
  <w:style w:type="paragraph" w:customStyle="1" w:styleId="TableText">
    <w:name w:val="TableText"/>
    <w:qFormat/>
    <w:rsid w:val="003E49E8"/>
    <w:pPr>
      <w:jc w:val="both"/>
    </w:pPr>
    <w:rPr>
      <w:rFonts w:ascii="Times New Roman" w:hAnsi="Times New Roman" w:cs="Times New Roman"/>
      <w:sz w:val="20"/>
      <w:szCs w:val="20"/>
    </w:rPr>
  </w:style>
  <w:style w:type="paragraph" w:customStyle="1" w:styleId="TableNotes">
    <w:name w:val="TableNotes"/>
    <w:qFormat/>
    <w:rsid w:val="00323BB0"/>
    <w:pPr>
      <w:spacing w:after="120"/>
      <w:jc w:val="both"/>
    </w:pPr>
    <w:rPr>
      <w:rFonts w:ascii="Times New Roman" w:hAnsi="Times New Roman"/>
      <w:lang w:eastAsia="zh-CN"/>
    </w:rPr>
  </w:style>
  <w:style w:type="paragraph" w:customStyle="1" w:styleId="TableCaption">
    <w:name w:val="TableCaption"/>
    <w:qFormat/>
    <w:rsid w:val="00323BB0"/>
    <w:pPr>
      <w:spacing w:line="360" w:lineRule="auto"/>
    </w:pPr>
    <w:rPr>
      <w:rFonts w:ascii="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166">
      <w:bodyDiv w:val="1"/>
      <w:marLeft w:val="0"/>
      <w:marRight w:val="0"/>
      <w:marTop w:val="0"/>
      <w:marBottom w:val="0"/>
      <w:divBdr>
        <w:top w:val="none" w:sz="0" w:space="0" w:color="auto"/>
        <w:left w:val="none" w:sz="0" w:space="0" w:color="auto"/>
        <w:bottom w:val="none" w:sz="0" w:space="0" w:color="auto"/>
        <w:right w:val="none" w:sz="0" w:space="0" w:color="auto"/>
      </w:divBdr>
    </w:div>
    <w:div w:id="55512196">
      <w:bodyDiv w:val="1"/>
      <w:marLeft w:val="0"/>
      <w:marRight w:val="0"/>
      <w:marTop w:val="0"/>
      <w:marBottom w:val="0"/>
      <w:divBdr>
        <w:top w:val="none" w:sz="0" w:space="0" w:color="auto"/>
        <w:left w:val="none" w:sz="0" w:space="0" w:color="auto"/>
        <w:bottom w:val="none" w:sz="0" w:space="0" w:color="auto"/>
        <w:right w:val="none" w:sz="0" w:space="0" w:color="auto"/>
      </w:divBdr>
    </w:div>
    <w:div w:id="190727017">
      <w:bodyDiv w:val="1"/>
      <w:marLeft w:val="0"/>
      <w:marRight w:val="0"/>
      <w:marTop w:val="0"/>
      <w:marBottom w:val="0"/>
      <w:divBdr>
        <w:top w:val="none" w:sz="0" w:space="0" w:color="auto"/>
        <w:left w:val="none" w:sz="0" w:space="0" w:color="auto"/>
        <w:bottom w:val="none" w:sz="0" w:space="0" w:color="auto"/>
        <w:right w:val="none" w:sz="0" w:space="0" w:color="auto"/>
      </w:divBdr>
    </w:div>
    <w:div w:id="297344544">
      <w:bodyDiv w:val="1"/>
      <w:marLeft w:val="0"/>
      <w:marRight w:val="0"/>
      <w:marTop w:val="0"/>
      <w:marBottom w:val="0"/>
      <w:divBdr>
        <w:top w:val="none" w:sz="0" w:space="0" w:color="auto"/>
        <w:left w:val="none" w:sz="0" w:space="0" w:color="auto"/>
        <w:bottom w:val="none" w:sz="0" w:space="0" w:color="auto"/>
        <w:right w:val="none" w:sz="0" w:space="0" w:color="auto"/>
      </w:divBdr>
    </w:div>
    <w:div w:id="322512109">
      <w:bodyDiv w:val="1"/>
      <w:marLeft w:val="0"/>
      <w:marRight w:val="0"/>
      <w:marTop w:val="0"/>
      <w:marBottom w:val="0"/>
      <w:divBdr>
        <w:top w:val="none" w:sz="0" w:space="0" w:color="auto"/>
        <w:left w:val="none" w:sz="0" w:space="0" w:color="auto"/>
        <w:bottom w:val="none" w:sz="0" w:space="0" w:color="auto"/>
        <w:right w:val="none" w:sz="0" w:space="0" w:color="auto"/>
      </w:divBdr>
    </w:div>
    <w:div w:id="382605380">
      <w:bodyDiv w:val="1"/>
      <w:marLeft w:val="0"/>
      <w:marRight w:val="0"/>
      <w:marTop w:val="0"/>
      <w:marBottom w:val="0"/>
      <w:divBdr>
        <w:top w:val="none" w:sz="0" w:space="0" w:color="auto"/>
        <w:left w:val="none" w:sz="0" w:space="0" w:color="auto"/>
        <w:bottom w:val="none" w:sz="0" w:space="0" w:color="auto"/>
        <w:right w:val="none" w:sz="0" w:space="0" w:color="auto"/>
      </w:divBdr>
    </w:div>
    <w:div w:id="420689151">
      <w:bodyDiv w:val="1"/>
      <w:marLeft w:val="0"/>
      <w:marRight w:val="0"/>
      <w:marTop w:val="0"/>
      <w:marBottom w:val="0"/>
      <w:divBdr>
        <w:top w:val="none" w:sz="0" w:space="0" w:color="auto"/>
        <w:left w:val="none" w:sz="0" w:space="0" w:color="auto"/>
        <w:bottom w:val="none" w:sz="0" w:space="0" w:color="auto"/>
        <w:right w:val="none" w:sz="0" w:space="0" w:color="auto"/>
      </w:divBdr>
    </w:div>
    <w:div w:id="496070582">
      <w:bodyDiv w:val="1"/>
      <w:marLeft w:val="0"/>
      <w:marRight w:val="0"/>
      <w:marTop w:val="0"/>
      <w:marBottom w:val="0"/>
      <w:divBdr>
        <w:top w:val="none" w:sz="0" w:space="0" w:color="auto"/>
        <w:left w:val="none" w:sz="0" w:space="0" w:color="auto"/>
        <w:bottom w:val="none" w:sz="0" w:space="0" w:color="auto"/>
        <w:right w:val="none" w:sz="0" w:space="0" w:color="auto"/>
      </w:divBdr>
    </w:div>
    <w:div w:id="752580631">
      <w:bodyDiv w:val="1"/>
      <w:marLeft w:val="0"/>
      <w:marRight w:val="0"/>
      <w:marTop w:val="0"/>
      <w:marBottom w:val="0"/>
      <w:divBdr>
        <w:top w:val="none" w:sz="0" w:space="0" w:color="auto"/>
        <w:left w:val="none" w:sz="0" w:space="0" w:color="auto"/>
        <w:bottom w:val="none" w:sz="0" w:space="0" w:color="auto"/>
        <w:right w:val="none" w:sz="0" w:space="0" w:color="auto"/>
      </w:divBdr>
    </w:div>
    <w:div w:id="880048000">
      <w:bodyDiv w:val="1"/>
      <w:marLeft w:val="0"/>
      <w:marRight w:val="0"/>
      <w:marTop w:val="0"/>
      <w:marBottom w:val="0"/>
      <w:divBdr>
        <w:top w:val="none" w:sz="0" w:space="0" w:color="auto"/>
        <w:left w:val="none" w:sz="0" w:space="0" w:color="auto"/>
        <w:bottom w:val="none" w:sz="0" w:space="0" w:color="auto"/>
        <w:right w:val="none" w:sz="0" w:space="0" w:color="auto"/>
      </w:divBdr>
    </w:div>
    <w:div w:id="912936477">
      <w:bodyDiv w:val="1"/>
      <w:marLeft w:val="0"/>
      <w:marRight w:val="0"/>
      <w:marTop w:val="0"/>
      <w:marBottom w:val="0"/>
      <w:divBdr>
        <w:top w:val="none" w:sz="0" w:space="0" w:color="auto"/>
        <w:left w:val="none" w:sz="0" w:space="0" w:color="auto"/>
        <w:bottom w:val="none" w:sz="0" w:space="0" w:color="auto"/>
        <w:right w:val="none" w:sz="0" w:space="0" w:color="auto"/>
      </w:divBdr>
    </w:div>
    <w:div w:id="933198992">
      <w:bodyDiv w:val="1"/>
      <w:marLeft w:val="0"/>
      <w:marRight w:val="0"/>
      <w:marTop w:val="0"/>
      <w:marBottom w:val="0"/>
      <w:divBdr>
        <w:top w:val="none" w:sz="0" w:space="0" w:color="auto"/>
        <w:left w:val="none" w:sz="0" w:space="0" w:color="auto"/>
        <w:bottom w:val="none" w:sz="0" w:space="0" w:color="auto"/>
        <w:right w:val="none" w:sz="0" w:space="0" w:color="auto"/>
      </w:divBdr>
    </w:div>
    <w:div w:id="951204386">
      <w:bodyDiv w:val="1"/>
      <w:marLeft w:val="0"/>
      <w:marRight w:val="0"/>
      <w:marTop w:val="0"/>
      <w:marBottom w:val="0"/>
      <w:divBdr>
        <w:top w:val="none" w:sz="0" w:space="0" w:color="auto"/>
        <w:left w:val="none" w:sz="0" w:space="0" w:color="auto"/>
        <w:bottom w:val="none" w:sz="0" w:space="0" w:color="auto"/>
        <w:right w:val="none" w:sz="0" w:space="0" w:color="auto"/>
      </w:divBdr>
      <w:divsChild>
        <w:div w:id="1997680615">
          <w:marLeft w:val="0"/>
          <w:marRight w:val="0"/>
          <w:marTop w:val="0"/>
          <w:marBottom w:val="0"/>
          <w:divBdr>
            <w:top w:val="none" w:sz="0" w:space="0" w:color="auto"/>
            <w:left w:val="none" w:sz="0" w:space="0" w:color="auto"/>
            <w:bottom w:val="none" w:sz="0" w:space="0" w:color="auto"/>
            <w:right w:val="none" w:sz="0" w:space="0" w:color="auto"/>
          </w:divBdr>
          <w:divsChild>
            <w:div w:id="1005667679">
              <w:marLeft w:val="0"/>
              <w:marRight w:val="0"/>
              <w:marTop w:val="0"/>
              <w:marBottom w:val="0"/>
              <w:divBdr>
                <w:top w:val="none" w:sz="0" w:space="0" w:color="auto"/>
                <w:left w:val="none" w:sz="0" w:space="0" w:color="auto"/>
                <w:bottom w:val="none" w:sz="0" w:space="0" w:color="auto"/>
                <w:right w:val="none" w:sz="0" w:space="0" w:color="auto"/>
              </w:divBdr>
              <w:divsChild>
                <w:div w:id="403335721">
                  <w:marLeft w:val="0"/>
                  <w:marRight w:val="0"/>
                  <w:marTop w:val="0"/>
                  <w:marBottom w:val="0"/>
                  <w:divBdr>
                    <w:top w:val="none" w:sz="0" w:space="0" w:color="auto"/>
                    <w:left w:val="none" w:sz="0" w:space="0" w:color="auto"/>
                    <w:bottom w:val="none" w:sz="0" w:space="0" w:color="auto"/>
                    <w:right w:val="none" w:sz="0" w:space="0" w:color="auto"/>
                  </w:divBdr>
                  <w:divsChild>
                    <w:div w:id="2114200496">
                      <w:marLeft w:val="-225"/>
                      <w:marRight w:val="-225"/>
                      <w:marTop w:val="0"/>
                      <w:marBottom w:val="0"/>
                      <w:divBdr>
                        <w:top w:val="none" w:sz="0" w:space="0" w:color="auto"/>
                        <w:left w:val="none" w:sz="0" w:space="0" w:color="auto"/>
                        <w:bottom w:val="none" w:sz="0" w:space="0" w:color="auto"/>
                        <w:right w:val="none" w:sz="0" w:space="0" w:color="auto"/>
                      </w:divBdr>
                      <w:divsChild>
                        <w:div w:id="785926930">
                          <w:marLeft w:val="0"/>
                          <w:marRight w:val="0"/>
                          <w:marTop w:val="0"/>
                          <w:marBottom w:val="0"/>
                          <w:divBdr>
                            <w:top w:val="none" w:sz="0" w:space="0" w:color="auto"/>
                            <w:left w:val="none" w:sz="0" w:space="0" w:color="auto"/>
                            <w:bottom w:val="none" w:sz="0" w:space="0" w:color="auto"/>
                            <w:right w:val="none" w:sz="0" w:space="0" w:color="auto"/>
                          </w:divBdr>
                          <w:divsChild>
                            <w:div w:id="964507803">
                              <w:marLeft w:val="0"/>
                              <w:marRight w:val="0"/>
                              <w:marTop w:val="0"/>
                              <w:marBottom w:val="0"/>
                              <w:divBdr>
                                <w:top w:val="none" w:sz="0" w:space="0" w:color="auto"/>
                                <w:left w:val="none" w:sz="0" w:space="0" w:color="auto"/>
                                <w:bottom w:val="none" w:sz="0" w:space="0" w:color="auto"/>
                                <w:right w:val="none" w:sz="0" w:space="0" w:color="auto"/>
                              </w:divBdr>
                              <w:divsChild>
                                <w:div w:id="1415467569">
                                  <w:marLeft w:val="0"/>
                                  <w:marRight w:val="0"/>
                                  <w:marTop w:val="0"/>
                                  <w:marBottom w:val="0"/>
                                  <w:divBdr>
                                    <w:top w:val="none" w:sz="0" w:space="0" w:color="auto"/>
                                    <w:left w:val="none" w:sz="0" w:space="0" w:color="auto"/>
                                    <w:bottom w:val="none" w:sz="0" w:space="0" w:color="auto"/>
                                    <w:right w:val="none" w:sz="0" w:space="0" w:color="auto"/>
                                  </w:divBdr>
                                  <w:divsChild>
                                    <w:div w:id="624850998">
                                      <w:marLeft w:val="0"/>
                                      <w:marRight w:val="0"/>
                                      <w:marTop w:val="0"/>
                                      <w:marBottom w:val="0"/>
                                      <w:divBdr>
                                        <w:top w:val="none" w:sz="0" w:space="0" w:color="auto"/>
                                        <w:left w:val="none" w:sz="0" w:space="0" w:color="auto"/>
                                        <w:bottom w:val="none" w:sz="0" w:space="0" w:color="auto"/>
                                        <w:right w:val="none" w:sz="0" w:space="0" w:color="auto"/>
                                      </w:divBdr>
                                      <w:divsChild>
                                        <w:div w:id="1522544307">
                                          <w:marLeft w:val="0"/>
                                          <w:marRight w:val="0"/>
                                          <w:marTop w:val="0"/>
                                          <w:marBottom w:val="0"/>
                                          <w:divBdr>
                                            <w:top w:val="none" w:sz="0" w:space="0" w:color="auto"/>
                                            <w:left w:val="none" w:sz="0" w:space="0" w:color="auto"/>
                                            <w:bottom w:val="none" w:sz="0" w:space="0" w:color="auto"/>
                                            <w:right w:val="none" w:sz="0" w:space="0" w:color="auto"/>
                                          </w:divBdr>
                                          <w:divsChild>
                                            <w:div w:id="201210383">
                                              <w:marLeft w:val="0"/>
                                              <w:marRight w:val="0"/>
                                              <w:marTop w:val="0"/>
                                              <w:marBottom w:val="0"/>
                                              <w:divBdr>
                                                <w:top w:val="none" w:sz="0" w:space="0" w:color="auto"/>
                                                <w:left w:val="none" w:sz="0" w:space="0" w:color="auto"/>
                                                <w:bottom w:val="none" w:sz="0" w:space="0" w:color="auto"/>
                                                <w:right w:val="none" w:sz="0" w:space="0" w:color="auto"/>
                                              </w:divBdr>
                                              <w:divsChild>
                                                <w:div w:id="396705603">
                                                  <w:marLeft w:val="0"/>
                                                  <w:marRight w:val="0"/>
                                                  <w:marTop w:val="0"/>
                                                  <w:marBottom w:val="0"/>
                                                  <w:divBdr>
                                                    <w:top w:val="none" w:sz="0" w:space="0" w:color="auto"/>
                                                    <w:left w:val="none" w:sz="0" w:space="0" w:color="auto"/>
                                                    <w:bottom w:val="none" w:sz="0" w:space="0" w:color="auto"/>
                                                    <w:right w:val="none" w:sz="0" w:space="0" w:color="auto"/>
                                                  </w:divBdr>
                                                  <w:divsChild>
                                                    <w:div w:id="62161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168293">
      <w:bodyDiv w:val="1"/>
      <w:marLeft w:val="0"/>
      <w:marRight w:val="0"/>
      <w:marTop w:val="0"/>
      <w:marBottom w:val="0"/>
      <w:divBdr>
        <w:top w:val="none" w:sz="0" w:space="0" w:color="auto"/>
        <w:left w:val="none" w:sz="0" w:space="0" w:color="auto"/>
        <w:bottom w:val="none" w:sz="0" w:space="0" w:color="auto"/>
        <w:right w:val="none" w:sz="0" w:space="0" w:color="auto"/>
      </w:divBdr>
    </w:div>
    <w:div w:id="1021472895">
      <w:bodyDiv w:val="1"/>
      <w:marLeft w:val="0"/>
      <w:marRight w:val="0"/>
      <w:marTop w:val="0"/>
      <w:marBottom w:val="0"/>
      <w:divBdr>
        <w:top w:val="none" w:sz="0" w:space="0" w:color="auto"/>
        <w:left w:val="none" w:sz="0" w:space="0" w:color="auto"/>
        <w:bottom w:val="none" w:sz="0" w:space="0" w:color="auto"/>
        <w:right w:val="none" w:sz="0" w:space="0" w:color="auto"/>
      </w:divBdr>
    </w:div>
    <w:div w:id="1073813422">
      <w:bodyDiv w:val="1"/>
      <w:marLeft w:val="0"/>
      <w:marRight w:val="0"/>
      <w:marTop w:val="0"/>
      <w:marBottom w:val="0"/>
      <w:divBdr>
        <w:top w:val="none" w:sz="0" w:space="0" w:color="auto"/>
        <w:left w:val="none" w:sz="0" w:space="0" w:color="auto"/>
        <w:bottom w:val="none" w:sz="0" w:space="0" w:color="auto"/>
        <w:right w:val="none" w:sz="0" w:space="0" w:color="auto"/>
      </w:divBdr>
    </w:div>
    <w:div w:id="1170214338">
      <w:bodyDiv w:val="1"/>
      <w:marLeft w:val="0"/>
      <w:marRight w:val="0"/>
      <w:marTop w:val="0"/>
      <w:marBottom w:val="0"/>
      <w:divBdr>
        <w:top w:val="none" w:sz="0" w:space="0" w:color="auto"/>
        <w:left w:val="none" w:sz="0" w:space="0" w:color="auto"/>
        <w:bottom w:val="none" w:sz="0" w:space="0" w:color="auto"/>
        <w:right w:val="none" w:sz="0" w:space="0" w:color="auto"/>
      </w:divBdr>
      <w:divsChild>
        <w:div w:id="1691486117">
          <w:marLeft w:val="0"/>
          <w:marRight w:val="0"/>
          <w:marTop w:val="0"/>
          <w:marBottom w:val="0"/>
          <w:divBdr>
            <w:top w:val="none" w:sz="0" w:space="0" w:color="auto"/>
            <w:left w:val="none" w:sz="0" w:space="0" w:color="auto"/>
            <w:bottom w:val="none" w:sz="0" w:space="0" w:color="auto"/>
            <w:right w:val="none" w:sz="0" w:space="0" w:color="auto"/>
          </w:divBdr>
        </w:div>
      </w:divsChild>
    </w:div>
    <w:div w:id="1180511336">
      <w:bodyDiv w:val="1"/>
      <w:marLeft w:val="0"/>
      <w:marRight w:val="0"/>
      <w:marTop w:val="0"/>
      <w:marBottom w:val="0"/>
      <w:divBdr>
        <w:top w:val="none" w:sz="0" w:space="0" w:color="auto"/>
        <w:left w:val="none" w:sz="0" w:space="0" w:color="auto"/>
        <w:bottom w:val="none" w:sz="0" w:space="0" w:color="auto"/>
        <w:right w:val="none" w:sz="0" w:space="0" w:color="auto"/>
      </w:divBdr>
    </w:div>
    <w:div w:id="1211845623">
      <w:bodyDiv w:val="1"/>
      <w:marLeft w:val="0"/>
      <w:marRight w:val="0"/>
      <w:marTop w:val="0"/>
      <w:marBottom w:val="0"/>
      <w:divBdr>
        <w:top w:val="none" w:sz="0" w:space="0" w:color="auto"/>
        <w:left w:val="none" w:sz="0" w:space="0" w:color="auto"/>
        <w:bottom w:val="none" w:sz="0" w:space="0" w:color="auto"/>
        <w:right w:val="none" w:sz="0" w:space="0" w:color="auto"/>
      </w:divBdr>
    </w:div>
    <w:div w:id="1273636141">
      <w:bodyDiv w:val="1"/>
      <w:marLeft w:val="0"/>
      <w:marRight w:val="0"/>
      <w:marTop w:val="0"/>
      <w:marBottom w:val="0"/>
      <w:divBdr>
        <w:top w:val="none" w:sz="0" w:space="0" w:color="auto"/>
        <w:left w:val="none" w:sz="0" w:space="0" w:color="auto"/>
        <w:bottom w:val="none" w:sz="0" w:space="0" w:color="auto"/>
        <w:right w:val="none" w:sz="0" w:space="0" w:color="auto"/>
      </w:divBdr>
    </w:div>
    <w:div w:id="1336615414">
      <w:bodyDiv w:val="1"/>
      <w:marLeft w:val="0"/>
      <w:marRight w:val="0"/>
      <w:marTop w:val="0"/>
      <w:marBottom w:val="0"/>
      <w:divBdr>
        <w:top w:val="none" w:sz="0" w:space="0" w:color="auto"/>
        <w:left w:val="none" w:sz="0" w:space="0" w:color="auto"/>
        <w:bottom w:val="none" w:sz="0" w:space="0" w:color="auto"/>
        <w:right w:val="none" w:sz="0" w:space="0" w:color="auto"/>
      </w:divBdr>
    </w:div>
    <w:div w:id="1429227979">
      <w:bodyDiv w:val="1"/>
      <w:marLeft w:val="0"/>
      <w:marRight w:val="0"/>
      <w:marTop w:val="0"/>
      <w:marBottom w:val="0"/>
      <w:divBdr>
        <w:top w:val="none" w:sz="0" w:space="0" w:color="auto"/>
        <w:left w:val="none" w:sz="0" w:space="0" w:color="auto"/>
        <w:bottom w:val="none" w:sz="0" w:space="0" w:color="auto"/>
        <w:right w:val="none" w:sz="0" w:space="0" w:color="auto"/>
      </w:divBdr>
    </w:div>
    <w:div w:id="1451779988">
      <w:bodyDiv w:val="1"/>
      <w:marLeft w:val="0"/>
      <w:marRight w:val="0"/>
      <w:marTop w:val="0"/>
      <w:marBottom w:val="0"/>
      <w:divBdr>
        <w:top w:val="none" w:sz="0" w:space="0" w:color="auto"/>
        <w:left w:val="none" w:sz="0" w:space="0" w:color="auto"/>
        <w:bottom w:val="none" w:sz="0" w:space="0" w:color="auto"/>
        <w:right w:val="none" w:sz="0" w:space="0" w:color="auto"/>
      </w:divBdr>
    </w:div>
    <w:div w:id="1554465778">
      <w:bodyDiv w:val="1"/>
      <w:marLeft w:val="0"/>
      <w:marRight w:val="0"/>
      <w:marTop w:val="0"/>
      <w:marBottom w:val="0"/>
      <w:divBdr>
        <w:top w:val="none" w:sz="0" w:space="0" w:color="auto"/>
        <w:left w:val="none" w:sz="0" w:space="0" w:color="auto"/>
        <w:bottom w:val="none" w:sz="0" w:space="0" w:color="auto"/>
        <w:right w:val="none" w:sz="0" w:space="0" w:color="auto"/>
      </w:divBdr>
    </w:div>
    <w:div w:id="1557818379">
      <w:bodyDiv w:val="1"/>
      <w:marLeft w:val="0"/>
      <w:marRight w:val="0"/>
      <w:marTop w:val="0"/>
      <w:marBottom w:val="0"/>
      <w:divBdr>
        <w:top w:val="none" w:sz="0" w:space="0" w:color="auto"/>
        <w:left w:val="none" w:sz="0" w:space="0" w:color="auto"/>
        <w:bottom w:val="none" w:sz="0" w:space="0" w:color="auto"/>
        <w:right w:val="none" w:sz="0" w:space="0" w:color="auto"/>
      </w:divBdr>
    </w:div>
    <w:div w:id="1588926999">
      <w:bodyDiv w:val="1"/>
      <w:marLeft w:val="0"/>
      <w:marRight w:val="0"/>
      <w:marTop w:val="0"/>
      <w:marBottom w:val="0"/>
      <w:divBdr>
        <w:top w:val="none" w:sz="0" w:space="0" w:color="auto"/>
        <w:left w:val="none" w:sz="0" w:space="0" w:color="auto"/>
        <w:bottom w:val="none" w:sz="0" w:space="0" w:color="auto"/>
        <w:right w:val="none" w:sz="0" w:space="0" w:color="auto"/>
      </w:divBdr>
    </w:div>
    <w:div w:id="1606309759">
      <w:bodyDiv w:val="1"/>
      <w:marLeft w:val="0"/>
      <w:marRight w:val="0"/>
      <w:marTop w:val="0"/>
      <w:marBottom w:val="0"/>
      <w:divBdr>
        <w:top w:val="none" w:sz="0" w:space="0" w:color="auto"/>
        <w:left w:val="none" w:sz="0" w:space="0" w:color="auto"/>
        <w:bottom w:val="none" w:sz="0" w:space="0" w:color="auto"/>
        <w:right w:val="none" w:sz="0" w:space="0" w:color="auto"/>
      </w:divBdr>
    </w:div>
    <w:div w:id="1625116510">
      <w:bodyDiv w:val="1"/>
      <w:marLeft w:val="0"/>
      <w:marRight w:val="0"/>
      <w:marTop w:val="0"/>
      <w:marBottom w:val="0"/>
      <w:divBdr>
        <w:top w:val="none" w:sz="0" w:space="0" w:color="auto"/>
        <w:left w:val="none" w:sz="0" w:space="0" w:color="auto"/>
        <w:bottom w:val="none" w:sz="0" w:space="0" w:color="auto"/>
        <w:right w:val="none" w:sz="0" w:space="0" w:color="auto"/>
      </w:divBdr>
    </w:div>
    <w:div w:id="1705867062">
      <w:bodyDiv w:val="1"/>
      <w:marLeft w:val="0"/>
      <w:marRight w:val="0"/>
      <w:marTop w:val="0"/>
      <w:marBottom w:val="0"/>
      <w:divBdr>
        <w:top w:val="none" w:sz="0" w:space="0" w:color="auto"/>
        <w:left w:val="none" w:sz="0" w:space="0" w:color="auto"/>
        <w:bottom w:val="none" w:sz="0" w:space="0" w:color="auto"/>
        <w:right w:val="none" w:sz="0" w:space="0" w:color="auto"/>
      </w:divBdr>
    </w:div>
    <w:div w:id="1833057180">
      <w:bodyDiv w:val="1"/>
      <w:marLeft w:val="0"/>
      <w:marRight w:val="0"/>
      <w:marTop w:val="0"/>
      <w:marBottom w:val="0"/>
      <w:divBdr>
        <w:top w:val="none" w:sz="0" w:space="0" w:color="auto"/>
        <w:left w:val="none" w:sz="0" w:space="0" w:color="auto"/>
        <w:bottom w:val="none" w:sz="0" w:space="0" w:color="auto"/>
        <w:right w:val="none" w:sz="0" w:space="0" w:color="auto"/>
      </w:divBdr>
    </w:div>
    <w:div w:id="1902907352">
      <w:bodyDiv w:val="1"/>
      <w:marLeft w:val="0"/>
      <w:marRight w:val="0"/>
      <w:marTop w:val="0"/>
      <w:marBottom w:val="0"/>
      <w:divBdr>
        <w:top w:val="none" w:sz="0" w:space="0" w:color="auto"/>
        <w:left w:val="none" w:sz="0" w:space="0" w:color="auto"/>
        <w:bottom w:val="none" w:sz="0" w:space="0" w:color="auto"/>
        <w:right w:val="none" w:sz="0" w:space="0" w:color="auto"/>
      </w:divBdr>
    </w:div>
    <w:div w:id="1920485702">
      <w:bodyDiv w:val="1"/>
      <w:marLeft w:val="0"/>
      <w:marRight w:val="0"/>
      <w:marTop w:val="0"/>
      <w:marBottom w:val="0"/>
      <w:divBdr>
        <w:top w:val="none" w:sz="0" w:space="0" w:color="auto"/>
        <w:left w:val="none" w:sz="0" w:space="0" w:color="auto"/>
        <w:bottom w:val="none" w:sz="0" w:space="0" w:color="auto"/>
        <w:right w:val="none" w:sz="0" w:space="0" w:color="auto"/>
      </w:divBdr>
    </w:div>
    <w:div w:id="1957255793">
      <w:bodyDiv w:val="1"/>
      <w:marLeft w:val="0"/>
      <w:marRight w:val="0"/>
      <w:marTop w:val="0"/>
      <w:marBottom w:val="0"/>
      <w:divBdr>
        <w:top w:val="none" w:sz="0" w:space="0" w:color="auto"/>
        <w:left w:val="none" w:sz="0" w:space="0" w:color="auto"/>
        <w:bottom w:val="none" w:sz="0" w:space="0" w:color="auto"/>
        <w:right w:val="none" w:sz="0" w:space="0" w:color="auto"/>
      </w:divBdr>
    </w:div>
    <w:div w:id="1990203801">
      <w:bodyDiv w:val="1"/>
      <w:marLeft w:val="0"/>
      <w:marRight w:val="0"/>
      <w:marTop w:val="0"/>
      <w:marBottom w:val="0"/>
      <w:divBdr>
        <w:top w:val="none" w:sz="0" w:space="0" w:color="auto"/>
        <w:left w:val="none" w:sz="0" w:space="0" w:color="auto"/>
        <w:bottom w:val="none" w:sz="0" w:space="0" w:color="auto"/>
        <w:right w:val="none" w:sz="0" w:space="0" w:color="auto"/>
      </w:divBdr>
    </w:div>
    <w:div w:id="1990547350">
      <w:bodyDiv w:val="1"/>
      <w:marLeft w:val="0"/>
      <w:marRight w:val="0"/>
      <w:marTop w:val="0"/>
      <w:marBottom w:val="0"/>
      <w:divBdr>
        <w:top w:val="none" w:sz="0" w:space="0" w:color="auto"/>
        <w:left w:val="none" w:sz="0" w:space="0" w:color="auto"/>
        <w:bottom w:val="none" w:sz="0" w:space="0" w:color="auto"/>
        <w:right w:val="none" w:sz="0" w:space="0" w:color="auto"/>
      </w:divBdr>
    </w:div>
    <w:div w:id="2029478544">
      <w:bodyDiv w:val="1"/>
      <w:marLeft w:val="0"/>
      <w:marRight w:val="0"/>
      <w:marTop w:val="0"/>
      <w:marBottom w:val="0"/>
      <w:divBdr>
        <w:top w:val="none" w:sz="0" w:space="0" w:color="auto"/>
        <w:left w:val="none" w:sz="0" w:space="0" w:color="auto"/>
        <w:bottom w:val="none" w:sz="0" w:space="0" w:color="auto"/>
        <w:right w:val="none" w:sz="0" w:space="0" w:color="auto"/>
      </w:divBdr>
    </w:div>
    <w:div w:id="2050445316">
      <w:bodyDiv w:val="1"/>
      <w:marLeft w:val="0"/>
      <w:marRight w:val="0"/>
      <w:marTop w:val="0"/>
      <w:marBottom w:val="0"/>
      <w:divBdr>
        <w:top w:val="none" w:sz="0" w:space="0" w:color="auto"/>
        <w:left w:val="none" w:sz="0" w:space="0" w:color="auto"/>
        <w:bottom w:val="none" w:sz="0" w:space="0" w:color="auto"/>
        <w:right w:val="none" w:sz="0" w:space="0" w:color="auto"/>
      </w:divBdr>
    </w:div>
    <w:div w:id="2064867116">
      <w:bodyDiv w:val="1"/>
      <w:marLeft w:val="0"/>
      <w:marRight w:val="0"/>
      <w:marTop w:val="0"/>
      <w:marBottom w:val="0"/>
      <w:divBdr>
        <w:top w:val="none" w:sz="0" w:space="0" w:color="auto"/>
        <w:left w:val="none" w:sz="0" w:space="0" w:color="auto"/>
        <w:bottom w:val="none" w:sz="0" w:space="0" w:color="auto"/>
        <w:right w:val="none" w:sz="0" w:space="0" w:color="auto"/>
      </w:divBdr>
    </w:div>
    <w:div w:id="2110422512">
      <w:bodyDiv w:val="1"/>
      <w:marLeft w:val="0"/>
      <w:marRight w:val="0"/>
      <w:marTop w:val="0"/>
      <w:marBottom w:val="0"/>
      <w:divBdr>
        <w:top w:val="none" w:sz="0" w:space="0" w:color="auto"/>
        <w:left w:val="none" w:sz="0" w:space="0" w:color="auto"/>
        <w:bottom w:val="none" w:sz="0" w:space="0" w:color="auto"/>
        <w:right w:val="none" w:sz="0" w:space="0" w:color="auto"/>
      </w:divBdr>
    </w:div>
    <w:div w:id="2145001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ec.gov/news/speech/speech-stein-1023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info.gov/content/pkg/CHRG-111hhrg52398/pdf/CHRG-111hhrg52398.pdf"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enterforcapitalmarkets.com/wp-content/uploads/2014/07/CCMC_Disclosure_Reform_Final_7-28-20141.pdf"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3.nd.edu/~mcdonald/Word_Lists.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Zhifang.Zhang@wbs.ac.uk" TargetMode="External"/><Relationship Id="rId2" Type="http://schemas.openxmlformats.org/officeDocument/2006/relationships/hyperlink" Target="mailto:xiaoxi.wu@unibocconi.it" TargetMode="External"/><Relationship Id="rId1" Type="http://schemas.openxmlformats.org/officeDocument/2006/relationships/hyperlink" Target="mailto:Xi.Fu@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3FB10-5345-4A80-9BC1-D9B9F6484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11619</Words>
  <Characters>66232</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77696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XIAOXI WU</dc:creator>
  <cp:lastModifiedBy>Fu, Xi</cp:lastModifiedBy>
  <cp:revision>3</cp:revision>
  <cp:lastPrinted>2017-12-19T20:53:00Z</cp:lastPrinted>
  <dcterms:created xsi:type="dcterms:W3CDTF">2019-10-21T13:36:00Z</dcterms:created>
  <dcterms:modified xsi:type="dcterms:W3CDTF">2019-10-21T13:37:00Z</dcterms:modified>
</cp:coreProperties>
</file>