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03" w:rsidRPr="009D52DA" w:rsidRDefault="005529A4" w:rsidP="009D52DA">
      <w:pPr>
        <w:rPr>
          <w:rFonts w:asciiTheme="majorHAnsi" w:hAnsiTheme="majorHAnsi"/>
          <w:b/>
          <w:sz w:val="20"/>
          <w:szCs w:val="20"/>
        </w:rPr>
      </w:pPr>
      <w:r w:rsidRPr="009D52DA">
        <w:rPr>
          <w:rFonts w:asciiTheme="majorHAnsi" w:hAnsiTheme="majorHAnsi"/>
          <w:b/>
          <w:sz w:val="20"/>
          <w:szCs w:val="20"/>
        </w:rPr>
        <w:t xml:space="preserve">The </w:t>
      </w:r>
      <w:proofErr w:type="spellStart"/>
      <w:r w:rsidRPr="009D52DA">
        <w:rPr>
          <w:rFonts w:asciiTheme="majorHAnsi" w:hAnsiTheme="majorHAnsi"/>
          <w:b/>
          <w:sz w:val="20"/>
          <w:szCs w:val="20"/>
        </w:rPr>
        <w:t>Grigg</w:t>
      </w:r>
      <w:proofErr w:type="spellEnd"/>
      <w:r w:rsidRPr="009D52DA">
        <w:rPr>
          <w:rFonts w:asciiTheme="majorHAnsi" w:hAnsiTheme="majorHAnsi"/>
          <w:b/>
          <w:sz w:val="20"/>
          <w:szCs w:val="20"/>
        </w:rPr>
        <w:t xml:space="preserve"> Report </w:t>
      </w:r>
    </w:p>
    <w:p w:rsidR="00176A42" w:rsidRPr="009D52DA" w:rsidRDefault="005529A4" w:rsidP="008F4D9B">
      <w:pPr>
        <w:pStyle w:val="NormalWeb"/>
        <w:shd w:val="clear" w:color="auto" w:fill="FFFFFF"/>
        <w:spacing w:line="360" w:lineRule="auto"/>
        <w:jc w:val="both"/>
        <w:rPr>
          <w:rFonts w:asciiTheme="majorHAnsi" w:hAnsiTheme="majorHAnsi"/>
          <w:sz w:val="20"/>
          <w:szCs w:val="20"/>
        </w:rPr>
      </w:pPr>
      <w:r w:rsidRPr="009D52DA">
        <w:rPr>
          <w:rFonts w:asciiTheme="majorHAnsi" w:hAnsiTheme="majorHAnsi"/>
          <w:sz w:val="20"/>
          <w:szCs w:val="20"/>
        </w:rPr>
        <w:t>The</w:t>
      </w:r>
      <w:r w:rsidR="007A085A">
        <w:rPr>
          <w:rFonts w:asciiTheme="majorHAnsi" w:hAnsiTheme="majorHAnsi"/>
          <w:sz w:val="20"/>
          <w:szCs w:val="20"/>
        </w:rPr>
        <w:t xml:space="preserve"> </w:t>
      </w:r>
      <w:proofErr w:type="spellStart"/>
      <w:r w:rsidR="00B208AC" w:rsidRPr="007A085A">
        <w:rPr>
          <w:rFonts w:asciiTheme="majorHAnsi" w:hAnsiTheme="majorHAnsi"/>
          <w:i/>
          <w:sz w:val="20"/>
          <w:szCs w:val="20"/>
        </w:rPr>
        <w:t>Grigg</w:t>
      </w:r>
      <w:proofErr w:type="spellEnd"/>
      <w:r w:rsidR="00B208AC" w:rsidRPr="007A085A">
        <w:rPr>
          <w:rFonts w:asciiTheme="majorHAnsi" w:hAnsiTheme="majorHAnsi"/>
          <w:i/>
          <w:sz w:val="20"/>
          <w:szCs w:val="20"/>
        </w:rPr>
        <w:t xml:space="preserve"> Report</w:t>
      </w:r>
      <w:r w:rsidR="007A085A">
        <w:rPr>
          <w:rFonts w:asciiTheme="majorHAnsi" w:hAnsiTheme="majorHAnsi"/>
          <w:sz w:val="20"/>
          <w:szCs w:val="20"/>
        </w:rPr>
        <w:t xml:space="preserve">, more </w:t>
      </w:r>
      <w:r w:rsidR="00B208AC">
        <w:rPr>
          <w:rFonts w:asciiTheme="majorHAnsi" w:hAnsiTheme="majorHAnsi"/>
          <w:sz w:val="20"/>
          <w:szCs w:val="20"/>
        </w:rPr>
        <w:t>formally the</w:t>
      </w:r>
      <w:r w:rsidR="008F4D9B">
        <w:rPr>
          <w:rFonts w:asciiTheme="majorHAnsi" w:hAnsiTheme="majorHAnsi"/>
          <w:sz w:val="20"/>
          <w:szCs w:val="20"/>
        </w:rPr>
        <w:t xml:space="preserve"> </w:t>
      </w:r>
      <w:r w:rsidR="00EB7032" w:rsidRPr="009D52DA">
        <w:rPr>
          <w:rStyle w:val="Emphasis"/>
          <w:rFonts w:asciiTheme="majorHAnsi" w:hAnsiTheme="majorHAnsi"/>
          <w:color w:val="000000"/>
          <w:sz w:val="20"/>
          <w:szCs w:val="20"/>
        </w:rPr>
        <w:t>Report of the Committee on Departmental Records</w:t>
      </w:r>
      <w:r w:rsidR="00EB7032" w:rsidRPr="009D52DA">
        <w:rPr>
          <w:rFonts w:asciiTheme="majorHAnsi" w:hAnsiTheme="majorHAnsi"/>
          <w:color w:val="000000"/>
          <w:sz w:val="20"/>
          <w:szCs w:val="20"/>
        </w:rPr>
        <w:t xml:space="preserve"> Cmd. 9163</w:t>
      </w:r>
      <w:r w:rsidR="007A085A">
        <w:rPr>
          <w:rFonts w:asciiTheme="majorHAnsi" w:hAnsiTheme="majorHAnsi"/>
          <w:color w:val="000000"/>
          <w:sz w:val="20"/>
          <w:szCs w:val="20"/>
        </w:rPr>
        <w:t xml:space="preserve">, published by the UK government in 1954, </w:t>
      </w:r>
      <w:r w:rsidRPr="009D52DA">
        <w:rPr>
          <w:rFonts w:asciiTheme="majorHAnsi" w:hAnsiTheme="majorHAnsi"/>
          <w:sz w:val="20"/>
          <w:szCs w:val="20"/>
        </w:rPr>
        <w:t>was to become</w:t>
      </w:r>
      <w:r w:rsidR="00B208AC">
        <w:rPr>
          <w:rFonts w:asciiTheme="majorHAnsi" w:hAnsiTheme="majorHAnsi"/>
          <w:sz w:val="20"/>
          <w:szCs w:val="20"/>
        </w:rPr>
        <w:t xml:space="preserve"> </w:t>
      </w:r>
      <w:r w:rsidRPr="009D52DA">
        <w:rPr>
          <w:rFonts w:asciiTheme="majorHAnsi" w:hAnsiTheme="majorHAnsi"/>
          <w:sz w:val="20"/>
          <w:szCs w:val="20"/>
        </w:rPr>
        <w:t xml:space="preserve">one of the most significant </w:t>
      </w:r>
      <w:r w:rsidR="0097287B" w:rsidRPr="009D52DA">
        <w:rPr>
          <w:rFonts w:asciiTheme="majorHAnsi" w:hAnsiTheme="majorHAnsi"/>
          <w:sz w:val="20"/>
          <w:szCs w:val="20"/>
        </w:rPr>
        <w:t>influences on</w:t>
      </w:r>
      <w:r w:rsidRPr="009D52DA">
        <w:rPr>
          <w:rFonts w:asciiTheme="majorHAnsi" w:hAnsiTheme="majorHAnsi"/>
          <w:sz w:val="20"/>
          <w:szCs w:val="20"/>
        </w:rPr>
        <w:t xml:space="preserve"> archival practice, </w:t>
      </w:r>
      <w:r w:rsidR="007A085A">
        <w:rPr>
          <w:rFonts w:asciiTheme="majorHAnsi" w:hAnsiTheme="majorHAnsi"/>
          <w:sz w:val="20"/>
          <w:szCs w:val="20"/>
        </w:rPr>
        <w:t>not just</w:t>
      </w:r>
      <w:r w:rsidR="007A085A">
        <w:rPr>
          <w:rFonts w:asciiTheme="majorHAnsi" w:hAnsiTheme="majorHAnsi"/>
          <w:sz w:val="20"/>
          <w:szCs w:val="20"/>
        </w:rPr>
        <w:t xml:space="preserve"> </w:t>
      </w:r>
      <w:r w:rsidR="0075741A" w:rsidRPr="009D52DA">
        <w:rPr>
          <w:rFonts w:asciiTheme="majorHAnsi" w:hAnsiTheme="majorHAnsi"/>
          <w:sz w:val="20"/>
          <w:szCs w:val="20"/>
        </w:rPr>
        <w:t>within</w:t>
      </w:r>
      <w:r w:rsidR="007A085A">
        <w:rPr>
          <w:rFonts w:asciiTheme="majorHAnsi" w:hAnsiTheme="majorHAnsi"/>
          <w:sz w:val="20"/>
          <w:szCs w:val="20"/>
        </w:rPr>
        <w:t xml:space="preserve"> </w:t>
      </w:r>
      <w:r w:rsidRPr="009D52DA">
        <w:rPr>
          <w:rFonts w:asciiTheme="majorHAnsi" w:hAnsiTheme="majorHAnsi"/>
          <w:sz w:val="20"/>
          <w:szCs w:val="20"/>
        </w:rPr>
        <w:t xml:space="preserve">central government </w:t>
      </w:r>
      <w:r w:rsidR="007A085A">
        <w:rPr>
          <w:rFonts w:asciiTheme="majorHAnsi" w:hAnsiTheme="majorHAnsi"/>
          <w:sz w:val="20"/>
          <w:szCs w:val="20"/>
        </w:rPr>
        <w:t>–</w:t>
      </w:r>
      <w:r w:rsidR="00B208AC">
        <w:rPr>
          <w:rFonts w:asciiTheme="majorHAnsi" w:hAnsiTheme="majorHAnsi"/>
          <w:sz w:val="20"/>
          <w:szCs w:val="20"/>
        </w:rPr>
        <w:t xml:space="preserve"> </w:t>
      </w:r>
      <w:r w:rsidR="0075741A" w:rsidRPr="009D52DA">
        <w:rPr>
          <w:rFonts w:asciiTheme="majorHAnsi" w:hAnsiTheme="majorHAnsi"/>
          <w:sz w:val="20"/>
          <w:szCs w:val="20"/>
        </w:rPr>
        <w:t>and</w:t>
      </w:r>
      <w:r w:rsidR="007A085A">
        <w:rPr>
          <w:rFonts w:asciiTheme="majorHAnsi" w:hAnsiTheme="majorHAnsi"/>
          <w:sz w:val="20"/>
          <w:szCs w:val="20"/>
        </w:rPr>
        <w:t>,</w:t>
      </w:r>
      <w:r w:rsidR="0075741A" w:rsidRPr="009D52DA">
        <w:rPr>
          <w:rFonts w:asciiTheme="majorHAnsi" w:hAnsiTheme="majorHAnsi"/>
          <w:sz w:val="20"/>
          <w:szCs w:val="20"/>
        </w:rPr>
        <w:t xml:space="preserve"> </w:t>
      </w:r>
      <w:r w:rsidR="008F4D9B">
        <w:rPr>
          <w:rFonts w:asciiTheme="majorHAnsi" w:hAnsiTheme="majorHAnsi"/>
          <w:sz w:val="20"/>
          <w:szCs w:val="20"/>
        </w:rPr>
        <w:t>especially</w:t>
      </w:r>
      <w:r w:rsidR="007A085A">
        <w:rPr>
          <w:rFonts w:asciiTheme="majorHAnsi" w:hAnsiTheme="majorHAnsi"/>
          <w:sz w:val="20"/>
          <w:szCs w:val="20"/>
        </w:rPr>
        <w:t xml:space="preserve">, </w:t>
      </w:r>
      <w:r w:rsidR="008F4D9B">
        <w:rPr>
          <w:rFonts w:asciiTheme="majorHAnsi" w:hAnsiTheme="majorHAnsi"/>
          <w:sz w:val="20"/>
          <w:szCs w:val="20"/>
        </w:rPr>
        <w:t xml:space="preserve">at </w:t>
      </w:r>
      <w:r w:rsidR="007A085A">
        <w:rPr>
          <w:rFonts w:asciiTheme="majorHAnsi" w:hAnsiTheme="majorHAnsi"/>
          <w:sz w:val="20"/>
          <w:szCs w:val="20"/>
        </w:rPr>
        <w:t>the</w:t>
      </w:r>
      <w:r w:rsidR="00843D22" w:rsidRPr="009D52DA">
        <w:rPr>
          <w:rFonts w:asciiTheme="majorHAnsi" w:hAnsiTheme="majorHAnsi"/>
          <w:sz w:val="20"/>
          <w:szCs w:val="20"/>
        </w:rPr>
        <w:t xml:space="preserve"> </w:t>
      </w:r>
      <w:r w:rsidR="0075741A" w:rsidRPr="009D52DA">
        <w:rPr>
          <w:rFonts w:asciiTheme="majorHAnsi" w:hAnsiTheme="majorHAnsi"/>
          <w:sz w:val="20"/>
          <w:szCs w:val="20"/>
        </w:rPr>
        <w:t>Public Record Office</w:t>
      </w:r>
      <w:r w:rsidR="007A085A">
        <w:rPr>
          <w:rFonts w:asciiTheme="majorHAnsi" w:hAnsiTheme="majorHAnsi"/>
          <w:sz w:val="20"/>
          <w:szCs w:val="20"/>
        </w:rPr>
        <w:t xml:space="preserve"> (PRO</w:t>
      </w:r>
      <w:r w:rsidR="008F4D9B" w:rsidRPr="009D52DA">
        <w:rPr>
          <w:rFonts w:asciiTheme="majorHAnsi" w:hAnsiTheme="majorHAnsi"/>
          <w:sz w:val="20"/>
          <w:szCs w:val="20"/>
        </w:rPr>
        <w:t>)</w:t>
      </w:r>
      <w:r w:rsidR="008F4D9B">
        <w:rPr>
          <w:rFonts w:asciiTheme="majorHAnsi" w:hAnsiTheme="majorHAnsi"/>
          <w:sz w:val="20"/>
          <w:szCs w:val="20"/>
        </w:rPr>
        <w:t xml:space="preserve"> </w:t>
      </w:r>
      <w:r w:rsidR="008F4D9B">
        <w:rPr>
          <w:rFonts w:asciiTheme="majorHAnsi" w:hAnsiTheme="majorHAnsi"/>
          <w:sz w:val="20"/>
          <w:szCs w:val="20"/>
        </w:rPr>
        <w:t xml:space="preserve">  </w:t>
      </w:r>
      <w:r w:rsidR="007A085A">
        <w:rPr>
          <w:rFonts w:asciiTheme="majorHAnsi" w:hAnsiTheme="majorHAnsi"/>
          <w:sz w:val="20"/>
          <w:szCs w:val="20"/>
        </w:rPr>
        <w:t>-</w:t>
      </w:r>
      <w:r w:rsidR="007A085A" w:rsidRPr="009D52DA">
        <w:rPr>
          <w:rFonts w:asciiTheme="majorHAnsi" w:hAnsiTheme="majorHAnsi"/>
          <w:sz w:val="20"/>
          <w:szCs w:val="20"/>
        </w:rPr>
        <w:t xml:space="preserve"> </w:t>
      </w:r>
      <w:r w:rsidR="0097287B" w:rsidRPr="009D52DA">
        <w:rPr>
          <w:rFonts w:asciiTheme="majorHAnsi" w:hAnsiTheme="majorHAnsi"/>
          <w:sz w:val="20"/>
          <w:szCs w:val="20"/>
        </w:rPr>
        <w:t>but</w:t>
      </w:r>
      <w:r w:rsidR="00843D22" w:rsidRPr="009D52DA">
        <w:rPr>
          <w:rFonts w:asciiTheme="majorHAnsi" w:hAnsiTheme="majorHAnsi"/>
          <w:sz w:val="20"/>
          <w:szCs w:val="20"/>
        </w:rPr>
        <w:t xml:space="preserve"> also</w:t>
      </w:r>
      <w:r w:rsidRPr="009D52DA">
        <w:rPr>
          <w:rFonts w:asciiTheme="majorHAnsi" w:hAnsiTheme="majorHAnsi"/>
          <w:sz w:val="20"/>
          <w:szCs w:val="20"/>
        </w:rPr>
        <w:t xml:space="preserve"> </w:t>
      </w:r>
      <w:r w:rsidR="008F4D9B">
        <w:rPr>
          <w:rFonts w:asciiTheme="majorHAnsi" w:hAnsiTheme="majorHAnsi"/>
          <w:sz w:val="20"/>
          <w:szCs w:val="20"/>
        </w:rPr>
        <w:t>with</w:t>
      </w:r>
      <w:r w:rsidR="00843D22" w:rsidRPr="009D52DA">
        <w:rPr>
          <w:rFonts w:asciiTheme="majorHAnsi" w:hAnsiTheme="majorHAnsi"/>
          <w:sz w:val="20"/>
          <w:szCs w:val="20"/>
        </w:rPr>
        <w:t xml:space="preserve">in </w:t>
      </w:r>
      <w:r w:rsidR="007A085A">
        <w:rPr>
          <w:rFonts w:asciiTheme="majorHAnsi" w:hAnsiTheme="majorHAnsi"/>
          <w:sz w:val="20"/>
          <w:szCs w:val="20"/>
        </w:rPr>
        <w:t xml:space="preserve">other </w:t>
      </w:r>
      <w:r w:rsidR="008F4D9B">
        <w:rPr>
          <w:rFonts w:asciiTheme="majorHAnsi" w:hAnsiTheme="majorHAnsi"/>
          <w:sz w:val="20"/>
          <w:szCs w:val="20"/>
        </w:rPr>
        <w:t>archival contexts</w:t>
      </w:r>
      <w:r w:rsidR="008F4D9B" w:rsidRPr="009D52DA">
        <w:rPr>
          <w:rFonts w:asciiTheme="majorHAnsi" w:hAnsiTheme="majorHAnsi"/>
          <w:sz w:val="20"/>
          <w:szCs w:val="20"/>
        </w:rPr>
        <w:t xml:space="preserve"> </w:t>
      </w:r>
      <w:r w:rsidR="00843D22" w:rsidRPr="009D52DA">
        <w:rPr>
          <w:rFonts w:asciiTheme="majorHAnsi" w:hAnsiTheme="majorHAnsi"/>
          <w:sz w:val="20"/>
          <w:szCs w:val="20"/>
        </w:rPr>
        <w:t>which</w:t>
      </w:r>
      <w:r w:rsidR="008F4D9B">
        <w:rPr>
          <w:rFonts w:asciiTheme="majorHAnsi" w:hAnsiTheme="majorHAnsi"/>
          <w:sz w:val="20"/>
          <w:szCs w:val="20"/>
        </w:rPr>
        <w:t xml:space="preserve">, in statutory terms, </w:t>
      </w:r>
      <w:r w:rsidR="00843D22" w:rsidRPr="009D52DA">
        <w:rPr>
          <w:rFonts w:asciiTheme="majorHAnsi" w:hAnsiTheme="majorHAnsi"/>
          <w:sz w:val="20"/>
          <w:szCs w:val="20"/>
        </w:rPr>
        <w:t xml:space="preserve">lay </w:t>
      </w:r>
      <w:r w:rsidR="007A085A">
        <w:rPr>
          <w:rFonts w:asciiTheme="majorHAnsi" w:hAnsiTheme="majorHAnsi"/>
          <w:sz w:val="20"/>
          <w:szCs w:val="20"/>
        </w:rPr>
        <w:t>outside the scope of the</w:t>
      </w:r>
      <w:r w:rsidR="008F4D9B">
        <w:rPr>
          <w:rFonts w:asciiTheme="majorHAnsi" w:hAnsiTheme="majorHAnsi"/>
          <w:sz w:val="20"/>
          <w:szCs w:val="20"/>
        </w:rPr>
        <w:t xml:space="preserve"> </w:t>
      </w:r>
      <w:r w:rsidR="00843D22" w:rsidRPr="009D52DA">
        <w:rPr>
          <w:rFonts w:asciiTheme="majorHAnsi" w:hAnsiTheme="majorHAnsi"/>
          <w:sz w:val="20"/>
          <w:szCs w:val="20"/>
        </w:rPr>
        <w:t>Public Record</w:t>
      </w:r>
      <w:r w:rsidR="007A085A">
        <w:rPr>
          <w:rFonts w:asciiTheme="majorHAnsi" w:hAnsiTheme="majorHAnsi"/>
          <w:sz w:val="20"/>
          <w:szCs w:val="20"/>
        </w:rPr>
        <w:t>s</w:t>
      </w:r>
      <w:r w:rsidR="00843D22" w:rsidRPr="009D52DA">
        <w:rPr>
          <w:rFonts w:asciiTheme="majorHAnsi" w:hAnsiTheme="majorHAnsi"/>
          <w:sz w:val="20"/>
          <w:szCs w:val="20"/>
        </w:rPr>
        <w:t xml:space="preserve"> Act 1958 which implemented its recommendations. </w:t>
      </w:r>
      <w:r w:rsidR="008F4D9B">
        <w:rPr>
          <w:rFonts w:asciiTheme="majorHAnsi" w:hAnsiTheme="majorHAnsi"/>
          <w:sz w:val="20"/>
          <w:szCs w:val="20"/>
        </w:rPr>
        <w:t xml:space="preserve">Processes based on elements of </w:t>
      </w:r>
      <w:r w:rsidR="005A3937">
        <w:rPr>
          <w:rFonts w:asciiTheme="majorHAnsi" w:hAnsiTheme="majorHAnsi"/>
          <w:sz w:val="20"/>
          <w:szCs w:val="20"/>
        </w:rPr>
        <w:t xml:space="preserve">what became known as </w:t>
      </w:r>
      <w:r w:rsidR="00176A42" w:rsidRPr="009D52DA">
        <w:rPr>
          <w:rFonts w:asciiTheme="majorHAnsi" w:hAnsiTheme="majorHAnsi"/>
          <w:sz w:val="20"/>
          <w:szCs w:val="20"/>
        </w:rPr>
        <w:t>the</w:t>
      </w:r>
      <w:r w:rsidR="005A3937">
        <w:rPr>
          <w:rFonts w:asciiTheme="majorHAnsi" w:hAnsiTheme="majorHAnsi"/>
          <w:sz w:val="20"/>
          <w:szCs w:val="20"/>
        </w:rPr>
        <w:t xml:space="preserve"> ‘</w:t>
      </w:r>
      <w:proofErr w:type="spellStart"/>
      <w:r w:rsidR="00176A42" w:rsidRPr="009D52DA">
        <w:rPr>
          <w:rFonts w:asciiTheme="majorHAnsi" w:hAnsiTheme="majorHAnsi"/>
          <w:sz w:val="20"/>
          <w:szCs w:val="20"/>
        </w:rPr>
        <w:t>Grigg</w:t>
      </w:r>
      <w:proofErr w:type="spellEnd"/>
      <w:r w:rsidR="00176A42" w:rsidRPr="009D52DA">
        <w:rPr>
          <w:rFonts w:asciiTheme="majorHAnsi" w:hAnsiTheme="majorHAnsi"/>
          <w:sz w:val="20"/>
          <w:szCs w:val="20"/>
        </w:rPr>
        <w:t xml:space="preserve"> System’ found their way into UK local record offices</w:t>
      </w:r>
      <w:r w:rsidR="0009700D" w:rsidRPr="009D52DA">
        <w:rPr>
          <w:rFonts w:asciiTheme="majorHAnsi" w:hAnsiTheme="majorHAnsi"/>
          <w:sz w:val="20"/>
          <w:szCs w:val="20"/>
        </w:rPr>
        <w:t xml:space="preserve"> </w:t>
      </w:r>
      <w:r w:rsidR="00BB02FF" w:rsidRPr="009D52DA">
        <w:rPr>
          <w:rFonts w:asciiTheme="majorHAnsi" w:hAnsiTheme="majorHAnsi"/>
          <w:sz w:val="20"/>
          <w:szCs w:val="20"/>
        </w:rPr>
        <w:t>which were attempting to rationalise and systematise their own archival selection procedures</w:t>
      </w:r>
      <w:r w:rsidR="008F4D9B">
        <w:rPr>
          <w:rFonts w:asciiTheme="majorHAnsi" w:hAnsiTheme="majorHAnsi"/>
          <w:sz w:val="20"/>
          <w:szCs w:val="20"/>
        </w:rPr>
        <w:t xml:space="preserve">; similar processes, often underpinned by </w:t>
      </w:r>
      <w:proofErr w:type="gramStart"/>
      <w:r w:rsidR="008F4D9B">
        <w:rPr>
          <w:rFonts w:asciiTheme="majorHAnsi" w:hAnsiTheme="majorHAnsi"/>
          <w:sz w:val="20"/>
          <w:szCs w:val="20"/>
        </w:rPr>
        <w:t>legislation</w:t>
      </w:r>
      <w:r w:rsidR="00176A42" w:rsidRPr="009D52DA">
        <w:rPr>
          <w:rFonts w:asciiTheme="majorHAnsi" w:hAnsiTheme="majorHAnsi"/>
          <w:sz w:val="20"/>
          <w:szCs w:val="20"/>
        </w:rPr>
        <w:t xml:space="preserve"> </w:t>
      </w:r>
      <w:r w:rsidR="008F4D9B">
        <w:rPr>
          <w:rFonts w:asciiTheme="majorHAnsi" w:hAnsiTheme="majorHAnsi"/>
          <w:sz w:val="20"/>
          <w:szCs w:val="20"/>
        </w:rPr>
        <w:t xml:space="preserve"> </w:t>
      </w:r>
      <w:r w:rsidR="00176A42" w:rsidRPr="009D52DA">
        <w:rPr>
          <w:rFonts w:asciiTheme="majorHAnsi" w:hAnsiTheme="majorHAnsi"/>
          <w:sz w:val="20"/>
          <w:szCs w:val="20"/>
        </w:rPr>
        <w:t>became</w:t>
      </w:r>
      <w:proofErr w:type="gramEnd"/>
      <w:r w:rsidR="00176A42" w:rsidRPr="009D52DA">
        <w:rPr>
          <w:rFonts w:asciiTheme="majorHAnsi" w:hAnsiTheme="majorHAnsi"/>
          <w:sz w:val="20"/>
          <w:szCs w:val="20"/>
        </w:rPr>
        <w:t xml:space="preserve"> enshrined, whether appropriately or not, in legislation and in practice throughout the recordkeeping systems of the countries making up the new British Commonwealth. </w:t>
      </w:r>
      <w:r w:rsidR="006C5801" w:rsidRPr="009D52DA">
        <w:rPr>
          <w:rFonts w:asciiTheme="majorHAnsi" w:hAnsiTheme="majorHAnsi"/>
          <w:sz w:val="20"/>
          <w:szCs w:val="20"/>
        </w:rPr>
        <w:t xml:space="preserve">For </w:t>
      </w:r>
      <w:r w:rsidR="005A3937">
        <w:rPr>
          <w:rFonts w:asciiTheme="majorHAnsi" w:hAnsiTheme="majorHAnsi"/>
          <w:sz w:val="20"/>
          <w:szCs w:val="20"/>
        </w:rPr>
        <w:t xml:space="preserve">some, </w:t>
      </w:r>
      <w:r w:rsidR="006C5801" w:rsidRPr="009D52DA">
        <w:rPr>
          <w:rFonts w:asciiTheme="majorHAnsi" w:hAnsiTheme="majorHAnsi"/>
          <w:sz w:val="20"/>
          <w:szCs w:val="20"/>
        </w:rPr>
        <w:t xml:space="preserve"> the </w:t>
      </w:r>
      <w:proofErr w:type="spellStart"/>
      <w:r w:rsidR="006C5801" w:rsidRPr="009D52DA">
        <w:rPr>
          <w:rFonts w:asciiTheme="majorHAnsi" w:hAnsiTheme="majorHAnsi"/>
          <w:sz w:val="20"/>
          <w:szCs w:val="20"/>
        </w:rPr>
        <w:t>Grigg</w:t>
      </w:r>
      <w:proofErr w:type="spellEnd"/>
      <w:r w:rsidR="006C5801" w:rsidRPr="009D52DA">
        <w:rPr>
          <w:rFonts w:asciiTheme="majorHAnsi" w:hAnsiTheme="majorHAnsi"/>
          <w:sz w:val="20"/>
          <w:szCs w:val="20"/>
        </w:rPr>
        <w:t xml:space="preserve"> Report has also acquired significance as representing</w:t>
      </w:r>
      <w:r w:rsidR="005A3937">
        <w:rPr>
          <w:rFonts w:asciiTheme="majorHAnsi" w:hAnsiTheme="majorHAnsi"/>
          <w:sz w:val="20"/>
          <w:szCs w:val="20"/>
        </w:rPr>
        <w:t xml:space="preserve"> </w:t>
      </w:r>
      <w:r w:rsidR="006C5801" w:rsidRPr="009D52DA">
        <w:rPr>
          <w:rFonts w:asciiTheme="majorHAnsi" w:hAnsiTheme="majorHAnsi"/>
          <w:sz w:val="20"/>
          <w:szCs w:val="20"/>
        </w:rPr>
        <w:t>a struggle between old and new</w:t>
      </w:r>
      <w:r w:rsidR="005A3937">
        <w:rPr>
          <w:rFonts w:asciiTheme="majorHAnsi" w:hAnsiTheme="majorHAnsi"/>
          <w:sz w:val="20"/>
          <w:szCs w:val="20"/>
        </w:rPr>
        <w:t xml:space="preserve">  and, </w:t>
      </w:r>
      <w:r w:rsidR="006C5801" w:rsidRPr="009D52DA">
        <w:rPr>
          <w:rFonts w:asciiTheme="majorHAnsi" w:hAnsiTheme="majorHAnsi"/>
          <w:sz w:val="20"/>
          <w:szCs w:val="20"/>
        </w:rPr>
        <w:t xml:space="preserve"> specifically between</w:t>
      </w:r>
      <w:r w:rsidR="005A3937">
        <w:rPr>
          <w:rFonts w:asciiTheme="majorHAnsi" w:hAnsiTheme="majorHAnsi"/>
          <w:sz w:val="20"/>
          <w:szCs w:val="20"/>
        </w:rPr>
        <w:t xml:space="preserve"> archival practices and attitudes associated with</w:t>
      </w:r>
      <w:r w:rsidR="006C5801" w:rsidRPr="009D52DA">
        <w:rPr>
          <w:rFonts w:asciiTheme="majorHAnsi" w:hAnsiTheme="majorHAnsi"/>
          <w:sz w:val="20"/>
          <w:szCs w:val="20"/>
        </w:rPr>
        <w:t xml:space="preserve"> Sir Hilary Jenkinson (qv) and those </w:t>
      </w:r>
      <w:r w:rsidR="005A3937">
        <w:rPr>
          <w:rFonts w:asciiTheme="majorHAnsi" w:hAnsiTheme="majorHAnsi"/>
          <w:sz w:val="20"/>
          <w:szCs w:val="20"/>
        </w:rPr>
        <w:t xml:space="preserve">which sought to </w:t>
      </w:r>
      <w:r w:rsidR="006C5801" w:rsidRPr="009D52DA">
        <w:rPr>
          <w:rFonts w:asciiTheme="majorHAnsi" w:hAnsiTheme="majorHAnsi"/>
          <w:sz w:val="20"/>
          <w:szCs w:val="20"/>
        </w:rPr>
        <w:t xml:space="preserve"> introduc</w:t>
      </w:r>
      <w:r w:rsidR="005A3937">
        <w:rPr>
          <w:rFonts w:asciiTheme="majorHAnsi" w:hAnsiTheme="majorHAnsi"/>
          <w:sz w:val="20"/>
          <w:szCs w:val="20"/>
        </w:rPr>
        <w:t>e</w:t>
      </w:r>
      <w:r w:rsidR="006C5801" w:rsidRPr="009D52DA">
        <w:rPr>
          <w:rFonts w:asciiTheme="majorHAnsi" w:hAnsiTheme="majorHAnsi"/>
          <w:sz w:val="20"/>
          <w:szCs w:val="20"/>
        </w:rPr>
        <w:t xml:space="preserve"> not just new techniques, but a </w:t>
      </w:r>
      <w:r w:rsidR="005A3937">
        <w:rPr>
          <w:rFonts w:asciiTheme="majorHAnsi" w:hAnsiTheme="majorHAnsi"/>
          <w:sz w:val="20"/>
          <w:szCs w:val="20"/>
        </w:rPr>
        <w:t>more progressive</w:t>
      </w:r>
      <w:r w:rsidR="006C5801" w:rsidRPr="009D52DA">
        <w:rPr>
          <w:rFonts w:asciiTheme="majorHAnsi" w:hAnsiTheme="majorHAnsi"/>
          <w:sz w:val="20"/>
          <w:szCs w:val="20"/>
        </w:rPr>
        <w:t xml:space="preserve"> </w:t>
      </w:r>
      <w:proofErr w:type="spellStart"/>
      <w:r w:rsidR="006C5801" w:rsidRPr="009D52DA">
        <w:rPr>
          <w:rFonts w:asciiTheme="majorHAnsi" w:hAnsiTheme="majorHAnsi"/>
          <w:sz w:val="20"/>
          <w:szCs w:val="20"/>
        </w:rPr>
        <w:t>mindset</w:t>
      </w:r>
      <w:proofErr w:type="spellEnd"/>
      <w:r w:rsidR="006C5801" w:rsidRPr="009D52DA">
        <w:rPr>
          <w:rFonts w:asciiTheme="majorHAnsi" w:hAnsiTheme="majorHAnsi"/>
          <w:sz w:val="20"/>
          <w:szCs w:val="20"/>
        </w:rPr>
        <w:t>, into the management of archives.</w:t>
      </w:r>
    </w:p>
    <w:p w:rsidR="005A3937" w:rsidRDefault="00176A42" w:rsidP="009F5544">
      <w:pPr>
        <w:ind w:firstLine="720"/>
        <w:rPr>
          <w:rFonts w:asciiTheme="majorHAnsi" w:hAnsiTheme="majorHAnsi"/>
          <w:sz w:val="20"/>
          <w:szCs w:val="20"/>
        </w:rPr>
      </w:pPr>
      <w:r w:rsidRPr="009D52DA">
        <w:rPr>
          <w:rFonts w:asciiTheme="majorHAnsi" w:hAnsiTheme="majorHAnsi"/>
          <w:sz w:val="20"/>
          <w:szCs w:val="20"/>
        </w:rPr>
        <w:t xml:space="preserve">Sir </w:t>
      </w:r>
      <w:r w:rsidR="004B0355" w:rsidRPr="009D52DA">
        <w:rPr>
          <w:rFonts w:asciiTheme="majorHAnsi" w:hAnsiTheme="majorHAnsi"/>
          <w:sz w:val="20"/>
          <w:szCs w:val="20"/>
        </w:rPr>
        <w:t xml:space="preserve">(Percy) </w:t>
      </w:r>
      <w:r w:rsidRPr="009D52DA">
        <w:rPr>
          <w:rFonts w:asciiTheme="majorHAnsi" w:hAnsiTheme="majorHAnsi"/>
          <w:sz w:val="20"/>
          <w:szCs w:val="20"/>
        </w:rPr>
        <w:t xml:space="preserve">James </w:t>
      </w:r>
      <w:proofErr w:type="spellStart"/>
      <w:r w:rsidRPr="009D52DA">
        <w:rPr>
          <w:rFonts w:asciiTheme="majorHAnsi" w:hAnsiTheme="majorHAnsi"/>
          <w:sz w:val="20"/>
          <w:szCs w:val="20"/>
        </w:rPr>
        <w:t>Grigg</w:t>
      </w:r>
      <w:proofErr w:type="spellEnd"/>
      <w:r w:rsidR="00BB02FF" w:rsidRPr="009D52DA">
        <w:rPr>
          <w:rFonts w:asciiTheme="majorHAnsi" w:hAnsiTheme="majorHAnsi"/>
          <w:sz w:val="20"/>
          <w:szCs w:val="20"/>
        </w:rPr>
        <w:t xml:space="preserve"> (1890-1964)</w:t>
      </w:r>
      <w:r w:rsidRPr="009D52DA">
        <w:rPr>
          <w:rFonts w:asciiTheme="majorHAnsi" w:hAnsiTheme="majorHAnsi"/>
          <w:sz w:val="20"/>
          <w:szCs w:val="20"/>
        </w:rPr>
        <w:t>, who chaired the Committee which</w:t>
      </w:r>
      <w:r w:rsidR="004B0355" w:rsidRPr="009D52DA">
        <w:rPr>
          <w:rFonts w:asciiTheme="majorHAnsi" w:hAnsiTheme="majorHAnsi"/>
          <w:sz w:val="20"/>
          <w:szCs w:val="20"/>
        </w:rPr>
        <w:t xml:space="preserve"> </w:t>
      </w:r>
      <w:r w:rsidRPr="009D52DA">
        <w:rPr>
          <w:rFonts w:asciiTheme="majorHAnsi" w:hAnsiTheme="majorHAnsi"/>
          <w:sz w:val="20"/>
          <w:szCs w:val="20"/>
        </w:rPr>
        <w:t>bears his name, has</w:t>
      </w:r>
      <w:r w:rsidR="004B0355" w:rsidRPr="009D52DA">
        <w:rPr>
          <w:rFonts w:asciiTheme="majorHAnsi" w:hAnsiTheme="majorHAnsi"/>
          <w:sz w:val="20"/>
          <w:szCs w:val="20"/>
        </w:rPr>
        <w:t xml:space="preserve">, as a highly successful Civil Servant, only an honorary </w:t>
      </w:r>
      <w:r w:rsidR="00BB02FF" w:rsidRPr="009D52DA">
        <w:rPr>
          <w:rFonts w:asciiTheme="majorHAnsi" w:hAnsiTheme="majorHAnsi"/>
          <w:sz w:val="20"/>
          <w:szCs w:val="20"/>
        </w:rPr>
        <w:t xml:space="preserve">place in an </w:t>
      </w:r>
      <w:r w:rsidR="003738E2" w:rsidRPr="009D52DA">
        <w:rPr>
          <w:rFonts w:asciiTheme="majorHAnsi" w:hAnsiTheme="majorHAnsi"/>
          <w:i/>
          <w:sz w:val="20"/>
          <w:szCs w:val="20"/>
        </w:rPr>
        <w:t>Encyclopaedia</w:t>
      </w:r>
      <w:r w:rsidR="00BB02FF" w:rsidRPr="009D52DA">
        <w:rPr>
          <w:rFonts w:asciiTheme="majorHAnsi" w:hAnsiTheme="majorHAnsi"/>
          <w:i/>
          <w:sz w:val="20"/>
          <w:szCs w:val="20"/>
        </w:rPr>
        <w:t xml:space="preserve"> of Archival Writers.</w:t>
      </w:r>
      <w:r w:rsidR="004B0355" w:rsidRPr="009D52DA">
        <w:rPr>
          <w:rFonts w:asciiTheme="majorHAnsi" w:hAnsiTheme="majorHAnsi"/>
          <w:i/>
          <w:sz w:val="20"/>
          <w:szCs w:val="20"/>
        </w:rPr>
        <w:t xml:space="preserve"> </w:t>
      </w:r>
      <w:r w:rsidR="004B0355" w:rsidRPr="009D52DA">
        <w:rPr>
          <w:rFonts w:asciiTheme="majorHAnsi" w:hAnsiTheme="majorHAnsi"/>
          <w:sz w:val="20"/>
          <w:szCs w:val="20"/>
        </w:rPr>
        <w:t>Nevertheless, his career</w:t>
      </w:r>
      <w:r w:rsidR="00966A7D" w:rsidRPr="009D52DA">
        <w:rPr>
          <w:rFonts w:asciiTheme="majorHAnsi" w:hAnsiTheme="majorHAnsi"/>
          <w:sz w:val="20"/>
          <w:szCs w:val="20"/>
        </w:rPr>
        <w:t>, based as it was principally in the Treasury</w:t>
      </w:r>
      <w:r w:rsidR="00861ECD" w:rsidRPr="009D52DA">
        <w:rPr>
          <w:rFonts w:asciiTheme="majorHAnsi" w:hAnsiTheme="majorHAnsi"/>
          <w:sz w:val="20"/>
          <w:szCs w:val="20"/>
        </w:rPr>
        <w:t xml:space="preserve"> (the great department of state which</w:t>
      </w:r>
      <w:r w:rsidR="005A3937">
        <w:rPr>
          <w:rFonts w:asciiTheme="majorHAnsi" w:hAnsiTheme="majorHAnsi"/>
          <w:sz w:val="20"/>
          <w:szCs w:val="20"/>
        </w:rPr>
        <w:t xml:space="preserve"> </w:t>
      </w:r>
      <w:r w:rsidR="00861ECD" w:rsidRPr="009D52DA">
        <w:rPr>
          <w:rFonts w:asciiTheme="majorHAnsi" w:hAnsiTheme="majorHAnsi"/>
          <w:sz w:val="20"/>
          <w:szCs w:val="20"/>
        </w:rPr>
        <w:t xml:space="preserve">was </w:t>
      </w:r>
      <w:r w:rsidR="00F34986" w:rsidRPr="009D52DA">
        <w:rPr>
          <w:rFonts w:asciiTheme="majorHAnsi" w:hAnsiTheme="majorHAnsi"/>
          <w:sz w:val="20"/>
          <w:szCs w:val="20"/>
        </w:rPr>
        <w:t xml:space="preserve">financially </w:t>
      </w:r>
      <w:r w:rsidR="00861ECD" w:rsidRPr="009D52DA">
        <w:rPr>
          <w:rFonts w:asciiTheme="majorHAnsi" w:hAnsiTheme="majorHAnsi"/>
          <w:sz w:val="20"/>
          <w:szCs w:val="20"/>
        </w:rPr>
        <w:t xml:space="preserve">responsible for </w:t>
      </w:r>
      <w:r w:rsidR="00F34986" w:rsidRPr="009D52DA">
        <w:rPr>
          <w:rFonts w:asciiTheme="majorHAnsi" w:hAnsiTheme="majorHAnsi"/>
          <w:sz w:val="20"/>
          <w:szCs w:val="20"/>
        </w:rPr>
        <w:t>the PRO, both its annual es</w:t>
      </w:r>
      <w:r w:rsidR="00861ECD" w:rsidRPr="009D52DA">
        <w:rPr>
          <w:rFonts w:asciiTheme="majorHAnsi" w:hAnsiTheme="majorHAnsi"/>
          <w:sz w:val="20"/>
          <w:szCs w:val="20"/>
        </w:rPr>
        <w:t>tablishment planning</w:t>
      </w:r>
      <w:r w:rsidR="00F34986" w:rsidRPr="009D52DA">
        <w:rPr>
          <w:rFonts w:asciiTheme="majorHAnsi" w:hAnsiTheme="majorHAnsi"/>
          <w:sz w:val="20"/>
          <w:szCs w:val="20"/>
        </w:rPr>
        <w:t xml:space="preserve"> and extraordinary </w:t>
      </w:r>
      <w:r w:rsidR="00EA07AA" w:rsidRPr="009D52DA">
        <w:rPr>
          <w:rFonts w:asciiTheme="majorHAnsi" w:hAnsiTheme="majorHAnsi"/>
          <w:sz w:val="20"/>
          <w:szCs w:val="20"/>
        </w:rPr>
        <w:t>capital expenditure)</w:t>
      </w:r>
      <w:r w:rsidR="0097113E" w:rsidRPr="009D52DA">
        <w:rPr>
          <w:rFonts w:asciiTheme="majorHAnsi" w:hAnsiTheme="majorHAnsi"/>
          <w:sz w:val="20"/>
          <w:szCs w:val="20"/>
        </w:rPr>
        <w:t xml:space="preserve"> </w:t>
      </w:r>
      <w:r w:rsidR="00966A7D" w:rsidRPr="009D52DA">
        <w:rPr>
          <w:rFonts w:asciiTheme="majorHAnsi" w:hAnsiTheme="majorHAnsi"/>
          <w:sz w:val="20"/>
          <w:szCs w:val="20"/>
        </w:rPr>
        <w:t xml:space="preserve">is indicative of the </w:t>
      </w:r>
      <w:r w:rsidR="004B0355" w:rsidRPr="009D52DA">
        <w:rPr>
          <w:rFonts w:asciiTheme="majorHAnsi" w:hAnsiTheme="majorHAnsi"/>
          <w:sz w:val="20"/>
          <w:szCs w:val="20"/>
        </w:rPr>
        <w:t xml:space="preserve">context in which he and his committee </w:t>
      </w:r>
      <w:r w:rsidR="00966A7D" w:rsidRPr="009D52DA">
        <w:rPr>
          <w:rFonts w:asciiTheme="majorHAnsi" w:hAnsiTheme="majorHAnsi"/>
          <w:sz w:val="20"/>
          <w:szCs w:val="20"/>
        </w:rPr>
        <w:t xml:space="preserve">were to </w:t>
      </w:r>
      <w:r w:rsidR="004B0355" w:rsidRPr="009D52DA">
        <w:rPr>
          <w:rFonts w:asciiTheme="majorHAnsi" w:hAnsiTheme="majorHAnsi"/>
          <w:sz w:val="20"/>
          <w:szCs w:val="20"/>
        </w:rPr>
        <w:t>address</w:t>
      </w:r>
      <w:r w:rsidR="00EA07AA" w:rsidRPr="009D52DA">
        <w:rPr>
          <w:rFonts w:asciiTheme="majorHAnsi" w:hAnsiTheme="majorHAnsi"/>
          <w:sz w:val="20"/>
          <w:szCs w:val="20"/>
        </w:rPr>
        <w:t xml:space="preserve"> </w:t>
      </w:r>
      <w:r w:rsidR="004B0355" w:rsidRPr="009D52DA">
        <w:rPr>
          <w:rFonts w:asciiTheme="majorHAnsi" w:hAnsiTheme="majorHAnsi"/>
          <w:sz w:val="20"/>
          <w:szCs w:val="20"/>
        </w:rPr>
        <w:t xml:space="preserve">the problems of Departmental Records </w:t>
      </w:r>
      <w:r w:rsidR="00966A7D" w:rsidRPr="009D52DA">
        <w:rPr>
          <w:rFonts w:asciiTheme="majorHAnsi" w:hAnsiTheme="majorHAnsi"/>
          <w:sz w:val="20"/>
          <w:szCs w:val="20"/>
        </w:rPr>
        <w:t>in 1952.</w:t>
      </w:r>
      <w:r w:rsidR="004B0355" w:rsidRPr="009D52DA">
        <w:rPr>
          <w:rFonts w:asciiTheme="majorHAnsi" w:hAnsiTheme="majorHAnsi"/>
          <w:sz w:val="20"/>
          <w:szCs w:val="20"/>
        </w:rPr>
        <w:t xml:space="preserve"> </w:t>
      </w:r>
      <w:proofErr w:type="spellStart"/>
      <w:r w:rsidR="00966A7D" w:rsidRPr="009D52DA">
        <w:rPr>
          <w:rFonts w:asciiTheme="majorHAnsi" w:hAnsiTheme="majorHAnsi"/>
          <w:sz w:val="20"/>
          <w:szCs w:val="20"/>
        </w:rPr>
        <w:t>Grigg</w:t>
      </w:r>
      <w:proofErr w:type="spellEnd"/>
      <w:r w:rsidR="00966A7D" w:rsidRPr="009D52DA">
        <w:rPr>
          <w:rFonts w:asciiTheme="majorHAnsi" w:hAnsiTheme="majorHAnsi"/>
          <w:sz w:val="20"/>
          <w:szCs w:val="20"/>
        </w:rPr>
        <w:t xml:space="preserve"> served as </w:t>
      </w:r>
      <w:r w:rsidR="004B0355" w:rsidRPr="009D52DA">
        <w:rPr>
          <w:rFonts w:asciiTheme="majorHAnsi" w:hAnsiTheme="majorHAnsi"/>
          <w:sz w:val="20"/>
          <w:szCs w:val="20"/>
        </w:rPr>
        <w:t xml:space="preserve">principal private secretary to five chancellors of the exchequer </w:t>
      </w:r>
      <w:r w:rsidR="00966A7D" w:rsidRPr="009D52DA">
        <w:rPr>
          <w:rFonts w:asciiTheme="majorHAnsi" w:hAnsiTheme="majorHAnsi"/>
          <w:sz w:val="20"/>
          <w:szCs w:val="20"/>
        </w:rPr>
        <w:t>between 1921 and 1931, and spent</w:t>
      </w:r>
      <w:r w:rsidR="00113092" w:rsidRPr="009D52DA">
        <w:rPr>
          <w:rFonts w:asciiTheme="majorHAnsi" w:hAnsiTheme="majorHAnsi"/>
          <w:sz w:val="20"/>
          <w:szCs w:val="20"/>
        </w:rPr>
        <w:t xml:space="preserve"> five years in the Indian Government service between 1934 and 1939 and, during the Second World War </w:t>
      </w:r>
      <w:r w:rsidR="00966A7D" w:rsidRPr="009D52DA">
        <w:rPr>
          <w:rFonts w:asciiTheme="majorHAnsi" w:hAnsiTheme="majorHAnsi"/>
          <w:sz w:val="20"/>
          <w:szCs w:val="20"/>
        </w:rPr>
        <w:t xml:space="preserve">was </w:t>
      </w:r>
      <w:r w:rsidR="00113092" w:rsidRPr="009D52DA">
        <w:rPr>
          <w:rFonts w:asciiTheme="majorHAnsi" w:hAnsiTheme="majorHAnsi"/>
          <w:sz w:val="20"/>
          <w:szCs w:val="20"/>
        </w:rPr>
        <w:t>appointed</w:t>
      </w:r>
      <w:r w:rsidR="00966A7D" w:rsidRPr="009D52DA">
        <w:rPr>
          <w:rFonts w:asciiTheme="majorHAnsi" w:hAnsiTheme="majorHAnsi"/>
          <w:sz w:val="20"/>
          <w:szCs w:val="20"/>
        </w:rPr>
        <w:t xml:space="preserve"> to the War Office, as chair of the standing committee on army administration which sought to increase organizational efficiency. In this he was highly successful and in 1942 was appointed </w:t>
      </w:r>
      <w:r w:rsidR="00113092" w:rsidRPr="009D52DA">
        <w:rPr>
          <w:rFonts w:asciiTheme="majorHAnsi" w:hAnsiTheme="majorHAnsi"/>
          <w:sz w:val="20"/>
          <w:szCs w:val="20"/>
        </w:rPr>
        <w:t>Secretary of State for War</w:t>
      </w:r>
      <w:r w:rsidR="00966A7D" w:rsidRPr="009D52DA">
        <w:rPr>
          <w:rFonts w:asciiTheme="majorHAnsi" w:hAnsiTheme="majorHAnsi"/>
          <w:sz w:val="20"/>
          <w:szCs w:val="20"/>
        </w:rPr>
        <w:t xml:space="preserve"> by the Prime Minister, Winston Churchill</w:t>
      </w:r>
      <w:r w:rsidR="00113092" w:rsidRPr="009D52DA">
        <w:rPr>
          <w:rFonts w:asciiTheme="majorHAnsi" w:hAnsiTheme="majorHAnsi"/>
          <w:sz w:val="20"/>
          <w:szCs w:val="20"/>
        </w:rPr>
        <w:t>.</w:t>
      </w:r>
      <w:r w:rsidR="005A3937">
        <w:rPr>
          <w:rFonts w:asciiTheme="majorHAnsi" w:hAnsiTheme="majorHAnsi"/>
          <w:sz w:val="20"/>
          <w:szCs w:val="20"/>
        </w:rPr>
        <w:t xml:space="preserve"> B</w:t>
      </w:r>
      <w:r w:rsidR="00113092" w:rsidRPr="009D52DA">
        <w:rPr>
          <w:rFonts w:asciiTheme="majorHAnsi" w:hAnsiTheme="majorHAnsi"/>
          <w:sz w:val="20"/>
          <w:szCs w:val="20"/>
        </w:rPr>
        <w:t xml:space="preserve">riefly a Member of Parliament (1942-1945), </w:t>
      </w:r>
      <w:r w:rsidR="005A3937">
        <w:rPr>
          <w:rFonts w:asciiTheme="majorHAnsi" w:hAnsiTheme="majorHAnsi"/>
          <w:sz w:val="20"/>
          <w:szCs w:val="20"/>
        </w:rPr>
        <w:t xml:space="preserve">he </w:t>
      </w:r>
      <w:r w:rsidR="00113092" w:rsidRPr="009D52DA">
        <w:rPr>
          <w:rFonts w:asciiTheme="majorHAnsi" w:hAnsiTheme="majorHAnsi"/>
          <w:sz w:val="20"/>
          <w:szCs w:val="20"/>
        </w:rPr>
        <w:t>retired from public life after losing his seat</w:t>
      </w:r>
      <w:r w:rsidR="00966A7D" w:rsidRPr="009D52DA">
        <w:rPr>
          <w:rFonts w:asciiTheme="majorHAnsi" w:hAnsiTheme="majorHAnsi"/>
          <w:sz w:val="20"/>
          <w:szCs w:val="20"/>
        </w:rPr>
        <w:t>.</w:t>
      </w:r>
      <w:r w:rsidR="005938B7" w:rsidRPr="009D52DA">
        <w:rPr>
          <w:rFonts w:asciiTheme="majorHAnsi" w:hAnsiTheme="majorHAnsi"/>
          <w:sz w:val="20"/>
          <w:szCs w:val="20"/>
        </w:rPr>
        <w:t xml:space="preserve"> </w:t>
      </w:r>
      <w:r w:rsidR="00966A7D" w:rsidRPr="009D52DA">
        <w:rPr>
          <w:rFonts w:asciiTheme="majorHAnsi" w:hAnsiTheme="majorHAnsi"/>
          <w:sz w:val="20"/>
          <w:szCs w:val="20"/>
        </w:rPr>
        <w:t>He thereafter took up a number of commercial directorships and public appointments</w:t>
      </w:r>
      <w:r w:rsidR="005A3937">
        <w:rPr>
          <w:rFonts w:asciiTheme="majorHAnsi" w:hAnsiTheme="majorHAnsi"/>
          <w:sz w:val="20"/>
          <w:szCs w:val="20"/>
        </w:rPr>
        <w:t xml:space="preserve">, including a </w:t>
      </w:r>
      <w:r w:rsidR="00966A7D" w:rsidRPr="009D52DA">
        <w:rPr>
          <w:rFonts w:asciiTheme="majorHAnsi" w:hAnsiTheme="majorHAnsi"/>
          <w:sz w:val="20"/>
          <w:szCs w:val="20"/>
        </w:rPr>
        <w:t xml:space="preserve">role as the </w:t>
      </w:r>
      <w:r w:rsidR="00113092" w:rsidRPr="009D52DA">
        <w:rPr>
          <w:rFonts w:asciiTheme="majorHAnsi" w:hAnsiTheme="majorHAnsi"/>
          <w:sz w:val="20"/>
          <w:szCs w:val="20"/>
        </w:rPr>
        <w:t xml:space="preserve">first British executive director of the International Bank for Reconstruction and Development </w:t>
      </w:r>
      <w:r w:rsidR="00966A7D" w:rsidRPr="009D52DA">
        <w:rPr>
          <w:rFonts w:asciiTheme="majorHAnsi" w:hAnsiTheme="majorHAnsi"/>
          <w:sz w:val="20"/>
          <w:szCs w:val="20"/>
        </w:rPr>
        <w:t>in 1946</w:t>
      </w:r>
      <w:r w:rsidR="0009700D" w:rsidRPr="009D52DA">
        <w:rPr>
          <w:rFonts w:asciiTheme="majorHAnsi" w:hAnsiTheme="majorHAnsi"/>
          <w:sz w:val="20"/>
          <w:szCs w:val="20"/>
        </w:rPr>
        <w:t xml:space="preserve">. </w:t>
      </w:r>
      <w:r w:rsidR="005A3937">
        <w:rPr>
          <w:rFonts w:asciiTheme="majorHAnsi" w:hAnsiTheme="majorHAnsi"/>
          <w:sz w:val="20"/>
          <w:szCs w:val="20"/>
        </w:rPr>
        <w:t xml:space="preserve">His </w:t>
      </w:r>
      <w:r w:rsidR="000879AE">
        <w:rPr>
          <w:rFonts w:asciiTheme="majorHAnsi" w:hAnsiTheme="majorHAnsi"/>
          <w:sz w:val="20"/>
          <w:szCs w:val="20"/>
        </w:rPr>
        <w:t xml:space="preserve">appointment as </w:t>
      </w:r>
      <w:r w:rsidR="00966A7D" w:rsidRPr="009D52DA">
        <w:rPr>
          <w:rFonts w:asciiTheme="majorHAnsi" w:hAnsiTheme="majorHAnsi"/>
          <w:sz w:val="20"/>
          <w:szCs w:val="20"/>
        </w:rPr>
        <w:t>Chairm</w:t>
      </w:r>
      <w:r w:rsidR="000879AE">
        <w:rPr>
          <w:rFonts w:asciiTheme="majorHAnsi" w:hAnsiTheme="majorHAnsi"/>
          <w:sz w:val="20"/>
          <w:szCs w:val="20"/>
        </w:rPr>
        <w:t>an</w:t>
      </w:r>
      <w:r w:rsidR="00966A7D" w:rsidRPr="009D52DA">
        <w:rPr>
          <w:rFonts w:asciiTheme="majorHAnsi" w:hAnsiTheme="majorHAnsi"/>
          <w:sz w:val="20"/>
          <w:szCs w:val="20"/>
        </w:rPr>
        <w:t xml:space="preserve"> of the Committee on Departmental Records</w:t>
      </w:r>
      <w:r w:rsidR="000879AE">
        <w:rPr>
          <w:rFonts w:asciiTheme="majorHAnsi" w:hAnsiTheme="majorHAnsi"/>
          <w:sz w:val="20"/>
          <w:szCs w:val="20"/>
        </w:rPr>
        <w:t xml:space="preserve"> in 1952</w:t>
      </w:r>
      <w:r w:rsidR="00966A7D" w:rsidRPr="009D52DA">
        <w:rPr>
          <w:rFonts w:asciiTheme="majorHAnsi" w:hAnsiTheme="majorHAnsi"/>
          <w:sz w:val="20"/>
          <w:szCs w:val="20"/>
        </w:rPr>
        <w:t xml:space="preserve">, to which the </w:t>
      </w:r>
      <w:r w:rsidR="00966A7D" w:rsidRPr="005A3937">
        <w:rPr>
          <w:rFonts w:asciiTheme="majorHAnsi" w:hAnsiTheme="majorHAnsi"/>
          <w:i/>
          <w:sz w:val="20"/>
          <w:szCs w:val="20"/>
        </w:rPr>
        <w:t>DNB</w:t>
      </w:r>
      <w:r w:rsidR="00966A7D" w:rsidRPr="009D52DA">
        <w:rPr>
          <w:rFonts w:asciiTheme="majorHAnsi" w:hAnsiTheme="majorHAnsi"/>
          <w:sz w:val="20"/>
          <w:szCs w:val="20"/>
        </w:rPr>
        <w:t xml:space="preserve"> gives only passing reference, was one of his last public</w:t>
      </w:r>
      <w:r w:rsidR="005938B7" w:rsidRPr="009D52DA">
        <w:rPr>
          <w:rFonts w:asciiTheme="majorHAnsi" w:hAnsiTheme="majorHAnsi"/>
          <w:sz w:val="20"/>
          <w:szCs w:val="20"/>
        </w:rPr>
        <w:t xml:space="preserve"> </w:t>
      </w:r>
      <w:r w:rsidR="00966A7D" w:rsidRPr="009D52DA">
        <w:rPr>
          <w:rFonts w:asciiTheme="majorHAnsi" w:hAnsiTheme="majorHAnsi"/>
          <w:sz w:val="20"/>
          <w:szCs w:val="20"/>
        </w:rPr>
        <w:t>appointments.</w:t>
      </w:r>
      <w:r w:rsidR="005938B7" w:rsidRPr="009D52DA">
        <w:rPr>
          <w:rFonts w:asciiTheme="majorHAnsi" w:hAnsiTheme="majorHAnsi"/>
          <w:sz w:val="20"/>
          <w:szCs w:val="20"/>
        </w:rPr>
        <w:t xml:space="preserve"> </w:t>
      </w:r>
    </w:p>
    <w:p w:rsidR="007E385D" w:rsidRPr="009D52DA" w:rsidRDefault="000C2C99" w:rsidP="009F5544">
      <w:pPr>
        <w:ind w:firstLine="720"/>
        <w:rPr>
          <w:rFonts w:asciiTheme="majorHAnsi" w:hAnsiTheme="majorHAnsi"/>
          <w:sz w:val="20"/>
          <w:szCs w:val="20"/>
        </w:rPr>
      </w:pPr>
      <w:proofErr w:type="spellStart"/>
      <w:r w:rsidRPr="009D52DA">
        <w:rPr>
          <w:rFonts w:asciiTheme="majorHAnsi" w:hAnsiTheme="majorHAnsi"/>
          <w:sz w:val="20"/>
          <w:szCs w:val="20"/>
        </w:rPr>
        <w:t>Grigg</w:t>
      </w:r>
      <w:proofErr w:type="spellEnd"/>
      <w:r w:rsidRPr="009D52DA">
        <w:rPr>
          <w:rFonts w:asciiTheme="majorHAnsi" w:hAnsiTheme="majorHAnsi"/>
          <w:sz w:val="20"/>
          <w:szCs w:val="20"/>
        </w:rPr>
        <w:t xml:space="preserve"> </w:t>
      </w:r>
      <w:r w:rsidR="005A3937">
        <w:rPr>
          <w:rFonts w:asciiTheme="majorHAnsi" w:hAnsiTheme="majorHAnsi"/>
          <w:sz w:val="20"/>
          <w:szCs w:val="20"/>
        </w:rPr>
        <w:t>was</w:t>
      </w:r>
      <w:r w:rsidRPr="009D52DA">
        <w:rPr>
          <w:rFonts w:asciiTheme="majorHAnsi" w:hAnsiTheme="majorHAnsi"/>
          <w:sz w:val="20"/>
          <w:szCs w:val="20"/>
        </w:rPr>
        <w:t xml:space="preserve"> considered</w:t>
      </w:r>
      <w:r w:rsidR="00861ECD" w:rsidRPr="009D52DA">
        <w:rPr>
          <w:rFonts w:asciiTheme="majorHAnsi" w:hAnsiTheme="majorHAnsi"/>
          <w:sz w:val="20"/>
          <w:szCs w:val="20"/>
        </w:rPr>
        <w:t>,</w:t>
      </w:r>
      <w:r w:rsidRPr="009D52DA">
        <w:rPr>
          <w:rFonts w:asciiTheme="majorHAnsi" w:hAnsiTheme="majorHAnsi"/>
          <w:sz w:val="20"/>
          <w:szCs w:val="20"/>
        </w:rPr>
        <w:t xml:space="preserve"> </w:t>
      </w:r>
      <w:r w:rsidR="00861ECD" w:rsidRPr="009D52DA">
        <w:rPr>
          <w:rFonts w:asciiTheme="majorHAnsi" w:hAnsiTheme="majorHAnsi"/>
          <w:sz w:val="20"/>
          <w:szCs w:val="20"/>
        </w:rPr>
        <w:t xml:space="preserve">from his earliest years, at the Treasury </w:t>
      </w:r>
      <w:r w:rsidRPr="009D52DA">
        <w:rPr>
          <w:rFonts w:asciiTheme="majorHAnsi" w:hAnsiTheme="majorHAnsi"/>
          <w:sz w:val="20"/>
          <w:szCs w:val="20"/>
        </w:rPr>
        <w:t>“intolerant and arrogant,” a man who “undoubtedly prized competence and precision above tact and diplomacy”</w:t>
      </w:r>
      <w:r w:rsidR="000879AE">
        <w:rPr>
          <w:rFonts w:asciiTheme="majorHAnsi" w:hAnsiTheme="majorHAnsi"/>
          <w:sz w:val="20"/>
          <w:szCs w:val="20"/>
        </w:rPr>
        <w:t xml:space="preserve"> (</w:t>
      </w:r>
      <w:r w:rsidR="000879AE" w:rsidRPr="000879AE">
        <w:rPr>
          <w:rFonts w:asciiTheme="majorHAnsi" w:hAnsiTheme="majorHAnsi"/>
          <w:i/>
          <w:sz w:val="20"/>
          <w:szCs w:val="20"/>
        </w:rPr>
        <w:t>DNB</w:t>
      </w:r>
      <w:r w:rsidR="000879AE">
        <w:rPr>
          <w:rFonts w:asciiTheme="majorHAnsi" w:hAnsiTheme="majorHAnsi"/>
          <w:sz w:val="20"/>
          <w:szCs w:val="20"/>
        </w:rPr>
        <w:t>);</w:t>
      </w:r>
      <w:r w:rsidRPr="009D52DA">
        <w:rPr>
          <w:rFonts w:asciiTheme="majorHAnsi" w:hAnsiTheme="majorHAnsi"/>
          <w:sz w:val="20"/>
          <w:szCs w:val="20"/>
        </w:rPr>
        <w:t xml:space="preserve"> at the same time he was also regarded, not least by Churchill, as a man of exceptional ability and administrative gifts. </w:t>
      </w:r>
      <w:r w:rsidR="005A3937">
        <w:rPr>
          <w:rFonts w:asciiTheme="majorHAnsi" w:hAnsiTheme="majorHAnsi"/>
          <w:sz w:val="20"/>
          <w:szCs w:val="20"/>
        </w:rPr>
        <w:t>These characteristics,</w:t>
      </w:r>
      <w:r w:rsidR="000879AE">
        <w:rPr>
          <w:rFonts w:asciiTheme="majorHAnsi" w:hAnsiTheme="majorHAnsi"/>
          <w:sz w:val="20"/>
          <w:szCs w:val="20"/>
        </w:rPr>
        <w:t xml:space="preserve"> t</w:t>
      </w:r>
      <w:r w:rsidR="00861ECD" w:rsidRPr="009D52DA">
        <w:rPr>
          <w:rFonts w:asciiTheme="majorHAnsi" w:hAnsiTheme="majorHAnsi"/>
          <w:sz w:val="20"/>
          <w:szCs w:val="20"/>
        </w:rPr>
        <w:t>ogether with his close association with the</w:t>
      </w:r>
      <w:r w:rsidR="0009700D" w:rsidRPr="009D52DA">
        <w:rPr>
          <w:rFonts w:asciiTheme="majorHAnsi" w:hAnsiTheme="majorHAnsi"/>
          <w:sz w:val="20"/>
          <w:szCs w:val="20"/>
        </w:rPr>
        <w:t xml:space="preserve"> </w:t>
      </w:r>
      <w:r w:rsidR="00861ECD" w:rsidRPr="009D52DA">
        <w:rPr>
          <w:rFonts w:asciiTheme="majorHAnsi" w:hAnsiTheme="majorHAnsi"/>
          <w:sz w:val="20"/>
          <w:szCs w:val="20"/>
        </w:rPr>
        <w:t>Treasury</w:t>
      </w:r>
      <w:r w:rsidR="007E385D" w:rsidRPr="009D52DA">
        <w:rPr>
          <w:rFonts w:asciiTheme="majorHAnsi" w:hAnsiTheme="majorHAnsi"/>
          <w:sz w:val="20"/>
          <w:szCs w:val="20"/>
        </w:rPr>
        <w:t xml:space="preserve">, and </w:t>
      </w:r>
      <w:r w:rsidR="000879AE">
        <w:rPr>
          <w:rFonts w:asciiTheme="majorHAnsi" w:hAnsiTheme="majorHAnsi"/>
          <w:sz w:val="20"/>
          <w:szCs w:val="20"/>
        </w:rPr>
        <w:t>immersion</w:t>
      </w:r>
      <w:r w:rsidR="007E385D" w:rsidRPr="009D52DA">
        <w:rPr>
          <w:rFonts w:asciiTheme="majorHAnsi" w:hAnsiTheme="majorHAnsi"/>
          <w:sz w:val="20"/>
          <w:szCs w:val="20"/>
        </w:rPr>
        <w:t xml:space="preserve"> in the principles of Organisation and </w:t>
      </w:r>
      <w:r w:rsidR="009B7435" w:rsidRPr="009D52DA">
        <w:rPr>
          <w:rFonts w:asciiTheme="majorHAnsi" w:hAnsiTheme="majorHAnsi"/>
          <w:sz w:val="20"/>
          <w:szCs w:val="20"/>
        </w:rPr>
        <w:t>M</w:t>
      </w:r>
      <w:r w:rsidR="007E385D" w:rsidRPr="009D52DA">
        <w:rPr>
          <w:rFonts w:asciiTheme="majorHAnsi" w:hAnsiTheme="majorHAnsi"/>
          <w:sz w:val="20"/>
          <w:szCs w:val="20"/>
        </w:rPr>
        <w:t xml:space="preserve">ethods, </w:t>
      </w:r>
      <w:r w:rsidRPr="009D52DA">
        <w:rPr>
          <w:rFonts w:asciiTheme="majorHAnsi" w:hAnsiTheme="majorHAnsi"/>
          <w:sz w:val="20"/>
          <w:szCs w:val="20"/>
        </w:rPr>
        <w:t xml:space="preserve"> might be regarded as </w:t>
      </w:r>
      <w:r w:rsidR="00861ECD" w:rsidRPr="009D52DA">
        <w:rPr>
          <w:rFonts w:asciiTheme="majorHAnsi" w:hAnsiTheme="majorHAnsi"/>
          <w:sz w:val="20"/>
          <w:szCs w:val="20"/>
        </w:rPr>
        <w:t xml:space="preserve">inevitably </w:t>
      </w:r>
      <w:r w:rsidRPr="009D52DA">
        <w:rPr>
          <w:rFonts w:asciiTheme="majorHAnsi" w:hAnsiTheme="majorHAnsi"/>
          <w:sz w:val="20"/>
          <w:szCs w:val="20"/>
        </w:rPr>
        <w:t>putting him at odds with Sir Hilary Jenkinson</w:t>
      </w:r>
      <w:r w:rsidR="00EA07AA" w:rsidRPr="009D52DA">
        <w:rPr>
          <w:rFonts w:asciiTheme="majorHAnsi" w:hAnsiTheme="majorHAnsi"/>
          <w:sz w:val="20"/>
          <w:szCs w:val="20"/>
        </w:rPr>
        <w:t>,</w:t>
      </w:r>
      <w:r w:rsidR="0009700D" w:rsidRPr="009D52DA">
        <w:rPr>
          <w:rFonts w:asciiTheme="majorHAnsi" w:hAnsiTheme="majorHAnsi"/>
          <w:sz w:val="20"/>
          <w:szCs w:val="20"/>
        </w:rPr>
        <w:t xml:space="preserve"> </w:t>
      </w:r>
      <w:r w:rsidR="00EA07AA" w:rsidRPr="009D52DA">
        <w:rPr>
          <w:rFonts w:asciiTheme="majorHAnsi" w:hAnsiTheme="majorHAnsi"/>
          <w:sz w:val="20"/>
          <w:szCs w:val="20"/>
        </w:rPr>
        <w:t>then the Deputy Keeper (</w:t>
      </w:r>
      <w:r w:rsidR="00EA07AA" w:rsidRPr="009D52DA">
        <w:rPr>
          <w:rFonts w:asciiTheme="majorHAnsi" w:hAnsiTheme="majorHAnsi"/>
          <w:i/>
          <w:sz w:val="20"/>
          <w:szCs w:val="20"/>
        </w:rPr>
        <w:t>de facto</w:t>
      </w:r>
      <w:r w:rsidR="00EA07AA" w:rsidRPr="009D52DA">
        <w:rPr>
          <w:rFonts w:asciiTheme="majorHAnsi" w:hAnsiTheme="majorHAnsi"/>
          <w:sz w:val="20"/>
          <w:szCs w:val="20"/>
        </w:rPr>
        <w:t xml:space="preserve"> head) of the PRO</w:t>
      </w:r>
      <w:r w:rsidR="0097113E" w:rsidRPr="009D52DA">
        <w:rPr>
          <w:rFonts w:asciiTheme="majorHAnsi" w:hAnsiTheme="majorHAnsi"/>
          <w:sz w:val="20"/>
          <w:szCs w:val="20"/>
        </w:rPr>
        <w:t>, who was, and with some justification, regarded as</w:t>
      </w:r>
      <w:r w:rsidR="005A18C1" w:rsidRPr="009D52DA">
        <w:rPr>
          <w:rFonts w:asciiTheme="majorHAnsi" w:hAnsiTheme="majorHAnsi"/>
          <w:sz w:val="20"/>
          <w:szCs w:val="20"/>
        </w:rPr>
        <w:t xml:space="preserve"> arrogant, and </w:t>
      </w:r>
      <w:r w:rsidR="0097113E" w:rsidRPr="009D52DA">
        <w:rPr>
          <w:rFonts w:asciiTheme="majorHAnsi" w:hAnsiTheme="majorHAnsi"/>
          <w:sz w:val="20"/>
          <w:szCs w:val="20"/>
        </w:rPr>
        <w:t>difficult to deal</w:t>
      </w:r>
      <w:r w:rsidR="005A18C1" w:rsidRPr="009D52DA">
        <w:rPr>
          <w:rFonts w:asciiTheme="majorHAnsi" w:hAnsiTheme="majorHAnsi"/>
          <w:sz w:val="20"/>
          <w:szCs w:val="20"/>
        </w:rPr>
        <w:t xml:space="preserve"> with</w:t>
      </w:r>
      <w:r w:rsidR="0097113E" w:rsidRPr="009D52DA">
        <w:rPr>
          <w:rFonts w:asciiTheme="majorHAnsi" w:hAnsiTheme="majorHAnsi"/>
          <w:sz w:val="20"/>
          <w:szCs w:val="20"/>
        </w:rPr>
        <w:t>;</w:t>
      </w:r>
      <w:r w:rsidR="00891D48" w:rsidRPr="009D52DA">
        <w:rPr>
          <w:rFonts w:asciiTheme="majorHAnsi" w:hAnsiTheme="majorHAnsi"/>
          <w:sz w:val="20"/>
          <w:szCs w:val="20"/>
        </w:rPr>
        <w:t xml:space="preserve"> </w:t>
      </w:r>
      <w:r w:rsidR="005A18C1" w:rsidRPr="009D52DA">
        <w:rPr>
          <w:rFonts w:asciiTheme="majorHAnsi" w:hAnsiTheme="majorHAnsi"/>
          <w:sz w:val="20"/>
          <w:szCs w:val="20"/>
        </w:rPr>
        <w:t xml:space="preserve">in </w:t>
      </w:r>
      <w:r w:rsidR="00891D48" w:rsidRPr="009D52DA">
        <w:rPr>
          <w:rFonts w:asciiTheme="majorHAnsi" w:hAnsiTheme="majorHAnsi"/>
          <w:sz w:val="20"/>
          <w:szCs w:val="20"/>
        </w:rPr>
        <w:t>his</w:t>
      </w:r>
      <w:r w:rsidR="0097113E" w:rsidRPr="009D52DA">
        <w:rPr>
          <w:rFonts w:asciiTheme="majorHAnsi" w:hAnsiTheme="majorHAnsi"/>
          <w:sz w:val="20"/>
          <w:szCs w:val="20"/>
        </w:rPr>
        <w:t xml:space="preserve"> histo</w:t>
      </w:r>
      <w:r w:rsidR="00891D48" w:rsidRPr="009D52DA">
        <w:rPr>
          <w:rFonts w:asciiTheme="majorHAnsi" w:hAnsiTheme="majorHAnsi"/>
          <w:sz w:val="20"/>
          <w:szCs w:val="20"/>
        </w:rPr>
        <w:t>ry</w:t>
      </w:r>
      <w:r w:rsidR="0097113E" w:rsidRPr="009D52DA">
        <w:rPr>
          <w:rFonts w:asciiTheme="majorHAnsi" w:hAnsiTheme="majorHAnsi"/>
          <w:sz w:val="20"/>
          <w:szCs w:val="20"/>
        </w:rPr>
        <w:t xml:space="preserve"> of the O</w:t>
      </w:r>
      <w:r w:rsidR="009D52DA" w:rsidRPr="009D52DA">
        <w:rPr>
          <w:rFonts w:asciiTheme="majorHAnsi" w:hAnsiTheme="majorHAnsi"/>
          <w:sz w:val="20"/>
          <w:szCs w:val="20"/>
        </w:rPr>
        <w:t xml:space="preserve">ffice </w:t>
      </w:r>
      <w:r w:rsidR="00891D48" w:rsidRPr="009D52DA">
        <w:rPr>
          <w:rFonts w:asciiTheme="majorHAnsi" w:hAnsiTheme="majorHAnsi"/>
          <w:sz w:val="20"/>
          <w:szCs w:val="20"/>
        </w:rPr>
        <w:t xml:space="preserve"> (</w:t>
      </w:r>
      <w:r w:rsidR="00891D48" w:rsidRPr="009D52DA">
        <w:rPr>
          <w:rFonts w:asciiTheme="majorHAnsi" w:hAnsiTheme="majorHAnsi"/>
          <w:i/>
          <w:sz w:val="20"/>
          <w:szCs w:val="20"/>
        </w:rPr>
        <w:t>The Public Record Office 1838-1958</w:t>
      </w:r>
      <w:r w:rsidR="00891D48" w:rsidRPr="009D52DA">
        <w:rPr>
          <w:rFonts w:asciiTheme="majorHAnsi" w:hAnsiTheme="majorHAnsi"/>
          <w:sz w:val="20"/>
          <w:szCs w:val="20"/>
        </w:rPr>
        <w:t>, HMSO: London, 1991</w:t>
      </w:r>
      <w:r w:rsidR="009F5544" w:rsidRPr="009D52DA">
        <w:rPr>
          <w:rFonts w:asciiTheme="majorHAnsi" w:hAnsiTheme="majorHAnsi"/>
          <w:sz w:val="20"/>
          <w:szCs w:val="20"/>
        </w:rPr>
        <w:t>)</w:t>
      </w:r>
      <w:r w:rsidR="009F5544">
        <w:rPr>
          <w:rFonts w:asciiTheme="majorHAnsi" w:hAnsiTheme="majorHAnsi"/>
          <w:sz w:val="20"/>
          <w:szCs w:val="20"/>
        </w:rPr>
        <w:t xml:space="preserve"> </w:t>
      </w:r>
      <w:r w:rsidR="0097113E" w:rsidRPr="009D52DA">
        <w:rPr>
          <w:rFonts w:asciiTheme="majorHAnsi" w:hAnsiTheme="majorHAnsi"/>
          <w:sz w:val="20"/>
          <w:szCs w:val="20"/>
        </w:rPr>
        <w:t>John Cantwell</w:t>
      </w:r>
      <w:r w:rsidR="00891D48" w:rsidRPr="009D52DA">
        <w:rPr>
          <w:rFonts w:asciiTheme="majorHAnsi" w:hAnsiTheme="majorHAnsi"/>
          <w:sz w:val="20"/>
          <w:szCs w:val="20"/>
        </w:rPr>
        <w:t xml:space="preserve"> </w:t>
      </w:r>
      <w:r w:rsidR="0097113E" w:rsidRPr="009D52DA">
        <w:rPr>
          <w:rFonts w:asciiTheme="majorHAnsi" w:hAnsiTheme="majorHAnsi"/>
          <w:sz w:val="20"/>
          <w:szCs w:val="20"/>
        </w:rPr>
        <w:t xml:space="preserve">concluded that it </w:t>
      </w:r>
      <w:r w:rsidR="000879AE">
        <w:rPr>
          <w:rFonts w:asciiTheme="majorHAnsi" w:hAnsiTheme="majorHAnsi"/>
          <w:sz w:val="20"/>
          <w:szCs w:val="20"/>
        </w:rPr>
        <w:t>had been</w:t>
      </w:r>
      <w:r w:rsidR="0097113E" w:rsidRPr="009D52DA">
        <w:rPr>
          <w:rFonts w:asciiTheme="majorHAnsi" w:hAnsiTheme="majorHAnsi"/>
          <w:sz w:val="20"/>
          <w:szCs w:val="20"/>
        </w:rPr>
        <w:t xml:space="preserve"> </w:t>
      </w:r>
      <w:r w:rsidR="00891D48" w:rsidRPr="009D52DA">
        <w:rPr>
          <w:rFonts w:asciiTheme="majorHAnsi" w:hAnsiTheme="majorHAnsi"/>
          <w:sz w:val="20"/>
          <w:szCs w:val="20"/>
        </w:rPr>
        <w:t xml:space="preserve">Jenkinson’s </w:t>
      </w:r>
      <w:r w:rsidR="0097113E" w:rsidRPr="009D52DA">
        <w:rPr>
          <w:rFonts w:asciiTheme="majorHAnsi" w:hAnsiTheme="majorHAnsi"/>
          <w:sz w:val="20"/>
          <w:szCs w:val="20"/>
        </w:rPr>
        <w:t xml:space="preserve">“unwise assertion of his own </w:t>
      </w:r>
      <w:r w:rsidR="0097113E" w:rsidRPr="009D52DA">
        <w:rPr>
          <w:rFonts w:asciiTheme="majorHAnsi" w:hAnsiTheme="majorHAnsi"/>
          <w:sz w:val="20"/>
          <w:szCs w:val="20"/>
        </w:rPr>
        <w:lastRenderedPageBreak/>
        <w:t>supremacy” which drew the attention</w:t>
      </w:r>
      <w:r w:rsidR="000879AE">
        <w:rPr>
          <w:rFonts w:asciiTheme="majorHAnsi" w:hAnsiTheme="majorHAnsi"/>
          <w:sz w:val="20"/>
          <w:szCs w:val="20"/>
        </w:rPr>
        <w:t xml:space="preserve"> </w:t>
      </w:r>
      <w:r w:rsidR="0097113E" w:rsidRPr="009D52DA">
        <w:rPr>
          <w:rFonts w:asciiTheme="majorHAnsi" w:hAnsiTheme="majorHAnsi"/>
          <w:sz w:val="20"/>
          <w:szCs w:val="20"/>
        </w:rPr>
        <w:t>of the Treasury to the need for structural reform at the Office</w:t>
      </w:r>
      <w:r w:rsidR="00891D48" w:rsidRPr="009D52DA">
        <w:rPr>
          <w:rFonts w:asciiTheme="majorHAnsi" w:hAnsiTheme="majorHAnsi"/>
          <w:sz w:val="20"/>
          <w:szCs w:val="20"/>
        </w:rPr>
        <w:t xml:space="preserve"> </w:t>
      </w:r>
      <w:r w:rsidR="0097113E" w:rsidRPr="009D52DA">
        <w:rPr>
          <w:rFonts w:asciiTheme="majorHAnsi" w:hAnsiTheme="majorHAnsi"/>
          <w:sz w:val="20"/>
          <w:szCs w:val="20"/>
        </w:rPr>
        <w:t xml:space="preserve">as well as within the systems for managing departmental records. </w:t>
      </w:r>
    </w:p>
    <w:p w:rsidR="00765B02" w:rsidRPr="009D52DA" w:rsidRDefault="0097113E" w:rsidP="009F5544">
      <w:pPr>
        <w:ind w:firstLine="720"/>
        <w:rPr>
          <w:rFonts w:asciiTheme="majorHAnsi" w:hAnsiTheme="majorHAnsi"/>
          <w:sz w:val="20"/>
          <w:szCs w:val="20"/>
        </w:rPr>
      </w:pPr>
      <w:r w:rsidRPr="009D52DA">
        <w:rPr>
          <w:rFonts w:asciiTheme="majorHAnsi" w:hAnsiTheme="majorHAnsi"/>
          <w:sz w:val="20"/>
          <w:szCs w:val="20"/>
        </w:rPr>
        <w:t xml:space="preserve">While the </w:t>
      </w:r>
      <w:r w:rsidR="00F34986" w:rsidRPr="009D52DA">
        <w:rPr>
          <w:rFonts w:asciiTheme="majorHAnsi" w:hAnsiTheme="majorHAnsi"/>
          <w:sz w:val="20"/>
          <w:szCs w:val="20"/>
        </w:rPr>
        <w:t>establishment of th</w:t>
      </w:r>
      <w:r w:rsidR="00DB1EC3" w:rsidRPr="009D52DA">
        <w:rPr>
          <w:rFonts w:asciiTheme="majorHAnsi" w:hAnsiTheme="majorHAnsi"/>
          <w:sz w:val="20"/>
          <w:szCs w:val="20"/>
        </w:rPr>
        <w:t>at</w:t>
      </w:r>
      <w:r w:rsidR="00F34986" w:rsidRPr="009D52DA">
        <w:rPr>
          <w:rFonts w:asciiTheme="majorHAnsi" w:hAnsiTheme="majorHAnsi"/>
          <w:sz w:val="20"/>
          <w:szCs w:val="20"/>
        </w:rPr>
        <w:t xml:space="preserve"> Committee</w:t>
      </w:r>
      <w:r w:rsidR="00DB1EC3" w:rsidRPr="009D52DA">
        <w:rPr>
          <w:rFonts w:asciiTheme="majorHAnsi" w:hAnsiTheme="majorHAnsi"/>
          <w:sz w:val="20"/>
          <w:szCs w:val="20"/>
        </w:rPr>
        <w:t>, at the instigation</w:t>
      </w:r>
      <w:r w:rsidR="00EF0250" w:rsidRPr="009D52DA">
        <w:rPr>
          <w:rFonts w:asciiTheme="majorHAnsi" w:hAnsiTheme="majorHAnsi"/>
          <w:sz w:val="20"/>
          <w:szCs w:val="20"/>
        </w:rPr>
        <w:t xml:space="preserve"> </w:t>
      </w:r>
      <w:r w:rsidR="009B7435" w:rsidRPr="009D52DA">
        <w:rPr>
          <w:rFonts w:asciiTheme="majorHAnsi" w:hAnsiTheme="majorHAnsi"/>
          <w:sz w:val="20"/>
          <w:szCs w:val="20"/>
        </w:rPr>
        <w:t>of</w:t>
      </w:r>
      <w:r w:rsidR="00DB1EC3" w:rsidRPr="009D52DA">
        <w:rPr>
          <w:rFonts w:asciiTheme="majorHAnsi" w:hAnsiTheme="majorHAnsi"/>
          <w:sz w:val="20"/>
          <w:szCs w:val="20"/>
        </w:rPr>
        <w:t xml:space="preserve"> the Treasury,</w:t>
      </w:r>
      <w:r w:rsidR="00EF0250" w:rsidRPr="009D52DA">
        <w:rPr>
          <w:rFonts w:asciiTheme="majorHAnsi" w:hAnsiTheme="majorHAnsi"/>
          <w:sz w:val="20"/>
          <w:szCs w:val="20"/>
        </w:rPr>
        <w:t xml:space="preserve"> </w:t>
      </w:r>
      <w:r w:rsidR="0009700D" w:rsidRPr="009D52DA">
        <w:rPr>
          <w:rFonts w:asciiTheme="majorHAnsi" w:hAnsiTheme="majorHAnsi"/>
          <w:sz w:val="20"/>
          <w:szCs w:val="20"/>
        </w:rPr>
        <w:t xml:space="preserve">was driven </w:t>
      </w:r>
      <w:r w:rsidR="009B7435" w:rsidRPr="009D52DA">
        <w:rPr>
          <w:rFonts w:asciiTheme="majorHAnsi" w:hAnsiTheme="majorHAnsi"/>
          <w:sz w:val="20"/>
          <w:szCs w:val="20"/>
        </w:rPr>
        <w:t xml:space="preserve">both by the </w:t>
      </w:r>
      <w:r w:rsidR="0009700D" w:rsidRPr="009D52DA">
        <w:rPr>
          <w:rFonts w:asciiTheme="majorHAnsi" w:hAnsiTheme="majorHAnsi"/>
          <w:sz w:val="20"/>
          <w:szCs w:val="20"/>
        </w:rPr>
        <w:t xml:space="preserve">ever-increasing </w:t>
      </w:r>
      <w:r w:rsidRPr="009D52DA">
        <w:rPr>
          <w:rFonts w:asciiTheme="majorHAnsi" w:hAnsiTheme="majorHAnsi"/>
          <w:sz w:val="20"/>
          <w:szCs w:val="20"/>
        </w:rPr>
        <w:t xml:space="preserve">production, and thus </w:t>
      </w:r>
      <w:r w:rsidR="0009700D" w:rsidRPr="009D52DA">
        <w:rPr>
          <w:rFonts w:asciiTheme="majorHAnsi" w:hAnsiTheme="majorHAnsi"/>
          <w:sz w:val="20"/>
          <w:szCs w:val="20"/>
        </w:rPr>
        <w:t>cost</w:t>
      </w:r>
      <w:r w:rsidR="009E3C85" w:rsidRPr="009D52DA">
        <w:rPr>
          <w:rFonts w:asciiTheme="majorHAnsi" w:hAnsiTheme="majorHAnsi"/>
          <w:sz w:val="20"/>
          <w:szCs w:val="20"/>
        </w:rPr>
        <w:t xml:space="preserve"> of</w:t>
      </w:r>
      <w:r w:rsidR="0009700D" w:rsidRPr="009D52DA">
        <w:rPr>
          <w:rFonts w:asciiTheme="majorHAnsi" w:hAnsiTheme="majorHAnsi"/>
          <w:sz w:val="20"/>
          <w:szCs w:val="20"/>
        </w:rPr>
        <w:t xml:space="preserve"> maintaining </w:t>
      </w:r>
      <w:r w:rsidRPr="009D52DA">
        <w:rPr>
          <w:rFonts w:asciiTheme="majorHAnsi" w:hAnsiTheme="majorHAnsi"/>
          <w:sz w:val="20"/>
          <w:szCs w:val="20"/>
        </w:rPr>
        <w:t xml:space="preserve">those </w:t>
      </w:r>
      <w:r w:rsidR="0009700D" w:rsidRPr="009D52DA">
        <w:rPr>
          <w:rFonts w:asciiTheme="majorHAnsi" w:hAnsiTheme="majorHAnsi"/>
          <w:sz w:val="20"/>
          <w:szCs w:val="20"/>
        </w:rPr>
        <w:t>records</w:t>
      </w:r>
      <w:r w:rsidR="00725244" w:rsidRPr="009D52DA">
        <w:rPr>
          <w:rFonts w:asciiTheme="majorHAnsi" w:hAnsiTheme="majorHAnsi"/>
          <w:sz w:val="20"/>
          <w:szCs w:val="20"/>
        </w:rPr>
        <w:t xml:space="preserve">, </w:t>
      </w:r>
      <w:r w:rsidR="009D52DA" w:rsidRPr="009D52DA">
        <w:rPr>
          <w:rFonts w:asciiTheme="majorHAnsi" w:hAnsiTheme="majorHAnsi"/>
          <w:sz w:val="20"/>
          <w:szCs w:val="20"/>
        </w:rPr>
        <w:t xml:space="preserve">both </w:t>
      </w:r>
      <w:r w:rsidR="00725244" w:rsidRPr="009D52DA">
        <w:rPr>
          <w:rFonts w:asciiTheme="majorHAnsi" w:hAnsiTheme="majorHAnsi"/>
          <w:sz w:val="20"/>
          <w:szCs w:val="20"/>
        </w:rPr>
        <w:t>in departments and then</w:t>
      </w:r>
      <w:r w:rsidR="000879AE">
        <w:rPr>
          <w:rFonts w:asciiTheme="majorHAnsi" w:hAnsiTheme="majorHAnsi"/>
          <w:sz w:val="20"/>
          <w:szCs w:val="20"/>
        </w:rPr>
        <w:t xml:space="preserve"> </w:t>
      </w:r>
      <w:r w:rsidR="00725244" w:rsidRPr="009D52DA">
        <w:rPr>
          <w:rFonts w:asciiTheme="majorHAnsi" w:hAnsiTheme="majorHAnsi"/>
          <w:sz w:val="20"/>
          <w:szCs w:val="20"/>
        </w:rPr>
        <w:t>subsequently</w:t>
      </w:r>
      <w:r w:rsidR="009D52DA" w:rsidRPr="009D52DA">
        <w:rPr>
          <w:rFonts w:asciiTheme="majorHAnsi" w:hAnsiTheme="majorHAnsi"/>
          <w:sz w:val="20"/>
          <w:szCs w:val="20"/>
        </w:rPr>
        <w:t xml:space="preserve">, </w:t>
      </w:r>
      <w:r w:rsidR="00725244" w:rsidRPr="009D52DA">
        <w:rPr>
          <w:rFonts w:asciiTheme="majorHAnsi" w:hAnsiTheme="majorHAnsi"/>
          <w:sz w:val="20"/>
          <w:szCs w:val="20"/>
        </w:rPr>
        <w:t>in the PRO</w:t>
      </w:r>
      <w:r w:rsidR="009B7435" w:rsidRPr="009D52DA">
        <w:rPr>
          <w:rFonts w:asciiTheme="majorHAnsi" w:hAnsiTheme="majorHAnsi"/>
          <w:sz w:val="20"/>
          <w:szCs w:val="20"/>
        </w:rPr>
        <w:t xml:space="preserve">, </w:t>
      </w:r>
      <w:r w:rsidRPr="009D52DA">
        <w:rPr>
          <w:rFonts w:asciiTheme="majorHAnsi" w:hAnsiTheme="majorHAnsi"/>
          <w:sz w:val="20"/>
          <w:szCs w:val="20"/>
        </w:rPr>
        <w:t xml:space="preserve">there was also concern in the </w:t>
      </w:r>
      <w:r w:rsidR="009B7435" w:rsidRPr="009D52DA">
        <w:rPr>
          <w:rFonts w:asciiTheme="majorHAnsi" w:hAnsiTheme="majorHAnsi"/>
          <w:sz w:val="20"/>
          <w:szCs w:val="20"/>
        </w:rPr>
        <w:t>Cabinet Office</w:t>
      </w:r>
      <w:r w:rsidRPr="009D52DA">
        <w:rPr>
          <w:rFonts w:asciiTheme="majorHAnsi" w:hAnsiTheme="majorHAnsi"/>
          <w:sz w:val="20"/>
          <w:szCs w:val="20"/>
        </w:rPr>
        <w:t xml:space="preserve"> </w:t>
      </w:r>
      <w:r w:rsidR="009B7435" w:rsidRPr="009D52DA">
        <w:rPr>
          <w:rFonts w:asciiTheme="majorHAnsi" w:hAnsiTheme="majorHAnsi"/>
          <w:sz w:val="20"/>
          <w:szCs w:val="20"/>
        </w:rPr>
        <w:t xml:space="preserve">that the </w:t>
      </w:r>
      <w:r w:rsidR="000879AE">
        <w:rPr>
          <w:rFonts w:asciiTheme="majorHAnsi" w:hAnsiTheme="majorHAnsi"/>
          <w:sz w:val="20"/>
          <w:szCs w:val="20"/>
        </w:rPr>
        <w:t xml:space="preserve">provisions currently in force </w:t>
      </w:r>
      <w:r w:rsidR="009B7435" w:rsidRPr="009D52DA">
        <w:rPr>
          <w:rFonts w:asciiTheme="majorHAnsi" w:hAnsiTheme="majorHAnsi"/>
          <w:sz w:val="20"/>
          <w:szCs w:val="20"/>
        </w:rPr>
        <w:t>were insufficient to ensure the preservation of records of historical</w:t>
      </w:r>
      <w:r w:rsidR="005A18C1" w:rsidRPr="009D52DA">
        <w:rPr>
          <w:rFonts w:asciiTheme="majorHAnsi" w:hAnsiTheme="majorHAnsi"/>
          <w:sz w:val="20"/>
          <w:szCs w:val="20"/>
        </w:rPr>
        <w:t xml:space="preserve"> </w:t>
      </w:r>
      <w:r w:rsidRPr="009D52DA">
        <w:rPr>
          <w:rFonts w:asciiTheme="majorHAnsi" w:hAnsiTheme="majorHAnsi"/>
          <w:sz w:val="20"/>
          <w:szCs w:val="20"/>
        </w:rPr>
        <w:t>value</w:t>
      </w:r>
      <w:r w:rsidR="009B7435" w:rsidRPr="009D52DA">
        <w:rPr>
          <w:rFonts w:asciiTheme="majorHAnsi" w:hAnsiTheme="majorHAnsi"/>
          <w:sz w:val="20"/>
          <w:szCs w:val="20"/>
        </w:rPr>
        <w:t xml:space="preserve">. </w:t>
      </w:r>
      <w:r w:rsidR="00765B02" w:rsidRPr="009D52DA">
        <w:rPr>
          <w:rFonts w:asciiTheme="majorHAnsi" w:hAnsiTheme="majorHAnsi"/>
          <w:sz w:val="20"/>
          <w:szCs w:val="20"/>
        </w:rPr>
        <w:t xml:space="preserve"> The terms of reference of the Committee were, </w:t>
      </w:r>
      <w:r w:rsidR="000879AE">
        <w:rPr>
          <w:rFonts w:asciiTheme="majorHAnsi" w:hAnsiTheme="majorHAnsi"/>
          <w:sz w:val="20"/>
          <w:szCs w:val="20"/>
        </w:rPr>
        <w:t xml:space="preserve">therefore, </w:t>
      </w:r>
      <w:r w:rsidR="00765B02" w:rsidRPr="009D52DA">
        <w:rPr>
          <w:rFonts w:asciiTheme="majorHAnsi" w:hAnsiTheme="majorHAnsi"/>
          <w:sz w:val="20"/>
          <w:szCs w:val="20"/>
        </w:rPr>
        <w:t>“to review the arrangements for the preservation of the records of Government Departments … in the light of the rate at which they are accumulating and of the purposes which they are intended to serve; and to make recommendations as to the changes, if any, in law and practice which are required.”</w:t>
      </w:r>
    </w:p>
    <w:p w:rsidR="0097113E" w:rsidRPr="009D52DA" w:rsidRDefault="0097113E" w:rsidP="009F5544">
      <w:pPr>
        <w:ind w:firstLine="720"/>
        <w:rPr>
          <w:rFonts w:asciiTheme="majorHAnsi" w:hAnsiTheme="majorHAnsi"/>
          <w:sz w:val="20"/>
          <w:szCs w:val="20"/>
        </w:rPr>
      </w:pPr>
      <w:r w:rsidRPr="009D52DA">
        <w:rPr>
          <w:rFonts w:asciiTheme="majorHAnsi" w:hAnsiTheme="majorHAnsi"/>
          <w:sz w:val="20"/>
          <w:szCs w:val="20"/>
        </w:rPr>
        <w:t xml:space="preserve">The situation that the Committee was called on to address was, to some extent, caused by the statutory role of the PRO, </w:t>
      </w:r>
      <w:r w:rsidR="00E9625E">
        <w:rPr>
          <w:rFonts w:asciiTheme="majorHAnsi" w:hAnsiTheme="majorHAnsi"/>
          <w:sz w:val="20"/>
          <w:szCs w:val="20"/>
        </w:rPr>
        <w:t>and more specifically</w:t>
      </w:r>
      <w:r w:rsidRPr="009D52DA">
        <w:rPr>
          <w:rFonts w:asciiTheme="majorHAnsi" w:hAnsiTheme="majorHAnsi"/>
          <w:sz w:val="20"/>
          <w:szCs w:val="20"/>
        </w:rPr>
        <w:t xml:space="preserve"> by the provisions of the two </w:t>
      </w:r>
      <w:r w:rsidR="00E9625E">
        <w:rPr>
          <w:rFonts w:asciiTheme="majorHAnsi" w:hAnsiTheme="majorHAnsi"/>
          <w:sz w:val="20"/>
          <w:szCs w:val="20"/>
        </w:rPr>
        <w:t>A</w:t>
      </w:r>
      <w:r w:rsidRPr="009D52DA">
        <w:rPr>
          <w:rFonts w:asciiTheme="majorHAnsi" w:hAnsiTheme="majorHAnsi"/>
          <w:sz w:val="20"/>
          <w:szCs w:val="20"/>
        </w:rPr>
        <w:t>cts which provided the mechanisms for selection</w:t>
      </w:r>
      <w:r w:rsidR="00E9625E">
        <w:rPr>
          <w:rFonts w:asciiTheme="majorHAnsi" w:hAnsiTheme="majorHAnsi"/>
          <w:sz w:val="20"/>
          <w:szCs w:val="20"/>
        </w:rPr>
        <w:t xml:space="preserve"> of records as archives</w:t>
      </w:r>
      <w:r w:rsidRPr="009D52DA">
        <w:rPr>
          <w:rFonts w:asciiTheme="majorHAnsi" w:hAnsiTheme="majorHAnsi"/>
          <w:sz w:val="20"/>
          <w:szCs w:val="20"/>
        </w:rPr>
        <w:t xml:space="preserve">. Established by the </w:t>
      </w:r>
      <w:r w:rsidRPr="00E9625E">
        <w:rPr>
          <w:rFonts w:asciiTheme="majorHAnsi" w:hAnsiTheme="majorHAnsi"/>
          <w:sz w:val="20"/>
          <w:szCs w:val="20"/>
        </w:rPr>
        <w:t>Public Record Office Act 1838</w:t>
      </w:r>
      <w:r w:rsidRPr="009D52DA">
        <w:rPr>
          <w:rFonts w:asciiTheme="majorHAnsi" w:hAnsiTheme="majorHAnsi"/>
          <w:sz w:val="20"/>
          <w:szCs w:val="20"/>
        </w:rPr>
        <w:t xml:space="preserve">, the PRO had twin functions, to serve as the institutional repository for government, particularly </w:t>
      </w:r>
      <w:r w:rsidR="00E9625E">
        <w:rPr>
          <w:rFonts w:asciiTheme="majorHAnsi" w:hAnsiTheme="majorHAnsi"/>
          <w:sz w:val="20"/>
          <w:szCs w:val="20"/>
        </w:rPr>
        <w:t>for its legal records</w:t>
      </w:r>
      <w:r w:rsidRPr="009D52DA">
        <w:rPr>
          <w:rFonts w:asciiTheme="majorHAnsi" w:hAnsiTheme="majorHAnsi"/>
          <w:sz w:val="20"/>
          <w:szCs w:val="20"/>
        </w:rPr>
        <w:t>, and as a resource for research into</w:t>
      </w:r>
      <w:r w:rsidR="00E9625E">
        <w:rPr>
          <w:rFonts w:asciiTheme="majorHAnsi" w:hAnsiTheme="majorHAnsi"/>
          <w:sz w:val="20"/>
          <w:szCs w:val="20"/>
        </w:rPr>
        <w:t>,</w:t>
      </w:r>
      <w:r w:rsidRPr="009D52DA">
        <w:rPr>
          <w:rFonts w:asciiTheme="majorHAnsi" w:hAnsiTheme="majorHAnsi"/>
          <w:sz w:val="20"/>
          <w:szCs w:val="20"/>
        </w:rPr>
        <w:t xml:space="preserve"> and production of</w:t>
      </w:r>
      <w:r w:rsidR="00E9625E">
        <w:rPr>
          <w:rFonts w:asciiTheme="majorHAnsi" w:hAnsiTheme="majorHAnsi"/>
          <w:sz w:val="20"/>
          <w:szCs w:val="20"/>
        </w:rPr>
        <w:t>,</w:t>
      </w:r>
      <w:r w:rsidRPr="009D52DA">
        <w:rPr>
          <w:rFonts w:asciiTheme="majorHAnsi" w:hAnsiTheme="majorHAnsi"/>
          <w:sz w:val="20"/>
          <w:szCs w:val="20"/>
        </w:rPr>
        <w:t xml:space="preserve"> the national story, in the grand tradition of nineteenth century historicism. In the latter case, it was (as </w:t>
      </w:r>
      <w:proofErr w:type="gramStart"/>
      <w:r w:rsidRPr="009D52DA">
        <w:rPr>
          <w:rFonts w:asciiTheme="majorHAnsi" w:hAnsiTheme="majorHAnsi"/>
          <w:sz w:val="20"/>
          <w:szCs w:val="20"/>
        </w:rPr>
        <w:t>a</w:t>
      </w:r>
      <w:proofErr w:type="gramEnd"/>
      <w:r w:rsidRPr="009D52DA">
        <w:rPr>
          <w:rFonts w:asciiTheme="majorHAnsi" w:hAnsiTheme="majorHAnsi"/>
          <w:sz w:val="20"/>
          <w:szCs w:val="20"/>
        </w:rPr>
        <w:t xml:space="preserve"> 1852 </w:t>
      </w:r>
      <w:r w:rsidR="00891D48" w:rsidRPr="009D52DA">
        <w:rPr>
          <w:rFonts w:asciiTheme="majorHAnsi" w:hAnsiTheme="majorHAnsi"/>
          <w:sz w:val="20"/>
          <w:szCs w:val="20"/>
        </w:rPr>
        <w:t>O</w:t>
      </w:r>
      <w:r w:rsidRPr="009D52DA">
        <w:rPr>
          <w:rFonts w:asciiTheme="majorHAnsi" w:hAnsiTheme="majorHAnsi"/>
          <w:sz w:val="20"/>
          <w:szCs w:val="20"/>
        </w:rPr>
        <w:t>rder</w:t>
      </w:r>
      <w:r w:rsidR="009D52DA" w:rsidRPr="009D52DA">
        <w:rPr>
          <w:rFonts w:asciiTheme="majorHAnsi" w:hAnsiTheme="majorHAnsi"/>
          <w:sz w:val="20"/>
          <w:szCs w:val="20"/>
        </w:rPr>
        <w:t>-</w:t>
      </w:r>
      <w:r w:rsidRPr="009D52DA">
        <w:rPr>
          <w:rFonts w:asciiTheme="majorHAnsi" w:hAnsiTheme="majorHAnsi"/>
          <w:sz w:val="20"/>
          <w:szCs w:val="20"/>
        </w:rPr>
        <w:t>in</w:t>
      </w:r>
      <w:r w:rsidR="009D52DA" w:rsidRPr="009D52DA">
        <w:rPr>
          <w:rFonts w:asciiTheme="majorHAnsi" w:hAnsiTheme="majorHAnsi"/>
          <w:sz w:val="20"/>
          <w:szCs w:val="20"/>
        </w:rPr>
        <w:t>-</w:t>
      </w:r>
      <w:r w:rsidRPr="009D52DA">
        <w:rPr>
          <w:rFonts w:asciiTheme="majorHAnsi" w:hAnsiTheme="majorHAnsi"/>
          <w:sz w:val="20"/>
          <w:szCs w:val="20"/>
        </w:rPr>
        <w:t>Council confirmed) responsible for the preservation of</w:t>
      </w:r>
      <w:r w:rsidR="003E07BB">
        <w:rPr>
          <w:rFonts w:asciiTheme="majorHAnsi" w:hAnsiTheme="majorHAnsi"/>
          <w:sz w:val="20"/>
          <w:szCs w:val="20"/>
        </w:rPr>
        <w:t xml:space="preserve"> </w:t>
      </w:r>
      <w:r w:rsidRPr="009D52DA">
        <w:rPr>
          <w:rFonts w:asciiTheme="majorHAnsi" w:hAnsiTheme="majorHAnsi"/>
          <w:sz w:val="20"/>
          <w:szCs w:val="20"/>
        </w:rPr>
        <w:t xml:space="preserve">records considered </w:t>
      </w:r>
      <w:r w:rsidR="00E9625E">
        <w:rPr>
          <w:rFonts w:asciiTheme="majorHAnsi" w:hAnsiTheme="majorHAnsi"/>
          <w:sz w:val="20"/>
          <w:szCs w:val="20"/>
        </w:rPr>
        <w:t>to have</w:t>
      </w:r>
      <w:r w:rsidRPr="009D52DA">
        <w:rPr>
          <w:rFonts w:asciiTheme="majorHAnsi" w:hAnsiTheme="majorHAnsi"/>
          <w:sz w:val="20"/>
          <w:szCs w:val="20"/>
        </w:rPr>
        <w:t xml:space="preserve"> historical value, </w:t>
      </w:r>
      <w:r w:rsidR="003E07BB">
        <w:rPr>
          <w:rFonts w:asciiTheme="majorHAnsi" w:hAnsiTheme="majorHAnsi"/>
          <w:sz w:val="20"/>
          <w:szCs w:val="20"/>
        </w:rPr>
        <w:t xml:space="preserve">including the administrative records of departments of state. </w:t>
      </w:r>
      <w:r w:rsidRPr="009D52DA">
        <w:rPr>
          <w:rFonts w:asciiTheme="majorHAnsi" w:hAnsiTheme="majorHAnsi"/>
          <w:sz w:val="20"/>
          <w:szCs w:val="20"/>
        </w:rPr>
        <w:t xml:space="preserve"> Historical value was not always easy to recognise or agree upon; </w:t>
      </w:r>
      <w:r w:rsidR="003E07BB">
        <w:rPr>
          <w:rFonts w:asciiTheme="majorHAnsi" w:hAnsiTheme="majorHAnsi"/>
          <w:sz w:val="20"/>
          <w:szCs w:val="20"/>
        </w:rPr>
        <w:t xml:space="preserve">and </w:t>
      </w:r>
      <w:r w:rsidRPr="009D52DA">
        <w:rPr>
          <w:rFonts w:asciiTheme="majorHAnsi" w:hAnsiTheme="majorHAnsi"/>
          <w:sz w:val="20"/>
          <w:szCs w:val="20"/>
        </w:rPr>
        <w:t>while some Departments refused to part with records already hundreds of years old, others were delighted to use the PRO as a convenient dumping ground.  The impossibility of running an</w:t>
      </w:r>
      <w:r w:rsidR="003E07BB">
        <w:rPr>
          <w:rFonts w:asciiTheme="majorHAnsi" w:hAnsiTheme="majorHAnsi"/>
          <w:sz w:val="20"/>
          <w:szCs w:val="20"/>
        </w:rPr>
        <w:t xml:space="preserve"> </w:t>
      </w:r>
      <w:r w:rsidRPr="009D52DA">
        <w:rPr>
          <w:rFonts w:asciiTheme="majorHAnsi" w:hAnsiTheme="majorHAnsi"/>
          <w:sz w:val="20"/>
          <w:szCs w:val="20"/>
        </w:rPr>
        <w:t xml:space="preserve">archives without some kind of formal selection mechanism, already evident in </w:t>
      </w:r>
      <w:proofErr w:type="gramStart"/>
      <w:r w:rsidRPr="009D52DA">
        <w:rPr>
          <w:rFonts w:asciiTheme="majorHAnsi" w:hAnsiTheme="majorHAnsi"/>
          <w:sz w:val="20"/>
          <w:szCs w:val="20"/>
        </w:rPr>
        <w:t>1838  (</w:t>
      </w:r>
      <w:proofErr w:type="gramEnd"/>
      <w:r w:rsidRPr="009D52DA">
        <w:rPr>
          <w:rFonts w:asciiTheme="majorHAnsi" w:hAnsiTheme="majorHAnsi"/>
          <w:sz w:val="20"/>
          <w:szCs w:val="20"/>
        </w:rPr>
        <w:t xml:space="preserve">and critical from 1858, when the Treasury rejected a </w:t>
      </w:r>
      <w:r w:rsidR="00826D79">
        <w:rPr>
          <w:rFonts w:asciiTheme="majorHAnsi" w:hAnsiTheme="majorHAnsi"/>
          <w:sz w:val="20"/>
          <w:szCs w:val="20"/>
        </w:rPr>
        <w:t>plan to build a</w:t>
      </w:r>
      <w:r w:rsidRPr="009D52DA">
        <w:rPr>
          <w:rFonts w:asciiTheme="majorHAnsi" w:hAnsiTheme="majorHAnsi"/>
          <w:sz w:val="20"/>
          <w:szCs w:val="20"/>
        </w:rPr>
        <w:t xml:space="preserve"> new wing for the Office) was eventually recognised by the </w:t>
      </w:r>
      <w:r w:rsidRPr="00826D79">
        <w:rPr>
          <w:rFonts w:asciiTheme="majorHAnsi" w:hAnsiTheme="majorHAnsi"/>
          <w:sz w:val="20"/>
          <w:szCs w:val="20"/>
        </w:rPr>
        <w:t>1877 Public Record Office Act.</w:t>
      </w:r>
      <w:r w:rsidRPr="009D52DA">
        <w:rPr>
          <w:rFonts w:asciiTheme="majorHAnsi" w:hAnsiTheme="majorHAnsi"/>
          <w:sz w:val="20"/>
          <w:szCs w:val="20"/>
        </w:rPr>
        <w:t xml:space="preserve">  The </w:t>
      </w:r>
      <w:r w:rsidR="00826D79">
        <w:rPr>
          <w:rFonts w:asciiTheme="majorHAnsi" w:hAnsiTheme="majorHAnsi"/>
          <w:sz w:val="20"/>
          <w:szCs w:val="20"/>
        </w:rPr>
        <w:t xml:space="preserve">1877 </w:t>
      </w:r>
      <w:r w:rsidRPr="009D52DA">
        <w:rPr>
          <w:rFonts w:asciiTheme="majorHAnsi" w:hAnsiTheme="majorHAnsi"/>
          <w:sz w:val="20"/>
          <w:szCs w:val="20"/>
        </w:rPr>
        <w:t>Act allowed, rather than required, departments, to draw up schedules of records which were “not of sufficient public value to justify their preservation in the Public Record Office”  in consultation with members of the Committee of Inspecting Officers (drawn from the senior ranks of the PRO)</w:t>
      </w:r>
      <w:r w:rsidR="00826D79">
        <w:rPr>
          <w:rFonts w:asciiTheme="majorHAnsi" w:hAnsiTheme="majorHAnsi"/>
          <w:sz w:val="20"/>
          <w:szCs w:val="20"/>
        </w:rPr>
        <w:t>. R</w:t>
      </w:r>
      <w:r w:rsidRPr="009D52DA">
        <w:rPr>
          <w:rFonts w:asciiTheme="majorHAnsi" w:hAnsiTheme="majorHAnsi"/>
          <w:sz w:val="20"/>
          <w:szCs w:val="20"/>
        </w:rPr>
        <w:t>evised Rules in 1889 mandated that</w:t>
      </w:r>
      <w:r w:rsidR="00826D79">
        <w:rPr>
          <w:rFonts w:asciiTheme="majorHAnsi" w:hAnsiTheme="majorHAnsi"/>
          <w:sz w:val="20"/>
          <w:szCs w:val="20"/>
        </w:rPr>
        <w:t xml:space="preserve"> </w:t>
      </w:r>
      <w:r w:rsidRPr="009D52DA">
        <w:rPr>
          <w:rFonts w:asciiTheme="majorHAnsi" w:hAnsiTheme="majorHAnsi"/>
          <w:sz w:val="20"/>
          <w:szCs w:val="20"/>
        </w:rPr>
        <w:t xml:space="preserve"> Destruction Schedule</w:t>
      </w:r>
      <w:r w:rsidR="00826D79">
        <w:rPr>
          <w:rFonts w:asciiTheme="majorHAnsi" w:hAnsiTheme="majorHAnsi"/>
          <w:sz w:val="20"/>
          <w:szCs w:val="20"/>
        </w:rPr>
        <w:t xml:space="preserve">s were to be </w:t>
      </w:r>
      <w:r w:rsidRPr="009D52DA">
        <w:rPr>
          <w:rFonts w:asciiTheme="majorHAnsi" w:hAnsiTheme="majorHAnsi"/>
          <w:sz w:val="20"/>
          <w:szCs w:val="20"/>
        </w:rPr>
        <w:t xml:space="preserve">drawn up by a nominated Departmental officer who was required to “take every precaution against the inclusion therein of any documents which can reasonable be considered as of legal, historical, genealogical or antiquarian use or interest, or which give any important information not to be obtained elsewhere.” It was the Schedule itself, not the records, which was then inspected by the Committee. The system established </w:t>
      </w:r>
      <w:r w:rsidR="00826D79">
        <w:rPr>
          <w:rFonts w:asciiTheme="majorHAnsi" w:hAnsiTheme="majorHAnsi"/>
          <w:sz w:val="20"/>
          <w:szCs w:val="20"/>
        </w:rPr>
        <w:t>under</w:t>
      </w:r>
      <w:r w:rsidRPr="009D52DA">
        <w:rPr>
          <w:rFonts w:asciiTheme="majorHAnsi" w:hAnsiTheme="majorHAnsi"/>
          <w:sz w:val="20"/>
          <w:szCs w:val="20"/>
        </w:rPr>
        <w:t xml:space="preserve"> the 1877 Act </w:t>
      </w:r>
      <w:r w:rsidR="00826D79">
        <w:rPr>
          <w:rFonts w:asciiTheme="majorHAnsi" w:hAnsiTheme="majorHAnsi"/>
          <w:sz w:val="20"/>
          <w:szCs w:val="20"/>
        </w:rPr>
        <w:t>was</w:t>
      </w:r>
      <w:r w:rsidRPr="009D52DA">
        <w:rPr>
          <w:rFonts w:asciiTheme="majorHAnsi" w:hAnsiTheme="majorHAnsi"/>
          <w:sz w:val="20"/>
          <w:szCs w:val="20"/>
        </w:rPr>
        <w:t xml:space="preserve"> in force at the time the </w:t>
      </w:r>
      <w:proofErr w:type="spellStart"/>
      <w:r w:rsidRPr="009D52DA">
        <w:rPr>
          <w:rFonts w:asciiTheme="majorHAnsi" w:hAnsiTheme="majorHAnsi"/>
          <w:sz w:val="20"/>
          <w:szCs w:val="20"/>
        </w:rPr>
        <w:t>Grigg</w:t>
      </w:r>
      <w:proofErr w:type="spellEnd"/>
      <w:r w:rsidRPr="009D52DA">
        <w:rPr>
          <w:rFonts w:asciiTheme="majorHAnsi" w:hAnsiTheme="majorHAnsi"/>
          <w:sz w:val="20"/>
          <w:szCs w:val="20"/>
        </w:rPr>
        <w:t xml:space="preserve"> Committee convened.  </w:t>
      </w:r>
    </w:p>
    <w:p w:rsidR="009D52DA" w:rsidRPr="009D52DA" w:rsidRDefault="00725244" w:rsidP="009F5544">
      <w:pPr>
        <w:ind w:firstLine="567"/>
        <w:rPr>
          <w:rFonts w:asciiTheme="majorHAnsi" w:hAnsiTheme="majorHAnsi"/>
          <w:sz w:val="20"/>
          <w:szCs w:val="20"/>
        </w:rPr>
      </w:pPr>
      <w:r w:rsidRPr="009D52DA">
        <w:rPr>
          <w:rFonts w:asciiTheme="majorHAnsi" w:hAnsiTheme="majorHAnsi"/>
          <w:sz w:val="20"/>
          <w:szCs w:val="20"/>
        </w:rPr>
        <w:t xml:space="preserve">The PRO had made some moves to address </w:t>
      </w:r>
      <w:r w:rsidR="00577C18" w:rsidRPr="009D52DA">
        <w:rPr>
          <w:rFonts w:asciiTheme="majorHAnsi" w:hAnsiTheme="majorHAnsi"/>
          <w:sz w:val="20"/>
          <w:szCs w:val="20"/>
        </w:rPr>
        <w:t xml:space="preserve">the consequences of </w:t>
      </w:r>
      <w:r w:rsidR="00765B02" w:rsidRPr="009D52DA">
        <w:rPr>
          <w:rFonts w:asciiTheme="majorHAnsi" w:hAnsiTheme="majorHAnsi"/>
          <w:sz w:val="20"/>
          <w:szCs w:val="20"/>
        </w:rPr>
        <w:t>ever-increasing records creation,</w:t>
      </w:r>
      <w:r w:rsidR="004F4A29">
        <w:rPr>
          <w:rFonts w:asciiTheme="majorHAnsi" w:hAnsiTheme="majorHAnsi"/>
          <w:sz w:val="20"/>
          <w:szCs w:val="20"/>
        </w:rPr>
        <w:t xml:space="preserve"> </w:t>
      </w:r>
      <w:r w:rsidR="00826D79">
        <w:rPr>
          <w:rFonts w:asciiTheme="majorHAnsi" w:hAnsiTheme="majorHAnsi"/>
          <w:sz w:val="20"/>
          <w:szCs w:val="20"/>
        </w:rPr>
        <w:t xml:space="preserve">notably, in the late 1940s, </w:t>
      </w:r>
      <w:r w:rsidRPr="009D52DA">
        <w:rPr>
          <w:rFonts w:asciiTheme="majorHAnsi" w:hAnsiTheme="majorHAnsi"/>
          <w:sz w:val="20"/>
          <w:szCs w:val="20"/>
        </w:rPr>
        <w:t>through the establishment of the ‘limbo’ scheme,</w:t>
      </w:r>
      <w:r w:rsidR="00577C18" w:rsidRPr="009D52DA">
        <w:rPr>
          <w:rFonts w:asciiTheme="majorHAnsi" w:hAnsiTheme="majorHAnsi"/>
          <w:sz w:val="20"/>
          <w:szCs w:val="20"/>
        </w:rPr>
        <w:t xml:space="preserve"> a network of intermediate repositories</w:t>
      </w:r>
      <w:r w:rsidRPr="009D52DA">
        <w:rPr>
          <w:rFonts w:asciiTheme="majorHAnsi" w:hAnsiTheme="majorHAnsi"/>
          <w:sz w:val="20"/>
          <w:szCs w:val="20"/>
        </w:rPr>
        <w:t xml:space="preserve"> </w:t>
      </w:r>
      <w:r w:rsidR="00577C18" w:rsidRPr="009D52DA">
        <w:rPr>
          <w:rFonts w:asciiTheme="majorHAnsi" w:hAnsiTheme="majorHAnsi"/>
          <w:sz w:val="20"/>
          <w:szCs w:val="20"/>
        </w:rPr>
        <w:t xml:space="preserve">located outside London </w:t>
      </w:r>
      <w:r w:rsidRPr="009D52DA">
        <w:rPr>
          <w:rFonts w:asciiTheme="majorHAnsi" w:hAnsiTheme="majorHAnsi"/>
          <w:sz w:val="20"/>
          <w:szCs w:val="20"/>
        </w:rPr>
        <w:t xml:space="preserve">for non-current, </w:t>
      </w:r>
      <w:r w:rsidR="00577C18" w:rsidRPr="009D52DA">
        <w:rPr>
          <w:rFonts w:asciiTheme="majorHAnsi" w:hAnsiTheme="majorHAnsi"/>
          <w:sz w:val="20"/>
          <w:szCs w:val="20"/>
        </w:rPr>
        <w:t xml:space="preserve">and </w:t>
      </w:r>
      <w:r w:rsidRPr="009D52DA">
        <w:rPr>
          <w:rFonts w:asciiTheme="majorHAnsi" w:hAnsiTheme="majorHAnsi"/>
          <w:sz w:val="20"/>
          <w:szCs w:val="20"/>
        </w:rPr>
        <w:t>predominantly non-archival, departmental records</w:t>
      </w:r>
      <w:r w:rsidR="000066A5">
        <w:rPr>
          <w:rFonts w:asciiTheme="majorHAnsi" w:hAnsiTheme="majorHAnsi"/>
          <w:sz w:val="20"/>
          <w:szCs w:val="20"/>
        </w:rPr>
        <w:t>. While</w:t>
      </w:r>
      <w:r w:rsidR="00826D79">
        <w:rPr>
          <w:rFonts w:asciiTheme="majorHAnsi" w:hAnsiTheme="majorHAnsi"/>
          <w:sz w:val="20"/>
          <w:szCs w:val="20"/>
        </w:rPr>
        <w:t xml:space="preserve"> this </w:t>
      </w:r>
      <w:r w:rsidR="000066A5">
        <w:rPr>
          <w:rFonts w:asciiTheme="majorHAnsi" w:hAnsiTheme="majorHAnsi"/>
          <w:sz w:val="20"/>
          <w:szCs w:val="20"/>
        </w:rPr>
        <w:t xml:space="preserve">contributed to reducing storage problems, it did not solve the underlying problems of systematically selecting records for permanent preservation. </w:t>
      </w:r>
      <w:r w:rsidR="00577C18" w:rsidRPr="009D52DA">
        <w:rPr>
          <w:rFonts w:asciiTheme="majorHAnsi" w:hAnsiTheme="majorHAnsi"/>
          <w:sz w:val="20"/>
          <w:szCs w:val="20"/>
        </w:rPr>
        <w:t xml:space="preserve">In October 1951 </w:t>
      </w:r>
      <w:r w:rsidR="002018DD" w:rsidRPr="009D52DA">
        <w:rPr>
          <w:rFonts w:asciiTheme="majorHAnsi" w:hAnsiTheme="majorHAnsi"/>
          <w:sz w:val="20"/>
          <w:szCs w:val="20"/>
        </w:rPr>
        <w:t>a Treasury survey of records</w:t>
      </w:r>
      <w:r w:rsidR="000066A5">
        <w:rPr>
          <w:rFonts w:asciiTheme="majorHAnsi" w:hAnsiTheme="majorHAnsi"/>
          <w:sz w:val="20"/>
          <w:szCs w:val="20"/>
        </w:rPr>
        <w:t xml:space="preserve"> still </w:t>
      </w:r>
      <w:r w:rsidR="002018DD" w:rsidRPr="009D52DA">
        <w:rPr>
          <w:rFonts w:asciiTheme="majorHAnsi" w:hAnsiTheme="majorHAnsi"/>
          <w:sz w:val="20"/>
          <w:szCs w:val="20"/>
        </w:rPr>
        <w:t xml:space="preserve">held in departments had revealed that, while 250,000 </w:t>
      </w:r>
      <w:r w:rsidR="000066A5">
        <w:rPr>
          <w:rFonts w:asciiTheme="majorHAnsi" w:hAnsiTheme="majorHAnsi"/>
          <w:sz w:val="20"/>
          <w:szCs w:val="20"/>
        </w:rPr>
        <w:t xml:space="preserve">linear </w:t>
      </w:r>
      <w:r w:rsidR="002018DD" w:rsidRPr="009D52DA">
        <w:rPr>
          <w:rFonts w:asciiTheme="majorHAnsi" w:hAnsiTheme="majorHAnsi"/>
          <w:sz w:val="20"/>
          <w:szCs w:val="20"/>
        </w:rPr>
        <w:t>feet could be quickly destroyed</w:t>
      </w:r>
      <w:r w:rsidR="000066A5">
        <w:rPr>
          <w:rFonts w:asciiTheme="majorHAnsi" w:hAnsiTheme="majorHAnsi"/>
          <w:sz w:val="20"/>
          <w:szCs w:val="20"/>
        </w:rPr>
        <w:t xml:space="preserve"> </w:t>
      </w:r>
      <w:r w:rsidR="000066A5" w:rsidRPr="000066A5">
        <w:rPr>
          <w:rFonts w:asciiTheme="majorHAnsi" w:hAnsiTheme="majorHAnsi"/>
          <w:i/>
          <w:sz w:val="20"/>
          <w:szCs w:val="20"/>
        </w:rPr>
        <w:t>in situ</w:t>
      </w:r>
      <w:r w:rsidR="002018DD" w:rsidRPr="009D52DA">
        <w:rPr>
          <w:rFonts w:asciiTheme="majorHAnsi" w:hAnsiTheme="majorHAnsi"/>
          <w:sz w:val="20"/>
          <w:szCs w:val="20"/>
        </w:rPr>
        <w:t xml:space="preserve">, the amount of records due for permanent preservation in the nation’s archives would more than </w:t>
      </w:r>
      <w:r w:rsidR="002018DD" w:rsidRPr="009D52DA">
        <w:rPr>
          <w:rFonts w:asciiTheme="majorHAnsi" w:hAnsiTheme="majorHAnsi"/>
          <w:sz w:val="20"/>
          <w:szCs w:val="20"/>
        </w:rPr>
        <w:lastRenderedPageBreak/>
        <w:t>double</w:t>
      </w:r>
      <w:r w:rsidR="000066A5">
        <w:rPr>
          <w:rFonts w:asciiTheme="majorHAnsi" w:hAnsiTheme="majorHAnsi"/>
          <w:sz w:val="20"/>
          <w:szCs w:val="20"/>
        </w:rPr>
        <w:t xml:space="preserve"> the PRO’s</w:t>
      </w:r>
      <w:r w:rsidR="002018DD" w:rsidRPr="009D52DA">
        <w:rPr>
          <w:rFonts w:asciiTheme="majorHAnsi" w:hAnsiTheme="majorHAnsi"/>
          <w:sz w:val="20"/>
          <w:szCs w:val="20"/>
        </w:rPr>
        <w:t xml:space="preserve"> existing holdings</w:t>
      </w:r>
      <w:r w:rsidR="000066A5">
        <w:rPr>
          <w:rFonts w:asciiTheme="majorHAnsi" w:hAnsiTheme="majorHAnsi"/>
          <w:sz w:val="20"/>
          <w:szCs w:val="20"/>
        </w:rPr>
        <w:t xml:space="preserve">.  By </w:t>
      </w:r>
      <w:r w:rsidR="008B1DCD" w:rsidRPr="009D52DA">
        <w:rPr>
          <w:rFonts w:asciiTheme="majorHAnsi" w:hAnsiTheme="majorHAnsi"/>
          <w:sz w:val="20"/>
          <w:szCs w:val="20"/>
        </w:rPr>
        <w:t xml:space="preserve">the end of the same year, </w:t>
      </w:r>
      <w:r w:rsidR="000066A5">
        <w:rPr>
          <w:rFonts w:asciiTheme="majorHAnsi" w:hAnsiTheme="majorHAnsi"/>
          <w:sz w:val="20"/>
          <w:szCs w:val="20"/>
        </w:rPr>
        <w:t xml:space="preserve">even </w:t>
      </w:r>
      <w:r w:rsidR="008B1DCD" w:rsidRPr="009D52DA">
        <w:rPr>
          <w:rFonts w:asciiTheme="majorHAnsi" w:hAnsiTheme="majorHAnsi"/>
          <w:sz w:val="20"/>
          <w:szCs w:val="20"/>
        </w:rPr>
        <w:t xml:space="preserve">the Prime Minister, Churchill </w:t>
      </w:r>
      <w:r w:rsidR="000066A5">
        <w:rPr>
          <w:rFonts w:asciiTheme="majorHAnsi" w:hAnsiTheme="majorHAnsi"/>
          <w:sz w:val="20"/>
          <w:szCs w:val="20"/>
        </w:rPr>
        <w:t>had</w:t>
      </w:r>
      <w:r w:rsidR="008B1DCD" w:rsidRPr="009D52DA">
        <w:rPr>
          <w:rFonts w:asciiTheme="majorHAnsi" w:hAnsiTheme="majorHAnsi"/>
          <w:sz w:val="20"/>
          <w:szCs w:val="20"/>
        </w:rPr>
        <w:t xml:space="preserve"> noted with concern “the large sum of money being spent in the coming year by the Ministry of Works on filing cabinets” (Cantwell, 465).</w:t>
      </w:r>
      <w:r w:rsidR="004F4A29">
        <w:rPr>
          <w:rFonts w:asciiTheme="majorHAnsi" w:hAnsiTheme="majorHAnsi"/>
          <w:sz w:val="20"/>
          <w:szCs w:val="20"/>
        </w:rPr>
        <w:t xml:space="preserve"> </w:t>
      </w:r>
      <w:r w:rsidR="008B1DCD" w:rsidRPr="009D52DA">
        <w:rPr>
          <w:rFonts w:asciiTheme="majorHAnsi" w:hAnsiTheme="majorHAnsi"/>
          <w:sz w:val="20"/>
          <w:szCs w:val="20"/>
        </w:rPr>
        <w:t xml:space="preserve">Such high level recognition of </w:t>
      </w:r>
      <w:r w:rsidR="000066A5">
        <w:rPr>
          <w:rFonts w:asciiTheme="majorHAnsi" w:hAnsiTheme="majorHAnsi"/>
          <w:sz w:val="20"/>
          <w:szCs w:val="20"/>
        </w:rPr>
        <w:t>the expense of current</w:t>
      </w:r>
      <w:r w:rsidR="004F4A29">
        <w:rPr>
          <w:rFonts w:asciiTheme="majorHAnsi" w:hAnsiTheme="majorHAnsi"/>
          <w:sz w:val="20"/>
          <w:szCs w:val="20"/>
        </w:rPr>
        <w:t xml:space="preserve"> </w:t>
      </w:r>
      <w:r w:rsidR="008B1DCD" w:rsidRPr="009D52DA">
        <w:rPr>
          <w:rFonts w:asciiTheme="majorHAnsi" w:hAnsiTheme="majorHAnsi"/>
          <w:sz w:val="20"/>
          <w:szCs w:val="20"/>
        </w:rPr>
        <w:t xml:space="preserve">government recordkeeping </w:t>
      </w:r>
      <w:r w:rsidR="000066A5">
        <w:rPr>
          <w:rFonts w:asciiTheme="majorHAnsi" w:hAnsiTheme="majorHAnsi"/>
          <w:sz w:val="20"/>
          <w:szCs w:val="20"/>
        </w:rPr>
        <w:t xml:space="preserve">practices </w:t>
      </w:r>
      <w:r w:rsidR="008B1DCD" w:rsidRPr="009D52DA">
        <w:rPr>
          <w:rFonts w:asciiTheme="majorHAnsi" w:hAnsiTheme="majorHAnsi"/>
          <w:sz w:val="20"/>
          <w:szCs w:val="20"/>
        </w:rPr>
        <w:t>encouraged the creation of a</w:t>
      </w:r>
      <w:r w:rsidR="000066A5">
        <w:rPr>
          <w:rFonts w:asciiTheme="majorHAnsi" w:hAnsiTheme="majorHAnsi"/>
          <w:sz w:val="20"/>
          <w:szCs w:val="20"/>
        </w:rPr>
        <w:t xml:space="preserve"> </w:t>
      </w:r>
      <w:r w:rsidR="008B1DCD" w:rsidRPr="009D52DA">
        <w:rPr>
          <w:rFonts w:asciiTheme="majorHAnsi" w:hAnsiTheme="majorHAnsi"/>
          <w:sz w:val="20"/>
          <w:szCs w:val="20"/>
        </w:rPr>
        <w:t xml:space="preserve">Committee likely to </w:t>
      </w:r>
      <w:r w:rsidR="000066A5">
        <w:rPr>
          <w:rFonts w:asciiTheme="majorHAnsi" w:hAnsiTheme="majorHAnsi"/>
          <w:sz w:val="20"/>
          <w:szCs w:val="20"/>
        </w:rPr>
        <w:t>make radical and effective recommendations: this outcome, it was recognised,</w:t>
      </w:r>
      <w:r w:rsidR="004F4A29">
        <w:rPr>
          <w:rFonts w:asciiTheme="majorHAnsi" w:hAnsiTheme="majorHAnsi"/>
          <w:sz w:val="20"/>
          <w:szCs w:val="20"/>
        </w:rPr>
        <w:t xml:space="preserve"> </w:t>
      </w:r>
      <w:r w:rsidR="008B1DCD" w:rsidRPr="009D52DA">
        <w:rPr>
          <w:rFonts w:asciiTheme="majorHAnsi" w:hAnsiTheme="majorHAnsi"/>
          <w:sz w:val="20"/>
          <w:szCs w:val="20"/>
        </w:rPr>
        <w:t>was unlikely</w:t>
      </w:r>
      <w:r w:rsidR="000066A5">
        <w:rPr>
          <w:rFonts w:asciiTheme="majorHAnsi" w:hAnsiTheme="majorHAnsi"/>
          <w:sz w:val="20"/>
          <w:szCs w:val="20"/>
        </w:rPr>
        <w:t xml:space="preserve"> </w:t>
      </w:r>
      <w:r w:rsidR="008B1DCD" w:rsidRPr="009D52DA">
        <w:rPr>
          <w:rFonts w:asciiTheme="majorHAnsi" w:hAnsiTheme="majorHAnsi"/>
          <w:sz w:val="20"/>
          <w:szCs w:val="20"/>
        </w:rPr>
        <w:t xml:space="preserve">if Jenkinson, with his ‘difficult’ reputation </w:t>
      </w:r>
      <w:r w:rsidR="009B7435" w:rsidRPr="009D52DA">
        <w:rPr>
          <w:rFonts w:asciiTheme="majorHAnsi" w:hAnsiTheme="majorHAnsi"/>
          <w:sz w:val="20"/>
          <w:szCs w:val="20"/>
        </w:rPr>
        <w:t>and wedded to the practices of the 1877 Act</w:t>
      </w:r>
      <w:r w:rsidR="000066A5">
        <w:rPr>
          <w:rFonts w:asciiTheme="majorHAnsi" w:hAnsiTheme="majorHAnsi"/>
          <w:sz w:val="20"/>
          <w:szCs w:val="20"/>
        </w:rPr>
        <w:t>, were part of that Committee.</w:t>
      </w:r>
      <w:r w:rsidR="004F4A29">
        <w:rPr>
          <w:rFonts w:asciiTheme="majorHAnsi" w:hAnsiTheme="majorHAnsi"/>
          <w:sz w:val="20"/>
          <w:szCs w:val="20"/>
        </w:rPr>
        <w:t xml:space="preserve"> </w:t>
      </w:r>
      <w:r w:rsidR="009B7435" w:rsidRPr="009D52DA">
        <w:rPr>
          <w:rFonts w:asciiTheme="majorHAnsi" w:hAnsiTheme="majorHAnsi"/>
          <w:sz w:val="20"/>
          <w:szCs w:val="20"/>
        </w:rPr>
        <w:t>T</w:t>
      </w:r>
      <w:r w:rsidR="008B1DCD" w:rsidRPr="009D52DA">
        <w:rPr>
          <w:rFonts w:asciiTheme="majorHAnsi" w:hAnsiTheme="majorHAnsi"/>
          <w:sz w:val="20"/>
          <w:szCs w:val="20"/>
        </w:rPr>
        <w:t>he</w:t>
      </w:r>
      <w:r w:rsidR="009B7435" w:rsidRPr="009D52DA">
        <w:rPr>
          <w:rFonts w:asciiTheme="majorHAnsi" w:hAnsiTheme="majorHAnsi"/>
          <w:sz w:val="20"/>
          <w:szCs w:val="20"/>
        </w:rPr>
        <w:t xml:space="preserve"> </w:t>
      </w:r>
      <w:r w:rsidR="007D4D0D" w:rsidRPr="009D52DA">
        <w:rPr>
          <w:rFonts w:asciiTheme="majorHAnsi" w:hAnsiTheme="majorHAnsi"/>
          <w:sz w:val="20"/>
          <w:szCs w:val="20"/>
        </w:rPr>
        <w:t>Gordi</w:t>
      </w:r>
      <w:r w:rsidR="00782D1E">
        <w:rPr>
          <w:rFonts w:asciiTheme="majorHAnsi" w:hAnsiTheme="majorHAnsi"/>
          <w:sz w:val="20"/>
          <w:szCs w:val="20"/>
        </w:rPr>
        <w:t>a</w:t>
      </w:r>
      <w:r w:rsidR="007D4D0D" w:rsidRPr="009D52DA">
        <w:rPr>
          <w:rFonts w:asciiTheme="majorHAnsi" w:hAnsiTheme="majorHAnsi"/>
          <w:sz w:val="20"/>
          <w:szCs w:val="20"/>
        </w:rPr>
        <w:t xml:space="preserve">n knot of accounting for </w:t>
      </w:r>
      <w:r w:rsidR="000066A5">
        <w:rPr>
          <w:rFonts w:asciiTheme="majorHAnsi" w:hAnsiTheme="majorHAnsi"/>
          <w:sz w:val="20"/>
          <w:szCs w:val="20"/>
        </w:rPr>
        <w:t xml:space="preserve">what would be a notable </w:t>
      </w:r>
      <w:r w:rsidR="007D4D0D" w:rsidRPr="009D52DA">
        <w:rPr>
          <w:rFonts w:asciiTheme="majorHAnsi" w:hAnsiTheme="majorHAnsi"/>
          <w:sz w:val="20"/>
          <w:szCs w:val="20"/>
        </w:rPr>
        <w:t xml:space="preserve">omission </w:t>
      </w:r>
      <w:r w:rsidR="000066A5">
        <w:rPr>
          <w:rFonts w:asciiTheme="majorHAnsi" w:hAnsiTheme="majorHAnsi"/>
          <w:sz w:val="20"/>
          <w:szCs w:val="20"/>
        </w:rPr>
        <w:t xml:space="preserve">in its membership </w:t>
      </w:r>
      <w:r w:rsidR="002018DD" w:rsidRPr="009D52DA">
        <w:rPr>
          <w:rFonts w:asciiTheme="majorHAnsi" w:hAnsiTheme="majorHAnsi"/>
          <w:sz w:val="20"/>
          <w:szCs w:val="20"/>
        </w:rPr>
        <w:t>was</w:t>
      </w:r>
      <w:r w:rsidR="000066A5">
        <w:rPr>
          <w:rFonts w:asciiTheme="majorHAnsi" w:hAnsiTheme="majorHAnsi"/>
          <w:sz w:val="20"/>
          <w:szCs w:val="20"/>
        </w:rPr>
        <w:t xml:space="preserve"> </w:t>
      </w:r>
      <w:r w:rsidR="002018DD" w:rsidRPr="009D52DA">
        <w:rPr>
          <w:rFonts w:asciiTheme="majorHAnsi" w:hAnsiTheme="majorHAnsi"/>
          <w:sz w:val="20"/>
          <w:szCs w:val="20"/>
        </w:rPr>
        <w:t xml:space="preserve">achieved by </w:t>
      </w:r>
      <w:r w:rsidR="000066A5">
        <w:rPr>
          <w:rFonts w:asciiTheme="majorHAnsi" w:hAnsiTheme="majorHAnsi"/>
          <w:sz w:val="20"/>
          <w:szCs w:val="20"/>
        </w:rPr>
        <w:t xml:space="preserve">letting it be known that </w:t>
      </w:r>
      <w:r w:rsidR="007D4D0D" w:rsidRPr="009D52DA">
        <w:rPr>
          <w:rFonts w:asciiTheme="majorHAnsi" w:hAnsiTheme="majorHAnsi"/>
          <w:sz w:val="20"/>
          <w:szCs w:val="20"/>
        </w:rPr>
        <w:t>Churchill himself had decided that the membership should be drawn entirely from outside the Civil Service (Cantwell, 466).</w:t>
      </w:r>
      <w:r w:rsidR="005A18C1" w:rsidRPr="009D52DA">
        <w:rPr>
          <w:rFonts w:asciiTheme="majorHAnsi" w:hAnsiTheme="majorHAnsi"/>
          <w:sz w:val="20"/>
          <w:szCs w:val="20"/>
        </w:rPr>
        <w:t xml:space="preserve"> </w:t>
      </w:r>
    </w:p>
    <w:p w:rsidR="009D52DA" w:rsidRPr="009D52DA" w:rsidRDefault="007D4D0D" w:rsidP="009D52DA">
      <w:pPr>
        <w:ind w:left="567" w:right="379"/>
        <w:rPr>
          <w:rFonts w:asciiTheme="majorHAnsi" w:hAnsiTheme="majorHAnsi"/>
          <w:sz w:val="20"/>
          <w:szCs w:val="20"/>
        </w:rPr>
      </w:pPr>
      <w:r w:rsidRPr="009D52DA">
        <w:rPr>
          <w:rFonts w:asciiTheme="majorHAnsi" w:hAnsiTheme="majorHAnsi"/>
          <w:sz w:val="20"/>
          <w:szCs w:val="20"/>
        </w:rPr>
        <w:t xml:space="preserve">“Undoubtedly the formation of the committee without </w:t>
      </w:r>
      <w:r w:rsidR="00577C18" w:rsidRPr="009D52DA">
        <w:rPr>
          <w:rFonts w:asciiTheme="majorHAnsi" w:hAnsiTheme="majorHAnsi"/>
          <w:sz w:val="20"/>
          <w:szCs w:val="20"/>
        </w:rPr>
        <w:t>J</w:t>
      </w:r>
      <w:r w:rsidRPr="009D52DA">
        <w:rPr>
          <w:rFonts w:asciiTheme="majorHAnsi" w:hAnsiTheme="majorHAnsi"/>
          <w:sz w:val="20"/>
          <w:szCs w:val="20"/>
        </w:rPr>
        <w:t>enkinson was a shattering blow to him.  He regarded himself as the world authority and believed that everything would be simple … if only his favoured methods [for identifying the transfer of records worth of permanent preservation] were adopted at once.  But as they revolved around a system based upon the segregation of ephemera at the outset and the wholesale registration of the rest, the Treasury was unimpressed, doubting whether it had been feasible even when advocated by Jenkinson in … 1922 and thinking it pure fantasy in 1952” (Cantwell,</w:t>
      </w:r>
      <w:r w:rsidR="009D52DA" w:rsidRPr="009D52DA">
        <w:rPr>
          <w:rFonts w:asciiTheme="majorHAnsi" w:hAnsiTheme="majorHAnsi"/>
          <w:sz w:val="20"/>
          <w:szCs w:val="20"/>
        </w:rPr>
        <w:t xml:space="preserve"> </w:t>
      </w:r>
      <w:r w:rsidRPr="009D52DA">
        <w:rPr>
          <w:rFonts w:asciiTheme="majorHAnsi" w:hAnsiTheme="majorHAnsi"/>
          <w:sz w:val="20"/>
          <w:szCs w:val="20"/>
        </w:rPr>
        <w:t xml:space="preserve">467). </w:t>
      </w:r>
    </w:p>
    <w:p w:rsidR="006C4189" w:rsidRPr="009D52DA" w:rsidRDefault="007D4D0D" w:rsidP="009F5544">
      <w:pPr>
        <w:ind w:firstLine="360"/>
        <w:rPr>
          <w:rFonts w:asciiTheme="majorHAnsi" w:hAnsiTheme="majorHAnsi"/>
          <w:sz w:val="20"/>
          <w:szCs w:val="20"/>
        </w:rPr>
      </w:pPr>
      <w:r w:rsidRPr="009D52DA">
        <w:rPr>
          <w:rFonts w:asciiTheme="majorHAnsi" w:hAnsiTheme="majorHAnsi"/>
          <w:sz w:val="20"/>
          <w:szCs w:val="20"/>
        </w:rPr>
        <w:t>Although the Report’s assessment of Jenkinson’s principles</w:t>
      </w:r>
      <w:r w:rsidR="00765B02" w:rsidRPr="009D52DA">
        <w:rPr>
          <w:rFonts w:asciiTheme="majorHAnsi" w:hAnsiTheme="majorHAnsi"/>
          <w:sz w:val="20"/>
          <w:szCs w:val="20"/>
        </w:rPr>
        <w:t xml:space="preserve"> </w:t>
      </w:r>
      <w:r w:rsidRPr="009D52DA">
        <w:rPr>
          <w:rFonts w:asciiTheme="majorHAnsi" w:hAnsiTheme="majorHAnsi"/>
          <w:sz w:val="20"/>
          <w:szCs w:val="20"/>
        </w:rPr>
        <w:t xml:space="preserve">softened a little, </w:t>
      </w:r>
      <w:r w:rsidR="00765B02" w:rsidRPr="009D52DA">
        <w:rPr>
          <w:rFonts w:asciiTheme="majorHAnsi" w:hAnsiTheme="majorHAnsi"/>
          <w:sz w:val="20"/>
          <w:szCs w:val="20"/>
        </w:rPr>
        <w:t xml:space="preserve">its final recommendations, implemented in the 1958 Public Records Act, were to make major changes </w:t>
      </w:r>
      <w:r w:rsidR="00E43A77">
        <w:rPr>
          <w:rFonts w:asciiTheme="majorHAnsi" w:hAnsiTheme="majorHAnsi"/>
          <w:sz w:val="20"/>
          <w:szCs w:val="20"/>
        </w:rPr>
        <w:t>to</w:t>
      </w:r>
      <w:r w:rsidR="00765B02" w:rsidRPr="009D52DA">
        <w:rPr>
          <w:rFonts w:asciiTheme="majorHAnsi" w:hAnsiTheme="majorHAnsi"/>
          <w:sz w:val="20"/>
          <w:szCs w:val="20"/>
        </w:rPr>
        <w:t xml:space="preserve"> the way in which </w:t>
      </w:r>
      <w:r w:rsidR="008127C7" w:rsidRPr="009D52DA">
        <w:rPr>
          <w:rFonts w:asciiTheme="majorHAnsi" w:hAnsiTheme="majorHAnsi"/>
          <w:sz w:val="20"/>
          <w:szCs w:val="20"/>
        </w:rPr>
        <w:t>government records were</w:t>
      </w:r>
      <w:r w:rsidR="005A18C1" w:rsidRPr="009D52DA">
        <w:rPr>
          <w:rFonts w:asciiTheme="majorHAnsi" w:hAnsiTheme="majorHAnsi"/>
          <w:sz w:val="20"/>
          <w:szCs w:val="20"/>
        </w:rPr>
        <w:t xml:space="preserve"> managed in</w:t>
      </w:r>
      <w:r w:rsidR="00E43A77">
        <w:rPr>
          <w:rFonts w:asciiTheme="majorHAnsi" w:hAnsiTheme="majorHAnsi"/>
          <w:sz w:val="20"/>
          <w:szCs w:val="20"/>
        </w:rPr>
        <w:t xml:space="preserve"> departments</w:t>
      </w:r>
      <w:r w:rsidR="005A18C1" w:rsidRPr="009D52DA">
        <w:rPr>
          <w:rFonts w:asciiTheme="majorHAnsi" w:hAnsiTheme="majorHAnsi"/>
          <w:sz w:val="20"/>
          <w:szCs w:val="20"/>
        </w:rPr>
        <w:t xml:space="preserve">, and then transferred </w:t>
      </w:r>
      <w:r w:rsidR="008127C7" w:rsidRPr="009D52DA">
        <w:rPr>
          <w:rFonts w:asciiTheme="majorHAnsi" w:hAnsiTheme="majorHAnsi"/>
          <w:sz w:val="20"/>
          <w:szCs w:val="20"/>
        </w:rPr>
        <w:t>to the national archives</w:t>
      </w:r>
      <w:r w:rsidR="005A18C1" w:rsidRPr="009D52DA">
        <w:rPr>
          <w:rFonts w:asciiTheme="majorHAnsi" w:hAnsiTheme="majorHAnsi"/>
          <w:sz w:val="20"/>
          <w:szCs w:val="20"/>
        </w:rPr>
        <w:t>.</w:t>
      </w:r>
      <w:r w:rsidR="006C4189" w:rsidRPr="009D52DA">
        <w:rPr>
          <w:rFonts w:asciiTheme="majorHAnsi" w:hAnsiTheme="majorHAnsi"/>
          <w:sz w:val="20"/>
          <w:szCs w:val="20"/>
        </w:rPr>
        <w:t xml:space="preserve"> </w:t>
      </w:r>
      <w:r w:rsidR="005A18C1" w:rsidRPr="009D52DA">
        <w:rPr>
          <w:rFonts w:asciiTheme="majorHAnsi" w:hAnsiTheme="majorHAnsi"/>
          <w:sz w:val="20"/>
          <w:szCs w:val="20"/>
        </w:rPr>
        <w:t xml:space="preserve">The </w:t>
      </w:r>
      <w:r w:rsidR="00E8500F">
        <w:rPr>
          <w:rFonts w:asciiTheme="majorHAnsi" w:hAnsiTheme="majorHAnsi"/>
          <w:sz w:val="20"/>
          <w:szCs w:val="20"/>
        </w:rPr>
        <w:t xml:space="preserve">key </w:t>
      </w:r>
      <w:r w:rsidR="005A18C1" w:rsidRPr="009D52DA">
        <w:rPr>
          <w:rFonts w:asciiTheme="majorHAnsi" w:hAnsiTheme="majorHAnsi"/>
          <w:sz w:val="20"/>
          <w:szCs w:val="20"/>
        </w:rPr>
        <w:t xml:space="preserve">elements of what came to be known as the </w:t>
      </w:r>
      <w:proofErr w:type="spellStart"/>
      <w:r w:rsidR="005A18C1" w:rsidRPr="009D52DA">
        <w:rPr>
          <w:rFonts w:asciiTheme="majorHAnsi" w:hAnsiTheme="majorHAnsi"/>
          <w:sz w:val="20"/>
          <w:szCs w:val="20"/>
        </w:rPr>
        <w:t>Grigg</w:t>
      </w:r>
      <w:proofErr w:type="spellEnd"/>
      <w:r w:rsidR="005A18C1" w:rsidRPr="009D52DA">
        <w:rPr>
          <w:rFonts w:asciiTheme="majorHAnsi" w:hAnsiTheme="majorHAnsi"/>
          <w:sz w:val="20"/>
          <w:szCs w:val="20"/>
        </w:rPr>
        <w:t xml:space="preserve"> System can be summarised as: </w:t>
      </w:r>
    </w:p>
    <w:p w:rsidR="006C4189" w:rsidRPr="009D52DA" w:rsidRDefault="006C4189" w:rsidP="009D52DA">
      <w:pPr>
        <w:pStyle w:val="ListParagraph"/>
        <w:numPr>
          <w:ilvl w:val="0"/>
          <w:numId w:val="2"/>
        </w:numPr>
        <w:spacing w:line="360" w:lineRule="auto"/>
        <w:rPr>
          <w:rFonts w:asciiTheme="majorHAnsi" w:hAnsiTheme="majorHAnsi"/>
          <w:sz w:val="20"/>
          <w:szCs w:val="20"/>
        </w:rPr>
      </w:pPr>
      <w:r w:rsidRPr="009D52DA">
        <w:rPr>
          <w:rFonts w:asciiTheme="majorHAnsi" w:hAnsiTheme="majorHAnsi"/>
          <w:sz w:val="20"/>
          <w:szCs w:val="20"/>
        </w:rPr>
        <w:t xml:space="preserve">the appointment of a Departmental Records Officer </w:t>
      </w:r>
      <w:r w:rsidR="005E377B" w:rsidRPr="009D52DA">
        <w:rPr>
          <w:rFonts w:asciiTheme="majorHAnsi" w:hAnsiTheme="majorHAnsi"/>
          <w:sz w:val="20"/>
          <w:szCs w:val="20"/>
        </w:rPr>
        <w:t xml:space="preserve">to take responsibility for records within a department, and to lead the process of review and selection, the latter in tandem with </w:t>
      </w:r>
      <w:r w:rsidR="00E8500F">
        <w:rPr>
          <w:rFonts w:asciiTheme="majorHAnsi" w:hAnsiTheme="majorHAnsi"/>
          <w:sz w:val="20"/>
          <w:szCs w:val="20"/>
        </w:rPr>
        <w:t xml:space="preserve">officers from </w:t>
      </w:r>
      <w:r w:rsidR="005E377B" w:rsidRPr="009D52DA">
        <w:rPr>
          <w:rFonts w:asciiTheme="majorHAnsi" w:hAnsiTheme="majorHAnsi"/>
          <w:sz w:val="20"/>
          <w:szCs w:val="20"/>
        </w:rPr>
        <w:t xml:space="preserve">the PRO;  </w:t>
      </w:r>
      <w:r w:rsidR="00016B03" w:rsidRPr="009D52DA">
        <w:rPr>
          <w:rFonts w:asciiTheme="majorHAnsi" w:hAnsiTheme="majorHAnsi"/>
          <w:sz w:val="20"/>
          <w:szCs w:val="20"/>
        </w:rPr>
        <w:t xml:space="preserve"> this </w:t>
      </w:r>
      <w:r w:rsidR="00E8500F">
        <w:rPr>
          <w:rFonts w:asciiTheme="majorHAnsi" w:hAnsiTheme="majorHAnsi"/>
          <w:sz w:val="20"/>
          <w:szCs w:val="20"/>
        </w:rPr>
        <w:t xml:space="preserve">collaboration </w:t>
      </w:r>
      <w:r w:rsidR="00016B03" w:rsidRPr="009D52DA">
        <w:rPr>
          <w:rFonts w:asciiTheme="majorHAnsi" w:hAnsiTheme="majorHAnsi"/>
          <w:sz w:val="20"/>
          <w:szCs w:val="20"/>
        </w:rPr>
        <w:t xml:space="preserve">included the creation of record disposition schedules which listed the actions to be taken for known classes of records (usually within registered file systems); </w:t>
      </w:r>
    </w:p>
    <w:p w:rsidR="005A18C1" w:rsidRPr="009D52DA" w:rsidRDefault="00E8500F" w:rsidP="009D52DA">
      <w:pPr>
        <w:pStyle w:val="ListParagraph"/>
        <w:numPr>
          <w:ilvl w:val="0"/>
          <w:numId w:val="2"/>
        </w:numPr>
        <w:spacing w:after="0" w:line="360" w:lineRule="auto"/>
        <w:rPr>
          <w:rFonts w:asciiTheme="majorHAnsi" w:eastAsia="Times New Roman" w:hAnsiTheme="majorHAnsi" w:cs="Arial"/>
          <w:sz w:val="20"/>
          <w:szCs w:val="20"/>
          <w:lang w:eastAsia="en-GB"/>
        </w:rPr>
      </w:pPr>
      <w:r>
        <w:rPr>
          <w:rFonts w:asciiTheme="majorHAnsi" w:hAnsiTheme="majorHAnsi"/>
          <w:sz w:val="20"/>
          <w:szCs w:val="20"/>
        </w:rPr>
        <w:t xml:space="preserve">closing </w:t>
      </w:r>
      <w:r w:rsidR="00891D48" w:rsidRPr="009D52DA">
        <w:rPr>
          <w:rFonts w:asciiTheme="majorHAnsi" w:hAnsiTheme="majorHAnsi"/>
          <w:sz w:val="20"/>
          <w:szCs w:val="20"/>
        </w:rPr>
        <w:t>a</w:t>
      </w:r>
      <w:r w:rsidR="006C4189" w:rsidRPr="009D52DA">
        <w:rPr>
          <w:rFonts w:asciiTheme="majorHAnsi" w:hAnsiTheme="majorHAnsi"/>
          <w:sz w:val="20"/>
          <w:szCs w:val="20"/>
        </w:rPr>
        <w:t>ll registered paper files</w:t>
      </w:r>
      <w:r w:rsidR="00016B03" w:rsidRPr="009D52DA">
        <w:rPr>
          <w:rFonts w:asciiTheme="majorHAnsi" w:hAnsiTheme="majorHAnsi"/>
          <w:sz w:val="20"/>
          <w:szCs w:val="20"/>
        </w:rPr>
        <w:t xml:space="preserve"> (</w:t>
      </w:r>
      <w:r w:rsidR="005A18C1" w:rsidRPr="009D52DA">
        <w:rPr>
          <w:rFonts w:asciiTheme="majorHAnsi" w:eastAsia="Times New Roman" w:hAnsiTheme="majorHAnsi" w:cs="Arial"/>
          <w:sz w:val="20"/>
          <w:szCs w:val="20"/>
          <w:lang w:eastAsia="en-GB"/>
        </w:rPr>
        <w:t>except case files</w:t>
      </w:r>
      <w:r w:rsidR="006C5801" w:rsidRPr="009D52DA">
        <w:rPr>
          <w:rFonts w:asciiTheme="majorHAnsi" w:eastAsia="Times New Roman" w:hAnsiTheme="majorHAnsi" w:cs="Arial"/>
          <w:sz w:val="20"/>
          <w:szCs w:val="20"/>
          <w:lang w:eastAsia="en-GB"/>
        </w:rPr>
        <w:t xml:space="preserve"> which were dealt with </w:t>
      </w:r>
      <w:r w:rsidR="00891D48" w:rsidRPr="009D52DA">
        <w:rPr>
          <w:rFonts w:asciiTheme="majorHAnsi" w:eastAsia="Times New Roman" w:hAnsiTheme="majorHAnsi" w:cs="Arial"/>
          <w:sz w:val="20"/>
          <w:szCs w:val="20"/>
          <w:lang w:eastAsia="en-GB"/>
        </w:rPr>
        <w:t>separately</w:t>
      </w:r>
      <w:r>
        <w:rPr>
          <w:rFonts w:asciiTheme="majorHAnsi" w:eastAsia="Times New Roman" w:hAnsiTheme="majorHAnsi" w:cs="Arial"/>
          <w:sz w:val="20"/>
          <w:szCs w:val="20"/>
          <w:lang w:eastAsia="en-GB"/>
        </w:rPr>
        <w:t>)</w:t>
      </w:r>
      <w:r w:rsidR="005A18C1" w:rsidRPr="009D52DA">
        <w:rPr>
          <w:rFonts w:asciiTheme="majorHAnsi" w:eastAsia="Times New Roman" w:hAnsiTheme="majorHAnsi" w:cs="Arial"/>
          <w:sz w:val="20"/>
          <w:szCs w:val="20"/>
          <w:lang w:eastAsia="en-GB"/>
        </w:rPr>
        <w:t xml:space="preserve">after a maximum of five years; </w:t>
      </w:r>
    </w:p>
    <w:p w:rsidR="005A18C1" w:rsidRPr="009D52DA" w:rsidRDefault="00E8500F" w:rsidP="009D52DA">
      <w:pPr>
        <w:pStyle w:val="ListParagraph"/>
        <w:numPr>
          <w:ilvl w:val="0"/>
          <w:numId w:val="2"/>
        </w:numPr>
        <w:spacing w:after="0" w:line="360" w:lineRule="auto"/>
        <w:rPr>
          <w:rFonts w:asciiTheme="majorHAnsi" w:eastAsia="Times New Roman" w:hAnsiTheme="majorHAnsi" w:cs="Arial"/>
          <w:sz w:val="20"/>
          <w:szCs w:val="20"/>
          <w:lang w:eastAsia="en-GB"/>
        </w:rPr>
      </w:pPr>
      <w:r>
        <w:rPr>
          <w:rFonts w:asciiTheme="majorHAnsi" w:eastAsia="Times New Roman" w:hAnsiTheme="majorHAnsi" w:cs="Arial"/>
          <w:sz w:val="20"/>
          <w:szCs w:val="20"/>
          <w:lang w:eastAsia="en-GB"/>
        </w:rPr>
        <w:t xml:space="preserve">A First </w:t>
      </w:r>
      <w:proofErr w:type="gramStart"/>
      <w:r>
        <w:rPr>
          <w:rFonts w:asciiTheme="majorHAnsi" w:eastAsia="Times New Roman" w:hAnsiTheme="majorHAnsi" w:cs="Arial"/>
          <w:sz w:val="20"/>
          <w:szCs w:val="20"/>
          <w:lang w:eastAsia="en-GB"/>
        </w:rPr>
        <w:t xml:space="preserve">Review  </w:t>
      </w:r>
      <w:r w:rsidR="006C4189" w:rsidRPr="009D52DA">
        <w:rPr>
          <w:rFonts w:asciiTheme="majorHAnsi" w:eastAsia="Times New Roman" w:hAnsiTheme="majorHAnsi" w:cs="Arial"/>
          <w:sz w:val="20"/>
          <w:szCs w:val="20"/>
          <w:lang w:eastAsia="en-GB"/>
        </w:rPr>
        <w:t>5</w:t>
      </w:r>
      <w:proofErr w:type="gramEnd"/>
      <w:r w:rsidR="006C4189" w:rsidRPr="009D52DA">
        <w:rPr>
          <w:rFonts w:asciiTheme="majorHAnsi" w:eastAsia="Times New Roman" w:hAnsiTheme="majorHAnsi" w:cs="Arial"/>
          <w:sz w:val="20"/>
          <w:szCs w:val="20"/>
          <w:lang w:eastAsia="en-GB"/>
        </w:rPr>
        <w:t xml:space="preserve"> years after closure, </w:t>
      </w:r>
      <w:r>
        <w:rPr>
          <w:rFonts w:asciiTheme="majorHAnsi" w:eastAsia="Times New Roman" w:hAnsiTheme="majorHAnsi" w:cs="Arial"/>
          <w:sz w:val="20"/>
          <w:szCs w:val="20"/>
          <w:lang w:eastAsia="en-GB"/>
        </w:rPr>
        <w:t>to assess the</w:t>
      </w:r>
      <w:r w:rsidR="006C4189" w:rsidRPr="009D52DA">
        <w:rPr>
          <w:rFonts w:asciiTheme="majorHAnsi" w:eastAsia="Times New Roman" w:hAnsiTheme="majorHAnsi" w:cs="Arial"/>
          <w:sz w:val="20"/>
          <w:szCs w:val="20"/>
          <w:lang w:eastAsia="en-GB"/>
        </w:rPr>
        <w:t xml:space="preserve"> file’s continuing (or future) administrative value.  Files </w:t>
      </w:r>
      <w:r>
        <w:rPr>
          <w:rFonts w:asciiTheme="majorHAnsi" w:eastAsia="Times New Roman" w:hAnsiTheme="majorHAnsi" w:cs="Arial"/>
          <w:sz w:val="20"/>
          <w:szCs w:val="20"/>
          <w:lang w:eastAsia="en-GB"/>
        </w:rPr>
        <w:t xml:space="preserve">without </w:t>
      </w:r>
      <w:r w:rsidR="006C4189" w:rsidRPr="009D52DA">
        <w:rPr>
          <w:rFonts w:asciiTheme="majorHAnsi" w:eastAsia="Times New Roman" w:hAnsiTheme="majorHAnsi" w:cs="Arial"/>
          <w:sz w:val="20"/>
          <w:szCs w:val="20"/>
          <w:lang w:eastAsia="en-GB"/>
        </w:rPr>
        <w:t xml:space="preserve">such value </w:t>
      </w:r>
      <w:r w:rsidR="00891D48" w:rsidRPr="009D52DA">
        <w:rPr>
          <w:rFonts w:asciiTheme="majorHAnsi" w:eastAsia="Times New Roman" w:hAnsiTheme="majorHAnsi" w:cs="Arial"/>
          <w:sz w:val="20"/>
          <w:szCs w:val="20"/>
          <w:lang w:eastAsia="en-GB"/>
        </w:rPr>
        <w:t>to be</w:t>
      </w:r>
      <w:r w:rsidR="006C4189" w:rsidRPr="009D52DA">
        <w:rPr>
          <w:rFonts w:asciiTheme="majorHAnsi" w:eastAsia="Times New Roman" w:hAnsiTheme="majorHAnsi" w:cs="Arial"/>
          <w:sz w:val="20"/>
          <w:szCs w:val="20"/>
          <w:lang w:eastAsia="en-GB"/>
        </w:rPr>
        <w:t xml:space="preserve"> destroyed either immediately or at a stated </w:t>
      </w:r>
      <w:r>
        <w:rPr>
          <w:rFonts w:asciiTheme="majorHAnsi" w:eastAsia="Times New Roman" w:hAnsiTheme="majorHAnsi" w:cs="Arial"/>
          <w:sz w:val="20"/>
          <w:szCs w:val="20"/>
          <w:lang w:eastAsia="en-GB"/>
        </w:rPr>
        <w:t xml:space="preserve">future </w:t>
      </w:r>
      <w:r w:rsidR="006C4189" w:rsidRPr="009D52DA">
        <w:rPr>
          <w:rFonts w:asciiTheme="majorHAnsi" w:eastAsia="Times New Roman" w:hAnsiTheme="majorHAnsi" w:cs="Arial"/>
          <w:sz w:val="20"/>
          <w:szCs w:val="20"/>
          <w:lang w:eastAsia="en-GB"/>
        </w:rPr>
        <w:t xml:space="preserve">point </w:t>
      </w:r>
      <w:r w:rsidR="00891D48" w:rsidRPr="009D52DA">
        <w:rPr>
          <w:rFonts w:asciiTheme="majorHAnsi" w:eastAsia="Times New Roman" w:hAnsiTheme="majorHAnsi" w:cs="Arial"/>
          <w:sz w:val="20"/>
          <w:szCs w:val="20"/>
          <w:lang w:eastAsia="en-GB"/>
        </w:rPr>
        <w:t>;</w:t>
      </w:r>
    </w:p>
    <w:p w:rsidR="00E8500F" w:rsidRPr="00E8500F" w:rsidRDefault="00E8500F" w:rsidP="00E8500F">
      <w:pPr>
        <w:pStyle w:val="ListParagraph"/>
        <w:numPr>
          <w:ilvl w:val="0"/>
          <w:numId w:val="2"/>
        </w:numPr>
        <w:spacing w:after="0" w:line="360" w:lineRule="auto"/>
        <w:rPr>
          <w:rFonts w:asciiTheme="majorHAnsi" w:hAnsiTheme="majorHAnsi"/>
          <w:sz w:val="20"/>
          <w:szCs w:val="20"/>
        </w:rPr>
      </w:pPr>
      <w:r>
        <w:rPr>
          <w:rFonts w:asciiTheme="majorHAnsi" w:eastAsia="Times New Roman" w:hAnsiTheme="majorHAnsi" w:cs="Arial"/>
          <w:sz w:val="20"/>
          <w:szCs w:val="20"/>
          <w:lang w:eastAsia="en-GB"/>
        </w:rPr>
        <w:t xml:space="preserve"> Second Review </w:t>
      </w:r>
      <w:r w:rsidR="005A18C1" w:rsidRPr="009D52DA">
        <w:rPr>
          <w:rFonts w:asciiTheme="majorHAnsi" w:eastAsia="Times New Roman" w:hAnsiTheme="majorHAnsi" w:cs="Arial"/>
          <w:sz w:val="20"/>
          <w:szCs w:val="20"/>
          <w:lang w:eastAsia="en-GB"/>
        </w:rPr>
        <w:t xml:space="preserve">25 years after a </w:t>
      </w:r>
      <w:r w:rsidR="006C4189" w:rsidRPr="009D52DA">
        <w:rPr>
          <w:rFonts w:asciiTheme="majorHAnsi" w:eastAsia="Times New Roman" w:hAnsiTheme="majorHAnsi" w:cs="Arial"/>
          <w:sz w:val="20"/>
          <w:szCs w:val="20"/>
          <w:lang w:eastAsia="en-GB"/>
        </w:rPr>
        <w:t xml:space="preserve">‘surviving’ </w:t>
      </w:r>
      <w:r w:rsidR="005A18C1" w:rsidRPr="009D52DA">
        <w:rPr>
          <w:rFonts w:asciiTheme="majorHAnsi" w:eastAsia="Times New Roman" w:hAnsiTheme="majorHAnsi" w:cs="Arial"/>
          <w:sz w:val="20"/>
          <w:szCs w:val="20"/>
          <w:lang w:eastAsia="en-GB"/>
        </w:rPr>
        <w:t>file was created</w:t>
      </w:r>
      <w:r w:rsidR="006C4189" w:rsidRPr="009D52DA">
        <w:rPr>
          <w:rFonts w:asciiTheme="majorHAnsi" w:eastAsia="Times New Roman" w:hAnsiTheme="majorHAnsi" w:cs="Arial"/>
          <w:sz w:val="20"/>
          <w:szCs w:val="20"/>
          <w:lang w:eastAsia="en-GB"/>
        </w:rPr>
        <w:t xml:space="preserve">, carried out by  </w:t>
      </w:r>
      <w:r w:rsidR="005A18C1" w:rsidRPr="009D52DA">
        <w:rPr>
          <w:rFonts w:asciiTheme="majorHAnsi" w:eastAsia="Times New Roman" w:hAnsiTheme="majorHAnsi" w:cs="Arial"/>
          <w:sz w:val="20"/>
          <w:szCs w:val="20"/>
          <w:lang w:eastAsia="en-GB"/>
        </w:rPr>
        <w:t xml:space="preserve"> </w:t>
      </w:r>
      <w:r w:rsidR="006C4189" w:rsidRPr="009D52DA">
        <w:rPr>
          <w:rFonts w:asciiTheme="majorHAnsi" w:eastAsia="Times New Roman" w:hAnsiTheme="majorHAnsi" w:cs="Arial"/>
          <w:sz w:val="20"/>
          <w:szCs w:val="20"/>
          <w:lang w:eastAsia="en-GB"/>
        </w:rPr>
        <w:t xml:space="preserve">departmental reviewers, in conjunction with PRO officers. </w:t>
      </w:r>
      <w:r w:rsidR="00E43A77">
        <w:rPr>
          <w:rFonts w:asciiTheme="majorHAnsi" w:eastAsia="Times New Roman" w:hAnsiTheme="majorHAnsi" w:cs="Arial"/>
          <w:sz w:val="20"/>
          <w:szCs w:val="20"/>
          <w:lang w:eastAsia="en-GB"/>
        </w:rPr>
        <w:t xml:space="preserve"> </w:t>
      </w:r>
      <w:r w:rsidR="006C4189" w:rsidRPr="009D52DA">
        <w:rPr>
          <w:rFonts w:asciiTheme="majorHAnsi" w:eastAsia="Times New Roman" w:hAnsiTheme="majorHAnsi" w:cs="Arial"/>
          <w:sz w:val="20"/>
          <w:szCs w:val="20"/>
          <w:lang w:eastAsia="en-GB"/>
        </w:rPr>
        <w:t>Th</w:t>
      </w:r>
      <w:r w:rsidR="00891D48" w:rsidRPr="009D52DA">
        <w:rPr>
          <w:rFonts w:asciiTheme="majorHAnsi" w:eastAsia="Times New Roman" w:hAnsiTheme="majorHAnsi" w:cs="Arial"/>
          <w:sz w:val="20"/>
          <w:szCs w:val="20"/>
          <w:lang w:eastAsia="en-GB"/>
        </w:rPr>
        <w:t>is</w:t>
      </w:r>
      <w:r w:rsidR="006C4189" w:rsidRPr="009D52DA">
        <w:rPr>
          <w:rFonts w:asciiTheme="majorHAnsi" w:eastAsia="Times New Roman" w:hAnsiTheme="majorHAnsi" w:cs="Arial"/>
          <w:sz w:val="20"/>
          <w:szCs w:val="20"/>
          <w:lang w:eastAsia="en-GB"/>
        </w:rPr>
        <w:t xml:space="preserve"> Review can consider </w:t>
      </w:r>
      <w:r w:rsidR="005A18C1" w:rsidRPr="009D52DA">
        <w:rPr>
          <w:rFonts w:asciiTheme="majorHAnsi" w:eastAsia="Times New Roman" w:hAnsiTheme="majorHAnsi" w:cs="Arial"/>
          <w:sz w:val="20"/>
          <w:szCs w:val="20"/>
          <w:lang w:eastAsia="en-GB"/>
        </w:rPr>
        <w:t xml:space="preserve">‘historical’ </w:t>
      </w:r>
      <w:r w:rsidR="006C4189" w:rsidRPr="009D52DA">
        <w:rPr>
          <w:rFonts w:asciiTheme="majorHAnsi" w:eastAsia="Times New Roman" w:hAnsiTheme="majorHAnsi" w:cs="Arial"/>
          <w:sz w:val="20"/>
          <w:szCs w:val="20"/>
          <w:lang w:eastAsia="en-GB"/>
        </w:rPr>
        <w:t>value as a criterion</w:t>
      </w:r>
      <w:r>
        <w:rPr>
          <w:rFonts w:asciiTheme="majorHAnsi" w:eastAsia="Times New Roman" w:hAnsiTheme="majorHAnsi" w:cs="Arial"/>
          <w:sz w:val="20"/>
          <w:szCs w:val="20"/>
          <w:lang w:eastAsia="en-GB"/>
        </w:rPr>
        <w:t xml:space="preserve">; files with such </w:t>
      </w:r>
      <w:r w:rsidR="006C4189" w:rsidRPr="009D52DA">
        <w:rPr>
          <w:rFonts w:asciiTheme="majorHAnsi" w:eastAsia="Times New Roman" w:hAnsiTheme="majorHAnsi" w:cs="Arial"/>
          <w:sz w:val="20"/>
          <w:szCs w:val="20"/>
          <w:lang w:eastAsia="en-GB"/>
        </w:rPr>
        <w:t>value are</w:t>
      </w:r>
      <w:r w:rsidR="005E377B" w:rsidRPr="009D52DA">
        <w:rPr>
          <w:rFonts w:asciiTheme="majorHAnsi" w:eastAsia="Times New Roman" w:hAnsiTheme="majorHAnsi" w:cs="Arial"/>
          <w:sz w:val="20"/>
          <w:szCs w:val="20"/>
          <w:lang w:eastAsia="en-GB"/>
        </w:rPr>
        <w:t xml:space="preserve"> </w:t>
      </w:r>
      <w:r w:rsidR="005A18C1" w:rsidRPr="009D52DA">
        <w:rPr>
          <w:rFonts w:asciiTheme="majorHAnsi" w:eastAsia="Times New Roman" w:hAnsiTheme="majorHAnsi" w:cs="Arial"/>
          <w:sz w:val="20"/>
          <w:szCs w:val="20"/>
          <w:lang w:eastAsia="en-GB"/>
        </w:rPr>
        <w:t xml:space="preserve">transferred to </w:t>
      </w:r>
      <w:r w:rsidR="005E377B" w:rsidRPr="009D52DA">
        <w:rPr>
          <w:rFonts w:asciiTheme="majorHAnsi" w:eastAsia="Times New Roman" w:hAnsiTheme="majorHAnsi" w:cs="Arial"/>
          <w:sz w:val="20"/>
          <w:szCs w:val="20"/>
          <w:lang w:eastAsia="en-GB"/>
        </w:rPr>
        <w:t>the PRO (which became The National Archives</w:t>
      </w:r>
      <w:r w:rsidR="00907BE5">
        <w:rPr>
          <w:rFonts w:asciiTheme="majorHAnsi" w:eastAsia="Times New Roman" w:hAnsiTheme="majorHAnsi" w:cs="Arial"/>
          <w:sz w:val="20"/>
          <w:szCs w:val="20"/>
          <w:lang w:eastAsia="en-GB"/>
        </w:rPr>
        <w:t xml:space="preserve"> (TNA)</w:t>
      </w:r>
      <w:r w:rsidR="005E377B" w:rsidRPr="009D52DA">
        <w:rPr>
          <w:rFonts w:asciiTheme="majorHAnsi" w:eastAsia="Times New Roman" w:hAnsiTheme="majorHAnsi" w:cs="Arial"/>
          <w:sz w:val="20"/>
          <w:szCs w:val="20"/>
          <w:lang w:eastAsia="en-GB"/>
        </w:rPr>
        <w:t xml:space="preserve"> in 2003)</w:t>
      </w:r>
      <w:r w:rsidR="00E43A77">
        <w:rPr>
          <w:rFonts w:asciiTheme="majorHAnsi" w:eastAsia="Times New Roman" w:hAnsiTheme="majorHAnsi" w:cs="Arial"/>
          <w:sz w:val="20"/>
          <w:szCs w:val="20"/>
          <w:lang w:eastAsia="en-GB"/>
        </w:rPr>
        <w:t>;</w:t>
      </w:r>
      <w:r w:rsidR="005A18C1" w:rsidRPr="009D52DA">
        <w:rPr>
          <w:rFonts w:asciiTheme="majorHAnsi" w:eastAsia="Times New Roman" w:hAnsiTheme="majorHAnsi" w:cs="Arial"/>
          <w:sz w:val="20"/>
          <w:szCs w:val="20"/>
          <w:lang w:eastAsia="en-GB"/>
        </w:rPr>
        <w:t xml:space="preserve"> </w:t>
      </w:r>
    </w:p>
    <w:p w:rsidR="00E8500F" w:rsidRDefault="00E8500F" w:rsidP="00E8500F">
      <w:pPr>
        <w:spacing w:after="0"/>
        <w:ind w:left="360"/>
        <w:rPr>
          <w:rFonts w:asciiTheme="majorHAnsi" w:eastAsia="Times New Roman" w:hAnsiTheme="majorHAnsi" w:cs="Arial"/>
          <w:sz w:val="20"/>
          <w:szCs w:val="20"/>
          <w:lang w:eastAsia="en-GB"/>
        </w:rPr>
      </w:pPr>
    </w:p>
    <w:p w:rsidR="006140AB" w:rsidRPr="00E8500F" w:rsidRDefault="006140AB" w:rsidP="009F5544">
      <w:pPr>
        <w:spacing w:after="0"/>
        <w:ind w:left="360" w:firstLine="360"/>
        <w:rPr>
          <w:rFonts w:asciiTheme="majorHAnsi" w:hAnsiTheme="majorHAnsi"/>
          <w:sz w:val="20"/>
          <w:szCs w:val="20"/>
        </w:rPr>
      </w:pPr>
      <w:r w:rsidRPr="00E8500F">
        <w:rPr>
          <w:rFonts w:asciiTheme="majorHAnsi" w:eastAsia="Times New Roman" w:hAnsiTheme="majorHAnsi" w:cs="Arial"/>
          <w:sz w:val="20"/>
          <w:szCs w:val="20"/>
          <w:lang w:eastAsia="en-GB"/>
        </w:rPr>
        <w:t xml:space="preserve">The 1967 Public Records Act </w:t>
      </w:r>
      <w:r w:rsidR="00E43A77" w:rsidRPr="00E8500F">
        <w:rPr>
          <w:rFonts w:asciiTheme="majorHAnsi" w:eastAsia="Times New Roman" w:hAnsiTheme="majorHAnsi" w:cs="Arial"/>
          <w:sz w:val="20"/>
          <w:szCs w:val="20"/>
          <w:lang w:eastAsia="en-GB"/>
        </w:rPr>
        <w:t>reduced</w:t>
      </w:r>
      <w:r w:rsidRPr="00E8500F">
        <w:rPr>
          <w:rFonts w:asciiTheme="majorHAnsi" w:eastAsia="Times New Roman" w:hAnsiTheme="majorHAnsi" w:cs="Arial"/>
          <w:sz w:val="20"/>
          <w:szCs w:val="20"/>
          <w:lang w:eastAsia="en-GB"/>
        </w:rPr>
        <w:t xml:space="preserve"> the period for retaining files within departments from 50 to 30 years, and al</w:t>
      </w:r>
      <w:r w:rsidR="005E377B" w:rsidRPr="00E8500F">
        <w:rPr>
          <w:rFonts w:asciiTheme="majorHAnsi" w:eastAsia="Times New Roman" w:hAnsiTheme="majorHAnsi" w:cs="Arial"/>
          <w:sz w:val="20"/>
          <w:szCs w:val="20"/>
          <w:lang w:eastAsia="en-GB"/>
        </w:rPr>
        <w:t xml:space="preserve">though </w:t>
      </w:r>
      <w:r w:rsidR="00EF0D1D" w:rsidRPr="00E8500F">
        <w:rPr>
          <w:rFonts w:asciiTheme="majorHAnsi" w:eastAsia="Times New Roman" w:hAnsiTheme="majorHAnsi" w:cs="Arial"/>
          <w:sz w:val="20"/>
          <w:szCs w:val="20"/>
          <w:lang w:eastAsia="en-GB"/>
        </w:rPr>
        <w:t>the</w:t>
      </w:r>
      <w:r w:rsidR="005E377B" w:rsidRPr="00E8500F">
        <w:rPr>
          <w:rFonts w:asciiTheme="majorHAnsi" w:eastAsia="Times New Roman" w:hAnsiTheme="majorHAnsi" w:cs="Arial"/>
          <w:sz w:val="20"/>
          <w:szCs w:val="20"/>
          <w:lang w:eastAsia="en-GB"/>
        </w:rPr>
        <w:t xml:space="preserve"> 1981</w:t>
      </w:r>
      <w:r w:rsidRPr="00E8500F">
        <w:rPr>
          <w:rFonts w:asciiTheme="majorHAnsi" w:eastAsia="Times New Roman" w:hAnsiTheme="majorHAnsi" w:cs="Arial"/>
          <w:sz w:val="20"/>
          <w:szCs w:val="20"/>
          <w:lang w:eastAsia="en-GB"/>
        </w:rPr>
        <w:t xml:space="preserve"> </w:t>
      </w:r>
      <w:r w:rsidR="00EF0D1D" w:rsidRPr="00E8500F">
        <w:rPr>
          <w:rFonts w:asciiTheme="majorHAnsi" w:eastAsia="Times New Roman" w:hAnsiTheme="majorHAnsi" w:cs="Arial"/>
          <w:sz w:val="20"/>
          <w:szCs w:val="20"/>
          <w:lang w:eastAsia="en-GB"/>
        </w:rPr>
        <w:t xml:space="preserve">Wilson </w:t>
      </w:r>
      <w:r w:rsidR="005E377B" w:rsidRPr="00E8500F">
        <w:rPr>
          <w:rFonts w:asciiTheme="majorHAnsi" w:eastAsia="Times New Roman" w:hAnsiTheme="majorHAnsi" w:cs="Arial"/>
          <w:sz w:val="20"/>
          <w:szCs w:val="20"/>
          <w:lang w:eastAsia="en-GB"/>
        </w:rPr>
        <w:t>Committee on Modern Public Records</w:t>
      </w:r>
      <w:r w:rsidRPr="00E8500F">
        <w:rPr>
          <w:rFonts w:asciiTheme="majorHAnsi" w:eastAsia="Times New Roman" w:hAnsiTheme="majorHAnsi" w:cs="Arial"/>
          <w:sz w:val="20"/>
          <w:szCs w:val="20"/>
          <w:lang w:eastAsia="en-GB"/>
        </w:rPr>
        <w:t xml:space="preserve"> </w:t>
      </w:r>
      <w:r w:rsidR="005E377B" w:rsidRPr="00E8500F">
        <w:rPr>
          <w:rFonts w:asciiTheme="majorHAnsi" w:eastAsia="Times New Roman" w:hAnsiTheme="majorHAnsi" w:cs="Arial"/>
          <w:sz w:val="20"/>
          <w:szCs w:val="20"/>
          <w:lang w:eastAsia="en-GB"/>
        </w:rPr>
        <w:t>reviewed selection and access processes</w:t>
      </w:r>
      <w:r w:rsidRPr="00E8500F">
        <w:rPr>
          <w:rFonts w:asciiTheme="majorHAnsi" w:eastAsia="Times New Roman" w:hAnsiTheme="majorHAnsi" w:cs="Arial"/>
          <w:sz w:val="20"/>
          <w:szCs w:val="20"/>
          <w:lang w:eastAsia="en-GB"/>
        </w:rPr>
        <w:t xml:space="preserve">, </w:t>
      </w:r>
      <w:r w:rsidR="005E377B" w:rsidRPr="00E8500F">
        <w:rPr>
          <w:rFonts w:asciiTheme="majorHAnsi" w:eastAsia="Times New Roman" w:hAnsiTheme="majorHAnsi" w:cs="Arial"/>
          <w:sz w:val="20"/>
          <w:szCs w:val="20"/>
          <w:lang w:eastAsia="en-GB"/>
        </w:rPr>
        <w:t xml:space="preserve">there were </w:t>
      </w:r>
      <w:r w:rsidR="00E43A77" w:rsidRPr="00E8500F">
        <w:rPr>
          <w:rFonts w:asciiTheme="majorHAnsi" w:eastAsia="Times New Roman" w:hAnsiTheme="majorHAnsi" w:cs="Arial"/>
          <w:sz w:val="20"/>
          <w:szCs w:val="20"/>
          <w:lang w:eastAsia="en-GB"/>
        </w:rPr>
        <w:t xml:space="preserve">to be </w:t>
      </w:r>
      <w:r w:rsidR="005E377B" w:rsidRPr="00E8500F">
        <w:rPr>
          <w:rFonts w:asciiTheme="majorHAnsi" w:eastAsia="Times New Roman" w:hAnsiTheme="majorHAnsi" w:cs="Arial"/>
          <w:sz w:val="20"/>
          <w:szCs w:val="20"/>
          <w:lang w:eastAsia="en-GB"/>
        </w:rPr>
        <w:t xml:space="preserve">no </w:t>
      </w:r>
      <w:r w:rsidRPr="00E8500F">
        <w:rPr>
          <w:rFonts w:asciiTheme="majorHAnsi" w:eastAsia="Times New Roman" w:hAnsiTheme="majorHAnsi" w:cs="Arial"/>
          <w:sz w:val="20"/>
          <w:szCs w:val="20"/>
          <w:lang w:eastAsia="en-GB"/>
        </w:rPr>
        <w:t xml:space="preserve">other </w:t>
      </w:r>
      <w:r w:rsidR="005E377B" w:rsidRPr="00E8500F">
        <w:rPr>
          <w:rFonts w:asciiTheme="majorHAnsi" w:eastAsia="Times New Roman" w:hAnsiTheme="majorHAnsi" w:cs="Arial"/>
          <w:sz w:val="20"/>
          <w:szCs w:val="20"/>
          <w:lang w:eastAsia="en-GB"/>
        </w:rPr>
        <w:t>substantive changes to the system</w:t>
      </w:r>
      <w:r w:rsidRPr="00E8500F">
        <w:rPr>
          <w:rFonts w:asciiTheme="majorHAnsi" w:eastAsia="Times New Roman" w:hAnsiTheme="majorHAnsi" w:cs="Arial"/>
          <w:sz w:val="20"/>
          <w:szCs w:val="20"/>
          <w:lang w:eastAsia="en-GB"/>
        </w:rPr>
        <w:t xml:space="preserve"> for </w:t>
      </w:r>
      <w:r w:rsidR="00E43A77" w:rsidRPr="00E8500F">
        <w:rPr>
          <w:rFonts w:asciiTheme="majorHAnsi" w:eastAsia="Times New Roman" w:hAnsiTheme="majorHAnsi" w:cs="Arial"/>
          <w:sz w:val="20"/>
          <w:szCs w:val="20"/>
          <w:lang w:eastAsia="en-GB"/>
        </w:rPr>
        <w:t>nearly 50 years. T</w:t>
      </w:r>
      <w:r w:rsidRPr="00E8500F">
        <w:rPr>
          <w:rFonts w:asciiTheme="majorHAnsi" w:eastAsia="Times New Roman" w:hAnsiTheme="majorHAnsi" w:cs="Arial"/>
          <w:sz w:val="20"/>
          <w:szCs w:val="20"/>
          <w:lang w:eastAsia="en-GB"/>
        </w:rPr>
        <w:t xml:space="preserve">he </w:t>
      </w:r>
      <w:r w:rsidR="00E43A77" w:rsidRPr="00E8500F">
        <w:rPr>
          <w:rFonts w:asciiTheme="majorHAnsi" w:eastAsia="Times New Roman" w:hAnsiTheme="majorHAnsi" w:cs="Arial"/>
          <w:sz w:val="20"/>
          <w:szCs w:val="20"/>
          <w:lang w:eastAsia="en-GB"/>
        </w:rPr>
        <w:t xml:space="preserve">selection and transfer </w:t>
      </w:r>
      <w:r w:rsidRPr="00E8500F">
        <w:rPr>
          <w:rFonts w:asciiTheme="majorHAnsi" w:eastAsia="Times New Roman" w:hAnsiTheme="majorHAnsi" w:cs="Arial"/>
          <w:sz w:val="20"/>
          <w:szCs w:val="20"/>
          <w:lang w:eastAsia="en-GB"/>
        </w:rPr>
        <w:t>processes</w:t>
      </w:r>
      <w:r w:rsidR="00E43A77" w:rsidRPr="00E8500F">
        <w:rPr>
          <w:rFonts w:asciiTheme="majorHAnsi" w:eastAsia="Times New Roman" w:hAnsiTheme="majorHAnsi" w:cs="Arial"/>
          <w:sz w:val="20"/>
          <w:szCs w:val="20"/>
          <w:lang w:eastAsia="en-GB"/>
        </w:rPr>
        <w:t xml:space="preserve"> </w:t>
      </w:r>
      <w:r w:rsidRPr="00E8500F">
        <w:rPr>
          <w:rFonts w:asciiTheme="majorHAnsi" w:eastAsia="Times New Roman" w:hAnsiTheme="majorHAnsi" w:cs="Arial"/>
          <w:sz w:val="20"/>
          <w:szCs w:val="20"/>
          <w:lang w:eastAsia="en-GB"/>
        </w:rPr>
        <w:t>and procedures based on</w:t>
      </w:r>
      <w:r w:rsidR="00E43A77" w:rsidRPr="00E8500F">
        <w:rPr>
          <w:rFonts w:asciiTheme="majorHAnsi" w:eastAsia="Times New Roman" w:hAnsiTheme="majorHAnsi" w:cs="Arial"/>
          <w:sz w:val="20"/>
          <w:szCs w:val="20"/>
          <w:lang w:eastAsia="en-GB"/>
        </w:rPr>
        <w:t xml:space="preserve"> </w:t>
      </w:r>
      <w:r w:rsidR="00891D48" w:rsidRPr="00E8500F">
        <w:rPr>
          <w:rFonts w:asciiTheme="majorHAnsi" w:eastAsia="Times New Roman" w:hAnsiTheme="majorHAnsi" w:cs="Arial"/>
          <w:sz w:val="20"/>
          <w:szCs w:val="20"/>
          <w:lang w:eastAsia="en-GB"/>
        </w:rPr>
        <w:t xml:space="preserve">the </w:t>
      </w:r>
      <w:proofErr w:type="spellStart"/>
      <w:r w:rsidR="006C5801" w:rsidRPr="00E8500F">
        <w:rPr>
          <w:rFonts w:asciiTheme="majorHAnsi" w:eastAsia="Times New Roman" w:hAnsiTheme="majorHAnsi" w:cs="Arial"/>
          <w:sz w:val="20"/>
          <w:szCs w:val="20"/>
          <w:lang w:eastAsia="en-GB"/>
        </w:rPr>
        <w:t>Grigg</w:t>
      </w:r>
      <w:proofErr w:type="spellEnd"/>
      <w:r w:rsidR="006C5801" w:rsidRPr="00E8500F">
        <w:rPr>
          <w:rFonts w:asciiTheme="majorHAnsi" w:eastAsia="Times New Roman" w:hAnsiTheme="majorHAnsi" w:cs="Arial"/>
          <w:sz w:val="20"/>
          <w:szCs w:val="20"/>
          <w:lang w:eastAsia="en-GB"/>
        </w:rPr>
        <w:t xml:space="preserve"> Committee</w:t>
      </w:r>
      <w:r w:rsidR="00E43A77" w:rsidRPr="00E8500F">
        <w:rPr>
          <w:rFonts w:asciiTheme="majorHAnsi" w:eastAsia="Times New Roman" w:hAnsiTheme="majorHAnsi" w:cs="Arial"/>
          <w:sz w:val="20"/>
          <w:szCs w:val="20"/>
          <w:lang w:eastAsia="en-GB"/>
        </w:rPr>
        <w:t xml:space="preserve">’s </w:t>
      </w:r>
      <w:r w:rsidR="00E43A77" w:rsidRPr="00E8500F">
        <w:rPr>
          <w:rFonts w:asciiTheme="majorHAnsi" w:eastAsia="Times New Roman" w:hAnsiTheme="majorHAnsi" w:cs="Arial"/>
          <w:sz w:val="20"/>
          <w:szCs w:val="20"/>
          <w:lang w:eastAsia="en-GB"/>
        </w:rPr>
        <w:lastRenderedPageBreak/>
        <w:t>recommendations</w:t>
      </w:r>
      <w:r w:rsidR="00891D48" w:rsidRPr="00E8500F">
        <w:rPr>
          <w:rFonts w:asciiTheme="majorHAnsi" w:eastAsia="Times New Roman" w:hAnsiTheme="majorHAnsi" w:cs="Arial"/>
          <w:sz w:val="20"/>
          <w:szCs w:val="20"/>
          <w:lang w:eastAsia="en-GB"/>
        </w:rPr>
        <w:t xml:space="preserve"> </w:t>
      </w:r>
      <w:r w:rsidRPr="00E8500F">
        <w:rPr>
          <w:rFonts w:asciiTheme="majorHAnsi" w:eastAsia="Times New Roman" w:hAnsiTheme="majorHAnsi" w:cs="Arial"/>
          <w:sz w:val="20"/>
          <w:szCs w:val="20"/>
          <w:lang w:eastAsia="en-GB"/>
        </w:rPr>
        <w:t xml:space="preserve">worked well enough for </w:t>
      </w:r>
      <w:r w:rsidR="00E43A77" w:rsidRPr="00E8500F">
        <w:rPr>
          <w:rFonts w:asciiTheme="majorHAnsi" w:eastAsia="Times New Roman" w:hAnsiTheme="majorHAnsi" w:cs="Arial"/>
          <w:sz w:val="20"/>
          <w:szCs w:val="20"/>
          <w:lang w:eastAsia="en-GB"/>
        </w:rPr>
        <w:t>the</w:t>
      </w:r>
      <w:r w:rsidRPr="00E8500F">
        <w:rPr>
          <w:rFonts w:asciiTheme="majorHAnsi" w:hAnsiTheme="majorHAnsi"/>
          <w:sz w:val="20"/>
          <w:szCs w:val="20"/>
        </w:rPr>
        <w:t xml:space="preserve"> paper records of central government institutions, </w:t>
      </w:r>
      <w:r w:rsidR="00E43A77" w:rsidRPr="00E8500F">
        <w:rPr>
          <w:rFonts w:asciiTheme="majorHAnsi" w:hAnsiTheme="majorHAnsi"/>
          <w:sz w:val="20"/>
          <w:szCs w:val="20"/>
        </w:rPr>
        <w:t xml:space="preserve">especially where those records were held </w:t>
      </w:r>
      <w:r w:rsidRPr="00E8500F">
        <w:rPr>
          <w:rFonts w:asciiTheme="majorHAnsi" w:hAnsiTheme="majorHAnsi"/>
          <w:sz w:val="20"/>
          <w:szCs w:val="20"/>
        </w:rPr>
        <w:t>within well-managed registries</w:t>
      </w:r>
      <w:r w:rsidR="00E43A77" w:rsidRPr="00E8500F">
        <w:rPr>
          <w:rFonts w:asciiTheme="majorHAnsi" w:hAnsiTheme="majorHAnsi"/>
          <w:sz w:val="20"/>
          <w:szCs w:val="20"/>
        </w:rPr>
        <w:t>. But even where registries were in place</w:t>
      </w:r>
      <w:r w:rsidR="009825CF" w:rsidRPr="00E8500F">
        <w:rPr>
          <w:rFonts w:asciiTheme="majorHAnsi" w:hAnsiTheme="majorHAnsi"/>
          <w:sz w:val="20"/>
          <w:szCs w:val="20"/>
        </w:rPr>
        <w:t xml:space="preserve">, the system, predicated as it was on the records lifecycle,  was already breaking down by the 1970s, as electronic working,  the </w:t>
      </w:r>
      <w:r w:rsidR="00B7079C" w:rsidRPr="00E8500F">
        <w:rPr>
          <w:rFonts w:asciiTheme="majorHAnsi" w:hAnsiTheme="majorHAnsi"/>
          <w:sz w:val="20"/>
          <w:szCs w:val="20"/>
        </w:rPr>
        <w:t>ever-</w:t>
      </w:r>
      <w:r w:rsidR="009825CF" w:rsidRPr="00E8500F">
        <w:rPr>
          <w:rFonts w:asciiTheme="majorHAnsi" w:hAnsiTheme="majorHAnsi"/>
          <w:sz w:val="20"/>
          <w:szCs w:val="20"/>
        </w:rPr>
        <w:t xml:space="preserve">increasing paper mountain, and bureaucratic upheavals  changed recordkeeping, and therefore archival, practices for ever.     </w:t>
      </w:r>
    </w:p>
    <w:p w:rsidR="007D4D0D" w:rsidRPr="009D52DA" w:rsidRDefault="006140AB" w:rsidP="009D52DA">
      <w:pPr>
        <w:spacing w:after="0"/>
        <w:jc w:val="left"/>
        <w:rPr>
          <w:rFonts w:asciiTheme="majorHAnsi" w:hAnsiTheme="majorHAnsi"/>
          <w:sz w:val="20"/>
          <w:szCs w:val="20"/>
        </w:rPr>
      </w:pPr>
      <w:r w:rsidRPr="009D52DA">
        <w:rPr>
          <w:rFonts w:asciiTheme="majorHAnsi" w:eastAsia="Times New Roman" w:hAnsiTheme="majorHAnsi" w:cs="Arial"/>
          <w:sz w:val="20"/>
          <w:szCs w:val="20"/>
          <w:lang w:eastAsia="en-GB"/>
        </w:rPr>
        <w:t xml:space="preserve"> </w:t>
      </w:r>
    </w:p>
    <w:p w:rsidR="006C5801" w:rsidRPr="009F5544" w:rsidRDefault="00B7079C" w:rsidP="009F5544">
      <w:pPr>
        <w:jc w:val="center"/>
        <w:rPr>
          <w:rFonts w:asciiTheme="majorHAnsi" w:hAnsiTheme="majorHAnsi"/>
          <w:sz w:val="20"/>
          <w:szCs w:val="20"/>
        </w:rPr>
      </w:pPr>
      <w:r w:rsidRPr="009F5544">
        <w:rPr>
          <w:rFonts w:asciiTheme="majorHAnsi" w:hAnsiTheme="majorHAnsi"/>
          <w:sz w:val="20"/>
          <w:szCs w:val="20"/>
        </w:rPr>
        <w:t xml:space="preserve">Wider </w:t>
      </w:r>
      <w:r w:rsidR="00B208AC">
        <w:rPr>
          <w:rFonts w:asciiTheme="majorHAnsi" w:hAnsiTheme="majorHAnsi"/>
          <w:sz w:val="20"/>
          <w:szCs w:val="20"/>
        </w:rPr>
        <w:t>I</w:t>
      </w:r>
      <w:r w:rsidR="00B208AC" w:rsidRPr="009F5544">
        <w:rPr>
          <w:rFonts w:asciiTheme="majorHAnsi" w:hAnsiTheme="majorHAnsi"/>
          <w:sz w:val="20"/>
          <w:szCs w:val="20"/>
        </w:rPr>
        <w:t xml:space="preserve">nfluence </w:t>
      </w:r>
      <w:r w:rsidR="006C5801" w:rsidRPr="009F5544">
        <w:rPr>
          <w:rFonts w:asciiTheme="majorHAnsi" w:hAnsiTheme="majorHAnsi"/>
          <w:sz w:val="20"/>
          <w:szCs w:val="20"/>
        </w:rPr>
        <w:t xml:space="preserve">of the </w:t>
      </w:r>
      <w:proofErr w:type="spellStart"/>
      <w:r w:rsidR="006C5801" w:rsidRPr="009F5544">
        <w:rPr>
          <w:rFonts w:asciiTheme="majorHAnsi" w:hAnsiTheme="majorHAnsi"/>
          <w:sz w:val="20"/>
          <w:szCs w:val="20"/>
        </w:rPr>
        <w:t>Grigg</w:t>
      </w:r>
      <w:proofErr w:type="spellEnd"/>
      <w:r w:rsidR="006C5801" w:rsidRPr="009F5544">
        <w:rPr>
          <w:rFonts w:asciiTheme="majorHAnsi" w:hAnsiTheme="majorHAnsi"/>
          <w:sz w:val="20"/>
          <w:szCs w:val="20"/>
        </w:rPr>
        <w:t xml:space="preserve"> </w:t>
      </w:r>
      <w:r w:rsidR="00B208AC">
        <w:rPr>
          <w:rFonts w:asciiTheme="majorHAnsi" w:hAnsiTheme="majorHAnsi"/>
          <w:sz w:val="20"/>
          <w:szCs w:val="20"/>
        </w:rPr>
        <w:t>S</w:t>
      </w:r>
      <w:r w:rsidR="00B208AC" w:rsidRPr="009F5544">
        <w:rPr>
          <w:rFonts w:asciiTheme="majorHAnsi" w:hAnsiTheme="majorHAnsi"/>
          <w:sz w:val="20"/>
          <w:szCs w:val="20"/>
        </w:rPr>
        <w:t>ystem</w:t>
      </w:r>
    </w:p>
    <w:p w:rsidR="00B94A00" w:rsidRPr="009D52DA" w:rsidRDefault="00C525DB" w:rsidP="009F5544">
      <w:pPr>
        <w:ind w:firstLine="720"/>
        <w:rPr>
          <w:rFonts w:asciiTheme="majorHAnsi" w:hAnsiTheme="majorHAnsi"/>
          <w:sz w:val="20"/>
          <w:szCs w:val="20"/>
        </w:rPr>
      </w:pPr>
      <w:r w:rsidRPr="009D52DA">
        <w:rPr>
          <w:rFonts w:asciiTheme="majorHAnsi" w:hAnsiTheme="majorHAnsi"/>
          <w:sz w:val="20"/>
          <w:szCs w:val="20"/>
        </w:rPr>
        <w:t>Wi</w:t>
      </w:r>
      <w:r w:rsidR="00EA07AA" w:rsidRPr="009D52DA">
        <w:rPr>
          <w:rFonts w:asciiTheme="majorHAnsi" w:hAnsiTheme="majorHAnsi"/>
          <w:sz w:val="20"/>
          <w:szCs w:val="20"/>
        </w:rPr>
        <w:t xml:space="preserve">th </w:t>
      </w:r>
      <w:r w:rsidR="00B7079C">
        <w:rPr>
          <w:rFonts w:asciiTheme="majorHAnsi" w:hAnsiTheme="majorHAnsi"/>
          <w:sz w:val="20"/>
          <w:szCs w:val="20"/>
        </w:rPr>
        <w:t xml:space="preserve">the </w:t>
      </w:r>
      <w:r w:rsidR="00EA07AA" w:rsidRPr="009D52DA">
        <w:rPr>
          <w:rFonts w:asciiTheme="majorHAnsi" w:hAnsiTheme="majorHAnsi"/>
          <w:sz w:val="20"/>
          <w:szCs w:val="20"/>
        </w:rPr>
        <w:t xml:space="preserve">exception of </w:t>
      </w:r>
      <w:r w:rsidR="00B7079C">
        <w:rPr>
          <w:rFonts w:asciiTheme="majorHAnsi" w:hAnsiTheme="majorHAnsi"/>
          <w:sz w:val="20"/>
          <w:szCs w:val="20"/>
        </w:rPr>
        <w:t xml:space="preserve">its application to those </w:t>
      </w:r>
      <w:r w:rsidR="00EA07AA" w:rsidRPr="009D52DA">
        <w:rPr>
          <w:rFonts w:asciiTheme="majorHAnsi" w:hAnsiTheme="majorHAnsi"/>
          <w:sz w:val="20"/>
          <w:szCs w:val="20"/>
        </w:rPr>
        <w:t>records of central government functions</w:t>
      </w:r>
      <w:r w:rsidR="00B7079C">
        <w:rPr>
          <w:rFonts w:asciiTheme="majorHAnsi" w:hAnsiTheme="majorHAnsi"/>
          <w:sz w:val="20"/>
          <w:szCs w:val="20"/>
        </w:rPr>
        <w:t xml:space="preserve"> created and held locally</w:t>
      </w:r>
      <w:r w:rsidR="00EA07AA" w:rsidRPr="009D52DA">
        <w:rPr>
          <w:rFonts w:asciiTheme="majorHAnsi" w:hAnsiTheme="majorHAnsi"/>
          <w:sz w:val="20"/>
          <w:szCs w:val="20"/>
        </w:rPr>
        <w:t xml:space="preserve"> </w:t>
      </w:r>
      <w:r w:rsidRPr="009D52DA">
        <w:rPr>
          <w:rFonts w:asciiTheme="majorHAnsi" w:hAnsiTheme="majorHAnsi"/>
          <w:sz w:val="20"/>
          <w:szCs w:val="20"/>
        </w:rPr>
        <w:t>(</w:t>
      </w:r>
      <w:r w:rsidR="00EA07AA" w:rsidRPr="009D52DA">
        <w:rPr>
          <w:rFonts w:asciiTheme="majorHAnsi" w:hAnsiTheme="majorHAnsi"/>
          <w:sz w:val="20"/>
          <w:szCs w:val="20"/>
        </w:rPr>
        <w:t>health and justice</w:t>
      </w:r>
      <w:r w:rsidRPr="009D52DA">
        <w:rPr>
          <w:rFonts w:asciiTheme="majorHAnsi" w:hAnsiTheme="majorHAnsi"/>
          <w:sz w:val="20"/>
          <w:szCs w:val="20"/>
        </w:rPr>
        <w:t xml:space="preserve"> </w:t>
      </w:r>
      <w:r w:rsidR="00B7079C">
        <w:rPr>
          <w:rFonts w:asciiTheme="majorHAnsi" w:hAnsiTheme="majorHAnsi"/>
          <w:sz w:val="20"/>
          <w:szCs w:val="20"/>
        </w:rPr>
        <w:t xml:space="preserve">records </w:t>
      </w:r>
      <w:r w:rsidR="00EA07AA" w:rsidRPr="009D52DA">
        <w:rPr>
          <w:rFonts w:asciiTheme="majorHAnsi" w:hAnsiTheme="majorHAnsi"/>
          <w:sz w:val="20"/>
          <w:szCs w:val="20"/>
        </w:rPr>
        <w:t>being the most important</w:t>
      </w:r>
      <w:r w:rsidRPr="009D52DA">
        <w:rPr>
          <w:rFonts w:asciiTheme="majorHAnsi" w:hAnsiTheme="majorHAnsi"/>
          <w:sz w:val="20"/>
          <w:szCs w:val="20"/>
        </w:rPr>
        <w:t>), UK county and civic record offices are not bound by the provisions of the P</w:t>
      </w:r>
      <w:r w:rsidR="00156640" w:rsidRPr="009D52DA">
        <w:rPr>
          <w:rFonts w:asciiTheme="majorHAnsi" w:hAnsiTheme="majorHAnsi"/>
          <w:sz w:val="20"/>
          <w:szCs w:val="20"/>
        </w:rPr>
        <w:t xml:space="preserve">ublic </w:t>
      </w:r>
      <w:r w:rsidRPr="009D52DA">
        <w:rPr>
          <w:rFonts w:asciiTheme="majorHAnsi" w:hAnsiTheme="majorHAnsi"/>
          <w:sz w:val="20"/>
          <w:szCs w:val="20"/>
        </w:rPr>
        <w:t>R</w:t>
      </w:r>
      <w:r w:rsidR="00156640" w:rsidRPr="009D52DA">
        <w:rPr>
          <w:rFonts w:asciiTheme="majorHAnsi" w:hAnsiTheme="majorHAnsi"/>
          <w:sz w:val="20"/>
          <w:szCs w:val="20"/>
        </w:rPr>
        <w:t xml:space="preserve">ecords </w:t>
      </w:r>
      <w:r w:rsidRPr="009D52DA">
        <w:rPr>
          <w:rFonts w:asciiTheme="majorHAnsi" w:hAnsiTheme="majorHAnsi"/>
          <w:sz w:val="20"/>
          <w:szCs w:val="20"/>
        </w:rPr>
        <w:t>A</w:t>
      </w:r>
      <w:r w:rsidR="00156640" w:rsidRPr="009D52DA">
        <w:rPr>
          <w:rFonts w:asciiTheme="majorHAnsi" w:hAnsiTheme="majorHAnsi"/>
          <w:sz w:val="20"/>
          <w:szCs w:val="20"/>
        </w:rPr>
        <w:t xml:space="preserve">ct </w:t>
      </w:r>
      <w:r w:rsidRPr="009D52DA">
        <w:rPr>
          <w:rFonts w:asciiTheme="majorHAnsi" w:hAnsiTheme="majorHAnsi"/>
          <w:sz w:val="20"/>
          <w:szCs w:val="20"/>
        </w:rPr>
        <w:t>1958</w:t>
      </w:r>
      <w:r w:rsidR="00B7079C">
        <w:rPr>
          <w:rFonts w:asciiTheme="majorHAnsi" w:hAnsiTheme="majorHAnsi"/>
          <w:sz w:val="20"/>
          <w:szCs w:val="20"/>
        </w:rPr>
        <w:t xml:space="preserve">, and thus there was, in the 1960s, no formal requirement to adopt </w:t>
      </w:r>
      <w:r w:rsidR="00043CC0">
        <w:rPr>
          <w:rFonts w:asciiTheme="majorHAnsi" w:hAnsiTheme="majorHAnsi"/>
          <w:sz w:val="20"/>
          <w:szCs w:val="20"/>
        </w:rPr>
        <w:t xml:space="preserve">any of the </w:t>
      </w:r>
      <w:r w:rsidR="00B7079C">
        <w:rPr>
          <w:rFonts w:asciiTheme="majorHAnsi" w:hAnsiTheme="majorHAnsi"/>
          <w:sz w:val="20"/>
          <w:szCs w:val="20"/>
        </w:rPr>
        <w:t xml:space="preserve">selection processes derived from </w:t>
      </w:r>
      <w:proofErr w:type="spellStart"/>
      <w:r w:rsidR="00B7079C">
        <w:rPr>
          <w:rFonts w:asciiTheme="majorHAnsi" w:hAnsiTheme="majorHAnsi"/>
          <w:sz w:val="20"/>
          <w:szCs w:val="20"/>
        </w:rPr>
        <w:t>Grigg</w:t>
      </w:r>
      <w:proofErr w:type="spellEnd"/>
      <w:r w:rsidR="00043CC0">
        <w:rPr>
          <w:rFonts w:asciiTheme="majorHAnsi" w:hAnsiTheme="majorHAnsi"/>
          <w:sz w:val="20"/>
          <w:szCs w:val="20"/>
        </w:rPr>
        <w:t xml:space="preserve">. </w:t>
      </w:r>
      <w:r w:rsidR="00B7079C">
        <w:rPr>
          <w:rFonts w:asciiTheme="majorHAnsi" w:hAnsiTheme="majorHAnsi"/>
          <w:sz w:val="20"/>
          <w:szCs w:val="20"/>
        </w:rPr>
        <w:t xml:space="preserve">But </w:t>
      </w:r>
      <w:r w:rsidRPr="009D52DA">
        <w:rPr>
          <w:rFonts w:asciiTheme="majorHAnsi" w:hAnsiTheme="majorHAnsi"/>
          <w:sz w:val="20"/>
          <w:szCs w:val="20"/>
        </w:rPr>
        <w:t xml:space="preserve">local </w:t>
      </w:r>
      <w:r w:rsidR="00156640" w:rsidRPr="009D52DA">
        <w:rPr>
          <w:rFonts w:asciiTheme="majorHAnsi" w:hAnsiTheme="majorHAnsi"/>
          <w:sz w:val="20"/>
          <w:szCs w:val="20"/>
        </w:rPr>
        <w:t xml:space="preserve">government </w:t>
      </w:r>
      <w:r w:rsidR="00B7079C">
        <w:rPr>
          <w:rFonts w:asciiTheme="majorHAnsi" w:hAnsiTheme="majorHAnsi"/>
          <w:sz w:val="20"/>
          <w:szCs w:val="20"/>
        </w:rPr>
        <w:t>faced</w:t>
      </w:r>
      <w:r w:rsidR="00156640" w:rsidRPr="009D52DA">
        <w:rPr>
          <w:rFonts w:asciiTheme="majorHAnsi" w:hAnsiTheme="majorHAnsi"/>
          <w:sz w:val="20"/>
          <w:szCs w:val="20"/>
        </w:rPr>
        <w:t xml:space="preserve"> the same type of document control problems </w:t>
      </w:r>
      <w:r w:rsidR="00EA07AA" w:rsidRPr="009D52DA">
        <w:rPr>
          <w:rFonts w:asciiTheme="majorHAnsi" w:hAnsiTheme="majorHAnsi"/>
          <w:sz w:val="20"/>
          <w:szCs w:val="20"/>
        </w:rPr>
        <w:t xml:space="preserve">as those </w:t>
      </w:r>
      <w:r w:rsidR="00043CC0">
        <w:rPr>
          <w:rFonts w:asciiTheme="majorHAnsi" w:hAnsiTheme="majorHAnsi"/>
          <w:sz w:val="20"/>
          <w:szCs w:val="20"/>
        </w:rPr>
        <w:t xml:space="preserve">encountered at national level </w:t>
      </w:r>
      <w:r w:rsidRPr="009D52DA">
        <w:rPr>
          <w:rFonts w:asciiTheme="majorHAnsi" w:hAnsiTheme="majorHAnsi"/>
          <w:sz w:val="20"/>
          <w:szCs w:val="20"/>
        </w:rPr>
        <w:t>and it</w:t>
      </w:r>
      <w:r w:rsidR="00EA07AA" w:rsidRPr="009D52DA">
        <w:rPr>
          <w:rFonts w:asciiTheme="majorHAnsi" w:hAnsiTheme="majorHAnsi"/>
          <w:sz w:val="20"/>
          <w:szCs w:val="20"/>
        </w:rPr>
        <w:t xml:space="preserve"> was</w:t>
      </w:r>
      <w:r w:rsidR="00B7079C">
        <w:rPr>
          <w:rFonts w:asciiTheme="majorHAnsi" w:hAnsiTheme="majorHAnsi"/>
          <w:sz w:val="20"/>
          <w:szCs w:val="20"/>
        </w:rPr>
        <w:t xml:space="preserve"> </w:t>
      </w:r>
      <w:r w:rsidR="00EA07AA" w:rsidRPr="009D52DA">
        <w:rPr>
          <w:rFonts w:asciiTheme="majorHAnsi" w:hAnsiTheme="majorHAnsi"/>
          <w:sz w:val="20"/>
          <w:szCs w:val="20"/>
        </w:rPr>
        <w:t xml:space="preserve">inevitable that local archivists </w:t>
      </w:r>
      <w:r w:rsidR="00043CC0">
        <w:rPr>
          <w:rFonts w:asciiTheme="majorHAnsi" w:hAnsiTheme="majorHAnsi"/>
          <w:sz w:val="20"/>
          <w:szCs w:val="20"/>
        </w:rPr>
        <w:t>looked to the centre for, at least, inspiration: t</w:t>
      </w:r>
      <w:r w:rsidRPr="009D52DA">
        <w:rPr>
          <w:rFonts w:asciiTheme="majorHAnsi" w:hAnsiTheme="majorHAnsi"/>
          <w:sz w:val="20"/>
          <w:szCs w:val="20"/>
        </w:rPr>
        <w:t xml:space="preserve">he </w:t>
      </w:r>
      <w:r w:rsidRPr="009D52DA">
        <w:rPr>
          <w:rFonts w:asciiTheme="majorHAnsi" w:hAnsiTheme="majorHAnsi"/>
          <w:i/>
          <w:sz w:val="20"/>
          <w:szCs w:val="20"/>
        </w:rPr>
        <w:t>Journal of the Society of Archivists</w:t>
      </w:r>
      <w:r w:rsidR="00043CC0">
        <w:rPr>
          <w:rFonts w:asciiTheme="majorHAnsi" w:hAnsiTheme="majorHAnsi"/>
          <w:sz w:val="20"/>
          <w:szCs w:val="20"/>
        </w:rPr>
        <w:t xml:space="preserve"> </w:t>
      </w:r>
      <w:r w:rsidRPr="009D52DA">
        <w:rPr>
          <w:rFonts w:asciiTheme="majorHAnsi" w:hAnsiTheme="majorHAnsi"/>
          <w:sz w:val="20"/>
          <w:szCs w:val="20"/>
        </w:rPr>
        <w:t xml:space="preserve">published a flurry of articles in the aftermath of </w:t>
      </w:r>
      <w:proofErr w:type="spellStart"/>
      <w:r w:rsidRPr="009D52DA">
        <w:rPr>
          <w:rFonts w:asciiTheme="majorHAnsi" w:hAnsiTheme="majorHAnsi"/>
          <w:sz w:val="20"/>
          <w:szCs w:val="20"/>
        </w:rPr>
        <w:t>Grigg</w:t>
      </w:r>
      <w:proofErr w:type="spellEnd"/>
      <w:r w:rsidR="00BC0F46" w:rsidRPr="009D52DA">
        <w:rPr>
          <w:rFonts w:asciiTheme="majorHAnsi" w:hAnsiTheme="majorHAnsi"/>
          <w:sz w:val="20"/>
          <w:szCs w:val="20"/>
        </w:rPr>
        <w:t xml:space="preserve"> </w:t>
      </w:r>
      <w:r w:rsidR="00043CC0">
        <w:rPr>
          <w:rFonts w:asciiTheme="majorHAnsi" w:hAnsiTheme="majorHAnsi"/>
          <w:sz w:val="20"/>
          <w:szCs w:val="20"/>
        </w:rPr>
        <w:t xml:space="preserve">reflecting on the appropriateness of the </w:t>
      </w:r>
      <w:r w:rsidR="00BC0F46" w:rsidRPr="009D52DA">
        <w:rPr>
          <w:rFonts w:asciiTheme="majorHAnsi" w:hAnsiTheme="majorHAnsi"/>
          <w:sz w:val="20"/>
          <w:szCs w:val="20"/>
        </w:rPr>
        <w:t xml:space="preserve">approach </w:t>
      </w:r>
      <w:r w:rsidR="00043CC0">
        <w:rPr>
          <w:rFonts w:asciiTheme="majorHAnsi" w:hAnsiTheme="majorHAnsi"/>
          <w:sz w:val="20"/>
          <w:szCs w:val="20"/>
        </w:rPr>
        <w:t>for local archivists</w:t>
      </w:r>
      <w:r w:rsidR="00BC0F46" w:rsidRPr="009D52DA">
        <w:rPr>
          <w:rFonts w:asciiTheme="majorHAnsi" w:hAnsiTheme="majorHAnsi"/>
          <w:sz w:val="20"/>
          <w:szCs w:val="20"/>
        </w:rPr>
        <w:t>.  Especially</w:t>
      </w:r>
      <w:r w:rsidR="00043CC0">
        <w:rPr>
          <w:rFonts w:asciiTheme="majorHAnsi" w:hAnsiTheme="majorHAnsi"/>
          <w:sz w:val="20"/>
          <w:szCs w:val="20"/>
        </w:rPr>
        <w:t xml:space="preserve"> in those </w:t>
      </w:r>
      <w:r w:rsidR="00EA07AA" w:rsidRPr="009D52DA">
        <w:rPr>
          <w:rFonts w:asciiTheme="majorHAnsi" w:hAnsiTheme="majorHAnsi"/>
          <w:sz w:val="20"/>
          <w:szCs w:val="20"/>
        </w:rPr>
        <w:t>larger office</w:t>
      </w:r>
      <w:r w:rsidR="00043CC0">
        <w:rPr>
          <w:rFonts w:asciiTheme="majorHAnsi" w:hAnsiTheme="majorHAnsi"/>
          <w:sz w:val="20"/>
          <w:szCs w:val="20"/>
        </w:rPr>
        <w:t>s which w</w:t>
      </w:r>
      <w:r w:rsidR="00EA07AA" w:rsidRPr="009D52DA">
        <w:rPr>
          <w:rFonts w:asciiTheme="majorHAnsi" w:hAnsiTheme="majorHAnsi"/>
          <w:sz w:val="20"/>
          <w:szCs w:val="20"/>
        </w:rPr>
        <w:t>ere giving thought to their role in the management of the</w:t>
      </w:r>
      <w:r w:rsidR="00043CC0">
        <w:rPr>
          <w:rFonts w:asciiTheme="majorHAnsi" w:hAnsiTheme="majorHAnsi"/>
          <w:sz w:val="20"/>
          <w:szCs w:val="20"/>
        </w:rPr>
        <w:t xml:space="preserve"> parent</w:t>
      </w:r>
      <w:r w:rsidR="00EA07AA" w:rsidRPr="009D52DA">
        <w:rPr>
          <w:rFonts w:asciiTheme="majorHAnsi" w:hAnsiTheme="majorHAnsi"/>
          <w:sz w:val="20"/>
          <w:szCs w:val="20"/>
        </w:rPr>
        <w:t xml:space="preserve"> authority’s own records,</w:t>
      </w:r>
      <w:r w:rsidR="00BC0F46" w:rsidRPr="009D52DA">
        <w:rPr>
          <w:rFonts w:asciiTheme="majorHAnsi" w:hAnsiTheme="majorHAnsi"/>
          <w:sz w:val="20"/>
          <w:szCs w:val="20"/>
        </w:rPr>
        <w:t xml:space="preserve"> </w:t>
      </w:r>
      <w:r w:rsidR="00EA07AA" w:rsidRPr="009D52DA">
        <w:rPr>
          <w:rFonts w:asciiTheme="majorHAnsi" w:hAnsiTheme="majorHAnsi"/>
          <w:sz w:val="20"/>
          <w:szCs w:val="20"/>
        </w:rPr>
        <w:t>it was unsurprising that</w:t>
      </w:r>
      <w:r w:rsidR="00043CC0">
        <w:rPr>
          <w:rFonts w:asciiTheme="majorHAnsi" w:hAnsiTheme="majorHAnsi"/>
          <w:sz w:val="20"/>
          <w:szCs w:val="20"/>
        </w:rPr>
        <w:t xml:space="preserve"> aspects of</w:t>
      </w:r>
      <w:r w:rsidR="00EA07AA" w:rsidRPr="009D52DA">
        <w:rPr>
          <w:rFonts w:asciiTheme="majorHAnsi" w:hAnsiTheme="majorHAnsi"/>
          <w:sz w:val="20"/>
          <w:szCs w:val="20"/>
        </w:rPr>
        <w:t xml:space="preserve"> the </w:t>
      </w:r>
      <w:proofErr w:type="spellStart"/>
      <w:r w:rsidR="00EA07AA" w:rsidRPr="009D52DA">
        <w:rPr>
          <w:rFonts w:asciiTheme="majorHAnsi" w:hAnsiTheme="majorHAnsi"/>
          <w:sz w:val="20"/>
          <w:szCs w:val="20"/>
        </w:rPr>
        <w:t>Grigg</w:t>
      </w:r>
      <w:proofErr w:type="spellEnd"/>
      <w:r w:rsidR="00EA07AA" w:rsidRPr="009D52DA">
        <w:rPr>
          <w:rFonts w:asciiTheme="majorHAnsi" w:hAnsiTheme="majorHAnsi"/>
          <w:sz w:val="20"/>
          <w:szCs w:val="20"/>
        </w:rPr>
        <w:t xml:space="preserve"> System</w:t>
      </w:r>
      <w:r w:rsidR="00043CC0">
        <w:rPr>
          <w:rFonts w:asciiTheme="majorHAnsi" w:hAnsiTheme="majorHAnsi"/>
          <w:sz w:val="20"/>
          <w:szCs w:val="20"/>
        </w:rPr>
        <w:t xml:space="preserve"> </w:t>
      </w:r>
      <w:r w:rsidR="00EA07AA" w:rsidRPr="009D52DA">
        <w:rPr>
          <w:rFonts w:asciiTheme="majorHAnsi" w:hAnsiTheme="majorHAnsi"/>
          <w:sz w:val="20"/>
          <w:szCs w:val="20"/>
        </w:rPr>
        <w:t xml:space="preserve">including </w:t>
      </w:r>
      <w:r w:rsidR="00016B03" w:rsidRPr="009D52DA">
        <w:rPr>
          <w:rFonts w:asciiTheme="majorHAnsi" w:hAnsiTheme="majorHAnsi"/>
          <w:sz w:val="20"/>
          <w:szCs w:val="20"/>
        </w:rPr>
        <w:t xml:space="preserve">its </w:t>
      </w:r>
      <w:r w:rsidR="00EA07AA" w:rsidRPr="009D52DA">
        <w:rPr>
          <w:rFonts w:asciiTheme="majorHAnsi" w:hAnsiTheme="majorHAnsi"/>
          <w:sz w:val="20"/>
          <w:szCs w:val="20"/>
        </w:rPr>
        <w:t>two stage review, collaborative agreement on scheduling,</w:t>
      </w:r>
      <w:r w:rsidR="00BC0F46" w:rsidRPr="009D52DA">
        <w:rPr>
          <w:rFonts w:asciiTheme="majorHAnsi" w:hAnsiTheme="majorHAnsi"/>
          <w:sz w:val="20"/>
          <w:szCs w:val="20"/>
        </w:rPr>
        <w:t xml:space="preserve"> </w:t>
      </w:r>
      <w:r w:rsidR="00EA07AA" w:rsidRPr="009D52DA">
        <w:rPr>
          <w:rFonts w:asciiTheme="majorHAnsi" w:hAnsiTheme="majorHAnsi"/>
          <w:sz w:val="20"/>
          <w:szCs w:val="20"/>
        </w:rPr>
        <w:t>and closure period</w:t>
      </w:r>
      <w:r w:rsidR="00016B03" w:rsidRPr="009D52DA">
        <w:rPr>
          <w:rFonts w:asciiTheme="majorHAnsi" w:hAnsiTheme="majorHAnsi"/>
          <w:sz w:val="20"/>
          <w:szCs w:val="20"/>
        </w:rPr>
        <w:t xml:space="preserve">s, </w:t>
      </w:r>
      <w:r w:rsidR="00EA07AA" w:rsidRPr="009D52DA">
        <w:rPr>
          <w:rFonts w:asciiTheme="majorHAnsi" w:hAnsiTheme="majorHAnsi"/>
          <w:sz w:val="20"/>
          <w:szCs w:val="20"/>
        </w:rPr>
        <w:t>became understood as the norm of records and archival selection</w:t>
      </w:r>
      <w:r w:rsidR="00043CC0">
        <w:rPr>
          <w:rFonts w:asciiTheme="majorHAnsi" w:hAnsiTheme="majorHAnsi"/>
          <w:sz w:val="20"/>
          <w:szCs w:val="20"/>
        </w:rPr>
        <w:t xml:space="preserve">. In particular, the 30-year </w:t>
      </w:r>
      <w:r w:rsidR="00E30E70" w:rsidRPr="009D52DA">
        <w:rPr>
          <w:rFonts w:asciiTheme="majorHAnsi" w:hAnsiTheme="majorHAnsi"/>
          <w:sz w:val="20"/>
          <w:szCs w:val="20"/>
        </w:rPr>
        <w:t xml:space="preserve">closure period acquired an almost </w:t>
      </w:r>
      <w:r w:rsidR="00043CC0">
        <w:rPr>
          <w:rFonts w:asciiTheme="majorHAnsi" w:hAnsiTheme="majorHAnsi"/>
          <w:sz w:val="20"/>
          <w:szCs w:val="20"/>
        </w:rPr>
        <w:t>iconic</w:t>
      </w:r>
      <w:r w:rsidR="00E30E70" w:rsidRPr="009D52DA">
        <w:rPr>
          <w:rFonts w:asciiTheme="majorHAnsi" w:hAnsiTheme="majorHAnsi"/>
          <w:sz w:val="20"/>
          <w:szCs w:val="20"/>
        </w:rPr>
        <w:t xml:space="preserve"> status</w:t>
      </w:r>
      <w:r w:rsidR="00043CC0">
        <w:rPr>
          <w:rFonts w:asciiTheme="majorHAnsi" w:hAnsiTheme="majorHAnsi"/>
          <w:sz w:val="20"/>
          <w:szCs w:val="20"/>
        </w:rPr>
        <w:t>, being applied to all kinds of record groups</w:t>
      </w:r>
      <w:r w:rsidR="00E30E70" w:rsidRPr="009D52DA">
        <w:rPr>
          <w:rFonts w:asciiTheme="majorHAnsi" w:hAnsiTheme="majorHAnsi"/>
          <w:sz w:val="20"/>
          <w:szCs w:val="20"/>
        </w:rPr>
        <w:t xml:space="preserve"> without any mandate for its adoption in the wider archive sector</w:t>
      </w:r>
      <w:r w:rsidR="0009700D" w:rsidRPr="009D52DA">
        <w:rPr>
          <w:rFonts w:asciiTheme="majorHAnsi" w:hAnsiTheme="majorHAnsi"/>
          <w:sz w:val="20"/>
          <w:szCs w:val="20"/>
        </w:rPr>
        <w:t xml:space="preserve">. </w:t>
      </w:r>
    </w:p>
    <w:p w:rsidR="00510598" w:rsidRPr="009D52DA" w:rsidRDefault="00043CC0" w:rsidP="009F5544">
      <w:pPr>
        <w:ind w:firstLine="720"/>
        <w:rPr>
          <w:rFonts w:asciiTheme="majorHAnsi" w:hAnsiTheme="majorHAnsi"/>
          <w:sz w:val="20"/>
          <w:szCs w:val="20"/>
        </w:rPr>
      </w:pPr>
      <w:r>
        <w:rPr>
          <w:rFonts w:asciiTheme="majorHAnsi" w:hAnsiTheme="majorHAnsi"/>
          <w:sz w:val="20"/>
          <w:szCs w:val="20"/>
        </w:rPr>
        <w:t xml:space="preserve">The application of </w:t>
      </w:r>
      <w:proofErr w:type="spellStart"/>
      <w:r w:rsidR="00B94A00" w:rsidRPr="009D52DA">
        <w:rPr>
          <w:rFonts w:asciiTheme="majorHAnsi" w:hAnsiTheme="majorHAnsi"/>
          <w:sz w:val="20"/>
          <w:szCs w:val="20"/>
        </w:rPr>
        <w:t>Grigg</w:t>
      </w:r>
      <w:proofErr w:type="spellEnd"/>
      <w:r w:rsidR="00B94A00" w:rsidRPr="009D52DA">
        <w:rPr>
          <w:rFonts w:asciiTheme="majorHAnsi" w:hAnsiTheme="majorHAnsi"/>
          <w:sz w:val="20"/>
          <w:szCs w:val="20"/>
        </w:rPr>
        <w:t xml:space="preserve"> </w:t>
      </w:r>
      <w:r>
        <w:rPr>
          <w:rFonts w:asciiTheme="majorHAnsi" w:hAnsiTheme="majorHAnsi"/>
          <w:sz w:val="20"/>
          <w:szCs w:val="20"/>
        </w:rPr>
        <w:t>beyond</w:t>
      </w:r>
      <w:r w:rsidR="00B94A00" w:rsidRPr="009D52DA">
        <w:rPr>
          <w:rFonts w:asciiTheme="majorHAnsi" w:hAnsiTheme="majorHAnsi"/>
          <w:sz w:val="20"/>
          <w:szCs w:val="20"/>
        </w:rPr>
        <w:t xml:space="preserve"> the </w:t>
      </w:r>
      <w:r>
        <w:rPr>
          <w:rFonts w:asciiTheme="majorHAnsi" w:hAnsiTheme="majorHAnsi"/>
          <w:sz w:val="20"/>
          <w:szCs w:val="20"/>
        </w:rPr>
        <w:t xml:space="preserve">context for which it was conceived </w:t>
      </w:r>
      <w:r w:rsidR="00B94A00" w:rsidRPr="009D52DA">
        <w:rPr>
          <w:rFonts w:asciiTheme="majorHAnsi" w:hAnsiTheme="majorHAnsi"/>
          <w:sz w:val="20"/>
          <w:szCs w:val="20"/>
        </w:rPr>
        <w:t xml:space="preserve">was not wholly realistic. As County Archivist of Kent, </w:t>
      </w:r>
      <w:r w:rsidR="00EA07AA" w:rsidRPr="009D52DA">
        <w:rPr>
          <w:rFonts w:asciiTheme="majorHAnsi" w:hAnsiTheme="majorHAnsi"/>
          <w:sz w:val="20"/>
          <w:szCs w:val="20"/>
        </w:rPr>
        <w:t>Felix Hull</w:t>
      </w:r>
      <w:r w:rsidR="008F4D9B">
        <w:rPr>
          <w:rFonts w:asciiTheme="majorHAnsi" w:hAnsiTheme="majorHAnsi"/>
          <w:sz w:val="20"/>
          <w:szCs w:val="20"/>
        </w:rPr>
        <w:t xml:space="preserve"> (qv)</w:t>
      </w:r>
      <w:r w:rsidR="00EA07AA" w:rsidRPr="009D52DA">
        <w:rPr>
          <w:rFonts w:asciiTheme="majorHAnsi" w:hAnsiTheme="majorHAnsi"/>
          <w:sz w:val="20"/>
          <w:szCs w:val="20"/>
        </w:rPr>
        <w:t>,</w:t>
      </w:r>
      <w:r w:rsidR="00B94A00" w:rsidRPr="009D52DA">
        <w:rPr>
          <w:rFonts w:asciiTheme="majorHAnsi" w:hAnsiTheme="majorHAnsi"/>
          <w:sz w:val="20"/>
          <w:szCs w:val="20"/>
        </w:rPr>
        <w:t xml:space="preserve"> </w:t>
      </w:r>
      <w:r w:rsidR="00EA07AA" w:rsidRPr="009D52DA">
        <w:rPr>
          <w:rFonts w:asciiTheme="majorHAnsi" w:hAnsiTheme="majorHAnsi"/>
          <w:sz w:val="20"/>
          <w:szCs w:val="20"/>
        </w:rPr>
        <w:t xml:space="preserve">convened a working party to address </w:t>
      </w:r>
      <w:r w:rsidR="00B94A00" w:rsidRPr="009D52DA">
        <w:rPr>
          <w:rFonts w:asciiTheme="majorHAnsi" w:hAnsiTheme="majorHAnsi"/>
          <w:sz w:val="20"/>
          <w:szCs w:val="20"/>
        </w:rPr>
        <w:t xml:space="preserve">the County’s </w:t>
      </w:r>
      <w:r w:rsidR="00EA07AA" w:rsidRPr="009D52DA">
        <w:rPr>
          <w:rFonts w:asciiTheme="majorHAnsi" w:hAnsiTheme="majorHAnsi"/>
          <w:sz w:val="20"/>
          <w:szCs w:val="20"/>
        </w:rPr>
        <w:t>filing, records storage and destruction</w:t>
      </w:r>
      <w:r w:rsidR="00B94A00" w:rsidRPr="009D52DA">
        <w:rPr>
          <w:rFonts w:asciiTheme="majorHAnsi" w:hAnsiTheme="majorHAnsi"/>
          <w:sz w:val="20"/>
          <w:szCs w:val="20"/>
        </w:rPr>
        <w:t xml:space="preserve"> needs</w:t>
      </w:r>
      <w:r w:rsidR="0009700D" w:rsidRPr="009D52DA">
        <w:rPr>
          <w:rFonts w:asciiTheme="majorHAnsi" w:hAnsiTheme="majorHAnsi"/>
          <w:sz w:val="20"/>
          <w:szCs w:val="20"/>
        </w:rPr>
        <w:t xml:space="preserve">. </w:t>
      </w:r>
      <w:r w:rsidR="00EA07AA" w:rsidRPr="009D52DA">
        <w:rPr>
          <w:rFonts w:asciiTheme="majorHAnsi" w:hAnsiTheme="majorHAnsi"/>
          <w:sz w:val="20"/>
          <w:szCs w:val="20"/>
        </w:rPr>
        <w:t xml:space="preserve">His </w:t>
      </w:r>
      <w:r w:rsidR="00B94A00" w:rsidRPr="009D52DA">
        <w:rPr>
          <w:rFonts w:asciiTheme="majorHAnsi" w:hAnsiTheme="majorHAnsi"/>
          <w:sz w:val="20"/>
          <w:szCs w:val="20"/>
        </w:rPr>
        <w:t xml:space="preserve">1968 </w:t>
      </w:r>
      <w:r w:rsidR="00EA07AA" w:rsidRPr="009D52DA">
        <w:rPr>
          <w:rFonts w:asciiTheme="majorHAnsi" w:hAnsiTheme="majorHAnsi"/>
          <w:sz w:val="20"/>
          <w:szCs w:val="20"/>
        </w:rPr>
        <w:t>recommendations (</w:t>
      </w:r>
      <w:r w:rsidR="00916445">
        <w:rPr>
          <w:rFonts w:asciiTheme="majorHAnsi" w:hAnsiTheme="majorHAnsi"/>
          <w:sz w:val="20"/>
          <w:szCs w:val="20"/>
        </w:rPr>
        <w:t>“</w:t>
      </w:r>
      <w:r w:rsidR="00EA07AA" w:rsidRPr="009D52DA">
        <w:rPr>
          <w:rFonts w:asciiTheme="majorHAnsi" w:hAnsiTheme="majorHAnsi"/>
          <w:sz w:val="20"/>
          <w:szCs w:val="20"/>
        </w:rPr>
        <w:t xml:space="preserve">County of Kent </w:t>
      </w:r>
      <w:r w:rsidR="009F5544">
        <w:rPr>
          <w:rFonts w:asciiTheme="majorHAnsi" w:hAnsiTheme="majorHAnsi"/>
          <w:sz w:val="20"/>
          <w:szCs w:val="20"/>
        </w:rPr>
        <w:t>W</w:t>
      </w:r>
      <w:r w:rsidR="009F5544" w:rsidRPr="009D52DA">
        <w:rPr>
          <w:rFonts w:asciiTheme="majorHAnsi" w:hAnsiTheme="majorHAnsi"/>
          <w:sz w:val="20"/>
          <w:szCs w:val="20"/>
        </w:rPr>
        <w:t xml:space="preserve">orking </w:t>
      </w:r>
      <w:r w:rsidR="009F5544">
        <w:rPr>
          <w:rFonts w:asciiTheme="majorHAnsi" w:hAnsiTheme="majorHAnsi"/>
          <w:sz w:val="20"/>
          <w:szCs w:val="20"/>
        </w:rPr>
        <w:t>P</w:t>
      </w:r>
      <w:r w:rsidR="009F5544" w:rsidRPr="009D52DA">
        <w:rPr>
          <w:rFonts w:asciiTheme="majorHAnsi" w:hAnsiTheme="majorHAnsi"/>
          <w:sz w:val="20"/>
          <w:szCs w:val="20"/>
        </w:rPr>
        <w:t xml:space="preserve">arty </w:t>
      </w:r>
      <w:r w:rsidR="00EA07AA" w:rsidRPr="009D52DA">
        <w:rPr>
          <w:rFonts w:asciiTheme="majorHAnsi" w:hAnsiTheme="majorHAnsi"/>
          <w:sz w:val="20"/>
          <w:szCs w:val="20"/>
        </w:rPr>
        <w:t xml:space="preserve">on </w:t>
      </w:r>
      <w:r w:rsidR="009F5544">
        <w:rPr>
          <w:rFonts w:asciiTheme="majorHAnsi" w:hAnsiTheme="majorHAnsi"/>
          <w:sz w:val="20"/>
          <w:szCs w:val="20"/>
        </w:rPr>
        <w:t>C</w:t>
      </w:r>
      <w:r w:rsidR="009F5544" w:rsidRPr="009D52DA">
        <w:rPr>
          <w:rFonts w:asciiTheme="majorHAnsi" w:hAnsiTheme="majorHAnsi"/>
          <w:sz w:val="20"/>
          <w:szCs w:val="20"/>
        </w:rPr>
        <w:t xml:space="preserve">ounty </w:t>
      </w:r>
      <w:r w:rsidR="009F5544">
        <w:rPr>
          <w:rFonts w:asciiTheme="majorHAnsi" w:hAnsiTheme="majorHAnsi"/>
          <w:sz w:val="20"/>
          <w:szCs w:val="20"/>
        </w:rPr>
        <w:t>R</w:t>
      </w:r>
      <w:r w:rsidR="009F5544" w:rsidRPr="009D52DA">
        <w:rPr>
          <w:rFonts w:asciiTheme="majorHAnsi" w:hAnsiTheme="majorHAnsi"/>
          <w:sz w:val="20"/>
          <w:szCs w:val="20"/>
        </w:rPr>
        <w:t>ecords</w:t>
      </w:r>
      <w:r w:rsidR="00916445">
        <w:rPr>
          <w:rFonts w:asciiTheme="majorHAnsi" w:hAnsiTheme="majorHAnsi"/>
          <w:sz w:val="20"/>
          <w:szCs w:val="20"/>
        </w:rPr>
        <w:t>”</w:t>
      </w:r>
      <w:r w:rsidR="00EA07AA" w:rsidRPr="009D52DA">
        <w:rPr>
          <w:rFonts w:asciiTheme="majorHAnsi" w:hAnsiTheme="majorHAnsi"/>
          <w:sz w:val="20"/>
          <w:szCs w:val="20"/>
        </w:rPr>
        <w:t xml:space="preserve">, </w:t>
      </w:r>
      <w:r w:rsidR="00016B03" w:rsidRPr="009D52DA">
        <w:rPr>
          <w:rFonts w:asciiTheme="majorHAnsi" w:hAnsiTheme="majorHAnsi"/>
          <w:i/>
          <w:sz w:val="20"/>
          <w:szCs w:val="20"/>
        </w:rPr>
        <w:t>JSA</w:t>
      </w:r>
      <w:r w:rsidR="00B208AC">
        <w:rPr>
          <w:rFonts w:asciiTheme="majorHAnsi" w:hAnsiTheme="majorHAnsi"/>
          <w:i/>
          <w:sz w:val="20"/>
          <w:szCs w:val="20"/>
        </w:rPr>
        <w:t xml:space="preserve"> 3, no.10</w:t>
      </w:r>
      <w:proofErr w:type="gramStart"/>
      <w:r w:rsidR="00B208AC">
        <w:rPr>
          <w:rFonts w:asciiTheme="majorHAnsi" w:hAnsiTheme="majorHAnsi"/>
          <w:i/>
          <w:sz w:val="20"/>
          <w:szCs w:val="20"/>
        </w:rPr>
        <w:t>,(</w:t>
      </w:r>
      <w:proofErr w:type="gramEnd"/>
      <w:r w:rsidR="00B208AC">
        <w:rPr>
          <w:rFonts w:asciiTheme="majorHAnsi" w:hAnsiTheme="majorHAnsi"/>
          <w:i/>
          <w:sz w:val="20"/>
          <w:szCs w:val="20"/>
        </w:rPr>
        <w:t>1969)</w:t>
      </w:r>
      <w:r w:rsidR="00016B03" w:rsidRPr="009D52DA">
        <w:rPr>
          <w:rFonts w:asciiTheme="majorHAnsi" w:hAnsiTheme="majorHAnsi"/>
          <w:sz w:val="20"/>
          <w:szCs w:val="20"/>
        </w:rPr>
        <w:t xml:space="preserve"> </w:t>
      </w:r>
      <w:r w:rsidR="00EA07AA" w:rsidRPr="009D52DA">
        <w:rPr>
          <w:rFonts w:asciiTheme="majorHAnsi" w:hAnsiTheme="majorHAnsi"/>
          <w:sz w:val="20"/>
          <w:szCs w:val="20"/>
        </w:rPr>
        <w:t>572-</w:t>
      </w:r>
      <w:r w:rsidR="00B208AC">
        <w:rPr>
          <w:rFonts w:asciiTheme="majorHAnsi" w:hAnsiTheme="majorHAnsi"/>
          <w:sz w:val="20"/>
          <w:szCs w:val="20"/>
        </w:rPr>
        <w:t>575</w:t>
      </w:r>
      <w:r w:rsidR="00EA07AA" w:rsidRPr="009D52DA">
        <w:rPr>
          <w:rFonts w:asciiTheme="majorHAnsi" w:hAnsiTheme="majorHAnsi"/>
          <w:sz w:val="20"/>
          <w:szCs w:val="20"/>
        </w:rPr>
        <w:t>),</w:t>
      </w:r>
      <w:r w:rsidR="00684934">
        <w:rPr>
          <w:rFonts w:asciiTheme="majorHAnsi" w:hAnsiTheme="majorHAnsi"/>
          <w:sz w:val="20"/>
          <w:szCs w:val="20"/>
        </w:rPr>
        <w:t xml:space="preserve"> drew on</w:t>
      </w:r>
      <w:r w:rsidR="00EA07AA" w:rsidRPr="009D52DA">
        <w:rPr>
          <w:rFonts w:asciiTheme="majorHAnsi" w:hAnsiTheme="majorHAnsi"/>
          <w:sz w:val="20"/>
          <w:szCs w:val="20"/>
        </w:rPr>
        <w:t xml:space="preserve"> those of the </w:t>
      </w:r>
      <w:proofErr w:type="spellStart"/>
      <w:r w:rsidR="00EA07AA" w:rsidRPr="009D52DA">
        <w:rPr>
          <w:rFonts w:asciiTheme="majorHAnsi" w:hAnsiTheme="majorHAnsi"/>
          <w:sz w:val="20"/>
          <w:szCs w:val="20"/>
        </w:rPr>
        <w:t>Grigg</w:t>
      </w:r>
      <w:proofErr w:type="spellEnd"/>
      <w:r w:rsidR="00EA07AA" w:rsidRPr="009D52DA">
        <w:rPr>
          <w:rFonts w:asciiTheme="majorHAnsi" w:hAnsiTheme="majorHAnsi"/>
          <w:sz w:val="20"/>
          <w:szCs w:val="20"/>
        </w:rPr>
        <w:t xml:space="preserve"> Report</w:t>
      </w:r>
      <w:r w:rsidR="00B94A00" w:rsidRPr="009D52DA">
        <w:rPr>
          <w:rFonts w:asciiTheme="majorHAnsi" w:hAnsiTheme="majorHAnsi"/>
          <w:sz w:val="20"/>
          <w:szCs w:val="20"/>
        </w:rPr>
        <w:t xml:space="preserve">, </w:t>
      </w:r>
      <w:r w:rsidR="00EA07AA" w:rsidRPr="009D52DA">
        <w:rPr>
          <w:rFonts w:asciiTheme="majorHAnsi" w:hAnsiTheme="majorHAnsi"/>
          <w:sz w:val="20"/>
          <w:szCs w:val="20"/>
        </w:rPr>
        <w:t xml:space="preserve">including destruction by the creators,  transfer after a five year period of the remainder to a records centre (under the control of the archives), and the collaboration of County Archivist and the O&amp;M </w:t>
      </w:r>
      <w:r w:rsidR="00B94A00" w:rsidRPr="009D52DA">
        <w:rPr>
          <w:rFonts w:asciiTheme="majorHAnsi" w:hAnsiTheme="majorHAnsi"/>
          <w:sz w:val="20"/>
          <w:szCs w:val="20"/>
        </w:rPr>
        <w:t xml:space="preserve">officers </w:t>
      </w:r>
      <w:r>
        <w:rPr>
          <w:rFonts w:asciiTheme="majorHAnsi" w:hAnsiTheme="majorHAnsi"/>
          <w:sz w:val="20"/>
          <w:szCs w:val="20"/>
        </w:rPr>
        <w:t xml:space="preserve">over </w:t>
      </w:r>
      <w:r w:rsidR="00EA07AA" w:rsidRPr="009D52DA">
        <w:rPr>
          <w:rFonts w:asciiTheme="majorHAnsi" w:hAnsiTheme="majorHAnsi"/>
          <w:sz w:val="20"/>
          <w:szCs w:val="20"/>
        </w:rPr>
        <w:t>disposal schedules “so that the needs of scholarship and the advantage of mechanisation are understood</w:t>
      </w:r>
      <w:r w:rsidR="00B208AC">
        <w:rPr>
          <w:rFonts w:asciiTheme="majorHAnsi" w:hAnsiTheme="majorHAnsi"/>
          <w:sz w:val="20"/>
          <w:szCs w:val="20"/>
        </w:rPr>
        <w:t>.</w:t>
      </w:r>
      <w:r w:rsidR="00EA07AA" w:rsidRPr="009D52DA">
        <w:rPr>
          <w:rFonts w:asciiTheme="majorHAnsi" w:hAnsiTheme="majorHAnsi"/>
          <w:sz w:val="20"/>
          <w:szCs w:val="20"/>
        </w:rPr>
        <w:t xml:space="preserve">” </w:t>
      </w:r>
      <w:proofErr w:type="gramStart"/>
      <w:r w:rsidR="00EA07AA" w:rsidRPr="009D52DA">
        <w:rPr>
          <w:rFonts w:asciiTheme="majorHAnsi" w:hAnsiTheme="majorHAnsi"/>
          <w:sz w:val="20"/>
          <w:szCs w:val="20"/>
        </w:rPr>
        <w:t>(</w:t>
      </w:r>
      <w:r w:rsidR="00B208AC">
        <w:rPr>
          <w:rFonts w:asciiTheme="majorHAnsi" w:hAnsiTheme="majorHAnsi"/>
          <w:sz w:val="20"/>
          <w:szCs w:val="20"/>
        </w:rPr>
        <w:t xml:space="preserve">Hull, </w:t>
      </w:r>
      <w:bookmarkStart w:id="0" w:name="_GoBack"/>
      <w:bookmarkEnd w:id="0"/>
      <w:r w:rsidR="00EA07AA" w:rsidRPr="009D52DA">
        <w:rPr>
          <w:rFonts w:asciiTheme="majorHAnsi" w:hAnsiTheme="majorHAnsi"/>
          <w:sz w:val="20"/>
          <w:szCs w:val="20"/>
        </w:rPr>
        <w:t>574)</w:t>
      </w:r>
      <w:r w:rsidR="0009700D" w:rsidRPr="009D52DA">
        <w:rPr>
          <w:rFonts w:asciiTheme="majorHAnsi" w:hAnsiTheme="majorHAnsi"/>
          <w:sz w:val="20"/>
          <w:szCs w:val="20"/>
        </w:rPr>
        <w:t>.</w:t>
      </w:r>
      <w:proofErr w:type="gramEnd"/>
      <w:r w:rsidR="0009700D" w:rsidRPr="009D52DA">
        <w:rPr>
          <w:rFonts w:asciiTheme="majorHAnsi" w:hAnsiTheme="majorHAnsi"/>
          <w:sz w:val="20"/>
          <w:szCs w:val="20"/>
        </w:rPr>
        <w:t xml:space="preserve"> </w:t>
      </w:r>
      <w:r w:rsidR="00EA07AA" w:rsidRPr="009D52DA">
        <w:rPr>
          <w:rFonts w:asciiTheme="majorHAnsi" w:hAnsiTheme="majorHAnsi"/>
          <w:sz w:val="20"/>
          <w:szCs w:val="20"/>
        </w:rPr>
        <w:t xml:space="preserve"> Hull</w:t>
      </w:r>
      <w:r w:rsidR="00684934">
        <w:rPr>
          <w:rFonts w:asciiTheme="majorHAnsi" w:hAnsiTheme="majorHAnsi"/>
          <w:sz w:val="20"/>
          <w:szCs w:val="20"/>
        </w:rPr>
        <w:t xml:space="preserve">’s appreciation of the </w:t>
      </w:r>
      <w:r w:rsidR="00FD385F">
        <w:rPr>
          <w:rFonts w:asciiTheme="majorHAnsi" w:hAnsiTheme="majorHAnsi"/>
          <w:sz w:val="20"/>
          <w:szCs w:val="20"/>
        </w:rPr>
        <w:t xml:space="preserve">inevitable tensions between parties in selecting records of historical value </w:t>
      </w:r>
      <w:r w:rsidR="00684934">
        <w:rPr>
          <w:rFonts w:asciiTheme="majorHAnsi" w:hAnsiTheme="majorHAnsi"/>
          <w:sz w:val="20"/>
          <w:szCs w:val="20"/>
        </w:rPr>
        <w:t xml:space="preserve">mirrored </w:t>
      </w:r>
      <w:r w:rsidR="00FD385F">
        <w:rPr>
          <w:rFonts w:asciiTheme="majorHAnsi" w:hAnsiTheme="majorHAnsi"/>
          <w:sz w:val="20"/>
          <w:szCs w:val="20"/>
        </w:rPr>
        <w:t xml:space="preserve">those which the 1981 Wilson Committee was later to address in central government: </w:t>
      </w:r>
      <w:proofErr w:type="gramStart"/>
      <w:r w:rsidR="00FD385F">
        <w:rPr>
          <w:rFonts w:asciiTheme="majorHAnsi" w:hAnsiTheme="majorHAnsi"/>
          <w:sz w:val="20"/>
          <w:szCs w:val="20"/>
        </w:rPr>
        <w:t xml:space="preserve">the  </w:t>
      </w:r>
      <w:r w:rsidR="00EA07AA" w:rsidRPr="009D52DA">
        <w:rPr>
          <w:rFonts w:asciiTheme="majorHAnsi" w:hAnsiTheme="majorHAnsi"/>
          <w:sz w:val="20"/>
          <w:szCs w:val="20"/>
        </w:rPr>
        <w:t>interests</w:t>
      </w:r>
      <w:proofErr w:type="gramEnd"/>
      <w:r w:rsidR="00EA07AA" w:rsidRPr="009D52DA">
        <w:rPr>
          <w:rFonts w:asciiTheme="majorHAnsi" w:hAnsiTheme="majorHAnsi"/>
          <w:sz w:val="20"/>
          <w:szCs w:val="20"/>
        </w:rPr>
        <w:t xml:space="preserve"> of the parties involved </w:t>
      </w:r>
      <w:r w:rsidR="00FD385F">
        <w:rPr>
          <w:rFonts w:asciiTheme="majorHAnsi" w:hAnsiTheme="majorHAnsi"/>
          <w:sz w:val="20"/>
          <w:szCs w:val="20"/>
        </w:rPr>
        <w:t xml:space="preserve">in selection and transfer </w:t>
      </w:r>
      <w:r w:rsidR="00EA07AA" w:rsidRPr="009D52DA">
        <w:rPr>
          <w:rFonts w:asciiTheme="majorHAnsi" w:hAnsiTheme="majorHAnsi"/>
          <w:sz w:val="20"/>
          <w:szCs w:val="20"/>
        </w:rPr>
        <w:t>did not necessarily coincide</w:t>
      </w:r>
      <w:r>
        <w:rPr>
          <w:rFonts w:asciiTheme="majorHAnsi" w:hAnsiTheme="majorHAnsi"/>
          <w:sz w:val="20"/>
          <w:szCs w:val="20"/>
        </w:rPr>
        <w:t>:</w:t>
      </w:r>
      <w:r w:rsidR="00EA07AA" w:rsidRPr="009D52DA">
        <w:rPr>
          <w:rFonts w:asciiTheme="majorHAnsi" w:hAnsiTheme="majorHAnsi"/>
          <w:sz w:val="20"/>
          <w:szCs w:val="20"/>
        </w:rPr>
        <w:t xml:space="preserve"> “The department creating the records has an immediate administrative interest which will be limited to a term only rarely exceeding 25 years and in most cases determined after a much shorter interval</w:t>
      </w:r>
      <w:r w:rsidR="0009700D" w:rsidRPr="009D52DA">
        <w:rPr>
          <w:rFonts w:asciiTheme="majorHAnsi" w:hAnsiTheme="majorHAnsi"/>
          <w:sz w:val="20"/>
          <w:szCs w:val="20"/>
        </w:rPr>
        <w:t xml:space="preserve">. </w:t>
      </w:r>
      <w:r w:rsidR="00FD385F">
        <w:rPr>
          <w:rFonts w:asciiTheme="majorHAnsi" w:hAnsiTheme="majorHAnsi"/>
          <w:sz w:val="20"/>
          <w:szCs w:val="20"/>
        </w:rPr>
        <w:t>T</w:t>
      </w:r>
      <w:r w:rsidR="00EA07AA" w:rsidRPr="009D52DA">
        <w:rPr>
          <w:rFonts w:asciiTheme="majorHAnsi" w:hAnsiTheme="majorHAnsi"/>
          <w:sz w:val="20"/>
          <w:szCs w:val="20"/>
        </w:rPr>
        <w:t>he archivist is concerned with ensuring that such records as have a positive value for the history of the authority or for the wider purposes of scholarship, should be preserved for posterity and that in the orderly disposal of the remainder due car</w:t>
      </w:r>
      <w:r w:rsidR="00FD385F">
        <w:rPr>
          <w:rFonts w:asciiTheme="majorHAnsi" w:hAnsiTheme="majorHAnsi"/>
          <w:sz w:val="20"/>
          <w:szCs w:val="20"/>
        </w:rPr>
        <w:t>e</w:t>
      </w:r>
      <w:r w:rsidR="00EA07AA" w:rsidRPr="009D52DA">
        <w:rPr>
          <w:rFonts w:asciiTheme="majorHAnsi" w:hAnsiTheme="majorHAnsi"/>
          <w:sz w:val="20"/>
          <w:szCs w:val="20"/>
        </w:rPr>
        <w:t xml:space="preserve"> should be taken that nothing of significance is lost</w:t>
      </w:r>
      <w:r w:rsidR="0009700D" w:rsidRPr="009D52DA">
        <w:rPr>
          <w:rFonts w:asciiTheme="majorHAnsi" w:hAnsiTheme="majorHAnsi"/>
          <w:sz w:val="20"/>
          <w:szCs w:val="20"/>
        </w:rPr>
        <w:t xml:space="preserve">. </w:t>
      </w:r>
      <w:r w:rsidR="00EA07AA" w:rsidRPr="009D52DA">
        <w:rPr>
          <w:rFonts w:asciiTheme="majorHAnsi" w:hAnsiTheme="majorHAnsi"/>
          <w:sz w:val="20"/>
          <w:szCs w:val="20"/>
        </w:rPr>
        <w:t>The archivist’s difficulty is that he must bridge the gap between the time when papers cease to be in current use and the moment when they can rightly join the mass of historical records of the county …” (</w:t>
      </w:r>
      <w:r w:rsidR="00B208AC">
        <w:rPr>
          <w:rFonts w:asciiTheme="majorHAnsi" w:hAnsiTheme="majorHAnsi"/>
          <w:sz w:val="20"/>
          <w:szCs w:val="20"/>
        </w:rPr>
        <w:t xml:space="preserve">Hull, </w:t>
      </w:r>
      <w:r w:rsidR="00EA07AA" w:rsidRPr="009D52DA">
        <w:rPr>
          <w:rFonts w:asciiTheme="majorHAnsi" w:hAnsiTheme="majorHAnsi"/>
          <w:sz w:val="20"/>
          <w:szCs w:val="20"/>
        </w:rPr>
        <w:t>573</w:t>
      </w:r>
      <w:r w:rsidR="00FD385F">
        <w:rPr>
          <w:rFonts w:asciiTheme="majorHAnsi" w:hAnsiTheme="majorHAnsi"/>
          <w:sz w:val="20"/>
          <w:szCs w:val="20"/>
        </w:rPr>
        <w:t xml:space="preserve">) </w:t>
      </w:r>
      <w:r w:rsidR="00510598" w:rsidRPr="009D52DA">
        <w:rPr>
          <w:rFonts w:asciiTheme="majorHAnsi" w:hAnsiTheme="majorHAnsi"/>
          <w:sz w:val="20"/>
          <w:szCs w:val="20"/>
        </w:rPr>
        <w:t>.</w:t>
      </w:r>
    </w:p>
    <w:p w:rsidR="004906F1" w:rsidRPr="009D52DA" w:rsidRDefault="00FD385F" w:rsidP="009D52DA">
      <w:pPr>
        <w:spacing w:after="0"/>
        <w:rPr>
          <w:rFonts w:asciiTheme="majorHAnsi" w:hAnsiTheme="majorHAnsi"/>
          <w:sz w:val="20"/>
          <w:szCs w:val="20"/>
        </w:rPr>
      </w:pPr>
      <w:r>
        <w:rPr>
          <w:rFonts w:asciiTheme="majorHAnsi" w:hAnsiTheme="majorHAnsi"/>
          <w:sz w:val="20"/>
          <w:szCs w:val="20"/>
        </w:rPr>
        <w:lastRenderedPageBreak/>
        <w:t>In any case, though there was</w:t>
      </w:r>
      <w:r w:rsidR="00916445">
        <w:rPr>
          <w:rFonts w:asciiTheme="majorHAnsi" w:hAnsiTheme="majorHAnsi"/>
          <w:sz w:val="20"/>
          <w:szCs w:val="20"/>
        </w:rPr>
        <w:t xml:space="preserve"> </w:t>
      </w:r>
      <w:r w:rsidR="00510598" w:rsidRPr="009D52DA">
        <w:rPr>
          <w:rFonts w:asciiTheme="majorHAnsi" w:hAnsiTheme="majorHAnsi"/>
          <w:sz w:val="20"/>
          <w:szCs w:val="20"/>
        </w:rPr>
        <w:t>general admiration for the model, the</w:t>
      </w:r>
      <w:r>
        <w:rPr>
          <w:rFonts w:asciiTheme="majorHAnsi" w:hAnsiTheme="majorHAnsi"/>
          <w:sz w:val="20"/>
          <w:szCs w:val="20"/>
        </w:rPr>
        <w:t xml:space="preserve"> </w:t>
      </w:r>
      <w:r w:rsidR="00BC0F46" w:rsidRPr="009D52DA">
        <w:rPr>
          <w:rFonts w:asciiTheme="majorHAnsi" w:hAnsiTheme="majorHAnsi"/>
          <w:sz w:val="20"/>
          <w:szCs w:val="20"/>
        </w:rPr>
        <w:t xml:space="preserve">wholesale </w:t>
      </w:r>
      <w:r w:rsidR="00510598" w:rsidRPr="009D52DA">
        <w:rPr>
          <w:rFonts w:asciiTheme="majorHAnsi" w:hAnsiTheme="majorHAnsi"/>
          <w:sz w:val="20"/>
          <w:szCs w:val="20"/>
        </w:rPr>
        <w:t xml:space="preserve">adoption of </w:t>
      </w:r>
      <w:r>
        <w:rPr>
          <w:rFonts w:asciiTheme="majorHAnsi" w:hAnsiTheme="majorHAnsi"/>
          <w:sz w:val="20"/>
          <w:szCs w:val="20"/>
        </w:rPr>
        <w:t xml:space="preserve">central </w:t>
      </w:r>
      <w:proofErr w:type="spellStart"/>
      <w:r w:rsidR="00BC0F46" w:rsidRPr="009D52DA">
        <w:rPr>
          <w:rFonts w:asciiTheme="majorHAnsi" w:hAnsiTheme="majorHAnsi"/>
          <w:sz w:val="20"/>
          <w:szCs w:val="20"/>
        </w:rPr>
        <w:t>Grigg</w:t>
      </w:r>
      <w:proofErr w:type="spellEnd"/>
      <w:r w:rsidR="00510598" w:rsidRPr="009D52DA">
        <w:rPr>
          <w:rFonts w:asciiTheme="majorHAnsi" w:hAnsiTheme="majorHAnsi"/>
          <w:sz w:val="20"/>
          <w:szCs w:val="20"/>
        </w:rPr>
        <w:t xml:space="preserve">-like processes </w:t>
      </w:r>
      <w:r>
        <w:rPr>
          <w:rFonts w:asciiTheme="majorHAnsi" w:hAnsiTheme="majorHAnsi"/>
          <w:sz w:val="20"/>
          <w:szCs w:val="20"/>
        </w:rPr>
        <w:t xml:space="preserve">at local level </w:t>
      </w:r>
      <w:r w:rsidR="00BC0F46" w:rsidRPr="009D52DA">
        <w:rPr>
          <w:rFonts w:asciiTheme="majorHAnsi" w:hAnsiTheme="majorHAnsi"/>
          <w:sz w:val="20"/>
          <w:szCs w:val="20"/>
        </w:rPr>
        <w:t>was untenable given the differences in scale,</w:t>
      </w:r>
      <w:r>
        <w:rPr>
          <w:rFonts w:asciiTheme="majorHAnsi" w:hAnsiTheme="majorHAnsi"/>
          <w:sz w:val="20"/>
          <w:szCs w:val="20"/>
        </w:rPr>
        <w:t xml:space="preserve"> </w:t>
      </w:r>
      <w:r w:rsidR="00916445">
        <w:rPr>
          <w:rFonts w:asciiTheme="majorHAnsi" w:hAnsiTheme="majorHAnsi"/>
          <w:sz w:val="20"/>
          <w:szCs w:val="20"/>
        </w:rPr>
        <w:t xml:space="preserve">in existing </w:t>
      </w:r>
      <w:r>
        <w:rPr>
          <w:rFonts w:asciiTheme="majorHAnsi" w:hAnsiTheme="majorHAnsi"/>
          <w:sz w:val="20"/>
          <w:szCs w:val="20"/>
        </w:rPr>
        <w:t>recordkeeping practices</w:t>
      </w:r>
      <w:r w:rsidR="00916445">
        <w:rPr>
          <w:rFonts w:asciiTheme="majorHAnsi" w:hAnsiTheme="majorHAnsi"/>
          <w:sz w:val="20"/>
          <w:szCs w:val="20"/>
        </w:rPr>
        <w:t xml:space="preserve">, and because few authorities had the resources to add the equivalent of a </w:t>
      </w:r>
      <w:r w:rsidR="00916445" w:rsidRPr="009D52DA">
        <w:rPr>
          <w:rFonts w:asciiTheme="majorHAnsi" w:hAnsiTheme="majorHAnsi"/>
          <w:sz w:val="20"/>
          <w:szCs w:val="20"/>
        </w:rPr>
        <w:t>Departmental Records Officer</w:t>
      </w:r>
      <w:r w:rsidR="00916445">
        <w:rPr>
          <w:rFonts w:asciiTheme="majorHAnsi" w:hAnsiTheme="majorHAnsi"/>
          <w:sz w:val="20"/>
          <w:szCs w:val="20"/>
        </w:rPr>
        <w:t xml:space="preserve"> to their establishment. </w:t>
      </w:r>
      <w:r w:rsidR="004906F1" w:rsidRPr="009D52DA">
        <w:rPr>
          <w:rFonts w:asciiTheme="majorHAnsi" w:hAnsiTheme="majorHAnsi"/>
          <w:sz w:val="20"/>
          <w:szCs w:val="20"/>
        </w:rPr>
        <w:t xml:space="preserve">At this local level, </w:t>
      </w:r>
      <w:r w:rsidR="00BC0F46" w:rsidRPr="009D52DA">
        <w:rPr>
          <w:rFonts w:asciiTheme="majorHAnsi" w:hAnsiTheme="majorHAnsi"/>
          <w:sz w:val="20"/>
          <w:szCs w:val="20"/>
        </w:rPr>
        <w:t xml:space="preserve">responsibility for selection was inevitably thrown back onto the archivists, </w:t>
      </w:r>
      <w:r w:rsidR="004906F1" w:rsidRPr="009D52DA">
        <w:rPr>
          <w:rFonts w:asciiTheme="majorHAnsi" w:hAnsiTheme="majorHAnsi"/>
          <w:sz w:val="20"/>
          <w:szCs w:val="20"/>
        </w:rPr>
        <w:t>especially</w:t>
      </w:r>
      <w:r w:rsidR="00BC0F46" w:rsidRPr="009D52DA">
        <w:rPr>
          <w:rFonts w:asciiTheme="majorHAnsi" w:hAnsiTheme="majorHAnsi"/>
          <w:sz w:val="20"/>
          <w:szCs w:val="20"/>
        </w:rPr>
        <w:t xml:space="preserve"> where th</w:t>
      </w:r>
      <w:r w:rsidR="00916445">
        <w:rPr>
          <w:rFonts w:asciiTheme="majorHAnsi" w:hAnsiTheme="majorHAnsi"/>
          <w:sz w:val="20"/>
          <w:szCs w:val="20"/>
        </w:rPr>
        <w:t>o</w:t>
      </w:r>
      <w:r w:rsidR="00BC0F46" w:rsidRPr="009D52DA">
        <w:rPr>
          <w:rFonts w:asciiTheme="majorHAnsi" w:hAnsiTheme="majorHAnsi"/>
          <w:sz w:val="20"/>
          <w:szCs w:val="20"/>
        </w:rPr>
        <w:t>se archivists were also responsible for the ‘new’ discipline of records management</w:t>
      </w:r>
      <w:r w:rsidR="00916445">
        <w:rPr>
          <w:rFonts w:asciiTheme="majorHAnsi" w:hAnsiTheme="majorHAnsi"/>
          <w:sz w:val="20"/>
          <w:szCs w:val="20"/>
        </w:rPr>
        <w:t xml:space="preserve"> </w:t>
      </w:r>
      <w:r w:rsidR="00BC0F46" w:rsidRPr="009D52DA">
        <w:rPr>
          <w:rFonts w:asciiTheme="majorHAnsi" w:hAnsiTheme="majorHAnsi"/>
          <w:sz w:val="20"/>
          <w:szCs w:val="20"/>
        </w:rPr>
        <w:t xml:space="preserve">then being introduced into the UK </w:t>
      </w:r>
      <w:r w:rsidR="00510598" w:rsidRPr="009D52DA">
        <w:rPr>
          <w:rFonts w:asciiTheme="majorHAnsi" w:hAnsiTheme="majorHAnsi"/>
          <w:sz w:val="20"/>
          <w:szCs w:val="20"/>
        </w:rPr>
        <w:t xml:space="preserve">by Michael Cook </w:t>
      </w:r>
      <w:r w:rsidR="004906F1" w:rsidRPr="009D52DA">
        <w:rPr>
          <w:rFonts w:asciiTheme="majorHAnsi" w:hAnsiTheme="majorHAnsi"/>
          <w:sz w:val="20"/>
          <w:szCs w:val="20"/>
        </w:rPr>
        <w:t xml:space="preserve">(qv) </w:t>
      </w:r>
      <w:r w:rsidR="00510598" w:rsidRPr="009D52DA">
        <w:rPr>
          <w:rFonts w:asciiTheme="majorHAnsi" w:hAnsiTheme="majorHAnsi"/>
          <w:sz w:val="20"/>
          <w:szCs w:val="20"/>
        </w:rPr>
        <w:t xml:space="preserve">and other practitioners influenced </w:t>
      </w:r>
      <w:r w:rsidR="00916445">
        <w:rPr>
          <w:rFonts w:asciiTheme="majorHAnsi" w:hAnsiTheme="majorHAnsi"/>
          <w:sz w:val="20"/>
          <w:szCs w:val="20"/>
        </w:rPr>
        <w:t xml:space="preserve">as much by </w:t>
      </w:r>
      <w:r w:rsidR="00510598" w:rsidRPr="009D52DA">
        <w:rPr>
          <w:rFonts w:asciiTheme="majorHAnsi" w:hAnsiTheme="majorHAnsi"/>
          <w:sz w:val="20"/>
          <w:szCs w:val="20"/>
        </w:rPr>
        <w:t>American innovations</w:t>
      </w:r>
      <w:r w:rsidR="00916445">
        <w:rPr>
          <w:rFonts w:asciiTheme="majorHAnsi" w:hAnsiTheme="majorHAnsi"/>
          <w:sz w:val="20"/>
          <w:szCs w:val="20"/>
        </w:rPr>
        <w:t xml:space="preserve"> as by the central government recordkeeping tradition. </w:t>
      </w:r>
      <w:r w:rsidR="00510598" w:rsidRPr="009D52DA">
        <w:rPr>
          <w:rFonts w:asciiTheme="majorHAnsi" w:hAnsiTheme="majorHAnsi"/>
          <w:sz w:val="20"/>
          <w:szCs w:val="20"/>
        </w:rPr>
        <w:t xml:space="preserve"> </w:t>
      </w:r>
      <w:proofErr w:type="gramStart"/>
      <w:r w:rsidR="00BC0F46" w:rsidRPr="009D52DA">
        <w:rPr>
          <w:rFonts w:asciiTheme="majorHAnsi" w:hAnsiTheme="majorHAnsi"/>
          <w:sz w:val="20"/>
          <w:szCs w:val="20"/>
        </w:rPr>
        <w:t>(</w:t>
      </w:r>
      <w:r w:rsidR="004906F1" w:rsidRPr="009D52DA">
        <w:rPr>
          <w:rFonts w:asciiTheme="majorHAnsi" w:hAnsiTheme="majorHAnsi"/>
          <w:sz w:val="20"/>
          <w:szCs w:val="20"/>
        </w:rPr>
        <w:t xml:space="preserve">Cook, </w:t>
      </w:r>
      <w:r w:rsidR="009D52DA">
        <w:rPr>
          <w:rFonts w:asciiTheme="majorHAnsi" w:hAnsiTheme="majorHAnsi"/>
          <w:sz w:val="20"/>
          <w:szCs w:val="20"/>
        </w:rPr>
        <w:t>“</w:t>
      </w:r>
      <w:r w:rsidR="004906F1" w:rsidRPr="009D52DA">
        <w:rPr>
          <w:rFonts w:asciiTheme="majorHAnsi" w:hAnsiTheme="majorHAnsi"/>
          <w:sz w:val="20"/>
          <w:szCs w:val="20"/>
        </w:rPr>
        <w:t xml:space="preserve">Surveying </w:t>
      </w:r>
      <w:r w:rsidR="00B208AC">
        <w:rPr>
          <w:rFonts w:asciiTheme="majorHAnsi" w:hAnsiTheme="majorHAnsi"/>
          <w:sz w:val="20"/>
          <w:szCs w:val="20"/>
        </w:rPr>
        <w:t>C</w:t>
      </w:r>
      <w:r w:rsidR="00B208AC" w:rsidRPr="009D52DA">
        <w:rPr>
          <w:rFonts w:asciiTheme="majorHAnsi" w:hAnsiTheme="majorHAnsi"/>
          <w:sz w:val="20"/>
          <w:szCs w:val="20"/>
        </w:rPr>
        <w:t xml:space="preserve">urrent </w:t>
      </w:r>
      <w:r w:rsidR="00B208AC">
        <w:rPr>
          <w:rFonts w:asciiTheme="majorHAnsi" w:hAnsiTheme="majorHAnsi"/>
          <w:sz w:val="20"/>
          <w:szCs w:val="20"/>
        </w:rPr>
        <w:t>R</w:t>
      </w:r>
      <w:r w:rsidR="00B208AC" w:rsidRPr="009D52DA">
        <w:rPr>
          <w:rFonts w:asciiTheme="majorHAnsi" w:hAnsiTheme="majorHAnsi"/>
          <w:sz w:val="20"/>
          <w:szCs w:val="20"/>
        </w:rPr>
        <w:t>ecords</w:t>
      </w:r>
      <w:r w:rsidR="009D52DA">
        <w:rPr>
          <w:rFonts w:asciiTheme="majorHAnsi" w:hAnsiTheme="majorHAnsi"/>
          <w:sz w:val="20"/>
          <w:szCs w:val="20"/>
        </w:rPr>
        <w:t>,”</w:t>
      </w:r>
      <w:r w:rsidR="004906F1" w:rsidRPr="009D52DA">
        <w:rPr>
          <w:rFonts w:asciiTheme="majorHAnsi" w:hAnsiTheme="majorHAnsi"/>
          <w:sz w:val="20"/>
          <w:szCs w:val="20"/>
        </w:rPr>
        <w:t xml:space="preserve"> </w:t>
      </w:r>
      <w:r w:rsidR="004906F1" w:rsidRPr="009D52DA">
        <w:rPr>
          <w:rFonts w:asciiTheme="majorHAnsi" w:hAnsiTheme="majorHAnsi"/>
          <w:i/>
          <w:sz w:val="20"/>
          <w:szCs w:val="20"/>
        </w:rPr>
        <w:t>J</w:t>
      </w:r>
      <w:r w:rsidR="00B208AC">
        <w:rPr>
          <w:rFonts w:asciiTheme="majorHAnsi" w:hAnsiTheme="majorHAnsi"/>
          <w:i/>
          <w:sz w:val="20"/>
          <w:szCs w:val="20"/>
        </w:rPr>
        <w:t xml:space="preserve">ournal of the </w:t>
      </w:r>
      <w:r w:rsidR="009F5544">
        <w:rPr>
          <w:rFonts w:asciiTheme="majorHAnsi" w:hAnsiTheme="majorHAnsi"/>
          <w:i/>
          <w:sz w:val="20"/>
          <w:szCs w:val="20"/>
        </w:rPr>
        <w:t>S</w:t>
      </w:r>
      <w:r w:rsidR="00B208AC">
        <w:rPr>
          <w:rFonts w:asciiTheme="majorHAnsi" w:hAnsiTheme="majorHAnsi"/>
          <w:i/>
          <w:sz w:val="20"/>
          <w:szCs w:val="20"/>
        </w:rPr>
        <w:t xml:space="preserve">ociety of </w:t>
      </w:r>
      <w:r w:rsidR="009F5544">
        <w:rPr>
          <w:rFonts w:asciiTheme="majorHAnsi" w:hAnsiTheme="majorHAnsi"/>
          <w:i/>
          <w:sz w:val="20"/>
          <w:szCs w:val="20"/>
        </w:rPr>
        <w:t>A</w:t>
      </w:r>
      <w:r w:rsidR="00B208AC">
        <w:rPr>
          <w:rFonts w:asciiTheme="majorHAnsi" w:hAnsiTheme="majorHAnsi"/>
          <w:i/>
          <w:sz w:val="20"/>
          <w:szCs w:val="20"/>
        </w:rPr>
        <w:t xml:space="preserve">rchivists </w:t>
      </w:r>
      <w:r w:rsidR="004906F1" w:rsidRPr="009D52DA">
        <w:rPr>
          <w:rFonts w:asciiTheme="majorHAnsi" w:hAnsiTheme="majorHAnsi"/>
          <w:sz w:val="20"/>
          <w:szCs w:val="20"/>
        </w:rPr>
        <w:t>4</w:t>
      </w:r>
      <w:r w:rsidR="00B208AC">
        <w:rPr>
          <w:rFonts w:asciiTheme="majorHAnsi" w:hAnsiTheme="majorHAnsi"/>
          <w:sz w:val="20"/>
          <w:szCs w:val="20"/>
        </w:rPr>
        <w:t>, no.5</w:t>
      </w:r>
      <w:r w:rsidR="004906F1" w:rsidRPr="009D52DA">
        <w:rPr>
          <w:rFonts w:asciiTheme="majorHAnsi" w:hAnsiTheme="majorHAnsi"/>
          <w:sz w:val="20"/>
          <w:szCs w:val="20"/>
        </w:rPr>
        <w:t xml:space="preserve"> (1972)</w:t>
      </w:r>
      <w:r w:rsidR="009D52DA">
        <w:rPr>
          <w:rFonts w:asciiTheme="majorHAnsi" w:hAnsiTheme="majorHAnsi"/>
          <w:sz w:val="20"/>
          <w:szCs w:val="20"/>
        </w:rPr>
        <w:t xml:space="preserve">, </w:t>
      </w:r>
      <w:r w:rsidR="004906F1" w:rsidRPr="009D52DA">
        <w:rPr>
          <w:rFonts w:asciiTheme="majorHAnsi" w:hAnsiTheme="majorHAnsi"/>
          <w:sz w:val="20"/>
          <w:szCs w:val="20"/>
        </w:rPr>
        <w:t>413-</w:t>
      </w:r>
      <w:r w:rsidR="009D52DA">
        <w:rPr>
          <w:rFonts w:asciiTheme="majorHAnsi" w:hAnsiTheme="majorHAnsi"/>
          <w:sz w:val="20"/>
          <w:szCs w:val="20"/>
        </w:rPr>
        <w:t>422</w:t>
      </w:r>
      <w:r w:rsidR="004906F1" w:rsidRPr="009D52DA">
        <w:rPr>
          <w:rFonts w:asciiTheme="majorHAnsi" w:hAnsiTheme="majorHAnsi"/>
          <w:sz w:val="20"/>
          <w:szCs w:val="20"/>
        </w:rPr>
        <w:t>)</w:t>
      </w:r>
      <w:r w:rsidR="00916445">
        <w:rPr>
          <w:rFonts w:asciiTheme="majorHAnsi" w:hAnsiTheme="majorHAnsi"/>
          <w:sz w:val="20"/>
          <w:szCs w:val="20"/>
        </w:rPr>
        <w:t>.</w:t>
      </w:r>
      <w:proofErr w:type="gramEnd"/>
      <w:r w:rsidR="004906F1" w:rsidRPr="009D52DA">
        <w:rPr>
          <w:rFonts w:asciiTheme="majorHAnsi" w:hAnsiTheme="majorHAnsi"/>
          <w:sz w:val="20"/>
          <w:szCs w:val="20"/>
        </w:rPr>
        <w:t xml:space="preserve"> </w:t>
      </w:r>
    </w:p>
    <w:p w:rsidR="00916445" w:rsidRDefault="00916445" w:rsidP="009D52DA">
      <w:pPr>
        <w:spacing w:after="0"/>
        <w:rPr>
          <w:rFonts w:asciiTheme="majorHAnsi" w:hAnsiTheme="majorHAnsi"/>
          <w:sz w:val="20"/>
          <w:szCs w:val="20"/>
        </w:rPr>
      </w:pPr>
    </w:p>
    <w:p w:rsidR="004906F1" w:rsidRPr="009D52DA" w:rsidRDefault="004137D4" w:rsidP="009F5544">
      <w:pPr>
        <w:spacing w:after="0"/>
        <w:ind w:firstLine="360"/>
        <w:rPr>
          <w:rFonts w:asciiTheme="majorHAnsi" w:hAnsiTheme="majorHAnsi"/>
          <w:sz w:val="20"/>
          <w:szCs w:val="20"/>
        </w:rPr>
      </w:pPr>
      <w:r>
        <w:rPr>
          <w:rFonts w:asciiTheme="majorHAnsi" w:hAnsiTheme="majorHAnsi"/>
          <w:sz w:val="20"/>
          <w:szCs w:val="20"/>
        </w:rPr>
        <w:t>On the global stage, t</w:t>
      </w:r>
      <w:r w:rsidRPr="009D52DA">
        <w:rPr>
          <w:rFonts w:asciiTheme="majorHAnsi" w:hAnsiTheme="majorHAnsi"/>
          <w:sz w:val="20"/>
          <w:szCs w:val="20"/>
        </w:rPr>
        <w:t>he 1950s and 19</w:t>
      </w:r>
      <w:r>
        <w:rPr>
          <w:rFonts w:asciiTheme="majorHAnsi" w:hAnsiTheme="majorHAnsi"/>
          <w:sz w:val="20"/>
          <w:szCs w:val="20"/>
        </w:rPr>
        <w:t>6</w:t>
      </w:r>
      <w:r w:rsidRPr="009D52DA">
        <w:rPr>
          <w:rFonts w:asciiTheme="majorHAnsi" w:hAnsiTheme="majorHAnsi"/>
          <w:sz w:val="20"/>
          <w:szCs w:val="20"/>
        </w:rPr>
        <w:t>0s</w:t>
      </w:r>
      <w:r>
        <w:rPr>
          <w:rFonts w:asciiTheme="majorHAnsi" w:hAnsiTheme="majorHAnsi"/>
          <w:sz w:val="20"/>
          <w:szCs w:val="20"/>
        </w:rPr>
        <w:t xml:space="preserve"> </w:t>
      </w:r>
      <w:r w:rsidRPr="009D52DA">
        <w:rPr>
          <w:rFonts w:asciiTheme="majorHAnsi" w:hAnsiTheme="majorHAnsi"/>
          <w:sz w:val="20"/>
          <w:szCs w:val="20"/>
        </w:rPr>
        <w:t>saw the break-up of the British empire</w:t>
      </w:r>
      <w:proofErr w:type="gramStart"/>
      <w:r>
        <w:rPr>
          <w:rFonts w:asciiTheme="majorHAnsi" w:hAnsiTheme="majorHAnsi"/>
          <w:sz w:val="20"/>
          <w:szCs w:val="20"/>
        </w:rPr>
        <w:t>,  the</w:t>
      </w:r>
      <w:proofErr w:type="gramEnd"/>
      <w:r>
        <w:rPr>
          <w:rFonts w:asciiTheme="majorHAnsi" w:hAnsiTheme="majorHAnsi"/>
          <w:sz w:val="20"/>
          <w:szCs w:val="20"/>
        </w:rPr>
        <w:t xml:space="preserve"> dismantling of colonial administrations and the creation of independent states.  In recordkeeping terms, </w:t>
      </w:r>
      <w:proofErr w:type="gramStart"/>
      <w:r>
        <w:rPr>
          <w:rFonts w:asciiTheme="majorHAnsi" w:hAnsiTheme="majorHAnsi"/>
          <w:sz w:val="20"/>
          <w:szCs w:val="20"/>
        </w:rPr>
        <w:t xml:space="preserve">it  </w:t>
      </w:r>
      <w:r w:rsidR="004906F1" w:rsidRPr="009D52DA">
        <w:rPr>
          <w:rFonts w:asciiTheme="majorHAnsi" w:hAnsiTheme="majorHAnsi"/>
          <w:sz w:val="20"/>
          <w:szCs w:val="20"/>
        </w:rPr>
        <w:t>was</w:t>
      </w:r>
      <w:proofErr w:type="gramEnd"/>
      <w:r w:rsidR="004906F1" w:rsidRPr="009D52DA">
        <w:rPr>
          <w:rFonts w:asciiTheme="majorHAnsi" w:hAnsiTheme="majorHAnsi"/>
          <w:sz w:val="20"/>
          <w:szCs w:val="20"/>
        </w:rPr>
        <w:t xml:space="preserve">  inevitable that </w:t>
      </w:r>
      <w:r w:rsidR="00BC0F46" w:rsidRPr="009D52DA">
        <w:rPr>
          <w:rFonts w:asciiTheme="majorHAnsi" w:hAnsiTheme="majorHAnsi"/>
          <w:sz w:val="20"/>
          <w:szCs w:val="20"/>
        </w:rPr>
        <w:t xml:space="preserve">elements of </w:t>
      </w:r>
      <w:r w:rsidR="004906F1" w:rsidRPr="009D52DA">
        <w:rPr>
          <w:rFonts w:asciiTheme="majorHAnsi" w:hAnsiTheme="majorHAnsi"/>
          <w:sz w:val="20"/>
          <w:szCs w:val="20"/>
        </w:rPr>
        <w:t xml:space="preserve">the </w:t>
      </w:r>
      <w:proofErr w:type="spellStart"/>
      <w:r w:rsidR="00BC0F46" w:rsidRPr="009D52DA">
        <w:rPr>
          <w:rFonts w:asciiTheme="majorHAnsi" w:hAnsiTheme="majorHAnsi"/>
          <w:sz w:val="20"/>
          <w:szCs w:val="20"/>
        </w:rPr>
        <w:t>Grigg</w:t>
      </w:r>
      <w:proofErr w:type="spellEnd"/>
      <w:r w:rsidR="004906F1" w:rsidRPr="009D52DA">
        <w:rPr>
          <w:rFonts w:asciiTheme="majorHAnsi" w:hAnsiTheme="majorHAnsi"/>
          <w:sz w:val="20"/>
          <w:szCs w:val="20"/>
        </w:rPr>
        <w:t xml:space="preserve"> </w:t>
      </w:r>
      <w:r w:rsidR="00916445">
        <w:rPr>
          <w:rFonts w:asciiTheme="majorHAnsi" w:hAnsiTheme="majorHAnsi"/>
          <w:sz w:val="20"/>
          <w:szCs w:val="20"/>
        </w:rPr>
        <w:t xml:space="preserve">report </w:t>
      </w:r>
      <w:r w:rsidR="004906F1" w:rsidRPr="009D52DA">
        <w:rPr>
          <w:rFonts w:asciiTheme="majorHAnsi" w:hAnsiTheme="majorHAnsi"/>
          <w:sz w:val="20"/>
          <w:szCs w:val="20"/>
        </w:rPr>
        <w:t xml:space="preserve">(and, more specifically, </w:t>
      </w:r>
      <w:r w:rsidR="00916445">
        <w:rPr>
          <w:rFonts w:asciiTheme="majorHAnsi" w:hAnsiTheme="majorHAnsi"/>
          <w:sz w:val="20"/>
          <w:szCs w:val="20"/>
        </w:rPr>
        <w:t xml:space="preserve">those elements </w:t>
      </w:r>
      <w:r>
        <w:rPr>
          <w:rFonts w:asciiTheme="majorHAnsi" w:hAnsiTheme="majorHAnsi"/>
          <w:sz w:val="20"/>
          <w:szCs w:val="20"/>
        </w:rPr>
        <w:t>as</w:t>
      </w:r>
      <w:r>
        <w:rPr>
          <w:rFonts w:asciiTheme="majorHAnsi" w:hAnsiTheme="majorHAnsi"/>
          <w:sz w:val="20"/>
          <w:szCs w:val="20"/>
        </w:rPr>
        <w:t xml:space="preserve"> </w:t>
      </w:r>
      <w:r w:rsidR="00916445">
        <w:rPr>
          <w:rFonts w:asciiTheme="majorHAnsi" w:hAnsiTheme="majorHAnsi"/>
          <w:sz w:val="20"/>
          <w:szCs w:val="20"/>
        </w:rPr>
        <w:t xml:space="preserve">embedded in the </w:t>
      </w:r>
      <w:r w:rsidR="00BC0F46" w:rsidRPr="009D52DA">
        <w:rPr>
          <w:rFonts w:asciiTheme="majorHAnsi" w:hAnsiTheme="majorHAnsi"/>
          <w:sz w:val="20"/>
          <w:szCs w:val="20"/>
        </w:rPr>
        <w:t>P</w:t>
      </w:r>
      <w:r>
        <w:rPr>
          <w:rFonts w:asciiTheme="majorHAnsi" w:hAnsiTheme="majorHAnsi"/>
          <w:sz w:val="20"/>
          <w:szCs w:val="20"/>
        </w:rPr>
        <w:t xml:space="preserve">ublic </w:t>
      </w:r>
      <w:r w:rsidR="00BC0F46" w:rsidRPr="009D52DA">
        <w:rPr>
          <w:rFonts w:asciiTheme="majorHAnsi" w:hAnsiTheme="majorHAnsi"/>
          <w:sz w:val="20"/>
          <w:szCs w:val="20"/>
        </w:rPr>
        <w:t>R</w:t>
      </w:r>
      <w:r>
        <w:rPr>
          <w:rFonts w:asciiTheme="majorHAnsi" w:hAnsiTheme="majorHAnsi"/>
          <w:sz w:val="20"/>
          <w:szCs w:val="20"/>
        </w:rPr>
        <w:t xml:space="preserve">ecords </w:t>
      </w:r>
      <w:r w:rsidR="00BC0F46" w:rsidRPr="009D52DA">
        <w:rPr>
          <w:rFonts w:asciiTheme="majorHAnsi" w:hAnsiTheme="majorHAnsi"/>
          <w:sz w:val="20"/>
          <w:szCs w:val="20"/>
        </w:rPr>
        <w:t>A</w:t>
      </w:r>
      <w:r>
        <w:rPr>
          <w:rFonts w:asciiTheme="majorHAnsi" w:hAnsiTheme="majorHAnsi"/>
          <w:sz w:val="20"/>
          <w:szCs w:val="20"/>
        </w:rPr>
        <w:t>ct</w:t>
      </w:r>
      <w:r w:rsidR="00916445">
        <w:rPr>
          <w:rFonts w:asciiTheme="majorHAnsi" w:hAnsiTheme="majorHAnsi"/>
          <w:sz w:val="20"/>
          <w:szCs w:val="20"/>
        </w:rPr>
        <w:t xml:space="preserve"> </w:t>
      </w:r>
      <w:r w:rsidR="00BC0F46" w:rsidRPr="009D52DA">
        <w:rPr>
          <w:rFonts w:asciiTheme="majorHAnsi" w:hAnsiTheme="majorHAnsi"/>
          <w:sz w:val="20"/>
          <w:szCs w:val="20"/>
        </w:rPr>
        <w:t>1958</w:t>
      </w:r>
      <w:r w:rsidR="004906F1" w:rsidRPr="009D52DA">
        <w:rPr>
          <w:rFonts w:asciiTheme="majorHAnsi" w:hAnsiTheme="majorHAnsi"/>
          <w:sz w:val="20"/>
          <w:szCs w:val="20"/>
        </w:rPr>
        <w:t xml:space="preserve">) </w:t>
      </w:r>
      <w:r w:rsidR="00BC0F46" w:rsidRPr="009D52DA">
        <w:rPr>
          <w:rFonts w:asciiTheme="majorHAnsi" w:hAnsiTheme="majorHAnsi"/>
          <w:sz w:val="20"/>
          <w:szCs w:val="20"/>
        </w:rPr>
        <w:t xml:space="preserve">found their way into </w:t>
      </w:r>
      <w:r w:rsidR="00916445">
        <w:rPr>
          <w:rFonts w:asciiTheme="majorHAnsi" w:hAnsiTheme="majorHAnsi"/>
          <w:sz w:val="20"/>
          <w:szCs w:val="20"/>
        </w:rPr>
        <w:t xml:space="preserve">the </w:t>
      </w:r>
      <w:r w:rsidR="00BC0F46" w:rsidRPr="009D52DA">
        <w:rPr>
          <w:rFonts w:asciiTheme="majorHAnsi" w:hAnsiTheme="majorHAnsi"/>
          <w:sz w:val="20"/>
          <w:szCs w:val="20"/>
        </w:rPr>
        <w:t xml:space="preserve">archival and records legislation </w:t>
      </w:r>
      <w:r w:rsidR="00916445">
        <w:rPr>
          <w:rFonts w:asciiTheme="majorHAnsi" w:hAnsiTheme="majorHAnsi"/>
          <w:sz w:val="20"/>
          <w:szCs w:val="20"/>
        </w:rPr>
        <w:t>of the</w:t>
      </w:r>
      <w:r w:rsidR="00BC0F46" w:rsidRPr="009D52DA">
        <w:rPr>
          <w:rFonts w:asciiTheme="majorHAnsi" w:hAnsiTheme="majorHAnsi"/>
          <w:sz w:val="20"/>
          <w:szCs w:val="20"/>
        </w:rPr>
        <w:t xml:space="preserve"> countries of the new British Commonwealth</w:t>
      </w:r>
      <w:r w:rsidR="00916445">
        <w:rPr>
          <w:rFonts w:asciiTheme="majorHAnsi" w:hAnsiTheme="majorHAnsi"/>
          <w:sz w:val="20"/>
          <w:szCs w:val="20"/>
        </w:rPr>
        <w:t xml:space="preserve"> </w:t>
      </w:r>
      <w:r w:rsidR="00BC0F46" w:rsidRPr="009D52DA">
        <w:rPr>
          <w:rFonts w:asciiTheme="majorHAnsi" w:hAnsiTheme="majorHAnsi"/>
          <w:sz w:val="20"/>
          <w:szCs w:val="20"/>
        </w:rPr>
        <w:t xml:space="preserve">as </w:t>
      </w:r>
      <w:r w:rsidR="00916445">
        <w:rPr>
          <w:rFonts w:asciiTheme="majorHAnsi" w:hAnsiTheme="majorHAnsi"/>
          <w:sz w:val="20"/>
          <w:szCs w:val="20"/>
        </w:rPr>
        <w:t>newly-</w:t>
      </w:r>
      <w:r w:rsidR="006C5801" w:rsidRPr="009D52DA">
        <w:rPr>
          <w:rFonts w:asciiTheme="majorHAnsi" w:hAnsiTheme="majorHAnsi"/>
          <w:sz w:val="20"/>
          <w:szCs w:val="20"/>
        </w:rPr>
        <w:t>independent states</w:t>
      </w:r>
      <w:r w:rsidR="00916445">
        <w:rPr>
          <w:rFonts w:asciiTheme="majorHAnsi" w:hAnsiTheme="majorHAnsi"/>
          <w:sz w:val="20"/>
          <w:szCs w:val="20"/>
        </w:rPr>
        <w:t xml:space="preserve">, </w:t>
      </w:r>
      <w:r w:rsidR="006C5801" w:rsidRPr="009D52DA">
        <w:rPr>
          <w:rFonts w:asciiTheme="majorHAnsi" w:hAnsiTheme="majorHAnsi"/>
          <w:sz w:val="20"/>
          <w:szCs w:val="20"/>
        </w:rPr>
        <w:t xml:space="preserve">anxious to establish </w:t>
      </w:r>
      <w:r w:rsidR="00916445">
        <w:rPr>
          <w:rFonts w:asciiTheme="majorHAnsi" w:hAnsiTheme="majorHAnsi"/>
          <w:sz w:val="20"/>
          <w:szCs w:val="20"/>
        </w:rPr>
        <w:t xml:space="preserve">their own state </w:t>
      </w:r>
      <w:r w:rsidR="006C5801" w:rsidRPr="009D52DA">
        <w:rPr>
          <w:rFonts w:asciiTheme="majorHAnsi" w:hAnsiTheme="majorHAnsi"/>
          <w:sz w:val="20"/>
          <w:szCs w:val="20"/>
        </w:rPr>
        <w:t xml:space="preserve">archives as an indicator of nationhood, </w:t>
      </w:r>
      <w:r w:rsidR="00916445">
        <w:rPr>
          <w:rFonts w:asciiTheme="majorHAnsi" w:hAnsiTheme="majorHAnsi"/>
          <w:sz w:val="20"/>
          <w:szCs w:val="20"/>
        </w:rPr>
        <w:t xml:space="preserve">adopted its </w:t>
      </w:r>
      <w:r w:rsidR="006C5801" w:rsidRPr="009D52DA">
        <w:rPr>
          <w:rFonts w:asciiTheme="majorHAnsi" w:hAnsiTheme="majorHAnsi"/>
          <w:sz w:val="20"/>
          <w:szCs w:val="20"/>
        </w:rPr>
        <w:t>principles of archival selection</w:t>
      </w:r>
      <w:r w:rsidR="00E30E70" w:rsidRPr="009D52DA">
        <w:rPr>
          <w:rFonts w:asciiTheme="majorHAnsi" w:hAnsiTheme="majorHAnsi"/>
          <w:sz w:val="20"/>
          <w:szCs w:val="20"/>
        </w:rPr>
        <w:t xml:space="preserve">. </w:t>
      </w:r>
      <w:r w:rsidR="00C525DB" w:rsidRPr="009D52DA">
        <w:rPr>
          <w:rFonts w:asciiTheme="majorHAnsi" w:hAnsiTheme="majorHAnsi"/>
          <w:sz w:val="20"/>
          <w:szCs w:val="20"/>
        </w:rPr>
        <w:t xml:space="preserve"> </w:t>
      </w:r>
      <w:r w:rsidR="006C5801" w:rsidRPr="009D52DA">
        <w:rPr>
          <w:rFonts w:asciiTheme="majorHAnsi" w:hAnsiTheme="majorHAnsi"/>
          <w:sz w:val="20"/>
          <w:szCs w:val="20"/>
        </w:rPr>
        <w:t xml:space="preserve"> </w:t>
      </w:r>
      <w:r w:rsidR="004906F1" w:rsidRPr="009D52DA">
        <w:rPr>
          <w:rFonts w:asciiTheme="majorHAnsi" w:hAnsiTheme="majorHAnsi"/>
          <w:sz w:val="20"/>
          <w:szCs w:val="20"/>
        </w:rPr>
        <w:t xml:space="preserve">In </w:t>
      </w:r>
      <w:r w:rsidR="00331555">
        <w:rPr>
          <w:rFonts w:asciiTheme="majorHAnsi" w:hAnsiTheme="majorHAnsi"/>
          <w:sz w:val="20"/>
          <w:szCs w:val="20"/>
        </w:rPr>
        <w:t>her</w:t>
      </w:r>
      <w:r w:rsidR="00331555" w:rsidRPr="009D52DA">
        <w:rPr>
          <w:rFonts w:asciiTheme="majorHAnsi" w:hAnsiTheme="majorHAnsi"/>
          <w:sz w:val="20"/>
          <w:szCs w:val="20"/>
        </w:rPr>
        <w:t xml:space="preserve"> </w:t>
      </w:r>
      <w:r w:rsidR="004906F1" w:rsidRPr="009D52DA">
        <w:rPr>
          <w:rFonts w:asciiTheme="majorHAnsi" w:hAnsiTheme="majorHAnsi"/>
          <w:sz w:val="20"/>
          <w:szCs w:val="20"/>
        </w:rPr>
        <w:t xml:space="preserve">2002 survey of </w:t>
      </w:r>
      <w:r w:rsidR="00E30E70" w:rsidRPr="009D52DA">
        <w:rPr>
          <w:rFonts w:asciiTheme="majorHAnsi" w:hAnsiTheme="majorHAnsi"/>
          <w:i/>
          <w:sz w:val="20"/>
          <w:szCs w:val="20"/>
        </w:rPr>
        <w:t>Archival Legislation in Commonwealth Countrie</w:t>
      </w:r>
      <w:r w:rsidR="004906F1" w:rsidRPr="009D52DA">
        <w:rPr>
          <w:rFonts w:asciiTheme="majorHAnsi" w:hAnsiTheme="majorHAnsi"/>
          <w:i/>
          <w:sz w:val="20"/>
          <w:szCs w:val="20"/>
        </w:rPr>
        <w:t xml:space="preserve">s </w:t>
      </w:r>
      <w:r w:rsidR="00B94BBD">
        <w:rPr>
          <w:rFonts w:asciiTheme="majorHAnsi" w:hAnsiTheme="majorHAnsi"/>
          <w:sz w:val="20"/>
          <w:szCs w:val="20"/>
        </w:rPr>
        <w:t>(</w:t>
      </w:r>
      <w:r w:rsidR="004906F1" w:rsidRPr="009D52DA">
        <w:rPr>
          <w:rFonts w:asciiTheme="majorHAnsi" w:hAnsiTheme="majorHAnsi"/>
          <w:sz w:val="20"/>
          <w:szCs w:val="20"/>
        </w:rPr>
        <w:t>Association of Commonwealth Archivists and Records Managers</w:t>
      </w:r>
      <w:r w:rsidR="00B94BBD">
        <w:rPr>
          <w:rFonts w:asciiTheme="majorHAnsi" w:hAnsiTheme="majorHAnsi"/>
          <w:sz w:val="20"/>
          <w:szCs w:val="20"/>
        </w:rPr>
        <w:t>)</w:t>
      </w:r>
      <w:r w:rsidR="004906F1" w:rsidRPr="009D52DA">
        <w:rPr>
          <w:rFonts w:asciiTheme="majorHAnsi" w:hAnsiTheme="majorHAnsi"/>
          <w:sz w:val="20"/>
          <w:szCs w:val="20"/>
        </w:rPr>
        <w:t>,</w:t>
      </w:r>
      <w:r w:rsidR="00916445">
        <w:rPr>
          <w:rFonts w:asciiTheme="majorHAnsi" w:hAnsiTheme="majorHAnsi"/>
          <w:sz w:val="20"/>
          <w:szCs w:val="20"/>
        </w:rPr>
        <w:t xml:space="preserve"> </w:t>
      </w:r>
      <w:r w:rsidR="004906F1" w:rsidRPr="009D52DA">
        <w:rPr>
          <w:rFonts w:asciiTheme="majorHAnsi" w:hAnsiTheme="majorHAnsi"/>
          <w:sz w:val="20"/>
          <w:szCs w:val="20"/>
        </w:rPr>
        <w:t xml:space="preserve">Dagmar </w:t>
      </w:r>
      <w:proofErr w:type="spellStart"/>
      <w:r w:rsidR="004906F1" w:rsidRPr="009D52DA">
        <w:rPr>
          <w:rFonts w:asciiTheme="majorHAnsi" w:hAnsiTheme="majorHAnsi"/>
          <w:sz w:val="20"/>
          <w:szCs w:val="20"/>
        </w:rPr>
        <w:t>Parer</w:t>
      </w:r>
      <w:proofErr w:type="spellEnd"/>
      <w:r w:rsidR="004906F1" w:rsidRPr="009D52DA">
        <w:rPr>
          <w:rFonts w:asciiTheme="majorHAnsi" w:hAnsiTheme="majorHAnsi"/>
          <w:sz w:val="20"/>
          <w:szCs w:val="20"/>
        </w:rPr>
        <w:t xml:space="preserve"> </w:t>
      </w:r>
      <w:r w:rsidR="00E30E70" w:rsidRPr="009D52DA">
        <w:rPr>
          <w:rFonts w:asciiTheme="majorHAnsi" w:hAnsiTheme="majorHAnsi"/>
          <w:sz w:val="20"/>
          <w:szCs w:val="20"/>
        </w:rPr>
        <w:t xml:space="preserve"> found (p.2) that </w:t>
      </w:r>
      <w:r w:rsidR="00167B53">
        <w:rPr>
          <w:rFonts w:asciiTheme="majorHAnsi" w:hAnsiTheme="majorHAnsi"/>
          <w:sz w:val="20"/>
          <w:szCs w:val="20"/>
        </w:rPr>
        <w:t xml:space="preserve">a majority of this </w:t>
      </w:r>
      <w:r w:rsidR="00E30E70" w:rsidRPr="009D52DA">
        <w:rPr>
          <w:rFonts w:asciiTheme="majorHAnsi" w:hAnsiTheme="majorHAnsi"/>
          <w:sz w:val="20"/>
          <w:szCs w:val="20"/>
        </w:rPr>
        <w:t xml:space="preserve">legislation </w:t>
      </w:r>
      <w:r w:rsidR="00167B53">
        <w:rPr>
          <w:rFonts w:asciiTheme="majorHAnsi" w:hAnsiTheme="majorHAnsi"/>
          <w:sz w:val="20"/>
          <w:szCs w:val="20"/>
        </w:rPr>
        <w:t>was based on the assumption that</w:t>
      </w:r>
      <w:r w:rsidR="00E30E70" w:rsidRPr="009D52DA">
        <w:rPr>
          <w:rFonts w:asciiTheme="majorHAnsi" w:hAnsiTheme="majorHAnsi"/>
          <w:sz w:val="20"/>
          <w:szCs w:val="20"/>
        </w:rPr>
        <w:t xml:space="preserve"> </w:t>
      </w:r>
      <w:r w:rsidR="009D52DA">
        <w:rPr>
          <w:rFonts w:asciiTheme="majorHAnsi" w:hAnsiTheme="majorHAnsi"/>
          <w:sz w:val="20"/>
          <w:szCs w:val="20"/>
        </w:rPr>
        <w:t>“</w:t>
      </w:r>
      <w:r w:rsidR="00E30E70" w:rsidRPr="009D52DA">
        <w:rPr>
          <w:rFonts w:asciiTheme="majorHAnsi" w:hAnsiTheme="majorHAnsi"/>
          <w:sz w:val="20"/>
          <w:szCs w:val="20"/>
        </w:rPr>
        <w:t>the primary responsibility of an archives was to ensure that historical records survived for research purposes and the regulatory powers conferred by legis</w:t>
      </w:r>
      <w:r w:rsidR="00167B53">
        <w:rPr>
          <w:rFonts w:asciiTheme="majorHAnsi" w:hAnsiTheme="majorHAnsi"/>
          <w:sz w:val="20"/>
          <w:szCs w:val="20"/>
        </w:rPr>
        <w:t>l</w:t>
      </w:r>
      <w:r w:rsidR="00E30E70" w:rsidRPr="009D52DA">
        <w:rPr>
          <w:rFonts w:asciiTheme="majorHAnsi" w:hAnsiTheme="majorHAnsi"/>
          <w:sz w:val="20"/>
          <w:szCs w:val="20"/>
        </w:rPr>
        <w:t xml:space="preserve">ation in most Commonwealth countries, often strongly influenced by the </w:t>
      </w:r>
      <w:r w:rsidR="00167B53">
        <w:rPr>
          <w:rFonts w:asciiTheme="majorHAnsi" w:hAnsiTheme="majorHAnsi"/>
          <w:sz w:val="20"/>
          <w:szCs w:val="20"/>
        </w:rPr>
        <w:t xml:space="preserve">[UK] </w:t>
      </w:r>
      <w:r w:rsidR="00E30E70" w:rsidRPr="009D52DA">
        <w:rPr>
          <w:rFonts w:asciiTheme="majorHAnsi" w:hAnsiTheme="majorHAnsi"/>
          <w:sz w:val="20"/>
          <w:szCs w:val="20"/>
        </w:rPr>
        <w:t xml:space="preserve">Public Records Act 1958 </w:t>
      </w:r>
      <w:r w:rsidR="00167B53">
        <w:rPr>
          <w:rFonts w:asciiTheme="majorHAnsi" w:hAnsiTheme="majorHAnsi"/>
          <w:sz w:val="20"/>
          <w:szCs w:val="20"/>
        </w:rPr>
        <w:t>…</w:t>
      </w:r>
      <w:r w:rsidR="00E30E70" w:rsidRPr="009D52DA">
        <w:rPr>
          <w:rFonts w:asciiTheme="majorHAnsi" w:hAnsiTheme="majorHAnsi"/>
          <w:sz w:val="20"/>
          <w:szCs w:val="20"/>
        </w:rPr>
        <w:t xml:space="preserve"> should enable the archives to achieve that purpose</w:t>
      </w:r>
      <w:r w:rsidR="009D52DA">
        <w:rPr>
          <w:rFonts w:asciiTheme="majorHAnsi" w:hAnsiTheme="majorHAnsi"/>
          <w:sz w:val="20"/>
          <w:szCs w:val="20"/>
        </w:rPr>
        <w:t>.</w:t>
      </w:r>
      <w:r w:rsidR="004906F1" w:rsidRPr="009D52DA">
        <w:rPr>
          <w:rFonts w:asciiTheme="majorHAnsi" w:hAnsiTheme="majorHAnsi"/>
          <w:sz w:val="20"/>
          <w:szCs w:val="20"/>
        </w:rPr>
        <w:t>”</w:t>
      </w:r>
      <w:r w:rsidR="007C132C">
        <w:rPr>
          <w:rFonts w:asciiTheme="majorHAnsi" w:hAnsiTheme="majorHAnsi"/>
          <w:sz w:val="20"/>
          <w:szCs w:val="20"/>
        </w:rPr>
        <w:t xml:space="preserve"> Thus, </w:t>
      </w:r>
      <w:r w:rsidR="00331555">
        <w:rPr>
          <w:rFonts w:asciiTheme="majorHAnsi" w:hAnsiTheme="majorHAnsi"/>
          <w:sz w:val="20"/>
          <w:szCs w:val="20"/>
        </w:rPr>
        <w:t>s</w:t>
      </w:r>
      <w:r w:rsidR="007C132C">
        <w:rPr>
          <w:rFonts w:asciiTheme="majorHAnsi" w:hAnsiTheme="majorHAnsi"/>
          <w:sz w:val="20"/>
          <w:szCs w:val="20"/>
        </w:rPr>
        <w:t xml:space="preserve">he noted, </w:t>
      </w:r>
      <w:r w:rsidR="004906F1" w:rsidRPr="009D52DA">
        <w:rPr>
          <w:rFonts w:asciiTheme="majorHAnsi" w:hAnsiTheme="majorHAnsi"/>
          <w:sz w:val="20"/>
          <w:szCs w:val="20"/>
        </w:rPr>
        <w:t>a</w:t>
      </w:r>
      <w:r w:rsidR="00E30E70" w:rsidRPr="009D52DA">
        <w:rPr>
          <w:rFonts w:asciiTheme="majorHAnsi" w:hAnsiTheme="majorHAnsi"/>
          <w:sz w:val="20"/>
          <w:szCs w:val="20"/>
        </w:rPr>
        <w:t xml:space="preserve">rchival legislation </w:t>
      </w:r>
      <w:r w:rsidR="004906F1" w:rsidRPr="009D52DA">
        <w:rPr>
          <w:rFonts w:asciiTheme="majorHAnsi" w:hAnsiTheme="majorHAnsi"/>
          <w:sz w:val="20"/>
          <w:szCs w:val="20"/>
        </w:rPr>
        <w:t>in the Commonwealth</w:t>
      </w:r>
      <w:r w:rsidR="00EF0D1D">
        <w:rPr>
          <w:rFonts w:asciiTheme="majorHAnsi" w:hAnsiTheme="majorHAnsi"/>
          <w:sz w:val="20"/>
          <w:szCs w:val="20"/>
        </w:rPr>
        <w:t xml:space="preserve"> </w:t>
      </w:r>
      <w:r w:rsidR="007C132C">
        <w:rPr>
          <w:rFonts w:asciiTheme="majorHAnsi" w:hAnsiTheme="majorHAnsi"/>
          <w:sz w:val="20"/>
          <w:szCs w:val="20"/>
        </w:rPr>
        <w:t xml:space="preserve">typically </w:t>
      </w:r>
      <w:r w:rsidR="004906F1" w:rsidRPr="009D52DA">
        <w:rPr>
          <w:rFonts w:asciiTheme="majorHAnsi" w:hAnsiTheme="majorHAnsi"/>
          <w:sz w:val="20"/>
          <w:szCs w:val="20"/>
        </w:rPr>
        <w:t>aim</w:t>
      </w:r>
      <w:r w:rsidR="00EF0D1D">
        <w:rPr>
          <w:rFonts w:asciiTheme="majorHAnsi" w:hAnsiTheme="majorHAnsi"/>
          <w:sz w:val="20"/>
          <w:szCs w:val="20"/>
        </w:rPr>
        <w:t>s</w:t>
      </w:r>
      <w:r w:rsidR="004906F1" w:rsidRPr="009D52DA">
        <w:rPr>
          <w:rFonts w:asciiTheme="majorHAnsi" w:hAnsiTheme="majorHAnsi"/>
          <w:sz w:val="20"/>
          <w:szCs w:val="20"/>
        </w:rPr>
        <w:t xml:space="preserve"> to: </w:t>
      </w:r>
    </w:p>
    <w:p w:rsidR="00E30E70" w:rsidRPr="009D52DA" w:rsidRDefault="00E30E70" w:rsidP="009D52DA">
      <w:pPr>
        <w:pStyle w:val="ListParagraph"/>
        <w:numPr>
          <w:ilvl w:val="0"/>
          <w:numId w:val="3"/>
        </w:numPr>
        <w:spacing w:after="0" w:line="360" w:lineRule="auto"/>
        <w:rPr>
          <w:rFonts w:asciiTheme="majorHAnsi" w:hAnsiTheme="majorHAnsi"/>
          <w:sz w:val="20"/>
          <w:szCs w:val="20"/>
        </w:rPr>
      </w:pPr>
      <w:r w:rsidRPr="009D52DA">
        <w:rPr>
          <w:rFonts w:asciiTheme="majorHAnsi" w:hAnsiTheme="majorHAnsi"/>
          <w:sz w:val="20"/>
          <w:szCs w:val="20"/>
        </w:rPr>
        <w:t>prohibit destruction of records without prior approval</w:t>
      </w:r>
    </w:p>
    <w:p w:rsidR="00E30E70" w:rsidRPr="009D52DA" w:rsidRDefault="00E30E70" w:rsidP="009D52DA">
      <w:pPr>
        <w:pStyle w:val="ListParagraph"/>
        <w:numPr>
          <w:ilvl w:val="0"/>
          <w:numId w:val="3"/>
        </w:numPr>
        <w:spacing w:after="0" w:line="360" w:lineRule="auto"/>
        <w:rPr>
          <w:rFonts w:asciiTheme="majorHAnsi" w:hAnsiTheme="majorHAnsi"/>
          <w:sz w:val="20"/>
          <w:szCs w:val="20"/>
        </w:rPr>
      </w:pPr>
      <w:r w:rsidRPr="009D52DA">
        <w:rPr>
          <w:rFonts w:asciiTheme="majorHAnsi" w:hAnsiTheme="majorHAnsi"/>
          <w:sz w:val="20"/>
          <w:szCs w:val="20"/>
        </w:rPr>
        <w:t>establish an archival authority to give or deny such approval</w:t>
      </w:r>
    </w:p>
    <w:p w:rsidR="00E30E70" w:rsidRPr="009D52DA" w:rsidRDefault="00E30E70" w:rsidP="009D52DA">
      <w:pPr>
        <w:pStyle w:val="ListParagraph"/>
        <w:numPr>
          <w:ilvl w:val="0"/>
          <w:numId w:val="3"/>
        </w:numPr>
        <w:spacing w:after="0" w:line="360" w:lineRule="auto"/>
        <w:rPr>
          <w:rFonts w:asciiTheme="majorHAnsi" w:hAnsiTheme="majorHAnsi"/>
          <w:sz w:val="20"/>
          <w:szCs w:val="20"/>
        </w:rPr>
      </w:pPr>
      <w:r w:rsidRPr="009D52DA">
        <w:rPr>
          <w:rFonts w:asciiTheme="majorHAnsi" w:hAnsiTheme="majorHAnsi"/>
          <w:sz w:val="20"/>
          <w:szCs w:val="20"/>
        </w:rPr>
        <w:t>empower the authority to receive records not authorized for destruction</w:t>
      </w:r>
    </w:p>
    <w:p w:rsidR="00E30E70" w:rsidRPr="009D52DA" w:rsidRDefault="00E30E70" w:rsidP="009D52DA">
      <w:pPr>
        <w:pStyle w:val="ListParagraph"/>
        <w:numPr>
          <w:ilvl w:val="0"/>
          <w:numId w:val="3"/>
        </w:numPr>
        <w:spacing w:after="0" w:line="360" w:lineRule="auto"/>
        <w:rPr>
          <w:rFonts w:asciiTheme="majorHAnsi" w:hAnsiTheme="majorHAnsi"/>
          <w:sz w:val="20"/>
          <w:szCs w:val="20"/>
        </w:rPr>
      </w:pPr>
      <w:r w:rsidRPr="009D52DA">
        <w:rPr>
          <w:rFonts w:asciiTheme="majorHAnsi" w:hAnsiTheme="majorHAnsi"/>
          <w:sz w:val="20"/>
          <w:szCs w:val="20"/>
        </w:rPr>
        <w:t>mandate transfer of records, generally after 25 to 30 years</w:t>
      </w:r>
    </w:p>
    <w:p w:rsidR="00E30E70" w:rsidRPr="009D52DA" w:rsidRDefault="00E30E70" w:rsidP="009D52DA">
      <w:pPr>
        <w:pStyle w:val="ListParagraph"/>
        <w:numPr>
          <w:ilvl w:val="0"/>
          <w:numId w:val="3"/>
        </w:numPr>
        <w:spacing w:after="0" w:line="360" w:lineRule="auto"/>
        <w:rPr>
          <w:rFonts w:asciiTheme="majorHAnsi" w:hAnsiTheme="majorHAnsi"/>
          <w:sz w:val="20"/>
          <w:szCs w:val="20"/>
        </w:rPr>
      </w:pPr>
      <w:r w:rsidRPr="009D52DA">
        <w:rPr>
          <w:rFonts w:asciiTheme="majorHAnsi" w:hAnsiTheme="majorHAnsi"/>
          <w:sz w:val="20"/>
          <w:szCs w:val="20"/>
        </w:rPr>
        <w:t>confer right of public access</w:t>
      </w:r>
      <w:r w:rsidR="00EF0D1D">
        <w:rPr>
          <w:rFonts w:asciiTheme="majorHAnsi" w:hAnsiTheme="majorHAnsi"/>
          <w:sz w:val="20"/>
          <w:szCs w:val="20"/>
        </w:rPr>
        <w:t xml:space="preserve"> </w:t>
      </w:r>
    </w:p>
    <w:p w:rsidR="006C5801" w:rsidRPr="009D52DA" w:rsidRDefault="004F4989" w:rsidP="009F5544">
      <w:pPr>
        <w:ind w:firstLine="360"/>
        <w:rPr>
          <w:rFonts w:asciiTheme="majorHAnsi" w:hAnsiTheme="majorHAnsi"/>
          <w:sz w:val="20"/>
          <w:szCs w:val="20"/>
        </w:rPr>
      </w:pPr>
      <w:r>
        <w:rPr>
          <w:rFonts w:asciiTheme="majorHAnsi" w:hAnsiTheme="majorHAnsi"/>
          <w:sz w:val="20"/>
          <w:szCs w:val="20"/>
        </w:rPr>
        <w:t>T</w:t>
      </w:r>
      <w:r w:rsidR="00EF0D1D">
        <w:rPr>
          <w:rFonts w:asciiTheme="majorHAnsi" w:hAnsiTheme="majorHAnsi"/>
          <w:sz w:val="20"/>
          <w:szCs w:val="20"/>
        </w:rPr>
        <w:t>he frequency with which such provisions occur in Commonwealth legislation</w:t>
      </w:r>
      <w:r>
        <w:rPr>
          <w:rFonts w:asciiTheme="majorHAnsi" w:hAnsiTheme="majorHAnsi"/>
          <w:sz w:val="20"/>
          <w:szCs w:val="20"/>
        </w:rPr>
        <w:t xml:space="preserve">, while not of course limited to those countries, is nevertheless </w:t>
      </w:r>
      <w:r w:rsidR="00EF0D1D">
        <w:rPr>
          <w:rFonts w:asciiTheme="majorHAnsi" w:hAnsiTheme="majorHAnsi"/>
          <w:sz w:val="20"/>
          <w:szCs w:val="20"/>
        </w:rPr>
        <w:t>a clear indicat</w:t>
      </w:r>
      <w:r>
        <w:rPr>
          <w:rFonts w:asciiTheme="majorHAnsi" w:hAnsiTheme="majorHAnsi"/>
          <w:sz w:val="20"/>
          <w:szCs w:val="20"/>
        </w:rPr>
        <w:t xml:space="preserve">ion of the </w:t>
      </w:r>
      <w:r w:rsidR="00EF0D1D">
        <w:rPr>
          <w:rFonts w:asciiTheme="majorHAnsi" w:hAnsiTheme="majorHAnsi"/>
          <w:sz w:val="20"/>
          <w:szCs w:val="20"/>
        </w:rPr>
        <w:t xml:space="preserve">far-reaching influence of </w:t>
      </w:r>
      <w:proofErr w:type="spellStart"/>
      <w:r w:rsidR="00EF0D1D">
        <w:rPr>
          <w:rFonts w:asciiTheme="majorHAnsi" w:hAnsiTheme="majorHAnsi"/>
          <w:sz w:val="20"/>
          <w:szCs w:val="20"/>
        </w:rPr>
        <w:t>Grigg</w:t>
      </w:r>
      <w:proofErr w:type="spellEnd"/>
      <w:r w:rsidR="00EF0D1D">
        <w:rPr>
          <w:rFonts w:asciiTheme="majorHAnsi" w:hAnsiTheme="majorHAnsi"/>
          <w:sz w:val="20"/>
          <w:szCs w:val="20"/>
        </w:rPr>
        <w:t xml:space="preserve"> on </w:t>
      </w:r>
      <w:r>
        <w:rPr>
          <w:rFonts w:asciiTheme="majorHAnsi" w:hAnsiTheme="majorHAnsi"/>
          <w:sz w:val="20"/>
          <w:szCs w:val="20"/>
        </w:rPr>
        <w:t xml:space="preserve">practices and processes for the selection of archives. </w:t>
      </w:r>
    </w:p>
    <w:p w:rsidR="00BC0F46" w:rsidRPr="009F5544" w:rsidRDefault="00BC0F46" w:rsidP="009F5544">
      <w:pPr>
        <w:jc w:val="center"/>
        <w:rPr>
          <w:rFonts w:asciiTheme="majorHAnsi" w:hAnsiTheme="majorHAnsi"/>
          <w:sz w:val="20"/>
          <w:szCs w:val="20"/>
        </w:rPr>
      </w:pPr>
      <w:r w:rsidRPr="009F5544">
        <w:rPr>
          <w:rFonts w:asciiTheme="majorHAnsi" w:hAnsiTheme="majorHAnsi"/>
          <w:sz w:val="20"/>
          <w:szCs w:val="20"/>
        </w:rPr>
        <w:t xml:space="preserve">The </w:t>
      </w:r>
      <w:r w:rsidR="00B94BBD">
        <w:rPr>
          <w:rFonts w:asciiTheme="majorHAnsi" w:hAnsiTheme="majorHAnsi"/>
          <w:sz w:val="20"/>
          <w:szCs w:val="20"/>
        </w:rPr>
        <w:t>F</w:t>
      </w:r>
      <w:r w:rsidR="00B94BBD" w:rsidRPr="009F5544">
        <w:rPr>
          <w:rFonts w:asciiTheme="majorHAnsi" w:hAnsiTheme="majorHAnsi"/>
          <w:sz w:val="20"/>
          <w:szCs w:val="20"/>
        </w:rPr>
        <w:t xml:space="preserve">ate </w:t>
      </w:r>
      <w:r w:rsidRPr="009F5544">
        <w:rPr>
          <w:rFonts w:asciiTheme="majorHAnsi" w:hAnsiTheme="majorHAnsi"/>
          <w:sz w:val="20"/>
          <w:szCs w:val="20"/>
        </w:rPr>
        <w:t xml:space="preserve">of the </w:t>
      </w:r>
      <w:proofErr w:type="spellStart"/>
      <w:r w:rsidRPr="009F5544">
        <w:rPr>
          <w:rFonts w:asciiTheme="majorHAnsi" w:hAnsiTheme="majorHAnsi"/>
          <w:sz w:val="20"/>
          <w:szCs w:val="20"/>
        </w:rPr>
        <w:t>Grigg</w:t>
      </w:r>
      <w:proofErr w:type="spellEnd"/>
      <w:r w:rsidRPr="009F5544">
        <w:rPr>
          <w:rFonts w:asciiTheme="majorHAnsi" w:hAnsiTheme="majorHAnsi"/>
          <w:sz w:val="20"/>
          <w:szCs w:val="20"/>
        </w:rPr>
        <w:t xml:space="preserve"> </w:t>
      </w:r>
      <w:r w:rsidR="00B94BBD">
        <w:rPr>
          <w:rFonts w:asciiTheme="majorHAnsi" w:hAnsiTheme="majorHAnsi"/>
          <w:sz w:val="20"/>
          <w:szCs w:val="20"/>
        </w:rPr>
        <w:t>S</w:t>
      </w:r>
      <w:r w:rsidR="00B94BBD" w:rsidRPr="009F5544">
        <w:rPr>
          <w:rFonts w:asciiTheme="majorHAnsi" w:hAnsiTheme="majorHAnsi"/>
          <w:sz w:val="20"/>
          <w:szCs w:val="20"/>
        </w:rPr>
        <w:t>ystem</w:t>
      </w:r>
    </w:p>
    <w:p w:rsidR="00B51D40" w:rsidRPr="009D52DA" w:rsidRDefault="00EA07AA" w:rsidP="009F5544">
      <w:pPr>
        <w:ind w:firstLine="720"/>
        <w:rPr>
          <w:rFonts w:asciiTheme="majorHAnsi" w:hAnsiTheme="majorHAnsi"/>
          <w:sz w:val="20"/>
          <w:szCs w:val="20"/>
        </w:rPr>
      </w:pPr>
      <w:r w:rsidRPr="009D52DA">
        <w:rPr>
          <w:rFonts w:asciiTheme="majorHAnsi" w:hAnsiTheme="majorHAnsi"/>
          <w:sz w:val="20"/>
          <w:szCs w:val="20"/>
        </w:rPr>
        <w:t>Despite its flaws</w:t>
      </w:r>
      <w:r w:rsidR="00BC0F46" w:rsidRPr="009D52DA">
        <w:rPr>
          <w:rFonts w:asciiTheme="majorHAnsi" w:hAnsiTheme="majorHAnsi"/>
          <w:sz w:val="20"/>
          <w:szCs w:val="20"/>
        </w:rPr>
        <w:t>,</w:t>
      </w:r>
      <w:r w:rsidR="004F4989">
        <w:rPr>
          <w:rFonts w:asciiTheme="majorHAnsi" w:hAnsiTheme="majorHAnsi"/>
          <w:sz w:val="20"/>
          <w:szCs w:val="20"/>
        </w:rPr>
        <w:t xml:space="preserve"> </w:t>
      </w:r>
      <w:r w:rsidRPr="009D52DA">
        <w:rPr>
          <w:rFonts w:asciiTheme="majorHAnsi" w:hAnsiTheme="majorHAnsi"/>
          <w:sz w:val="20"/>
          <w:szCs w:val="20"/>
        </w:rPr>
        <w:t>and complaints from historians about</w:t>
      </w:r>
      <w:r w:rsidR="00BC0F46" w:rsidRPr="009D52DA">
        <w:rPr>
          <w:rFonts w:asciiTheme="majorHAnsi" w:hAnsiTheme="majorHAnsi"/>
          <w:sz w:val="20"/>
          <w:szCs w:val="20"/>
        </w:rPr>
        <w:t xml:space="preserve"> the consequences of ‘historical’ value not being considered at the first review stage</w:t>
      </w:r>
      <w:r w:rsidR="00EF0D1D">
        <w:rPr>
          <w:rFonts w:asciiTheme="majorHAnsi" w:hAnsiTheme="majorHAnsi"/>
          <w:sz w:val="20"/>
          <w:szCs w:val="20"/>
        </w:rPr>
        <w:t xml:space="preserve"> </w:t>
      </w:r>
      <w:r w:rsidR="004F4989">
        <w:rPr>
          <w:rFonts w:asciiTheme="majorHAnsi" w:hAnsiTheme="majorHAnsi"/>
          <w:sz w:val="20"/>
          <w:szCs w:val="20"/>
        </w:rPr>
        <w:t>(</w:t>
      </w:r>
      <w:r w:rsidR="00AC3466">
        <w:rPr>
          <w:rFonts w:asciiTheme="majorHAnsi" w:hAnsiTheme="majorHAnsi"/>
          <w:sz w:val="20"/>
          <w:szCs w:val="20"/>
        </w:rPr>
        <w:t>so that too</w:t>
      </w:r>
      <w:r w:rsidR="00EF0D1D">
        <w:rPr>
          <w:rFonts w:asciiTheme="majorHAnsi" w:hAnsiTheme="majorHAnsi"/>
          <w:sz w:val="20"/>
          <w:szCs w:val="20"/>
        </w:rPr>
        <w:t xml:space="preserve"> many records were being destroyed</w:t>
      </w:r>
      <w:r w:rsidR="004F4989">
        <w:rPr>
          <w:rFonts w:asciiTheme="majorHAnsi" w:hAnsiTheme="majorHAnsi"/>
          <w:sz w:val="20"/>
          <w:szCs w:val="20"/>
        </w:rPr>
        <w:t>)</w:t>
      </w:r>
      <w:r w:rsidR="00EF0D1D">
        <w:rPr>
          <w:rFonts w:asciiTheme="majorHAnsi" w:hAnsiTheme="majorHAnsi"/>
          <w:sz w:val="20"/>
          <w:szCs w:val="20"/>
        </w:rPr>
        <w:t>,</w:t>
      </w:r>
      <w:r w:rsidR="004F4989">
        <w:rPr>
          <w:rFonts w:asciiTheme="majorHAnsi" w:hAnsiTheme="majorHAnsi"/>
          <w:sz w:val="20"/>
          <w:szCs w:val="20"/>
        </w:rPr>
        <w:t xml:space="preserve"> </w:t>
      </w:r>
      <w:r w:rsidRPr="009D52DA">
        <w:rPr>
          <w:rFonts w:asciiTheme="majorHAnsi" w:hAnsiTheme="majorHAnsi"/>
          <w:sz w:val="20"/>
          <w:szCs w:val="20"/>
        </w:rPr>
        <w:t>there was little appetite for</w:t>
      </w:r>
      <w:r w:rsidR="004F4989">
        <w:rPr>
          <w:rFonts w:asciiTheme="majorHAnsi" w:hAnsiTheme="majorHAnsi"/>
          <w:sz w:val="20"/>
          <w:szCs w:val="20"/>
        </w:rPr>
        <w:t xml:space="preserve"> revisiting the practices established for UK central government. </w:t>
      </w:r>
      <w:r w:rsidRPr="009D52DA">
        <w:rPr>
          <w:rFonts w:asciiTheme="majorHAnsi" w:hAnsiTheme="majorHAnsi"/>
          <w:sz w:val="20"/>
          <w:szCs w:val="20"/>
        </w:rPr>
        <w:t xml:space="preserve"> </w:t>
      </w:r>
      <w:r w:rsidR="00AC3466">
        <w:rPr>
          <w:rFonts w:asciiTheme="majorHAnsi" w:hAnsiTheme="majorHAnsi"/>
          <w:sz w:val="20"/>
          <w:szCs w:val="20"/>
        </w:rPr>
        <w:t>T</w:t>
      </w:r>
      <w:r w:rsidR="004906F1" w:rsidRPr="009D52DA">
        <w:rPr>
          <w:rFonts w:asciiTheme="majorHAnsi" w:hAnsiTheme="majorHAnsi"/>
          <w:sz w:val="20"/>
          <w:szCs w:val="20"/>
        </w:rPr>
        <w:t>he Wilson Committee, though convened in the context of increasing volume, technological change in format and storage of records, and with an eye to the costs of staffing and accommodation</w:t>
      </w:r>
      <w:r w:rsidR="004F4989">
        <w:rPr>
          <w:rFonts w:asciiTheme="majorHAnsi" w:hAnsiTheme="majorHAnsi"/>
          <w:sz w:val="20"/>
          <w:szCs w:val="20"/>
        </w:rPr>
        <w:t xml:space="preserve">, </w:t>
      </w:r>
      <w:r w:rsidR="004906F1" w:rsidRPr="009D52DA">
        <w:rPr>
          <w:rFonts w:asciiTheme="majorHAnsi" w:hAnsiTheme="majorHAnsi"/>
          <w:sz w:val="20"/>
          <w:szCs w:val="20"/>
        </w:rPr>
        <w:t xml:space="preserve">had no substantive impact on </w:t>
      </w:r>
      <w:r w:rsidR="004F4989">
        <w:rPr>
          <w:rFonts w:asciiTheme="majorHAnsi" w:hAnsiTheme="majorHAnsi"/>
          <w:sz w:val="20"/>
          <w:szCs w:val="20"/>
        </w:rPr>
        <w:t xml:space="preserve">those </w:t>
      </w:r>
      <w:r w:rsidR="00AC3466">
        <w:rPr>
          <w:rFonts w:asciiTheme="majorHAnsi" w:hAnsiTheme="majorHAnsi"/>
          <w:sz w:val="20"/>
          <w:szCs w:val="20"/>
        </w:rPr>
        <w:t xml:space="preserve"> </w:t>
      </w:r>
      <w:r w:rsidR="004906F1" w:rsidRPr="009D52DA">
        <w:rPr>
          <w:rFonts w:asciiTheme="majorHAnsi" w:hAnsiTheme="majorHAnsi"/>
          <w:sz w:val="20"/>
          <w:szCs w:val="20"/>
        </w:rPr>
        <w:t>practice</w:t>
      </w:r>
      <w:r w:rsidR="00AC3466">
        <w:rPr>
          <w:rFonts w:asciiTheme="majorHAnsi" w:hAnsiTheme="majorHAnsi"/>
          <w:sz w:val="20"/>
          <w:szCs w:val="20"/>
        </w:rPr>
        <w:t xml:space="preserve">s, </w:t>
      </w:r>
      <w:r w:rsidRPr="009D52DA">
        <w:rPr>
          <w:rFonts w:asciiTheme="majorHAnsi" w:hAnsiTheme="majorHAnsi"/>
          <w:sz w:val="20"/>
          <w:szCs w:val="20"/>
        </w:rPr>
        <w:t>and indeed it is difficult to see what, given the legislative requirements of the 1958 Act</w:t>
      </w:r>
      <w:r w:rsidR="00AC3466">
        <w:rPr>
          <w:rFonts w:asciiTheme="majorHAnsi" w:hAnsiTheme="majorHAnsi"/>
          <w:sz w:val="20"/>
          <w:szCs w:val="20"/>
        </w:rPr>
        <w:t xml:space="preserve">, </w:t>
      </w:r>
      <w:r w:rsidR="004F4989">
        <w:rPr>
          <w:rFonts w:asciiTheme="majorHAnsi" w:hAnsiTheme="majorHAnsi"/>
          <w:sz w:val="20"/>
          <w:szCs w:val="20"/>
        </w:rPr>
        <w:t xml:space="preserve">might have </w:t>
      </w:r>
      <w:r w:rsidRPr="009D52DA">
        <w:rPr>
          <w:rFonts w:asciiTheme="majorHAnsi" w:hAnsiTheme="majorHAnsi"/>
          <w:sz w:val="20"/>
          <w:szCs w:val="20"/>
        </w:rPr>
        <w:t xml:space="preserve">replaced the </w:t>
      </w:r>
      <w:proofErr w:type="spellStart"/>
      <w:r w:rsidRPr="009D52DA">
        <w:rPr>
          <w:rFonts w:asciiTheme="majorHAnsi" w:hAnsiTheme="majorHAnsi"/>
          <w:sz w:val="20"/>
          <w:szCs w:val="20"/>
        </w:rPr>
        <w:t>Grigg</w:t>
      </w:r>
      <w:proofErr w:type="spellEnd"/>
      <w:r w:rsidRPr="009D52DA">
        <w:rPr>
          <w:rFonts w:asciiTheme="majorHAnsi" w:hAnsiTheme="majorHAnsi"/>
          <w:sz w:val="20"/>
          <w:szCs w:val="20"/>
        </w:rPr>
        <w:t xml:space="preserve"> System</w:t>
      </w:r>
      <w:r w:rsidR="00E30E70" w:rsidRPr="009D52DA">
        <w:rPr>
          <w:rFonts w:asciiTheme="majorHAnsi" w:hAnsiTheme="majorHAnsi"/>
          <w:sz w:val="20"/>
          <w:szCs w:val="20"/>
        </w:rPr>
        <w:t xml:space="preserve">. </w:t>
      </w:r>
      <w:r w:rsidR="004F4989">
        <w:rPr>
          <w:rFonts w:asciiTheme="majorHAnsi" w:hAnsiTheme="majorHAnsi"/>
          <w:sz w:val="20"/>
          <w:szCs w:val="20"/>
        </w:rPr>
        <w:t>Nonetheless, these problems only increased:  by the turn of the twenty-first century</w:t>
      </w:r>
      <w:r w:rsidRPr="009D52DA">
        <w:rPr>
          <w:rFonts w:asciiTheme="majorHAnsi" w:hAnsiTheme="majorHAnsi"/>
          <w:sz w:val="20"/>
          <w:szCs w:val="20"/>
        </w:rPr>
        <w:t xml:space="preserve"> the</w:t>
      </w:r>
      <w:r w:rsidR="004F4989">
        <w:rPr>
          <w:rFonts w:asciiTheme="majorHAnsi" w:hAnsiTheme="majorHAnsi"/>
          <w:sz w:val="20"/>
          <w:szCs w:val="20"/>
        </w:rPr>
        <w:t xml:space="preserve">  speed of </w:t>
      </w:r>
      <w:r w:rsidRPr="009D52DA">
        <w:rPr>
          <w:rFonts w:asciiTheme="majorHAnsi" w:hAnsiTheme="majorHAnsi"/>
          <w:sz w:val="20"/>
          <w:szCs w:val="20"/>
        </w:rPr>
        <w:t xml:space="preserve">technological </w:t>
      </w:r>
      <w:r w:rsidR="004F4989">
        <w:rPr>
          <w:rFonts w:asciiTheme="majorHAnsi" w:hAnsiTheme="majorHAnsi"/>
          <w:sz w:val="20"/>
          <w:szCs w:val="20"/>
        </w:rPr>
        <w:t>innovation, t</w:t>
      </w:r>
      <w:r w:rsidR="00EB7032" w:rsidRPr="009D52DA">
        <w:rPr>
          <w:rFonts w:asciiTheme="majorHAnsi" w:hAnsiTheme="majorHAnsi"/>
          <w:sz w:val="20"/>
          <w:szCs w:val="20"/>
        </w:rPr>
        <w:t xml:space="preserve">he </w:t>
      </w:r>
      <w:r w:rsidR="004F4989">
        <w:rPr>
          <w:rFonts w:asciiTheme="majorHAnsi" w:hAnsiTheme="majorHAnsi"/>
          <w:sz w:val="20"/>
          <w:szCs w:val="20"/>
        </w:rPr>
        <w:t xml:space="preserve">concomitant </w:t>
      </w:r>
      <w:r w:rsidR="00EB7032" w:rsidRPr="009D52DA">
        <w:rPr>
          <w:rFonts w:asciiTheme="majorHAnsi" w:hAnsiTheme="majorHAnsi"/>
          <w:sz w:val="20"/>
          <w:szCs w:val="20"/>
        </w:rPr>
        <w:t xml:space="preserve">existence of hybrid recordkeeping </w:t>
      </w:r>
      <w:r w:rsidR="00EB7032" w:rsidRPr="009D52DA">
        <w:rPr>
          <w:rFonts w:asciiTheme="majorHAnsi" w:hAnsiTheme="majorHAnsi"/>
          <w:sz w:val="20"/>
          <w:szCs w:val="20"/>
        </w:rPr>
        <w:lastRenderedPageBreak/>
        <w:t xml:space="preserve">systems, </w:t>
      </w:r>
      <w:r w:rsidRPr="009D52DA">
        <w:rPr>
          <w:rFonts w:asciiTheme="majorHAnsi" w:hAnsiTheme="majorHAnsi"/>
          <w:sz w:val="20"/>
          <w:szCs w:val="20"/>
        </w:rPr>
        <w:t xml:space="preserve">along with </w:t>
      </w:r>
      <w:r w:rsidR="004F4989">
        <w:rPr>
          <w:rFonts w:asciiTheme="majorHAnsi" w:hAnsiTheme="majorHAnsi"/>
          <w:sz w:val="20"/>
          <w:szCs w:val="20"/>
        </w:rPr>
        <w:t xml:space="preserve">constant </w:t>
      </w:r>
      <w:r w:rsidRPr="009D52DA">
        <w:rPr>
          <w:rFonts w:asciiTheme="majorHAnsi" w:hAnsiTheme="majorHAnsi"/>
          <w:sz w:val="20"/>
          <w:szCs w:val="20"/>
        </w:rPr>
        <w:t xml:space="preserve">machinery of government changes, and </w:t>
      </w:r>
      <w:r w:rsidR="004F4989">
        <w:rPr>
          <w:rFonts w:asciiTheme="majorHAnsi" w:hAnsiTheme="majorHAnsi"/>
          <w:sz w:val="20"/>
          <w:szCs w:val="20"/>
        </w:rPr>
        <w:t>new open</w:t>
      </w:r>
      <w:r w:rsidRPr="009D52DA">
        <w:rPr>
          <w:rFonts w:asciiTheme="majorHAnsi" w:hAnsiTheme="majorHAnsi"/>
          <w:sz w:val="20"/>
          <w:szCs w:val="20"/>
        </w:rPr>
        <w:t xml:space="preserve"> government and data privacy regimes</w:t>
      </w:r>
      <w:r w:rsidR="004F4989">
        <w:rPr>
          <w:rFonts w:asciiTheme="majorHAnsi" w:hAnsiTheme="majorHAnsi"/>
          <w:sz w:val="20"/>
          <w:szCs w:val="20"/>
        </w:rPr>
        <w:t xml:space="preserve"> </w:t>
      </w:r>
      <w:r w:rsidR="00D5050F">
        <w:rPr>
          <w:rFonts w:asciiTheme="majorHAnsi" w:hAnsiTheme="majorHAnsi"/>
          <w:sz w:val="20"/>
          <w:szCs w:val="20"/>
        </w:rPr>
        <w:t xml:space="preserve">had already prompted </w:t>
      </w:r>
      <w:r w:rsidRPr="009D52DA">
        <w:rPr>
          <w:rFonts w:asciiTheme="majorHAnsi" w:hAnsiTheme="majorHAnsi"/>
          <w:sz w:val="20"/>
          <w:szCs w:val="20"/>
        </w:rPr>
        <w:t>a re-evaluation of transfer and selection practices</w:t>
      </w:r>
      <w:r w:rsidR="00D5050F">
        <w:rPr>
          <w:rFonts w:asciiTheme="majorHAnsi" w:hAnsiTheme="majorHAnsi"/>
          <w:sz w:val="20"/>
          <w:szCs w:val="20"/>
        </w:rPr>
        <w:t xml:space="preserve"> within the Public Record Office</w:t>
      </w:r>
      <w:r w:rsidR="00B51D40" w:rsidRPr="009D52DA">
        <w:rPr>
          <w:rFonts w:asciiTheme="majorHAnsi" w:hAnsiTheme="majorHAnsi"/>
          <w:sz w:val="20"/>
          <w:szCs w:val="20"/>
        </w:rPr>
        <w:t>,</w:t>
      </w:r>
      <w:r w:rsidR="004F4989">
        <w:rPr>
          <w:rFonts w:asciiTheme="majorHAnsi" w:hAnsiTheme="majorHAnsi"/>
          <w:sz w:val="20"/>
          <w:szCs w:val="20"/>
        </w:rPr>
        <w:t xml:space="preserve"> </w:t>
      </w:r>
      <w:r w:rsidR="00D5050F">
        <w:rPr>
          <w:rFonts w:asciiTheme="majorHAnsi" w:hAnsiTheme="majorHAnsi"/>
          <w:sz w:val="20"/>
          <w:szCs w:val="20"/>
        </w:rPr>
        <w:t xml:space="preserve">with the development of new </w:t>
      </w:r>
      <w:r w:rsidR="004F4989">
        <w:rPr>
          <w:rFonts w:asciiTheme="majorHAnsi" w:hAnsiTheme="majorHAnsi"/>
          <w:sz w:val="20"/>
          <w:szCs w:val="20"/>
        </w:rPr>
        <w:t xml:space="preserve">acquisitions and </w:t>
      </w:r>
      <w:r w:rsidR="00B51D40" w:rsidRPr="009D52DA">
        <w:rPr>
          <w:rFonts w:asciiTheme="majorHAnsi" w:hAnsiTheme="majorHAnsi"/>
          <w:sz w:val="20"/>
          <w:szCs w:val="20"/>
        </w:rPr>
        <w:t>appraisal policies and practice</w:t>
      </w:r>
      <w:r w:rsidR="00D5050F">
        <w:rPr>
          <w:rFonts w:asciiTheme="majorHAnsi" w:hAnsiTheme="majorHAnsi"/>
          <w:sz w:val="20"/>
          <w:szCs w:val="20"/>
        </w:rPr>
        <w:t xml:space="preserve">, a re-evaluation which was also necessary when the access provisions of the  </w:t>
      </w:r>
      <w:r w:rsidR="00EB7032" w:rsidRPr="009D52DA">
        <w:rPr>
          <w:rFonts w:asciiTheme="majorHAnsi" w:hAnsiTheme="majorHAnsi"/>
          <w:sz w:val="20"/>
          <w:szCs w:val="20"/>
        </w:rPr>
        <w:t>1958</w:t>
      </w:r>
      <w:r w:rsidR="004F4989">
        <w:rPr>
          <w:rFonts w:asciiTheme="majorHAnsi" w:hAnsiTheme="majorHAnsi"/>
          <w:sz w:val="20"/>
          <w:szCs w:val="20"/>
        </w:rPr>
        <w:t xml:space="preserve"> </w:t>
      </w:r>
      <w:r w:rsidR="00B51D40" w:rsidRPr="009D52DA">
        <w:rPr>
          <w:rFonts w:asciiTheme="majorHAnsi" w:hAnsiTheme="majorHAnsi"/>
          <w:sz w:val="20"/>
          <w:szCs w:val="20"/>
        </w:rPr>
        <w:t>P</w:t>
      </w:r>
      <w:r w:rsidR="00482CF7">
        <w:rPr>
          <w:rFonts w:asciiTheme="majorHAnsi" w:hAnsiTheme="majorHAnsi"/>
          <w:sz w:val="20"/>
          <w:szCs w:val="20"/>
        </w:rPr>
        <w:t>ublic Records Act</w:t>
      </w:r>
      <w:r w:rsidR="00EB7032" w:rsidRPr="009D52DA">
        <w:rPr>
          <w:rFonts w:asciiTheme="majorHAnsi" w:hAnsiTheme="majorHAnsi"/>
          <w:sz w:val="20"/>
          <w:szCs w:val="20"/>
        </w:rPr>
        <w:t xml:space="preserve"> </w:t>
      </w:r>
      <w:r w:rsidR="00D5050F">
        <w:rPr>
          <w:rFonts w:asciiTheme="majorHAnsi" w:hAnsiTheme="majorHAnsi"/>
          <w:sz w:val="20"/>
          <w:szCs w:val="20"/>
        </w:rPr>
        <w:t xml:space="preserve">were superseded </w:t>
      </w:r>
      <w:r w:rsidR="00B51D40" w:rsidRPr="009D52DA">
        <w:rPr>
          <w:rFonts w:asciiTheme="majorHAnsi" w:hAnsiTheme="majorHAnsi"/>
          <w:sz w:val="20"/>
          <w:szCs w:val="20"/>
        </w:rPr>
        <w:t>by the 2001 Freedom of Information Act</w:t>
      </w:r>
      <w:r w:rsidR="00D5050F">
        <w:rPr>
          <w:rFonts w:asciiTheme="majorHAnsi" w:hAnsiTheme="majorHAnsi"/>
          <w:sz w:val="20"/>
          <w:szCs w:val="20"/>
        </w:rPr>
        <w:t xml:space="preserve">.  It is now the latter Act which ensures access to </w:t>
      </w:r>
      <w:r w:rsidR="00B51D40" w:rsidRPr="009D52DA">
        <w:rPr>
          <w:rFonts w:asciiTheme="majorHAnsi" w:hAnsiTheme="majorHAnsi"/>
          <w:sz w:val="20"/>
          <w:szCs w:val="20"/>
        </w:rPr>
        <w:t>all</w:t>
      </w:r>
      <w:r w:rsidR="00D5050F">
        <w:rPr>
          <w:rFonts w:asciiTheme="majorHAnsi" w:hAnsiTheme="majorHAnsi"/>
          <w:sz w:val="20"/>
          <w:szCs w:val="20"/>
        </w:rPr>
        <w:t xml:space="preserve"> </w:t>
      </w:r>
      <w:r w:rsidR="00B51D40" w:rsidRPr="009D52DA">
        <w:rPr>
          <w:rFonts w:asciiTheme="majorHAnsi" w:hAnsiTheme="majorHAnsi"/>
          <w:sz w:val="20"/>
          <w:szCs w:val="20"/>
        </w:rPr>
        <w:t>records of public authorities</w:t>
      </w:r>
      <w:r w:rsidR="00D5050F">
        <w:rPr>
          <w:rFonts w:asciiTheme="majorHAnsi" w:hAnsiTheme="majorHAnsi"/>
          <w:sz w:val="20"/>
          <w:szCs w:val="20"/>
        </w:rPr>
        <w:t xml:space="preserve"> from their creation, and which applies retrospectively to all such records, whether held in the creating department, or </w:t>
      </w:r>
      <w:proofErr w:type="gramStart"/>
      <w:r w:rsidR="00D5050F">
        <w:rPr>
          <w:rFonts w:asciiTheme="majorHAnsi" w:hAnsiTheme="majorHAnsi"/>
          <w:sz w:val="20"/>
          <w:szCs w:val="20"/>
        </w:rPr>
        <w:t>in an archives</w:t>
      </w:r>
      <w:proofErr w:type="gramEnd"/>
      <w:r w:rsidR="00D5050F">
        <w:rPr>
          <w:rFonts w:asciiTheme="majorHAnsi" w:hAnsiTheme="majorHAnsi"/>
          <w:sz w:val="20"/>
          <w:szCs w:val="20"/>
        </w:rPr>
        <w:t>. At the same time, t</w:t>
      </w:r>
      <w:r w:rsidR="00B51D40" w:rsidRPr="009D52DA">
        <w:rPr>
          <w:rFonts w:asciiTheme="majorHAnsi" w:hAnsiTheme="majorHAnsi"/>
          <w:sz w:val="20"/>
          <w:szCs w:val="20"/>
        </w:rPr>
        <w:t xml:space="preserve">he </w:t>
      </w:r>
      <w:r w:rsidR="00D5050F">
        <w:rPr>
          <w:rFonts w:asciiTheme="majorHAnsi" w:hAnsiTheme="majorHAnsi"/>
          <w:sz w:val="20"/>
          <w:szCs w:val="20"/>
        </w:rPr>
        <w:t>P</w:t>
      </w:r>
      <w:r w:rsidR="00482CF7">
        <w:rPr>
          <w:rFonts w:asciiTheme="majorHAnsi" w:hAnsiTheme="majorHAnsi"/>
          <w:sz w:val="20"/>
          <w:szCs w:val="20"/>
        </w:rPr>
        <w:t>ublic Records Act</w:t>
      </w:r>
      <w:r w:rsidR="00D5050F">
        <w:rPr>
          <w:rFonts w:asciiTheme="majorHAnsi" w:hAnsiTheme="majorHAnsi"/>
          <w:sz w:val="20"/>
          <w:szCs w:val="20"/>
        </w:rPr>
        <w:t xml:space="preserve"> 1958 </w:t>
      </w:r>
      <w:r w:rsidR="00B51D40" w:rsidRPr="009D52DA">
        <w:rPr>
          <w:rFonts w:asciiTheme="majorHAnsi" w:hAnsiTheme="majorHAnsi"/>
          <w:sz w:val="20"/>
          <w:szCs w:val="20"/>
        </w:rPr>
        <w:t xml:space="preserve">requirement to select and transfer records </w:t>
      </w:r>
      <w:r w:rsidR="00D5050F">
        <w:rPr>
          <w:rFonts w:asciiTheme="majorHAnsi" w:hAnsiTheme="majorHAnsi"/>
          <w:sz w:val="20"/>
          <w:szCs w:val="20"/>
        </w:rPr>
        <w:t xml:space="preserve">of historical value </w:t>
      </w:r>
      <w:r w:rsidR="00B51D40" w:rsidRPr="009D52DA">
        <w:rPr>
          <w:rFonts w:asciiTheme="majorHAnsi" w:hAnsiTheme="majorHAnsi"/>
          <w:sz w:val="20"/>
          <w:szCs w:val="20"/>
        </w:rPr>
        <w:t xml:space="preserve">to an archive within a set period remains, </w:t>
      </w:r>
      <w:r w:rsidR="00EB7032" w:rsidRPr="009D52DA">
        <w:rPr>
          <w:rFonts w:asciiTheme="majorHAnsi" w:hAnsiTheme="majorHAnsi"/>
          <w:sz w:val="20"/>
          <w:szCs w:val="20"/>
        </w:rPr>
        <w:t>though that</w:t>
      </w:r>
      <w:r w:rsidR="00B51D40" w:rsidRPr="009D52DA">
        <w:rPr>
          <w:rFonts w:asciiTheme="majorHAnsi" w:hAnsiTheme="majorHAnsi"/>
          <w:sz w:val="20"/>
          <w:szCs w:val="20"/>
        </w:rPr>
        <w:t xml:space="preserve"> period was shortened from 30 to 20 years by the 2010 </w:t>
      </w:r>
      <w:r w:rsidR="00B51D40" w:rsidRPr="009D52DA">
        <w:rPr>
          <w:rFonts w:asciiTheme="majorHAnsi" w:hAnsiTheme="majorHAnsi"/>
          <w:i/>
          <w:sz w:val="20"/>
          <w:szCs w:val="20"/>
        </w:rPr>
        <w:t>Constitutional Reform and Governance Act</w:t>
      </w:r>
      <w:r w:rsidR="00EB7032" w:rsidRPr="009D52DA">
        <w:rPr>
          <w:rFonts w:asciiTheme="majorHAnsi" w:hAnsiTheme="majorHAnsi"/>
          <w:sz w:val="20"/>
          <w:szCs w:val="20"/>
        </w:rPr>
        <w:t xml:space="preserve">.  </w:t>
      </w:r>
      <w:r w:rsidR="00D5050F">
        <w:rPr>
          <w:rFonts w:asciiTheme="majorHAnsi" w:hAnsiTheme="majorHAnsi"/>
          <w:sz w:val="20"/>
          <w:szCs w:val="20"/>
        </w:rPr>
        <w:t xml:space="preserve"> </w:t>
      </w:r>
    </w:p>
    <w:p w:rsidR="00EA07AA" w:rsidRPr="009D52DA" w:rsidRDefault="00EB7032" w:rsidP="009F5544">
      <w:pPr>
        <w:ind w:firstLine="720"/>
        <w:rPr>
          <w:rFonts w:asciiTheme="majorHAnsi" w:hAnsiTheme="majorHAnsi"/>
          <w:sz w:val="20"/>
          <w:szCs w:val="20"/>
        </w:rPr>
      </w:pPr>
      <w:r w:rsidRPr="009D52DA">
        <w:rPr>
          <w:rFonts w:asciiTheme="majorHAnsi" w:hAnsiTheme="majorHAnsi"/>
          <w:sz w:val="20"/>
          <w:szCs w:val="20"/>
        </w:rPr>
        <w:t>Reassessment</w:t>
      </w:r>
      <w:r w:rsidR="00B51D40" w:rsidRPr="009D52DA">
        <w:rPr>
          <w:rFonts w:asciiTheme="majorHAnsi" w:hAnsiTheme="majorHAnsi"/>
          <w:sz w:val="20"/>
          <w:szCs w:val="20"/>
        </w:rPr>
        <w:t xml:space="preserve"> of process</w:t>
      </w:r>
      <w:r w:rsidR="00D5050F">
        <w:rPr>
          <w:rFonts w:asciiTheme="majorHAnsi" w:hAnsiTheme="majorHAnsi"/>
          <w:sz w:val="20"/>
          <w:szCs w:val="20"/>
        </w:rPr>
        <w:t xml:space="preserve">es </w:t>
      </w:r>
      <w:r w:rsidR="00907BE5">
        <w:rPr>
          <w:rFonts w:asciiTheme="majorHAnsi" w:hAnsiTheme="majorHAnsi"/>
          <w:sz w:val="20"/>
          <w:szCs w:val="20"/>
        </w:rPr>
        <w:t xml:space="preserve">in an era of </w:t>
      </w:r>
      <w:r w:rsidRPr="009D52DA">
        <w:rPr>
          <w:rFonts w:asciiTheme="majorHAnsi" w:hAnsiTheme="majorHAnsi"/>
          <w:sz w:val="20"/>
          <w:szCs w:val="20"/>
        </w:rPr>
        <w:t>legislative</w:t>
      </w:r>
      <w:r w:rsidR="00907BE5">
        <w:rPr>
          <w:rFonts w:asciiTheme="majorHAnsi" w:hAnsiTheme="majorHAnsi"/>
          <w:sz w:val="20"/>
          <w:szCs w:val="20"/>
        </w:rPr>
        <w:t xml:space="preserve"> and technological change is not, of </w:t>
      </w:r>
      <w:proofErr w:type="gramStart"/>
      <w:r w:rsidR="00907BE5">
        <w:rPr>
          <w:rFonts w:asciiTheme="majorHAnsi" w:hAnsiTheme="majorHAnsi"/>
          <w:sz w:val="20"/>
          <w:szCs w:val="20"/>
        </w:rPr>
        <w:t>course</w:t>
      </w:r>
      <w:r w:rsidRPr="009D52DA">
        <w:rPr>
          <w:rFonts w:asciiTheme="majorHAnsi" w:hAnsiTheme="majorHAnsi"/>
          <w:sz w:val="20"/>
          <w:szCs w:val="20"/>
        </w:rPr>
        <w:t xml:space="preserve"> </w:t>
      </w:r>
      <w:r w:rsidR="00907BE5">
        <w:rPr>
          <w:rFonts w:asciiTheme="majorHAnsi" w:hAnsiTheme="majorHAnsi"/>
          <w:sz w:val="20"/>
          <w:szCs w:val="20"/>
        </w:rPr>
        <w:t xml:space="preserve"> </w:t>
      </w:r>
      <w:r w:rsidR="00B51D40" w:rsidRPr="009D52DA">
        <w:rPr>
          <w:rFonts w:asciiTheme="majorHAnsi" w:hAnsiTheme="majorHAnsi"/>
          <w:sz w:val="20"/>
          <w:szCs w:val="20"/>
        </w:rPr>
        <w:t>confined</w:t>
      </w:r>
      <w:proofErr w:type="gramEnd"/>
      <w:r w:rsidR="00B51D40" w:rsidRPr="009D52DA">
        <w:rPr>
          <w:rFonts w:asciiTheme="majorHAnsi" w:hAnsiTheme="majorHAnsi"/>
          <w:sz w:val="20"/>
          <w:szCs w:val="20"/>
        </w:rPr>
        <w:t xml:space="preserve"> to the UK : in the digital environment, t</w:t>
      </w:r>
      <w:r w:rsidR="004906F1" w:rsidRPr="009D52DA">
        <w:rPr>
          <w:rFonts w:asciiTheme="majorHAnsi" w:hAnsiTheme="majorHAnsi"/>
          <w:sz w:val="20"/>
          <w:szCs w:val="20"/>
        </w:rPr>
        <w:t xml:space="preserve">he need for such </w:t>
      </w:r>
      <w:r w:rsidR="007B609F">
        <w:rPr>
          <w:rFonts w:asciiTheme="majorHAnsi" w:hAnsiTheme="majorHAnsi"/>
          <w:sz w:val="20"/>
          <w:szCs w:val="20"/>
        </w:rPr>
        <w:t>reassessment</w:t>
      </w:r>
      <w:r w:rsidR="007B609F" w:rsidRPr="009D52DA">
        <w:rPr>
          <w:rFonts w:asciiTheme="majorHAnsi" w:hAnsiTheme="majorHAnsi"/>
          <w:sz w:val="20"/>
          <w:szCs w:val="20"/>
        </w:rPr>
        <w:t xml:space="preserve"> </w:t>
      </w:r>
      <w:r w:rsidR="007B609F">
        <w:rPr>
          <w:rFonts w:asciiTheme="majorHAnsi" w:hAnsiTheme="majorHAnsi"/>
          <w:sz w:val="20"/>
          <w:szCs w:val="20"/>
        </w:rPr>
        <w:t xml:space="preserve">is </w:t>
      </w:r>
      <w:r w:rsidR="00B51D40" w:rsidRPr="009D52DA">
        <w:rPr>
          <w:rFonts w:asciiTheme="majorHAnsi" w:hAnsiTheme="majorHAnsi"/>
          <w:sz w:val="20"/>
          <w:szCs w:val="20"/>
        </w:rPr>
        <w:t xml:space="preserve">recognised </w:t>
      </w:r>
      <w:r w:rsidRPr="009D52DA">
        <w:rPr>
          <w:rFonts w:asciiTheme="majorHAnsi" w:hAnsiTheme="majorHAnsi"/>
          <w:sz w:val="20"/>
          <w:szCs w:val="20"/>
        </w:rPr>
        <w:t>internationally</w:t>
      </w:r>
      <w:r w:rsidR="00B51D40" w:rsidRPr="009D52DA">
        <w:rPr>
          <w:rFonts w:asciiTheme="majorHAnsi" w:hAnsiTheme="majorHAnsi"/>
          <w:sz w:val="20"/>
          <w:szCs w:val="20"/>
        </w:rPr>
        <w:t xml:space="preserve">, and </w:t>
      </w:r>
      <w:r w:rsidR="00907BE5">
        <w:rPr>
          <w:rFonts w:asciiTheme="majorHAnsi" w:hAnsiTheme="majorHAnsi"/>
          <w:sz w:val="20"/>
          <w:szCs w:val="20"/>
        </w:rPr>
        <w:t>TNA</w:t>
      </w:r>
      <w:r w:rsidR="00EA07AA" w:rsidRPr="009D52DA">
        <w:rPr>
          <w:rFonts w:asciiTheme="majorHAnsi" w:hAnsiTheme="majorHAnsi"/>
          <w:sz w:val="20"/>
          <w:szCs w:val="20"/>
        </w:rPr>
        <w:t>, in common with</w:t>
      </w:r>
      <w:r w:rsidRPr="009D52DA">
        <w:rPr>
          <w:rFonts w:asciiTheme="majorHAnsi" w:hAnsiTheme="majorHAnsi"/>
          <w:sz w:val="20"/>
          <w:szCs w:val="20"/>
        </w:rPr>
        <w:t xml:space="preserve"> </w:t>
      </w:r>
      <w:r w:rsidR="00EA07AA" w:rsidRPr="009D52DA">
        <w:rPr>
          <w:rFonts w:asciiTheme="majorHAnsi" w:hAnsiTheme="majorHAnsi"/>
          <w:sz w:val="20"/>
          <w:szCs w:val="20"/>
        </w:rPr>
        <w:t xml:space="preserve">national archive services </w:t>
      </w:r>
      <w:r w:rsidR="00B51D40" w:rsidRPr="009D52DA">
        <w:rPr>
          <w:rFonts w:asciiTheme="majorHAnsi" w:hAnsiTheme="majorHAnsi"/>
          <w:sz w:val="20"/>
          <w:szCs w:val="20"/>
        </w:rPr>
        <w:t>globally</w:t>
      </w:r>
      <w:r w:rsidRPr="009D52DA">
        <w:rPr>
          <w:rFonts w:asciiTheme="majorHAnsi" w:hAnsiTheme="majorHAnsi"/>
          <w:sz w:val="20"/>
          <w:szCs w:val="20"/>
        </w:rPr>
        <w:t xml:space="preserve">, </w:t>
      </w:r>
      <w:r w:rsidR="00B51D40" w:rsidRPr="009D52DA">
        <w:rPr>
          <w:rFonts w:asciiTheme="majorHAnsi" w:hAnsiTheme="majorHAnsi"/>
          <w:sz w:val="20"/>
          <w:szCs w:val="20"/>
        </w:rPr>
        <w:t xml:space="preserve"> </w:t>
      </w:r>
      <w:r w:rsidR="00EA07AA" w:rsidRPr="009D52DA">
        <w:rPr>
          <w:rFonts w:asciiTheme="majorHAnsi" w:hAnsiTheme="majorHAnsi"/>
          <w:sz w:val="20"/>
          <w:szCs w:val="20"/>
        </w:rPr>
        <w:t xml:space="preserve">continues to develop </w:t>
      </w:r>
      <w:r w:rsidR="00907BE5">
        <w:rPr>
          <w:rFonts w:asciiTheme="majorHAnsi" w:hAnsiTheme="majorHAnsi"/>
          <w:sz w:val="20"/>
          <w:szCs w:val="20"/>
        </w:rPr>
        <w:t xml:space="preserve">processes for </w:t>
      </w:r>
      <w:r w:rsidR="00907BE5" w:rsidRPr="009D52DA">
        <w:rPr>
          <w:rFonts w:asciiTheme="majorHAnsi" w:hAnsiTheme="majorHAnsi"/>
          <w:sz w:val="20"/>
          <w:szCs w:val="20"/>
        </w:rPr>
        <w:t>appraisal, selection, transfer and access</w:t>
      </w:r>
      <w:r w:rsidR="00907BE5">
        <w:rPr>
          <w:rFonts w:asciiTheme="majorHAnsi" w:hAnsiTheme="majorHAnsi"/>
          <w:sz w:val="20"/>
          <w:szCs w:val="20"/>
        </w:rPr>
        <w:t>, in particular exploring  the new automated processes necessary for born-digital records</w:t>
      </w:r>
      <w:r w:rsidR="007B609F">
        <w:rPr>
          <w:rFonts w:asciiTheme="majorHAnsi" w:hAnsiTheme="majorHAnsi"/>
          <w:sz w:val="20"/>
          <w:szCs w:val="20"/>
        </w:rPr>
        <w:t xml:space="preserve">. These developments will necessarily be adopted, or adapted, by local archive services, at least insofar as the records of their parent authorities are concerned: dealing with the selection of externally-generated born digital records is notoriously problematic, and systems, such as </w:t>
      </w:r>
      <w:proofErr w:type="spellStart"/>
      <w:r w:rsidR="007B609F">
        <w:rPr>
          <w:rFonts w:asciiTheme="majorHAnsi" w:hAnsiTheme="majorHAnsi"/>
          <w:sz w:val="20"/>
          <w:szCs w:val="20"/>
        </w:rPr>
        <w:t>Grigg</w:t>
      </w:r>
      <w:proofErr w:type="spellEnd"/>
      <w:r w:rsidR="007B609F">
        <w:rPr>
          <w:rFonts w:asciiTheme="majorHAnsi" w:hAnsiTheme="majorHAnsi"/>
          <w:sz w:val="20"/>
          <w:szCs w:val="20"/>
        </w:rPr>
        <w:t xml:space="preserve">, designed to facilitate in-house transfer, whether of paper records, or of their electronic successors, can only ever be partially relevant to collecting archives. </w:t>
      </w:r>
      <w:r w:rsidR="00E8500F">
        <w:rPr>
          <w:rFonts w:asciiTheme="majorHAnsi" w:hAnsiTheme="majorHAnsi"/>
          <w:sz w:val="20"/>
          <w:szCs w:val="20"/>
        </w:rPr>
        <w:t xml:space="preserve">But whatever the future holds, in the </w:t>
      </w:r>
      <w:r w:rsidR="00B51D40" w:rsidRPr="009D52DA">
        <w:rPr>
          <w:rFonts w:asciiTheme="majorHAnsi" w:hAnsiTheme="majorHAnsi"/>
          <w:sz w:val="20"/>
          <w:szCs w:val="20"/>
        </w:rPr>
        <w:t xml:space="preserve">UK in particular, the legacy of </w:t>
      </w:r>
      <w:proofErr w:type="spellStart"/>
      <w:proofErr w:type="gramStart"/>
      <w:r w:rsidR="00B51D40" w:rsidRPr="009D52DA">
        <w:rPr>
          <w:rFonts w:asciiTheme="majorHAnsi" w:hAnsiTheme="majorHAnsi"/>
          <w:sz w:val="20"/>
          <w:szCs w:val="20"/>
        </w:rPr>
        <w:t>Grigg</w:t>
      </w:r>
      <w:proofErr w:type="spellEnd"/>
      <w:r w:rsidR="00B51D40" w:rsidRPr="009D52DA">
        <w:rPr>
          <w:rFonts w:asciiTheme="majorHAnsi" w:hAnsiTheme="majorHAnsi"/>
          <w:sz w:val="20"/>
          <w:szCs w:val="20"/>
        </w:rPr>
        <w:t xml:space="preserve">  </w:t>
      </w:r>
      <w:r w:rsidR="00E8500F">
        <w:rPr>
          <w:rFonts w:asciiTheme="majorHAnsi" w:hAnsiTheme="majorHAnsi"/>
          <w:sz w:val="20"/>
          <w:szCs w:val="20"/>
        </w:rPr>
        <w:t>has</w:t>
      </w:r>
      <w:proofErr w:type="gramEnd"/>
      <w:r w:rsidR="00E8500F">
        <w:rPr>
          <w:rFonts w:asciiTheme="majorHAnsi" w:hAnsiTheme="majorHAnsi"/>
          <w:sz w:val="20"/>
          <w:szCs w:val="20"/>
        </w:rPr>
        <w:t xml:space="preserve"> been to</w:t>
      </w:r>
      <w:r w:rsidR="00B51D40" w:rsidRPr="009D52DA">
        <w:rPr>
          <w:rFonts w:asciiTheme="majorHAnsi" w:hAnsiTheme="majorHAnsi"/>
          <w:sz w:val="20"/>
          <w:szCs w:val="20"/>
        </w:rPr>
        <w:t xml:space="preserve"> encourage liaison between records creators and archivists, something which, in the e-environment, is even more critical tha</w:t>
      </w:r>
      <w:r w:rsidR="009D52DA" w:rsidRPr="009D52DA">
        <w:rPr>
          <w:rFonts w:asciiTheme="majorHAnsi" w:hAnsiTheme="majorHAnsi"/>
          <w:sz w:val="20"/>
          <w:szCs w:val="20"/>
        </w:rPr>
        <w:t xml:space="preserve">n </w:t>
      </w:r>
      <w:r w:rsidR="00B51D40" w:rsidRPr="009D52DA">
        <w:rPr>
          <w:rFonts w:asciiTheme="majorHAnsi" w:hAnsiTheme="majorHAnsi"/>
          <w:sz w:val="20"/>
          <w:szCs w:val="20"/>
        </w:rPr>
        <w:t xml:space="preserve">ever.   </w:t>
      </w:r>
    </w:p>
    <w:p w:rsidR="00B208AC" w:rsidRPr="00B208AC" w:rsidRDefault="00B208AC" w:rsidP="00B94BBD">
      <w:pPr>
        <w:rPr>
          <w:rStyle w:val="Emphasis"/>
          <w:rFonts w:asciiTheme="majorHAnsi" w:hAnsiTheme="majorHAnsi"/>
          <w:b/>
          <w:i w:val="0"/>
          <w:color w:val="000000"/>
          <w:sz w:val="20"/>
          <w:szCs w:val="20"/>
        </w:rPr>
      </w:pPr>
      <w:r w:rsidRPr="00B208AC">
        <w:rPr>
          <w:rStyle w:val="Emphasis"/>
          <w:rFonts w:asciiTheme="majorHAnsi" w:hAnsiTheme="majorHAnsi"/>
          <w:b/>
          <w:i w:val="0"/>
          <w:color w:val="000000"/>
          <w:sz w:val="20"/>
          <w:szCs w:val="20"/>
        </w:rPr>
        <w:t>Bibliography</w:t>
      </w:r>
    </w:p>
    <w:p w:rsidR="00951DA4" w:rsidRPr="009D52DA" w:rsidRDefault="00B94BBD" w:rsidP="00B94BBD">
      <w:pPr>
        <w:rPr>
          <w:rFonts w:asciiTheme="majorHAnsi" w:hAnsiTheme="majorHAnsi" w:cs="TimesNewRomanPSMT"/>
          <w:sz w:val="20"/>
          <w:szCs w:val="20"/>
        </w:rPr>
      </w:pPr>
      <w:proofErr w:type="gramStart"/>
      <w:r w:rsidRPr="009D52DA">
        <w:rPr>
          <w:rStyle w:val="Emphasis"/>
          <w:rFonts w:asciiTheme="majorHAnsi" w:hAnsiTheme="majorHAnsi"/>
          <w:color w:val="000000"/>
          <w:sz w:val="20"/>
          <w:szCs w:val="20"/>
        </w:rPr>
        <w:t>Report of the Committee on Departmental Records</w:t>
      </w:r>
      <w:r w:rsidRPr="009D52DA">
        <w:rPr>
          <w:rFonts w:asciiTheme="majorHAnsi" w:hAnsiTheme="majorHAnsi"/>
          <w:color w:val="000000"/>
          <w:sz w:val="20"/>
          <w:szCs w:val="20"/>
        </w:rPr>
        <w:t xml:space="preserve"> Cmd. 9163 (</w:t>
      </w:r>
      <w:r>
        <w:rPr>
          <w:rFonts w:asciiTheme="majorHAnsi" w:hAnsiTheme="majorHAnsi"/>
          <w:color w:val="000000"/>
          <w:sz w:val="20"/>
          <w:szCs w:val="20"/>
        </w:rPr>
        <w:t xml:space="preserve">HMSO: </w:t>
      </w:r>
      <w:r w:rsidRPr="009D52DA">
        <w:rPr>
          <w:rFonts w:asciiTheme="majorHAnsi" w:hAnsiTheme="majorHAnsi"/>
          <w:color w:val="000000"/>
          <w:sz w:val="20"/>
          <w:szCs w:val="20"/>
        </w:rPr>
        <w:t>London, 1954).</w:t>
      </w:r>
      <w:proofErr w:type="gramEnd"/>
      <w:r>
        <w:rPr>
          <w:rFonts w:asciiTheme="majorHAnsi" w:hAnsiTheme="majorHAnsi"/>
          <w:color w:val="000000"/>
          <w:sz w:val="20"/>
          <w:szCs w:val="20"/>
        </w:rPr>
        <w:t xml:space="preserve"> </w:t>
      </w:r>
      <w:r>
        <w:rPr>
          <w:rFonts w:asciiTheme="majorHAnsi" w:hAnsiTheme="majorHAnsi"/>
          <w:i/>
          <w:sz w:val="20"/>
          <w:szCs w:val="20"/>
        </w:rPr>
        <w:t xml:space="preserve"> </w:t>
      </w:r>
    </w:p>
    <w:sectPr w:rsidR="00951DA4" w:rsidRPr="009D52DA" w:rsidSect="00FB51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0C" w:rsidRDefault="00D8430C" w:rsidP="006C5801">
      <w:pPr>
        <w:spacing w:after="0" w:line="240" w:lineRule="auto"/>
      </w:pPr>
      <w:r>
        <w:separator/>
      </w:r>
    </w:p>
  </w:endnote>
  <w:endnote w:type="continuationSeparator" w:id="0">
    <w:p w:rsidR="00D8430C" w:rsidRDefault="00D8430C" w:rsidP="006C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0C" w:rsidRDefault="00D8430C" w:rsidP="006C5801">
      <w:pPr>
        <w:spacing w:after="0" w:line="240" w:lineRule="auto"/>
      </w:pPr>
      <w:r>
        <w:separator/>
      </w:r>
    </w:p>
  </w:footnote>
  <w:footnote w:type="continuationSeparator" w:id="0">
    <w:p w:rsidR="00D8430C" w:rsidRDefault="00D8430C" w:rsidP="006C5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468"/>
    <w:multiLevelType w:val="hybridMultilevel"/>
    <w:tmpl w:val="6244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956CEC"/>
    <w:multiLevelType w:val="hybridMultilevel"/>
    <w:tmpl w:val="AAE6D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EE78E6"/>
    <w:multiLevelType w:val="hybridMultilevel"/>
    <w:tmpl w:val="A9C6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A4"/>
    <w:rsid w:val="00001E7B"/>
    <w:rsid w:val="000066A5"/>
    <w:rsid w:val="00016B03"/>
    <w:rsid w:val="00043CC0"/>
    <w:rsid w:val="000879AE"/>
    <w:rsid w:val="0009700D"/>
    <w:rsid w:val="000B4EB1"/>
    <w:rsid w:val="000C2C99"/>
    <w:rsid w:val="000C44AD"/>
    <w:rsid w:val="000E01B8"/>
    <w:rsid w:val="00110D03"/>
    <w:rsid w:val="00113092"/>
    <w:rsid w:val="001303EC"/>
    <w:rsid w:val="00144A4F"/>
    <w:rsid w:val="00146665"/>
    <w:rsid w:val="00156640"/>
    <w:rsid w:val="00167B53"/>
    <w:rsid w:val="00176A42"/>
    <w:rsid w:val="00195539"/>
    <w:rsid w:val="002018DD"/>
    <w:rsid w:val="002930F3"/>
    <w:rsid w:val="002E4937"/>
    <w:rsid w:val="0031379D"/>
    <w:rsid w:val="00331555"/>
    <w:rsid w:val="003738E2"/>
    <w:rsid w:val="003C53F6"/>
    <w:rsid w:val="003E07BB"/>
    <w:rsid w:val="004137D4"/>
    <w:rsid w:val="00427B3D"/>
    <w:rsid w:val="00482CF7"/>
    <w:rsid w:val="004906F1"/>
    <w:rsid w:val="004B0355"/>
    <w:rsid w:val="004B0F94"/>
    <w:rsid w:val="004D6A86"/>
    <w:rsid w:val="004F4989"/>
    <w:rsid w:val="004F4A29"/>
    <w:rsid w:val="004F6D65"/>
    <w:rsid w:val="00510598"/>
    <w:rsid w:val="005529A4"/>
    <w:rsid w:val="00566609"/>
    <w:rsid w:val="00577C18"/>
    <w:rsid w:val="005938B7"/>
    <w:rsid w:val="005A18C1"/>
    <w:rsid w:val="005A3937"/>
    <w:rsid w:val="005E377B"/>
    <w:rsid w:val="006140AB"/>
    <w:rsid w:val="00684934"/>
    <w:rsid w:val="006C4189"/>
    <w:rsid w:val="006C5801"/>
    <w:rsid w:val="006D0A71"/>
    <w:rsid w:val="006D6C81"/>
    <w:rsid w:val="00707CA8"/>
    <w:rsid w:val="0071696E"/>
    <w:rsid w:val="00725244"/>
    <w:rsid w:val="00743425"/>
    <w:rsid w:val="00753C71"/>
    <w:rsid w:val="0075741A"/>
    <w:rsid w:val="00763F5D"/>
    <w:rsid w:val="00765B02"/>
    <w:rsid w:val="00782D1E"/>
    <w:rsid w:val="007A085A"/>
    <w:rsid w:val="007B609F"/>
    <w:rsid w:val="007C132C"/>
    <w:rsid w:val="007D4D0D"/>
    <w:rsid w:val="007E385D"/>
    <w:rsid w:val="008127C7"/>
    <w:rsid w:val="00821052"/>
    <w:rsid w:val="00826D79"/>
    <w:rsid w:val="00843D22"/>
    <w:rsid w:val="00861ECD"/>
    <w:rsid w:val="00891D48"/>
    <w:rsid w:val="008A19F8"/>
    <w:rsid w:val="008B1DCD"/>
    <w:rsid w:val="008F4D9B"/>
    <w:rsid w:val="00907BE5"/>
    <w:rsid w:val="00916445"/>
    <w:rsid w:val="00951DA4"/>
    <w:rsid w:val="00966A7D"/>
    <w:rsid w:val="0097113E"/>
    <w:rsid w:val="0097287B"/>
    <w:rsid w:val="009825CF"/>
    <w:rsid w:val="009B7435"/>
    <w:rsid w:val="009D52DA"/>
    <w:rsid w:val="009E3C85"/>
    <w:rsid w:val="009F5544"/>
    <w:rsid w:val="00A175D1"/>
    <w:rsid w:val="00AC3466"/>
    <w:rsid w:val="00B1663D"/>
    <w:rsid w:val="00B208AC"/>
    <w:rsid w:val="00B51D40"/>
    <w:rsid w:val="00B7079C"/>
    <w:rsid w:val="00B94A00"/>
    <w:rsid w:val="00B94BBD"/>
    <w:rsid w:val="00BA556F"/>
    <w:rsid w:val="00BB02FF"/>
    <w:rsid w:val="00BC0F46"/>
    <w:rsid w:val="00C3771E"/>
    <w:rsid w:val="00C4047B"/>
    <w:rsid w:val="00C40A11"/>
    <w:rsid w:val="00C44B16"/>
    <w:rsid w:val="00C525DB"/>
    <w:rsid w:val="00CB17EC"/>
    <w:rsid w:val="00D5050F"/>
    <w:rsid w:val="00D611AC"/>
    <w:rsid w:val="00D8430C"/>
    <w:rsid w:val="00DB1EC3"/>
    <w:rsid w:val="00DC124C"/>
    <w:rsid w:val="00E12026"/>
    <w:rsid w:val="00E30E70"/>
    <w:rsid w:val="00E43A77"/>
    <w:rsid w:val="00E8500F"/>
    <w:rsid w:val="00E956A8"/>
    <w:rsid w:val="00E9625E"/>
    <w:rsid w:val="00EA07AA"/>
    <w:rsid w:val="00EB7032"/>
    <w:rsid w:val="00EC37E0"/>
    <w:rsid w:val="00EF0250"/>
    <w:rsid w:val="00EF0D1D"/>
    <w:rsid w:val="00F07B14"/>
    <w:rsid w:val="00F34986"/>
    <w:rsid w:val="00FB5103"/>
    <w:rsid w:val="00FD1132"/>
    <w:rsid w:val="00FD385F"/>
    <w:rsid w:val="00FE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03"/>
  </w:style>
  <w:style w:type="paragraph" w:styleId="Heading1">
    <w:name w:val="heading 1"/>
    <w:basedOn w:val="Normal"/>
    <w:link w:val="Heading1Char"/>
    <w:uiPriority w:val="9"/>
    <w:qFormat/>
    <w:rsid w:val="00DC124C"/>
    <w:pPr>
      <w:spacing w:after="180" w:line="312" w:lineRule="atLeast"/>
      <w:jc w:val="left"/>
      <w:outlineLvl w:val="0"/>
    </w:pPr>
    <w:rPr>
      <w:rFonts w:ascii="Times New Roman" w:eastAsia="Times New Roman" w:hAnsi="Times New Roman" w:cs="Times New Roman"/>
      <w:b/>
      <w:bCs/>
      <w:kern w:val="36"/>
      <w:sz w:val="38"/>
      <w:szCs w:val="38"/>
      <w:lang w:eastAsia="en-GB"/>
    </w:rPr>
  </w:style>
  <w:style w:type="paragraph" w:styleId="Heading3">
    <w:name w:val="heading 3"/>
    <w:basedOn w:val="Normal"/>
    <w:next w:val="Normal"/>
    <w:link w:val="Heading3Char"/>
    <w:uiPriority w:val="9"/>
    <w:semiHidden/>
    <w:unhideWhenUsed/>
    <w:qFormat/>
    <w:rsid w:val="00EA07AA"/>
    <w:pPr>
      <w:keepNext/>
      <w:keepLines/>
      <w:spacing w:before="200" w:after="0" w:line="276" w:lineRule="auto"/>
      <w:jc w:val="left"/>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EB1"/>
    <w:rPr>
      <w:color w:val="808080"/>
    </w:rPr>
  </w:style>
  <w:style w:type="paragraph" w:styleId="BalloonText">
    <w:name w:val="Balloon Text"/>
    <w:basedOn w:val="Normal"/>
    <w:link w:val="BalloonTextChar"/>
    <w:uiPriority w:val="99"/>
    <w:semiHidden/>
    <w:unhideWhenUsed/>
    <w:rsid w:val="000B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EB1"/>
    <w:rPr>
      <w:rFonts w:ascii="Tahoma" w:hAnsi="Tahoma" w:cs="Tahoma"/>
      <w:sz w:val="16"/>
      <w:szCs w:val="16"/>
    </w:rPr>
  </w:style>
  <w:style w:type="character" w:styleId="Hyperlink">
    <w:name w:val="Hyperlink"/>
    <w:basedOn w:val="DefaultParagraphFont"/>
    <w:uiPriority w:val="99"/>
    <w:unhideWhenUsed/>
    <w:rsid w:val="00DC124C"/>
    <w:rPr>
      <w:color w:val="0000FF" w:themeColor="hyperlink"/>
      <w:u w:val="single"/>
    </w:rPr>
  </w:style>
  <w:style w:type="character" w:customStyle="1" w:styleId="Heading1Char">
    <w:name w:val="Heading 1 Char"/>
    <w:basedOn w:val="DefaultParagraphFont"/>
    <w:link w:val="Heading1"/>
    <w:uiPriority w:val="9"/>
    <w:rsid w:val="00DC124C"/>
    <w:rPr>
      <w:rFonts w:ascii="Times New Roman" w:eastAsia="Times New Roman" w:hAnsi="Times New Roman" w:cs="Times New Roman"/>
      <w:b/>
      <w:bCs/>
      <w:kern w:val="36"/>
      <w:sz w:val="38"/>
      <w:szCs w:val="38"/>
      <w:lang w:eastAsia="en-GB"/>
    </w:rPr>
  </w:style>
  <w:style w:type="paragraph" w:styleId="NormalWeb">
    <w:name w:val="Normal (Web)"/>
    <w:basedOn w:val="Normal"/>
    <w:uiPriority w:val="99"/>
    <w:unhideWhenUsed/>
    <w:rsid w:val="00DC124C"/>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C124C"/>
    <w:rPr>
      <w:i/>
      <w:iCs/>
    </w:rPr>
  </w:style>
  <w:style w:type="character" w:styleId="Strong">
    <w:name w:val="Strong"/>
    <w:basedOn w:val="DefaultParagraphFont"/>
    <w:uiPriority w:val="22"/>
    <w:qFormat/>
    <w:rsid w:val="00DC124C"/>
    <w:rPr>
      <w:b/>
      <w:bCs/>
    </w:rPr>
  </w:style>
  <w:style w:type="character" w:customStyle="1" w:styleId="Heading3Char">
    <w:name w:val="Heading 3 Char"/>
    <w:basedOn w:val="DefaultParagraphFont"/>
    <w:link w:val="Heading3"/>
    <w:uiPriority w:val="9"/>
    <w:semiHidden/>
    <w:rsid w:val="00EA07A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A07AA"/>
    <w:pPr>
      <w:spacing w:line="276" w:lineRule="auto"/>
      <w:ind w:left="720"/>
      <w:contextualSpacing/>
      <w:jc w:val="left"/>
    </w:pPr>
  </w:style>
  <w:style w:type="paragraph" w:styleId="EndnoteText">
    <w:name w:val="endnote text"/>
    <w:basedOn w:val="Normal"/>
    <w:link w:val="EndnoteTextChar"/>
    <w:uiPriority w:val="99"/>
    <w:semiHidden/>
    <w:unhideWhenUsed/>
    <w:rsid w:val="006C58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5801"/>
    <w:rPr>
      <w:sz w:val="20"/>
      <w:szCs w:val="20"/>
    </w:rPr>
  </w:style>
  <w:style w:type="character" w:styleId="EndnoteReference">
    <w:name w:val="endnote reference"/>
    <w:basedOn w:val="DefaultParagraphFont"/>
    <w:uiPriority w:val="99"/>
    <w:semiHidden/>
    <w:unhideWhenUsed/>
    <w:rsid w:val="006C58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03"/>
  </w:style>
  <w:style w:type="paragraph" w:styleId="Heading1">
    <w:name w:val="heading 1"/>
    <w:basedOn w:val="Normal"/>
    <w:link w:val="Heading1Char"/>
    <w:uiPriority w:val="9"/>
    <w:qFormat/>
    <w:rsid w:val="00DC124C"/>
    <w:pPr>
      <w:spacing w:after="180" w:line="312" w:lineRule="atLeast"/>
      <w:jc w:val="left"/>
      <w:outlineLvl w:val="0"/>
    </w:pPr>
    <w:rPr>
      <w:rFonts w:ascii="Times New Roman" w:eastAsia="Times New Roman" w:hAnsi="Times New Roman" w:cs="Times New Roman"/>
      <w:b/>
      <w:bCs/>
      <w:kern w:val="36"/>
      <w:sz w:val="38"/>
      <w:szCs w:val="38"/>
      <w:lang w:eastAsia="en-GB"/>
    </w:rPr>
  </w:style>
  <w:style w:type="paragraph" w:styleId="Heading3">
    <w:name w:val="heading 3"/>
    <w:basedOn w:val="Normal"/>
    <w:next w:val="Normal"/>
    <w:link w:val="Heading3Char"/>
    <w:uiPriority w:val="9"/>
    <w:semiHidden/>
    <w:unhideWhenUsed/>
    <w:qFormat/>
    <w:rsid w:val="00EA07AA"/>
    <w:pPr>
      <w:keepNext/>
      <w:keepLines/>
      <w:spacing w:before="200" w:after="0" w:line="276" w:lineRule="auto"/>
      <w:jc w:val="left"/>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EB1"/>
    <w:rPr>
      <w:color w:val="808080"/>
    </w:rPr>
  </w:style>
  <w:style w:type="paragraph" w:styleId="BalloonText">
    <w:name w:val="Balloon Text"/>
    <w:basedOn w:val="Normal"/>
    <w:link w:val="BalloonTextChar"/>
    <w:uiPriority w:val="99"/>
    <w:semiHidden/>
    <w:unhideWhenUsed/>
    <w:rsid w:val="000B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EB1"/>
    <w:rPr>
      <w:rFonts w:ascii="Tahoma" w:hAnsi="Tahoma" w:cs="Tahoma"/>
      <w:sz w:val="16"/>
      <w:szCs w:val="16"/>
    </w:rPr>
  </w:style>
  <w:style w:type="character" w:styleId="Hyperlink">
    <w:name w:val="Hyperlink"/>
    <w:basedOn w:val="DefaultParagraphFont"/>
    <w:uiPriority w:val="99"/>
    <w:unhideWhenUsed/>
    <w:rsid w:val="00DC124C"/>
    <w:rPr>
      <w:color w:val="0000FF" w:themeColor="hyperlink"/>
      <w:u w:val="single"/>
    </w:rPr>
  </w:style>
  <w:style w:type="character" w:customStyle="1" w:styleId="Heading1Char">
    <w:name w:val="Heading 1 Char"/>
    <w:basedOn w:val="DefaultParagraphFont"/>
    <w:link w:val="Heading1"/>
    <w:uiPriority w:val="9"/>
    <w:rsid w:val="00DC124C"/>
    <w:rPr>
      <w:rFonts w:ascii="Times New Roman" w:eastAsia="Times New Roman" w:hAnsi="Times New Roman" w:cs="Times New Roman"/>
      <w:b/>
      <w:bCs/>
      <w:kern w:val="36"/>
      <w:sz w:val="38"/>
      <w:szCs w:val="38"/>
      <w:lang w:eastAsia="en-GB"/>
    </w:rPr>
  </w:style>
  <w:style w:type="paragraph" w:styleId="NormalWeb">
    <w:name w:val="Normal (Web)"/>
    <w:basedOn w:val="Normal"/>
    <w:uiPriority w:val="99"/>
    <w:unhideWhenUsed/>
    <w:rsid w:val="00DC124C"/>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C124C"/>
    <w:rPr>
      <w:i/>
      <w:iCs/>
    </w:rPr>
  </w:style>
  <w:style w:type="character" w:styleId="Strong">
    <w:name w:val="Strong"/>
    <w:basedOn w:val="DefaultParagraphFont"/>
    <w:uiPriority w:val="22"/>
    <w:qFormat/>
    <w:rsid w:val="00DC124C"/>
    <w:rPr>
      <w:b/>
      <w:bCs/>
    </w:rPr>
  </w:style>
  <w:style w:type="character" w:customStyle="1" w:styleId="Heading3Char">
    <w:name w:val="Heading 3 Char"/>
    <w:basedOn w:val="DefaultParagraphFont"/>
    <w:link w:val="Heading3"/>
    <w:uiPriority w:val="9"/>
    <w:semiHidden/>
    <w:rsid w:val="00EA07A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A07AA"/>
    <w:pPr>
      <w:spacing w:line="276" w:lineRule="auto"/>
      <w:ind w:left="720"/>
      <w:contextualSpacing/>
      <w:jc w:val="left"/>
    </w:pPr>
  </w:style>
  <w:style w:type="paragraph" w:styleId="EndnoteText">
    <w:name w:val="endnote text"/>
    <w:basedOn w:val="Normal"/>
    <w:link w:val="EndnoteTextChar"/>
    <w:uiPriority w:val="99"/>
    <w:semiHidden/>
    <w:unhideWhenUsed/>
    <w:rsid w:val="006C58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5801"/>
    <w:rPr>
      <w:sz w:val="20"/>
      <w:szCs w:val="20"/>
    </w:rPr>
  </w:style>
  <w:style w:type="character" w:styleId="EndnoteReference">
    <w:name w:val="endnote reference"/>
    <w:basedOn w:val="DefaultParagraphFont"/>
    <w:uiPriority w:val="99"/>
    <w:semiHidden/>
    <w:unhideWhenUsed/>
    <w:rsid w:val="006C5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1835">
      <w:bodyDiv w:val="1"/>
      <w:marLeft w:val="0"/>
      <w:marRight w:val="0"/>
      <w:marTop w:val="0"/>
      <w:marBottom w:val="0"/>
      <w:divBdr>
        <w:top w:val="none" w:sz="0" w:space="0" w:color="auto"/>
        <w:left w:val="none" w:sz="0" w:space="0" w:color="auto"/>
        <w:bottom w:val="none" w:sz="0" w:space="0" w:color="auto"/>
        <w:right w:val="none" w:sz="0" w:space="0" w:color="auto"/>
      </w:divBdr>
      <w:divsChild>
        <w:div w:id="1926108885">
          <w:marLeft w:val="0"/>
          <w:marRight w:val="0"/>
          <w:marTop w:val="36"/>
          <w:marBottom w:val="36"/>
          <w:divBdr>
            <w:top w:val="none" w:sz="0" w:space="0" w:color="auto"/>
            <w:left w:val="none" w:sz="0" w:space="0" w:color="auto"/>
            <w:bottom w:val="none" w:sz="0" w:space="0" w:color="auto"/>
            <w:right w:val="none" w:sz="0" w:space="0" w:color="auto"/>
          </w:divBdr>
          <w:divsChild>
            <w:div w:id="746803288">
              <w:marLeft w:val="0"/>
              <w:marRight w:val="0"/>
              <w:marTop w:val="0"/>
              <w:marBottom w:val="0"/>
              <w:divBdr>
                <w:top w:val="none" w:sz="0" w:space="0" w:color="auto"/>
                <w:left w:val="none" w:sz="0" w:space="0" w:color="auto"/>
                <w:bottom w:val="none" w:sz="0" w:space="0" w:color="auto"/>
                <w:right w:val="none" w:sz="0" w:space="0" w:color="auto"/>
              </w:divBdr>
              <w:divsChild>
                <w:div w:id="1730610354">
                  <w:marLeft w:val="0"/>
                  <w:marRight w:val="0"/>
                  <w:marTop w:val="0"/>
                  <w:marBottom w:val="0"/>
                  <w:divBdr>
                    <w:top w:val="none" w:sz="0" w:space="0" w:color="auto"/>
                    <w:left w:val="none" w:sz="0" w:space="0" w:color="auto"/>
                    <w:bottom w:val="none" w:sz="0" w:space="0" w:color="auto"/>
                    <w:right w:val="none" w:sz="0" w:space="0" w:color="auto"/>
                  </w:divBdr>
                  <w:divsChild>
                    <w:div w:id="1715226942">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 w:id="733429326">
      <w:bodyDiv w:val="1"/>
      <w:marLeft w:val="0"/>
      <w:marRight w:val="0"/>
      <w:marTop w:val="0"/>
      <w:marBottom w:val="0"/>
      <w:divBdr>
        <w:top w:val="none" w:sz="0" w:space="0" w:color="auto"/>
        <w:left w:val="none" w:sz="0" w:space="0" w:color="auto"/>
        <w:bottom w:val="none" w:sz="0" w:space="0" w:color="auto"/>
        <w:right w:val="none" w:sz="0" w:space="0" w:color="auto"/>
      </w:divBdr>
      <w:divsChild>
        <w:div w:id="1747528055">
          <w:marLeft w:val="0"/>
          <w:marRight w:val="0"/>
          <w:marTop w:val="0"/>
          <w:marBottom w:val="0"/>
          <w:divBdr>
            <w:top w:val="none" w:sz="0" w:space="0" w:color="auto"/>
            <w:left w:val="none" w:sz="0" w:space="0" w:color="auto"/>
            <w:bottom w:val="none" w:sz="0" w:space="0" w:color="auto"/>
            <w:right w:val="none" w:sz="0" w:space="0" w:color="auto"/>
          </w:divBdr>
        </w:div>
        <w:div w:id="1450318677">
          <w:marLeft w:val="0"/>
          <w:marRight w:val="0"/>
          <w:marTop w:val="0"/>
          <w:marBottom w:val="0"/>
          <w:divBdr>
            <w:top w:val="none" w:sz="0" w:space="0" w:color="auto"/>
            <w:left w:val="none" w:sz="0" w:space="0" w:color="auto"/>
            <w:bottom w:val="none" w:sz="0" w:space="0" w:color="auto"/>
            <w:right w:val="none" w:sz="0" w:space="0" w:color="auto"/>
          </w:divBdr>
        </w:div>
        <w:div w:id="490752590">
          <w:marLeft w:val="0"/>
          <w:marRight w:val="0"/>
          <w:marTop w:val="0"/>
          <w:marBottom w:val="0"/>
          <w:divBdr>
            <w:top w:val="none" w:sz="0" w:space="0" w:color="auto"/>
            <w:left w:val="none" w:sz="0" w:space="0" w:color="auto"/>
            <w:bottom w:val="none" w:sz="0" w:space="0" w:color="auto"/>
            <w:right w:val="none" w:sz="0" w:space="0" w:color="auto"/>
          </w:divBdr>
        </w:div>
        <w:div w:id="892884718">
          <w:marLeft w:val="0"/>
          <w:marRight w:val="0"/>
          <w:marTop w:val="0"/>
          <w:marBottom w:val="0"/>
          <w:divBdr>
            <w:top w:val="none" w:sz="0" w:space="0" w:color="auto"/>
            <w:left w:val="none" w:sz="0" w:space="0" w:color="auto"/>
            <w:bottom w:val="none" w:sz="0" w:space="0" w:color="auto"/>
            <w:right w:val="none" w:sz="0" w:space="0" w:color="auto"/>
          </w:divBdr>
        </w:div>
        <w:div w:id="44961521">
          <w:marLeft w:val="0"/>
          <w:marRight w:val="0"/>
          <w:marTop w:val="0"/>
          <w:marBottom w:val="0"/>
          <w:divBdr>
            <w:top w:val="none" w:sz="0" w:space="0" w:color="auto"/>
            <w:left w:val="none" w:sz="0" w:space="0" w:color="auto"/>
            <w:bottom w:val="none" w:sz="0" w:space="0" w:color="auto"/>
            <w:right w:val="none" w:sz="0" w:space="0" w:color="auto"/>
          </w:divBdr>
        </w:div>
        <w:div w:id="842277270">
          <w:marLeft w:val="0"/>
          <w:marRight w:val="0"/>
          <w:marTop w:val="0"/>
          <w:marBottom w:val="0"/>
          <w:divBdr>
            <w:top w:val="none" w:sz="0" w:space="0" w:color="auto"/>
            <w:left w:val="none" w:sz="0" w:space="0" w:color="auto"/>
            <w:bottom w:val="none" w:sz="0" w:space="0" w:color="auto"/>
            <w:right w:val="none" w:sz="0" w:space="0" w:color="auto"/>
          </w:divBdr>
        </w:div>
        <w:div w:id="2069105214">
          <w:marLeft w:val="0"/>
          <w:marRight w:val="0"/>
          <w:marTop w:val="0"/>
          <w:marBottom w:val="0"/>
          <w:divBdr>
            <w:top w:val="none" w:sz="0" w:space="0" w:color="auto"/>
            <w:left w:val="none" w:sz="0" w:space="0" w:color="auto"/>
            <w:bottom w:val="none" w:sz="0" w:space="0" w:color="auto"/>
            <w:right w:val="none" w:sz="0" w:space="0" w:color="auto"/>
          </w:divBdr>
        </w:div>
        <w:div w:id="2083402092">
          <w:marLeft w:val="0"/>
          <w:marRight w:val="0"/>
          <w:marTop w:val="0"/>
          <w:marBottom w:val="0"/>
          <w:divBdr>
            <w:top w:val="none" w:sz="0" w:space="0" w:color="auto"/>
            <w:left w:val="none" w:sz="0" w:space="0" w:color="auto"/>
            <w:bottom w:val="none" w:sz="0" w:space="0" w:color="auto"/>
            <w:right w:val="none" w:sz="0" w:space="0" w:color="auto"/>
          </w:divBdr>
        </w:div>
        <w:div w:id="163399406">
          <w:marLeft w:val="0"/>
          <w:marRight w:val="0"/>
          <w:marTop w:val="0"/>
          <w:marBottom w:val="0"/>
          <w:divBdr>
            <w:top w:val="none" w:sz="0" w:space="0" w:color="auto"/>
            <w:left w:val="none" w:sz="0" w:space="0" w:color="auto"/>
            <w:bottom w:val="none" w:sz="0" w:space="0" w:color="auto"/>
            <w:right w:val="none" w:sz="0" w:space="0" w:color="auto"/>
          </w:divBdr>
        </w:div>
        <w:div w:id="835193221">
          <w:marLeft w:val="0"/>
          <w:marRight w:val="0"/>
          <w:marTop w:val="0"/>
          <w:marBottom w:val="0"/>
          <w:divBdr>
            <w:top w:val="none" w:sz="0" w:space="0" w:color="auto"/>
            <w:left w:val="none" w:sz="0" w:space="0" w:color="auto"/>
            <w:bottom w:val="none" w:sz="0" w:space="0" w:color="auto"/>
            <w:right w:val="none" w:sz="0" w:space="0" w:color="auto"/>
          </w:divBdr>
        </w:div>
        <w:div w:id="1084762834">
          <w:marLeft w:val="0"/>
          <w:marRight w:val="0"/>
          <w:marTop w:val="0"/>
          <w:marBottom w:val="0"/>
          <w:divBdr>
            <w:top w:val="none" w:sz="0" w:space="0" w:color="auto"/>
            <w:left w:val="none" w:sz="0" w:space="0" w:color="auto"/>
            <w:bottom w:val="none" w:sz="0" w:space="0" w:color="auto"/>
            <w:right w:val="none" w:sz="0" w:space="0" w:color="auto"/>
          </w:divBdr>
        </w:div>
        <w:div w:id="1620605462">
          <w:marLeft w:val="0"/>
          <w:marRight w:val="0"/>
          <w:marTop w:val="0"/>
          <w:marBottom w:val="0"/>
          <w:divBdr>
            <w:top w:val="none" w:sz="0" w:space="0" w:color="auto"/>
            <w:left w:val="none" w:sz="0" w:space="0" w:color="auto"/>
            <w:bottom w:val="none" w:sz="0" w:space="0" w:color="auto"/>
            <w:right w:val="none" w:sz="0" w:space="0" w:color="auto"/>
          </w:divBdr>
        </w:div>
        <w:div w:id="1123766446">
          <w:marLeft w:val="0"/>
          <w:marRight w:val="0"/>
          <w:marTop w:val="0"/>
          <w:marBottom w:val="0"/>
          <w:divBdr>
            <w:top w:val="none" w:sz="0" w:space="0" w:color="auto"/>
            <w:left w:val="none" w:sz="0" w:space="0" w:color="auto"/>
            <w:bottom w:val="none" w:sz="0" w:space="0" w:color="auto"/>
            <w:right w:val="none" w:sz="0" w:space="0" w:color="auto"/>
          </w:divBdr>
        </w:div>
        <w:div w:id="923144346">
          <w:marLeft w:val="0"/>
          <w:marRight w:val="0"/>
          <w:marTop w:val="0"/>
          <w:marBottom w:val="0"/>
          <w:divBdr>
            <w:top w:val="none" w:sz="0" w:space="0" w:color="auto"/>
            <w:left w:val="none" w:sz="0" w:space="0" w:color="auto"/>
            <w:bottom w:val="none" w:sz="0" w:space="0" w:color="auto"/>
            <w:right w:val="none" w:sz="0" w:space="0" w:color="auto"/>
          </w:divBdr>
        </w:div>
        <w:div w:id="1867207117">
          <w:marLeft w:val="0"/>
          <w:marRight w:val="0"/>
          <w:marTop w:val="0"/>
          <w:marBottom w:val="0"/>
          <w:divBdr>
            <w:top w:val="none" w:sz="0" w:space="0" w:color="auto"/>
            <w:left w:val="none" w:sz="0" w:space="0" w:color="auto"/>
            <w:bottom w:val="none" w:sz="0" w:space="0" w:color="auto"/>
            <w:right w:val="none" w:sz="0" w:space="0" w:color="auto"/>
          </w:divBdr>
        </w:div>
        <w:div w:id="925924630">
          <w:marLeft w:val="0"/>
          <w:marRight w:val="0"/>
          <w:marTop w:val="0"/>
          <w:marBottom w:val="0"/>
          <w:divBdr>
            <w:top w:val="none" w:sz="0" w:space="0" w:color="auto"/>
            <w:left w:val="none" w:sz="0" w:space="0" w:color="auto"/>
            <w:bottom w:val="none" w:sz="0" w:space="0" w:color="auto"/>
            <w:right w:val="none" w:sz="0" w:space="0" w:color="auto"/>
          </w:divBdr>
        </w:div>
        <w:div w:id="1555388453">
          <w:marLeft w:val="0"/>
          <w:marRight w:val="0"/>
          <w:marTop w:val="0"/>
          <w:marBottom w:val="0"/>
          <w:divBdr>
            <w:top w:val="none" w:sz="0" w:space="0" w:color="auto"/>
            <w:left w:val="none" w:sz="0" w:space="0" w:color="auto"/>
            <w:bottom w:val="none" w:sz="0" w:space="0" w:color="auto"/>
            <w:right w:val="none" w:sz="0" w:space="0" w:color="auto"/>
          </w:divBdr>
        </w:div>
        <w:div w:id="811753839">
          <w:marLeft w:val="0"/>
          <w:marRight w:val="0"/>
          <w:marTop w:val="0"/>
          <w:marBottom w:val="0"/>
          <w:divBdr>
            <w:top w:val="none" w:sz="0" w:space="0" w:color="auto"/>
            <w:left w:val="none" w:sz="0" w:space="0" w:color="auto"/>
            <w:bottom w:val="none" w:sz="0" w:space="0" w:color="auto"/>
            <w:right w:val="none" w:sz="0" w:space="0" w:color="auto"/>
          </w:divBdr>
        </w:div>
        <w:div w:id="346102865">
          <w:marLeft w:val="0"/>
          <w:marRight w:val="0"/>
          <w:marTop w:val="0"/>
          <w:marBottom w:val="0"/>
          <w:divBdr>
            <w:top w:val="none" w:sz="0" w:space="0" w:color="auto"/>
            <w:left w:val="none" w:sz="0" w:space="0" w:color="auto"/>
            <w:bottom w:val="none" w:sz="0" w:space="0" w:color="auto"/>
            <w:right w:val="none" w:sz="0" w:space="0" w:color="auto"/>
          </w:divBdr>
        </w:div>
        <w:div w:id="1483035452">
          <w:marLeft w:val="0"/>
          <w:marRight w:val="0"/>
          <w:marTop w:val="0"/>
          <w:marBottom w:val="0"/>
          <w:divBdr>
            <w:top w:val="none" w:sz="0" w:space="0" w:color="auto"/>
            <w:left w:val="none" w:sz="0" w:space="0" w:color="auto"/>
            <w:bottom w:val="none" w:sz="0" w:space="0" w:color="auto"/>
            <w:right w:val="none" w:sz="0" w:space="0" w:color="auto"/>
          </w:divBdr>
        </w:div>
        <w:div w:id="1259873857">
          <w:marLeft w:val="0"/>
          <w:marRight w:val="0"/>
          <w:marTop w:val="0"/>
          <w:marBottom w:val="0"/>
          <w:divBdr>
            <w:top w:val="none" w:sz="0" w:space="0" w:color="auto"/>
            <w:left w:val="none" w:sz="0" w:space="0" w:color="auto"/>
            <w:bottom w:val="none" w:sz="0" w:space="0" w:color="auto"/>
            <w:right w:val="none" w:sz="0" w:space="0" w:color="auto"/>
          </w:divBdr>
        </w:div>
        <w:div w:id="829518910">
          <w:marLeft w:val="0"/>
          <w:marRight w:val="0"/>
          <w:marTop w:val="0"/>
          <w:marBottom w:val="0"/>
          <w:divBdr>
            <w:top w:val="none" w:sz="0" w:space="0" w:color="auto"/>
            <w:left w:val="none" w:sz="0" w:space="0" w:color="auto"/>
            <w:bottom w:val="none" w:sz="0" w:space="0" w:color="auto"/>
            <w:right w:val="none" w:sz="0" w:space="0" w:color="auto"/>
          </w:divBdr>
        </w:div>
        <w:div w:id="260839677">
          <w:marLeft w:val="0"/>
          <w:marRight w:val="0"/>
          <w:marTop w:val="0"/>
          <w:marBottom w:val="0"/>
          <w:divBdr>
            <w:top w:val="none" w:sz="0" w:space="0" w:color="auto"/>
            <w:left w:val="none" w:sz="0" w:space="0" w:color="auto"/>
            <w:bottom w:val="none" w:sz="0" w:space="0" w:color="auto"/>
            <w:right w:val="none" w:sz="0" w:space="0" w:color="auto"/>
          </w:divBdr>
        </w:div>
        <w:div w:id="680548185">
          <w:marLeft w:val="0"/>
          <w:marRight w:val="0"/>
          <w:marTop w:val="0"/>
          <w:marBottom w:val="0"/>
          <w:divBdr>
            <w:top w:val="none" w:sz="0" w:space="0" w:color="auto"/>
            <w:left w:val="none" w:sz="0" w:space="0" w:color="auto"/>
            <w:bottom w:val="none" w:sz="0" w:space="0" w:color="auto"/>
            <w:right w:val="none" w:sz="0" w:space="0" w:color="auto"/>
          </w:divBdr>
        </w:div>
        <w:div w:id="494997908">
          <w:marLeft w:val="0"/>
          <w:marRight w:val="0"/>
          <w:marTop w:val="0"/>
          <w:marBottom w:val="0"/>
          <w:divBdr>
            <w:top w:val="none" w:sz="0" w:space="0" w:color="auto"/>
            <w:left w:val="none" w:sz="0" w:space="0" w:color="auto"/>
            <w:bottom w:val="none" w:sz="0" w:space="0" w:color="auto"/>
            <w:right w:val="none" w:sz="0" w:space="0" w:color="auto"/>
          </w:divBdr>
        </w:div>
        <w:div w:id="1552376167">
          <w:marLeft w:val="0"/>
          <w:marRight w:val="0"/>
          <w:marTop w:val="0"/>
          <w:marBottom w:val="0"/>
          <w:divBdr>
            <w:top w:val="none" w:sz="0" w:space="0" w:color="auto"/>
            <w:left w:val="none" w:sz="0" w:space="0" w:color="auto"/>
            <w:bottom w:val="none" w:sz="0" w:space="0" w:color="auto"/>
            <w:right w:val="none" w:sz="0" w:space="0" w:color="auto"/>
          </w:divBdr>
        </w:div>
        <w:div w:id="1149438291">
          <w:marLeft w:val="0"/>
          <w:marRight w:val="0"/>
          <w:marTop w:val="0"/>
          <w:marBottom w:val="0"/>
          <w:divBdr>
            <w:top w:val="none" w:sz="0" w:space="0" w:color="auto"/>
            <w:left w:val="none" w:sz="0" w:space="0" w:color="auto"/>
            <w:bottom w:val="none" w:sz="0" w:space="0" w:color="auto"/>
            <w:right w:val="none" w:sz="0" w:space="0" w:color="auto"/>
          </w:divBdr>
        </w:div>
        <w:div w:id="995373894">
          <w:marLeft w:val="0"/>
          <w:marRight w:val="0"/>
          <w:marTop w:val="0"/>
          <w:marBottom w:val="0"/>
          <w:divBdr>
            <w:top w:val="none" w:sz="0" w:space="0" w:color="auto"/>
            <w:left w:val="none" w:sz="0" w:space="0" w:color="auto"/>
            <w:bottom w:val="none" w:sz="0" w:space="0" w:color="auto"/>
            <w:right w:val="none" w:sz="0" w:space="0" w:color="auto"/>
          </w:divBdr>
        </w:div>
        <w:div w:id="280500763">
          <w:marLeft w:val="0"/>
          <w:marRight w:val="0"/>
          <w:marTop w:val="0"/>
          <w:marBottom w:val="0"/>
          <w:divBdr>
            <w:top w:val="none" w:sz="0" w:space="0" w:color="auto"/>
            <w:left w:val="none" w:sz="0" w:space="0" w:color="auto"/>
            <w:bottom w:val="none" w:sz="0" w:space="0" w:color="auto"/>
            <w:right w:val="none" w:sz="0" w:space="0" w:color="auto"/>
          </w:divBdr>
        </w:div>
        <w:div w:id="259340541">
          <w:marLeft w:val="0"/>
          <w:marRight w:val="0"/>
          <w:marTop w:val="0"/>
          <w:marBottom w:val="0"/>
          <w:divBdr>
            <w:top w:val="none" w:sz="0" w:space="0" w:color="auto"/>
            <w:left w:val="none" w:sz="0" w:space="0" w:color="auto"/>
            <w:bottom w:val="none" w:sz="0" w:space="0" w:color="auto"/>
            <w:right w:val="none" w:sz="0" w:space="0" w:color="auto"/>
          </w:divBdr>
        </w:div>
        <w:div w:id="1662155724">
          <w:marLeft w:val="0"/>
          <w:marRight w:val="0"/>
          <w:marTop w:val="0"/>
          <w:marBottom w:val="0"/>
          <w:divBdr>
            <w:top w:val="none" w:sz="0" w:space="0" w:color="auto"/>
            <w:left w:val="none" w:sz="0" w:space="0" w:color="auto"/>
            <w:bottom w:val="none" w:sz="0" w:space="0" w:color="auto"/>
            <w:right w:val="none" w:sz="0" w:space="0" w:color="auto"/>
          </w:divBdr>
        </w:div>
        <w:div w:id="1576628111">
          <w:marLeft w:val="0"/>
          <w:marRight w:val="0"/>
          <w:marTop w:val="0"/>
          <w:marBottom w:val="0"/>
          <w:divBdr>
            <w:top w:val="none" w:sz="0" w:space="0" w:color="auto"/>
            <w:left w:val="none" w:sz="0" w:space="0" w:color="auto"/>
            <w:bottom w:val="none" w:sz="0" w:space="0" w:color="auto"/>
            <w:right w:val="none" w:sz="0" w:space="0" w:color="auto"/>
          </w:divBdr>
        </w:div>
        <w:div w:id="1684938565">
          <w:marLeft w:val="0"/>
          <w:marRight w:val="0"/>
          <w:marTop w:val="0"/>
          <w:marBottom w:val="0"/>
          <w:divBdr>
            <w:top w:val="none" w:sz="0" w:space="0" w:color="auto"/>
            <w:left w:val="none" w:sz="0" w:space="0" w:color="auto"/>
            <w:bottom w:val="none" w:sz="0" w:space="0" w:color="auto"/>
            <w:right w:val="none" w:sz="0" w:space="0" w:color="auto"/>
          </w:divBdr>
        </w:div>
        <w:div w:id="1012999882">
          <w:marLeft w:val="0"/>
          <w:marRight w:val="0"/>
          <w:marTop w:val="0"/>
          <w:marBottom w:val="0"/>
          <w:divBdr>
            <w:top w:val="none" w:sz="0" w:space="0" w:color="auto"/>
            <w:left w:val="none" w:sz="0" w:space="0" w:color="auto"/>
            <w:bottom w:val="none" w:sz="0" w:space="0" w:color="auto"/>
            <w:right w:val="none" w:sz="0" w:space="0" w:color="auto"/>
          </w:divBdr>
        </w:div>
        <w:div w:id="560597106">
          <w:marLeft w:val="0"/>
          <w:marRight w:val="0"/>
          <w:marTop w:val="0"/>
          <w:marBottom w:val="0"/>
          <w:divBdr>
            <w:top w:val="none" w:sz="0" w:space="0" w:color="auto"/>
            <w:left w:val="none" w:sz="0" w:space="0" w:color="auto"/>
            <w:bottom w:val="none" w:sz="0" w:space="0" w:color="auto"/>
            <w:right w:val="none" w:sz="0" w:space="0" w:color="auto"/>
          </w:divBdr>
        </w:div>
        <w:div w:id="156576645">
          <w:marLeft w:val="0"/>
          <w:marRight w:val="0"/>
          <w:marTop w:val="0"/>
          <w:marBottom w:val="0"/>
          <w:divBdr>
            <w:top w:val="none" w:sz="0" w:space="0" w:color="auto"/>
            <w:left w:val="none" w:sz="0" w:space="0" w:color="auto"/>
            <w:bottom w:val="none" w:sz="0" w:space="0" w:color="auto"/>
            <w:right w:val="none" w:sz="0" w:space="0" w:color="auto"/>
          </w:divBdr>
        </w:div>
      </w:divsChild>
    </w:div>
    <w:div w:id="1278828907">
      <w:bodyDiv w:val="1"/>
      <w:marLeft w:val="0"/>
      <w:marRight w:val="0"/>
      <w:marTop w:val="0"/>
      <w:marBottom w:val="0"/>
      <w:divBdr>
        <w:top w:val="none" w:sz="0" w:space="0" w:color="auto"/>
        <w:left w:val="none" w:sz="0" w:space="0" w:color="auto"/>
        <w:bottom w:val="none" w:sz="0" w:space="0" w:color="auto"/>
        <w:right w:val="none" w:sz="0" w:space="0" w:color="auto"/>
      </w:divBdr>
      <w:divsChild>
        <w:div w:id="645359037">
          <w:marLeft w:val="0"/>
          <w:marRight w:val="0"/>
          <w:marTop w:val="0"/>
          <w:marBottom w:val="0"/>
          <w:divBdr>
            <w:top w:val="none" w:sz="0" w:space="0" w:color="auto"/>
            <w:left w:val="none" w:sz="0" w:space="0" w:color="auto"/>
            <w:bottom w:val="none" w:sz="0" w:space="0" w:color="auto"/>
            <w:right w:val="none" w:sz="0" w:space="0" w:color="auto"/>
          </w:divBdr>
        </w:div>
        <w:div w:id="957833224">
          <w:marLeft w:val="0"/>
          <w:marRight w:val="0"/>
          <w:marTop w:val="0"/>
          <w:marBottom w:val="0"/>
          <w:divBdr>
            <w:top w:val="none" w:sz="0" w:space="0" w:color="auto"/>
            <w:left w:val="none" w:sz="0" w:space="0" w:color="auto"/>
            <w:bottom w:val="none" w:sz="0" w:space="0" w:color="auto"/>
            <w:right w:val="none" w:sz="0" w:space="0" w:color="auto"/>
          </w:divBdr>
        </w:div>
        <w:div w:id="1017854979">
          <w:marLeft w:val="0"/>
          <w:marRight w:val="0"/>
          <w:marTop w:val="0"/>
          <w:marBottom w:val="0"/>
          <w:divBdr>
            <w:top w:val="none" w:sz="0" w:space="0" w:color="auto"/>
            <w:left w:val="none" w:sz="0" w:space="0" w:color="auto"/>
            <w:bottom w:val="none" w:sz="0" w:space="0" w:color="auto"/>
            <w:right w:val="none" w:sz="0" w:space="0" w:color="auto"/>
          </w:divBdr>
        </w:div>
      </w:divsChild>
    </w:div>
    <w:div w:id="1320380407">
      <w:bodyDiv w:val="1"/>
      <w:marLeft w:val="0"/>
      <w:marRight w:val="0"/>
      <w:marTop w:val="0"/>
      <w:marBottom w:val="0"/>
      <w:divBdr>
        <w:top w:val="none" w:sz="0" w:space="0" w:color="auto"/>
        <w:left w:val="none" w:sz="0" w:space="0" w:color="auto"/>
        <w:bottom w:val="none" w:sz="0" w:space="0" w:color="auto"/>
        <w:right w:val="none" w:sz="0" w:space="0" w:color="auto"/>
      </w:divBdr>
      <w:divsChild>
        <w:div w:id="1389308162">
          <w:marLeft w:val="0"/>
          <w:marRight w:val="0"/>
          <w:marTop w:val="36"/>
          <w:marBottom w:val="36"/>
          <w:divBdr>
            <w:top w:val="none" w:sz="0" w:space="0" w:color="auto"/>
            <w:left w:val="none" w:sz="0" w:space="0" w:color="auto"/>
            <w:bottom w:val="none" w:sz="0" w:space="0" w:color="auto"/>
            <w:right w:val="none" w:sz="0" w:space="0" w:color="auto"/>
          </w:divBdr>
          <w:divsChild>
            <w:div w:id="1363558196">
              <w:marLeft w:val="0"/>
              <w:marRight w:val="0"/>
              <w:marTop w:val="0"/>
              <w:marBottom w:val="0"/>
              <w:divBdr>
                <w:top w:val="none" w:sz="0" w:space="0" w:color="auto"/>
                <w:left w:val="none" w:sz="0" w:space="0" w:color="auto"/>
                <w:bottom w:val="none" w:sz="0" w:space="0" w:color="auto"/>
                <w:right w:val="none" w:sz="0" w:space="0" w:color="auto"/>
              </w:divBdr>
              <w:divsChild>
                <w:div w:id="135149984">
                  <w:marLeft w:val="0"/>
                  <w:marRight w:val="0"/>
                  <w:marTop w:val="0"/>
                  <w:marBottom w:val="0"/>
                  <w:divBdr>
                    <w:top w:val="none" w:sz="0" w:space="0" w:color="auto"/>
                    <w:left w:val="none" w:sz="0" w:space="0" w:color="auto"/>
                    <w:bottom w:val="none" w:sz="0" w:space="0" w:color="auto"/>
                    <w:right w:val="none" w:sz="0" w:space="0" w:color="auto"/>
                  </w:divBdr>
                  <w:divsChild>
                    <w:div w:id="517238942">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 w:id="1587224199">
      <w:bodyDiv w:val="1"/>
      <w:marLeft w:val="0"/>
      <w:marRight w:val="0"/>
      <w:marTop w:val="0"/>
      <w:marBottom w:val="0"/>
      <w:divBdr>
        <w:top w:val="none" w:sz="0" w:space="0" w:color="auto"/>
        <w:left w:val="none" w:sz="0" w:space="0" w:color="auto"/>
        <w:bottom w:val="none" w:sz="0" w:space="0" w:color="auto"/>
        <w:right w:val="none" w:sz="0" w:space="0" w:color="auto"/>
      </w:divBdr>
      <w:divsChild>
        <w:div w:id="1711761485">
          <w:marLeft w:val="0"/>
          <w:marRight w:val="0"/>
          <w:marTop w:val="0"/>
          <w:marBottom w:val="0"/>
          <w:divBdr>
            <w:top w:val="none" w:sz="0" w:space="0" w:color="auto"/>
            <w:left w:val="none" w:sz="0" w:space="0" w:color="auto"/>
            <w:bottom w:val="none" w:sz="0" w:space="0" w:color="auto"/>
            <w:right w:val="none" w:sz="0" w:space="0" w:color="auto"/>
          </w:divBdr>
        </w:div>
        <w:div w:id="106701783">
          <w:marLeft w:val="0"/>
          <w:marRight w:val="0"/>
          <w:marTop w:val="0"/>
          <w:marBottom w:val="0"/>
          <w:divBdr>
            <w:top w:val="none" w:sz="0" w:space="0" w:color="auto"/>
            <w:left w:val="none" w:sz="0" w:space="0" w:color="auto"/>
            <w:bottom w:val="none" w:sz="0" w:space="0" w:color="auto"/>
            <w:right w:val="none" w:sz="0" w:space="0" w:color="auto"/>
          </w:divBdr>
        </w:div>
        <w:div w:id="347945674">
          <w:marLeft w:val="0"/>
          <w:marRight w:val="0"/>
          <w:marTop w:val="0"/>
          <w:marBottom w:val="0"/>
          <w:divBdr>
            <w:top w:val="none" w:sz="0" w:space="0" w:color="auto"/>
            <w:left w:val="none" w:sz="0" w:space="0" w:color="auto"/>
            <w:bottom w:val="none" w:sz="0" w:space="0" w:color="auto"/>
            <w:right w:val="none" w:sz="0" w:space="0" w:color="auto"/>
          </w:divBdr>
        </w:div>
      </w:divsChild>
    </w:div>
    <w:div w:id="1632327103">
      <w:bodyDiv w:val="1"/>
      <w:marLeft w:val="0"/>
      <w:marRight w:val="0"/>
      <w:marTop w:val="0"/>
      <w:marBottom w:val="0"/>
      <w:divBdr>
        <w:top w:val="none" w:sz="0" w:space="0" w:color="auto"/>
        <w:left w:val="none" w:sz="0" w:space="0" w:color="auto"/>
        <w:bottom w:val="none" w:sz="0" w:space="0" w:color="auto"/>
        <w:right w:val="none" w:sz="0" w:space="0" w:color="auto"/>
      </w:divBdr>
      <w:divsChild>
        <w:div w:id="158161271">
          <w:marLeft w:val="0"/>
          <w:marRight w:val="0"/>
          <w:marTop w:val="0"/>
          <w:marBottom w:val="0"/>
          <w:divBdr>
            <w:top w:val="none" w:sz="0" w:space="0" w:color="auto"/>
            <w:left w:val="none" w:sz="0" w:space="0" w:color="auto"/>
            <w:bottom w:val="none" w:sz="0" w:space="0" w:color="auto"/>
            <w:right w:val="none" w:sz="0" w:space="0" w:color="auto"/>
          </w:divBdr>
        </w:div>
        <w:div w:id="1458766661">
          <w:marLeft w:val="0"/>
          <w:marRight w:val="0"/>
          <w:marTop w:val="0"/>
          <w:marBottom w:val="0"/>
          <w:divBdr>
            <w:top w:val="none" w:sz="0" w:space="0" w:color="auto"/>
            <w:left w:val="none" w:sz="0" w:space="0" w:color="auto"/>
            <w:bottom w:val="none" w:sz="0" w:space="0" w:color="auto"/>
            <w:right w:val="none" w:sz="0" w:space="0" w:color="auto"/>
          </w:divBdr>
        </w:div>
        <w:div w:id="1775441524">
          <w:marLeft w:val="0"/>
          <w:marRight w:val="0"/>
          <w:marTop w:val="0"/>
          <w:marBottom w:val="0"/>
          <w:divBdr>
            <w:top w:val="none" w:sz="0" w:space="0" w:color="auto"/>
            <w:left w:val="none" w:sz="0" w:space="0" w:color="auto"/>
            <w:bottom w:val="none" w:sz="0" w:space="0" w:color="auto"/>
            <w:right w:val="none" w:sz="0" w:space="0" w:color="auto"/>
          </w:divBdr>
        </w:div>
        <w:div w:id="2020500876">
          <w:marLeft w:val="0"/>
          <w:marRight w:val="0"/>
          <w:marTop w:val="0"/>
          <w:marBottom w:val="0"/>
          <w:divBdr>
            <w:top w:val="none" w:sz="0" w:space="0" w:color="auto"/>
            <w:left w:val="none" w:sz="0" w:space="0" w:color="auto"/>
            <w:bottom w:val="none" w:sz="0" w:space="0" w:color="auto"/>
            <w:right w:val="none" w:sz="0" w:space="0" w:color="auto"/>
          </w:divBdr>
        </w:div>
      </w:divsChild>
    </w:div>
    <w:div w:id="1995261353">
      <w:bodyDiv w:val="1"/>
      <w:marLeft w:val="0"/>
      <w:marRight w:val="0"/>
      <w:marTop w:val="0"/>
      <w:marBottom w:val="0"/>
      <w:divBdr>
        <w:top w:val="none" w:sz="0" w:space="0" w:color="auto"/>
        <w:left w:val="none" w:sz="0" w:space="0" w:color="auto"/>
        <w:bottom w:val="none" w:sz="0" w:space="0" w:color="auto"/>
        <w:right w:val="none" w:sz="0" w:space="0" w:color="auto"/>
      </w:divBdr>
      <w:divsChild>
        <w:div w:id="735279576">
          <w:marLeft w:val="0"/>
          <w:marRight w:val="0"/>
          <w:marTop w:val="36"/>
          <w:marBottom w:val="36"/>
          <w:divBdr>
            <w:top w:val="none" w:sz="0" w:space="0" w:color="auto"/>
            <w:left w:val="none" w:sz="0" w:space="0" w:color="auto"/>
            <w:bottom w:val="none" w:sz="0" w:space="0" w:color="auto"/>
            <w:right w:val="none" w:sz="0" w:space="0" w:color="auto"/>
          </w:divBdr>
          <w:divsChild>
            <w:div w:id="750157273">
              <w:marLeft w:val="0"/>
              <w:marRight w:val="0"/>
              <w:marTop w:val="0"/>
              <w:marBottom w:val="0"/>
              <w:divBdr>
                <w:top w:val="none" w:sz="0" w:space="0" w:color="auto"/>
                <w:left w:val="none" w:sz="0" w:space="0" w:color="auto"/>
                <w:bottom w:val="none" w:sz="0" w:space="0" w:color="auto"/>
                <w:right w:val="none" w:sz="0" w:space="0" w:color="auto"/>
              </w:divBdr>
              <w:divsChild>
                <w:div w:id="408043769">
                  <w:marLeft w:val="0"/>
                  <w:marRight w:val="0"/>
                  <w:marTop w:val="0"/>
                  <w:marBottom w:val="0"/>
                  <w:divBdr>
                    <w:top w:val="none" w:sz="0" w:space="0" w:color="auto"/>
                    <w:left w:val="none" w:sz="0" w:space="0" w:color="auto"/>
                    <w:bottom w:val="none" w:sz="0" w:space="0" w:color="auto"/>
                    <w:right w:val="none" w:sz="0" w:space="0" w:color="auto"/>
                  </w:divBdr>
                  <w:divsChild>
                    <w:div w:id="95336920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 w:id="2030183722">
      <w:bodyDiv w:val="1"/>
      <w:marLeft w:val="0"/>
      <w:marRight w:val="0"/>
      <w:marTop w:val="0"/>
      <w:marBottom w:val="0"/>
      <w:divBdr>
        <w:top w:val="none" w:sz="0" w:space="0" w:color="auto"/>
        <w:left w:val="none" w:sz="0" w:space="0" w:color="auto"/>
        <w:bottom w:val="none" w:sz="0" w:space="0" w:color="auto"/>
        <w:right w:val="none" w:sz="0" w:space="0" w:color="auto"/>
      </w:divBdr>
      <w:divsChild>
        <w:div w:id="1198079674">
          <w:marLeft w:val="0"/>
          <w:marRight w:val="0"/>
          <w:marTop w:val="0"/>
          <w:marBottom w:val="0"/>
          <w:divBdr>
            <w:top w:val="none" w:sz="0" w:space="0" w:color="auto"/>
            <w:left w:val="none" w:sz="0" w:space="0" w:color="auto"/>
            <w:bottom w:val="none" w:sz="0" w:space="0" w:color="auto"/>
            <w:right w:val="none" w:sz="0" w:space="0" w:color="auto"/>
          </w:divBdr>
        </w:div>
        <w:div w:id="310604364">
          <w:marLeft w:val="0"/>
          <w:marRight w:val="0"/>
          <w:marTop w:val="0"/>
          <w:marBottom w:val="0"/>
          <w:divBdr>
            <w:top w:val="none" w:sz="0" w:space="0" w:color="auto"/>
            <w:left w:val="none" w:sz="0" w:space="0" w:color="auto"/>
            <w:bottom w:val="none" w:sz="0" w:space="0" w:color="auto"/>
            <w:right w:val="none" w:sz="0" w:space="0" w:color="auto"/>
          </w:divBdr>
        </w:div>
        <w:div w:id="1894344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1D199-EE2B-4188-AA62-52C770A8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mprocter</dc:creator>
  <cp:lastModifiedBy>Margaret Procter</cp:lastModifiedBy>
  <cp:revision>2</cp:revision>
  <dcterms:created xsi:type="dcterms:W3CDTF">2017-11-13T12:17:00Z</dcterms:created>
  <dcterms:modified xsi:type="dcterms:W3CDTF">2017-11-13T12:17:00Z</dcterms:modified>
</cp:coreProperties>
</file>