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1E73B" w14:textId="77180D2F" w:rsidR="000360D3" w:rsidRPr="001B1CC7" w:rsidRDefault="00001C65" w:rsidP="000360D3">
      <w:pPr>
        <w:widowControl w:val="0"/>
        <w:spacing w:before="100" w:beforeAutospacing="1" w:after="100" w:afterAutospacing="1" w:line="480" w:lineRule="auto"/>
        <w:rPr>
          <w:rFonts w:eastAsia="Times New Roman"/>
          <w:b/>
          <w:bCs/>
          <w:iCs/>
          <w:color w:val="000000" w:themeColor="text1"/>
          <w:shd w:val="clear" w:color="auto" w:fill="FFFFFF"/>
          <w:lang w:eastAsia="en-GB"/>
        </w:rPr>
      </w:pPr>
      <w:r>
        <w:rPr>
          <w:rFonts w:eastAsia="Times New Roman"/>
          <w:b/>
          <w:color w:val="000000" w:themeColor="text1"/>
          <w:shd w:val="clear" w:color="auto" w:fill="FFFFFF"/>
          <w:lang w:eastAsia="en-GB"/>
        </w:rPr>
        <w:t>The challenge of a</w:t>
      </w:r>
      <w:r w:rsidR="00B74B32">
        <w:rPr>
          <w:rFonts w:eastAsia="Times New Roman"/>
          <w:b/>
          <w:color w:val="000000" w:themeColor="text1"/>
          <w:shd w:val="clear" w:color="auto" w:fill="FFFFFF"/>
          <w:lang w:eastAsia="en-GB"/>
        </w:rPr>
        <w:t xml:space="preserve">ntimicrobial prescribing for Hospital Acquired Pneumonia </w:t>
      </w:r>
    </w:p>
    <w:p w14:paraId="0556B7A1" w14:textId="7302871A" w:rsidR="000360D3" w:rsidRPr="006D1DD0" w:rsidRDefault="000360D3" w:rsidP="000360D3">
      <w:pPr>
        <w:widowControl w:val="0"/>
        <w:spacing w:before="100" w:beforeAutospacing="1" w:after="100" w:afterAutospacing="1" w:line="480" w:lineRule="auto"/>
        <w:rPr>
          <w:rFonts w:eastAsia="Times New Roman"/>
          <w:bCs/>
          <w:iCs/>
          <w:color w:val="000000" w:themeColor="text1"/>
          <w:shd w:val="clear" w:color="auto" w:fill="FFFFFF"/>
          <w:vertAlign w:val="superscript"/>
          <w:lang w:eastAsia="en-GB"/>
        </w:rPr>
      </w:pPr>
      <w:r>
        <w:rPr>
          <w:rFonts w:eastAsia="Times New Roman"/>
          <w:color w:val="000000" w:themeColor="text1"/>
          <w:shd w:val="clear" w:color="auto" w:fill="FFFFFF"/>
          <w:lang w:eastAsia="en-GB"/>
        </w:rPr>
        <w:t>Daniel G Wootton, MRCP DTM+H PhD</w:t>
      </w:r>
      <w:r w:rsidRPr="00BE7EED">
        <w:rPr>
          <w:rFonts w:eastAsia="Times New Roman"/>
          <w:color w:val="000000" w:themeColor="text1"/>
          <w:shd w:val="clear" w:color="auto" w:fill="FFFFFF"/>
          <w:vertAlign w:val="superscript"/>
          <w:lang w:eastAsia="en-GB"/>
        </w:rPr>
        <w:t>1,2</w:t>
      </w:r>
      <w:r>
        <w:rPr>
          <w:rFonts w:eastAsia="Times New Roman"/>
          <w:color w:val="000000" w:themeColor="text1"/>
          <w:shd w:val="clear" w:color="auto" w:fill="FFFFFF"/>
          <w:lang w:eastAsia="en-GB"/>
        </w:rPr>
        <w:t xml:space="preserve">; </w:t>
      </w:r>
      <w:r w:rsidR="00C9772C">
        <w:rPr>
          <w:rFonts w:eastAsia="Times New Roman"/>
          <w:color w:val="000000" w:themeColor="text1"/>
          <w:shd w:val="clear" w:color="auto" w:fill="FFFFFF"/>
          <w:lang w:eastAsia="en-GB"/>
        </w:rPr>
        <w:t>Stephen J. Aston, MRCP DTM&amp;H PhD</w:t>
      </w:r>
      <w:r w:rsidR="003D36AD" w:rsidRPr="00744156">
        <w:rPr>
          <w:rFonts w:eastAsia="Times New Roman"/>
          <w:color w:val="000000" w:themeColor="text1"/>
          <w:shd w:val="clear" w:color="auto" w:fill="FFFFFF"/>
          <w:vertAlign w:val="superscript"/>
          <w:lang w:eastAsia="en-GB"/>
        </w:rPr>
        <w:t>1,3</w:t>
      </w:r>
      <w:r w:rsidR="003D36AD">
        <w:rPr>
          <w:rFonts w:eastAsia="Times New Roman"/>
          <w:color w:val="000000" w:themeColor="text1"/>
          <w:shd w:val="clear" w:color="auto" w:fill="FFFFFF"/>
          <w:lang w:eastAsia="en-GB"/>
        </w:rPr>
        <w:t xml:space="preserve">; </w:t>
      </w:r>
      <w:r>
        <w:rPr>
          <w:rFonts w:eastAsia="Times New Roman"/>
          <w:color w:val="000000" w:themeColor="text1"/>
          <w:shd w:val="clear" w:color="auto" w:fill="FFFFFF"/>
          <w:lang w:eastAsia="en-GB"/>
        </w:rPr>
        <w:t>Timothy Felton, BMedSci MBBS PhD FRCP FFICM</w:t>
      </w:r>
      <w:r w:rsidR="003D36AD">
        <w:rPr>
          <w:rFonts w:eastAsia="Times New Roman"/>
          <w:color w:val="000000" w:themeColor="text1"/>
          <w:shd w:val="clear" w:color="auto" w:fill="FFFFFF"/>
          <w:vertAlign w:val="superscript"/>
          <w:lang w:eastAsia="en-GB"/>
        </w:rPr>
        <w:t>4</w:t>
      </w:r>
      <w:r w:rsidR="00B74B32">
        <w:rPr>
          <w:rFonts w:eastAsia="Times New Roman"/>
          <w:color w:val="000000" w:themeColor="text1"/>
          <w:shd w:val="clear" w:color="auto" w:fill="FFFFFF"/>
          <w:vertAlign w:val="superscript"/>
          <w:lang w:eastAsia="en-GB"/>
        </w:rPr>
        <w:t>,</w:t>
      </w:r>
      <w:r w:rsidR="003D36AD">
        <w:rPr>
          <w:rFonts w:eastAsia="Times New Roman"/>
          <w:color w:val="000000" w:themeColor="text1"/>
          <w:shd w:val="clear" w:color="auto" w:fill="FFFFFF"/>
          <w:vertAlign w:val="superscript"/>
          <w:lang w:eastAsia="en-GB"/>
        </w:rPr>
        <w:t>5</w:t>
      </w:r>
    </w:p>
    <w:p w14:paraId="2F9C19D1" w14:textId="4710295C" w:rsidR="000360D3" w:rsidRPr="000360D3" w:rsidRDefault="000360D3" w:rsidP="000360D3">
      <w:pPr>
        <w:widowControl w:val="0"/>
        <w:spacing w:before="100" w:beforeAutospacing="1" w:after="100" w:afterAutospacing="1" w:line="480" w:lineRule="auto"/>
        <w:rPr>
          <w:rFonts w:eastAsia="Times New Roman"/>
          <w:bCs/>
          <w:iCs/>
          <w:color w:val="000000" w:themeColor="text1"/>
          <w:shd w:val="clear" w:color="auto" w:fill="FFFFFF"/>
          <w:lang w:eastAsia="en-GB"/>
        </w:rPr>
      </w:pPr>
      <w:r w:rsidRPr="001B1CC7">
        <w:rPr>
          <w:rFonts w:eastAsia="Times New Roman"/>
          <w:color w:val="000000" w:themeColor="text1"/>
          <w:shd w:val="clear" w:color="auto" w:fill="FFFFFF"/>
          <w:vertAlign w:val="superscript"/>
          <w:lang w:eastAsia="en-GB"/>
        </w:rPr>
        <w:t>1</w:t>
      </w:r>
      <w:r w:rsidRPr="001B1CC7">
        <w:rPr>
          <w:rFonts w:eastAsia="Times New Roman"/>
          <w:color w:val="000000" w:themeColor="text1"/>
          <w:shd w:val="clear" w:color="auto" w:fill="FFFFFF"/>
          <w:lang w:eastAsia="en-GB"/>
        </w:rPr>
        <w:t>I</w:t>
      </w:r>
      <w:r w:rsidRPr="001B1CC7">
        <w:t>nstitute of Infection and Global Health, University of Liverpool, Liverpool, UK</w:t>
      </w:r>
    </w:p>
    <w:p w14:paraId="12972917" w14:textId="2750F3C6" w:rsidR="000360D3" w:rsidRDefault="000360D3" w:rsidP="000360D3">
      <w:pPr>
        <w:widowControl w:val="0"/>
        <w:spacing w:before="100" w:beforeAutospacing="1" w:after="100" w:afterAutospacing="1" w:line="480" w:lineRule="auto"/>
        <w:rPr>
          <w:rFonts w:eastAsia="Times New Roman"/>
          <w:color w:val="000000" w:themeColor="text1"/>
          <w:shd w:val="clear" w:color="auto" w:fill="FFFFFF"/>
          <w:lang w:eastAsia="en-GB"/>
        </w:rPr>
      </w:pPr>
      <w:r>
        <w:rPr>
          <w:vertAlign w:val="superscript"/>
        </w:rPr>
        <w:t>2</w:t>
      </w:r>
      <w:r>
        <w:rPr>
          <w:rFonts w:eastAsia="Times New Roman"/>
          <w:color w:val="000000" w:themeColor="text1"/>
          <w:shd w:val="clear" w:color="auto" w:fill="FFFFFF"/>
          <w:lang w:eastAsia="en-GB"/>
        </w:rPr>
        <w:t xml:space="preserve">Department of Thoracic Medicine, </w:t>
      </w:r>
      <w:r w:rsidR="00644E0A">
        <w:rPr>
          <w:rFonts w:eastAsia="Times New Roman"/>
          <w:color w:val="000000" w:themeColor="text1"/>
          <w:shd w:val="clear" w:color="auto" w:fill="FFFFFF"/>
          <w:lang w:eastAsia="en-GB"/>
        </w:rPr>
        <w:t xml:space="preserve">Aintree Hospital, </w:t>
      </w:r>
      <w:r>
        <w:rPr>
          <w:rFonts w:eastAsia="Times New Roman"/>
          <w:color w:val="000000" w:themeColor="text1"/>
          <w:shd w:val="clear" w:color="auto" w:fill="FFFFFF"/>
          <w:lang w:eastAsia="en-GB"/>
        </w:rPr>
        <w:t>Liverpool University Hospitals NHS Foundation Trust, Liverpool, UK</w:t>
      </w:r>
    </w:p>
    <w:p w14:paraId="6A9AD714" w14:textId="02FBC152" w:rsidR="003D36AD" w:rsidRDefault="003D36AD" w:rsidP="000360D3">
      <w:pPr>
        <w:widowControl w:val="0"/>
        <w:spacing w:before="100" w:beforeAutospacing="1" w:after="100" w:afterAutospacing="1" w:line="480" w:lineRule="auto"/>
        <w:rPr>
          <w:rFonts w:eastAsia="Times New Roman"/>
          <w:color w:val="000000" w:themeColor="text1"/>
          <w:shd w:val="clear" w:color="auto" w:fill="FFFFFF"/>
          <w:lang w:eastAsia="en-GB"/>
        </w:rPr>
      </w:pPr>
      <w:r w:rsidRPr="00744156">
        <w:rPr>
          <w:rFonts w:eastAsia="Times New Roman"/>
          <w:color w:val="000000" w:themeColor="text1"/>
          <w:shd w:val="clear" w:color="auto" w:fill="FFFFFF"/>
          <w:vertAlign w:val="superscript"/>
          <w:lang w:eastAsia="en-GB"/>
        </w:rPr>
        <w:t>3</w:t>
      </w:r>
      <w:r>
        <w:rPr>
          <w:rFonts w:eastAsia="Times New Roman"/>
          <w:color w:val="000000" w:themeColor="text1"/>
          <w:shd w:val="clear" w:color="auto" w:fill="FFFFFF"/>
          <w:lang w:eastAsia="en-GB"/>
        </w:rPr>
        <w:t>Tropical and Infectious Diseases Unit, Royal Liverpool Hospital, Liverpool University Hospitals NHS Foundation Trust, Liverpool, UK</w:t>
      </w:r>
    </w:p>
    <w:p w14:paraId="027D9F02" w14:textId="4305F84A" w:rsidR="00B74B32" w:rsidRPr="00B74B32" w:rsidRDefault="003D36AD" w:rsidP="000360D3">
      <w:pPr>
        <w:widowControl w:val="0"/>
        <w:spacing w:before="100" w:beforeAutospacing="1" w:after="100" w:afterAutospacing="1" w:line="480" w:lineRule="auto"/>
        <w:rPr>
          <w:rFonts w:eastAsia="Times New Roman"/>
          <w:color w:val="000000" w:themeColor="text1"/>
          <w:shd w:val="clear" w:color="auto" w:fill="FFFFFF"/>
          <w:lang w:eastAsia="en-GB"/>
        </w:rPr>
      </w:pPr>
      <w:r>
        <w:rPr>
          <w:rFonts w:eastAsia="Times New Roman"/>
          <w:color w:val="000000" w:themeColor="text1"/>
          <w:shd w:val="clear" w:color="auto" w:fill="FFFFFF"/>
          <w:vertAlign w:val="superscript"/>
          <w:lang w:eastAsia="en-GB"/>
        </w:rPr>
        <w:t>4</w:t>
      </w:r>
      <w:r w:rsidR="00644E0A">
        <w:rPr>
          <w:rFonts w:eastAsia="Times New Roman"/>
          <w:color w:val="000000" w:themeColor="text1"/>
          <w:shd w:val="clear" w:color="auto" w:fill="FFFFFF"/>
          <w:lang w:eastAsia="en-GB"/>
        </w:rPr>
        <w:t>Wythenshawe Hospital,</w:t>
      </w:r>
      <w:r w:rsidR="00644E0A" w:rsidRPr="00B74B32">
        <w:rPr>
          <w:rFonts w:eastAsia="Times New Roman"/>
          <w:color w:val="000000" w:themeColor="text1"/>
          <w:shd w:val="clear" w:color="auto" w:fill="FFFFFF"/>
          <w:lang w:eastAsia="en-GB"/>
        </w:rPr>
        <w:t xml:space="preserve"> </w:t>
      </w:r>
      <w:r w:rsidR="00644E0A">
        <w:rPr>
          <w:rFonts w:eastAsia="Times New Roman"/>
          <w:color w:val="000000" w:themeColor="text1"/>
          <w:shd w:val="clear" w:color="auto" w:fill="FFFFFF"/>
          <w:lang w:eastAsia="en-GB"/>
        </w:rPr>
        <w:t>M</w:t>
      </w:r>
      <w:r w:rsidR="00B74B32" w:rsidRPr="00B74B32">
        <w:rPr>
          <w:rFonts w:eastAsia="Times New Roman"/>
          <w:color w:val="000000" w:themeColor="text1"/>
          <w:shd w:val="clear" w:color="auto" w:fill="FFFFFF"/>
          <w:lang w:eastAsia="en-GB"/>
        </w:rPr>
        <w:t xml:space="preserve">anchester University NHS Foundation </w:t>
      </w:r>
      <w:r w:rsidR="00644E0A">
        <w:rPr>
          <w:rFonts w:eastAsia="Times New Roman"/>
          <w:color w:val="000000" w:themeColor="text1"/>
          <w:shd w:val="clear" w:color="auto" w:fill="FFFFFF"/>
          <w:lang w:eastAsia="en-GB"/>
        </w:rPr>
        <w:t>Trust, Manchester, UK</w:t>
      </w:r>
    </w:p>
    <w:p w14:paraId="2A1EE372" w14:textId="571314DC" w:rsidR="000360D3" w:rsidRDefault="003D36AD" w:rsidP="000360D3">
      <w:pPr>
        <w:widowControl w:val="0"/>
        <w:spacing w:before="100" w:beforeAutospacing="1" w:after="100" w:afterAutospacing="1" w:line="480" w:lineRule="auto"/>
        <w:rPr>
          <w:rFonts w:eastAsia="Times New Roman"/>
          <w:bCs/>
          <w:iCs/>
          <w:color w:val="000000" w:themeColor="text1"/>
          <w:shd w:val="clear" w:color="auto" w:fill="FFFFFF"/>
          <w:lang w:eastAsia="en-GB"/>
        </w:rPr>
      </w:pPr>
      <w:r>
        <w:rPr>
          <w:rFonts w:eastAsia="Times New Roman"/>
          <w:color w:val="000000" w:themeColor="text1"/>
          <w:shd w:val="clear" w:color="auto" w:fill="FFFFFF"/>
          <w:vertAlign w:val="superscript"/>
          <w:lang w:eastAsia="en-GB"/>
        </w:rPr>
        <w:t>5</w:t>
      </w:r>
      <w:r w:rsidR="00B74B32">
        <w:rPr>
          <w:rFonts w:eastAsia="Times New Roman"/>
          <w:color w:val="000000" w:themeColor="text1"/>
          <w:shd w:val="clear" w:color="auto" w:fill="FFFFFF"/>
          <w:lang w:eastAsia="en-GB"/>
        </w:rPr>
        <w:t>Division of Infection, Immunity and Respiratory Medicine, University of Manchester</w:t>
      </w:r>
    </w:p>
    <w:p w14:paraId="4C1019BE" w14:textId="77777777" w:rsidR="000360D3" w:rsidRPr="00F84F79" w:rsidRDefault="000360D3" w:rsidP="000360D3">
      <w:pPr>
        <w:widowControl w:val="0"/>
        <w:autoSpaceDE w:val="0"/>
        <w:autoSpaceDN w:val="0"/>
        <w:adjustRightInd w:val="0"/>
        <w:spacing w:after="240" w:line="480" w:lineRule="auto"/>
        <w:rPr>
          <w:rFonts w:cs="Times"/>
          <w:bCs/>
          <w:iCs/>
          <w:color w:val="000000"/>
          <w:sz w:val="20"/>
        </w:rPr>
      </w:pPr>
    </w:p>
    <w:p w14:paraId="20B86551" w14:textId="77777777" w:rsidR="000360D3" w:rsidRDefault="000360D3" w:rsidP="000360D3">
      <w:pPr>
        <w:widowControl w:val="0"/>
        <w:spacing w:before="100" w:beforeAutospacing="1" w:after="100" w:afterAutospacing="1" w:line="480" w:lineRule="auto"/>
        <w:rPr>
          <w:rFonts w:eastAsia="Times New Roman"/>
          <w:b/>
          <w:bCs/>
          <w:iCs/>
          <w:color w:val="000000" w:themeColor="text1"/>
          <w:shd w:val="clear" w:color="auto" w:fill="FFFFFF"/>
          <w:lang w:eastAsia="en-GB"/>
        </w:rPr>
      </w:pPr>
      <w:r>
        <w:rPr>
          <w:rFonts w:eastAsia="Times New Roman"/>
          <w:b/>
          <w:color w:val="000000" w:themeColor="text1"/>
          <w:shd w:val="clear" w:color="auto" w:fill="FFFFFF"/>
          <w:lang w:eastAsia="en-GB"/>
        </w:rPr>
        <w:t>Corresponding author:</w:t>
      </w:r>
    </w:p>
    <w:p w14:paraId="5D139F5A" w14:textId="0A162143" w:rsidR="000360D3" w:rsidRDefault="00B74B32" w:rsidP="000360D3">
      <w:pPr>
        <w:widowControl w:val="0"/>
        <w:spacing w:before="100" w:beforeAutospacing="1" w:after="100" w:afterAutospacing="1" w:line="480" w:lineRule="auto"/>
        <w:rPr>
          <w:rFonts w:eastAsia="Times New Roman"/>
          <w:bCs/>
          <w:iCs/>
          <w:color w:val="000000" w:themeColor="text1"/>
          <w:shd w:val="clear" w:color="auto" w:fill="FFFFFF"/>
          <w:lang w:eastAsia="en-GB"/>
        </w:rPr>
      </w:pPr>
      <w:r>
        <w:rPr>
          <w:rFonts w:eastAsia="Times New Roman"/>
          <w:color w:val="000000" w:themeColor="text1"/>
          <w:shd w:val="clear" w:color="auto" w:fill="FFFFFF"/>
          <w:lang w:eastAsia="en-GB"/>
        </w:rPr>
        <w:t xml:space="preserve">Dr Daniel G Wootton, </w:t>
      </w:r>
      <w:r w:rsidRPr="001B1CC7">
        <w:rPr>
          <w:rFonts w:eastAsia="Times New Roman"/>
          <w:color w:val="000000" w:themeColor="text1"/>
          <w:shd w:val="clear" w:color="auto" w:fill="FFFFFF"/>
          <w:lang w:eastAsia="en-GB"/>
        </w:rPr>
        <w:t>I</w:t>
      </w:r>
      <w:r w:rsidRPr="001B1CC7">
        <w:t xml:space="preserve">nstitute of Infection and Global Health, University of </w:t>
      </w:r>
      <w:r>
        <w:t>Liverpool, L69 7BE</w:t>
      </w:r>
    </w:p>
    <w:p w14:paraId="54D5321C" w14:textId="5F662E2B" w:rsidR="000360D3" w:rsidRPr="00D93805" w:rsidRDefault="000360D3" w:rsidP="000360D3">
      <w:pPr>
        <w:widowControl w:val="0"/>
        <w:spacing w:before="100" w:beforeAutospacing="1" w:after="100" w:afterAutospacing="1" w:line="480" w:lineRule="auto"/>
        <w:rPr>
          <w:rFonts w:eastAsia="Times New Roman"/>
          <w:bCs/>
          <w:iCs/>
          <w:color w:val="000000" w:themeColor="text1"/>
          <w:shd w:val="clear" w:color="auto" w:fill="FFFFFF"/>
          <w:lang w:eastAsia="en-GB"/>
        </w:rPr>
      </w:pPr>
      <w:r>
        <w:rPr>
          <w:rFonts w:eastAsia="Times New Roman"/>
          <w:color w:val="000000" w:themeColor="text1"/>
          <w:shd w:val="clear" w:color="auto" w:fill="FFFFFF"/>
          <w:lang w:eastAsia="en-GB"/>
        </w:rPr>
        <w:t xml:space="preserve">Email: </w:t>
      </w:r>
      <w:r w:rsidR="00B74B32">
        <w:rPr>
          <w:rFonts w:eastAsia="Times New Roman"/>
          <w:shd w:val="clear" w:color="auto" w:fill="FFFFFF"/>
          <w:lang w:eastAsia="en-GB"/>
        </w:rPr>
        <w:t>dwootton@liverpool.ac.uk</w:t>
      </w:r>
    </w:p>
    <w:p w14:paraId="11F04407" w14:textId="77777777" w:rsidR="000360D3" w:rsidRDefault="000360D3" w:rsidP="000360D3">
      <w:pPr>
        <w:widowControl w:val="0"/>
        <w:autoSpaceDE w:val="0"/>
        <w:autoSpaceDN w:val="0"/>
        <w:adjustRightInd w:val="0"/>
        <w:spacing w:after="240" w:line="480" w:lineRule="auto"/>
        <w:rPr>
          <w:rFonts w:eastAsia="Times New Roman"/>
          <w:b/>
          <w:bCs/>
          <w:iCs/>
          <w:color w:val="000000" w:themeColor="text1"/>
          <w:shd w:val="clear" w:color="auto" w:fill="FFFFFF"/>
          <w:lang w:eastAsia="en-GB"/>
        </w:rPr>
      </w:pPr>
    </w:p>
    <w:p w14:paraId="2BFB85C9" w14:textId="152E5C95" w:rsidR="000360D3" w:rsidRPr="00644E0A" w:rsidRDefault="000360D3" w:rsidP="00644E0A">
      <w:pPr>
        <w:widowControl w:val="0"/>
        <w:autoSpaceDE w:val="0"/>
        <w:autoSpaceDN w:val="0"/>
        <w:adjustRightInd w:val="0"/>
        <w:spacing w:after="240" w:line="480" w:lineRule="auto"/>
        <w:rPr>
          <w:bCs/>
          <w:iCs/>
          <w:color w:val="000000"/>
          <w:szCs w:val="32"/>
        </w:rPr>
      </w:pPr>
      <w:r w:rsidRPr="001B1CC7">
        <w:rPr>
          <w:rFonts w:eastAsia="Times New Roman"/>
          <w:b/>
          <w:color w:val="000000" w:themeColor="text1"/>
          <w:shd w:val="clear" w:color="auto" w:fill="FFFFFF"/>
          <w:lang w:eastAsia="en-GB"/>
        </w:rPr>
        <w:t>Keywords:</w:t>
      </w:r>
      <w:r>
        <w:rPr>
          <w:rFonts w:eastAsia="Times New Roman"/>
          <w:b/>
          <w:color w:val="000000" w:themeColor="text1"/>
          <w:shd w:val="clear" w:color="auto" w:fill="FFFFFF"/>
          <w:lang w:eastAsia="en-GB"/>
        </w:rPr>
        <w:t xml:space="preserve"> </w:t>
      </w:r>
      <w:r w:rsidR="00B74B32" w:rsidRPr="00B74B32">
        <w:rPr>
          <w:color w:val="000000"/>
          <w:szCs w:val="32"/>
        </w:rPr>
        <w:t>Hospital</w:t>
      </w:r>
      <w:r w:rsidRPr="00B74B32">
        <w:rPr>
          <w:color w:val="000000"/>
          <w:szCs w:val="32"/>
        </w:rPr>
        <w:t xml:space="preserve">-acquired pneumonia, </w:t>
      </w:r>
      <w:r w:rsidR="00B74B32">
        <w:rPr>
          <w:rFonts w:cs="Times"/>
          <w:color w:val="000000"/>
          <w:szCs w:val="32"/>
        </w:rPr>
        <w:t>g</w:t>
      </w:r>
      <w:r w:rsidR="00B74B32" w:rsidRPr="00B74B32">
        <w:rPr>
          <w:rFonts w:cs="Times"/>
          <w:color w:val="000000"/>
          <w:szCs w:val="32"/>
        </w:rPr>
        <w:t xml:space="preserve">uidelines, </w:t>
      </w:r>
      <w:r w:rsidR="00B74B32">
        <w:rPr>
          <w:rFonts w:cs="Times"/>
          <w:color w:val="000000"/>
          <w:szCs w:val="32"/>
        </w:rPr>
        <w:t>prescribing, antimicrobial</w:t>
      </w:r>
    </w:p>
    <w:p w14:paraId="6B483793" w14:textId="51576E83" w:rsidR="000360D3" w:rsidRPr="00B74B32" w:rsidRDefault="000360D3" w:rsidP="000360D3">
      <w:pPr>
        <w:widowControl w:val="0"/>
        <w:spacing w:before="100" w:beforeAutospacing="1" w:after="100" w:afterAutospacing="1" w:line="480" w:lineRule="auto"/>
        <w:rPr>
          <w:rFonts w:eastAsia="Times New Roman"/>
          <w:b/>
          <w:bCs/>
          <w:iCs/>
          <w:color w:val="000000" w:themeColor="text1"/>
          <w:shd w:val="clear" w:color="auto" w:fill="FFFFFF"/>
          <w:lang w:eastAsia="en-GB"/>
        </w:rPr>
      </w:pPr>
      <w:r w:rsidRPr="00B74B32">
        <w:rPr>
          <w:rFonts w:eastAsia="Times New Roman"/>
          <w:b/>
          <w:color w:val="000000" w:themeColor="text1"/>
          <w:shd w:val="clear" w:color="auto" w:fill="FFFFFF"/>
          <w:lang w:eastAsia="en-GB"/>
        </w:rPr>
        <w:t xml:space="preserve">Manuscript word count: </w:t>
      </w:r>
      <w:r w:rsidR="003D112C">
        <w:rPr>
          <w:rFonts w:eastAsia="Times New Roman"/>
          <w:b/>
          <w:color w:val="000000" w:themeColor="text1"/>
          <w:shd w:val="clear" w:color="auto" w:fill="FFFFFF"/>
          <w:lang w:eastAsia="en-GB"/>
        </w:rPr>
        <w:t>732</w:t>
      </w:r>
    </w:p>
    <w:p w14:paraId="2AC1698A" w14:textId="77777777" w:rsidR="00B74B32" w:rsidRDefault="00B74B32">
      <w:pPr>
        <w:rPr>
          <w:b/>
        </w:rPr>
      </w:pPr>
      <w:r>
        <w:rPr>
          <w:b/>
        </w:rPr>
        <w:br w:type="page"/>
      </w:r>
    </w:p>
    <w:p w14:paraId="699DD503" w14:textId="563FF76A" w:rsidR="002E23F2" w:rsidRDefault="009E284B" w:rsidP="00472BDC">
      <w:pPr>
        <w:jc w:val="both"/>
        <w:rPr>
          <w:rFonts w:cstheme="minorHAnsi"/>
        </w:rPr>
      </w:pPr>
      <w:r>
        <w:rPr>
          <w:b/>
        </w:rPr>
        <w:lastRenderedPageBreak/>
        <w:t>The challenge of a</w:t>
      </w:r>
      <w:r w:rsidR="002E23F2" w:rsidRPr="00472BDC">
        <w:rPr>
          <w:b/>
        </w:rPr>
        <w:t>ntimicrobial prescribing for hospital-acquired pneumonia</w:t>
      </w:r>
    </w:p>
    <w:p w14:paraId="6701BABD" w14:textId="44356EEC" w:rsidR="00E12917" w:rsidRDefault="00001C65" w:rsidP="00C30DD8">
      <w:pPr>
        <w:autoSpaceDE w:val="0"/>
        <w:autoSpaceDN w:val="0"/>
        <w:adjustRightInd w:val="0"/>
        <w:spacing w:line="240" w:lineRule="auto"/>
        <w:rPr>
          <w:rFonts w:cstheme="minorHAnsi"/>
        </w:rPr>
      </w:pPr>
      <w:r>
        <w:rPr>
          <w:rFonts w:cstheme="minorHAnsi"/>
        </w:rPr>
        <w:t>The</w:t>
      </w:r>
      <w:r w:rsidR="00DB3561">
        <w:rPr>
          <w:rFonts w:cstheme="minorHAnsi"/>
        </w:rPr>
        <w:t xml:space="preserve"> </w:t>
      </w:r>
      <w:r w:rsidR="009E10F0">
        <w:rPr>
          <w:rFonts w:cstheme="minorHAnsi"/>
        </w:rPr>
        <w:t xml:space="preserve">influential </w:t>
      </w:r>
      <w:r w:rsidR="00DB3561">
        <w:rPr>
          <w:rFonts w:cstheme="minorHAnsi"/>
        </w:rPr>
        <w:t xml:space="preserve">UK </w:t>
      </w:r>
      <w:r w:rsidR="00A01F5E">
        <w:rPr>
          <w:rFonts w:cstheme="minorHAnsi"/>
        </w:rPr>
        <w:t xml:space="preserve">National Institute for Health </w:t>
      </w:r>
      <w:r w:rsidR="00AC54E3">
        <w:rPr>
          <w:rFonts w:cstheme="minorHAnsi"/>
        </w:rPr>
        <w:t>and Care Excellence (NICE) have</w:t>
      </w:r>
      <w:r w:rsidR="00A01F5E">
        <w:rPr>
          <w:rFonts w:cstheme="minorHAnsi"/>
        </w:rPr>
        <w:t xml:space="preserve"> recently published Hospital Acquired Pneumonia (HAP) prescribing guidelines.</w:t>
      </w:r>
      <w:r>
        <w:rPr>
          <w:rFonts w:cstheme="minorHAnsi"/>
        </w:rPr>
        <w:fldChar w:fldCharType="begin"/>
      </w:r>
      <w:r>
        <w:rPr>
          <w:rFonts w:cstheme="minorHAnsi"/>
        </w:rPr>
        <w:instrText>ADDIN RW.CITE{{3446 [NoInformation] 2019}}</w:instrText>
      </w:r>
      <w:r>
        <w:rPr>
          <w:rFonts w:cstheme="minorHAnsi"/>
        </w:rPr>
        <w:fldChar w:fldCharType="separate"/>
      </w:r>
      <w:r w:rsidRPr="00001C65">
        <w:rPr>
          <w:rFonts w:ascii="Calibri" w:hAnsi="Calibri" w:cs="Calibri"/>
          <w:bCs/>
          <w:lang w:val="en-US"/>
        </w:rPr>
        <w:t>[1]</w:t>
      </w:r>
      <w:r>
        <w:rPr>
          <w:rFonts w:cstheme="minorHAnsi"/>
        </w:rPr>
        <w:fldChar w:fldCharType="end"/>
      </w:r>
      <w:r w:rsidR="00A01F5E">
        <w:rPr>
          <w:rFonts w:cstheme="minorHAnsi"/>
        </w:rPr>
        <w:t xml:space="preserve"> </w:t>
      </w:r>
      <w:r w:rsidR="009E10F0">
        <w:rPr>
          <w:rFonts w:cstheme="minorHAnsi"/>
        </w:rPr>
        <w:t>The recognition is</w:t>
      </w:r>
      <w:r w:rsidR="009E284B">
        <w:rPr>
          <w:rFonts w:cstheme="minorHAnsi"/>
        </w:rPr>
        <w:t xml:space="preserve"> welcome</w:t>
      </w:r>
      <w:r w:rsidR="009E10F0">
        <w:rPr>
          <w:rFonts w:cstheme="minorHAnsi"/>
        </w:rPr>
        <w:t xml:space="preserve"> since</w:t>
      </w:r>
      <w:r w:rsidR="009B5C4C">
        <w:rPr>
          <w:rFonts w:cstheme="minorHAnsi"/>
        </w:rPr>
        <w:t xml:space="preserve"> HAP </w:t>
      </w:r>
      <w:r w:rsidR="00C84E38">
        <w:rPr>
          <w:rFonts w:cstheme="minorHAnsi"/>
        </w:rPr>
        <w:t xml:space="preserve">is responsible for more deaths and </w:t>
      </w:r>
      <w:r w:rsidR="00C30DD8">
        <w:rPr>
          <w:rFonts w:cstheme="minorHAnsi"/>
        </w:rPr>
        <w:t xml:space="preserve">greater </w:t>
      </w:r>
      <w:r w:rsidR="00C84E38">
        <w:rPr>
          <w:rFonts w:cstheme="minorHAnsi"/>
        </w:rPr>
        <w:t xml:space="preserve">morbidity than other </w:t>
      </w:r>
      <w:r w:rsidR="00A71443">
        <w:rPr>
          <w:rFonts w:cstheme="minorHAnsi"/>
        </w:rPr>
        <w:t>Healthcare Associated Infection</w:t>
      </w:r>
      <w:r w:rsidR="008F712E">
        <w:rPr>
          <w:rFonts w:cstheme="minorHAnsi"/>
        </w:rPr>
        <w:t>s</w:t>
      </w:r>
      <w:bookmarkStart w:id="0" w:name="_GoBack"/>
      <w:bookmarkEnd w:id="0"/>
      <w:r w:rsidR="00145E7D">
        <w:rPr>
          <w:rFonts w:cstheme="minorHAnsi"/>
        </w:rPr>
        <w:t xml:space="preserve"> </w:t>
      </w:r>
      <w:r w:rsidR="00C84E38">
        <w:rPr>
          <w:rFonts w:cstheme="minorHAnsi"/>
        </w:rPr>
        <w:t>(</w:t>
      </w:r>
      <w:r w:rsidR="00145E7D">
        <w:rPr>
          <w:rFonts w:cstheme="minorHAnsi"/>
        </w:rPr>
        <w:t>HCAIs</w:t>
      </w:r>
      <w:r w:rsidR="00C84E38">
        <w:rPr>
          <w:rFonts w:cstheme="minorHAnsi"/>
        </w:rPr>
        <w:t>)</w:t>
      </w:r>
      <w:r w:rsidR="00A01F5E">
        <w:rPr>
          <w:rFonts w:cstheme="minorHAnsi"/>
        </w:rPr>
        <w:t xml:space="preserve"> </w:t>
      </w:r>
      <w:r w:rsidR="00E12917">
        <w:rPr>
          <w:rFonts w:cstheme="minorHAnsi"/>
        </w:rPr>
        <w:t>with</w:t>
      </w:r>
      <w:r w:rsidR="00A01F5E">
        <w:rPr>
          <w:rFonts w:cstheme="minorHAnsi"/>
        </w:rPr>
        <w:t xml:space="preserve"> </w:t>
      </w:r>
      <w:r w:rsidR="009B5C4C">
        <w:rPr>
          <w:rFonts w:cstheme="minorHAnsi"/>
        </w:rPr>
        <w:t xml:space="preserve">an </w:t>
      </w:r>
      <w:r w:rsidR="009E284B">
        <w:rPr>
          <w:rFonts w:cstheme="minorHAnsi"/>
        </w:rPr>
        <w:t xml:space="preserve">estimated </w:t>
      </w:r>
      <w:r w:rsidR="00A01F5E">
        <w:rPr>
          <w:rFonts w:cstheme="minorHAnsi"/>
        </w:rPr>
        <w:t>in-hospital</w:t>
      </w:r>
      <w:r w:rsidR="009E284B">
        <w:rPr>
          <w:rFonts w:cstheme="minorHAnsi"/>
        </w:rPr>
        <w:t xml:space="preserve"> mortality</w:t>
      </w:r>
      <w:r w:rsidR="00145E7D">
        <w:rPr>
          <w:rFonts w:cstheme="minorHAnsi"/>
        </w:rPr>
        <w:t xml:space="preserve"> </w:t>
      </w:r>
      <w:r w:rsidR="00BC1479">
        <w:rPr>
          <w:rFonts w:cstheme="minorHAnsi"/>
        </w:rPr>
        <w:t>between 18 and 29%.</w:t>
      </w:r>
      <w:r w:rsidR="00BC1479">
        <w:rPr>
          <w:rFonts w:cstheme="minorHAnsi"/>
        </w:rPr>
        <w:fldChar w:fldCharType="begin"/>
      </w:r>
      <w:r w:rsidR="00A01F5E">
        <w:rPr>
          <w:rFonts w:cstheme="minorHAnsi"/>
        </w:rPr>
        <w:instrText>ADDIN RW.CITE{{3363 Sopena,N. 2005; 3355 Burton,L.A. 2016; 3338 Cassini,A. 2016}}</w:instrText>
      </w:r>
      <w:r w:rsidR="00BC1479">
        <w:rPr>
          <w:rFonts w:cstheme="minorHAnsi"/>
        </w:rPr>
        <w:fldChar w:fldCharType="separate"/>
      </w:r>
      <w:r w:rsidRPr="00001C65">
        <w:rPr>
          <w:rFonts w:ascii="Calibri" w:hAnsi="Calibri" w:cs="Calibri"/>
          <w:bCs/>
          <w:lang w:val="en-US"/>
        </w:rPr>
        <w:t>[2-4]</w:t>
      </w:r>
      <w:r w:rsidR="00BC1479">
        <w:rPr>
          <w:rFonts w:cstheme="minorHAnsi"/>
        </w:rPr>
        <w:fldChar w:fldCharType="end"/>
      </w:r>
      <w:r w:rsidR="00830274">
        <w:rPr>
          <w:rFonts w:cstheme="minorHAnsi"/>
        </w:rPr>
        <w:t xml:space="preserve"> </w:t>
      </w:r>
    </w:p>
    <w:p w14:paraId="42F4770C" w14:textId="6D310917" w:rsidR="003D112C" w:rsidRPr="003D112C" w:rsidRDefault="003D112C" w:rsidP="003D112C">
      <w:pPr>
        <w:autoSpaceDE w:val="0"/>
        <w:autoSpaceDN w:val="0"/>
        <w:adjustRightInd w:val="0"/>
        <w:spacing w:before="240" w:line="240" w:lineRule="auto"/>
        <w:rPr>
          <w:rFonts w:cstheme="minorHAnsi"/>
        </w:rPr>
      </w:pPr>
      <w:r>
        <w:rPr>
          <w:rFonts w:cstheme="minorHAnsi"/>
        </w:rPr>
        <w:t xml:space="preserve">NICE bemoan the lack </w:t>
      </w:r>
      <w:r w:rsidRPr="00800A68">
        <w:rPr>
          <w:rFonts w:cstheme="minorHAnsi"/>
        </w:rPr>
        <w:t>of evi</w:t>
      </w:r>
      <w:r>
        <w:rPr>
          <w:rFonts w:cstheme="minorHAnsi"/>
        </w:rPr>
        <w:t>dence</w:t>
      </w:r>
      <w:r w:rsidRPr="00800A68">
        <w:rPr>
          <w:rFonts w:cstheme="minorHAnsi"/>
        </w:rPr>
        <w:t xml:space="preserve"> to </w:t>
      </w:r>
      <w:r>
        <w:rPr>
          <w:rFonts w:cstheme="minorHAnsi"/>
        </w:rPr>
        <w:t>support their recommendations and these frustrations echo the sentiments of recent American and European HAP guidelines.</w:t>
      </w:r>
      <w:r>
        <w:rPr>
          <w:rFonts w:cstheme="minorHAnsi"/>
        </w:rPr>
        <w:fldChar w:fldCharType="begin"/>
      </w:r>
      <w:r>
        <w:rPr>
          <w:rFonts w:cstheme="minorHAnsi"/>
        </w:rPr>
        <w:instrText>ADDIN RW.CITE{{3342 Kalil,A.C. 2016; 3341 Torres,A. 2017}}</w:instrText>
      </w:r>
      <w:r>
        <w:rPr>
          <w:rFonts w:cstheme="minorHAnsi"/>
        </w:rPr>
        <w:fldChar w:fldCharType="separate"/>
      </w:r>
      <w:r w:rsidRPr="003D112C">
        <w:rPr>
          <w:rFonts w:ascii="Calibri" w:hAnsi="Calibri" w:cs="Calibri"/>
          <w:bCs/>
          <w:lang w:val="en-US"/>
        </w:rPr>
        <w:t>[5,6]</w:t>
      </w:r>
      <w:r>
        <w:rPr>
          <w:rFonts w:cstheme="minorHAnsi"/>
        </w:rPr>
        <w:fldChar w:fldCharType="end"/>
      </w:r>
      <w:r w:rsidRPr="00A72A44">
        <w:rPr>
          <w:rFonts w:cstheme="minorHAnsi"/>
          <w:iCs/>
          <w:color w:val="282828"/>
        </w:rPr>
        <w:t xml:space="preserve"> </w:t>
      </w:r>
      <w:r w:rsidRPr="00800A68">
        <w:rPr>
          <w:rFonts w:cstheme="minorHAnsi"/>
          <w:iCs/>
          <w:color w:val="282828"/>
        </w:rPr>
        <w:t>No systematic revie</w:t>
      </w:r>
      <w:r>
        <w:rPr>
          <w:rFonts w:cstheme="minorHAnsi"/>
          <w:iCs/>
          <w:color w:val="282828"/>
        </w:rPr>
        <w:t xml:space="preserve">ws of HAP management are available and only 9 trials met NICE criteria. The UK </w:t>
      </w:r>
      <w:r w:rsidRPr="00800A68">
        <w:rPr>
          <w:rFonts w:cstheme="minorHAnsi"/>
          <w:iCs/>
          <w:color w:val="282828"/>
        </w:rPr>
        <w:t>contribut</w:t>
      </w:r>
      <w:r>
        <w:rPr>
          <w:rFonts w:cstheme="minorHAnsi"/>
          <w:iCs/>
          <w:color w:val="282828"/>
        </w:rPr>
        <w:t>ed</w:t>
      </w:r>
      <w:r w:rsidRPr="00800A68">
        <w:rPr>
          <w:rFonts w:cstheme="minorHAnsi"/>
          <w:iCs/>
          <w:color w:val="282828"/>
        </w:rPr>
        <w:t xml:space="preserve"> </w:t>
      </w:r>
      <w:r>
        <w:rPr>
          <w:rFonts w:cstheme="minorHAnsi"/>
          <w:iCs/>
          <w:color w:val="282828"/>
        </w:rPr>
        <w:t>a total of 10 patients to the evidence base.</w:t>
      </w:r>
      <w:r w:rsidRPr="00B1407A">
        <w:rPr>
          <w:rFonts w:cstheme="minorHAnsi"/>
          <w:iCs/>
          <w:color w:val="282828"/>
        </w:rPr>
        <w:fldChar w:fldCharType="begin"/>
      </w:r>
      <w:r w:rsidRPr="00472BDC">
        <w:rPr>
          <w:rFonts w:cstheme="minorHAnsi"/>
          <w:iCs/>
          <w:color w:val="282828"/>
        </w:rPr>
        <w:instrText>ADDIN RW.CITE{{3443 Torres,A. 2018}}</w:instrText>
      </w:r>
      <w:r w:rsidRPr="00B1407A">
        <w:rPr>
          <w:rFonts w:cstheme="minorHAnsi"/>
          <w:iCs/>
          <w:color w:val="282828"/>
        </w:rPr>
        <w:fldChar w:fldCharType="separate"/>
      </w:r>
      <w:r w:rsidRPr="003D112C">
        <w:rPr>
          <w:rFonts w:ascii="Calibri" w:hAnsi="Calibri" w:cs="Calibri"/>
          <w:bCs/>
          <w:iCs/>
          <w:color w:val="282828"/>
          <w:lang w:val="en-US"/>
        </w:rPr>
        <w:t>[7]</w:t>
      </w:r>
      <w:r w:rsidRPr="00B1407A">
        <w:rPr>
          <w:rFonts w:cstheme="minorHAnsi"/>
          <w:iCs/>
          <w:color w:val="282828"/>
        </w:rPr>
        <w:fldChar w:fldCharType="end"/>
      </w:r>
      <w:r w:rsidRPr="005D1550">
        <w:rPr>
          <w:rFonts w:cstheme="minorHAnsi"/>
          <w:iCs/>
          <w:color w:val="282828"/>
        </w:rPr>
        <w:t xml:space="preserve"> </w:t>
      </w:r>
      <w:r>
        <w:rPr>
          <w:rFonts w:cstheme="minorHAnsi"/>
          <w:iCs/>
          <w:color w:val="282828"/>
        </w:rPr>
        <w:t>Extrapolating evidence from multi-centre clinical trials which recruited from multiple countries with markedly varying HAP aetiological and antimicrobial resistance profiles, is fraught with difficulty. Reflecting this, the guidelines recognise the importance of local antibiograms, even to the level of individual wards and m</w:t>
      </w:r>
      <w:r>
        <w:rPr>
          <w:rFonts w:cstheme="minorHAnsi"/>
        </w:rPr>
        <w:t xml:space="preserve">any of NICE’s </w:t>
      </w:r>
      <w:r>
        <w:rPr>
          <w:rFonts w:cstheme="minorHAnsi"/>
          <w:iCs/>
          <w:color w:val="282828"/>
        </w:rPr>
        <w:t>suggestions represent an attempt to provide pragmatic advice.</w:t>
      </w:r>
      <w:r w:rsidRPr="00800A68">
        <w:rPr>
          <w:rFonts w:cstheme="minorHAnsi"/>
          <w:iCs/>
          <w:color w:val="282828"/>
        </w:rPr>
        <w:t xml:space="preserve"> </w:t>
      </w:r>
      <w:r>
        <w:rPr>
          <w:rFonts w:cstheme="minorHAnsi"/>
        </w:rPr>
        <w:t>For example, although</w:t>
      </w:r>
      <w:r w:rsidRPr="00DB0906">
        <w:rPr>
          <w:rFonts w:cstheme="minorHAnsi"/>
        </w:rPr>
        <w:t xml:space="preserve"> </w:t>
      </w:r>
      <w:r w:rsidRPr="00DB0906">
        <w:rPr>
          <w:rFonts w:cstheme="minorHAnsi"/>
          <w:iCs/>
          <w:color w:val="282828"/>
        </w:rPr>
        <w:t>"</w:t>
      </w:r>
      <w:r w:rsidRPr="00DB0906">
        <w:rPr>
          <w:rFonts w:cstheme="minorHAnsi"/>
        </w:rPr>
        <w:t>no suitable studies examining the timing of antibiotic admini</w:t>
      </w:r>
      <w:r>
        <w:rPr>
          <w:rFonts w:cstheme="minorHAnsi"/>
        </w:rPr>
        <w:t xml:space="preserve">stration in HAP were available” NICE suggests </w:t>
      </w:r>
      <w:r w:rsidRPr="00DB0906">
        <w:rPr>
          <w:rFonts w:cstheme="minorHAnsi"/>
        </w:rPr>
        <w:t>antibiotics are administered within 4 hours of x-ra</w:t>
      </w:r>
      <w:r>
        <w:rPr>
          <w:rFonts w:cstheme="minorHAnsi"/>
        </w:rPr>
        <w:t>y confirmation of HAP which would allow pre-antibiotic, diagnostic specimens to be obtained.</w:t>
      </w:r>
      <w:r>
        <w:rPr>
          <w:rFonts w:cstheme="minorHAnsi"/>
          <w:iCs/>
          <w:color w:val="282828"/>
        </w:rPr>
        <w:t xml:space="preserve"> </w:t>
      </w:r>
    </w:p>
    <w:p w14:paraId="0FDF68FA" w14:textId="469077D0" w:rsidR="005D1550" w:rsidRDefault="005D1550" w:rsidP="00346D1E">
      <w:pPr>
        <w:autoSpaceDE w:val="0"/>
        <w:autoSpaceDN w:val="0"/>
        <w:adjustRightInd w:val="0"/>
        <w:spacing w:line="240" w:lineRule="auto"/>
        <w:rPr>
          <w:rFonts w:cstheme="minorHAnsi"/>
        </w:rPr>
      </w:pPr>
      <w:r>
        <w:rPr>
          <w:rFonts w:cstheme="minorHAnsi"/>
          <w:color w:val="282828"/>
        </w:rPr>
        <w:t>A central tenet of</w:t>
      </w:r>
      <w:r w:rsidR="00D41781">
        <w:rPr>
          <w:rFonts w:cstheme="minorHAnsi"/>
          <w:color w:val="282828"/>
        </w:rPr>
        <w:t xml:space="preserve"> antibiotic p</w:t>
      </w:r>
      <w:r w:rsidR="00175625">
        <w:rPr>
          <w:rFonts w:cstheme="minorHAnsi"/>
          <w:color w:val="282828"/>
        </w:rPr>
        <w:t>rescribing is to understand</w:t>
      </w:r>
      <w:r w:rsidR="00D41781">
        <w:rPr>
          <w:rFonts w:cstheme="minorHAnsi"/>
          <w:color w:val="282828"/>
        </w:rPr>
        <w:t xml:space="preserve"> local epidemiology and studies have demonstrated major differ</w:t>
      </w:r>
      <w:r w:rsidR="00ED4F69">
        <w:rPr>
          <w:rFonts w:cstheme="minorHAnsi"/>
          <w:color w:val="282828"/>
        </w:rPr>
        <w:t xml:space="preserve">ences in the rates of </w:t>
      </w:r>
      <w:r w:rsidR="00346D1E">
        <w:rPr>
          <w:rFonts w:cstheme="minorHAnsi"/>
          <w:color w:val="282828"/>
        </w:rPr>
        <w:t xml:space="preserve">pneumonia </w:t>
      </w:r>
      <w:r w:rsidR="00ED4F69">
        <w:rPr>
          <w:rFonts w:cstheme="minorHAnsi"/>
          <w:color w:val="282828"/>
        </w:rPr>
        <w:t>pathogens and resistance at national and continental level.</w:t>
      </w:r>
      <w:r w:rsidR="00744156">
        <w:rPr>
          <w:rFonts w:cstheme="minorHAnsi"/>
          <w:color w:val="282828"/>
        </w:rPr>
        <w:fldChar w:fldCharType="begin"/>
      </w:r>
      <w:r w:rsidR="00744156">
        <w:rPr>
          <w:rFonts w:cstheme="minorHAnsi"/>
          <w:color w:val="282828"/>
        </w:rPr>
        <w:instrText>ADDIN RW.CITE{{3445 Aston,S.J. 2019}}</w:instrText>
      </w:r>
      <w:r w:rsidR="00744156">
        <w:rPr>
          <w:rFonts w:cstheme="minorHAnsi"/>
          <w:color w:val="282828"/>
        </w:rPr>
        <w:fldChar w:fldCharType="separate"/>
      </w:r>
      <w:r w:rsidR="003D112C" w:rsidRPr="003D112C">
        <w:rPr>
          <w:rFonts w:ascii="Calibri" w:hAnsi="Calibri" w:cs="Calibri"/>
          <w:bCs/>
          <w:color w:val="282828"/>
          <w:lang w:val="en-US"/>
        </w:rPr>
        <w:t>[8]</w:t>
      </w:r>
      <w:r w:rsidR="00744156">
        <w:rPr>
          <w:rFonts w:cstheme="minorHAnsi"/>
          <w:color w:val="282828"/>
        </w:rPr>
        <w:fldChar w:fldCharType="end"/>
      </w:r>
      <w:r w:rsidR="00D41781">
        <w:rPr>
          <w:rFonts w:cstheme="minorHAnsi"/>
          <w:color w:val="282828"/>
        </w:rPr>
        <w:t xml:space="preserve"> </w:t>
      </w:r>
      <w:r w:rsidR="00744156">
        <w:rPr>
          <w:rFonts w:cstheme="minorHAnsi"/>
        </w:rPr>
        <w:t>E</w:t>
      </w:r>
      <w:r w:rsidR="00744156" w:rsidRPr="00862C81">
        <w:rPr>
          <w:rFonts w:cstheme="minorHAnsi"/>
        </w:rPr>
        <w:t>mpirical ant</w:t>
      </w:r>
      <w:r w:rsidR="00744156">
        <w:rPr>
          <w:rFonts w:cstheme="minorHAnsi"/>
        </w:rPr>
        <w:t xml:space="preserve">ibiotic choices must therefore balance adequate pathogen coverage with the increased risk of </w:t>
      </w:r>
      <w:r w:rsidR="00744156" w:rsidRPr="00547E0D">
        <w:rPr>
          <w:rFonts w:cstheme="minorHAnsi"/>
          <w:i/>
        </w:rPr>
        <w:t>Clostrid</w:t>
      </w:r>
      <w:r w:rsidR="00744156">
        <w:rPr>
          <w:rFonts w:cstheme="minorHAnsi"/>
          <w:i/>
        </w:rPr>
        <w:t>ioides</w:t>
      </w:r>
      <w:r w:rsidR="00744156" w:rsidRPr="00547E0D">
        <w:rPr>
          <w:rFonts w:cstheme="minorHAnsi"/>
          <w:i/>
        </w:rPr>
        <w:t xml:space="preserve"> difficile</w:t>
      </w:r>
      <w:r w:rsidR="00744156">
        <w:rPr>
          <w:rFonts w:cstheme="minorHAnsi"/>
        </w:rPr>
        <w:t>, death, and antimicrobial resistance attributed to some antibiotic classes.</w:t>
      </w:r>
      <w:r w:rsidR="0026482E">
        <w:rPr>
          <w:rFonts w:cstheme="minorHAnsi"/>
        </w:rPr>
        <w:fldChar w:fldCharType="begin"/>
      </w:r>
      <w:r w:rsidR="0026482E">
        <w:rPr>
          <w:rFonts w:cstheme="minorHAnsi"/>
        </w:rPr>
        <w:instrText>ADDIN RW.CITE{{3444 Webb,B.J. 2019}}</w:instrText>
      </w:r>
      <w:r w:rsidR="0026482E">
        <w:rPr>
          <w:rFonts w:cstheme="minorHAnsi"/>
        </w:rPr>
        <w:fldChar w:fldCharType="separate"/>
      </w:r>
      <w:r w:rsidR="003D112C" w:rsidRPr="003D112C">
        <w:rPr>
          <w:rFonts w:ascii="Calibri" w:hAnsi="Calibri" w:cs="Calibri"/>
          <w:bCs/>
          <w:lang w:val="en-US"/>
        </w:rPr>
        <w:t>[9]</w:t>
      </w:r>
      <w:r w:rsidR="0026482E">
        <w:rPr>
          <w:rFonts w:cstheme="minorHAnsi"/>
        </w:rPr>
        <w:fldChar w:fldCharType="end"/>
      </w:r>
      <w:r>
        <w:rPr>
          <w:rFonts w:cstheme="minorHAnsi"/>
        </w:rPr>
        <w:t xml:space="preserve"> </w:t>
      </w:r>
      <w:r w:rsidR="00744156">
        <w:rPr>
          <w:rFonts w:cstheme="minorHAnsi"/>
        </w:rPr>
        <w:t xml:space="preserve">In this context, </w:t>
      </w:r>
      <w:r w:rsidR="00372490">
        <w:rPr>
          <w:rFonts w:cstheme="minorHAnsi"/>
        </w:rPr>
        <w:t>NICE</w:t>
      </w:r>
      <w:r w:rsidR="009E284B">
        <w:rPr>
          <w:rFonts w:cstheme="minorHAnsi"/>
        </w:rPr>
        <w:t xml:space="preserve"> focus on</w:t>
      </w:r>
      <w:r w:rsidR="00E12917">
        <w:rPr>
          <w:rFonts w:cstheme="minorHAnsi"/>
        </w:rPr>
        <w:t xml:space="preserve"> antibiotic stewardship and rei</w:t>
      </w:r>
      <w:r w:rsidR="009E284B">
        <w:rPr>
          <w:rFonts w:cstheme="minorHAnsi"/>
        </w:rPr>
        <w:t>nforce the importance of diagnostic</w:t>
      </w:r>
      <w:r w:rsidR="00E12917">
        <w:rPr>
          <w:rFonts w:cstheme="minorHAnsi"/>
        </w:rPr>
        <w:t xml:space="preserve"> microbiological samples</w:t>
      </w:r>
      <w:r w:rsidR="00E12917" w:rsidRPr="00F60024">
        <w:rPr>
          <w:rFonts w:cstheme="minorHAnsi"/>
        </w:rPr>
        <w:t xml:space="preserve"> </w:t>
      </w:r>
      <w:r w:rsidR="00E12917">
        <w:rPr>
          <w:rFonts w:cstheme="minorHAnsi"/>
        </w:rPr>
        <w:t>such as sputum</w:t>
      </w:r>
      <w:r w:rsidR="00E12917" w:rsidRPr="00BB03C9">
        <w:rPr>
          <w:rFonts w:cstheme="minorHAnsi"/>
        </w:rPr>
        <w:t>, nasopharyngeal swab</w:t>
      </w:r>
      <w:r w:rsidR="00E12917">
        <w:rPr>
          <w:rFonts w:cstheme="minorHAnsi"/>
        </w:rPr>
        <w:t>s</w:t>
      </w:r>
      <w:r w:rsidR="00E12917" w:rsidRPr="00BB03C9">
        <w:rPr>
          <w:rFonts w:cstheme="minorHAnsi"/>
        </w:rPr>
        <w:t xml:space="preserve"> or tracheal</w:t>
      </w:r>
      <w:r w:rsidR="00E12917">
        <w:rPr>
          <w:rFonts w:cstheme="minorHAnsi"/>
        </w:rPr>
        <w:t xml:space="preserve"> </w:t>
      </w:r>
      <w:r w:rsidR="009E284B">
        <w:rPr>
          <w:rFonts w:cstheme="minorHAnsi"/>
        </w:rPr>
        <w:t>aspirates</w:t>
      </w:r>
      <w:r w:rsidR="00E12917">
        <w:rPr>
          <w:rFonts w:cstheme="minorHAnsi"/>
        </w:rPr>
        <w:t>.</w:t>
      </w:r>
      <w:r w:rsidR="00E12917" w:rsidRPr="00416AA9">
        <w:rPr>
          <w:rFonts w:cstheme="minorHAnsi"/>
        </w:rPr>
        <w:t xml:space="preserve"> </w:t>
      </w:r>
    </w:p>
    <w:p w14:paraId="07298E0C" w14:textId="73F520C6" w:rsidR="00511954" w:rsidRDefault="00437878" w:rsidP="00511954">
      <w:pPr>
        <w:autoSpaceDE w:val="0"/>
        <w:autoSpaceDN w:val="0"/>
        <w:adjustRightInd w:val="0"/>
        <w:spacing w:line="240" w:lineRule="auto"/>
        <w:rPr>
          <w:rFonts w:cstheme="minorHAnsi"/>
        </w:rPr>
      </w:pPr>
      <w:r>
        <w:rPr>
          <w:rFonts w:cstheme="minorHAnsi"/>
        </w:rPr>
        <w:t>The</w:t>
      </w:r>
      <w:r w:rsidR="00AD746D">
        <w:rPr>
          <w:rFonts w:cstheme="minorHAnsi"/>
        </w:rPr>
        <w:t>se</w:t>
      </w:r>
      <w:r w:rsidR="00175625">
        <w:rPr>
          <w:rFonts w:cstheme="minorHAnsi"/>
        </w:rPr>
        <w:t xml:space="preserve"> </w:t>
      </w:r>
      <w:r>
        <w:rPr>
          <w:rFonts w:cstheme="minorHAnsi"/>
        </w:rPr>
        <w:t>guidelines</w:t>
      </w:r>
      <w:r w:rsidR="00DF5166">
        <w:rPr>
          <w:rFonts w:cstheme="minorHAnsi"/>
        </w:rPr>
        <w:t xml:space="preserve"> triage</w:t>
      </w:r>
      <w:r w:rsidR="002E1071" w:rsidRPr="0012408C">
        <w:rPr>
          <w:rFonts w:cstheme="minorHAnsi"/>
        </w:rPr>
        <w:t xml:space="preserve"> patients into two groups</w:t>
      </w:r>
      <w:r w:rsidR="008064D1">
        <w:rPr>
          <w:rFonts w:cstheme="minorHAnsi"/>
        </w:rPr>
        <w:t xml:space="preserve"> based on clinical severity and the risk of resistant pathogens</w:t>
      </w:r>
      <w:r w:rsidR="002E1071" w:rsidRPr="0012408C">
        <w:rPr>
          <w:rFonts w:cstheme="minorHAnsi"/>
        </w:rPr>
        <w:t>.</w:t>
      </w:r>
      <w:r w:rsidR="005D1550">
        <w:rPr>
          <w:rFonts w:cstheme="minorHAnsi"/>
        </w:rPr>
        <w:t xml:space="preserve"> </w:t>
      </w:r>
      <w:r w:rsidR="00DF5166">
        <w:rPr>
          <w:rFonts w:cstheme="minorHAnsi"/>
        </w:rPr>
        <w:t>O</w:t>
      </w:r>
      <w:r w:rsidR="008064D1" w:rsidRPr="0012408C">
        <w:rPr>
          <w:rFonts w:cstheme="minorHAnsi"/>
        </w:rPr>
        <w:t xml:space="preserve">ral co-amoxiclav </w:t>
      </w:r>
      <w:r w:rsidR="00DF5166">
        <w:rPr>
          <w:rFonts w:cstheme="minorHAnsi"/>
        </w:rPr>
        <w:t>is recommended for</w:t>
      </w:r>
      <w:r w:rsidR="008064D1">
        <w:rPr>
          <w:rFonts w:cstheme="minorHAnsi"/>
        </w:rPr>
        <w:t xml:space="preserve"> </w:t>
      </w:r>
      <w:r w:rsidR="00D1489F">
        <w:rPr>
          <w:rFonts w:cstheme="minorHAnsi"/>
        </w:rPr>
        <w:t xml:space="preserve">adults </w:t>
      </w:r>
      <w:r w:rsidR="004A7550">
        <w:rPr>
          <w:rFonts w:cstheme="minorHAnsi"/>
        </w:rPr>
        <w:t xml:space="preserve">and children </w:t>
      </w:r>
      <w:r w:rsidR="00D1489F">
        <w:rPr>
          <w:rFonts w:cstheme="minorHAnsi"/>
        </w:rPr>
        <w:t>with</w:t>
      </w:r>
      <w:r w:rsidR="002E1071" w:rsidRPr="0012408C">
        <w:rPr>
          <w:rFonts w:cstheme="minorHAnsi"/>
        </w:rPr>
        <w:t xml:space="preserve"> low clinical severity and low risk of resistant bacteria. </w:t>
      </w:r>
      <w:r w:rsidR="00706211">
        <w:rPr>
          <w:rFonts w:cstheme="minorHAnsi"/>
          <w:color w:val="000000" w:themeColor="text1"/>
        </w:rPr>
        <w:t xml:space="preserve">Severity assessment is to be based on “clinical judgement” since there are </w:t>
      </w:r>
      <w:r w:rsidR="00706211" w:rsidRPr="00A51C63">
        <w:rPr>
          <w:rFonts w:cstheme="minorHAnsi"/>
          <w:color w:val="000000" w:themeColor="text1"/>
        </w:rPr>
        <w:t>“</w:t>
      </w:r>
      <w:r w:rsidR="00706211" w:rsidRPr="00A51C63">
        <w:rPr>
          <w:rFonts w:cstheme="minorHAnsi"/>
          <w:color w:val="282828"/>
        </w:rPr>
        <w:t>no val</w:t>
      </w:r>
      <w:r w:rsidR="00706211">
        <w:rPr>
          <w:rFonts w:cstheme="minorHAnsi"/>
          <w:color w:val="282828"/>
        </w:rPr>
        <w:t>idated severity assessment tools”. Resistance risk includes “…</w:t>
      </w:r>
      <w:r w:rsidR="00706211" w:rsidRPr="00A51C63">
        <w:rPr>
          <w:rFonts w:cstheme="minorHAnsi"/>
          <w:color w:val="282828"/>
        </w:rPr>
        <w:t>recent use of broad-spectrum anti</w:t>
      </w:r>
      <w:r w:rsidR="00706211">
        <w:rPr>
          <w:rFonts w:cstheme="minorHAnsi"/>
          <w:color w:val="282828"/>
        </w:rPr>
        <w:t>biotics”</w:t>
      </w:r>
      <w:r w:rsidR="00706211" w:rsidRPr="00A51C63">
        <w:rPr>
          <w:rFonts w:cstheme="minorHAnsi"/>
          <w:color w:val="282828"/>
        </w:rPr>
        <w:t xml:space="preserve"> </w:t>
      </w:r>
      <w:r w:rsidR="00706211">
        <w:rPr>
          <w:rFonts w:cstheme="minorHAnsi"/>
          <w:color w:val="282828"/>
        </w:rPr>
        <w:t>and “</w:t>
      </w:r>
      <w:r w:rsidR="00706211" w:rsidRPr="00A51C63">
        <w:rPr>
          <w:rFonts w:cstheme="minorHAnsi"/>
          <w:color w:val="282828"/>
        </w:rPr>
        <w:t>recent contact with health and social care s</w:t>
      </w:r>
      <w:r w:rsidR="00706211">
        <w:rPr>
          <w:rFonts w:cstheme="minorHAnsi"/>
          <w:color w:val="282828"/>
        </w:rPr>
        <w:t>ettings</w:t>
      </w:r>
      <w:r w:rsidR="00386A42">
        <w:rPr>
          <w:rFonts w:cstheme="minorHAnsi"/>
          <w:color w:val="282828"/>
        </w:rPr>
        <w:t>”.</w:t>
      </w:r>
      <w:r w:rsidR="00706211">
        <w:rPr>
          <w:rFonts w:cstheme="minorHAnsi"/>
          <w:color w:val="282828"/>
        </w:rPr>
        <w:t xml:space="preserve"> </w:t>
      </w:r>
      <w:r w:rsidR="00386A42">
        <w:rPr>
          <w:rFonts w:cstheme="minorHAnsi"/>
          <w:color w:val="282828"/>
        </w:rPr>
        <w:t>These descriptions are ambiguous and</w:t>
      </w:r>
      <w:r w:rsidR="00706211">
        <w:rPr>
          <w:rFonts w:cstheme="minorHAnsi"/>
          <w:color w:val="282828"/>
        </w:rPr>
        <w:t xml:space="preserve"> it is likely that local interpretation will result in the majority of patients being assigned to the higher risk algorithm where the</w:t>
      </w:r>
      <w:r w:rsidR="00E12917">
        <w:rPr>
          <w:rFonts w:cstheme="minorHAnsi"/>
        </w:rPr>
        <w:t xml:space="preserve"> </w:t>
      </w:r>
      <w:r w:rsidR="00750A46">
        <w:rPr>
          <w:rFonts w:cstheme="minorHAnsi"/>
        </w:rPr>
        <w:t xml:space="preserve">suggested </w:t>
      </w:r>
      <w:r w:rsidR="002E1071" w:rsidRPr="0012408C">
        <w:rPr>
          <w:rFonts w:cstheme="minorHAnsi"/>
        </w:rPr>
        <w:t xml:space="preserve">options </w:t>
      </w:r>
      <w:r w:rsidR="00E12917">
        <w:rPr>
          <w:rFonts w:cstheme="minorHAnsi"/>
        </w:rPr>
        <w:t>are</w:t>
      </w:r>
      <w:r w:rsidR="00DF5166">
        <w:rPr>
          <w:rFonts w:cstheme="minorHAnsi"/>
        </w:rPr>
        <w:t>:</w:t>
      </w:r>
      <w:r w:rsidR="00120429">
        <w:rPr>
          <w:rFonts w:cstheme="minorHAnsi"/>
        </w:rPr>
        <w:t xml:space="preserve"> piperacillin-</w:t>
      </w:r>
      <w:r w:rsidR="002E1071" w:rsidRPr="00B1407A">
        <w:rPr>
          <w:rFonts w:cstheme="minorHAnsi"/>
        </w:rPr>
        <w:t>tazobactam, ceftazidime, ceftriaxone, cefuroxime, meropenem, ceftazidime-avibact</w:t>
      </w:r>
      <w:r w:rsidR="00E12917">
        <w:rPr>
          <w:rFonts w:cstheme="minorHAnsi"/>
        </w:rPr>
        <w:t xml:space="preserve">am or levofloxacin. </w:t>
      </w:r>
      <w:r w:rsidR="00346D1E">
        <w:rPr>
          <w:rFonts w:cstheme="minorHAnsi"/>
          <w:color w:val="282828"/>
        </w:rPr>
        <w:t>This list is worthy of comment since N</w:t>
      </w:r>
      <w:r w:rsidR="004A7550">
        <w:rPr>
          <w:rFonts w:cstheme="minorHAnsi"/>
          <w:color w:val="282828"/>
        </w:rPr>
        <w:t>ICE recognise that high risk</w:t>
      </w:r>
      <w:r w:rsidR="00346D1E">
        <w:rPr>
          <w:rFonts w:cstheme="minorHAnsi"/>
          <w:color w:val="282828"/>
        </w:rPr>
        <w:t xml:space="preserve"> HAP </w:t>
      </w:r>
      <w:r w:rsidR="004A7550">
        <w:rPr>
          <w:rFonts w:cstheme="minorHAnsi"/>
          <w:color w:val="282828"/>
        </w:rPr>
        <w:t>is associated with</w:t>
      </w:r>
      <w:r w:rsidR="00346D1E">
        <w:rPr>
          <w:rFonts w:cstheme="minorHAnsi"/>
          <w:color w:val="282828"/>
        </w:rPr>
        <w:t xml:space="preserve"> </w:t>
      </w:r>
      <w:r w:rsidR="00346D1E" w:rsidRPr="00EA1624">
        <w:rPr>
          <w:rFonts w:cstheme="minorHAnsi"/>
          <w:i/>
          <w:color w:val="282828"/>
        </w:rPr>
        <w:t>Pseu</w:t>
      </w:r>
      <w:r w:rsidR="00346D1E" w:rsidRPr="00537D80">
        <w:rPr>
          <w:rFonts w:cstheme="minorHAnsi"/>
          <w:i/>
          <w:color w:val="282828"/>
        </w:rPr>
        <w:t>domonas aeruginosa</w:t>
      </w:r>
      <w:r w:rsidR="00346D1E" w:rsidRPr="00EA1624">
        <w:rPr>
          <w:rFonts w:cstheme="minorHAnsi"/>
          <w:color w:val="282828"/>
        </w:rPr>
        <w:t xml:space="preserve"> and </w:t>
      </w:r>
      <w:r w:rsidR="00346D1E">
        <w:rPr>
          <w:rFonts w:cstheme="minorHAnsi"/>
          <w:color w:val="282828"/>
        </w:rPr>
        <w:t>organisms carrying extended-spectrum beta-lactamases (ESBLs)</w:t>
      </w:r>
      <w:r w:rsidR="009B5C4C">
        <w:rPr>
          <w:rFonts w:cstheme="minorHAnsi"/>
          <w:color w:val="282828"/>
        </w:rPr>
        <w:t xml:space="preserve">. </w:t>
      </w:r>
      <w:r w:rsidR="00676929">
        <w:rPr>
          <w:rFonts w:cstheme="minorHAnsi"/>
          <w:color w:val="282828"/>
        </w:rPr>
        <w:t>However, t</w:t>
      </w:r>
      <w:r w:rsidR="00346D1E">
        <w:rPr>
          <w:rFonts w:cstheme="minorHAnsi"/>
          <w:color w:val="282828"/>
        </w:rPr>
        <w:t xml:space="preserve">he inclusion of agents such as ceftriaxone and cefuroxime, which lack activity against </w:t>
      </w:r>
      <w:r w:rsidR="009B5C4C" w:rsidRPr="00EA1624">
        <w:rPr>
          <w:rFonts w:cstheme="minorHAnsi"/>
          <w:i/>
          <w:color w:val="282828"/>
        </w:rPr>
        <w:t>P</w:t>
      </w:r>
      <w:r w:rsidR="00676929">
        <w:rPr>
          <w:rFonts w:cstheme="minorHAnsi"/>
          <w:i/>
          <w:color w:val="282828"/>
        </w:rPr>
        <w:t>.</w:t>
      </w:r>
      <w:r w:rsidR="009B5C4C" w:rsidRPr="00537D80">
        <w:rPr>
          <w:rFonts w:cstheme="minorHAnsi"/>
          <w:i/>
          <w:color w:val="282828"/>
        </w:rPr>
        <w:t xml:space="preserve"> aeruginosa</w:t>
      </w:r>
      <w:r w:rsidR="009B5C4C" w:rsidRPr="00EA1624">
        <w:rPr>
          <w:rFonts w:cstheme="minorHAnsi"/>
          <w:color w:val="282828"/>
        </w:rPr>
        <w:t xml:space="preserve"> and </w:t>
      </w:r>
      <w:r w:rsidR="009B5C4C">
        <w:rPr>
          <w:rFonts w:cstheme="minorHAnsi"/>
          <w:color w:val="282828"/>
        </w:rPr>
        <w:t>organisms carrying ESBLs</w:t>
      </w:r>
      <w:r w:rsidR="00346D1E">
        <w:rPr>
          <w:rFonts w:cstheme="minorHAnsi"/>
          <w:color w:val="282828"/>
        </w:rPr>
        <w:t>, is counterintuitive and does not adhere to the principle of “start smart, then focus”</w:t>
      </w:r>
      <w:r w:rsidR="00496508">
        <w:t>.</w:t>
      </w:r>
      <w:r w:rsidR="00496508">
        <w:fldChar w:fldCharType="begin"/>
      </w:r>
      <w:r w:rsidR="00496508">
        <w:instrText>ADDIN RW.CITE{{3447 [NoInformation] 2015}}</w:instrText>
      </w:r>
      <w:r w:rsidR="00496508">
        <w:fldChar w:fldCharType="separate"/>
      </w:r>
      <w:r w:rsidR="003D112C" w:rsidRPr="003D112C">
        <w:rPr>
          <w:rFonts w:ascii="Calibri" w:hAnsi="Calibri" w:cs="Calibri"/>
          <w:bCs/>
          <w:lang w:val="en-US"/>
        </w:rPr>
        <w:t>[10]</w:t>
      </w:r>
      <w:r w:rsidR="00496508">
        <w:fldChar w:fldCharType="end"/>
      </w:r>
      <w:r w:rsidR="005D1550">
        <w:t xml:space="preserve"> </w:t>
      </w:r>
      <w:r w:rsidR="005D1550">
        <w:rPr>
          <w:rFonts w:cstheme="minorHAnsi"/>
        </w:rPr>
        <w:t>T</w:t>
      </w:r>
      <w:r w:rsidR="00346D1E">
        <w:rPr>
          <w:rFonts w:cstheme="minorHAnsi"/>
          <w:color w:val="282828"/>
        </w:rPr>
        <w:t xml:space="preserve">he widespread usage of these agents risks further propagating the spread of </w:t>
      </w:r>
      <w:r w:rsidR="009B5C4C">
        <w:rPr>
          <w:rFonts w:cstheme="minorHAnsi"/>
          <w:color w:val="282828"/>
        </w:rPr>
        <w:t>ESBL</w:t>
      </w:r>
      <w:r w:rsidR="00346D1E">
        <w:rPr>
          <w:rFonts w:cstheme="minorHAnsi"/>
          <w:color w:val="282828"/>
        </w:rPr>
        <w:t xml:space="preserve"> and AmpC producing organisms, as well as exposing patients to an elevated risk of </w:t>
      </w:r>
      <w:r w:rsidR="00346D1E" w:rsidRPr="00EA1624">
        <w:rPr>
          <w:rFonts w:cstheme="minorHAnsi"/>
          <w:i/>
          <w:color w:val="282828"/>
        </w:rPr>
        <w:t xml:space="preserve">C. difficile </w:t>
      </w:r>
      <w:r w:rsidR="00346D1E">
        <w:rPr>
          <w:rFonts w:cstheme="minorHAnsi"/>
          <w:color w:val="282828"/>
        </w:rPr>
        <w:t>disease.</w:t>
      </w:r>
      <w:r w:rsidR="00AD746D">
        <w:rPr>
          <w:rFonts w:cstheme="minorHAnsi"/>
          <w:color w:val="282828"/>
        </w:rPr>
        <w:t xml:space="preserve"> </w:t>
      </w:r>
      <w:r w:rsidR="00D1489F">
        <w:rPr>
          <w:rFonts w:cstheme="minorHAnsi"/>
        </w:rPr>
        <w:t xml:space="preserve">NICE recommends antibiotics for </w:t>
      </w:r>
      <w:r w:rsidR="00D1489F" w:rsidRPr="00B1407A">
        <w:rPr>
          <w:rFonts w:cstheme="minorHAnsi"/>
        </w:rPr>
        <w:t>M</w:t>
      </w:r>
      <w:r w:rsidR="00D1489F">
        <w:rPr>
          <w:rFonts w:cstheme="minorHAnsi"/>
        </w:rPr>
        <w:t xml:space="preserve">ethicillin </w:t>
      </w:r>
      <w:r w:rsidR="00D1489F" w:rsidRPr="00B1407A">
        <w:rPr>
          <w:rFonts w:cstheme="minorHAnsi"/>
        </w:rPr>
        <w:t>R</w:t>
      </w:r>
      <w:r w:rsidR="00D1489F">
        <w:rPr>
          <w:rFonts w:cstheme="minorHAnsi"/>
        </w:rPr>
        <w:t xml:space="preserve">esistant </w:t>
      </w:r>
      <w:r w:rsidR="00D1489F" w:rsidRPr="00B1407A">
        <w:rPr>
          <w:rFonts w:cstheme="minorHAnsi"/>
        </w:rPr>
        <w:t>S</w:t>
      </w:r>
      <w:r w:rsidR="00D1489F">
        <w:rPr>
          <w:rFonts w:cstheme="minorHAnsi"/>
        </w:rPr>
        <w:t xml:space="preserve">taphylococcus </w:t>
      </w:r>
      <w:r w:rsidR="00D1489F" w:rsidRPr="00B1407A">
        <w:rPr>
          <w:rFonts w:cstheme="minorHAnsi"/>
        </w:rPr>
        <w:t>A</w:t>
      </w:r>
      <w:r w:rsidR="00D1489F">
        <w:rPr>
          <w:rFonts w:cstheme="minorHAnsi"/>
        </w:rPr>
        <w:t>ureus (MRSA) should only be considered in the presence of specific risk factors or when MRSA is confirmed</w:t>
      </w:r>
      <w:r w:rsidR="00D1489F" w:rsidRPr="00B1407A">
        <w:rPr>
          <w:rFonts w:cstheme="minorHAnsi"/>
        </w:rPr>
        <w:t xml:space="preserve">. </w:t>
      </w:r>
      <w:r w:rsidR="00A668F4">
        <w:rPr>
          <w:rFonts w:cstheme="minorHAnsi"/>
        </w:rPr>
        <w:t xml:space="preserve">This guidance reflects the </w:t>
      </w:r>
      <w:r w:rsidR="00DB0773">
        <w:rPr>
          <w:rFonts w:cstheme="minorHAnsi"/>
        </w:rPr>
        <w:t xml:space="preserve">comparatively </w:t>
      </w:r>
      <w:r w:rsidR="00A668F4">
        <w:rPr>
          <w:rFonts w:cstheme="minorHAnsi"/>
        </w:rPr>
        <w:t xml:space="preserve">low rates of MRSA pneumonia in the UK </w:t>
      </w:r>
      <w:r w:rsidR="00DB0773">
        <w:rPr>
          <w:rFonts w:cstheme="minorHAnsi"/>
        </w:rPr>
        <w:t xml:space="preserve">compared to other countries </w:t>
      </w:r>
      <w:r w:rsidR="00A668F4">
        <w:rPr>
          <w:rFonts w:cstheme="minorHAnsi"/>
        </w:rPr>
        <w:t xml:space="preserve">and is aimed </w:t>
      </w:r>
      <w:r w:rsidR="00FB0A45">
        <w:rPr>
          <w:rFonts w:cstheme="minorHAnsi"/>
        </w:rPr>
        <w:t>at avoiding unnecessary exposure to d</w:t>
      </w:r>
      <w:r w:rsidR="00DB0773">
        <w:rPr>
          <w:rFonts w:cstheme="minorHAnsi"/>
        </w:rPr>
        <w:t>rug toxicity associated with MR</w:t>
      </w:r>
      <w:r w:rsidR="00FB0A45">
        <w:rPr>
          <w:rFonts w:cstheme="minorHAnsi"/>
        </w:rPr>
        <w:t>S</w:t>
      </w:r>
      <w:r w:rsidR="00DB0773">
        <w:rPr>
          <w:rFonts w:cstheme="minorHAnsi"/>
        </w:rPr>
        <w:t>A</w:t>
      </w:r>
      <w:r w:rsidR="00FB0A45">
        <w:rPr>
          <w:rFonts w:cstheme="minorHAnsi"/>
        </w:rPr>
        <w:t xml:space="preserve"> treatment</w:t>
      </w:r>
      <w:r w:rsidR="00A668F4">
        <w:rPr>
          <w:rFonts w:cstheme="minorHAnsi"/>
        </w:rPr>
        <w:t>.</w:t>
      </w:r>
      <w:r w:rsidR="00DB0773">
        <w:rPr>
          <w:rFonts w:cstheme="minorHAnsi"/>
        </w:rPr>
        <w:fldChar w:fldCharType="begin"/>
      </w:r>
      <w:r w:rsidR="00DB0773">
        <w:rPr>
          <w:rFonts w:cstheme="minorHAnsi"/>
        </w:rPr>
        <w:instrText>ADDIN RW.CITE{{3448 Waterer,G.W. 2019; 3342 Kalil,A.C. 2016}}</w:instrText>
      </w:r>
      <w:r w:rsidR="00DB0773">
        <w:rPr>
          <w:rFonts w:cstheme="minorHAnsi"/>
        </w:rPr>
        <w:fldChar w:fldCharType="separate"/>
      </w:r>
      <w:r w:rsidR="003D112C" w:rsidRPr="003D112C">
        <w:rPr>
          <w:rFonts w:ascii="Calibri" w:hAnsi="Calibri" w:cs="Calibri"/>
          <w:bCs/>
          <w:lang w:val="en-US"/>
        </w:rPr>
        <w:t>[5,11]</w:t>
      </w:r>
      <w:r w:rsidR="00DB0773">
        <w:rPr>
          <w:rFonts w:cstheme="minorHAnsi"/>
        </w:rPr>
        <w:fldChar w:fldCharType="end"/>
      </w:r>
    </w:p>
    <w:p w14:paraId="57DDEC1A" w14:textId="7A8122F4" w:rsidR="009123B7" w:rsidRPr="009D0873" w:rsidRDefault="00706211" w:rsidP="00DB0906">
      <w:pPr>
        <w:autoSpaceDE w:val="0"/>
        <w:autoSpaceDN w:val="0"/>
        <w:adjustRightInd w:val="0"/>
        <w:spacing w:before="240" w:line="240" w:lineRule="auto"/>
        <w:rPr>
          <w:rFonts w:cstheme="minorHAnsi"/>
          <w:iCs/>
          <w:color w:val="282828"/>
        </w:rPr>
      </w:pPr>
      <w:r>
        <w:rPr>
          <w:rFonts w:cstheme="minorHAnsi"/>
        </w:rPr>
        <w:t>However, t</w:t>
      </w:r>
      <w:r w:rsidR="00437878">
        <w:rPr>
          <w:rFonts w:cstheme="minorHAnsi"/>
        </w:rPr>
        <w:t>he lack of</w:t>
      </w:r>
      <w:r w:rsidR="00803545">
        <w:rPr>
          <w:rFonts w:cstheme="minorHAnsi"/>
        </w:rPr>
        <w:t xml:space="preserve"> evidence</w:t>
      </w:r>
      <w:r w:rsidR="00437878">
        <w:rPr>
          <w:rFonts w:cstheme="minorHAnsi"/>
        </w:rPr>
        <w:t xml:space="preserve"> for some</w:t>
      </w:r>
      <w:r w:rsidR="00DB0906">
        <w:rPr>
          <w:rFonts w:cstheme="minorHAnsi"/>
        </w:rPr>
        <w:t xml:space="preserve"> recommendations</w:t>
      </w:r>
      <w:r w:rsidR="00437878">
        <w:rPr>
          <w:rFonts w:cstheme="minorHAnsi"/>
        </w:rPr>
        <w:t xml:space="preserve"> in this guideline risk</w:t>
      </w:r>
      <w:r w:rsidR="00AC54E3">
        <w:rPr>
          <w:rFonts w:cstheme="minorHAnsi"/>
        </w:rPr>
        <w:t>s</w:t>
      </w:r>
      <w:r w:rsidR="00DB0906">
        <w:rPr>
          <w:rFonts w:cstheme="minorHAnsi"/>
        </w:rPr>
        <w:t xml:space="preserve"> worsen</w:t>
      </w:r>
      <w:r w:rsidR="00437878">
        <w:rPr>
          <w:rFonts w:cstheme="minorHAnsi"/>
        </w:rPr>
        <w:t>ing</w:t>
      </w:r>
      <w:r w:rsidR="00DB0906">
        <w:rPr>
          <w:rFonts w:cstheme="minorHAnsi"/>
        </w:rPr>
        <w:t xml:space="preserve"> the already confusing system of pneumonia classification</w:t>
      </w:r>
      <w:r w:rsidR="00DB0906" w:rsidRPr="0012408C">
        <w:rPr>
          <w:rFonts w:cstheme="minorHAnsi"/>
        </w:rPr>
        <w:t>. NICE</w:t>
      </w:r>
      <w:r w:rsidR="00496260">
        <w:rPr>
          <w:rFonts w:cstheme="minorHAnsi"/>
        </w:rPr>
        <w:t xml:space="preserve"> </w:t>
      </w:r>
      <w:r w:rsidR="00DB0906">
        <w:rPr>
          <w:rFonts w:cstheme="minorHAnsi"/>
        </w:rPr>
        <w:t>recommend</w:t>
      </w:r>
      <w:r>
        <w:rPr>
          <w:rFonts w:cstheme="minorHAnsi"/>
        </w:rPr>
        <w:t>s</w:t>
      </w:r>
      <w:r w:rsidR="00506A5D">
        <w:rPr>
          <w:rFonts w:cstheme="minorHAnsi"/>
        </w:rPr>
        <w:t xml:space="preserve"> low-risk</w:t>
      </w:r>
      <w:r w:rsidR="00DB0906" w:rsidRPr="0012408C">
        <w:rPr>
          <w:rFonts w:cstheme="minorHAnsi"/>
          <w:iCs/>
          <w:color w:val="282828"/>
        </w:rPr>
        <w:t xml:space="preserve"> patients who develop HAP between </w:t>
      </w:r>
      <w:r w:rsidR="00803545">
        <w:rPr>
          <w:rFonts w:cstheme="minorHAnsi"/>
          <w:iCs/>
          <w:color w:val="282828"/>
        </w:rPr>
        <w:t>day three and five of</w:t>
      </w:r>
      <w:r w:rsidR="00DB0906">
        <w:rPr>
          <w:rFonts w:cstheme="minorHAnsi"/>
          <w:iCs/>
          <w:color w:val="282828"/>
        </w:rPr>
        <w:t xml:space="preserve"> </w:t>
      </w:r>
      <w:r w:rsidR="00DB0906" w:rsidRPr="0012408C">
        <w:rPr>
          <w:rFonts w:cstheme="minorHAnsi"/>
          <w:iCs/>
          <w:color w:val="282828"/>
        </w:rPr>
        <w:t xml:space="preserve">their admission should be empirically treated as per CAP guidelines. </w:t>
      </w:r>
      <w:r w:rsidR="00DB0906">
        <w:rPr>
          <w:rFonts w:cstheme="minorHAnsi"/>
          <w:iCs/>
          <w:color w:val="282828"/>
        </w:rPr>
        <w:t xml:space="preserve">This ambiguous situation – HAP being treated as CAP – adds to the current confusion stemming from the </w:t>
      </w:r>
      <w:r w:rsidR="00496260">
        <w:rPr>
          <w:rFonts w:cstheme="minorHAnsi"/>
          <w:iCs/>
          <w:color w:val="282828"/>
        </w:rPr>
        <w:t>2009 British Thoracic Society</w:t>
      </w:r>
      <w:r w:rsidR="00DB0906" w:rsidRPr="0012408C">
        <w:rPr>
          <w:rFonts w:cstheme="minorHAnsi"/>
          <w:iCs/>
          <w:color w:val="282828"/>
        </w:rPr>
        <w:t xml:space="preserve"> CAP</w:t>
      </w:r>
      <w:r w:rsidR="00496260">
        <w:rPr>
          <w:rFonts w:cstheme="minorHAnsi"/>
          <w:iCs/>
          <w:color w:val="282828"/>
        </w:rPr>
        <w:t xml:space="preserve"> guidelines</w:t>
      </w:r>
      <w:r w:rsidR="009123B7">
        <w:rPr>
          <w:rFonts w:cstheme="minorHAnsi"/>
          <w:iCs/>
          <w:color w:val="282828"/>
        </w:rPr>
        <w:t>.</w:t>
      </w:r>
      <w:r w:rsidR="00803545">
        <w:rPr>
          <w:rFonts w:cstheme="minorHAnsi"/>
          <w:iCs/>
          <w:color w:val="282828"/>
        </w:rPr>
        <w:fldChar w:fldCharType="begin"/>
      </w:r>
      <w:r w:rsidR="00803545">
        <w:rPr>
          <w:rFonts w:cstheme="minorHAnsi"/>
          <w:iCs/>
          <w:color w:val="282828"/>
        </w:rPr>
        <w:instrText>ADDIN RW.CITE{{2458 Lim,WS. 2009}}</w:instrText>
      </w:r>
      <w:r w:rsidR="00803545">
        <w:rPr>
          <w:rFonts w:cstheme="minorHAnsi"/>
          <w:iCs/>
          <w:color w:val="282828"/>
        </w:rPr>
        <w:fldChar w:fldCharType="separate"/>
      </w:r>
      <w:r w:rsidR="00DB0773" w:rsidRPr="00DB0773">
        <w:rPr>
          <w:rFonts w:ascii="Calibri" w:hAnsi="Calibri" w:cs="Calibri"/>
          <w:bCs/>
          <w:iCs/>
          <w:color w:val="282828"/>
          <w:lang w:val="en-US"/>
        </w:rPr>
        <w:t>[12]</w:t>
      </w:r>
      <w:r w:rsidR="00803545">
        <w:rPr>
          <w:rFonts w:cstheme="minorHAnsi"/>
          <w:iCs/>
          <w:color w:val="282828"/>
        </w:rPr>
        <w:fldChar w:fldCharType="end"/>
      </w:r>
      <w:r w:rsidR="00DB0906">
        <w:rPr>
          <w:rFonts w:cstheme="minorHAnsi"/>
          <w:iCs/>
          <w:color w:val="282828"/>
        </w:rPr>
        <w:t xml:space="preserve"> </w:t>
      </w:r>
      <w:r w:rsidR="009123B7">
        <w:rPr>
          <w:rFonts w:cstheme="minorHAnsi"/>
          <w:iCs/>
          <w:color w:val="282828"/>
        </w:rPr>
        <w:t>Those guidelines</w:t>
      </w:r>
      <w:r w:rsidR="00437878">
        <w:rPr>
          <w:rFonts w:cstheme="minorHAnsi"/>
          <w:iCs/>
          <w:color w:val="282828"/>
        </w:rPr>
        <w:t xml:space="preserve"> </w:t>
      </w:r>
      <w:r w:rsidR="00DB0906" w:rsidRPr="0012408C">
        <w:rPr>
          <w:rFonts w:cstheme="minorHAnsi"/>
          <w:iCs/>
          <w:color w:val="282828"/>
        </w:rPr>
        <w:t>specifi</w:t>
      </w:r>
      <w:r w:rsidR="009123B7">
        <w:rPr>
          <w:rFonts w:cstheme="minorHAnsi"/>
          <w:iCs/>
          <w:color w:val="282828"/>
        </w:rPr>
        <w:t>cally excluded patients who</w:t>
      </w:r>
      <w:r w:rsidR="00DB0906" w:rsidRPr="0012408C">
        <w:rPr>
          <w:rFonts w:cstheme="minorHAnsi"/>
          <w:iCs/>
          <w:color w:val="282828"/>
        </w:rPr>
        <w:t xml:space="preserve"> had a hospital admission within 10 days of </w:t>
      </w:r>
      <w:r w:rsidR="00DB0906">
        <w:rPr>
          <w:rFonts w:cstheme="minorHAnsi"/>
          <w:iCs/>
          <w:color w:val="282828"/>
        </w:rPr>
        <w:t>developing pneumonia</w:t>
      </w:r>
      <w:r w:rsidR="009123B7">
        <w:rPr>
          <w:rFonts w:cstheme="minorHAnsi"/>
          <w:iCs/>
          <w:color w:val="282828"/>
        </w:rPr>
        <w:t xml:space="preserve"> - </w:t>
      </w:r>
      <w:r w:rsidR="00DB0906" w:rsidRPr="0012408C">
        <w:rPr>
          <w:rFonts w:cstheme="minorHAnsi"/>
          <w:iCs/>
          <w:color w:val="282828"/>
        </w:rPr>
        <w:t>regardi</w:t>
      </w:r>
      <w:r w:rsidR="009123B7">
        <w:rPr>
          <w:rFonts w:cstheme="minorHAnsi"/>
          <w:iCs/>
          <w:color w:val="282828"/>
        </w:rPr>
        <w:t xml:space="preserve">ng </w:t>
      </w:r>
      <w:r w:rsidR="009123B7">
        <w:rPr>
          <w:rFonts w:cstheme="minorHAnsi"/>
          <w:iCs/>
          <w:color w:val="282828"/>
        </w:rPr>
        <w:lastRenderedPageBreak/>
        <w:t xml:space="preserve">those patients as having HAP. So we have some CAP being treated as </w:t>
      </w:r>
      <w:r w:rsidR="007668D5">
        <w:rPr>
          <w:rFonts w:cstheme="minorHAnsi"/>
          <w:iCs/>
          <w:color w:val="282828"/>
        </w:rPr>
        <w:t>HAP and some HAP treated as CAP.</w:t>
      </w:r>
    </w:p>
    <w:p w14:paraId="53D0BEE6" w14:textId="74322F76" w:rsidR="00472BDC" w:rsidRDefault="00676929" w:rsidP="00387FF6">
      <w:pPr>
        <w:autoSpaceDE w:val="0"/>
        <w:autoSpaceDN w:val="0"/>
        <w:adjustRightInd w:val="0"/>
        <w:spacing w:after="0" w:line="240" w:lineRule="auto"/>
        <w:rPr>
          <w:rFonts w:cstheme="minorHAnsi"/>
        </w:rPr>
      </w:pPr>
      <w:r>
        <w:rPr>
          <w:rFonts w:cstheme="minorHAnsi"/>
        </w:rPr>
        <w:t>In summary, HAP represents a huge challenge for antibiotic stewardship and the new NICE guidelines begin to address this unmet need. However, the paucity of quality research available fails to address the root problem in pneumonia management which is the inadequacy of empirical prescribing. Rapid diagnostic platforms are emerging that may enable per</w:t>
      </w:r>
      <w:r w:rsidR="005868F0">
        <w:rPr>
          <w:rFonts w:cstheme="minorHAnsi"/>
        </w:rPr>
        <w:t xml:space="preserve">sonalised antibiotic treatment. </w:t>
      </w:r>
      <w:r>
        <w:rPr>
          <w:rFonts w:cstheme="minorHAnsi"/>
        </w:rPr>
        <w:t xml:space="preserve">However, the clinical impact of these new platforms </w:t>
      </w:r>
      <w:r w:rsidR="005868F0">
        <w:rPr>
          <w:rFonts w:cstheme="minorHAnsi"/>
        </w:rPr>
        <w:t>is unproven</w:t>
      </w:r>
      <w:r w:rsidR="00613FD3">
        <w:rPr>
          <w:rFonts w:cstheme="minorHAnsi"/>
        </w:rPr>
        <w:t xml:space="preserve"> and </w:t>
      </w:r>
      <w:r>
        <w:rPr>
          <w:rFonts w:cstheme="minorHAnsi"/>
        </w:rPr>
        <w:t>m</w:t>
      </w:r>
      <w:r w:rsidR="00373942">
        <w:rPr>
          <w:rFonts w:cstheme="minorHAnsi"/>
        </w:rPr>
        <w:t>ust be evaluated in</w:t>
      </w:r>
      <w:r>
        <w:rPr>
          <w:rFonts w:cstheme="minorHAnsi"/>
        </w:rPr>
        <w:t xml:space="preserve"> randomised </w:t>
      </w:r>
      <w:r w:rsidR="00411AF9">
        <w:rPr>
          <w:rFonts w:cstheme="minorHAnsi"/>
        </w:rPr>
        <w:t>controlled trials</w:t>
      </w:r>
      <w:r>
        <w:rPr>
          <w:rFonts w:cstheme="minorHAnsi"/>
        </w:rPr>
        <w:t xml:space="preserve">. </w:t>
      </w:r>
      <w:r w:rsidR="00613FD3">
        <w:rPr>
          <w:rFonts w:cstheme="minorHAnsi"/>
        </w:rPr>
        <w:t>Those</w:t>
      </w:r>
      <w:r>
        <w:rPr>
          <w:rFonts w:cstheme="minorHAnsi"/>
        </w:rPr>
        <w:t xml:space="preserve"> trials will require novel designs and outcome measures to tease out </w:t>
      </w:r>
      <w:r w:rsidR="00373942">
        <w:rPr>
          <w:rFonts w:cstheme="minorHAnsi"/>
        </w:rPr>
        <w:t xml:space="preserve">the </w:t>
      </w:r>
      <w:r>
        <w:rPr>
          <w:rFonts w:cstheme="minorHAnsi"/>
        </w:rPr>
        <w:t>morbidity, mortality and costs that are attributable to HAP</w:t>
      </w:r>
      <w:r w:rsidR="00373942">
        <w:rPr>
          <w:rFonts w:cstheme="minorHAnsi"/>
        </w:rPr>
        <w:t xml:space="preserve"> as opposed to the condition precipitating hospitalisation</w:t>
      </w:r>
      <w:r>
        <w:rPr>
          <w:rFonts w:cstheme="minorHAnsi"/>
        </w:rPr>
        <w:t xml:space="preserve">. </w:t>
      </w:r>
      <w:r w:rsidR="00411AF9">
        <w:rPr>
          <w:rFonts w:cstheme="minorHAnsi"/>
        </w:rPr>
        <w:t>NICE have previously sugge</w:t>
      </w:r>
      <w:r w:rsidR="00613FD3">
        <w:rPr>
          <w:rFonts w:cstheme="minorHAnsi"/>
        </w:rPr>
        <w:t>sted a key outcome</w:t>
      </w:r>
      <w:r w:rsidR="005868F0">
        <w:rPr>
          <w:rFonts w:cstheme="minorHAnsi"/>
        </w:rPr>
        <w:t xml:space="preserve"> would be </w:t>
      </w:r>
      <w:r w:rsidR="00411AF9">
        <w:rPr>
          <w:rFonts w:cstheme="minorHAnsi"/>
        </w:rPr>
        <w:t xml:space="preserve">demonstrating </w:t>
      </w:r>
      <w:r w:rsidR="005868F0">
        <w:rPr>
          <w:rFonts w:cstheme="minorHAnsi"/>
        </w:rPr>
        <w:t xml:space="preserve">that </w:t>
      </w:r>
      <w:r w:rsidR="00373942">
        <w:rPr>
          <w:rFonts w:cstheme="minorHAnsi"/>
        </w:rPr>
        <w:t>new diagnostics can reduce antibiotic use whist maintaining</w:t>
      </w:r>
      <w:r w:rsidR="00411AF9">
        <w:rPr>
          <w:rFonts w:cstheme="minorHAnsi"/>
        </w:rPr>
        <w:t xml:space="preserve"> </w:t>
      </w:r>
      <w:r w:rsidR="00613FD3">
        <w:rPr>
          <w:rFonts w:cstheme="minorHAnsi"/>
        </w:rPr>
        <w:t>effectiveness.</w:t>
      </w:r>
      <w:r w:rsidR="00411AF9">
        <w:rPr>
          <w:rFonts w:cstheme="minorHAnsi"/>
        </w:rPr>
        <w:t xml:space="preserve"> </w:t>
      </w:r>
      <w:r w:rsidR="00EC5A6A">
        <w:rPr>
          <w:rFonts w:cstheme="minorHAnsi"/>
        </w:rPr>
        <w:t>If this could be demonstrated in such a way as to be locally applicable this would represent a huge step forward.</w:t>
      </w:r>
    </w:p>
    <w:p w14:paraId="45AB67CD" w14:textId="001642FC" w:rsidR="00DB0773" w:rsidRPr="00DB0773" w:rsidRDefault="00744156" w:rsidP="00DB0773">
      <w:pPr>
        <w:pStyle w:val="NormalWeb"/>
        <w:spacing w:line="480" w:lineRule="auto"/>
        <w:jc w:val="center"/>
        <w:rPr>
          <w:rFonts w:ascii="Calibri" w:hAnsi="Calibri" w:cs="Calibri"/>
          <w:sz w:val="22"/>
        </w:rPr>
      </w:pPr>
      <w:r>
        <w:rPr>
          <w:rFonts w:cstheme="minorHAnsi"/>
        </w:rPr>
        <w:fldChar w:fldCharType="begin"/>
      </w:r>
      <w:r w:rsidR="00DB0773">
        <w:rPr>
          <w:rFonts w:cstheme="minorHAnsi"/>
        </w:rPr>
        <w:instrText>ADDIN RW.BIB</w:instrText>
      </w:r>
      <w:r>
        <w:rPr>
          <w:rFonts w:cstheme="minorHAnsi"/>
        </w:rPr>
        <w:fldChar w:fldCharType="separate"/>
      </w:r>
      <w:r w:rsidR="00DB0773" w:rsidRPr="00DB0773">
        <w:rPr>
          <w:rFonts w:ascii="Calibri" w:hAnsi="Calibri" w:cs="Calibri"/>
          <w:sz w:val="22"/>
        </w:rPr>
        <w:t>References</w:t>
      </w:r>
    </w:p>
    <w:p w14:paraId="5BBA0806" w14:textId="0B28B533"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1. National Institute of Health and Social Care Excellence (NICE). Pneumonia (hospital-acquired): antimicrobial prescribing. </w:t>
      </w:r>
      <w:hyperlink r:id="rId8" w:tgtFrame="_blank" w:history="1">
        <w:r w:rsidRPr="00DB0773">
          <w:rPr>
            <w:rStyle w:val="Hyperlink"/>
            <w:rFonts w:ascii="Calibri" w:hAnsi="Calibri" w:cs="Calibri"/>
            <w:sz w:val="22"/>
          </w:rPr>
          <w:t>https://www.nice.org.uk/guidance/ng139</w:t>
        </w:r>
      </w:hyperlink>
      <w:r w:rsidRPr="00DB0773">
        <w:rPr>
          <w:rFonts w:ascii="Calibri" w:hAnsi="Calibri" w:cs="Calibri"/>
          <w:sz w:val="22"/>
        </w:rPr>
        <w:t>. Date last updated: 19/9/2019 Date last accessed: 1/10 2019.</w:t>
      </w:r>
    </w:p>
    <w:p w14:paraId="0AD2C53F"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2. Sopena N, Sabria M, Neunos 2000 Study Group. Multicenter study of hospital-acquired pneumonia in non-ICU patients. </w:t>
      </w:r>
      <w:r w:rsidRPr="00DB0773">
        <w:rPr>
          <w:rFonts w:ascii="Calibri" w:hAnsi="Calibri" w:cs="Calibri"/>
          <w:i/>
          <w:iCs/>
          <w:sz w:val="22"/>
        </w:rPr>
        <w:t>Chest</w:t>
      </w:r>
      <w:r w:rsidRPr="00DB0773">
        <w:rPr>
          <w:rFonts w:ascii="Calibri" w:hAnsi="Calibri" w:cs="Calibri"/>
          <w:sz w:val="22"/>
        </w:rPr>
        <w:t xml:space="preserve"> 2005; 127: 213-219.</w:t>
      </w:r>
    </w:p>
    <w:p w14:paraId="52E5A70D"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3. Burton LA, Price R, Barr KE, McAuley SM, Allen JB, Clinton AM, Phillips G, Marwick CA, McMurdo ME, Witham MD. Hospital-acquired pneumonia incidence and diagnosis in older patients. </w:t>
      </w:r>
      <w:r w:rsidRPr="00DB0773">
        <w:rPr>
          <w:rFonts w:ascii="Calibri" w:hAnsi="Calibri" w:cs="Calibri"/>
          <w:i/>
          <w:iCs/>
          <w:sz w:val="22"/>
        </w:rPr>
        <w:t>Age Ageing</w:t>
      </w:r>
      <w:r w:rsidRPr="00DB0773">
        <w:rPr>
          <w:rFonts w:ascii="Calibri" w:hAnsi="Calibri" w:cs="Calibri"/>
          <w:sz w:val="22"/>
        </w:rPr>
        <w:t xml:space="preserve"> 2016; 45: 171-174.</w:t>
      </w:r>
    </w:p>
    <w:p w14:paraId="4F467B28"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4. Cassini A, Plachouras D, Eckmanns T, Abu Sin M, Blank HP, Ducomble T, Haller S, Harder T, Klingeberg A, Sixtensson M, Velasco E, Weiss B, Kramarz P, Monnet DL, Kretzschmar ME, Suetens C. Burden of Six Healthcare-Associated Infections on European Population Health: Estimating Incidence-Based Disability-Adjusted Life Years through a Population Prevalence-Based Modelling Study. </w:t>
      </w:r>
      <w:r w:rsidRPr="00DB0773">
        <w:rPr>
          <w:rFonts w:ascii="Calibri" w:hAnsi="Calibri" w:cs="Calibri"/>
          <w:i/>
          <w:iCs/>
          <w:sz w:val="22"/>
        </w:rPr>
        <w:t>PLoS Med</w:t>
      </w:r>
      <w:r w:rsidRPr="00DB0773">
        <w:rPr>
          <w:rFonts w:ascii="Calibri" w:hAnsi="Calibri" w:cs="Calibri"/>
          <w:sz w:val="22"/>
        </w:rPr>
        <w:t xml:space="preserve"> 2016; 13: e1002150.</w:t>
      </w:r>
    </w:p>
    <w:p w14:paraId="5DEF9AC6"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5. Aston SJ, Wootton DG. Community-acquired pneumonia due to drug-resistant Enterobacteriaceae: A global perspective. </w:t>
      </w:r>
      <w:r w:rsidRPr="00DB0773">
        <w:rPr>
          <w:rFonts w:ascii="Calibri" w:hAnsi="Calibri" w:cs="Calibri"/>
          <w:i/>
          <w:iCs/>
          <w:sz w:val="22"/>
        </w:rPr>
        <w:t>Respirology</w:t>
      </w:r>
      <w:r w:rsidRPr="00DB0773">
        <w:rPr>
          <w:rFonts w:ascii="Calibri" w:hAnsi="Calibri" w:cs="Calibri"/>
          <w:sz w:val="22"/>
        </w:rPr>
        <w:t xml:space="preserve"> 2019.</w:t>
      </w:r>
    </w:p>
    <w:p w14:paraId="4C1197B0"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lastRenderedPageBreak/>
        <w:t xml:space="preserve">6. Webb BJ, Sorensen J, Jephson A, Mecham I, Dean NC. Broad-spectrum antibiotic use and poor outcomes in community-onset pneumonia: a cohort study. </w:t>
      </w:r>
      <w:r w:rsidRPr="00DB0773">
        <w:rPr>
          <w:rFonts w:ascii="Calibri" w:hAnsi="Calibri" w:cs="Calibri"/>
          <w:i/>
          <w:iCs/>
          <w:sz w:val="22"/>
        </w:rPr>
        <w:t>Eur Respir J</w:t>
      </w:r>
      <w:r w:rsidRPr="00DB0773">
        <w:rPr>
          <w:rFonts w:ascii="Calibri" w:hAnsi="Calibri" w:cs="Calibri"/>
          <w:sz w:val="22"/>
        </w:rPr>
        <w:t xml:space="preserve"> 2019; 54: 10.1183/13993003.00057-2019. Print 2019 Jul.</w:t>
      </w:r>
    </w:p>
    <w:p w14:paraId="59F51B25" w14:textId="33BC0A65"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7. Public Health England. Antimicrobial Stewardship:Start smart then focus. </w:t>
      </w:r>
      <w:hyperlink r:id="rId9" w:tgtFrame="_blank" w:history="1">
        <w:r w:rsidRPr="00DB0773">
          <w:rPr>
            <w:rStyle w:val="Hyperlink"/>
            <w:rFonts w:ascii="Calibri" w:hAnsi="Calibri" w:cs="Calibri"/>
            <w:sz w:val="22"/>
          </w:rPr>
          <w:t>https://www.gov.uk/government/publications/antimicrobial-stewardship-start-smart-then-focus</w:t>
        </w:r>
      </w:hyperlink>
      <w:r w:rsidRPr="00DB0773">
        <w:rPr>
          <w:rFonts w:ascii="Calibri" w:hAnsi="Calibri" w:cs="Calibri"/>
          <w:sz w:val="22"/>
        </w:rPr>
        <w:t>. Date last updated: 3/2015 2015. Date last accessed: 10/2015 .</w:t>
      </w:r>
    </w:p>
    <w:p w14:paraId="2B1F3CF9"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8. Waterer GW. Potential antibiotic resistant pathogens in community-acquired pneumonia: playing it safe is anything but. </w:t>
      </w:r>
      <w:r w:rsidRPr="00DB0773">
        <w:rPr>
          <w:rFonts w:ascii="Calibri" w:hAnsi="Calibri" w:cs="Calibri"/>
          <w:i/>
          <w:iCs/>
          <w:sz w:val="22"/>
        </w:rPr>
        <w:t>Eur Respir J</w:t>
      </w:r>
      <w:r w:rsidRPr="00DB0773">
        <w:rPr>
          <w:rFonts w:ascii="Calibri" w:hAnsi="Calibri" w:cs="Calibri"/>
          <w:sz w:val="22"/>
        </w:rPr>
        <w:t xml:space="preserve"> 2019; 54: 10.1183/13993003.00870-2019. Print 2019 Jul.</w:t>
      </w:r>
    </w:p>
    <w:p w14:paraId="6872F0D3"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9. Kalil AC, Metersky ML, Klompas M, Muscedere J, Sweeney DA, Palmer LB, Napolitano LM, O'Grady NP, Bartlett JG, Carratala J, El Solh AA, Ewig S, Fey PD, File TM,Jr, Restrepo MI, Roberts JA, Waterer GW, Cruse P, Knight SL, Brozek JL. Management of Adults With Hospital-acquired and Ventilator-associated Pneumonia: 2016 Clinical Practice Guidelines by the Infectious Diseases Society of America and the American Thoracic Society. </w:t>
      </w:r>
      <w:r w:rsidRPr="00DB0773">
        <w:rPr>
          <w:rFonts w:ascii="Calibri" w:hAnsi="Calibri" w:cs="Calibri"/>
          <w:i/>
          <w:iCs/>
          <w:sz w:val="22"/>
        </w:rPr>
        <w:t>Clin Infect Dis</w:t>
      </w:r>
      <w:r w:rsidRPr="00DB0773">
        <w:rPr>
          <w:rFonts w:ascii="Calibri" w:hAnsi="Calibri" w:cs="Calibri"/>
          <w:sz w:val="22"/>
        </w:rPr>
        <w:t xml:space="preserve"> 2016; 63: e61-e111.</w:t>
      </w:r>
    </w:p>
    <w:p w14:paraId="1C8DBCB9"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10. Torres A, Niederman MS, Chastre J, Ewig S, Fernandez-Vandellos P, Hanberger H, Kollef M, Li Bassi G, Luna CM, Martin-Loeches I, Paiva JA, Read RC, Rigau D, Timsit JF, Welte T, Wunderink R. International ERS/ESICM/ESCMID/ALAT guidelines for the management of hospital-acquired pneumonia and ventilator-associated pneumonia: Guidelines for the management of hospital-acquired pneumonia (HAP)/ventilator-associated pneumonia (VAP) of the European Respiratory Society (ERS), European Society of Intensive Care Medicine (ESICM), European Society of Clinical Microbiology and Infectious Diseases (ESCMID) and Asociacion Latinoamericana del Torax (ALAT). </w:t>
      </w:r>
      <w:r w:rsidRPr="00DB0773">
        <w:rPr>
          <w:rFonts w:ascii="Calibri" w:hAnsi="Calibri" w:cs="Calibri"/>
          <w:i/>
          <w:iCs/>
          <w:sz w:val="22"/>
        </w:rPr>
        <w:t>Eur Respir J</w:t>
      </w:r>
      <w:r w:rsidRPr="00DB0773">
        <w:rPr>
          <w:rFonts w:ascii="Calibri" w:hAnsi="Calibri" w:cs="Calibri"/>
          <w:sz w:val="22"/>
        </w:rPr>
        <w:t xml:space="preserve"> 2017; 50: 10.1183/13993003.00582-2017. Print 2017 Sep.</w:t>
      </w:r>
    </w:p>
    <w:p w14:paraId="048DD888"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11. Torres A, Zhong N, Pachl J, Timsit JF, Kollef M, Chen Z, Song J, Taylor D, Laud PJ, Stone GG, Chow JW. Ceftazidime-avibactam versus meropenem in nosocomial pneumonia, including ventilator-</w:t>
      </w:r>
      <w:r w:rsidRPr="00DB0773">
        <w:rPr>
          <w:rFonts w:ascii="Calibri" w:hAnsi="Calibri" w:cs="Calibri"/>
          <w:sz w:val="22"/>
        </w:rPr>
        <w:lastRenderedPageBreak/>
        <w:t xml:space="preserve">associated pneumonia (REPROVE): a randomised, double-blind, phase 3 non-inferiority trial. </w:t>
      </w:r>
      <w:r w:rsidRPr="00DB0773">
        <w:rPr>
          <w:rFonts w:ascii="Calibri" w:hAnsi="Calibri" w:cs="Calibri"/>
          <w:i/>
          <w:iCs/>
          <w:sz w:val="22"/>
        </w:rPr>
        <w:t>Lancet Infect Dis</w:t>
      </w:r>
      <w:r w:rsidRPr="00DB0773">
        <w:rPr>
          <w:rFonts w:ascii="Calibri" w:hAnsi="Calibri" w:cs="Calibri"/>
          <w:sz w:val="22"/>
        </w:rPr>
        <w:t xml:space="preserve"> 2018; 18: 285-295.</w:t>
      </w:r>
    </w:p>
    <w:p w14:paraId="50B88C48" w14:textId="77777777" w:rsidR="00DB0773" w:rsidRPr="00DB0773" w:rsidRDefault="00DB0773" w:rsidP="00DB0773">
      <w:pPr>
        <w:pStyle w:val="NormalWeb"/>
        <w:spacing w:line="480" w:lineRule="auto"/>
        <w:rPr>
          <w:rFonts w:ascii="Calibri" w:hAnsi="Calibri" w:cs="Calibri"/>
          <w:sz w:val="22"/>
        </w:rPr>
      </w:pPr>
      <w:r w:rsidRPr="00DB0773">
        <w:rPr>
          <w:rFonts w:ascii="Calibri" w:hAnsi="Calibri" w:cs="Calibri"/>
          <w:sz w:val="22"/>
        </w:rPr>
        <w:t xml:space="preserve">12. Lim WS, Baudouin SV, George RC, Hill AT, Jamieson C, Le Jeune I, Macfarlane JT, Read RC, Roberts HJ, Levy ML, Wani M, Woodhead MA. BTS guidelines for the management of community acquired pneumonia in adults: update 2009. </w:t>
      </w:r>
      <w:r w:rsidRPr="00DB0773">
        <w:rPr>
          <w:rFonts w:ascii="Calibri" w:hAnsi="Calibri" w:cs="Calibri"/>
          <w:i/>
          <w:iCs/>
          <w:sz w:val="22"/>
        </w:rPr>
        <w:t>Thorax</w:t>
      </w:r>
      <w:r w:rsidRPr="00DB0773">
        <w:rPr>
          <w:rFonts w:ascii="Calibri" w:hAnsi="Calibri" w:cs="Calibri"/>
          <w:sz w:val="22"/>
        </w:rPr>
        <w:t xml:space="preserve"> 2009; 64 Suppl 3: iii1-iii55.</w:t>
      </w:r>
    </w:p>
    <w:p w14:paraId="0A3865C9" w14:textId="71146914" w:rsidR="00E12917" w:rsidRDefault="00DB0773" w:rsidP="00DB0773">
      <w:pPr>
        <w:rPr>
          <w:rFonts w:cstheme="minorHAnsi"/>
        </w:rPr>
      </w:pPr>
      <w:r w:rsidRPr="00DB0773">
        <w:rPr>
          <w:rFonts w:ascii="Calibri" w:eastAsia="Times New Roman" w:hAnsi="Calibri" w:cs="Calibri"/>
        </w:rPr>
        <w:t> </w:t>
      </w:r>
      <w:r w:rsidR="00744156">
        <w:rPr>
          <w:rFonts w:cstheme="minorHAnsi"/>
        </w:rPr>
        <w:fldChar w:fldCharType="end"/>
      </w:r>
    </w:p>
    <w:sectPr w:rsidR="00E129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EC9B" w14:textId="77777777" w:rsidR="00903340" w:rsidRDefault="00903340" w:rsidP="00DE46EC">
      <w:pPr>
        <w:spacing w:after="0" w:line="240" w:lineRule="auto"/>
      </w:pPr>
      <w:r>
        <w:separator/>
      </w:r>
    </w:p>
  </w:endnote>
  <w:endnote w:type="continuationSeparator" w:id="0">
    <w:p w14:paraId="61B04428" w14:textId="77777777" w:rsidR="00903340" w:rsidRDefault="00903340" w:rsidP="00DE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FE49" w14:textId="77777777" w:rsidR="00903340" w:rsidRDefault="00903340" w:rsidP="00DE46EC">
      <w:pPr>
        <w:spacing w:after="0" w:line="240" w:lineRule="auto"/>
      </w:pPr>
      <w:r>
        <w:separator/>
      </w:r>
    </w:p>
  </w:footnote>
  <w:footnote w:type="continuationSeparator" w:id="0">
    <w:p w14:paraId="5EDC0165" w14:textId="77777777" w:rsidR="00903340" w:rsidRDefault="00903340" w:rsidP="00DE4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8F76EB4"/>
    <w:multiLevelType w:val="hybridMultilevel"/>
    <w:tmpl w:val="83C0C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A75D3"/>
    <w:multiLevelType w:val="hybridMultilevel"/>
    <w:tmpl w:val="CD82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93"/>
    <w:rsid w:val="00001C65"/>
    <w:rsid w:val="00003CEE"/>
    <w:rsid w:val="0000599A"/>
    <w:rsid w:val="00014943"/>
    <w:rsid w:val="00027980"/>
    <w:rsid w:val="000305C0"/>
    <w:rsid w:val="000360D3"/>
    <w:rsid w:val="00042EE3"/>
    <w:rsid w:val="000433AB"/>
    <w:rsid w:val="000434C0"/>
    <w:rsid w:val="000841D1"/>
    <w:rsid w:val="00087C08"/>
    <w:rsid w:val="000A5991"/>
    <w:rsid w:val="000C13DA"/>
    <w:rsid w:val="000D29A5"/>
    <w:rsid w:val="000F5877"/>
    <w:rsid w:val="000F70E2"/>
    <w:rsid w:val="00120429"/>
    <w:rsid w:val="0012408C"/>
    <w:rsid w:val="00125030"/>
    <w:rsid w:val="001271D9"/>
    <w:rsid w:val="00145E7D"/>
    <w:rsid w:val="00160D4B"/>
    <w:rsid w:val="00162386"/>
    <w:rsid w:val="00175625"/>
    <w:rsid w:val="001A3258"/>
    <w:rsid w:val="001A476B"/>
    <w:rsid w:val="001A66EE"/>
    <w:rsid w:val="001A7BEA"/>
    <w:rsid w:val="001C1B59"/>
    <w:rsid w:val="001E3E8A"/>
    <w:rsid w:val="001F19A9"/>
    <w:rsid w:val="002010CB"/>
    <w:rsid w:val="00213C46"/>
    <w:rsid w:val="00215BF0"/>
    <w:rsid w:val="00221BC4"/>
    <w:rsid w:val="00232452"/>
    <w:rsid w:val="00241DBD"/>
    <w:rsid w:val="00242191"/>
    <w:rsid w:val="00245CB0"/>
    <w:rsid w:val="0025068B"/>
    <w:rsid w:val="0026482E"/>
    <w:rsid w:val="00271F74"/>
    <w:rsid w:val="00283478"/>
    <w:rsid w:val="00285D99"/>
    <w:rsid w:val="00293B08"/>
    <w:rsid w:val="002B24AA"/>
    <w:rsid w:val="002C616A"/>
    <w:rsid w:val="002D2B68"/>
    <w:rsid w:val="002E1071"/>
    <w:rsid w:val="002E23F2"/>
    <w:rsid w:val="00305993"/>
    <w:rsid w:val="00324FC8"/>
    <w:rsid w:val="00346D1E"/>
    <w:rsid w:val="00363172"/>
    <w:rsid w:val="00365EDB"/>
    <w:rsid w:val="00370F02"/>
    <w:rsid w:val="00372490"/>
    <w:rsid w:val="00372631"/>
    <w:rsid w:val="00373942"/>
    <w:rsid w:val="003754FA"/>
    <w:rsid w:val="00376A72"/>
    <w:rsid w:val="00383079"/>
    <w:rsid w:val="00386A42"/>
    <w:rsid w:val="00387799"/>
    <w:rsid w:val="00387FF6"/>
    <w:rsid w:val="003907B2"/>
    <w:rsid w:val="00394DFE"/>
    <w:rsid w:val="003A5738"/>
    <w:rsid w:val="003A5CC8"/>
    <w:rsid w:val="003B0F48"/>
    <w:rsid w:val="003B1BF6"/>
    <w:rsid w:val="003B737C"/>
    <w:rsid w:val="003C17DD"/>
    <w:rsid w:val="003D112C"/>
    <w:rsid w:val="003D36AD"/>
    <w:rsid w:val="003E0821"/>
    <w:rsid w:val="003E7AA2"/>
    <w:rsid w:val="004017F8"/>
    <w:rsid w:val="0041065F"/>
    <w:rsid w:val="00411AF9"/>
    <w:rsid w:val="00415D68"/>
    <w:rsid w:val="00416AA9"/>
    <w:rsid w:val="004206B0"/>
    <w:rsid w:val="004329FC"/>
    <w:rsid w:val="00435D9B"/>
    <w:rsid w:val="00437878"/>
    <w:rsid w:val="00445C5C"/>
    <w:rsid w:val="00445EA6"/>
    <w:rsid w:val="00451880"/>
    <w:rsid w:val="0046080A"/>
    <w:rsid w:val="0046617B"/>
    <w:rsid w:val="0046618D"/>
    <w:rsid w:val="00466ED8"/>
    <w:rsid w:val="0047163A"/>
    <w:rsid w:val="00472BDC"/>
    <w:rsid w:val="004752A4"/>
    <w:rsid w:val="0047611D"/>
    <w:rsid w:val="00483EBB"/>
    <w:rsid w:val="00491B01"/>
    <w:rsid w:val="00496260"/>
    <w:rsid w:val="00496508"/>
    <w:rsid w:val="004A0C15"/>
    <w:rsid w:val="004A6D68"/>
    <w:rsid w:val="004A7550"/>
    <w:rsid w:val="004C0465"/>
    <w:rsid w:val="004C0FBF"/>
    <w:rsid w:val="004C7121"/>
    <w:rsid w:val="004D2204"/>
    <w:rsid w:val="004D39B9"/>
    <w:rsid w:val="004D4F52"/>
    <w:rsid w:val="004D7608"/>
    <w:rsid w:val="004E7EE7"/>
    <w:rsid w:val="004F17FE"/>
    <w:rsid w:val="004F2C43"/>
    <w:rsid w:val="004F35EB"/>
    <w:rsid w:val="0050461E"/>
    <w:rsid w:val="00505634"/>
    <w:rsid w:val="00506A5D"/>
    <w:rsid w:val="00511954"/>
    <w:rsid w:val="005177A1"/>
    <w:rsid w:val="0052266A"/>
    <w:rsid w:val="00523BA6"/>
    <w:rsid w:val="0052460F"/>
    <w:rsid w:val="00525ECC"/>
    <w:rsid w:val="005420CB"/>
    <w:rsid w:val="00544440"/>
    <w:rsid w:val="00547E0D"/>
    <w:rsid w:val="00565078"/>
    <w:rsid w:val="00574648"/>
    <w:rsid w:val="00580E84"/>
    <w:rsid w:val="005868F0"/>
    <w:rsid w:val="005A02B7"/>
    <w:rsid w:val="005A1B36"/>
    <w:rsid w:val="005A6194"/>
    <w:rsid w:val="005B0156"/>
    <w:rsid w:val="005C0DA6"/>
    <w:rsid w:val="005D1550"/>
    <w:rsid w:val="005E0B4F"/>
    <w:rsid w:val="005E224C"/>
    <w:rsid w:val="005E3FA7"/>
    <w:rsid w:val="005E77A0"/>
    <w:rsid w:val="005F6D7D"/>
    <w:rsid w:val="00613715"/>
    <w:rsid w:val="00613FD3"/>
    <w:rsid w:val="0061767B"/>
    <w:rsid w:val="00620916"/>
    <w:rsid w:val="00622700"/>
    <w:rsid w:val="00632FE1"/>
    <w:rsid w:val="0063726B"/>
    <w:rsid w:val="0063774E"/>
    <w:rsid w:val="00637C8F"/>
    <w:rsid w:val="006408D1"/>
    <w:rsid w:val="00644E0A"/>
    <w:rsid w:val="0065645B"/>
    <w:rsid w:val="00661F02"/>
    <w:rsid w:val="00670436"/>
    <w:rsid w:val="00671DD8"/>
    <w:rsid w:val="0067211C"/>
    <w:rsid w:val="006729D9"/>
    <w:rsid w:val="00676929"/>
    <w:rsid w:val="006805E8"/>
    <w:rsid w:val="00683051"/>
    <w:rsid w:val="00687785"/>
    <w:rsid w:val="006A5D7E"/>
    <w:rsid w:val="006B5533"/>
    <w:rsid w:val="006C1A4E"/>
    <w:rsid w:val="006C1ADA"/>
    <w:rsid w:val="006C5EE3"/>
    <w:rsid w:val="006D1DD0"/>
    <w:rsid w:val="006F0873"/>
    <w:rsid w:val="00704A5B"/>
    <w:rsid w:val="00706211"/>
    <w:rsid w:val="0073009A"/>
    <w:rsid w:val="00730A55"/>
    <w:rsid w:val="00735182"/>
    <w:rsid w:val="00743232"/>
    <w:rsid w:val="00744156"/>
    <w:rsid w:val="00744BB6"/>
    <w:rsid w:val="00750A46"/>
    <w:rsid w:val="00752200"/>
    <w:rsid w:val="00757083"/>
    <w:rsid w:val="007668D5"/>
    <w:rsid w:val="007A3A16"/>
    <w:rsid w:val="007A4505"/>
    <w:rsid w:val="007C7EAF"/>
    <w:rsid w:val="007E6815"/>
    <w:rsid w:val="007F2AB8"/>
    <w:rsid w:val="007F38D7"/>
    <w:rsid w:val="00800A68"/>
    <w:rsid w:val="00803545"/>
    <w:rsid w:val="00806438"/>
    <w:rsid w:val="008064D1"/>
    <w:rsid w:val="00821EFA"/>
    <w:rsid w:val="00825A7C"/>
    <w:rsid w:val="00830274"/>
    <w:rsid w:val="0084016E"/>
    <w:rsid w:val="008531E8"/>
    <w:rsid w:val="00874A44"/>
    <w:rsid w:val="00886D16"/>
    <w:rsid w:val="00890664"/>
    <w:rsid w:val="00891DF1"/>
    <w:rsid w:val="00893DE9"/>
    <w:rsid w:val="008A3E6A"/>
    <w:rsid w:val="008A5A8E"/>
    <w:rsid w:val="008C1AA4"/>
    <w:rsid w:val="008D474B"/>
    <w:rsid w:val="008E5F7E"/>
    <w:rsid w:val="008F1CE5"/>
    <w:rsid w:val="008F323C"/>
    <w:rsid w:val="008F712E"/>
    <w:rsid w:val="008F798A"/>
    <w:rsid w:val="00903340"/>
    <w:rsid w:val="00904189"/>
    <w:rsid w:val="009123B7"/>
    <w:rsid w:val="00915E3F"/>
    <w:rsid w:val="00922234"/>
    <w:rsid w:val="0093182C"/>
    <w:rsid w:val="00975C41"/>
    <w:rsid w:val="00983226"/>
    <w:rsid w:val="00984435"/>
    <w:rsid w:val="00995FDC"/>
    <w:rsid w:val="009A4DAE"/>
    <w:rsid w:val="009B006C"/>
    <w:rsid w:val="009B44F4"/>
    <w:rsid w:val="009B5C4C"/>
    <w:rsid w:val="009C3A3B"/>
    <w:rsid w:val="009D0873"/>
    <w:rsid w:val="009D54D1"/>
    <w:rsid w:val="009E10F0"/>
    <w:rsid w:val="009E284B"/>
    <w:rsid w:val="009E5830"/>
    <w:rsid w:val="009F2549"/>
    <w:rsid w:val="00A01F5E"/>
    <w:rsid w:val="00A024CD"/>
    <w:rsid w:val="00A031B5"/>
    <w:rsid w:val="00A1331F"/>
    <w:rsid w:val="00A135A7"/>
    <w:rsid w:val="00A13982"/>
    <w:rsid w:val="00A13E31"/>
    <w:rsid w:val="00A33DF8"/>
    <w:rsid w:val="00A41202"/>
    <w:rsid w:val="00A41721"/>
    <w:rsid w:val="00A51529"/>
    <w:rsid w:val="00A51C63"/>
    <w:rsid w:val="00A60B9A"/>
    <w:rsid w:val="00A63884"/>
    <w:rsid w:val="00A668F4"/>
    <w:rsid w:val="00A71443"/>
    <w:rsid w:val="00A74C86"/>
    <w:rsid w:val="00A80CAD"/>
    <w:rsid w:val="00A93069"/>
    <w:rsid w:val="00AA1E35"/>
    <w:rsid w:val="00AB15DA"/>
    <w:rsid w:val="00AB58EB"/>
    <w:rsid w:val="00AC1335"/>
    <w:rsid w:val="00AC2FAB"/>
    <w:rsid w:val="00AC54E3"/>
    <w:rsid w:val="00AD17F7"/>
    <w:rsid w:val="00AD2921"/>
    <w:rsid w:val="00AD4697"/>
    <w:rsid w:val="00AD6B03"/>
    <w:rsid w:val="00AD746D"/>
    <w:rsid w:val="00AE3DF4"/>
    <w:rsid w:val="00AE699A"/>
    <w:rsid w:val="00AF5B59"/>
    <w:rsid w:val="00B041BF"/>
    <w:rsid w:val="00B1407A"/>
    <w:rsid w:val="00B23372"/>
    <w:rsid w:val="00B26AAD"/>
    <w:rsid w:val="00B27676"/>
    <w:rsid w:val="00B31DD2"/>
    <w:rsid w:val="00B37D78"/>
    <w:rsid w:val="00B40107"/>
    <w:rsid w:val="00B41867"/>
    <w:rsid w:val="00B43585"/>
    <w:rsid w:val="00B43E5E"/>
    <w:rsid w:val="00B52A4D"/>
    <w:rsid w:val="00B65854"/>
    <w:rsid w:val="00B74B32"/>
    <w:rsid w:val="00B82DD7"/>
    <w:rsid w:val="00B938EE"/>
    <w:rsid w:val="00B97D46"/>
    <w:rsid w:val="00BB03C9"/>
    <w:rsid w:val="00BB44AD"/>
    <w:rsid w:val="00BB4D3F"/>
    <w:rsid w:val="00BC1479"/>
    <w:rsid w:val="00BC328B"/>
    <w:rsid w:val="00BD4204"/>
    <w:rsid w:val="00BE24EF"/>
    <w:rsid w:val="00BE285A"/>
    <w:rsid w:val="00BE7BD6"/>
    <w:rsid w:val="00BF1DF6"/>
    <w:rsid w:val="00C16989"/>
    <w:rsid w:val="00C22004"/>
    <w:rsid w:val="00C30DD8"/>
    <w:rsid w:val="00C41E99"/>
    <w:rsid w:val="00C447F0"/>
    <w:rsid w:val="00C54888"/>
    <w:rsid w:val="00C560BA"/>
    <w:rsid w:val="00C66F8A"/>
    <w:rsid w:val="00C679BA"/>
    <w:rsid w:val="00C7295F"/>
    <w:rsid w:val="00C76232"/>
    <w:rsid w:val="00C76757"/>
    <w:rsid w:val="00C8233E"/>
    <w:rsid w:val="00C84E38"/>
    <w:rsid w:val="00C85E5A"/>
    <w:rsid w:val="00C950D3"/>
    <w:rsid w:val="00C9772C"/>
    <w:rsid w:val="00CA163A"/>
    <w:rsid w:val="00CA3324"/>
    <w:rsid w:val="00CA37CE"/>
    <w:rsid w:val="00CE5C68"/>
    <w:rsid w:val="00CF1DFB"/>
    <w:rsid w:val="00CF23B9"/>
    <w:rsid w:val="00D00B4F"/>
    <w:rsid w:val="00D02CE6"/>
    <w:rsid w:val="00D059FD"/>
    <w:rsid w:val="00D14873"/>
    <w:rsid w:val="00D1489F"/>
    <w:rsid w:val="00D2031A"/>
    <w:rsid w:val="00D20D96"/>
    <w:rsid w:val="00D277E9"/>
    <w:rsid w:val="00D329B2"/>
    <w:rsid w:val="00D41781"/>
    <w:rsid w:val="00D439FC"/>
    <w:rsid w:val="00D56F8C"/>
    <w:rsid w:val="00D7364E"/>
    <w:rsid w:val="00D75DEF"/>
    <w:rsid w:val="00D91E98"/>
    <w:rsid w:val="00D9717B"/>
    <w:rsid w:val="00DA1310"/>
    <w:rsid w:val="00DA2870"/>
    <w:rsid w:val="00DB0773"/>
    <w:rsid w:val="00DB0906"/>
    <w:rsid w:val="00DB28C1"/>
    <w:rsid w:val="00DB3561"/>
    <w:rsid w:val="00DD0A10"/>
    <w:rsid w:val="00DE46EC"/>
    <w:rsid w:val="00DF3781"/>
    <w:rsid w:val="00DF5166"/>
    <w:rsid w:val="00E05F32"/>
    <w:rsid w:val="00E07534"/>
    <w:rsid w:val="00E12917"/>
    <w:rsid w:val="00E14562"/>
    <w:rsid w:val="00E207C0"/>
    <w:rsid w:val="00E322BE"/>
    <w:rsid w:val="00E33976"/>
    <w:rsid w:val="00E33E17"/>
    <w:rsid w:val="00E5458B"/>
    <w:rsid w:val="00E57E73"/>
    <w:rsid w:val="00E728D1"/>
    <w:rsid w:val="00E743D0"/>
    <w:rsid w:val="00E86E9B"/>
    <w:rsid w:val="00E91266"/>
    <w:rsid w:val="00E9534A"/>
    <w:rsid w:val="00EA1624"/>
    <w:rsid w:val="00EB3CAC"/>
    <w:rsid w:val="00EB6B97"/>
    <w:rsid w:val="00EB6E7E"/>
    <w:rsid w:val="00EC1126"/>
    <w:rsid w:val="00EC5A6A"/>
    <w:rsid w:val="00ED4F69"/>
    <w:rsid w:val="00EE0684"/>
    <w:rsid w:val="00EE4777"/>
    <w:rsid w:val="00EE629F"/>
    <w:rsid w:val="00EE73C8"/>
    <w:rsid w:val="00F00F69"/>
    <w:rsid w:val="00F00FF0"/>
    <w:rsid w:val="00F02E1E"/>
    <w:rsid w:val="00F155B7"/>
    <w:rsid w:val="00F23F69"/>
    <w:rsid w:val="00F23FD2"/>
    <w:rsid w:val="00F37BD4"/>
    <w:rsid w:val="00F44345"/>
    <w:rsid w:val="00F44C53"/>
    <w:rsid w:val="00F46399"/>
    <w:rsid w:val="00F504DF"/>
    <w:rsid w:val="00F51E68"/>
    <w:rsid w:val="00F60024"/>
    <w:rsid w:val="00F63EF7"/>
    <w:rsid w:val="00F7293C"/>
    <w:rsid w:val="00F81CDB"/>
    <w:rsid w:val="00F83E94"/>
    <w:rsid w:val="00FA5873"/>
    <w:rsid w:val="00FB0A45"/>
    <w:rsid w:val="00FE2736"/>
    <w:rsid w:val="00FF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6B3D"/>
  <w15:docId w15:val="{D445A0E8-BE2C-43C7-9F6A-EAAA961B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3F"/>
  </w:style>
  <w:style w:type="paragraph" w:styleId="Heading1">
    <w:name w:val="heading 1"/>
    <w:basedOn w:val="Normal"/>
    <w:next w:val="Normal"/>
    <w:link w:val="Heading1Char"/>
    <w:uiPriority w:val="9"/>
    <w:qFormat/>
    <w:rsid w:val="00BB4D3F"/>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B4D3F"/>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B4D3F"/>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B4D3F"/>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B4D3F"/>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B4D3F"/>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B4D3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D3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4D3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993"/>
    <w:rPr>
      <w:color w:val="0000FF"/>
      <w:u w:val="single"/>
    </w:rPr>
  </w:style>
  <w:style w:type="paragraph" w:styleId="NormalWeb">
    <w:name w:val="Normal (Web)"/>
    <w:basedOn w:val="Normal"/>
    <w:uiPriority w:val="99"/>
    <w:unhideWhenUsed/>
    <w:rsid w:val="00305993"/>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E7AA2"/>
    <w:rPr>
      <w:sz w:val="16"/>
      <w:szCs w:val="16"/>
    </w:rPr>
  </w:style>
  <w:style w:type="paragraph" w:styleId="CommentText">
    <w:name w:val="annotation text"/>
    <w:basedOn w:val="Normal"/>
    <w:link w:val="CommentTextChar"/>
    <w:uiPriority w:val="99"/>
    <w:unhideWhenUsed/>
    <w:rsid w:val="003E7AA2"/>
    <w:pPr>
      <w:spacing w:line="240" w:lineRule="auto"/>
    </w:pPr>
    <w:rPr>
      <w:sz w:val="20"/>
      <w:szCs w:val="20"/>
    </w:rPr>
  </w:style>
  <w:style w:type="character" w:customStyle="1" w:styleId="CommentTextChar">
    <w:name w:val="Comment Text Char"/>
    <w:basedOn w:val="DefaultParagraphFont"/>
    <w:link w:val="CommentText"/>
    <w:uiPriority w:val="99"/>
    <w:rsid w:val="003E7AA2"/>
    <w:rPr>
      <w:sz w:val="20"/>
      <w:szCs w:val="20"/>
    </w:rPr>
  </w:style>
  <w:style w:type="paragraph" w:styleId="CommentSubject">
    <w:name w:val="annotation subject"/>
    <w:basedOn w:val="CommentText"/>
    <w:next w:val="CommentText"/>
    <w:link w:val="CommentSubjectChar"/>
    <w:uiPriority w:val="99"/>
    <w:semiHidden/>
    <w:unhideWhenUsed/>
    <w:rsid w:val="003E7AA2"/>
    <w:rPr>
      <w:b/>
      <w:bCs/>
    </w:rPr>
  </w:style>
  <w:style w:type="character" w:customStyle="1" w:styleId="CommentSubjectChar">
    <w:name w:val="Comment Subject Char"/>
    <w:basedOn w:val="CommentTextChar"/>
    <w:link w:val="CommentSubject"/>
    <w:uiPriority w:val="99"/>
    <w:semiHidden/>
    <w:rsid w:val="003E7AA2"/>
    <w:rPr>
      <w:b/>
      <w:bCs/>
      <w:sz w:val="20"/>
      <w:szCs w:val="20"/>
    </w:rPr>
  </w:style>
  <w:style w:type="paragraph" w:styleId="BalloonText">
    <w:name w:val="Balloon Text"/>
    <w:basedOn w:val="Normal"/>
    <w:link w:val="BalloonTextChar"/>
    <w:uiPriority w:val="99"/>
    <w:semiHidden/>
    <w:unhideWhenUsed/>
    <w:rsid w:val="003E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A2"/>
    <w:rPr>
      <w:rFonts w:ascii="Tahoma" w:hAnsi="Tahoma" w:cs="Tahoma"/>
      <w:sz w:val="16"/>
      <w:szCs w:val="16"/>
    </w:rPr>
  </w:style>
  <w:style w:type="paragraph" w:styleId="FootnoteText">
    <w:name w:val="footnote text"/>
    <w:basedOn w:val="Normal"/>
    <w:link w:val="FootnoteTextChar"/>
    <w:uiPriority w:val="99"/>
    <w:semiHidden/>
    <w:unhideWhenUsed/>
    <w:rsid w:val="00DE4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C"/>
    <w:rPr>
      <w:sz w:val="20"/>
      <w:szCs w:val="20"/>
    </w:rPr>
  </w:style>
  <w:style w:type="character" w:styleId="FootnoteReference">
    <w:name w:val="footnote reference"/>
    <w:basedOn w:val="DefaultParagraphFont"/>
    <w:uiPriority w:val="99"/>
    <w:semiHidden/>
    <w:unhideWhenUsed/>
    <w:rsid w:val="00DE46EC"/>
    <w:rPr>
      <w:vertAlign w:val="superscript"/>
    </w:rPr>
  </w:style>
  <w:style w:type="paragraph" w:styleId="ListParagraph">
    <w:name w:val="List Paragraph"/>
    <w:basedOn w:val="Normal"/>
    <w:uiPriority w:val="34"/>
    <w:qFormat/>
    <w:rsid w:val="000433AB"/>
    <w:pPr>
      <w:ind w:left="720"/>
      <w:contextualSpacing/>
    </w:pPr>
  </w:style>
  <w:style w:type="character" w:styleId="FollowedHyperlink">
    <w:name w:val="FollowedHyperlink"/>
    <w:basedOn w:val="DefaultParagraphFont"/>
    <w:uiPriority w:val="99"/>
    <w:semiHidden/>
    <w:unhideWhenUsed/>
    <w:rsid w:val="00B23372"/>
    <w:rPr>
      <w:color w:val="954F72" w:themeColor="followedHyperlink"/>
      <w:u w:val="single"/>
    </w:rPr>
  </w:style>
  <w:style w:type="character" w:customStyle="1" w:styleId="Heading1Char">
    <w:name w:val="Heading 1 Char"/>
    <w:basedOn w:val="DefaultParagraphFont"/>
    <w:link w:val="Heading1"/>
    <w:uiPriority w:val="9"/>
    <w:rsid w:val="00BB4D3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B4D3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B4D3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B4D3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B4D3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B4D3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B4D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D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4D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4D3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B4D3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B4D3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B4D3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B4D3F"/>
    <w:rPr>
      <w:color w:val="5A5A5A" w:themeColor="text1" w:themeTint="A5"/>
      <w:spacing w:val="10"/>
    </w:rPr>
  </w:style>
  <w:style w:type="character" w:styleId="Strong">
    <w:name w:val="Strong"/>
    <w:basedOn w:val="DefaultParagraphFont"/>
    <w:uiPriority w:val="22"/>
    <w:qFormat/>
    <w:rsid w:val="00BB4D3F"/>
    <w:rPr>
      <w:b/>
      <w:bCs/>
      <w:color w:val="000000" w:themeColor="text1"/>
    </w:rPr>
  </w:style>
  <w:style w:type="character" w:styleId="Emphasis">
    <w:name w:val="Emphasis"/>
    <w:basedOn w:val="DefaultParagraphFont"/>
    <w:uiPriority w:val="20"/>
    <w:qFormat/>
    <w:rsid w:val="00BB4D3F"/>
    <w:rPr>
      <w:i/>
      <w:iCs/>
      <w:color w:val="auto"/>
    </w:rPr>
  </w:style>
  <w:style w:type="paragraph" w:styleId="NoSpacing">
    <w:name w:val="No Spacing"/>
    <w:uiPriority w:val="1"/>
    <w:qFormat/>
    <w:rsid w:val="00BB4D3F"/>
    <w:pPr>
      <w:spacing w:after="0" w:line="240" w:lineRule="auto"/>
    </w:pPr>
  </w:style>
  <w:style w:type="paragraph" w:styleId="Quote">
    <w:name w:val="Quote"/>
    <w:basedOn w:val="Normal"/>
    <w:next w:val="Normal"/>
    <w:link w:val="QuoteChar"/>
    <w:uiPriority w:val="29"/>
    <w:qFormat/>
    <w:rsid w:val="00BB4D3F"/>
    <w:pPr>
      <w:spacing w:before="160"/>
      <w:ind w:left="720" w:right="720"/>
    </w:pPr>
    <w:rPr>
      <w:i/>
      <w:iCs/>
      <w:color w:val="000000" w:themeColor="text1"/>
    </w:rPr>
  </w:style>
  <w:style w:type="character" w:customStyle="1" w:styleId="QuoteChar">
    <w:name w:val="Quote Char"/>
    <w:basedOn w:val="DefaultParagraphFont"/>
    <w:link w:val="Quote"/>
    <w:uiPriority w:val="29"/>
    <w:rsid w:val="00BB4D3F"/>
    <w:rPr>
      <w:i/>
      <w:iCs/>
      <w:color w:val="000000" w:themeColor="text1"/>
    </w:rPr>
  </w:style>
  <w:style w:type="paragraph" w:styleId="IntenseQuote">
    <w:name w:val="Intense Quote"/>
    <w:basedOn w:val="Normal"/>
    <w:next w:val="Normal"/>
    <w:link w:val="IntenseQuoteChar"/>
    <w:uiPriority w:val="30"/>
    <w:qFormat/>
    <w:rsid w:val="00BB4D3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B4D3F"/>
    <w:rPr>
      <w:color w:val="000000" w:themeColor="text1"/>
      <w:shd w:val="clear" w:color="auto" w:fill="F2F2F2" w:themeFill="background1" w:themeFillShade="F2"/>
    </w:rPr>
  </w:style>
  <w:style w:type="character" w:styleId="SubtleEmphasis">
    <w:name w:val="Subtle Emphasis"/>
    <w:basedOn w:val="DefaultParagraphFont"/>
    <w:uiPriority w:val="19"/>
    <w:qFormat/>
    <w:rsid w:val="00BB4D3F"/>
    <w:rPr>
      <w:i/>
      <w:iCs/>
      <w:color w:val="404040" w:themeColor="text1" w:themeTint="BF"/>
    </w:rPr>
  </w:style>
  <w:style w:type="character" w:styleId="IntenseEmphasis">
    <w:name w:val="Intense Emphasis"/>
    <w:basedOn w:val="DefaultParagraphFont"/>
    <w:uiPriority w:val="21"/>
    <w:qFormat/>
    <w:rsid w:val="00BB4D3F"/>
    <w:rPr>
      <w:b/>
      <w:bCs/>
      <w:i/>
      <w:iCs/>
      <w:caps/>
    </w:rPr>
  </w:style>
  <w:style w:type="character" w:styleId="SubtleReference">
    <w:name w:val="Subtle Reference"/>
    <w:basedOn w:val="DefaultParagraphFont"/>
    <w:uiPriority w:val="31"/>
    <w:qFormat/>
    <w:rsid w:val="00BB4D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4D3F"/>
    <w:rPr>
      <w:b/>
      <w:bCs/>
      <w:smallCaps/>
      <w:u w:val="single"/>
    </w:rPr>
  </w:style>
  <w:style w:type="character" w:styleId="BookTitle">
    <w:name w:val="Book Title"/>
    <w:basedOn w:val="DefaultParagraphFont"/>
    <w:uiPriority w:val="33"/>
    <w:qFormat/>
    <w:rsid w:val="00BB4D3F"/>
    <w:rPr>
      <w:b w:val="0"/>
      <w:bCs w:val="0"/>
      <w:smallCaps/>
      <w:spacing w:val="5"/>
    </w:rPr>
  </w:style>
  <w:style w:type="paragraph" w:styleId="TOCHeading">
    <w:name w:val="TOC Heading"/>
    <w:basedOn w:val="Heading1"/>
    <w:next w:val="Normal"/>
    <w:uiPriority w:val="39"/>
    <w:semiHidden/>
    <w:unhideWhenUsed/>
    <w:qFormat/>
    <w:rsid w:val="00BB4D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9768">
      <w:bodyDiv w:val="1"/>
      <w:marLeft w:val="0"/>
      <w:marRight w:val="0"/>
      <w:marTop w:val="0"/>
      <w:marBottom w:val="0"/>
      <w:divBdr>
        <w:top w:val="none" w:sz="0" w:space="0" w:color="auto"/>
        <w:left w:val="none" w:sz="0" w:space="0" w:color="auto"/>
        <w:bottom w:val="none" w:sz="0" w:space="0" w:color="auto"/>
        <w:right w:val="none" w:sz="0" w:space="0" w:color="auto"/>
      </w:divBdr>
    </w:div>
    <w:div w:id="149904036">
      <w:bodyDiv w:val="1"/>
      <w:marLeft w:val="0"/>
      <w:marRight w:val="0"/>
      <w:marTop w:val="0"/>
      <w:marBottom w:val="0"/>
      <w:divBdr>
        <w:top w:val="none" w:sz="0" w:space="0" w:color="auto"/>
        <w:left w:val="none" w:sz="0" w:space="0" w:color="auto"/>
        <w:bottom w:val="none" w:sz="0" w:space="0" w:color="auto"/>
        <w:right w:val="none" w:sz="0" w:space="0" w:color="auto"/>
      </w:divBdr>
    </w:div>
    <w:div w:id="231158567">
      <w:bodyDiv w:val="1"/>
      <w:marLeft w:val="0"/>
      <w:marRight w:val="0"/>
      <w:marTop w:val="0"/>
      <w:marBottom w:val="0"/>
      <w:divBdr>
        <w:top w:val="none" w:sz="0" w:space="0" w:color="auto"/>
        <w:left w:val="none" w:sz="0" w:space="0" w:color="auto"/>
        <w:bottom w:val="none" w:sz="0" w:space="0" w:color="auto"/>
        <w:right w:val="none" w:sz="0" w:space="0" w:color="auto"/>
      </w:divBdr>
    </w:div>
    <w:div w:id="252712718">
      <w:bodyDiv w:val="1"/>
      <w:marLeft w:val="0"/>
      <w:marRight w:val="0"/>
      <w:marTop w:val="0"/>
      <w:marBottom w:val="0"/>
      <w:divBdr>
        <w:top w:val="none" w:sz="0" w:space="0" w:color="auto"/>
        <w:left w:val="none" w:sz="0" w:space="0" w:color="auto"/>
        <w:bottom w:val="none" w:sz="0" w:space="0" w:color="auto"/>
        <w:right w:val="none" w:sz="0" w:space="0" w:color="auto"/>
      </w:divBdr>
    </w:div>
    <w:div w:id="270668614">
      <w:bodyDiv w:val="1"/>
      <w:marLeft w:val="0"/>
      <w:marRight w:val="0"/>
      <w:marTop w:val="0"/>
      <w:marBottom w:val="0"/>
      <w:divBdr>
        <w:top w:val="none" w:sz="0" w:space="0" w:color="auto"/>
        <w:left w:val="none" w:sz="0" w:space="0" w:color="auto"/>
        <w:bottom w:val="none" w:sz="0" w:space="0" w:color="auto"/>
        <w:right w:val="none" w:sz="0" w:space="0" w:color="auto"/>
      </w:divBdr>
    </w:div>
    <w:div w:id="284315223">
      <w:bodyDiv w:val="1"/>
      <w:marLeft w:val="0"/>
      <w:marRight w:val="0"/>
      <w:marTop w:val="0"/>
      <w:marBottom w:val="0"/>
      <w:divBdr>
        <w:top w:val="none" w:sz="0" w:space="0" w:color="auto"/>
        <w:left w:val="none" w:sz="0" w:space="0" w:color="auto"/>
        <w:bottom w:val="none" w:sz="0" w:space="0" w:color="auto"/>
        <w:right w:val="none" w:sz="0" w:space="0" w:color="auto"/>
      </w:divBdr>
    </w:div>
    <w:div w:id="322316141">
      <w:bodyDiv w:val="1"/>
      <w:marLeft w:val="0"/>
      <w:marRight w:val="0"/>
      <w:marTop w:val="0"/>
      <w:marBottom w:val="0"/>
      <w:divBdr>
        <w:top w:val="none" w:sz="0" w:space="0" w:color="auto"/>
        <w:left w:val="none" w:sz="0" w:space="0" w:color="auto"/>
        <w:bottom w:val="none" w:sz="0" w:space="0" w:color="auto"/>
        <w:right w:val="none" w:sz="0" w:space="0" w:color="auto"/>
      </w:divBdr>
    </w:div>
    <w:div w:id="401757172">
      <w:bodyDiv w:val="1"/>
      <w:marLeft w:val="0"/>
      <w:marRight w:val="0"/>
      <w:marTop w:val="0"/>
      <w:marBottom w:val="0"/>
      <w:divBdr>
        <w:top w:val="none" w:sz="0" w:space="0" w:color="auto"/>
        <w:left w:val="none" w:sz="0" w:space="0" w:color="auto"/>
        <w:bottom w:val="none" w:sz="0" w:space="0" w:color="auto"/>
        <w:right w:val="none" w:sz="0" w:space="0" w:color="auto"/>
      </w:divBdr>
    </w:div>
    <w:div w:id="403378506">
      <w:bodyDiv w:val="1"/>
      <w:marLeft w:val="0"/>
      <w:marRight w:val="0"/>
      <w:marTop w:val="0"/>
      <w:marBottom w:val="0"/>
      <w:divBdr>
        <w:top w:val="none" w:sz="0" w:space="0" w:color="auto"/>
        <w:left w:val="none" w:sz="0" w:space="0" w:color="auto"/>
        <w:bottom w:val="none" w:sz="0" w:space="0" w:color="auto"/>
        <w:right w:val="none" w:sz="0" w:space="0" w:color="auto"/>
      </w:divBdr>
    </w:div>
    <w:div w:id="533232886">
      <w:bodyDiv w:val="1"/>
      <w:marLeft w:val="0"/>
      <w:marRight w:val="0"/>
      <w:marTop w:val="0"/>
      <w:marBottom w:val="0"/>
      <w:divBdr>
        <w:top w:val="none" w:sz="0" w:space="0" w:color="auto"/>
        <w:left w:val="none" w:sz="0" w:space="0" w:color="auto"/>
        <w:bottom w:val="none" w:sz="0" w:space="0" w:color="auto"/>
        <w:right w:val="none" w:sz="0" w:space="0" w:color="auto"/>
      </w:divBdr>
    </w:div>
    <w:div w:id="619452649">
      <w:bodyDiv w:val="1"/>
      <w:marLeft w:val="0"/>
      <w:marRight w:val="0"/>
      <w:marTop w:val="0"/>
      <w:marBottom w:val="0"/>
      <w:divBdr>
        <w:top w:val="none" w:sz="0" w:space="0" w:color="auto"/>
        <w:left w:val="none" w:sz="0" w:space="0" w:color="auto"/>
        <w:bottom w:val="none" w:sz="0" w:space="0" w:color="auto"/>
        <w:right w:val="none" w:sz="0" w:space="0" w:color="auto"/>
      </w:divBdr>
    </w:div>
    <w:div w:id="678777913">
      <w:bodyDiv w:val="1"/>
      <w:marLeft w:val="0"/>
      <w:marRight w:val="0"/>
      <w:marTop w:val="0"/>
      <w:marBottom w:val="0"/>
      <w:divBdr>
        <w:top w:val="none" w:sz="0" w:space="0" w:color="auto"/>
        <w:left w:val="none" w:sz="0" w:space="0" w:color="auto"/>
        <w:bottom w:val="none" w:sz="0" w:space="0" w:color="auto"/>
        <w:right w:val="none" w:sz="0" w:space="0" w:color="auto"/>
      </w:divBdr>
    </w:div>
    <w:div w:id="687828330">
      <w:bodyDiv w:val="1"/>
      <w:marLeft w:val="0"/>
      <w:marRight w:val="0"/>
      <w:marTop w:val="0"/>
      <w:marBottom w:val="0"/>
      <w:divBdr>
        <w:top w:val="none" w:sz="0" w:space="0" w:color="auto"/>
        <w:left w:val="none" w:sz="0" w:space="0" w:color="auto"/>
        <w:bottom w:val="none" w:sz="0" w:space="0" w:color="auto"/>
        <w:right w:val="none" w:sz="0" w:space="0" w:color="auto"/>
      </w:divBdr>
    </w:div>
    <w:div w:id="774711370">
      <w:bodyDiv w:val="1"/>
      <w:marLeft w:val="0"/>
      <w:marRight w:val="0"/>
      <w:marTop w:val="0"/>
      <w:marBottom w:val="0"/>
      <w:divBdr>
        <w:top w:val="none" w:sz="0" w:space="0" w:color="auto"/>
        <w:left w:val="none" w:sz="0" w:space="0" w:color="auto"/>
        <w:bottom w:val="none" w:sz="0" w:space="0" w:color="auto"/>
        <w:right w:val="none" w:sz="0" w:space="0" w:color="auto"/>
      </w:divBdr>
    </w:div>
    <w:div w:id="791368565">
      <w:bodyDiv w:val="1"/>
      <w:marLeft w:val="0"/>
      <w:marRight w:val="0"/>
      <w:marTop w:val="0"/>
      <w:marBottom w:val="0"/>
      <w:divBdr>
        <w:top w:val="none" w:sz="0" w:space="0" w:color="auto"/>
        <w:left w:val="none" w:sz="0" w:space="0" w:color="auto"/>
        <w:bottom w:val="none" w:sz="0" w:space="0" w:color="auto"/>
        <w:right w:val="none" w:sz="0" w:space="0" w:color="auto"/>
      </w:divBdr>
    </w:div>
    <w:div w:id="793407032">
      <w:bodyDiv w:val="1"/>
      <w:marLeft w:val="0"/>
      <w:marRight w:val="0"/>
      <w:marTop w:val="0"/>
      <w:marBottom w:val="0"/>
      <w:divBdr>
        <w:top w:val="none" w:sz="0" w:space="0" w:color="auto"/>
        <w:left w:val="none" w:sz="0" w:space="0" w:color="auto"/>
        <w:bottom w:val="none" w:sz="0" w:space="0" w:color="auto"/>
        <w:right w:val="none" w:sz="0" w:space="0" w:color="auto"/>
      </w:divBdr>
    </w:div>
    <w:div w:id="821237881">
      <w:bodyDiv w:val="1"/>
      <w:marLeft w:val="0"/>
      <w:marRight w:val="0"/>
      <w:marTop w:val="0"/>
      <w:marBottom w:val="0"/>
      <w:divBdr>
        <w:top w:val="none" w:sz="0" w:space="0" w:color="auto"/>
        <w:left w:val="none" w:sz="0" w:space="0" w:color="auto"/>
        <w:bottom w:val="none" w:sz="0" w:space="0" w:color="auto"/>
        <w:right w:val="none" w:sz="0" w:space="0" w:color="auto"/>
      </w:divBdr>
    </w:div>
    <w:div w:id="917520360">
      <w:bodyDiv w:val="1"/>
      <w:marLeft w:val="0"/>
      <w:marRight w:val="0"/>
      <w:marTop w:val="0"/>
      <w:marBottom w:val="0"/>
      <w:divBdr>
        <w:top w:val="none" w:sz="0" w:space="0" w:color="auto"/>
        <w:left w:val="none" w:sz="0" w:space="0" w:color="auto"/>
        <w:bottom w:val="none" w:sz="0" w:space="0" w:color="auto"/>
        <w:right w:val="none" w:sz="0" w:space="0" w:color="auto"/>
      </w:divBdr>
    </w:div>
    <w:div w:id="982613553">
      <w:bodyDiv w:val="1"/>
      <w:marLeft w:val="0"/>
      <w:marRight w:val="0"/>
      <w:marTop w:val="0"/>
      <w:marBottom w:val="0"/>
      <w:divBdr>
        <w:top w:val="none" w:sz="0" w:space="0" w:color="auto"/>
        <w:left w:val="none" w:sz="0" w:space="0" w:color="auto"/>
        <w:bottom w:val="none" w:sz="0" w:space="0" w:color="auto"/>
        <w:right w:val="none" w:sz="0" w:space="0" w:color="auto"/>
      </w:divBdr>
    </w:div>
    <w:div w:id="1074664603">
      <w:bodyDiv w:val="1"/>
      <w:marLeft w:val="0"/>
      <w:marRight w:val="0"/>
      <w:marTop w:val="0"/>
      <w:marBottom w:val="0"/>
      <w:divBdr>
        <w:top w:val="none" w:sz="0" w:space="0" w:color="auto"/>
        <w:left w:val="none" w:sz="0" w:space="0" w:color="auto"/>
        <w:bottom w:val="none" w:sz="0" w:space="0" w:color="auto"/>
        <w:right w:val="none" w:sz="0" w:space="0" w:color="auto"/>
      </w:divBdr>
    </w:div>
    <w:div w:id="1080561706">
      <w:bodyDiv w:val="1"/>
      <w:marLeft w:val="0"/>
      <w:marRight w:val="0"/>
      <w:marTop w:val="0"/>
      <w:marBottom w:val="0"/>
      <w:divBdr>
        <w:top w:val="none" w:sz="0" w:space="0" w:color="auto"/>
        <w:left w:val="none" w:sz="0" w:space="0" w:color="auto"/>
        <w:bottom w:val="none" w:sz="0" w:space="0" w:color="auto"/>
        <w:right w:val="none" w:sz="0" w:space="0" w:color="auto"/>
      </w:divBdr>
    </w:div>
    <w:div w:id="1101144475">
      <w:bodyDiv w:val="1"/>
      <w:marLeft w:val="0"/>
      <w:marRight w:val="0"/>
      <w:marTop w:val="0"/>
      <w:marBottom w:val="0"/>
      <w:divBdr>
        <w:top w:val="none" w:sz="0" w:space="0" w:color="auto"/>
        <w:left w:val="none" w:sz="0" w:space="0" w:color="auto"/>
        <w:bottom w:val="none" w:sz="0" w:space="0" w:color="auto"/>
        <w:right w:val="none" w:sz="0" w:space="0" w:color="auto"/>
      </w:divBdr>
    </w:div>
    <w:div w:id="1146584374">
      <w:bodyDiv w:val="1"/>
      <w:marLeft w:val="0"/>
      <w:marRight w:val="0"/>
      <w:marTop w:val="0"/>
      <w:marBottom w:val="0"/>
      <w:divBdr>
        <w:top w:val="none" w:sz="0" w:space="0" w:color="auto"/>
        <w:left w:val="none" w:sz="0" w:space="0" w:color="auto"/>
        <w:bottom w:val="none" w:sz="0" w:space="0" w:color="auto"/>
        <w:right w:val="none" w:sz="0" w:space="0" w:color="auto"/>
      </w:divBdr>
    </w:div>
    <w:div w:id="1230261962">
      <w:bodyDiv w:val="1"/>
      <w:marLeft w:val="0"/>
      <w:marRight w:val="0"/>
      <w:marTop w:val="0"/>
      <w:marBottom w:val="0"/>
      <w:divBdr>
        <w:top w:val="none" w:sz="0" w:space="0" w:color="auto"/>
        <w:left w:val="none" w:sz="0" w:space="0" w:color="auto"/>
        <w:bottom w:val="none" w:sz="0" w:space="0" w:color="auto"/>
        <w:right w:val="none" w:sz="0" w:space="0" w:color="auto"/>
      </w:divBdr>
    </w:div>
    <w:div w:id="1241407762">
      <w:bodyDiv w:val="1"/>
      <w:marLeft w:val="0"/>
      <w:marRight w:val="0"/>
      <w:marTop w:val="0"/>
      <w:marBottom w:val="0"/>
      <w:divBdr>
        <w:top w:val="none" w:sz="0" w:space="0" w:color="auto"/>
        <w:left w:val="none" w:sz="0" w:space="0" w:color="auto"/>
        <w:bottom w:val="none" w:sz="0" w:space="0" w:color="auto"/>
        <w:right w:val="none" w:sz="0" w:space="0" w:color="auto"/>
      </w:divBdr>
    </w:div>
    <w:div w:id="1248077129">
      <w:bodyDiv w:val="1"/>
      <w:marLeft w:val="0"/>
      <w:marRight w:val="0"/>
      <w:marTop w:val="0"/>
      <w:marBottom w:val="0"/>
      <w:divBdr>
        <w:top w:val="none" w:sz="0" w:space="0" w:color="auto"/>
        <w:left w:val="none" w:sz="0" w:space="0" w:color="auto"/>
        <w:bottom w:val="none" w:sz="0" w:space="0" w:color="auto"/>
        <w:right w:val="none" w:sz="0" w:space="0" w:color="auto"/>
      </w:divBdr>
    </w:div>
    <w:div w:id="1345665626">
      <w:bodyDiv w:val="1"/>
      <w:marLeft w:val="0"/>
      <w:marRight w:val="0"/>
      <w:marTop w:val="0"/>
      <w:marBottom w:val="0"/>
      <w:divBdr>
        <w:top w:val="none" w:sz="0" w:space="0" w:color="auto"/>
        <w:left w:val="none" w:sz="0" w:space="0" w:color="auto"/>
        <w:bottom w:val="none" w:sz="0" w:space="0" w:color="auto"/>
        <w:right w:val="none" w:sz="0" w:space="0" w:color="auto"/>
      </w:divBdr>
    </w:div>
    <w:div w:id="1356422039">
      <w:bodyDiv w:val="1"/>
      <w:marLeft w:val="0"/>
      <w:marRight w:val="0"/>
      <w:marTop w:val="0"/>
      <w:marBottom w:val="0"/>
      <w:divBdr>
        <w:top w:val="none" w:sz="0" w:space="0" w:color="auto"/>
        <w:left w:val="none" w:sz="0" w:space="0" w:color="auto"/>
        <w:bottom w:val="none" w:sz="0" w:space="0" w:color="auto"/>
        <w:right w:val="none" w:sz="0" w:space="0" w:color="auto"/>
      </w:divBdr>
    </w:div>
    <w:div w:id="1430197996">
      <w:bodyDiv w:val="1"/>
      <w:marLeft w:val="0"/>
      <w:marRight w:val="0"/>
      <w:marTop w:val="0"/>
      <w:marBottom w:val="0"/>
      <w:divBdr>
        <w:top w:val="none" w:sz="0" w:space="0" w:color="auto"/>
        <w:left w:val="none" w:sz="0" w:space="0" w:color="auto"/>
        <w:bottom w:val="none" w:sz="0" w:space="0" w:color="auto"/>
        <w:right w:val="none" w:sz="0" w:space="0" w:color="auto"/>
      </w:divBdr>
    </w:div>
    <w:div w:id="1665358898">
      <w:bodyDiv w:val="1"/>
      <w:marLeft w:val="0"/>
      <w:marRight w:val="0"/>
      <w:marTop w:val="0"/>
      <w:marBottom w:val="0"/>
      <w:divBdr>
        <w:top w:val="none" w:sz="0" w:space="0" w:color="auto"/>
        <w:left w:val="none" w:sz="0" w:space="0" w:color="auto"/>
        <w:bottom w:val="none" w:sz="0" w:space="0" w:color="auto"/>
        <w:right w:val="none" w:sz="0" w:space="0" w:color="auto"/>
      </w:divBdr>
    </w:div>
    <w:div w:id="1722439988">
      <w:bodyDiv w:val="1"/>
      <w:marLeft w:val="0"/>
      <w:marRight w:val="0"/>
      <w:marTop w:val="0"/>
      <w:marBottom w:val="0"/>
      <w:divBdr>
        <w:top w:val="none" w:sz="0" w:space="0" w:color="auto"/>
        <w:left w:val="none" w:sz="0" w:space="0" w:color="auto"/>
        <w:bottom w:val="none" w:sz="0" w:space="0" w:color="auto"/>
        <w:right w:val="none" w:sz="0" w:space="0" w:color="auto"/>
      </w:divBdr>
    </w:div>
    <w:div w:id="1762097359">
      <w:bodyDiv w:val="1"/>
      <w:marLeft w:val="0"/>
      <w:marRight w:val="0"/>
      <w:marTop w:val="0"/>
      <w:marBottom w:val="0"/>
      <w:divBdr>
        <w:top w:val="none" w:sz="0" w:space="0" w:color="auto"/>
        <w:left w:val="none" w:sz="0" w:space="0" w:color="auto"/>
        <w:bottom w:val="none" w:sz="0" w:space="0" w:color="auto"/>
        <w:right w:val="none" w:sz="0" w:space="0" w:color="auto"/>
      </w:divBdr>
    </w:div>
    <w:div w:id="1855340943">
      <w:bodyDiv w:val="1"/>
      <w:marLeft w:val="0"/>
      <w:marRight w:val="0"/>
      <w:marTop w:val="0"/>
      <w:marBottom w:val="0"/>
      <w:divBdr>
        <w:top w:val="none" w:sz="0" w:space="0" w:color="auto"/>
        <w:left w:val="none" w:sz="0" w:space="0" w:color="auto"/>
        <w:bottom w:val="none" w:sz="0" w:space="0" w:color="auto"/>
        <w:right w:val="none" w:sz="0" w:space="0" w:color="auto"/>
      </w:divBdr>
    </w:div>
    <w:div w:id="1905793775">
      <w:bodyDiv w:val="1"/>
      <w:marLeft w:val="0"/>
      <w:marRight w:val="0"/>
      <w:marTop w:val="0"/>
      <w:marBottom w:val="0"/>
      <w:divBdr>
        <w:top w:val="none" w:sz="0" w:space="0" w:color="auto"/>
        <w:left w:val="none" w:sz="0" w:space="0" w:color="auto"/>
        <w:bottom w:val="none" w:sz="0" w:space="0" w:color="auto"/>
        <w:right w:val="none" w:sz="0" w:space="0" w:color="auto"/>
      </w:divBdr>
    </w:div>
    <w:div w:id="1972898473">
      <w:bodyDiv w:val="1"/>
      <w:marLeft w:val="0"/>
      <w:marRight w:val="0"/>
      <w:marTop w:val="0"/>
      <w:marBottom w:val="0"/>
      <w:divBdr>
        <w:top w:val="none" w:sz="0" w:space="0" w:color="auto"/>
        <w:left w:val="none" w:sz="0" w:space="0" w:color="auto"/>
        <w:bottom w:val="none" w:sz="0" w:space="0" w:color="auto"/>
        <w:right w:val="none" w:sz="0" w:space="0" w:color="auto"/>
      </w:divBdr>
    </w:div>
    <w:div w:id="2001305436">
      <w:bodyDiv w:val="1"/>
      <w:marLeft w:val="0"/>
      <w:marRight w:val="0"/>
      <w:marTop w:val="0"/>
      <w:marBottom w:val="0"/>
      <w:divBdr>
        <w:top w:val="none" w:sz="0" w:space="0" w:color="auto"/>
        <w:left w:val="none" w:sz="0" w:space="0" w:color="auto"/>
        <w:bottom w:val="none" w:sz="0" w:space="0" w:color="auto"/>
        <w:right w:val="none" w:sz="0" w:space="0" w:color="auto"/>
      </w:divBdr>
    </w:div>
    <w:div w:id="2031949400">
      <w:bodyDiv w:val="1"/>
      <w:marLeft w:val="0"/>
      <w:marRight w:val="0"/>
      <w:marTop w:val="0"/>
      <w:marBottom w:val="0"/>
      <w:divBdr>
        <w:top w:val="none" w:sz="0" w:space="0" w:color="auto"/>
        <w:left w:val="none" w:sz="0" w:space="0" w:color="auto"/>
        <w:bottom w:val="none" w:sz="0" w:space="0" w:color="auto"/>
        <w:right w:val="none" w:sz="0" w:space="0" w:color="auto"/>
      </w:divBdr>
    </w:div>
    <w:div w:id="20676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antimicrobial-stewardship-start-smart-then-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959D-5FCE-4209-8573-02EF58CF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Wootton, Dan</dc:creator>
  <cp:lastModifiedBy>Wootton, Dan</cp:lastModifiedBy>
  <cp:revision>14</cp:revision>
  <dcterms:created xsi:type="dcterms:W3CDTF">2019-10-26T16:12:00Z</dcterms:created>
  <dcterms:modified xsi:type="dcterms:W3CDTF">2019-10-27T11:24:00Z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9015</vt:lpwstr>
  </property>
  <property fmtid="{D5CDD505-2E9C-101B-9397-08002B2CF9AE}" pid="3" name="WnCSubscriberId">
    <vt:lpwstr>4115</vt:lpwstr>
  </property>
  <property fmtid="{D5CDD505-2E9C-101B-9397-08002B2CF9AE}" pid="4" name="WnCOutputStyleId">
    <vt:lpwstr>2260</vt:lpwstr>
  </property>
  <property fmtid="{D5CDD505-2E9C-101B-9397-08002B2CF9AE}" pid="5" name="RWProductId">
    <vt:lpwstr>WnC</vt:lpwstr>
  </property>
  <property fmtid="{D5CDD505-2E9C-101B-9397-08002B2CF9AE}" pid="6" name="WnC4Folder">
    <vt:lpwstr>Documents///HAP opinion for JHI v3</vt:lpwstr>
  </property>
</Properties>
</file>