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6477D" w14:textId="3ADCF873" w:rsidR="00754C23" w:rsidRPr="00C96B0F" w:rsidRDefault="00AD2B4C" w:rsidP="00B36736">
      <w:pPr>
        <w:spacing w:line="480" w:lineRule="auto"/>
        <w:jc w:val="center"/>
        <w:rPr>
          <w:rFonts w:asciiTheme="majorHAnsi" w:hAnsiTheme="majorHAnsi"/>
          <w:b/>
          <w:sz w:val="28"/>
          <w:szCs w:val="28"/>
        </w:rPr>
      </w:pPr>
      <w:r w:rsidRPr="00C96B0F">
        <w:rPr>
          <w:rFonts w:asciiTheme="majorHAnsi" w:hAnsiTheme="majorHAnsi"/>
          <w:b/>
          <w:sz w:val="28"/>
          <w:szCs w:val="28"/>
        </w:rPr>
        <w:softHyphen/>
      </w:r>
      <w:r w:rsidRPr="00C96B0F">
        <w:rPr>
          <w:rFonts w:asciiTheme="majorHAnsi" w:hAnsiTheme="majorHAnsi"/>
          <w:b/>
          <w:sz w:val="28"/>
          <w:szCs w:val="28"/>
        </w:rPr>
        <w:softHyphen/>
      </w:r>
      <w:r w:rsidR="00754C23" w:rsidRPr="00C96B0F">
        <w:rPr>
          <w:rFonts w:asciiTheme="majorHAnsi" w:hAnsiTheme="majorHAnsi"/>
          <w:b/>
          <w:sz w:val="28"/>
          <w:szCs w:val="28"/>
        </w:rPr>
        <w:t xml:space="preserve">Duration and density of </w:t>
      </w:r>
      <w:r w:rsidR="003368DD" w:rsidRPr="00C96B0F">
        <w:rPr>
          <w:rFonts w:asciiTheme="majorHAnsi" w:hAnsiTheme="majorHAnsi"/>
          <w:b/>
          <w:sz w:val="28"/>
          <w:szCs w:val="28"/>
        </w:rPr>
        <w:t xml:space="preserve">faecal </w:t>
      </w:r>
      <w:r w:rsidR="00754C23" w:rsidRPr="00C96B0F">
        <w:rPr>
          <w:rFonts w:asciiTheme="majorHAnsi" w:hAnsiTheme="majorHAnsi"/>
          <w:b/>
          <w:sz w:val="28"/>
          <w:szCs w:val="28"/>
        </w:rPr>
        <w:t xml:space="preserve">rotavirus shedding in </w:t>
      </w:r>
      <w:r w:rsidR="003368DD" w:rsidRPr="00C96B0F">
        <w:rPr>
          <w:rFonts w:asciiTheme="majorHAnsi" w:hAnsiTheme="majorHAnsi"/>
          <w:b/>
          <w:sz w:val="28"/>
          <w:szCs w:val="28"/>
        </w:rPr>
        <w:t xml:space="preserve">vaccinated </w:t>
      </w:r>
      <w:r w:rsidR="003170CA" w:rsidRPr="00C96B0F">
        <w:rPr>
          <w:rFonts w:asciiTheme="majorHAnsi" w:hAnsiTheme="majorHAnsi"/>
          <w:b/>
          <w:sz w:val="28"/>
          <w:szCs w:val="28"/>
        </w:rPr>
        <w:t xml:space="preserve">Malawian </w:t>
      </w:r>
      <w:r w:rsidR="00754C23" w:rsidRPr="00C96B0F">
        <w:rPr>
          <w:rFonts w:asciiTheme="majorHAnsi" w:hAnsiTheme="majorHAnsi"/>
          <w:b/>
          <w:sz w:val="28"/>
          <w:szCs w:val="28"/>
        </w:rPr>
        <w:t xml:space="preserve">children with rotavirus </w:t>
      </w:r>
      <w:r w:rsidR="003368DD" w:rsidRPr="00C96B0F">
        <w:rPr>
          <w:rFonts w:asciiTheme="majorHAnsi" w:hAnsiTheme="majorHAnsi"/>
          <w:b/>
          <w:sz w:val="28"/>
          <w:szCs w:val="28"/>
        </w:rPr>
        <w:t>gastroenteritis</w:t>
      </w:r>
    </w:p>
    <w:p w14:paraId="721D2DF8" w14:textId="6E423CCD" w:rsidR="008C4409" w:rsidRPr="00C96B0F" w:rsidRDefault="008C4409" w:rsidP="008C4409">
      <w:pPr>
        <w:spacing w:line="360" w:lineRule="auto"/>
        <w:jc w:val="both"/>
        <w:rPr>
          <w:rFonts w:asciiTheme="majorHAnsi" w:hAnsiTheme="majorHAnsi" w:cs="Times New Roman"/>
        </w:rPr>
      </w:pPr>
      <w:r w:rsidRPr="00C96B0F">
        <w:rPr>
          <w:rFonts w:asciiTheme="majorHAnsi" w:hAnsiTheme="majorHAnsi" w:cs="Times New Roman"/>
        </w:rPr>
        <w:t>Aisleen Bennett</w:t>
      </w:r>
      <w:r w:rsidRPr="00C96B0F">
        <w:rPr>
          <w:rFonts w:asciiTheme="majorHAnsi" w:hAnsiTheme="majorHAnsi" w:cs="Times New Roman"/>
          <w:vertAlign w:val="superscript"/>
        </w:rPr>
        <w:t>1,2,</w:t>
      </w:r>
      <w:r w:rsidRPr="00C96B0F">
        <w:rPr>
          <w:rFonts w:asciiTheme="majorHAnsi" w:hAnsiTheme="majorHAnsi" w:cs="Times New Roman"/>
        </w:rPr>
        <w:t>, Louisa Pollock</w:t>
      </w:r>
      <w:r w:rsidRPr="00C96B0F">
        <w:rPr>
          <w:rFonts w:asciiTheme="majorHAnsi" w:hAnsiTheme="majorHAnsi" w:cs="Times New Roman"/>
          <w:vertAlign w:val="superscript"/>
        </w:rPr>
        <w:t>1,2</w:t>
      </w:r>
      <w:r w:rsidRPr="00C96B0F">
        <w:rPr>
          <w:rFonts w:asciiTheme="majorHAnsi" w:hAnsiTheme="majorHAnsi" w:cs="Times New Roman"/>
        </w:rPr>
        <w:t xml:space="preserve">, </w:t>
      </w:r>
      <w:proofErr w:type="spellStart"/>
      <w:r w:rsidRPr="00C96B0F">
        <w:rPr>
          <w:rFonts w:asciiTheme="majorHAnsi" w:hAnsiTheme="majorHAnsi" w:cs="Times New Roman"/>
        </w:rPr>
        <w:t>Khuzwayo</w:t>
      </w:r>
      <w:proofErr w:type="spellEnd"/>
      <w:r w:rsidRPr="00C96B0F">
        <w:rPr>
          <w:rFonts w:asciiTheme="majorHAnsi" w:hAnsiTheme="majorHAnsi" w:cs="Times New Roman"/>
        </w:rPr>
        <w:t xml:space="preserve"> C. Jere</w:t>
      </w:r>
      <w:r w:rsidRPr="00C96B0F">
        <w:rPr>
          <w:rFonts w:asciiTheme="majorHAnsi" w:hAnsiTheme="majorHAnsi" w:cs="Times New Roman"/>
          <w:vertAlign w:val="superscript"/>
        </w:rPr>
        <w:t>1,2</w:t>
      </w:r>
      <w:r w:rsidRPr="00C96B0F">
        <w:rPr>
          <w:rFonts w:asciiTheme="majorHAnsi" w:hAnsiTheme="majorHAnsi" w:cs="Times New Roman"/>
        </w:rPr>
        <w:t>, Virginia E. Pitzer</w:t>
      </w:r>
      <w:r w:rsidR="006F2925">
        <w:rPr>
          <w:rFonts w:asciiTheme="majorHAnsi" w:hAnsiTheme="majorHAnsi" w:cs="Times New Roman"/>
          <w:vertAlign w:val="superscript"/>
        </w:rPr>
        <w:t>3</w:t>
      </w:r>
      <w:r w:rsidRPr="00C96B0F">
        <w:rPr>
          <w:rFonts w:asciiTheme="majorHAnsi" w:hAnsiTheme="majorHAnsi" w:cs="Times New Roman"/>
        </w:rPr>
        <w:t>, Benjamin Lopman</w:t>
      </w:r>
      <w:r w:rsidR="006F2925">
        <w:rPr>
          <w:rFonts w:asciiTheme="majorHAnsi" w:hAnsiTheme="majorHAnsi" w:cs="Times New Roman"/>
          <w:vertAlign w:val="superscript"/>
        </w:rPr>
        <w:t>4</w:t>
      </w:r>
      <w:r w:rsidRPr="00C96B0F">
        <w:rPr>
          <w:rFonts w:asciiTheme="majorHAnsi" w:hAnsiTheme="majorHAnsi" w:cs="Times New Roman"/>
        </w:rPr>
        <w:t xml:space="preserve">, </w:t>
      </w:r>
      <w:proofErr w:type="spellStart"/>
      <w:r w:rsidRPr="00C96B0F">
        <w:rPr>
          <w:rFonts w:asciiTheme="majorHAnsi" w:hAnsiTheme="majorHAnsi" w:cs="Times New Roman"/>
        </w:rPr>
        <w:t>Naor</w:t>
      </w:r>
      <w:proofErr w:type="spellEnd"/>
      <w:r w:rsidRPr="00C96B0F">
        <w:rPr>
          <w:rFonts w:asciiTheme="majorHAnsi" w:hAnsiTheme="majorHAnsi" w:cs="Times New Roman"/>
        </w:rPr>
        <w:t xml:space="preserve"> Bar-Zeev</w:t>
      </w:r>
      <w:r w:rsidRPr="00C96B0F">
        <w:rPr>
          <w:rFonts w:asciiTheme="majorHAnsi" w:hAnsiTheme="majorHAnsi" w:cs="Times New Roman"/>
          <w:vertAlign w:val="superscript"/>
        </w:rPr>
        <w:t>1,</w:t>
      </w:r>
      <w:r w:rsidR="006F2925">
        <w:rPr>
          <w:rFonts w:asciiTheme="majorHAnsi" w:hAnsiTheme="majorHAnsi" w:cs="Times New Roman"/>
          <w:vertAlign w:val="superscript"/>
        </w:rPr>
        <w:t>5</w:t>
      </w:r>
      <w:r w:rsidRPr="00C96B0F">
        <w:rPr>
          <w:rFonts w:asciiTheme="majorHAnsi" w:hAnsiTheme="majorHAnsi" w:cs="Times New Roman"/>
        </w:rPr>
        <w:t xml:space="preserve">, </w:t>
      </w:r>
      <w:proofErr w:type="spellStart"/>
      <w:r w:rsidRPr="00C96B0F">
        <w:rPr>
          <w:rFonts w:asciiTheme="majorHAnsi" w:hAnsiTheme="majorHAnsi" w:cs="Times New Roman"/>
        </w:rPr>
        <w:t>Miren</w:t>
      </w:r>
      <w:proofErr w:type="spellEnd"/>
      <w:r w:rsidRPr="00C96B0F">
        <w:rPr>
          <w:rFonts w:asciiTheme="majorHAnsi" w:hAnsiTheme="majorHAnsi" w:cs="Times New Roman"/>
        </w:rPr>
        <w:t xml:space="preserve"> Iturriza-Gomara</w:t>
      </w:r>
      <w:r w:rsidRPr="00C96B0F">
        <w:rPr>
          <w:rFonts w:asciiTheme="majorHAnsi" w:hAnsiTheme="majorHAnsi" w:cs="Times New Roman"/>
          <w:vertAlign w:val="superscript"/>
        </w:rPr>
        <w:t>1,2,</w:t>
      </w:r>
      <w:r w:rsidR="006F2925">
        <w:rPr>
          <w:rFonts w:asciiTheme="majorHAnsi" w:hAnsiTheme="majorHAnsi" w:cs="Times New Roman"/>
          <w:vertAlign w:val="superscript"/>
        </w:rPr>
        <w:t>6</w:t>
      </w:r>
      <w:r w:rsidRPr="00C96B0F">
        <w:rPr>
          <w:rFonts w:asciiTheme="majorHAnsi" w:hAnsiTheme="majorHAnsi" w:cs="Times New Roman"/>
        </w:rPr>
        <w:t>,</w:t>
      </w:r>
      <w:r w:rsidR="00D15834">
        <w:rPr>
          <w:rFonts w:asciiTheme="majorHAnsi" w:hAnsiTheme="majorHAnsi" w:cs="Times New Roman"/>
        </w:rPr>
        <w:t xml:space="preserve"> </w:t>
      </w:r>
      <w:r w:rsidRPr="00C96B0F">
        <w:rPr>
          <w:rFonts w:asciiTheme="majorHAnsi" w:hAnsiTheme="majorHAnsi" w:cs="Times New Roman"/>
        </w:rPr>
        <w:t>Nigel A. Cunliffe</w:t>
      </w:r>
      <w:r w:rsidRPr="00C96B0F">
        <w:rPr>
          <w:rFonts w:asciiTheme="majorHAnsi" w:hAnsiTheme="majorHAnsi" w:cs="Times New Roman"/>
          <w:vertAlign w:val="superscript"/>
        </w:rPr>
        <w:t>1,2</w:t>
      </w:r>
    </w:p>
    <w:p w14:paraId="64796FBD" w14:textId="77777777" w:rsidR="008C4409" w:rsidRPr="00C96B0F" w:rsidRDefault="008C4409" w:rsidP="008C4409">
      <w:pPr>
        <w:spacing w:line="360" w:lineRule="auto"/>
        <w:jc w:val="both"/>
        <w:rPr>
          <w:rFonts w:asciiTheme="majorHAnsi" w:hAnsiTheme="majorHAnsi" w:cs="Times New Roman"/>
        </w:rPr>
      </w:pPr>
      <w:r w:rsidRPr="00C96B0F">
        <w:rPr>
          <w:rFonts w:asciiTheme="majorHAnsi" w:hAnsiTheme="majorHAnsi" w:cs="Times New Roman"/>
        </w:rPr>
        <w:t xml:space="preserve">1.Malawi-Liverpool-Wellcome Trust Clinical Research Programme, College of Medicine, University of Malawi, Blantyre, Malawi. </w:t>
      </w:r>
    </w:p>
    <w:p w14:paraId="21C0A51E" w14:textId="77777777" w:rsidR="008C4409" w:rsidRPr="00C96B0F" w:rsidRDefault="008C4409" w:rsidP="008C4409">
      <w:pPr>
        <w:spacing w:line="360" w:lineRule="auto"/>
        <w:jc w:val="both"/>
        <w:rPr>
          <w:rFonts w:asciiTheme="majorHAnsi" w:hAnsiTheme="majorHAnsi" w:cs="Times New Roman"/>
        </w:rPr>
      </w:pPr>
      <w:r w:rsidRPr="00C96B0F">
        <w:rPr>
          <w:rFonts w:asciiTheme="majorHAnsi" w:hAnsiTheme="majorHAnsi" w:cs="Times New Roman"/>
        </w:rPr>
        <w:t>2. Centre for Global Vaccine Research, Institute of Infection &amp; Global Health, University of Liverpool, Liverpool, UK</w:t>
      </w:r>
    </w:p>
    <w:p w14:paraId="52ADCD7C" w14:textId="3F8C3C9E" w:rsidR="008C4409" w:rsidRPr="00C96B0F" w:rsidRDefault="006F2925" w:rsidP="008C4409">
      <w:pPr>
        <w:spacing w:line="360" w:lineRule="auto"/>
        <w:jc w:val="both"/>
        <w:rPr>
          <w:rFonts w:asciiTheme="majorHAnsi" w:hAnsiTheme="majorHAnsi" w:cs="Times New Roman"/>
        </w:rPr>
      </w:pPr>
      <w:r>
        <w:rPr>
          <w:rFonts w:asciiTheme="majorHAnsi" w:hAnsiTheme="majorHAnsi" w:cs="Times New Roman"/>
        </w:rPr>
        <w:t>3</w:t>
      </w:r>
      <w:r w:rsidR="008C4409" w:rsidRPr="00C96B0F">
        <w:rPr>
          <w:rFonts w:asciiTheme="majorHAnsi" w:hAnsiTheme="majorHAnsi" w:cs="Times New Roman"/>
        </w:rPr>
        <w:t>. Department of Epidemiology of Microbial Diseases, Yale School of Public Health, Yale University, New Haven, USA.</w:t>
      </w:r>
    </w:p>
    <w:p w14:paraId="70B0FEF6" w14:textId="75D59ABB" w:rsidR="008C4409" w:rsidRPr="00C96B0F" w:rsidRDefault="006F2925" w:rsidP="008C4409">
      <w:pPr>
        <w:spacing w:line="360" w:lineRule="auto"/>
        <w:jc w:val="both"/>
        <w:rPr>
          <w:rFonts w:asciiTheme="majorHAnsi" w:hAnsiTheme="majorHAnsi" w:cs="Times New Roman"/>
        </w:rPr>
      </w:pPr>
      <w:r>
        <w:rPr>
          <w:rFonts w:asciiTheme="majorHAnsi" w:hAnsiTheme="majorHAnsi" w:cs="Times New Roman"/>
        </w:rPr>
        <w:t>4</w:t>
      </w:r>
      <w:r w:rsidR="008C4409" w:rsidRPr="00C96B0F">
        <w:rPr>
          <w:rFonts w:asciiTheme="majorHAnsi" w:hAnsiTheme="majorHAnsi" w:cs="Times New Roman"/>
        </w:rPr>
        <w:t xml:space="preserve">. </w:t>
      </w:r>
      <w:r w:rsidR="008C4409" w:rsidRPr="00C96B0F">
        <w:rPr>
          <w:rFonts w:asciiTheme="majorHAnsi" w:hAnsiTheme="majorHAnsi" w:cs="Times New Roman"/>
          <w:color w:val="222222"/>
          <w:shd w:val="clear" w:color="auto" w:fill="FFFFFF"/>
        </w:rPr>
        <w:t>Department of Epidemiology, Rollins School of Public Health, Emory University, Atlanta, USA</w:t>
      </w:r>
    </w:p>
    <w:p w14:paraId="5132194E" w14:textId="7BCD3DA6" w:rsidR="008C4409" w:rsidRPr="00C96B0F" w:rsidRDefault="006F2925" w:rsidP="008C4409">
      <w:pPr>
        <w:pStyle w:val="Default"/>
        <w:spacing w:line="360" w:lineRule="auto"/>
        <w:jc w:val="both"/>
        <w:rPr>
          <w:rFonts w:asciiTheme="majorHAnsi" w:hAnsiTheme="majorHAnsi" w:cs="Times New Roman"/>
          <w:sz w:val="22"/>
          <w:szCs w:val="22"/>
        </w:rPr>
      </w:pPr>
      <w:r>
        <w:rPr>
          <w:rFonts w:asciiTheme="majorHAnsi" w:hAnsiTheme="majorHAnsi" w:cs="Times New Roman"/>
          <w:sz w:val="22"/>
          <w:szCs w:val="22"/>
        </w:rPr>
        <w:t>5</w:t>
      </w:r>
      <w:r w:rsidR="008C4409" w:rsidRPr="00C96B0F">
        <w:rPr>
          <w:rFonts w:asciiTheme="majorHAnsi" w:hAnsiTheme="majorHAnsi" w:cs="Times New Roman"/>
          <w:sz w:val="22"/>
          <w:szCs w:val="22"/>
        </w:rPr>
        <w:t xml:space="preserve">. International Vaccine Access </w:t>
      </w:r>
      <w:proofErr w:type="spellStart"/>
      <w:r w:rsidR="008C4409" w:rsidRPr="00C96B0F">
        <w:rPr>
          <w:rFonts w:asciiTheme="majorHAnsi" w:hAnsiTheme="majorHAnsi" w:cs="Times New Roman"/>
          <w:sz w:val="22"/>
          <w:szCs w:val="22"/>
        </w:rPr>
        <w:t>Center</w:t>
      </w:r>
      <w:proofErr w:type="spellEnd"/>
      <w:r w:rsidR="008C4409" w:rsidRPr="00C96B0F">
        <w:rPr>
          <w:rFonts w:asciiTheme="majorHAnsi" w:hAnsiTheme="majorHAnsi" w:cs="Times New Roman"/>
          <w:sz w:val="22"/>
          <w:szCs w:val="22"/>
        </w:rPr>
        <w:t>, Bloomberg School of Public Health, John Hopkins University, Baltimore, USA</w:t>
      </w:r>
    </w:p>
    <w:p w14:paraId="6940684F" w14:textId="77777777" w:rsidR="006F2925" w:rsidRDefault="006F2925" w:rsidP="008C4409">
      <w:pPr>
        <w:autoSpaceDE w:val="0"/>
        <w:autoSpaceDN w:val="0"/>
        <w:adjustRightInd w:val="0"/>
        <w:spacing w:line="360" w:lineRule="auto"/>
        <w:jc w:val="both"/>
        <w:rPr>
          <w:rFonts w:asciiTheme="majorHAnsi" w:hAnsiTheme="majorHAnsi" w:cs="Times New Roman"/>
        </w:rPr>
      </w:pPr>
    </w:p>
    <w:p w14:paraId="7ABA5939" w14:textId="28128336" w:rsidR="008C4409" w:rsidRPr="00C96B0F" w:rsidRDefault="006F2925" w:rsidP="008C4409">
      <w:pPr>
        <w:autoSpaceDE w:val="0"/>
        <w:autoSpaceDN w:val="0"/>
        <w:adjustRightInd w:val="0"/>
        <w:spacing w:line="360" w:lineRule="auto"/>
        <w:jc w:val="both"/>
        <w:rPr>
          <w:rFonts w:asciiTheme="majorHAnsi" w:hAnsiTheme="majorHAnsi" w:cs="Times New Roman"/>
          <w:color w:val="000000"/>
          <w:shd w:val="clear" w:color="auto" w:fill="FFFFFF"/>
        </w:rPr>
      </w:pPr>
      <w:r>
        <w:rPr>
          <w:rFonts w:asciiTheme="majorHAnsi" w:hAnsiTheme="majorHAnsi" w:cs="Times New Roman"/>
        </w:rPr>
        <w:t>6</w:t>
      </w:r>
      <w:r w:rsidR="008C4409" w:rsidRPr="00C96B0F">
        <w:rPr>
          <w:rFonts w:asciiTheme="majorHAnsi" w:hAnsiTheme="majorHAnsi" w:cs="Times New Roman"/>
        </w:rPr>
        <w:t xml:space="preserve">. </w:t>
      </w:r>
      <w:r w:rsidR="008C4409" w:rsidRPr="00C96B0F">
        <w:rPr>
          <w:rFonts w:asciiTheme="majorHAnsi" w:hAnsiTheme="majorHAnsi" w:cs="Times New Roman"/>
          <w:color w:val="000000"/>
          <w:shd w:val="clear" w:color="auto" w:fill="FFFFFF"/>
        </w:rPr>
        <w:t>NIHR Health Protection Research Unit in Gastrointestinal Infections, University of Liverpool, Liverpool, UK</w:t>
      </w:r>
    </w:p>
    <w:p w14:paraId="59FDE574" w14:textId="352D88E5" w:rsidR="008C4409" w:rsidRDefault="008C4409" w:rsidP="008C4409">
      <w:pPr>
        <w:autoSpaceDE w:val="0"/>
        <w:autoSpaceDN w:val="0"/>
        <w:adjustRightInd w:val="0"/>
        <w:spacing w:line="360" w:lineRule="auto"/>
        <w:jc w:val="both"/>
        <w:rPr>
          <w:rFonts w:asciiTheme="majorHAnsi" w:hAnsiTheme="majorHAnsi" w:cs="Times New Roman"/>
          <w:color w:val="000000"/>
          <w:shd w:val="clear" w:color="auto" w:fill="FFFFFF"/>
        </w:rPr>
      </w:pPr>
    </w:p>
    <w:p w14:paraId="62D10401" w14:textId="77777777" w:rsidR="006F2925" w:rsidRPr="00C96B0F" w:rsidRDefault="006F2925" w:rsidP="006F2925">
      <w:pPr>
        <w:spacing w:line="480" w:lineRule="auto"/>
        <w:rPr>
          <w:rFonts w:asciiTheme="majorHAnsi" w:hAnsiTheme="majorHAnsi"/>
        </w:rPr>
      </w:pPr>
      <w:r w:rsidRPr="00C96B0F">
        <w:rPr>
          <w:rFonts w:asciiTheme="majorHAnsi" w:hAnsiTheme="majorHAnsi" w:cs="Times New Roman"/>
          <w:b/>
          <w:color w:val="000000"/>
          <w:shd w:val="clear" w:color="auto" w:fill="FFFFFF"/>
        </w:rPr>
        <w:t>Corresponding author details:</w:t>
      </w:r>
      <w:r w:rsidRPr="00C96B0F">
        <w:rPr>
          <w:rFonts w:asciiTheme="majorHAnsi" w:hAnsiTheme="majorHAnsi" w:cs="Times New Roman"/>
          <w:color w:val="000000"/>
          <w:shd w:val="clear" w:color="auto" w:fill="FFFFFF"/>
        </w:rPr>
        <w:t xml:space="preserve"> Dr Aisleen Bennett.</w:t>
      </w:r>
      <w:r w:rsidRPr="00C96B0F">
        <w:rPr>
          <w:rFonts w:asciiTheme="majorHAnsi" w:hAnsiTheme="majorHAnsi" w:cs="Arial"/>
          <w:color w:val="000000"/>
          <w:shd w:val="clear" w:color="auto" w:fill="FFFFFF"/>
        </w:rPr>
        <w:t xml:space="preserve"> </w:t>
      </w:r>
      <w:r w:rsidRPr="00C96B0F">
        <w:rPr>
          <w:rFonts w:asciiTheme="majorHAnsi" w:hAnsiTheme="majorHAnsi"/>
        </w:rPr>
        <w:t>Institute of Infection and Global Health, The Ronald Ross Building, University of Liverpool, 8 West Derby Street, Liverpool</w:t>
      </w:r>
    </w:p>
    <w:p w14:paraId="07937E3F" w14:textId="77777777" w:rsidR="006F2925" w:rsidRPr="00C96B0F" w:rsidRDefault="006F2925" w:rsidP="006F2925">
      <w:pPr>
        <w:autoSpaceDE w:val="0"/>
        <w:autoSpaceDN w:val="0"/>
        <w:adjustRightInd w:val="0"/>
        <w:spacing w:line="480" w:lineRule="auto"/>
        <w:jc w:val="both"/>
        <w:rPr>
          <w:rFonts w:asciiTheme="majorHAnsi" w:hAnsiTheme="majorHAnsi" w:cs="Arial"/>
          <w:color w:val="000000"/>
          <w:shd w:val="clear" w:color="auto" w:fill="FFFFFF"/>
        </w:rPr>
      </w:pPr>
      <w:r w:rsidRPr="00C96B0F">
        <w:rPr>
          <w:rFonts w:asciiTheme="majorHAnsi" w:hAnsiTheme="majorHAnsi" w:cs="Arial"/>
          <w:color w:val="000000"/>
          <w:shd w:val="clear" w:color="auto" w:fill="FFFFFF"/>
        </w:rPr>
        <w:t xml:space="preserve"> Email </w:t>
      </w:r>
      <w:hyperlink r:id="rId6" w:history="1">
        <w:r w:rsidRPr="00C96B0F">
          <w:rPr>
            <w:rStyle w:val="Hyperlink"/>
            <w:rFonts w:asciiTheme="majorHAnsi" w:hAnsiTheme="majorHAnsi" w:cs="Arial"/>
            <w:shd w:val="clear" w:color="auto" w:fill="FFFFFF"/>
          </w:rPr>
          <w:t>abennett@sgul.ac.uk</w:t>
        </w:r>
      </w:hyperlink>
    </w:p>
    <w:p w14:paraId="2EE99594" w14:textId="77777777" w:rsidR="006F2925" w:rsidRPr="00C96B0F" w:rsidRDefault="006F2925" w:rsidP="008C4409">
      <w:pPr>
        <w:autoSpaceDE w:val="0"/>
        <w:autoSpaceDN w:val="0"/>
        <w:adjustRightInd w:val="0"/>
        <w:spacing w:line="360" w:lineRule="auto"/>
        <w:jc w:val="both"/>
        <w:rPr>
          <w:rFonts w:asciiTheme="majorHAnsi" w:hAnsiTheme="majorHAnsi" w:cs="Times New Roman"/>
          <w:color w:val="000000"/>
          <w:shd w:val="clear" w:color="auto" w:fill="FFFFFF"/>
        </w:rPr>
      </w:pPr>
    </w:p>
    <w:p w14:paraId="0369C6FA" w14:textId="77777777" w:rsidR="006F2925" w:rsidRDefault="006F2925" w:rsidP="008C4409">
      <w:pPr>
        <w:autoSpaceDE w:val="0"/>
        <w:autoSpaceDN w:val="0"/>
        <w:adjustRightInd w:val="0"/>
        <w:spacing w:line="360" w:lineRule="auto"/>
        <w:jc w:val="both"/>
        <w:rPr>
          <w:rFonts w:asciiTheme="majorHAnsi" w:hAnsiTheme="majorHAnsi" w:cs="Times New Roman"/>
          <w:color w:val="000000"/>
          <w:shd w:val="clear" w:color="auto" w:fill="FFFFFF"/>
        </w:rPr>
      </w:pPr>
    </w:p>
    <w:p w14:paraId="68ACDB98" w14:textId="1B576927" w:rsidR="008C4409" w:rsidRPr="00C96B0F" w:rsidRDefault="008C4409" w:rsidP="008C4409">
      <w:pPr>
        <w:autoSpaceDE w:val="0"/>
        <w:autoSpaceDN w:val="0"/>
        <w:adjustRightInd w:val="0"/>
        <w:spacing w:line="360" w:lineRule="auto"/>
        <w:jc w:val="both"/>
        <w:rPr>
          <w:rFonts w:asciiTheme="majorHAnsi" w:hAnsiTheme="majorHAnsi" w:cs="Arial"/>
          <w:color w:val="000000"/>
          <w:shd w:val="clear" w:color="auto" w:fill="FFFFFF"/>
        </w:rPr>
      </w:pPr>
      <w:r w:rsidRPr="00C96B0F">
        <w:rPr>
          <w:rFonts w:asciiTheme="majorHAnsi" w:hAnsiTheme="majorHAnsi" w:cs="Arial"/>
          <w:color w:val="000000"/>
          <w:shd w:val="clear" w:color="auto" w:fill="FFFFFF"/>
        </w:rPr>
        <w:t>Running head: Rotavirus shedding dynamics</w:t>
      </w:r>
    </w:p>
    <w:p w14:paraId="4A713C0C" w14:textId="259E945F" w:rsidR="008C4409" w:rsidRPr="00C96B0F" w:rsidRDefault="008C4409" w:rsidP="008C4409">
      <w:pPr>
        <w:autoSpaceDE w:val="0"/>
        <w:autoSpaceDN w:val="0"/>
        <w:adjustRightInd w:val="0"/>
        <w:spacing w:line="360" w:lineRule="auto"/>
        <w:jc w:val="both"/>
        <w:rPr>
          <w:rFonts w:asciiTheme="majorHAnsi" w:hAnsiTheme="majorHAnsi" w:cs="Arial"/>
          <w:color w:val="000000"/>
          <w:shd w:val="clear" w:color="auto" w:fill="FFFFFF"/>
        </w:rPr>
      </w:pPr>
      <w:r w:rsidRPr="00C96B0F">
        <w:rPr>
          <w:rFonts w:asciiTheme="majorHAnsi" w:hAnsiTheme="majorHAnsi" w:cs="Arial"/>
          <w:color w:val="000000"/>
          <w:shd w:val="clear" w:color="auto" w:fill="FFFFFF"/>
        </w:rPr>
        <w:t xml:space="preserve">Word count abstract: </w:t>
      </w:r>
      <w:r w:rsidR="005435DA" w:rsidRPr="00C96B0F">
        <w:rPr>
          <w:rFonts w:asciiTheme="majorHAnsi" w:hAnsiTheme="majorHAnsi" w:cs="Arial"/>
          <w:color w:val="000000"/>
          <w:shd w:val="clear" w:color="auto" w:fill="FFFFFF"/>
        </w:rPr>
        <w:t>10</w:t>
      </w:r>
      <w:r w:rsidR="00091807">
        <w:rPr>
          <w:rFonts w:asciiTheme="majorHAnsi" w:hAnsiTheme="majorHAnsi" w:cs="Arial"/>
          <w:color w:val="000000"/>
          <w:shd w:val="clear" w:color="auto" w:fill="FFFFFF"/>
        </w:rPr>
        <w:t>0</w:t>
      </w:r>
    </w:p>
    <w:p w14:paraId="75196C6D" w14:textId="7D47CBBE" w:rsidR="008C4409" w:rsidRPr="00C96B0F" w:rsidRDefault="008C4409" w:rsidP="008C4409">
      <w:pPr>
        <w:autoSpaceDE w:val="0"/>
        <w:autoSpaceDN w:val="0"/>
        <w:adjustRightInd w:val="0"/>
        <w:spacing w:line="360" w:lineRule="auto"/>
        <w:jc w:val="both"/>
        <w:rPr>
          <w:rFonts w:asciiTheme="majorHAnsi" w:hAnsiTheme="majorHAnsi" w:cs="Times New Roman"/>
          <w:color w:val="000000"/>
          <w:shd w:val="clear" w:color="auto" w:fill="FFFFFF"/>
        </w:rPr>
      </w:pPr>
      <w:r w:rsidRPr="00C96B0F">
        <w:rPr>
          <w:rFonts w:asciiTheme="majorHAnsi" w:hAnsiTheme="majorHAnsi" w:cs="Arial"/>
          <w:color w:val="000000"/>
          <w:shd w:val="clear" w:color="auto" w:fill="FFFFFF"/>
        </w:rPr>
        <w:t>Word count text: 199</w:t>
      </w:r>
      <w:r w:rsidR="005435DA" w:rsidRPr="00C96B0F">
        <w:rPr>
          <w:rFonts w:asciiTheme="majorHAnsi" w:hAnsiTheme="majorHAnsi" w:cs="Arial"/>
          <w:color w:val="000000"/>
          <w:shd w:val="clear" w:color="auto" w:fill="FFFFFF"/>
        </w:rPr>
        <w:t>0</w:t>
      </w:r>
    </w:p>
    <w:p w14:paraId="3D9ECB44" w14:textId="023CD0A6" w:rsidR="009B2DFA" w:rsidRPr="00C96B0F" w:rsidRDefault="009B2DFA" w:rsidP="008C4409">
      <w:pPr>
        <w:spacing w:line="480" w:lineRule="auto"/>
        <w:jc w:val="both"/>
        <w:rPr>
          <w:rFonts w:asciiTheme="majorHAnsi" w:hAnsiTheme="majorHAnsi" w:cs="Times New Roman"/>
          <w:color w:val="000000"/>
          <w:sz w:val="24"/>
          <w:szCs w:val="24"/>
          <w:shd w:val="clear" w:color="auto" w:fill="FFFFFF"/>
        </w:rPr>
      </w:pPr>
    </w:p>
    <w:p w14:paraId="50F50A29" w14:textId="77777777" w:rsidR="00537928" w:rsidRPr="00C96B0F" w:rsidRDefault="00537928" w:rsidP="008C4409">
      <w:pPr>
        <w:spacing w:line="480" w:lineRule="auto"/>
        <w:jc w:val="both"/>
        <w:rPr>
          <w:rFonts w:asciiTheme="majorHAnsi" w:hAnsiTheme="majorHAnsi"/>
          <w:b/>
          <w:sz w:val="28"/>
        </w:rPr>
      </w:pPr>
      <w:r w:rsidRPr="00C96B0F">
        <w:rPr>
          <w:rFonts w:asciiTheme="majorHAnsi" w:hAnsiTheme="majorHAnsi"/>
          <w:b/>
          <w:sz w:val="28"/>
        </w:rPr>
        <w:lastRenderedPageBreak/>
        <w:t>Abstract</w:t>
      </w:r>
    </w:p>
    <w:p w14:paraId="6393B50A" w14:textId="32835FBB" w:rsidR="00276396" w:rsidRPr="00C96B0F" w:rsidRDefault="00431B41" w:rsidP="008C4409">
      <w:pPr>
        <w:spacing w:line="480" w:lineRule="auto"/>
        <w:jc w:val="both"/>
        <w:rPr>
          <w:rFonts w:asciiTheme="majorHAnsi" w:hAnsiTheme="majorHAnsi"/>
        </w:rPr>
      </w:pPr>
      <w:r w:rsidRPr="00C96B0F">
        <w:rPr>
          <w:rFonts w:asciiTheme="majorHAnsi" w:hAnsiTheme="majorHAnsi"/>
        </w:rPr>
        <w:t>Quantifying</w:t>
      </w:r>
      <w:r w:rsidR="001A339E" w:rsidRPr="00C96B0F">
        <w:rPr>
          <w:rFonts w:asciiTheme="majorHAnsi" w:hAnsiTheme="majorHAnsi"/>
        </w:rPr>
        <w:t xml:space="preserve"> rotavirus shedding </w:t>
      </w:r>
      <w:r w:rsidR="00E975A1" w:rsidRPr="00C96B0F">
        <w:rPr>
          <w:rFonts w:asciiTheme="majorHAnsi" w:hAnsiTheme="majorHAnsi"/>
        </w:rPr>
        <w:t xml:space="preserve">among vaccinated </w:t>
      </w:r>
      <w:r w:rsidR="00531B92" w:rsidRPr="00C96B0F">
        <w:rPr>
          <w:rFonts w:asciiTheme="majorHAnsi" w:hAnsiTheme="majorHAnsi"/>
        </w:rPr>
        <w:t>individuals</w:t>
      </w:r>
      <w:r w:rsidR="00E975A1" w:rsidRPr="00C96B0F">
        <w:rPr>
          <w:rFonts w:asciiTheme="majorHAnsi" w:hAnsiTheme="majorHAnsi"/>
        </w:rPr>
        <w:t xml:space="preserve"> </w:t>
      </w:r>
      <w:r w:rsidR="001A339E" w:rsidRPr="00C96B0F">
        <w:rPr>
          <w:rFonts w:asciiTheme="majorHAnsi" w:hAnsiTheme="majorHAnsi"/>
        </w:rPr>
        <w:t xml:space="preserve">will aid understanding of </w:t>
      </w:r>
      <w:r w:rsidR="00D50267">
        <w:rPr>
          <w:rFonts w:asciiTheme="majorHAnsi" w:hAnsiTheme="majorHAnsi"/>
        </w:rPr>
        <w:t xml:space="preserve">rotavirus vaccine </w:t>
      </w:r>
      <w:r w:rsidR="001A339E" w:rsidRPr="00C96B0F">
        <w:rPr>
          <w:rFonts w:asciiTheme="majorHAnsi" w:hAnsiTheme="majorHAnsi"/>
        </w:rPr>
        <w:t xml:space="preserve">indirect effects. </w:t>
      </w:r>
      <w:r w:rsidR="006F6537" w:rsidRPr="00C96B0F">
        <w:rPr>
          <w:rFonts w:asciiTheme="majorHAnsi" w:hAnsiTheme="majorHAnsi"/>
        </w:rPr>
        <w:t>S</w:t>
      </w:r>
      <w:r w:rsidR="00E241E0" w:rsidRPr="00C96B0F">
        <w:rPr>
          <w:rFonts w:asciiTheme="majorHAnsi" w:hAnsiTheme="majorHAnsi"/>
        </w:rPr>
        <w:t xml:space="preserve">erial stool samples were collected from 196 children </w:t>
      </w:r>
      <w:r w:rsidR="00064EE6" w:rsidRPr="00C96B0F">
        <w:rPr>
          <w:rFonts w:asciiTheme="majorHAnsi" w:hAnsiTheme="majorHAnsi"/>
        </w:rPr>
        <w:t xml:space="preserve">who </w:t>
      </w:r>
      <w:r w:rsidR="00E241E0" w:rsidRPr="00C96B0F">
        <w:rPr>
          <w:rFonts w:asciiTheme="majorHAnsi" w:hAnsiTheme="majorHAnsi"/>
        </w:rPr>
        <w:t>present</w:t>
      </w:r>
      <w:r w:rsidR="00064EE6" w:rsidRPr="00C96B0F">
        <w:rPr>
          <w:rFonts w:asciiTheme="majorHAnsi" w:hAnsiTheme="majorHAnsi"/>
        </w:rPr>
        <w:t>ed with rotavirus gastroenteritis to health facilities</w:t>
      </w:r>
      <w:r w:rsidR="00E241E0" w:rsidRPr="00C96B0F">
        <w:rPr>
          <w:rFonts w:asciiTheme="majorHAnsi" w:hAnsiTheme="majorHAnsi"/>
        </w:rPr>
        <w:t xml:space="preserve"> </w:t>
      </w:r>
      <w:r w:rsidR="00064EE6" w:rsidRPr="00C96B0F">
        <w:rPr>
          <w:rFonts w:asciiTheme="majorHAnsi" w:hAnsiTheme="majorHAnsi"/>
        </w:rPr>
        <w:t>in Blantyre, Malawi</w:t>
      </w:r>
      <w:r w:rsidR="00E43F58" w:rsidRPr="00C96B0F">
        <w:rPr>
          <w:rFonts w:asciiTheme="majorHAnsi" w:hAnsiTheme="majorHAnsi"/>
        </w:rPr>
        <w:t>, and</w:t>
      </w:r>
      <w:r w:rsidR="00064EE6" w:rsidRPr="00C96B0F">
        <w:rPr>
          <w:rFonts w:asciiTheme="majorHAnsi" w:hAnsiTheme="majorHAnsi"/>
        </w:rPr>
        <w:t xml:space="preserve"> </w:t>
      </w:r>
      <w:r w:rsidR="00D80B68" w:rsidRPr="00C96B0F">
        <w:rPr>
          <w:rFonts w:asciiTheme="majorHAnsi" w:hAnsiTheme="majorHAnsi"/>
        </w:rPr>
        <w:t>tested for rotavirus using a VP6 semi-quantitative real</w:t>
      </w:r>
      <w:r w:rsidR="008D610B" w:rsidRPr="00C96B0F">
        <w:rPr>
          <w:rFonts w:asciiTheme="majorHAnsi" w:hAnsiTheme="majorHAnsi"/>
        </w:rPr>
        <w:t>-</w:t>
      </w:r>
      <w:r w:rsidR="00D80B68" w:rsidRPr="00C96B0F">
        <w:rPr>
          <w:rFonts w:asciiTheme="majorHAnsi" w:hAnsiTheme="majorHAnsi"/>
        </w:rPr>
        <w:t>time PCR</w:t>
      </w:r>
      <w:r w:rsidR="00D7542E" w:rsidRPr="00C96B0F">
        <w:rPr>
          <w:rFonts w:asciiTheme="majorHAnsi" w:hAnsiTheme="majorHAnsi"/>
        </w:rPr>
        <w:t>.</w:t>
      </w:r>
      <w:r w:rsidR="005F1D60" w:rsidRPr="00C96B0F">
        <w:rPr>
          <w:rFonts w:asciiTheme="majorHAnsi" w:hAnsiTheme="majorHAnsi"/>
        </w:rPr>
        <w:t xml:space="preserve"> </w:t>
      </w:r>
      <w:r w:rsidR="00E43F58" w:rsidRPr="00C96B0F">
        <w:rPr>
          <w:rFonts w:asciiTheme="majorHAnsi" w:hAnsiTheme="majorHAnsi"/>
        </w:rPr>
        <w:t>Median duration of f</w:t>
      </w:r>
      <w:r w:rsidR="00D7542E" w:rsidRPr="00C96B0F">
        <w:rPr>
          <w:rFonts w:asciiTheme="majorHAnsi" w:hAnsiTheme="majorHAnsi"/>
        </w:rPr>
        <w:t xml:space="preserve">aecal </w:t>
      </w:r>
      <w:r w:rsidR="00E543D2" w:rsidRPr="00C96B0F">
        <w:rPr>
          <w:rFonts w:asciiTheme="majorHAnsi" w:hAnsiTheme="majorHAnsi"/>
        </w:rPr>
        <w:t xml:space="preserve">shedding </w:t>
      </w:r>
      <w:r w:rsidR="00E43F58" w:rsidRPr="00C96B0F">
        <w:rPr>
          <w:rFonts w:asciiTheme="majorHAnsi" w:hAnsiTheme="majorHAnsi"/>
        </w:rPr>
        <w:t>was</w:t>
      </w:r>
      <w:r w:rsidR="00D7542E" w:rsidRPr="00C96B0F">
        <w:rPr>
          <w:rFonts w:asciiTheme="majorHAnsi" w:hAnsiTheme="majorHAnsi"/>
        </w:rPr>
        <w:t xml:space="preserve"> 2</w:t>
      </w:r>
      <w:r w:rsidR="00AF08CF" w:rsidRPr="00C96B0F">
        <w:rPr>
          <w:rFonts w:asciiTheme="majorHAnsi" w:hAnsiTheme="majorHAnsi"/>
        </w:rPr>
        <w:t>8</w:t>
      </w:r>
      <w:r w:rsidR="00D7542E" w:rsidRPr="00C96B0F">
        <w:rPr>
          <w:rFonts w:asciiTheme="majorHAnsi" w:hAnsiTheme="majorHAnsi"/>
        </w:rPr>
        <w:t xml:space="preserve"> days(</w:t>
      </w:r>
      <w:r w:rsidR="00015BEB" w:rsidRPr="00C96B0F">
        <w:rPr>
          <w:rFonts w:asciiTheme="majorHAnsi" w:hAnsiTheme="majorHAnsi"/>
        </w:rPr>
        <w:t xml:space="preserve">95% CI </w:t>
      </w:r>
      <w:r w:rsidR="00D7542E" w:rsidRPr="00C96B0F">
        <w:rPr>
          <w:rFonts w:asciiTheme="majorHAnsi" w:hAnsiTheme="majorHAnsi"/>
        </w:rPr>
        <w:t>19, 28)</w:t>
      </w:r>
      <w:r w:rsidR="00E43F58" w:rsidRPr="00C96B0F">
        <w:rPr>
          <w:rFonts w:asciiTheme="majorHAnsi" w:hAnsiTheme="majorHAnsi"/>
        </w:rPr>
        <w:t>.</w:t>
      </w:r>
      <w:r w:rsidR="00D15834">
        <w:rPr>
          <w:rFonts w:asciiTheme="majorHAnsi" w:hAnsiTheme="majorHAnsi"/>
        </w:rPr>
        <w:t xml:space="preserve"> </w:t>
      </w:r>
      <w:r w:rsidR="00BE39DF" w:rsidRPr="00C96B0F">
        <w:rPr>
          <w:rFonts w:asciiTheme="majorHAnsi" w:hAnsiTheme="majorHAnsi"/>
        </w:rPr>
        <w:t>Median copy numbers for peak shedding were 1.99x10</w:t>
      </w:r>
      <w:r w:rsidR="00BE39DF" w:rsidRPr="00C96B0F">
        <w:rPr>
          <w:rFonts w:asciiTheme="majorHAnsi" w:hAnsiTheme="majorHAnsi"/>
          <w:vertAlign w:val="superscript"/>
        </w:rPr>
        <w:t>7</w:t>
      </w:r>
      <w:r w:rsidR="00BE39DF" w:rsidRPr="00C96B0F">
        <w:rPr>
          <w:rFonts w:asciiTheme="majorHAnsi" w:hAnsiTheme="majorHAnsi"/>
        </w:rPr>
        <w:t>(IQR 3.39x10</w:t>
      </w:r>
      <w:r w:rsidR="00BE39DF" w:rsidRPr="00C96B0F">
        <w:rPr>
          <w:rFonts w:asciiTheme="majorHAnsi" w:hAnsiTheme="majorHAnsi"/>
          <w:vertAlign w:val="superscript"/>
        </w:rPr>
        <w:t>6</w:t>
      </w:r>
      <w:r w:rsidR="00BE39DF" w:rsidRPr="00C96B0F">
        <w:rPr>
          <w:rFonts w:asciiTheme="majorHAnsi" w:hAnsiTheme="majorHAnsi"/>
        </w:rPr>
        <w:t>, 6.37x10</w:t>
      </w:r>
      <w:r w:rsidR="00BE39DF" w:rsidRPr="00C96B0F">
        <w:rPr>
          <w:rFonts w:asciiTheme="majorHAnsi" w:hAnsiTheme="majorHAnsi"/>
          <w:vertAlign w:val="superscript"/>
        </w:rPr>
        <w:t>7</w:t>
      </w:r>
      <w:r w:rsidR="00BE39DF" w:rsidRPr="00C96B0F">
        <w:rPr>
          <w:rFonts w:asciiTheme="majorHAnsi" w:hAnsiTheme="majorHAnsi"/>
        </w:rPr>
        <w:t>). F</w:t>
      </w:r>
      <w:r w:rsidR="00F23181" w:rsidRPr="00C96B0F">
        <w:rPr>
          <w:rFonts w:asciiTheme="majorHAnsi" w:hAnsiTheme="majorHAnsi"/>
        </w:rPr>
        <w:t>aecal v</w:t>
      </w:r>
      <w:r w:rsidR="008D610B" w:rsidRPr="00C96B0F">
        <w:rPr>
          <w:rFonts w:asciiTheme="majorHAnsi" w:hAnsiTheme="majorHAnsi"/>
        </w:rPr>
        <w:t>iral load</w:t>
      </w:r>
      <w:r w:rsidR="00E43F58" w:rsidRPr="00C96B0F">
        <w:rPr>
          <w:rFonts w:asciiTheme="majorHAnsi" w:hAnsiTheme="majorHAnsi"/>
        </w:rPr>
        <w:t xml:space="preserve"> </w:t>
      </w:r>
      <w:r w:rsidR="00D27C36" w:rsidRPr="00C96B0F">
        <w:rPr>
          <w:rFonts w:asciiTheme="majorHAnsi" w:hAnsiTheme="majorHAnsi"/>
        </w:rPr>
        <w:t>was positively associated with disease severity</w:t>
      </w:r>
      <w:r w:rsidR="00AB5340" w:rsidRPr="00C96B0F">
        <w:rPr>
          <w:rFonts w:asciiTheme="majorHAnsi" w:hAnsiTheme="majorHAnsi"/>
        </w:rPr>
        <w:t xml:space="preserve"> </w:t>
      </w:r>
      <w:r w:rsidR="005F1D60" w:rsidRPr="00C96B0F">
        <w:rPr>
          <w:rFonts w:asciiTheme="majorHAnsi" w:hAnsiTheme="majorHAnsi"/>
        </w:rPr>
        <w:t xml:space="preserve">and </w:t>
      </w:r>
      <w:r w:rsidR="00AB5340" w:rsidRPr="00C96B0F">
        <w:rPr>
          <w:rFonts w:asciiTheme="majorHAnsi" w:hAnsiTheme="majorHAnsi"/>
        </w:rPr>
        <w:t xml:space="preserve">negatively associated with </w:t>
      </w:r>
      <w:r w:rsidR="00BE39DF" w:rsidRPr="00C96B0F">
        <w:rPr>
          <w:rFonts w:asciiTheme="majorHAnsi" w:hAnsiTheme="majorHAnsi"/>
        </w:rPr>
        <w:t xml:space="preserve">serum </w:t>
      </w:r>
      <w:r w:rsidR="00AB5340" w:rsidRPr="00C96B0F">
        <w:rPr>
          <w:rFonts w:asciiTheme="majorHAnsi" w:hAnsiTheme="majorHAnsi"/>
        </w:rPr>
        <w:t>anti-rotavirus IgA.</w:t>
      </w:r>
      <w:r w:rsidR="00064EE6" w:rsidRPr="00C96B0F">
        <w:rPr>
          <w:rFonts w:asciiTheme="majorHAnsi" w:hAnsiTheme="majorHAnsi"/>
        </w:rPr>
        <w:t xml:space="preserve"> </w:t>
      </w:r>
      <w:r w:rsidR="00116EBD" w:rsidRPr="00C96B0F">
        <w:rPr>
          <w:rFonts w:asciiTheme="majorHAnsi" w:hAnsiTheme="majorHAnsi"/>
        </w:rPr>
        <w:t>High and persistent rotavirus shedding among v</w:t>
      </w:r>
      <w:r w:rsidR="00064EE6" w:rsidRPr="00C96B0F">
        <w:rPr>
          <w:rFonts w:asciiTheme="majorHAnsi" w:hAnsiTheme="majorHAnsi"/>
        </w:rPr>
        <w:t>accinated child</w:t>
      </w:r>
      <w:r w:rsidR="00116EBD" w:rsidRPr="00C96B0F">
        <w:rPr>
          <w:rFonts w:asciiTheme="majorHAnsi" w:hAnsiTheme="majorHAnsi"/>
        </w:rPr>
        <w:t>ren with breakthrough</w:t>
      </w:r>
      <w:r w:rsidR="00E43F58" w:rsidRPr="00C96B0F">
        <w:rPr>
          <w:rFonts w:asciiTheme="majorHAnsi" w:hAnsiTheme="majorHAnsi"/>
        </w:rPr>
        <w:t xml:space="preserve"> </w:t>
      </w:r>
      <w:r w:rsidR="00064EE6" w:rsidRPr="00C96B0F">
        <w:rPr>
          <w:rFonts w:asciiTheme="majorHAnsi" w:hAnsiTheme="majorHAnsi"/>
        </w:rPr>
        <w:t xml:space="preserve">disease </w:t>
      </w:r>
      <w:r w:rsidR="006B0D2F" w:rsidRPr="00C96B0F">
        <w:rPr>
          <w:rFonts w:asciiTheme="majorHAnsi" w:hAnsiTheme="majorHAnsi"/>
        </w:rPr>
        <w:t xml:space="preserve">may contribute to ongoing </w:t>
      </w:r>
      <w:r w:rsidR="00A474DF" w:rsidRPr="00C96B0F">
        <w:rPr>
          <w:rFonts w:asciiTheme="majorHAnsi" w:hAnsiTheme="majorHAnsi"/>
        </w:rPr>
        <w:t xml:space="preserve">rotavirus </w:t>
      </w:r>
      <w:r w:rsidR="006B0D2F" w:rsidRPr="00C96B0F">
        <w:rPr>
          <w:rFonts w:asciiTheme="majorHAnsi" w:hAnsiTheme="majorHAnsi"/>
        </w:rPr>
        <w:t>transmission</w:t>
      </w:r>
      <w:r w:rsidR="00064EE6" w:rsidRPr="00C96B0F">
        <w:rPr>
          <w:rFonts w:asciiTheme="majorHAnsi" w:hAnsiTheme="majorHAnsi"/>
        </w:rPr>
        <w:t xml:space="preserve"> in</w:t>
      </w:r>
      <w:r w:rsidR="00D50267">
        <w:rPr>
          <w:rFonts w:asciiTheme="majorHAnsi" w:hAnsiTheme="majorHAnsi"/>
        </w:rPr>
        <w:t xml:space="preserve"> this setting</w:t>
      </w:r>
      <w:r w:rsidR="005F1D60" w:rsidRPr="00C96B0F">
        <w:rPr>
          <w:rFonts w:asciiTheme="majorHAnsi" w:hAnsiTheme="majorHAnsi"/>
        </w:rPr>
        <w:t>.</w:t>
      </w:r>
      <w:r w:rsidR="00707863" w:rsidRPr="00C96B0F">
        <w:rPr>
          <w:rFonts w:asciiTheme="majorHAnsi" w:hAnsiTheme="majorHAnsi"/>
        </w:rPr>
        <w:t xml:space="preserve"> </w:t>
      </w:r>
    </w:p>
    <w:p w14:paraId="3D9CCD43" w14:textId="437B5EFA" w:rsidR="008C4409" w:rsidRPr="00C96B0F" w:rsidRDefault="008C4409" w:rsidP="008C4409">
      <w:pPr>
        <w:spacing w:line="480" w:lineRule="auto"/>
        <w:jc w:val="both"/>
        <w:rPr>
          <w:rFonts w:asciiTheme="majorHAnsi" w:hAnsiTheme="majorHAnsi"/>
        </w:rPr>
      </w:pPr>
    </w:p>
    <w:p w14:paraId="6EF77C47" w14:textId="0C6BD06E" w:rsidR="008C4409" w:rsidRPr="00C96B0F" w:rsidRDefault="008C4409" w:rsidP="008C4409">
      <w:pPr>
        <w:spacing w:line="480" w:lineRule="auto"/>
        <w:jc w:val="both"/>
        <w:rPr>
          <w:rFonts w:asciiTheme="majorHAnsi" w:hAnsiTheme="majorHAnsi"/>
        </w:rPr>
      </w:pPr>
      <w:r w:rsidRPr="00C96B0F">
        <w:rPr>
          <w:rFonts w:asciiTheme="majorHAnsi" w:hAnsiTheme="majorHAnsi"/>
          <w:b/>
        </w:rPr>
        <w:t>Key words:</w:t>
      </w:r>
      <w:r w:rsidR="000E5D48">
        <w:rPr>
          <w:rFonts w:asciiTheme="majorHAnsi" w:hAnsiTheme="majorHAnsi"/>
          <w:b/>
        </w:rPr>
        <w:t xml:space="preserve"> </w:t>
      </w:r>
      <w:r w:rsidR="000E5D48" w:rsidRPr="000E5D48">
        <w:rPr>
          <w:rFonts w:asciiTheme="majorHAnsi" w:hAnsiTheme="majorHAnsi"/>
          <w:b/>
        </w:rPr>
        <w:t>rotavirus, transmission, vaccine effectiveness, shedding</w:t>
      </w:r>
    </w:p>
    <w:p w14:paraId="5B4E7F55" w14:textId="77777777" w:rsidR="00276396" w:rsidRPr="00C96B0F" w:rsidRDefault="00276396" w:rsidP="008C4409">
      <w:pPr>
        <w:spacing w:line="480" w:lineRule="auto"/>
        <w:jc w:val="both"/>
        <w:rPr>
          <w:rFonts w:asciiTheme="majorHAnsi" w:hAnsiTheme="majorHAnsi"/>
        </w:rPr>
      </w:pPr>
      <w:r w:rsidRPr="00C96B0F">
        <w:rPr>
          <w:rFonts w:asciiTheme="majorHAnsi" w:hAnsiTheme="majorHAnsi"/>
        </w:rPr>
        <w:br w:type="page"/>
      </w:r>
    </w:p>
    <w:p w14:paraId="34951AEC" w14:textId="148284A7" w:rsidR="00754C23" w:rsidRPr="00C96B0F" w:rsidRDefault="00754C23" w:rsidP="008C4409">
      <w:pPr>
        <w:tabs>
          <w:tab w:val="left" w:pos="2640"/>
        </w:tabs>
        <w:spacing w:line="480" w:lineRule="auto"/>
        <w:jc w:val="both"/>
        <w:rPr>
          <w:rFonts w:asciiTheme="majorHAnsi" w:hAnsiTheme="majorHAnsi"/>
          <w:b/>
          <w:sz w:val="26"/>
          <w:szCs w:val="26"/>
        </w:rPr>
      </w:pPr>
      <w:r w:rsidRPr="00C96B0F">
        <w:rPr>
          <w:rFonts w:asciiTheme="majorHAnsi" w:hAnsiTheme="majorHAnsi"/>
          <w:b/>
          <w:sz w:val="26"/>
          <w:szCs w:val="26"/>
        </w:rPr>
        <w:lastRenderedPageBreak/>
        <w:t>Introduction</w:t>
      </w:r>
      <w:r w:rsidR="00E43F58" w:rsidRPr="00C96B0F">
        <w:rPr>
          <w:rFonts w:asciiTheme="majorHAnsi" w:hAnsiTheme="majorHAnsi"/>
          <w:b/>
          <w:sz w:val="26"/>
          <w:szCs w:val="26"/>
        </w:rPr>
        <w:tab/>
      </w:r>
    </w:p>
    <w:p w14:paraId="5736A4DA" w14:textId="5880169B" w:rsidR="00EE1CB6" w:rsidRPr="00C96B0F" w:rsidRDefault="00754C23" w:rsidP="008C4409">
      <w:pPr>
        <w:spacing w:line="480" w:lineRule="auto"/>
        <w:jc w:val="both"/>
        <w:rPr>
          <w:rFonts w:asciiTheme="majorHAnsi" w:hAnsiTheme="majorHAnsi"/>
        </w:rPr>
      </w:pPr>
      <w:r w:rsidRPr="00C96B0F">
        <w:rPr>
          <w:rFonts w:asciiTheme="majorHAnsi" w:hAnsiTheme="majorHAnsi"/>
        </w:rPr>
        <w:t>Rotavirus vaccine has been introduced in over 90 countries</w:t>
      </w:r>
      <w:r w:rsidR="00537928" w:rsidRPr="00C96B0F">
        <w:rPr>
          <w:rFonts w:asciiTheme="majorHAnsi" w:hAnsiTheme="majorHAnsi"/>
        </w:rPr>
        <w:t xml:space="preserve"> worldwide</w:t>
      </w:r>
      <w:r w:rsidR="00604300" w:rsidRPr="00C96B0F">
        <w:rPr>
          <w:rFonts w:asciiTheme="majorHAnsi" w:hAnsiTheme="majorHAnsi"/>
        </w:rPr>
        <w:t>, including 4</w:t>
      </w:r>
      <w:r w:rsidR="00E61A6B">
        <w:rPr>
          <w:rFonts w:asciiTheme="majorHAnsi" w:hAnsiTheme="majorHAnsi"/>
        </w:rPr>
        <w:t>5</w:t>
      </w:r>
      <w:r w:rsidR="00604300" w:rsidRPr="00C96B0F">
        <w:rPr>
          <w:rFonts w:asciiTheme="majorHAnsi" w:hAnsiTheme="majorHAnsi"/>
        </w:rPr>
        <w:t xml:space="preserve"> </w:t>
      </w:r>
      <w:r w:rsidR="00CC6B26" w:rsidRPr="00C96B0F">
        <w:rPr>
          <w:rFonts w:asciiTheme="majorHAnsi" w:hAnsiTheme="majorHAnsi"/>
        </w:rPr>
        <w:t xml:space="preserve">low-income </w:t>
      </w:r>
      <w:r w:rsidR="00E61A6B">
        <w:rPr>
          <w:rFonts w:asciiTheme="majorHAnsi" w:hAnsiTheme="majorHAnsi"/>
        </w:rPr>
        <w:t>or GAVI eligible countries</w:t>
      </w:r>
      <w:r w:rsidR="00E61A6B">
        <w:rPr>
          <w:rFonts w:asciiTheme="majorHAnsi" w:hAnsiTheme="majorHAnsi"/>
        </w:rPr>
        <w:fldChar w:fldCharType="begin" w:fldLock="1"/>
      </w:r>
      <w:r w:rsidR="00E61A6B">
        <w:rPr>
          <w:rFonts w:asciiTheme="majorHAnsi" w:hAnsiTheme="majorHAnsi"/>
        </w:rPr>
        <w:instrText>ADDIN CSL_CITATION {"citationItems":[{"id":"ITEM-1","itemData":{"URL":"http://rotacouncil.org/vaccine-introduction/global-introduction-status/","accessed":{"date-parts":[["2019","10","16"]]},"id":"ITEM-1","issued":{"date-parts":[["0"]]},"title":"Global Introduction Status | Rota Council","type":"webpage"},"uris":["http://www.mendeley.com/documents/?uuid=55c16d28-d288-3390-b399-4d3b8c89bdb6"]}],"mendeley":{"formattedCitation":"(1)","plainTextFormattedCitation":"(1)","previouslyFormattedCitation":"(1)"},"properties":{"noteIndex":0},"schema":"https://github.com/citation-style-language/schema/raw/master/csl-citation.json"}</w:instrText>
      </w:r>
      <w:r w:rsidR="00E61A6B">
        <w:rPr>
          <w:rFonts w:asciiTheme="majorHAnsi" w:hAnsiTheme="majorHAnsi"/>
        </w:rPr>
        <w:fldChar w:fldCharType="separate"/>
      </w:r>
      <w:r w:rsidR="00E61A6B" w:rsidRPr="00E61A6B">
        <w:rPr>
          <w:rFonts w:asciiTheme="majorHAnsi" w:hAnsiTheme="majorHAnsi"/>
          <w:noProof/>
        </w:rPr>
        <w:t>(1)</w:t>
      </w:r>
      <w:r w:rsidR="00E61A6B">
        <w:rPr>
          <w:rFonts w:asciiTheme="majorHAnsi" w:hAnsiTheme="majorHAnsi"/>
        </w:rPr>
        <w:fldChar w:fldCharType="end"/>
      </w:r>
      <w:r w:rsidR="00537928" w:rsidRPr="00C96B0F">
        <w:rPr>
          <w:rFonts w:asciiTheme="majorHAnsi" w:hAnsiTheme="majorHAnsi"/>
        </w:rPr>
        <w:t>.</w:t>
      </w:r>
      <w:r w:rsidR="00604300" w:rsidRPr="00C96B0F">
        <w:rPr>
          <w:rFonts w:asciiTheme="majorHAnsi" w:hAnsiTheme="majorHAnsi"/>
        </w:rPr>
        <w:t xml:space="preserve"> </w:t>
      </w:r>
      <w:r w:rsidR="00537928" w:rsidRPr="00C96B0F">
        <w:rPr>
          <w:rFonts w:asciiTheme="majorHAnsi" w:hAnsiTheme="majorHAnsi"/>
        </w:rPr>
        <w:t>H</w:t>
      </w:r>
      <w:r w:rsidR="00604300" w:rsidRPr="00C96B0F">
        <w:rPr>
          <w:rFonts w:asciiTheme="majorHAnsi" w:hAnsiTheme="majorHAnsi"/>
        </w:rPr>
        <w:t>owever</w:t>
      </w:r>
      <w:r w:rsidR="0096162C" w:rsidRPr="00C96B0F">
        <w:rPr>
          <w:rFonts w:asciiTheme="majorHAnsi" w:hAnsiTheme="majorHAnsi"/>
        </w:rPr>
        <w:t>,</w:t>
      </w:r>
      <w:r w:rsidR="00604300" w:rsidRPr="00C96B0F">
        <w:rPr>
          <w:rFonts w:asciiTheme="majorHAnsi" w:hAnsiTheme="majorHAnsi"/>
        </w:rPr>
        <w:t xml:space="preserve"> rotavirus vaccine effectiveness </w:t>
      </w:r>
      <w:r w:rsidR="00537928" w:rsidRPr="00C96B0F">
        <w:rPr>
          <w:rFonts w:asciiTheme="majorHAnsi" w:hAnsiTheme="majorHAnsi"/>
        </w:rPr>
        <w:t xml:space="preserve">(VE) </w:t>
      </w:r>
      <w:r w:rsidR="00604300" w:rsidRPr="00C96B0F">
        <w:rPr>
          <w:rFonts w:asciiTheme="majorHAnsi" w:hAnsiTheme="majorHAnsi"/>
        </w:rPr>
        <w:t xml:space="preserve">is reduced in </w:t>
      </w:r>
      <w:r w:rsidR="00E61A6B">
        <w:rPr>
          <w:rFonts w:asciiTheme="majorHAnsi" w:hAnsiTheme="majorHAnsi"/>
        </w:rPr>
        <w:t>low-income countries (LIC)</w:t>
      </w:r>
      <w:r w:rsidR="00E61A6B">
        <w:rPr>
          <w:rFonts w:asciiTheme="majorHAnsi" w:hAnsiTheme="majorHAnsi"/>
        </w:rPr>
        <w:fldChar w:fldCharType="begin" w:fldLock="1"/>
      </w:r>
      <w:r w:rsidR="00E61A6B">
        <w:rPr>
          <w:rFonts w:asciiTheme="majorHAnsi" w:hAnsiTheme="majorHAnsi"/>
        </w:rPr>
        <w:instrText>ADDIN CSL_CITATION {"citationItems":[{"id":"ITEM-1","itemData":{"DOI":"10.1093/cid/civ1015","ISSN":"1058-4838","author":[{"dropping-particle":"","family":"Parashar","given":"Umesh D.","non-dropping-particle":"","parse-names":false,"suffix":""},{"dropping-particle":"","family":"Johnson","given":"Hope","non-dropping-particle":"","parse-names":false,"suffix":""},{"dropping-particle":"","family":"Steele","given":"A. Duncan","non-dropping-particle":"","parse-names":false,"suffix":""},{"dropping-particle":"","family":"Tate","given":"Jacqueline E.","non-dropping-particle":"","parse-names":false,"suffix":""}],"container-title":"Clinical Infectious Diseases","id":"ITEM-1","issue":"suppl 2","issued":{"date-parts":[["2016","5","1"]]},"page":"S91-S95","publisher":"Oxford University Press","title":"Health Impact of Rotavirus Vaccination in Developing Countries: Progress and Way Forward","type":"article-journal","volume":"62"},"uris":["http://www.mendeley.com/documents/?uuid=316eb9be-3741-3bc7-ba80-83ee9af75aad"]}],"mendeley":{"formattedCitation":"(2)","plainTextFormattedCitation":"(2)","previouslyFormattedCitation":"(2)"},"properties":{"noteIndex":0},"schema":"https://github.com/citation-style-language/schema/raw/master/csl-citation.json"}</w:instrText>
      </w:r>
      <w:r w:rsidR="00E61A6B">
        <w:rPr>
          <w:rFonts w:asciiTheme="majorHAnsi" w:hAnsiTheme="majorHAnsi"/>
        </w:rPr>
        <w:fldChar w:fldCharType="separate"/>
      </w:r>
      <w:r w:rsidR="00E61A6B" w:rsidRPr="00E61A6B">
        <w:rPr>
          <w:rFonts w:asciiTheme="majorHAnsi" w:hAnsiTheme="majorHAnsi"/>
          <w:noProof/>
        </w:rPr>
        <w:t>(2)</w:t>
      </w:r>
      <w:r w:rsidR="00E61A6B">
        <w:rPr>
          <w:rFonts w:asciiTheme="majorHAnsi" w:hAnsiTheme="majorHAnsi"/>
        </w:rPr>
        <w:fldChar w:fldCharType="end"/>
      </w:r>
      <w:r w:rsidR="00031A16" w:rsidRPr="00C96B0F">
        <w:rPr>
          <w:rFonts w:asciiTheme="majorHAnsi" w:hAnsiTheme="majorHAnsi"/>
        </w:rPr>
        <w:t xml:space="preserve">, and in several countries rotavirus remains the commonest cause of </w:t>
      </w:r>
      <w:r w:rsidR="00F23181" w:rsidRPr="00C96B0F">
        <w:rPr>
          <w:rFonts w:asciiTheme="majorHAnsi" w:hAnsiTheme="majorHAnsi"/>
        </w:rPr>
        <w:t>hospitalised</w:t>
      </w:r>
      <w:r w:rsidR="00DC3785" w:rsidRPr="00C96B0F">
        <w:rPr>
          <w:rFonts w:asciiTheme="majorHAnsi" w:hAnsiTheme="majorHAnsi"/>
        </w:rPr>
        <w:t xml:space="preserve"> gastroenteritis in children </w:t>
      </w:r>
      <w:r w:rsidR="00E025E2" w:rsidRPr="00C96B0F">
        <w:rPr>
          <w:rFonts w:asciiTheme="majorHAnsi" w:hAnsiTheme="majorHAnsi"/>
        </w:rPr>
        <w:t>&lt;</w:t>
      </w:r>
      <w:r w:rsidR="00DC3785" w:rsidRPr="00C96B0F">
        <w:rPr>
          <w:rFonts w:asciiTheme="majorHAnsi" w:hAnsiTheme="majorHAnsi"/>
        </w:rPr>
        <w:t>5 years despite high vaccine coverage</w:t>
      </w:r>
      <w:r w:rsidR="00E61A6B">
        <w:rPr>
          <w:rFonts w:asciiTheme="majorHAnsi" w:hAnsiTheme="majorHAnsi"/>
        </w:rPr>
        <w:fldChar w:fldCharType="begin" w:fldLock="1"/>
      </w:r>
      <w:r w:rsidR="00E61A6B">
        <w:rPr>
          <w:rFonts w:asciiTheme="majorHAnsi" w:hAnsiTheme="majorHAnsi"/>
        </w:rPr>
        <w:instrText>ADDIN CSL_CITATION {"citationItems":[{"id":"ITEM-1","itemData":{"DOI":"10.1093/cid/cix494","ISSN":"1058-4838","author":[{"dropping-particle":"","family":"Platts-Mills","given":"James A.","non-dropping-particle":"","parse-names":false,"suffix":""},{"dropping-particle":"","family":"Amour","given":"Caroline","non-dropping-particle":"","parse-names":false,"suffix":""},{"dropping-particle":"","family":"Gratz","given":"Jean","non-dropping-particle":"","parse-names":false,"suffix":""},{"dropping-particle":"","family":"Nshama","given":"Rosemary","non-dropping-particle":"","parse-names":false,"suffix":""},{"dropping-particle":"","family":"Walongo","given":"Thomas","non-dropping-particle":"","parse-names":false,"suffix":""},{"dropping-particle":"","family":"Mujaga","given":"Buliga","non-dropping-particle":"","parse-names":false,"suffix":""},{"dropping-particle":"","family":"Maro","given":"Athanasia","non-dropping-particle":"","parse-names":false,"suffix":""},{"dropping-particle":"","family":"McMurry","given":"Timothy L.","non-dropping-particle":"","parse-names":false,"suffix":""},{"dropping-particle":"","family":"Liu","given":"Jie","non-dropping-particle":"","parse-names":false,"suffix":""},{"dropping-particle":"","family":"Mduma","given":"Estomih","non-dropping-particle":"","parse-names":false,"suffix":""},{"dropping-particle":"","family":"Houpt","given":"Eric R.","non-dropping-particle":"","parse-names":false,"suffix":""}],"container-title":"Clinical Infectious Diseases","id":"ITEM-1","issued":{"date-parts":[["2017","5","29"]]},"page":"S213-9","title":"Impact of Rotavirus Vaccine Introduction and Postintroduction Etiology of Diarrhea Requiring Hospital Admission in Haydom, Tanzania, a Rural African Setting","type":"article-journal","volume":"62"},"uris":["http://www.mendeley.com/documents/?uuid=875a2a43-f058-3cc6-88cb-db548046a819"]}],"mendeley":{"formattedCitation":"(3)","plainTextFormattedCitation":"(3)"},"properties":{"noteIndex":0},"schema":"https://github.com/citation-style-language/schema/raw/master/csl-citation.json"}</w:instrText>
      </w:r>
      <w:r w:rsidR="00E61A6B">
        <w:rPr>
          <w:rFonts w:asciiTheme="majorHAnsi" w:hAnsiTheme="majorHAnsi"/>
        </w:rPr>
        <w:fldChar w:fldCharType="separate"/>
      </w:r>
      <w:r w:rsidR="00E61A6B" w:rsidRPr="00E61A6B">
        <w:rPr>
          <w:rFonts w:asciiTheme="majorHAnsi" w:hAnsiTheme="majorHAnsi"/>
          <w:noProof/>
        </w:rPr>
        <w:t>(3)</w:t>
      </w:r>
      <w:r w:rsidR="00E61A6B">
        <w:rPr>
          <w:rFonts w:asciiTheme="majorHAnsi" w:hAnsiTheme="majorHAnsi"/>
        </w:rPr>
        <w:fldChar w:fldCharType="end"/>
      </w:r>
      <w:r w:rsidR="00DC3785" w:rsidRPr="00C96B0F">
        <w:rPr>
          <w:rFonts w:asciiTheme="majorHAnsi" w:hAnsiTheme="majorHAnsi"/>
        </w:rPr>
        <w:t xml:space="preserve">. </w:t>
      </w:r>
      <w:r w:rsidR="00A22BE4" w:rsidRPr="00C96B0F">
        <w:rPr>
          <w:rFonts w:asciiTheme="majorHAnsi" w:hAnsiTheme="majorHAnsi"/>
        </w:rPr>
        <w:t>Vaccine effectiveness</w:t>
      </w:r>
      <w:r w:rsidR="008A7CD6" w:rsidRPr="00C96B0F">
        <w:rPr>
          <w:rFonts w:asciiTheme="majorHAnsi" w:hAnsiTheme="majorHAnsi"/>
        </w:rPr>
        <w:t xml:space="preserve"> </w:t>
      </w:r>
      <w:r w:rsidR="00A22BE4" w:rsidRPr="00C96B0F">
        <w:rPr>
          <w:rFonts w:asciiTheme="majorHAnsi" w:hAnsiTheme="majorHAnsi"/>
        </w:rPr>
        <w:t xml:space="preserve">is higher against severe </w:t>
      </w:r>
      <w:r w:rsidR="008A7CD6" w:rsidRPr="00C96B0F">
        <w:rPr>
          <w:rFonts w:asciiTheme="majorHAnsi" w:hAnsiTheme="majorHAnsi"/>
        </w:rPr>
        <w:t>rotavirus disease</w:t>
      </w:r>
      <w:r w:rsidR="00A22BE4" w:rsidRPr="00C96B0F">
        <w:rPr>
          <w:rFonts w:asciiTheme="majorHAnsi" w:hAnsiTheme="majorHAnsi"/>
        </w:rPr>
        <w:t xml:space="preserve"> than mild</w:t>
      </w:r>
      <w:r w:rsidR="008A7CD6" w:rsidRPr="00C96B0F">
        <w:rPr>
          <w:rFonts w:asciiTheme="majorHAnsi" w:hAnsiTheme="majorHAnsi"/>
        </w:rPr>
        <w:t>er</w:t>
      </w:r>
      <w:r w:rsidR="00A22BE4" w:rsidRPr="00C96B0F">
        <w:rPr>
          <w:rFonts w:asciiTheme="majorHAnsi" w:hAnsiTheme="majorHAnsi"/>
        </w:rPr>
        <w:t xml:space="preserve"> disease</w:t>
      </w:r>
      <w:r w:rsidR="008A7CD6" w:rsidRPr="00C96B0F">
        <w:rPr>
          <w:rFonts w:asciiTheme="majorHAnsi" w:hAnsiTheme="majorHAnsi"/>
        </w:rPr>
        <w:fldChar w:fldCharType="begin" w:fldLock="1"/>
      </w:r>
      <w:r w:rsidR="00E61A6B">
        <w:rPr>
          <w:rFonts w:asciiTheme="majorHAnsi" w:hAnsiTheme="majorHAnsi"/>
        </w:rPr>
        <w:instrText>ADDIN CSL_CITATION {"citationItems":[{"id":"ITEM-1","itemData":{"ISBN":"1058-4838","ISSN":"15376591","PMID":"27059359","abstract":"BACKGROUND: Rotavirus vaccines have been introduced in many low-income African countries including Malawi in 2012. Despite early evidence of vaccine impact, determining persistence of protection beyond infancy, the utility of the vaccine against specific rotavirus genotypes, and effectiveness in vulnerable subgroups is important.\\n\\nMETHODS: We compared rotavirus prevalence in diarrheal stool and hospitalization incidence before and following rotavirus vaccine introduction in Malawi. Using case-control analysis, we derived vaccine effectiveness (VE) in the second year of life and for human immunodeficiency virus (HIV)-exposed and stunted children.\\n\\nRESULTS: Rotavirus prevalence declined concurrent with increasing vaccine coverage, and in 2015 was 24% compared with prevaccine mean baseline in 1997-2011 of 32%. Since vaccine introduction, population rotavirus hospitalization incidence declined in infants by 54.2% (95% confidence interval [CI], 32.8-68.8), but did not fall in older children. Comparing 241 rotavirus cases with 692 test-negative controls, VE was 70.6% (95% CI, 33.6%-87.0%) and 31.7% (95% CI, -140.6% to 80.6%) in the first and second year of life, respectively, whereas mean age of rotavirus cases increased from 9.3 to 11.8 months. Despite higher VE against G1P[8] than against other genotypes, no resurgence of nonvaccine genotypes has occurred. VE did not differ significantly by nutritional status (78.1% [95% CI, 5.6%-94.9%] in 257 well-nourished and 27.8% [95% CI, -99.5% to 73.9%] in 205 stunted children;P= .12), or by HIV exposure (60.5% [95% CI, 13.3%-82.0%] in 745 HIV-unexposed and 42.2% [95% CI, -106.9% to 83.8%] in 174 exposed children;P= .91).\\n\\nCONCLUSIONS: Rotavirus vaccination in Malawi has resulted in reductions in disease burden in infants &lt;12 months, but not in older children. Despite differences in genotype-specific VE, no genotype has emerged to suggest vaccine escape. VE was not demonstrably affected by HIV exposure or stunting.","author":[{"dropping-particle":"","family":"Bar-Zeev","given":"Naor","non-dropping-particle":"","parse-names":false,"suffix":""},{"dropping-particle":"","family":"Jere","given":"Khuzwayo C.","non-dropping-particle":"","parse-names":false,"suffix":""},{"dropping-particle":"","family":"Bennett","given":"Aisleen","non-dropping-particle":"","parse-names":false,"suffix":""},{"dropping-particle":"","family":"Pollock","given":"Louisa","non-dropping-particle":"","parse-names":false,"suffix":""},{"dropping-particle":"","family":"Tate","given":"Jacqueline E.","non-dropping-particle":"","parse-names":false,"suffix":""},{"dropping-particle":"","family":"Nakagomi","given":"Osamu","non-dropping-particle":"","parse-names":false,"suffix":""},{"dropping-particle":"","family":"Iturriza-Gomara","given":"Miren","non-dropping-particle":"","parse-names":false,"suffix":""},{"dropping-particle":"","family":"Costello","given":"Anthony","non-dropping-particle":"","parse-names":false,"suffix":""},{"dropping-particle":"","family":"Mwansambo","given":"Charles","non-dropping-particle":"","parse-names":false,"suffix":""},{"dropping-particle":"","family":"Parashar","given":"Umesh D.","non-dropping-particle":"","parse-names":false,"suffix":""},{"dropping-particle":"","family":"Heyderman","given":"Robert S.","non-dropping-particle":"","parse-names":false,"suffix":""},{"dropping-particle":"","family":"French","given":"Neil","non-dropping-particle":"","parse-names":false,"suffix":""},{"dropping-particle":"","family":"Cunliffe","given":"Nigel A.","non-dropping-particle":"","parse-names":false,"suffix":""},{"dropping-particle":"","family":"Beard","given":"James","non-dropping-particle":"","parse-names":false,"suffix":""},{"dropping-particle":"","family":"Crampin","given":"Amelia C.","non-dropping-particle":"","parse-names":false,"suffix":""},{"dropping-particle":"","family":"King","given":"Carina","non-dropping-particle":"","parse-names":false,"suffix":""},{"dropping-particle":"","family":"Lewycka","given":"Sonia","non-dropping-particle":"","parse-names":false,"suffix":""},{"dropping-particle":"","family":"Mvula","given":"Hazzie","non-dropping-particle":"","parse-names":false,"suffix":""},{"dropping-particle":"","family":"Phiri","given":"Tambosi","non-dropping-particle":"","parse-names":false,"suffix":""},{"dropping-particle":"","family":"Verani","given":"Jennifer R.","non-dropping-particle":"","parse-names":false,"suffix":""},{"dropping-particle":"","family":"Whitney","given":"Cynthia G.","non-dropping-particle":"","parse-names":false,"suffix":""}],"container-title":"Clinical Infectious Diseases","id":"ITEM-1","issue":"Suppl 2","issued":{"date-parts":[["2016"]]},"page":"S213-S219","title":"Population Impact and Effectiveness of Monovalent Rotavirus Vaccination in Urban Malawian Children 3 Years after Vaccine Introduction: Ecological and Case-Control Analyses","type":"article-journal","volume":"62"},"uris":["http://www.mendeley.com/documents/?uuid=b7df2c77-f264-4f0a-a87f-a51499c6bcbb"]}],"mendeley":{"formattedCitation":"(4)","plainTextFormattedCitation":"(4)","previouslyFormattedCitation":"(4)"},"properties":{"noteIndex":0},"schema":"https://github.com/citation-style-language/schema/raw/master/csl-citation.json"}</w:instrText>
      </w:r>
      <w:r w:rsidR="008A7CD6" w:rsidRPr="00C96B0F">
        <w:rPr>
          <w:rFonts w:asciiTheme="majorHAnsi" w:hAnsiTheme="majorHAnsi"/>
        </w:rPr>
        <w:fldChar w:fldCharType="separate"/>
      </w:r>
      <w:r w:rsidR="00E61A6B" w:rsidRPr="00E61A6B">
        <w:rPr>
          <w:rFonts w:asciiTheme="majorHAnsi" w:hAnsiTheme="majorHAnsi"/>
          <w:noProof/>
        </w:rPr>
        <w:t>(4)</w:t>
      </w:r>
      <w:r w:rsidR="008A7CD6" w:rsidRPr="00C96B0F">
        <w:rPr>
          <w:rFonts w:asciiTheme="majorHAnsi" w:hAnsiTheme="majorHAnsi"/>
        </w:rPr>
        <w:fldChar w:fldCharType="end"/>
      </w:r>
      <w:r w:rsidR="00A22BE4" w:rsidRPr="00C96B0F">
        <w:rPr>
          <w:rFonts w:asciiTheme="majorHAnsi" w:hAnsiTheme="majorHAnsi"/>
        </w:rPr>
        <w:t xml:space="preserve">, but the impact of vaccination on faecal shedding (and therefore infectiousness) amongst vaccinated individuals with breakthrough </w:t>
      </w:r>
      <w:r w:rsidR="004904F4" w:rsidRPr="00C96B0F">
        <w:rPr>
          <w:rFonts w:asciiTheme="majorHAnsi" w:hAnsiTheme="majorHAnsi"/>
        </w:rPr>
        <w:t>rotavirus disease</w:t>
      </w:r>
      <w:r w:rsidR="00A22BE4" w:rsidRPr="00C96B0F">
        <w:rPr>
          <w:rFonts w:asciiTheme="majorHAnsi" w:hAnsiTheme="majorHAnsi"/>
        </w:rPr>
        <w:t xml:space="preserve"> is unknown</w:t>
      </w:r>
      <w:r w:rsidR="008A7CD6" w:rsidRPr="00C96B0F">
        <w:rPr>
          <w:rFonts w:asciiTheme="majorHAnsi" w:hAnsiTheme="majorHAnsi"/>
        </w:rPr>
        <w:t>.</w:t>
      </w:r>
      <w:r w:rsidR="00707863" w:rsidRPr="00C96B0F">
        <w:rPr>
          <w:rFonts w:asciiTheme="majorHAnsi" w:hAnsiTheme="majorHAnsi"/>
        </w:rPr>
        <w:t xml:space="preserve"> </w:t>
      </w:r>
      <w:r w:rsidR="006D7157" w:rsidRPr="00C96B0F">
        <w:rPr>
          <w:rFonts w:asciiTheme="majorHAnsi" w:hAnsiTheme="majorHAnsi"/>
        </w:rPr>
        <w:t xml:space="preserve">Differences in </w:t>
      </w:r>
      <w:r w:rsidR="00076934" w:rsidRPr="00C96B0F">
        <w:rPr>
          <w:rFonts w:asciiTheme="majorHAnsi" w:hAnsiTheme="majorHAnsi"/>
        </w:rPr>
        <w:t xml:space="preserve">the </w:t>
      </w:r>
      <w:r w:rsidR="00531B92" w:rsidRPr="00C96B0F">
        <w:rPr>
          <w:rFonts w:asciiTheme="majorHAnsi" w:hAnsiTheme="majorHAnsi"/>
        </w:rPr>
        <w:t>intensity</w:t>
      </w:r>
      <w:r w:rsidR="00076934" w:rsidRPr="00C96B0F">
        <w:rPr>
          <w:rFonts w:asciiTheme="majorHAnsi" w:hAnsiTheme="majorHAnsi"/>
        </w:rPr>
        <w:t xml:space="preserve"> of </w:t>
      </w:r>
      <w:r w:rsidR="006D7157" w:rsidRPr="00C96B0F">
        <w:rPr>
          <w:rFonts w:asciiTheme="majorHAnsi" w:hAnsiTheme="majorHAnsi"/>
        </w:rPr>
        <w:t xml:space="preserve">faecal-oral transmission </w:t>
      </w:r>
      <w:r w:rsidR="00735D52" w:rsidRPr="00C96B0F">
        <w:rPr>
          <w:rFonts w:asciiTheme="majorHAnsi" w:hAnsiTheme="majorHAnsi"/>
        </w:rPr>
        <w:t xml:space="preserve">of rotavirus </w:t>
      </w:r>
      <w:r w:rsidR="006D7157" w:rsidRPr="00C96B0F">
        <w:rPr>
          <w:rFonts w:asciiTheme="majorHAnsi" w:hAnsiTheme="majorHAnsi"/>
        </w:rPr>
        <w:t xml:space="preserve">between settings </w:t>
      </w:r>
      <w:r w:rsidR="00076934" w:rsidRPr="00C96B0F">
        <w:rPr>
          <w:rFonts w:asciiTheme="majorHAnsi" w:hAnsiTheme="majorHAnsi"/>
        </w:rPr>
        <w:t xml:space="preserve">(“force of infection”) </w:t>
      </w:r>
      <w:r w:rsidR="006D7157" w:rsidRPr="00C96B0F">
        <w:rPr>
          <w:rFonts w:asciiTheme="majorHAnsi" w:hAnsiTheme="majorHAnsi"/>
        </w:rPr>
        <w:t xml:space="preserve">may contribute to the observed variation in vaccine performance, but few data exist on </w:t>
      </w:r>
      <w:r w:rsidR="004904F4" w:rsidRPr="00C96B0F">
        <w:rPr>
          <w:rFonts w:asciiTheme="majorHAnsi" w:hAnsiTheme="majorHAnsi"/>
        </w:rPr>
        <w:t xml:space="preserve">individual level </w:t>
      </w:r>
      <w:r w:rsidR="006D7157" w:rsidRPr="00C96B0F">
        <w:rPr>
          <w:rFonts w:asciiTheme="majorHAnsi" w:hAnsiTheme="majorHAnsi"/>
        </w:rPr>
        <w:t>faecal shedding</w:t>
      </w:r>
      <w:r w:rsidR="009D3F81" w:rsidRPr="00C96B0F">
        <w:rPr>
          <w:rFonts w:asciiTheme="majorHAnsi" w:hAnsiTheme="majorHAnsi"/>
        </w:rPr>
        <w:t xml:space="preserve"> </w:t>
      </w:r>
      <w:r w:rsidR="00FD009B" w:rsidRPr="00C96B0F">
        <w:rPr>
          <w:rFonts w:asciiTheme="majorHAnsi" w:hAnsiTheme="majorHAnsi"/>
        </w:rPr>
        <w:t>–</w:t>
      </w:r>
      <w:r w:rsidR="009D3F81" w:rsidRPr="00C96B0F">
        <w:rPr>
          <w:rFonts w:asciiTheme="majorHAnsi" w:hAnsiTheme="majorHAnsi"/>
        </w:rPr>
        <w:t xml:space="preserve"> </w:t>
      </w:r>
      <w:r w:rsidR="00FD009B" w:rsidRPr="00C96B0F">
        <w:rPr>
          <w:rFonts w:asciiTheme="majorHAnsi" w:hAnsiTheme="majorHAnsi"/>
        </w:rPr>
        <w:t xml:space="preserve">one of </w:t>
      </w:r>
      <w:r w:rsidR="009D3F81" w:rsidRPr="00C96B0F">
        <w:rPr>
          <w:rFonts w:asciiTheme="majorHAnsi" w:hAnsiTheme="majorHAnsi"/>
        </w:rPr>
        <w:t>the primary mechanism</w:t>
      </w:r>
      <w:r w:rsidR="00F16CD6" w:rsidRPr="00C96B0F">
        <w:rPr>
          <w:rFonts w:asciiTheme="majorHAnsi" w:hAnsiTheme="majorHAnsi"/>
        </w:rPr>
        <w:t>s</w:t>
      </w:r>
      <w:r w:rsidR="009D3F81" w:rsidRPr="00C96B0F">
        <w:rPr>
          <w:rFonts w:asciiTheme="majorHAnsi" w:hAnsiTheme="majorHAnsi"/>
        </w:rPr>
        <w:t xml:space="preserve"> of rotavirus transmission</w:t>
      </w:r>
      <w:r w:rsidR="006D7157" w:rsidRPr="00C96B0F">
        <w:rPr>
          <w:rFonts w:asciiTheme="majorHAnsi" w:hAnsiTheme="majorHAnsi"/>
        </w:rPr>
        <w:t xml:space="preserve">. </w:t>
      </w:r>
    </w:p>
    <w:p w14:paraId="665F2638" w14:textId="66D68B67" w:rsidR="00513A6E" w:rsidRPr="00C96B0F" w:rsidRDefault="00531B92" w:rsidP="008C4409">
      <w:pPr>
        <w:spacing w:line="480" w:lineRule="auto"/>
        <w:jc w:val="both"/>
        <w:rPr>
          <w:rFonts w:asciiTheme="majorHAnsi" w:hAnsiTheme="majorHAnsi"/>
        </w:rPr>
      </w:pPr>
      <w:r w:rsidRPr="00C96B0F">
        <w:rPr>
          <w:rFonts w:asciiTheme="majorHAnsi" w:hAnsiTheme="majorHAnsi"/>
        </w:rPr>
        <w:t>T</w:t>
      </w:r>
      <w:r w:rsidR="00B83E3A" w:rsidRPr="00C96B0F">
        <w:rPr>
          <w:rFonts w:asciiTheme="majorHAnsi" w:hAnsiTheme="majorHAnsi"/>
        </w:rPr>
        <w:t xml:space="preserve">he dynamics of </w:t>
      </w:r>
      <w:r w:rsidR="00805D5F" w:rsidRPr="00C96B0F">
        <w:rPr>
          <w:rFonts w:asciiTheme="majorHAnsi" w:hAnsiTheme="majorHAnsi"/>
        </w:rPr>
        <w:t>f</w:t>
      </w:r>
      <w:r w:rsidR="00273A50" w:rsidRPr="00C96B0F">
        <w:rPr>
          <w:rFonts w:asciiTheme="majorHAnsi" w:hAnsiTheme="majorHAnsi"/>
        </w:rPr>
        <w:t xml:space="preserve">aecal shedding of rotavirus </w:t>
      </w:r>
      <w:r w:rsidRPr="00C96B0F">
        <w:rPr>
          <w:rFonts w:asciiTheme="majorHAnsi" w:hAnsiTheme="majorHAnsi"/>
        </w:rPr>
        <w:t xml:space="preserve">in unvaccinated populations </w:t>
      </w:r>
      <w:r w:rsidR="00273A50" w:rsidRPr="00C96B0F">
        <w:rPr>
          <w:rFonts w:asciiTheme="majorHAnsi" w:hAnsiTheme="majorHAnsi"/>
        </w:rPr>
        <w:t xml:space="preserve">has been </w:t>
      </w:r>
      <w:r w:rsidR="00B83E3A" w:rsidRPr="00C96B0F">
        <w:rPr>
          <w:rFonts w:asciiTheme="majorHAnsi" w:hAnsiTheme="majorHAnsi"/>
        </w:rPr>
        <w:t>examined</w:t>
      </w:r>
      <w:r w:rsidR="00273A50" w:rsidRPr="00C96B0F">
        <w:rPr>
          <w:rFonts w:asciiTheme="majorHAnsi" w:hAnsiTheme="majorHAnsi"/>
        </w:rPr>
        <w:t xml:space="preserve"> in children with both asymptomatic rotavirus infection and </w:t>
      </w:r>
      <w:r w:rsidR="001763F7" w:rsidRPr="00C96B0F">
        <w:rPr>
          <w:rFonts w:asciiTheme="majorHAnsi" w:hAnsiTheme="majorHAnsi"/>
        </w:rPr>
        <w:t xml:space="preserve">with </w:t>
      </w:r>
      <w:r w:rsidR="00273A50" w:rsidRPr="00C96B0F">
        <w:rPr>
          <w:rFonts w:asciiTheme="majorHAnsi" w:hAnsiTheme="majorHAnsi"/>
        </w:rPr>
        <w:t>clinical rotavirus disease using electron microscopy</w:t>
      </w:r>
      <w:r w:rsidR="00805D5F" w:rsidRPr="00C96B0F">
        <w:rPr>
          <w:rFonts w:asciiTheme="majorHAnsi" w:hAnsiTheme="majorHAnsi"/>
        </w:rPr>
        <w:t xml:space="preserve">, </w:t>
      </w:r>
      <w:r w:rsidR="00273A50" w:rsidRPr="00C96B0F">
        <w:rPr>
          <w:rFonts w:asciiTheme="majorHAnsi" w:hAnsiTheme="majorHAnsi"/>
        </w:rPr>
        <w:t xml:space="preserve">enzyme-immune assay </w:t>
      </w:r>
      <w:r w:rsidR="00805D5F" w:rsidRPr="00C96B0F">
        <w:rPr>
          <w:rFonts w:asciiTheme="majorHAnsi" w:hAnsiTheme="majorHAnsi"/>
        </w:rPr>
        <w:t>and</w:t>
      </w:r>
      <w:r w:rsidR="00273A50" w:rsidRPr="00C96B0F">
        <w:rPr>
          <w:rFonts w:asciiTheme="majorHAnsi" w:hAnsiTheme="majorHAnsi"/>
        </w:rPr>
        <w:t xml:space="preserve"> PCR</w:t>
      </w:r>
      <w:r w:rsidR="00703AAF" w:rsidRPr="00C96B0F">
        <w:rPr>
          <w:rFonts w:asciiTheme="majorHAnsi" w:hAnsiTheme="majorHAnsi"/>
        </w:rPr>
        <w:fldChar w:fldCharType="begin" w:fldLock="1"/>
      </w:r>
      <w:r w:rsidR="00E61A6B">
        <w:rPr>
          <w:rFonts w:asciiTheme="majorHAnsi" w:hAnsiTheme="majorHAnsi"/>
        </w:rPr>
        <w:instrText>ADDIN CSL_CITATION {"citationItems":[{"id":"ITEM-1","itemData":{"DOI":"10.1002/jmv.20053","ISBN":"0146-6615 (Print)\r0146-6615 (Linking)","PMID":"15042658","abstract":"The epidemiology and pathogenesis of rotaviruses are not completely understood, although recent developments in polymerase chain reaction (PCR) techniques now make it possible to quantify the viral load during an infective episode and investigate its relevance to clinical features of the disease. We studied rotavirus-positive stool samples collected from 10 children without symptoms of gastroenteritis and from 81 children with acute gastroenteritis and in whom the clinical severity of disease was recorded. A semi-quantitative real-time reverse-transcription (RT)-PCR was used to estimate the rotavirus load and to assess its correlation with the Vesikari score for severity of diarrhoea. There was a significant negative correlation (r = -0.80, P &lt; 0.001) between severity and the PCR cycle at which the PCR amplicons were detectable (crossing point) on the assay, indicating that children with more severe diarrhoea excrete more virus than children with less severe disease.","author":[{"dropping-particle":"","family":"Kang","given":"G","non-dropping-particle":"","parse-names":false,"suffix":""},{"dropping-particle":"","family":"Iturriza-Gomara","given":"M","non-dropping-particle":"","parse-names":false,"suffix":""},{"dropping-particle":"","family":"Wheeler","given":"J G","non-dropping-particle":"","parse-names":false,"suffix":""},{"dropping-particle":"","family":"Crystal","given":"P","non-dropping-particle":"","parse-names":false,"suffix":""},{"dropping-particle":"","family":"Monica","given":"B","non-dropping-particle":"","parse-names":false,"suffix":""},{"dropping-particle":"","family":"Ramani","given":"S","non-dropping-particle":"","parse-names":false,"suffix":""},{"dropping-particle":"","family":"Primrose","given":"B","non-dropping-particle":"","parse-names":false,"suffix":""},{"dropping-particle":"","family":"Moses","given":"P D","non-dropping-particle":"","parse-names":false,"suffix":""},{"dropping-particle":"","family":"Gallimore","given":"C I","non-dropping-particle":"","parse-names":false,"suffix":""},{"dropping-particle":"","family":"Brown","given":"D W","non-dropping-particle":"","parse-names":false,"suffix":""},{"dropping-particle":"","family":"Gray","given":"J","non-dropping-particle":"","parse-names":false,"suffix":""}],"container-title":"J Med Virol","edition":"2004/03/26","id":"ITEM-1","issue":"1","issued":{"date-parts":[["2004"]]},"language":"eng","page":"118-122","title":"Quantitation of group A rotavirus by real-time reverse-transcription-polymerase chain reaction: correlation with clinical severity in children in South India","type":"article-journal","volume":"73"},"uris":["http://www.mendeley.com/documents/?uuid=f1ce8ef7-464f-494a-8547-8404c81b30dc"]}],"mendeley":{"formattedCitation":"(5)","plainTextFormattedCitation":"(5)","previouslyFormattedCitation":"(5)"},"properties":{"noteIndex":0},"schema":"https://github.com/citation-style-language/schema/raw/master/csl-citation.json"}</w:instrText>
      </w:r>
      <w:r w:rsidR="00703AAF" w:rsidRPr="00C96B0F">
        <w:rPr>
          <w:rFonts w:asciiTheme="majorHAnsi" w:hAnsiTheme="majorHAnsi"/>
        </w:rPr>
        <w:fldChar w:fldCharType="separate"/>
      </w:r>
      <w:r w:rsidR="00E61A6B" w:rsidRPr="00E61A6B">
        <w:rPr>
          <w:rFonts w:asciiTheme="majorHAnsi" w:hAnsiTheme="majorHAnsi"/>
          <w:noProof/>
        </w:rPr>
        <w:t>(5)</w:t>
      </w:r>
      <w:r w:rsidR="00703AAF" w:rsidRPr="00C96B0F">
        <w:rPr>
          <w:rFonts w:asciiTheme="majorHAnsi" w:hAnsiTheme="majorHAnsi"/>
        </w:rPr>
        <w:fldChar w:fldCharType="end"/>
      </w:r>
      <w:r w:rsidR="00273A50" w:rsidRPr="00C96B0F">
        <w:rPr>
          <w:rFonts w:asciiTheme="majorHAnsi" w:hAnsiTheme="majorHAnsi"/>
        </w:rPr>
        <w:t xml:space="preserve">. </w:t>
      </w:r>
      <w:r w:rsidR="00513A6E" w:rsidRPr="00C96B0F">
        <w:rPr>
          <w:rFonts w:asciiTheme="majorHAnsi" w:hAnsiTheme="majorHAnsi"/>
        </w:rPr>
        <w:t xml:space="preserve">Faecal shedding has been </w:t>
      </w:r>
      <w:r w:rsidR="00EE1CB6" w:rsidRPr="00C96B0F">
        <w:rPr>
          <w:rFonts w:asciiTheme="majorHAnsi" w:hAnsiTheme="majorHAnsi"/>
        </w:rPr>
        <w:t>shown to</w:t>
      </w:r>
      <w:r w:rsidR="00513A6E" w:rsidRPr="00C96B0F">
        <w:rPr>
          <w:rFonts w:asciiTheme="majorHAnsi" w:hAnsiTheme="majorHAnsi"/>
        </w:rPr>
        <w:t xml:space="preserve"> extend beyond symptom</w:t>
      </w:r>
      <w:r w:rsidR="001F3151" w:rsidRPr="00C96B0F">
        <w:rPr>
          <w:rFonts w:asciiTheme="majorHAnsi" w:hAnsiTheme="majorHAnsi"/>
        </w:rPr>
        <w:t xml:space="preserve"> resolution</w:t>
      </w:r>
      <w:r w:rsidR="00B83E3A" w:rsidRPr="00C96B0F">
        <w:rPr>
          <w:rFonts w:asciiTheme="majorHAnsi" w:hAnsiTheme="majorHAnsi"/>
        </w:rPr>
        <w:t>,</w:t>
      </w:r>
      <w:r w:rsidR="00EE5A67" w:rsidRPr="00C96B0F">
        <w:rPr>
          <w:rFonts w:asciiTheme="majorHAnsi" w:hAnsiTheme="majorHAnsi"/>
        </w:rPr>
        <w:t xml:space="preserve"> </w:t>
      </w:r>
      <w:r w:rsidR="001F3151" w:rsidRPr="00C96B0F">
        <w:rPr>
          <w:rFonts w:asciiTheme="majorHAnsi" w:hAnsiTheme="majorHAnsi"/>
        </w:rPr>
        <w:t>persisting</w:t>
      </w:r>
      <w:r w:rsidR="00513A6E" w:rsidRPr="00C96B0F">
        <w:rPr>
          <w:rFonts w:asciiTheme="majorHAnsi" w:hAnsiTheme="majorHAnsi"/>
        </w:rPr>
        <w:t xml:space="preserve"> for a median of 10 days</w:t>
      </w:r>
      <w:r w:rsidR="001F3151" w:rsidRPr="00C96B0F">
        <w:rPr>
          <w:rFonts w:asciiTheme="majorHAnsi" w:hAnsiTheme="majorHAnsi"/>
        </w:rPr>
        <w:t xml:space="preserve"> </w:t>
      </w:r>
      <w:r w:rsidRPr="00C96B0F">
        <w:rPr>
          <w:rFonts w:asciiTheme="majorHAnsi" w:hAnsiTheme="majorHAnsi"/>
        </w:rPr>
        <w:t xml:space="preserve">since symptom onset </w:t>
      </w:r>
      <w:r w:rsidR="00513A6E" w:rsidRPr="00C96B0F">
        <w:rPr>
          <w:rFonts w:asciiTheme="majorHAnsi" w:hAnsiTheme="majorHAnsi"/>
        </w:rPr>
        <w:t>in Australia and 24 days in India</w:t>
      </w:r>
      <w:r w:rsidRPr="00C96B0F">
        <w:rPr>
          <w:rFonts w:asciiTheme="majorHAnsi" w:hAnsiTheme="majorHAnsi"/>
        </w:rPr>
        <w:t xml:space="preserve"> using PCR</w:t>
      </w:r>
      <w:r w:rsidR="00E025E2" w:rsidRPr="00C96B0F">
        <w:rPr>
          <w:rFonts w:asciiTheme="majorHAnsi" w:hAnsiTheme="majorHAnsi"/>
        </w:rPr>
        <w:t xml:space="preserve"> based assays</w:t>
      </w:r>
      <w:r w:rsidR="00513A6E" w:rsidRPr="00C96B0F">
        <w:rPr>
          <w:rFonts w:asciiTheme="majorHAnsi" w:hAnsiTheme="majorHAnsi"/>
        </w:rPr>
        <w:fldChar w:fldCharType="begin" w:fldLock="1"/>
      </w:r>
      <w:r w:rsidR="00E61A6B">
        <w:rPr>
          <w:rFonts w:asciiTheme="majorHAnsi" w:hAnsiTheme="majorHAnsi"/>
        </w:rPr>
        <w:instrText>ADDIN CSL_CITATION {"citationItems":[{"id":"ITEM-1","itemData":{"DOI":"10.1016/s0140-6736(97)11257-0","ISBN":"0140-6736 (Print)\r0140-6736 (Linking)","PMID":"9652668","abstract":"BACKGROUND: Rotaviruses are the major cause of severe childhood diarrhoea. Knowledge of the natural history of infection, including duration of intestinal virus shedding, is important in the understanding of transmission, sources of infection, and immune responses. METHODS: We carried out a study of rotavirus excretion in 37 children admitted to hospital with severe rotavirus diarrhoea. Sequential faecal specimens were collected from each child during 100 days of surveillance, and screened for rotavirus by EIA and by amplification of genome double-stranded RNA by reverse-transcription PCR. IgA coproantibody was estimated by EIA. FINDINGS: Duration of rotavirus excretion ranged from 4 to 57 days after onset of diarrhoea. Excretion ceased within 10 days in 16 (43%) children, and within 20 days in 26 (70%) children. Extended excretion was detected for 25-57 days in the remaining 11 (30%) children owing mainly to continued excretion of the primary infecting strain. Extended excretion was significantly associated with antirotavirus IgA coproantibody boosts during 100 days of surveillance (p=0.001, log-rank test), and with recurrence of mild diarrhoea symptoms during convalescence (p=0.006, Fisher's exact test). INTERPRETATION: Severe rotavirus disease in young children may be followed by extended excretion of rotavirus. The risk of transmission to others may be greater than previously believed. Extended excretion could also explain some cases of the postgastroenteritis syndrome.","author":[{"dropping-particle":"","family":"Richardson","given":"S","non-dropping-particle":"","parse-names":false,"suffix":""},{"dropping-particle":"","family":"Grimwood","given":"K","non-dropping-particle":"","parse-names":false,"suffix":""},{"dropping-particle":"","family":"Gorrell","given":"R","non-dropping-particle":"","parse-names":false,"suffix":""},{"dropping-particle":"","family":"Palombo","given":"E","non-dropping-particle":"","parse-names":false,"suffix":""},{"dropping-particle":"","family":"Barnes","given":"G","non-dropping-particle":"","parse-names":false,"suffix":""},{"dropping-particle":"","family":"Bishop","given":"R","non-dropping-particle":"","parse-names":false,"suffix":""}],"container-title":"Lancet","edition":"1998/07/04","id":"ITEM-1","issue":"9119","issued":{"date-parts":[["1998"]]},"language":"eng","page":"1844-1848","title":"Extended excretion of rotavirus after severe diarrhoea in young children","type":"article-journal","volume":"351"},"uris":["http://www.mendeley.com/documents/?uuid=f6d5386b-2896-434c-a252-8e60d6d716e6"]},{"id":"ITEM-2","itemData":{"DOI":"10.1002/jmv.23641","ISBN":"1096-9071 (Electronic)\r0146-6615 (Linking)","PMID":"23775335","abstract":"Reverse transcription-real-time polymerase chain reaction (RT-qPCR) for the VP6 gene was used to study group A rotavirus shedding in children with symptomatic and asymptomatic rotavirus infection. Sequential stool samples (n = 345) from 10 children with rotavirus associated diarrhea and from five children (n = 161) with asymptomatic rotavirus infection were collected over a period of 2 months. A RT-qPCR assay on the samples using a rotavirus VP6 plasmid standard demonstrated high reproducibility, with an inter-assay coefficient of variation (CV) of 1.40-2.97% and an intra-assay CV of 0.03-3.03%. The median duration of shedding was longer in children with diarrhea compared to asymptomatic children (24 days vs. 18 days; P = 0.066). The median quantitation cycle (C(q)) at presentation in symptomatic children was 17.21 compared to 30.98 in asymptomatic children (P = 0.086). The temporal pattern in symptomatic children consisted of a high initial viral shedding coinciding with the duration of diarrhea, followed by a rapid fall, and then a small increase in secondary shedding 21 days later. Compared to children with rotavirus diarrhea, those with asymptomatic infection shed lower quantities of virus throughout the observation period. No difference was noted between the G and P genotypes of samples collected at onset of infection and during the shedding period. Shedding was intermittent in a subset of children in both groups. RT-qPCR is a useful method to characterize shedding patterns.","author":[{"dropping-particle":"","family":"Mukhopadhya","given":"I","non-dropping-particle":"","parse-names":false,"suffix":""},{"dropping-particle":"","family":"Sarkar","given":"R","non-dropping-particle":"","parse-names":false,"suffix":""},{"dropping-particle":"","family":"Menon","given":"V K","non-dropping-particle":"","parse-names":false,"suffix":""},{"dropping-particle":"","family":"Babji","given":"S","non-dropping-particle":"","parse-names":false,"suffix":""},{"dropping-particle":"","family":"Paul","given":"A","non-dropping-particle":"","parse-names":false,"suffix":""},{"dropping-particle":"","family":"Rajendran","given":"P","non-dropping-particle":"","parse-names":false,"suffix":""},{"dropping-particle":"V","family":"Sowmyanarayanan","given":"T","non-dropping-particle":"","parse-names":false,"suffix":""},{"dropping-particle":"","family":"Moses","given":"P D","non-dropping-particle":"","parse-names":false,"suffix":""},{"dropping-particle":"","family":"Iturriza-Gomara","given":"M","non-dropping-particle":"","parse-names":false,"suffix":""},{"dropping-particle":"","family":"Gray","given":"J J","non-dropping-particle":"","parse-names":false,"suffix":""},{"dropping-particle":"","family":"Kang","given":"G","non-dropping-particle":"","parse-names":false,"suffix":""}],"container-title":"J Med Virol","edition":"2013/06/19","id":"ITEM-2","issue":"9","issued":{"date-parts":[["2013"]]},"language":"eng","page":"1661-1668","title":"Rotavirus shedding in symptomatic and asymptomatic children using reverse transcription-quantitative PCR","type":"article-journal","volume":"85"},"uris":["http://www.mendeley.com/documents/?uuid=f3f809d6-fa4a-427a-88ae-1c546acad8f4"]}],"mendeley":{"formattedCitation":"(6,7)","plainTextFormattedCitation":"(6,7)","previouslyFormattedCitation":"(6,7)"},"properties":{"noteIndex":0},"schema":"https://github.com/citation-style-language/schema/raw/master/csl-citation.json"}</w:instrText>
      </w:r>
      <w:r w:rsidR="00513A6E" w:rsidRPr="00C96B0F">
        <w:rPr>
          <w:rFonts w:asciiTheme="majorHAnsi" w:hAnsiTheme="majorHAnsi"/>
        </w:rPr>
        <w:fldChar w:fldCharType="separate"/>
      </w:r>
      <w:r w:rsidR="00E61A6B" w:rsidRPr="00E61A6B">
        <w:rPr>
          <w:rFonts w:asciiTheme="majorHAnsi" w:hAnsiTheme="majorHAnsi"/>
          <w:noProof/>
        </w:rPr>
        <w:t>(6,7)</w:t>
      </w:r>
      <w:r w:rsidR="00513A6E" w:rsidRPr="00C96B0F">
        <w:rPr>
          <w:rFonts w:asciiTheme="majorHAnsi" w:hAnsiTheme="majorHAnsi"/>
        </w:rPr>
        <w:fldChar w:fldCharType="end"/>
      </w:r>
      <w:r w:rsidR="00513A6E" w:rsidRPr="00C96B0F">
        <w:rPr>
          <w:rFonts w:asciiTheme="majorHAnsi" w:hAnsiTheme="majorHAnsi"/>
        </w:rPr>
        <w:t xml:space="preserve">. </w:t>
      </w:r>
      <w:r w:rsidR="0045209B" w:rsidRPr="00C96B0F">
        <w:rPr>
          <w:rFonts w:asciiTheme="majorHAnsi" w:hAnsiTheme="majorHAnsi"/>
        </w:rPr>
        <w:t xml:space="preserve">Data from India </w:t>
      </w:r>
      <w:r w:rsidR="001763F7" w:rsidRPr="00C96B0F">
        <w:rPr>
          <w:rFonts w:asciiTheme="majorHAnsi" w:hAnsiTheme="majorHAnsi"/>
        </w:rPr>
        <w:t>demonstrated</w:t>
      </w:r>
      <w:r w:rsidR="0045209B" w:rsidRPr="00C96B0F">
        <w:rPr>
          <w:rFonts w:asciiTheme="majorHAnsi" w:hAnsiTheme="majorHAnsi"/>
        </w:rPr>
        <w:t xml:space="preserve"> a positive relationship between faecal viral load and disease severity</w:t>
      </w:r>
      <w:r w:rsidR="00703AAF" w:rsidRPr="00C96B0F">
        <w:rPr>
          <w:rFonts w:asciiTheme="majorHAnsi" w:hAnsiTheme="majorHAnsi"/>
        </w:rPr>
        <w:fldChar w:fldCharType="begin" w:fldLock="1"/>
      </w:r>
      <w:r w:rsidR="00E61A6B">
        <w:rPr>
          <w:rFonts w:asciiTheme="majorHAnsi" w:hAnsiTheme="majorHAnsi"/>
        </w:rPr>
        <w:instrText>ADDIN CSL_CITATION {"citationItems":[{"id":"ITEM-1","itemData":{"DOI":"10.1002/jmv.20053","ISBN":"0146-6615 (Print)\r0146-6615 (Linking)","PMID":"15042658","abstract":"The epidemiology and pathogenesis of rotaviruses are not completely understood, although recent developments in polymerase chain reaction (PCR) techniques now make it possible to quantify the viral load during an infective episode and investigate its relevance to clinical features of the disease. We studied rotavirus-positive stool samples collected from 10 children without symptoms of gastroenteritis and from 81 children with acute gastroenteritis and in whom the clinical severity of disease was recorded. A semi-quantitative real-time reverse-transcription (RT)-PCR was used to estimate the rotavirus load and to assess its correlation with the Vesikari score for severity of diarrhoea. There was a significant negative correlation (r = -0.80, P &lt; 0.001) between severity and the PCR cycle at which the PCR amplicons were detectable (crossing point) on the assay, indicating that children with more severe diarrhoea excrete more virus than children with less severe disease.","author":[{"dropping-particle":"","family":"Kang","given":"G","non-dropping-particle":"","parse-names":false,"suffix":""},{"dropping-particle":"","family":"Iturriza-Gomara","given":"M","non-dropping-particle":"","parse-names":false,"suffix":""},{"dropping-particle":"","family":"Wheeler","given":"J G","non-dropping-particle":"","parse-names":false,"suffix":""},{"dropping-particle":"","family":"Crystal","given":"P","non-dropping-particle":"","parse-names":false,"suffix":""},{"dropping-particle":"","family":"Monica","given":"B","non-dropping-particle":"","parse-names":false,"suffix":""},{"dropping-particle":"","family":"Ramani","given":"S","non-dropping-particle":"","parse-names":false,"suffix":""},{"dropping-particle":"","family":"Primrose","given":"B","non-dropping-particle":"","parse-names":false,"suffix":""},{"dropping-particle":"","family":"Moses","given":"P D","non-dropping-particle":"","parse-names":false,"suffix":""},{"dropping-particle":"","family":"Gallimore","given":"C I","non-dropping-particle":"","parse-names":false,"suffix":""},{"dropping-particle":"","family":"Brown","given":"D W","non-dropping-particle":"","parse-names":false,"suffix":""},{"dropping-particle":"","family":"Gray","given":"J","non-dropping-particle":"","parse-names":false,"suffix":""}],"container-title":"J Med Virol","edition":"2004/03/26","id":"ITEM-1","issue":"1","issued":{"date-parts":[["2004"]]},"language":"eng","page":"118-122","title":"Quantitation of group A rotavirus by real-time reverse-transcription-polymerase chain reaction: correlation with clinical severity in children in South India","type":"article-journal","volume":"73"},"uris":["http://www.mendeley.com/documents/?uuid=f1ce8ef7-464f-494a-8547-8404c81b30dc"]}],"mendeley":{"formattedCitation":"(5)","plainTextFormattedCitation":"(5)","previouslyFormattedCitation":"(5)"},"properties":{"noteIndex":0},"schema":"https://github.com/citation-style-language/schema/raw/master/csl-citation.json"}</w:instrText>
      </w:r>
      <w:r w:rsidR="00703AAF" w:rsidRPr="00C96B0F">
        <w:rPr>
          <w:rFonts w:asciiTheme="majorHAnsi" w:hAnsiTheme="majorHAnsi"/>
        </w:rPr>
        <w:fldChar w:fldCharType="separate"/>
      </w:r>
      <w:r w:rsidR="00E61A6B" w:rsidRPr="00E61A6B">
        <w:rPr>
          <w:rFonts w:asciiTheme="majorHAnsi" w:hAnsiTheme="majorHAnsi"/>
          <w:noProof/>
        </w:rPr>
        <w:t>(5)</w:t>
      </w:r>
      <w:r w:rsidR="00703AAF" w:rsidRPr="00C96B0F">
        <w:rPr>
          <w:rFonts w:asciiTheme="majorHAnsi" w:hAnsiTheme="majorHAnsi"/>
        </w:rPr>
        <w:fldChar w:fldCharType="end"/>
      </w:r>
      <w:r w:rsidR="0045209B" w:rsidRPr="00C96B0F">
        <w:rPr>
          <w:rFonts w:asciiTheme="majorHAnsi" w:hAnsiTheme="majorHAnsi"/>
        </w:rPr>
        <w:t xml:space="preserve">. </w:t>
      </w:r>
    </w:p>
    <w:p w14:paraId="6B4A292D" w14:textId="12910A28" w:rsidR="00967965" w:rsidRPr="00C96B0F" w:rsidRDefault="006F6537" w:rsidP="008C4409">
      <w:pPr>
        <w:spacing w:line="480" w:lineRule="auto"/>
        <w:jc w:val="both"/>
        <w:rPr>
          <w:rFonts w:asciiTheme="majorHAnsi" w:hAnsiTheme="majorHAnsi"/>
          <w:szCs w:val="24"/>
        </w:rPr>
      </w:pPr>
      <w:r w:rsidRPr="00C96B0F">
        <w:rPr>
          <w:rFonts w:asciiTheme="majorHAnsi" w:hAnsiTheme="majorHAnsi"/>
        </w:rPr>
        <w:t>T</w:t>
      </w:r>
      <w:r w:rsidR="001F3151" w:rsidRPr="00C96B0F">
        <w:rPr>
          <w:rFonts w:asciiTheme="majorHAnsi" w:hAnsiTheme="majorHAnsi"/>
        </w:rPr>
        <w:t xml:space="preserve">here </w:t>
      </w:r>
      <w:r w:rsidR="00431B41" w:rsidRPr="00C96B0F">
        <w:rPr>
          <w:rFonts w:asciiTheme="majorHAnsi" w:hAnsiTheme="majorHAnsi"/>
        </w:rPr>
        <w:t xml:space="preserve">is </w:t>
      </w:r>
      <w:r w:rsidR="005F6CCE" w:rsidRPr="00C96B0F">
        <w:rPr>
          <w:rFonts w:asciiTheme="majorHAnsi" w:hAnsiTheme="majorHAnsi"/>
        </w:rPr>
        <w:t>a</w:t>
      </w:r>
      <w:r w:rsidR="00FC23D4" w:rsidRPr="00C96B0F">
        <w:rPr>
          <w:rFonts w:asciiTheme="majorHAnsi" w:hAnsiTheme="majorHAnsi"/>
        </w:rPr>
        <w:t xml:space="preserve"> </w:t>
      </w:r>
      <w:r w:rsidR="00EE5A67" w:rsidRPr="00C96B0F">
        <w:rPr>
          <w:rFonts w:asciiTheme="majorHAnsi" w:hAnsiTheme="majorHAnsi"/>
        </w:rPr>
        <w:t>lack o</w:t>
      </w:r>
      <w:r w:rsidR="00FC23D4" w:rsidRPr="00C96B0F">
        <w:rPr>
          <w:rFonts w:asciiTheme="majorHAnsi" w:hAnsiTheme="majorHAnsi"/>
        </w:rPr>
        <w:t>f</w:t>
      </w:r>
      <w:r w:rsidR="00EE5A67" w:rsidRPr="00C96B0F">
        <w:rPr>
          <w:rFonts w:asciiTheme="majorHAnsi" w:hAnsiTheme="majorHAnsi"/>
        </w:rPr>
        <w:t xml:space="preserve"> </w:t>
      </w:r>
      <w:r w:rsidR="00256928" w:rsidRPr="00C96B0F">
        <w:rPr>
          <w:rFonts w:asciiTheme="majorHAnsi" w:hAnsiTheme="majorHAnsi"/>
        </w:rPr>
        <w:t xml:space="preserve">shedding </w:t>
      </w:r>
      <w:r w:rsidRPr="00C96B0F">
        <w:rPr>
          <w:rFonts w:asciiTheme="majorHAnsi" w:hAnsiTheme="majorHAnsi"/>
        </w:rPr>
        <w:t>data</w:t>
      </w:r>
      <w:r w:rsidR="00EE5A67" w:rsidRPr="00C96B0F">
        <w:rPr>
          <w:rFonts w:asciiTheme="majorHAnsi" w:hAnsiTheme="majorHAnsi"/>
        </w:rPr>
        <w:t xml:space="preserve"> </w:t>
      </w:r>
      <w:r w:rsidR="009D7DA8" w:rsidRPr="00C96B0F">
        <w:rPr>
          <w:rFonts w:asciiTheme="majorHAnsi" w:hAnsiTheme="majorHAnsi"/>
        </w:rPr>
        <w:t>from vaccinated infants</w:t>
      </w:r>
      <w:r w:rsidR="001763F7" w:rsidRPr="00C96B0F">
        <w:rPr>
          <w:rFonts w:asciiTheme="majorHAnsi" w:hAnsiTheme="majorHAnsi"/>
        </w:rPr>
        <w:t xml:space="preserve"> in any setting,</w:t>
      </w:r>
      <w:r w:rsidR="009D7DA8" w:rsidRPr="00C96B0F">
        <w:rPr>
          <w:rFonts w:asciiTheme="majorHAnsi" w:hAnsiTheme="majorHAnsi"/>
        </w:rPr>
        <w:t xml:space="preserve"> </w:t>
      </w:r>
      <w:r w:rsidR="001763F7" w:rsidRPr="00C96B0F">
        <w:rPr>
          <w:rFonts w:asciiTheme="majorHAnsi" w:hAnsiTheme="majorHAnsi"/>
        </w:rPr>
        <w:t>including</w:t>
      </w:r>
      <w:r w:rsidR="00FC23D4" w:rsidRPr="00C96B0F">
        <w:rPr>
          <w:rFonts w:asciiTheme="majorHAnsi" w:hAnsiTheme="majorHAnsi"/>
        </w:rPr>
        <w:t xml:space="preserve"> </w:t>
      </w:r>
      <w:r w:rsidR="00256928" w:rsidRPr="00C96B0F">
        <w:rPr>
          <w:rFonts w:asciiTheme="majorHAnsi" w:hAnsiTheme="majorHAnsi"/>
        </w:rPr>
        <w:t>infant</w:t>
      </w:r>
      <w:r w:rsidR="00332D6F" w:rsidRPr="00C96B0F">
        <w:rPr>
          <w:rFonts w:asciiTheme="majorHAnsi" w:hAnsiTheme="majorHAnsi"/>
        </w:rPr>
        <w:t>s from</w:t>
      </w:r>
      <w:r w:rsidR="00531B92" w:rsidRPr="00C96B0F">
        <w:rPr>
          <w:rFonts w:asciiTheme="majorHAnsi" w:hAnsiTheme="majorHAnsi"/>
        </w:rPr>
        <w:t xml:space="preserve"> sub-Saharan Africa</w:t>
      </w:r>
      <w:r w:rsidR="00EE5A67" w:rsidRPr="00C96B0F">
        <w:rPr>
          <w:rFonts w:asciiTheme="majorHAnsi" w:hAnsiTheme="majorHAnsi"/>
        </w:rPr>
        <w:t xml:space="preserve"> </w:t>
      </w:r>
      <w:r w:rsidR="009D7DA8" w:rsidRPr="00C96B0F">
        <w:rPr>
          <w:rFonts w:asciiTheme="majorHAnsi" w:hAnsiTheme="majorHAnsi"/>
        </w:rPr>
        <w:t>in whom</w:t>
      </w:r>
      <w:r w:rsidR="00FC23D4" w:rsidRPr="00C96B0F">
        <w:rPr>
          <w:rFonts w:asciiTheme="majorHAnsi" w:hAnsiTheme="majorHAnsi"/>
        </w:rPr>
        <w:t xml:space="preserve"> </w:t>
      </w:r>
      <w:r w:rsidR="00DC3B64" w:rsidRPr="00C96B0F">
        <w:rPr>
          <w:rFonts w:asciiTheme="majorHAnsi" w:hAnsiTheme="majorHAnsi"/>
        </w:rPr>
        <w:t xml:space="preserve">differences </w:t>
      </w:r>
      <w:r w:rsidR="00FC23D4" w:rsidRPr="00C96B0F">
        <w:rPr>
          <w:rFonts w:asciiTheme="majorHAnsi" w:hAnsiTheme="majorHAnsi"/>
        </w:rPr>
        <w:t xml:space="preserve">in </w:t>
      </w:r>
      <w:r w:rsidR="00754C23" w:rsidRPr="00C96B0F">
        <w:rPr>
          <w:rFonts w:asciiTheme="majorHAnsi" w:hAnsiTheme="majorHAnsi"/>
        </w:rPr>
        <w:t xml:space="preserve">intestinal integrity, nutritional state, co-morbidities, </w:t>
      </w:r>
      <w:r w:rsidR="005F6CCE" w:rsidRPr="00C96B0F">
        <w:rPr>
          <w:rFonts w:asciiTheme="majorHAnsi" w:hAnsiTheme="majorHAnsi"/>
        </w:rPr>
        <w:t>and</w:t>
      </w:r>
      <w:r w:rsidR="00FC23D4" w:rsidRPr="00C96B0F">
        <w:rPr>
          <w:rFonts w:asciiTheme="majorHAnsi" w:hAnsiTheme="majorHAnsi"/>
        </w:rPr>
        <w:t xml:space="preserve"> immune response</w:t>
      </w:r>
      <w:r w:rsidR="00754C23" w:rsidRPr="00C96B0F">
        <w:rPr>
          <w:rFonts w:asciiTheme="majorHAnsi" w:hAnsiTheme="majorHAnsi"/>
        </w:rPr>
        <w:t xml:space="preserve"> may lead to </w:t>
      </w:r>
      <w:r w:rsidR="00DC3B64" w:rsidRPr="00C96B0F">
        <w:rPr>
          <w:rFonts w:asciiTheme="majorHAnsi" w:hAnsiTheme="majorHAnsi"/>
        </w:rPr>
        <w:t>variation in</w:t>
      </w:r>
      <w:r w:rsidR="00754C23" w:rsidRPr="00C96B0F">
        <w:rPr>
          <w:rFonts w:asciiTheme="majorHAnsi" w:hAnsiTheme="majorHAnsi"/>
        </w:rPr>
        <w:t xml:space="preserve"> shedding </w:t>
      </w:r>
      <w:r w:rsidR="009D7DA8" w:rsidRPr="00C96B0F">
        <w:rPr>
          <w:rFonts w:asciiTheme="majorHAnsi" w:hAnsiTheme="majorHAnsi"/>
        </w:rPr>
        <w:t>with concomitant</w:t>
      </w:r>
      <w:r w:rsidR="005F6CCE" w:rsidRPr="00C96B0F">
        <w:rPr>
          <w:rFonts w:asciiTheme="majorHAnsi" w:hAnsiTheme="majorHAnsi"/>
        </w:rPr>
        <w:t xml:space="preserve"> impact on transmission</w:t>
      </w:r>
      <w:r w:rsidR="00754C23" w:rsidRPr="00C96B0F">
        <w:rPr>
          <w:rFonts w:asciiTheme="majorHAnsi" w:hAnsiTheme="majorHAnsi"/>
        </w:rPr>
        <w:t xml:space="preserve">. </w:t>
      </w:r>
      <w:r w:rsidR="004218C3" w:rsidRPr="00C96B0F">
        <w:rPr>
          <w:rFonts w:asciiTheme="majorHAnsi" w:hAnsiTheme="majorHAnsi"/>
          <w:szCs w:val="24"/>
        </w:rPr>
        <w:t>We</w:t>
      </w:r>
      <w:r w:rsidR="00754C23" w:rsidRPr="00C96B0F">
        <w:rPr>
          <w:rFonts w:asciiTheme="majorHAnsi" w:hAnsiTheme="majorHAnsi"/>
          <w:szCs w:val="24"/>
        </w:rPr>
        <w:t xml:space="preserve"> aimed to </w:t>
      </w:r>
      <w:r w:rsidR="00FC23D4" w:rsidRPr="00C96B0F">
        <w:rPr>
          <w:rFonts w:asciiTheme="majorHAnsi" w:hAnsiTheme="majorHAnsi"/>
          <w:szCs w:val="24"/>
        </w:rPr>
        <w:t>describe patterns of</w:t>
      </w:r>
      <w:r w:rsidR="00D15834">
        <w:rPr>
          <w:rFonts w:asciiTheme="majorHAnsi" w:hAnsiTheme="majorHAnsi"/>
          <w:szCs w:val="24"/>
        </w:rPr>
        <w:t xml:space="preserve"> </w:t>
      </w:r>
      <w:r w:rsidR="00FE406E" w:rsidRPr="00C96B0F">
        <w:rPr>
          <w:rFonts w:asciiTheme="majorHAnsi" w:hAnsiTheme="majorHAnsi"/>
          <w:szCs w:val="24"/>
        </w:rPr>
        <w:t xml:space="preserve">wild-type </w:t>
      </w:r>
      <w:r w:rsidR="00FC23D4" w:rsidRPr="00C96B0F">
        <w:rPr>
          <w:rFonts w:asciiTheme="majorHAnsi" w:hAnsiTheme="majorHAnsi"/>
          <w:szCs w:val="24"/>
        </w:rPr>
        <w:t>rotavirus shedding over time and</w:t>
      </w:r>
      <w:r w:rsidR="00531B92" w:rsidRPr="00C96B0F">
        <w:rPr>
          <w:rFonts w:asciiTheme="majorHAnsi" w:hAnsiTheme="majorHAnsi"/>
          <w:szCs w:val="24"/>
        </w:rPr>
        <w:t xml:space="preserve"> identify</w:t>
      </w:r>
      <w:r w:rsidR="00FC23D4" w:rsidRPr="00C96B0F">
        <w:rPr>
          <w:rFonts w:asciiTheme="majorHAnsi" w:hAnsiTheme="majorHAnsi"/>
          <w:szCs w:val="24"/>
        </w:rPr>
        <w:t xml:space="preserve"> factors associated with faecal viral load in vaccine</w:t>
      </w:r>
      <w:r w:rsidR="00E025E2" w:rsidRPr="00C96B0F">
        <w:rPr>
          <w:rFonts w:asciiTheme="majorHAnsi" w:hAnsiTheme="majorHAnsi"/>
          <w:szCs w:val="24"/>
        </w:rPr>
        <w:t>-</w:t>
      </w:r>
      <w:r w:rsidR="00FC23D4" w:rsidRPr="00C96B0F">
        <w:rPr>
          <w:rFonts w:asciiTheme="majorHAnsi" w:hAnsiTheme="majorHAnsi"/>
          <w:szCs w:val="24"/>
        </w:rPr>
        <w:t>age</w:t>
      </w:r>
      <w:r w:rsidR="00E025E2" w:rsidRPr="00C96B0F">
        <w:rPr>
          <w:rFonts w:asciiTheme="majorHAnsi" w:hAnsiTheme="majorHAnsi"/>
          <w:szCs w:val="24"/>
        </w:rPr>
        <w:t>-</w:t>
      </w:r>
      <w:r w:rsidR="00FC23D4" w:rsidRPr="00C96B0F">
        <w:rPr>
          <w:rFonts w:asciiTheme="majorHAnsi" w:hAnsiTheme="majorHAnsi"/>
          <w:szCs w:val="24"/>
        </w:rPr>
        <w:t xml:space="preserve">eligible children </w:t>
      </w:r>
      <w:r w:rsidR="00754C23" w:rsidRPr="00C96B0F">
        <w:rPr>
          <w:rFonts w:asciiTheme="majorHAnsi" w:hAnsiTheme="majorHAnsi"/>
          <w:szCs w:val="24"/>
        </w:rPr>
        <w:t>with symptomatic</w:t>
      </w:r>
      <w:r w:rsidR="00FC23D4" w:rsidRPr="00C96B0F">
        <w:rPr>
          <w:rFonts w:asciiTheme="majorHAnsi" w:hAnsiTheme="majorHAnsi"/>
          <w:szCs w:val="24"/>
        </w:rPr>
        <w:t xml:space="preserve"> rotavirus</w:t>
      </w:r>
      <w:r w:rsidR="00754C23" w:rsidRPr="00C96B0F">
        <w:rPr>
          <w:rFonts w:asciiTheme="majorHAnsi" w:hAnsiTheme="majorHAnsi"/>
          <w:szCs w:val="24"/>
        </w:rPr>
        <w:t xml:space="preserve"> disease in Malawi</w:t>
      </w:r>
      <w:r w:rsidR="00CC6B26" w:rsidRPr="00C96B0F">
        <w:rPr>
          <w:rFonts w:asciiTheme="majorHAnsi" w:hAnsiTheme="majorHAnsi"/>
          <w:szCs w:val="24"/>
        </w:rPr>
        <w:t>,</w:t>
      </w:r>
      <w:r w:rsidR="00FC23D4" w:rsidRPr="00C96B0F">
        <w:rPr>
          <w:rFonts w:asciiTheme="majorHAnsi" w:hAnsiTheme="majorHAnsi"/>
          <w:szCs w:val="24"/>
        </w:rPr>
        <w:t xml:space="preserve"> a LIC in southern Africa. The </w:t>
      </w:r>
      <w:r w:rsidR="009D7DA8" w:rsidRPr="00C96B0F">
        <w:rPr>
          <w:rFonts w:asciiTheme="majorHAnsi" w:hAnsiTheme="majorHAnsi"/>
          <w:szCs w:val="24"/>
        </w:rPr>
        <w:t xml:space="preserve">live oral </w:t>
      </w:r>
      <w:r w:rsidR="00FC23D4" w:rsidRPr="00C96B0F">
        <w:rPr>
          <w:rFonts w:asciiTheme="majorHAnsi" w:hAnsiTheme="majorHAnsi"/>
          <w:szCs w:val="24"/>
        </w:rPr>
        <w:t xml:space="preserve">monovalent rotavirus vaccine was introduced into Malawi’s national immunisation programme </w:t>
      </w:r>
      <w:r w:rsidR="009D3F81" w:rsidRPr="00C96B0F">
        <w:rPr>
          <w:rFonts w:asciiTheme="majorHAnsi" w:hAnsiTheme="majorHAnsi"/>
          <w:szCs w:val="24"/>
        </w:rPr>
        <w:t>on 29</w:t>
      </w:r>
      <w:r w:rsidR="009D3F81" w:rsidRPr="00C96B0F">
        <w:rPr>
          <w:rFonts w:asciiTheme="majorHAnsi" w:hAnsiTheme="majorHAnsi"/>
          <w:szCs w:val="24"/>
          <w:vertAlign w:val="superscript"/>
        </w:rPr>
        <w:t>th</w:t>
      </w:r>
      <w:r w:rsidR="009D3F81" w:rsidRPr="00C96B0F">
        <w:rPr>
          <w:rFonts w:asciiTheme="majorHAnsi" w:hAnsiTheme="majorHAnsi"/>
          <w:szCs w:val="24"/>
        </w:rPr>
        <w:t xml:space="preserve"> October</w:t>
      </w:r>
      <w:r w:rsidR="00FC23D4" w:rsidRPr="00C96B0F">
        <w:rPr>
          <w:rFonts w:asciiTheme="majorHAnsi" w:hAnsiTheme="majorHAnsi"/>
          <w:szCs w:val="24"/>
        </w:rPr>
        <w:t xml:space="preserve"> 2012</w:t>
      </w:r>
      <w:r w:rsidR="005F6CCE" w:rsidRPr="00C96B0F">
        <w:rPr>
          <w:rFonts w:asciiTheme="majorHAnsi" w:hAnsiTheme="majorHAnsi"/>
          <w:szCs w:val="24"/>
        </w:rPr>
        <w:t xml:space="preserve"> with</w:t>
      </w:r>
      <w:r w:rsidR="00DC3B64" w:rsidRPr="00C96B0F">
        <w:rPr>
          <w:rFonts w:asciiTheme="majorHAnsi" w:hAnsiTheme="majorHAnsi"/>
          <w:szCs w:val="24"/>
        </w:rPr>
        <w:t xml:space="preserve"> dos</w:t>
      </w:r>
      <w:r w:rsidR="00256928" w:rsidRPr="00C96B0F">
        <w:rPr>
          <w:rFonts w:asciiTheme="majorHAnsi" w:hAnsiTheme="majorHAnsi"/>
          <w:szCs w:val="24"/>
        </w:rPr>
        <w:t>es</w:t>
      </w:r>
      <w:r w:rsidR="009D7DA8" w:rsidRPr="00C96B0F">
        <w:rPr>
          <w:rFonts w:asciiTheme="majorHAnsi" w:hAnsiTheme="majorHAnsi"/>
          <w:szCs w:val="24"/>
        </w:rPr>
        <w:t xml:space="preserve"> </w:t>
      </w:r>
      <w:r w:rsidR="00DC3B64" w:rsidRPr="00C96B0F">
        <w:rPr>
          <w:rFonts w:asciiTheme="majorHAnsi" w:hAnsiTheme="majorHAnsi"/>
          <w:szCs w:val="24"/>
        </w:rPr>
        <w:t xml:space="preserve">at 6 and 10 weeks of </w:t>
      </w:r>
      <w:r w:rsidR="00E330CA" w:rsidRPr="00C96B0F">
        <w:rPr>
          <w:rFonts w:asciiTheme="majorHAnsi" w:hAnsiTheme="majorHAnsi"/>
          <w:szCs w:val="24"/>
        </w:rPr>
        <w:t>age</w:t>
      </w:r>
      <w:r w:rsidR="00DC3B64" w:rsidRPr="00C96B0F">
        <w:rPr>
          <w:rFonts w:asciiTheme="majorHAnsi" w:hAnsiTheme="majorHAnsi"/>
          <w:szCs w:val="24"/>
        </w:rPr>
        <w:t xml:space="preserve">. </w:t>
      </w:r>
    </w:p>
    <w:p w14:paraId="63B5815D" w14:textId="77777777" w:rsidR="008C4409" w:rsidRPr="00C96B0F" w:rsidRDefault="008C4409" w:rsidP="008C4409">
      <w:pPr>
        <w:spacing w:line="480" w:lineRule="auto"/>
        <w:jc w:val="both"/>
        <w:rPr>
          <w:rFonts w:asciiTheme="majorHAnsi" w:hAnsiTheme="majorHAnsi"/>
          <w:b/>
          <w:sz w:val="26"/>
          <w:szCs w:val="26"/>
        </w:rPr>
      </w:pPr>
    </w:p>
    <w:p w14:paraId="18B65859" w14:textId="3B8E789A" w:rsidR="00531B92" w:rsidRPr="00C96B0F" w:rsidRDefault="00754C23" w:rsidP="008C4409">
      <w:pPr>
        <w:spacing w:line="480" w:lineRule="auto"/>
        <w:jc w:val="both"/>
        <w:rPr>
          <w:rFonts w:asciiTheme="majorHAnsi" w:hAnsiTheme="majorHAnsi"/>
          <w:szCs w:val="24"/>
        </w:rPr>
      </w:pPr>
      <w:r w:rsidRPr="00C96B0F">
        <w:rPr>
          <w:rFonts w:asciiTheme="majorHAnsi" w:hAnsiTheme="majorHAnsi"/>
          <w:b/>
          <w:sz w:val="26"/>
          <w:szCs w:val="26"/>
        </w:rPr>
        <w:lastRenderedPageBreak/>
        <w:t>Methods</w:t>
      </w:r>
      <w:r w:rsidR="004218C3" w:rsidRPr="00C96B0F">
        <w:rPr>
          <w:rFonts w:asciiTheme="majorHAnsi" w:hAnsiTheme="majorHAnsi"/>
          <w:b/>
          <w:sz w:val="26"/>
          <w:szCs w:val="26"/>
        </w:rPr>
        <w:tab/>
      </w:r>
      <w:bookmarkStart w:id="0" w:name="_Hlk485202696"/>
    </w:p>
    <w:p w14:paraId="7479E489" w14:textId="547E2E4C" w:rsidR="00E8345D" w:rsidRPr="00C96B0F" w:rsidRDefault="00D55E50" w:rsidP="008C4409">
      <w:pPr>
        <w:spacing w:line="480" w:lineRule="auto"/>
        <w:jc w:val="both"/>
        <w:rPr>
          <w:rFonts w:asciiTheme="majorHAnsi" w:hAnsiTheme="majorHAnsi"/>
          <w:szCs w:val="24"/>
        </w:rPr>
      </w:pPr>
      <w:r w:rsidRPr="00C96B0F">
        <w:rPr>
          <w:rFonts w:asciiTheme="majorHAnsi" w:hAnsiTheme="majorHAnsi"/>
        </w:rPr>
        <w:t xml:space="preserve">Vaccine-age-eligible children </w:t>
      </w:r>
      <w:r w:rsidR="002B178A" w:rsidRPr="00C96B0F">
        <w:rPr>
          <w:rFonts w:asciiTheme="majorHAnsi" w:hAnsiTheme="majorHAnsi"/>
        </w:rPr>
        <w:t>(born on or after 12</w:t>
      </w:r>
      <w:r w:rsidR="002B178A" w:rsidRPr="00C96B0F">
        <w:rPr>
          <w:rFonts w:asciiTheme="majorHAnsi" w:hAnsiTheme="majorHAnsi"/>
          <w:vertAlign w:val="superscript"/>
        </w:rPr>
        <w:t>th</w:t>
      </w:r>
      <w:r w:rsidR="002B178A" w:rsidRPr="00C96B0F">
        <w:rPr>
          <w:rFonts w:asciiTheme="majorHAnsi" w:hAnsiTheme="majorHAnsi"/>
        </w:rPr>
        <w:t xml:space="preserve"> September 2012</w:t>
      </w:r>
      <w:r w:rsidR="00FD009B" w:rsidRPr="00C96B0F">
        <w:rPr>
          <w:rFonts w:asciiTheme="majorHAnsi" w:hAnsiTheme="majorHAnsi"/>
        </w:rPr>
        <w:t xml:space="preserve"> and &gt;</w:t>
      </w:r>
      <w:r w:rsidR="002B178A" w:rsidRPr="00C96B0F">
        <w:rPr>
          <w:rFonts w:asciiTheme="majorHAnsi" w:hAnsiTheme="majorHAnsi"/>
        </w:rPr>
        <w:t>6 weeks</w:t>
      </w:r>
      <w:r w:rsidR="00332D6F" w:rsidRPr="00C96B0F">
        <w:rPr>
          <w:rFonts w:asciiTheme="majorHAnsi" w:hAnsiTheme="majorHAnsi"/>
        </w:rPr>
        <w:t xml:space="preserve"> old</w:t>
      </w:r>
      <w:r w:rsidR="002B178A" w:rsidRPr="00C96B0F">
        <w:rPr>
          <w:rFonts w:asciiTheme="majorHAnsi" w:hAnsiTheme="majorHAnsi"/>
        </w:rPr>
        <w:t xml:space="preserve">) </w:t>
      </w:r>
      <w:r w:rsidR="007547DE" w:rsidRPr="00C96B0F">
        <w:rPr>
          <w:rFonts w:asciiTheme="majorHAnsi" w:hAnsiTheme="majorHAnsi"/>
        </w:rPr>
        <w:t xml:space="preserve">presenting </w:t>
      </w:r>
      <w:r w:rsidR="004218C3" w:rsidRPr="00C96B0F">
        <w:rPr>
          <w:rFonts w:asciiTheme="majorHAnsi" w:hAnsiTheme="majorHAnsi"/>
        </w:rPr>
        <w:t xml:space="preserve">with </w:t>
      </w:r>
      <w:r w:rsidR="002F67C6" w:rsidRPr="00C96B0F">
        <w:rPr>
          <w:rFonts w:asciiTheme="majorHAnsi" w:hAnsiTheme="majorHAnsi"/>
        </w:rPr>
        <w:t xml:space="preserve">acute </w:t>
      </w:r>
      <w:r w:rsidR="004218C3" w:rsidRPr="00C96B0F">
        <w:rPr>
          <w:rFonts w:asciiTheme="majorHAnsi" w:hAnsiTheme="majorHAnsi"/>
        </w:rPr>
        <w:t xml:space="preserve">gastroenteritis </w:t>
      </w:r>
      <w:r w:rsidR="007547DE" w:rsidRPr="00C96B0F">
        <w:rPr>
          <w:rFonts w:asciiTheme="majorHAnsi" w:hAnsiTheme="majorHAnsi"/>
        </w:rPr>
        <w:t xml:space="preserve">to Queen Elizabeth Central Hospital </w:t>
      </w:r>
      <w:r w:rsidR="00D05ACB" w:rsidRPr="00C96B0F">
        <w:rPr>
          <w:rFonts w:asciiTheme="majorHAnsi" w:hAnsiTheme="majorHAnsi"/>
        </w:rPr>
        <w:t xml:space="preserve">(QECH) </w:t>
      </w:r>
      <w:r w:rsidR="007547DE" w:rsidRPr="00C96B0F">
        <w:rPr>
          <w:rFonts w:asciiTheme="majorHAnsi" w:hAnsiTheme="majorHAnsi"/>
        </w:rPr>
        <w:t xml:space="preserve">and to three government health centres </w:t>
      </w:r>
      <w:r w:rsidR="00276396" w:rsidRPr="00C96B0F">
        <w:rPr>
          <w:rFonts w:asciiTheme="majorHAnsi" w:hAnsiTheme="majorHAnsi"/>
        </w:rPr>
        <w:t xml:space="preserve">in Blantyre, Malawi </w:t>
      </w:r>
      <w:r w:rsidRPr="00C96B0F">
        <w:rPr>
          <w:rFonts w:asciiTheme="majorHAnsi" w:hAnsiTheme="majorHAnsi"/>
        </w:rPr>
        <w:t>between February 16</w:t>
      </w:r>
      <w:r w:rsidRPr="00C96B0F">
        <w:rPr>
          <w:rFonts w:asciiTheme="majorHAnsi" w:hAnsiTheme="majorHAnsi"/>
          <w:vertAlign w:val="superscript"/>
        </w:rPr>
        <w:t>th</w:t>
      </w:r>
      <w:r w:rsidRPr="00C96B0F">
        <w:rPr>
          <w:rFonts w:asciiTheme="majorHAnsi" w:hAnsiTheme="majorHAnsi"/>
        </w:rPr>
        <w:t xml:space="preserve"> 2015 to 11</w:t>
      </w:r>
      <w:r w:rsidRPr="00C96B0F">
        <w:rPr>
          <w:rFonts w:asciiTheme="majorHAnsi" w:hAnsiTheme="majorHAnsi"/>
          <w:vertAlign w:val="superscript"/>
        </w:rPr>
        <w:t>th</w:t>
      </w:r>
      <w:r w:rsidRPr="00C96B0F">
        <w:rPr>
          <w:rFonts w:asciiTheme="majorHAnsi" w:hAnsiTheme="majorHAnsi"/>
        </w:rPr>
        <w:t xml:space="preserve"> November 2016 were tested for rotavirus using immunochromatographic tests</w:t>
      </w:r>
      <w:r w:rsidR="00D05ACB" w:rsidRPr="00C96B0F">
        <w:rPr>
          <w:rFonts w:asciiTheme="majorHAnsi" w:hAnsiTheme="majorHAnsi"/>
        </w:rPr>
        <w:t xml:space="preserve"> </w:t>
      </w:r>
      <w:r w:rsidR="00276396" w:rsidRPr="00C96B0F">
        <w:rPr>
          <w:rFonts w:asciiTheme="majorHAnsi" w:hAnsiTheme="majorHAnsi"/>
        </w:rPr>
        <w:t>on a faecal sample</w:t>
      </w:r>
      <w:r w:rsidRPr="00C96B0F">
        <w:rPr>
          <w:rFonts w:asciiTheme="majorHAnsi" w:hAnsiTheme="majorHAnsi"/>
        </w:rPr>
        <w:t xml:space="preserve">. </w:t>
      </w:r>
      <w:r w:rsidRPr="00C75DB4">
        <w:rPr>
          <w:rFonts w:asciiTheme="majorHAnsi" w:hAnsiTheme="majorHAnsi"/>
          <w:highlight w:val="yellow"/>
        </w:rPr>
        <w:t>Rotavirus positive children</w:t>
      </w:r>
      <w:r w:rsidR="00552A84" w:rsidRPr="00C75DB4">
        <w:rPr>
          <w:rFonts w:asciiTheme="majorHAnsi" w:hAnsiTheme="majorHAnsi"/>
          <w:highlight w:val="yellow"/>
        </w:rPr>
        <w:t xml:space="preserve"> had demographic data </w:t>
      </w:r>
      <w:r w:rsidR="00276396" w:rsidRPr="00C75DB4">
        <w:rPr>
          <w:rFonts w:asciiTheme="majorHAnsi" w:hAnsiTheme="majorHAnsi"/>
          <w:highlight w:val="yellow"/>
        </w:rPr>
        <w:t xml:space="preserve">collected, </w:t>
      </w:r>
      <w:r w:rsidR="00332D6F" w:rsidRPr="00C75DB4">
        <w:rPr>
          <w:rFonts w:asciiTheme="majorHAnsi" w:hAnsiTheme="majorHAnsi"/>
          <w:highlight w:val="yellow"/>
        </w:rPr>
        <w:t xml:space="preserve">2mls of serum collected </w:t>
      </w:r>
      <w:r w:rsidR="00C75DB4" w:rsidRPr="00C75DB4">
        <w:rPr>
          <w:rFonts w:asciiTheme="majorHAnsi" w:hAnsiTheme="majorHAnsi"/>
          <w:highlight w:val="yellow"/>
        </w:rPr>
        <w:t>at</w:t>
      </w:r>
      <w:r w:rsidR="00D15834">
        <w:rPr>
          <w:rFonts w:asciiTheme="majorHAnsi" w:hAnsiTheme="majorHAnsi"/>
          <w:highlight w:val="yellow"/>
        </w:rPr>
        <w:t xml:space="preserve"> </w:t>
      </w:r>
      <w:r w:rsidR="00C75DB4" w:rsidRPr="00C75DB4">
        <w:rPr>
          <w:rFonts w:asciiTheme="majorHAnsi" w:hAnsiTheme="majorHAnsi"/>
          <w:highlight w:val="yellow"/>
        </w:rPr>
        <w:t xml:space="preserve">recruitment </w:t>
      </w:r>
      <w:r w:rsidR="00332D6F" w:rsidRPr="00C75DB4">
        <w:rPr>
          <w:rFonts w:asciiTheme="majorHAnsi" w:hAnsiTheme="majorHAnsi"/>
          <w:highlight w:val="yellow"/>
        </w:rPr>
        <w:t>to measure anti-rotavirus IgA titres</w:t>
      </w:r>
      <w:r w:rsidR="00C75DB4" w:rsidRPr="00C75DB4">
        <w:rPr>
          <w:rFonts w:asciiTheme="majorHAnsi" w:hAnsiTheme="majorHAnsi"/>
          <w:highlight w:val="yellow"/>
        </w:rPr>
        <w:t xml:space="preserve"> and a second bulk stool sample obtained 48 hours after presentation</w:t>
      </w:r>
      <w:r w:rsidR="00E025E2" w:rsidRPr="00C75DB4">
        <w:rPr>
          <w:rFonts w:asciiTheme="majorHAnsi" w:hAnsiTheme="majorHAnsi"/>
          <w:highlight w:val="yellow"/>
        </w:rPr>
        <w:t xml:space="preserve"> (primary cohort)</w:t>
      </w:r>
      <w:r w:rsidR="00332D6F" w:rsidRPr="00C75DB4">
        <w:rPr>
          <w:rFonts w:asciiTheme="majorHAnsi" w:hAnsiTheme="majorHAnsi"/>
          <w:highlight w:val="yellow"/>
        </w:rPr>
        <w:t>.</w:t>
      </w:r>
      <w:r w:rsidR="00707863" w:rsidRPr="00C96B0F">
        <w:rPr>
          <w:rFonts w:asciiTheme="majorHAnsi" w:hAnsiTheme="majorHAnsi"/>
        </w:rPr>
        <w:t xml:space="preserve"> </w:t>
      </w:r>
      <w:r w:rsidR="00276396" w:rsidRPr="00C96B0F">
        <w:rPr>
          <w:rFonts w:asciiTheme="majorHAnsi" w:hAnsiTheme="majorHAnsi"/>
        </w:rPr>
        <w:t>A</w:t>
      </w:r>
      <w:r w:rsidR="002F67C6" w:rsidRPr="00C96B0F">
        <w:rPr>
          <w:rFonts w:asciiTheme="majorHAnsi" w:hAnsiTheme="majorHAnsi"/>
        </w:rPr>
        <w:t xml:space="preserve"> subset of</w:t>
      </w:r>
      <w:r w:rsidR="00552A84" w:rsidRPr="00C96B0F">
        <w:rPr>
          <w:rFonts w:asciiTheme="majorHAnsi" w:hAnsiTheme="majorHAnsi"/>
        </w:rPr>
        <w:t xml:space="preserve"> children</w:t>
      </w:r>
      <w:r w:rsidR="00FC23D4" w:rsidRPr="00C96B0F">
        <w:rPr>
          <w:rFonts w:asciiTheme="majorHAnsi" w:hAnsiTheme="majorHAnsi"/>
        </w:rPr>
        <w:t xml:space="preserve"> </w:t>
      </w:r>
      <w:r w:rsidR="00B55C87" w:rsidRPr="00C96B0F">
        <w:rPr>
          <w:rFonts w:asciiTheme="majorHAnsi" w:hAnsiTheme="majorHAnsi"/>
        </w:rPr>
        <w:t xml:space="preserve">had more intensive </w:t>
      </w:r>
      <w:r w:rsidR="00C75DB4" w:rsidRPr="00C75DB4">
        <w:rPr>
          <w:rFonts w:asciiTheme="majorHAnsi" w:hAnsiTheme="majorHAnsi"/>
          <w:highlight w:val="yellow"/>
        </w:rPr>
        <w:t>stool</w:t>
      </w:r>
      <w:r w:rsidR="00C75DB4">
        <w:rPr>
          <w:rFonts w:asciiTheme="majorHAnsi" w:hAnsiTheme="majorHAnsi"/>
        </w:rPr>
        <w:t xml:space="preserve"> </w:t>
      </w:r>
      <w:r w:rsidR="00B55C87" w:rsidRPr="00C96B0F">
        <w:rPr>
          <w:rFonts w:asciiTheme="majorHAnsi" w:hAnsiTheme="majorHAnsi"/>
        </w:rPr>
        <w:t>sampling carried out for 28 days</w:t>
      </w:r>
      <w:r w:rsidR="00FC23D4" w:rsidRPr="00C96B0F">
        <w:rPr>
          <w:rFonts w:asciiTheme="majorHAnsi" w:hAnsiTheme="majorHAnsi"/>
        </w:rPr>
        <w:t xml:space="preserve"> (intensive cohort)</w:t>
      </w:r>
      <w:r w:rsidR="000A78DC" w:rsidRPr="00C96B0F">
        <w:rPr>
          <w:rFonts w:asciiTheme="majorHAnsi" w:hAnsiTheme="majorHAnsi"/>
        </w:rPr>
        <w:t>; sample</w:t>
      </w:r>
      <w:r w:rsidR="00276396" w:rsidRPr="00C96B0F">
        <w:rPr>
          <w:rFonts w:asciiTheme="majorHAnsi" w:hAnsiTheme="majorHAnsi"/>
        </w:rPr>
        <w:t>s were</w:t>
      </w:r>
      <w:r w:rsidR="000A78DC" w:rsidRPr="00C96B0F">
        <w:rPr>
          <w:rFonts w:asciiTheme="majorHAnsi" w:hAnsiTheme="majorHAnsi"/>
        </w:rPr>
        <w:t xml:space="preserve"> collect</w:t>
      </w:r>
      <w:r w:rsidR="00276396" w:rsidRPr="00C96B0F">
        <w:rPr>
          <w:rFonts w:asciiTheme="majorHAnsi" w:hAnsiTheme="majorHAnsi"/>
        </w:rPr>
        <w:t>ed</w:t>
      </w:r>
      <w:r w:rsidR="000A78DC" w:rsidRPr="00C96B0F">
        <w:rPr>
          <w:rFonts w:asciiTheme="majorHAnsi" w:hAnsiTheme="majorHAnsi"/>
        </w:rPr>
        <w:t xml:space="preserve"> </w:t>
      </w:r>
      <w:r w:rsidR="00E8345D" w:rsidRPr="00C96B0F">
        <w:rPr>
          <w:rFonts w:asciiTheme="majorHAnsi" w:hAnsiTheme="majorHAnsi"/>
        </w:rPr>
        <w:t xml:space="preserve">daily from time of presentation for the first 7 days after symptom onset, twice weekly from 7 until 14 days and weekly from day 14 until day 28. </w:t>
      </w:r>
    </w:p>
    <w:p w14:paraId="03414EDD" w14:textId="77777777" w:rsidR="00C66D32" w:rsidRPr="00C96B0F" w:rsidRDefault="00C66D32" w:rsidP="008C4409">
      <w:pPr>
        <w:spacing w:line="480" w:lineRule="auto"/>
        <w:jc w:val="both"/>
        <w:rPr>
          <w:rFonts w:asciiTheme="majorHAnsi" w:hAnsiTheme="majorHAnsi"/>
          <w:b/>
        </w:rPr>
      </w:pPr>
      <w:r w:rsidRPr="00C96B0F">
        <w:rPr>
          <w:rFonts w:asciiTheme="majorHAnsi" w:hAnsiTheme="majorHAnsi"/>
          <w:b/>
        </w:rPr>
        <w:t>Data collection</w:t>
      </w:r>
    </w:p>
    <w:p w14:paraId="7B7B27C2" w14:textId="3650AFD0" w:rsidR="00B55C87" w:rsidRPr="00C96B0F" w:rsidRDefault="00794926" w:rsidP="008C4409">
      <w:pPr>
        <w:spacing w:line="480" w:lineRule="auto"/>
        <w:jc w:val="both"/>
        <w:rPr>
          <w:rFonts w:asciiTheme="majorHAnsi" w:hAnsiTheme="majorHAnsi"/>
        </w:rPr>
      </w:pPr>
      <w:r w:rsidRPr="00C96B0F">
        <w:rPr>
          <w:rFonts w:asciiTheme="majorHAnsi" w:hAnsiTheme="majorHAnsi"/>
        </w:rPr>
        <w:t xml:space="preserve">Disease </w:t>
      </w:r>
      <w:r w:rsidR="00C66D32" w:rsidRPr="00C96B0F">
        <w:rPr>
          <w:rFonts w:asciiTheme="majorHAnsi" w:hAnsiTheme="majorHAnsi"/>
        </w:rPr>
        <w:t xml:space="preserve">severity </w:t>
      </w:r>
      <w:r w:rsidR="00552A84" w:rsidRPr="00C96B0F">
        <w:rPr>
          <w:rFonts w:asciiTheme="majorHAnsi" w:hAnsiTheme="majorHAnsi"/>
        </w:rPr>
        <w:t xml:space="preserve">was </w:t>
      </w:r>
      <w:r w:rsidR="001B7772" w:rsidRPr="00C96B0F">
        <w:rPr>
          <w:rFonts w:asciiTheme="majorHAnsi" w:hAnsiTheme="majorHAnsi"/>
        </w:rPr>
        <w:t xml:space="preserve">defined </w:t>
      </w:r>
      <w:r w:rsidR="00C66D32" w:rsidRPr="00C96B0F">
        <w:rPr>
          <w:rFonts w:asciiTheme="majorHAnsi" w:hAnsiTheme="majorHAnsi"/>
        </w:rPr>
        <w:t>using the</w:t>
      </w:r>
      <w:r w:rsidR="00FC23D4" w:rsidRPr="00C96B0F">
        <w:rPr>
          <w:rFonts w:asciiTheme="majorHAnsi" w:hAnsiTheme="majorHAnsi"/>
        </w:rPr>
        <w:t xml:space="preserve"> </w:t>
      </w:r>
      <w:r w:rsidR="00582864" w:rsidRPr="00C96B0F">
        <w:rPr>
          <w:rFonts w:asciiTheme="majorHAnsi" w:hAnsiTheme="majorHAnsi"/>
        </w:rPr>
        <w:t>20-point</w:t>
      </w:r>
      <w:r w:rsidR="00C66D32" w:rsidRPr="00C96B0F">
        <w:rPr>
          <w:rFonts w:asciiTheme="majorHAnsi" w:hAnsiTheme="majorHAnsi"/>
        </w:rPr>
        <w:t xml:space="preserve"> </w:t>
      </w:r>
      <w:proofErr w:type="spellStart"/>
      <w:r w:rsidR="00C66D32" w:rsidRPr="00C96B0F">
        <w:rPr>
          <w:rFonts w:asciiTheme="majorHAnsi" w:hAnsiTheme="majorHAnsi"/>
        </w:rPr>
        <w:t>Vesikari</w:t>
      </w:r>
      <w:proofErr w:type="spellEnd"/>
      <w:r w:rsidR="00C66D32" w:rsidRPr="00C96B0F">
        <w:rPr>
          <w:rFonts w:asciiTheme="majorHAnsi" w:hAnsiTheme="majorHAnsi"/>
        </w:rPr>
        <w:t xml:space="preserve"> score</w:t>
      </w:r>
      <w:r w:rsidRPr="00C96B0F">
        <w:rPr>
          <w:rFonts w:asciiTheme="majorHAnsi" w:hAnsiTheme="majorHAnsi"/>
        </w:rPr>
        <w:t xml:space="preserve"> </w:t>
      </w:r>
      <w:r w:rsidR="00332D6F" w:rsidRPr="00C96B0F">
        <w:rPr>
          <w:rFonts w:asciiTheme="majorHAnsi" w:hAnsiTheme="majorHAnsi"/>
        </w:rPr>
        <w:t>(</w:t>
      </w:r>
      <w:r w:rsidRPr="00C96B0F">
        <w:rPr>
          <w:rFonts w:asciiTheme="majorHAnsi" w:hAnsiTheme="majorHAnsi"/>
        </w:rPr>
        <w:t>&lt;7 indicate</w:t>
      </w:r>
      <w:r w:rsidR="000A78DC" w:rsidRPr="00C96B0F">
        <w:rPr>
          <w:rFonts w:asciiTheme="majorHAnsi" w:hAnsiTheme="majorHAnsi"/>
        </w:rPr>
        <w:t>s</w:t>
      </w:r>
      <w:r w:rsidRPr="00C96B0F">
        <w:rPr>
          <w:rFonts w:asciiTheme="majorHAnsi" w:hAnsiTheme="majorHAnsi"/>
        </w:rPr>
        <w:t xml:space="preserve"> mild, 7-10 indicate</w:t>
      </w:r>
      <w:r w:rsidR="000A78DC" w:rsidRPr="00C96B0F">
        <w:rPr>
          <w:rFonts w:asciiTheme="majorHAnsi" w:hAnsiTheme="majorHAnsi"/>
        </w:rPr>
        <w:t>s</w:t>
      </w:r>
      <w:r w:rsidRPr="00C96B0F">
        <w:rPr>
          <w:rFonts w:asciiTheme="majorHAnsi" w:hAnsiTheme="majorHAnsi"/>
        </w:rPr>
        <w:t xml:space="preserve"> moderate and ≥</w:t>
      </w:r>
      <w:r w:rsidR="00DB3432" w:rsidRPr="00C96B0F">
        <w:rPr>
          <w:rFonts w:asciiTheme="majorHAnsi" w:hAnsiTheme="majorHAnsi"/>
        </w:rPr>
        <w:t>11</w:t>
      </w:r>
      <w:r w:rsidRPr="00C96B0F">
        <w:rPr>
          <w:rFonts w:asciiTheme="majorHAnsi" w:hAnsiTheme="majorHAnsi"/>
        </w:rPr>
        <w:t xml:space="preserve"> indicate</w:t>
      </w:r>
      <w:r w:rsidR="000A78DC" w:rsidRPr="00C96B0F">
        <w:rPr>
          <w:rFonts w:asciiTheme="majorHAnsi" w:hAnsiTheme="majorHAnsi"/>
        </w:rPr>
        <w:t>s</w:t>
      </w:r>
      <w:r w:rsidRPr="00C96B0F">
        <w:rPr>
          <w:rFonts w:asciiTheme="majorHAnsi" w:hAnsiTheme="majorHAnsi"/>
        </w:rPr>
        <w:t xml:space="preserve"> severe disease</w:t>
      </w:r>
      <w:r w:rsidR="00FC23D4" w:rsidRPr="00C96B0F">
        <w:rPr>
          <w:rFonts w:asciiTheme="majorHAnsi" w:hAnsiTheme="majorHAnsi"/>
        </w:rPr>
        <w:t>)</w:t>
      </w:r>
      <w:r w:rsidRPr="00C96B0F">
        <w:rPr>
          <w:rFonts w:asciiTheme="majorHAnsi" w:hAnsiTheme="majorHAnsi"/>
        </w:rPr>
        <w:t xml:space="preserve">. </w:t>
      </w:r>
      <w:r w:rsidR="00E431DE" w:rsidRPr="00F7266E">
        <w:rPr>
          <w:rFonts w:asciiTheme="majorHAnsi" w:hAnsiTheme="majorHAnsi"/>
          <w:highlight w:val="yellow"/>
        </w:rPr>
        <w:t>Severe acute m</w:t>
      </w:r>
      <w:r w:rsidR="00552A84" w:rsidRPr="00F7266E">
        <w:rPr>
          <w:rFonts w:asciiTheme="majorHAnsi" w:hAnsiTheme="majorHAnsi"/>
          <w:highlight w:val="yellow"/>
        </w:rPr>
        <w:t>alnutrition</w:t>
      </w:r>
      <w:r w:rsidR="0072367B" w:rsidRPr="00F7266E">
        <w:rPr>
          <w:rFonts w:asciiTheme="majorHAnsi" w:hAnsiTheme="majorHAnsi"/>
          <w:highlight w:val="yellow"/>
        </w:rPr>
        <w:t xml:space="preserve"> (SAM)</w:t>
      </w:r>
      <w:r w:rsidR="00552A84" w:rsidRPr="00F7266E">
        <w:rPr>
          <w:rFonts w:asciiTheme="majorHAnsi" w:hAnsiTheme="majorHAnsi"/>
          <w:highlight w:val="yellow"/>
        </w:rPr>
        <w:t xml:space="preserve"> was defined as</w:t>
      </w:r>
      <w:r w:rsidRPr="00F7266E">
        <w:rPr>
          <w:rFonts w:asciiTheme="majorHAnsi" w:hAnsiTheme="majorHAnsi"/>
          <w:highlight w:val="yellow"/>
        </w:rPr>
        <w:t xml:space="preserve"> </w:t>
      </w:r>
      <w:r w:rsidR="00E431DE" w:rsidRPr="00F7266E">
        <w:rPr>
          <w:rFonts w:asciiTheme="majorHAnsi" w:hAnsiTheme="majorHAnsi"/>
          <w:highlight w:val="yellow"/>
        </w:rPr>
        <w:t xml:space="preserve">any of </w:t>
      </w:r>
      <w:r w:rsidRPr="00F7266E">
        <w:rPr>
          <w:rFonts w:asciiTheme="majorHAnsi" w:hAnsiTheme="majorHAnsi"/>
          <w:highlight w:val="yellow"/>
        </w:rPr>
        <w:t>weight-for-height Z-score (WHZ)&lt;-3 SD, mid-upper-arm circumference (MUAC)&lt;115mm, or nutritional oedema</w:t>
      </w:r>
      <w:r w:rsidR="00BC381C" w:rsidRPr="00F7266E">
        <w:rPr>
          <w:rFonts w:asciiTheme="majorHAnsi" w:hAnsiTheme="majorHAnsi"/>
          <w:highlight w:val="yellow"/>
        </w:rPr>
        <w:fldChar w:fldCharType="begin" w:fldLock="1"/>
      </w:r>
      <w:r w:rsidR="00E61A6B" w:rsidRPr="00F7266E">
        <w:rPr>
          <w:rFonts w:asciiTheme="majorHAnsi" w:hAnsiTheme="majorHAnsi"/>
          <w:highlight w:val="yellow"/>
        </w:rPr>
        <w:instrText>ADDIN CSL_CITATION {"citationItems":[{"id":"ITEM-1","itemData":{"author":[{"dropping-particle":"","family":"World Health Organisation.","given":"","non-dropping-particle":"","parse-names":false,"suffix":""}],"id":"ITEM-1","issued":{"date-parts":[["2009"]]},"title":"WHO child growth standards and the identification of severe acute malnutrition in infants and children. WHO/UNICEF joint statement.","type":"report"},"uris":["http://www.mendeley.com/documents/?uuid=9f387ad2-28b3-46de-848a-2484907cbbf9"]}],"mendeley":{"formattedCitation":"(8)","plainTextFormattedCitation":"(8)","previouslyFormattedCitation":"(8)"},"properties":{"noteIndex":0},"schema":"https://github.com/citation-style-language/schema/raw/master/csl-citation.json"}</w:instrText>
      </w:r>
      <w:r w:rsidR="00BC381C" w:rsidRPr="00F7266E">
        <w:rPr>
          <w:rFonts w:asciiTheme="majorHAnsi" w:hAnsiTheme="majorHAnsi"/>
          <w:highlight w:val="yellow"/>
        </w:rPr>
        <w:fldChar w:fldCharType="separate"/>
      </w:r>
      <w:r w:rsidR="00E61A6B" w:rsidRPr="00F7266E">
        <w:rPr>
          <w:rFonts w:asciiTheme="majorHAnsi" w:hAnsiTheme="majorHAnsi"/>
          <w:noProof/>
          <w:highlight w:val="yellow"/>
        </w:rPr>
        <w:t>(8)</w:t>
      </w:r>
      <w:r w:rsidR="00BC381C" w:rsidRPr="00F7266E">
        <w:rPr>
          <w:rFonts w:asciiTheme="majorHAnsi" w:hAnsiTheme="majorHAnsi"/>
          <w:highlight w:val="yellow"/>
        </w:rPr>
        <w:fldChar w:fldCharType="end"/>
      </w:r>
      <w:r w:rsidR="00924411" w:rsidRPr="00F7266E">
        <w:rPr>
          <w:rFonts w:asciiTheme="majorHAnsi" w:hAnsiTheme="majorHAnsi"/>
          <w:highlight w:val="yellow"/>
        </w:rPr>
        <w:t>.</w:t>
      </w:r>
      <w:r w:rsidR="00CC6B26" w:rsidRPr="00F7266E">
        <w:rPr>
          <w:rFonts w:asciiTheme="majorHAnsi" w:hAnsiTheme="majorHAnsi"/>
          <w:highlight w:val="yellow"/>
        </w:rPr>
        <w:t xml:space="preserve"> </w:t>
      </w:r>
      <w:r w:rsidR="000A78DC" w:rsidRPr="00F7266E">
        <w:rPr>
          <w:rFonts w:asciiTheme="majorHAnsi" w:hAnsiTheme="majorHAnsi"/>
          <w:highlight w:val="yellow"/>
        </w:rPr>
        <w:t>W</w:t>
      </w:r>
      <w:r w:rsidR="00CC6B26" w:rsidRPr="00F7266E">
        <w:rPr>
          <w:rFonts w:asciiTheme="majorHAnsi" w:hAnsiTheme="majorHAnsi"/>
          <w:highlight w:val="yellow"/>
        </w:rPr>
        <w:t xml:space="preserve">eights were adjusted </w:t>
      </w:r>
      <w:r w:rsidR="00332D6F" w:rsidRPr="00F7266E">
        <w:rPr>
          <w:rFonts w:asciiTheme="majorHAnsi" w:hAnsiTheme="majorHAnsi"/>
          <w:highlight w:val="yellow"/>
        </w:rPr>
        <w:t xml:space="preserve">for percentage dehydration </w:t>
      </w:r>
      <w:r w:rsidR="00CC6B26" w:rsidRPr="00F7266E">
        <w:rPr>
          <w:rFonts w:asciiTheme="majorHAnsi" w:hAnsiTheme="majorHAnsi"/>
          <w:highlight w:val="yellow"/>
        </w:rPr>
        <w:t xml:space="preserve">prior to calculating anthropometric </w:t>
      </w:r>
      <w:r w:rsidR="00DB3432" w:rsidRPr="00F7266E">
        <w:rPr>
          <w:rFonts w:asciiTheme="majorHAnsi" w:hAnsiTheme="majorHAnsi"/>
          <w:highlight w:val="yellow"/>
        </w:rPr>
        <w:t>indices</w:t>
      </w:r>
      <w:r w:rsidR="00CC6B26" w:rsidRPr="00C96B0F">
        <w:rPr>
          <w:rFonts w:asciiTheme="majorHAnsi" w:hAnsiTheme="majorHAnsi"/>
        </w:rPr>
        <w:t>.</w:t>
      </w:r>
      <w:r w:rsidR="00924411" w:rsidRPr="00C96B0F">
        <w:rPr>
          <w:rFonts w:asciiTheme="majorHAnsi" w:hAnsiTheme="majorHAnsi"/>
        </w:rPr>
        <w:t xml:space="preserve"> </w:t>
      </w:r>
      <w:r w:rsidR="00C66D32" w:rsidRPr="00C96B0F">
        <w:rPr>
          <w:rFonts w:asciiTheme="majorHAnsi" w:hAnsiTheme="majorHAnsi"/>
        </w:rPr>
        <w:t xml:space="preserve">Data on HIV status and vaccine status were collected from government </w:t>
      </w:r>
      <w:r w:rsidR="00E431DE" w:rsidRPr="00C96B0F">
        <w:rPr>
          <w:rFonts w:asciiTheme="majorHAnsi" w:hAnsiTheme="majorHAnsi"/>
        </w:rPr>
        <w:t xml:space="preserve">issued </w:t>
      </w:r>
      <w:r w:rsidR="00C66D32" w:rsidRPr="00C96B0F">
        <w:rPr>
          <w:rFonts w:asciiTheme="majorHAnsi" w:hAnsiTheme="majorHAnsi"/>
        </w:rPr>
        <w:t xml:space="preserve">health passports. </w:t>
      </w:r>
      <w:r w:rsidRPr="00C96B0F">
        <w:rPr>
          <w:rFonts w:asciiTheme="majorHAnsi" w:hAnsiTheme="majorHAnsi"/>
        </w:rPr>
        <w:t>HIV testing was performed by the government health system</w:t>
      </w:r>
      <w:r w:rsidR="00DB3432" w:rsidRPr="00C96B0F">
        <w:rPr>
          <w:rFonts w:asciiTheme="majorHAnsi" w:hAnsiTheme="majorHAnsi"/>
        </w:rPr>
        <w:t xml:space="preserve">. </w:t>
      </w:r>
      <w:r w:rsidRPr="00C96B0F">
        <w:rPr>
          <w:rFonts w:asciiTheme="majorHAnsi" w:hAnsiTheme="majorHAnsi"/>
        </w:rPr>
        <w:t>HIV infection was defined as a positive HIV rapid test (≥12 months of age) or positive HIV DNA PCR (&lt;12 months)</w:t>
      </w:r>
      <w:r w:rsidR="00BC381C" w:rsidRPr="00C96B0F">
        <w:rPr>
          <w:rFonts w:asciiTheme="majorHAnsi" w:hAnsiTheme="majorHAnsi"/>
        </w:rPr>
        <w:fldChar w:fldCharType="begin" w:fldLock="1"/>
      </w:r>
      <w:r w:rsidR="00E61A6B">
        <w:rPr>
          <w:rFonts w:asciiTheme="majorHAnsi" w:hAnsiTheme="majorHAnsi"/>
        </w:rPr>
        <w:instrText>ADDIN CSL_CITATION {"citationItems":[{"id":"ITEM-1","itemData":{"author":[{"dropping-particle":"","family":"Ministry of health Malawi","given":"","non-dropping-particle":"","parse-names":false,"suffix":""}],"id":"ITEM-1","issued":{"date-parts":[["2011"]]},"title":"Clinical Management of HIV in Children and Adults","type":"report"},"uris":["http://www.mendeley.com/documents/?uuid=0593438e-00ea-433c-83d5-ab2109eb0b1b"]}],"mendeley":{"formattedCitation":"(9)","plainTextFormattedCitation":"(9)","previouslyFormattedCitation":"(9)"},"properties":{"noteIndex":0},"schema":"https://github.com/citation-style-language/schema/raw/master/csl-citation.json"}</w:instrText>
      </w:r>
      <w:r w:rsidR="00BC381C" w:rsidRPr="00C96B0F">
        <w:rPr>
          <w:rFonts w:asciiTheme="majorHAnsi" w:hAnsiTheme="majorHAnsi"/>
        </w:rPr>
        <w:fldChar w:fldCharType="separate"/>
      </w:r>
      <w:r w:rsidR="00E61A6B" w:rsidRPr="00E61A6B">
        <w:rPr>
          <w:rFonts w:asciiTheme="majorHAnsi" w:hAnsiTheme="majorHAnsi"/>
          <w:noProof/>
        </w:rPr>
        <w:t>(9)</w:t>
      </w:r>
      <w:r w:rsidR="00BC381C" w:rsidRPr="00C96B0F">
        <w:rPr>
          <w:rFonts w:asciiTheme="majorHAnsi" w:hAnsiTheme="majorHAnsi"/>
        </w:rPr>
        <w:fldChar w:fldCharType="end"/>
      </w:r>
      <w:r w:rsidRPr="00C96B0F">
        <w:rPr>
          <w:rFonts w:asciiTheme="majorHAnsi" w:hAnsiTheme="majorHAnsi"/>
        </w:rPr>
        <w:t xml:space="preserve">. </w:t>
      </w:r>
      <w:r w:rsidR="00E8345D" w:rsidRPr="00C96B0F">
        <w:rPr>
          <w:rFonts w:asciiTheme="majorHAnsi" w:hAnsiTheme="majorHAnsi"/>
        </w:rPr>
        <w:t xml:space="preserve">Children of HIV positive mothers were defined as HIV exposed. </w:t>
      </w:r>
    </w:p>
    <w:p w14:paraId="3EB13584" w14:textId="77777777" w:rsidR="00C66D32" w:rsidRPr="00C96B0F" w:rsidRDefault="00C66D32" w:rsidP="008C4409">
      <w:pPr>
        <w:spacing w:line="480" w:lineRule="auto"/>
        <w:jc w:val="both"/>
        <w:rPr>
          <w:rFonts w:asciiTheme="majorHAnsi" w:hAnsiTheme="majorHAnsi"/>
          <w:b/>
        </w:rPr>
      </w:pPr>
      <w:r w:rsidRPr="00C96B0F">
        <w:rPr>
          <w:rFonts w:asciiTheme="majorHAnsi" w:hAnsiTheme="majorHAnsi"/>
          <w:b/>
        </w:rPr>
        <w:t>Laboratory procedures</w:t>
      </w:r>
    </w:p>
    <w:p w14:paraId="2F5ED30F" w14:textId="2459F63F" w:rsidR="00E8345D" w:rsidRPr="00C96B0F" w:rsidRDefault="00E8345D" w:rsidP="008C4409">
      <w:pPr>
        <w:spacing w:line="480" w:lineRule="auto"/>
        <w:jc w:val="both"/>
        <w:rPr>
          <w:rFonts w:asciiTheme="majorHAnsi" w:hAnsiTheme="majorHAnsi"/>
        </w:rPr>
      </w:pPr>
      <w:r w:rsidRPr="00C96B0F">
        <w:rPr>
          <w:rFonts w:asciiTheme="majorHAnsi" w:hAnsiTheme="majorHAnsi"/>
        </w:rPr>
        <w:t>S</w:t>
      </w:r>
      <w:r w:rsidR="00924411" w:rsidRPr="00C96B0F">
        <w:rPr>
          <w:rFonts w:asciiTheme="majorHAnsi" w:hAnsiTheme="majorHAnsi"/>
        </w:rPr>
        <w:t xml:space="preserve">tool </w:t>
      </w:r>
      <w:r w:rsidR="00C66D32" w:rsidRPr="00C96B0F">
        <w:rPr>
          <w:rFonts w:asciiTheme="majorHAnsi" w:hAnsiTheme="majorHAnsi"/>
        </w:rPr>
        <w:t>samples were tested for</w:t>
      </w:r>
      <w:r w:rsidR="00FE406E" w:rsidRPr="00C96B0F">
        <w:rPr>
          <w:rFonts w:asciiTheme="majorHAnsi" w:hAnsiTheme="majorHAnsi"/>
        </w:rPr>
        <w:t xml:space="preserve"> wild-type</w:t>
      </w:r>
      <w:r w:rsidR="00C66D32" w:rsidRPr="00C96B0F">
        <w:rPr>
          <w:rFonts w:asciiTheme="majorHAnsi" w:hAnsiTheme="majorHAnsi"/>
        </w:rPr>
        <w:t xml:space="preserve"> rotavirus using a real-time semi-quantitative reverse transcription PCR (</w:t>
      </w:r>
      <w:proofErr w:type="spellStart"/>
      <w:r w:rsidR="00C66D32" w:rsidRPr="00C96B0F">
        <w:rPr>
          <w:rFonts w:asciiTheme="majorHAnsi" w:hAnsiTheme="majorHAnsi"/>
        </w:rPr>
        <w:t>qRT</w:t>
      </w:r>
      <w:proofErr w:type="spellEnd"/>
      <w:r w:rsidR="00C66D32" w:rsidRPr="00C96B0F">
        <w:rPr>
          <w:rFonts w:asciiTheme="majorHAnsi" w:hAnsiTheme="majorHAnsi"/>
        </w:rPr>
        <w:t>-PCR)</w:t>
      </w:r>
      <w:r w:rsidR="00BC381C" w:rsidRPr="00C96B0F">
        <w:rPr>
          <w:rFonts w:asciiTheme="majorHAnsi" w:hAnsiTheme="majorHAnsi"/>
        </w:rPr>
        <w:fldChar w:fldCharType="begin" w:fldLock="1"/>
      </w:r>
      <w:r w:rsidR="00E61A6B">
        <w:rPr>
          <w:rFonts w:asciiTheme="majorHAnsi" w:hAnsiTheme="majorHAnsi"/>
        </w:rPr>
        <w:instrText>ADDIN CSL_CITATION {"citationItems":[{"id":"ITEM-1","itemData":{"DOI":"10.1002/jmv.20053","ISBN":"0146-6615 (Print)\r0146-6615 (Linking)","PMID":"15042658","abstract":"The epidemiology and pathogenesis of rotaviruses are not completely understood, although recent developments in polymerase chain reaction (PCR) techniques now make it possible to quantify the viral load during an infective episode and investigate its relevance to clinical features of the disease. We studied rotavirus-positive stool samples collected from 10 children without symptoms of gastroenteritis and from 81 children with acute gastroenteritis and in whom the clinical severity of disease was recorded. A semi-quantitative real-time reverse-transcription (RT)-PCR was used to estimate the rotavirus load and to assess its correlation with the Vesikari score for severity of diarrhoea. There was a significant negative correlation (r = -0.80, P &lt; 0.001) between severity and the PCR cycle at which the PCR amplicons were detectable (crossing point) on the assay, indicating that children with more severe diarrhoea excrete more virus than children with less severe disease.","author":[{"dropping-particle":"","family":"Kang","given":"G","non-dropping-particle":"","parse-names":false,"suffix":""},{"dropping-particle":"","family":"Iturriza-Gomara","given":"M","non-dropping-particle":"","parse-names":false,"suffix":""},{"dropping-particle":"","family":"Wheeler","given":"J G","non-dropping-particle":"","parse-names":false,"suffix":""},{"dropping-particle":"","family":"Crystal","given":"P","non-dropping-particle":"","parse-names":false,"suffix":""},{"dropping-particle":"","family":"Monica","given":"B","non-dropping-particle":"","parse-names":false,"suffix":""},{"dropping-particle":"","family":"Ramani","given":"S","non-dropping-particle":"","parse-names":false,"suffix":""},{"dropping-particle":"","family":"Primrose","given":"B","non-dropping-particle":"","parse-names":false,"suffix":""},{"dropping-particle":"","family":"Moses","given":"P D","non-dropping-particle":"","parse-names":false,"suffix":""},{"dropping-particle":"","family":"Gallimore","given":"C I","non-dropping-particle":"","parse-names":false,"suffix":""},{"dropping-particle":"","family":"Brown","given":"D W","non-dropping-particle":"","parse-names":false,"suffix":""},{"dropping-particle":"","family":"Gray","given":"J","non-dropping-particle":"","parse-names":false,"suffix":""}],"container-title":"J Med Virol","edition":"2004/03/26","id":"ITEM-1","issue":"1","issued":{"date-parts":[["2004"]]},"language":"eng","page":"118-122","title":"Quantitation of group A rotavirus by real-time reverse-transcription-polymerase chain reaction: correlation with clinical severity in children in South India","type":"article-journal","volume":"73"},"uris":["http://www.mendeley.com/documents/?uuid=f1ce8ef7-464f-494a-8547-8404c81b30dc"]}],"mendeley":{"formattedCitation":"(5)","plainTextFormattedCitation":"(5)","previouslyFormattedCitation":"(5)"},"properties":{"noteIndex":0},"schema":"https://github.com/citation-style-language/schema/raw/master/csl-citation.json"}</w:instrText>
      </w:r>
      <w:r w:rsidR="00BC381C" w:rsidRPr="00C96B0F">
        <w:rPr>
          <w:rFonts w:asciiTheme="majorHAnsi" w:hAnsiTheme="majorHAnsi"/>
        </w:rPr>
        <w:fldChar w:fldCharType="separate"/>
      </w:r>
      <w:r w:rsidR="00E61A6B" w:rsidRPr="00E61A6B">
        <w:rPr>
          <w:rFonts w:asciiTheme="majorHAnsi" w:hAnsiTheme="majorHAnsi"/>
          <w:noProof/>
        </w:rPr>
        <w:t>(5)</w:t>
      </w:r>
      <w:r w:rsidR="00BC381C" w:rsidRPr="00C96B0F">
        <w:rPr>
          <w:rFonts w:asciiTheme="majorHAnsi" w:hAnsiTheme="majorHAnsi"/>
        </w:rPr>
        <w:fldChar w:fldCharType="end"/>
      </w:r>
      <w:r w:rsidR="00E1323F" w:rsidRPr="00C96B0F">
        <w:rPr>
          <w:rFonts w:asciiTheme="majorHAnsi" w:hAnsiTheme="majorHAnsi"/>
        </w:rPr>
        <w:t xml:space="preserve">. An additional </w:t>
      </w:r>
      <w:proofErr w:type="spellStart"/>
      <w:r w:rsidR="00E1323F" w:rsidRPr="00C96B0F">
        <w:rPr>
          <w:rFonts w:asciiTheme="majorHAnsi" w:hAnsiTheme="majorHAnsi"/>
        </w:rPr>
        <w:t>qRT</w:t>
      </w:r>
      <w:proofErr w:type="spellEnd"/>
      <w:r w:rsidR="00E1323F" w:rsidRPr="00C96B0F">
        <w:rPr>
          <w:rFonts w:asciiTheme="majorHAnsi" w:hAnsiTheme="majorHAnsi"/>
        </w:rPr>
        <w:t>-PCR targeting a distinct rotavirus gene (NSP3) was run on each sample with a cycle threshold (C</w:t>
      </w:r>
      <w:r w:rsidR="00E1323F" w:rsidRPr="00C96B0F">
        <w:rPr>
          <w:rFonts w:asciiTheme="majorHAnsi" w:hAnsiTheme="majorHAnsi"/>
        </w:rPr>
        <w:softHyphen/>
      </w:r>
      <w:r w:rsidR="00E1323F" w:rsidRPr="00C96B0F">
        <w:rPr>
          <w:rFonts w:asciiTheme="majorHAnsi" w:hAnsiTheme="majorHAnsi"/>
          <w:vertAlign w:val="subscript"/>
        </w:rPr>
        <w:t>T</w:t>
      </w:r>
      <w:r w:rsidR="00E1323F" w:rsidRPr="00C96B0F">
        <w:rPr>
          <w:rFonts w:asciiTheme="majorHAnsi" w:hAnsiTheme="majorHAnsi"/>
        </w:rPr>
        <w:t>) value in the range 35-40 as a confirmatory assay</w:t>
      </w:r>
      <w:r w:rsidR="00766250" w:rsidRPr="00C96B0F">
        <w:rPr>
          <w:rFonts w:asciiTheme="majorHAnsi" w:hAnsiTheme="majorHAnsi"/>
        </w:rPr>
        <w:fldChar w:fldCharType="begin" w:fldLock="1"/>
      </w:r>
      <w:r w:rsidR="00E61A6B">
        <w:rPr>
          <w:rFonts w:asciiTheme="majorHAnsi" w:hAnsiTheme="majorHAnsi"/>
        </w:rPr>
        <w:instrText>ADDIN CSL_CITATION {"citationItems":[{"id":"ITEM-1","itemData":{"DOI":"10.1002/jmv.21228","ISBN":"1096-9071 (Electronic) 0146-6615 (Linking)","ISSN":"01466615","PMID":"18551614","abstract":"A sensitive and specific real-time RT-PCR assay to detect rotavirus in stool samples was optimized and validated using a wide range of rotavirus genotypes. The target of the original TaqMan(R) assay is an 87 bp fragment of the highly conserved non-structural protein 3 (NSP3) gene. Here we modified the original assay by introducing degeneracy into the forward primer to account for sequence variation between rotavirus genotypes, added four nucleotides at the 3' end of the reverse primer to reduce its stability, and modified the probe label. Amplification and detection conditions were optimized using purified dsRNA from two cultivated strains. The limit of detection of the modified assay was calculated to be approximately 44 genome copies per reaction. To validate the reactivity of the assay, 103 archived RNAs that had been extracted from stools and genotyped during routine U.S. surveillance were tested. Samples were selected to represent both rare and common genotypes that have been detected in U.S. children. Nine genotypes known to be circulating in the United States were detected by the real-time assay demonstrating broad reactivity. In addition, other enteric viruses were not detected demonstrating that the assay is specific for rotavirus and does not cross-react with other viruses potentially present in stool samples. This real-time assay is an important addition to the arsenal of molecular tools available to quickly identify rotavirus in stool samples during routine surveillance.","author":[{"dropping-particle":"","family":"Freeman","given":"Molly M.","non-dropping-particle":"","parse-names":false,"suffix":""},{"dropping-particle":"","family":"Kerin","given":"Tara","non-dropping-particle":"","parse-names":false,"suffix":""},{"dropping-particle":"","family":"Hull","given":"Jennifer","non-dropping-particle":"","parse-names":false,"suffix":""},{"dropping-particle":"","family":"McCaustland","given":"Karen","non-dropping-particle":"","parse-names":false,"suffix":""},{"dropping-particle":"","family":"Gentsch","given":"Jon","non-dropping-particle":"","parse-names":false,"suffix":""}],"container-title":"J Med Virol","edition":"2008/06/14","id":"ITEM-1","issue":"8","issued":{"date-parts":[["2008","8","1"]]},"language":"eng","page":"1489-1496","publisher":"Wiley Subscription Services, Inc., A Wiley Company","title":"Enhancement of detection and quantification of rotavirus in stool using a modified real-time RT-PCR assay","type":"article-journal","volume":"80"},"uris":["http://www.mendeley.com/documents/?uuid=7cb35f02-73ce-4f3e-9203-d82a46379ff2"]}],"mendeley":{"formattedCitation":"(10)","plainTextFormattedCitation":"(10)","previouslyFormattedCitation":"(10)"},"properties":{"noteIndex":0},"schema":"https://github.com/citation-style-language/schema/raw/master/csl-citation.json"}</w:instrText>
      </w:r>
      <w:r w:rsidR="00766250" w:rsidRPr="00C96B0F">
        <w:rPr>
          <w:rFonts w:asciiTheme="majorHAnsi" w:hAnsiTheme="majorHAnsi"/>
        </w:rPr>
        <w:fldChar w:fldCharType="separate"/>
      </w:r>
      <w:r w:rsidR="00E61A6B" w:rsidRPr="00E61A6B">
        <w:rPr>
          <w:rFonts w:asciiTheme="majorHAnsi" w:hAnsiTheme="majorHAnsi"/>
          <w:noProof/>
        </w:rPr>
        <w:t>(10)</w:t>
      </w:r>
      <w:r w:rsidR="00766250" w:rsidRPr="00C96B0F">
        <w:rPr>
          <w:rFonts w:asciiTheme="majorHAnsi" w:hAnsiTheme="majorHAnsi"/>
        </w:rPr>
        <w:fldChar w:fldCharType="end"/>
      </w:r>
      <w:r w:rsidR="00E1323F" w:rsidRPr="00C96B0F">
        <w:rPr>
          <w:rFonts w:asciiTheme="majorHAnsi" w:hAnsiTheme="majorHAnsi"/>
        </w:rPr>
        <w:t xml:space="preserve">. </w:t>
      </w:r>
      <w:r w:rsidR="00E1323F" w:rsidRPr="00C96B0F">
        <w:rPr>
          <w:rFonts w:asciiTheme="majorHAnsi" w:hAnsiTheme="majorHAnsi"/>
        </w:rPr>
        <w:lastRenderedPageBreak/>
        <w:t xml:space="preserve">Due to lack of reproducibility in samples with very low viral loads </w:t>
      </w:r>
      <w:r w:rsidR="00332D6F" w:rsidRPr="00C96B0F">
        <w:rPr>
          <w:rFonts w:asciiTheme="majorHAnsi" w:hAnsiTheme="majorHAnsi"/>
        </w:rPr>
        <w:t>samples</w:t>
      </w:r>
      <w:r w:rsidR="00E1323F" w:rsidRPr="00C96B0F">
        <w:rPr>
          <w:rFonts w:asciiTheme="majorHAnsi" w:hAnsiTheme="majorHAnsi"/>
        </w:rPr>
        <w:t xml:space="preserve"> w</w:t>
      </w:r>
      <w:r w:rsidR="00332D6F" w:rsidRPr="00C96B0F">
        <w:rPr>
          <w:rFonts w:asciiTheme="majorHAnsi" w:hAnsiTheme="majorHAnsi"/>
        </w:rPr>
        <w:t>ere</w:t>
      </w:r>
      <w:r w:rsidR="00F23181" w:rsidRPr="00C96B0F">
        <w:rPr>
          <w:rFonts w:asciiTheme="majorHAnsi" w:hAnsiTheme="majorHAnsi"/>
        </w:rPr>
        <w:t xml:space="preserve"> </w:t>
      </w:r>
      <w:r w:rsidR="00E1323F" w:rsidRPr="00C96B0F">
        <w:rPr>
          <w:rFonts w:asciiTheme="majorHAnsi" w:hAnsiTheme="majorHAnsi"/>
        </w:rPr>
        <w:t>defined as rotavirus positive if</w:t>
      </w:r>
      <w:r w:rsidR="00707863" w:rsidRPr="00C96B0F">
        <w:rPr>
          <w:rFonts w:asciiTheme="majorHAnsi" w:hAnsiTheme="majorHAnsi"/>
        </w:rPr>
        <w:t xml:space="preserve"> </w:t>
      </w:r>
      <w:r w:rsidR="00E1323F" w:rsidRPr="00C96B0F">
        <w:rPr>
          <w:rFonts w:asciiTheme="majorHAnsi" w:hAnsiTheme="majorHAnsi"/>
        </w:rPr>
        <w:t>&gt;=100 viral copy numbers and positive on NSP3 assay</w:t>
      </w:r>
      <w:bookmarkEnd w:id="0"/>
      <w:r w:rsidR="00F23181" w:rsidRPr="00C96B0F">
        <w:rPr>
          <w:rFonts w:asciiTheme="majorHAnsi" w:hAnsiTheme="majorHAnsi"/>
        </w:rPr>
        <w:t xml:space="preserve">. </w:t>
      </w:r>
    </w:p>
    <w:p w14:paraId="63D3B293" w14:textId="04B27A7E" w:rsidR="00924411" w:rsidRPr="00C96B0F" w:rsidRDefault="009311BB" w:rsidP="008C4409">
      <w:pPr>
        <w:pStyle w:val="Default"/>
        <w:spacing w:line="480" w:lineRule="auto"/>
        <w:jc w:val="both"/>
        <w:rPr>
          <w:rFonts w:asciiTheme="majorHAnsi" w:hAnsiTheme="majorHAnsi"/>
          <w:sz w:val="22"/>
          <w:szCs w:val="22"/>
        </w:rPr>
      </w:pPr>
      <w:r w:rsidRPr="00C96B0F">
        <w:rPr>
          <w:rFonts w:asciiTheme="majorHAnsi" w:hAnsiTheme="majorHAnsi"/>
          <w:color w:val="auto"/>
          <w:sz w:val="22"/>
          <w:szCs w:val="22"/>
        </w:rPr>
        <w:t>Serum a</w:t>
      </w:r>
      <w:r w:rsidR="00924411" w:rsidRPr="00C96B0F">
        <w:rPr>
          <w:rFonts w:asciiTheme="majorHAnsi" w:hAnsiTheme="majorHAnsi"/>
          <w:color w:val="auto"/>
          <w:sz w:val="22"/>
          <w:szCs w:val="22"/>
        </w:rPr>
        <w:t>nti-rotavirus IgA titres were measured using a semi-quantitative sandwich ELISA</w:t>
      </w:r>
      <w:r w:rsidR="006B31E3" w:rsidRPr="00C96B0F">
        <w:rPr>
          <w:rFonts w:asciiTheme="majorHAnsi" w:hAnsiTheme="majorHAnsi"/>
          <w:color w:val="auto"/>
          <w:sz w:val="22"/>
          <w:szCs w:val="22"/>
        </w:rPr>
        <w:fldChar w:fldCharType="begin" w:fldLock="1"/>
      </w:r>
      <w:r w:rsidR="00E61A6B">
        <w:rPr>
          <w:rFonts w:asciiTheme="majorHAnsi" w:hAnsiTheme="majorHAnsi"/>
          <w:color w:val="auto"/>
          <w:sz w:val="22"/>
          <w:szCs w:val="22"/>
        </w:rPr>
        <w:instrText>ADDIN CSL_CITATION {"citationItems":[{"id":"ITEM-1","itemData":{"ISBN":"0140-6736 (Print) 0140-6736 (Linking)","PMID":"10440305","abstract":"BACKGROUND: Rotavirus is the most common cause of severe, dehydrating diarrhoea in infants worldwide. We assessed the safety, immunogenicity, and efficacy of a live, oral human rotavirus vaccine, 89-12, in US children in a randomised, placebo-controlled, double-blind multicentre trial. METHODS: 215 healthy infants were enrolled, of whom 213 were given two doses of 89-12 (containing 1x10(5) plaque-forming units) or placebo, and 213 were followed up through one rotavirus season. The frequency of side-effects was compared for 7 days after each dose of vaccine. Immune responses to rotavirus were assessed by serum and stool IgA, and by serum 89-12 neutralising titres. The primary outcome variable (protection from rotavirus disease) was evaluated by comparing the frequencies of rotavirus gastroenteritis in an intention-to-treat analysis. FINDINGS: Adverse reactions were mild. Low-grade fever (&gt; or = 38.1 degrees C) after the first dose was the only side-effect significantly more common in the vaccine group than in the placebo group (21 [19%] vs 5 [5%], p=0.001). An immune response to vaccine was detected in 94.4% of vaccinees. Rotavirus disease occurred in 18 of 107 placebo recipients and two of 108 vaccine recipients (vaccine efficacy 89.0% [95% CI 65.4-94.5]). Ten infants in the placebo group but none in the vaccine group were presented for medical care. INTERPRETATION: The 89-12 rotavirus vaccine was safe and immunogenic and provided a high degree of protection against rotavirus disease. Further investigations of this vaccine are needed to confirm these findings in other settings.","author":[{"dropping-particle":"","family":"Bernstein","given":"D I","non-dropping-particle":"","parse-names":false,"suffix":""},{"dropping-particle":"","family":"Sack","given":"D A","non-dropping-particle":"","parse-names":false,"suffix":""},{"dropping-particle":"","family":"Rothstein","given":"E","non-dropping-particle":"","parse-names":false,"suffix":""},{"dropping-particle":"","family":"Reisinger","given":"K","non-dropping-particle":"","parse-names":false,"suffix":""},{"dropping-particle":"","family":"Smith","given":"V E","non-dropping-particle":"","parse-names":false,"suffix":""},{"dropping-particle":"","family":"O'Sullivan","given":"D","non-dropping-particle":"","parse-names":false,"suffix":""},{"dropping-particle":"","family":"Spriggs","given":"D R","non-dropping-particle":"","parse-names":false,"suffix":""},{"dropping-particle":"","family":"Ward","given":"R L","non-dropping-particle":"","parse-names":false,"suffix":""}],"container-title":"Lancet","id":"ITEM-1","issue":"9175","issued":{"date-parts":[["1999"]]},"language":"eng","page":"287-290","title":"Efficacy of live, attenuated, human rotavirus vaccine 89-12 in infants: a randomised placebo-controlled trial","type":"article-journal","volume":"354"},"uris":["http://www.mendeley.com/documents/?uuid=60cc5721-2d71-498e-b157-7c82037a0489"]}],"mendeley":{"formattedCitation":"(11)","plainTextFormattedCitation":"(11)","previouslyFormattedCitation":"(11)"},"properties":{"noteIndex":0},"schema":"https://github.com/citation-style-language/schema/raw/master/csl-citation.json"}</w:instrText>
      </w:r>
      <w:r w:rsidR="006B31E3" w:rsidRPr="00C96B0F">
        <w:rPr>
          <w:rFonts w:asciiTheme="majorHAnsi" w:hAnsiTheme="majorHAnsi"/>
          <w:color w:val="auto"/>
          <w:sz w:val="22"/>
          <w:szCs w:val="22"/>
        </w:rPr>
        <w:fldChar w:fldCharType="separate"/>
      </w:r>
      <w:r w:rsidR="00E61A6B" w:rsidRPr="00E61A6B">
        <w:rPr>
          <w:rFonts w:asciiTheme="majorHAnsi" w:hAnsiTheme="majorHAnsi"/>
          <w:noProof/>
          <w:color w:val="auto"/>
          <w:sz w:val="22"/>
          <w:szCs w:val="22"/>
        </w:rPr>
        <w:t>(11)</w:t>
      </w:r>
      <w:r w:rsidR="006B31E3" w:rsidRPr="00C96B0F">
        <w:rPr>
          <w:rFonts w:asciiTheme="majorHAnsi" w:hAnsiTheme="majorHAnsi"/>
          <w:color w:val="auto"/>
          <w:sz w:val="22"/>
          <w:szCs w:val="22"/>
        </w:rPr>
        <w:fldChar w:fldCharType="end"/>
      </w:r>
      <w:r w:rsidR="006B31E3" w:rsidRPr="00C96B0F">
        <w:rPr>
          <w:rFonts w:asciiTheme="majorHAnsi" w:hAnsiTheme="majorHAnsi"/>
          <w:color w:val="auto"/>
          <w:sz w:val="22"/>
          <w:szCs w:val="22"/>
        </w:rPr>
        <w:t xml:space="preserve">. </w:t>
      </w:r>
      <w:r w:rsidR="00924411" w:rsidRPr="00C96B0F">
        <w:rPr>
          <w:rFonts w:asciiTheme="majorHAnsi" w:hAnsiTheme="majorHAnsi"/>
          <w:color w:val="auto"/>
          <w:sz w:val="22"/>
          <w:szCs w:val="22"/>
        </w:rPr>
        <w:t xml:space="preserve">Results </w:t>
      </w:r>
      <w:r w:rsidR="00924411" w:rsidRPr="00C96B0F">
        <w:rPr>
          <w:rFonts w:asciiTheme="majorHAnsi" w:hAnsiTheme="majorHAnsi"/>
          <w:sz w:val="22"/>
          <w:szCs w:val="22"/>
        </w:rPr>
        <w:t>were calculated on a minimum of two values per sample with a coefficient of variation &lt;20% and were expressed as geometric mean titres (IU/ml)</w:t>
      </w:r>
      <w:r w:rsidR="00924411" w:rsidRPr="00C96B0F">
        <w:rPr>
          <w:rFonts w:asciiTheme="majorHAnsi" w:hAnsiTheme="majorHAnsi"/>
          <w:i/>
          <w:iCs/>
          <w:sz w:val="22"/>
          <w:szCs w:val="22"/>
        </w:rPr>
        <w:t xml:space="preserve">. </w:t>
      </w:r>
    </w:p>
    <w:p w14:paraId="55680BEB" w14:textId="77777777" w:rsidR="00332D6F" w:rsidRPr="00C96B0F" w:rsidRDefault="00332D6F" w:rsidP="008C4409">
      <w:pPr>
        <w:pStyle w:val="Default"/>
        <w:spacing w:line="480" w:lineRule="auto"/>
        <w:jc w:val="both"/>
        <w:rPr>
          <w:rFonts w:asciiTheme="majorHAnsi" w:hAnsiTheme="majorHAnsi"/>
          <w:sz w:val="22"/>
          <w:szCs w:val="22"/>
        </w:rPr>
      </w:pPr>
    </w:p>
    <w:p w14:paraId="20ED76FC" w14:textId="6551B136" w:rsidR="00754C23" w:rsidRPr="00C96B0F" w:rsidRDefault="00754C23" w:rsidP="008C4409">
      <w:pPr>
        <w:spacing w:line="480" w:lineRule="auto"/>
        <w:jc w:val="both"/>
        <w:rPr>
          <w:rFonts w:asciiTheme="majorHAnsi" w:hAnsiTheme="majorHAnsi"/>
          <w:b/>
        </w:rPr>
      </w:pPr>
      <w:r w:rsidRPr="00C96B0F">
        <w:rPr>
          <w:rFonts w:asciiTheme="majorHAnsi" w:hAnsiTheme="majorHAnsi"/>
          <w:b/>
        </w:rPr>
        <w:t>Statistical analysis</w:t>
      </w:r>
    </w:p>
    <w:p w14:paraId="5146132F" w14:textId="583992DA" w:rsidR="00394971" w:rsidRPr="00C96B0F" w:rsidRDefault="00394971" w:rsidP="00394971">
      <w:pPr>
        <w:spacing w:line="480" w:lineRule="auto"/>
        <w:jc w:val="both"/>
        <w:rPr>
          <w:rFonts w:asciiTheme="majorHAnsi" w:hAnsiTheme="majorHAnsi"/>
        </w:rPr>
      </w:pPr>
      <w:r w:rsidRPr="00C96B0F">
        <w:rPr>
          <w:rFonts w:asciiTheme="majorHAnsi" w:hAnsiTheme="majorHAnsi"/>
        </w:rPr>
        <w:t xml:space="preserve">Viral load did not follow a normal distribution so was log-transformed for analysis. Risk </w:t>
      </w:r>
      <w:r w:rsidRPr="00C96B0F">
        <w:rPr>
          <w:rStyle w:val="CommentReference"/>
          <w:rFonts w:asciiTheme="majorHAnsi" w:hAnsiTheme="majorHAnsi"/>
          <w:sz w:val="22"/>
          <w:szCs w:val="22"/>
        </w:rPr>
        <w:t>f</w:t>
      </w:r>
      <w:r w:rsidRPr="00C96B0F">
        <w:rPr>
          <w:rFonts w:asciiTheme="majorHAnsi" w:hAnsiTheme="majorHAnsi"/>
        </w:rPr>
        <w:t xml:space="preserve">actors for faecal viral shedding density were investigated using multivariable linear regression, where the outcome variable was peak log-viral load (the largest value obtained from the two samples) in children from the primary cohort. Variables achieving a Wald test p-value of </w:t>
      </w:r>
      <w:bookmarkStart w:id="1" w:name="_Hlk22210747"/>
      <w:r w:rsidRPr="00C96B0F">
        <w:rPr>
          <w:rFonts w:asciiTheme="majorHAnsi" w:hAnsiTheme="majorHAnsi"/>
        </w:rPr>
        <w:t>≤</w:t>
      </w:r>
      <w:bookmarkEnd w:id="1"/>
      <w:r w:rsidRPr="00C96B0F">
        <w:rPr>
          <w:rFonts w:asciiTheme="majorHAnsi" w:hAnsiTheme="majorHAnsi"/>
        </w:rPr>
        <w:t xml:space="preserve">0.1 on univariate analysis were selected for evaluation in the multivariable model. Nested models were compared using F tests. </w:t>
      </w:r>
      <w:r w:rsidR="00DB3940" w:rsidRPr="00DB3940">
        <w:rPr>
          <w:rFonts w:asciiTheme="majorHAnsi" w:hAnsiTheme="majorHAnsi"/>
          <w:highlight w:val="yellow"/>
        </w:rPr>
        <w:t xml:space="preserve">Variables which improved model fit </w:t>
      </w:r>
      <w:r w:rsidR="00B35B52">
        <w:rPr>
          <w:rFonts w:asciiTheme="majorHAnsi" w:hAnsiTheme="majorHAnsi"/>
          <w:highlight w:val="yellow"/>
        </w:rPr>
        <w:t xml:space="preserve">(p </w:t>
      </w:r>
      <w:r w:rsidR="00B35B52" w:rsidRPr="00C96B0F">
        <w:rPr>
          <w:rFonts w:asciiTheme="majorHAnsi" w:hAnsiTheme="majorHAnsi"/>
        </w:rPr>
        <w:t>≤</w:t>
      </w:r>
      <w:r w:rsidR="00B35B52">
        <w:rPr>
          <w:rFonts w:asciiTheme="majorHAnsi" w:hAnsiTheme="majorHAnsi"/>
        </w:rPr>
        <w:t xml:space="preserve">0.05) </w:t>
      </w:r>
      <w:r w:rsidR="00DB3940" w:rsidRPr="00DB3940">
        <w:rPr>
          <w:rFonts w:asciiTheme="majorHAnsi" w:hAnsiTheme="majorHAnsi"/>
          <w:highlight w:val="yellow"/>
        </w:rPr>
        <w:t>were retained in the final model.</w:t>
      </w:r>
      <w:r w:rsidR="00DB3940">
        <w:rPr>
          <w:rFonts w:asciiTheme="majorHAnsi" w:hAnsiTheme="majorHAnsi"/>
        </w:rPr>
        <w:t xml:space="preserve"> </w:t>
      </w:r>
    </w:p>
    <w:p w14:paraId="0BE03C8D" w14:textId="42592217" w:rsidR="00F23181" w:rsidRPr="00C96B0F" w:rsidRDefault="00E025E2" w:rsidP="008C4409">
      <w:pPr>
        <w:spacing w:line="480" w:lineRule="auto"/>
        <w:jc w:val="both"/>
        <w:rPr>
          <w:rFonts w:asciiTheme="majorHAnsi" w:hAnsiTheme="majorHAnsi"/>
        </w:rPr>
      </w:pPr>
      <w:r w:rsidRPr="00C96B0F">
        <w:rPr>
          <w:rFonts w:asciiTheme="majorHAnsi" w:hAnsiTheme="majorHAnsi"/>
        </w:rPr>
        <w:t>Data from the intensive cohort were used to evaluate c</w:t>
      </w:r>
      <w:r w:rsidR="00526AD8" w:rsidRPr="00C96B0F">
        <w:rPr>
          <w:rFonts w:asciiTheme="majorHAnsi" w:hAnsiTheme="majorHAnsi"/>
        </w:rPr>
        <w:t xml:space="preserve">hange in viral load over time </w:t>
      </w:r>
      <w:r w:rsidRPr="00C96B0F">
        <w:rPr>
          <w:rFonts w:asciiTheme="majorHAnsi" w:hAnsiTheme="majorHAnsi"/>
        </w:rPr>
        <w:t>using</w:t>
      </w:r>
      <w:r w:rsidR="00526AD8" w:rsidRPr="00C96B0F">
        <w:rPr>
          <w:rFonts w:asciiTheme="majorHAnsi" w:hAnsiTheme="majorHAnsi"/>
        </w:rPr>
        <w:t xml:space="preserve"> linear mixed models with a random intercept to account for within</w:t>
      </w:r>
      <w:r w:rsidR="009311BB" w:rsidRPr="00C96B0F">
        <w:rPr>
          <w:rFonts w:asciiTheme="majorHAnsi" w:hAnsiTheme="majorHAnsi"/>
        </w:rPr>
        <w:t>-</w:t>
      </w:r>
      <w:r w:rsidR="00526AD8" w:rsidRPr="00C96B0F">
        <w:rPr>
          <w:rFonts w:asciiTheme="majorHAnsi" w:hAnsiTheme="majorHAnsi"/>
        </w:rPr>
        <w:t>child clustering</w:t>
      </w:r>
      <w:r w:rsidR="009311BB" w:rsidRPr="00C96B0F">
        <w:rPr>
          <w:rFonts w:asciiTheme="majorHAnsi" w:hAnsiTheme="majorHAnsi"/>
        </w:rPr>
        <w:t>;</w:t>
      </w:r>
      <w:r w:rsidRPr="00C96B0F">
        <w:rPr>
          <w:rFonts w:asciiTheme="majorHAnsi" w:hAnsiTheme="majorHAnsi"/>
        </w:rPr>
        <w:t xml:space="preserve"> </w:t>
      </w:r>
      <w:r w:rsidR="009311BB" w:rsidRPr="00C96B0F">
        <w:rPr>
          <w:rFonts w:asciiTheme="majorHAnsi" w:hAnsiTheme="majorHAnsi"/>
        </w:rPr>
        <w:t>f</w:t>
      </w:r>
      <w:r w:rsidRPr="00C96B0F">
        <w:rPr>
          <w:rFonts w:asciiTheme="majorHAnsi" w:hAnsiTheme="majorHAnsi"/>
        </w:rPr>
        <w:t xml:space="preserve">or this analysis all data were included regardless of viral load. </w:t>
      </w:r>
      <w:r w:rsidR="00526AD8" w:rsidRPr="00C96B0F">
        <w:rPr>
          <w:rFonts w:asciiTheme="majorHAnsi" w:hAnsiTheme="majorHAnsi"/>
        </w:rPr>
        <w:t>Polynomial terms (quadratic and cubic) were included to account for the non-linear relationship betw</w:t>
      </w:r>
      <w:r w:rsidR="00F23181" w:rsidRPr="00C96B0F">
        <w:rPr>
          <w:rFonts w:asciiTheme="majorHAnsi" w:hAnsiTheme="majorHAnsi"/>
        </w:rPr>
        <w:t xml:space="preserve">een faecal viral load and time. </w:t>
      </w:r>
    </w:p>
    <w:p w14:paraId="33D81C96" w14:textId="39A4BE0B" w:rsidR="00754C23" w:rsidRPr="00C96B0F" w:rsidRDefault="00754C23" w:rsidP="008C4409">
      <w:pPr>
        <w:spacing w:line="480" w:lineRule="auto"/>
        <w:jc w:val="both"/>
        <w:rPr>
          <w:rFonts w:asciiTheme="majorHAnsi" w:hAnsiTheme="majorHAnsi"/>
        </w:rPr>
      </w:pPr>
      <w:r w:rsidRPr="00C96B0F">
        <w:rPr>
          <w:rFonts w:asciiTheme="majorHAnsi" w:hAnsiTheme="majorHAnsi"/>
        </w:rPr>
        <w:t xml:space="preserve">Time-to-event analysis was used to </w:t>
      </w:r>
      <w:r w:rsidR="00DF0589" w:rsidRPr="00C96B0F">
        <w:rPr>
          <w:rFonts w:asciiTheme="majorHAnsi" w:hAnsiTheme="majorHAnsi"/>
        </w:rPr>
        <w:t xml:space="preserve">estimate </w:t>
      </w:r>
      <w:r w:rsidRPr="00C96B0F">
        <w:rPr>
          <w:rFonts w:asciiTheme="majorHAnsi" w:hAnsiTheme="majorHAnsi"/>
        </w:rPr>
        <w:t xml:space="preserve">the duration of </w:t>
      </w:r>
      <w:r w:rsidR="00663A64" w:rsidRPr="00C96B0F">
        <w:rPr>
          <w:rFonts w:asciiTheme="majorHAnsi" w:hAnsiTheme="majorHAnsi"/>
        </w:rPr>
        <w:t xml:space="preserve">viral </w:t>
      </w:r>
      <w:r w:rsidRPr="00C96B0F">
        <w:rPr>
          <w:rFonts w:asciiTheme="majorHAnsi" w:hAnsiTheme="majorHAnsi"/>
        </w:rPr>
        <w:t>shedding</w:t>
      </w:r>
      <w:r w:rsidR="00526AD8" w:rsidRPr="00C96B0F">
        <w:rPr>
          <w:rFonts w:asciiTheme="majorHAnsi" w:hAnsiTheme="majorHAnsi"/>
        </w:rPr>
        <w:t xml:space="preserve"> in children from the intensive cohort</w:t>
      </w:r>
      <w:r w:rsidR="00BB02E9" w:rsidRPr="00C96B0F">
        <w:rPr>
          <w:rFonts w:asciiTheme="majorHAnsi" w:hAnsiTheme="majorHAnsi"/>
        </w:rPr>
        <w:t>. The</w:t>
      </w:r>
      <w:r w:rsidRPr="00C96B0F">
        <w:rPr>
          <w:rFonts w:asciiTheme="majorHAnsi" w:hAnsiTheme="majorHAnsi"/>
        </w:rPr>
        <w:t xml:space="preserve"> event of interest was defined as cessation of shedding</w:t>
      </w:r>
      <w:r w:rsidR="00BB02E9" w:rsidRPr="00C96B0F">
        <w:rPr>
          <w:rFonts w:asciiTheme="majorHAnsi" w:hAnsiTheme="majorHAnsi"/>
        </w:rPr>
        <w:t xml:space="preserve"> and the start time for analysis was the onset of symptoms. </w:t>
      </w:r>
      <w:r w:rsidRPr="00C96B0F">
        <w:rPr>
          <w:rFonts w:asciiTheme="majorHAnsi" w:hAnsiTheme="majorHAnsi"/>
        </w:rPr>
        <w:t xml:space="preserve">Cessation of shedding was defined as the </w:t>
      </w:r>
      <w:r w:rsidR="00CB0E89" w:rsidRPr="00C96B0F">
        <w:rPr>
          <w:rFonts w:asciiTheme="majorHAnsi" w:hAnsiTheme="majorHAnsi"/>
        </w:rPr>
        <w:t>last</w:t>
      </w:r>
      <w:r w:rsidRPr="00C96B0F">
        <w:rPr>
          <w:rFonts w:asciiTheme="majorHAnsi" w:hAnsiTheme="majorHAnsi"/>
        </w:rPr>
        <w:t xml:space="preserve"> time</w:t>
      </w:r>
      <w:r w:rsidR="00B35B52">
        <w:rPr>
          <w:rFonts w:asciiTheme="majorHAnsi" w:hAnsiTheme="majorHAnsi"/>
        </w:rPr>
        <w:t>-</w:t>
      </w:r>
      <w:r w:rsidRPr="00C96B0F">
        <w:rPr>
          <w:rFonts w:asciiTheme="majorHAnsi" w:hAnsiTheme="majorHAnsi"/>
        </w:rPr>
        <w:t xml:space="preserve">point from which rotavirus </w:t>
      </w:r>
      <w:r w:rsidR="00FB531B" w:rsidRPr="00C96B0F">
        <w:rPr>
          <w:rFonts w:asciiTheme="majorHAnsi" w:hAnsiTheme="majorHAnsi"/>
        </w:rPr>
        <w:t>could be</w:t>
      </w:r>
      <w:r w:rsidRPr="00C96B0F">
        <w:rPr>
          <w:rFonts w:asciiTheme="majorHAnsi" w:hAnsiTheme="majorHAnsi"/>
        </w:rPr>
        <w:t xml:space="preserve"> detected until censoring. Thus, an individual with no detectable rotavirus at a given analytical time</w:t>
      </w:r>
      <w:r w:rsidR="004F579C">
        <w:rPr>
          <w:rFonts w:asciiTheme="majorHAnsi" w:hAnsiTheme="majorHAnsi"/>
        </w:rPr>
        <w:t>-</w:t>
      </w:r>
      <w:r w:rsidRPr="00C96B0F">
        <w:rPr>
          <w:rFonts w:asciiTheme="majorHAnsi" w:hAnsiTheme="majorHAnsi"/>
        </w:rPr>
        <w:t>point but who was shedding rotavirus in subsequent samples was classified as having ongoing shedding at the time</w:t>
      </w:r>
      <w:r w:rsidR="00CB0E89" w:rsidRPr="00C96B0F">
        <w:rPr>
          <w:rFonts w:asciiTheme="majorHAnsi" w:hAnsiTheme="majorHAnsi"/>
        </w:rPr>
        <w:t>-</w:t>
      </w:r>
      <w:r w:rsidRPr="00C96B0F">
        <w:rPr>
          <w:rFonts w:asciiTheme="majorHAnsi" w:hAnsiTheme="majorHAnsi"/>
        </w:rPr>
        <w:t xml:space="preserve">point of analysis. </w:t>
      </w:r>
      <w:r w:rsidR="00FD009B" w:rsidRPr="00C96B0F">
        <w:rPr>
          <w:rFonts w:asciiTheme="majorHAnsi" w:hAnsiTheme="majorHAnsi"/>
        </w:rPr>
        <w:t>Follow up</w:t>
      </w:r>
      <w:r w:rsidRPr="00C96B0F">
        <w:rPr>
          <w:rFonts w:asciiTheme="majorHAnsi" w:hAnsiTheme="majorHAnsi"/>
        </w:rPr>
        <w:t xml:space="preserve"> was limited to 28 days. </w:t>
      </w:r>
    </w:p>
    <w:p w14:paraId="10DF1E80" w14:textId="77777777" w:rsidR="008C4409" w:rsidRPr="00C96B0F" w:rsidRDefault="008C4409" w:rsidP="008C4409">
      <w:pPr>
        <w:spacing w:line="480" w:lineRule="auto"/>
        <w:jc w:val="both"/>
        <w:rPr>
          <w:rFonts w:asciiTheme="majorHAnsi" w:hAnsiTheme="majorHAnsi"/>
          <w:b/>
          <w:sz w:val="26"/>
          <w:szCs w:val="26"/>
        </w:rPr>
      </w:pPr>
    </w:p>
    <w:p w14:paraId="1BA6A71B" w14:textId="77777777" w:rsidR="00394971" w:rsidRPr="00C96B0F" w:rsidRDefault="00394971" w:rsidP="008C4409">
      <w:pPr>
        <w:spacing w:line="480" w:lineRule="auto"/>
        <w:jc w:val="both"/>
        <w:rPr>
          <w:rFonts w:asciiTheme="majorHAnsi" w:hAnsiTheme="majorHAnsi"/>
          <w:b/>
          <w:sz w:val="26"/>
          <w:szCs w:val="26"/>
        </w:rPr>
      </w:pPr>
    </w:p>
    <w:p w14:paraId="5A599335" w14:textId="48BD27A4" w:rsidR="00754C23" w:rsidRPr="00C96B0F" w:rsidRDefault="00754C23" w:rsidP="008C4409">
      <w:pPr>
        <w:spacing w:line="480" w:lineRule="auto"/>
        <w:jc w:val="both"/>
        <w:rPr>
          <w:rFonts w:asciiTheme="majorHAnsi" w:hAnsiTheme="majorHAnsi"/>
          <w:b/>
          <w:sz w:val="26"/>
          <w:szCs w:val="26"/>
        </w:rPr>
      </w:pPr>
      <w:r w:rsidRPr="00C96B0F">
        <w:rPr>
          <w:rFonts w:asciiTheme="majorHAnsi" w:hAnsiTheme="majorHAnsi"/>
          <w:b/>
          <w:sz w:val="26"/>
          <w:szCs w:val="26"/>
        </w:rPr>
        <w:t>Results</w:t>
      </w:r>
    </w:p>
    <w:p w14:paraId="39712C8D" w14:textId="027E3F0B" w:rsidR="00C23B06" w:rsidRPr="00C96B0F" w:rsidRDefault="00E431DE" w:rsidP="008C4409">
      <w:pPr>
        <w:pStyle w:val="Default"/>
        <w:spacing w:line="480" w:lineRule="auto"/>
        <w:jc w:val="both"/>
        <w:rPr>
          <w:rFonts w:asciiTheme="majorHAnsi" w:hAnsiTheme="majorHAnsi"/>
          <w:sz w:val="22"/>
          <w:szCs w:val="22"/>
        </w:rPr>
      </w:pPr>
      <w:r w:rsidRPr="00C96B0F">
        <w:rPr>
          <w:rFonts w:asciiTheme="majorHAnsi" w:hAnsiTheme="majorHAnsi"/>
          <w:sz w:val="22"/>
          <w:szCs w:val="22"/>
        </w:rPr>
        <w:t xml:space="preserve">We recruited </w:t>
      </w:r>
      <w:r w:rsidR="001172E9" w:rsidRPr="00C96B0F">
        <w:rPr>
          <w:rFonts w:asciiTheme="majorHAnsi" w:hAnsiTheme="majorHAnsi"/>
          <w:sz w:val="22"/>
          <w:szCs w:val="22"/>
        </w:rPr>
        <w:t>196 index children</w:t>
      </w:r>
      <w:r w:rsidR="00FD009B" w:rsidRPr="00C96B0F">
        <w:rPr>
          <w:rFonts w:asciiTheme="majorHAnsi" w:hAnsiTheme="majorHAnsi"/>
          <w:sz w:val="22"/>
          <w:szCs w:val="22"/>
        </w:rPr>
        <w:t xml:space="preserve"> from whom </w:t>
      </w:r>
      <w:r w:rsidR="00230088" w:rsidRPr="00C96B0F">
        <w:rPr>
          <w:rFonts w:asciiTheme="majorHAnsi" w:hAnsiTheme="majorHAnsi"/>
          <w:sz w:val="22"/>
          <w:szCs w:val="22"/>
        </w:rPr>
        <w:t xml:space="preserve">374 </w:t>
      </w:r>
      <w:r w:rsidR="002F67C6" w:rsidRPr="00C96B0F">
        <w:rPr>
          <w:rFonts w:asciiTheme="majorHAnsi" w:hAnsiTheme="majorHAnsi"/>
          <w:sz w:val="22"/>
          <w:szCs w:val="22"/>
        </w:rPr>
        <w:t xml:space="preserve">faecal </w:t>
      </w:r>
      <w:r w:rsidR="00230088" w:rsidRPr="00C96B0F">
        <w:rPr>
          <w:rFonts w:asciiTheme="majorHAnsi" w:hAnsiTheme="majorHAnsi"/>
          <w:sz w:val="22"/>
          <w:szCs w:val="22"/>
        </w:rPr>
        <w:t>samples were collected</w:t>
      </w:r>
      <w:r w:rsidR="00015BEB" w:rsidRPr="00C96B0F">
        <w:rPr>
          <w:rFonts w:asciiTheme="majorHAnsi" w:hAnsiTheme="majorHAnsi"/>
          <w:sz w:val="22"/>
          <w:szCs w:val="22"/>
        </w:rPr>
        <w:t>. 21 of these children were also recruited into the intensive cohort and had a further</w:t>
      </w:r>
      <w:r w:rsidR="00230088" w:rsidRPr="00C96B0F">
        <w:rPr>
          <w:rFonts w:asciiTheme="majorHAnsi" w:hAnsiTheme="majorHAnsi"/>
          <w:sz w:val="22"/>
          <w:szCs w:val="22"/>
        </w:rPr>
        <w:t xml:space="preserve"> 136 samples </w:t>
      </w:r>
      <w:r w:rsidR="00015BEB" w:rsidRPr="00C96B0F">
        <w:rPr>
          <w:rFonts w:asciiTheme="majorHAnsi" w:hAnsiTheme="majorHAnsi"/>
          <w:sz w:val="22"/>
          <w:szCs w:val="22"/>
        </w:rPr>
        <w:t>collected</w:t>
      </w:r>
      <w:r w:rsidR="00230088" w:rsidRPr="00C96B0F">
        <w:rPr>
          <w:rFonts w:asciiTheme="majorHAnsi" w:hAnsiTheme="majorHAnsi"/>
          <w:sz w:val="22"/>
          <w:szCs w:val="22"/>
        </w:rPr>
        <w:t xml:space="preserve">. </w:t>
      </w:r>
      <w:r w:rsidR="001172E9" w:rsidRPr="00C96B0F">
        <w:rPr>
          <w:rFonts w:asciiTheme="majorHAnsi" w:hAnsiTheme="majorHAnsi"/>
          <w:sz w:val="22"/>
          <w:szCs w:val="22"/>
        </w:rPr>
        <w:t>Median age</w:t>
      </w:r>
      <w:r w:rsidR="00663A64" w:rsidRPr="00C96B0F">
        <w:rPr>
          <w:rFonts w:asciiTheme="majorHAnsi" w:hAnsiTheme="majorHAnsi"/>
          <w:sz w:val="22"/>
          <w:szCs w:val="22"/>
        </w:rPr>
        <w:t xml:space="preserve"> </w:t>
      </w:r>
      <w:r w:rsidR="00015BEB" w:rsidRPr="00C96B0F">
        <w:rPr>
          <w:rFonts w:asciiTheme="majorHAnsi" w:hAnsiTheme="majorHAnsi"/>
          <w:sz w:val="22"/>
          <w:szCs w:val="22"/>
        </w:rPr>
        <w:t xml:space="preserve">of all children </w:t>
      </w:r>
      <w:r w:rsidR="001172E9" w:rsidRPr="00C96B0F">
        <w:rPr>
          <w:rFonts w:asciiTheme="majorHAnsi" w:hAnsiTheme="majorHAnsi"/>
          <w:sz w:val="22"/>
          <w:szCs w:val="22"/>
        </w:rPr>
        <w:t>was 11.5 months (IQR 8.8, 15.2)</w:t>
      </w:r>
      <w:r w:rsidR="00332D6F" w:rsidRPr="00C96B0F">
        <w:rPr>
          <w:rFonts w:asciiTheme="majorHAnsi" w:hAnsiTheme="majorHAnsi"/>
          <w:sz w:val="22"/>
          <w:szCs w:val="22"/>
        </w:rPr>
        <w:t xml:space="preserve">. </w:t>
      </w:r>
      <w:r w:rsidR="00FB531B" w:rsidRPr="00C96B0F">
        <w:rPr>
          <w:rFonts w:asciiTheme="majorHAnsi" w:hAnsiTheme="majorHAnsi"/>
          <w:sz w:val="22"/>
          <w:szCs w:val="22"/>
        </w:rPr>
        <w:t xml:space="preserve">A total of </w:t>
      </w:r>
      <w:r w:rsidR="0072367B" w:rsidRPr="00C96B0F">
        <w:rPr>
          <w:rFonts w:asciiTheme="majorHAnsi" w:hAnsiTheme="majorHAnsi"/>
          <w:sz w:val="22"/>
          <w:szCs w:val="22"/>
        </w:rPr>
        <w:t>25</w:t>
      </w:r>
      <w:r w:rsidR="001172E9" w:rsidRPr="00C96B0F">
        <w:rPr>
          <w:rFonts w:asciiTheme="majorHAnsi" w:hAnsiTheme="majorHAnsi"/>
          <w:sz w:val="22"/>
          <w:szCs w:val="22"/>
        </w:rPr>
        <w:t xml:space="preserve"> </w:t>
      </w:r>
      <w:r w:rsidR="0072367B" w:rsidRPr="00C96B0F">
        <w:rPr>
          <w:rFonts w:asciiTheme="majorHAnsi" w:hAnsiTheme="majorHAnsi"/>
          <w:sz w:val="22"/>
          <w:szCs w:val="22"/>
        </w:rPr>
        <w:t>(</w:t>
      </w:r>
      <w:r w:rsidR="001172E9" w:rsidRPr="00C96B0F">
        <w:rPr>
          <w:rFonts w:asciiTheme="majorHAnsi" w:hAnsiTheme="majorHAnsi"/>
          <w:sz w:val="22"/>
          <w:szCs w:val="22"/>
        </w:rPr>
        <w:t>13%</w:t>
      </w:r>
      <w:r w:rsidR="0072367B" w:rsidRPr="00C96B0F">
        <w:rPr>
          <w:rFonts w:asciiTheme="majorHAnsi" w:hAnsiTheme="majorHAnsi"/>
          <w:sz w:val="22"/>
          <w:szCs w:val="22"/>
        </w:rPr>
        <w:t>)</w:t>
      </w:r>
      <w:r w:rsidR="001172E9" w:rsidRPr="00C96B0F">
        <w:rPr>
          <w:rFonts w:asciiTheme="majorHAnsi" w:hAnsiTheme="majorHAnsi"/>
          <w:sz w:val="22"/>
          <w:szCs w:val="22"/>
        </w:rPr>
        <w:t xml:space="preserve"> children were HIV exposed</w:t>
      </w:r>
      <w:r w:rsidR="00D15834">
        <w:rPr>
          <w:rFonts w:asciiTheme="majorHAnsi" w:hAnsiTheme="majorHAnsi"/>
          <w:sz w:val="22"/>
          <w:szCs w:val="22"/>
        </w:rPr>
        <w:t>.</w:t>
      </w:r>
      <w:r w:rsidR="001172E9" w:rsidRPr="00C96B0F">
        <w:rPr>
          <w:rFonts w:asciiTheme="majorHAnsi" w:hAnsiTheme="majorHAnsi"/>
          <w:sz w:val="22"/>
          <w:szCs w:val="22"/>
        </w:rPr>
        <w:t xml:space="preserve"> </w:t>
      </w:r>
      <w:r w:rsidR="00D15834">
        <w:rPr>
          <w:rFonts w:asciiTheme="majorHAnsi" w:hAnsiTheme="majorHAnsi"/>
          <w:sz w:val="22"/>
          <w:szCs w:val="22"/>
        </w:rPr>
        <w:t>0</w:t>
      </w:r>
      <w:r w:rsidR="001172E9" w:rsidRPr="00C96B0F">
        <w:rPr>
          <w:rFonts w:asciiTheme="majorHAnsi" w:hAnsiTheme="majorHAnsi"/>
          <w:sz w:val="22"/>
          <w:szCs w:val="22"/>
        </w:rPr>
        <w:t>f</w:t>
      </w:r>
      <w:r w:rsidR="00D15834">
        <w:rPr>
          <w:rFonts w:asciiTheme="majorHAnsi" w:hAnsiTheme="majorHAnsi"/>
          <w:sz w:val="22"/>
          <w:szCs w:val="22"/>
        </w:rPr>
        <w:t xml:space="preserve"> children with documented HIV test results,</w:t>
      </w:r>
      <w:r w:rsidR="001172E9" w:rsidRPr="00C96B0F">
        <w:rPr>
          <w:rFonts w:asciiTheme="majorHAnsi" w:hAnsiTheme="majorHAnsi"/>
          <w:sz w:val="22"/>
          <w:szCs w:val="22"/>
        </w:rPr>
        <w:t xml:space="preserve"> </w:t>
      </w:r>
      <w:r w:rsidR="00D15834">
        <w:rPr>
          <w:rFonts w:asciiTheme="majorHAnsi" w:hAnsiTheme="majorHAnsi"/>
          <w:sz w:val="22"/>
          <w:szCs w:val="22"/>
        </w:rPr>
        <w:t>3</w:t>
      </w:r>
      <w:r w:rsidR="001172E9" w:rsidRPr="00C96B0F">
        <w:rPr>
          <w:rFonts w:asciiTheme="majorHAnsi" w:hAnsiTheme="majorHAnsi"/>
          <w:sz w:val="22"/>
          <w:szCs w:val="22"/>
        </w:rPr>
        <w:t>/</w:t>
      </w:r>
      <w:r w:rsidR="00D15834">
        <w:rPr>
          <w:rFonts w:asciiTheme="majorHAnsi" w:hAnsiTheme="majorHAnsi"/>
          <w:sz w:val="22"/>
          <w:szCs w:val="22"/>
        </w:rPr>
        <w:t>89</w:t>
      </w:r>
      <w:r w:rsidR="001172E9" w:rsidRPr="00C96B0F">
        <w:rPr>
          <w:rFonts w:asciiTheme="majorHAnsi" w:hAnsiTheme="majorHAnsi"/>
          <w:sz w:val="22"/>
          <w:szCs w:val="22"/>
        </w:rPr>
        <w:t xml:space="preserve"> (3.</w:t>
      </w:r>
      <w:r w:rsidR="00D15834">
        <w:rPr>
          <w:rFonts w:asciiTheme="majorHAnsi" w:hAnsiTheme="majorHAnsi"/>
          <w:sz w:val="22"/>
          <w:szCs w:val="22"/>
        </w:rPr>
        <w:t>4</w:t>
      </w:r>
      <w:r w:rsidR="001172E9" w:rsidRPr="00C96B0F">
        <w:rPr>
          <w:rFonts w:asciiTheme="majorHAnsi" w:hAnsiTheme="majorHAnsi"/>
          <w:sz w:val="22"/>
          <w:szCs w:val="22"/>
        </w:rPr>
        <w:t>%) were HIV infected. The majority of children had severe rotavirus gastroenteritis (168/193, 86.5%).</w:t>
      </w:r>
      <w:r w:rsidR="00931B4D" w:rsidRPr="00C96B0F">
        <w:rPr>
          <w:rFonts w:asciiTheme="majorHAnsi" w:hAnsiTheme="majorHAnsi"/>
          <w:sz w:val="22"/>
          <w:szCs w:val="22"/>
        </w:rPr>
        <w:t xml:space="preserve"> Median anti-</w:t>
      </w:r>
      <w:r w:rsidR="00931B4D" w:rsidRPr="00C96B0F">
        <w:rPr>
          <w:rFonts w:asciiTheme="majorHAnsi" w:hAnsiTheme="majorHAnsi"/>
          <w:color w:val="auto"/>
          <w:sz w:val="22"/>
          <w:szCs w:val="22"/>
        </w:rPr>
        <w:t xml:space="preserve">rotavirus IgA titres at presentation were 4 IU (range 0-831), and 27% (45/164) children met the </w:t>
      </w:r>
      <w:r w:rsidR="00DE35FA" w:rsidRPr="00C96B0F">
        <w:rPr>
          <w:rFonts w:asciiTheme="majorHAnsi" w:hAnsiTheme="majorHAnsi"/>
          <w:color w:val="auto"/>
          <w:sz w:val="22"/>
          <w:szCs w:val="22"/>
        </w:rPr>
        <w:t>traditional</w:t>
      </w:r>
      <w:r w:rsidR="0045209B" w:rsidRPr="00C96B0F">
        <w:rPr>
          <w:rFonts w:asciiTheme="majorHAnsi" w:hAnsiTheme="majorHAnsi"/>
          <w:color w:val="auto"/>
          <w:sz w:val="22"/>
          <w:szCs w:val="22"/>
        </w:rPr>
        <w:t xml:space="preserve"> </w:t>
      </w:r>
      <w:r w:rsidR="00931B4D" w:rsidRPr="00C96B0F">
        <w:rPr>
          <w:rFonts w:asciiTheme="majorHAnsi" w:hAnsiTheme="majorHAnsi"/>
          <w:color w:val="auto"/>
          <w:sz w:val="22"/>
          <w:szCs w:val="22"/>
        </w:rPr>
        <w:t>threshold for seroconversion (&gt;20 IU)</w:t>
      </w:r>
      <w:r w:rsidR="00DE35FA" w:rsidRPr="00C96B0F">
        <w:rPr>
          <w:rFonts w:asciiTheme="majorHAnsi" w:hAnsiTheme="majorHAnsi"/>
          <w:color w:val="auto"/>
          <w:sz w:val="22"/>
          <w:szCs w:val="22"/>
        </w:rPr>
        <w:fldChar w:fldCharType="begin" w:fldLock="1"/>
      </w:r>
      <w:r w:rsidR="00E61A6B">
        <w:rPr>
          <w:rFonts w:asciiTheme="majorHAnsi" w:hAnsiTheme="majorHAnsi"/>
          <w:color w:val="auto"/>
          <w:sz w:val="22"/>
          <w:szCs w:val="22"/>
        </w:rPr>
        <w:instrText>ADDIN CSL_CITATION {"citationItems":[{"id":"ITEM-1","itemData":{"ISBN":"0140-6736 (Print) 0140-6736 (Linking)","PMID":"10440305","abstract":"BACKGROUND: Rotavirus is the most common cause of severe, dehydrating diarrhoea in infants worldwide. We assessed the safety, immunogenicity, and efficacy of a live, oral human rotavirus vaccine, 89-12, in US children in a randomised, placebo-controlled, double-blind multicentre trial. METHODS: 215 healthy infants were enrolled, of whom 213 were given two doses of 89-12 (containing 1x10(5) plaque-forming units) or placebo, and 213 were followed up through one rotavirus season. The frequency of side-effects was compared for 7 days after each dose of vaccine. Immune responses to rotavirus were assessed by serum and stool IgA, and by serum 89-12 neutralising titres. The primary outcome variable (protection from rotavirus disease) was evaluated by comparing the frequencies of rotavirus gastroenteritis in an intention-to-treat analysis. FINDINGS: Adverse reactions were mild. Low-grade fever (&gt; or = 38.1 degrees C) after the first dose was the only side-effect significantly more common in the vaccine group than in the placebo group (21 [19%] vs 5 [5%], p=0.001). An immune response to vaccine was detected in 94.4% of vaccinees. Rotavirus disease occurred in 18 of 107 placebo recipients and two of 108 vaccine recipients (vaccine efficacy 89.0% [95% CI 65.4-94.5]). Ten infants in the placebo group but none in the vaccine group were presented for medical care. INTERPRETATION: The 89-12 rotavirus vaccine was safe and immunogenic and provided a high degree of protection against rotavirus disease. Further investigations of this vaccine are needed to confirm these findings in other settings.","author":[{"dropping-particle":"","family":"Bernstein","given":"D I","non-dropping-particle":"","parse-names":false,"suffix":""},{"dropping-particle":"","family":"Sack","given":"D A","non-dropping-particle":"","parse-names":false,"suffix":""},{"dropping-particle":"","family":"Rothstein","given":"E","non-dropping-particle":"","parse-names":false,"suffix":""},{"dropping-particle":"","family":"Reisinger","given":"K","non-dropping-particle":"","parse-names":false,"suffix":""},{"dropping-particle":"","family":"Smith","given":"V E","non-dropping-particle":"","parse-names":false,"suffix":""},{"dropping-particle":"","family":"O'Sullivan","given":"D","non-dropping-particle":"","parse-names":false,"suffix":""},{"dropping-particle":"","family":"Spriggs","given":"D R","non-dropping-particle":"","parse-names":false,"suffix":""},{"dropping-particle":"","family":"Ward","given":"R L","non-dropping-particle":"","parse-names":false,"suffix":""}],"container-title":"Lancet","id":"ITEM-1","issue":"9175","issued":{"date-parts":[["1999"]]},"language":"eng","page":"287-290","title":"Efficacy of live, attenuated, human rotavirus vaccine 89-12 in infants: a randomised placebo-controlled trial","type":"article-journal","volume":"354"},"uris":["http://www.mendeley.com/documents/?uuid=60cc5721-2d71-498e-b157-7c82037a0489"]}],"mendeley":{"formattedCitation":"(11)","plainTextFormattedCitation":"(11)","previouslyFormattedCitation":"(11)"},"properties":{"noteIndex":0},"schema":"https://github.com/citation-style-language/schema/raw/master/csl-citation.json"}</w:instrText>
      </w:r>
      <w:r w:rsidR="00DE35FA" w:rsidRPr="00C96B0F">
        <w:rPr>
          <w:rFonts w:asciiTheme="majorHAnsi" w:hAnsiTheme="majorHAnsi"/>
          <w:color w:val="auto"/>
          <w:sz w:val="22"/>
          <w:szCs w:val="22"/>
        </w:rPr>
        <w:fldChar w:fldCharType="separate"/>
      </w:r>
      <w:r w:rsidR="00E61A6B" w:rsidRPr="00E61A6B">
        <w:rPr>
          <w:rFonts w:asciiTheme="majorHAnsi" w:hAnsiTheme="majorHAnsi"/>
          <w:noProof/>
          <w:color w:val="auto"/>
          <w:sz w:val="22"/>
          <w:szCs w:val="22"/>
        </w:rPr>
        <w:t>(11)</w:t>
      </w:r>
      <w:r w:rsidR="00DE35FA" w:rsidRPr="00C96B0F">
        <w:rPr>
          <w:rFonts w:asciiTheme="majorHAnsi" w:hAnsiTheme="majorHAnsi"/>
          <w:color w:val="auto"/>
          <w:sz w:val="22"/>
          <w:szCs w:val="22"/>
        </w:rPr>
        <w:fldChar w:fldCharType="end"/>
      </w:r>
      <w:r w:rsidR="00931B4D" w:rsidRPr="00C96B0F">
        <w:rPr>
          <w:rFonts w:asciiTheme="majorHAnsi" w:hAnsiTheme="majorHAnsi"/>
          <w:color w:val="auto"/>
          <w:sz w:val="22"/>
          <w:szCs w:val="22"/>
        </w:rPr>
        <w:t>.</w:t>
      </w:r>
      <w:r w:rsidR="001172E9" w:rsidRPr="00C96B0F">
        <w:rPr>
          <w:rFonts w:asciiTheme="majorHAnsi" w:hAnsiTheme="majorHAnsi"/>
          <w:color w:val="auto"/>
          <w:sz w:val="22"/>
          <w:szCs w:val="22"/>
        </w:rPr>
        <w:t xml:space="preserve"> </w:t>
      </w:r>
      <w:r w:rsidR="00663A64" w:rsidRPr="00C96B0F">
        <w:rPr>
          <w:rFonts w:asciiTheme="majorHAnsi" w:hAnsiTheme="majorHAnsi"/>
          <w:sz w:val="22"/>
          <w:szCs w:val="22"/>
        </w:rPr>
        <w:t>Two dose r</w:t>
      </w:r>
      <w:r w:rsidR="001172E9" w:rsidRPr="00C96B0F">
        <w:rPr>
          <w:rFonts w:asciiTheme="majorHAnsi" w:hAnsiTheme="majorHAnsi"/>
          <w:sz w:val="22"/>
          <w:szCs w:val="22"/>
        </w:rPr>
        <w:t xml:space="preserve">otavirus vaccine coverage was 194/196 (99.0%). </w:t>
      </w:r>
      <w:r w:rsidR="00C23B06" w:rsidRPr="00C96B0F">
        <w:rPr>
          <w:rFonts w:asciiTheme="majorHAnsi" w:hAnsiTheme="majorHAnsi"/>
          <w:sz w:val="22"/>
          <w:szCs w:val="22"/>
        </w:rPr>
        <w:t xml:space="preserve">Details of recruited children </w:t>
      </w:r>
      <w:r w:rsidR="00FB531B" w:rsidRPr="00C96B0F">
        <w:rPr>
          <w:rFonts w:asciiTheme="majorHAnsi" w:hAnsiTheme="majorHAnsi"/>
          <w:sz w:val="22"/>
          <w:szCs w:val="22"/>
        </w:rPr>
        <w:t>are presented</w:t>
      </w:r>
      <w:r w:rsidR="00C23B06" w:rsidRPr="00C96B0F">
        <w:rPr>
          <w:rFonts w:asciiTheme="majorHAnsi" w:hAnsiTheme="majorHAnsi"/>
          <w:sz w:val="22"/>
          <w:szCs w:val="22"/>
        </w:rPr>
        <w:t xml:space="preserve"> in </w:t>
      </w:r>
      <w:r w:rsidR="004258C8" w:rsidRPr="00C96B0F">
        <w:rPr>
          <w:rFonts w:asciiTheme="majorHAnsi" w:hAnsiTheme="majorHAnsi"/>
          <w:sz w:val="22"/>
          <w:szCs w:val="22"/>
        </w:rPr>
        <w:t>T</w:t>
      </w:r>
      <w:r w:rsidR="00C23B06" w:rsidRPr="00C96B0F">
        <w:rPr>
          <w:rFonts w:asciiTheme="majorHAnsi" w:hAnsiTheme="majorHAnsi"/>
          <w:sz w:val="22"/>
          <w:szCs w:val="22"/>
        </w:rPr>
        <w:t xml:space="preserve">able </w:t>
      </w:r>
      <w:r w:rsidR="00526AD8" w:rsidRPr="00C96B0F">
        <w:rPr>
          <w:rFonts w:asciiTheme="majorHAnsi" w:hAnsiTheme="majorHAnsi"/>
          <w:sz w:val="22"/>
          <w:szCs w:val="22"/>
        </w:rPr>
        <w:t>S</w:t>
      </w:r>
      <w:r w:rsidR="00C23B06" w:rsidRPr="00C96B0F">
        <w:rPr>
          <w:rFonts w:asciiTheme="majorHAnsi" w:hAnsiTheme="majorHAnsi"/>
          <w:sz w:val="22"/>
          <w:szCs w:val="22"/>
        </w:rPr>
        <w:t>1</w:t>
      </w:r>
      <w:r w:rsidR="00FB531B" w:rsidRPr="00C96B0F">
        <w:rPr>
          <w:rFonts w:asciiTheme="majorHAnsi" w:hAnsiTheme="majorHAnsi"/>
          <w:sz w:val="22"/>
          <w:szCs w:val="22"/>
        </w:rPr>
        <w:t>.</w:t>
      </w:r>
    </w:p>
    <w:p w14:paraId="4D1F9B02" w14:textId="122C032E" w:rsidR="00154B62" w:rsidRPr="00C96B0F" w:rsidRDefault="00D34751" w:rsidP="008C4409">
      <w:pPr>
        <w:tabs>
          <w:tab w:val="left" w:pos="7170"/>
        </w:tabs>
        <w:spacing w:line="480" w:lineRule="auto"/>
        <w:jc w:val="both"/>
        <w:rPr>
          <w:rFonts w:asciiTheme="majorHAnsi" w:hAnsiTheme="majorHAnsi"/>
          <w:b/>
        </w:rPr>
      </w:pPr>
      <w:r w:rsidRPr="00C96B0F">
        <w:rPr>
          <w:rFonts w:asciiTheme="majorHAnsi" w:hAnsiTheme="majorHAnsi"/>
          <w:b/>
        </w:rPr>
        <w:tab/>
      </w:r>
    </w:p>
    <w:p w14:paraId="2E50E8CF" w14:textId="79894A92" w:rsidR="00AE0E29" w:rsidRPr="00C96B0F" w:rsidRDefault="00AE0E29" w:rsidP="008C4409">
      <w:pPr>
        <w:spacing w:line="480" w:lineRule="auto"/>
        <w:jc w:val="both"/>
        <w:rPr>
          <w:rFonts w:asciiTheme="majorHAnsi" w:hAnsiTheme="majorHAnsi"/>
        </w:rPr>
      </w:pPr>
      <w:r w:rsidRPr="00C96B0F">
        <w:rPr>
          <w:rFonts w:asciiTheme="majorHAnsi" w:hAnsiTheme="majorHAnsi"/>
          <w:b/>
        </w:rPr>
        <w:t>Predictors of viral load</w:t>
      </w:r>
      <w:r w:rsidR="00FB531B" w:rsidRPr="00C96B0F">
        <w:rPr>
          <w:rFonts w:asciiTheme="majorHAnsi" w:hAnsiTheme="majorHAnsi"/>
          <w:b/>
        </w:rPr>
        <w:t xml:space="preserve"> (primary cohort)</w:t>
      </w:r>
    </w:p>
    <w:p w14:paraId="71002BAE" w14:textId="45F4B814" w:rsidR="000A78DC" w:rsidRPr="00C96B0F" w:rsidRDefault="000D1500" w:rsidP="008C4409">
      <w:pPr>
        <w:spacing w:line="480" w:lineRule="auto"/>
        <w:jc w:val="both"/>
        <w:rPr>
          <w:rFonts w:asciiTheme="majorHAnsi" w:hAnsiTheme="majorHAnsi"/>
        </w:rPr>
      </w:pPr>
      <w:r w:rsidRPr="00C96B0F">
        <w:rPr>
          <w:rFonts w:asciiTheme="majorHAnsi" w:hAnsiTheme="majorHAnsi"/>
        </w:rPr>
        <w:t>Median</w:t>
      </w:r>
      <w:r w:rsidR="00794926" w:rsidRPr="00C96B0F">
        <w:rPr>
          <w:rFonts w:asciiTheme="majorHAnsi" w:hAnsiTheme="majorHAnsi"/>
        </w:rPr>
        <w:t xml:space="preserve"> </w:t>
      </w:r>
      <w:r w:rsidRPr="00C96B0F">
        <w:rPr>
          <w:rFonts w:asciiTheme="majorHAnsi" w:hAnsiTheme="majorHAnsi"/>
        </w:rPr>
        <w:t xml:space="preserve">copy numbers </w:t>
      </w:r>
      <w:r w:rsidR="00794926" w:rsidRPr="00C96B0F">
        <w:rPr>
          <w:rFonts w:asciiTheme="majorHAnsi" w:hAnsiTheme="majorHAnsi"/>
        </w:rPr>
        <w:t xml:space="preserve">for peak shedding </w:t>
      </w:r>
      <w:r w:rsidRPr="00C96B0F">
        <w:rPr>
          <w:rFonts w:asciiTheme="majorHAnsi" w:hAnsiTheme="majorHAnsi"/>
        </w:rPr>
        <w:t>were 1.99x10</w:t>
      </w:r>
      <w:r w:rsidRPr="00C96B0F">
        <w:rPr>
          <w:rFonts w:asciiTheme="majorHAnsi" w:hAnsiTheme="majorHAnsi"/>
          <w:vertAlign w:val="superscript"/>
        </w:rPr>
        <w:t>7</w:t>
      </w:r>
      <w:r w:rsidRPr="00C96B0F">
        <w:rPr>
          <w:rFonts w:asciiTheme="majorHAnsi" w:hAnsiTheme="majorHAnsi"/>
        </w:rPr>
        <w:t xml:space="preserve"> (IQR 3.39x10</w:t>
      </w:r>
      <w:r w:rsidRPr="00C96B0F">
        <w:rPr>
          <w:rFonts w:asciiTheme="majorHAnsi" w:hAnsiTheme="majorHAnsi"/>
          <w:vertAlign w:val="superscript"/>
        </w:rPr>
        <w:t>6</w:t>
      </w:r>
      <w:r w:rsidR="0072367B" w:rsidRPr="00C96B0F">
        <w:rPr>
          <w:rFonts w:asciiTheme="majorHAnsi" w:hAnsiTheme="majorHAnsi"/>
        </w:rPr>
        <w:t>,</w:t>
      </w:r>
      <w:r w:rsidRPr="00C96B0F">
        <w:rPr>
          <w:rFonts w:asciiTheme="majorHAnsi" w:hAnsiTheme="majorHAnsi"/>
        </w:rPr>
        <w:t xml:space="preserve"> 6.37x10</w:t>
      </w:r>
      <w:r w:rsidRPr="00C96B0F">
        <w:rPr>
          <w:rFonts w:asciiTheme="majorHAnsi" w:hAnsiTheme="majorHAnsi"/>
          <w:vertAlign w:val="superscript"/>
        </w:rPr>
        <w:t>7</w:t>
      </w:r>
      <w:r w:rsidR="00BC0A1B" w:rsidRPr="00C96B0F">
        <w:rPr>
          <w:rFonts w:asciiTheme="majorHAnsi" w:hAnsiTheme="majorHAnsi"/>
        </w:rPr>
        <w:t xml:space="preserve">). </w:t>
      </w:r>
      <w:r w:rsidR="009D3F81" w:rsidRPr="00C96B0F">
        <w:rPr>
          <w:rFonts w:asciiTheme="majorHAnsi" w:hAnsiTheme="majorHAnsi"/>
        </w:rPr>
        <w:t>The two unvaccinated children had peak viral loads comparable to the vaccinated children (median peak shedding 9.64x10</w:t>
      </w:r>
      <w:r w:rsidR="009D3F81" w:rsidRPr="00C96B0F">
        <w:rPr>
          <w:rFonts w:asciiTheme="majorHAnsi" w:hAnsiTheme="majorHAnsi"/>
          <w:vertAlign w:val="superscript"/>
        </w:rPr>
        <w:t>6</w:t>
      </w:r>
      <w:r w:rsidR="00711489" w:rsidRPr="00C96B0F">
        <w:rPr>
          <w:rFonts w:asciiTheme="majorHAnsi" w:hAnsiTheme="majorHAnsi"/>
        </w:rPr>
        <w:t xml:space="preserve">). </w:t>
      </w:r>
      <w:r w:rsidR="00754C23" w:rsidRPr="00C96B0F">
        <w:rPr>
          <w:rFonts w:asciiTheme="majorHAnsi" w:hAnsiTheme="majorHAnsi"/>
        </w:rPr>
        <w:t>On multivariable analysis</w:t>
      </w:r>
      <w:r w:rsidR="00683CE5" w:rsidRPr="00C96B0F">
        <w:rPr>
          <w:rFonts w:asciiTheme="majorHAnsi" w:hAnsiTheme="majorHAnsi"/>
        </w:rPr>
        <w:t>,</w:t>
      </w:r>
      <w:r w:rsidR="00754C23" w:rsidRPr="00C96B0F">
        <w:rPr>
          <w:rFonts w:asciiTheme="majorHAnsi" w:hAnsiTheme="majorHAnsi"/>
        </w:rPr>
        <w:t xml:space="preserve"> a positive association </w:t>
      </w:r>
      <w:r w:rsidR="00F83725" w:rsidRPr="00C96B0F">
        <w:rPr>
          <w:rFonts w:asciiTheme="majorHAnsi" w:hAnsiTheme="majorHAnsi"/>
        </w:rPr>
        <w:t xml:space="preserve">between peak shedding density </w:t>
      </w:r>
      <w:r w:rsidR="00CB0E89" w:rsidRPr="00C96B0F">
        <w:rPr>
          <w:rFonts w:asciiTheme="majorHAnsi" w:hAnsiTheme="majorHAnsi"/>
        </w:rPr>
        <w:t>and</w:t>
      </w:r>
      <w:r w:rsidR="00754C23" w:rsidRPr="00C96B0F">
        <w:rPr>
          <w:rFonts w:asciiTheme="majorHAnsi" w:hAnsiTheme="majorHAnsi"/>
        </w:rPr>
        <w:t xml:space="preserve"> </w:t>
      </w:r>
      <w:proofErr w:type="spellStart"/>
      <w:r w:rsidR="00754C23" w:rsidRPr="00C96B0F">
        <w:rPr>
          <w:rFonts w:asciiTheme="majorHAnsi" w:hAnsiTheme="majorHAnsi"/>
        </w:rPr>
        <w:t>Vesikari</w:t>
      </w:r>
      <w:proofErr w:type="spellEnd"/>
      <w:r w:rsidR="00754C23" w:rsidRPr="00C96B0F">
        <w:rPr>
          <w:rFonts w:asciiTheme="majorHAnsi" w:hAnsiTheme="majorHAnsi"/>
        </w:rPr>
        <w:t xml:space="preserve"> score a</w:t>
      </w:r>
      <w:r w:rsidR="00BC0A1B" w:rsidRPr="00C96B0F">
        <w:rPr>
          <w:rFonts w:asciiTheme="majorHAnsi" w:hAnsiTheme="majorHAnsi"/>
        </w:rPr>
        <w:t xml:space="preserve">nd a negative association with IgA titres were </w:t>
      </w:r>
      <w:r w:rsidR="00244EC6" w:rsidRPr="00C96B0F">
        <w:rPr>
          <w:rFonts w:asciiTheme="majorHAnsi" w:hAnsiTheme="majorHAnsi"/>
        </w:rPr>
        <w:t xml:space="preserve">identified (Table </w:t>
      </w:r>
      <w:r w:rsidR="009A6C20" w:rsidRPr="00C96B0F">
        <w:rPr>
          <w:rFonts w:asciiTheme="majorHAnsi" w:hAnsiTheme="majorHAnsi"/>
        </w:rPr>
        <w:t>1</w:t>
      </w:r>
      <w:r w:rsidR="00244EC6" w:rsidRPr="00C96B0F">
        <w:rPr>
          <w:rFonts w:asciiTheme="majorHAnsi" w:hAnsiTheme="majorHAnsi"/>
        </w:rPr>
        <w:t>).</w:t>
      </w:r>
      <w:r w:rsidR="00CB0E89" w:rsidRPr="00C96B0F">
        <w:rPr>
          <w:rFonts w:asciiTheme="majorHAnsi" w:hAnsiTheme="majorHAnsi"/>
        </w:rPr>
        <w:t xml:space="preserve"> </w:t>
      </w:r>
      <w:r w:rsidR="007F0622" w:rsidRPr="00C96B0F">
        <w:rPr>
          <w:rFonts w:asciiTheme="majorHAnsi" w:hAnsiTheme="majorHAnsi"/>
        </w:rPr>
        <w:t xml:space="preserve">The reference group used for </w:t>
      </w:r>
      <w:proofErr w:type="spellStart"/>
      <w:r w:rsidR="007F0622" w:rsidRPr="00C96B0F">
        <w:rPr>
          <w:rFonts w:asciiTheme="majorHAnsi" w:hAnsiTheme="majorHAnsi"/>
        </w:rPr>
        <w:t>Vesikari</w:t>
      </w:r>
      <w:proofErr w:type="spellEnd"/>
      <w:r w:rsidR="007F0622" w:rsidRPr="00C96B0F">
        <w:rPr>
          <w:rFonts w:asciiTheme="majorHAnsi" w:hAnsiTheme="majorHAnsi"/>
        </w:rPr>
        <w:t xml:space="preserve"> (mild disease) contains only 3 observations, however the relationship between </w:t>
      </w:r>
      <w:proofErr w:type="spellStart"/>
      <w:r w:rsidR="007F0622" w:rsidRPr="00C96B0F">
        <w:rPr>
          <w:rFonts w:asciiTheme="majorHAnsi" w:hAnsiTheme="majorHAnsi"/>
        </w:rPr>
        <w:t>Vesikari</w:t>
      </w:r>
      <w:proofErr w:type="spellEnd"/>
      <w:r w:rsidR="007F0622" w:rsidRPr="00C96B0F">
        <w:rPr>
          <w:rFonts w:asciiTheme="majorHAnsi" w:hAnsiTheme="majorHAnsi"/>
        </w:rPr>
        <w:t xml:space="preserve"> score and viral load persisted when </w:t>
      </w:r>
      <w:proofErr w:type="spellStart"/>
      <w:r w:rsidR="007F0622" w:rsidRPr="00C96B0F">
        <w:rPr>
          <w:rFonts w:asciiTheme="majorHAnsi" w:hAnsiTheme="majorHAnsi"/>
        </w:rPr>
        <w:t>Vesikari</w:t>
      </w:r>
      <w:proofErr w:type="spellEnd"/>
      <w:r w:rsidR="007F0622" w:rsidRPr="00C96B0F">
        <w:rPr>
          <w:rFonts w:asciiTheme="majorHAnsi" w:hAnsiTheme="majorHAnsi"/>
        </w:rPr>
        <w:t xml:space="preserve"> was coded as a continuous variable or as 3 approximately equal groups (</w:t>
      </w:r>
      <w:r w:rsidR="00531036" w:rsidRPr="00C96B0F">
        <w:rPr>
          <w:rFonts w:asciiTheme="majorHAnsi" w:hAnsiTheme="majorHAnsi"/>
        </w:rPr>
        <w:t>Table S2</w:t>
      </w:r>
      <w:r w:rsidR="007F0622" w:rsidRPr="00C96B0F">
        <w:rPr>
          <w:rFonts w:asciiTheme="majorHAnsi" w:hAnsiTheme="majorHAnsi"/>
        </w:rPr>
        <w:t xml:space="preserve">) </w:t>
      </w:r>
      <w:r w:rsidR="00CB0E89" w:rsidRPr="00C96B0F">
        <w:rPr>
          <w:rFonts w:asciiTheme="majorHAnsi" w:hAnsiTheme="majorHAnsi"/>
        </w:rPr>
        <w:t>There was also</w:t>
      </w:r>
      <w:r w:rsidR="000E66E8" w:rsidRPr="00C96B0F">
        <w:rPr>
          <w:rFonts w:asciiTheme="majorHAnsi" w:hAnsiTheme="majorHAnsi"/>
        </w:rPr>
        <w:t xml:space="preserve"> weak evidence of a negative association with WHZ.</w:t>
      </w:r>
      <w:r w:rsidR="000A78DC" w:rsidRPr="00C96B0F">
        <w:rPr>
          <w:rFonts w:asciiTheme="majorHAnsi" w:hAnsiTheme="majorHAnsi"/>
        </w:rPr>
        <w:t xml:space="preserve"> </w:t>
      </w:r>
    </w:p>
    <w:p w14:paraId="2E98B44A" w14:textId="77777777" w:rsidR="00967965" w:rsidRPr="00C96B0F" w:rsidRDefault="00967965" w:rsidP="008C4409">
      <w:pPr>
        <w:spacing w:line="480" w:lineRule="auto"/>
        <w:jc w:val="both"/>
        <w:rPr>
          <w:rFonts w:asciiTheme="majorHAnsi" w:hAnsiTheme="majorHAnsi"/>
          <w:b/>
        </w:rPr>
      </w:pPr>
    </w:p>
    <w:p w14:paraId="33493AF3" w14:textId="77777777" w:rsidR="00967965" w:rsidRPr="00C96B0F" w:rsidRDefault="00967965" w:rsidP="008C4409">
      <w:pPr>
        <w:spacing w:line="480" w:lineRule="auto"/>
        <w:jc w:val="both"/>
        <w:rPr>
          <w:rFonts w:asciiTheme="majorHAnsi" w:hAnsiTheme="majorHAnsi"/>
          <w:b/>
        </w:rPr>
      </w:pPr>
    </w:p>
    <w:p w14:paraId="1B673B5F" w14:textId="77777777" w:rsidR="00967965" w:rsidRPr="00C96B0F" w:rsidRDefault="00967965" w:rsidP="008C4409">
      <w:pPr>
        <w:spacing w:line="480" w:lineRule="auto"/>
        <w:jc w:val="both"/>
        <w:rPr>
          <w:rFonts w:asciiTheme="majorHAnsi" w:hAnsiTheme="majorHAnsi"/>
          <w:b/>
        </w:rPr>
      </w:pPr>
    </w:p>
    <w:p w14:paraId="3CD427C4" w14:textId="77777777" w:rsidR="00791BD9" w:rsidRPr="00C96B0F" w:rsidRDefault="00791BD9" w:rsidP="008C4409">
      <w:pPr>
        <w:spacing w:line="480" w:lineRule="auto"/>
        <w:jc w:val="both"/>
        <w:rPr>
          <w:rFonts w:asciiTheme="majorHAnsi" w:hAnsiTheme="majorHAnsi"/>
          <w:b/>
        </w:rPr>
      </w:pPr>
    </w:p>
    <w:p w14:paraId="700F0E07" w14:textId="77777777" w:rsidR="00531036" w:rsidRPr="00C96B0F" w:rsidRDefault="00531036" w:rsidP="008C4409">
      <w:pPr>
        <w:spacing w:line="480" w:lineRule="auto"/>
        <w:jc w:val="both"/>
        <w:rPr>
          <w:rFonts w:asciiTheme="majorHAnsi" w:hAnsiTheme="majorHAnsi"/>
          <w:b/>
        </w:rPr>
      </w:pPr>
    </w:p>
    <w:p w14:paraId="5A181454" w14:textId="1B037E40" w:rsidR="002F3AA9" w:rsidRPr="00C96B0F" w:rsidRDefault="002F3AA9" w:rsidP="008C4409">
      <w:pPr>
        <w:spacing w:line="480" w:lineRule="auto"/>
        <w:jc w:val="both"/>
        <w:rPr>
          <w:rFonts w:asciiTheme="majorHAnsi" w:hAnsiTheme="majorHAnsi"/>
          <w:b/>
        </w:rPr>
      </w:pPr>
      <w:r w:rsidRPr="00C96B0F">
        <w:rPr>
          <w:rFonts w:asciiTheme="majorHAnsi" w:hAnsiTheme="majorHAnsi"/>
          <w:b/>
        </w:rPr>
        <w:t>Change in viral load over time and duration of viral shedding (intensive cohort)</w:t>
      </w:r>
    </w:p>
    <w:p w14:paraId="68D0CD87" w14:textId="4AF875B7" w:rsidR="002F3AA9" w:rsidRPr="00C96B0F" w:rsidRDefault="002F3AA9" w:rsidP="008C4409">
      <w:pPr>
        <w:spacing w:line="480" w:lineRule="auto"/>
        <w:jc w:val="both"/>
        <w:rPr>
          <w:rFonts w:asciiTheme="majorHAnsi" w:hAnsiTheme="majorHAnsi"/>
        </w:rPr>
      </w:pPr>
      <w:r w:rsidRPr="00C96B0F">
        <w:rPr>
          <w:rFonts w:asciiTheme="majorHAnsi" w:hAnsiTheme="majorHAnsi"/>
        </w:rPr>
        <w:t>Viral load ranged from 21 to 1.91x10</w:t>
      </w:r>
      <w:r w:rsidRPr="00C96B0F">
        <w:rPr>
          <w:rFonts w:asciiTheme="majorHAnsi" w:hAnsiTheme="majorHAnsi"/>
          <w:vertAlign w:val="superscript"/>
        </w:rPr>
        <w:t xml:space="preserve">9 </w:t>
      </w:r>
      <w:r w:rsidRPr="00C96B0F">
        <w:rPr>
          <w:rFonts w:asciiTheme="majorHAnsi" w:hAnsiTheme="majorHAnsi"/>
        </w:rPr>
        <w:t>copies. It declined significantly with time from symptom onset (regression coefficient for relationship between log copy numbers and time in days since symptom onset: -1.68, 95% CI -2.51, -0.85) (Fig 1a, Table S</w:t>
      </w:r>
      <w:r w:rsidR="00531036" w:rsidRPr="00C96B0F">
        <w:rPr>
          <w:rFonts w:asciiTheme="majorHAnsi" w:hAnsiTheme="majorHAnsi"/>
        </w:rPr>
        <w:t>3</w:t>
      </w:r>
      <w:r w:rsidRPr="00C96B0F">
        <w:rPr>
          <w:rFonts w:asciiTheme="majorHAnsi" w:hAnsiTheme="majorHAnsi"/>
        </w:rPr>
        <w:t>). Viral load was significantly higher when children were symptomatic (regression coefficient</w:t>
      </w:r>
      <w:r w:rsidR="00B35B52">
        <w:rPr>
          <w:rFonts w:asciiTheme="majorHAnsi" w:hAnsiTheme="majorHAnsi"/>
        </w:rPr>
        <w:t xml:space="preserve">: </w:t>
      </w:r>
      <w:r w:rsidRPr="00C96B0F">
        <w:rPr>
          <w:rFonts w:asciiTheme="majorHAnsi" w:hAnsiTheme="majorHAnsi"/>
        </w:rPr>
        <w:t>6.94, 95% CI 5.15, 8.73). This effect was reduced when adjusted for time from symptom onset (regression co-efficient: 1.87, 95% CI 0.25, 3.49). The proportion of children shedding rotavirus declined over time, from 100% at the first visit to 20% at the end of follow-up (Fig 1b). Median duration of shedding based on survival analysis was 28 days (95% CI 21, 28).</w:t>
      </w:r>
    </w:p>
    <w:p w14:paraId="165BFE1F" w14:textId="42C4A14C" w:rsidR="00754C23" w:rsidRPr="00C96B0F" w:rsidRDefault="00754C23" w:rsidP="008C4409">
      <w:pPr>
        <w:spacing w:line="480" w:lineRule="auto"/>
        <w:jc w:val="both"/>
        <w:rPr>
          <w:rFonts w:asciiTheme="majorHAnsi" w:hAnsiTheme="majorHAnsi"/>
          <w:b/>
        </w:rPr>
      </w:pPr>
      <w:r w:rsidRPr="00C96B0F">
        <w:rPr>
          <w:rFonts w:asciiTheme="majorHAnsi" w:hAnsiTheme="majorHAnsi"/>
          <w:b/>
          <w:sz w:val="26"/>
          <w:szCs w:val="26"/>
        </w:rPr>
        <w:t xml:space="preserve">Discussion </w:t>
      </w:r>
    </w:p>
    <w:p w14:paraId="623096DE" w14:textId="4112505E" w:rsidR="00AB4E41" w:rsidRPr="00C96B0F" w:rsidRDefault="00EC5892" w:rsidP="008C4409">
      <w:pPr>
        <w:spacing w:line="480" w:lineRule="auto"/>
        <w:jc w:val="both"/>
        <w:rPr>
          <w:rFonts w:asciiTheme="majorHAnsi" w:hAnsiTheme="majorHAnsi"/>
        </w:rPr>
      </w:pPr>
      <w:r w:rsidRPr="00C96B0F">
        <w:rPr>
          <w:rFonts w:asciiTheme="majorHAnsi" w:hAnsiTheme="majorHAnsi"/>
        </w:rPr>
        <w:t xml:space="preserve">In </w:t>
      </w:r>
      <w:r w:rsidR="006148EF" w:rsidRPr="00C96B0F">
        <w:rPr>
          <w:rFonts w:asciiTheme="majorHAnsi" w:hAnsiTheme="majorHAnsi"/>
        </w:rPr>
        <w:t xml:space="preserve">a cohort of </w:t>
      </w:r>
      <w:r w:rsidR="008D7F0E" w:rsidRPr="00C96B0F">
        <w:rPr>
          <w:rFonts w:asciiTheme="majorHAnsi" w:hAnsiTheme="majorHAnsi"/>
        </w:rPr>
        <w:t xml:space="preserve">vaccinated </w:t>
      </w:r>
      <w:r w:rsidR="00754C23" w:rsidRPr="00C96B0F">
        <w:rPr>
          <w:rFonts w:asciiTheme="majorHAnsi" w:hAnsiTheme="majorHAnsi"/>
        </w:rPr>
        <w:t>Malawian children with rotavirus gastroenteritis</w:t>
      </w:r>
      <w:r w:rsidR="00394971" w:rsidRPr="00C96B0F">
        <w:rPr>
          <w:rFonts w:asciiTheme="majorHAnsi" w:hAnsiTheme="majorHAnsi"/>
        </w:rPr>
        <w:t>,</w:t>
      </w:r>
      <w:r w:rsidR="00421D26" w:rsidRPr="00C96B0F">
        <w:rPr>
          <w:rFonts w:asciiTheme="majorHAnsi" w:hAnsiTheme="majorHAnsi"/>
        </w:rPr>
        <w:t xml:space="preserve"> </w:t>
      </w:r>
      <w:r w:rsidR="000A78DC" w:rsidRPr="00C96B0F">
        <w:rPr>
          <w:rFonts w:asciiTheme="majorHAnsi" w:hAnsiTheme="majorHAnsi"/>
        </w:rPr>
        <w:t>c</w:t>
      </w:r>
      <w:r w:rsidR="00685C98" w:rsidRPr="00C96B0F">
        <w:rPr>
          <w:rFonts w:asciiTheme="majorHAnsi" w:hAnsiTheme="majorHAnsi"/>
        </w:rPr>
        <w:t>hildren shed rotavirus in high density at the time of initial symptom</w:t>
      </w:r>
      <w:r w:rsidR="004F579C">
        <w:rPr>
          <w:rFonts w:asciiTheme="majorHAnsi" w:hAnsiTheme="majorHAnsi"/>
        </w:rPr>
        <w:t>-</w:t>
      </w:r>
      <w:r w:rsidR="00685C98" w:rsidRPr="00C96B0F">
        <w:rPr>
          <w:rFonts w:asciiTheme="majorHAnsi" w:hAnsiTheme="majorHAnsi"/>
        </w:rPr>
        <w:t>onset, and continue</w:t>
      </w:r>
      <w:r w:rsidR="002F0FD2" w:rsidRPr="00C96B0F">
        <w:rPr>
          <w:rFonts w:asciiTheme="majorHAnsi" w:hAnsiTheme="majorHAnsi"/>
        </w:rPr>
        <w:t>d</w:t>
      </w:r>
      <w:r w:rsidR="00685C98" w:rsidRPr="00C96B0F">
        <w:rPr>
          <w:rFonts w:asciiTheme="majorHAnsi" w:hAnsiTheme="majorHAnsi"/>
        </w:rPr>
        <w:t xml:space="preserve"> to shed rotavirus for an extended period of time after symptom resol</w:t>
      </w:r>
      <w:r w:rsidR="009676EC" w:rsidRPr="00C96B0F">
        <w:rPr>
          <w:rFonts w:asciiTheme="majorHAnsi" w:hAnsiTheme="majorHAnsi"/>
        </w:rPr>
        <w:t>ution</w:t>
      </w:r>
      <w:r w:rsidR="00685C98" w:rsidRPr="00C96B0F">
        <w:rPr>
          <w:rFonts w:asciiTheme="majorHAnsi" w:hAnsiTheme="majorHAnsi"/>
        </w:rPr>
        <w:t xml:space="preserve">. </w:t>
      </w:r>
      <w:r w:rsidR="006D1FF3" w:rsidRPr="00C96B0F">
        <w:rPr>
          <w:rFonts w:asciiTheme="majorHAnsi" w:hAnsiTheme="majorHAnsi"/>
        </w:rPr>
        <w:t>Faecal viral shedding density was positively associated with disease severity on presentat</w:t>
      </w:r>
      <w:r w:rsidR="00B83C57" w:rsidRPr="00C96B0F">
        <w:rPr>
          <w:rFonts w:asciiTheme="majorHAnsi" w:hAnsiTheme="majorHAnsi"/>
        </w:rPr>
        <w:t>ion</w:t>
      </w:r>
      <w:r w:rsidR="0000582A" w:rsidRPr="00C96B0F">
        <w:rPr>
          <w:rFonts w:asciiTheme="majorHAnsi" w:hAnsiTheme="majorHAnsi"/>
        </w:rPr>
        <w:t xml:space="preserve"> and negatively associated with anti-rotavirus IgA titres. </w:t>
      </w:r>
    </w:p>
    <w:p w14:paraId="7D18B7E8" w14:textId="6A02FDCE" w:rsidR="006D1FF3" w:rsidRPr="00C96B0F" w:rsidRDefault="006D1FF3" w:rsidP="008C4409">
      <w:pPr>
        <w:spacing w:line="480" w:lineRule="auto"/>
        <w:jc w:val="both"/>
        <w:rPr>
          <w:rFonts w:asciiTheme="majorHAnsi" w:hAnsiTheme="majorHAnsi"/>
        </w:rPr>
      </w:pPr>
      <w:r w:rsidRPr="00C96B0F">
        <w:rPr>
          <w:rFonts w:asciiTheme="majorHAnsi" w:hAnsiTheme="majorHAnsi"/>
        </w:rPr>
        <w:t xml:space="preserve">The pattern of rotavirus shedding observed </w:t>
      </w:r>
      <w:r w:rsidR="00CB0E89" w:rsidRPr="00C96B0F">
        <w:rPr>
          <w:rFonts w:asciiTheme="majorHAnsi" w:hAnsiTheme="majorHAnsi"/>
        </w:rPr>
        <w:t>among</w:t>
      </w:r>
      <w:r w:rsidRPr="00C96B0F">
        <w:rPr>
          <w:rFonts w:asciiTheme="majorHAnsi" w:hAnsiTheme="majorHAnsi"/>
        </w:rPr>
        <w:t xml:space="preserve"> symptomatic rotavirus cases is similar to that observed </w:t>
      </w:r>
      <w:r w:rsidR="00B04234" w:rsidRPr="00C96B0F">
        <w:rPr>
          <w:rFonts w:asciiTheme="majorHAnsi" w:hAnsiTheme="majorHAnsi"/>
        </w:rPr>
        <w:t xml:space="preserve">among </w:t>
      </w:r>
      <w:r w:rsidR="008D7F0E" w:rsidRPr="00C96B0F">
        <w:rPr>
          <w:rFonts w:asciiTheme="majorHAnsi" w:hAnsiTheme="majorHAnsi"/>
        </w:rPr>
        <w:t xml:space="preserve">unvaccinated </w:t>
      </w:r>
      <w:r w:rsidRPr="00C96B0F">
        <w:rPr>
          <w:rFonts w:asciiTheme="majorHAnsi" w:hAnsiTheme="majorHAnsi"/>
        </w:rPr>
        <w:t>children from India</w:t>
      </w:r>
      <w:r w:rsidRPr="00C96B0F">
        <w:rPr>
          <w:rFonts w:asciiTheme="majorHAnsi" w:hAnsiTheme="majorHAnsi"/>
        </w:rPr>
        <w:fldChar w:fldCharType="begin" w:fldLock="1"/>
      </w:r>
      <w:r w:rsidR="00E61A6B">
        <w:rPr>
          <w:rFonts w:asciiTheme="majorHAnsi" w:hAnsiTheme="majorHAnsi"/>
        </w:rPr>
        <w:instrText>ADDIN CSL_CITATION {"citationItems":[{"id":"ITEM-1","itemData":{"DOI":"10.1002/jmv.23641","ISBN":"1096-9071 (Electronic)\r0146-6615 (Linking)","PMID":"23775335","abstract":"Reverse transcription-real-time polymerase chain reaction (RT-qPCR) for the VP6 gene was used to study group A rotavirus shedding in children with symptomatic and asymptomatic rotavirus infection. Sequential stool samples (n = 345) from 10 children with rotavirus associated diarrhea and from five children (n = 161) with asymptomatic rotavirus infection were collected over a period of 2 months. A RT-qPCR assay on the samples using a rotavirus VP6 plasmid standard demonstrated high reproducibility, with an inter-assay coefficient of variation (CV) of 1.40-2.97% and an intra-assay CV of 0.03-3.03%. The median duration of shedding was longer in children with diarrhea compared to asymptomatic children (24 days vs. 18 days; P = 0.066). The median quantitation cycle (C(q)) at presentation in symptomatic children was 17.21 compared to 30.98 in asymptomatic children (P = 0.086). The temporal pattern in symptomatic children consisted of a high initial viral shedding coinciding with the duration of diarrhea, followed by a rapid fall, and then a small increase in secondary shedding 21 days later. Compared to children with rotavirus diarrhea, those with asymptomatic infection shed lower quantities of virus throughout the observation period. No difference was noted between the G and P genotypes of samples collected at onset of infection and during the shedding period. Shedding was intermittent in a subset of children in both groups. RT-qPCR is a useful method to characterize shedding patterns.","author":[{"dropping-particle":"","family":"Mukhopadhya","given":"I","non-dropping-particle":"","parse-names":false,"suffix":""},{"dropping-particle":"","family":"Sarkar","given":"R","non-dropping-particle":"","parse-names":false,"suffix":""},{"dropping-particle":"","family":"Menon","given":"V K","non-dropping-particle":"","parse-names":false,"suffix":""},{"dropping-particle":"","family":"Babji","given":"S","non-dropping-particle":"","parse-names":false,"suffix":""},{"dropping-particle":"","family":"Paul","given":"A","non-dropping-particle":"","parse-names":false,"suffix":""},{"dropping-particle":"","family":"Rajendran","given":"P","non-dropping-particle":"","parse-names":false,"suffix":""},{"dropping-particle":"V","family":"Sowmyanarayanan","given":"T","non-dropping-particle":"","parse-names":false,"suffix":""},{"dropping-particle":"","family":"Moses","given":"P D","non-dropping-particle":"","parse-names":false,"suffix":""},{"dropping-particle":"","family":"Iturriza-Gomara","given":"M","non-dropping-particle":"","parse-names":false,"suffix":""},{"dropping-particle":"","family":"Gray","given":"J J","non-dropping-particle":"","parse-names":false,"suffix":""},{"dropping-particle":"","family":"Kang","given":"G","non-dropping-particle":"","parse-names":false,"suffix":""}],"container-title":"J Med Virol","edition":"2013/06/19","id":"ITEM-1","issue":"9","issued":{"date-parts":[["2013"]]},"language":"eng","page":"1661-1668","title":"Rotavirus shedding in symptomatic and asymptomatic children using reverse transcription-quantitative PCR","type":"article-journal","volume":"85"},"uris":["http://www.mendeley.com/documents/?uuid=f3f809d6-fa4a-427a-88ae-1c546acad8f4"]}],"mendeley":{"formattedCitation":"(7)","plainTextFormattedCitation":"(7)","previouslyFormattedCitation":"(7)"},"properties":{"noteIndex":0},"schema":"https://github.com/citation-style-language/schema/raw/master/csl-citation.json"}</w:instrText>
      </w:r>
      <w:r w:rsidRPr="00C96B0F">
        <w:rPr>
          <w:rFonts w:asciiTheme="majorHAnsi" w:hAnsiTheme="majorHAnsi"/>
        </w:rPr>
        <w:fldChar w:fldCharType="separate"/>
      </w:r>
      <w:r w:rsidR="00E61A6B" w:rsidRPr="00E61A6B">
        <w:rPr>
          <w:rFonts w:asciiTheme="majorHAnsi" w:hAnsiTheme="majorHAnsi"/>
          <w:noProof/>
        </w:rPr>
        <w:t>(7)</w:t>
      </w:r>
      <w:r w:rsidRPr="00C96B0F">
        <w:rPr>
          <w:rFonts w:asciiTheme="majorHAnsi" w:hAnsiTheme="majorHAnsi"/>
        </w:rPr>
        <w:fldChar w:fldCharType="end"/>
      </w:r>
      <w:r w:rsidRPr="00C96B0F">
        <w:rPr>
          <w:rFonts w:asciiTheme="majorHAnsi" w:hAnsiTheme="majorHAnsi"/>
        </w:rPr>
        <w:t>.</w:t>
      </w:r>
      <w:r w:rsidR="00707863" w:rsidRPr="00C96B0F">
        <w:rPr>
          <w:rFonts w:asciiTheme="majorHAnsi" w:hAnsiTheme="majorHAnsi"/>
        </w:rPr>
        <w:t xml:space="preserve"> </w:t>
      </w:r>
      <w:r w:rsidR="005B12C8" w:rsidRPr="00C96B0F">
        <w:rPr>
          <w:rFonts w:asciiTheme="majorHAnsi" w:hAnsiTheme="majorHAnsi"/>
        </w:rPr>
        <w:t xml:space="preserve">In both Malawi and India, </w:t>
      </w:r>
      <w:r w:rsidRPr="00C96B0F">
        <w:rPr>
          <w:rFonts w:asciiTheme="majorHAnsi" w:hAnsiTheme="majorHAnsi"/>
        </w:rPr>
        <w:t xml:space="preserve">high viral titres </w:t>
      </w:r>
      <w:r w:rsidR="005B12C8" w:rsidRPr="00C96B0F">
        <w:rPr>
          <w:rFonts w:asciiTheme="majorHAnsi" w:hAnsiTheme="majorHAnsi"/>
        </w:rPr>
        <w:t xml:space="preserve">on presentation </w:t>
      </w:r>
      <w:r w:rsidRPr="00C96B0F">
        <w:rPr>
          <w:rFonts w:asciiTheme="majorHAnsi" w:hAnsiTheme="majorHAnsi"/>
        </w:rPr>
        <w:t>rapid</w:t>
      </w:r>
      <w:r w:rsidR="005B12C8" w:rsidRPr="00C96B0F">
        <w:rPr>
          <w:rFonts w:asciiTheme="majorHAnsi" w:hAnsiTheme="majorHAnsi"/>
        </w:rPr>
        <w:t>ly</w:t>
      </w:r>
      <w:r w:rsidRPr="00C96B0F">
        <w:rPr>
          <w:rFonts w:asciiTheme="majorHAnsi" w:hAnsiTheme="majorHAnsi"/>
        </w:rPr>
        <w:t xml:space="preserve"> decline</w:t>
      </w:r>
      <w:r w:rsidR="005B12C8" w:rsidRPr="00C96B0F">
        <w:rPr>
          <w:rFonts w:asciiTheme="majorHAnsi" w:hAnsiTheme="majorHAnsi"/>
        </w:rPr>
        <w:t>d</w:t>
      </w:r>
      <w:r w:rsidRPr="00C96B0F">
        <w:rPr>
          <w:rFonts w:asciiTheme="majorHAnsi" w:hAnsiTheme="majorHAnsi"/>
        </w:rPr>
        <w:t xml:space="preserve"> over the first 10 days after symptom</w:t>
      </w:r>
      <w:r w:rsidR="00B35B52">
        <w:rPr>
          <w:rFonts w:asciiTheme="majorHAnsi" w:hAnsiTheme="majorHAnsi"/>
        </w:rPr>
        <w:t>-</w:t>
      </w:r>
      <w:r w:rsidRPr="00C96B0F">
        <w:rPr>
          <w:rFonts w:asciiTheme="majorHAnsi" w:hAnsiTheme="majorHAnsi"/>
        </w:rPr>
        <w:t>onset and then plateau</w:t>
      </w:r>
      <w:r w:rsidR="009676EC" w:rsidRPr="00C96B0F">
        <w:rPr>
          <w:rFonts w:asciiTheme="majorHAnsi" w:hAnsiTheme="majorHAnsi"/>
        </w:rPr>
        <w:t>ed</w:t>
      </w:r>
      <w:r w:rsidRPr="00C96B0F">
        <w:rPr>
          <w:rFonts w:asciiTheme="majorHAnsi" w:hAnsiTheme="majorHAnsi"/>
        </w:rPr>
        <w:t>, with a median duration of shedding of approximately 4 weeks (2</w:t>
      </w:r>
      <w:r w:rsidR="00154B62" w:rsidRPr="00C96B0F">
        <w:rPr>
          <w:rFonts w:asciiTheme="majorHAnsi" w:hAnsiTheme="majorHAnsi"/>
        </w:rPr>
        <w:t>8</w:t>
      </w:r>
      <w:r w:rsidRPr="00C96B0F">
        <w:rPr>
          <w:rFonts w:asciiTheme="majorHAnsi" w:hAnsiTheme="majorHAnsi"/>
        </w:rPr>
        <w:t xml:space="preserve"> days in Malawi</w:t>
      </w:r>
      <w:r w:rsidR="0000582A" w:rsidRPr="00C96B0F">
        <w:rPr>
          <w:rFonts w:asciiTheme="majorHAnsi" w:hAnsiTheme="majorHAnsi"/>
        </w:rPr>
        <w:t xml:space="preserve"> (</w:t>
      </w:r>
      <w:r w:rsidR="009D574F" w:rsidRPr="00C96B0F">
        <w:rPr>
          <w:rFonts w:asciiTheme="majorHAnsi" w:hAnsiTheme="majorHAnsi"/>
        </w:rPr>
        <w:t>95% CI 21, 28)</w:t>
      </w:r>
      <w:r w:rsidR="0000582A" w:rsidRPr="00C96B0F">
        <w:rPr>
          <w:rFonts w:asciiTheme="majorHAnsi" w:hAnsiTheme="majorHAnsi"/>
        </w:rPr>
        <w:t xml:space="preserve"> </w:t>
      </w:r>
      <w:r w:rsidRPr="00C96B0F">
        <w:rPr>
          <w:rFonts w:asciiTheme="majorHAnsi" w:hAnsiTheme="majorHAnsi"/>
        </w:rPr>
        <w:t xml:space="preserve">, 24 days in </w:t>
      </w:r>
      <w:r w:rsidR="00421D26" w:rsidRPr="00C96B0F">
        <w:rPr>
          <w:rFonts w:asciiTheme="majorHAnsi" w:hAnsiTheme="majorHAnsi"/>
        </w:rPr>
        <w:t>India</w:t>
      </w:r>
      <w:r w:rsidRPr="00C96B0F">
        <w:rPr>
          <w:rFonts w:asciiTheme="majorHAnsi" w:hAnsiTheme="majorHAnsi"/>
        </w:rPr>
        <w:t>). This is substantially longer than the</w:t>
      </w:r>
      <w:r w:rsidR="00B83C57" w:rsidRPr="00C96B0F">
        <w:rPr>
          <w:rFonts w:asciiTheme="majorHAnsi" w:hAnsiTheme="majorHAnsi"/>
        </w:rPr>
        <w:t xml:space="preserve"> </w:t>
      </w:r>
      <w:bookmarkStart w:id="2" w:name="_GoBack"/>
      <w:bookmarkEnd w:id="2"/>
      <w:r w:rsidR="00263F29" w:rsidRPr="00C96B0F">
        <w:rPr>
          <w:rFonts w:asciiTheme="majorHAnsi" w:hAnsiTheme="majorHAnsi"/>
        </w:rPr>
        <w:t xml:space="preserve">median </w:t>
      </w:r>
      <w:r w:rsidRPr="00C96B0F">
        <w:rPr>
          <w:rFonts w:asciiTheme="majorHAnsi" w:hAnsiTheme="majorHAnsi"/>
        </w:rPr>
        <w:t xml:space="preserve">duration of shedding </w:t>
      </w:r>
      <w:r w:rsidR="005B12C8" w:rsidRPr="00C96B0F">
        <w:rPr>
          <w:rFonts w:asciiTheme="majorHAnsi" w:hAnsiTheme="majorHAnsi"/>
        </w:rPr>
        <w:t>reported from</w:t>
      </w:r>
      <w:r w:rsidRPr="00C96B0F">
        <w:rPr>
          <w:rFonts w:asciiTheme="majorHAnsi" w:hAnsiTheme="majorHAnsi"/>
        </w:rPr>
        <w:t xml:space="preserve"> Australia</w:t>
      </w:r>
      <w:r w:rsidR="001342D2" w:rsidRPr="00C96B0F">
        <w:rPr>
          <w:rFonts w:asciiTheme="majorHAnsi" w:hAnsiTheme="majorHAnsi"/>
        </w:rPr>
        <w:t xml:space="preserve"> (10 days)</w:t>
      </w:r>
      <w:r w:rsidRPr="00C96B0F">
        <w:rPr>
          <w:rFonts w:asciiTheme="majorHAnsi" w:hAnsiTheme="majorHAnsi"/>
        </w:rPr>
        <w:fldChar w:fldCharType="begin" w:fldLock="1"/>
      </w:r>
      <w:r w:rsidR="00E61A6B">
        <w:rPr>
          <w:rFonts w:asciiTheme="majorHAnsi" w:hAnsiTheme="majorHAnsi"/>
        </w:rPr>
        <w:instrText>ADDIN CSL_CITATION {"citationItems":[{"id":"ITEM-1","itemData":{"DOI":"10.1016/s0140-6736(97)11257-0","ISBN":"0140-6736 (Print)\r0140-6736 (Linking)","PMID":"9652668","abstract":"BACKGROUND: Rotaviruses are the major cause of severe childhood diarrhoea. Knowledge of the natural history of infection, including duration of intestinal virus shedding, is important in the understanding of transmission, sources of infection, and immune responses. METHODS: We carried out a study of rotavirus excretion in 37 children admitted to hospital with severe rotavirus diarrhoea. Sequential faecal specimens were collected from each child during 100 days of surveillance, and screened for rotavirus by EIA and by amplification of genome double-stranded RNA by reverse-transcription PCR. IgA coproantibody was estimated by EIA. FINDINGS: Duration of rotavirus excretion ranged from 4 to 57 days after onset of diarrhoea. Excretion ceased within 10 days in 16 (43%) children, and within 20 days in 26 (70%) children. Extended excretion was detected for 25-57 days in the remaining 11 (30%) children owing mainly to continued excretion of the primary infecting strain. Extended excretion was significantly associated with antirotavirus IgA coproantibody boosts during 100 days of surveillance (p=0.001, log-rank test), and with recurrence of mild diarrhoea symptoms during convalescence (p=0.006, Fisher's exact test). INTERPRETATION: Severe rotavirus disease in young children may be followed by extended excretion of rotavirus. The risk of transmission to others may be greater than previously believed. Extended excretion could also explain some cases of the postgastroenteritis syndrome.","author":[{"dropping-particle":"","family":"Richardson","given":"S","non-dropping-particle":"","parse-names":false,"suffix":""},{"dropping-particle":"","family":"Grimwood","given":"K","non-dropping-particle":"","parse-names":false,"suffix":""},{"dropping-particle":"","family":"Gorrell","given":"R","non-dropping-particle":"","parse-names":false,"suffix":""},{"dropping-particle":"","family":"Palombo","given":"E","non-dropping-particle":"","parse-names":false,"suffix":""},{"dropping-particle":"","family":"Barnes","given":"G","non-dropping-particle":"","parse-names":false,"suffix":""},{"dropping-particle":"","family":"Bishop","given":"R","non-dropping-particle":"","parse-names":false,"suffix":""}],"container-title":"Lancet","edition":"1998/07/04","id":"ITEM-1","issue":"9119","issued":{"date-parts":[["1998"]]},"language":"eng","page":"1844-1848","title":"Extended excretion of rotavirus after severe diarrhoea in young children","type":"article-journal","volume":"351"},"uris":["http://www.mendeley.com/documents/?uuid=f6d5386b-2896-434c-a252-8e60d6d716e6"]}],"mendeley":{"formattedCitation":"(6)","plainTextFormattedCitation":"(6)","previouslyFormattedCitation":"(6)"},"properties":{"noteIndex":0},"schema":"https://github.com/citation-style-language/schema/raw/master/csl-citation.json"}</w:instrText>
      </w:r>
      <w:r w:rsidRPr="00C96B0F">
        <w:rPr>
          <w:rFonts w:asciiTheme="majorHAnsi" w:hAnsiTheme="majorHAnsi"/>
        </w:rPr>
        <w:fldChar w:fldCharType="separate"/>
      </w:r>
      <w:r w:rsidR="00E61A6B" w:rsidRPr="00E61A6B">
        <w:rPr>
          <w:rFonts w:asciiTheme="majorHAnsi" w:hAnsiTheme="majorHAnsi"/>
          <w:noProof/>
        </w:rPr>
        <w:t>(6)</w:t>
      </w:r>
      <w:r w:rsidRPr="00C96B0F">
        <w:rPr>
          <w:rFonts w:asciiTheme="majorHAnsi" w:hAnsiTheme="majorHAnsi"/>
        </w:rPr>
        <w:fldChar w:fldCharType="end"/>
      </w:r>
      <w:r w:rsidRPr="00C96B0F">
        <w:rPr>
          <w:rFonts w:asciiTheme="majorHAnsi" w:hAnsiTheme="majorHAnsi"/>
        </w:rPr>
        <w:t xml:space="preserve">. </w:t>
      </w:r>
      <w:r w:rsidR="009676EC" w:rsidRPr="00C96B0F">
        <w:rPr>
          <w:rFonts w:asciiTheme="majorHAnsi" w:hAnsiTheme="majorHAnsi"/>
        </w:rPr>
        <w:t>While this</w:t>
      </w:r>
      <w:r w:rsidRPr="00C96B0F">
        <w:rPr>
          <w:rFonts w:asciiTheme="majorHAnsi" w:hAnsiTheme="majorHAnsi"/>
        </w:rPr>
        <w:t xml:space="preserve"> could reflect differences in sensitivity of the assay used,</w:t>
      </w:r>
      <w:r w:rsidR="00C454D4" w:rsidRPr="00C96B0F">
        <w:rPr>
          <w:rFonts w:asciiTheme="majorHAnsi" w:hAnsiTheme="majorHAnsi"/>
        </w:rPr>
        <w:t xml:space="preserve"> </w:t>
      </w:r>
      <w:r w:rsidR="001342D2" w:rsidRPr="00C96B0F">
        <w:rPr>
          <w:rFonts w:asciiTheme="majorHAnsi" w:hAnsiTheme="majorHAnsi"/>
        </w:rPr>
        <w:t xml:space="preserve">the </w:t>
      </w:r>
      <w:r w:rsidRPr="00C96B0F">
        <w:rPr>
          <w:rFonts w:asciiTheme="majorHAnsi" w:hAnsiTheme="majorHAnsi"/>
        </w:rPr>
        <w:t xml:space="preserve">immune response to </w:t>
      </w:r>
      <w:r w:rsidR="005B12C8" w:rsidRPr="00C96B0F">
        <w:rPr>
          <w:rFonts w:asciiTheme="majorHAnsi" w:hAnsiTheme="majorHAnsi"/>
        </w:rPr>
        <w:t xml:space="preserve">both </w:t>
      </w:r>
      <w:r w:rsidRPr="00C96B0F">
        <w:rPr>
          <w:rFonts w:asciiTheme="majorHAnsi" w:hAnsiTheme="majorHAnsi"/>
        </w:rPr>
        <w:t xml:space="preserve">natural rotavirus infection and rotavirus vaccine is reduced in </w:t>
      </w:r>
      <w:r w:rsidR="00B83C57" w:rsidRPr="00C96B0F">
        <w:rPr>
          <w:rFonts w:asciiTheme="majorHAnsi" w:hAnsiTheme="majorHAnsi"/>
        </w:rPr>
        <w:t>LICs</w:t>
      </w:r>
      <w:r w:rsidRPr="00C96B0F">
        <w:rPr>
          <w:rFonts w:asciiTheme="majorHAnsi" w:hAnsiTheme="majorHAnsi"/>
        </w:rPr>
        <w:t xml:space="preserve"> compared to higher</w:t>
      </w:r>
      <w:r w:rsidR="001342D2" w:rsidRPr="00C96B0F">
        <w:rPr>
          <w:rFonts w:asciiTheme="majorHAnsi" w:hAnsiTheme="majorHAnsi"/>
        </w:rPr>
        <w:t>-</w:t>
      </w:r>
      <w:r w:rsidRPr="00C96B0F">
        <w:rPr>
          <w:rFonts w:asciiTheme="majorHAnsi" w:hAnsiTheme="majorHAnsi"/>
        </w:rPr>
        <w:t>income settings</w:t>
      </w:r>
      <w:r w:rsidR="00A513A6" w:rsidRPr="00C96B0F">
        <w:rPr>
          <w:rFonts w:asciiTheme="majorHAnsi" w:hAnsiTheme="majorHAnsi"/>
        </w:rPr>
        <w:fldChar w:fldCharType="begin" w:fldLock="1"/>
      </w:r>
      <w:r w:rsidR="00E61A6B">
        <w:rPr>
          <w:rFonts w:asciiTheme="majorHAnsi" w:hAnsiTheme="majorHAnsi"/>
        </w:rPr>
        <w:instrText>ADDIN CSL_CITATION {"citationItems":[{"id":"ITEM-1","itemData":{"ISBN":"1879-6265 (Electronic)","PMID":"22677178","abstract":"Selected topics in the field of rotavirus immunity are reviewed focusing on recent developments that may improve efficacy and safety of current and future vaccines. Rotaviruses (RVs) have developed multiple mechanisms to evade interferon (IFN)-mediated innate immunity. Compared to more developed regions of the world, protection induced by natural infection and vaccination is reduced in developing countries where, among other factors, high viral challenge loads are common and where infants are infected at an early age. Studies in developing countries indicate that rotavirus-specific serum IgA levels are not an optimal correlate of protection following vaccination, and better correlates need to be identified. Protection against rotavirus following vaccination is substantially heterotypic; nonetheless, a role for homotypic immunity in selection of circulating postvaccination strains needs further study.","author":[{"dropping-particle":"","family":"Angel","given":"J","non-dropping-particle":"","parse-names":false,"suffix":""},{"dropping-particle":"","family":"Franco","given":"M A","non-dropping-particle":"","parse-names":false,"suffix":""},{"dropping-particle":"","family":"Greenberg","given":"H B","non-dropping-particle":"","parse-names":false,"suffix":""}],"container-title":"Curr Opin Virol","id":"ITEM-1","issue":"4","issued":{"date-parts":[["2012"]]},"language":"eng","page":"419-425","title":"Rotavirus immune responses and correlates of protection","type":"article-journal","volume":"2"},"uris":["http://www.mendeley.com/documents/?uuid=7ce30517-af66-44de-8f6d-39163f677002"]}],"mendeley":{"formattedCitation":"(12)","plainTextFormattedCitation":"(12)","previouslyFormattedCitation":"(12)"},"properties":{"noteIndex":0},"schema":"https://github.com/citation-style-language/schema/raw/master/csl-citation.json"}</w:instrText>
      </w:r>
      <w:r w:rsidR="00A513A6" w:rsidRPr="00C96B0F">
        <w:rPr>
          <w:rFonts w:asciiTheme="majorHAnsi" w:hAnsiTheme="majorHAnsi"/>
        </w:rPr>
        <w:fldChar w:fldCharType="separate"/>
      </w:r>
      <w:r w:rsidR="00E61A6B" w:rsidRPr="00E61A6B">
        <w:rPr>
          <w:rFonts w:asciiTheme="majorHAnsi" w:hAnsiTheme="majorHAnsi"/>
          <w:noProof/>
        </w:rPr>
        <w:t>(12)</w:t>
      </w:r>
      <w:r w:rsidR="00A513A6" w:rsidRPr="00C96B0F">
        <w:rPr>
          <w:rFonts w:asciiTheme="majorHAnsi" w:hAnsiTheme="majorHAnsi"/>
        </w:rPr>
        <w:fldChar w:fldCharType="end"/>
      </w:r>
      <w:r w:rsidR="00C454D4" w:rsidRPr="00C96B0F">
        <w:rPr>
          <w:rFonts w:asciiTheme="majorHAnsi" w:hAnsiTheme="majorHAnsi"/>
        </w:rPr>
        <w:t>. The</w:t>
      </w:r>
      <w:r w:rsidRPr="00C96B0F">
        <w:rPr>
          <w:rFonts w:asciiTheme="majorHAnsi" w:hAnsiTheme="majorHAnsi"/>
        </w:rPr>
        <w:t xml:space="preserve"> extended duration of shedd</w:t>
      </w:r>
      <w:r w:rsidR="00402395" w:rsidRPr="00C96B0F">
        <w:rPr>
          <w:rFonts w:asciiTheme="majorHAnsi" w:hAnsiTheme="majorHAnsi"/>
        </w:rPr>
        <w:t xml:space="preserve">ing </w:t>
      </w:r>
      <w:r w:rsidR="00C454D4" w:rsidRPr="00C96B0F">
        <w:rPr>
          <w:rFonts w:asciiTheme="majorHAnsi" w:hAnsiTheme="majorHAnsi"/>
        </w:rPr>
        <w:t xml:space="preserve">could </w:t>
      </w:r>
      <w:r w:rsidR="00244EC6" w:rsidRPr="00C96B0F">
        <w:rPr>
          <w:rFonts w:asciiTheme="majorHAnsi" w:hAnsiTheme="majorHAnsi"/>
        </w:rPr>
        <w:t xml:space="preserve">therefore </w:t>
      </w:r>
      <w:r w:rsidR="00B83C57" w:rsidRPr="00C96B0F">
        <w:rPr>
          <w:rFonts w:asciiTheme="majorHAnsi" w:hAnsiTheme="majorHAnsi"/>
        </w:rPr>
        <w:t>result from</w:t>
      </w:r>
      <w:r w:rsidR="00C454D4" w:rsidRPr="00C96B0F">
        <w:rPr>
          <w:rFonts w:asciiTheme="majorHAnsi" w:hAnsiTheme="majorHAnsi"/>
        </w:rPr>
        <w:t xml:space="preserve"> delayed clearance of replicating virus as a result of sub-optimal mucosal immunity</w:t>
      </w:r>
      <w:r w:rsidR="009D574F" w:rsidRPr="00C96B0F">
        <w:rPr>
          <w:rFonts w:asciiTheme="majorHAnsi" w:hAnsiTheme="majorHAnsi"/>
        </w:rPr>
        <w:t>, or very high rate</w:t>
      </w:r>
      <w:r w:rsidR="00B35B52">
        <w:rPr>
          <w:rFonts w:asciiTheme="majorHAnsi" w:hAnsiTheme="majorHAnsi"/>
        </w:rPr>
        <w:t>s</w:t>
      </w:r>
      <w:r w:rsidR="009D574F" w:rsidRPr="00C96B0F">
        <w:rPr>
          <w:rFonts w:asciiTheme="majorHAnsi" w:hAnsiTheme="majorHAnsi"/>
        </w:rPr>
        <w:t xml:space="preserve"> of re-infection</w:t>
      </w:r>
      <w:r w:rsidR="00C454D4" w:rsidRPr="00C96B0F">
        <w:rPr>
          <w:rFonts w:asciiTheme="majorHAnsi" w:hAnsiTheme="majorHAnsi"/>
        </w:rPr>
        <w:t>. High frequency of asymptomatic rotavirus shedding has been described in young children from Malawi</w:t>
      </w:r>
      <w:r w:rsidR="00A513A6" w:rsidRPr="00C96B0F">
        <w:rPr>
          <w:rFonts w:asciiTheme="majorHAnsi" w:hAnsiTheme="majorHAnsi"/>
        </w:rPr>
        <w:fldChar w:fldCharType="begin" w:fldLock="1"/>
      </w:r>
      <w:r w:rsidR="00E61A6B">
        <w:rPr>
          <w:rFonts w:asciiTheme="majorHAnsi" w:hAnsiTheme="majorHAnsi"/>
        </w:rPr>
        <w:instrText>ADDIN CSL_CITATION {"citationItems":[{"id":"ITEM-1","itemData":{"DOI":"10.1128/JCM.00875-15","ISSN":"1098660X","PMID":"25854480","abstract":"We evaluated quantitative real-time PCR to establish the diagnosis of rotavirus gastroenteritis in a high disease burden population in Malawi using enzyme immunoassay as the gold standard diagnostic test. In 146 children with acute gastroenteritis and 65 asymptomatic children, we defined a cut-off point in cycle threshold value (26.7) that predicts rotavirus-attributable gastroenteritis in this population. These data will inform the evaluation of direct and indirect rotavirus vaccine effects in Africa.","author":[{"dropping-particle":"","family":"Bennett","given":"A.","non-dropping-particle":"","parse-names":false,"suffix":""},{"dropping-particle":"","family":"Bar-Zeev","given":"N.","non-dropping-particle":"","parse-names":false,"suffix":""},{"dropping-particle":"","family":"Jere","given":"K. C.","non-dropping-particle":"","parse-names":false,"suffix":""},{"dropping-particle":"","family":"Tate","given":"J. E.","non-dropping-particle":"","parse-names":false,"suffix":""},{"dropping-particle":"","family":"Parashar","given":"U. D.","non-dropping-particle":"","parse-names":false,"suffix":""},{"dropping-particle":"","family":"Nakagomi","given":"O.","non-dropping-particle":"","parse-names":false,"suffix":""},{"dropping-particle":"","family":"Heyderman","given":"R. S.","non-dropping-particle":"","parse-names":false,"suffix":""},{"dropping-particle":"","family":"French","given":"N.","non-dropping-particle":"","parse-names":false,"suffix":""},{"dropping-particle":"","family":"Iturriza-Gomara","given":"M.","non-dropping-particle":"","parse-names":false,"suffix":""},{"dropping-particle":"","family":"Cunliffe","given":"N. A.","non-dropping-particle":"","parse-names":false,"suffix":""}],"container-title":"Journal of Clinical Microbiology","id":"ITEM-1","issue":"6","issued":{"date-parts":[["2015"]]},"page":"1951-1954","title":"Determination of a viral load threshold to distinguish symptomatic versus asymptomatic rotavirus infection in a high-disease-Burden African population","type":"article-journal","volume":"53"},"uris":["http://www.mendeley.com/documents/?uuid=2e66e45d-db37-4b2f-902f-4ec1dfb0cc6c"]}],"mendeley":{"formattedCitation":"(13)","plainTextFormattedCitation":"(13)","previouslyFormattedCitation":"(13)"},"properties":{"noteIndex":0},"schema":"https://github.com/citation-style-language/schema/raw/master/csl-citation.json"}</w:instrText>
      </w:r>
      <w:r w:rsidR="00A513A6" w:rsidRPr="00C96B0F">
        <w:rPr>
          <w:rFonts w:asciiTheme="majorHAnsi" w:hAnsiTheme="majorHAnsi"/>
        </w:rPr>
        <w:fldChar w:fldCharType="separate"/>
      </w:r>
      <w:r w:rsidR="00E61A6B" w:rsidRPr="00E61A6B">
        <w:rPr>
          <w:rFonts w:asciiTheme="majorHAnsi" w:hAnsiTheme="majorHAnsi"/>
          <w:noProof/>
        </w:rPr>
        <w:t>(13)</w:t>
      </w:r>
      <w:r w:rsidR="00A513A6" w:rsidRPr="00C96B0F">
        <w:rPr>
          <w:rFonts w:asciiTheme="majorHAnsi" w:hAnsiTheme="majorHAnsi"/>
        </w:rPr>
        <w:fldChar w:fldCharType="end"/>
      </w:r>
      <w:r w:rsidR="005E14E7" w:rsidRPr="00C96B0F">
        <w:rPr>
          <w:rFonts w:asciiTheme="majorHAnsi" w:hAnsiTheme="majorHAnsi"/>
        </w:rPr>
        <w:t xml:space="preserve">, </w:t>
      </w:r>
      <w:r w:rsidR="00B83C57" w:rsidRPr="00C96B0F">
        <w:rPr>
          <w:rFonts w:asciiTheme="majorHAnsi" w:hAnsiTheme="majorHAnsi"/>
        </w:rPr>
        <w:lastRenderedPageBreak/>
        <w:t>and this</w:t>
      </w:r>
      <w:r w:rsidR="005E14E7" w:rsidRPr="00C96B0F">
        <w:rPr>
          <w:rFonts w:asciiTheme="majorHAnsi" w:hAnsiTheme="majorHAnsi"/>
        </w:rPr>
        <w:t xml:space="preserve"> may be partly explained by p</w:t>
      </w:r>
      <w:r w:rsidR="00C454D4" w:rsidRPr="00C96B0F">
        <w:rPr>
          <w:rFonts w:asciiTheme="majorHAnsi" w:hAnsiTheme="majorHAnsi"/>
        </w:rPr>
        <w:t>rolonged faecal shedding of rotavirus following symptomatic infection</w:t>
      </w:r>
      <w:r w:rsidR="005E14E7" w:rsidRPr="00C96B0F">
        <w:rPr>
          <w:rFonts w:asciiTheme="majorHAnsi" w:hAnsiTheme="majorHAnsi"/>
        </w:rPr>
        <w:t>.</w:t>
      </w:r>
      <w:r w:rsidR="00C454D4" w:rsidRPr="00C96B0F">
        <w:rPr>
          <w:rFonts w:asciiTheme="majorHAnsi" w:hAnsiTheme="majorHAnsi"/>
        </w:rPr>
        <w:t xml:space="preserve"> </w:t>
      </w:r>
      <w:r w:rsidR="00AB4E41" w:rsidRPr="00C96B0F">
        <w:rPr>
          <w:rFonts w:asciiTheme="majorHAnsi" w:hAnsiTheme="majorHAnsi"/>
        </w:rPr>
        <w:t>Due to logistical restrain</w:t>
      </w:r>
      <w:r w:rsidR="0094234F" w:rsidRPr="00C96B0F">
        <w:rPr>
          <w:rFonts w:asciiTheme="majorHAnsi" w:hAnsiTheme="majorHAnsi"/>
        </w:rPr>
        <w:t>t</w:t>
      </w:r>
      <w:r w:rsidR="00AB4E41" w:rsidRPr="00C96B0F">
        <w:rPr>
          <w:rFonts w:asciiTheme="majorHAnsi" w:hAnsiTheme="majorHAnsi"/>
        </w:rPr>
        <w:t>s</w:t>
      </w:r>
      <w:r w:rsidR="00DD1ED0" w:rsidRPr="00C96B0F">
        <w:rPr>
          <w:rFonts w:asciiTheme="majorHAnsi" w:hAnsiTheme="majorHAnsi"/>
        </w:rPr>
        <w:t>,</w:t>
      </w:r>
      <w:r w:rsidR="00AB4E41" w:rsidRPr="00C96B0F">
        <w:rPr>
          <w:rFonts w:asciiTheme="majorHAnsi" w:hAnsiTheme="majorHAnsi"/>
        </w:rPr>
        <w:t xml:space="preserve"> </w:t>
      </w:r>
      <w:r w:rsidR="005B12C8" w:rsidRPr="00C96B0F">
        <w:rPr>
          <w:rFonts w:asciiTheme="majorHAnsi" w:hAnsiTheme="majorHAnsi"/>
        </w:rPr>
        <w:t>the</w:t>
      </w:r>
      <w:r w:rsidR="00AB4E41" w:rsidRPr="00C96B0F">
        <w:rPr>
          <w:rFonts w:asciiTheme="majorHAnsi" w:hAnsiTheme="majorHAnsi"/>
        </w:rPr>
        <w:t xml:space="preserve"> duration of follow</w:t>
      </w:r>
      <w:r w:rsidR="001342D2" w:rsidRPr="00C96B0F">
        <w:rPr>
          <w:rFonts w:asciiTheme="majorHAnsi" w:hAnsiTheme="majorHAnsi"/>
        </w:rPr>
        <w:t>-</w:t>
      </w:r>
      <w:r w:rsidR="00AB4E41" w:rsidRPr="00C96B0F">
        <w:rPr>
          <w:rFonts w:asciiTheme="majorHAnsi" w:hAnsiTheme="majorHAnsi"/>
        </w:rPr>
        <w:t xml:space="preserve">up </w:t>
      </w:r>
      <w:r w:rsidR="005B12C8" w:rsidRPr="00C96B0F">
        <w:rPr>
          <w:rFonts w:asciiTheme="majorHAnsi" w:hAnsiTheme="majorHAnsi"/>
        </w:rPr>
        <w:t xml:space="preserve">in this study </w:t>
      </w:r>
      <w:r w:rsidR="00AB4E41" w:rsidRPr="00C96B0F">
        <w:rPr>
          <w:rFonts w:asciiTheme="majorHAnsi" w:hAnsiTheme="majorHAnsi"/>
        </w:rPr>
        <w:t>was limited</w:t>
      </w:r>
      <w:r w:rsidR="005B12C8" w:rsidRPr="00C96B0F">
        <w:rPr>
          <w:rFonts w:asciiTheme="majorHAnsi" w:hAnsiTheme="majorHAnsi"/>
        </w:rPr>
        <w:t>,</w:t>
      </w:r>
      <w:r w:rsidR="005E5DF3" w:rsidRPr="00C96B0F">
        <w:rPr>
          <w:rFonts w:asciiTheme="majorHAnsi" w:hAnsiTheme="majorHAnsi"/>
        </w:rPr>
        <w:t xml:space="preserve"> and the</w:t>
      </w:r>
      <w:r w:rsidR="00AB4E41" w:rsidRPr="00C96B0F">
        <w:rPr>
          <w:rFonts w:asciiTheme="majorHAnsi" w:hAnsiTheme="majorHAnsi"/>
        </w:rPr>
        <w:t xml:space="preserve"> </w:t>
      </w:r>
      <w:r w:rsidR="00B83C57" w:rsidRPr="00C96B0F">
        <w:rPr>
          <w:rFonts w:asciiTheme="majorHAnsi" w:hAnsiTheme="majorHAnsi"/>
        </w:rPr>
        <w:t xml:space="preserve">reported </w:t>
      </w:r>
      <w:r w:rsidR="00AB4E41" w:rsidRPr="00C96B0F">
        <w:rPr>
          <w:rFonts w:asciiTheme="majorHAnsi" w:hAnsiTheme="majorHAnsi"/>
        </w:rPr>
        <w:t xml:space="preserve">duration of shedding represents a minimum estimate. </w:t>
      </w:r>
      <w:r w:rsidR="00D1049F" w:rsidRPr="00C96B0F">
        <w:rPr>
          <w:rFonts w:asciiTheme="majorHAnsi" w:hAnsiTheme="majorHAnsi"/>
        </w:rPr>
        <w:t xml:space="preserve">This is particularly true </w:t>
      </w:r>
      <w:r w:rsidR="00263F29" w:rsidRPr="00C96B0F">
        <w:rPr>
          <w:rFonts w:asciiTheme="majorHAnsi" w:hAnsiTheme="majorHAnsi"/>
        </w:rPr>
        <w:t>considering</w:t>
      </w:r>
      <w:r w:rsidR="00D1049F" w:rsidRPr="00C96B0F">
        <w:rPr>
          <w:rFonts w:asciiTheme="majorHAnsi" w:hAnsiTheme="majorHAnsi"/>
        </w:rPr>
        <w:t xml:space="preserve"> </w:t>
      </w:r>
      <w:r w:rsidR="00B83C57" w:rsidRPr="00C96B0F">
        <w:rPr>
          <w:rFonts w:asciiTheme="majorHAnsi" w:hAnsiTheme="majorHAnsi"/>
        </w:rPr>
        <w:t xml:space="preserve">our </w:t>
      </w:r>
      <w:r w:rsidR="00D1049F" w:rsidRPr="00C96B0F">
        <w:rPr>
          <w:rFonts w:asciiTheme="majorHAnsi" w:hAnsiTheme="majorHAnsi"/>
        </w:rPr>
        <w:t>definition of cessation of shedding – it is possible that some of</w:t>
      </w:r>
      <w:r w:rsidR="00707863" w:rsidRPr="00C96B0F">
        <w:rPr>
          <w:rFonts w:asciiTheme="majorHAnsi" w:hAnsiTheme="majorHAnsi"/>
        </w:rPr>
        <w:t xml:space="preserve"> </w:t>
      </w:r>
      <w:r w:rsidR="00D1049F" w:rsidRPr="00C96B0F">
        <w:rPr>
          <w:rFonts w:asciiTheme="majorHAnsi" w:hAnsiTheme="majorHAnsi"/>
        </w:rPr>
        <w:t>the</w:t>
      </w:r>
      <w:r w:rsidR="00B83C57" w:rsidRPr="00C96B0F">
        <w:rPr>
          <w:rFonts w:asciiTheme="majorHAnsi" w:hAnsiTheme="majorHAnsi"/>
        </w:rPr>
        <w:t xml:space="preserve"> children near the end of follow</w:t>
      </w:r>
      <w:r w:rsidR="00154B62" w:rsidRPr="00C96B0F">
        <w:rPr>
          <w:rFonts w:asciiTheme="majorHAnsi" w:hAnsiTheme="majorHAnsi"/>
        </w:rPr>
        <w:t>-</w:t>
      </w:r>
      <w:r w:rsidR="00B83C57" w:rsidRPr="00C96B0F">
        <w:rPr>
          <w:rFonts w:asciiTheme="majorHAnsi" w:hAnsiTheme="majorHAnsi"/>
        </w:rPr>
        <w:t xml:space="preserve">up </w:t>
      </w:r>
      <w:r w:rsidR="00244EC6" w:rsidRPr="00C96B0F">
        <w:rPr>
          <w:rFonts w:asciiTheme="majorHAnsi" w:hAnsiTheme="majorHAnsi"/>
        </w:rPr>
        <w:t>were misclassified</w:t>
      </w:r>
      <w:r w:rsidR="00670B50" w:rsidRPr="00C96B0F">
        <w:rPr>
          <w:rFonts w:asciiTheme="majorHAnsi" w:hAnsiTheme="majorHAnsi"/>
        </w:rPr>
        <w:t xml:space="preserve"> as </w:t>
      </w:r>
      <w:r w:rsidR="005B02C2" w:rsidRPr="00C96B0F">
        <w:rPr>
          <w:rFonts w:asciiTheme="majorHAnsi" w:hAnsiTheme="majorHAnsi"/>
        </w:rPr>
        <w:t>having stopped shedding</w:t>
      </w:r>
      <w:r w:rsidR="00244EC6" w:rsidRPr="00C96B0F">
        <w:rPr>
          <w:rFonts w:asciiTheme="majorHAnsi" w:hAnsiTheme="majorHAnsi"/>
        </w:rPr>
        <w:t>.</w:t>
      </w:r>
    </w:p>
    <w:p w14:paraId="385449C0" w14:textId="1E94C4A3" w:rsidR="0028755C" w:rsidRPr="00C96B0F" w:rsidRDefault="00402395" w:rsidP="008C4409">
      <w:pPr>
        <w:spacing w:line="480" w:lineRule="auto"/>
        <w:jc w:val="both"/>
        <w:rPr>
          <w:rFonts w:asciiTheme="majorHAnsi" w:hAnsiTheme="majorHAnsi"/>
        </w:rPr>
      </w:pPr>
      <w:r w:rsidRPr="00C96B0F">
        <w:rPr>
          <w:rFonts w:asciiTheme="majorHAnsi" w:hAnsiTheme="majorHAnsi"/>
        </w:rPr>
        <w:t>C</w:t>
      </w:r>
      <w:r w:rsidR="00012B65" w:rsidRPr="00C96B0F">
        <w:rPr>
          <w:rFonts w:asciiTheme="majorHAnsi" w:hAnsiTheme="majorHAnsi"/>
        </w:rPr>
        <w:t>hildren</w:t>
      </w:r>
      <w:r w:rsidR="004122F1" w:rsidRPr="00C96B0F">
        <w:rPr>
          <w:rFonts w:asciiTheme="majorHAnsi" w:hAnsiTheme="majorHAnsi"/>
        </w:rPr>
        <w:t xml:space="preserve"> who</w:t>
      </w:r>
      <w:r w:rsidR="00012B65" w:rsidRPr="00C96B0F">
        <w:rPr>
          <w:rFonts w:asciiTheme="majorHAnsi" w:hAnsiTheme="majorHAnsi"/>
        </w:rPr>
        <w:t xml:space="preserve"> develop severe rotavirus disease </w:t>
      </w:r>
      <w:r w:rsidR="004122F1" w:rsidRPr="00C96B0F">
        <w:rPr>
          <w:rFonts w:asciiTheme="majorHAnsi" w:hAnsiTheme="majorHAnsi"/>
        </w:rPr>
        <w:t xml:space="preserve">despite </w:t>
      </w:r>
      <w:r w:rsidR="00C17B5E" w:rsidRPr="00C96B0F">
        <w:rPr>
          <w:rFonts w:asciiTheme="majorHAnsi" w:hAnsiTheme="majorHAnsi"/>
        </w:rPr>
        <w:t>being vaccinated</w:t>
      </w:r>
      <w:r w:rsidR="004122F1" w:rsidRPr="00C96B0F">
        <w:rPr>
          <w:rFonts w:asciiTheme="majorHAnsi" w:hAnsiTheme="majorHAnsi"/>
        </w:rPr>
        <w:t xml:space="preserve"> </w:t>
      </w:r>
      <w:r w:rsidR="00012B65" w:rsidRPr="00C96B0F">
        <w:rPr>
          <w:rFonts w:asciiTheme="majorHAnsi" w:hAnsiTheme="majorHAnsi"/>
        </w:rPr>
        <w:t>shed large quantities of virus</w:t>
      </w:r>
      <w:r w:rsidRPr="00C96B0F">
        <w:rPr>
          <w:rFonts w:asciiTheme="majorHAnsi" w:hAnsiTheme="majorHAnsi"/>
        </w:rPr>
        <w:t xml:space="preserve">. This </w:t>
      </w:r>
      <w:r w:rsidR="00AD1A2D" w:rsidRPr="00C96B0F">
        <w:rPr>
          <w:rFonts w:asciiTheme="majorHAnsi" w:hAnsiTheme="majorHAnsi"/>
        </w:rPr>
        <w:t>may</w:t>
      </w:r>
      <w:r w:rsidR="00012B65" w:rsidRPr="00C96B0F">
        <w:rPr>
          <w:rFonts w:asciiTheme="majorHAnsi" w:hAnsiTheme="majorHAnsi"/>
        </w:rPr>
        <w:t xml:space="preserve"> contribute to ongoing </w:t>
      </w:r>
      <w:r w:rsidR="00AD1A2D" w:rsidRPr="00C96B0F">
        <w:rPr>
          <w:rFonts w:asciiTheme="majorHAnsi" w:hAnsiTheme="majorHAnsi"/>
        </w:rPr>
        <w:t xml:space="preserve">community </w:t>
      </w:r>
      <w:r w:rsidR="00012B65" w:rsidRPr="00C96B0F">
        <w:rPr>
          <w:rFonts w:asciiTheme="majorHAnsi" w:hAnsiTheme="majorHAnsi"/>
        </w:rPr>
        <w:t>transmission of rotavir</w:t>
      </w:r>
      <w:r w:rsidRPr="00C96B0F">
        <w:rPr>
          <w:rFonts w:asciiTheme="majorHAnsi" w:hAnsiTheme="majorHAnsi"/>
        </w:rPr>
        <w:t>us and provide one</w:t>
      </w:r>
      <w:r w:rsidR="002D7209" w:rsidRPr="00C96B0F">
        <w:rPr>
          <w:rFonts w:asciiTheme="majorHAnsi" w:hAnsiTheme="majorHAnsi"/>
        </w:rPr>
        <w:t xml:space="preserve"> explanation for </w:t>
      </w:r>
      <w:r w:rsidR="00012B65" w:rsidRPr="00C96B0F">
        <w:rPr>
          <w:rFonts w:asciiTheme="majorHAnsi" w:hAnsiTheme="majorHAnsi"/>
        </w:rPr>
        <w:t xml:space="preserve">the persisting </w:t>
      </w:r>
      <w:r w:rsidR="00AD1A2D" w:rsidRPr="00C96B0F">
        <w:rPr>
          <w:rFonts w:asciiTheme="majorHAnsi" w:hAnsiTheme="majorHAnsi"/>
        </w:rPr>
        <w:t xml:space="preserve">high </w:t>
      </w:r>
      <w:r w:rsidR="00012B65" w:rsidRPr="00C96B0F">
        <w:rPr>
          <w:rFonts w:asciiTheme="majorHAnsi" w:hAnsiTheme="majorHAnsi"/>
        </w:rPr>
        <w:t>burden of disease in LICs</w:t>
      </w:r>
      <w:r w:rsidR="00263F29" w:rsidRPr="00C96B0F">
        <w:rPr>
          <w:rFonts w:asciiTheme="majorHAnsi" w:hAnsiTheme="majorHAnsi"/>
        </w:rPr>
        <w:t>,</w:t>
      </w:r>
      <w:r w:rsidR="00012B65" w:rsidRPr="00C96B0F">
        <w:rPr>
          <w:rFonts w:asciiTheme="majorHAnsi" w:hAnsiTheme="majorHAnsi"/>
        </w:rPr>
        <w:t xml:space="preserve"> </w:t>
      </w:r>
      <w:r w:rsidR="00B83C57" w:rsidRPr="00C96B0F">
        <w:rPr>
          <w:rFonts w:asciiTheme="majorHAnsi" w:hAnsiTheme="majorHAnsi"/>
        </w:rPr>
        <w:t>with</w:t>
      </w:r>
      <w:r w:rsidR="00AD1A2D" w:rsidRPr="00C96B0F">
        <w:rPr>
          <w:rFonts w:asciiTheme="majorHAnsi" w:hAnsiTheme="majorHAnsi"/>
        </w:rPr>
        <w:t xml:space="preserve"> limited evidence of indirect (herd) protection</w:t>
      </w:r>
      <w:r w:rsidR="00154B62" w:rsidRPr="00C96B0F">
        <w:rPr>
          <w:rFonts w:asciiTheme="majorHAnsi" w:hAnsiTheme="majorHAnsi"/>
        </w:rPr>
        <w:t xml:space="preserve"> despite high vaccine coverage</w:t>
      </w:r>
      <w:r w:rsidR="009D574F" w:rsidRPr="00C96B0F">
        <w:rPr>
          <w:rFonts w:asciiTheme="majorHAnsi" w:hAnsiTheme="majorHAnsi"/>
        </w:rPr>
        <w:fldChar w:fldCharType="begin" w:fldLock="1"/>
      </w:r>
      <w:r w:rsidR="00E61A6B">
        <w:rPr>
          <w:rFonts w:asciiTheme="majorHAnsi" w:hAnsiTheme="majorHAnsi"/>
        </w:rPr>
        <w:instrText>ADDIN CSL_CITATION {"citationItems":[{"id":"ITEM-1","itemData":{"ISBN":"1058-4838","ISSN":"15376591","PMID":"27059359","abstract":"BACKGROUND: Rotavirus vaccines have been introduced in many low-income African countries including Malawi in 2012. Despite early evidence of vaccine impact, determining persistence of protection beyond infancy, the utility of the vaccine against specific rotavirus genotypes, and effectiveness in vulnerable subgroups is important.\\n\\nMETHODS: We compared rotavirus prevalence in diarrheal stool and hospitalization incidence before and following rotavirus vaccine introduction in Malawi. Using case-control analysis, we derived vaccine effectiveness (VE) in the second year of life and for human immunodeficiency virus (HIV)-exposed and stunted children.\\n\\nRESULTS: Rotavirus prevalence declined concurrent with increasing vaccine coverage, and in 2015 was 24% compared with prevaccine mean baseline in 1997-2011 of 32%. Since vaccine introduction, population rotavirus hospitalization incidence declined in infants by 54.2% (95% confidence interval [CI], 32.8-68.8), but did not fall in older children. Comparing 241 rotavirus cases with 692 test-negative controls, VE was 70.6% (95% CI, 33.6%-87.0%) and 31.7% (95% CI, -140.6% to 80.6%) in the first and second year of life, respectively, whereas mean age of rotavirus cases increased from 9.3 to 11.8 months. Despite higher VE against G1P[8] than against other genotypes, no resurgence of nonvaccine genotypes has occurred. VE did not differ significantly by nutritional status (78.1% [95% CI, 5.6%-94.9%] in 257 well-nourished and 27.8% [95% CI, -99.5% to 73.9%] in 205 stunted children;P= .12), or by HIV exposure (60.5% [95% CI, 13.3%-82.0%] in 745 HIV-unexposed and 42.2% [95% CI, -106.9% to 83.8%] in 174 exposed children;P= .91).\\n\\nCONCLUSIONS: Rotavirus vaccination in Malawi has resulted in reductions in disease burden in infants &lt;12 months, but not in older children. Despite differences in genotype-specific VE, no genotype has emerged to suggest vaccine escape. VE was not demonstrably affected by HIV exposure or stunting.","author":[{"dropping-particle":"","family":"Bar-Zeev","given":"Naor","non-dropping-particle":"","parse-names":false,"suffix":""},{"dropping-particle":"","family":"Jere","given":"Khuzwayo C.","non-dropping-particle":"","parse-names":false,"suffix":""},{"dropping-particle":"","family":"Bennett","given":"Aisleen","non-dropping-particle":"","parse-names":false,"suffix":""},{"dropping-particle":"","family":"Pollock","given":"Louisa","non-dropping-particle":"","parse-names":false,"suffix":""},{"dropping-particle":"","family":"Tate","given":"Jacqueline E.","non-dropping-particle":"","parse-names":false,"suffix":""},{"dropping-particle":"","family":"Nakagomi","given":"Osamu","non-dropping-particle":"","parse-names":false,"suffix":""},{"dropping-particle":"","family":"Iturriza-Gomara","given":"Miren","non-dropping-particle":"","parse-names":false,"suffix":""},{"dropping-particle":"","family":"Costello","given":"Anthony","non-dropping-particle":"","parse-names":false,"suffix":""},{"dropping-particle":"","family":"Mwansambo","given":"Charles","non-dropping-particle":"","parse-names":false,"suffix":""},{"dropping-particle":"","family":"Parashar","given":"Umesh D.","non-dropping-particle":"","parse-names":false,"suffix":""},{"dropping-particle":"","family":"Heyderman","given":"Robert S.","non-dropping-particle":"","parse-names":false,"suffix":""},{"dropping-particle":"","family":"French","given":"Neil","non-dropping-particle":"","parse-names":false,"suffix":""},{"dropping-particle":"","family":"Cunliffe","given":"Nigel A.","non-dropping-particle":"","parse-names":false,"suffix":""},{"dropping-particle":"","family":"Beard","given":"James","non-dropping-particle":"","parse-names":false,"suffix":""},{"dropping-particle":"","family":"Crampin","given":"Amelia C.","non-dropping-particle":"","parse-names":false,"suffix":""},{"dropping-particle":"","family":"King","given":"Carina","non-dropping-particle":"","parse-names":false,"suffix":""},{"dropping-particle":"","family":"Lewycka","given":"Sonia","non-dropping-particle":"","parse-names":false,"suffix":""},{"dropping-particle":"","family":"Mvula","given":"Hazzie","non-dropping-particle":"","parse-names":false,"suffix":""},{"dropping-particle":"","family":"Phiri","given":"Tambosi","non-dropping-particle":"","parse-names":false,"suffix":""},{"dropping-particle":"","family":"Verani","given":"Jennifer R.","non-dropping-particle":"","parse-names":false,"suffix":""},{"dropping-particle":"","family":"Whitney","given":"Cynthia G.","non-dropping-particle":"","parse-names":false,"suffix":""}],"container-title":"Clinical Infectious Diseases","id":"ITEM-1","issue":"Suppl 2","issued":{"date-parts":[["2016"]]},"page":"S213-S219","title":"Population Impact and Effectiveness of Monovalent Rotavirus Vaccination in Urban Malawian Children 3 Years after Vaccine Introduction: Ecological and Case-Control Analyses","type":"article-journal","volume":"62"},"uris":["http://www.mendeley.com/documents/?uuid=b7df2c77-f264-4f0a-a87f-a51499c6bcbb"]}],"mendeley":{"formattedCitation":"(4)","plainTextFormattedCitation":"(4)","previouslyFormattedCitation":"(4)"},"properties":{"noteIndex":0},"schema":"https://github.com/citation-style-language/schema/raw/master/csl-citation.json"}</w:instrText>
      </w:r>
      <w:r w:rsidR="009D574F" w:rsidRPr="00C96B0F">
        <w:rPr>
          <w:rFonts w:asciiTheme="majorHAnsi" w:hAnsiTheme="majorHAnsi"/>
        </w:rPr>
        <w:fldChar w:fldCharType="separate"/>
      </w:r>
      <w:r w:rsidR="00E61A6B" w:rsidRPr="00E61A6B">
        <w:rPr>
          <w:rFonts w:asciiTheme="majorHAnsi" w:hAnsiTheme="majorHAnsi"/>
          <w:noProof/>
        </w:rPr>
        <w:t>(4)</w:t>
      </w:r>
      <w:r w:rsidR="009D574F" w:rsidRPr="00C96B0F">
        <w:rPr>
          <w:rFonts w:asciiTheme="majorHAnsi" w:hAnsiTheme="majorHAnsi"/>
        </w:rPr>
        <w:fldChar w:fldCharType="end"/>
      </w:r>
      <w:r w:rsidR="00012B65" w:rsidRPr="00C96B0F">
        <w:rPr>
          <w:rFonts w:asciiTheme="majorHAnsi" w:hAnsiTheme="majorHAnsi"/>
        </w:rPr>
        <w:t xml:space="preserve">. </w:t>
      </w:r>
      <w:r w:rsidR="006E20F3" w:rsidRPr="00C96B0F">
        <w:rPr>
          <w:rFonts w:asciiTheme="majorHAnsi" w:hAnsiTheme="majorHAnsi"/>
        </w:rPr>
        <w:t>However</w:t>
      </w:r>
      <w:r w:rsidR="005B02C2" w:rsidRPr="00C96B0F">
        <w:rPr>
          <w:rFonts w:asciiTheme="majorHAnsi" w:hAnsiTheme="majorHAnsi"/>
        </w:rPr>
        <w:t>,</w:t>
      </w:r>
      <w:r w:rsidR="00B83C57" w:rsidRPr="00C96B0F">
        <w:rPr>
          <w:rFonts w:asciiTheme="majorHAnsi" w:hAnsiTheme="majorHAnsi"/>
        </w:rPr>
        <w:t xml:space="preserve"> it is notable that </w:t>
      </w:r>
      <w:r w:rsidR="00323C86" w:rsidRPr="00C96B0F">
        <w:rPr>
          <w:rFonts w:asciiTheme="majorHAnsi" w:hAnsiTheme="majorHAnsi"/>
        </w:rPr>
        <w:t>children recruited into this study are</w:t>
      </w:r>
      <w:r w:rsidR="00E26086" w:rsidRPr="00C96B0F">
        <w:rPr>
          <w:rFonts w:asciiTheme="majorHAnsi" w:hAnsiTheme="majorHAnsi"/>
        </w:rPr>
        <w:t xml:space="preserve"> biased towards</w:t>
      </w:r>
      <w:r w:rsidR="00323C86" w:rsidRPr="00C96B0F">
        <w:rPr>
          <w:rFonts w:asciiTheme="majorHAnsi" w:hAnsiTheme="majorHAnsi"/>
        </w:rPr>
        <w:t xml:space="preserve"> those </w:t>
      </w:r>
      <w:r w:rsidR="001342D2" w:rsidRPr="00C96B0F">
        <w:rPr>
          <w:rFonts w:asciiTheme="majorHAnsi" w:hAnsiTheme="majorHAnsi"/>
        </w:rPr>
        <w:t xml:space="preserve">with </w:t>
      </w:r>
      <w:r w:rsidR="00E26086" w:rsidRPr="00C96B0F">
        <w:rPr>
          <w:rFonts w:asciiTheme="majorHAnsi" w:hAnsiTheme="majorHAnsi"/>
        </w:rPr>
        <w:t xml:space="preserve">severe </w:t>
      </w:r>
      <w:r w:rsidR="001342D2" w:rsidRPr="00C96B0F">
        <w:rPr>
          <w:rFonts w:asciiTheme="majorHAnsi" w:hAnsiTheme="majorHAnsi"/>
        </w:rPr>
        <w:t>disease</w:t>
      </w:r>
      <w:r w:rsidR="00E26086" w:rsidRPr="00C96B0F">
        <w:rPr>
          <w:rFonts w:asciiTheme="majorHAnsi" w:hAnsiTheme="majorHAnsi"/>
        </w:rPr>
        <w:t xml:space="preserve"> </w:t>
      </w:r>
      <w:r w:rsidR="00323C86" w:rsidRPr="00C96B0F">
        <w:rPr>
          <w:rFonts w:asciiTheme="majorHAnsi" w:hAnsiTheme="majorHAnsi"/>
        </w:rPr>
        <w:t>presenting to hea</w:t>
      </w:r>
      <w:r w:rsidR="005B02C2" w:rsidRPr="00C96B0F">
        <w:rPr>
          <w:rFonts w:asciiTheme="majorHAnsi" w:hAnsiTheme="majorHAnsi"/>
        </w:rPr>
        <w:t>l</w:t>
      </w:r>
      <w:r w:rsidR="00323C86" w:rsidRPr="00C96B0F">
        <w:rPr>
          <w:rFonts w:asciiTheme="majorHAnsi" w:hAnsiTheme="majorHAnsi"/>
        </w:rPr>
        <w:t>th</w:t>
      </w:r>
      <w:r w:rsidR="00B35B52">
        <w:rPr>
          <w:rFonts w:asciiTheme="majorHAnsi" w:hAnsiTheme="majorHAnsi"/>
        </w:rPr>
        <w:t>-</w:t>
      </w:r>
      <w:r w:rsidR="00323C86" w:rsidRPr="00C96B0F">
        <w:rPr>
          <w:rFonts w:asciiTheme="majorHAnsi" w:hAnsiTheme="majorHAnsi"/>
        </w:rPr>
        <w:t>care facilities</w:t>
      </w:r>
      <w:r w:rsidR="002D7209" w:rsidRPr="00C96B0F">
        <w:rPr>
          <w:rFonts w:asciiTheme="majorHAnsi" w:hAnsiTheme="majorHAnsi"/>
        </w:rPr>
        <w:t>.</w:t>
      </w:r>
      <w:r w:rsidR="00323C86" w:rsidRPr="00C96B0F">
        <w:rPr>
          <w:rFonts w:asciiTheme="majorHAnsi" w:hAnsiTheme="majorHAnsi"/>
        </w:rPr>
        <w:t xml:space="preserve"> </w:t>
      </w:r>
      <w:r w:rsidR="00E26086" w:rsidRPr="00C96B0F">
        <w:rPr>
          <w:rFonts w:asciiTheme="majorHAnsi" w:hAnsiTheme="majorHAnsi"/>
        </w:rPr>
        <w:t>In our cohort</w:t>
      </w:r>
      <w:r w:rsidR="00AD1A2D" w:rsidRPr="00C96B0F">
        <w:rPr>
          <w:rFonts w:asciiTheme="majorHAnsi" w:hAnsiTheme="majorHAnsi"/>
        </w:rPr>
        <w:t>,</w:t>
      </w:r>
      <w:r w:rsidR="00E26086" w:rsidRPr="00C96B0F">
        <w:rPr>
          <w:rFonts w:asciiTheme="majorHAnsi" w:hAnsiTheme="majorHAnsi"/>
        </w:rPr>
        <w:t xml:space="preserve"> d</w:t>
      </w:r>
      <w:r w:rsidR="00EE0679" w:rsidRPr="00C96B0F">
        <w:rPr>
          <w:rFonts w:asciiTheme="majorHAnsi" w:hAnsiTheme="majorHAnsi"/>
        </w:rPr>
        <w:t>isease severity</w:t>
      </w:r>
      <w:r w:rsidR="006E20F3" w:rsidRPr="00C96B0F">
        <w:rPr>
          <w:rFonts w:asciiTheme="majorHAnsi" w:hAnsiTheme="majorHAnsi"/>
        </w:rPr>
        <w:t xml:space="preserve"> </w:t>
      </w:r>
      <w:r w:rsidR="00AD1A2D" w:rsidRPr="00C96B0F">
        <w:rPr>
          <w:rFonts w:asciiTheme="majorHAnsi" w:hAnsiTheme="majorHAnsi"/>
        </w:rPr>
        <w:t>was</w:t>
      </w:r>
      <w:r w:rsidR="00EE0679" w:rsidRPr="00C96B0F">
        <w:rPr>
          <w:rFonts w:asciiTheme="majorHAnsi" w:hAnsiTheme="majorHAnsi"/>
        </w:rPr>
        <w:t xml:space="preserve"> significant</w:t>
      </w:r>
      <w:r w:rsidR="00AD1A2D" w:rsidRPr="00C96B0F">
        <w:rPr>
          <w:rFonts w:asciiTheme="majorHAnsi" w:hAnsiTheme="majorHAnsi"/>
        </w:rPr>
        <w:t>ly</w:t>
      </w:r>
      <w:r w:rsidR="00EE0679" w:rsidRPr="00C96B0F">
        <w:rPr>
          <w:rFonts w:asciiTheme="majorHAnsi" w:hAnsiTheme="majorHAnsi"/>
        </w:rPr>
        <w:t xml:space="preserve"> associat</w:t>
      </w:r>
      <w:r w:rsidR="00AD1A2D" w:rsidRPr="00C96B0F">
        <w:rPr>
          <w:rFonts w:asciiTheme="majorHAnsi" w:hAnsiTheme="majorHAnsi"/>
        </w:rPr>
        <w:t>ed</w:t>
      </w:r>
      <w:r w:rsidR="00EE0679" w:rsidRPr="00C96B0F">
        <w:rPr>
          <w:rFonts w:asciiTheme="majorHAnsi" w:hAnsiTheme="majorHAnsi"/>
        </w:rPr>
        <w:t xml:space="preserve"> with viral load</w:t>
      </w:r>
      <w:r w:rsidR="00AD1A2D" w:rsidRPr="00C96B0F">
        <w:rPr>
          <w:rFonts w:asciiTheme="majorHAnsi" w:hAnsiTheme="majorHAnsi"/>
        </w:rPr>
        <w:t>;</w:t>
      </w:r>
      <w:r w:rsidR="00EE0679" w:rsidRPr="00C96B0F">
        <w:rPr>
          <w:rFonts w:asciiTheme="majorHAnsi" w:hAnsiTheme="majorHAnsi"/>
        </w:rPr>
        <w:t xml:space="preserve"> children with moderate and severe disease ha</w:t>
      </w:r>
      <w:r w:rsidR="00AD1A2D" w:rsidRPr="00C96B0F">
        <w:rPr>
          <w:rFonts w:asciiTheme="majorHAnsi" w:hAnsiTheme="majorHAnsi"/>
        </w:rPr>
        <w:t>d</w:t>
      </w:r>
      <w:r w:rsidR="00EE0679" w:rsidRPr="00C96B0F">
        <w:rPr>
          <w:rFonts w:asciiTheme="majorHAnsi" w:hAnsiTheme="majorHAnsi"/>
        </w:rPr>
        <w:t xml:space="preserve"> significantly higher viral loads </w:t>
      </w:r>
      <w:r w:rsidR="002F0FD2" w:rsidRPr="00C96B0F">
        <w:rPr>
          <w:rFonts w:asciiTheme="majorHAnsi" w:hAnsiTheme="majorHAnsi"/>
        </w:rPr>
        <w:t>than those</w:t>
      </w:r>
      <w:r w:rsidR="00EE0679" w:rsidRPr="00C96B0F">
        <w:rPr>
          <w:rFonts w:asciiTheme="majorHAnsi" w:hAnsiTheme="majorHAnsi"/>
        </w:rPr>
        <w:t xml:space="preserve"> with mild disease</w:t>
      </w:r>
      <w:r w:rsidR="00012B65" w:rsidRPr="00C96B0F">
        <w:rPr>
          <w:rFonts w:asciiTheme="majorHAnsi" w:hAnsiTheme="majorHAnsi"/>
        </w:rPr>
        <w:t xml:space="preserve">. </w:t>
      </w:r>
      <w:r w:rsidR="00AD1A2D" w:rsidRPr="00C96B0F">
        <w:rPr>
          <w:rFonts w:asciiTheme="majorHAnsi" w:hAnsiTheme="majorHAnsi"/>
        </w:rPr>
        <w:t>Immunity following r</w:t>
      </w:r>
      <w:r w:rsidR="004122F1" w:rsidRPr="00C96B0F">
        <w:rPr>
          <w:rFonts w:asciiTheme="majorHAnsi" w:hAnsiTheme="majorHAnsi"/>
        </w:rPr>
        <w:t>ota</w:t>
      </w:r>
      <w:r w:rsidR="002D7209" w:rsidRPr="00C96B0F">
        <w:rPr>
          <w:rFonts w:asciiTheme="majorHAnsi" w:hAnsiTheme="majorHAnsi"/>
        </w:rPr>
        <w:t>virus vaccin</w:t>
      </w:r>
      <w:r w:rsidR="00AD1A2D" w:rsidRPr="00C96B0F">
        <w:rPr>
          <w:rFonts w:asciiTheme="majorHAnsi" w:hAnsiTheme="majorHAnsi"/>
        </w:rPr>
        <w:t>ation</w:t>
      </w:r>
      <w:r w:rsidR="002D7209" w:rsidRPr="00C96B0F">
        <w:rPr>
          <w:rFonts w:asciiTheme="majorHAnsi" w:hAnsiTheme="majorHAnsi"/>
        </w:rPr>
        <w:t xml:space="preserve"> mimics</w:t>
      </w:r>
      <w:r w:rsidR="004122F1" w:rsidRPr="00C96B0F">
        <w:rPr>
          <w:rFonts w:asciiTheme="majorHAnsi" w:hAnsiTheme="majorHAnsi"/>
        </w:rPr>
        <w:t xml:space="preserve"> </w:t>
      </w:r>
      <w:r w:rsidR="00AD1A2D" w:rsidRPr="00C96B0F">
        <w:rPr>
          <w:rFonts w:asciiTheme="majorHAnsi" w:hAnsiTheme="majorHAnsi"/>
        </w:rPr>
        <w:t xml:space="preserve">that following </w:t>
      </w:r>
      <w:r w:rsidR="004122F1" w:rsidRPr="00C96B0F">
        <w:rPr>
          <w:rFonts w:asciiTheme="majorHAnsi" w:hAnsiTheme="majorHAnsi"/>
        </w:rPr>
        <w:t xml:space="preserve">natural </w:t>
      </w:r>
      <w:r w:rsidR="00AD1A2D" w:rsidRPr="00C96B0F">
        <w:rPr>
          <w:rFonts w:asciiTheme="majorHAnsi" w:hAnsiTheme="majorHAnsi"/>
        </w:rPr>
        <w:t>rotavirus exposure</w:t>
      </w:r>
      <w:r w:rsidR="004122F1" w:rsidRPr="00C96B0F">
        <w:rPr>
          <w:rFonts w:asciiTheme="majorHAnsi" w:hAnsiTheme="majorHAnsi"/>
        </w:rPr>
        <w:t xml:space="preserve">, which </w:t>
      </w:r>
      <w:r w:rsidR="00AD1A2D" w:rsidRPr="00C96B0F">
        <w:rPr>
          <w:rFonts w:asciiTheme="majorHAnsi" w:hAnsiTheme="majorHAnsi"/>
        </w:rPr>
        <w:t xml:space="preserve">generates </w:t>
      </w:r>
      <w:r w:rsidR="004122F1" w:rsidRPr="00C96B0F">
        <w:rPr>
          <w:rFonts w:asciiTheme="majorHAnsi" w:hAnsiTheme="majorHAnsi"/>
        </w:rPr>
        <w:t>incremental protection against rotavirus gastroenteritis</w:t>
      </w:r>
      <w:r w:rsidR="00AD1A2D" w:rsidRPr="00C96B0F">
        <w:rPr>
          <w:rFonts w:asciiTheme="majorHAnsi" w:hAnsiTheme="majorHAnsi"/>
        </w:rPr>
        <w:t xml:space="preserve"> of increasing severity</w:t>
      </w:r>
      <w:r w:rsidR="009D574F" w:rsidRPr="00C96B0F">
        <w:rPr>
          <w:rFonts w:asciiTheme="majorHAnsi" w:hAnsiTheme="majorHAnsi"/>
        </w:rPr>
        <w:fldChar w:fldCharType="begin" w:fldLock="1"/>
      </w:r>
      <w:r w:rsidR="00E61A6B">
        <w:rPr>
          <w:rFonts w:asciiTheme="majorHAnsi" w:hAnsiTheme="majorHAnsi"/>
        </w:rPr>
        <w:instrText>ADDIN CSL_CITATION {"citationItems":[{"id":"ITEM-1","itemData":{"ISBN":"1879-6265 (Electronic)","PMID":"22677178","abstract":"Selected topics in the field of rotavirus immunity are reviewed focusing on recent developments that may improve efficacy and safety of current and future vaccines. Rotaviruses (RVs) have developed multiple mechanisms to evade interferon (IFN)-mediated innate immunity. Compared to more developed regions of the world, protection induced by natural infection and vaccination is reduced in developing countries where, among other factors, high viral challenge loads are common and where infants are infected at an early age. Studies in developing countries indicate that rotavirus-specific serum IgA levels are not an optimal correlate of protection following vaccination, and better correlates need to be identified. Protection against rotavirus following vaccination is substantially heterotypic; nonetheless, a role for homotypic immunity in selection of circulating postvaccination strains needs further study.","author":[{"dropping-particle":"","family":"Angel","given":"J","non-dropping-particle":"","parse-names":false,"suffix":""},{"dropping-particle":"","family":"Franco","given":"M A","non-dropping-particle":"","parse-names":false,"suffix":""},{"dropping-particle":"","family":"Greenberg","given":"H B","non-dropping-particle":"","parse-names":false,"suffix":""}],"container-title":"Curr Opin Virol","id":"ITEM-1","issue":"4","issued":{"date-parts":[["2012"]]},"language":"eng","page":"419-425","title":"Rotavirus immune responses and correlates of protection","type":"article-journal","volume":"2"},"uris":["http://www.mendeley.com/documents/?uuid=7ce30517-af66-44de-8f6d-39163f677002"]}],"mendeley":{"formattedCitation":"(12)","plainTextFormattedCitation":"(12)","previouslyFormattedCitation":"(12)"},"properties":{"noteIndex":0},"schema":"https://github.com/citation-style-language/schema/raw/master/csl-citation.json"}</w:instrText>
      </w:r>
      <w:r w:rsidR="009D574F" w:rsidRPr="00C96B0F">
        <w:rPr>
          <w:rFonts w:asciiTheme="majorHAnsi" w:hAnsiTheme="majorHAnsi"/>
        </w:rPr>
        <w:fldChar w:fldCharType="separate"/>
      </w:r>
      <w:r w:rsidR="00E61A6B" w:rsidRPr="00E61A6B">
        <w:rPr>
          <w:rFonts w:asciiTheme="majorHAnsi" w:hAnsiTheme="majorHAnsi"/>
          <w:noProof/>
        </w:rPr>
        <w:t>(12)</w:t>
      </w:r>
      <w:r w:rsidR="009D574F" w:rsidRPr="00C96B0F">
        <w:rPr>
          <w:rFonts w:asciiTheme="majorHAnsi" w:hAnsiTheme="majorHAnsi"/>
        </w:rPr>
        <w:fldChar w:fldCharType="end"/>
      </w:r>
      <w:r w:rsidR="004122F1" w:rsidRPr="00C96B0F">
        <w:rPr>
          <w:rFonts w:asciiTheme="majorHAnsi" w:hAnsiTheme="majorHAnsi"/>
        </w:rPr>
        <w:t xml:space="preserve">. </w:t>
      </w:r>
      <w:r w:rsidR="005B02C2" w:rsidRPr="00C96B0F">
        <w:rPr>
          <w:rFonts w:asciiTheme="majorHAnsi" w:hAnsiTheme="majorHAnsi"/>
        </w:rPr>
        <w:t>I</w:t>
      </w:r>
      <w:r w:rsidR="002D7209" w:rsidRPr="00C96B0F">
        <w:rPr>
          <w:rFonts w:asciiTheme="majorHAnsi" w:hAnsiTheme="majorHAnsi"/>
        </w:rPr>
        <w:t xml:space="preserve">t is </w:t>
      </w:r>
      <w:r w:rsidR="00623E28" w:rsidRPr="00C96B0F">
        <w:rPr>
          <w:rFonts w:asciiTheme="majorHAnsi" w:hAnsiTheme="majorHAnsi"/>
        </w:rPr>
        <w:t xml:space="preserve">therefore plausible </w:t>
      </w:r>
      <w:r w:rsidR="002D7209" w:rsidRPr="00C96B0F">
        <w:rPr>
          <w:rFonts w:asciiTheme="majorHAnsi" w:hAnsiTheme="majorHAnsi"/>
        </w:rPr>
        <w:t xml:space="preserve">that vaccination could </w:t>
      </w:r>
      <w:r w:rsidR="004122F1" w:rsidRPr="00C96B0F">
        <w:rPr>
          <w:rFonts w:asciiTheme="majorHAnsi" w:hAnsiTheme="majorHAnsi"/>
        </w:rPr>
        <w:t xml:space="preserve">reduce </w:t>
      </w:r>
      <w:r w:rsidR="00AD1A2D" w:rsidRPr="00C96B0F">
        <w:rPr>
          <w:rFonts w:asciiTheme="majorHAnsi" w:hAnsiTheme="majorHAnsi"/>
        </w:rPr>
        <w:t xml:space="preserve">the </w:t>
      </w:r>
      <w:r w:rsidR="004122F1" w:rsidRPr="00C96B0F">
        <w:rPr>
          <w:rFonts w:asciiTheme="majorHAnsi" w:hAnsiTheme="majorHAnsi"/>
        </w:rPr>
        <w:t>severity</w:t>
      </w:r>
      <w:r w:rsidR="00AD1A2D" w:rsidRPr="00C96B0F">
        <w:rPr>
          <w:rFonts w:asciiTheme="majorHAnsi" w:hAnsiTheme="majorHAnsi"/>
        </w:rPr>
        <w:t xml:space="preserve"> of rotavirus gastroenteritis episodes</w:t>
      </w:r>
      <w:r w:rsidR="004122F1" w:rsidRPr="00C96B0F">
        <w:rPr>
          <w:rFonts w:asciiTheme="majorHAnsi" w:hAnsiTheme="majorHAnsi"/>
        </w:rPr>
        <w:t xml:space="preserve"> and</w:t>
      </w:r>
      <w:r w:rsidR="002D7209" w:rsidRPr="00C96B0F">
        <w:rPr>
          <w:rFonts w:asciiTheme="majorHAnsi" w:hAnsiTheme="majorHAnsi"/>
        </w:rPr>
        <w:t xml:space="preserve"> </w:t>
      </w:r>
      <w:r w:rsidR="005B02C2" w:rsidRPr="00C96B0F">
        <w:rPr>
          <w:rFonts w:asciiTheme="majorHAnsi" w:hAnsiTheme="majorHAnsi"/>
        </w:rPr>
        <w:t xml:space="preserve">thereby </w:t>
      </w:r>
      <w:r w:rsidR="00AD1A2D" w:rsidRPr="00C96B0F">
        <w:rPr>
          <w:rFonts w:asciiTheme="majorHAnsi" w:hAnsiTheme="majorHAnsi"/>
        </w:rPr>
        <w:t>decrease the total</w:t>
      </w:r>
      <w:r w:rsidR="004122F1" w:rsidRPr="00C96B0F">
        <w:rPr>
          <w:rFonts w:asciiTheme="majorHAnsi" w:hAnsiTheme="majorHAnsi"/>
        </w:rPr>
        <w:t xml:space="preserve"> </w:t>
      </w:r>
      <w:r w:rsidR="00AD1A2D" w:rsidRPr="00C96B0F">
        <w:rPr>
          <w:rFonts w:asciiTheme="majorHAnsi" w:hAnsiTheme="majorHAnsi"/>
        </w:rPr>
        <w:t xml:space="preserve">shedding burden of rotavirus in the </w:t>
      </w:r>
      <w:r w:rsidR="006E20F3" w:rsidRPr="00C96B0F">
        <w:rPr>
          <w:rFonts w:asciiTheme="majorHAnsi" w:hAnsiTheme="majorHAnsi"/>
        </w:rPr>
        <w:t>community</w:t>
      </w:r>
      <w:r w:rsidR="00AD1A2D" w:rsidRPr="00C96B0F">
        <w:rPr>
          <w:rFonts w:asciiTheme="majorHAnsi" w:hAnsiTheme="majorHAnsi"/>
        </w:rPr>
        <w:t>.</w:t>
      </w:r>
      <w:r w:rsidR="00623E28" w:rsidRPr="00C96B0F">
        <w:rPr>
          <w:rFonts w:asciiTheme="majorHAnsi" w:hAnsiTheme="majorHAnsi"/>
        </w:rPr>
        <w:t xml:space="preserve"> </w:t>
      </w:r>
      <w:r w:rsidR="00E83195" w:rsidRPr="00C96B0F">
        <w:rPr>
          <w:rFonts w:asciiTheme="majorHAnsi" w:hAnsiTheme="majorHAnsi"/>
        </w:rPr>
        <w:t>The association between disease severity and viral</w:t>
      </w:r>
      <w:r w:rsidR="002B23A3" w:rsidRPr="00C96B0F">
        <w:rPr>
          <w:rFonts w:asciiTheme="majorHAnsi" w:hAnsiTheme="majorHAnsi"/>
        </w:rPr>
        <w:t xml:space="preserve"> load</w:t>
      </w:r>
      <w:r w:rsidR="00E83195" w:rsidRPr="00C96B0F">
        <w:rPr>
          <w:rFonts w:asciiTheme="majorHAnsi" w:hAnsiTheme="majorHAnsi"/>
        </w:rPr>
        <w:t xml:space="preserve"> is most striking between mild and moderate</w:t>
      </w:r>
      <w:r w:rsidR="00263F29" w:rsidRPr="00C96B0F">
        <w:rPr>
          <w:rFonts w:asciiTheme="majorHAnsi" w:hAnsiTheme="majorHAnsi"/>
        </w:rPr>
        <w:t>/</w:t>
      </w:r>
      <w:r w:rsidR="00E83195" w:rsidRPr="00C96B0F">
        <w:rPr>
          <w:rFonts w:asciiTheme="majorHAnsi" w:hAnsiTheme="majorHAnsi"/>
        </w:rPr>
        <w:t>severe disease</w:t>
      </w:r>
      <w:r w:rsidR="002B23A3" w:rsidRPr="00C96B0F">
        <w:rPr>
          <w:rFonts w:asciiTheme="majorHAnsi" w:hAnsiTheme="majorHAnsi"/>
        </w:rPr>
        <w:t>;</w:t>
      </w:r>
      <w:r w:rsidR="00E83195" w:rsidRPr="00C96B0F">
        <w:rPr>
          <w:rFonts w:asciiTheme="majorHAnsi" w:hAnsiTheme="majorHAnsi"/>
        </w:rPr>
        <w:t xml:space="preserve"> however</w:t>
      </w:r>
      <w:r w:rsidR="005B02C2" w:rsidRPr="00C96B0F">
        <w:rPr>
          <w:rFonts w:asciiTheme="majorHAnsi" w:hAnsiTheme="majorHAnsi"/>
        </w:rPr>
        <w:t>,</w:t>
      </w:r>
      <w:r w:rsidR="00E83195" w:rsidRPr="00C96B0F">
        <w:rPr>
          <w:rFonts w:asciiTheme="majorHAnsi" w:hAnsiTheme="majorHAnsi"/>
        </w:rPr>
        <w:t xml:space="preserve"> numbers of children recruited into this study with mild disease were small</w:t>
      </w:r>
      <w:r w:rsidR="00421D26" w:rsidRPr="00C96B0F">
        <w:rPr>
          <w:rFonts w:asciiTheme="majorHAnsi" w:hAnsiTheme="majorHAnsi"/>
        </w:rPr>
        <w:t xml:space="preserve">, presumably because </w:t>
      </w:r>
      <w:r w:rsidR="001342D2" w:rsidRPr="00C96B0F">
        <w:rPr>
          <w:rFonts w:asciiTheme="majorHAnsi" w:hAnsiTheme="majorHAnsi"/>
        </w:rPr>
        <w:t>most children with mild disease do not present to health</w:t>
      </w:r>
      <w:r w:rsidR="00B35B52">
        <w:rPr>
          <w:rFonts w:asciiTheme="majorHAnsi" w:hAnsiTheme="majorHAnsi"/>
        </w:rPr>
        <w:t>-</w:t>
      </w:r>
      <w:r w:rsidR="001342D2" w:rsidRPr="00C96B0F">
        <w:rPr>
          <w:rFonts w:asciiTheme="majorHAnsi" w:hAnsiTheme="majorHAnsi"/>
        </w:rPr>
        <w:t>care facilities</w:t>
      </w:r>
      <w:r w:rsidR="005E5DF3" w:rsidRPr="00C96B0F">
        <w:rPr>
          <w:rFonts w:asciiTheme="majorHAnsi" w:hAnsiTheme="majorHAnsi"/>
        </w:rPr>
        <w:t>. T</w:t>
      </w:r>
      <w:r w:rsidR="00E83195" w:rsidRPr="00C96B0F">
        <w:rPr>
          <w:rFonts w:asciiTheme="majorHAnsi" w:hAnsiTheme="majorHAnsi"/>
        </w:rPr>
        <w:t xml:space="preserve">he analysis is sensitive to the presence of children with mild disease, </w:t>
      </w:r>
      <w:r w:rsidR="005E5DF3" w:rsidRPr="00C96B0F">
        <w:rPr>
          <w:rFonts w:asciiTheme="majorHAnsi" w:hAnsiTheme="majorHAnsi"/>
        </w:rPr>
        <w:t>but</w:t>
      </w:r>
      <w:r w:rsidR="00E83195" w:rsidRPr="00C96B0F">
        <w:rPr>
          <w:rFonts w:asciiTheme="majorHAnsi" w:hAnsiTheme="majorHAnsi"/>
        </w:rPr>
        <w:t xml:space="preserve"> robust to different analytical approaches. F</w:t>
      </w:r>
      <w:r w:rsidR="00670B50" w:rsidRPr="00C96B0F">
        <w:rPr>
          <w:rFonts w:asciiTheme="majorHAnsi" w:hAnsiTheme="majorHAnsi"/>
        </w:rPr>
        <w:t>urther</w:t>
      </w:r>
      <w:r w:rsidR="00E83195" w:rsidRPr="00C96B0F">
        <w:rPr>
          <w:rFonts w:asciiTheme="majorHAnsi" w:hAnsiTheme="majorHAnsi"/>
        </w:rPr>
        <w:t xml:space="preserve"> studies</w:t>
      </w:r>
      <w:r w:rsidR="00670B50" w:rsidRPr="00C96B0F">
        <w:rPr>
          <w:rFonts w:asciiTheme="majorHAnsi" w:hAnsiTheme="majorHAnsi"/>
        </w:rPr>
        <w:t xml:space="preserve"> are required to </w:t>
      </w:r>
      <w:r w:rsidR="00E83195" w:rsidRPr="00C96B0F">
        <w:rPr>
          <w:rFonts w:asciiTheme="majorHAnsi" w:hAnsiTheme="majorHAnsi"/>
        </w:rPr>
        <w:t>ensure that children with mild disease are appropriately represented</w:t>
      </w:r>
      <w:r w:rsidR="00670B50" w:rsidRPr="00C96B0F">
        <w:rPr>
          <w:rFonts w:asciiTheme="majorHAnsi" w:hAnsiTheme="majorHAnsi"/>
        </w:rPr>
        <w:t xml:space="preserve">, and to formally evaluate the potential for vaccination to reduce viral shedding density at the population level. </w:t>
      </w:r>
    </w:p>
    <w:p w14:paraId="149E1801" w14:textId="241CCA14" w:rsidR="00E83195" w:rsidRPr="00C96B0F" w:rsidRDefault="00E26086" w:rsidP="008C4409">
      <w:pPr>
        <w:spacing w:line="480" w:lineRule="auto"/>
        <w:jc w:val="both"/>
        <w:rPr>
          <w:rFonts w:asciiTheme="majorHAnsi" w:hAnsiTheme="majorHAnsi"/>
        </w:rPr>
      </w:pPr>
      <w:r w:rsidRPr="00C96B0F">
        <w:rPr>
          <w:rFonts w:asciiTheme="majorHAnsi" w:hAnsiTheme="majorHAnsi"/>
        </w:rPr>
        <w:t>I</w:t>
      </w:r>
      <w:r w:rsidR="00323C86" w:rsidRPr="00C96B0F">
        <w:rPr>
          <w:rFonts w:asciiTheme="majorHAnsi" w:hAnsiTheme="majorHAnsi"/>
        </w:rPr>
        <w:t>ncreasing anti-rotavirus IgA titres at presentation were negatively as</w:t>
      </w:r>
      <w:r w:rsidR="002D7209" w:rsidRPr="00C96B0F">
        <w:rPr>
          <w:rFonts w:asciiTheme="majorHAnsi" w:hAnsiTheme="majorHAnsi"/>
        </w:rPr>
        <w:t>sociated with faecal viral load</w:t>
      </w:r>
      <w:r w:rsidR="00323C86" w:rsidRPr="00C96B0F">
        <w:rPr>
          <w:rFonts w:asciiTheme="majorHAnsi" w:hAnsiTheme="majorHAnsi"/>
        </w:rPr>
        <w:t>, independent of disease severity. Serum anti-rotavirus IgA titres</w:t>
      </w:r>
      <w:r w:rsidR="002D7209" w:rsidRPr="00C96B0F">
        <w:rPr>
          <w:rFonts w:asciiTheme="majorHAnsi" w:hAnsiTheme="majorHAnsi"/>
        </w:rPr>
        <w:t xml:space="preserve"> are known to correlate with intestinal</w:t>
      </w:r>
      <w:r w:rsidR="00323C86" w:rsidRPr="00C96B0F">
        <w:rPr>
          <w:rFonts w:asciiTheme="majorHAnsi" w:hAnsiTheme="majorHAnsi"/>
        </w:rPr>
        <w:t xml:space="preserve"> IgA</w:t>
      </w:r>
      <w:r w:rsidR="002D7209" w:rsidRPr="00C96B0F">
        <w:rPr>
          <w:rFonts w:asciiTheme="majorHAnsi" w:hAnsiTheme="majorHAnsi"/>
        </w:rPr>
        <w:t xml:space="preserve"> titres</w:t>
      </w:r>
      <w:r w:rsidR="00EA1E7B" w:rsidRPr="00C96B0F">
        <w:rPr>
          <w:rFonts w:asciiTheme="majorHAnsi" w:hAnsiTheme="majorHAnsi"/>
        </w:rPr>
        <w:fldChar w:fldCharType="begin" w:fldLock="1"/>
      </w:r>
      <w:r w:rsidR="00E61A6B">
        <w:rPr>
          <w:rFonts w:asciiTheme="majorHAnsi" w:hAnsiTheme="majorHAnsi"/>
        </w:rPr>
        <w:instrText>ADDIN CSL_CITATION {"citationItems":[{"id":"ITEM-1","itemData":{"ISBN":"0277-2116 (Print)\r0277-2116 (Linking)","PMID":"2984402","abstract":"Seventeen children (mean age: 2.0 years, range: 36 days-8 years) hospitalized with acute gastroenteritis were investigated. Thirteen children had a rotavirus infection while four did not. Rotavirus serum IgA as well as ScIg, i.e., antirotavirus immunoglobulin containing secretory component, increased rapidly after rotavirus infection. While rotavirus IgA persisted in serum for at least 6 months, rotavirus ScIg disappeared from serum in less than 4 months. Rotavirus IgG could be detected in serum during the early stage of the infection and was still high after 6 months. The patients with nonrotavirus acute gastroenteritis did not show any of the above-mentioned serological hallmarks of those with rotavirus infection. The amounts of rotavirus ScIg found in serum about 1 week after the infection correlated to the amounts of rotavirus ScIg in duodenal fluid. Six months after the infection, rotavirus IgA was found in the feces of the majority of the patients while rotavirus ScIg could be detected only in one patient. The amounts of rotavirus IgA in sera and intestinal secretions showed identical patterns in the acute phase of the disease as well as after recovery. The same applied to rotavirus ScIg. These findings could be useful in future evaluations of vaccines and immunity against rotavirus infections.","author":[{"dropping-particle":"","family":"Hjelt","given":"K","non-dropping-particle":"","parse-names":false,"suffix":""},{"dropping-particle":"","family":"Grauballe","given":"P C","non-dropping-particle":"","parse-names":false,"suffix":""},{"dropping-particle":"","family":"Schiotz","given":"P O","non-dropping-particle":"","parse-names":false,"suffix":""},{"dropping-particle":"","family":"Andersen","given":"L","non-dropping-particle":"","parse-names":false,"suffix":""},{"dropping-particle":"","family":"Krasilnikoff","given":"P A","non-dropping-particle":"","parse-names":false,"suffix":""}],"container-title":"J Pediatr Gastroenterol Nutr","edition":"1985/02/01","id":"ITEM-1","issue":"1","issued":{"date-parts":[["1985"]]},"language":"eng","page":"60-66","title":"Intestinal and serum immune response to a naturally acquired rotavirus gastroenteritis in children","type":"article-journal","volume":"4"},"uris":["http://www.mendeley.com/documents/?uuid=1df8be76-9eac-44ec-b826-e6f23a274ad3"]}],"mendeley":{"formattedCitation":"(14)","plainTextFormattedCitation":"(14)","previouslyFormattedCitation":"(14)"},"properties":{"noteIndex":0},"schema":"https://github.com/citation-style-language/schema/raw/master/csl-citation.json"}</w:instrText>
      </w:r>
      <w:r w:rsidR="00EA1E7B" w:rsidRPr="00C96B0F">
        <w:rPr>
          <w:rFonts w:asciiTheme="majorHAnsi" w:hAnsiTheme="majorHAnsi"/>
        </w:rPr>
        <w:fldChar w:fldCharType="separate"/>
      </w:r>
      <w:r w:rsidR="00E61A6B" w:rsidRPr="00E61A6B">
        <w:rPr>
          <w:rFonts w:asciiTheme="majorHAnsi" w:hAnsiTheme="majorHAnsi"/>
          <w:noProof/>
        </w:rPr>
        <w:t>(14)</w:t>
      </w:r>
      <w:r w:rsidR="00EA1E7B" w:rsidRPr="00C96B0F">
        <w:rPr>
          <w:rFonts w:asciiTheme="majorHAnsi" w:hAnsiTheme="majorHAnsi"/>
        </w:rPr>
        <w:fldChar w:fldCharType="end"/>
      </w:r>
      <w:r w:rsidR="00323C86" w:rsidRPr="00C96B0F">
        <w:rPr>
          <w:rFonts w:asciiTheme="majorHAnsi" w:hAnsiTheme="majorHAnsi"/>
        </w:rPr>
        <w:t xml:space="preserve">, and it is plausible that higher levels of intestinal IgA could reduce viral replication and </w:t>
      </w:r>
      <w:r w:rsidR="001342D2" w:rsidRPr="00C96B0F">
        <w:rPr>
          <w:rFonts w:asciiTheme="majorHAnsi" w:hAnsiTheme="majorHAnsi"/>
        </w:rPr>
        <w:lastRenderedPageBreak/>
        <w:t>thereby</w:t>
      </w:r>
      <w:r w:rsidR="00323C86" w:rsidRPr="00C96B0F">
        <w:rPr>
          <w:rFonts w:asciiTheme="majorHAnsi" w:hAnsiTheme="majorHAnsi"/>
        </w:rPr>
        <w:t xml:space="preserve"> faecal viral load</w:t>
      </w:r>
      <w:r w:rsidR="00402395" w:rsidRPr="00C96B0F">
        <w:rPr>
          <w:rFonts w:asciiTheme="majorHAnsi" w:hAnsiTheme="majorHAnsi"/>
        </w:rPr>
        <w:t>.</w:t>
      </w:r>
      <w:r w:rsidR="00D15834">
        <w:rPr>
          <w:rFonts w:asciiTheme="majorHAnsi" w:hAnsiTheme="majorHAnsi"/>
        </w:rPr>
        <w:t xml:space="preserve"> </w:t>
      </w:r>
      <w:r w:rsidR="00263F29" w:rsidRPr="00C96B0F">
        <w:rPr>
          <w:rFonts w:asciiTheme="majorHAnsi" w:hAnsiTheme="majorHAnsi"/>
        </w:rPr>
        <w:t>H</w:t>
      </w:r>
      <w:r w:rsidR="00154B62" w:rsidRPr="00C96B0F">
        <w:rPr>
          <w:rFonts w:asciiTheme="majorHAnsi" w:hAnsiTheme="majorHAnsi"/>
        </w:rPr>
        <w:t>owever</w:t>
      </w:r>
      <w:r w:rsidR="005B02C2" w:rsidRPr="00C96B0F">
        <w:rPr>
          <w:rFonts w:asciiTheme="majorHAnsi" w:hAnsiTheme="majorHAnsi"/>
        </w:rPr>
        <w:t>,</w:t>
      </w:r>
      <w:r w:rsidR="00931B4D" w:rsidRPr="00C96B0F">
        <w:rPr>
          <w:rFonts w:asciiTheme="majorHAnsi" w:hAnsiTheme="majorHAnsi"/>
        </w:rPr>
        <w:t xml:space="preserve"> only a quarter of the vaccinated children in </w:t>
      </w:r>
      <w:r w:rsidR="001342D2" w:rsidRPr="00C96B0F">
        <w:rPr>
          <w:rFonts w:asciiTheme="majorHAnsi" w:hAnsiTheme="majorHAnsi"/>
        </w:rPr>
        <w:t>our</w:t>
      </w:r>
      <w:r w:rsidR="00931B4D" w:rsidRPr="00C96B0F">
        <w:rPr>
          <w:rFonts w:asciiTheme="majorHAnsi" w:hAnsiTheme="majorHAnsi"/>
        </w:rPr>
        <w:t xml:space="preserve"> cohort reached the criteria for seroconversion, and it is known that ant</w:t>
      </w:r>
      <w:r w:rsidR="00C02F08" w:rsidRPr="00C96B0F">
        <w:rPr>
          <w:rFonts w:asciiTheme="majorHAnsi" w:hAnsiTheme="majorHAnsi"/>
        </w:rPr>
        <w:t>i-rotavirus IgA titres are an imperfect correlate of protection, particularly in low</w:t>
      </w:r>
      <w:r w:rsidR="001342D2" w:rsidRPr="00C96B0F">
        <w:rPr>
          <w:rFonts w:asciiTheme="majorHAnsi" w:hAnsiTheme="majorHAnsi"/>
        </w:rPr>
        <w:t>-</w:t>
      </w:r>
      <w:r w:rsidR="00C02F08" w:rsidRPr="00C96B0F">
        <w:rPr>
          <w:rFonts w:asciiTheme="majorHAnsi" w:hAnsiTheme="majorHAnsi"/>
        </w:rPr>
        <w:t>income settings</w:t>
      </w:r>
      <w:r w:rsidR="00EA1E7B" w:rsidRPr="00C96B0F">
        <w:rPr>
          <w:rFonts w:asciiTheme="majorHAnsi" w:hAnsiTheme="majorHAnsi"/>
        </w:rPr>
        <w:fldChar w:fldCharType="begin" w:fldLock="1"/>
      </w:r>
      <w:r w:rsidR="00E61A6B">
        <w:rPr>
          <w:rFonts w:asciiTheme="majorHAnsi" w:hAnsiTheme="majorHAnsi"/>
        </w:rPr>
        <w:instrText>ADDIN CSL_CITATION {"citationItems":[{"id":"ITEM-1","itemData":{"DOI":"10.1016/j.vaccine.2014.04.077","ISBN":"1873-2518 (Electronic) 0264-410X (Linking)","PMID":"25091682","abstract":"Serum antibodies play an important role in natural protection from rotavirus infection and disease, but conflicting estimates of association have emerged from epidemiological studies in different geographical settings. In this study, we aim to assess the relationship between pre-existing serum immunoglobulin (Ig)G and IgA titers with protection against rotavirus infection and disease in a birth cohort of Indian children. Children were recruited at birth and followed up for 36 months. Stool samples were collected every 2 weeks and during episodes of diarrhea and serum samples were obtained at least every 6 months. The incidence rate of rotavirus infection and diarrhea was 0.9 (95% CI: 0.88, 0.99) and 0.2 (95% CI: 0.19, 0.25) episodes per child year, respectively. The risk of rotavirus infection and diarrhea decreased with age, while antibody titers (IgG and IgA) increased with age. After adjusting for age and number of previous infections, higher levels of IgG and IgA were independently associated with reduced risk of rotavirus infection. However, we did not find a clear association of IgG or IgA with rotavirus diarrhea risk or a threshold level of protection. The study supports a correlation of serum antibodies in reducing the risk of rotavirus infections, however the potential of serum antibody titer as a correlate of protection is not clear for children in lower income settings.","author":[{"dropping-particle":"","family":"Premkumar","given":"P","non-dropping-particle":"","parse-names":false,"suffix":""},{"dropping-particle":"","family":"Lopman","given":"B","non-dropping-particle":"","parse-names":false,"suffix":""},{"dropping-particle":"","family":"Ramani","given":"S","non-dropping-particle":"","parse-names":false,"suffix":""},{"dropping-particle":"","family":"Paul","given":"A","non-dropping-particle":"","parse-names":false,"suffix":""},{"dropping-particle":"","family":"Gladstone","given":"B","non-dropping-particle":"","parse-names":false,"suffix":""},{"dropping-particle":"","family":"Muliyil","given":"J","non-dropping-particle":"","parse-names":false,"suffix":""},{"dropping-particle":"","family":"Mukhopadhya","given":"I","non-dropping-particle":"","parse-names":false,"suffix":""},{"dropping-particle":"","family":"Parashar","given":"U","non-dropping-particle":"","parse-names":false,"suffix":""},{"dropping-particle":"","family":"Kang","given":"G","non-dropping-particle":"","parse-names":false,"suffix":""}],"container-title":"Vaccine","edition":"2014/08/06","id":"ITEM-1","issued":{"date-parts":[["2014"]]},"language":"eng","page":"A55-61","title":"Association of serum antibodies with protection against rotavirus infection and disease in South Indian children","type":"article-journal","volume":"32 Suppl 1"},"uris":["http://www.mendeley.com/documents/?uuid=4ee15ae8-119f-4386-ab0c-9c8aa8cda112"]}],"mendeley":{"formattedCitation":"(15)","plainTextFormattedCitation":"(15)","previouslyFormattedCitation":"(15)"},"properties":{"noteIndex":0},"schema":"https://github.com/citation-style-language/schema/raw/master/csl-citation.json"}</w:instrText>
      </w:r>
      <w:r w:rsidR="00EA1E7B" w:rsidRPr="00C96B0F">
        <w:rPr>
          <w:rFonts w:asciiTheme="majorHAnsi" w:hAnsiTheme="majorHAnsi"/>
        </w:rPr>
        <w:fldChar w:fldCharType="separate"/>
      </w:r>
      <w:r w:rsidR="00E61A6B" w:rsidRPr="00E61A6B">
        <w:rPr>
          <w:rFonts w:asciiTheme="majorHAnsi" w:hAnsiTheme="majorHAnsi"/>
          <w:noProof/>
        </w:rPr>
        <w:t>(15)</w:t>
      </w:r>
      <w:r w:rsidR="00EA1E7B" w:rsidRPr="00C96B0F">
        <w:rPr>
          <w:rFonts w:asciiTheme="majorHAnsi" w:hAnsiTheme="majorHAnsi"/>
        </w:rPr>
        <w:fldChar w:fldCharType="end"/>
      </w:r>
      <w:r w:rsidR="00C02F08" w:rsidRPr="00C96B0F">
        <w:rPr>
          <w:rFonts w:asciiTheme="majorHAnsi" w:hAnsiTheme="majorHAnsi"/>
        </w:rPr>
        <w:t xml:space="preserve">. </w:t>
      </w:r>
    </w:p>
    <w:p w14:paraId="100B9C42" w14:textId="2260A74C" w:rsidR="00685C98" w:rsidRPr="00C96B0F" w:rsidRDefault="00D02778" w:rsidP="008C4409">
      <w:pPr>
        <w:spacing w:line="480" w:lineRule="auto"/>
        <w:jc w:val="both"/>
        <w:rPr>
          <w:rFonts w:asciiTheme="majorHAnsi" w:hAnsiTheme="majorHAnsi"/>
        </w:rPr>
      </w:pPr>
      <w:r w:rsidRPr="00C96B0F">
        <w:rPr>
          <w:rFonts w:asciiTheme="majorHAnsi" w:hAnsiTheme="majorHAnsi"/>
        </w:rPr>
        <w:t>We found that rotavirus v</w:t>
      </w:r>
      <w:r w:rsidR="00685C98" w:rsidRPr="00C96B0F">
        <w:rPr>
          <w:rFonts w:asciiTheme="majorHAnsi" w:hAnsiTheme="majorHAnsi"/>
        </w:rPr>
        <w:t xml:space="preserve">iral shedding </w:t>
      </w:r>
      <w:r w:rsidRPr="00C96B0F">
        <w:rPr>
          <w:rFonts w:asciiTheme="majorHAnsi" w:hAnsiTheme="majorHAnsi"/>
        </w:rPr>
        <w:t xml:space="preserve">density </w:t>
      </w:r>
      <w:r w:rsidR="00685C98" w:rsidRPr="00C96B0F">
        <w:rPr>
          <w:rFonts w:asciiTheme="majorHAnsi" w:hAnsiTheme="majorHAnsi"/>
        </w:rPr>
        <w:t>is negatively associated with WHZ, implying that</w:t>
      </w:r>
      <w:r w:rsidR="001342D2" w:rsidRPr="00C96B0F">
        <w:rPr>
          <w:rFonts w:asciiTheme="majorHAnsi" w:hAnsiTheme="majorHAnsi"/>
        </w:rPr>
        <w:t xml:space="preserve"> increasingly malnourished</w:t>
      </w:r>
      <w:r w:rsidR="00685C98" w:rsidRPr="00C96B0F">
        <w:rPr>
          <w:rFonts w:asciiTheme="majorHAnsi" w:hAnsiTheme="majorHAnsi"/>
        </w:rPr>
        <w:t xml:space="preserve"> children shed more virus</w:t>
      </w:r>
      <w:r w:rsidR="009F6B5E" w:rsidRPr="00C96B0F">
        <w:rPr>
          <w:rFonts w:asciiTheme="majorHAnsi" w:hAnsiTheme="majorHAnsi"/>
        </w:rPr>
        <w:t>.</w:t>
      </w:r>
      <w:r w:rsidR="00B43E58" w:rsidRPr="00C96B0F">
        <w:rPr>
          <w:rFonts w:asciiTheme="majorHAnsi" w:hAnsiTheme="majorHAnsi"/>
        </w:rPr>
        <w:t xml:space="preserve"> </w:t>
      </w:r>
      <w:r w:rsidR="00FE4098" w:rsidRPr="00C96B0F">
        <w:rPr>
          <w:rFonts w:asciiTheme="majorHAnsi" w:hAnsiTheme="majorHAnsi"/>
        </w:rPr>
        <w:t>Careful interpretation is required</w:t>
      </w:r>
      <w:r w:rsidR="005B02C2" w:rsidRPr="00C96B0F">
        <w:rPr>
          <w:rFonts w:asciiTheme="majorHAnsi" w:hAnsiTheme="majorHAnsi"/>
        </w:rPr>
        <w:t>,</w:t>
      </w:r>
      <w:r w:rsidR="00B43E58" w:rsidRPr="00C96B0F">
        <w:rPr>
          <w:rFonts w:asciiTheme="majorHAnsi" w:hAnsiTheme="majorHAnsi"/>
        </w:rPr>
        <w:t xml:space="preserve"> as t</w:t>
      </w:r>
      <w:r w:rsidR="00685C98" w:rsidRPr="00C96B0F">
        <w:rPr>
          <w:rFonts w:asciiTheme="majorHAnsi" w:hAnsiTheme="majorHAnsi"/>
        </w:rPr>
        <w:t xml:space="preserve">he standard deviation </w:t>
      </w:r>
      <w:r w:rsidR="00707863" w:rsidRPr="00C96B0F">
        <w:rPr>
          <w:rFonts w:asciiTheme="majorHAnsi" w:hAnsiTheme="majorHAnsi"/>
        </w:rPr>
        <w:t xml:space="preserve">for our </w:t>
      </w:r>
      <w:r w:rsidR="00685C98" w:rsidRPr="00C96B0F">
        <w:rPr>
          <w:rFonts w:asciiTheme="majorHAnsi" w:hAnsiTheme="majorHAnsi"/>
        </w:rPr>
        <w:t>anthropometric measure</w:t>
      </w:r>
      <w:r w:rsidR="00707863" w:rsidRPr="00C96B0F">
        <w:rPr>
          <w:rFonts w:asciiTheme="majorHAnsi" w:hAnsiTheme="majorHAnsi"/>
        </w:rPr>
        <w:t>ments</w:t>
      </w:r>
      <w:r w:rsidR="00685C98" w:rsidRPr="00C96B0F">
        <w:rPr>
          <w:rFonts w:asciiTheme="majorHAnsi" w:hAnsiTheme="majorHAnsi"/>
        </w:rPr>
        <w:t xml:space="preserve"> </w:t>
      </w:r>
      <w:r w:rsidR="00707863" w:rsidRPr="00C96B0F">
        <w:rPr>
          <w:rFonts w:asciiTheme="majorHAnsi" w:hAnsiTheme="majorHAnsi"/>
        </w:rPr>
        <w:t xml:space="preserve">are </w:t>
      </w:r>
      <w:r w:rsidR="00685C98" w:rsidRPr="00C96B0F">
        <w:rPr>
          <w:rFonts w:asciiTheme="majorHAnsi" w:hAnsiTheme="majorHAnsi"/>
        </w:rPr>
        <w:t>outside t</w:t>
      </w:r>
      <w:r w:rsidR="00707863" w:rsidRPr="00C96B0F">
        <w:rPr>
          <w:rFonts w:asciiTheme="majorHAnsi" w:hAnsiTheme="majorHAnsi"/>
        </w:rPr>
        <w:t>he</w:t>
      </w:r>
      <w:r w:rsidR="00685C98" w:rsidRPr="00C96B0F">
        <w:rPr>
          <w:rFonts w:asciiTheme="majorHAnsi" w:hAnsiTheme="majorHAnsi"/>
        </w:rPr>
        <w:t xml:space="preserve"> WHO </w:t>
      </w:r>
      <w:r w:rsidR="00707863" w:rsidRPr="00C96B0F">
        <w:rPr>
          <w:rFonts w:asciiTheme="majorHAnsi" w:hAnsiTheme="majorHAnsi"/>
        </w:rPr>
        <w:t xml:space="preserve">range </w:t>
      </w:r>
      <w:r w:rsidR="00685C98" w:rsidRPr="00C96B0F">
        <w:rPr>
          <w:rFonts w:asciiTheme="majorHAnsi" w:hAnsiTheme="majorHAnsi"/>
        </w:rPr>
        <w:t>for data quality assessment</w:t>
      </w:r>
      <w:r w:rsidR="00B87B14" w:rsidRPr="00C96B0F">
        <w:rPr>
          <w:rFonts w:asciiTheme="majorHAnsi" w:hAnsiTheme="majorHAnsi"/>
        </w:rPr>
        <w:t xml:space="preserve"> </w:t>
      </w:r>
      <w:r w:rsidR="00685C98" w:rsidRPr="00C96B0F">
        <w:rPr>
          <w:rFonts w:asciiTheme="majorHAnsi" w:hAnsiTheme="majorHAnsi"/>
        </w:rPr>
        <w:t>purposes</w:t>
      </w:r>
      <w:r w:rsidR="00685C98" w:rsidRPr="00C96B0F">
        <w:rPr>
          <w:rFonts w:asciiTheme="majorHAnsi" w:hAnsiTheme="majorHAnsi"/>
        </w:rPr>
        <w:fldChar w:fldCharType="begin" w:fldLock="1"/>
      </w:r>
      <w:r w:rsidR="00E61A6B">
        <w:rPr>
          <w:rFonts w:asciiTheme="majorHAnsi" w:hAnsiTheme="majorHAnsi"/>
        </w:rPr>
        <w:instrText>ADDIN CSL_CITATION {"citationItems":[{"id":"ITEM-1","itemData":{"DOI":"http://dx.doi.org/10.2471/BLT.06.034421","ISBN":"0042-9686","PMID":"17639241","author":[{"dropping-particle":"","family":"Mei","given":"Zuguo","non-dropping-particle":"","parse-names":false,"suffix":""},{"dropping-particle":"","family":"Grummer-strawn","given":"Laurence M","non-dropping-particle":"","parse-names":false,"suffix":""}],"container-title":"Bulletin of the World Health Organization","id":"ITEM-1","issue":"6","issued":{"date-parts":[["2013"]]},"page":"1-7","publisher":"World Health Organization","title":"Standard deviation of anthropometric Z-scores as a data quality assessment tool using the 2006 WHO growth standards: a cross country analysis","type":"article-journal","volume":"85"},"uris":["http://www.mendeley.com/documents/?uuid=ebd6c7b1-51da-3043-878a-c480c0979ce6"]}],"mendeley":{"formattedCitation":"(16)","plainTextFormattedCitation":"(16)","previouslyFormattedCitation":"(16)"},"properties":{"noteIndex":0},"schema":"https://github.com/citation-style-language/schema/raw/master/csl-citation.json"}</w:instrText>
      </w:r>
      <w:r w:rsidR="00685C98" w:rsidRPr="00C96B0F">
        <w:rPr>
          <w:rFonts w:asciiTheme="majorHAnsi" w:hAnsiTheme="majorHAnsi"/>
        </w:rPr>
        <w:fldChar w:fldCharType="separate"/>
      </w:r>
      <w:r w:rsidR="00E61A6B" w:rsidRPr="00E61A6B">
        <w:rPr>
          <w:rFonts w:asciiTheme="majorHAnsi" w:hAnsiTheme="majorHAnsi"/>
          <w:noProof/>
        </w:rPr>
        <w:t>(16)</w:t>
      </w:r>
      <w:r w:rsidR="00685C98" w:rsidRPr="00C96B0F">
        <w:rPr>
          <w:rFonts w:asciiTheme="majorHAnsi" w:hAnsiTheme="majorHAnsi"/>
        </w:rPr>
        <w:fldChar w:fldCharType="end"/>
      </w:r>
      <w:r w:rsidR="00B43E58" w:rsidRPr="00C96B0F">
        <w:rPr>
          <w:rFonts w:asciiTheme="majorHAnsi" w:hAnsiTheme="majorHAnsi"/>
        </w:rPr>
        <w:t xml:space="preserve">. </w:t>
      </w:r>
      <w:r w:rsidR="00263F29" w:rsidRPr="00C96B0F">
        <w:rPr>
          <w:rFonts w:asciiTheme="majorHAnsi" w:hAnsiTheme="majorHAnsi"/>
        </w:rPr>
        <w:t>Nevertheless</w:t>
      </w:r>
      <w:r w:rsidR="00685C98" w:rsidRPr="00C96B0F">
        <w:rPr>
          <w:rFonts w:asciiTheme="majorHAnsi" w:hAnsiTheme="majorHAnsi"/>
        </w:rPr>
        <w:t xml:space="preserve">, the negative association </w:t>
      </w:r>
      <w:r w:rsidR="001342D2" w:rsidRPr="00C96B0F">
        <w:rPr>
          <w:rFonts w:asciiTheme="majorHAnsi" w:hAnsiTheme="majorHAnsi"/>
        </w:rPr>
        <w:t>between</w:t>
      </w:r>
      <w:r w:rsidR="00685C98" w:rsidRPr="00C96B0F">
        <w:rPr>
          <w:rFonts w:asciiTheme="majorHAnsi" w:hAnsiTheme="majorHAnsi"/>
        </w:rPr>
        <w:t xml:space="preserve"> WHZ and viral load is corroborated by weak evidence of a negative association between MUAC and viral load</w:t>
      </w:r>
      <w:r w:rsidR="009A6C20" w:rsidRPr="00C96B0F">
        <w:rPr>
          <w:rFonts w:asciiTheme="majorHAnsi" w:hAnsiTheme="majorHAnsi"/>
        </w:rPr>
        <w:t xml:space="preserve"> (Table 1)</w:t>
      </w:r>
      <w:r w:rsidR="005B02C2" w:rsidRPr="00C96B0F">
        <w:rPr>
          <w:rFonts w:asciiTheme="majorHAnsi" w:hAnsiTheme="majorHAnsi"/>
        </w:rPr>
        <w:t>. I</w:t>
      </w:r>
      <w:r w:rsidR="00685C98" w:rsidRPr="00C96B0F">
        <w:rPr>
          <w:rFonts w:asciiTheme="majorHAnsi" w:hAnsiTheme="majorHAnsi"/>
        </w:rPr>
        <w:t>t is biologically plausible that children with poorer nutritional states could shed more rotavirus</w:t>
      </w:r>
      <w:r w:rsidR="005B02C2" w:rsidRPr="00C96B0F">
        <w:rPr>
          <w:rFonts w:asciiTheme="majorHAnsi" w:hAnsiTheme="majorHAnsi"/>
        </w:rPr>
        <w:t xml:space="preserve"> </w:t>
      </w:r>
      <w:r w:rsidR="00707863" w:rsidRPr="00C96B0F">
        <w:rPr>
          <w:rFonts w:asciiTheme="majorHAnsi" w:hAnsiTheme="majorHAnsi"/>
        </w:rPr>
        <w:t>due to</w:t>
      </w:r>
      <w:r w:rsidR="001342D2" w:rsidRPr="00C96B0F">
        <w:rPr>
          <w:rFonts w:asciiTheme="majorHAnsi" w:hAnsiTheme="majorHAnsi"/>
        </w:rPr>
        <w:t xml:space="preserve"> reduced</w:t>
      </w:r>
      <w:r w:rsidR="00685C98" w:rsidRPr="00C96B0F">
        <w:rPr>
          <w:rFonts w:asciiTheme="majorHAnsi" w:hAnsiTheme="majorHAnsi"/>
        </w:rPr>
        <w:t xml:space="preserve"> ability to mount mucosal immunity, </w:t>
      </w:r>
      <w:r w:rsidR="00230088" w:rsidRPr="00C96B0F">
        <w:rPr>
          <w:rFonts w:asciiTheme="majorHAnsi" w:hAnsiTheme="majorHAnsi"/>
        </w:rPr>
        <w:t>differences in</w:t>
      </w:r>
      <w:r w:rsidR="00685C98" w:rsidRPr="00C96B0F">
        <w:rPr>
          <w:rFonts w:asciiTheme="majorHAnsi" w:hAnsiTheme="majorHAnsi"/>
        </w:rPr>
        <w:t xml:space="preserve"> intestinal microbiome</w:t>
      </w:r>
      <w:r w:rsidR="00707863" w:rsidRPr="00C96B0F">
        <w:rPr>
          <w:rFonts w:asciiTheme="majorHAnsi" w:hAnsiTheme="majorHAnsi"/>
        </w:rPr>
        <w:t xml:space="preserve"> and mucosal integrity</w:t>
      </w:r>
      <w:r w:rsidR="005B02C2" w:rsidRPr="00C96B0F">
        <w:rPr>
          <w:rFonts w:asciiTheme="majorHAnsi" w:hAnsiTheme="majorHAnsi"/>
        </w:rPr>
        <w:t>,</w:t>
      </w:r>
      <w:r w:rsidR="00685C98" w:rsidRPr="00C96B0F">
        <w:rPr>
          <w:rFonts w:asciiTheme="majorHAnsi" w:hAnsiTheme="majorHAnsi"/>
        </w:rPr>
        <w:t xml:space="preserve"> and a tendency </w:t>
      </w:r>
      <w:r w:rsidR="001342D2" w:rsidRPr="00C96B0F">
        <w:rPr>
          <w:rFonts w:asciiTheme="majorHAnsi" w:hAnsiTheme="majorHAnsi"/>
        </w:rPr>
        <w:t>for</w:t>
      </w:r>
      <w:r w:rsidR="00685C98" w:rsidRPr="00C96B0F">
        <w:rPr>
          <w:rFonts w:asciiTheme="majorHAnsi" w:hAnsiTheme="majorHAnsi"/>
        </w:rPr>
        <w:t xml:space="preserve"> more severe </w:t>
      </w:r>
      <w:r w:rsidR="00263F29" w:rsidRPr="00C96B0F">
        <w:rPr>
          <w:rFonts w:asciiTheme="majorHAnsi" w:hAnsiTheme="majorHAnsi"/>
        </w:rPr>
        <w:t xml:space="preserve">rotavirus </w:t>
      </w:r>
      <w:r w:rsidR="00685C98" w:rsidRPr="00C96B0F">
        <w:rPr>
          <w:rFonts w:asciiTheme="majorHAnsi" w:hAnsiTheme="majorHAnsi"/>
        </w:rPr>
        <w:t xml:space="preserve">disease </w:t>
      </w:r>
      <w:r w:rsidR="00263F29" w:rsidRPr="00C96B0F">
        <w:rPr>
          <w:rFonts w:asciiTheme="majorHAnsi" w:hAnsiTheme="majorHAnsi"/>
        </w:rPr>
        <w:t>in the presence of</w:t>
      </w:r>
      <w:r w:rsidR="00685C98" w:rsidRPr="00C96B0F">
        <w:rPr>
          <w:rFonts w:asciiTheme="majorHAnsi" w:hAnsiTheme="majorHAnsi"/>
        </w:rPr>
        <w:t xml:space="preserve"> malnutrition</w:t>
      </w:r>
      <w:r w:rsidR="00A513A6" w:rsidRPr="00C96B0F">
        <w:rPr>
          <w:rFonts w:asciiTheme="majorHAnsi" w:hAnsiTheme="majorHAnsi"/>
        </w:rPr>
        <w:fldChar w:fldCharType="begin" w:fldLock="1"/>
      </w:r>
      <w:r w:rsidR="00E61A6B">
        <w:rPr>
          <w:rFonts w:asciiTheme="majorHAnsi" w:hAnsiTheme="majorHAnsi"/>
        </w:rPr>
        <w:instrText>ADDIN CSL_CITATION {"citationItems":[{"id":"ITEM-1","itemData":{"DOI":"10.1093/cid/cir807","ISBN":"1537-6591 (Electronic)\\n1058-4838 (Linking)","ISSN":"10584838","PMID":"22109945","abstract":"BACKGROUND: Malnourished children are at increased risk for death due to diarrhea. Our goal was to determine the contribution of specific enteric infections to malnutrition-associated diarrhea and to determine the role of enteric infections in the development of malnutrition.\\n\\nMETHODS: Children from an urban slum in Bangladesh were followed for the first year of life by every-other-day home visits. Enteropathogens were identified in diarrheal and monthly surveillance stools; intestinal barrier function was measured by serum endocab antibodies; and nutritional status was measured by anthropometry.\\n\\nRESULTS: Diarrhea occurred 4.69 ± 0.19 times per child per year, with the most common infections caused by enteric protozoa (amebiasis, cryptosporidiosis, and giardiasis), rotavirus, astrovirus, and enterotoxigenic Escherichia coli (ETEC). Malnutrition was present in 16.3% of children at birth and 42.4% at 12 months of age. Children malnourished at birth had increased Entamoeba histolytica, Cryptosporidium, and ETEC infections and more severe diarrhea. Children who became malnourished by 12 months of age were more likely to have prolonged diarrhea, intestinal barrier dysfunction, a mother without education, and low family expenditure.\\n\\nCONCLUSIONS: Prospective observation of infants in an urban slum demonstrated that diarrheal diseases were associated with the development of malnutrition that was in turn linked to intestinal barrier disruption and that diarrhea was more severe in already malnourished children. The enteric protozoa were unexpectedly important causes of diarrhea in this setting. This study demonstrates the complex interrelationship of malnutrition and diarrhea in infants in low-income settings and points to the potential for infectious disease interventions in the prevention and treatment of malnutrition.","author":[{"dropping-particle":"","family":"Mondal","given":"Dinesh","non-dropping-particle":"","parse-names":false,"suffix":""},{"dropping-particle":"","family":"Minak","given":"Juliana","non-dropping-particle":"","parse-names":false,"suffix":""},{"dropping-particle":"","family":"Alam","given":"Masud","non-dropping-particle":"","parse-names":false,"suffix":""},{"dropping-particle":"","family":"Liu","given":"Yue","non-dropping-particle":"","parse-names":false,"suffix":""},{"dropping-particle":"","family":"Dai","given":"Jing","non-dropping-particle":"","parse-names":false,"suffix":""},{"dropping-particle":"","family":"Korpe","given":"Poonum","non-dropping-particle":"","parse-names":false,"suffix":""},{"dropping-particle":"","family":"Liu","given":"Lei","non-dropping-particle":"","parse-names":false,"suffix":""},{"dropping-particle":"","family":"Haque","given":"Rashidul","non-dropping-particle":"","parse-names":false,"suffix":""},{"dropping-particle":"","family":"Petri","given":"William A","non-dropping-particle":"","parse-names":false,"suffix":""}],"container-title":"Clinical Infectious Diseases","id":"ITEM-1","issue":"2","issued":{"date-parts":[["2012"]]},"page":"185-192","title":"Contribution of enteric infection, altered intestinal barrier function, and maternal malnutrition to infant malnutrition in Bangladesh","type":"article-journal","volume":"54"},"uris":["http://www.mendeley.com/documents/?uuid=b0d9c661-5b50-3233-bcae-b660a3333f36"]}],"mendeley":{"formattedCitation":"(17)","plainTextFormattedCitation":"(17)","previouslyFormattedCitation":"(17)"},"properties":{"noteIndex":0},"schema":"https://github.com/citation-style-language/schema/raw/master/csl-citation.json"}</w:instrText>
      </w:r>
      <w:r w:rsidR="00A513A6" w:rsidRPr="00C96B0F">
        <w:rPr>
          <w:rFonts w:asciiTheme="majorHAnsi" w:hAnsiTheme="majorHAnsi"/>
        </w:rPr>
        <w:fldChar w:fldCharType="separate"/>
      </w:r>
      <w:r w:rsidR="00E61A6B" w:rsidRPr="00E61A6B">
        <w:rPr>
          <w:rFonts w:asciiTheme="majorHAnsi" w:hAnsiTheme="majorHAnsi"/>
          <w:noProof/>
        </w:rPr>
        <w:t>(17)</w:t>
      </w:r>
      <w:r w:rsidR="00A513A6" w:rsidRPr="00C96B0F">
        <w:rPr>
          <w:rFonts w:asciiTheme="majorHAnsi" w:hAnsiTheme="majorHAnsi"/>
        </w:rPr>
        <w:fldChar w:fldCharType="end"/>
      </w:r>
      <w:r w:rsidR="00685C98" w:rsidRPr="00C96B0F">
        <w:rPr>
          <w:rFonts w:asciiTheme="majorHAnsi" w:hAnsiTheme="majorHAnsi"/>
        </w:rPr>
        <w:t xml:space="preserve">. </w:t>
      </w:r>
    </w:p>
    <w:p w14:paraId="287644CE" w14:textId="77777777" w:rsidR="00754C23" w:rsidRPr="00C96B0F" w:rsidRDefault="00754C23" w:rsidP="008C4409">
      <w:pPr>
        <w:spacing w:line="480" w:lineRule="auto"/>
        <w:jc w:val="both"/>
        <w:rPr>
          <w:rFonts w:asciiTheme="majorHAnsi" w:hAnsiTheme="majorHAnsi"/>
        </w:rPr>
      </w:pPr>
      <w:r w:rsidRPr="00C96B0F">
        <w:rPr>
          <w:rFonts w:asciiTheme="majorHAnsi" w:hAnsiTheme="majorHAnsi"/>
          <w:b/>
        </w:rPr>
        <w:t>Conclusions</w:t>
      </w:r>
    </w:p>
    <w:p w14:paraId="56B50583" w14:textId="1921CAE0" w:rsidR="00AF08CF" w:rsidRPr="00C96B0F" w:rsidRDefault="005E5DF3" w:rsidP="008C4409">
      <w:pPr>
        <w:spacing w:line="480" w:lineRule="auto"/>
        <w:jc w:val="both"/>
        <w:rPr>
          <w:rFonts w:asciiTheme="majorHAnsi" w:hAnsiTheme="majorHAnsi"/>
        </w:rPr>
      </w:pPr>
      <w:r w:rsidRPr="00C96B0F">
        <w:rPr>
          <w:rFonts w:asciiTheme="majorHAnsi" w:hAnsiTheme="majorHAnsi"/>
        </w:rPr>
        <w:t>C</w:t>
      </w:r>
      <w:r w:rsidR="00754C23" w:rsidRPr="00C96B0F">
        <w:rPr>
          <w:rFonts w:asciiTheme="majorHAnsi" w:hAnsiTheme="majorHAnsi"/>
        </w:rPr>
        <w:t xml:space="preserve">hildren in Malawi shed large quantities of rotavirus </w:t>
      </w:r>
      <w:r w:rsidRPr="00C96B0F">
        <w:rPr>
          <w:rFonts w:asciiTheme="majorHAnsi" w:hAnsiTheme="majorHAnsi"/>
        </w:rPr>
        <w:t xml:space="preserve">for an extended period of time </w:t>
      </w:r>
      <w:r w:rsidR="00754C23" w:rsidRPr="00C96B0F">
        <w:rPr>
          <w:rFonts w:asciiTheme="majorHAnsi" w:hAnsiTheme="majorHAnsi"/>
        </w:rPr>
        <w:t xml:space="preserve">following an episode of </w:t>
      </w:r>
      <w:r w:rsidR="00424ED1" w:rsidRPr="00C96B0F">
        <w:rPr>
          <w:rFonts w:asciiTheme="majorHAnsi" w:hAnsiTheme="majorHAnsi"/>
        </w:rPr>
        <w:t xml:space="preserve">moderate and </w:t>
      </w:r>
      <w:r w:rsidR="00370129" w:rsidRPr="00C96B0F">
        <w:rPr>
          <w:rFonts w:asciiTheme="majorHAnsi" w:hAnsiTheme="majorHAnsi"/>
        </w:rPr>
        <w:t xml:space="preserve">severe </w:t>
      </w:r>
      <w:r w:rsidR="00754C23" w:rsidRPr="00C96B0F">
        <w:rPr>
          <w:rFonts w:asciiTheme="majorHAnsi" w:hAnsiTheme="majorHAnsi"/>
        </w:rPr>
        <w:t>diarrhoea</w:t>
      </w:r>
      <w:r w:rsidR="00A92EDC" w:rsidRPr="00C96B0F">
        <w:rPr>
          <w:rFonts w:asciiTheme="majorHAnsi" w:hAnsiTheme="majorHAnsi"/>
        </w:rPr>
        <w:t>, despite prior vaccination</w:t>
      </w:r>
      <w:r w:rsidR="00754C23" w:rsidRPr="00C96B0F">
        <w:rPr>
          <w:rFonts w:asciiTheme="majorHAnsi" w:hAnsiTheme="majorHAnsi"/>
        </w:rPr>
        <w:t>.</w:t>
      </w:r>
      <w:r w:rsidRPr="00C96B0F">
        <w:rPr>
          <w:rFonts w:asciiTheme="majorHAnsi" w:hAnsiTheme="majorHAnsi"/>
        </w:rPr>
        <w:t xml:space="preserve"> </w:t>
      </w:r>
      <w:r w:rsidR="001968CB" w:rsidRPr="00C96B0F">
        <w:rPr>
          <w:rFonts w:asciiTheme="majorHAnsi" w:hAnsiTheme="majorHAnsi"/>
        </w:rPr>
        <w:t>Persistently high faecal virus shedding</w:t>
      </w:r>
      <w:r w:rsidR="00C02F08" w:rsidRPr="00C96B0F">
        <w:rPr>
          <w:rFonts w:asciiTheme="majorHAnsi" w:hAnsiTheme="majorHAnsi"/>
        </w:rPr>
        <w:t xml:space="preserve"> </w:t>
      </w:r>
      <w:r w:rsidRPr="00C96B0F">
        <w:rPr>
          <w:rFonts w:asciiTheme="majorHAnsi" w:hAnsiTheme="majorHAnsi"/>
        </w:rPr>
        <w:t>may contribute to high prevalence of asymptomatic infection in young children in the community</w:t>
      </w:r>
      <w:r w:rsidR="00323C86" w:rsidRPr="00C96B0F">
        <w:rPr>
          <w:rFonts w:asciiTheme="majorHAnsi" w:hAnsiTheme="majorHAnsi"/>
        </w:rPr>
        <w:t xml:space="preserve"> and to ongoing rotavirus transmission</w:t>
      </w:r>
      <w:r w:rsidR="00EF7909" w:rsidRPr="00C96B0F">
        <w:rPr>
          <w:rFonts w:asciiTheme="majorHAnsi" w:hAnsiTheme="majorHAnsi"/>
        </w:rPr>
        <w:t>.</w:t>
      </w:r>
      <w:r w:rsidR="009A6C20" w:rsidRPr="00C96B0F">
        <w:rPr>
          <w:rFonts w:asciiTheme="majorHAnsi" w:hAnsiTheme="majorHAnsi"/>
        </w:rPr>
        <w:t xml:space="preserve"> </w:t>
      </w:r>
      <w:r w:rsidR="00263F29" w:rsidRPr="00C96B0F">
        <w:rPr>
          <w:rFonts w:asciiTheme="majorHAnsi" w:hAnsiTheme="majorHAnsi"/>
        </w:rPr>
        <w:t>While r</w:t>
      </w:r>
      <w:r w:rsidR="00AF08CF" w:rsidRPr="00C96B0F">
        <w:rPr>
          <w:rFonts w:asciiTheme="majorHAnsi" w:hAnsiTheme="majorHAnsi"/>
        </w:rPr>
        <w:t xml:space="preserve">educed disease severity in Malawian children </w:t>
      </w:r>
      <w:r w:rsidR="00263F29" w:rsidRPr="00C96B0F">
        <w:rPr>
          <w:rFonts w:asciiTheme="majorHAnsi" w:hAnsiTheme="majorHAnsi"/>
        </w:rPr>
        <w:t>was</w:t>
      </w:r>
      <w:r w:rsidR="00AF08CF" w:rsidRPr="00C96B0F">
        <w:rPr>
          <w:rFonts w:asciiTheme="majorHAnsi" w:hAnsiTheme="majorHAnsi"/>
        </w:rPr>
        <w:t xml:space="preserve"> associated with lower viral shedding density, </w:t>
      </w:r>
      <w:r w:rsidR="00263F29" w:rsidRPr="00C96B0F">
        <w:rPr>
          <w:rFonts w:asciiTheme="majorHAnsi" w:hAnsiTheme="majorHAnsi"/>
        </w:rPr>
        <w:t xml:space="preserve">the </w:t>
      </w:r>
      <w:r w:rsidR="00AF08CF" w:rsidRPr="00C96B0F">
        <w:rPr>
          <w:rFonts w:asciiTheme="majorHAnsi" w:hAnsiTheme="majorHAnsi"/>
        </w:rPr>
        <w:t xml:space="preserve">potential impact </w:t>
      </w:r>
      <w:r w:rsidR="00DA5F0C" w:rsidRPr="00C96B0F">
        <w:rPr>
          <w:rFonts w:asciiTheme="majorHAnsi" w:hAnsiTheme="majorHAnsi"/>
        </w:rPr>
        <w:t xml:space="preserve">of this </w:t>
      </w:r>
      <w:r w:rsidR="00AF08CF" w:rsidRPr="00C96B0F">
        <w:rPr>
          <w:rFonts w:asciiTheme="majorHAnsi" w:hAnsiTheme="majorHAnsi"/>
        </w:rPr>
        <w:t xml:space="preserve">on </w:t>
      </w:r>
      <w:r w:rsidR="009A6C20" w:rsidRPr="00C96B0F">
        <w:rPr>
          <w:rFonts w:asciiTheme="majorHAnsi" w:hAnsiTheme="majorHAnsi"/>
        </w:rPr>
        <w:t>population-</w:t>
      </w:r>
      <w:r w:rsidR="00AF08CF" w:rsidRPr="00C96B0F">
        <w:rPr>
          <w:rFonts w:asciiTheme="majorHAnsi" w:hAnsiTheme="majorHAnsi"/>
        </w:rPr>
        <w:t xml:space="preserve">level </w:t>
      </w:r>
      <w:r w:rsidR="00DA5F0C" w:rsidRPr="00C96B0F">
        <w:rPr>
          <w:rFonts w:asciiTheme="majorHAnsi" w:hAnsiTheme="majorHAnsi"/>
        </w:rPr>
        <w:t xml:space="preserve">rotavirus </w:t>
      </w:r>
      <w:r w:rsidR="00AF08CF" w:rsidRPr="00C96B0F">
        <w:rPr>
          <w:rFonts w:asciiTheme="majorHAnsi" w:hAnsiTheme="majorHAnsi"/>
        </w:rPr>
        <w:t>transmission</w:t>
      </w:r>
      <w:r w:rsidR="00263F29" w:rsidRPr="00C96B0F">
        <w:rPr>
          <w:rFonts w:asciiTheme="majorHAnsi" w:hAnsiTheme="majorHAnsi"/>
        </w:rPr>
        <w:t xml:space="preserve"> remains to be determined</w:t>
      </w:r>
      <w:r w:rsidR="00AF08CF" w:rsidRPr="00C96B0F">
        <w:rPr>
          <w:rFonts w:asciiTheme="majorHAnsi" w:hAnsiTheme="majorHAnsi"/>
        </w:rPr>
        <w:t>.</w:t>
      </w:r>
      <w:r w:rsidR="00D15834">
        <w:rPr>
          <w:rFonts w:asciiTheme="majorHAnsi" w:hAnsiTheme="majorHAnsi"/>
        </w:rPr>
        <w:t xml:space="preserve"> </w:t>
      </w:r>
    </w:p>
    <w:p w14:paraId="397DDE89" w14:textId="2CCF0ECE" w:rsidR="00670B50" w:rsidRPr="00C96B0F" w:rsidRDefault="00670B50" w:rsidP="008C4409">
      <w:pPr>
        <w:spacing w:line="480" w:lineRule="auto"/>
        <w:jc w:val="both"/>
        <w:rPr>
          <w:rFonts w:asciiTheme="majorHAnsi" w:hAnsiTheme="majorHAnsi"/>
        </w:rPr>
      </w:pPr>
    </w:p>
    <w:p w14:paraId="1E77B0EE" w14:textId="70CB67DC" w:rsidR="00670B50" w:rsidRPr="00C96B0F" w:rsidRDefault="00670B50" w:rsidP="008C4409">
      <w:pPr>
        <w:spacing w:line="480" w:lineRule="auto"/>
        <w:jc w:val="both"/>
        <w:rPr>
          <w:rFonts w:asciiTheme="majorHAnsi" w:hAnsiTheme="majorHAnsi"/>
        </w:rPr>
      </w:pPr>
    </w:p>
    <w:p w14:paraId="465C551D" w14:textId="77777777" w:rsidR="00670B50" w:rsidRPr="00C96B0F" w:rsidRDefault="00670B50" w:rsidP="008C4409">
      <w:pPr>
        <w:spacing w:line="480" w:lineRule="auto"/>
        <w:jc w:val="both"/>
        <w:rPr>
          <w:rFonts w:asciiTheme="majorHAnsi" w:hAnsiTheme="majorHAnsi"/>
        </w:rPr>
      </w:pPr>
    </w:p>
    <w:p w14:paraId="42FB98FC" w14:textId="1A1BB11B" w:rsidR="008D610B" w:rsidRPr="00C96B0F" w:rsidRDefault="008D610B" w:rsidP="008C4409">
      <w:pPr>
        <w:spacing w:line="480" w:lineRule="auto"/>
        <w:jc w:val="both"/>
        <w:rPr>
          <w:rFonts w:asciiTheme="majorHAnsi" w:hAnsiTheme="majorHAnsi"/>
        </w:rPr>
      </w:pPr>
    </w:p>
    <w:p w14:paraId="33662430" w14:textId="708714EF" w:rsidR="008C4409" w:rsidRPr="00C96B0F" w:rsidRDefault="008C4409" w:rsidP="008C4409">
      <w:pPr>
        <w:spacing w:line="480" w:lineRule="auto"/>
        <w:jc w:val="both"/>
        <w:rPr>
          <w:rFonts w:asciiTheme="majorHAnsi" w:hAnsiTheme="majorHAnsi"/>
        </w:rPr>
      </w:pPr>
    </w:p>
    <w:p w14:paraId="093B0A51" w14:textId="390771B6" w:rsidR="008C4409" w:rsidRPr="00C96B0F" w:rsidRDefault="008C4409" w:rsidP="008C4409">
      <w:pPr>
        <w:spacing w:line="480" w:lineRule="auto"/>
        <w:jc w:val="both"/>
        <w:rPr>
          <w:rFonts w:asciiTheme="majorHAnsi" w:hAnsiTheme="majorHAnsi"/>
        </w:rPr>
      </w:pPr>
    </w:p>
    <w:p w14:paraId="7DE64FBD" w14:textId="77777777" w:rsidR="008C4409" w:rsidRPr="00C96B0F" w:rsidRDefault="008C4409" w:rsidP="008C4409">
      <w:pPr>
        <w:pageBreakBefore/>
        <w:autoSpaceDE w:val="0"/>
        <w:autoSpaceDN w:val="0"/>
        <w:adjustRightInd w:val="0"/>
        <w:spacing w:line="480" w:lineRule="auto"/>
        <w:jc w:val="both"/>
        <w:rPr>
          <w:rFonts w:asciiTheme="majorHAnsi" w:hAnsiTheme="majorHAnsi" w:cs="Times New Roman"/>
          <w:b/>
          <w:lang w:eastAsia="en-GB"/>
        </w:rPr>
      </w:pPr>
      <w:r w:rsidRPr="00C96B0F">
        <w:rPr>
          <w:rFonts w:asciiTheme="majorHAnsi" w:hAnsiTheme="majorHAnsi" w:cs="Times New Roman"/>
          <w:b/>
          <w:lang w:eastAsia="en-GB"/>
        </w:rPr>
        <w:lastRenderedPageBreak/>
        <w:t>Funding</w:t>
      </w:r>
    </w:p>
    <w:p w14:paraId="078DFCBA" w14:textId="77777777" w:rsidR="008C4409" w:rsidRPr="00C96B0F" w:rsidRDefault="008C4409" w:rsidP="008C4409">
      <w:pPr>
        <w:autoSpaceDE w:val="0"/>
        <w:autoSpaceDN w:val="0"/>
        <w:adjustRightInd w:val="0"/>
        <w:spacing w:line="480" w:lineRule="auto"/>
        <w:jc w:val="both"/>
        <w:rPr>
          <w:rFonts w:asciiTheme="majorHAnsi" w:hAnsiTheme="majorHAnsi" w:cs="Times New Roman"/>
          <w:lang w:eastAsia="en-GB"/>
        </w:rPr>
      </w:pPr>
      <w:r w:rsidRPr="00C96B0F">
        <w:rPr>
          <w:rFonts w:asciiTheme="majorHAnsi" w:hAnsiTheme="majorHAnsi" w:cs="Times New Roman"/>
          <w:lang w:eastAsia="en-GB"/>
        </w:rPr>
        <w:t>This study was supported by two Wellcome Trust Clinical PhD Fellowships [grant numbers 102466/Z/13/A</w:t>
      </w:r>
      <w:r w:rsidRPr="00C96B0F">
        <w:rPr>
          <w:rFonts w:asciiTheme="majorHAnsi" w:hAnsiTheme="majorHAnsi" w:cs="Times New Roman"/>
          <w:color w:val="222222"/>
          <w:shd w:val="clear" w:color="auto" w:fill="FFFFFF"/>
        </w:rPr>
        <w:t xml:space="preserve"> to AB and </w:t>
      </w:r>
      <w:r w:rsidRPr="00C96B0F">
        <w:rPr>
          <w:rFonts w:asciiTheme="majorHAnsi" w:hAnsiTheme="majorHAnsi" w:cs="Times New Roman"/>
          <w:lang w:eastAsia="en-GB"/>
        </w:rPr>
        <w:t xml:space="preserve">102464/Z/13/A to LP] , a Wellcome Trust Programme Grant [grant number 091909/Z/10/Z], the MLW Programme Core Grant Strategic Award [grant number 101113/Z/13/Z] and by the U.S. National Institutes of Health [grant number R01-AI112970 to VEP]. </w:t>
      </w:r>
      <w:r w:rsidRPr="00C96B0F">
        <w:rPr>
          <w:rFonts w:asciiTheme="majorHAnsi" w:hAnsiTheme="majorHAnsi" w:cs="Times New Roman"/>
          <w:bCs/>
        </w:rPr>
        <w:t xml:space="preserve">K.C.J. is supported by an International Wellcome Trust Training Fellowship (grant number: </w:t>
      </w:r>
      <w:r w:rsidRPr="00C96B0F">
        <w:rPr>
          <w:rFonts w:asciiTheme="majorHAnsi" w:hAnsiTheme="majorHAnsi" w:cs="Times New Roman"/>
          <w:color w:val="1B1B1B"/>
        </w:rPr>
        <w:t>201945/Z/16/Z).</w:t>
      </w:r>
      <w:r w:rsidRPr="00C96B0F">
        <w:rPr>
          <w:rFonts w:asciiTheme="majorHAnsi" w:hAnsiTheme="majorHAnsi" w:cs="Arial"/>
          <w:color w:val="1B1B1B"/>
        </w:rPr>
        <w:t xml:space="preserve"> </w:t>
      </w:r>
      <w:r w:rsidRPr="00C96B0F">
        <w:rPr>
          <w:rFonts w:asciiTheme="majorHAnsi" w:hAnsiTheme="majorHAnsi" w:cs="Times New Roman"/>
          <w:lang w:eastAsia="en-GB"/>
        </w:rPr>
        <w:t>The authors received no financial support or other form of compensation related to the development of the manuscript.</w:t>
      </w:r>
    </w:p>
    <w:p w14:paraId="6D2510CF" w14:textId="77777777" w:rsidR="008C4409" w:rsidRPr="00C96B0F" w:rsidRDefault="008C4409" w:rsidP="008C4409">
      <w:pPr>
        <w:autoSpaceDE w:val="0"/>
        <w:autoSpaceDN w:val="0"/>
        <w:adjustRightInd w:val="0"/>
        <w:spacing w:line="480" w:lineRule="auto"/>
        <w:jc w:val="both"/>
        <w:rPr>
          <w:rFonts w:asciiTheme="majorHAnsi" w:hAnsiTheme="majorHAnsi" w:cs="Times New Roman"/>
          <w:b/>
          <w:lang w:eastAsia="en-GB"/>
        </w:rPr>
      </w:pPr>
      <w:r w:rsidRPr="00C96B0F">
        <w:rPr>
          <w:rFonts w:asciiTheme="majorHAnsi" w:hAnsiTheme="majorHAnsi" w:cs="Times New Roman"/>
          <w:b/>
          <w:lang w:eastAsia="en-GB"/>
        </w:rPr>
        <w:t>Acknowledgements</w:t>
      </w:r>
    </w:p>
    <w:p w14:paraId="4202B99A" w14:textId="77777777" w:rsidR="008C4409" w:rsidRPr="00C96B0F" w:rsidRDefault="008C4409" w:rsidP="008C4409">
      <w:pPr>
        <w:autoSpaceDE w:val="0"/>
        <w:autoSpaceDN w:val="0"/>
        <w:adjustRightInd w:val="0"/>
        <w:spacing w:line="480" w:lineRule="auto"/>
        <w:jc w:val="both"/>
        <w:rPr>
          <w:rFonts w:asciiTheme="majorHAnsi" w:hAnsiTheme="majorHAnsi" w:cs="Times New Roman"/>
          <w:lang w:eastAsia="en-GB"/>
        </w:rPr>
      </w:pPr>
      <w:r w:rsidRPr="00C96B0F">
        <w:rPr>
          <w:rFonts w:asciiTheme="majorHAnsi" w:hAnsiTheme="majorHAnsi" w:cs="Times New Roman"/>
          <w:lang w:eastAsia="en-GB"/>
        </w:rPr>
        <w:t xml:space="preserve">We thank all infants and their families who participated and all members of the </w:t>
      </w:r>
      <w:proofErr w:type="spellStart"/>
      <w:r w:rsidRPr="00C96B0F">
        <w:rPr>
          <w:rFonts w:asciiTheme="majorHAnsi" w:hAnsiTheme="majorHAnsi" w:cs="Times New Roman"/>
          <w:lang w:eastAsia="en-GB"/>
        </w:rPr>
        <w:t>RotaRITE</w:t>
      </w:r>
      <w:proofErr w:type="spellEnd"/>
      <w:r w:rsidRPr="00C96B0F">
        <w:rPr>
          <w:rFonts w:asciiTheme="majorHAnsi" w:hAnsiTheme="majorHAnsi" w:cs="Times New Roman"/>
          <w:lang w:eastAsia="en-GB"/>
        </w:rPr>
        <w:t xml:space="preserve"> study team. We are grateful for the support of the Malawi Ministry of Health and clinical staff at the recruitment sites. </w:t>
      </w:r>
    </w:p>
    <w:p w14:paraId="7D973211" w14:textId="77777777" w:rsidR="008C4409" w:rsidRPr="00C96B0F" w:rsidRDefault="008C4409" w:rsidP="008C4409">
      <w:pPr>
        <w:autoSpaceDE w:val="0"/>
        <w:autoSpaceDN w:val="0"/>
        <w:adjustRightInd w:val="0"/>
        <w:spacing w:line="480" w:lineRule="auto"/>
        <w:jc w:val="both"/>
        <w:rPr>
          <w:rFonts w:asciiTheme="majorHAnsi" w:hAnsiTheme="majorHAnsi" w:cs="Times New Roman"/>
          <w:b/>
          <w:lang w:eastAsia="en-GB"/>
        </w:rPr>
      </w:pPr>
      <w:r w:rsidRPr="00C96B0F">
        <w:rPr>
          <w:rFonts w:asciiTheme="majorHAnsi" w:hAnsiTheme="majorHAnsi" w:cs="Times New Roman"/>
          <w:b/>
          <w:lang w:eastAsia="en-GB"/>
        </w:rPr>
        <w:t>Potential conflicts of interest</w:t>
      </w:r>
    </w:p>
    <w:p w14:paraId="2C68B04F" w14:textId="52D7EF26" w:rsidR="008C4409" w:rsidRPr="00186DAA" w:rsidRDefault="008C4409" w:rsidP="008C4409">
      <w:pPr>
        <w:autoSpaceDE w:val="0"/>
        <w:autoSpaceDN w:val="0"/>
        <w:adjustRightInd w:val="0"/>
        <w:spacing w:line="480" w:lineRule="auto"/>
        <w:jc w:val="both"/>
        <w:rPr>
          <w:rFonts w:ascii="Calibri Light (heavy)" w:hAnsi="Calibri Light (heavy)" w:cs="Times New Roman"/>
        </w:rPr>
      </w:pPr>
      <w:r w:rsidRPr="00186DAA">
        <w:rPr>
          <w:rFonts w:ascii="Calibri Light (heavy)" w:hAnsi="Calibri Light (heavy)" w:cs="Times New Roman"/>
        </w:rPr>
        <w:t xml:space="preserve">LP, AB, BL: no conflict. NB-Z and K.C.J have received research grant support from GlaxoSmithKline Biologicals for work on rotavirus vaccines. MI-G has received research grant support from GlaxoSmithKline Biologicals and Sanofi Pasteur MSD for work on rotavirus. NAC has received research grant support and honoraria for participation in rotavirus vaccine advisory board meetings from GlaxoSmithKline Biologicals. </w:t>
      </w:r>
      <w:r w:rsidR="00186DAA" w:rsidRPr="00186DAA">
        <w:rPr>
          <w:rFonts w:ascii="Calibri Light (heavy)" w:hAnsi="Calibri Light (heavy)" w:cs="Arial"/>
          <w:color w:val="222222"/>
          <w:shd w:val="clear" w:color="auto" w:fill="FFFFFF"/>
        </w:rPr>
        <w:t>V.E.P. is a member of the WHO Immunization and Vaccine-related Implementation Research Advisory Committee (IVIR-AC) and has received reimbursement from Merck for travel expenses to attend a Scientific Input Engagement unrelated to rotavirus vaccines</w:t>
      </w:r>
    </w:p>
    <w:p w14:paraId="4740A389" w14:textId="77777777" w:rsidR="008C4409" w:rsidRPr="00C96B0F" w:rsidRDefault="008C4409" w:rsidP="008C4409">
      <w:pPr>
        <w:autoSpaceDE w:val="0"/>
        <w:autoSpaceDN w:val="0"/>
        <w:adjustRightInd w:val="0"/>
        <w:spacing w:line="480" w:lineRule="auto"/>
        <w:jc w:val="both"/>
        <w:rPr>
          <w:rFonts w:asciiTheme="majorHAnsi" w:hAnsiTheme="majorHAnsi" w:cs="Times New Roman"/>
          <w:b/>
        </w:rPr>
      </w:pPr>
      <w:r w:rsidRPr="00C96B0F">
        <w:rPr>
          <w:rFonts w:asciiTheme="majorHAnsi" w:hAnsiTheme="majorHAnsi" w:cs="Times New Roman"/>
          <w:b/>
        </w:rPr>
        <w:t>Previous presentations</w:t>
      </w:r>
    </w:p>
    <w:p w14:paraId="15CE9AA2" w14:textId="77777777" w:rsidR="008C4409" w:rsidRPr="00C96B0F" w:rsidRDefault="008C4409" w:rsidP="008C4409">
      <w:pPr>
        <w:autoSpaceDE w:val="0"/>
        <w:autoSpaceDN w:val="0"/>
        <w:adjustRightInd w:val="0"/>
        <w:spacing w:line="480" w:lineRule="auto"/>
        <w:jc w:val="both"/>
        <w:rPr>
          <w:rFonts w:asciiTheme="majorHAnsi" w:hAnsiTheme="majorHAnsi" w:cs="Times New Roman"/>
        </w:rPr>
      </w:pPr>
      <w:r w:rsidRPr="00C96B0F">
        <w:rPr>
          <w:rFonts w:asciiTheme="majorHAnsi" w:hAnsiTheme="majorHAnsi" w:cs="Times New Roman"/>
        </w:rPr>
        <w:t xml:space="preserve">Aspects of this work have been presented at the European Society for Paediatric Infectious Diseases (ESPID) meeting, June 2018, Sweden. </w:t>
      </w:r>
    </w:p>
    <w:p w14:paraId="320F06DA" w14:textId="77777777" w:rsidR="008C4409" w:rsidRPr="00C96B0F" w:rsidRDefault="008C4409" w:rsidP="008C4409">
      <w:pPr>
        <w:autoSpaceDE w:val="0"/>
        <w:autoSpaceDN w:val="0"/>
        <w:adjustRightInd w:val="0"/>
        <w:spacing w:line="480" w:lineRule="auto"/>
        <w:jc w:val="both"/>
        <w:rPr>
          <w:rFonts w:asciiTheme="majorHAnsi" w:hAnsiTheme="majorHAnsi" w:cs="Times New Roman"/>
          <w:b/>
        </w:rPr>
      </w:pPr>
    </w:p>
    <w:p w14:paraId="0586B669" w14:textId="77777777" w:rsidR="008C4409" w:rsidRPr="00C96B0F" w:rsidRDefault="008C4409" w:rsidP="008C4409">
      <w:pPr>
        <w:autoSpaceDE w:val="0"/>
        <w:autoSpaceDN w:val="0"/>
        <w:adjustRightInd w:val="0"/>
        <w:spacing w:line="480" w:lineRule="auto"/>
        <w:jc w:val="both"/>
        <w:rPr>
          <w:rFonts w:asciiTheme="majorHAnsi" w:hAnsiTheme="majorHAnsi" w:cs="Times New Roman"/>
          <w:b/>
        </w:rPr>
      </w:pPr>
    </w:p>
    <w:p w14:paraId="1C108C20" w14:textId="77777777" w:rsidR="008C4409" w:rsidRPr="00C96B0F" w:rsidRDefault="008C4409" w:rsidP="008C4409">
      <w:pPr>
        <w:autoSpaceDE w:val="0"/>
        <w:autoSpaceDN w:val="0"/>
        <w:adjustRightInd w:val="0"/>
        <w:spacing w:line="480" w:lineRule="auto"/>
        <w:jc w:val="both"/>
        <w:rPr>
          <w:rFonts w:asciiTheme="majorHAnsi" w:hAnsiTheme="majorHAnsi" w:cs="Times New Roman"/>
          <w:b/>
        </w:rPr>
      </w:pPr>
      <w:r w:rsidRPr="00C96B0F">
        <w:rPr>
          <w:rFonts w:asciiTheme="majorHAnsi" w:hAnsiTheme="majorHAnsi" w:cs="Times New Roman"/>
          <w:b/>
        </w:rPr>
        <w:t>Disclaimer</w:t>
      </w:r>
    </w:p>
    <w:p w14:paraId="41DC6105" w14:textId="77777777" w:rsidR="008C4409" w:rsidRPr="00C96B0F" w:rsidRDefault="008C4409" w:rsidP="00C96B0F">
      <w:pPr>
        <w:autoSpaceDE w:val="0"/>
        <w:autoSpaceDN w:val="0"/>
        <w:adjustRightInd w:val="0"/>
        <w:spacing w:line="480" w:lineRule="auto"/>
        <w:jc w:val="both"/>
        <w:rPr>
          <w:rFonts w:asciiTheme="majorHAnsi" w:hAnsiTheme="majorHAnsi" w:cs="Times New Roman"/>
        </w:rPr>
      </w:pPr>
      <w:r w:rsidRPr="00C96B0F">
        <w:rPr>
          <w:rFonts w:asciiTheme="majorHAnsi" w:hAnsiTheme="majorHAnsi" w:cs="Times New Roman"/>
        </w:rPr>
        <w:t xml:space="preserve">MIG is affiliated to the National Institute for Health Research Health Protection Research Unit (NIHR HPRU) in Gastrointestinal Infections at University of Liverpool in partnership with Public Health England (PHE), in collaboration with University of East Anglia, University of Oxford and the </w:t>
      </w:r>
      <w:proofErr w:type="spellStart"/>
      <w:r w:rsidRPr="00C96B0F">
        <w:rPr>
          <w:rFonts w:asciiTheme="majorHAnsi" w:hAnsiTheme="majorHAnsi" w:cs="Times New Roman"/>
        </w:rPr>
        <w:t>Quadram</w:t>
      </w:r>
      <w:proofErr w:type="spellEnd"/>
      <w:r w:rsidRPr="00C96B0F">
        <w:rPr>
          <w:rFonts w:asciiTheme="majorHAnsi" w:hAnsiTheme="majorHAnsi" w:cs="Times New Roman"/>
        </w:rPr>
        <w:t xml:space="preserve"> Institute. MIG is based at The University of Liverpool. The views expressed are those of the author(s) and not necessarily those of the NHS, the NIHR, the Department of Health or Public Health England. </w:t>
      </w:r>
    </w:p>
    <w:p w14:paraId="5AA6443F" w14:textId="51BB6A26" w:rsidR="00C96B0F" w:rsidRPr="00C96B0F" w:rsidRDefault="008C4409" w:rsidP="00C96B0F">
      <w:pPr>
        <w:spacing w:line="480" w:lineRule="auto"/>
        <w:rPr>
          <w:rFonts w:asciiTheme="majorHAnsi" w:hAnsiTheme="majorHAnsi"/>
        </w:rPr>
      </w:pPr>
      <w:r w:rsidRPr="00C96B0F">
        <w:rPr>
          <w:rFonts w:asciiTheme="majorHAnsi" w:hAnsiTheme="majorHAnsi" w:cs="Times New Roman"/>
          <w:b/>
          <w:color w:val="000000"/>
          <w:shd w:val="clear" w:color="auto" w:fill="FFFFFF"/>
        </w:rPr>
        <w:t>Corresponding author details:</w:t>
      </w:r>
      <w:r w:rsidRPr="00C96B0F">
        <w:rPr>
          <w:rFonts w:asciiTheme="majorHAnsi" w:hAnsiTheme="majorHAnsi" w:cs="Times New Roman"/>
          <w:color w:val="000000"/>
          <w:shd w:val="clear" w:color="auto" w:fill="FFFFFF"/>
        </w:rPr>
        <w:t xml:space="preserve"> Dr Aisleen Bennett.</w:t>
      </w:r>
      <w:r w:rsidR="00C96B0F" w:rsidRPr="00C96B0F">
        <w:rPr>
          <w:rFonts w:asciiTheme="majorHAnsi" w:hAnsiTheme="majorHAnsi" w:cs="Arial"/>
          <w:color w:val="000000"/>
          <w:shd w:val="clear" w:color="auto" w:fill="FFFFFF"/>
        </w:rPr>
        <w:t xml:space="preserve"> </w:t>
      </w:r>
      <w:r w:rsidR="00C96B0F" w:rsidRPr="00C96B0F">
        <w:rPr>
          <w:rFonts w:asciiTheme="majorHAnsi" w:hAnsiTheme="majorHAnsi"/>
        </w:rPr>
        <w:t>Institute of Infection and Global Health, The Ronald Ross Building, University of Liverpool, 8 West Derby Street, Liverpool</w:t>
      </w:r>
    </w:p>
    <w:p w14:paraId="3E82DBE7" w14:textId="3DF7A2B1" w:rsidR="008C4409" w:rsidRPr="00C96B0F" w:rsidRDefault="008C4409" w:rsidP="00C96B0F">
      <w:pPr>
        <w:autoSpaceDE w:val="0"/>
        <w:autoSpaceDN w:val="0"/>
        <w:adjustRightInd w:val="0"/>
        <w:spacing w:line="480" w:lineRule="auto"/>
        <w:jc w:val="both"/>
        <w:rPr>
          <w:rFonts w:asciiTheme="majorHAnsi" w:hAnsiTheme="majorHAnsi" w:cs="Arial"/>
          <w:color w:val="000000"/>
          <w:shd w:val="clear" w:color="auto" w:fill="FFFFFF"/>
        </w:rPr>
      </w:pPr>
      <w:r w:rsidRPr="00C96B0F">
        <w:rPr>
          <w:rFonts w:asciiTheme="majorHAnsi" w:hAnsiTheme="majorHAnsi" w:cs="Arial"/>
          <w:color w:val="000000"/>
          <w:shd w:val="clear" w:color="auto" w:fill="FFFFFF"/>
        </w:rPr>
        <w:t xml:space="preserve"> Email </w:t>
      </w:r>
      <w:hyperlink r:id="rId7" w:history="1">
        <w:r w:rsidRPr="00C96B0F">
          <w:rPr>
            <w:rStyle w:val="Hyperlink"/>
            <w:rFonts w:asciiTheme="majorHAnsi" w:hAnsiTheme="majorHAnsi" w:cs="Arial"/>
            <w:shd w:val="clear" w:color="auto" w:fill="FFFFFF"/>
          </w:rPr>
          <w:t>abennett@sgul.ac.uk</w:t>
        </w:r>
      </w:hyperlink>
    </w:p>
    <w:p w14:paraId="6DA21401" w14:textId="77777777" w:rsidR="008C4409" w:rsidRPr="00C96B0F" w:rsidRDefault="008C4409" w:rsidP="008C4409">
      <w:pPr>
        <w:spacing w:line="480" w:lineRule="auto"/>
        <w:jc w:val="both"/>
        <w:rPr>
          <w:rFonts w:asciiTheme="majorHAnsi" w:hAnsiTheme="majorHAnsi"/>
        </w:rPr>
      </w:pPr>
    </w:p>
    <w:p w14:paraId="59C91E1D" w14:textId="55FC1A95" w:rsidR="00707863" w:rsidRPr="00C96B0F" w:rsidRDefault="00707863" w:rsidP="008C4409">
      <w:pPr>
        <w:spacing w:line="480" w:lineRule="auto"/>
        <w:jc w:val="both"/>
        <w:rPr>
          <w:rFonts w:asciiTheme="majorHAnsi" w:hAnsiTheme="majorHAnsi"/>
        </w:rPr>
      </w:pPr>
      <w:bookmarkStart w:id="3" w:name="_Hlk14595207"/>
    </w:p>
    <w:p w14:paraId="43949DF2" w14:textId="530EA6A8" w:rsidR="00B36736" w:rsidRPr="00C96B0F" w:rsidRDefault="00B36736" w:rsidP="008C4409">
      <w:pPr>
        <w:spacing w:line="480" w:lineRule="auto"/>
        <w:jc w:val="both"/>
        <w:rPr>
          <w:rFonts w:asciiTheme="majorHAnsi" w:hAnsiTheme="majorHAnsi"/>
        </w:rPr>
      </w:pPr>
    </w:p>
    <w:p w14:paraId="741C69C6" w14:textId="5ADFC765" w:rsidR="00B36736" w:rsidRPr="00C96B0F" w:rsidRDefault="00B36736" w:rsidP="008C4409">
      <w:pPr>
        <w:spacing w:line="480" w:lineRule="auto"/>
        <w:jc w:val="both"/>
        <w:rPr>
          <w:rFonts w:asciiTheme="majorHAnsi" w:hAnsiTheme="majorHAnsi"/>
        </w:rPr>
      </w:pPr>
    </w:p>
    <w:p w14:paraId="55F15C6F" w14:textId="6D82240C" w:rsidR="00B36736" w:rsidRPr="00C96B0F" w:rsidRDefault="00B36736" w:rsidP="008C4409">
      <w:pPr>
        <w:spacing w:line="480" w:lineRule="auto"/>
        <w:jc w:val="both"/>
        <w:rPr>
          <w:rFonts w:asciiTheme="majorHAnsi" w:hAnsiTheme="majorHAnsi"/>
        </w:rPr>
      </w:pPr>
    </w:p>
    <w:p w14:paraId="34ADC67D" w14:textId="7FB49602" w:rsidR="00B36736" w:rsidRPr="00C96B0F" w:rsidRDefault="00B36736" w:rsidP="008C4409">
      <w:pPr>
        <w:spacing w:line="480" w:lineRule="auto"/>
        <w:jc w:val="both"/>
        <w:rPr>
          <w:rFonts w:asciiTheme="majorHAnsi" w:hAnsiTheme="majorHAnsi"/>
        </w:rPr>
      </w:pPr>
    </w:p>
    <w:p w14:paraId="4DEBBD4B" w14:textId="20BF82C0" w:rsidR="00B36736" w:rsidRPr="00C96B0F" w:rsidRDefault="00B36736" w:rsidP="008C4409">
      <w:pPr>
        <w:spacing w:line="480" w:lineRule="auto"/>
        <w:jc w:val="both"/>
        <w:rPr>
          <w:rFonts w:asciiTheme="majorHAnsi" w:hAnsiTheme="majorHAnsi"/>
        </w:rPr>
      </w:pPr>
    </w:p>
    <w:p w14:paraId="6E07BF5D" w14:textId="7C3B5E21" w:rsidR="00B36736" w:rsidRPr="00C96B0F" w:rsidRDefault="00B36736" w:rsidP="008C4409">
      <w:pPr>
        <w:spacing w:line="480" w:lineRule="auto"/>
        <w:jc w:val="both"/>
        <w:rPr>
          <w:rFonts w:asciiTheme="majorHAnsi" w:hAnsiTheme="majorHAnsi"/>
        </w:rPr>
      </w:pPr>
    </w:p>
    <w:p w14:paraId="0C970636" w14:textId="02A2517A" w:rsidR="00B36736" w:rsidRPr="00C96B0F" w:rsidRDefault="00B36736" w:rsidP="008C4409">
      <w:pPr>
        <w:spacing w:line="480" w:lineRule="auto"/>
        <w:jc w:val="both"/>
        <w:rPr>
          <w:rFonts w:asciiTheme="majorHAnsi" w:hAnsiTheme="majorHAnsi"/>
        </w:rPr>
      </w:pPr>
    </w:p>
    <w:p w14:paraId="281C6713" w14:textId="77777777" w:rsidR="00B36736" w:rsidRPr="00C96B0F" w:rsidRDefault="00B36736" w:rsidP="008C4409">
      <w:pPr>
        <w:spacing w:line="480" w:lineRule="auto"/>
        <w:jc w:val="both"/>
        <w:rPr>
          <w:rFonts w:asciiTheme="majorHAnsi" w:hAnsiTheme="majorHAnsi"/>
        </w:rPr>
      </w:pPr>
    </w:p>
    <w:p w14:paraId="4928D084" w14:textId="77777777" w:rsidR="008D610B" w:rsidRPr="00C96B0F" w:rsidRDefault="008D610B" w:rsidP="008C4409">
      <w:pPr>
        <w:spacing w:line="480" w:lineRule="auto"/>
        <w:jc w:val="both"/>
        <w:rPr>
          <w:rFonts w:asciiTheme="majorHAnsi" w:hAnsiTheme="majorHAnsi"/>
        </w:rPr>
      </w:pPr>
    </w:p>
    <w:p w14:paraId="3DD4310B" w14:textId="15E72036" w:rsidR="002D7209" w:rsidRPr="00C96B0F" w:rsidRDefault="00A62735" w:rsidP="008C4409">
      <w:pPr>
        <w:spacing w:line="480" w:lineRule="auto"/>
        <w:jc w:val="both"/>
        <w:rPr>
          <w:rFonts w:asciiTheme="majorHAnsi" w:hAnsiTheme="majorHAnsi"/>
          <w:b/>
          <w:sz w:val="24"/>
        </w:rPr>
      </w:pPr>
      <w:bookmarkStart w:id="4" w:name="_Hlk14595614"/>
      <w:bookmarkStart w:id="5" w:name="_Hlk14597017"/>
      <w:r w:rsidRPr="00C96B0F">
        <w:rPr>
          <w:rFonts w:asciiTheme="majorHAnsi" w:hAnsiTheme="majorHAnsi"/>
          <w:b/>
          <w:sz w:val="24"/>
        </w:rPr>
        <w:lastRenderedPageBreak/>
        <w:t>References</w:t>
      </w:r>
    </w:p>
    <w:p w14:paraId="106A4BB7" w14:textId="77777777" w:rsidR="008D610B" w:rsidRPr="00C96B0F" w:rsidRDefault="008D610B" w:rsidP="008C4409">
      <w:pPr>
        <w:spacing w:line="480" w:lineRule="auto"/>
        <w:jc w:val="both"/>
        <w:rPr>
          <w:rFonts w:asciiTheme="majorHAnsi" w:hAnsiTheme="majorHAnsi"/>
        </w:rPr>
      </w:pPr>
      <w:bookmarkStart w:id="6" w:name="_Hlk14598449"/>
    </w:p>
    <w:bookmarkStart w:id="7" w:name="_Hlk14597801"/>
    <w:p w14:paraId="401F8227" w14:textId="7EC18E64" w:rsidR="00E61A6B" w:rsidRPr="00E61A6B" w:rsidRDefault="008D610B" w:rsidP="00E61A6B">
      <w:pPr>
        <w:widowControl w:val="0"/>
        <w:autoSpaceDE w:val="0"/>
        <w:autoSpaceDN w:val="0"/>
        <w:adjustRightInd w:val="0"/>
        <w:spacing w:line="480" w:lineRule="auto"/>
        <w:ind w:left="640" w:hanging="640"/>
        <w:rPr>
          <w:rFonts w:ascii="Calibri Light" w:hAnsi="Calibri Light" w:cs="Times New Roman"/>
          <w:noProof/>
          <w:szCs w:val="24"/>
        </w:rPr>
      </w:pPr>
      <w:r w:rsidRPr="00C96B0F">
        <w:rPr>
          <w:rFonts w:asciiTheme="majorHAnsi" w:hAnsiTheme="majorHAnsi"/>
        </w:rPr>
        <w:fldChar w:fldCharType="begin" w:fldLock="1"/>
      </w:r>
      <w:r w:rsidRPr="00C96B0F">
        <w:rPr>
          <w:rFonts w:asciiTheme="majorHAnsi" w:hAnsiTheme="majorHAnsi"/>
        </w:rPr>
        <w:instrText xml:space="preserve">ADDIN Mendeley Bibliography CSL_BIBLIOGRAPHY </w:instrText>
      </w:r>
      <w:r w:rsidRPr="00C96B0F">
        <w:rPr>
          <w:rFonts w:asciiTheme="majorHAnsi" w:hAnsiTheme="majorHAnsi"/>
        </w:rPr>
        <w:fldChar w:fldCharType="separate"/>
      </w:r>
      <w:r w:rsidR="00E61A6B" w:rsidRPr="00E61A6B">
        <w:rPr>
          <w:rFonts w:ascii="Calibri Light" w:hAnsi="Calibri Light" w:cs="Times New Roman"/>
          <w:noProof/>
          <w:szCs w:val="24"/>
        </w:rPr>
        <w:t xml:space="preserve">1. </w:t>
      </w:r>
      <w:r w:rsidR="00E61A6B" w:rsidRPr="00E61A6B">
        <w:rPr>
          <w:rFonts w:ascii="Calibri Light" w:hAnsi="Calibri Light" w:cs="Times New Roman"/>
          <w:noProof/>
          <w:szCs w:val="24"/>
        </w:rPr>
        <w:tab/>
        <w:t>Global Introduction Status | Rota Council [Internet]. [cited 2019 Oct 16]. Available from: http://rotacouncil.org/vaccine-introduction/global-introduction-status/</w:t>
      </w:r>
    </w:p>
    <w:p w14:paraId="13D0F7D9"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2. </w:t>
      </w:r>
      <w:r w:rsidRPr="00E61A6B">
        <w:rPr>
          <w:rFonts w:ascii="Calibri Light" w:hAnsi="Calibri Light" w:cs="Times New Roman"/>
          <w:noProof/>
          <w:szCs w:val="24"/>
        </w:rPr>
        <w:tab/>
        <w:t xml:space="preserve">Parashar UD, Johnson H, Steele AD, Tate JE. Health Impact of Rotavirus Vaccination in Developing Countries: Progress and Way Forward. Clin Infect Dis. 2016 May 1;62(suppl 2):S91–5. </w:t>
      </w:r>
    </w:p>
    <w:p w14:paraId="52C105F7"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3. </w:t>
      </w:r>
      <w:r w:rsidRPr="00E61A6B">
        <w:rPr>
          <w:rFonts w:ascii="Calibri Light" w:hAnsi="Calibri Light" w:cs="Times New Roman"/>
          <w:noProof/>
          <w:szCs w:val="24"/>
        </w:rPr>
        <w:tab/>
        <w:t xml:space="preserve">Platts-Mills JA, Amour C, Gratz J, Nshama R, Walongo T, Mujaga B, et al. Impact of Rotavirus Vaccine Introduction and Postintroduction Etiology of Diarrhea Requiring Hospital Admission in Haydom, Tanzania, a Rural African Setting. Clin Infect Dis. 2017 May 29;62:S213-9. </w:t>
      </w:r>
    </w:p>
    <w:p w14:paraId="520EAF2B"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4. </w:t>
      </w:r>
      <w:r w:rsidRPr="00E61A6B">
        <w:rPr>
          <w:rFonts w:ascii="Calibri Light" w:hAnsi="Calibri Light" w:cs="Times New Roman"/>
          <w:noProof/>
          <w:szCs w:val="24"/>
        </w:rPr>
        <w:tab/>
        <w:t xml:space="preserve">Bar-Zeev N, Jere KC, Bennett A, Pollock L, Tate JE, Nakagomi O, et al. Population Impact and Effectiveness of Monovalent Rotavirus Vaccination in Urban Malawian Children 3 Years after Vaccine Introduction: Ecological and Case-Control Analyses. Clin Infect Dis. 2016;62(Suppl 2):S213–9. </w:t>
      </w:r>
    </w:p>
    <w:p w14:paraId="1862E7AE"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5. </w:t>
      </w:r>
      <w:r w:rsidRPr="00E61A6B">
        <w:rPr>
          <w:rFonts w:ascii="Calibri Light" w:hAnsi="Calibri Light" w:cs="Times New Roman"/>
          <w:noProof/>
          <w:szCs w:val="24"/>
        </w:rPr>
        <w:tab/>
        <w:t xml:space="preserve">Kang G, Iturriza-Gomara M, Wheeler JG, Crystal P, Monica B, Ramani S, et al. Quantitation of group A rotavirus by real-time reverse-transcription-polymerase chain reaction: correlation with clinical severity in children in South India. J Med Virol. 2004/03/26. 2004;73(1):118–22. </w:t>
      </w:r>
    </w:p>
    <w:p w14:paraId="255EB6A2"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6. </w:t>
      </w:r>
      <w:r w:rsidRPr="00E61A6B">
        <w:rPr>
          <w:rFonts w:ascii="Calibri Light" w:hAnsi="Calibri Light" w:cs="Times New Roman"/>
          <w:noProof/>
          <w:szCs w:val="24"/>
        </w:rPr>
        <w:tab/>
        <w:t xml:space="preserve">Richardson S, Grimwood K, Gorrell R, Palombo E, Barnes G, Bishop R. Extended excretion of rotavirus after severe diarrhoea in young children. Lancet. 1998/07/04. 1998;351(9119):1844–8. </w:t>
      </w:r>
    </w:p>
    <w:p w14:paraId="3D913613"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7. </w:t>
      </w:r>
      <w:r w:rsidRPr="00E61A6B">
        <w:rPr>
          <w:rFonts w:ascii="Calibri Light" w:hAnsi="Calibri Light" w:cs="Times New Roman"/>
          <w:noProof/>
          <w:szCs w:val="24"/>
        </w:rPr>
        <w:tab/>
        <w:t xml:space="preserve">Mukhopadhya I, Sarkar R, Menon VK, Babji S, Paul A, Rajendran P, et al. Rotavirus shedding in symptomatic and asymptomatic children using reverse transcription-quantitative PCR. J Med Virol. 2013/06/19. 2013;85(9):1661–8. </w:t>
      </w:r>
    </w:p>
    <w:p w14:paraId="06D44CD9"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lastRenderedPageBreak/>
        <w:t xml:space="preserve">8. </w:t>
      </w:r>
      <w:r w:rsidRPr="00E61A6B">
        <w:rPr>
          <w:rFonts w:ascii="Calibri Light" w:hAnsi="Calibri Light" w:cs="Times New Roman"/>
          <w:noProof/>
          <w:szCs w:val="24"/>
        </w:rPr>
        <w:tab/>
        <w:t xml:space="preserve">World Health Organisation. WHO child growth standards and the identification of severe acute malnutrition in infants and children. WHO/UNICEF joint statement. 2009. </w:t>
      </w:r>
    </w:p>
    <w:p w14:paraId="1994E16C"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9. </w:t>
      </w:r>
      <w:r w:rsidRPr="00E61A6B">
        <w:rPr>
          <w:rFonts w:ascii="Calibri Light" w:hAnsi="Calibri Light" w:cs="Times New Roman"/>
          <w:noProof/>
          <w:szCs w:val="24"/>
        </w:rPr>
        <w:tab/>
        <w:t xml:space="preserve">Ministry of health Malawi. Clinical Management of HIV in Children and Adults. 2011. </w:t>
      </w:r>
    </w:p>
    <w:p w14:paraId="7F98B5BC"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10. </w:t>
      </w:r>
      <w:r w:rsidRPr="00E61A6B">
        <w:rPr>
          <w:rFonts w:ascii="Calibri Light" w:hAnsi="Calibri Light" w:cs="Times New Roman"/>
          <w:noProof/>
          <w:szCs w:val="24"/>
        </w:rPr>
        <w:tab/>
        <w:t xml:space="preserve">Freeman MM, Kerin T, Hull J, McCaustland K, Gentsch J. Enhancement of detection and quantification of rotavirus in stool using a modified real-time RT-PCR assay. J Med Virol. 2008/06/14. 2008 Aug 1;80(8):1489–96. </w:t>
      </w:r>
    </w:p>
    <w:p w14:paraId="2080F4C5"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11. </w:t>
      </w:r>
      <w:r w:rsidRPr="00E61A6B">
        <w:rPr>
          <w:rFonts w:ascii="Calibri Light" w:hAnsi="Calibri Light" w:cs="Times New Roman"/>
          <w:noProof/>
          <w:szCs w:val="24"/>
        </w:rPr>
        <w:tab/>
        <w:t xml:space="preserve">Bernstein DI, Sack DA, Rothstein E, Reisinger K, Smith VE, O’Sullivan D, et al. Efficacy of live, attenuated, human rotavirus vaccine 89-12 in infants: a randomised placebo-controlled trial. Lancet. 1999;354(9175):287–90. </w:t>
      </w:r>
    </w:p>
    <w:p w14:paraId="0E3AECA1"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12. </w:t>
      </w:r>
      <w:r w:rsidRPr="00E61A6B">
        <w:rPr>
          <w:rFonts w:ascii="Calibri Light" w:hAnsi="Calibri Light" w:cs="Times New Roman"/>
          <w:noProof/>
          <w:szCs w:val="24"/>
        </w:rPr>
        <w:tab/>
        <w:t xml:space="preserve">Angel J, Franco MA, Greenberg HB. Rotavirus immune responses and correlates of protection. Curr Opin Virol. 2012;2(4):419–25. </w:t>
      </w:r>
    </w:p>
    <w:p w14:paraId="0594A5C6"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13. </w:t>
      </w:r>
      <w:r w:rsidRPr="00E61A6B">
        <w:rPr>
          <w:rFonts w:ascii="Calibri Light" w:hAnsi="Calibri Light" w:cs="Times New Roman"/>
          <w:noProof/>
          <w:szCs w:val="24"/>
        </w:rPr>
        <w:tab/>
        <w:t xml:space="preserve">Bennett A, Bar-Zeev N, Jere KC, Tate JE, Parashar UD, Nakagomi O, et al. Determination of a viral load threshold to distinguish symptomatic versus asymptomatic rotavirus infection in a high-disease-Burden African population. J Clin Microbiol. 2015;53(6):1951–4. </w:t>
      </w:r>
    </w:p>
    <w:p w14:paraId="32A842C5"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14. </w:t>
      </w:r>
      <w:r w:rsidRPr="00E61A6B">
        <w:rPr>
          <w:rFonts w:ascii="Calibri Light" w:hAnsi="Calibri Light" w:cs="Times New Roman"/>
          <w:noProof/>
          <w:szCs w:val="24"/>
        </w:rPr>
        <w:tab/>
        <w:t xml:space="preserve">Hjelt K, Grauballe PC, Schiotz PO, Andersen L, Krasilnikoff PA. Intestinal and serum immune response to a naturally acquired rotavirus gastroenteritis in children. J Pediatr Gastroenterol Nutr. 1985/02/01. 1985;4(1):60–6. </w:t>
      </w:r>
    </w:p>
    <w:p w14:paraId="7C164EFD"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15. </w:t>
      </w:r>
      <w:r w:rsidRPr="00E61A6B">
        <w:rPr>
          <w:rFonts w:ascii="Calibri Light" w:hAnsi="Calibri Light" w:cs="Times New Roman"/>
          <w:noProof/>
          <w:szCs w:val="24"/>
        </w:rPr>
        <w:tab/>
        <w:t xml:space="preserve">Premkumar P, Lopman B, Ramani S, Paul A, Gladstone B, Muliyil J, et al. Association of serum antibodies with protection against rotavirus infection and disease in South Indian children. Vaccine. 2014/08/06. 2014;32 Suppl 1:A55-61. </w:t>
      </w:r>
    </w:p>
    <w:p w14:paraId="7EE12E6D"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cs="Times New Roman"/>
          <w:noProof/>
          <w:szCs w:val="24"/>
        </w:rPr>
      </w:pPr>
      <w:r w:rsidRPr="00E61A6B">
        <w:rPr>
          <w:rFonts w:ascii="Calibri Light" w:hAnsi="Calibri Light" w:cs="Times New Roman"/>
          <w:noProof/>
          <w:szCs w:val="24"/>
        </w:rPr>
        <w:t xml:space="preserve">16. </w:t>
      </w:r>
      <w:r w:rsidRPr="00E61A6B">
        <w:rPr>
          <w:rFonts w:ascii="Calibri Light" w:hAnsi="Calibri Light" w:cs="Times New Roman"/>
          <w:noProof/>
          <w:szCs w:val="24"/>
        </w:rPr>
        <w:tab/>
        <w:t xml:space="preserve">Mei Z, Grummer-strawn LM. Standard deviation of anthropometric Z-scores as a data quality assessment tool using the 2006 WHO growth standards: a cross country analysis. Bull World Health Organ. 2013;85(6):1–7. </w:t>
      </w:r>
    </w:p>
    <w:p w14:paraId="1FBF08CE" w14:textId="77777777" w:rsidR="00E61A6B" w:rsidRPr="00E61A6B" w:rsidRDefault="00E61A6B" w:rsidP="00E61A6B">
      <w:pPr>
        <w:widowControl w:val="0"/>
        <w:autoSpaceDE w:val="0"/>
        <w:autoSpaceDN w:val="0"/>
        <w:adjustRightInd w:val="0"/>
        <w:spacing w:line="480" w:lineRule="auto"/>
        <w:ind w:left="640" w:hanging="640"/>
        <w:rPr>
          <w:rFonts w:ascii="Calibri Light" w:hAnsi="Calibri Light"/>
          <w:noProof/>
        </w:rPr>
      </w:pPr>
      <w:r w:rsidRPr="00E61A6B">
        <w:rPr>
          <w:rFonts w:ascii="Calibri Light" w:hAnsi="Calibri Light" w:cs="Times New Roman"/>
          <w:noProof/>
          <w:szCs w:val="24"/>
        </w:rPr>
        <w:lastRenderedPageBreak/>
        <w:t xml:space="preserve">17. </w:t>
      </w:r>
      <w:r w:rsidRPr="00E61A6B">
        <w:rPr>
          <w:rFonts w:ascii="Calibri Light" w:hAnsi="Calibri Light" w:cs="Times New Roman"/>
          <w:noProof/>
          <w:szCs w:val="24"/>
        </w:rPr>
        <w:tab/>
        <w:t xml:space="preserve">Mondal D, Minak J, Alam M, Liu Y, Dai J, Korpe P, et al. Contribution of enteric infection, altered intestinal barrier function, and maternal malnutrition to infant malnutrition in Bangladesh. Clin Infect Dis. 2012;54(2):185–92. </w:t>
      </w:r>
    </w:p>
    <w:p w14:paraId="3836D35D" w14:textId="77777777" w:rsidR="008D610B" w:rsidRPr="00C96B0F" w:rsidRDefault="008D610B" w:rsidP="008C4409">
      <w:pPr>
        <w:spacing w:line="480" w:lineRule="auto"/>
        <w:jc w:val="both"/>
        <w:rPr>
          <w:rFonts w:asciiTheme="majorHAnsi" w:hAnsiTheme="majorHAnsi"/>
        </w:rPr>
      </w:pPr>
      <w:r w:rsidRPr="00C96B0F">
        <w:rPr>
          <w:rFonts w:asciiTheme="majorHAnsi" w:hAnsiTheme="majorHAnsi"/>
        </w:rPr>
        <w:fldChar w:fldCharType="end"/>
      </w:r>
      <w:bookmarkEnd w:id="3"/>
      <w:bookmarkEnd w:id="4"/>
      <w:bookmarkEnd w:id="6"/>
      <w:bookmarkEnd w:id="7"/>
    </w:p>
    <w:bookmarkEnd w:id="5"/>
    <w:p w14:paraId="2A576922" w14:textId="0BC9FAC2" w:rsidR="009F6B5E" w:rsidRPr="00726169" w:rsidRDefault="00726169" w:rsidP="008C4409">
      <w:pPr>
        <w:spacing w:line="480" w:lineRule="auto"/>
        <w:jc w:val="both"/>
        <w:rPr>
          <w:rFonts w:asciiTheme="majorHAnsi" w:hAnsiTheme="majorHAnsi"/>
          <w:b/>
          <w:bCs/>
          <w:sz w:val="24"/>
          <w:szCs w:val="24"/>
        </w:rPr>
      </w:pPr>
      <w:r w:rsidRPr="00726169">
        <w:rPr>
          <w:rFonts w:asciiTheme="majorHAnsi" w:hAnsiTheme="majorHAnsi"/>
          <w:b/>
          <w:bCs/>
          <w:sz w:val="24"/>
          <w:szCs w:val="24"/>
        </w:rPr>
        <w:t>Figure legends</w:t>
      </w:r>
    </w:p>
    <w:p w14:paraId="0CBC4E2B" w14:textId="77777777" w:rsidR="00726169" w:rsidRPr="00726169" w:rsidRDefault="00726169" w:rsidP="00726169">
      <w:pPr>
        <w:spacing w:line="480" w:lineRule="auto"/>
        <w:jc w:val="both"/>
        <w:rPr>
          <w:rFonts w:asciiTheme="majorHAnsi" w:hAnsiTheme="majorHAnsi"/>
        </w:rPr>
      </w:pPr>
      <w:r w:rsidRPr="00726169">
        <w:rPr>
          <w:rFonts w:asciiTheme="majorHAnsi" w:hAnsiTheme="majorHAnsi"/>
        </w:rPr>
        <w:t>Figure 1. A) Rotavirus shedding over time in symptomatic children. Dots represent the raw data on log(viral load), and the red fitted line represents the regression line including a quadratic term to account for the non-linear nature of viral decay. Confidence bounds represent the 95% confidence limit on either side of the fitted value. Regression coefficients are given in Table S3. (B) Kaplan Meier Plot of time to cessation of shedding in index children. Analysis time is in days since symptom onset.</w:t>
      </w:r>
    </w:p>
    <w:p w14:paraId="61812530" w14:textId="77777777" w:rsidR="00526AD8" w:rsidRPr="00C96B0F" w:rsidRDefault="00526AD8" w:rsidP="008C4409">
      <w:pPr>
        <w:pStyle w:val="Default"/>
        <w:spacing w:line="480" w:lineRule="auto"/>
        <w:jc w:val="both"/>
        <w:rPr>
          <w:rFonts w:asciiTheme="majorHAnsi" w:hAnsiTheme="majorHAnsi"/>
          <w:sz w:val="22"/>
          <w:szCs w:val="22"/>
        </w:rPr>
      </w:pPr>
    </w:p>
    <w:p w14:paraId="6F67828E" w14:textId="77777777" w:rsidR="00526AD8" w:rsidRPr="00C96B0F" w:rsidRDefault="00526AD8" w:rsidP="008C4409">
      <w:pPr>
        <w:spacing w:line="480" w:lineRule="auto"/>
        <w:jc w:val="both"/>
        <w:rPr>
          <w:rFonts w:asciiTheme="majorHAnsi" w:hAnsiTheme="majorHAnsi"/>
        </w:rPr>
      </w:pPr>
    </w:p>
    <w:p w14:paraId="6A6199F5" w14:textId="470DFBA0" w:rsidR="00F14136" w:rsidRPr="00C96B0F" w:rsidRDefault="00F14136" w:rsidP="008C4409">
      <w:pPr>
        <w:spacing w:line="480" w:lineRule="auto"/>
        <w:jc w:val="both"/>
        <w:rPr>
          <w:rFonts w:asciiTheme="majorHAnsi" w:hAnsiTheme="majorHAnsi"/>
        </w:rPr>
      </w:pPr>
    </w:p>
    <w:p w14:paraId="7E7B1385" w14:textId="1E1CBBE0" w:rsidR="00B36736" w:rsidRPr="00C96B0F" w:rsidRDefault="00B36736" w:rsidP="008C4409">
      <w:pPr>
        <w:spacing w:line="480" w:lineRule="auto"/>
        <w:jc w:val="both"/>
        <w:rPr>
          <w:rFonts w:asciiTheme="majorHAnsi" w:hAnsiTheme="majorHAnsi"/>
        </w:rPr>
      </w:pPr>
    </w:p>
    <w:p w14:paraId="4F602F94" w14:textId="56FC6FBB" w:rsidR="00B36736" w:rsidRPr="00C96B0F" w:rsidRDefault="00B36736" w:rsidP="008C4409">
      <w:pPr>
        <w:spacing w:line="480" w:lineRule="auto"/>
        <w:jc w:val="both"/>
        <w:rPr>
          <w:rFonts w:asciiTheme="majorHAnsi" w:hAnsiTheme="majorHAnsi"/>
        </w:rPr>
      </w:pPr>
    </w:p>
    <w:p w14:paraId="2D573F36" w14:textId="6AEA7738" w:rsidR="00B36736" w:rsidRPr="00C96B0F" w:rsidRDefault="00B36736" w:rsidP="008C4409">
      <w:pPr>
        <w:spacing w:line="480" w:lineRule="auto"/>
        <w:jc w:val="both"/>
        <w:rPr>
          <w:rFonts w:asciiTheme="majorHAnsi" w:hAnsiTheme="majorHAnsi"/>
        </w:rPr>
      </w:pPr>
    </w:p>
    <w:p w14:paraId="3FEC92E2" w14:textId="75FEA908" w:rsidR="00B36736" w:rsidRPr="00C96B0F" w:rsidRDefault="00B36736" w:rsidP="008C4409">
      <w:pPr>
        <w:spacing w:line="480" w:lineRule="auto"/>
        <w:jc w:val="both"/>
        <w:rPr>
          <w:rFonts w:asciiTheme="majorHAnsi" w:hAnsiTheme="majorHAnsi"/>
        </w:rPr>
      </w:pPr>
    </w:p>
    <w:p w14:paraId="45A79603" w14:textId="4D74E190" w:rsidR="00B36736" w:rsidRPr="00C96B0F" w:rsidRDefault="00B36736" w:rsidP="008C4409">
      <w:pPr>
        <w:spacing w:line="480" w:lineRule="auto"/>
        <w:jc w:val="both"/>
        <w:rPr>
          <w:rFonts w:asciiTheme="majorHAnsi" w:hAnsiTheme="majorHAnsi"/>
        </w:rPr>
      </w:pPr>
    </w:p>
    <w:p w14:paraId="17FE2203" w14:textId="5E145C35" w:rsidR="00B36736" w:rsidRPr="00C96B0F" w:rsidRDefault="00B36736" w:rsidP="008C4409">
      <w:pPr>
        <w:spacing w:line="480" w:lineRule="auto"/>
        <w:jc w:val="both"/>
        <w:rPr>
          <w:rFonts w:asciiTheme="majorHAnsi" w:hAnsiTheme="majorHAnsi"/>
        </w:rPr>
      </w:pPr>
    </w:p>
    <w:p w14:paraId="4E225810" w14:textId="65102D8C" w:rsidR="00B36736" w:rsidRPr="00C96B0F" w:rsidRDefault="00B36736" w:rsidP="008C4409">
      <w:pPr>
        <w:spacing w:line="480" w:lineRule="auto"/>
        <w:jc w:val="both"/>
        <w:rPr>
          <w:rFonts w:asciiTheme="majorHAnsi" w:hAnsiTheme="majorHAnsi"/>
        </w:rPr>
      </w:pPr>
    </w:p>
    <w:p w14:paraId="38B0508A" w14:textId="4CD8F68C" w:rsidR="00B36736" w:rsidRPr="00C96B0F" w:rsidRDefault="00B36736" w:rsidP="008C4409">
      <w:pPr>
        <w:spacing w:line="480" w:lineRule="auto"/>
        <w:jc w:val="both"/>
        <w:rPr>
          <w:rFonts w:asciiTheme="majorHAnsi" w:hAnsiTheme="majorHAnsi"/>
        </w:rPr>
      </w:pPr>
    </w:p>
    <w:p w14:paraId="129CAFA8" w14:textId="5D2423D5" w:rsidR="00FE406E" w:rsidRPr="00C96B0F" w:rsidRDefault="00FE406E" w:rsidP="008C4409">
      <w:pPr>
        <w:spacing w:line="480" w:lineRule="auto"/>
        <w:jc w:val="both"/>
        <w:rPr>
          <w:rFonts w:asciiTheme="majorHAnsi" w:hAnsiTheme="majorHAnsi"/>
        </w:rPr>
      </w:pPr>
    </w:p>
    <w:sectPr w:rsidR="00FE406E" w:rsidRPr="00C96B0F" w:rsidSect="008C440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00007843"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Light (heavy)">
    <w:altName w:val="Calibri Light"/>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26E14"/>
    <w:multiLevelType w:val="hybridMultilevel"/>
    <w:tmpl w:val="AB78BE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F76A88"/>
    <w:multiLevelType w:val="hybridMultilevel"/>
    <w:tmpl w:val="6E66B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7C674C"/>
    <w:multiLevelType w:val="multilevel"/>
    <w:tmpl w:val="20189958"/>
    <w:lvl w:ilvl="0">
      <w:start w:val="6"/>
      <w:numFmt w:val="decimal"/>
      <w:lvlText w:val="%1"/>
      <w:lvlJc w:val="left"/>
      <w:pPr>
        <w:ind w:left="480" w:hanging="480"/>
      </w:pPr>
    </w:lvl>
    <w:lvl w:ilvl="1">
      <w:start w:val="3"/>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8A93F31"/>
    <w:multiLevelType w:val="hybridMultilevel"/>
    <w:tmpl w:val="20A81D5C"/>
    <w:lvl w:ilvl="0" w:tplc="86527D2A">
      <w:start w:val="1"/>
      <w:numFmt w:val="lowerRoman"/>
      <w:lvlText w:val="%1)"/>
      <w:lvlJc w:val="left"/>
      <w:pPr>
        <w:ind w:left="720" w:hanging="72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9333EE"/>
    <w:multiLevelType w:val="multilevel"/>
    <w:tmpl w:val="DC064D88"/>
    <w:lvl w:ilvl="0">
      <w:start w:val="6"/>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8D81235"/>
    <w:multiLevelType w:val="hybridMultilevel"/>
    <w:tmpl w:val="44246C72"/>
    <w:lvl w:ilvl="0" w:tplc="0809000F">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CBB4AF7"/>
    <w:multiLevelType w:val="hybridMultilevel"/>
    <w:tmpl w:val="3C7CC4E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587A05DA"/>
    <w:multiLevelType w:val="hybridMultilevel"/>
    <w:tmpl w:val="54082BD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1"/>
  </w:num>
  <w:num w:numId="5">
    <w:abstractNumId w:val="7"/>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6"/>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C23"/>
    <w:rsid w:val="00000CC5"/>
    <w:rsid w:val="0000582A"/>
    <w:rsid w:val="00005B4E"/>
    <w:rsid w:val="00012B65"/>
    <w:rsid w:val="00015BEB"/>
    <w:rsid w:val="000201AE"/>
    <w:rsid w:val="00031A16"/>
    <w:rsid w:val="00032BB6"/>
    <w:rsid w:val="00052DA3"/>
    <w:rsid w:val="00062DAC"/>
    <w:rsid w:val="00064EE6"/>
    <w:rsid w:val="0006650A"/>
    <w:rsid w:val="00076934"/>
    <w:rsid w:val="00091807"/>
    <w:rsid w:val="000A03BC"/>
    <w:rsid w:val="000A137A"/>
    <w:rsid w:val="000A23E1"/>
    <w:rsid w:val="000A78DC"/>
    <w:rsid w:val="000B353A"/>
    <w:rsid w:val="000C10C2"/>
    <w:rsid w:val="000D0610"/>
    <w:rsid w:val="000D1500"/>
    <w:rsid w:val="000E4CB4"/>
    <w:rsid w:val="000E5D48"/>
    <w:rsid w:val="000E66E8"/>
    <w:rsid w:val="000F1479"/>
    <w:rsid w:val="00116EBD"/>
    <w:rsid w:val="001172E9"/>
    <w:rsid w:val="00121704"/>
    <w:rsid w:val="0012356D"/>
    <w:rsid w:val="00131E7F"/>
    <w:rsid w:val="001342D2"/>
    <w:rsid w:val="00151A9E"/>
    <w:rsid w:val="00154B62"/>
    <w:rsid w:val="001572F3"/>
    <w:rsid w:val="001763F7"/>
    <w:rsid w:val="0018162A"/>
    <w:rsid w:val="0018570E"/>
    <w:rsid w:val="00186DAA"/>
    <w:rsid w:val="001878A4"/>
    <w:rsid w:val="001968CB"/>
    <w:rsid w:val="001A339E"/>
    <w:rsid w:val="001B0FEE"/>
    <w:rsid w:val="001B3739"/>
    <w:rsid w:val="001B7772"/>
    <w:rsid w:val="001B79CE"/>
    <w:rsid w:val="001D5E34"/>
    <w:rsid w:val="001F3151"/>
    <w:rsid w:val="001F791E"/>
    <w:rsid w:val="00203CC8"/>
    <w:rsid w:val="00212120"/>
    <w:rsid w:val="0021560E"/>
    <w:rsid w:val="00223FB4"/>
    <w:rsid w:val="00230088"/>
    <w:rsid w:val="00244EC6"/>
    <w:rsid w:val="00256928"/>
    <w:rsid w:val="00263F29"/>
    <w:rsid w:val="00273211"/>
    <w:rsid w:val="00273A50"/>
    <w:rsid w:val="00276396"/>
    <w:rsid w:val="0028755C"/>
    <w:rsid w:val="002B178A"/>
    <w:rsid w:val="002B23A3"/>
    <w:rsid w:val="002C4DF5"/>
    <w:rsid w:val="002D7209"/>
    <w:rsid w:val="002E0D8C"/>
    <w:rsid w:val="002E6B17"/>
    <w:rsid w:val="002E7EC1"/>
    <w:rsid w:val="002F0FD2"/>
    <w:rsid w:val="002F3AA9"/>
    <w:rsid w:val="002F67C6"/>
    <w:rsid w:val="003170CA"/>
    <w:rsid w:val="00323C86"/>
    <w:rsid w:val="00325467"/>
    <w:rsid w:val="00332D6F"/>
    <w:rsid w:val="003368DD"/>
    <w:rsid w:val="00347C40"/>
    <w:rsid w:val="00353E92"/>
    <w:rsid w:val="00361FC1"/>
    <w:rsid w:val="00370129"/>
    <w:rsid w:val="003843B0"/>
    <w:rsid w:val="00394971"/>
    <w:rsid w:val="003A1BB4"/>
    <w:rsid w:val="00402395"/>
    <w:rsid w:val="004032CC"/>
    <w:rsid w:val="004033C0"/>
    <w:rsid w:val="004122F1"/>
    <w:rsid w:val="004218C3"/>
    <w:rsid w:val="00421D26"/>
    <w:rsid w:val="00424ED1"/>
    <w:rsid w:val="004258C8"/>
    <w:rsid w:val="00431B41"/>
    <w:rsid w:val="0045209B"/>
    <w:rsid w:val="004570DE"/>
    <w:rsid w:val="00457C14"/>
    <w:rsid w:val="0048579C"/>
    <w:rsid w:val="004904F4"/>
    <w:rsid w:val="00491095"/>
    <w:rsid w:val="00496C3B"/>
    <w:rsid w:val="004A6E6A"/>
    <w:rsid w:val="004B3A7A"/>
    <w:rsid w:val="004F579C"/>
    <w:rsid w:val="00504F25"/>
    <w:rsid w:val="00505046"/>
    <w:rsid w:val="00513A6E"/>
    <w:rsid w:val="00526AD8"/>
    <w:rsid w:val="00531036"/>
    <w:rsid w:val="00531B92"/>
    <w:rsid w:val="00537928"/>
    <w:rsid w:val="00543554"/>
    <w:rsid w:val="005435DA"/>
    <w:rsid w:val="00552A84"/>
    <w:rsid w:val="00560919"/>
    <w:rsid w:val="00582864"/>
    <w:rsid w:val="00586836"/>
    <w:rsid w:val="005A13C5"/>
    <w:rsid w:val="005B02C2"/>
    <w:rsid w:val="005B12C8"/>
    <w:rsid w:val="005B2B7A"/>
    <w:rsid w:val="005B70DA"/>
    <w:rsid w:val="005B78D1"/>
    <w:rsid w:val="005B7E79"/>
    <w:rsid w:val="005C5BF6"/>
    <w:rsid w:val="005C5E51"/>
    <w:rsid w:val="005C6EE1"/>
    <w:rsid w:val="005E14E7"/>
    <w:rsid w:val="005E5DF3"/>
    <w:rsid w:val="005F1D60"/>
    <w:rsid w:val="005F3C5E"/>
    <w:rsid w:val="005F6CCE"/>
    <w:rsid w:val="00604300"/>
    <w:rsid w:val="006148EF"/>
    <w:rsid w:val="00623E28"/>
    <w:rsid w:val="00642C6C"/>
    <w:rsid w:val="006565BF"/>
    <w:rsid w:val="00663040"/>
    <w:rsid w:val="00663A64"/>
    <w:rsid w:val="00670B50"/>
    <w:rsid w:val="00680F0B"/>
    <w:rsid w:val="00683CE5"/>
    <w:rsid w:val="00685C98"/>
    <w:rsid w:val="006A08D2"/>
    <w:rsid w:val="006B0D2F"/>
    <w:rsid w:val="006B31E3"/>
    <w:rsid w:val="006B5B69"/>
    <w:rsid w:val="006D1FF3"/>
    <w:rsid w:val="006D7157"/>
    <w:rsid w:val="006E20F3"/>
    <w:rsid w:val="006E4458"/>
    <w:rsid w:val="006F05BE"/>
    <w:rsid w:val="006F2925"/>
    <w:rsid w:val="006F446B"/>
    <w:rsid w:val="006F6537"/>
    <w:rsid w:val="0070242F"/>
    <w:rsid w:val="00703AAF"/>
    <w:rsid w:val="00707863"/>
    <w:rsid w:val="00711489"/>
    <w:rsid w:val="0072367B"/>
    <w:rsid w:val="00726169"/>
    <w:rsid w:val="0072632D"/>
    <w:rsid w:val="00735D52"/>
    <w:rsid w:val="007547DE"/>
    <w:rsid w:val="00754C23"/>
    <w:rsid w:val="00766250"/>
    <w:rsid w:val="00770C01"/>
    <w:rsid w:val="00785223"/>
    <w:rsid w:val="00791BD9"/>
    <w:rsid w:val="00794926"/>
    <w:rsid w:val="00797546"/>
    <w:rsid w:val="007A1151"/>
    <w:rsid w:val="007C0FBB"/>
    <w:rsid w:val="007E0F03"/>
    <w:rsid w:val="007E2022"/>
    <w:rsid w:val="007F0622"/>
    <w:rsid w:val="008054DF"/>
    <w:rsid w:val="00805D5F"/>
    <w:rsid w:val="008470A4"/>
    <w:rsid w:val="00855F2D"/>
    <w:rsid w:val="008A7CD6"/>
    <w:rsid w:val="008B4D23"/>
    <w:rsid w:val="008C035D"/>
    <w:rsid w:val="008C4409"/>
    <w:rsid w:val="008D610B"/>
    <w:rsid w:val="008D7F0E"/>
    <w:rsid w:val="008E0097"/>
    <w:rsid w:val="008E04BA"/>
    <w:rsid w:val="008F622F"/>
    <w:rsid w:val="009000E0"/>
    <w:rsid w:val="00921C0A"/>
    <w:rsid w:val="00924411"/>
    <w:rsid w:val="009276DF"/>
    <w:rsid w:val="009311BB"/>
    <w:rsid w:val="00931B4D"/>
    <w:rsid w:val="0094234F"/>
    <w:rsid w:val="0094291D"/>
    <w:rsid w:val="0096162C"/>
    <w:rsid w:val="009676EC"/>
    <w:rsid w:val="00967965"/>
    <w:rsid w:val="0097704E"/>
    <w:rsid w:val="00994443"/>
    <w:rsid w:val="009A100B"/>
    <w:rsid w:val="009A6C20"/>
    <w:rsid w:val="009A6E9B"/>
    <w:rsid w:val="009A72D7"/>
    <w:rsid w:val="009B063B"/>
    <w:rsid w:val="009B2DFA"/>
    <w:rsid w:val="009B79C6"/>
    <w:rsid w:val="009C4082"/>
    <w:rsid w:val="009D3F81"/>
    <w:rsid w:val="009D574F"/>
    <w:rsid w:val="009D7DA8"/>
    <w:rsid w:val="009F5DCE"/>
    <w:rsid w:val="009F6B5E"/>
    <w:rsid w:val="00A15839"/>
    <w:rsid w:val="00A22BE4"/>
    <w:rsid w:val="00A33C58"/>
    <w:rsid w:val="00A4367E"/>
    <w:rsid w:val="00A474DF"/>
    <w:rsid w:val="00A513A6"/>
    <w:rsid w:val="00A514F3"/>
    <w:rsid w:val="00A62735"/>
    <w:rsid w:val="00A63BDC"/>
    <w:rsid w:val="00A647B5"/>
    <w:rsid w:val="00A86E12"/>
    <w:rsid w:val="00A92EDC"/>
    <w:rsid w:val="00A96861"/>
    <w:rsid w:val="00AB4E41"/>
    <w:rsid w:val="00AB5340"/>
    <w:rsid w:val="00AB54BB"/>
    <w:rsid w:val="00AD1A2D"/>
    <w:rsid w:val="00AD2978"/>
    <w:rsid w:val="00AD2B4C"/>
    <w:rsid w:val="00AD2FF5"/>
    <w:rsid w:val="00AE0E29"/>
    <w:rsid w:val="00AE132E"/>
    <w:rsid w:val="00AE1B87"/>
    <w:rsid w:val="00AF08CF"/>
    <w:rsid w:val="00AF35A3"/>
    <w:rsid w:val="00B04234"/>
    <w:rsid w:val="00B21ED9"/>
    <w:rsid w:val="00B240D4"/>
    <w:rsid w:val="00B32244"/>
    <w:rsid w:val="00B35B52"/>
    <w:rsid w:val="00B36736"/>
    <w:rsid w:val="00B37D90"/>
    <w:rsid w:val="00B43E58"/>
    <w:rsid w:val="00B4780D"/>
    <w:rsid w:val="00B5087E"/>
    <w:rsid w:val="00B50DD3"/>
    <w:rsid w:val="00B55C87"/>
    <w:rsid w:val="00B654B9"/>
    <w:rsid w:val="00B83C57"/>
    <w:rsid w:val="00B83E3A"/>
    <w:rsid w:val="00B87B14"/>
    <w:rsid w:val="00B95C62"/>
    <w:rsid w:val="00BB02E9"/>
    <w:rsid w:val="00BB1017"/>
    <w:rsid w:val="00BC0A1B"/>
    <w:rsid w:val="00BC381C"/>
    <w:rsid w:val="00BC65F3"/>
    <w:rsid w:val="00BD6358"/>
    <w:rsid w:val="00BE39DF"/>
    <w:rsid w:val="00C01162"/>
    <w:rsid w:val="00C014B7"/>
    <w:rsid w:val="00C02F08"/>
    <w:rsid w:val="00C17B5E"/>
    <w:rsid w:val="00C23B06"/>
    <w:rsid w:val="00C42AD5"/>
    <w:rsid w:val="00C454D4"/>
    <w:rsid w:val="00C573D9"/>
    <w:rsid w:val="00C6043C"/>
    <w:rsid w:val="00C66D32"/>
    <w:rsid w:val="00C75DB4"/>
    <w:rsid w:val="00C75EF5"/>
    <w:rsid w:val="00C87D2F"/>
    <w:rsid w:val="00C9324A"/>
    <w:rsid w:val="00C96B0F"/>
    <w:rsid w:val="00C976FC"/>
    <w:rsid w:val="00CB0E89"/>
    <w:rsid w:val="00CC6B26"/>
    <w:rsid w:val="00CE20A3"/>
    <w:rsid w:val="00CE4F2E"/>
    <w:rsid w:val="00D02778"/>
    <w:rsid w:val="00D05ACB"/>
    <w:rsid w:val="00D070ED"/>
    <w:rsid w:val="00D1049F"/>
    <w:rsid w:val="00D15834"/>
    <w:rsid w:val="00D27C36"/>
    <w:rsid w:val="00D309D5"/>
    <w:rsid w:val="00D34751"/>
    <w:rsid w:val="00D40DBA"/>
    <w:rsid w:val="00D50267"/>
    <w:rsid w:val="00D50FA4"/>
    <w:rsid w:val="00D53AB9"/>
    <w:rsid w:val="00D55E50"/>
    <w:rsid w:val="00D7542E"/>
    <w:rsid w:val="00D80B68"/>
    <w:rsid w:val="00D9564D"/>
    <w:rsid w:val="00DA31DF"/>
    <w:rsid w:val="00DA5F0C"/>
    <w:rsid w:val="00DB3432"/>
    <w:rsid w:val="00DB3940"/>
    <w:rsid w:val="00DB3D54"/>
    <w:rsid w:val="00DB7840"/>
    <w:rsid w:val="00DC26E0"/>
    <w:rsid w:val="00DC3785"/>
    <w:rsid w:val="00DC3B64"/>
    <w:rsid w:val="00DC7ED6"/>
    <w:rsid w:val="00DD1ED0"/>
    <w:rsid w:val="00DD44E7"/>
    <w:rsid w:val="00DD4703"/>
    <w:rsid w:val="00DE1C13"/>
    <w:rsid w:val="00DE35FA"/>
    <w:rsid w:val="00DF0589"/>
    <w:rsid w:val="00E0165B"/>
    <w:rsid w:val="00E025E2"/>
    <w:rsid w:val="00E036BF"/>
    <w:rsid w:val="00E05C90"/>
    <w:rsid w:val="00E12132"/>
    <w:rsid w:val="00E1323F"/>
    <w:rsid w:val="00E241E0"/>
    <w:rsid w:val="00E26086"/>
    <w:rsid w:val="00E330CA"/>
    <w:rsid w:val="00E431DE"/>
    <w:rsid w:val="00E43F58"/>
    <w:rsid w:val="00E53BC4"/>
    <w:rsid w:val="00E5412B"/>
    <w:rsid w:val="00E543D2"/>
    <w:rsid w:val="00E61A6B"/>
    <w:rsid w:val="00E83195"/>
    <w:rsid w:val="00E8345D"/>
    <w:rsid w:val="00E90A58"/>
    <w:rsid w:val="00E975A1"/>
    <w:rsid w:val="00EA1E7B"/>
    <w:rsid w:val="00EC5892"/>
    <w:rsid w:val="00ED5971"/>
    <w:rsid w:val="00EE0679"/>
    <w:rsid w:val="00EE1CB6"/>
    <w:rsid w:val="00EE5A67"/>
    <w:rsid w:val="00EF262D"/>
    <w:rsid w:val="00EF474B"/>
    <w:rsid w:val="00EF7909"/>
    <w:rsid w:val="00F00927"/>
    <w:rsid w:val="00F11CE8"/>
    <w:rsid w:val="00F13795"/>
    <w:rsid w:val="00F14136"/>
    <w:rsid w:val="00F16CD6"/>
    <w:rsid w:val="00F23181"/>
    <w:rsid w:val="00F250A2"/>
    <w:rsid w:val="00F27F61"/>
    <w:rsid w:val="00F70AE8"/>
    <w:rsid w:val="00F7266E"/>
    <w:rsid w:val="00F83725"/>
    <w:rsid w:val="00FA68A6"/>
    <w:rsid w:val="00FB2080"/>
    <w:rsid w:val="00FB416A"/>
    <w:rsid w:val="00FB531B"/>
    <w:rsid w:val="00FC23D4"/>
    <w:rsid w:val="00FD009B"/>
    <w:rsid w:val="00FD274A"/>
    <w:rsid w:val="00FE406E"/>
    <w:rsid w:val="00FE4098"/>
    <w:rsid w:val="00FE5EE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DB95A"/>
  <w15:docId w15:val="{4F47EFE9-D335-4B56-AEA6-0387B4BB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54C2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C23"/>
    <w:pPr>
      <w:ind w:left="720"/>
      <w:contextualSpacing/>
    </w:pPr>
  </w:style>
  <w:style w:type="paragraph" w:customStyle="1" w:styleId="DefaultStyle">
    <w:name w:val="Default Style"/>
    <w:uiPriority w:val="99"/>
    <w:rsid w:val="00754C23"/>
    <w:pPr>
      <w:suppressAutoHyphens/>
      <w:spacing w:after="200" w:line="276" w:lineRule="auto"/>
    </w:pPr>
    <w:rPr>
      <w:rFonts w:ascii="Calibri" w:eastAsia="SimSun" w:hAnsi="Calibri" w:cs="Calibri"/>
      <w:lang w:val="en-US"/>
    </w:rPr>
  </w:style>
  <w:style w:type="table" w:styleId="TableGrid">
    <w:name w:val="Table Grid"/>
    <w:basedOn w:val="TableNormal"/>
    <w:uiPriority w:val="39"/>
    <w:rsid w:val="00754C23"/>
    <w:pPr>
      <w:spacing w:after="0" w:line="240" w:lineRule="auto"/>
    </w:pPr>
    <w:rPr>
      <w:rFonts w:eastAsiaTheme="minorEastAsia"/>
      <w:sz w:val="24"/>
      <w:szCs w:val="24"/>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441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37928"/>
    <w:rPr>
      <w:sz w:val="16"/>
      <w:szCs w:val="16"/>
    </w:rPr>
  </w:style>
  <w:style w:type="paragraph" w:styleId="CommentText">
    <w:name w:val="annotation text"/>
    <w:basedOn w:val="Normal"/>
    <w:link w:val="CommentTextChar"/>
    <w:uiPriority w:val="99"/>
    <w:semiHidden/>
    <w:unhideWhenUsed/>
    <w:rsid w:val="00537928"/>
    <w:pPr>
      <w:spacing w:line="240" w:lineRule="auto"/>
    </w:pPr>
    <w:rPr>
      <w:sz w:val="20"/>
      <w:szCs w:val="20"/>
    </w:rPr>
  </w:style>
  <w:style w:type="character" w:customStyle="1" w:styleId="CommentTextChar">
    <w:name w:val="Comment Text Char"/>
    <w:basedOn w:val="DefaultParagraphFont"/>
    <w:link w:val="CommentText"/>
    <w:uiPriority w:val="99"/>
    <w:semiHidden/>
    <w:rsid w:val="00537928"/>
    <w:rPr>
      <w:sz w:val="20"/>
      <w:szCs w:val="20"/>
    </w:rPr>
  </w:style>
  <w:style w:type="paragraph" w:styleId="CommentSubject">
    <w:name w:val="annotation subject"/>
    <w:basedOn w:val="CommentText"/>
    <w:next w:val="CommentText"/>
    <w:link w:val="CommentSubjectChar"/>
    <w:uiPriority w:val="99"/>
    <w:semiHidden/>
    <w:unhideWhenUsed/>
    <w:rsid w:val="00537928"/>
    <w:rPr>
      <w:b/>
      <w:bCs/>
    </w:rPr>
  </w:style>
  <w:style w:type="character" w:customStyle="1" w:styleId="CommentSubjectChar">
    <w:name w:val="Comment Subject Char"/>
    <w:basedOn w:val="CommentTextChar"/>
    <w:link w:val="CommentSubject"/>
    <w:uiPriority w:val="99"/>
    <w:semiHidden/>
    <w:rsid w:val="00537928"/>
    <w:rPr>
      <w:b/>
      <w:bCs/>
      <w:sz w:val="20"/>
      <w:szCs w:val="20"/>
    </w:rPr>
  </w:style>
  <w:style w:type="paragraph" w:styleId="BalloonText">
    <w:name w:val="Balloon Text"/>
    <w:basedOn w:val="Normal"/>
    <w:link w:val="BalloonTextChar"/>
    <w:uiPriority w:val="99"/>
    <w:semiHidden/>
    <w:unhideWhenUsed/>
    <w:rsid w:val="005379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928"/>
    <w:rPr>
      <w:rFonts w:ascii="Segoe UI" w:hAnsi="Segoe UI" w:cs="Segoe UI"/>
      <w:sz w:val="18"/>
      <w:szCs w:val="18"/>
    </w:rPr>
  </w:style>
  <w:style w:type="character" w:styleId="Hyperlink">
    <w:name w:val="Hyperlink"/>
    <w:basedOn w:val="DefaultParagraphFont"/>
    <w:uiPriority w:val="99"/>
    <w:unhideWhenUsed/>
    <w:rsid w:val="00273211"/>
    <w:rPr>
      <w:color w:val="0563C1" w:themeColor="hyperlink"/>
      <w:u w:val="single"/>
    </w:rPr>
  </w:style>
  <w:style w:type="character" w:customStyle="1" w:styleId="UnresolvedMention1">
    <w:name w:val="Unresolved Mention1"/>
    <w:basedOn w:val="DefaultParagraphFont"/>
    <w:uiPriority w:val="99"/>
    <w:semiHidden/>
    <w:unhideWhenUsed/>
    <w:rsid w:val="00273211"/>
    <w:rPr>
      <w:color w:val="605E5C"/>
      <w:shd w:val="clear" w:color="auto" w:fill="E1DFDD"/>
    </w:rPr>
  </w:style>
  <w:style w:type="character" w:styleId="LineNumber">
    <w:name w:val="line number"/>
    <w:basedOn w:val="DefaultParagraphFont"/>
    <w:uiPriority w:val="99"/>
    <w:semiHidden/>
    <w:unhideWhenUsed/>
    <w:rsid w:val="008C4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9066">
      <w:bodyDiv w:val="1"/>
      <w:marLeft w:val="0"/>
      <w:marRight w:val="0"/>
      <w:marTop w:val="0"/>
      <w:marBottom w:val="0"/>
      <w:divBdr>
        <w:top w:val="none" w:sz="0" w:space="0" w:color="auto"/>
        <w:left w:val="none" w:sz="0" w:space="0" w:color="auto"/>
        <w:bottom w:val="none" w:sz="0" w:space="0" w:color="auto"/>
        <w:right w:val="none" w:sz="0" w:space="0" w:color="auto"/>
      </w:divBdr>
    </w:div>
    <w:div w:id="971716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bennett@sgu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bennett@sgul.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6A7CF-7828-4945-8682-96DCD29A5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13089</Words>
  <Characters>74608</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87522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aisleen bennett</dc:creator>
  <cp:lastModifiedBy>aisleen bennett</cp:lastModifiedBy>
  <cp:revision>3</cp:revision>
  <cp:lastPrinted>2019-03-08T13:28:00Z</cp:lastPrinted>
  <dcterms:created xsi:type="dcterms:W3CDTF">2019-10-16T14:26:00Z</dcterms:created>
  <dcterms:modified xsi:type="dcterms:W3CDTF">2019-10-17T13:42:00Z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ca978c6a-9cae-3112-a86f-9d2ffb4a4a0a</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8th edition</vt:lpwstr>
  </property>
  <property fmtid="{D5CDD505-2E9C-101B-9397-08002B2CF9AE}" pid="17" name="Mendeley Recent Style Id 6_1">
    <vt:lpwstr>http://csl.mendeley.com/styles/445859691/plos-2</vt:lpwstr>
  </property>
  <property fmtid="{D5CDD505-2E9C-101B-9397-08002B2CF9AE}" pid="18" name="Mendeley Recent Style Name 6_1">
    <vt:lpwstr>Public Library of Science - aisleen bennett</vt:lpwstr>
  </property>
  <property fmtid="{D5CDD505-2E9C-101B-9397-08002B2CF9AE}" pid="19" name="Mendeley Recent Style Id 7_1">
    <vt:lpwstr>http://www.zotero.org/styles/the-lancet</vt:lpwstr>
  </property>
  <property fmtid="{D5CDD505-2E9C-101B-9397-08002B2CF9AE}" pid="20" name="Mendeley Recent Style Name 7_1">
    <vt:lpwstr>The Lancet</vt:lpwstr>
  </property>
  <property fmtid="{D5CDD505-2E9C-101B-9397-08002B2CF9AE}" pid="21" name="Mendeley Recent Style Id 8_1">
    <vt:lpwstr>http://www.zotero.org/styles/vaccine</vt:lpwstr>
  </property>
  <property fmtid="{D5CDD505-2E9C-101B-9397-08002B2CF9AE}" pid="22" name="Mendeley Recent Style Name 8_1">
    <vt:lpwstr>Vaccine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