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CA" w:rsidRDefault="004E02CA" w:rsidP="004E02CA">
      <w:pPr>
        <w:spacing w:after="0" w:line="360" w:lineRule="auto"/>
        <w:contextualSpacing/>
        <w:jc w:val="center"/>
        <w:rPr>
          <w:rFonts w:cs="Times New Roman"/>
          <w:bCs/>
          <w:szCs w:val="24"/>
        </w:rPr>
      </w:pPr>
      <w:r>
        <w:rPr>
          <w:rFonts w:cs="Times New Roman"/>
          <w:bCs/>
          <w:szCs w:val="24"/>
        </w:rPr>
        <w:t>The development</w:t>
      </w:r>
      <w:r w:rsidRPr="0014792D">
        <w:rPr>
          <w:rFonts w:cs="Times New Roman"/>
          <w:bCs/>
          <w:szCs w:val="24"/>
        </w:rPr>
        <w:t xml:space="preserve"> </w:t>
      </w:r>
      <w:r>
        <w:rPr>
          <w:rFonts w:cs="Times New Roman"/>
          <w:bCs/>
          <w:szCs w:val="24"/>
        </w:rPr>
        <w:t xml:space="preserve">of the Primary Care Clusters </w:t>
      </w:r>
      <w:r w:rsidR="003E1C33">
        <w:rPr>
          <w:rFonts w:cs="Times New Roman"/>
          <w:bCs/>
          <w:szCs w:val="24"/>
        </w:rPr>
        <w:t xml:space="preserve">Multi-dimensional </w:t>
      </w:r>
      <w:r>
        <w:rPr>
          <w:rFonts w:cs="Times New Roman"/>
          <w:bCs/>
          <w:szCs w:val="24"/>
        </w:rPr>
        <w:t>Assessment (PCC</w:t>
      </w:r>
      <w:r w:rsidR="003E1C33">
        <w:rPr>
          <w:rFonts w:cs="Times New Roman"/>
          <w:bCs/>
          <w:szCs w:val="24"/>
        </w:rPr>
        <w:t>M</w:t>
      </w:r>
      <w:r>
        <w:rPr>
          <w:rFonts w:cs="Times New Roman"/>
          <w:bCs/>
          <w:szCs w:val="24"/>
        </w:rPr>
        <w:t>A)</w:t>
      </w:r>
      <w:r w:rsidRPr="0014792D">
        <w:rPr>
          <w:rFonts w:cs="Times New Roman"/>
          <w:bCs/>
          <w:szCs w:val="24"/>
        </w:rPr>
        <w:t xml:space="preserve">: a </w:t>
      </w:r>
      <w:r>
        <w:rPr>
          <w:rFonts w:cs="Times New Roman"/>
          <w:bCs/>
          <w:szCs w:val="24"/>
        </w:rPr>
        <w:t>mixed-methods</w:t>
      </w:r>
      <w:r w:rsidRPr="0014792D">
        <w:rPr>
          <w:rFonts w:cs="Times New Roman"/>
          <w:bCs/>
          <w:szCs w:val="24"/>
        </w:rPr>
        <w:t xml:space="preserve"> study</w:t>
      </w:r>
    </w:p>
    <w:p w:rsidR="00FE2B26" w:rsidRDefault="00FE2B26" w:rsidP="00FE2B26">
      <w:r>
        <w:t>DOI</w:t>
      </w:r>
      <w:r>
        <w:t xml:space="preserve">: </w:t>
      </w:r>
      <w:hyperlink r:id="rId9" w:tgtFrame="_blank" w:history="1">
        <w:r>
          <w:rPr>
            <w:rStyle w:val="Hyperlink"/>
          </w:rPr>
          <w:t>10.1016/j.healthpol.2019</w:t>
        </w:r>
        <w:r>
          <w:rPr>
            <w:rStyle w:val="Hyperlink"/>
          </w:rPr>
          <w:t>.</w:t>
        </w:r>
        <w:r>
          <w:rPr>
            <w:rStyle w:val="Hyperlink"/>
          </w:rPr>
          <w:t>12.004</w:t>
        </w:r>
      </w:hyperlink>
      <w:r>
        <w:t xml:space="preserve"> </w:t>
      </w:r>
    </w:p>
    <w:p w:rsidR="004E02CA" w:rsidRPr="001D6684" w:rsidRDefault="004E02CA" w:rsidP="004E02CA">
      <w:pPr>
        <w:spacing w:after="0" w:line="360" w:lineRule="auto"/>
        <w:contextualSpacing/>
        <w:jc w:val="both"/>
        <w:rPr>
          <w:rFonts w:cs="Times New Roman"/>
          <w:bCs/>
          <w:szCs w:val="24"/>
        </w:rPr>
      </w:pPr>
    </w:p>
    <w:p w:rsidR="004E02CA" w:rsidRPr="002D653E" w:rsidRDefault="004E02CA" w:rsidP="004E02CA">
      <w:pPr>
        <w:spacing w:after="0" w:line="360" w:lineRule="auto"/>
        <w:contextualSpacing/>
        <w:rPr>
          <w:rFonts w:cs="Times New Roman"/>
          <w:b/>
          <w:szCs w:val="24"/>
        </w:rPr>
      </w:pPr>
      <w:r w:rsidRPr="002D653E">
        <w:rPr>
          <w:rFonts w:cs="Times New Roman"/>
          <w:b/>
          <w:szCs w:val="24"/>
        </w:rPr>
        <w:t>Authors:</w:t>
      </w:r>
    </w:p>
    <w:p w:rsidR="004E02CA" w:rsidRPr="001D6684" w:rsidRDefault="004E02CA" w:rsidP="004E02CA">
      <w:pPr>
        <w:spacing w:after="0" w:line="360" w:lineRule="auto"/>
        <w:contextualSpacing/>
        <w:rPr>
          <w:rFonts w:cs="Times New Roman"/>
          <w:szCs w:val="24"/>
          <w:vertAlign w:val="superscript"/>
        </w:rPr>
      </w:pPr>
      <w:r w:rsidRPr="001D6684">
        <w:rPr>
          <w:rFonts w:cs="Times New Roman"/>
          <w:szCs w:val="24"/>
        </w:rPr>
        <w:t>Marian Andrei Stanciu</w:t>
      </w:r>
      <w:r w:rsidRPr="001D6684">
        <w:rPr>
          <w:rFonts w:cs="Times New Roman"/>
          <w:szCs w:val="24"/>
          <w:vertAlign w:val="superscript"/>
        </w:rPr>
        <w:t>1,2</w:t>
      </w:r>
    </w:p>
    <w:p w:rsidR="004E02CA" w:rsidRPr="001D6684" w:rsidRDefault="004E02CA" w:rsidP="004E02CA">
      <w:pPr>
        <w:spacing w:after="0" w:line="360" w:lineRule="auto"/>
        <w:contextualSpacing/>
        <w:rPr>
          <w:rFonts w:cs="Times New Roman"/>
          <w:szCs w:val="24"/>
          <w:vertAlign w:val="superscript"/>
        </w:rPr>
      </w:pPr>
      <w:r w:rsidRPr="001D6684">
        <w:rPr>
          <w:rFonts w:cs="Times New Roman"/>
          <w:szCs w:val="24"/>
        </w:rPr>
        <w:t>Rebecca-Jane Law</w:t>
      </w:r>
      <w:r w:rsidRPr="001D6684">
        <w:rPr>
          <w:rFonts w:cs="Times New Roman"/>
          <w:szCs w:val="24"/>
          <w:vertAlign w:val="superscript"/>
        </w:rPr>
        <w:t>1</w:t>
      </w:r>
    </w:p>
    <w:p w:rsidR="004E02CA" w:rsidRPr="00CB0373" w:rsidRDefault="004E02CA" w:rsidP="004E02CA">
      <w:pPr>
        <w:spacing w:after="0" w:line="360" w:lineRule="auto"/>
        <w:contextualSpacing/>
        <w:rPr>
          <w:rFonts w:cs="Times New Roman"/>
          <w:szCs w:val="24"/>
          <w:vertAlign w:val="superscript"/>
        </w:rPr>
      </w:pPr>
      <w:r>
        <w:rPr>
          <w:rFonts w:cs="Times New Roman"/>
          <w:szCs w:val="24"/>
        </w:rPr>
        <w:t>Paul Myres</w:t>
      </w:r>
      <w:r>
        <w:rPr>
          <w:rFonts w:cs="Times New Roman"/>
          <w:szCs w:val="24"/>
          <w:vertAlign w:val="superscript"/>
        </w:rPr>
        <w:t>3</w:t>
      </w:r>
    </w:p>
    <w:p w:rsidR="004E02CA" w:rsidRPr="001D6684" w:rsidRDefault="004E02CA" w:rsidP="004E02CA">
      <w:pPr>
        <w:spacing w:after="0" w:line="360" w:lineRule="auto"/>
        <w:contextualSpacing/>
        <w:rPr>
          <w:rFonts w:cs="Times New Roman"/>
          <w:szCs w:val="24"/>
          <w:vertAlign w:val="superscript"/>
        </w:rPr>
      </w:pPr>
      <w:r w:rsidRPr="001D6684">
        <w:rPr>
          <w:rFonts w:cs="Times New Roman"/>
          <w:szCs w:val="24"/>
        </w:rPr>
        <w:t>Rachel Parsonage</w:t>
      </w:r>
      <w:r w:rsidRPr="001D6684">
        <w:rPr>
          <w:rFonts w:cs="Times New Roman"/>
          <w:szCs w:val="24"/>
          <w:vertAlign w:val="superscript"/>
        </w:rPr>
        <w:t>1</w:t>
      </w:r>
    </w:p>
    <w:p w:rsidR="004E02CA" w:rsidRPr="001D6684" w:rsidRDefault="004E02CA" w:rsidP="004E02CA">
      <w:pPr>
        <w:spacing w:after="0" w:line="360" w:lineRule="auto"/>
        <w:contextualSpacing/>
        <w:rPr>
          <w:rFonts w:cs="Times New Roman"/>
          <w:szCs w:val="24"/>
          <w:vertAlign w:val="superscript"/>
        </w:rPr>
      </w:pPr>
      <w:r w:rsidRPr="001D6684">
        <w:rPr>
          <w:rFonts w:cs="Times New Roman"/>
          <w:szCs w:val="24"/>
        </w:rPr>
        <w:t>Julia Hiscock</w:t>
      </w:r>
      <w:r w:rsidRPr="001D6684">
        <w:rPr>
          <w:rFonts w:cs="Times New Roman"/>
          <w:szCs w:val="24"/>
          <w:vertAlign w:val="superscript"/>
        </w:rPr>
        <w:t>1</w:t>
      </w:r>
    </w:p>
    <w:p w:rsidR="004E02CA" w:rsidRPr="001D6684" w:rsidRDefault="004E02CA" w:rsidP="004E02CA">
      <w:pPr>
        <w:spacing w:after="0" w:line="360" w:lineRule="auto"/>
        <w:contextualSpacing/>
        <w:rPr>
          <w:rFonts w:cs="Times New Roman"/>
          <w:szCs w:val="24"/>
          <w:vertAlign w:val="superscript"/>
        </w:rPr>
      </w:pPr>
      <w:r w:rsidRPr="001D6684">
        <w:rPr>
          <w:rFonts w:cs="Times New Roman"/>
          <w:szCs w:val="24"/>
        </w:rPr>
        <w:t>Nefyn Williams</w:t>
      </w:r>
      <w:r>
        <w:rPr>
          <w:rFonts w:cs="Times New Roman"/>
          <w:szCs w:val="24"/>
          <w:vertAlign w:val="superscript"/>
        </w:rPr>
        <w:t>4</w:t>
      </w:r>
    </w:p>
    <w:p w:rsidR="004E02CA" w:rsidRPr="001D6684" w:rsidRDefault="004E02CA" w:rsidP="004E02CA">
      <w:pPr>
        <w:spacing w:after="0" w:line="360" w:lineRule="auto"/>
        <w:contextualSpacing/>
        <w:rPr>
          <w:rFonts w:cs="Times New Roman"/>
          <w:szCs w:val="24"/>
          <w:vertAlign w:val="superscript"/>
        </w:rPr>
      </w:pPr>
      <w:r w:rsidRPr="001D6684">
        <w:rPr>
          <w:rFonts w:cs="Times New Roman"/>
          <w:szCs w:val="24"/>
        </w:rPr>
        <w:t>Clare Wilkinson</w:t>
      </w:r>
      <w:r w:rsidRPr="001D6684">
        <w:rPr>
          <w:rFonts w:cs="Times New Roman"/>
          <w:szCs w:val="24"/>
          <w:vertAlign w:val="superscript"/>
        </w:rPr>
        <w:t>1</w:t>
      </w:r>
    </w:p>
    <w:p w:rsidR="004E02CA" w:rsidRPr="001D6684" w:rsidRDefault="004E02CA" w:rsidP="004E02CA">
      <w:pPr>
        <w:spacing w:after="0" w:line="360" w:lineRule="auto"/>
        <w:contextualSpacing/>
        <w:jc w:val="both"/>
        <w:rPr>
          <w:rFonts w:cs="Times New Roman"/>
          <w:bCs/>
          <w:szCs w:val="24"/>
        </w:rPr>
      </w:pPr>
    </w:p>
    <w:p w:rsidR="004E02CA" w:rsidRPr="001D6684" w:rsidRDefault="004E02CA" w:rsidP="004E02CA">
      <w:pPr>
        <w:spacing w:after="0" w:line="360" w:lineRule="auto"/>
        <w:contextualSpacing/>
        <w:rPr>
          <w:rFonts w:cs="Times New Roman"/>
          <w:szCs w:val="24"/>
        </w:rPr>
      </w:pPr>
      <w:r w:rsidRPr="001D6684">
        <w:rPr>
          <w:rFonts w:cs="Times New Roman"/>
          <w:szCs w:val="24"/>
          <w:vertAlign w:val="superscript"/>
        </w:rPr>
        <w:t xml:space="preserve">1 </w:t>
      </w:r>
      <w:r w:rsidRPr="001D6684">
        <w:rPr>
          <w:rFonts w:cs="Times New Roman"/>
          <w:szCs w:val="24"/>
        </w:rPr>
        <w:t>North Wales Centre for Primary Care Research, Bangor University, United Kingdom</w:t>
      </w:r>
    </w:p>
    <w:p w:rsidR="004E02CA" w:rsidRDefault="004E02CA" w:rsidP="004E02CA">
      <w:pPr>
        <w:spacing w:after="0" w:line="360" w:lineRule="auto"/>
        <w:contextualSpacing/>
        <w:rPr>
          <w:rFonts w:cs="Times New Roman"/>
          <w:szCs w:val="24"/>
        </w:rPr>
      </w:pPr>
      <w:r w:rsidRPr="001D6684">
        <w:rPr>
          <w:rFonts w:cs="Times New Roman"/>
          <w:szCs w:val="24"/>
          <w:vertAlign w:val="superscript"/>
        </w:rPr>
        <w:t xml:space="preserve">2 </w:t>
      </w:r>
      <w:r w:rsidRPr="001D6684">
        <w:rPr>
          <w:rFonts w:cs="Times New Roman"/>
          <w:szCs w:val="24"/>
        </w:rPr>
        <w:t>School of Medicine, Faculty of Medicine and Health Sciences, University of Nottingham, United Kingdom</w:t>
      </w:r>
    </w:p>
    <w:p w:rsidR="004E02CA" w:rsidRPr="001D6684" w:rsidRDefault="004E02CA" w:rsidP="004E02CA">
      <w:pPr>
        <w:spacing w:after="0" w:line="360" w:lineRule="auto"/>
        <w:contextualSpacing/>
        <w:rPr>
          <w:rFonts w:cs="Times New Roman"/>
          <w:szCs w:val="24"/>
        </w:rPr>
      </w:pPr>
      <w:r>
        <w:rPr>
          <w:rFonts w:cs="Times New Roman"/>
          <w:szCs w:val="24"/>
          <w:vertAlign w:val="superscript"/>
        </w:rPr>
        <w:t>3</w:t>
      </w:r>
      <w:r w:rsidRPr="001D6684">
        <w:rPr>
          <w:rFonts w:cs="Times New Roman"/>
          <w:szCs w:val="24"/>
          <w:vertAlign w:val="superscript"/>
        </w:rPr>
        <w:t xml:space="preserve"> </w:t>
      </w:r>
      <w:r w:rsidRPr="00CB0373">
        <w:rPr>
          <w:rFonts w:cs="Times New Roman"/>
          <w:szCs w:val="24"/>
        </w:rPr>
        <w:t>Public Health Wales, Cardiff, United Kingdom</w:t>
      </w:r>
    </w:p>
    <w:p w:rsidR="004E02CA" w:rsidRPr="001D6684" w:rsidRDefault="004E02CA" w:rsidP="004E02CA">
      <w:pPr>
        <w:spacing w:after="0" w:line="360" w:lineRule="auto"/>
        <w:contextualSpacing/>
        <w:jc w:val="both"/>
        <w:rPr>
          <w:rFonts w:cs="Times New Roman"/>
          <w:szCs w:val="24"/>
        </w:rPr>
      </w:pPr>
      <w:r>
        <w:rPr>
          <w:rFonts w:cs="Times New Roman"/>
          <w:szCs w:val="24"/>
          <w:vertAlign w:val="superscript"/>
        </w:rPr>
        <w:t>4</w:t>
      </w:r>
      <w:r w:rsidRPr="001D6684">
        <w:rPr>
          <w:rFonts w:cs="Times New Roman"/>
          <w:szCs w:val="24"/>
          <w:vertAlign w:val="superscript"/>
        </w:rPr>
        <w:t xml:space="preserve"> </w:t>
      </w:r>
      <w:r w:rsidRPr="001D6684">
        <w:rPr>
          <w:rFonts w:cs="Times New Roman"/>
          <w:szCs w:val="24"/>
        </w:rPr>
        <w:t>Department of Health Services Research, University of Liverpool, Liverpool, United Kingdom</w:t>
      </w:r>
    </w:p>
    <w:p w:rsidR="004E02CA" w:rsidRDefault="004E02CA" w:rsidP="004E02CA">
      <w:pPr>
        <w:spacing w:after="0" w:line="360" w:lineRule="auto"/>
        <w:contextualSpacing/>
        <w:rPr>
          <w:rFonts w:cs="Times New Roman"/>
          <w:b/>
          <w:szCs w:val="24"/>
        </w:rPr>
      </w:pPr>
      <w:bookmarkStart w:id="0" w:name="_Toc503746132"/>
    </w:p>
    <w:p w:rsidR="004E02CA" w:rsidRDefault="004E02CA" w:rsidP="004E02CA">
      <w:pPr>
        <w:spacing w:after="0" w:line="360" w:lineRule="auto"/>
        <w:contextualSpacing/>
        <w:rPr>
          <w:rFonts w:cs="Times New Roman"/>
          <w:szCs w:val="24"/>
        </w:rPr>
      </w:pPr>
      <w:r w:rsidRPr="00D865EF">
        <w:rPr>
          <w:rFonts w:cs="Times New Roman"/>
          <w:b/>
          <w:szCs w:val="24"/>
        </w:rPr>
        <w:t>Competing Interests.</w:t>
      </w:r>
      <w:r>
        <w:rPr>
          <w:rFonts w:cs="Times New Roman"/>
          <w:szCs w:val="24"/>
        </w:rPr>
        <w:t xml:space="preserve"> None.</w:t>
      </w:r>
    </w:p>
    <w:p w:rsidR="004E02CA" w:rsidRDefault="004E02CA" w:rsidP="004E02CA">
      <w:pPr>
        <w:spacing w:after="0" w:line="360" w:lineRule="auto"/>
        <w:contextualSpacing/>
        <w:rPr>
          <w:rFonts w:cs="Times New Roman"/>
          <w:szCs w:val="24"/>
        </w:rPr>
      </w:pPr>
    </w:p>
    <w:p w:rsidR="004E02CA" w:rsidRDefault="004E02CA" w:rsidP="004E02CA">
      <w:pPr>
        <w:spacing w:after="0" w:line="360" w:lineRule="auto"/>
        <w:rPr>
          <w:rFonts w:cs="Times New Roman"/>
          <w:szCs w:val="24"/>
        </w:rPr>
      </w:pPr>
      <w:r w:rsidRPr="002D653E">
        <w:rPr>
          <w:rFonts w:cs="Times New Roman"/>
          <w:b/>
          <w:szCs w:val="24"/>
        </w:rPr>
        <w:t>Acknowledgements</w:t>
      </w:r>
      <w:r>
        <w:rPr>
          <w:rFonts w:cs="Times New Roman"/>
          <w:b/>
          <w:szCs w:val="24"/>
        </w:rPr>
        <w:t>.</w:t>
      </w:r>
      <w:r w:rsidRPr="001D6684">
        <w:rPr>
          <w:rFonts w:cs="Times New Roman"/>
          <w:szCs w:val="24"/>
        </w:rPr>
        <w:tab/>
      </w:r>
    </w:p>
    <w:p w:rsidR="004E02CA" w:rsidRDefault="004E02CA" w:rsidP="004E02CA">
      <w:pPr>
        <w:spacing w:after="0" w:line="360" w:lineRule="auto"/>
        <w:rPr>
          <w:rFonts w:cs="Times New Roman"/>
          <w:szCs w:val="24"/>
        </w:rPr>
      </w:pPr>
      <w:r w:rsidRPr="001D6684">
        <w:rPr>
          <w:rFonts w:cs="Times New Roman"/>
          <w:szCs w:val="24"/>
        </w:rPr>
        <w:t xml:space="preserve">We would like to thank Dionne Kringos for allowing us to base our methodological development process and the Primary Care Clusters </w:t>
      </w:r>
      <w:r w:rsidR="003E1C33">
        <w:rPr>
          <w:rFonts w:cs="Times New Roman"/>
          <w:szCs w:val="24"/>
        </w:rPr>
        <w:t xml:space="preserve">Multi-dimensional </w:t>
      </w:r>
      <w:r w:rsidRPr="001D6684">
        <w:rPr>
          <w:rFonts w:cs="Times New Roman"/>
          <w:szCs w:val="24"/>
        </w:rPr>
        <w:t>Assessment (PCC</w:t>
      </w:r>
      <w:r w:rsidR="003E1C33">
        <w:rPr>
          <w:rFonts w:cs="Times New Roman"/>
          <w:szCs w:val="24"/>
        </w:rPr>
        <w:t>M</w:t>
      </w:r>
      <w:r w:rsidRPr="001D6684">
        <w:rPr>
          <w:rFonts w:cs="Times New Roman"/>
          <w:szCs w:val="24"/>
        </w:rPr>
        <w:t>A) framework on her previous work on the European Primary Care Monitor (PC Monitor) project. We would also like to thank Maggie Hendry and Diana Pasterfield for their early contribution to Work Package 2, and Alun Surgey for his help analysing the Work Package 3 data and drafting the final PCC</w:t>
      </w:r>
      <w:r w:rsidR="003E1C33">
        <w:rPr>
          <w:rFonts w:cs="Times New Roman"/>
          <w:szCs w:val="24"/>
        </w:rPr>
        <w:t>M</w:t>
      </w:r>
      <w:r w:rsidRPr="001D6684">
        <w:rPr>
          <w:rFonts w:cs="Times New Roman"/>
          <w:szCs w:val="24"/>
        </w:rPr>
        <w:t xml:space="preserve">A items. We are particularly grateful to our funder (Public Health Wales), and to key professionals and managers who were instrumental in promoting our work during its development and enabling us to achieve the recruitment targets. Lastly, and most importantly, we would like to thank the many clinicians and managers at all levels of the National Health Service in Wales, who participated in Work </w:t>
      </w:r>
      <w:r w:rsidRPr="001D6684">
        <w:rPr>
          <w:rFonts w:cs="Times New Roman"/>
          <w:szCs w:val="24"/>
        </w:rPr>
        <w:lastRenderedPageBreak/>
        <w:t>Packages 1, 3, and 4, and contributed with their expertise to the development and application of the PCC</w:t>
      </w:r>
      <w:r w:rsidR="003E1C33">
        <w:rPr>
          <w:rFonts w:cs="Times New Roman"/>
          <w:szCs w:val="24"/>
        </w:rPr>
        <w:t>M</w:t>
      </w:r>
      <w:r w:rsidRPr="001D6684">
        <w:rPr>
          <w:rFonts w:cs="Times New Roman"/>
          <w:szCs w:val="24"/>
        </w:rPr>
        <w:t>A.</w:t>
      </w:r>
    </w:p>
    <w:p w:rsidR="004E02CA" w:rsidRPr="004E02CA" w:rsidRDefault="004E02CA" w:rsidP="004E02CA">
      <w:pPr>
        <w:spacing w:after="0" w:line="360" w:lineRule="auto"/>
        <w:contextualSpacing/>
        <w:jc w:val="center"/>
        <w:rPr>
          <w:rFonts w:cs="Times New Roman"/>
          <w:b/>
          <w:szCs w:val="24"/>
        </w:rPr>
      </w:pPr>
      <w:r w:rsidRPr="004E02CA">
        <w:rPr>
          <w:rFonts w:cs="Times New Roman"/>
          <w:b/>
          <w:szCs w:val="24"/>
        </w:rPr>
        <w:t>Abstract</w:t>
      </w:r>
    </w:p>
    <w:p w:rsidR="004E02CA" w:rsidRDefault="004E02CA" w:rsidP="004E02CA">
      <w:pPr>
        <w:spacing w:after="0" w:line="360" w:lineRule="auto"/>
        <w:contextualSpacing/>
      </w:pPr>
      <w:r>
        <w:t xml:space="preserve">A strong primary care </w:t>
      </w:r>
      <w:r w:rsidR="00E66407">
        <w:t xml:space="preserve">(PC) </w:t>
      </w:r>
      <w:r>
        <w:t xml:space="preserve">system is essential for an efficient and high-quality healthcare service. Many countries have adopted a model of </w:t>
      </w:r>
      <w:r w:rsidR="00E66407">
        <w:t>PC</w:t>
      </w:r>
      <w:r>
        <w:t xml:space="preserve"> that encourages different healthcare providers to work together, at scale, in multidisciplinary/multiagency teams (</w:t>
      </w:r>
      <w:r w:rsidR="00E66407">
        <w:t>PC</w:t>
      </w:r>
      <w:r>
        <w:t xml:space="preserve"> clusters). The aim of the present work was to develop a quantitative instrument for the systematic and comprehensive assessment of </w:t>
      </w:r>
      <w:r w:rsidR="00E66407">
        <w:t>PC</w:t>
      </w:r>
      <w:r>
        <w:t xml:space="preserve"> clusters. This was a non-experimental, mixed-methods study grouping four work packages (WP), and involving </w:t>
      </w:r>
      <w:r w:rsidR="00E66407">
        <w:t>PC</w:t>
      </w:r>
      <w:r>
        <w:t xml:space="preserve"> cluster leads and a wide range of key stakeholders from across Wales. Interviews with 22 </w:t>
      </w:r>
      <w:r w:rsidR="00E66407">
        <w:t>PC</w:t>
      </w:r>
      <w:r>
        <w:t xml:space="preserve"> cluster leads (34%) investigated the clusters' functioning (WP1). A systematic review identified relevant </w:t>
      </w:r>
      <w:r w:rsidR="00E66407">
        <w:t>PC</w:t>
      </w:r>
      <w:r>
        <w:t xml:space="preserve"> assessment frameworks and instruments (WP2). An expert group reviewed the evidence and drafted the new assessment tool, further evaluated and amended in two stakeholder workshops (WP3). Thirty-eight cluster leads (62%) completed the newly developed online assessment (WP4). The final instrument consisted of 53 indicators, across 11 </w:t>
      </w:r>
      <w:r w:rsidR="0058628C">
        <w:t xml:space="preserve">systemic </w:t>
      </w:r>
      <w:r>
        <w:t xml:space="preserve">dimensions of </w:t>
      </w:r>
      <w:r w:rsidR="00E66407">
        <w:t>PC</w:t>
      </w:r>
      <w:r>
        <w:t xml:space="preserve"> and produced a comprehensive assessment of the functioning of </w:t>
      </w:r>
      <w:r w:rsidR="00E66407">
        <w:t>PC</w:t>
      </w:r>
      <w:r>
        <w:t xml:space="preserve"> clusters in Wales. This rigorous early development of an innovative instrument to evaluate </w:t>
      </w:r>
      <w:r w:rsidR="00E66407">
        <w:t>PC</w:t>
      </w:r>
      <w:r>
        <w:t xml:space="preserve"> at a scaled-up (cluster) level (particularly in the format of a 360-degree assessment) can inform healthcare policy decisions regarding the expansion and ongoing adjustment of the model in response to local needs and challenges.</w:t>
      </w:r>
    </w:p>
    <w:p w:rsidR="004E02CA" w:rsidRDefault="004E02CA" w:rsidP="004E02CA">
      <w:pPr>
        <w:tabs>
          <w:tab w:val="left" w:pos="5940"/>
        </w:tabs>
        <w:autoSpaceDE w:val="0"/>
        <w:autoSpaceDN w:val="0"/>
        <w:adjustRightInd w:val="0"/>
        <w:spacing w:after="0" w:line="360" w:lineRule="auto"/>
        <w:rPr>
          <w:rFonts w:cs="Times New Roman"/>
          <w:szCs w:val="24"/>
        </w:rPr>
      </w:pPr>
    </w:p>
    <w:p w:rsidR="004E02CA" w:rsidRDefault="004E02CA" w:rsidP="004E02CA">
      <w:pPr>
        <w:tabs>
          <w:tab w:val="left" w:pos="5940"/>
        </w:tabs>
        <w:autoSpaceDE w:val="0"/>
        <w:autoSpaceDN w:val="0"/>
        <w:adjustRightInd w:val="0"/>
        <w:spacing w:after="0" w:line="360" w:lineRule="auto"/>
        <w:rPr>
          <w:rFonts w:cs="Times New Roman"/>
          <w:szCs w:val="24"/>
        </w:rPr>
      </w:pPr>
    </w:p>
    <w:p w:rsidR="004E02CA" w:rsidRPr="00052266" w:rsidRDefault="004E02CA" w:rsidP="004E02CA">
      <w:pPr>
        <w:tabs>
          <w:tab w:val="left" w:pos="5940"/>
        </w:tabs>
        <w:autoSpaceDE w:val="0"/>
        <w:autoSpaceDN w:val="0"/>
        <w:adjustRightInd w:val="0"/>
        <w:spacing w:after="0" w:line="360" w:lineRule="auto"/>
        <w:rPr>
          <w:rFonts w:cs="Times New Roman"/>
          <w:szCs w:val="24"/>
        </w:rPr>
      </w:pPr>
    </w:p>
    <w:p w:rsidR="004E02CA" w:rsidRPr="00D865EF" w:rsidRDefault="004E02CA" w:rsidP="004E02CA">
      <w:pPr>
        <w:spacing w:after="0" w:line="360" w:lineRule="auto"/>
        <w:contextualSpacing/>
        <w:jc w:val="center"/>
        <w:rPr>
          <w:rFonts w:cs="Times New Roman"/>
          <w:b/>
          <w:szCs w:val="24"/>
        </w:rPr>
      </w:pPr>
      <w:r>
        <w:rPr>
          <w:rFonts w:cs="Times New Roman"/>
          <w:b/>
          <w:szCs w:val="24"/>
        </w:rPr>
        <w:t>Highlights</w:t>
      </w:r>
    </w:p>
    <w:p w:rsidR="004E02CA" w:rsidRDefault="004E02CA" w:rsidP="004E02CA">
      <w:pPr>
        <w:pStyle w:val="ListParagraph"/>
        <w:numPr>
          <w:ilvl w:val="0"/>
          <w:numId w:val="30"/>
        </w:numPr>
        <w:spacing w:after="0" w:line="360" w:lineRule="auto"/>
        <w:rPr>
          <w:rFonts w:cs="Times New Roman"/>
          <w:szCs w:val="24"/>
        </w:rPr>
      </w:pPr>
      <w:r>
        <w:rPr>
          <w:rFonts w:cs="Times New Roman"/>
          <w:szCs w:val="24"/>
        </w:rPr>
        <w:t>Developed primary care services encourage providers to work together in multidisciplinary clusters</w:t>
      </w:r>
    </w:p>
    <w:p w:rsidR="004E02CA" w:rsidRDefault="004E02CA" w:rsidP="004E02CA">
      <w:pPr>
        <w:pStyle w:val="ListParagraph"/>
        <w:numPr>
          <w:ilvl w:val="0"/>
          <w:numId w:val="30"/>
        </w:numPr>
        <w:spacing w:after="0" w:line="360" w:lineRule="auto"/>
        <w:rPr>
          <w:rFonts w:cs="Times New Roman"/>
          <w:szCs w:val="24"/>
        </w:rPr>
      </w:pPr>
      <w:r>
        <w:rPr>
          <w:rFonts w:cs="Times New Roman"/>
          <w:szCs w:val="24"/>
        </w:rPr>
        <w:t>Primary care clusters assessment is incipient, but comparable frameworks and instruments exist</w:t>
      </w:r>
    </w:p>
    <w:p w:rsidR="004E02CA" w:rsidRDefault="004E02CA" w:rsidP="004E02CA">
      <w:pPr>
        <w:pStyle w:val="ListParagraph"/>
        <w:numPr>
          <w:ilvl w:val="0"/>
          <w:numId w:val="30"/>
        </w:numPr>
        <w:spacing w:after="0" w:line="360" w:lineRule="auto"/>
        <w:rPr>
          <w:rFonts w:cs="Times New Roman"/>
          <w:szCs w:val="24"/>
        </w:rPr>
      </w:pPr>
      <w:r>
        <w:rPr>
          <w:rFonts w:cs="Times New Roman"/>
          <w:szCs w:val="24"/>
        </w:rPr>
        <w:t xml:space="preserve">The present </w:t>
      </w:r>
      <w:r w:rsidRPr="004761EF">
        <w:rPr>
          <w:rFonts w:cs="Times New Roman"/>
          <w:szCs w:val="24"/>
        </w:rPr>
        <w:t xml:space="preserve">novel instrument </w:t>
      </w:r>
      <w:r>
        <w:rPr>
          <w:rFonts w:cs="Times New Roman"/>
          <w:szCs w:val="24"/>
        </w:rPr>
        <w:t xml:space="preserve">allows </w:t>
      </w:r>
      <w:r w:rsidRPr="004761EF">
        <w:rPr>
          <w:rFonts w:cs="Times New Roman"/>
          <w:szCs w:val="24"/>
        </w:rPr>
        <w:t xml:space="preserve">the </w:t>
      </w:r>
      <w:r>
        <w:rPr>
          <w:rFonts w:cs="Times New Roman"/>
          <w:szCs w:val="24"/>
        </w:rPr>
        <w:t xml:space="preserve">quantitative </w:t>
      </w:r>
      <w:r w:rsidRPr="004761EF">
        <w:rPr>
          <w:rFonts w:cs="Times New Roman"/>
          <w:szCs w:val="24"/>
        </w:rPr>
        <w:t>assessment of primary care clusters</w:t>
      </w:r>
    </w:p>
    <w:p w:rsidR="004E02CA" w:rsidRDefault="004E02CA" w:rsidP="004E02CA">
      <w:pPr>
        <w:pStyle w:val="ListParagraph"/>
        <w:numPr>
          <w:ilvl w:val="0"/>
          <w:numId w:val="30"/>
        </w:numPr>
        <w:spacing w:after="0" w:line="360" w:lineRule="auto"/>
        <w:rPr>
          <w:rFonts w:cs="Times New Roman"/>
          <w:szCs w:val="24"/>
        </w:rPr>
      </w:pPr>
      <w:r>
        <w:rPr>
          <w:rFonts w:cs="Times New Roman"/>
          <w:szCs w:val="24"/>
        </w:rPr>
        <w:t>The instrument could be further developed for ‘</w:t>
      </w:r>
      <w:r w:rsidRPr="004761EF">
        <w:rPr>
          <w:rFonts w:cs="Times New Roman"/>
          <w:szCs w:val="24"/>
        </w:rPr>
        <w:t xml:space="preserve">360-degrees </w:t>
      </w:r>
      <w:r>
        <w:rPr>
          <w:rFonts w:cs="Times New Roman"/>
          <w:szCs w:val="24"/>
        </w:rPr>
        <w:t>assessment’ of clusters</w:t>
      </w:r>
    </w:p>
    <w:bookmarkEnd w:id="0"/>
    <w:p w:rsidR="004E02CA" w:rsidRDefault="004E02CA">
      <w:pPr>
        <w:rPr>
          <w:b/>
        </w:rPr>
      </w:pPr>
      <w:r>
        <w:rPr>
          <w:b/>
        </w:rPr>
        <w:br w:type="page"/>
      </w:r>
    </w:p>
    <w:p w:rsidR="007D7230" w:rsidRPr="003055FC" w:rsidRDefault="00A439A1" w:rsidP="00147DEC">
      <w:pPr>
        <w:spacing w:after="0" w:line="360" w:lineRule="auto"/>
        <w:contextualSpacing/>
        <w:jc w:val="center"/>
        <w:rPr>
          <w:b/>
        </w:rPr>
      </w:pPr>
      <w:r>
        <w:rPr>
          <w:b/>
        </w:rPr>
        <w:lastRenderedPageBreak/>
        <w:t>Introduction</w:t>
      </w:r>
    </w:p>
    <w:p w:rsidR="004F11A4" w:rsidRDefault="004F11A4" w:rsidP="002C1390">
      <w:pPr>
        <w:spacing w:after="0" w:line="360" w:lineRule="auto"/>
        <w:ind w:firstLine="720"/>
        <w:contextualSpacing/>
        <w:jc w:val="both"/>
        <w:rPr>
          <w:rFonts w:cs="Times New Roman"/>
          <w:szCs w:val="24"/>
        </w:rPr>
      </w:pPr>
    </w:p>
    <w:p w:rsidR="003C447E" w:rsidRDefault="00587FA7" w:rsidP="002C1390">
      <w:pPr>
        <w:spacing w:after="0" w:line="360" w:lineRule="auto"/>
        <w:ind w:firstLine="720"/>
        <w:contextualSpacing/>
        <w:jc w:val="both"/>
        <w:rPr>
          <w:rFonts w:cs="Times New Roman"/>
          <w:szCs w:val="24"/>
        </w:rPr>
      </w:pPr>
      <w:r>
        <w:rPr>
          <w:rFonts w:cs="Times New Roman"/>
          <w:szCs w:val="24"/>
        </w:rPr>
        <w:t>E</w:t>
      </w:r>
      <w:r w:rsidR="00876E9C" w:rsidRPr="001D6684">
        <w:rPr>
          <w:rFonts w:cs="Times New Roman"/>
          <w:szCs w:val="24"/>
        </w:rPr>
        <w:t xml:space="preserve">ffective and comprehensive primary care </w:t>
      </w:r>
      <w:r w:rsidR="00D0638B">
        <w:rPr>
          <w:rFonts w:cs="Times New Roman"/>
          <w:szCs w:val="24"/>
        </w:rPr>
        <w:t xml:space="preserve">(PC) </w:t>
      </w:r>
      <w:r w:rsidR="00876E9C" w:rsidRPr="001D6684">
        <w:rPr>
          <w:rFonts w:cs="Times New Roman"/>
          <w:szCs w:val="24"/>
        </w:rPr>
        <w:t>services are the foundation f</w:t>
      </w:r>
      <w:r>
        <w:rPr>
          <w:rFonts w:cs="Times New Roman"/>
          <w:szCs w:val="24"/>
        </w:rPr>
        <w:t>or</w:t>
      </w:r>
      <w:r w:rsidR="00876E9C" w:rsidRPr="001D6684">
        <w:rPr>
          <w:rFonts w:cs="Times New Roman"/>
          <w:szCs w:val="24"/>
        </w:rPr>
        <w:t xml:space="preserve"> an efficient, equitable and cost-effective healthcare service. </w:t>
      </w:r>
      <w:r w:rsidR="00DE26AC">
        <w:rPr>
          <w:rFonts w:cs="Times New Roman"/>
          <w:szCs w:val="24"/>
        </w:rPr>
        <w:t xml:space="preserve">Many case studies </w:t>
      </w:r>
      <w:r>
        <w:rPr>
          <w:rFonts w:cs="Times New Roman"/>
          <w:szCs w:val="24"/>
        </w:rPr>
        <w:t>suggest</w:t>
      </w:r>
      <w:r w:rsidR="00DE26AC">
        <w:rPr>
          <w:rFonts w:cs="Times New Roman"/>
          <w:szCs w:val="24"/>
        </w:rPr>
        <w:t xml:space="preserve"> </w:t>
      </w:r>
      <w:r w:rsidR="00876E9C" w:rsidRPr="001D6684">
        <w:rPr>
          <w:rFonts w:cs="Times New Roman"/>
          <w:szCs w:val="24"/>
        </w:rPr>
        <w:t xml:space="preserve">that </w:t>
      </w:r>
      <w:r w:rsidR="00D0638B">
        <w:rPr>
          <w:rFonts w:cs="Times New Roman"/>
          <w:szCs w:val="24"/>
        </w:rPr>
        <w:t>PC</w:t>
      </w:r>
      <w:r w:rsidR="00876E9C" w:rsidRPr="001D6684">
        <w:rPr>
          <w:rFonts w:cs="Times New Roman"/>
          <w:szCs w:val="24"/>
        </w:rPr>
        <w:t xml:space="preserve"> strength improves when provider organisations are ‘scaled up’ to cover population groups </w:t>
      </w:r>
      <w:r w:rsidR="00841102">
        <w:rPr>
          <w:rFonts w:cs="Times New Roman"/>
          <w:szCs w:val="24"/>
        </w:rPr>
        <w:t>of 20-50,000 patients, allowing different health professions</w:t>
      </w:r>
      <w:r w:rsidR="002D7603">
        <w:rPr>
          <w:rFonts w:cs="Times New Roman"/>
          <w:szCs w:val="24"/>
        </w:rPr>
        <w:t>,</w:t>
      </w:r>
      <w:r w:rsidR="00841102">
        <w:rPr>
          <w:rFonts w:cs="Times New Roman"/>
          <w:szCs w:val="24"/>
        </w:rPr>
        <w:t xml:space="preserve"> </w:t>
      </w:r>
      <w:r w:rsidR="00963852">
        <w:rPr>
          <w:rFonts w:cs="Times New Roman"/>
          <w:szCs w:val="24"/>
        </w:rPr>
        <w:t xml:space="preserve">providers </w:t>
      </w:r>
      <w:r w:rsidR="002D7603">
        <w:rPr>
          <w:rFonts w:cs="Times New Roman"/>
          <w:szCs w:val="24"/>
        </w:rPr>
        <w:t xml:space="preserve">and patient representatives </w:t>
      </w:r>
      <w:r w:rsidR="00841102">
        <w:rPr>
          <w:rFonts w:cs="Times New Roman"/>
          <w:szCs w:val="24"/>
        </w:rPr>
        <w:t>to work closer together in multidisciplinary teams</w:t>
      </w:r>
      <w:r w:rsidR="00963852">
        <w:rPr>
          <w:rFonts w:cs="Times New Roman"/>
          <w:szCs w:val="24"/>
        </w:rPr>
        <w:t xml:space="preserve"> in the community</w:t>
      </w:r>
      <w:r w:rsidR="00876E9C" w:rsidRPr="001D6684">
        <w:rPr>
          <w:rFonts w:cs="Times New Roman"/>
          <w:szCs w:val="24"/>
        </w:rPr>
        <w:t>.</w:t>
      </w:r>
      <w:r w:rsidR="00C02FB6">
        <w:rPr>
          <w:rFonts w:cs="Times New Roman"/>
          <w:szCs w:val="24"/>
        </w:rPr>
        <w:t>[1-3]</w:t>
      </w:r>
      <w:r w:rsidR="00876E9C" w:rsidRPr="001D6684">
        <w:rPr>
          <w:rFonts w:cs="Times New Roman"/>
          <w:szCs w:val="24"/>
        </w:rPr>
        <w:t xml:space="preserve"> </w:t>
      </w:r>
      <w:r w:rsidR="002D7603">
        <w:rPr>
          <w:rFonts w:cs="Times New Roman"/>
          <w:szCs w:val="24"/>
        </w:rPr>
        <w:t xml:space="preserve">These models can include general practitioners, nurses, pharmacists, physiotherapists, ophthalmologists, dental professionals, social care services, third sector providers and others working together to coordinate and support each other’s activity providing care and health services for the same population in a restricted geography. </w:t>
      </w:r>
      <w:r w:rsidR="00841102">
        <w:rPr>
          <w:rFonts w:cs="Times New Roman"/>
          <w:szCs w:val="24"/>
        </w:rPr>
        <w:t xml:space="preserve">Variants of this model of </w:t>
      </w:r>
      <w:r w:rsidR="00D0638B">
        <w:rPr>
          <w:rFonts w:cs="Times New Roman"/>
          <w:szCs w:val="24"/>
        </w:rPr>
        <w:t xml:space="preserve">PC </w:t>
      </w:r>
      <w:r>
        <w:rPr>
          <w:rFonts w:cs="Times New Roman"/>
          <w:szCs w:val="24"/>
        </w:rPr>
        <w:t>exist</w:t>
      </w:r>
      <w:r w:rsidR="00841102">
        <w:rPr>
          <w:rFonts w:cs="Times New Roman"/>
          <w:szCs w:val="24"/>
        </w:rPr>
        <w:t xml:space="preserve"> in Spain,</w:t>
      </w:r>
      <w:r w:rsidR="00C02FB6">
        <w:rPr>
          <w:rFonts w:cs="Times New Roman"/>
          <w:szCs w:val="24"/>
        </w:rPr>
        <w:t>[4]</w:t>
      </w:r>
      <w:r w:rsidR="00E55EA8">
        <w:rPr>
          <w:rFonts w:cs="Times New Roman"/>
          <w:szCs w:val="24"/>
        </w:rPr>
        <w:t xml:space="preserve"> </w:t>
      </w:r>
      <w:r w:rsidR="003055FC">
        <w:rPr>
          <w:rFonts w:cs="Times New Roman"/>
          <w:szCs w:val="24"/>
        </w:rPr>
        <w:t>Italy,</w:t>
      </w:r>
      <w:r w:rsidR="00C02FB6">
        <w:rPr>
          <w:rFonts w:cs="Times New Roman"/>
          <w:szCs w:val="24"/>
        </w:rPr>
        <w:t>[5]</w:t>
      </w:r>
      <w:r w:rsidR="00A52CE2">
        <w:rPr>
          <w:rFonts w:cs="Times New Roman"/>
          <w:szCs w:val="24"/>
        </w:rPr>
        <w:t xml:space="preserve"> </w:t>
      </w:r>
      <w:r w:rsidR="003C7651">
        <w:rPr>
          <w:rFonts w:cs="Times New Roman"/>
          <w:szCs w:val="24"/>
        </w:rPr>
        <w:t xml:space="preserve">Alberta </w:t>
      </w:r>
      <w:r w:rsidR="00C108BA">
        <w:rPr>
          <w:rFonts w:cs="Times New Roman"/>
          <w:szCs w:val="24"/>
        </w:rPr>
        <w:t xml:space="preserve">in </w:t>
      </w:r>
      <w:r w:rsidR="003C7651">
        <w:rPr>
          <w:rFonts w:cs="Times New Roman"/>
          <w:szCs w:val="24"/>
        </w:rPr>
        <w:t>Canada</w:t>
      </w:r>
      <w:r w:rsidR="00C108BA">
        <w:rPr>
          <w:rFonts w:cs="Times New Roman"/>
          <w:szCs w:val="24"/>
        </w:rPr>
        <w:t>,</w:t>
      </w:r>
      <w:r w:rsidR="00C02FB6">
        <w:rPr>
          <w:rFonts w:cs="Times New Roman"/>
          <w:szCs w:val="24"/>
        </w:rPr>
        <w:t>[6]</w:t>
      </w:r>
      <w:r w:rsidR="003C7651">
        <w:rPr>
          <w:rFonts w:cs="Times New Roman"/>
          <w:szCs w:val="24"/>
        </w:rPr>
        <w:t xml:space="preserve"> </w:t>
      </w:r>
      <w:r w:rsidR="004306DB">
        <w:rPr>
          <w:rFonts w:cs="Times New Roman"/>
          <w:szCs w:val="24"/>
        </w:rPr>
        <w:t>Sweden,</w:t>
      </w:r>
      <w:r w:rsidR="00C02FB6">
        <w:rPr>
          <w:rFonts w:cs="Times New Roman"/>
          <w:szCs w:val="24"/>
        </w:rPr>
        <w:t>[7]</w:t>
      </w:r>
      <w:r w:rsidR="004306DB">
        <w:rPr>
          <w:rFonts w:cs="Times New Roman"/>
          <w:szCs w:val="24"/>
        </w:rPr>
        <w:t xml:space="preserve"> Australia</w:t>
      </w:r>
      <w:r w:rsidR="00BC77EF">
        <w:rPr>
          <w:rFonts w:cs="Times New Roman"/>
          <w:szCs w:val="24"/>
        </w:rPr>
        <w:t>,</w:t>
      </w:r>
      <w:r w:rsidR="00C02FB6">
        <w:rPr>
          <w:rFonts w:cs="Times New Roman"/>
          <w:szCs w:val="24"/>
        </w:rPr>
        <w:t>[8-9]</w:t>
      </w:r>
      <w:r w:rsidR="00963852">
        <w:rPr>
          <w:rFonts w:cs="Times New Roman"/>
          <w:szCs w:val="24"/>
        </w:rPr>
        <w:t xml:space="preserve">, and the United Kingdom </w:t>
      </w:r>
      <w:r w:rsidR="008F797E">
        <w:rPr>
          <w:rFonts w:cs="Times New Roman"/>
          <w:szCs w:val="24"/>
        </w:rPr>
        <w:t>(UK)</w:t>
      </w:r>
      <w:r w:rsidR="00963852">
        <w:rPr>
          <w:rFonts w:cs="Times New Roman"/>
          <w:szCs w:val="24"/>
        </w:rPr>
        <w:t>.[</w:t>
      </w:r>
      <w:r w:rsidR="001C2CBB">
        <w:rPr>
          <w:rFonts w:cs="Times New Roman"/>
          <w:szCs w:val="24"/>
        </w:rPr>
        <w:t>10</w:t>
      </w:r>
      <w:r w:rsidR="00524C6D">
        <w:rPr>
          <w:rFonts w:cs="Times New Roman"/>
          <w:szCs w:val="24"/>
        </w:rPr>
        <w:t>-11</w:t>
      </w:r>
      <w:r w:rsidR="00963852">
        <w:rPr>
          <w:rFonts w:cs="Times New Roman"/>
          <w:szCs w:val="24"/>
        </w:rPr>
        <w:t xml:space="preserve">] </w:t>
      </w:r>
      <w:r w:rsidR="00BC77EF">
        <w:rPr>
          <w:rFonts w:cs="Times New Roman"/>
          <w:szCs w:val="24"/>
        </w:rPr>
        <w:t xml:space="preserve">We will refer to </w:t>
      </w:r>
      <w:r w:rsidR="00CD59B9">
        <w:rPr>
          <w:rFonts w:cs="Times New Roman"/>
          <w:szCs w:val="24"/>
        </w:rPr>
        <w:t xml:space="preserve">these </w:t>
      </w:r>
      <w:r w:rsidR="00BC77EF">
        <w:rPr>
          <w:rFonts w:cs="Times New Roman"/>
          <w:szCs w:val="24"/>
        </w:rPr>
        <w:t>structures as “primary care clusters”, in order to simplify the varied nomenclature used to identify them.</w:t>
      </w:r>
    </w:p>
    <w:p w:rsidR="005B2E45" w:rsidRDefault="00013439" w:rsidP="005B2E45">
      <w:pPr>
        <w:spacing w:after="0" w:line="360" w:lineRule="auto"/>
        <w:ind w:firstLine="720"/>
        <w:contextualSpacing/>
        <w:jc w:val="both"/>
        <w:rPr>
          <w:rFonts w:cs="Times New Roman"/>
          <w:szCs w:val="24"/>
        </w:rPr>
      </w:pPr>
      <w:r>
        <w:rPr>
          <w:rFonts w:cs="Times New Roman"/>
          <w:szCs w:val="24"/>
        </w:rPr>
        <w:t>Presently</w:t>
      </w:r>
      <w:r w:rsidR="00DE26AC">
        <w:rPr>
          <w:rFonts w:cs="Times New Roman"/>
          <w:szCs w:val="24"/>
        </w:rPr>
        <w:t xml:space="preserve">, </w:t>
      </w:r>
      <w:r w:rsidR="003F02B6">
        <w:rPr>
          <w:rFonts w:cs="Times New Roman"/>
          <w:szCs w:val="24"/>
        </w:rPr>
        <w:t xml:space="preserve">there </w:t>
      </w:r>
      <w:r w:rsidR="00587FA7">
        <w:rPr>
          <w:rFonts w:cs="Times New Roman"/>
          <w:szCs w:val="24"/>
        </w:rPr>
        <w:t>remains</w:t>
      </w:r>
      <w:r w:rsidR="003F02B6">
        <w:rPr>
          <w:rFonts w:cs="Times New Roman"/>
          <w:szCs w:val="24"/>
        </w:rPr>
        <w:t xml:space="preserve"> a lack of</w:t>
      </w:r>
      <w:r w:rsidR="00DE26AC">
        <w:rPr>
          <w:rFonts w:cs="Times New Roman"/>
          <w:szCs w:val="24"/>
        </w:rPr>
        <w:t xml:space="preserve"> </w:t>
      </w:r>
      <w:r w:rsidR="00587FA7">
        <w:rPr>
          <w:rFonts w:cs="Times New Roman"/>
          <w:szCs w:val="24"/>
        </w:rPr>
        <w:t>evidence</w:t>
      </w:r>
      <w:r w:rsidR="00DE26AC">
        <w:rPr>
          <w:rFonts w:cs="Times New Roman"/>
          <w:szCs w:val="24"/>
        </w:rPr>
        <w:t xml:space="preserve"> </w:t>
      </w:r>
      <w:r w:rsidR="00587FA7">
        <w:rPr>
          <w:rFonts w:cs="Times New Roman"/>
          <w:szCs w:val="24"/>
        </w:rPr>
        <w:t>for the</w:t>
      </w:r>
      <w:r w:rsidR="00DA6CC1">
        <w:rPr>
          <w:rFonts w:cs="Times New Roman"/>
          <w:szCs w:val="24"/>
        </w:rPr>
        <w:t xml:space="preserve"> impact</w:t>
      </w:r>
      <w:r w:rsidR="003F02B6">
        <w:rPr>
          <w:rFonts w:cs="Times New Roman"/>
          <w:szCs w:val="24"/>
        </w:rPr>
        <w:t xml:space="preserve"> </w:t>
      </w:r>
      <w:r w:rsidR="00DA6CC1">
        <w:rPr>
          <w:rFonts w:cs="Times New Roman"/>
          <w:szCs w:val="24"/>
        </w:rPr>
        <w:t xml:space="preserve">of </w:t>
      </w:r>
      <w:r w:rsidR="00D0638B">
        <w:rPr>
          <w:rFonts w:cs="Times New Roman"/>
          <w:szCs w:val="24"/>
        </w:rPr>
        <w:t>PC</w:t>
      </w:r>
      <w:r w:rsidR="003308B4">
        <w:rPr>
          <w:rFonts w:cs="Times New Roman"/>
          <w:szCs w:val="24"/>
        </w:rPr>
        <w:t xml:space="preserve"> clusters</w:t>
      </w:r>
      <w:r w:rsidR="00587FA7">
        <w:rPr>
          <w:rFonts w:cs="Times New Roman"/>
          <w:szCs w:val="24"/>
        </w:rPr>
        <w:t>,</w:t>
      </w:r>
      <w:r w:rsidR="003308B4">
        <w:rPr>
          <w:rFonts w:cs="Times New Roman"/>
          <w:szCs w:val="24"/>
        </w:rPr>
        <w:t xml:space="preserve"> </w:t>
      </w:r>
      <w:r w:rsidR="00587FA7">
        <w:rPr>
          <w:rFonts w:cs="Times New Roman"/>
          <w:szCs w:val="24"/>
        </w:rPr>
        <w:t>in particular</w:t>
      </w:r>
      <w:r w:rsidR="003C447E">
        <w:rPr>
          <w:rFonts w:cs="Times New Roman"/>
          <w:szCs w:val="24"/>
        </w:rPr>
        <w:t xml:space="preserve"> </w:t>
      </w:r>
      <w:r w:rsidR="00DA6CC1">
        <w:rPr>
          <w:rFonts w:cs="Times New Roman"/>
          <w:szCs w:val="24"/>
        </w:rPr>
        <w:t xml:space="preserve">regarding </w:t>
      </w:r>
      <w:r w:rsidR="00816160">
        <w:rPr>
          <w:rFonts w:cs="Times New Roman"/>
          <w:szCs w:val="24"/>
        </w:rPr>
        <w:t xml:space="preserve">structural </w:t>
      </w:r>
      <w:r w:rsidR="003F02B6">
        <w:rPr>
          <w:rFonts w:cs="Times New Roman"/>
          <w:szCs w:val="24"/>
        </w:rPr>
        <w:t xml:space="preserve">aspects of </w:t>
      </w:r>
      <w:r w:rsidR="00D0638B">
        <w:rPr>
          <w:rFonts w:cs="Times New Roman"/>
          <w:szCs w:val="24"/>
        </w:rPr>
        <w:t>PC</w:t>
      </w:r>
      <w:r w:rsidR="003F02B6">
        <w:rPr>
          <w:rFonts w:cs="Times New Roman"/>
          <w:szCs w:val="24"/>
        </w:rPr>
        <w:t xml:space="preserve"> </w:t>
      </w:r>
      <w:r w:rsidR="00DA6CC1">
        <w:rPr>
          <w:rFonts w:cs="Times New Roman"/>
          <w:szCs w:val="24"/>
        </w:rPr>
        <w:t xml:space="preserve">that </w:t>
      </w:r>
      <w:r w:rsidR="003F02B6">
        <w:rPr>
          <w:rFonts w:cs="Times New Roman"/>
          <w:szCs w:val="24"/>
        </w:rPr>
        <w:t xml:space="preserve">benefit </w:t>
      </w:r>
      <w:r w:rsidR="003308B4">
        <w:rPr>
          <w:rFonts w:cs="Times New Roman"/>
          <w:szCs w:val="24"/>
        </w:rPr>
        <w:t xml:space="preserve">the </w:t>
      </w:r>
      <w:r w:rsidR="003F02B6">
        <w:rPr>
          <w:rFonts w:cs="Times New Roman"/>
          <w:szCs w:val="24"/>
        </w:rPr>
        <w:t xml:space="preserve">most </w:t>
      </w:r>
      <w:r w:rsidR="003C447E">
        <w:rPr>
          <w:rFonts w:cs="Times New Roman"/>
          <w:szCs w:val="24"/>
        </w:rPr>
        <w:t xml:space="preserve">from working </w:t>
      </w:r>
      <w:r w:rsidR="00587FA7">
        <w:rPr>
          <w:rFonts w:cs="Times New Roman"/>
          <w:szCs w:val="24"/>
        </w:rPr>
        <w:t>in clusters</w:t>
      </w:r>
      <w:r w:rsidR="001852D2">
        <w:rPr>
          <w:rFonts w:cs="Times New Roman"/>
          <w:szCs w:val="24"/>
        </w:rPr>
        <w:t>. This</w:t>
      </w:r>
      <w:r w:rsidR="00587FA7">
        <w:rPr>
          <w:rFonts w:cs="Times New Roman"/>
          <w:szCs w:val="24"/>
        </w:rPr>
        <w:t xml:space="preserve"> </w:t>
      </w:r>
      <w:r w:rsidR="00DA6CC1">
        <w:rPr>
          <w:rFonts w:cs="Times New Roman"/>
          <w:szCs w:val="24"/>
        </w:rPr>
        <w:t xml:space="preserve">evidence is needed </w:t>
      </w:r>
      <w:r w:rsidR="00587FA7">
        <w:rPr>
          <w:rFonts w:cs="Times New Roman"/>
          <w:szCs w:val="24"/>
        </w:rPr>
        <w:t>to</w:t>
      </w:r>
      <w:r w:rsidR="003F02B6">
        <w:rPr>
          <w:rFonts w:cs="Times New Roman"/>
          <w:szCs w:val="24"/>
        </w:rPr>
        <w:t xml:space="preserve"> </w:t>
      </w:r>
      <w:r w:rsidR="00420FBD">
        <w:rPr>
          <w:rFonts w:cs="Times New Roman"/>
          <w:szCs w:val="24"/>
        </w:rPr>
        <w:t xml:space="preserve">inform </w:t>
      </w:r>
      <w:r w:rsidR="005E0F0E">
        <w:rPr>
          <w:rFonts w:cs="Times New Roman"/>
          <w:szCs w:val="24"/>
        </w:rPr>
        <w:t xml:space="preserve">the implementation and </w:t>
      </w:r>
      <w:r w:rsidR="00420FBD">
        <w:rPr>
          <w:rFonts w:cs="Times New Roman"/>
          <w:szCs w:val="24"/>
        </w:rPr>
        <w:t xml:space="preserve">future </w:t>
      </w:r>
      <w:r w:rsidR="005E0F0E">
        <w:rPr>
          <w:rFonts w:cs="Times New Roman"/>
          <w:szCs w:val="24"/>
        </w:rPr>
        <w:t xml:space="preserve">development of the PC clusters </w:t>
      </w:r>
      <w:r w:rsidR="003308B4">
        <w:rPr>
          <w:rFonts w:cs="Times New Roman"/>
          <w:szCs w:val="24"/>
        </w:rPr>
        <w:t>policy</w:t>
      </w:r>
      <w:r w:rsidR="00420FBD">
        <w:rPr>
          <w:rFonts w:cs="Times New Roman"/>
          <w:szCs w:val="24"/>
        </w:rPr>
        <w:t>.</w:t>
      </w:r>
      <w:r w:rsidR="002F3B6A">
        <w:rPr>
          <w:rFonts w:cs="Times New Roman"/>
          <w:szCs w:val="24"/>
        </w:rPr>
        <w:t xml:space="preserve"> </w:t>
      </w:r>
      <w:r w:rsidR="00587FA7">
        <w:rPr>
          <w:rFonts w:cs="Times New Roman"/>
          <w:szCs w:val="24"/>
        </w:rPr>
        <w:t>C</w:t>
      </w:r>
      <w:r w:rsidR="00563B26">
        <w:rPr>
          <w:rFonts w:cs="Times New Roman"/>
          <w:szCs w:val="24"/>
        </w:rPr>
        <w:t xml:space="preserve">omprehensive </w:t>
      </w:r>
      <w:r w:rsidR="002F3B6A">
        <w:rPr>
          <w:rFonts w:cs="Times New Roman"/>
          <w:szCs w:val="24"/>
        </w:rPr>
        <w:t xml:space="preserve">frameworks and instruments to assess </w:t>
      </w:r>
      <w:r w:rsidR="00587FA7">
        <w:rPr>
          <w:rFonts w:cs="Times New Roman"/>
          <w:szCs w:val="24"/>
        </w:rPr>
        <w:t xml:space="preserve">primary </w:t>
      </w:r>
      <w:r w:rsidR="002F3B6A">
        <w:rPr>
          <w:rFonts w:cs="Times New Roman"/>
          <w:szCs w:val="24"/>
        </w:rPr>
        <w:t xml:space="preserve">healthcare services at a national level already exist, but they do not </w:t>
      </w:r>
      <w:r w:rsidR="008B6214">
        <w:rPr>
          <w:rFonts w:cs="Times New Roman"/>
          <w:szCs w:val="24"/>
        </w:rPr>
        <w:t xml:space="preserve">specifically </w:t>
      </w:r>
      <w:r w:rsidR="002F3B6A">
        <w:rPr>
          <w:rFonts w:cs="Times New Roman"/>
          <w:szCs w:val="24"/>
        </w:rPr>
        <w:t xml:space="preserve">measure the performance of </w:t>
      </w:r>
      <w:r w:rsidR="00D0638B">
        <w:rPr>
          <w:rFonts w:cs="Times New Roman"/>
          <w:szCs w:val="24"/>
        </w:rPr>
        <w:t xml:space="preserve">PC </w:t>
      </w:r>
      <w:r w:rsidR="002F3B6A">
        <w:rPr>
          <w:rFonts w:cs="Times New Roman"/>
          <w:szCs w:val="24"/>
        </w:rPr>
        <w:t>clusters.</w:t>
      </w:r>
      <w:r w:rsidR="00C02FB6">
        <w:rPr>
          <w:rFonts w:cs="Times New Roman"/>
          <w:szCs w:val="24"/>
        </w:rPr>
        <w:t>[12</w:t>
      </w:r>
      <w:r w:rsidR="00BC68AA" w:rsidRPr="004A0556">
        <w:rPr>
          <w:rFonts w:cs="Times New Roman"/>
          <w:szCs w:val="24"/>
        </w:rPr>
        <w:t>-14</w:t>
      </w:r>
      <w:r w:rsidR="00C02FB6" w:rsidRPr="004A0556">
        <w:rPr>
          <w:rFonts w:cs="Times New Roman"/>
          <w:szCs w:val="24"/>
        </w:rPr>
        <w:t>]</w:t>
      </w:r>
      <w:r w:rsidR="002F3B6A" w:rsidRPr="004A0556">
        <w:rPr>
          <w:rFonts w:cs="Times New Roman"/>
          <w:szCs w:val="24"/>
        </w:rPr>
        <w:t xml:space="preserve"> </w:t>
      </w:r>
      <w:r w:rsidRPr="004A0556">
        <w:rPr>
          <w:rFonts w:cs="Times New Roman"/>
          <w:szCs w:val="24"/>
        </w:rPr>
        <w:t>Historically</w:t>
      </w:r>
      <w:r w:rsidR="009A24AF" w:rsidRPr="004A0556">
        <w:rPr>
          <w:rFonts w:cs="Times New Roman"/>
          <w:szCs w:val="24"/>
        </w:rPr>
        <w:t>, such frameworks</w:t>
      </w:r>
      <w:r w:rsidR="009A24AF">
        <w:rPr>
          <w:rFonts w:cs="Times New Roman"/>
          <w:szCs w:val="24"/>
        </w:rPr>
        <w:t xml:space="preserve"> and instruments have been developed to compare healthcare provision between countries</w:t>
      </w:r>
      <w:r w:rsidR="005248C9">
        <w:rPr>
          <w:rFonts w:cs="Times New Roman"/>
          <w:szCs w:val="24"/>
        </w:rPr>
        <w:t>,</w:t>
      </w:r>
      <w:r w:rsidR="00716306">
        <w:rPr>
          <w:rFonts w:cs="Times New Roman"/>
          <w:szCs w:val="24"/>
        </w:rPr>
        <w:t>[12,15,16]</w:t>
      </w:r>
      <w:r w:rsidR="005248C9">
        <w:rPr>
          <w:rFonts w:cs="Times New Roman"/>
          <w:szCs w:val="24"/>
        </w:rPr>
        <w:t xml:space="preserve"> but also to help monitor health reform efforts and guide quality improvement in primary care.</w:t>
      </w:r>
      <w:r w:rsidR="00716306">
        <w:rPr>
          <w:rFonts w:cs="Times New Roman"/>
          <w:szCs w:val="24"/>
        </w:rPr>
        <w:t>[17]</w:t>
      </w:r>
      <w:r w:rsidR="005248C9">
        <w:rPr>
          <w:rFonts w:cs="Times New Roman"/>
          <w:szCs w:val="24"/>
        </w:rPr>
        <w:t xml:space="preserve"> </w:t>
      </w:r>
      <w:r>
        <w:rPr>
          <w:rFonts w:cs="Times New Roman"/>
          <w:szCs w:val="24"/>
        </w:rPr>
        <w:t xml:space="preserve">Key dimensions of </w:t>
      </w:r>
      <w:r w:rsidR="001852D2">
        <w:rPr>
          <w:rFonts w:cs="Times New Roman"/>
          <w:szCs w:val="24"/>
        </w:rPr>
        <w:t>such</w:t>
      </w:r>
      <w:r>
        <w:rPr>
          <w:rFonts w:cs="Times New Roman"/>
          <w:szCs w:val="24"/>
        </w:rPr>
        <w:t xml:space="preserve"> frameworks (e.g., </w:t>
      </w:r>
      <w:r w:rsidR="005248C9">
        <w:rPr>
          <w:rFonts w:cs="Times New Roman"/>
          <w:szCs w:val="24"/>
        </w:rPr>
        <w:t>regional autonomy</w:t>
      </w:r>
      <w:r w:rsidRPr="00013439">
        <w:rPr>
          <w:rFonts w:cs="Times New Roman"/>
          <w:szCs w:val="24"/>
        </w:rPr>
        <w:t xml:space="preserve">, </w:t>
      </w:r>
      <w:r w:rsidR="005248C9">
        <w:rPr>
          <w:rFonts w:cs="Times New Roman"/>
          <w:szCs w:val="24"/>
        </w:rPr>
        <w:t>continuity of care</w:t>
      </w:r>
      <w:r w:rsidRPr="00013439">
        <w:rPr>
          <w:rFonts w:cs="Times New Roman"/>
          <w:szCs w:val="24"/>
        </w:rPr>
        <w:t>, coordination</w:t>
      </w:r>
      <w:r w:rsidR="001852D2">
        <w:rPr>
          <w:rFonts w:cs="Times New Roman"/>
          <w:szCs w:val="24"/>
        </w:rPr>
        <w:t xml:space="preserve"> of care</w:t>
      </w:r>
      <w:r w:rsidRPr="00013439">
        <w:rPr>
          <w:rFonts w:cs="Times New Roman"/>
          <w:szCs w:val="24"/>
        </w:rPr>
        <w:t>, and community orientation</w:t>
      </w:r>
      <w:r w:rsidR="005248C9">
        <w:rPr>
          <w:rFonts w:cs="Times New Roman"/>
          <w:szCs w:val="24"/>
        </w:rPr>
        <w:t>)</w:t>
      </w:r>
      <w:r w:rsidRPr="00013439">
        <w:rPr>
          <w:rFonts w:cs="Times New Roman"/>
          <w:szCs w:val="24"/>
        </w:rPr>
        <w:t xml:space="preserve"> were</w:t>
      </w:r>
      <w:r>
        <w:rPr>
          <w:rFonts w:cs="Times New Roman"/>
          <w:szCs w:val="24"/>
        </w:rPr>
        <w:t xml:space="preserve"> </w:t>
      </w:r>
      <w:r w:rsidRPr="00013439">
        <w:rPr>
          <w:rFonts w:cs="Times New Roman"/>
          <w:szCs w:val="24"/>
        </w:rPr>
        <w:t>associated with improved health</w:t>
      </w:r>
      <w:r w:rsidR="005248C9">
        <w:rPr>
          <w:rFonts w:cs="Times New Roman"/>
          <w:szCs w:val="24"/>
        </w:rPr>
        <w:t xml:space="preserve"> outcomes.</w:t>
      </w:r>
      <w:r w:rsidR="00716306">
        <w:rPr>
          <w:rFonts w:cs="Times New Roman"/>
          <w:szCs w:val="24"/>
        </w:rPr>
        <w:t>[17]</w:t>
      </w:r>
      <w:r w:rsidR="005248C9">
        <w:rPr>
          <w:rFonts w:cs="Times New Roman"/>
          <w:szCs w:val="24"/>
        </w:rPr>
        <w:t xml:space="preserve"> </w:t>
      </w:r>
      <w:r w:rsidR="00D05304">
        <w:rPr>
          <w:rFonts w:cs="Times New Roman"/>
          <w:szCs w:val="24"/>
        </w:rPr>
        <w:t xml:space="preserve">Therefore, although existing instruments are not expected to reflect the characteristics of the current structures of </w:t>
      </w:r>
      <w:r w:rsidR="00E66407">
        <w:rPr>
          <w:rFonts w:cs="Times New Roman"/>
          <w:szCs w:val="24"/>
        </w:rPr>
        <w:t>PC</w:t>
      </w:r>
      <w:r w:rsidR="00D05304">
        <w:rPr>
          <w:rFonts w:cs="Times New Roman"/>
          <w:szCs w:val="24"/>
        </w:rPr>
        <w:t xml:space="preserve"> clusters, their associated frameworks and dimensions of analysis can inform the development of PC clusters-specific quantitative assessment tools.</w:t>
      </w:r>
    </w:p>
    <w:p w:rsidR="00956DF1" w:rsidRDefault="005248C9" w:rsidP="00013439">
      <w:pPr>
        <w:spacing w:after="0" w:line="360" w:lineRule="auto"/>
        <w:ind w:firstLine="720"/>
        <w:contextualSpacing/>
        <w:jc w:val="both"/>
        <w:rPr>
          <w:rFonts w:cs="Times New Roman"/>
          <w:szCs w:val="24"/>
        </w:rPr>
      </w:pPr>
      <w:r>
        <w:rPr>
          <w:rFonts w:cs="Times New Roman"/>
          <w:szCs w:val="24"/>
        </w:rPr>
        <w:t xml:space="preserve">On </w:t>
      </w:r>
      <w:r w:rsidR="007F2E44">
        <w:rPr>
          <w:rFonts w:cs="Times New Roman"/>
          <w:szCs w:val="24"/>
        </w:rPr>
        <w:t xml:space="preserve">the most </w:t>
      </w:r>
      <w:r>
        <w:rPr>
          <w:rFonts w:cs="Times New Roman"/>
          <w:szCs w:val="24"/>
        </w:rPr>
        <w:t>granular level of analysis</w:t>
      </w:r>
      <w:r w:rsidR="009A24AF">
        <w:rPr>
          <w:rFonts w:cs="Times New Roman"/>
          <w:szCs w:val="24"/>
        </w:rPr>
        <w:t>, i</w:t>
      </w:r>
      <w:r w:rsidR="00563B26">
        <w:rPr>
          <w:rFonts w:cs="Times New Roman"/>
          <w:szCs w:val="24"/>
        </w:rPr>
        <w:t xml:space="preserve">nstruments to assess the performance of </w:t>
      </w:r>
      <w:r w:rsidR="008B6214">
        <w:rPr>
          <w:rFonts w:cs="Times New Roman"/>
          <w:szCs w:val="24"/>
        </w:rPr>
        <w:t>individual</w:t>
      </w:r>
      <w:r w:rsidR="00563B26">
        <w:rPr>
          <w:rFonts w:cs="Times New Roman"/>
          <w:szCs w:val="24"/>
        </w:rPr>
        <w:t xml:space="preserve"> general practice</w:t>
      </w:r>
      <w:r w:rsidR="008B6214">
        <w:rPr>
          <w:rFonts w:cs="Times New Roman"/>
          <w:szCs w:val="24"/>
        </w:rPr>
        <w:t>s</w:t>
      </w:r>
      <w:r w:rsidR="00563B26">
        <w:rPr>
          <w:rFonts w:cs="Times New Roman"/>
          <w:szCs w:val="24"/>
        </w:rPr>
        <w:t xml:space="preserve"> have also been developed,</w:t>
      </w:r>
      <w:r w:rsidR="000747A2">
        <w:rPr>
          <w:rFonts w:cs="Times New Roman"/>
          <w:szCs w:val="24"/>
        </w:rPr>
        <w:t>[</w:t>
      </w:r>
      <w:r w:rsidR="00716306">
        <w:rPr>
          <w:rFonts w:cs="Times New Roman"/>
          <w:szCs w:val="24"/>
        </w:rPr>
        <w:t>18-19</w:t>
      </w:r>
      <w:r w:rsidR="000747A2">
        <w:rPr>
          <w:rFonts w:cs="Times New Roman"/>
          <w:szCs w:val="24"/>
        </w:rPr>
        <w:t>]</w:t>
      </w:r>
      <w:r w:rsidR="000747A2" w:rsidRPr="000747A2">
        <w:rPr>
          <w:rFonts w:cs="Times New Roman"/>
          <w:szCs w:val="24"/>
        </w:rPr>
        <w:t xml:space="preserve"> </w:t>
      </w:r>
      <w:r w:rsidR="000747A2">
        <w:rPr>
          <w:rFonts w:cs="Times New Roman"/>
          <w:szCs w:val="24"/>
        </w:rPr>
        <w:t>and reviewed,</w:t>
      </w:r>
      <w:r w:rsidR="00716306">
        <w:rPr>
          <w:rFonts w:cs="Times New Roman"/>
          <w:szCs w:val="24"/>
        </w:rPr>
        <w:t>[20-21]</w:t>
      </w:r>
      <w:r w:rsidR="00563B26">
        <w:rPr>
          <w:rFonts w:cs="Times New Roman"/>
          <w:szCs w:val="24"/>
        </w:rPr>
        <w:t xml:space="preserve"> but they do not reflect the functional nature and </w:t>
      </w:r>
      <w:r>
        <w:rPr>
          <w:rFonts w:cs="Times New Roman"/>
          <w:szCs w:val="24"/>
        </w:rPr>
        <w:t xml:space="preserve">the </w:t>
      </w:r>
      <w:r w:rsidR="00013439">
        <w:rPr>
          <w:rFonts w:cs="Times New Roman"/>
          <w:szCs w:val="24"/>
        </w:rPr>
        <w:t xml:space="preserve">multidisciplinary </w:t>
      </w:r>
      <w:r w:rsidR="00563B26">
        <w:rPr>
          <w:rFonts w:cs="Times New Roman"/>
          <w:szCs w:val="24"/>
        </w:rPr>
        <w:t>chara</w:t>
      </w:r>
      <w:r w:rsidR="004A071C">
        <w:rPr>
          <w:rFonts w:cs="Times New Roman"/>
          <w:szCs w:val="24"/>
        </w:rPr>
        <w:t xml:space="preserve">cter of </w:t>
      </w:r>
      <w:r w:rsidR="00D0638B">
        <w:rPr>
          <w:rFonts w:cs="Times New Roman"/>
          <w:szCs w:val="24"/>
        </w:rPr>
        <w:t xml:space="preserve">PC </w:t>
      </w:r>
      <w:r w:rsidR="004A071C">
        <w:rPr>
          <w:rFonts w:cs="Times New Roman"/>
          <w:szCs w:val="24"/>
        </w:rPr>
        <w:t>clusters.</w:t>
      </w:r>
      <w:r w:rsidR="00760430">
        <w:rPr>
          <w:rFonts w:cs="Times New Roman"/>
          <w:szCs w:val="24"/>
        </w:rPr>
        <w:t xml:space="preserve"> Most notably, the </w:t>
      </w:r>
      <w:r w:rsidR="00760430" w:rsidRPr="00760430">
        <w:rPr>
          <w:rFonts w:cs="Times New Roman"/>
          <w:szCs w:val="24"/>
        </w:rPr>
        <w:t xml:space="preserve">Primary </w:t>
      </w:r>
      <w:r w:rsidR="00760430">
        <w:rPr>
          <w:rFonts w:cs="Times New Roman"/>
          <w:szCs w:val="24"/>
        </w:rPr>
        <w:t>C</w:t>
      </w:r>
      <w:r w:rsidR="00760430" w:rsidRPr="00760430">
        <w:rPr>
          <w:rFonts w:cs="Times New Roman"/>
          <w:szCs w:val="24"/>
        </w:rPr>
        <w:t xml:space="preserve">are </w:t>
      </w:r>
      <w:r w:rsidR="00760430">
        <w:rPr>
          <w:rFonts w:cs="Times New Roman"/>
          <w:szCs w:val="24"/>
        </w:rPr>
        <w:t>A</w:t>
      </w:r>
      <w:r w:rsidR="00760430" w:rsidRPr="00760430">
        <w:rPr>
          <w:rFonts w:cs="Times New Roman"/>
          <w:szCs w:val="24"/>
        </w:rPr>
        <w:t xml:space="preserve">ssessment </w:t>
      </w:r>
      <w:r w:rsidR="00760430">
        <w:rPr>
          <w:rFonts w:cs="Times New Roman"/>
          <w:szCs w:val="24"/>
        </w:rPr>
        <w:t>T</w:t>
      </w:r>
      <w:r w:rsidR="00760430" w:rsidRPr="00760430">
        <w:rPr>
          <w:rFonts w:cs="Times New Roman"/>
          <w:szCs w:val="24"/>
        </w:rPr>
        <w:t>ool (PCAT)</w:t>
      </w:r>
      <w:r w:rsidR="00760430">
        <w:rPr>
          <w:rFonts w:cs="Times New Roman"/>
          <w:szCs w:val="24"/>
        </w:rPr>
        <w:t xml:space="preserve"> measures the quality of health care </w:t>
      </w:r>
      <w:r w:rsidR="00A80490">
        <w:rPr>
          <w:rFonts w:cs="Times New Roman"/>
          <w:szCs w:val="24"/>
        </w:rPr>
        <w:t xml:space="preserve">at the level of individual providers, using a </w:t>
      </w:r>
      <w:r w:rsidR="000747A2">
        <w:rPr>
          <w:rFonts w:cs="Times New Roman"/>
          <w:szCs w:val="24"/>
        </w:rPr>
        <w:t xml:space="preserve">basic </w:t>
      </w:r>
      <w:r w:rsidR="00A80490">
        <w:rPr>
          <w:rFonts w:cs="Times New Roman"/>
          <w:szCs w:val="24"/>
        </w:rPr>
        <w:t xml:space="preserve">framework </w:t>
      </w:r>
      <w:r w:rsidR="000747A2">
        <w:rPr>
          <w:rFonts w:cs="Times New Roman"/>
          <w:szCs w:val="24"/>
        </w:rPr>
        <w:t xml:space="preserve">of </w:t>
      </w:r>
      <w:r w:rsidR="00A80490">
        <w:rPr>
          <w:rFonts w:cs="Times New Roman"/>
          <w:szCs w:val="24"/>
        </w:rPr>
        <w:t xml:space="preserve">established </w:t>
      </w:r>
      <w:r w:rsidR="00E66407">
        <w:rPr>
          <w:rFonts w:cs="Times New Roman"/>
          <w:szCs w:val="24"/>
        </w:rPr>
        <w:t>PC</w:t>
      </w:r>
      <w:r w:rsidR="000747A2">
        <w:rPr>
          <w:rFonts w:cs="Times New Roman"/>
          <w:szCs w:val="24"/>
        </w:rPr>
        <w:t xml:space="preserve"> principles</w:t>
      </w:r>
      <w:r w:rsidR="00A80490">
        <w:rPr>
          <w:rFonts w:cs="Times New Roman"/>
          <w:szCs w:val="24"/>
        </w:rPr>
        <w:t xml:space="preserve">, such as </w:t>
      </w:r>
      <w:r w:rsidR="00A80490" w:rsidRPr="00A80490">
        <w:rPr>
          <w:rFonts w:cs="Times New Roman"/>
          <w:szCs w:val="24"/>
        </w:rPr>
        <w:t>community focus, continuity</w:t>
      </w:r>
      <w:r w:rsidR="00A80490">
        <w:rPr>
          <w:rFonts w:cs="Times New Roman"/>
          <w:szCs w:val="24"/>
        </w:rPr>
        <w:t xml:space="preserve">, </w:t>
      </w:r>
      <w:r w:rsidR="00A80490" w:rsidRPr="00A80490">
        <w:rPr>
          <w:rFonts w:cs="Times New Roman"/>
          <w:szCs w:val="24"/>
        </w:rPr>
        <w:t>comprehensiveness and accessibility</w:t>
      </w:r>
      <w:r w:rsidR="00A80490">
        <w:rPr>
          <w:rFonts w:cs="Times New Roman"/>
          <w:szCs w:val="24"/>
        </w:rPr>
        <w:t xml:space="preserve"> of care</w:t>
      </w:r>
      <w:r w:rsidR="00A80490" w:rsidRPr="00A80490">
        <w:rPr>
          <w:rFonts w:cs="Times New Roman"/>
          <w:szCs w:val="24"/>
        </w:rPr>
        <w:t>.</w:t>
      </w:r>
      <w:r w:rsidR="00716306">
        <w:rPr>
          <w:rFonts w:cs="Times New Roman"/>
          <w:szCs w:val="24"/>
        </w:rPr>
        <w:t>[22]</w:t>
      </w:r>
    </w:p>
    <w:p w:rsidR="006003B5" w:rsidRDefault="007F2E44" w:rsidP="00BB1912">
      <w:pPr>
        <w:spacing w:after="0" w:line="360" w:lineRule="auto"/>
        <w:ind w:firstLine="720"/>
        <w:contextualSpacing/>
        <w:jc w:val="both"/>
        <w:rPr>
          <w:rFonts w:cs="Times New Roman"/>
          <w:szCs w:val="24"/>
        </w:rPr>
      </w:pPr>
      <w:r>
        <w:rPr>
          <w:rFonts w:cs="Times New Roman"/>
          <w:szCs w:val="24"/>
        </w:rPr>
        <w:lastRenderedPageBreak/>
        <w:t xml:space="preserve">An intermediate </w:t>
      </w:r>
      <w:r w:rsidR="005B2E45">
        <w:rPr>
          <w:rFonts w:cs="Times New Roman"/>
          <w:szCs w:val="24"/>
        </w:rPr>
        <w:t xml:space="preserve">level of assessment, between the macro-level of </w:t>
      </w:r>
      <w:r w:rsidR="00E66407">
        <w:rPr>
          <w:rFonts w:cs="Times New Roman"/>
          <w:szCs w:val="24"/>
        </w:rPr>
        <w:t>PC</w:t>
      </w:r>
      <w:r w:rsidR="005B2E45">
        <w:rPr>
          <w:rFonts w:cs="Times New Roman"/>
          <w:szCs w:val="24"/>
        </w:rPr>
        <w:t xml:space="preserve"> system</w:t>
      </w:r>
      <w:r w:rsidR="00BF3B80">
        <w:rPr>
          <w:rFonts w:cs="Times New Roman"/>
          <w:szCs w:val="24"/>
        </w:rPr>
        <w:t>s</w:t>
      </w:r>
      <w:r w:rsidR="005B2E45">
        <w:rPr>
          <w:rFonts w:cs="Times New Roman"/>
          <w:szCs w:val="24"/>
        </w:rPr>
        <w:t xml:space="preserve"> and the micro-level of </w:t>
      </w:r>
      <w:r>
        <w:rPr>
          <w:rFonts w:cs="Times New Roman"/>
          <w:szCs w:val="24"/>
        </w:rPr>
        <w:t xml:space="preserve">individual general practices, </w:t>
      </w:r>
      <w:r w:rsidR="0071069B">
        <w:rPr>
          <w:rFonts w:cs="Times New Roman"/>
          <w:szCs w:val="24"/>
        </w:rPr>
        <w:t>already exists, in the form of the Clinical Commissioning Groups (CCGs) in England</w:t>
      </w:r>
      <w:r w:rsidR="005B2E45">
        <w:rPr>
          <w:rFonts w:cs="Times New Roman"/>
          <w:szCs w:val="24"/>
        </w:rPr>
        <w:t>, which involve cooperation between GPs and the delivery of community services</w:t>
      </w:r>
      <w:r w:rsidR="0071069B">
        <w:rPr>
          <w:rFonts w:cs="Times New Roman"/>
          <w:szCs w:val="24"/>
        </w:rPr>
        <w:t xml:space="preserve">. </w:t>
      </w:r>
      <w:r w:rsidR="00BB1912">
        <w:rPr>
          <w:rFonts w:cs="Times New Roman"/>
          <w:szCs w:val="24"/>
        </w:rPr>
        <w:t>Healthcare expenditure in England is managed locally by 196</w:t>
      </w:r>
      <w:r w:rsidR="00BB1912" w:rsidRPr="00971404">
        <w:rPr>
          <w:rFonts w:cs="Times New Roman"/>
          <w:szCs w:val="24"/>
        </w:rPr>
        <w:t xml:space="preserve"> CCGs</w:t>
      </w:r>
      <w:r w:rsidR="00BB1912">
        <w:rPr>
          <w:rFonts w:cs="Times New Roman"/>
          <w:szCs w:val="24"/>
        </w:rPr>
        <w:t>,[</w:t>
      </w:r>
      <w:r w:rsidR="00716306">
        <w:rPr>
          <w:rFonts w:cs="Times New Roman"/>
          <w:szCs w:val="24"/>
        </w:rPr>
        <w:t>23-24</w:t>
      </w:r>
      <w:r w:rsidR="00BB1912">
        <w:rPr>
          <w:rFonts w:cs="Times New Roman"/>
          <w:szCs w:val="24"/>
        </w:rPr>
        <w:t>] which consist</w:t>
      </w:r>
      <w:r w:rsidR="00BB1912" w:rsidRPr="00971404">
        <w:rPr>
          <w:rFonts w:cs="Times New Roman"/>
          <w:szCs w:val="24"/>
        </w:rPr>
        <w:t xml:space="preserve"> of all the </w:t>
      </w:r>
      <w:r w:rsidR="00BB1912">
        <w:rPr>
          <w:rFonts w:cs="Times New Roman"/>
          <w:szCs w:val="24"/>
        </w:rPr>
        <w:t>general practices within predefined geographical areas. The CCGs have a role in commissioning secondary and community care for populations ranging from 100,000-900,000 patients. At the same time, the GPs’ own funding and all PC services are managed by NHS England directly through 27 area teams, but CCGs can commission additional community-based services from its member practices.[2</w:t>
      </w:r>
      <w:r w:rsidR="00716306">
        <w:rPr>
          <w:rFonts w:cs="Times New Roman"/>
          <w:szCs w:val="24"/>
        </w:rPr>
        <w:t>5</w:t>
      </w:r>
      <w:r w:rsidR="00BB1912">
        <w:rPr>
          <w:rFonts w:cs="Times New Roman"/>
          <w:szCs w:val="24"/>
        </w:rPr>
        <w:t xml:space="preserve">] </w:t>
      </w:r>
      <w:r w:rsidR="008531FA">
        <w:rPr>
          <w:rFonts w:cs="Times New Roman"/>
          <w:szCs w:val="24"/>
        </w:rPr>
        <w:t xml:space="preserve">The </w:t>
      </w:r>
      <w:r w:rsidR="0071069B">
        <w:rPr>
          <w:rFonts w:cs="Times New Roman"/>
          <w:szCs w:val="24"/>
        </w:rPr>
        <w:t>CCGs</w:t>
      </w:r>
      <w:r w:rsidR="008531FA">
        <w:rPr>
          <w:rFonts w:cs="Times New Roman"/>
          <w:szCs w:val="24"/>
        </w:rPr>
        <w:t xml:space="preserve"> are much larger structures than PC clusters, in terms of the population served and the broad commissioning remit</w:t>
      </w:r>
      <w:r w:rsidR="0071069B">
        <w:rPr>
          <w:rFonts w:cs="Times New Roman"/>
          <w:szCs w:val="24"/>
        </w:rPr>
        <w:t xml:space="preserve">, but </w:t>
      </w:r>
      <w:r w:rsidR="008531FA">
        <w:rPr>
          <w:rFonts w:cs="Times New Roman"/>
          <w:szCs w:val="24"/>
        </w:rPr>
        <w:t xml:space="preserve">like PC clusters involve the cooperation between GPs and other local agencies, as well as the planning community services. Importantly, CCGs </w:t>
      </w:r>
      <w:r w:rsidR="0071069B">
        <w:rPr>
          <w:rFonts w:cs="Times New Roman"/>
          <w:szCs w:val="24"/>
        </w:rPr>
        <w:t>benefit from a developed assessment programme</w:t>
      </w:r>
      <w:r w:rsidR="00057B2F">
        <w:rPr>
          <w:rFonts w:cs="Times New Roman"/>
          <w:szCs w:val="24"/>
        </w:rPr>
        <w:t>, which can</w:t>
      </w:r>
      <w:r w:rsidR="0071069B">
        <w:rPr>
          <w:rFonts w:cs="Times New Roman"/>
          <w:szCs w:val="24"/>
        </w:rPr>
        <w:t xml:space="preserve"> inform</w:t>
      </w:r>
      <w:r w:rsidR="00057B2F">
        <w:rPr>
          <w:rFonts w:cs="Times New Roman"/>
          <w:szCs w:val="24"/>
        </w:rPr>
        <w:t xml:space="preserve"> </w:t>
      </w:r>
      <w:r w:rsidR="0071069B">
        <w:rPr>
          <w:rFonts w:cs="Times New Roman"/>
          <w:szCs w:val="24"/>
        </w:rPr>
        <w:t>the assessment of PC clusters.</w:t>
      </w:r>
    </w:p>
    <w:p w:rsidR="001819A5" w:rsidRDefault="00E67C01" w:rsidP="00DE4BB9">
      <w:pPr>
        <w:spacing w:after="0" w:line="360" w:lineRule="auto"/>
        <w:ind w:firstLine="720"/>
        <w:contextualSpacing/>
        <w:jc w:val="both"/>
        <w:rPr>
          <w:rFonts w:cs="Times New Roman"/>
          <w:szCs w:val="24"/>
        </w:rPr>
      </w:pPr>
      <w:r>
        <w:rPr>
          <w:rFonts w:cs="Times New Roman"/>
          <w:szCs w:val="24"/>
        </w:rPr>
        <w:t>NHS England conduct</w:t>
      </w:r>
      <w:r w:rsidR="00D1673F">
        <w:rPr>
          <w:rFonts w:cs="Times New Roman"/>
          <w:szCs w:val="24"/>
        </w:rPr>
        <w:t>s</w:t>
      </w:r>
      <w:r>
        <w:rPr>
          <w:rFonts w:cs="Times New Roman"/>
          <w:szCs w:val="24"/>
        </w:rPr>
        <w:t xml:space="preserve"> an annual assessment of </w:t>
      </w:r>
      <w:r w:rsidR="00120918" w:rsidRPr="00120918">
        <w:rPr>
          <w:rFonts w:cs="Times New Roman"/>
          <w:szCs w:val="24"/>
        </w:rPr>
        <w:t>every CCG</w:t>
      </w:r>
      <w:r w:rsidR="00215C51">
        <w:rPr>
          <w:rFonts w:cs="Times New Roman"/>
          <w:szCs w:val="24"/>
        </w:rPr>
        <w:t>,</w:t>
      </w:r>
      <w:r w:rsidR="00C02FB6">
        <w:rPr>
          <w:rFonts w:cs="Times New Roman"/>
          <w:szCs w:val="24"/>
        </w:rPr>
        <w:t>[</w:t>
      </w:r>
      <w:r w:rsidR="00BC68AA">
        <w:rPr>
          <w:rFonts w:cs="Times New Roman"/>
          <w:szCs w:val="24"/>
        </w:rPr>
        <w:t>2</w:t>
      </w:r>
      <w:r w:rsidR="00716306">
        <w:rPr>
          <w:rFonts w:cs="Times New Roman"/>
          <w:szCs w:val="24"/>
        </w:rPr>
        <w:t>5</w:t>
      </w:r>
      <w:r w:rsidR="00C02FB6">
        <w:rPr>
          <w:rFonts w:cs="Times New Roman"/>
          <w:szCs w:val="24"/>
        </w:rPr>
        <w:t>]</w:t>
      </w:r>
      <w:r>
        <w:rPr>
          <w:rFonts w:cs="Times New Roman"/>
          <w:szCs w:val="24"/>
        </w:rPr>
        <w:t xml:space="preserve"> </w:t>
      </w:r>
      <w:r w:rsidR="00D1673F">
        <w:rPr>
          <w:rFonts w:cs="Times New Roman"/>
          <w:szCs w:val="24"/>
        </w:rPr>
        <w:t>using</w:t>
      </w:r>
      <w:r>
        <w:rPr>
          <w:rFonts w:cs="Times New Roman"/>
          <w:szCs w:val="24"/>
        </w:rPr>
        <w:t xml:space="preserve"> the Improvement and Assessment Framework (IAF),</w:t>
      </w:r>
      <w:r w:rsidR="00C02FB6">
        <w:rPr>
          <w:rFonts w:cs="Times New Roman"/>
          <w:szCs w:val="24"/>
        </w:rPr>
        <w:t>[</w:t>
      </w:r>
      <w:r w:rsidR="00BC68AA">
        <w:rPr>
          <w:rFonts w:cs="Times New Roman"/>
          <w:szCs w:val="24"/>
        </w:rPr>
        <w:t>2</w:t>
      </w:r>
      <w:r w:rsidR="00716306">
        <w:rPr>
          <w:rFonts w:cs="Times New Roman"/>
          <w:szCs w:val="24"/>
        </w:rPr>
        <w:t>6</w:t>
      </w:r>
      <w:r w:rsidR="00C02FB6">
        <w:rPr>
          <w:rFonts w:cs="Times New Roman"/>
          <w:szCs w:val="24"/>
        </w:rPr>
        <w:t>]</w:t>
      </w:r>
      <w:r>
        <w:rPr>
          <w:rFonts w:cs="Times New Roman"/>
          <w:szCs w:val="24"/>
        </w:rPr>
        <w:t xml:space="preserve"> </w:t>
      </w:r>
      <w:r w:rsidR="00D1673F">
        <w:rPr>
          <w:rFonts w:cs="Times New Roman"/>
          <w:szCs w:val="24"/>
        </w:rPr>
        <w:t>which cover</w:t>
      </w:r>
      <w:r w:rsidR="00B46AE9">
        <w:rPr>
          <w:rFonts w:cs="Times New Roman"/>
          <w:szCs w:val="24"/>
        </w:rPr>
        <w:t>s</w:t>
      </w:r>
      <w:r w:rsidR="005335E5">
        <w:rPr>
          <w:rFonts w:cs="Times New Roman"/>
          <w:szCs w:val="24"/>
        </w:rPr>
        <w:t xml:space="preserve"> four domains</w:t>
      </w:r>
      <w:r w:rsidR="00D1673F">
        <w:rPr>
          <w:rFonts w:cs="Times New Roman"/>
          <w:szCs w:val="24"/>
        </w:rPr>
        <w:t xml:space="preserve"> related to a limited range of health priorities</w:t>
      </w:r>
      <w:r w:rsidR="005335E5">
        <w:rPr>
          <w:rFonts w:cs="Times New Roman"/>
          <w:szCs w:val="24"/>
        </w:rPr>
        <w:t xml:space="preserve">: </w:t>
      </w:r>
      <w:r w:rsidR="00C108BA">
        <w:rPr>
          <w:rFonts w:cs="Times New Roman"/>
          <w:szCs w:val="24"/>
        </w:rPr>
        <w:t>b</w:t>
      </w:r>
      <w:r w:rsidR="00685C59">
        <w:rPr>
          <w:rFonts w:cs="Times New Roman"/>
          <w:szCs w:val="24"/>
        </w:rPr>
        <w:t xml:space="preserve">etter care, </w:t>
      </w:r>
      <w:r w:rsidR="00C108BA">
        <w:rPr>
          <w:rFonts w:cs="Times New Roman"/>
          <w:szCs w:val="24"/>
        </w:rPr>
        <w:t>b</w:t>
      </w:r>
      <w:r w:rsidR="00685C59">
        <w:rPr>
          <w:rFonts w:cs="Times New Roman"/>
          <w:szCs w:val="24"/>
        </w:rPr>
        <w:t xml:space="preserve">etter health, </w:t>
      </w:r>
      <w:r w:rsidR="00C108BA">
        <w:rPr>
          <w:rFonts w:cs="Times New Roman"/>
          <w:szCs w:val="24"/>
        </w:rPr>
        <w:t>s</w:t>
      </w:r>
      <w:r w:rsidR="00685C59">
        <w:rPr>
          <w:rFonts w:cs="Times New Roman"/>
          <w:szCs w:val="24"/>
        </w:rPr>
        <w:t xml:space="preserve">ustainability and </w:t>
      </w:r>
      <w:r w:rsidR="00C108BA">
        <w:rPr>
          <w:rFonts w:cs="Times New Roman"/>
          <w:szCs w:val="24"/>
        </w:rPr>
        <w:t>l</w:t>
      </w:r>
      <w:r w:rsidR="00685C59">
        <w:rPr>
          <w:rFonts w:cs="Times New Roman"/>
          <w:szCs w:val="24"/>
        </w:rPr>
        <w:t xml:space="preserve">eadership. </w:t>
      </w:r>
      <w:r w:rsidR="00215C51">
        <w:rPr>
          <w:rFonts w:cs="Times New Roman"/>
          <w:szCs w:val="24"/>
        </w:rPr>
        <w:t xml:space="preserve">NHS England has </w:t>
      </w:r>
      <w:r w:rsidR="00D1673F">
        <w:rPr>
          <w:rFonts w:cs="Times New Roman"/>
          <w:szCs w:val="24"/>
        </w:rPr>
        <w:t xml:space="preserve">also </w:t>
      </w:r>
      <w:r w:rsidR="00215C51">
        <w:rPr>
          <w:rFonts w:cs="Times New Roman"/>
          <w:szCs w:val="24"/>
        </w:rPr>
        <w:t xml:space="preserve">commissioned </w:t>
      </w:r>
      <w:r w:rsidR="00D1673F">
        <w:rPr>
          <w:rFonts w:cs="Times New Roman"/>
          <w:szCs w:val="24"/>
        </w:rPr>
        <w:t xml:space="preserve">a </w:t>
      </w:r>
      <w:r w:rsidR="00215C51" w:rsidRPr="00215C51">
        <w:rPr>
          <w:rFonts w:cs="Times New Roman"/>
          <w:szCs w:val="24"/>
        </w:rPr>
        <w:t>360 degree CCG</w:t>
      </w:r>
      <w:r w:rsidR="00215C51">
        <w:rPr>
          <w:rFonts w:cs="Times New Roman"/>
          <w:szCs w:val="24"/>
        </w:rPr>
        <w:t xml:space="preserve"> </w:t>
      </w:r>
      <w:r w:rsidR="00215C51" w:rsidRPr="00215C51">
        <w:rPr>
          <w:rFonts w:cs="Times New Roman"/>
          <w:szCs w:val="24"/>
        </w:rPr>
        <w:t>stakeholder survey to allow feedback on their working relationships</w:t>
      </w:r>
      <w:r w:rsidR="00215C51">
        <w:rPr>
          <w:rFonts w:cs="Times New Roman"/>
          <w:szCs w:val="24"/>
        </w:rPr>
        <w:t xml:space="preserve"> and organisational development. </w:t>
      </w:r>
      <w:r w:rsidR="001819A5">
        <w:rPr>
          <w:rFonts w:cs="Times New Roman"/>
          <w:szCs w:val="24"/>
        </w:rPr>
        <w:t>The main topic areas covered by th</w:t>
      </w:r>
      <w:r w:rsidR="00C108BA">
        <w:rPr>
          <w:rFonts w:cs="Times New Roman"/>
          <w:szCs w:val="24"/>
        </w:rPr>
        <w:t>is</w:t>
      </w:r>
      <w:r w:rsidR="001819A5">
        <w:rPr>
          <w:rFonts w:cs="Times New Roman"/>
          <w:szCs w:val="24"/>
        </w:rPr>
        <w:t xml:space="preserve"> survey include overall engagement of stakeholders, working relationships, plans and priorities and CCG leadership. However, the unit of assessment </w:t>
      </w:r>
      <w:r w:rsidR="00140C5F">
        <w:rPr>
          <w:rFonts w:cs="Times New Roman"/>
          <w:szCs w:val="24"/>
        </w:rPr>
        <w:t xml:space="preserve">is always </w:t>
      </w:r>
      <w:r w:rsidR="001819A5">
        <w:rPr>
          <w:rFonts w:cs="Times New Roman"/>
          <w:szCs w:val="24"/>
        </w:rPr>
        <w:t>the CCG</w:t>
      </w:r>
      <w:r w:rsidR="00C65692">
        <w:rPr>
          <w:rFonts w:cs="Times New Roman"/>
          <w:szCs w:val="24"/>
        </w:rPr>
        <w:t xml:space="preserve"> (</w:t>
      </w:r>
      <w:r w:rsidR="00140C5F">
        <w:rPr>
          <w:rFonts w:cs="Times New Roman"/>
          <w:szCs w:val="24"/>
        </w:rPr>
        <w:t>whose primary activity is commissioning secondary care services</w:t>
      </w:r>
      <w:r w:rsidR="00C65692">
        <w:rPr>
          <w:rFonts w:cs="Times New Roman"/>
          <w:szCs w:val="24"/>
        </w:rPr>
        <w:t>)</w:t>
      </w:r>
      <w:r w:rsidR="001819A5">
        <w:rPr>
          <w:rFonts w:cs="Times New Roman"/>
          <w:szCs w:val="24"/>
        </w:rPr>
        <w:t>,</w:t>
      </w:r>
      <w:r w:rsidR="00057B2F">
        <w:rPr>
          <w:rFonts w:cs="Times New Roman"/>
          <w:szCs w:val="24"/>
        </w:rPr>
        <w:t xml:space="preserve"> and are not functionally similar to PC clusters.</w:t>
      </w:r>
      <w:r w:rsidR="001819A5">
        <w:rPr>
          <w:rFonts w:cs="Times New Roman"/>
          <w:szCs w:val="24"/>
        </w:rPr>
        <w:t xml:space="preserve"> </w:t>
      </w:r>
      <w:r w:rsidR="00EB6653">
        <w:rPr>
          <w:rFonts w:cs="Times New Roman"/>
          <w:szCs w:val="24"/>
        </w:rPr>
        <w:t>In addition,</w:t>
      </w:r>
      <w:r w:rsidR="00444953">
        <w:rPr>
          <w:rFonts w:cs="Times New Roman"/>
          <w:szCs w:val="24"/>
        </w:rPr>
        <w:t xml:space="preserve"> neither </w:t>
      </w:r>
      <w:r w:rsidR="00D1673F">
        <w:rPr>
          <w:rFonts w:cs="Times New Roman"/>
          <w:szCs w:val="24"/>
        </w:rPr>
        <w:t xml:space="preserve">assessment </w:t>
      </w:r>
      <w:r w:rsidR="00444953">
        <w:rPr>
          <w:rFonts w:cs="Times New Roman"/>
          <w:szCs w:val="24"/>
        </w:rPr>
        <w:t xml:space="preserve">is designed to reflect a holistic perspective of </w:t>
      </w:r>
      <w:r w:rsidR="00D0638B">
        <w:rPr>
          <w:rFonts w:cs="Times New Roman"/>
          <w:szCs w:val="24"/>
        </w:rPr>
        <w:t>PC</w:t>
      </w:r>
      <w:r w:rsidR="00444953">
        <w:rPr>
          <w:rFonts w:cs="Times New Roman"/>
          <w:szCs w:val="24"/>
        </w:rPr>
        <w:t xml:space="preserve"> in England</w:t>
      </w:r>
      <w:r w:rsidR="00D1673F">
        <w:rPr>
          <w:rFonts w:cs="Times New Roman"/>
          <w:szCs w:val="24"/>
        </w:rPr>
        <w:t xml:space="preserve">, which means </w:t>
      </w:r>
      <w:r w:rsidR="00444953">
        <w:rPr>
          <w:rFonts w:cs="Times New Roman"/>
          <w:szCs w:val="24"/>
        </w:rPr>
        <w:t xml:space="preserve">that </w:t>
      </w:r>
      <w:r w:rsidR="00C65692">
        <w:rPr>
          <w:rFonts w:cs="Times New Roman"/>
          <w:szCs w:val="24"/>
        </w:rPr>
        <w:t xml:space="preserve">while specific </w:t>
      </w:r>
      <w:r w:rsidR="00EB6653">
        <w:rPr>
          <w:rFonts w:cs="Times New Roman"/>
          <w:szCs w:val="24"/>
        </w:rPr>
        <w:t>short-term</w:t>
      </w:r>
      <w:r w:rsidR="00C65692">
        <w:rPr>
          <w:rFonts w:cs="Times New Roman"/>
          <w:szCs w:val="24"/>
        </w:rPr>
        <w:t xml:space="preserve"> targets </w:t>
      </w:r>
      <w:r w:rsidR="00D1673F">
        <w:rPr>
          <w:rFonts w:cs="Times New Roman"/>
          <w:szCs w:val="24"/>
        </w:rPr>
        <w:t>are</w:t>
      </w:r>
      <w:r w:rsidR="00C65692">
        <w:rPr>
          <w:rFonts w:cs="Times New Roman"/>
          <w:szCs w:val="24"/>
        </w:rPr>
        <w:t xml:space="preserve"> monitored, important aspects of the </w:t>
      </w:r>
      <w:r w:rsidR="00D0638B">
        <w:rPr>
          <w:rFonts w:cs="Times New Roman"/>
          <w:szCs w:val="24"/>
        </w:rPr>
        <w:t xml:space="preserve">PC </w:t>
      </w:r>
      <w:r w:rsidR="00C65692">
        <w:rPr>
          <w:rFonts w:cs="Times New Roman"/>
          <w:szCs w:val="24"/>
        </w:rPr>
        <w:t xml:space="preserve">system </w:t>
      </w:r>
      <w:r w:rsidR="00D1673F">
        <w:rPr>
          <w:rFonts w:cs="Times New Roman"/>
          <w:szCs w:val="24"/>
        </w:rPr>
        <w:t>such as</w:t>
      </w:r>
      <w:r w:rsidR="00C65692">
        <w:rPr>
          <w:rFonts w:cs="Times New Roman"/>
          <w:szCs w:val="24"/>
        </w:rPr>
        <w:t xml:space="preserve"> continuity of care, workforce development</w:t>
      </w:r>
      <w:r w:rsidR="00BA5062">
        <w:rPr>
          <w:rFonts w:cs="Times New Roman"/>
          <w:szCs w:val="24"/>
        </w:rPr>
        <w:t xml:space="preserve"> and</w:t>
      </w:r>
      <w:r w:rsidR="00C65692">
        <w:rPr>
          <w:rFonts w:cs="Times New Roman"/>
          <w:szCs w:val="24"/>
        </w:rPr>
        <w:t xml:space="preserve"> equity of care </w:t>
      </w:r>
      <w:r w:rsidR="00BA5062">
        <w:rPr>
          <w:rFonts w:cs="Times New Roman"/>
          <w:szCs w:val="24"/>
        </w:rPr>
        <w:t xml:space="preserve">could be </w:t>
      </w:r>
      <w:r w:rsidR="00C65692">
        <w:rPr>
          <w:rFonts w:cs="Times New Roman"/>
          <w:szCs w:val="24"/>
        </w:rPr>
        <w:t>overlooked.</w:t>
      </w:r>
    </w:p>
    <w:p w:rsidR="00A1464B" w:rsidRDefault="00A1464B" w:rsidP="00A1464B">
      <w:pPr>
        <w:spacing w:after="0" w:line="360" w:lineRule="auto"/>
        <w:ind w:firstLine="720"/>
        <w:contextualSpacing/>
        <w:jc w:val="both"/>
        <w:rPr>
          <w:rFonts w:cs="Times New Roman"/>
          <w:szCs w:val="24"/>
        </w:rPr>
      </w:pPr>
      <w:r>
        <w:rPr>
          <w:rFonts w:cs="Times New Roman"/>
          <w:szCs w:val="24"/>
        </w:rPr>
        <w:t>Health care is a devolved sector in the United Kingdom, being planned, managed and funded separately in England, Wales, Scotland, and Northern Ireland. In England, within many of the CCGs, smaller locality groups (ranging from 4-23 general practices and serving 75,000-200,000 patients) help identify local priorities and are allocated an annual budget by their CCG, as well as the ability to reinvest any unspent funds in local priorities.[2</w:t>
      </w:r>
      <w:r w:rsidR="001D7B52">
        <w:rPr>
          <w:rFonts w:cs="Times New Roman"/>
          <w:szCs w:val="24"/>
        </w:rPr>
        <w:t>7</w:t>
      </w:r>
      <w:r>
        <w:rPr>
          <w:rFonts w:cs="Times New Roman"/>
          <w:szCs w:val="24"/>
        </w:rPr>
        <w:t>] Until recently, these smaller locality groups could have been compared to the PC clusters in Wales and also in Scotland, but they did not function in every CCG in England, and were not systematically assessed at a national level. Since July 2019, NHS England has introduced 1259 geographical structures, akin to PC clusters, called Primary Care Networks (PCNs).</w:t>
      </w:r>
      <w:r w:rsidR="001D7B52">
        <w:rPr>
          <w:rFonts w:cs="Times New Roman"/>
          <w:szCs w:val="24"/>
        </w:rPr>
        <w:t>[28]</w:t>
      </w:r>
      <w:r>
        <w:rPr>
          <w:rFonts w:cs="Times New Roman"/>
          <w:szCs w:val="24"/>
        </w:rPr>
        <w:t xml:space="preserve"> </w:t>
      </w:r>
      <w:r>
        <w:rPr>
          <w:rFonts w:cs="Times New Roman"/>
          <w:szCs w:val="24"/>
        </w:rPr>
        <w:lastRenderedPageBreak/>
        <w:t xml:space="preserve">The PCNs will be required from 2020 to deliver prescribed national service specifications (e.g., </w:t>
      </w:r>
      <w:r w:rsidRPr="005A52CF">
        <w:rPr>
          <w:rFonts w:cs="Times New Roman"/>
          <w:szCs w:val="24"/>
        </w:rPr>
        <w:t>supporting early cancer diagnosis</w:t>
      </w:r>
      <w:r>
        <w:rPr>
          <w:rFonts w:cs="Times New Roman"/>
          <w:szCs w:val="24"/>
        </w:rPr>
        <w:t xml:space="preserve">, </w:t>
      </w:r>
      <w:r w:rsidRPr="005A52CF">
        <w:rPr>
          <w:rFonts w:cs="Times New Roman"/>
          <w:szCs w:val="24"/>
        </w:rPr>
        <w:t>personalised care</w:t>
      </w:r>
      <w:r>
        <w:rPr>
          <w:rFonts w:cs="Times New Roman"/>
          <w:szCs w:val="24"/>
        </w:rPr>
        <w:t>,</w:t>
      </w:r>
      <w:r w:rsidRPr="005A52CF">
        <w:rPr>
          <w:rFonts w:cs="Times New Roman"/>
          <w:szCs w:val="24"/>
        </w:rPr>
        <w:t xml:space="preserve"> structured medication reviews, enhanced health in care homes</w:t>
      </w:r>
      <w:r>
        <w:rPr>
          <w:rFonts w:cs="Times New Roman"/>
          <w:szCs w:val="24"/>
        </w:rPr>
        <w:t>).</w:t>
      </w:r>
      <w:r w:rsidR="001D7B52">
        <w:rPr>
          <w:rFonts w:cs="Times New Roman"/>
          <w:szCs w:val="24"/>
        </w:rPr>
        <w:t>[29]</w:t>
      </w:r>
    </w:p>
    <w:p w:rsidR="00A1464B" w:rsidRDefault="00A1464B" w:rsidP="00A1464B">
      <w:pPr>
        <w:spacing w:after="0" w:line="360" w:lineRule="auto"/>
        <w:ind w:firstLine="720"/>
        <w:contextualSpacing/>
        <w:jc w:val="both"/>
        <w:rPr>
          <w:rFonts w:cs="Times New Roman"/>
          <w:szCs w:val="24"/>
        </w:rPr>
      </w:pPr>
      <w:r>
        <w:rPr>
          <w:rFonts w:cs="Times New Roman"/>
          <w:szCs w:val="24"/>
        </w:rPr>
        <w:t>I</w:t>
      </w:r>
      <w:r w:rsidRPr="00397E61">
        <w:rPr>
          <w:rFonts w:cs="Times New Roman"/>
          <w:szCs w:val="24"/>
        </w:rPr>
        <w:t>n Scotland</w:t>
      </w:r>
      <w:r>
        <w:rPr>
          <w:rFonts w:cs="Times New Roman"/>
          <w:szCs w:val="24"/>
        </w:rPr>
        <w:t xml:space="preserve">, all GP practices are </w:t>
      </w:r>
      <w:r w:rsidRPr="00397E61">
        <w:rPr>
          <w:rFonts w:cs="Times New Roman"/>
          <w:szCs w:val="24"/>
        </w:rPr>
        <w:t xml:space="preserve">part of </w:t>
      </w:r>
      <w:r>
        <w:rPr>
          <w:rFonts w:cs="Times New Roman"/>
          <w:szCs w:val="24"/>
        </w:rPr>
        <w:t xml:space="preserve">one of 147 PC </w:t>
      </w:r>
      <w:r w:rsidRPr="00397E61">
        <w:rPr>
          <w:rFonts w:cs="Times New Roman"/>
          <w:szCs w:val="24"/>
        </w:rPr>
        <w:t>cluster</w:t>
      </w:r>
      <w:r>
        <w:rPr>
          <w:rFonts w:cs="Times New Roman"/>
          <w:szCs w:val="24"/>
        </w:rPr>
        <w:t xml:space="preserve">s of </w:t>
      </w:r>
      <w:r w:rsidRPr="00397E61">
        <w:rPr>
          <w:rFonts w:cs="Times New Roman"/>
          <w:szCs w:val="24"/>
        </w:rPr>
        <w:t>different sizes, depending on local circumstances and geography</w:t>
      </w:r>
      <w:r>
        <w:rPr>
          <w:rFonts w:cs="Times New Roman"/>
          <w:szCs w:val="24"/>
        </w:rPr>
        <w:t xml:space="preserve"> since 2017/2018</w:t>
      </w:r>
      <w:r w:rsidRPr="00397E61">
        <w:rPr>
          <w:rFonts w:cs="Times New Roman"/>
          <w:szCs w:val="24"/>
        </w:rPr>
        <w:t>.</w:t>
      </w:r>
      <w:r w:rsidR="001D7B52">
        <w:rPr>
          <w:rFonts w:cs="Times New Roman"/>
          <w:szCs w:val="24"/>
        </w:rPr>
        <w:t>[30-31]</w:t>
      </w:r>
      <w:r w:rsidRPr="00397E61">
        <w:rPr>
          <w:rFonts w:cs="Times New Roman"/>
          <w:szCs w:val="24"/>
        </w:rPr>
        <w:t xml:space="preserve"> </w:t>
      </w:r>
      <w:r>
        <w:rPr>
          <w:rFonts w:cs="Times New Roman"/>
          <w:szCs w:val="24"/>
        </w:rPr>
        <w:t>T</w:t>
      </w:r>
      <w:r w:rsidRPr="00397E61">
        <w:rPr>
          <w:rFonts w:cs="Times New Roman"/>
          <w:szCs w:val="24"/>
        </w:rPr>
        <w:t>ypical</w:t>
      </w:r>
      <w:r>
        <w:rPr>
          <w:rFonts w:cs="Times New Roman"/>
          <w:szCs w:val="24"/>
        </w:rPr>
        <w:t>ly,</w:t>
      </w:r>
      <w:r w:rsidRPr="00397E61">
        <w:rPr>
          <w:rFonts w:cs="Times New Roman"/>
          <w:szCs w:val="24"/>
        </w:rPr>
        <w:t xml:space="preserve"> </w:t>
      </w:r>
      <w:r>
        <w:rPr>
          <w:rFonts w:cs="Times New Roman"/>
          <w:szCs w:val="24"/>
        </w:rPr>
        <w:t xml:space="preserve">PC clusters </w:t>
      </w:r>
      <w:r w:rsidRPr="00397E61">
        <w:rPr>
          <w:rFonts w:cs="Times New Roman"/>
          <w:szCs w:val="24"/>
        </w:rPr>
        <w:t xml:space="preserve">includes four to </w:t>
      </w:r>
      <w:r>
        <w:rPr>
          <w:rFonts w:cs="Times New Roman"/>
          <w:szCs w:val="24"/>
        </w:rPr>
        <w:t>eight practices covering 20,000-40,000 patients.</w:t>
      </w:r>
    </w:p>
    <w:p w:rsidR="00095B3D" w:rsidRDefault="008315AD" w:rsidP="008315AD">
      <w:pPr>
        <w:spacing w:after="0" w:line="360" w:lineRule="auto"/>
        <w:ind w:firstLine="720"/>
        <w:contextualSpacing/>
        <w:jc w:val="both"/>
        <w:rPr>
          <w:rFonts w:cs="Times New Roman"/>
          <w:szCs w:val="24"/>
        </w:rPr>
      </w:pPr>
      <w:r>
        <w:rPr>
          <w:rFonts w:cs="Times New Roman"/>
          <w:szCs w:val="24"/>
        </w:rPr>
        <w:t xml:space="preserve">All general practices in Northern Ireland joined one of 17 fully incorporated GP Federations, </w:t>
      </w:r>
      <w:r w:rsidRPr="008315AD">
        <w:rPr>
          <w:rFonts w:cs="Times New Roman"/>
          <w:szCs w:val="24"/>
        </w:rPr>
        <w:t xml:space="preserve">established as a </w:t>
      </w:r>
      <w:r>
        <w:rPr>
          <w:rFonts w:cs="Times New Roman"/>
          <w:szCs w:val="24"/>
        </w:rPr>
        <w:t>c</w:t>
      </w:r>
      <w:r w:rsidRPr="008315AD">
        <w:rPr>
          <w:rFonts w:cs="Times New Roman"/>
          <w:szCs w:val="24"/>
        </w:rPr>
        <w:t xml:space="preserve">ommunity </w:t>
      </w:r>
      <w:r>
        <w:rPr>
          <w:rFonts w:cs="Times New Roman"/>
          <w:szCs w:val="24"/>
        </w:rPr>
        <w:t>i</w:t>
      </w:r>
      <w:r w:rsidRPr="008315AD">
        <w:rPr>
          <w:rFonts w:cs="Times New Roman"/>
          <w:szCs w:val="24"/>
        </w:rPr>
        <w:t xml:space="preserve">nterest </w:t>
      </w:r>
      <w:r>
        <w:rPr>
          <w:rFonts w:cs="Times New Roman"/>
          <w:szCs w:val="24"/>
        </w:rPr>
        <w:t>c</w:t>
      </w:r>
      <w:r w:rsidRPr="008315AD">
        <w:rPr>
          <w:rFonts w:cs="Times New Roman"/>
          <w:szCs w:val="24"/>
        </w:rPr>
        <w:t>ompany</w:t>
      </w:r>
      <w:r>
        <w:rPr>
          <w:rFonts w:cs="Times New Roman"/>
          <w:szCs w:val="24"/>
        </w:rPr>
        <w:t xml:space="preserve"> (CIC), l</w:t>
      </w:r>
      <w:r w:rsidRPr="008315AD">
        <w:rPr>
          <w:rFonts w:cs="Times New Roman"/>
          <w:szCs w:val="24"/>
        </w:rPr>
        <w:t xml:space="preserve">imited by </w:t>
      </w:r>
      <w:r>
        <w:rPr>
          <w:rFonts w:cs="Times New Roman"/>
          <w:szCs w:val="24"/>
        </w:rPr>
        <w:t>g</w:t>
      </w:r>
      <w:r w:rsidRPr="008315AD">
        <w:rPr>
          <w:rFonts w:cs="Times New Roman"/>
          <w:szCs w:val="24"/>
        </w:rPr>
        <w:t>uarantee in the not</w:t>
      </w:r>
      <w:r>
        <w:rPr>
          <w:rFonts w:cs="Times New Roman"/>
          <w:szCs w:val="24"/>
        </w:rPr>
        <w:t>-for-p</w:t>
      </w:r>
      <w:r w:rsidRPr="008315AD">
        <w:rPr>
          <w:rFonts w:cs="Times New Roman"/>
          <w:szCs w:val="24"/>
        </w:rPr>
        <w:t>rofit sector</w:t>
      </w:r>
      <w:r>
        <w:rPr>
          <w:rFonts w:cs="Times New Roman"/>
          <w:szCs w:val="24"/>
        </w:rPr>
        <w:t xml:space="preserve">. GP federations are owned entirely by GPs, and, each serves approximately </w:t>
      </w:r>
      <w:r w:rsidRPr="008315AD">
        <w:rPr>
          <w:rFonts w:cs="Times New Roman"/>
          <w:szCs w:val="24"/>
        </w:rPr>
        <w:t xml:space="preserve">100,000 patients </w:t>
      </w:r>
      <w:r>
        <w:rPr>
          <w:rFonts w:cs="Times New Roman"/>
          <w:szCs w:val="24"/>
        </w:rPr>
        <w:t xml:space="preserve">and is made up of </w:t>
      </w:r>
      <w:r w:rsidR="00B5694B">
        <w:rPr>
          <w:rFonts w:cs="Times New Roman"/>
          <w:szCs w:val="24"/>
        </w:rPr>
        <w:t xml:space="preserve">around </w:t>
      </w:r>
      <w:r w:rsidRPr="008315AD">
        <w:rPr>
          <w:rFonts w:cs="Times New Roman"/>
          <w:szCs w:val="24"/>
        </w:rPr>
        <w:t>20</w:t>
      </w:r>
      <w:r>
        <w:rPr>
          <w:rFonts w:cs="Times New Roman"/>
          <w:szCs w:val="24"/>
        </w:rPr>
        <w:t xml:space="preserve"> </w:t>
      </w:r>
      <w:r w:rsidRPr="008315AD">
        <w:rPr>
          <w:rFonts w:cs="Times New Roman"/>
          <w:szCs w:val="24"/>
        </w:rPr>
        <w:t>practices.</w:t>
      </w:r>
      <w:r w:rsidR="00511D12">
        <w:rPr>
          <w:rFonts w:cs="Times New Roman"/>
          <w:szCs w:val="24"/>
        </w:rPr>
        <w:t>[32]</w:t>
      </w:r>
      <w:r>
        <w:rPr>
          <w:rFonts w:cs="Times New Roman"/>
          <w:szCs w:val="24"/>
        </w:rPr>
        <w:t xml:space="preserve"> </w:t>
      </w:r>
      <w:r w:rsidRPr="008315AD">
        <w:rPr>
          <w:rFonts w:cs="Times New Roman"/>
          <w:szCs w:val="24"/>
        </w:rPr>
        <w:t>Northern Ireland is the only part of the United Kingdom that has a unified model of Federations governed by a unified Members Agreement covering its entire population</w:t>
      </w:r>
      <w:r w:rsidR="00B5694B">
        <w:rPr>
          <w:rFonts w:cs="Times New Roman"/>
          <w:szCs w:val="24"/>
        </w:rPr>
        <w:t xml:space="preserve"> of approximately 1.8 million people</w:t>
      </w:r>
      <w:r w:rsidRPr="008315AD">
        <w:rPr>
          <w:rFonts w:cs="Times New Roman"/>
          <w:szCs w:val="24"/>
        </w:rPr>
        <w:t>.</w:t>
      </w:r>
      <w:r w:rsidR="001D7B52">
        <w:rPr>
          <w:rFonts w:cs="Times New Roman"/>
          <w:szCs w:val="24"/>
        </w:rPr>
        <w:t>[32-33]</w:t>
      </w:r>
    </w:p>
    <w:p w:rsidR="00947402" w:rsidRDefault="00A1464B" w:rsidP="00C02FB6">
      <w:pPr>
        <w:spacing w:after="0" w:line="360" w:lineRule="auto"/>
        <w:ind w:firstLine="720"/>
        <w:contextualSpacing/>
        <w:jc w:val="both"/>
        <w:rPr>
          <w:rFonts w:cs="Times New Roman"/>
          <w:szCs w:val="24"/>
        </w:rPr>
      </w:pPr>
      <w:r>
        <w:rPr>
          <w:rFonts w:cs="Times New Roman"/>
          <w:szCs w:val="24"/>
        </w:rPr>
        <w:t xml:space="preserve">In Wales, 64 PC </w:t>
      </w:r>
      <w:r w:rsidRPr="001D6684">
        <w:rPr>
          <w:rFonts w:cs="Times New Roman"/>
          <w:szCs w:val="24"/>
        </w:rPr>
        <w:t>cluster</w:t>
      </w:r>
      <w:r>
        <w:rPr>
          <w:rFonts w:cs="Times New Roman"/>
          <w:szCs w:val="24"/>
        </w:rPr>
        <w:t xml:space="preserve">s covering all the general practices have been in existence since 2014. </w:t>
      </w:r>
      <w:r w:rsidR="00665A08">
        <w:rPr>
          <w:rFonts w:cs="Times New Roman"/>
          <w:szCs w:val="24"/>
        </w:rPr>
        <w:t xml:space="preserve">Each </w:t>
      </w:r>
      <w:r w:rsidR="001364B5">
        <w:rPr>
          <w:rFonts w:cs="Times New Roman"/>
          <w:szCs w:val="24"/>
        </w:rPr>
        <w:t>c</w:t>
      </w:r>
      <w:r w:rsidR="00A3071B" w:rsidRPr="001D6684">
        <w:rPr>
          <w:rFonts w:cs="Times New Roman"/>
          <w:szCs w:val="24"/>
        </w:rPr>
        <w:t xml:space="preserve">luster </w:t>
      </w:r>
      <w:r w:rsidR="00876E9C" w:rsidRPr="001D6684">
        <w:rPr>
          <w:rFonts w:cs="Times New Roman"/>
          <w:szCs w:val="24"/>
        </w:rPr>
        <w:t>consist</w:t>
      </w:r>
      <w:r w:rsidR="004A706B">
        <w:rPr>
          <w:rFonts w:cs="Times New Roman"/>
          <w:szCs w:val="24"/>
        </w:rPr>
        <w:t>s</w:t>
      </w:r>
      <w:r w:rsidR="00876E9C" w:rsidRPr="001D6684">
        <w:rPr>
          <w:rFonts w:cs="Times New Roman"/>
          <w:szCs w:val="24"/>
        </w:rPr>
        <w:t xml:space="preserve"> of a group of </w:t>
      </w:r>
      <w:r w:rsidR="00BA5062">
        <w:rPr>
          <w:rFonts w:cs="Times New Roman"/>
          <w:szCs w:val="24"/>
        </w:rPr>
        <w:t>general</w:t>
      </w:r>
      <w:r w:rsidR="00BA5062" w:rsidRPr="001D6684">
        <w:rPr>
          <w:rFonts w:cs="Times New Roman"/>
          <w:szCs w:val="24"/>
        </w:rPr>
        <w:t xml:space="preserve"> </w:t>
      </w:r>
      <w:r w:rsidR="00876E9C" w:rsidRPr="001D6684">
        <w:rPr>
          <w:rFonts w:cs="Times New Roman"/>
          <w:szCs w:val="24"/>
        </w:rPr>
        <w:t>practices</w:t>
      </w:r>
      <w:r w:rsidR="004A706B">
        <w:rPr>
          <w:rFonts w:cs="Times New Roman"/>
          <w:szCs w:val="24"/>
        </w:rPr>
        <w:t xml:space="preserve">, </w:t>
      </w:r>
      <w:r w:rsidR="000338FD">
        <w:rPr>
          <w:rFonts w:cs="Times New Roman"/>
          <w:szCs w:val="24"/>
        </w:rPr>
        <w:t xml:space="preserve">other health and social care providers </w:t>
      </w:r>
      <w:r w:rsidR="004A706B">
        <w:rPr>
          <w:rFonts w:cs="Times New Roman"/>
          <w:szCs w:val="24"/>
        </w:rPr>
        <w:t xml:space="preserve">and third sector organisations </w:t>
      </w:r>
      <w:r w:rsidR="000338FD" w:rsidRPr="000338FD">
        <w:rPr>
          <w:rFonts w:cs="Times New Roman"/>
          <w:szCs w:val="24"/>
        </w:rPr>
        <w:t>serv</w:t>
      </w:r>
      <w:r w:rsidR="00BA5062">
        <w:rPr>
          <w:rFonts w:cs="Times New Roman"/>
          <w:szCs w:val="24"/>
        </w:rPr>
        <w:t>ing</w:t>
      </w:r>
      <w:r w:rsidR="000338FD" w:rsidRPr="000338FD">
        <w:rPr>
          <w:rFonts w:cs="Times New Roman"/>
          <w:szCs w:val="24"/>
        </w:rPr>
        <w:t xml:space="preserve"> populations of 2</w:t>
      </w:r>
      <w:r w:rsidR="000338FD">
        <w:rPr>
          <w:rFonts w:cs="Times New Roman"/>
          <w:szCs w:val="24"/>
        </w:rPr>
        <w:t>0</w:t>
      </w:r>
      <w:r w:rsidR="000338FD" w:rsidRPr="000338FD">
        <w:rPr>
          <w:rFonts w:cs="Times New Roman"/>
          <w:szCs w:val="24"/>
        </w:rPr>
        <w:t>,000-10</w:t>
      </w:r>
      <w:r w:rsidR="000338FD">
        <w:rPr>
          <w:rFonts w:cs="Times New Roman"/>
          <w:szCs w:val="24"/>
        </w:rPr>
        <w:t>0</w:t>
      </w:r>
      <w:r w:rsidR="000338FD" w:rsidRPr="000338FD">
        <w:rPr>
          <w:rFonts w:cs="Times New Roman"/>
          <w:szCs w:val="24"/>
        </w:rPr>
        <w:t>,000</w:t>
      </w:r>
      <w:r w:rsidR="00A3071B" w:rsidRPr="001D6684">
        <w:rPr>
          <w:rFonts w:cs="Times New Roman"/>
          <w:szCs w:val="24"/>
        </w:rPr>
        <w:t>.</w:t>
      </w:r>
      <w:r w:rsidR="00BC68AA">
        <w:rPr>
          <w:rFonts w:cs="Times New Roman"/>
          <w:szCs w:val="24"/>
        </w:rPr>
        <w:t>[14</w:t>
      </w:r>
      <w:r w:rsidR="00C02FB6">
        <w:rPr>
          <w:rFonts w:cs="Times New Roman"/>
          <w:szCs w:val="24"/>
        </w:rPr>
        <w:t>,</w:t>
      </w:r>
      <w:r w:rsidR="001D7B52">
        <w:rPr>
          <w:rFonts w:cs="Times New Roman"/>
          <w:szCs w:val="24"/>
        </w:rPr>
        <w:t>3</w:t>
      </w:r>
      <w:r w:rsidR="00BC68AA">
        <w:rPr>
          <w:rFonts w:cs="Times New Roman"/>
          <w:szCs w:val="24"/>
        </w:rPr>
        <w:t>4</w:t>
      </w:r>
      <w:r w:rsidR="00C02FB6">
        <w:rPr>
          <w:rFonts w:cs="Times New Roman"/>
          <w:szCs w:val="24"/>
        </w:rPr>
        <w:t>]</w:t>
      </w:r>
      <w:r w:rsidR="00A3071B" w:rsidRPr="001D6684">
        <w:rPr>
          <w:rFonts w:cs="Times New Roman"/>
          <w:szCs w:val="24"/>
        </w:rPr>
        <w:t xml:space="preserve"> </w:t>
      </w:r>
      <w:r w:rsidR="00862D3A" w:rsidRPr="001D6684">
        <w:rPr>
          <w:rFonts w:cs="Times New Roman"/>
          <w:szCs w:val="24"/>
        </w:rPr>
        <w:t xml:space="preserve">Cluster </w:t>
      </w:r>
      <w:r w:rsidR="00BA5062">
        <w:rPr>
          <w:rFonts w:cs="Times New Roman"/>
          <w:szCs w:val="24"/>
        </w:rPr>
        <w:t>l</w:t>
      </w:r>
      <w:r w:rsidR="00862D3A" w:rsidRPr="001D6684">
        <w:rPr>
          <w:rFonts w:cs="Times New Roman"/>
          <w:szCs w:val="24"/>
        </w:rPr>
        <w:t>ead</w:t>
      </w:r>
      <w:r w:rsidR="00BA5062">
        <w:rPr>
          <w:rFonts w:cs="Times New Roman"/>
          <w:szCs w:val="24"/>
        </w:rPr>
        <w:t>s</w:t>
      </w:r>
      <w:r w:rsidR="00A3071B" w:rsidRPr="001D6684">
        <w:rPr>
          <w:rFonts w:cs="Times New Roman"/>
          <w:szCs w:val="24"/>
        </w:rPr>
        <w:t xml:space="preserve"> </w:t>
      </w:r>
      <w:r w:rsidR="00BA5062">
        <w:rPr>
          <w:rFonts w:cs="Times New Roman"/>
          <w:szCs w:val="24"/>
        </w:rPr>
        <w:t xml:space="preserve">are </w:t>
      </w:r>
      <w:r w:rsidR="001171E7" w:rsidRPr="001D6684">
        <w:rPr>
          <w:rFonts w:cs="Times New Roman"/>
          <w:szCs w:val="24"/>
        </w:rPr>
        <w:t>most commonly</w:t>
      </w:r>
      <w:r w:rsidR="000338FD">
        <w:rPr>
          <w:rFonts w:cs="Times New Roman"/>
          <w:szCs w:val="24"/>
        </w:rPr>
        <w:t xml:space="preserve"> </w:t>
      </w:r>
      <w:r w:rsidR="001171E7" w:rsidRPr="001D6684">
        <w:rPr>
          <w:rFonts w:cs="Times New Roman"/>
          <w:szCs w:val="24"/>
        </w:rPr>
        <w:t>GP</w:t>
      </w:r>
      <w:r w:rsidR="00BA5062">
        <w:rPr>
          <w:rFonts w:cs="Times New Roman"/>
          <w:szCs w:val="24"/>
        </w:rPr>
        <w:t>s</w:t>
      </w:r>
      <w:r w:rsidR="004A706B">
        <w:rPr>
          <w:rFonts w:cs="Times New Roman"/>
          <w:szCs w:val="24"/>
        </w:rPr>
        <w:t xml:space="preserve">, </w:t>
      </w:r>
      <w:r w:rsidR="00BA5062">
        <w:rPr>
          <w:rFonts w:cs="Times New Roman"/>
          <w:szCs w:val="24"/>
        </w:rPr>
        <w:t xml:space="preserve">but also include </w:t>
      </w:r>
      <w:r w:rsidR="00B617B8">
        <w:rPr>
          <w:rFonts w:cs="Times New Roman"/>
          <w:szCs w:val="24"/>
        </w:rPr>
        <w:t xml:space="preserve">a </w:t>
      </w:r>
      <w:r w:rsidR="00BA5062">
        <w:rPr>
          <w:rFonts w:cs="Times New Roman"/>
          <w:szCs w:val="24"/>
        </w:rPr>
        <w:t>nurse</w:t>
      </w:r>
      <w:r w:rsidR="00B617B8">
        <w:rPr>
          <w:rFonts w:cs="Times New Roman"/>
          <w:szCs w:val="24"/>
        </w:rPr>
        <w:t xml:space="preserve"> practitioner</w:t>
      </w:r>
      <w:r w:rsidR="004A706B">
        <w:rPr>
          <w:rFonts w:cs="Times New Roman"/>
          <w:szCs w:val="24"/>
        </w:rPr>
        <w:t xml:space="preserve"> </w:t>
      </w:r>
      <w:r w:rsidR="00BA5062">
        <w:rPr>
          <w:rFonts w:cs="Times New Roman"/>
          <w:szCs w:val="24"/>
        </w:rPr>
        <w:t>and a</w:t>
      </w:r>
      <w:r w:rsidR="004A706B">
        <w:rPr>
          <w:rFonts w:cs="Times New Roman"/>
          <w:szCs w:val="24"/>
        </w:rPr>
        <w:t xml:space="preserve"> </w:t>
      </w:r>
      <w:r w:rsidR="00BA5062">
        <w:rPr>
          <w:rFonts w:cs="Times New Roman"/>
          <w:szCs w:val="24"/>
        </w:rPr>
        <w:t>t</w:t>
      </w:r>
      <w:r w:rsidR="004A706B">
        <w:rPr>
          <w:rFonts w:cs="Times New Roman"/>
          <w:szCs w:val="24"/>
        </w:rPr>
        <w:t xml:space="preserve">hird </w:t>
      </w:r>
      <w:r w:rsidR="00BA5062">
        <w:rPr>
          <w:rFonts w:cs="Times New Roman"/>
          <w:szCs w:val="24"/>
        </w:rPr>
        <w:t>s</w:t>
      </w:r>
      <w:r w:rsidR="004A706B">
        <w:rPr>
          <w:rFonts w:cs="Times New Roman"/>
          <w:szCs w:val="24"/>
        </w:rPr>
        <w:t xml:space="preserve">ector </w:t>
      </w:r>
      <w:r w:rsidR="00BA5062">
        <w:rPr>
          <w:rFonts w:cs="Times New Roman"/>
          <w:szCs w:val="24"/>
        </w:rPr>
        <w:t>c</w:t>
      </w:r>
      <w:r w:rsidR="004A706B">
        <w:rPr>
          <w:rFonts w:cs="Times New Roman"/>
          <w:szCs w:val="24"/>
        </w:rPr>
        <w:t xml:space="preserve">ommunity </w:t>
      </w:r>
      <w:r w:rsidR="00BA5062">
        <w:rPr>
          <w:rFonts w:cs="Times New Roman"/>
          <w:szCs w:val="24"/>
        </w:rPr>
        <w:t>c</w:t>
      </w:r>
      <w:r w:rsidR="004A706B">
        <w:rPr>
          <w:rFonts w:cs="Times New Roman"/>
          <w:szCs w:val="24"/>
        </w:rPr>
        <w:t>o</w:t>
      </w:r>
      <w:r w:rsidR="00BA5062">
        <w:rPr>
          <w:rFonts w:cs="Times New Roman"/>
          <w:szCs w:val="24"/>
        </w:rPr>
        <w:t>-</w:t>
      </w:r>
      <w:r w:rsidR="004A706B">
        <w:rPr>
          <w:rFonts w:cs="Times New Roman"/>
          <w:szCs w:val="24"/>
        </w:rPr>
        <w:t>ordinator</w:t>
      </w:r>
      <w:r w:rsidR="00CC2872">
        <w:rPr>
          <w:rFonts w:cs="Times New Roman"/>
          <w:szCs w:val="24"/>
        </w:rPr>
        <w:t xml:space="preserve">, and </w:t>
      </w:r>
      <w:r w:rsidR="00F62908">
        <w:rPr>
          <w:rFonts w:cs="Times New Roman"/>
          <w:szCs w:val="24"/>
        </w:rPr>
        <w:t>are appoi</w:t>
      </w:r>
      <w:r w:rsidR="00CC2872">
        <w:rPr>
          <w:rFonts w:cs="Times New Roman"/>
          <w:szCs w:val="24"/>
        </w:rPr>
        <w:t>nted by one of the seven local health boards in Wales. G</w:t>
      </w:r>
      <w:r w:rsidR="00F62908">
        <w:rPr>
          <w:rFonts w:cs="Times New Roman"/>
          <w:szCs w:val="24"/>
        </w:rPr>
        <w:t>eneral practices are incentivised to participate in the cluster work, but participation is not mandat</w:t>
      </w:r>
      <w:r w:rsidR="0068246A">
        <w:rPr>
          <w:rFonts w:cs="Times New Roman"/>
          <w:szCs w:val="24"/>
        </w:rPr>
        <w:t>ory</w:t>
      </w:r>
      <w:r w:rsidR="00F62908">
        <w:rPr>
          <w:rFonts w:cs="Times New Roman"/>
          <w:szCs w:val="24"/>
        </w:rPr>
        <w:t xml:space="preserve">. </w:t>
      </w:r>
      <w:r w:rsidR="00876E9C" w:rsidRPr="001D6684">
        <w:rPr>
          <w:rFonts w:cs="Times New Roman"/>
          <w:szCs w:val="24"/>
        </w:rPr>
        <w:t xml:space="preserve">The aims of </w:t>
      </w:r>
      <w:r w:rsidR="00394AC8">
        <w:rPr>
          <w:rFonts w:cs="Times New Roman"/>
          <w:szCs w:val="24"/>
        </w:rPr>
        <w:t xml:space="preserve">PC </w:t>
      </w:r>
      <w:r w:rsidR="00876E9C" w:rsidRPr="001D6684">
        <w:rPr>
          <w:rFonts w:cs="Times New Roman"/>
          <w:szCs w:val="24"/>
        </w:rPr>
        <w:t>cluster</w:t>
      </w:r>
      <w:r w:rsidR="00BA5062">
        <w:rPr>
          <w:rFonts w:cs="Times New Roman"/>
          <w:szCs w:val="24"/>
        </w:rPr>
        <w:t>s</w:t>
      </w:r>
      <w:r w:rsidR="00876E9C" w:rsidRPr="001D6684">
        <w:rPr>
          <w:rFonts w:cs="Times New Roman"/>
          <w:szCs w:val="24"/>
        </w:rPr>
        <w:t xml:space="preserve"> </w:t>
      </w:r>
      <w:r w:rsidR="00B739B1">
        <w:rPr>
          <w:rFonts w:cs="Times New Roman"/>
          <w:szCs w:val="24"/>
        </w:rPr>
        <w:t xml:space="preserve">in Wales </w:t>
      </w:r>
      <w:r w:rsidR="00CC2872">
        <w:rPr>
          <w:rFonts w:cs="Times New Roman"/>
          <w:szCs w:val="24"/>
        </w:rPr>
        <w:t>a</w:t>
      </w:r>
      <w:r w:rsidR="00876E9C" w:rsidRPr="001D6684">
        <w:rPr>
          <w:rFonts w:cs="Times New Roman"/>
          <w:szCs w:val="24"/>
        </w:rPr>
        <w:t>re to improve the co</w:t>
      </w:r>
      <w:r w:rsidR="00BA5062">
        <w:rPr>
          <w:rFonts w:cs="Times New Roman"/>
          <w:szCs w:val="24"/>
        </w:rPr>
        <w:t>-</w:t>
      </w:r>
      <w:r w:rsidR="00876E9C" w:rsidRPr="001D6684">
        <w:rPr>
          <w:rFonts w:cs="Times New Roman"/>
          <w:szCs w:val="24"/>
        </w:rPr>
        <w:t>ordination of care, the integration of health and social care, and reduce inequalities in health.</w:t>
      </w:r>
      <w:r w:rsidR="00C02FB6">
        <w:rPr>
          <w:rFonts w:cs="Times New Roman"/>
          <w:szCs w:val="24"/>
        </w:rPr>
        <w:t>[</w:t>
      </w:r>
      <w:r w:rsidR="001D7B52">
        <w:rPr>
          <w:rFonts w:cs="Times New Roman"/>
          <w:szCs w:val="24"/>
        </w:rPr>
        <w:t>3</w:t>
      </w:r>
      <w:r w:rsidR="00BC68AA">
        <w:rPr>
          <w:rFonts w:cs="Times New Roman"/>
          <w:szCs w:val="24"/>
        </w:rPr>
        <w:t>5</w:t>
      </w:r>
      <w:r w:rsidR="00C02FB6">
        <w:rPr>
          <w:rFonts w:cs="Times New Roman"/>
          <w:szCs w:val="24"/>
        </w:rPr>
        <w:t>]</w:t>
      </w:r>
      <w:r w:rsidR="00EF1170" w:rsidRPr="001D6684">
        <w:rPr>
          <w:rFonts w:cs="Times New Roman"/>
          <w:szCs w:val="24"/>
        </w:rPr>
        <w:t xml:space="preserve"> </w:t>
      </w:r>
      <w:r w:rsidR="00CE44AA" w:rsidRPr="001D6684">
        <w:rPr>
          <w:rFonts w:cs="Times New Roman"/>
          <w:szCs w:val="24"/>
        </w:rPr>
        <w:t xml:space="preserve">Under </w:t>
      </w:r>
      <w:r w:rsidR="00462A00">
        <w:rPr>
          <w:rFonts w:cs="Times New Roman"/>
          <w:szCs w:val="24"/>
        </w:rPr>
        <w:t xml:space="preserve">this structure, </w:t>
      </w:r>
      <w:r w:rsidR="00996779" w:rsidRPr="001D6684">
        <w:rPr>
          <w:rFonts w:cs="Times New Roman"/>
          <w:szCs w:val="24"/>
        </w:rPr>
        <w:t>cluster</w:t>
      </w:r>
      <w:r w:rsidR="00462A00">
        <w:rPr>
          <w:rFonts w:cs="Times New Roman"/>
          <w:szCs w:val="24"/>
        </w:rPr>
        <w:t>s</w:t>
      </w:r>
      <w:r w:rsidR="00996779" w:rsidRPr="001D6684">
        <w:rPr>
          <w:rFonts w:cs="Times New Roman"/>
          <w:szCs w:val="24"/>
        </w:rPr>
        <w:t xml:space="preserve"> </w:t>
      </w:r>
      <w:r w:rsidR="00EB6653">
        <w:rPr>
          <w:rFonts w:cs="Times New Roman"/>
          <w:szCs w:val="24"/>
        </w:rPr>
        <w:t>a</w:t>
      </w:r>
      <w:r w:rsidR="00462A00">
        <w:rPr>
          <w:rFonts w:cs="Times New Roman"/>
          <w:szCs w:val="24"/>
        </w:rPr>
        <w:t xml:space="preserve">re </w:t>
      </w:r>
      <w:r w:rsidR="00876E9C" w:rsidRPr="001D6684">
        <w:rPr>
          <w:rFonts w:cs="Times New Roman"/>
          <w:szCs w:val="24"/>
        </w:rPr>
        <w:t>required to agree a joint action plan (</w:t>
      </w:r>
      <w:r w:rsidR="00EB6653">
        <w:rPr>
          <w:rFonts w:cs="Times New Roman"/>
          <w:szCs w:val="24"/>
        </w:rPr>
        <w:t>c</w:t>
      </w:r>
      <w:r w:rsidR="00876E9C" w:rsidRPr="001D6684">
        <w:rPr>
          <w:rFonts w:cs="Times New Roman"/>
          <w:szCs w:val="24"/>
        </w:rPr>
        <w:t xml:space="preserve">luster </w:t>
      </w:r>
      <w:r w:rsidR="00EB6653">
        <w:rPr>
          <w:rFonts w:cs="Times New Roman"/>
          <w:szCs w:val="24"/>
        </w:rPr>
        <w:t>n</w:t>
      </w:r>
      <w:r w:rsidR="00876E9C" w:rsidRPr="001D6684">
        <w:rPr>
          <w:rFonts w:cs="Times New Roman"/>
          <w:szCs w:val="24"/>
        </w:rPr>
        <w:t xml:space="preserve">etwork </w:t>
      </w:r>
      <w:r w:rsidR="00EB6653">
        <w:rPr>
          <w:rFonts w:cs="Times New Roman"/>
          <w:szCs w:val="24"/>
        </w:rPr>
        <w:t>p</w:t>
      </w:r>
      <w:r w:rsidR="00876E9C" w:rsidRPr="001D6684">
        <w:rPr>
          <w:rFonts w:cs="Times New Roman"/>
          <w:szCs w:val="24"/>
        </w:rPr>
        <w:t xml:space="preserve">lan), </w:t>
      </w:r>
      <w:r w:rsidR="00462A00">
        <w:rPr>
          <w:rFonts w:cs="Times New Roman"/>
          <w:szCs w:val="24"/>
        </w:rPr>
        <w:t>addressing national health policy priorities and local health needs, in a manner specific to each cluster’s context</w:t>
      </w:r>
      <w:r w:rsidR="00963E96" w:rsidRPr="001D6684">
        <w:rPr>
          <w:rFonts w:cs="Times New Roman"/>
          <w:szCs w:val="24"/>
        </w:rPr>
        <w:t xml:space="preserve">. </w:t>
      </w:r>
      <w:r w:rsidR="00462A00">
        <w:rPr>
          <w:rFonts w:cs="Times New Roman"/>
          <w:szCs w:val="24"/>
        </w:rPr>
        <w:t xml:space="preserve">The Welsh </w:t>
      </w:r>
      <w:r w:rsidR="00EB6653">
        <w:rPr>
          <w:rFonts w:cs="Times New Roman"/>
          <w:szCs w:val="24"/>
        </w:rPr>
        <w:t>g</w:t>
      </w:r>
      <w:r w:rsidR="00462A00">
        <w:rPr>
          <w:rFonts w:cs="Times New Roman"/>
          <w:szCs w:val="24"/>
        </w:rPr>
        <w:t>overnment provided additional funding through the local health boards to support the clusters.</w:t>
      </w:r>
      <w:r w:rsidR="00BC68AA">
        <w:rPr>
          <w:rFonts w:cs="Times New Roman"/>
          <w:szCs w:val="24"/>
        </w:rPr>
        <w:t>[</w:t>
      </w:r>
      <w:r w:rsidR="00DC60E8">
        <w:rPr>
          <w:rFonts w:cs="Times New Roman"/>
          <w:szCs w:val="24"/>
        </w:rPr>
        <w:t>3</w:t>
      </w:r>
      <w:r w:rsidR="00BC68AA">
        <w:rPr>
          <w:rFonts w:cs="Times New Roman"/>
          <w:szCs w:val="24"/>
        </w:rPr>
        <w:t>6</w:t>
      </w:r>
      <w:r w:rsidR="00C02FB6">
        <w:rPr>
          <w:rFonts w:cs="Times New Roman"/>
          <w:szCs w:val="24"/>
        </w:rPr>
        <w:t>]</w:t>
      </w:r>
      <w:r w:rsidR="0030493D">
        <w:rPr>
          <w:rFonts w:cs="Times New Roman"/>
          <w:szCs w:val="24"/>
        </w:rPr>
        <w:t xml:space="preserve"> </w:t>
      </w:r>
      <w:r w:rsidR="00947402">
        <w:rPr>
          <w:rFonts w:cs="Times New Roman"/>
          <w:szCs w:val="24"/>
        </w:rPr>
        <w:t xml:space="preserve">A recent </w:t>
      </w:r>
      <w:r w:rsidR="00947402" w:rsidRPr="00947402">
        <w:rPr>
          <w:rFonts w:cs="Times New Roman"/>
          <w:szCs w:val="24"/>
        </w:rPr>
        <w:t xml:space="preserve">inquiry </w:t>
      </w:r>
      <w:r w:rsidR="0068246A">
        <w:rPr>
          <w:rFonts w:cs="Times New Roman"/>
          <w:szCs w:val="24"/>
        </w:rPr>
        <w:t>by</w:t>
      </w:r>
      <w:r w:rsidR="0068246A" w:rsidRPr="00947402">
        <w:rPr>
          <w:rFonts w:cs="Times New Roman"/>
          <w:szCs w:val="24"/>
        </w:rPr>
        <w:t xml:space="preserve"> </w:t>
      </w:r>
      <w:r w:rsidR="00947402" w:rsidRPr="00947402">
        <w:rPr>
          <w:rFonts w:cs="Times New Roman"/>
          <w:szCs w:val="24"/>
        </w:rPr>
        <w:t xml:space="preserve">the National Assembly for Wales into the </w:t>
      </w:r>
      <w:r w:rsidR="00D740B5">
        <w:rPr>
          <w:rFonts w:cs="Times New Roman"/>
          <w:szCs w:val="24"/>
        </w:rPr>
        <w:t>PC</w:t>
      </w:r>
      <w:r w:rsidR="00947402" w:rsidRPr="00947402">
        <w:rPr>
          <w:rFonts w:cs="Times New Roman"/>
          <w:szCs w:val="24"/>
        </w:rPr>
        <w:t xml:space="preserve"> cluster</w:t>
      </w:r>
      <w:r w:rsidR="00947402">
        <w:rPr>
          <w:rFonts w:cs="Times New Roman"/>
          <w:szCs w:val="24"/>
        </w:rPr>
        <w:t xml:space="preserve">s model identified promising examples of best practice </w:t>
      </w:r>
      <w:r w:rsidR="00947402" w:rsidRPr="00947402">
        <w:rPr>
          <w:rFonts w:cs="Times New Roman"/>
          <w:szCs w:val="24"/>
        </w:rPr>
        <w:t>in individual clusters across Wales</w:t>
      </w:r>
      <w:r w:rsidR="00947402">
        <w:rPr>
          <w:rFonts w:cs="Times New Roman"/>
          <w:szCs w:val="24"/>
        </w:rPr>
        <w:t>,</w:t>
      </w:r>
      <w:r w:rsidR="00C02FB6">
        <w:rPr>
          <w:rFonts w:cs="Times New Roman"/>
          <w:szCs w:val="24"/>
        </w:rPr>
        <w:t>[</w:t>
      </w:r>
      <w:r w:rsidR="00DC60E8">
        <w:rPr>
          <w:rFonts w:cs="Times New Roman"/>
          <w:szCs w:val="24"/>
        </w:rPr>
        <w:t>3</w:t>
      </w:r>
      <w:r w:rsidR="00BC68AA">
        <w:rPr>
          <w:rFonts w:cs="Times New Roman"/>
          <w:szCs w:val="24"/>
        </w:rPr>
        <w:t>7</w:t>
      </w:r>
      <w:r w:rsidR="00C02FB6">
        <w:rPr>
          <w:rFonts w:cs="Times New Roman"/>
          <w:szCs w:val="24"/>
        </w:rPr>
        <w:t>]</w:t>
      </w:r>
      <w:r w:rsidR="00947402">
        <w:rPr>
          <w:rFonts w:cs="Times New Roman"/>
          <w:szCs w:val="24"/>
        </w:rPr>
        <w:t xml:space="preserve"> but also challenges</w:t>
      </w:r>
      <w:r w:rsidR="0068246A">
        <w:rPr>
          <w:rFonts w:cs="Times New Roman"/>
          <w:szCs w:val="24"/>
        </w:rPr>
        <w:t>, including:</w:t>
      </w:r>
      <w:r w:rsidR="00947402">
        <w:rPr>
          <w:rFonts w:cs="Times New Roman"/>
          <w:szCs w:val="24"/>
        </w:rPr>
        <w:t xml:space="preserve"> the </w:t>
      </w:r>
      <w:r w:rsidR="00CF3378">
        <w:rPr>
          <w:rFonts w:cs="Times New Roman"/>
          <w:szCs w:val="24"/>
        </w:rPr>
        <w:t xml:space="preserve">breadth of agencies participating in the clusters’ work, </w:t>
      </w:r>
      <w:r w:rsidR="00CF3378" w:rsidRPr="00CF3378">
        <w:rPr>
          <w:rFonts w:cs="Times New Roman"/>
          <w:szCs w:val="24"/>
        </w:rPr>
        <w:t xml:space="preserve">the short term nature of cluster development </w:t>
      </w:r>
      <w:r w:rsidR="00D466A4">
        <w:rPr>
          <w:rFonts w:cs="Times New Roman"/>
          <w:szCs w:val="24"/>
        </w:rPr>
        <w:t>funding</w:t>
      </w:r>
      <w:r w:rsidR="00CF3378" w:rsidRPr="00CF3378">
        <w:rPr>
          <w:rFonts w:cs="Times New Roman"/>
          <w:szCs w:val="24"/>
        </w:rPr>
        <w:t xml:space="preserve">, </w:t>
      </w:r>
      <w:r w:rsidR="00CF3378">
        <w:rPr>
          <w:rFonts w:cs="Times New Roman"/>
          <w:szCs w:val="24"/>
        </w:rPr>
        <w:t xml:space="preserve">and </w:t>
      </w:r>
      <w:r w:rsidR="00CF3378" w:rsidRPr="00CF3378">
        <w:rPr>
          <w:rFonts w:cs="Times New Roman"/>
          <w:szCs w:val="24"/>
        </w:rPr>
        <w:t>the</w:t>
      </w:r>
      <w:r w:rsidR="0068246A">
        <w:rPr>
          <w:rFonts w:cs="Times New Roman"/>
          <w:szCs w:val="24"/>
        </w:rPr>
        <w:t>ir</w:t>
      </w:r>
      <w:r w:rsidR="00CF3378" w:rsidRPr="00CF3378">
        <w:rPr>
          <w:rFonts w:cs="Times New Roman"/>
          <w:szCs w:val="24"/>
        </w:rPr>
        <w:t xml:space="preserve"> lack of legal status.</w:t>
      </w:r>
      <w:r w:rsidR="00C02FB6">
        <w:rPr>
          <w:rFonts w:cs="Times New Roman"/>
          <w:szCs w:val="24"/>
        </w:rPr>
        <w:t>[</w:t>
      </w:r>
      <w:r w:rsidR="00DC60E8">
        <w:rPr>
          <w:rFonts w:cs="Times New Roman"/>
          <w:szCs w:val="24"/>
        </w:rPr>
        <w:t>3</w:t>
      </w:r>
      <w:r w:rsidR="00BC68AA">
        <w:rPr>
          <w:rFonts w:cs="Times New Roman"/>
          <w:szCs w:val="24"/>
        </w:rPr>
        <w:t>7</w:t>
      </w:r>
      <w:r w:rsidR="00C02FB6">
        <w:rPr>
          <w:rFonts w:cs="Times New Roman"/>
          <w:szCs w:val="24"/>
        </w:rPr>
        <w:t>]</w:t>
      </w:r>
      <w:r w:rsidR="00947402">
        <w:rPr>
          <w:rFonts w:cs="Times New Roman"/>
          <w:szCs w:val="24"/>
        </w:rPr>
        <w:t xml:space="preserve"> The inquiry concluded that </w:t>
      </w:r>
      <w:r w:rsidR="00947402" w:rsidRPr="00947402">
        <w:rPr>
          <w:rFonts w:cs="Times New Roman"/>
          <w:szCs w:val="24"/>
        </w:rPr>
        <w:t xml:space="preserve">achieving the systemic change envisaged </w:t>
      </w:r>
      <w:r w:rsidR="00947402">
        <w:rPr>
          <w:rFonts w:cs="Times New Roman"/>
          <w:szCs w:val="24"/>
        </w:rPr>
        <w:t xml:space="preserve">for the clusters </w:t>
      </w:r>
      <w:r w:rsidR="00947402" w:rsidRPr="00947402">
        <w:rPr>
          <w:rFonts w:cs="Times New Roman"/>
          <w:szCs w:val="24"/>
        </w:rPr>
        <w:t>required further progress and continued support from the Welsh Government</w:t>
      </w:r>
      <w:r w:rsidR="00947402">
        <w:rPr>
          <w:rFonts w:cs="Times New Roman"/>
          <w:szCs w:val="24"/>
        </w:rPr>
        <w:t xml:space="preserve">, as well as a better </w:t>
      </w:r>
      <w:r w:rsidR="00947402" w:rsidRPr="00947402">
        <w:rPr>
          <w:rFonts w:cs="Times New Roman"/>
          <w:szCs w:val="24"/>
        </w:rPr>
        <w:t>monitor</w:t>
      </w:r>
      <w:r w:rsidR="00947402">
        <w:rPr>
          <w:rFonts w:cs="Times New Roman"/>
          <w:szCs w:val="24"/>
        </w:rPr>
        <w:t>ing of</w:t>
      </w:r>
      <w:r w:rsidR="00947402" w:rsidRPr="00947402">
        <w:rPr>
          <w:rFonts w:cs="Times New Roman"/>
          <w:szCs w:val="24"/>
        </w:rPr>
        <w:t xml:space="preserve"> the progress made</w:t>
      </w:r>
      <w:r w:rsidR="00CF3378">
        <w:rPr>
          <w:rFonts w:cs="Times New Roman"/>
          <w:szCs w:val="24"/>
        </w:rPr>
        <w:t>,</w:t>
      </w:r>
      <w:r w:rsidR="00947402" w:rsidRPr="00947402">
        <w:rPr>
          <w:rFonts w:cs="Times New Roman"/>
          <w:szCs w:val="24"/>
        </w:rPr>
        <w:t xml:space="preserve"> both cross-sectionally (between clusters/health boards) and longitudinally (over time).</w:t>
      </w:r>
    </w:p>
    <w:p w:rsidR="00CF3378" w:rsidRDefault="00CF3378" w:rsidP="00947402">
      <w:pPr>
        <w:spacing w:after="0" w:line="360" w:lineRule="auto"/>
        <w:ind w:firstLine="720"/>
        <w:contextualSpacing/>
        <w:jc w:val="both"/>
        <w:rPr>
          <w:rFonts w:cs="Times New Roman"/>
          <w:szCs w:val="24"/>
        </w:rPr>
      </w:pPr>
    </w:p>
    <w:p w:rsidR="00623776" w:rsidRPr="00E41CB7" w:rsidRDefault="00876E9C" w:rsidP="00C02FB6">
      <w:pPr>
        <w:spacing w:after="0" w:line="360" w:lineRule="auto"/>
        <w:ind w:firstLine="720"/>
        <w:contextualSpacing/>
        <w:jc w:val="both"/>
        <w:rPr>
          <w:rFonts w:cs="Times New Roman"/>
          <w:szCs w:val="24"/>
        </w:rPr>
      </w:pPr>
      <w:r w:rsidRPr="004C0E48">
        <w:rPr>
          <w:rFonts w:cs="Times New Roman"/>
          <w:szCs w:val="24"/>
        </w:rPr>
        <w:lastRenderedPageBreak/>
        <w:t>Th</w:t>
      </w:r>
      <w:r w:rsidR="00F62908">
        <w:rPr>
          <w:rFonts w:cs="Times New Roman"/>
          <w:szCs w:val="24"/>
        </w:rPr>
        <w:t xml:space="preserve">e present work </w:t>
      </w:r>
      <w:r w:rsidR="00A34D16" w:rsidRPr="004C0E48">
        <w:rPr>
          <w:rFonts w:cs="Times New Roman"/>
          <w:szCs w:val="24"/>
        </w:rPr>
        <w:t xml:space="preserve">was commissioned </w:t>
      </w:r>
      <w:r w:rsidR="004C0E48" w:rsidRPr="004C0E48">
        <w:rPr>
          <w:rFonts w:cs="Times New Roman"/>
          <w:szCs w:val="24"/>
        </w:rPr>
        <w:t xml:space="preserve">by Public Health Wales </w:t>
      </w:r>
      <w:r w:rsidRPr="004C0E48">
        <w:rPr>
          <w:rFonts w:cs="Times New Roman"/>
          <w:szCs w:val="24"/>
        </w:rPr>
        <w:t xml:space="preserve">to </w:t>
      </w:r>
      <w:r w:rsidR="00A34D16">
        <w:rPr>
          <w:rFonts w:cs="Times New Roman"/>
          <w:szCs w:val="24"/>
        </w:rPr>
        <w:t>develop a</w:t>
      </w:r>
      <w:r w:rsidR="0030493D">
        <w:rPr>
          <w:rFonts w:cs="Times New Roman"/>
          <w:szCs w:val="24"/>
        </w:rPr>
        <w:t>n</w:t>
      </w:r>
      <w:r w:rsidR="00A34D16">
        <w:rPr>
          <w:rFonts w:cs="Times New Roman"/>
          <w:szCs w:val="24"/>
        </w:rPr>
        <w:t xml:space="preserve"> instrument to </w:t>
      </w:r>
      <w:r w:rsidR="00C43DFA">
        <w:rPr>
          <w:rFonts w:cs="Times New Roman"/>
          <w:szCs w:val="24"/>
        </w:rPr>
        <w:t xml:space="preserve">conduct </w:t>
      </w:r>
      <w:r w:rsidR="0030493D">
        <w:rPr>
          <w:rFonts w:cs="Times New Roman"/>
          <w:szCs w:val="24"/>
        </w:rPr>
        <w:t xml:space="preserve">a </w:t>
      </w:r>
      <w:r w:rsidR="00FF2BDD">
        <w:rPr>
          <w:rFonts w:cs="Times New Roman"/>
          <w:szCs w:val="24"/>
        </w:rPr>
        <w:t xml:space="preserve">systematic, </w:t>
      </w:r>
      <w:r w:rsidR="0030493D">
        <w:rPr>
          <w:rFonts w:cs="Times New Roman"/>
          <w:szCs w:val="24"/>
        </w:rPr>
        <w:t>comprehensive</w:t>
      </w:r>
      <w:r w:rsidR="00C43DFA">
        <w:rPr>
          <w:rFonts w:cs="Times New Roman"/>
          <w:szCs w:val="24"/>
        </w:rPr>
        <w:t xml:space="preserve">, </w:t>
      </w:r>
      <w:r w:rsidR="00FF2BDD">
        <w:rPr>
          <w:rFonts w:cs="Times New Roman"/>
          <w:szCs w:val="24"/>
        </w:rPr>
        <w:t xml:space="preserve">and </w:t>
      </w:r>
      <w:r w:rsidR="00C43DFA">
        <w:rPr>
          <w:rFonts w:cs="Times New Roman"/>
          <w:szCs w:val="24"/>
        </w:rPr>
        <w:t>multidimensional</w:t>
      </w:r>
      <w:r w:rsidR="0030493D">
        <w:rPr>
          <w:rFonts w:cs="Times New Roman"/>
          <w:szCs w:val="24"/>
        </w:rPr>
        <w:t xml:space="preserve"> </w:t>
      </w:r>
      <w:r w:rsidR="00A34D16">
        <w:rPr>
          <w:rFonts w:cs="Times New Roman"/>
          <w:szCs w:val="24"/>
        </w:rPr>
        <w:t>assess</w:t>
      </w:r>
      <w:r w:rsidR="0030493D">
        <w:rPr>
          <w:rFonts w:cs="Times New Roman"/>
          <w:szCs w:val="24"/>
        </w:rPr>
        <w:t>ment of</w:t>
      </w:r>
      <w:r w:rsidR="00A34D16">
        <w:rPr>
          <w:rFonts w:cs="Times New Roman"/>
          <w:szCs w:val="24"/>
        </w:rPr>
        <w:t xml:space="preserve"> the </w:t>
      </w:r>
      <w:r w:rsidR="00C43DFA">
        <w:rPr>
          <w:rFonts w:cs="Times New Roman"/>
          <w:szCs w:val="24"/>
        </w:rPr>
        <w:t xml:space="preserve">PC </w:t>
      </w:r>
      <w:r w:rsidR="00A34D16">
        <w:rPr>
          <w:rFonts w:cs="Times New Roman"/>
          <w:szCs w:val="24"/>
        </w:rPr>
        <w:t>cluster</w:t>
      </w:r>
      <w:r w:rsidR="0030493D">
        <w:rPr>
          <w:rFonts w:cs="Times New Roman"/>
          <w:szCs w:val="24"/>
        </w:rPr>
        <w:t>s, which</w:t>
      </w:r>
      <w:r w:rsidRPr="001D6684">
        <w:rPr>
          <w:rFonts w:cs="Times New Roman"/>
          <w:szCs w:val="24"/>
        </w:rPr>
        <w:t xml:space="preserve"> </w:t>
      </w:r>
      <w:r w:rsidR="00B03DE1" w:rsidRPr="00E41CB7">
        <w:rPr>
          <w:rFonts w:cs="Times New Roman"/>
          <w:szCs w:val="24"/>
        </w:rPr>
        <w:t xml:space="preserve">is </w:t>
      </w:r>
      <w:r w:rsidR="004C0E48" w:rsidRPr="00E41CB7">
        <w:rPr>
          <w:rFonts w:cs="Times New Roman"/>
          <w:szCs w:val="24"/>
        </w:rPr>
        <w:t>complementary to standardised clinical indicators and other routinely collected healthcare data</w:t>
      </w:r>
      <w:r w:rsidR="00947402">
        <w:rPr>
          <w:rFonts w:cs="Times New Roman"/>
          <w:szCs w:val="24"/>
        </w:rPr>
        <w:t xml:space="preserve">. </w:t>
      </w:r>
      <w:r w:rsidR="00623776" w:rsidRPr="00E41CB7">
        <w:rPr>
          <w:rFonts w:cs="Times New Roman"/>
          <w:szCs w:val="24"/>
        </w:rPr>
        <w:t xml:space="preserve">Methodological frameworks for the development of indicators to assess </w:t>
      </w:r>
      <w:r w:rsidR="00D740B5">
        <w:rPr>
          <w:rFonts w:cs="Times New Roman"/>
          <w:szCs w:val="24"/>
        </w:rPr>
        <w:t>PC</w:t>
      </w:r>
      <w:r w:rsidR="00623776" w:rsidRPr="00E41CB7">
        <w:rPr>
          <w:rFonts w:cs="Times New Roman"/>
          <w:szCs w:val="24"/>
        </w:rPr>
        <w:t xml:space="preserve"> systems have already been developed</w:t>
      </w:r>
      <w:r w:rsidR="008C2F90" w:rsidRPr="00E41CB7">
        <w:rPr>
          <w:rFonts w:cs="Times New Roman"/>
          <w:szCs w:val="24"/>
        </w:rPr>
        <w:t>.</w:t>
      </w:r>
      <w:r w:rsidR="00C02FB6">
        <w:rPr>
          <w:rFonts w:cs="Times New Roman"/>
          <w:szCs w:val="24"/>
        </w:rPr>
        <w:t>[12</w:t>
      </w:r>
      <w:r w:rsidR="00BC68AA">
        <w:rPr>
          <w:rFonts w:cs="Times New Roman"/>
          <w:szCs w:val="24"/>
        </w:rPr>
        <w:t>-14</w:t>
      </w:r>
      <w:r w:rsidR="00C02FB6">
        <w:rPr>
          <w:rFonts w:cs="Times New Roman"/>
          <w:szCs w:val="24"/>
        </w:rPr>
        <w:t>]</w:t>
      </w:r>
      <w:r w:rsidR="008C2F90" w:rsidRPr="00E41CB7">
        <w:rPr>
          <w:rFonts w:cs="Times New Roman"/>
          <w:szCs w:val="24"/>
        </w:rPr>
        <w:t xml:space="preserve"> The present</w:t>
      </w:r>
      <w:r w:rsidR="00623776" w:rsidRPr="00E41CB7">
        <w:rPr>
          <w:rFonts w:cs="Times New Roman"/>
          <w:szCs w:val="24"/>
        </w:rPr>
        <w:t xml:space="preserve"> programme of work </w:t>
      </w:r>
      <w:r w:rsidR="008C2F90" w:rsidRPr="00E41CB7">
        <w:rPr>
          <w:rFonts w:cs="Times New Roman"/>
          <w:szCs w:val="24"/>
        </w:rPr>
        <w:t>use</w:t>
      </w:r>
      <w:r w:rsidR="0030493D">
        <w:rPr>
          <w:rFonts w:cs="Times New Roman"/>
          <w:szCs w:val="24"/>
        </w:rPr>
        <w:t>d</w:t>
      </w:r>
      <w:r w:rsidR="008C2F90" w:rsidRPr="00E41CB7">
        <w:rPr>
          <w:rFonts w:cs="Times New Roman"/>
          <w:szCs w:val="24"/>
        </w:rPr>
        <w:t xml:space="preserve"> </w:t>
      </w:r>
      <w:r w:rsidR="00623776" w:rsidRPr="00E41CB7">
        <w:rPr>
          <w:rFonts w:cs="Times New Roman"/>
          <w:szCs w:val="24"/>
        </w:rPr>
        <w:t>one of its latest formulations</w:t>
      </w:r>
      <w:r w:rsidR="008C2F90" w:rsidRPr="00E41CB7">
        <w:rPr>
          <w:rFonts w:cs="Times New Roman"/>
          <w:szCs w:val="24"/>
        </w:rPr>
        <w:t>,</w:t>
      </w:r>
      <w:r w:rsidR="00623776" w:rsidRPr="00E41CB7">
        <w:rPr>
          <w:rFonts w:cs="Times New Roman"/>
          <w:szCs w:val="24"/>
        </w:rPr>
        <w:t xml:space="preserve"> </w:t>
      </w:r>
      <w:r w:rsidR="0068246A">
        <w:rPr>
          <w:rFonts w:cs="Times New Roman"/>
          <w:szCs w:val="24"/>
        </w:rPr>
        <w:t xml:space="preserve">developed </w:t>
      </w:r>
      <w:r w:rsidR="008C2F90" w:rsidRPr="00E41CB7">
        <w:rPr>
          <w:rFonts w:cs="Times New Roman"/>
          <w:szCs w:val="24"/>
        </w:rPr>
        <w:t>to compare European primary case systems,</w:t>
      </w:r>
      <w:r w:rsidR="00C02FB6">
        <w:rPr>
          <w:rFonts w:cs="Times New Roman"/>
          <w:szCs w:val="24"/>
        </w:rPr>
        <w:t>[1</w:t>
      </w:r>
      <w:r w:rsidR="00BC68AA">
        <w:rPr>
          <w:rFonts w:cs="Times New Roman"/>
          <w:szCs w:val="24"/>
        </w:rPr>
        <w:t>2</w:t>
      </w:r>
      <w:r w:rsidR="00C02FB6">
        <w:rPr>
          <w:rFonts w:cs="Times New Roman"/>
          <w:szCs w:val="24"/>
        </w:rPr>
        <w:t>]</w:t>
      </w:r>
      <w:r w:rsidR="008C2F90" w:rsidRPr="00E41CB7">
        <w:rPr>
          <w:rFonts w:cs="Times New Roman"/>
          <w:szCs w:val="24"/>
        </w:rPr>
        <w:t xml:space="preserve"> and adapt</w:t>
      </w:r>
      <w:r w:rsidR="0030493D">
        <w:rPr>
          <w:rFonts w:cs="Times New Roman"/>
          <w:szCs w:val="24"/>
        </w:rPr>
        <w:t>ed</w:t>
      </w:r>
      <w:r w:rsidR="008C2F90" w:rsidRPr="00E41CB7">
        <w:rPr>
          <w:rFonts w:cs="Times New Roman"/>
          <w:szCs w:val="24"/>
        </w:rPr>
        <w:t xml:space="preserve"> it </w:t>
      </w:r>
      <w:r w:rsidR="00623776" w:rsidRPr="00E41CB7">
        <w:rPr>
          <w:rFonts w:cs="Times New Roman"/>
          <w:szCs w:val="24"/>
        </w:rPr>
        <w:t xml:space="preserve">to the context of </w:t>
      </w:r>
      <w:r w:rsidR="00D740B5">
        <w:rPr>
          <w:rFonts w:cs="Times New Roman"/>
          <w:szCs w:val="24"/>
        </w:rPr>
        <w:t>PC</w:t>
      </w:r>
      <w:r w:rsidR="00623776" w:rsidRPr="00E41CB7">
        <w:rPr>
          <w:rFonts w:cs="Times New Roman"/>
          <w:szCs w:val="24"/>
        </w:rPr>
        <w:t xml:space="preserve"> clusters in Wales. </w:t>
      </w:r>
      <w:r w:rsidR="008C2F90" w:rsidRPr="00E41CB7">
        <w:rPr>
          <w:rFonts w:cs="Times New Roman"/>
          <w:szCs w:val="24"/>
        </w:rPr>
        <w:t>As a starting point, this work aim</w:t>
      </w:r>
      <w:r w:rsidR="0030493D">
        <w:rPr>
          <w:rFonts w:cs="Times New Roman"/>
          <w:szCs w:val="24"/>
        </w:rPr>
        <w:t>ed</w:t>
      </w:r>
      <w:r w:rsidR="008C2F90" w:rsidRPr="00E41CB7">
        <w:rPr>
          <w:rFonts w:cs="Times New Roman"/>
          <w:szCs w:val="24"/>
        </w:rPr>
        <w:t xml:space="preserve"> to develop an assessment instrument</w:t>
      </w:r>
      <w:r w:rsidR="00E41CB7" w:rsidRPr="00E41CB7">
        <w:rPr>
          <w:rFonts w:cs="Times New Roman"/>
          <w:szCs w:val="24"/>
        </w:rPr>
        <w:t xml:space="preserve">, called the Primary Care Clusters </w:t>
      </w:r>
      <w:r w:rsidR="00E66407">
        <w:rPr>
          <w:rFonts w:cs="Times New Roman"/>
          <w:szCs w:val="24"/>
        </w:rPr>
        <w:t xml:space="preserve">Multi-dimensional </w:t>
      </w:r>
      <w:r w:rsidR="00E41CB7" w:rsidRPr="00E41CB7">
        <w:rPr>
          <w:rFonts w:cs="Times New Roman"/>
          <w:szCs w:val="24"/>
        </w:rPr>
        <w:t>Assessment (PCC</w:t>
      </w:r>
      <w:r w:rsidR="00E66407">
        <w:rPr>
          <w:rFonts w:cs="Times New Roman"/>
          <w:szCs w:val="24"/>
        </w:rPr>
        <w:t>M</w:t>
      </w:r>
      <w:r w:rsidR="00E41CB7" w:rsidRPr="00E41CB7">
        <w:rPr>
          <w:rFonts w:cs="Times New Roman"/>
          <w:szCs w:val="24"/>
        </w:rPr>
        <w:t xml:space="preserve">A), </w:t>
      </w:r>
      <w:r w:rsidR="0030493D">
        <w:rPr>
          <w:rFonts w:cs="Times New Roman"/>
          <w:szCs w:val="24"/>
        </w:rPr>
        <w:t>for use by</w:t>
      </w:r>
      <w:r w:rsidR="008C2F90" w:rsidRPr="00E41CB7">
        <w:rPr>
          <w:rFonts w:cs="Times New Roman"/>
          <w:szCs w:val="24"/>
        </w:rPr>
        <w:t xml:space="preserve"> </w:t>
      </w:r>
      <w:r w:rsidR="00C43DFA">
        <w:rPr>
          <w:rFonts w:cs="Times New Roman"/>
          <w:szCs w:val="24"/>
        </w:rPr>
        <w:t xml:space="preserve">PC </w:t>
      </w:r>
      <w:r w:rsidR="0030493D">
        <w:rPr>
          <w:rFonts w:cs="Times New Roman"/>
          <w:szCs w:val="24"/>
        </w:rPr>
        <w:t>c</w:t>
      </w:r>
      <w:r w:rsidR="008C2F90" w:rsidRPr="00E41CB7">
        <w:rPr>
          <w:rFonts w:cs="Times New Roman"/>
          <w:szCs w:val="24"/>
        </w:rPr>
        <w:t xml:space="preserve">luster </w:t>
      </w:r>
      <w:r w:rsidR="0030493D">
        <w:rPr>
          <w:rFonts w:cs="Times New Roman"/>
          <w:szCs w:val="24"/>
        </w:rPr>
        <w:t>l</w:t>
      </w:r>
      <w:r w:rsidR="008C2F90" w:rsidRPr="00E41CB7">
        <w:rPr>
          <w:rFonts w:cs="Times New Roman"/>
          <w:szCs w:val="24"/>
        </w:rPr>
        <w:t>eads</w:t>
      </w:r>
      <w:r w:rsidR="00C43DFA">
        <w:rPr>
          <w:rFonts w:cs="Times New Roman"/>
          <w:szCs w:val="24"/>
        </w:rPr>
        <w:t xml:space="preserve">, health board </w:t>
      </w:r>
      <w:r w:rsidR="00E66407">
        <w:rPr>
          <w:rFonts w:cs="Times New Roman"/>
          <w:szCs w:val="24"/>
        </w:rPr>
        <w:t>PC</w:t>
      </w:r>
      <w:r w:rsidR="00C43DFA">
        <w:rPr>
          <w:rFonts w:cs="Times New Roman"/>
          <w:szCs w:val="24"/>
        </w:rPr>
        <w:t xml:space="preserve"> development managers, and central government healthcare planners and policy makers to evaluate and support the development of PC clusters</w:t>
      </w:r>
      <w:r w:rsidR="008C2F90" w:rsidRPr="00E41CB7">
        <w:rPr>
          <w:rFonts w:cs="Times New Roman"/>
          <w:szCs w:val="24"/>
        </w:rPr>
        <w:t xml:space="preserve">. </w:t>
      </w:r>
      <w:r w:rsidR="0030493D">
        <w:rPr>
          <w:rFonts w:cs="Times New Roman"/>
          <w:szCs w:val="24"/>
        </w:rPr>
        <w:t>In the</w:t>
      </w:r>
      <w:r w:rsidR="008C2F90" w:rsidRPr="00E41CB7">
        <w:rPr>
          <w:rFonts w:cs="Times New Roman"/>
          <w:szCs w:val="24"/>
        </w:rPr>
        <w:t xml:space="preserve"> </w:t>
      </w:r>
      <w:r w:rsidR="0030493D">
        <w:rPr>
          <w:rFonts w:cs="Times New Roman"/>
          <w:szCs w:val="24"/>
        </w:rPr>
        <w:t>future, this instrument could be</w:t>
      </w:r>
      <w:r w:rsidR="008C2F90" w:rsidRPr="00E41CB7">
        <w:rPr>
          <w:rFonts w:cs="Times New Roman"/>
          <w:szCs w:val="24"/>
        </w:rPr>
        <w:t xml:space="preserve"> </w:t>
      </w:r>
      <w:r w:rsidR="0068246A">
        <w:rPr>
          <w:rFonts w:cs="Times New Roman"/>
          <w:szCs w:val="24"/>
        </w:rPr>
        <w:t xml:space="preserve">used as </w:t>
      </w:r>
      <w:r w:rsidR="008C2F90" w:rsidRPr="00E41CB7">
        <w:rPr>
          <w:rFonts w:cs="Times New Roman"/>
          <w:szCs w:val="24"/>
        </w:rPr>
        <w:t>a 360 degrees assessment</w:t>
      </w:r>
      <w:r w:rsidR="0030493D">
        <w:rPr>
          <w:rFonts w:cs="Times New Roman"/>
          <w:szCs w:val="24"/>
        </w:rPr>
        <w:t xml:space="preserve"> tool</w:t>
      </w:r>
      <w:r w:rsidR="008C2F90" w:rsidRPr="00E41CB7">
        <w:rPr>
          <w:rFonts w:cs="Times New Roman"/>
          <w:szCs w:val="24"/>
        </w:rPr>
        <w:t xml:space="preserve"> </w:t>
      </w:r>
      <w:r w:rsidR="0030493D">
        <w:rPr>
          <w:rFonts w:cs="Times New Roman"/>
          <w:szCs w:val="24"/>
        </w:rPr>
        <w:t>by</w:t>
      </w:r>
      <w:r w:rsidR="00E41CB7" w:rsidRPr="00E41CB7">
        <w:rPr>
          <w:rFonts w:cs="Times New Roman"/>
          <w:szCs w:val="24"/>
        </w:rPr>
        <w:t xml:space="preserve"> a broad s</w:t>
      </w:r>
      <w:r w:rsidR="00DC60E8">
        <w:rPr>
          <w:rFonts w:cs="Times New Roman"/>
          <w:szCs w:val="24"/>
        </w:rPr>
        <w:t>et of members and stakeholders.</w:t>
      </w:r>
    </w:p>
    <w:p w:rsidR="00381762" w:rsidRDefault="00381762" w:rsidP="002C1390">
      <w:pPr>
        <w:spacing w:after="0" w:line="360" w:lineRule="auto"/>
        <w:ind w:firstLine="720"/>
        <w:contextualSpacing/>
        <w:jc w:val="both"/>
        <w:rPr>
          <w:rFonts w:cs="Times New Roman"/>
          <w:szCs w:val="24"/>
        </w:rPr>
      </w:pPr>
    </w:p>
    <w:p w:rsidR="00CF3378" w:rsidRPr="00E41CB7" w:rsidRDefault="00CF3378" w:rsidP="002C1390">
      <w:pPr>
        <w:spacing w:after="0" w:line="360" w:lineRule="auto"/>
        <w:ind w:firstLine="720"/>
        <w:contextualSpacing/>
        <w:jc w:val="both"/>
        <w:rPr>
          <w:rFonts w:cs="Times New Roman"/>
          <w:szCs w:val="24"/>
        </w:rPr>
      </w:pPr>
    </w:p>
    <w:p w:rsidR="00421D75" w:rsidRPr="003055FC" w:rsidRDefault="00E76C14" w:rsidP="002C1390">
      <w:pPr>
        <w:spacing w:after="0" w:line="360" w:lineRule="auto"/>
        <w:jc w:val="center"/>
      </w:pPr>
      <w:bookmarkStart w:id="1" w:name="_Toc503746138"/>
      <w:r w:rsidRPr="00134865">
        <w:rPr>
          <w:b/>
        </w:rPr>
        <w:t>M</w:t>
      </w:r>
      <w:r w:rsidR="00147DEC">
        <w:rPr>
          <w:b/>
        </w:rPr>
        <w:t>aterials and m</w:t>
      </w:r>
      <w:r w:rsidRPr="00134865">
        <w:rPr>
          <w:b/>
        </w:rPr>
        <w:t>ethod</w:t>
      </w:r>
      <w:bookmarkEnd w:id="1"/>
      <w:r w:rsidR="00147DEC">
        <w:rPr>
          <w:b/>
        </w:rPr>
        <w:t>s</w:t>
      </w:r>
    </w:p>
    <w:p w:rsidR="003055FC" w:rsidRPr="001D6684" w:rsidRDefault="003055FC" w:rsidP="002C1390">
      <w:pPr>
        <w:pStyle w:val="Heading1"/>
        <w:spacing w:before="0" w:beforeAutospacing="0" w:after="0" w:afterAutospacing="0" w:line="360" w:lineRule="auto"/>
        <w:contextualSpacing/>
        <w:jc w:val="center"/>
        <w:rPr>
          <w:b w:val="0"/>
          <w:sz w:val="24"/>
          <w:szCs w:val="24"/>
        </w:rPr>
      </w:pPr>
    </w:p>
    <w:p w:rsidR="000F21D1" w:rsidRDefault="000F21D1" w:rsidP="002C1390">
      <w:pPr>
        <w:spacing w:after="0" w:line="360" w:lineRule="auto"/>
        <w:ind w:firstLine="720"/>
        <w:contextualSpacing/>
        <w:jc w:val="both"/>
        <w:rPr>
          <w:rFonts w:cs="Times New Roman"/>
          <w:szCs w:val="24"/>
        </w:rPr>
      </w:pPr>
      <w:r w:rsidRPr="001D6684">
        <w:rPr>
          <w:rFonts w:cs="Times New Roman"/>
          <w:szCs w:val="24"/>
        </w:rPr>
        <w:t xml:space="preserve">The Primary Care Clusters </w:t>
      </w:r>
      <w:r w:rsidR="00E66407">
        <w:rPr>
          <w:rFonts w:cs="Times New Roman"/>
          <w:szCs w:val="24"/>
        </w:rPr>
        <w:t xml:space="preserve">Multi-dimensional </w:t>
      </w:r>
      <w:r w:rsidRPr="001D6684">
        <w:rPr>
          <w:rFonts w:cs="Times New Roman"/>
          <w:szCs w:val="24"/>
        </w:rPr>
        <w:t>Assessment (PCC</w:t>
      </w:r>
      <w:r w:rsidR="00E66407">
        <w:rPr>
          <w:rFonts w:cs="Times New Roman"/>
          <w:szCs w:val="24"/>
        </w:rPr>
        <w:t>M</w:t>
      </w:r>
      <w:r w:rsidRPr="001D6684">
        <w:rPr>
          <w:rFonts w:cs="Times New Roman"/>
          <w:szCs w:val="24"/>
        </w:rPr>
        <w:t>A) was developed in four stages</w:t>
      </w:r>
      <w:r w:rsidR="00FA6E3D">
        <w:rPr>
          <w:rFonts w:cs="Times New Roman"/>
          <w:szCs w:val="24"/>
        </w:rPr>
        <w:t xml:space="preserve"> (work packages)</w:t>
      </w:r>
      <w:r w:rsidRPr="001D6684">
        <w:rPr>
          <w:rFonts w:cs="Times New Roman"/>
          <w:szCs w:val="24"/>
        </w:rPr>
        <w:t xml:space="preserve">: (1) qualitative interviews with </w:t>
      </w:r>
      <w:r w:rsidR="009139B3">
        <w:rPr>
          <w:rFonts w:cs="Times New Roman"/>
          <w:szCs w:val="24"/>
        </w:rPr>
        <w:t>c</w:t>
      </w:r>
      <w:r w:rsidRPr="001D6684">
        <w:rPr>
          <w:rFonts w:cs="Times New Roman"/>
          <w:szCs w:val="24"/>
        </w:rPr>
        <w:t xml:space="preserve">luster </w:t>
      </w:r>
      <w:r w:rsidR="009139B3">
        <w:rPr>
          <w:rFonts w:cs="Times New Roman"/>
          <w:szCs w:val="24"/>
        </w:rPr>
        <w:t>l</w:t>
      </w:r>
      <w:r w:rsidRPr="001D6684">
        <w:rPr>
          <w:rFonts w:cs="Times New Roman"/>
          <w:szCs w:val="24"/>
        </w:rPr>
        <w:t xml:space="preserve">eads; (2) systematic literature review of instruments to assess </w:t>
      </w:r>
      <w:r w:rsidR="00D740B5">
        <w:rPr>
          <w:rFonts w:cs="Times New Roman"/>
          <w:szCs w:val="24"/>
        </w:rPr>
        <w:t>PC</w:t>
      </w:r>
      <w:r w:rsidRPr="001D6684">
        <w:rPr>
          <w:rFonts w:cs="Times New Roman"/>
          <w:szCs w:val="24"/>
        </w:rPr>
        <w:t xml:space="preserve"> systems; (3) evaluation among </w:t>
      </w:r>
      <w:r w:rsidR="00D740B5">
        <w:rPr>
          <w:rFonts w:cs="Times New Roman"/>
          <w:szCs w:val="24"/>
        </w:rPr>
        <w:t>PC</w:t>
      </w:r>
      <w:r w:rsidRPr="001D6684">
        <w:rPr>
          <w:rFonts w:cs="Times New Roman"/>
          <w:szCs w:val="24"/>
        </w:rPr>
        <w:t xml:space="preserve"> experts and practitioners; (4) </w:t>
      </w:r>
      <w:r w:rsidR="00D26735" w:rsidRPr="001D6684">
        <w:rPr>
          <w:rFonts w:cs="Times New Roman"/>
          <w:szCs w:val="24"/>
        </w:rPr>
        <w:t>piloting</w:t>
      </w:r>
      <w:r w:rsidRPr="001D6684">
        <w:rPr>
          <w:rFonts w:cs="Times New Roman"/>
          <w:szCs w:val="24"/>
        </w:rPr>
        <w:t xml:space="preserve"> of the PCC</w:t>
      </w:r>
      <w:r w:rsidR="00E66407">
        <w:rPr>
          <w:rFonts w:cs="Times New Roman"/>
          <w:szCs w:val="24"/>
        </w:rPr>
        <w:t>M</w:t>
      </w:r>
      <w:r w:rsidRPr="001D6684">
        <w:rPr>
          <w:rFonts w:cs="Times New Roman"/>
          <w:szCs w:val="24"/>
        </w:rPr>
        <w:t>A for the 64 clusters in Wales.</w:t>
      </w:r>
    </w:p>
    <w:p w:rsidR="00831323" w:rsidRPr="001D6684" w:rsidRDefault="00831323" w:rsidP="002C1390">
      <w:pPr>
        <w:spacing w:after="0" w:line="360" w:lineRule="auto"/>
        <w:ind w:firstLine="720"/>
        <w:contextualSpacing/>
        <w:jc w:val="both"/>
        <w:rPr>
          <w:rFonts w:cs="Times New Roman"/>
          <w:szCs w:val="24"/>
        </w:rPr>
      </w:pPr>
    </w:p>
    <w:p w:rsidR="00C65D9E" w:rsidRPr="00FA6E3D" w:rsidRDefault="001655E4" w:rsidP="002C1390">
      <w:pPr>
        <w:spacing w:after="0" w:line="360" w:lineRule="auto"/>
        <w:rPr>
          <w:i/>
        </w:rPr>
      </w:pPr>
      <w:bookmarkStart w:id="2" w:name="_Toc503746139"/>
      <w:r w:rsidRPr="00FA6E3D">
        <w:rPr>
          <w:i/>
        </w:rPr>
        <w:t>Cluster L</w:t>
      </w:r>
      <w:r w:rsidR="001171E7" w:rsidRPr="00FA6E3D">
        <w:rPr>
          <w:i/>
        </w:rPr>
        <w:t>eads</w:t>
      </w:r>
      <w:r w:rsidRPr="00FA6E3D">
        <w:rPr>
          <w:i/>
        </w:rPr>
        <w:t>’</w:t>
      </w:r>
      <w:r w:rsidR="001171E7" w:rsidRPr="00FA6E3D">
        <w:rPr>
          <w:i/>
        </w:rPr>
        <w:t xml:space="preserve"> views on maturity and impact of clusters (Work </w:t>
      </w:r>
      <w:r w:rsidRPr="00FA6E3D">
        <w:rPr>
          <w:i/>
        </w:rPr>
        <w:t>P</w:t>
      </w:r>
      <w:r w:rsidR="001171E7" w:rsidRPr="00FA6E3D">
        <w:rPr>
          <w:i/>
        </w:rPr>
        <w:t>ackage 1)</w:t>
      </w:r>
      <w:bookmarkEnd w:id="2"/>
      <w:r w:rsidR="001171E7" w:rsidRPr="00FA6E3D">
        <w:rPr>
          <w:i/>
        </w:rPr>
        <w:t xml:space="preserve"> </w:t>
      </w:r>
    </w:p>
    <w:p w:rsidR="00E93A7C" w:rsidRDefault="00A81C26" w:rsidP="00371348">
      <w:pPr>
        <w:spacing w:after="0" w:line="360" w:lineRule="auto"/>
        <w:ind w:firstLine="720"/>
        <w:contextualSpacing/>
        <w:jc w:val="both"/>
        <w:rPr>
          <w:rFonts w:cs="Times New Roman"/>
          <w:szCs w:val="24"/>
        </w:rPr>
      </w:pPr>
      <w:r>
        <w:t xml:space="preserve">Evaluative qualitative interviews </w:t>
      </w:r>
      <w:r w:rsidR="00371348">
        <w:t>explored</w:t>
      </w:r>
      <w:r>
        <w:t xml:space="preserve"> the c</w:t>
      </w:r>
      <w:r w:rsidRPr="00A81C26">
        <w:t xml:space="preserve">luster </w:t>
      </w:r>
      <w:r>
        <w:t>l</w:t>
      </w:r>
      <w:r w:rsidRPr="00A81C26">
        <w:t xml:space="preserve">eads’ views on the maturity of the </w:t>
      </w:r>
      <w:r w:rsidR="00D740B5">
        <w:t>PC</w:t>
      </w:r>
      <w:r w:rsidRPr="00A81C26">
        <w:t xml:space="preserve"> clusters, </w:t>
      </w:r>
      <w:r>
        <w:t xml:space="preserve">their </w:t>
      </w:r>
      <w:r w:rsidRPr="00A81C26">
        <w:t>achieve</w:t>
      </w:r>
      <w:r>
        <w:t>ments</w:t>
      </w:r>
      <w:r w:rsidRPr="00A81C26">
        <w:t xml:space="preserve"> and impact</w:t>
      </w:r>
      <w:r>
        <w:t xml:space="preserve">, </w:t>
      </w:r>
      <w:r w:rsidRPr="00A81C26">
        <w:t>the rela</w:t>
      </w:r>
      <w:r>
        <w:t>tionship with the health board,</w:t>
      </w:r>
      <w:r w:rsidRPr="00A81C26">
        <w:t xml:space="preserve"> the multidisciplinarity of the cluster</w:t>
      </w:r>
      <w:r>
        <w:t xml:space="preserve">, and </w:t>
      </w:r>
      <w:r w:rsidRPr="00A81C26">
        <w:t xml:space="preserve">the </w:t>
      </w:r>
      <w:r>
        <w:t xml:space="preserve">involvement of the </w:t>
      </w:r>
      <w:r w:rsidRPr="00A81C26">
        <w:t xml:space="preserve">cluster </w:t>
      </w:r>
      <w:r>
        <w:t xml:space="preserve">members in the creation and implementation of the Cluster Action Plan. </w:t>
      </w:r>
      <w:r w:rsidR="000C53AE">
        <w:t>The leads of all 64 PC clusters in Wales were invited by email to take part in semi-structured telephone interviews. Two reminder emails were sent to non-responders. Twenty-two cluster leads (</w:t>
      </w:r>
      <w:r w:rsidR="000C53AE" w:rsidRPr="00AC4C58">
        <w:t>7 female; 15 male)</w:t>
      </w:r>
      <w:r w:rsidR="000C53AE">
        <w:t xml:space="preserve"> </w:t>
      </w:r>
      <w:r w:rsidR="000C53AE" w:rsidRPr="00AC4C58">
        <w:t>from all seven health boards in Wales</w:t>
      </w:r>
      <w:r w:rsidR="000C53AE">
        <w:t xml:space="preserve"> completed the interviews, representing 34% of all PC clusters, including clusters small and large ranging from 3-15 general practices.</w:t>
      </w:r>
      <w:r w:rsidR="000C53AE" w:rsidRPr="00AC4C58">
        <w:t xml:space="preserve"> </w:t>
      </w:r>
      <w:r w:rsidR="000C53AE">
        <w:t xml:space="preserve">Most cluster leads were GPs (N=20), one was a Nurse Practitioner and another was a </w:t>
      </w:r>
      <w:r w:rsidR="0056529F">
        <w:t>T</w:t>
      </w:r>
      <w:r w:rsidR="000C53AE" w:rsidRPr="000C53AE">
        <w:t xml:space="preserve">hird </w:t>
      </w:r>
      <w:r w:rsidR="0056529F">
        <w:t>S</w:t>
      </w:r>
      <w:r w:rsidR="000C53AE" w:rsidRPr="000C53AE">
        <w:t xml:space="preserve">ector </w:t>
      </w:r>
      <w:r w:rsidR="0056529F">
        <w:t>C</w:t>
      </w:r>
      <w:r w:rsidR="000C53AE" w:rsidRPr="000C53AE">
        <w:t xml:space="preserve">ommunity </w:t>
      </w:r>
      <w:r w:rsidR="0056529F">
        <w:t>C</w:t>
      </w:r>
      <w:r w:rsidR="000C53AE" w:rsidRPr="000C53AE">
        <w:t>o-ordinator</w:t>
      </w:r>
      <w:r w:rsidR="0056529F">
        <w:t>.</w:t>
      </w:r>
      <w:r w:rsidR="000C53AE" w:rsidRPr="000C53AE">
        <w:t xml:space="preserve"> </w:t>
      </w:r>
      <w:r>
        <w:t>The interviews were conducted b</w:t>
      </w:r>
      <w:r w:rsidRPr="00AC4C58">
        <w:t>etween February and April 2016</w:t>
      </w:r>
      <w:r>
        <w:t xml:space="preserve">, by MAS a non-clinical researcher. A topic guide was used and interviews were audio recorded and transcribed. The Framework method of data </w:t>
      </w:r>
      <w:r w:rsidRPr="00A81C26">
        <w:t xml:space="preserve">analysis was chosen for its transparency and </w:t>
      </w:r>
      <w:r w:rsidRPr="00A81C26">
        <w:lastRenderedPageBreak/>
        <w:t>suitability for applied policy research such as this.</w:t>
      </w:r>
      <w:r w:rsidR="00BC68AA">
        <w:t>[</w:t>
      </w:r>
      <w:r w:rsidR="00DC60E8">
        <w:t>3</w:t>
      </w:r>
      <w:r w:rsidR="00BC68AA">
        <w:t>8]</w:t>
      </w:r>
      <w:r w:rsidRPr="00A81C26">
        <w:t xml:space="preserve"> The analysis was conducted by two members of the research team with </w:t>
      </w:r>
      <w:r w:rsidR="00752CEC">
        <w:t>different</w:t>
      </w:r>
      <w:r w:rsidRPr="00A81C26">
        <w:t xml:space="preserve"> disciplinary backgrounds (MAS and R-JL) to enhance </w:t>
      </w:r>
      <w:r w:rsidR="00752CEC">
        <w:t>reliability</w:t>
      </w:r>
      <w:r w:rsidRPr="00A81C26">
        <w:t>. The systematic, five-stage matrix based</w:t>
      </w:r>
      <w:r>
        <w:t xml:space="preserve"> process of the Framework approach was followed including </w:t>
      </w:r>
      <w:r w:rsidRPr="00AC4C58">
        <w:t xml:space="preserve">identifying a thematic framework, indexing and charting participants’ </w:t>
      </w:r>
      <w:r>
        <w:t xml:space="preserve">responses, </w:t>
      </w:r>
      <w:r w:rsidRPr="00A81C26">
        <w:t>and interpretation of trends and patterns in the data</w:t>
      </w:r>
      <w:r w:rsidR="00831323">
        <w:t>.</w:t>
      </w:r>
      <w:r w:rsidR="00C02FB6">
        <w:t>[</w:t>
      </w:r>
      <w:r w:rsidR="00DC60E8">
        <w:t>3</w:t>
      </w:r>
      <w:r w:rsidR="00BC68AA">
        <w:t>9</w:t>
      </w:r>
      <w:r w:rsidR="00C02FB6">
        <w:t>]</w:t>
      </w:r>
      <w:r w:rsidRPr="00A81C26">
        <w:t xml:space="preserve"> This allowed analysis both by theme and by case and involved multidisciplinary members of the research team.</w:t>
      </w:r>
    </w:p>
    <w:p w:rsidR="00A81C26" w:rsidRDefault="00A81C26" w:rsidP="002C1390">
      <w:pPr>
        <w:spacing w:after="0" w:line="360" w:lineRule="auto"/>
        <w:contextualSpacing/>
        <w:jc w:val="both"/>
        <w:rPr>
          <w:rFonts w:cs="Times New Roman"/>
          <w:szCs w:val="24"/>
        </w:rPr>
      </w:pPr>
    </w:p>
    <w:p w:rsidR="00070EC3" w:rsidRPr="001D6684" w:rsidRDefault="00070EC3" w:rsidP="002C1390">
      <w:pPr>
        <w:spacing w:after="0" w:line="360" w:lineRule="auto"/>
        <w:contextualSpacing/>
        <w:jc w:val="both"/>
        <w:rPr>
          <w:rFonts w:cs="Times New Roman"/>
          <w:szCs w:val="24"/>
        </w:rPr>
      </w:pPr>
    </w:p>
    <w:p w:rsidR="00421D75" w:rsidRPr="00FA6E3D" w:rsidRDefault="00D26735" w:rsidP="002C1390">
      <w:pPr>
        <w:spacing w:after="0" w:line="360" w:lineRule="auto"/>
        <w:rPr>
          <w:i/>
        </w:rPr>
      </w:pPr>
      <w:bookmarkStart w:id="3" w:name="_Toc503746140"/>
      <w:r w:rsidRPr="00FA6E3D">
        <w:rPr>
          <w:i/>
        </w:rPr>
        <w:t xml:space="preserve">Literature review of </w:t>
      </w:r>
      <w:r w:rsidR="00D740B5">
        <w:rPr>
          <w:i/>
        </w:rPr>
        <w:t>PC</w:t>
      </w:r>
      <w:r w:rsidR="00421D75" w:rsidRPr="00FA6E3D">
        <w:rPr>
          <w:i/>
        </w:rPr>
        <w:t xml:space="preserve"> assessment models</w:t>
      </w:r>
      <w:r w:rsidR="001171E7" w:rsidRPr="00FA6E3D">
        <w:rPr>
          <w:i/>
        </w:rPr>
        <w:t xml:space="preserve"> (</w:t>
      </w:r>
      <w:r w:rsidR="001655E4" w:rsidRPr="00FA6E3D">
        <w:rPr>
          <w:i/>
        </w:rPr>
        <w:t>W</w:t>
      </w:r>
      <w:r w:rsidR="001171E7" w:rsidRPr="00FA6E3D">
        <w:rPr>
          <w:i/>
        </w:rPr>
        <w:t xml:space="preserve">ork </w:t>
      </w:r>
      <w:r w:rsidR="001655E4" w:rsidRPr="00FA6E3D">
        <w:rPr>
          <w:i/>
        </w:rPr>
        <w:t>P</w:t>
      </w:r>
      <w:r w:rsidR="001171E7" w:rsidRPr="00FA6E3D">
        <w:rPr>
          <w:i/>
        </w:rPr>
        <w:t>ackage 2)</w:t>
      </w:r>
      <w:bookmarkEnd w:id="3"/>
    </w:p>
    <w:p w:rsidR="00DD0DB4" w:rsidRDefault="003B7699" w:rsidP="00731A06">
      <w:pPr>
        <w:spacing w:after="0" w:line="360" w:lineRule="auto"/>
        <w:ind w:firstLine="720"/>
        <w:contextualSpacing/>
        <w:jc w:val="both"/>
        <w:rPr>
          <w:rFonts w:cs="Times New Roman"/>
          <w:szCs w:val="24"/>
        </w:rPr>
      </w:pPr>
      <w:r w:rsidRPr="001D6684">
        <w:rPr>
          <w:rFonts w:cs="Times New Roman"/>
          <w:szCs w:val="24"/>
        </w:rPr>
        <w:t xml:space="preserve">We updated </w:t>
      </w:r>
      <w:r w:rsidR="001655E4" w:rsidRPr="001D6684">
        <w:rPr>
          <w:rFonts w:cs="Times New Roman"/>
          <w:szCs w:val="24"/>
        </w:rPr>
        <w:t>a previous systematic review</w:t>
      </w:r>
      <w:r w:rsidR="00176D84">
        <w:rPr>
          <w:rFonts w:cs="Times New Roman"/>
          <w:szCs w:val="24"/>
        </w:rPr>
        <w:t>,</w:t>
      </w:r>
      <w:r w:rsidR="00BC68AA">
        <w:rPr>
          <w:rFonts w:cs="Times New Roman"/>
          <w:szCs w:val="24"/>
        </w:rPr>
        <w:t>[</w:t>
      </w:r>
      <w:r w:rsidR="00DC60E8">
        <w:rPr>
          <w:rFonts w:cs="Times New Roman"/>
          <w:szCs w:val="24"/>
        </w:rPr>
        <w:t>4</w:t>
      </w:r>
      <w:r w:rsidR="00BC68AA">
        <w:rPr>
          <w:rFonts w:cs="Times New Roman"/>
          <w:szCs w:val="24"/>
        </w:rPr>
        <w:t>0</w:t>
      </w:r>
      <w:r w:rsidR="00C02FB6">
        <w:rPr>
          <w:rFonts w:cs="Times New Roman"/>
          <w:szCs w:val="24"/>
        </w:rPr>
        <w:t>]</w:t>
      </w:r>
      <w:r w:rsidR="001655E4" w:rsidRPr="001D6684">
        <w:rPr>
          <w:rFonts w:cs="Times New Roman"/>
          <w:szCs w:val="24"/>
        </w:rPr>
        <w:t xml:space="preserve"> </w:t>
      </w:r>
      <w:r w:rsidR="007A47D6" w:rsidRPr="001D6684">
        <w:rPr>
          <w:rFonts w:cs="Times New Roman"/>
          <w:szCs w:val="24"/>
        </w:rPr>
        <w:t xml:space="preserve">to describe the core </w:t>
      </w:r>
      <w:r w:rsidR="0058628C">
        <w:rPr>
          <w:rFonts w:cs="Times New Roman"/>
          <w:szCs w:val="24"/>
        </w:rPr>
        <w:t xml:space="preserve">systemic </w:t>
      </w:r>
      <w:r w:rsidR="007A47D6" w:rsidRPr="001D6684">
        <w:rPr>
          <w:rFonts w:cs="Times New Roman"/>
          <w:szCs w:val="24"/>
        </w:rPr>
        <w:t xml:space="preserve">dimensions of </w:t>
      </w:r>
      <w:r w:rsidR="00D740B5">
        <w:rPr>
          <w:rFonts w:cs="Times New Roman"/>
          <w:szCs w:val="24"/>
        </w:rPr>
        <w:t>PC</w:t>
      </w:r>
      <w:r w:rsidR="007A47D6" w:rsidRPr="001D6684">
        <w:rPr>
          <w:rFonts w:cs="Times New Roman"/>
          <w:szCs w:val="24"/>
        </w:rPr>
        <w:t xml:space="preserve"> and asses</w:t>
      </w:r>
      <w:r w:rsidR="001655E4" w:rsidRPr="001D6684">
        <w:rPr>
          <w:rFonts w:cs="Times New Roman"/>
          <w:szCs w:val="24"/>
        </w:rPr>
        <w:t xml:space="preserve">s their relevance to outcomes. </w:t>
      </w:r>
      <w:r w:rsidR="007A47D6" w:rsidRPr="001D6684">
        <w:rPr>
          <w:rFonts w:cs="Times New Roman"/>
          <w:szCs w:val="24"/>
        </w:rPr>
        <w:t>We appraised their list of included studies to identify if any met our inclusion criteria, modified their search strategy</w:t>
      </w:r>
      <w:r w:rsidR="00FA3BC1" w:rsidRPr="00FA3BC1">
        <w:rPr>
          <w:rFonts w:cs="Times New Roman"/>
          <w:szCs w:val="24"/>
        </w:rPr>
        <w:t xml:space="preserve"> </w:t>
      </w:r>
      <w:r w:rsidR="00FA3BC1" w:rsidRPr="001D6684">
        <w:rPr>
          <w:rFonts w:cs="Times New Roman"/>
          <w:szCs w:val="24"/>
        </w:rPr>
        <w:t xml:space="preserve">to </w:t>
      </w:r>
      <w:r w:rsidR="00FA3BC1">
        <w:rPr>
          <w:rFonts w:cs="Times New Roman"/>
          <w:szCs w:val="24"/>
        </w:rPr>
        <w:t xml:space="preserve">narrow its scope and </w:t>
      </w:r>
      <w:r w:rsidR="00FA3BC1" w:rsidRPr="001D6684">
        <w:rPr>
          <w:rFonts w:cs="Times New Roman"/>
          <w:szCs w:val="24"/>
        </w:rPr>
        <w:t>meet the needs of our review</w:t>
      </w:r>
      <w:r w:rsidR="00FA3BC1">
        <w:rPr>
          <w:rFonts w:cs="Times New Roman"/>
          <w:szCs w:val="24"/>
        </w:rPr>
        <w:t xml:space="preserve"> (in effect, focusing on a subset of studies relating to PC assessment frameworks and instruments)</w:t>
      </w:r>
      <w:r w:rsidR="00515BF0">
        <w:rPr>
          <w:rFonts w:cs="Times New Roman"/>
          <w:szCs w:val="24"/>
        </w:rPr>
        <w:t>. S</w:t>
      </w:r>
      <w:r w:rsidR="007A47D6" w:rsidRPr="001D6684">
        <w:rPr>
          <w:rFonts w:cs="Times New Roman"/>
          <w:szCs w:val="24"/>
        </w:rPr>
        <w:t xml:space="preserve">ince their searches were completed in 2008, </w:t>
      </w:r>
      <w:r w:rsidR="00515BF0">
        <w:rPr>
          <w:rFonts w:cs="Times New Roman"/>
          <w:szCs w:val="24"/>
        </w:rPr>
        <w:t xml:space="preserve">we </w:t>
      </w:r>
      <w:r w:rsidR="007A47D6" w:rsidRPr="001D6684">
        <w:rPr>
          <w:rFonts w:cs="Times New Roman"/>
          <w:szCs w:val="24"/>
        </w:rPr>
        <w:t xml:space="preserve">limited our searches to </w:t>
      </w:r>
      <w:r w:rsidR="00187B35" w:rsidRPr="00187B35">
        <w:rPr>
          <w:rFonts w:cs="Times New Roman"/>
          <w:szCs w:val="24"/>
        </w:rPr>
        <w:t>January 2008 – September 2016</w:t>
      </w:r>
      <w:r w:rsidR="007A47D6" w:rsidRPr="001D6684">
        <w:rPr>
          <w:rFonts w:cs="Times New Roman"/>
          <w:szCs w:val="24"/>
        </w:rPr>
        <w:t>.  The search stra</w:t>
      </w:r>
      <w:r w:rsidR="00A56CC6" w:rsidRPr="001D6684">
        <w:rPr>
          <w:rFonts w:cs="Times New Roman"/>
          <w:szCs w:val="24"/>
        </w:rPr>
        <w:t xml:space="preserve">tegy </w:t>
      </w:r>
      <w:r w:rsidR="00B23BC0">
        <w:rPr>
          <w:rFonts w:cs="Times New Roman"/>
          <w:szCs w:val="24"/>
        </w:rPr>
        <w:t xml:space="preserve">(see Appendix 1) </w:t>
      </w:r>
      <w:r w:rsidR="00A56CC6" w:rsidRPr="001D6684">
        <w:rPr>
          <w:rFonts w:cs="Times New Roman"/>
          <w:szCs w:val="24"/>
        </w:rPr>
        <w:t xml:space="preserve">was developed </w:t>
      </w:r>
      <w:r w:rsidR="000A0B12">
        <w:rPr>
          <w:rFonts w:cs="Times New Roman"/>
          <w:szCs w:val="24"/>
        </w:rPr>
        <w:t xml:space="preserve">in </w:t>
      </w:r>
      <w:r w:rsidR="00A56CC6" w:rsidRPr="001D6684">
        <w:rPr>
          <w:rFonts w:cs="Times New Roman"/>
          <w:szCs w:val="24"/>
        </w:rPr>
        <w:t>Medline</w:t>
      </w:r>
      <w:r w:rsidR="007A47D6" w:rsidRPr="001D6684">
        <w:rPr>
          <w:rFonts w:cs="Times New Roman"/>
          <w:szCs w:val="24"/>
        </w:rPr>
        <w:t xml:space="preserve"> and adapted for the remaining databases (Embase, Cochrane Library, CINAHL, King’s Fund database, IDEAS database </w:t>
      </w:r>
      <w:r w:rsidR="004C7551" w:rsidRPr="001D6684">
        <w:rPr>
          <w:rFonts w:cs="Times New Roman"/>
          <w:szCs w:val="24"/>
        </w:rPr>
        <w:t>a</w:t>
      </w:r>
      <w:r w:rsidR="007A47D6" w:rsidRPr="001D6684">
        <w:rPr>
          <w:rFonts w:cs="Times New Roman"/>
          <w:szCs w:val="24"/>
        </w:rPr>
        <w:t>nd EconLit).</w:t>
      </w:r>
      <w:r w:rsidR="001655E4" w:rsidRPr="001D6684">
        <w:rPr>
          <w:rFonts w:cs="Times New Roman"/>
          <w:szCs w:val="24"/>
        </w:rPr>
        <w:t xml:space="preserve"> </w:t>
      </w:r>
    </w:p>
    <w:p w:rsidR="00DD0DB4" w:rsidRDefault="007A47D6" w:rsidP="00731A06">
      <w:pPr>
        <w:spacing w:after="0" w:line="360" w:lineRule="auto"/>
        <w:ind w:firstLine="720"/>
        <w:contextualSpacing/>
        <w:jc w:val="both"/>
        <w:rPr>
          <w:rFonts w:cs="Times New Roman"/>
          <w:szCs w:val="24"/>
        </w:rPr>
      </w:pPr>
      <w:r w:rsidRPr="001D6684">
        <w:rPr>
          <w:rFonts w:cs="Times New Roman"/>
          <w:szCs w:val="24"/>
        </w:rPr>
        <w:t xml:space="preserve">Included studies were set in countries with </w:t>
      </w:r>
      <w:r w:rsidR="00D740B5">
        <w:rPr>
          <w:rFonts w:cs="Times New Roman"/>
          <w:szCs w:val="24"/>
        </w:rPr>
        <w:t>PC</w:t>
      </w:r>
      <w:r w:rsidRPr="001D6684">
        <w:rPr>
          <w:rFonts w:cs="Times New Roman"/>
          <w:szCs w:val="24"/>
        </w:rPr>
        <w:t xml:space="preserve"> systems comparable to that in the UK and focussed on measuring or evaluating the impact of </w:t>
      </w:r>
      <w:r w:rsidR="00D740B5">
        <w:rPr>
          <w:rFonts w:cs="Times New Roman"/>
          <w:szCs w:val="24"/>
        </w:rPr>
        <w:t>PC</w:t>
      </w:r>
      <w:r w:rsidRPr="001D6684">
        <w:rPr>
          <w:rFonts w:cs="Times New Roman"/>
          <w:szCs w:val="24"/>
        </w:rPr>
        <w:t xml:space="preserve"> systems. The method of measurement or evaluation had to be fully described. </w:t>
      </w:r>
      <w:r w:rsidR="00DD0DB4" w:rsidRPr="00DD0DB4">
        <w:rPr>
          <w:rFonts w:cs="Times New Roman"/>
          <w:szCs w:val="24"/>
        </w:rPr>
        <w:t>We limited inclusion to studies published in full, in the English language, and excluded studies that focussed on low-income countries as well as those that reported condition-specific measurement tools, patient satisfaction or patient report only tools, and articles based on opinion.</w:t>
      </w:r>
    </w:p>
    <w:p w:rsidR="00E93A7C" w:rsidRDefault="00731A06" w:rsidP="00731A06">
      <w:pPr>
        <w:spacing w:after="0" w:line="360" w:lineRule="auto"/>
        <w:ind w:firstLine="720"/>
        <w:contextualSpacing/>
        <w:jc w:val="both"/>
        <w:rPr>
          <w:rFonts w:cs="Times New Roman"/>
          <w:szCs w:val="24"/>
        </w:rPr>
      </w:pPr>
      <w:r>
        <w:rPr>
          <w:rFonts w:cs="Times New Roman"/>
          <w:szCs w:val="24"/>
        </w:rPr>
        <w:t>T</w:t>
      </w:r>
      <w:r w:rsidRPr="00731A06">
        <w:rPr>
          <w:rFonts w:cs="Times New Roman"/>
          <w:szCs w:val="24"/>
        </w:rPr>
        <w:t xml:space="preserve">wo reviewers (MAS, R-JL) </w:t>
      </w:r>
      <w:r w:rsidR="00DD0DB4" w:rsidRPr="00DD0DB4">
        <w:rPr>
          <w:rFonts w:cs="Times New Roman"/>
          <w:szCs w:val="24"/>
        </w:rPr>
        <w:t>independently screened the titles and abstracts</w:t>
      </w:r>
      <w:r w:rsidR="00DD0DB4">
        <w:rPr>
          <w:rFonts w:cs="Times New Roman"/>
          <w:szCs w:val="24"/>
        </w:rPr>
        <w:t xml:space="preserve"> for eligibility</w:t>
      </w:r>
      <w:r w:rsidR="00DD0DB4" w:rsidRPr="00DD0DB4">
        <w:rPr>
          <w:rFonts w:cs="Times New Roman"/>
          <w:szCs w:val="24"/>
        </w:rPr>
        <w:t>, and assessed the full texts subsequently retrieved for inclusion.</w:t>
      </w:r>
      <w:r w:rsidRPr="00731A06">
        <w:rPr>
          <w:rFonts w:cs="Times New Roman"/>
          <w:szCs w:val="24"/>
        </w:rPr>
        <w:t xml:space="preserve"> Discrepancies were settled by a third reviewer (CW).</w:t>
      </w:r>
      <w:r w:rsidR="00DD0DB4">
        <w:rPr>
          <w:rFonts w:cs="Times New Roman"/>
          <w:szCs w:val="24"/>
        </w:rPr>
        <w:t xml:space="preserve"> </w:t>
      </w:r>
      <w:r w:rsidR="00DD0DB4" w:rsidRPr="00DD0DB4">
        <w:rPr>
          <w:rFonts w:cs="Times New Roman"/>
          <w:szCs w:val="24"/>
        </w:rPr>
        <w:t>Data abstracted from the included studies were: setting, sample size, study design, study aims and focus, method or tool of assessment and focus of evaluation. Results were tabulated and described narratively.</w:t>
      </w:r>
    </w:p>
    <w:p w:rsidR="009F357A" w:rsidRDefault="009F357A" w:rsidP="002C1390">
      <w:pPr>
        <w:spacing w:after="0" w:line="360" w:lineRule="auto"/>
        <w:ind w:firstLine="720"/>
        <w:contextualSpacing/>
        <w:jc w:val="both"/>
        <w:rPr>
          <w:rFonts w:cs="Times New Roman"/>
          <w:szCs w:val="24"/>
        </w:rPr>
      </w:pPr>
    </w:p>
    <w:p w:rsidR="00831323" w:rsidRPr="001D6684" w:rsidRDefault="00831323" w:rsidP="002C1390">
      <w:pPr>
        <w:spacing w:after="0" w:line="360" w:lineRule="auto"/>
        <w:ind w:firstLine="720"/>
        <w:contextualSpacing/>
        <w:jc w:val="both"/>
        <w:rPr>
          <w:rFonts w:cs="Times New Roman"/>
          <w:szCs w:val="24"/>
        </w:rPr>
      </w:pPr>
    </w:p>
    <w:p w:rsidR="001655E4" w:rsidRPr="00FA6E3D" w:rsidRDefault="001655E4" w:rsidP="002C1390">
      <w:pPr>
        <w:spacing w:after="0" w:line="360" w:lineRule="auto"/>
        <w:rPr>
          <w:i/>
        </w:rPr>
      </w:pPr>
      <w:bookmarkStart w:id="4" w:name="_Toc503145122"/>
      <w:bookmarkStart w:id="5" w:name="_Toc503746141"/>
      <w:r w:rsidRPr="00FA6E3D">
        <w:rPr>
          <w:i/>
        </w:rPr>
        <w:t xml:space="preserve">The development of the Primary Care Clusters </w:t>
      </w:r>
      <w:r w:rsidR="00E66407">
        <w:rPr>
          <w:i/>
        </w:rPr>
        <w:t xml:space="preserve">Multi-dimensional </w:t>
      </w:r>
      <w:r w:rsidRPr="00FA6E3D">
        <w:rPr>
          <w:i/>
        </w:rPr>
        <w:t>Assessment (PCC</w:t>
      </w:r>
      <w:r w:rsidR="00E66407">
        <w:rPr>
          <w:i/>
        </w:rPr>
        <w:t>M</w:t>
      </w:r>
      <w:r w:rsidRPr="00FA6E3D">
        <w:rPr>
          <w:i/>
        </w:rPr>
        <w:t xml:space="preserve">A) tool </w:t>
      </w:r>
      <w:bookmarkEnd w:id="4"/>
      <w:r w:rsidRPr="00FA6E3D">
        <w:rPr>
          <w:i/>
        </w:rPr>
        <w:t>(Work Package 3)</w:t>
      </w:r>
      <w:bookmarkEnd w:id="5"/>
    </w:p>
    <w:p w:rsidR="009C7BE6" w:rsidRDefault="00862D3A" w:rsidP="00634F6E">
      <w:pPr>
        <w:spacing w:after="0" w:line="360" w:lineRule="auto"/>
        <w:ind w:firstLine="720"/>
        <w:contextualSpacing/>
        <w:jc w:val="both"/>
        <w:rPr>
          <w:rFonts w:cs="Times New Roman"/>
          <w:szCs w:val="24"/>
        </w:rPr>
      </w:pPr>
      <w:r w:rsidRPr="001D6684">
        <w:rPr>
          <w:rFonts w:cs="Times New Roman"/>
          <w:szCs w:val="24"/>
        </w:rPr>
        <w:lastRenderedPageBreak/>
        <w:t>The PCC</w:t>
      </w:r>
      <w:r w:rsidR="00E66407">
        <w:rPr>
          <w:rFonts w:cs="Times New Roman"/>
          <w:szCs w:val="24"/>
        </w:rPr>
        <w:t>M</w:t>
      </w:r>
      <w:r w:rsidRPr="001D6684">
        <w:rPr>
          <w:rFonts w:cs="Times New Roman"/>
          <w:szCs w:val="24"/>
        </w:rPr>
        <w:t>A</w:t>
      </w:r>
      <w:r w:rsidR="002256FF" w:rsidRPr="001D6684">
        <w:rPr>
          <w:rFonts w:cs="Times New Roman"/>
          <w:szCs w:val="24"/>
        </w:rPr>
        <w:t xml:space="preserve"> tool was developed </w:t>
      </w:r>
      <w:r w:rsidR="009C7BE6">
        <w:rPr>
          <w:rFonts w:cs="Times New Roman"/>
          <w:szCs w:val="24"/>
        </w:rPr>
        <w:t xml:space="preserve">starting from </w:t>
      </w:r>
      <w:r w:rsidR="002256FF" w:rsidRPr="001D6684">
        <w:rPr>
          <w:rFonts w:cs="Times New Roman"/>
          <w:szCs w:val="24"/>
        </w:rPr>
        <w:t>p</w:t>
      </w:r>
      <w:r w:rsidR="009A0952" w:rsidRPr="001D6684">
        <w:rPr>
          <w:rFonts w:cs="Times New Roman"/>
          <w:szCs w:val="24"/>
        </w:rPr>
        <w:t xml:space="preserve">otential </w:t>
      </w:r>
      <w:r w:rsidR="00D740B5">
        <w:rPr>
          <w:rFonts w:cs="Times New Roman"/>
          <w:szCs w:val="24"/>
        </w:rPr>
        <w:t>PC</w:t>
      </w:r>
      <w:r w:rsidR="000F21D1" w:rsidRPr="001D6684">
        <w:rPr>
          <w:rFonts w:cs="Times New Roman"/>
          <w:szCs w:val="24"/>
        </w:rPr>
        <w:t xml:space="preserve"> </w:t>
      </w:r>
      <w:r w:rsidR="009A0952" w:rsidRPr="001D6684">
        <w:rPr>
          <w:rFonts w:cs="Times New Roman"/>
          <w:szCs w:val="24"/>
        </w:rPr>
        <w:t xml:space="preserve">indicators </w:t>
      </w:r>
      <w:r w:rsidR="000F21D1" w:rsidRPr="001D6684">
        <w:rPr>
          <w:rFonts w:cs="Times New Roman"/>
          <w:szCs w:val="24"/>
        </w:rPr>
        <w:t xml:space="preserve">identified in the </w:t>
      </w:r>
      <w:r w:rsidR="009139B3">
        <w:rPr>
          <w:rFonts w:cs="Times New Roman"/>
          <w:szCs w:val="24"/>
        </w:rPr>
        <w:t>c</w:t>
      </w:r>
      <w:r w:rsidR="000F21D1" w:rsidRPr="001D6684">
        <w:rPr>
          <w:rFonts w:cs="Times New Roman"/>
          <w:szCs w:val="24"/>
        </w:rPr>
        <w:t xml:space="preserve">luster </w:t>
      </w:r>
      <w:r w:rsidR="009139B3">
        <w:rPr>
          <w:rFonts w:cs="Times New Roman"/>
          <w:szCs w:val="24"/>
        </w:rPr>
        <w:t>l</w:t>
      </w:r>
      <w:r w:rsidR="000F21D1" w:rsidRPr="001D6684">
        <w:rPr>
          <w:rFonts w:cs="Times New Roman"/>
          <w:szCs w:val="24"/>
        </w:rPr>
        <w:t xml:space="preserve">eads interviews </w:t>
      </w:r>
      <w:r w:rsidR="00581EAC">
        <w:rPr>
          <w:rFonts w:cs="Times New Roman"/>
          <w:szCs w:val="24"/>
        </w:rPr>
        <w:t xml:space="preserve">(Work Package 1) </w:t>
      </w:r>
      <w:r w:rsidR="000F21D1" w:rsidRPr="001D6684">
        <w:rPr>
          <w:rFonts w:cs="Times New Roman"/>
          <w:szCs w:val="24"/>
        </w:rPr>
        <w:t xml:space="preserve">and </w:t>
      </w:r>
      <w:r w:rsidR="002256FF" w:rsidRPr="001D6684">
        <w:rPr>
          <w:rFonts w:cs="Times New Roman"/>
          <w:szCs w:val="24"/>
        </w:rPr>
        <w:t xml:space="preserve">the frameworks </w:t>
      </w:r>
      <w:r w:rsidR="00581EAC">
        <w:rPr>
          <w:rFonts w:cs="Times New Roman"/>
          <w:szCs w:val="24"/>
        </w:rPr>
        <w:t xml:space="preserve">identified </w:t>
      </w:r>
      <w:r w:rsidR="00B351C5" w:rsidRPr="001D6684">
        <w:rPr>
          <w:rFonts w:cs="Times New Roman"/>
          <w:szCs w:val="24"/>
        </w:rPr>
        <w:t>in</w:t>
      </w:r>
      <w:r w:rsidR="002256FF" w:rsidRPr="001D6684">
        <w:rPr>
          <w:rFonts w:cs="Times New Roman"/>
          <w:szCs w:val="24"/>
        </w:rPr>
        <w:t xml:space="preserve"> the</w:t>
      </w:r>
      <w:r w:rsidR="000F21D1" w:rsidRPr="001D6684">
        <w:rPr>
          <w:rFonts w:cs="Times New Roman"/>
          <w:szCs w:val="24"/>
        </w:rPr>
        <w:t xml:space="preserve"> literature review</w:t>
      </w:r>
      <w:r w:rsidR="002256FF" w:rsidRPr="001D6684">
        <w:rPr>
          <w:rFonts w:cs="Times New Roman"/>
          <w:szCs w:val="24"/>
        </w:rPr>
        <w:t xml:space="preserve"> (</w:t>
      </w:r>
      <w:r w:rsidR="001655E4" w:rsidRPr="001D6684">
        <w:rPr>
          <w:rFonts w:cs="Times New Roman"/>
          <w:szCs w:val="24"/>
        </w:rPr>
        <w:t>W</w:t>
      </w:r>
      <w:r w:rsidR="002256FF" w:rsidRPr="001D6684">
        <w:rPr>
          <w:rFonts w:cs="Times New Roman"/>
          <w:szCs w:val="24"/>
        </w:rPr>
        <w:t xml:space="preserve">ork </w:t>
      </w:r>
      <w:r w:rsidR="001655E4" w:rsidRPr="001D6684">
        <w:rPr>
          <w:rFonts w:cs="Times New Roman"/>
          <w:szCs w:val="24"/>
        </w:rPr>
        <w:t>P</w:t>
      </w:r>
      <w:r w:rsidR="002256FF" w:rsidRPr="001D6684">
        <w:rPr>
          <w:rFonts w:cs="Times New Roman"/>
          <w:szCs w:val="24"/>
        </w:rPr>
        <w:t>ackage 2).</w:t>
      </w:r>
      <w:r w:rsidR="000A4C49" w:rsidRPr="001D6684">
        <w:rPr>
          <w:rFonts w:cs="Times New Roman"/>
          <w:szCs w:val="24"/>
        </w:rPr>
        <w:t xml:space="preserve"> </w:t>
      </w:r>
      <w:r w:rsidR="009A0952" w:rsidRPr="001D6684">
        <w:rPr>
          <w:rFonts w:cs="Times New Roman"/>
          <w:szCs w:val="24"/>
        </w:rPr>
        <w:t xml:space="preserve">An expert group (including </w:t>
      </w:r>
      <w:r w:rsidR="002174BE">
        <w:rPr>
          <w:rFonts w:cs="Times New Roman"/>
          <w:szCs w:val="24"/>
        </w:rPr>
        <w:t xml:space="preserve">two academic </w:t>
      </w:r>
      <w:r w:rsidR="009A0952" w:rsidRPr="001D6684">
        <w:rPr>
          <w:rFonts w:cs="Times New Roman"/>
          <w:szCs w:val="24"/>
        </w:rPr>
        <w:t>health</w:t>
      </w:r>
      <w:r w:rsidR="002174BE">
        <w:rPr>
          <w:rFonts w:cs="Times New Roman"/>
          <w:szCs w:val="24"/>
        </w:rPr>
        <w:t>care</w:t>
      </w:r>
      <w:r w:rsidR="009A0952" w:rsidRPr="001D6684">
        <w:rPr>
          <w:rFonts w:cs="Times New Roman"/>
          <w:szCs w:val="24"/>
        </w:rPr>
        <w:t xml:space="preserve"> researchers</w:t>
      </w:r>
      <w:r w:rsidR="0086198C">
        <w:rPr>
          <w:rFonts w:cs="Times New Roman"/>
          <w:szCs w:val="24"/>
        </w:rPr>
        <w:t xml:space="preserve"> with experience in the development and validation of quantitative instruments</w:t>
      </w:r>
      <w:r w:rsidR="002174BE">
        <w:rPr>
          <w:rFonts w:cs="Times New Roman"/>
          <w:szCs w:val="24"/>
        </w:rPr>
        <w:t xml:space="preserve"> </w:t>
      </w:r>
      <w:r w:rsidR="0086198C">
        <w:rPr>
          <w:rFonts w:cs="Times New Roman"/>
          <w:szCs w:val="24"/>
        </w:rPr>
        <w:t xml:space="preserve">and three </w:t>
      </w:r>
      <w:r w:rsidR="00581EAC">
        <w:rPr>
          <w:rFonts w:cs="Times New Roman"/>
          <w:szCs w:val="24"/>
        </w:rPr>
        <w:t>academic GPs</w:t>
      </w:r>
      <w:r w:rsidR="002174BE">
        <w:rPr>
          <w:rFonts w:cs="Times New Roman"/>
          <w:szCs w:val="24"/>
        </w:rPr>
        <w:t xml:space="preserve"> </w:t>
      </w:r>
      <w:r w:rsidR="0086198C">
        <w:rPr>
          <w:rFonts w:cs="Times New Roman"/>
          <w:szCs w:val="24"/>
        </w:rPr>
        <w:t>with senior management experience at regional and national level</w:t>
      </w:r>
      <w:r w:rsidR="009A0952" w:rsidRPr="001D6684">
        <w:rPr>
          <w:rFonts w:cs="Times New Roman"/>
          <w:szCs w:val="24"/>
        </w:rPr>
        <w:t xml:space="preserve">) reviewed </w:t>
      </w:r>
      <w:r w:rsidR="00794B45">
        <w:rPr>
          <w:rFonts w:cs="Times New Roman"/>
          <w:szCs w:val="24"/>
        </w:rPr>
        <w:t xml:space="preserve">and drafted a </w:t>
      </w:r>
      <w:r w:rsidR="00634F6E">
        <w:rPr>
          <w:rFonts w:cs="Times New Roman"/>
          <w:szCs w:val="24"/>
        </w:rPr>
        <w:t xml:space="preserve">novel </w:t>
      </w:r>
      <w:r w:rsidR="00794B45">
        <w:rPr>
          <w:rFonts w:cs="Times New Roman"/>
          <w:szCs w:val="24"/>
        </w:rPr>
        <w:t xml:space="preserve">pool of </w:t>
      </w:r>
      <w:r w:rsidR="00D740B5">
        <w:rPr>
          <w:rFonts w:cs="Times New Roman"/>
          <w:szCs w:val="24"/>
        </w:rPr>
        <w:t>PC</w:t>
      </w:r>
      <w:r w:rsidR="00794B45">
        <w:rPr>
          <w:rFonts w:cs="Times New Roman"/>
          <w:szCs w:val="24"/>
        </w:rPr>
        <w:t xml:space="preserve"> </w:t>
      </w:r>
      <w:r w:rsidR="009A0952" w:rsidRPr="001D6684">
        <w:rPr>
          <w:rFonts w:cs="Times New Roman"/>
          <w:szCs w:val="24"/>
        </w:rPr>
        <w:t>indicators</w:t>
      </w:r>
      <w:r w:rsidR="00B351C5" w:rsidRPr="001D6684">
        <w:rPr>
          <w:rFonts w:cs="Times New Roman"/>
          <w:szCs w:val="24"/>
        </w:rPr>
        <w:t xml:space="preserve">. </w:t>
      </w:r>
      <w:r w:rsidR="002174BE" w:rsidRPr="002174BE">
        <w:rPr>
          <w:rFonts w:cs="Times New Roman"/>
          <w:szCs w:val="24"/>
        </w:rPr>
        <w:t>The</w:t>
      </w:r>
      <w:r w:rsidR="002174BE">
        <w:rPr>
          <w:rFonts w:cs="Times New Roman"/>
          <w:szCs w:val="24"/>
        </w:rPr>
        <w:t xml:space="preserve"> </w:t>
      </w:r>
      <w:r w:rsidR="002174BE" w:rsidRPr="002174BE">
        <w:rPr>
          <w:rFonts w:cs="Times New Roman"/>
          <w:szCs w:val="24"/>
        </w:rPr>
        <w:t xml:space="preserve">development of the </w:t>
      </w:r>
      <w:r w:rsidR="002174BE">
        <w:rPr>
          <w:rFonts w:cs="Times New Roman"/>
          <w:szCs w:val="24"/>
        </w:rPr>
        <w:t>PCC</w:t>
      </w:r>
      <w:r w:rsidR="00E66407">
        <w:rPr>
          <w:rFonts w:cs="Times New Roman"/>
          <w:szCs w:val="24"/>
        </w:rPr>
        <w:t>M</w:t>
      </w:r>
      <w:r w:rsidR="002174BE">
        <w:rPr>
          <w:rFonts w:cs="Times New Roman"/>
          <w:szCs w:val="24"/>
        </w:rPr>
        <w:t>A tool focused</w:t>
      </w:r>
      <w:r w:rsidR="002174BE" w:rsidRPr="002174BE">
        <w:rPr>
          <w:rFonts w:cs="Times New Roman"/>
          <w:szCs w:val="24"/>
        </w:rPr>
        <w:t xml:space="preserve"> on </w:t>
      </w:r>
      <w:r w:rsidR="0086198C" w:rsidRPr="002174BE">
        <w:rPr>
          <w:rFonts w:cs="Times New Roman"/>
          <w:szCs w:val="24"/>
        </w:rPr>
        <w:t>comprehensiveness</w:t>
      </w:r>
      <w:r w:rsidR="0086198C">
        <w:rPr>
          <w:rFonts w:cs="Times New Roman"/>
          <w:szCs w:val="24"/>
        </w:rPr>
        <w:t xml:space="preserve">, </w:t>
      </w:r>
      <w:r w:rsidR="002174BE" w:rsidRPr="002174BE">
        <w:rPr>
          <w:rFonts w:cs="Times New Roman"/>
          <w:szCs w:val="24"/>
        </w:rPr>
        <w:t>content</w:t>
      </w:r>
      <w:r w:rsidR="0086198C">
        <w:rPr>
          <w:rFonts w:cs="Times New Roman"/>
          <w:szCs w:val="24"/>
        </w:rPr>
        <w:t xml:space="preserve"> and</w:t>
      </w:r>
      <w:r w:rsidR="002174BE" w:rsidRPr="002174BE">
        <w:rPr>
          <w:rFonts w:cs="Times New Roman"/>
          <w:szCs w:val="24"/>
        </w:rPr>
        <w:t xml:space="preserve"> clarity</w:t>
      </w:r>
      <w:r w:rsidR="0086198C">
        <w:rPr>
          <w:rFonts w:cs="Times New Roman"/>
          <w:szCs w:val="24"/>
        </w:rPr>
        <w:t xml:space="preserve">. </w:t>
      </w:r>
      <w:r w:rsidR="0086198C" w:rsidRPr="0086198C">
        <w:rPr>
          <w:rFonts w:cs="Times New Roman"/>
          <w:szCs w:val="24"/>
        </w:rPr>
        <w:t>The comprehensiveness of the</w:t>
      </w:r>
      <w:r w:rsidR="0086198C">
        <w:rPr>
          <w:rFonts w:cs="Times New Roman"/>
          <w:szCs w:val="24"/>
        </w:rPr>
        <w:t xml:space="preserve"> PCC</w:t>
      </w:r>
      <w:r w:rsidR="00E66407">
        <w:rPr>
          <w:rFonts w:cs="Times New Roman"/>
          <w:szCs w:val="24"/>
        </w:rPr>
        <w:t>M</w:t>
      </w:r>
      <w:r w:rsidR="0086198C">
        <w:rPr>
          <w:rFonts w:cs="Times New Roman"/>
          <w:szCs w:val="24"/>
        </w:rPr>
        <w:t xml:space="preserve">A instrument </w:t>
      </w:r>
      <w:r w:rsidR="0086198C" w:rsidRPr="0086198C">
        <w:rPr>
          <w:rFonts w:cs="Times New Roman"/>
          <w:szCs w:val="24"/>
        </w:rPr>
        <w:t xml:space="preserve">was addressed by mapping the </w:t>
      </w:r>
      <w:r w:rsidR="00634F6E">
        <w:rPr>
          <w:rFonts w:cs="Times New Roman"/>
          <w:szCs w:val="24"/>
        </w:rPr>
        <w:t xml:space="preserve">newly developed </w:t>
      </w:r>
      <w:r w:rsidR="0086198C">
        <w:rPr>
          <w:rFonts w:cs="Times New Roman"/>
          <w:szCs w:val="24"/>
        </w:rPr>
        <w:t>indicators o</w:t>
      </w:r>
      <w:r w:rsidR="0086198C" w:rsidRPr="0086198C">
        <w:rPr>
          <w:rFonts w:cs="Times New Roman"/>
          <w:szCs w:val="24"/>
        </w:rPr>
        <w:t xml:space="preserve">nto the </w:t>
      </w:r>
      <w:r w:rsidR="0087004C">
        <w:rPr>
          <w:rFonts w:cs="Times New Roman"/>
          <w:szCs w:val="24"/>
        </w:rPr>
        <w:t xml:space="preserve">assessment framework with the broadest scope among those of </w:t>
      </w:r>
      <w:r w:rsidR="00496179">
        <w:rPr>
          <w:rFonts w:cs="Times New Roman"/>
          <w:szCs w:val="24"/>
        </w:rPr>
        <w:t xml:space="preserve">the </w:t>
      </w:r>
      <w:r w:rsidR="0087004C">
        <w:rPr>
          <w:rFonts w:cs="Times New Roman"/>
          <w:szCs w:val="24"/>
        </w:rPr>
        <w:t xml:space="preserve">developed </w:t>
      </w:r>
      <w:r w:rsidR="00E66407">
        <w:rPr>
          <w:rFonts w:cs="Times New Roman"/>
          <w:szCs w:val="24"/>
        </w:rPr>
        <w:t>PC</w:t>
      </w:r>
      <w:r w:rsidR="0087004C">
        <w:rPr>
          <w:rFonts w:cs="Times New Roman"/>
          <w:szCs w:val="24"/>
        </w:rPr>
        <w:t xml:space="preserve"> systems reviewed, </w:t>
      </w:r>
      <w:r w:rsidR="009C7BE6">
        <w:rPr>
          <w:rFonts w:cs="Times New Roman"/>
          <w:szCs w:val="24"/>
        </w:rPr>
        <w:t>an</w:t>
      </w:r>
      <w:r w:rsidR="00496179">
        <w:rPr>
          <w:rFonts w:cs="Times New Roman"/>
          <w:szCs w:val="24"/>
        </w:rPr>
        <w:t>d</w:t>
      </w:r>
      <w:r w:rsidR="009C7BE6">
        <w:rPr>
          <w:rFonts w:cs="Times New Roman"/>
          <w:szCs w:val="24"/>
        </w:rPr>
        <w:t xml:space="preserve"> </w:t>
      </w:r>
      <w:r w:rsidR="00496179">
        <w:rPr>
          <w:rFonts w:cs="Times New Roman"/>
          <w:szCs w:val="24"/>
        </w:rPr>
        <w:t xml:space="preserve">the creation of novel </w:t>
      </w:r>
      <w:r w:rsidR="009C7BE6">
        <w:rPr>
          <w:rFonts w:cs="Times New Roman"/>
          <w:szCs w:val="24"/>
        </w:rPr>
        <w:t>dimension</w:t>
      </w:r>
      <w:r w:rsidR="00496179">
        <w:rPr>
          <w:rFonts w:cs="Times New Roman"/>
          <w:szCs w:val="24"/>
        </w:rPr>
        <w:t>s</w:t>
      </w:r>
      <w:r w:rsidR="009C7BE6">
        <w:rPr>
          <w:rFonts w:cs="Times New Roman"/>
          <w:szCs w:val="24"/>
        </w:rPr>
        <w:t xml:space="preserve"> w</w:t>
      </w:r>
      <w:r w:rsidR="00496179">
        <w:rPr>
          <w:rFonts w:cs="Times New Roman"/>
          <w:szCs w:val="24"/>
        </w:rPr>
        <w:t>as considered – especially related to the introduction of the PC clusters</w:t>
      </w:r>
      <w:r w:rsidR="009C7BE6">
        <w:rPr>
          <w:rFonts w:cs="Times New Roman"/>
          <w:szCs w:val="24"/>
        </w:rPr>
        <w:t xml:space="preserve">. </w:t>
      </w:r>
      <w:r w:rsidR="00837798">
        <w:rPr>
          <w:rFonts w:cs="Times New Roman"/>
          <w:szCs w:val="24"/>
        </w:rPr>
        <w:t xml:space="preserve">Regarding the content of each dimension, </w:t>
      </w:r>
      <w:r w:rsidR="009C7BE6">
        <w:rPr>
          <w:rFonts w:cs="Times New Roman"/>
          <w:szCs w:val="24"/>
        </w:rPr>
        <w:t xml:space="preserve">in three separate iterations, </w:t>
      </w:r>
      <w:r w:rsidR="00837798">
        <w:rPr>
          <w:rFonts w:cs="Times New Roman"/>
          <w:szCs w:val="24"/>
        </w:rPr>
        <w:t>t</w:t>
      </w:r>
      <w:r w:rsidR="00634F6E">
        <w:rPr>
          <w:rFonts w:cs="Times New Roman"/>
          <w:szCs w:val="24"/>
        </w:rPr>
        <w:t xml:space="preserve">he </w:t>
      </w:r>
      <w:r w:rsidR="00837798">
        <w:rPr>
          <w:rFonts w:cs="Times New Roman"/>
          <w:szCs w:val="24"/>
        </w:rPr>
        <w:t xml:space="preserve">indicators </w:t>
      </w:r>
      <w:r w:rsidR="00634F6E">
        <w:rPr>
          <w:rFonts w:cs="Times New Roman"/>
          <w:szCs w:val="24"/>
        </w:rPr>
        <w:t>w</w:t>
      </w:r>
      <w:r w:rsidR="00837798">
        <w:rPr>
          <w:rFonts w:cs="Times New Roman"/>
          <w:szCs w:val="24"/>
        </w:rPr>
        <w:t>ere</w:t>
      </w:r>
      <w:r w:rsidR="00634F6E">
        <w:rPr>
          <w:rFonts w:cs="Times New Roman"/>
          <w:szCs w:val="24"/>
        </w:rPr>
        <w:t xml:space="preserve"> collectively assessed by the expert group</w:t>
      </w:r>
      <w:r w:rsidR="009C7BE6">
        <w:rPr>
          <w:rFonts w:cs="Times New Roman"/>
          <w:szCs w:val="24"/>
        </w:rPr>
        <w:t xml:space="preserve"> with two aims:</w:t>
      </w:r>
      <w:r w:rsidR="00634F6E">
        <w:rPr>
          <w:rFonts w:cs="Times New Roman"/>
          <w:szCs w:val="24"/>
        </w:rPr>
        <w:t xml:space="preserve"> </w:t>
      </w:r>
      <w:r w:rsidR="009C7BE6">
        <w:rPr>
          <w:rFonts w:cs="Times New Roman"/>
          <w:szCs w:val="24"/>
        </w:rPr>
        <w:t xml:space="preserve">(1) </w:t>
      </w:r>
      <w:r w:rsidR="00634F6E">
        <w:rPr>
          <w:rFonts w:cs="Times New Roman"/>
          <w:szCs w:val="24"/>
        </w:rPr>
        <w:t>to fully cover the domain</w:t>
      </w:r>
      <w:r w:rsidR="00837798">
        <w:rPr>
          <w:rFonts w:cs="Times New Roman"/>
          <w:szCs w:val="24"/>
        </w:rPr>
        <w:t xml:space="preserve"> of each dimension</w:t>
      </w:r>
      <w:r w:rsidR="00634F6E">
        <w:rPr>
          <w:rFonts w:cs="Times New Roman"/>
          <w:szCs w:val="24"/>
        </w:rPr>
        <w:t xml:space="preserve">, </w:t>
      </w:r>
      <w:r w:rsidR="00837798">
        <w:rPr>
          <w:rFonts w:cs="Times New Roman"/>
          <w:szCs w:val="24"/>
        </w:rPr>
        <w:t>with minimum overlap between indicators</w:t>
      </w:r>
      <w:r w:rsidR="009C7BE6">
        <w:rPr>
          <w:rFonts w:cs="Times New Roman"/>
          <w:szCs w:val="24"/>
        </w:rPr>
        <w:t>; and (2) to achieve a similar spread of content between indicators (i.e., to avoid one indicator being very general and another being very specific, within the same dimension)</w:t>
      </w:r>
      <w:r w:rsidR="00837798">
        <w:rPr>
          <w:rFonts w:cs="Times New Roman"/>
          <w:szCs w:val="24"/>
        </w:rPr>
        <w:t xml:space="preserve">. </w:t>
      </w:r>
      <w:r w:rsidR="009C7BE6">
        <w:rPr>
          <w:rFonts w:cs="Times New Roman"/>
          <w:szCs w:val="24"/>
        </w:rPr>
        <w:t xml:space="preserve">The process involved drafting new </w:t>
      </w:r>
      <w:r w:rsidR="00837798">
        <w:rPr>
          <w:rFonts w:cs="Times New Roman"/>
          <w:szCs w:val="24"/>
        </w:rPr>
        <w:t>indicators</w:t>
      </w:r>
      <w:r w:rsidR="00634F6E">
        <w:rPr>
          <w:rFonts w:cs="Times New Roman"/>
          <w:szCs w:val="24"/>
        </w:rPr>
        <w:t xml:space="preserve">, </w:t>
      </w:r>
      <w:r w:rsidR="009C7BE6">
        <w:rPr>
          <w:rFonts w:cs="Times New Roman"/>
          <w:szCs w:val="24"/>
        </w:rPr>
        <w:t>and merging or splitting other indicators</w:t>
      </w:r>
      <w:r w:rsidR="00634F6E">
        <w:rPr>
          <w:rFonts w:cs="Times New Roman"/>
          <w:szCs w:val="24"/>
        </w:rPr>
        <w:t xml:space="preserve">. </w:t>
      </w:r>
      <w:r w:rsidR="00837798">
        <w:rPr>
          <w:rFonts w:cs="Times New Roman"/>
          <w:szCs w:val="24"/>
        </w:rPr>
        <w:t>The priority was to balance the indicators within each dimension</w:t>
      </w:r>
      <w:r w:rsidR="009C7BE6">
        <w:rPr>
          <w:rFonts w:cs="Times New Roman"/>
          <w:szCs w:val="24"/>
        </w:rPr>
        <w:t xml:space="preserve">, acknowledging that </w:t>
      </w:r>
      <w:r w:rsidR="0058628C">
        <w:rPr>
          <w:rFonts w:cs="Times New Roman"/>
          <w:szCs w:val="24"/>
        </w:rPr>
        <w:t xml:space="preserve">systemic </w:t>
      </w:r>
      <w:r w:rsidR="009C7BE6">
        <w:rPr>
          <w:rFonts w:cs="Times New Roman"/>
          <w:szCs w:val="24"/>
        </w:rPr>
        <w:t xml:space="preserve">dimensions may vary between them, both in breadth and density of indicators. </w:t>
      </w:r>
      <w:r w:rsidR="0034723D">
        <w:rPr>
          <w:rFonts w:cs="Times New Roman"/>
          <w:szCs w:val="24"/>
        </w:rPr>
        <w:t>The clarity of the indicators was considered during each iteration, and further addressed during the subsequent two stakeholder consultation workshops and online pilot/feedback.</w:t>
      </w:r>
    </w:p>
    <w:p w:rsidR="00705D0E" w:rsidRDefault="00634F6E" w:rsidP="00AC7ABA">
      <w:pPr>
        <w:spacing w:after="0" w:line="360" w:lineRule="auto"/>
        <w:ind w:firstLine="720"/>
        <w:contextualSpacing/>
        <w:jc w:val="both"/>
        <w:rPr>
          <w:rFonts w:cs="Times New Roman"/>
          <w:szCs w:val="24"/>
        </w:rPr>
      </w:pPr>
      <w:r>
        <w:rPr>
          <w:rFonts w:cs="Times New Roman"/>
          <w:szCs w:val="24"/>
        </w:rPr>
        <w:t xml:space="preserve">All </w:t>
      </w:r>
      <w:r w:rsidR="00C23DB3">
        <w:rPr>
          <w:rFonts w:cs="Times New Roman"/>
          <w:szCs w:val="24"/>
        </w:rPr>
        <w:t>PCC</w:t>
      </w:r>
      <w:r w:rsidR="00E66407">
        <w:rPr>
          <w:rFonts w:cs="Times New Roman"/>
          <w:szCs w:val="24"/>
        </w:rPr>
        <w:t>M</w:t>
      </w:r>
      <w:r w:rsidR="00C23DB3">
        <w:rPr>
          <w:rFonts w:cs="Times New Roman"/>
          <w:szCs w:val="24"/>
        </w:rPr>
        <w:t xml:space="preserve">A </w:t>
      </w:r>
      <w:r>
        <w:rPr>
          <w:rFonts w:cs="Times New Roman"/>
          <w:szCs w:val="24"/>
        </w:rPr>
        <w:t xml:space="preserve">indicators </w:t>
      </w:r>
      <w:r w:rsidR="00CF0079">
        <w:rPr>
          <w:rFonts w:cs="Times New Roman"/>
          <w:szCs w:val="24"/>
        </w:rPr>
        <w:t xml:space="preserve">consisted of a statement, </w:t>
      </w:r>
      <w:r w:rsidR="00C23DB3">
        <w:rPr>
          <w:rFonts w:cs="Times New Roman"/>
          <w:szCs w:val="24"/>
        </w:rPr>
        <w:t>requiring a rating</w:t>
      </w:r>
      <w:r w:rsidR="00CF0079">
        <w:rPr>
          <w:rFonts w:cs="Times New Roman"/>
          <w:szCs w:val="24"/>
        </w:rPr>
        <w:t xml:space="preserve"> using a </w:t>
      </w:r>
      <w:r>
        <w:rPr>
          <w:rFonts w:cs="Times New Roman"/>
          <w:szCs w:val="24"/>
        </w:rPr>
        <w:t xml:space="preserve">similar </w:t>
      </w:r>
      <w:r w:rsidR="001871DD">
        <w:rPr>
          <w:rFonts w:cs="Times New Roman"/>
          <w:szCs w:val="24"/>
        </w:rPr>
        <w:t xml:space="preserve">electronic </w:t>
      </w:r>
      <w:r w:rsidR="00CF0079">
        <w:rPr>
          <w:rFonts w:cs="Times New Roman"/>
          <w:szCs w:val="24"/>
        </w:rPr>
        <w:t xml:space="preserve">visual analogue </w:t>
      </w:r>
      <w:r>
        <w:rPr>
          <w:rFonts w:cs="Times New Roman"/>
          <w:szCs w:val="24"/>
        </w:rPr>
        <w:t>scale</w:t>
      </w:r>
      <w:r w:rsidR="00CF0079">
        <w:rPr>
          <w:rFonts w:cs="Times New Roman"/>
          <w:szCs w:val="24"/>
        </w:rPr>
        <w:t xml:space="preserve"> (</w:t>
      </w:r>
      <w:r w:rsidR="001871DD">
        <w:rPr>
          <w:rFonts w:cs="Times New Roman"/>
          <w:szCs w:val="24"/>
        </w:rPr>
        <w:t>e</w:t>
      </w:r>
      <w:r w:rsidR="00CF0079">
        <w:rPr>
          <w:rFonts w:cs="Times New Roman"/>
          <w:szCs w:val="24"/>
        </w:rPr>
        <w:t>VAS)</w:t>
      </w:r>
      <w:r>
        <w:rPr>
          <w:rFonts w:cs="Times New Roman"/>
          <w:szCs w:val="24"/>
        </w:rPr>
        <w:t>, from 0-100</w:t>
      </w:r>
      <w:r w:rsidR="00CF0079">
        <w:rPr>
          <w:rFonts w:cs="Times New Roman"/>
          <w:szCs w:val="24"/>
        </w:rPr>
        <w:t xml:space="preserve">. </w:t>
      </w:r>
      <w:r w:rsidR="00C23DB3">
        <w:rPr>
          <w:rFonts w:cs="Times New Roman"/>
          <w:szCs w:val="24"/>
        </w:rPr>
        <w:t xml:space="preserve">Each </w:t>
      </w:r>
      <w:r w:rsidR="001871DD">
        <w:rPr>
          <w:rFonts w:cs="Times New Roman"/>
          <w:szCs w:val="24"/>
        </w:rPr>
        <w:t>e</w:t>
      </w:r>
      <w:r w:rsidR="00C23DB3">
        <w:rPr>
          <w:rFonts w:cs="Times New Roman"/>
          <w:szCs w:val="24"/>
        </w:rPr>
        <w:t xml:space="preserve">VAS rating was aided by three anchors: one at either end, and the middle of the 0-100 scale. </w:t>
      </w:r>
      <w:r w:rsidR="00A5706D">
        <w:rPr>
          <w:rFonts w:cs="Times New Roman"/>
          <w:szCs w:val="24"/>
        </w:rPr>
        <w:t>Anchors are specific to the indicators, thus are often different between indicators, but p</w:t>
      </w:r>
      <w:r w:rsidR="00C23DB3">
        <w:rPr>
          <w:rFonts w:cs="Times New Roman"/>
          <w:szCs w:val="24"/>
        </w:rPr>
        <w:t>articular care was taken in the choice of anchors</w:t>
      </w:r>
      <w:r w:rsidR="00A5706D">
        <w:rPr>
          <w:rFonts w:cs="Times New Roman"/>
          <w:szCs w:val="24"/>
        </w:rPr>
        <w:t xml:space="preserve">. Firstly, </w:t>
      </w:r>
      <w:r w:rsidR="0034620B">
        <w:rPr>
          <w:rFonts w:cs="Times New Roman"/>
          <w:szCs w:val="24"/>
        </w:rPr>
        <w:t xml:space="preserve">as is usual to avoid a floor/ceiling effect, </w:t>
      </w:r>
      <w:r w:rsidR="00A5706D">
        <w:rPr>
          <w:rFonts w:cs="Times New Roman"/>
          <w:szCs w:val="24"/>
        </w:rPr>
        <w:t xml:space="preserve">the end anchors had to </w:t>
      </w:r>
      <w:r w:rsidR="0034620B">
        <w:rPr>
          <w:rFonts w:cs="Times New Roman"/>
          <w:szCs w:val="24"/>
        </w:rPr>
        <w:t xml:space="preserve">be </w:t>
      </w:r>
      <w:r w:rsidR="00A5706D">
        <w:rPr>
          <w:rFonts w:cs="Times New Roman"/>
          <w:szCs w:val="24"/>
        </w:rPr>
        <w:t>an absolute minimum and maximum for the indicator</w:t>
      </w:r>
      <w:r w:rsidR="0034620B">
        <w:rPr>
          <w:rFonts w:cs="Times New Roman"/>
          <w:szCs w:val="24"/>
        </w:rPr>
        <w:t>, such that no rating below or above, respectively, was conceivably possible.</w:t>
      </w:r>
      <w:r w:rsidR="00A5706D">
        <w:rPr>
          <w:rFonts w:cs="Times New Roman"/>
          <w:szCs w:val="24"/>
        </w:rPr>
        <w:t xml:space="preserve"> Secondly, </w:t>
      </w:r>
      <w:r w:rsidR="000D696A">
        <w:rPr>
          <w:rFonts w:cs="Times New Roman"/>
          <w:szCs w:val="24"/>
        </w:rPr>
        <w:t xml:space="preserve">where appropriate, </w:t>
      </w:r>
      <w:r w:rsidR="00A5706D">
        <w:rPr>
          <w:rFonts w:cs="Times New Roman"/>
          <w:szCs w:val="24"/>
        </w:rPr>
        <w:t xml:space="preserve">the middle anchor had to represent a </w:t>
      </w:r>
      <w:r w:rsidR="0034620B">
        <w:rPr>
          <w:rFonts w:cs="Times New Roman"/>
          <w:szCs w:val="24"/>
        </w:rPr>
        <w:t xml:space="preserve">situation relatively equal </w:t>
      </w:r>
      <w:r w:rsidR="00A5706D">
        <w:rPr>
          <w:rFonts w:cs="Times New Roman"/>
          <w:szCs w:val="24"/>
        </w:rPr>
        <w:t xml:space="preserve">to the two ends of the scale, and, </w:t>
      </w:r>
      <w:r w:rsidR="0034620B">
        <w:rPr>
          <w:rFonts w:cs="Times New Roman"/>
          <w:szCs w:val="24"/>
        </w:rPr>
        <w:t>critically</w:t>
      </w:r>
      <w:r w:rsidR="00A5706D">
        <w:rPr>
          <w:rFonts w:cs="Times New Roman"/>
          <w:szCs w:val="24"/>
        </w:rPr>
        <w:t xml:space="preserve">, </w:t>
      </w:r>
      <w:r w:rsidR="0034620B">
        <w:rPr>
          <w:rFonts w:cs="Times New Roman"/>
          <w:szCs w:val="24"/>
        </w:rPr>
        <w:t xml:space="preserve">had to </w:t>
      </w:r>
      <w:r w:rsidR="00A5706D">
        <w:rPr>
          <w:rFonts w:cs="Times New Roman"/>
          <w:szCs w:val="24"/>
        </w:rPr>
        <w:t>c</w:t>
      </w:r>
      <w:r w:rsidR="0034620B">
        <w:rPr>
          <w:rFonts w:cs="Times New Roman"/>
          <w:szCs w:val="24"/>
        </w:rPr>
        <w:t>ontain</w:t>
      </w:r>
      <w:r w:rsidR="00A5706D">
        <w:rPr>
          <w:rFonts w:cs="Times New Roman"/>
          <w:szCs w:val="24"/>
        </w:rPr>
        <w:t xml:space="preserve"> specific elements relating to the indicator</w:t>
      </w:r>
      <w:r w:rsidR="0034620B">
        <w:rPr>
          <w:rFonts w:cs="Times New Roman"/>
          <w:szCs w:val="24"/>
        </w:rPr>
        <w:t xml:space="preserve">. This </w:t>
      </w:r>
      <w:r w:rsidR="007B5221">
        <w:rPr>
          <w:rFonts w:cs="Times New Roman"/>
          <w:szCs w:val="24"/>
        </w:rPr>
        <w:t xml:space="preserve">requirement </w:t>
      </w:r>
      <w:r w:rsidR="0034620B">
        <w:rPr>
          <w:rFonts w:cs="Times New Roman"/>
          <w:szCs w:val="24"/>
        </w:rPr>
        <w:t xml:space="preserve">was </w:t>
      </w:r>
      <w:r w:rsidR="007B5221">
        <w:rPr>
          <w:rFonts w:cs="Times New Roman"/>
          <w:szCs w:val="24"/>
        </w:rPr>
        <w:t>aimed a</w:t>
      </w:r>
      <w:r w:rsidR="0034620B">
        <w:rPr>
          <w:rFonts w:cs="Times New Roman"/>
          <w:szCs w:val="24"/>
        </w:rPr>
        <w:t>t</w:t>
      </w:r>
      <w:r w:rsidR="007B5221">
        <w:rPr>
          <w:rFonts w:cs="Times New Roman"/>
          <w:szCs w:val="24"/>
        </w:rPr>
        <w:t xml:space="preserve"> reducing</w:t>
      </w:r>
      <w:r w:rsidR="0034620B">
        <w:rPr>
          <w:rFonts w:cs="Times New Roman"/>
          <w:szCs w:val="24"/>
        </w:rPr>
        <w:t xml:space="preserve"> the tendency </w:t>
      </w:r>
      <w:r w:rsidR="007B5221">
        <w:rPr>
          <w:rFonts w:cs="Times New Roman"/>
          <w:szCs w:val="24"/>
        </w:rPr>
        <w:t xml:space="preserve">of responders </w:t>
      </w:r>
      <w:r w:rsidR="0034620B">
        <w:rPr>
          <w:rFonts w:cs="Times New Roman"/>
          <w:szCs w:val="24"/>
        </w:rPr>
        <w:t>to provide a middle-</w:t>
      </w:r>
      <w:r w:rsidR="00A5706D">
        <w:rPr>
          <w:rFonts w:cs="Times New Roman"/>
          <w:szCs w:val="24"/>
        </w:rPr>
        <w:t>of</w:t>
      </w:r>
      <w:r w:rsidR="0034620B">
        <w:rPr>
          <w:rFonts w:cs="Times New Roman"/>
          <w:szCs w:val="24"/>
        </w:rPr>
        <w:t>-</w:t>
      </w:r>
      <w:r w:rsidR="00A5706D">
        <w:rPr>
          <w:rFonts w:cs="Times New Roman"/>
          <w:szCs w:val="24"/>
        </w:rPr>
        <w:t>the</w:t>
      </w:r>
      <w:r w:rsidR="0034620B">
        <w:rPr>
          <w:rFonts w:cs="Times New Roman"/>
          <w:szCs w:val="24"/>
        </w:rPr>
        <w:t>-</w:t>
      </w:r>
      <w:r w:rsidR="00A5706D">
        <w:rPr>
          <w:rFonts w:cs="Times New Roman"/>
          <w:szCs w:val="24"/>
        </w:rPr>
        <w:t xml:space="preserve">range </w:t>
      </w:r>
      <w:r w:rsidR="0034620B">
        <w:rPr>
          <w:rFonts w:cs="Times New Roman"/>
          <w:szCs w:val="24"/>
        </w:rPr>
        <w:t>rating, except when the specific situation described by the anchor was actually occurring</w:t>
      </w:r>
      <w:r w:rsidR="007B5221">
        <w:rPr>
          <w:rFonts w:cs="Times New Roman"/>
          <w:szCs w:val="24"/>
        </w:rPr>
        <w:t xml:space="preserve"> in practice</w:t>
      </w:r>
      <w:r w:rsidR="00705D0E">
        <w:rPr>
          <w:rFonts w:cs="Times New Roman"/>
          <w:szCs w:val="24"/>
        </w:rPr>
        <w:t xml:space="preserve"> (see Figure 1)</w:t>
      </w:r>
      <w:r w:rsidR="0034620B">
        <w:rPr>
          <w:rFonts w:cs="Times New Roman"/>
          <w:szCs w:val="24"/>
        </w:rPr>
        <w:t>.</w:t>
      </w:r>
    </w:p>
    <w:p w:rsidR="007727D1" w:rsidRDefault="007727D1" w:rsidP="00AC7ABA">
      <w:pPr>
        <w:spacing w:after="0" w:line="360" w:lineRule="auto"/>
        <w:ind w:firstLine="720"/>
        <w:contextualSpacing/>
        <w:jc w:val="both"/>
        <w:rPr>
          <w:rFonts w:cs="Times New Roman"/>
          <w:szCs w:val="24"/>
        </w:rPr>
      </w:pPr>
    </w:p>
    <w:p w:rsidR="007727D1" w:rsidRDefault="007727D1" w:rsidP="00AC7ABA">
      <w:pPr>
        <w:spacing w:after="0" w:line="360" w:lineRule="auto"/>
        <w:ind w:firstLine="720"/>
        <w:contextualSpacing/>
        <w:jc w:val="both"/>
        <w:rPr>
          <w:rFonts w:cs="Times New Roman"/>
          <w:szCs w:val="24"/>
        </w:rPr>
      </w:pPr>
    </w:p>
    <w:p w:rsidR="007727D1" w:rsidRDefault="007727D1" w:rsidP="00AC7ABA">
      <w:pPr>
        <w:spacing w:after="0" w:line="360" w:lineRule="auto"/>
        <w:ind w:firstLine="720"/>
        <w:contextualSpacing/>
        <w:jc w:val="both"/>
        <w:rPr>
          <w:rFonts w:cs="Times New Roman"/>
          <w:szCs w:val="24"/>
        </w:rPr>
      </w:pPr>
    </w:p>
    <w:p w:rsidR="00E30A4B" w:rsidRDefault="00EC66BD" w:rsidP="00E30A4B">
      <w:pPr>
        <w:spacing w:after="0" w:line="360" w:lineRule="auto"/>
        <w:contextualSpacing/>
        <w:jc w:val="both"/>
        <w:rPr>
          <w:rFonts w:cs="Times New Roman"/>
          <w:szCs w:val="24"/>
        </w:rPr>
      </w:pPr>
      <w:r>
        <w:rPr>
          <w:rFonts w:cs="Times New Roman"/>
          <w:noProof/>
          <w:szCs w:val="24"/>
          <w:lang w:eastAsia="en-GB"/>
        </w:rPr>
        <w:lastRenderedPageBreak/>
        <w:drawing>
          <wp:inline distT="0" distB="0" distL="0" distR="0" wp14:anchorId="020AA900" wp14:editId="6E0204B1">
            <wp:extent cx="5731510" cy="11772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1177290"/>
                    </a:xfrm>
                    <a:prstGeom prst="rect">
                      <a:avLst/>
                    </a:prstGeom>
                  </pic:spPr>
                </pic:pic>
              </a:graphicData>
            </a:graphic>
          </wp:inline>
        </w:drawing>
      </w:r>
    </w:p>
    <w:p w:rsidR="00E30A4B" w:rsidRDefault="00E30A4B" w:rsidP="00E30A4B">
      <w:pPr>
        <w:spacing w:after="0" w:line="360" w:lineRule="auto"/>
        <w:contextualSpacing/>
        <w:jc w:val="both"/>
        <w:rPr>
          <w:rFonts w:cs="Times New Roman"/>
          <w:szCs w:val="24"/>
        </w:rPr>
      </w:pPr>
      <w:r>
        <w:rPr>
          <w:rFonts w:cs="Times New Roman"/>
          <w:szCs w:val="24"/>
        </w:rPr>
        <w:t>Figure 1. Sample PCC</w:t>
      </w:r>
      <w:r w:rsidR="00E66407">
        <w:rPr>
          <w:rFonts w:cs="Times New Roman"/>
          <w:szCs w:val="24"/>
        </w:rPr>
        <w:t>M</w:t>
      </w:r>
      <w:r>
        <w:rPr>
          <w:rFonts w:cs="Times New Roman"/>
          <w:szCs w:val="24"/>
        </w:rPr>
        <w:t>A indicator (engagement of all relevant health and social care providers) and its associated electronic Visual Analogue Scale (eVAS) showing an arbitrary rating of 60 and its visual relationship to the three eVAS anchors.</w:t>
      </w:r>
    </w:p>
    <w:p w:rsidR="001871DD" w:rsidRDefault="001871DD" w:rsidP="001871DD">
      <w:pPr>
        <w:spacing w:after="0" w:line="360" w:lineRule="auto"/>
        <w:ind w:firstLine="720"/>
        <w:contextualSpacing/>
        <w:jc w:val="both"/>
        <w:rPr>
          <w:rFonts w:cs="Times New Roman"/>
          <w:szCs w:val="24"/>
        </w:rPr>
      </w:pPr>
    </w:p>
    <w:p w:rsidR="00AC7ABA" w:rsidRDefault="00AC7ABA" w:rsidP="00371348">
      <w:pPr>
        <w:spacing w:after="0" w:line="360" w:lineRule="auto"/>
        <w:ind w:firstLine="720"/>
        <w:contextualSpacing/>
        <w:jc w:val="both"/>
        <w:rPr>
          <w:rFonts w:cs="Times New Roman"/>
          <w:szCs w:val="24"/>
        </w:rPr>
      </w:pPr>
    </w:p>
    <w:p w:rsidR="000E200E" w:rsidRPr="001D6684" w:rsidRDefault="00B351C5" w:rsidP="00371348">
      <w:pPr>
        <w:spacing w:after="0" w:line="360" w:lineRule="auto"/>
        <w:ind w:firstLine="720"/>
        <w:contextualSpacing/>
        <w:jc w:val="both"/>
        <w:rPr>
          <w:rFonts w:cs="Times New Roman"/>
          <w:szCs w:val="24"/>
        </w:rPr>
      </w:pPr>
      <w:r w:rsidRPr="001D6684">
        <w:rPr>
          <w:rFonts w:cs="Times New Roman"/>
          <w:szCs w:val="24"/>
        </w:rPr>
        <w:t>T</w:t>
      </w:r>
      <w:r w:rsidR="00634712" w:rsidRPr="001D6684">
        <w:rPr>
          <w:rFonts w:cs="Times New Roman"/>
          <w:szCs w:val="24"/>
        </w:rPr>
        <w:t>wo additional workshops</w:t>
      </w:r>
      <w:r w:rsidR="00B617B8">
        <w:rPr>
          <w:rFonts w:cs="Times New Roman"/>
          <w:szCs w:val="24"/>
        </w:rPr>
        <w:t xml:space="preserve"> </w:t>
      </w:r>
      <w:r w:rsidR="00D454F7" w:rsidRPr="001D6684">
        <w:rPr>
          <w:rFonts w:cs="Times New Roman"/>
          <w:szCs w:val="24"/>
        </w:rPr>
        <w:t xml:space="preserve">with a broad </w:t>
      </w:r>
      <w:r w:rsidR="00D454F7">
        <w:rPr>
          <w:rFonts w:cs="Times New Roman"/>
          <w:szCs w:val="24"/>
        </w:rPr>
        <w:t xml:space="preserve">representation of </w:t>
      </w:r>
      <w:r w:rsidR="00D740B5">
        <w:rPr>
          <w:rFonts w:cs="Times New Roman"/>
          <w:szCs w:val="24"/>
        </w:rPr>
        <w:t>PC</w:t>
      </w:r>
      <w:r w:rsidR="00D454F7" w:rsidRPr="001D6684">
        <w:rPr>
          <w:rFonts w:cs="Times New Roman"/>
          <w:szCs w:val="24"/>
        </w:rPr>
        <w:t xml:space="preserve"> cluster stakeholder</w:t>
      </w:r>
      <w:r w:rsidR="009A5D0A">
        <w:rPr>
          <w:rFonts w:cs="Times New Roman"/>
          <w:szCs w:val="24"/>
        </w:rPr>
        <w:t>s</w:t>
      </w:r>
      <w:r w:rsidR="00D454F7">
        <w:rPr>
          <w:rFonts w:cs="Times New Roman"/>
          <w:szCs w:val="24"/>
        </w:rPr>
        <w:t xml:space="preserve"> </w:t>
      </w:r>
      <w:r w:rsidR="009A5D0A">
        <w:rPr>
          <w:rFonts w:cs="Times New Roman"/>
          <w:szCs w:val="24"/>
        </w:rPr>
        <w:t>(</w:t>
      </w:r>
      <w:r w:rsidR="009A5D0A" w:rsidRPr="009A5D0A">
        <w:rPr>
          <w:rFonts w:cs="Times New Roman"/>
          <w:i/>
          <w:szCs w:val="24"/>
        </w:rPr>
        <w:t>N</w:t>
      </w:r>
      <w:r w:rsidR="00204326">
        <w:rPr>
          <w:rFonts w:cs="Times New Roman"/>
          <w:szCs w:val="24"/>
        </w:rPr>
        <w:t>=39</w:t>
      </w:r>
      <w:r w:rsidR="007E59E9">
        <w:rPr>
          <w:rFonts w:cs="Times New Roman"/>
          <w:szCs w:val="24"/>
        </w:rPr>
        <w:t>; see Table 1</w:t>
      </w:r>
      <w:r w:rsidR="009A5D0A">
        <w:rPr>
          <w:rFonts w:cs="Times New Roman"/>
          <w:szCs w:val="24"/>
        </w:rPr>
        <w:t xml:space="preserve">) </w:t>
      </w:r>
      <w:r w:rsidR="00D454F7">
        <w:rPr>
          <w:rFonts w:cs="Times New Roman"/>
          <w:szCs w:val="24"/>
        </w:rPr>
        <w:t>were organised to further refine</w:t>
      </w:r>
      <w:r w:rsidR="00D454F7" w:rsidRPr="001D6684">
        <w:rPr>
          <w:rFonts w:cs="Times New Roman"/>
          <w:szCs w:val="24"/>
        </w:rPr>
        <w:t xml:space="preserve"> the PCC</w:t>
      </w:r>
      <w:r w:rsidR="00E66407">
        <w:rPr>
          <w:rFonts w:cs="Times New Roman"/>
          <w:szCs w:val="24"/>
        </w:rPr>
        <w:t>M</w:t>
      </w:r>
      <w:r w:rsidR="00D454F7" w:rsidRPr="001D6684">
        <w:rPr>
          <w:rFonts w:cs="Times New Roman"/>
          <w:szCs w:val="24"/>
        </w:rPr>
        <w:t>A tool</w:t>
      </w:r>
      <w:r w:rsidR="00371348">
        <w:rPr>
          <w:rFonts w:cs="Times New Roman"/>
          <w:szCs w:val="24"/>
        </w:rPr>
        <w:t xml:space="preserve">. </w:t>
      </w:r>
    </w:p>
    <w:p w:rsidR="00450442" w:rsidRDefault="00450442" w:rsidP="002C1390">
      <w:pPr>
        <w:spacing w:after="0" w:line="360" w:lineRule="auto"/>
        <w:ind w:firstLine="720"/>
        <w:contextualSpacing/>
        <w:rPr>
          <w:rFonts w:cs="Times New Roman"/>
          <w:szCs w:val="24"/>
        </w:rPr>
      </w:pPr>
    </w:p>
    <w:p w:rsidR="00C7231F" w:rsidRDefault="00C7231F" w:rsidP="002C1390">
      <w:pPr>
        <w:spacing w:after="0" w:line="360" w:lineRule="auto"/>
        <w:ind w:firstLine="720"/>
        <w:contextualSpacing/>
        <w:rPr>
          <w:rFonts w:cs="Times New Roman"/>
          <w:szCs w:val="24"/>
        </w:rPr>
      </w:pPr>
    </w:p>
    <w:p w:rsidR="00F10392" w:rsidRDefault="006303F7" w:rsidP="00051EE3">
      <w:pPr>
        <w:spacing w:after="0" w:line="360" w:lineRule="auto"/>
        <w:contextualSpacing/>
        <w:rPr>
          <w:rFonts w:cs="Times New Roman"/>
          <w:szCs w:val="24"/>
        </w:rPr>
      </w:pPr>
      <w:r w:rsidRPr="001D6684">
        <w:rPr>
          <w:rFonts w:cs="Times New Roman"/>
          <w:szCs w:val="24"/>
        </w:rPr>
        <w:t xml:space="preserve">Table </w:t>
      </w:r>
      <w:r>
        <w:rPr>
          <w:rFonts w:cs="Times New Roman"/>
          <w:szCs w:val="24"/>
        </w:rPr>
        <w:t>1</w:t>
      </w:r>
      <w:r w:rsidRPr="001D6684">
        <w:rPr>
          <w:rFonts w:cs="Times New Roman"/>
          <w:szCs w:val="24"/>
        </w:rPr>
        <w:t xml:space="preserve">. </w:t>
      </w:r>
      <w:r w:rsidRPr="006303F7">
        <w:rPr>
          <w:rFonts w:cs="Times New Roman"/>
          <w:i/>
          <w:szCs w:val="24"/>
        </w:rPr>
        <w:t>Categories of p</w:t>
      </w:r>
      <w:r w:rsidRPr="000138C1">
        <w:rPr>
          <w:rFonts w:cs="Times New Roman"/>
          <w:i/>
          <w:szCs w:val="24"/>
        </w:rPr>
        <w:t xml:space="preserve">articipants at the </w:t>
      </w:r>
      <w:r>
        <w:rPr>
          <w:rFonts w:cs="Times New Roman"/>
          <w:i/>
          <w:szCs w:val="24"/>
        </w:rPr>
        <w:t xml:space="preserve">two </w:t>
      </w:r>
      <w:r w:rsidRPr="000138C1">
        <w:rPr>
          <w:rFonts w:cs="Times New Roman"/>
          <w:i/>
          <w:szCs w:val="24"/>
        </w:rPr>
        <w:t>stakeholders’ workshop</w:t>
      </w:r>
      <w:r>
        <w:rPr>
          <w:rFonts w:cs="Times New Roman"/>
          <w:i/>
          <w:szCs w:val="24"/>
        </w:rPr>
        <w:t>s</w:t>
      </w:r>
      <w:r w:rsidRPr="000138C1">
        <w:rPr>
          <w:rFonts w:cs="Times New Roman"/>
          <w:i/>
          <w:szCs w:val="24"/>
        </w:rPr>
        <w:t xml:space="preserve"> to refine the indicators of the Primary Care Clusters </w:t>
      </w:r>
      <w:r w:rsidR="00E66407">
        <w:rPr>
          <w:rFonts w:cs="Times New Roman"/>
          <w:i/>
          <w:szCs w:val="24"/>
        </w:rPr>
        <w:t xml:space="preserve">Multi-dimensional </w:t>
      </w:r>
      <w:r w:rsidRPr="000138C1">
        <w:rPr>
          <w:rFonts w:cs="Times New Roman"/>
          <w:i/>
          <w:szCs w:val="24"/>
        </w:rPr>
        <w:t>Assessment (PCC</w:t>
      </w:r>
      <w:r w:rsidR="00E66407">
        <w:rPr>
          <w:rFonts w:cs="Times New Roman"/>
          <w:i/>
          <w:szCs w:val="24"/>
        </w:rPr>
        <w:t>M</w:t>
      </w:r>
      <w:r w:rsidRPr="000138C1">
        <w:rPr>
          <w:rFonts w:cs="Times New Roman"/>
          <w:i/>
          <w:szCs w:val="24"/>
        </w:rPr>
        <w:t>A).</w:t>
      </w:r>
    </w:p>
    <w:tbl>
      <w:tblPr>
        <w:tblStyle w:val="PlainTable2"/>
        <w:tblW w:w="9072" w:type="dxa"/>
        <w:tblLook w:val="04A0" w:firstRow="1" w:lastRow="0" w:firstColumn="1" w:lastColumn="0" w:noHBand="0" w:noVBand="1"/>
      </w:tblPr>
      <w:tblGrid>
        <w:gridCol w:w="6521"/>
        <w:gridCol w:w="2551"/>
      </w:tblGrid>
      <w:tr w:rsidR="00917824" w:rsidRPr="00556B6E" w:rsidTr="00397E6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21" w:type="dxa"/>
            <w:noWrap/>
            <w:hideMark/>
          </w:tcPr>
          <w:p w:rsidR="00917824" w:rsidRPr="00556B6E" w:rsidRDefault="00917824" w:rsidP="00397E61">
            <w:pPr>
              <w:rPr>
                <w:rFonts w:ascii="Calibri" w:eastAsia="Times New Roman" w:hAnsi="Calibri" w:cs="Times New Roman"/>
                <w:b w:val="0"/>
                <w:bCs w:val="0"/>
                <w:color w:val="000000"/>
                <w:lang w:eastAsia="en-GB"/>
              </w:rPr>
            </w:pPr>
            <w:r>
              <w:rPr>
                <w:rFonts w:ascii="Calibri" w:eastAsia="Times New Roman" w:hAnsi="Calibri" w:cs="Times New Roman"/>
                <w:color w:val="000000"/>
                <w:lang w:eastAsia="en-GB"/>
              </w:rPr>
              <w:t>Stakeholder categories</w:t>
            </w:r>
          </w:p>
        </w:tc>
        <w:tc>
          <w:tcPr>
            <w:tcW w:w="2551" w:type="dxa"/>
            <w:noWrap/>
            <w:hideMark/>
          </w:tcPr>
          <w:p w:rsidR="00917824" w:rsidRPr="00556B6E" w:rsidRDefault="00917824" w:rsidP="00397E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lang w:eastAsia="en-GB"/>
              </w:rPr>
            </w:pPr>
            <w:r>
              <w:rPr>
                <w:rFonts w:ascii="Calibri" w:eastAsia="Times New Roman" w:hAnsi="Calibri" w:cs="Times New Roman"/>
                <w:color w:val="000000"/>
                <w:lang w:eastAsia="en-GB"/>
              </w:rPr>
              <w:t>Number of participants</w:t>
            </w:r>
          </w:p>
        </w:tc>
      </w:tr>
      <w:tr w:rsidR="00917824" w:rsidRPr="00556B6E" w:rsidTr="00397E6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bottom"/>
            <w:hideMark/>
          </w:tcPr>
          <w:p w:rsidR="00917824" w:rsidRPr="006303F7" w:rsidRDefault="00917824" w:rsidP="00397E61">
            <w:pPr>
              <w:rPr>
                <w:rFonts w:ascii="Calibri" w:eastAsia="Times New Roman" w:hAnsi="Calibri" w:cs="Times New Roman"/>
                <w:b w:val="0"/>
                <w:color w:val="000000"/>
                <w:lang w:eastAsia="en-GB"/>
              </w:rPr>
            </w:pPr>
            <w:r w:rsidRPr="006303F7">
              <w:rPr>
                <w:rFonts w:ascii="Calibri" w:hAnsi="Calibri" w:cs="Calibri"/>
                <w:b w:val="0"/>
                <w:color w:val="000000"/>
                <w:sz w:val="22"/>
              </w:rPr>
              <w:t>Cluster Leads</w:t>
            </w:r>
          </w:p>
        </w:tc>
        <w:tc>
          <w:tcPr>
            <w:tcW w:w="2551" w:type="dxa"/>
            <w:noWrap/>
            <w:vAlign w:val="bottom"/>
            <w:hideMark/>
          </w:tcPr>
          <w:p w:rsidR="00917824" w:rsidRPr="006303F7" w:rsidRDefault="00917824" w:rsidP="00397E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hAnsi="Calibri" w:cs="Calibri"/>
                <w:color w:val="000000"/>
                <w:sz w:val="22"/>
              </w:rPr>
              <w:t>3</w:t>
            </w:r>
          </w:p>
        </w:tc>
      </w:tr>
      <w:tr w:rsidR="00917824" w:rsidRPr="00556B6E" w:rsidTr="00397E61">
        <w:trPr>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bottom"/>
            <w:hideMark/>
          </w:tcPr>
          <w:p w:rsidR="00917824" w:rsidRPr="006303F7" w:rsidRDefault="00917824" w:rsidP="00397E61">
            <w:pPr>
              <w:rPr>
                <w:rFonts w:ascii="Calibri" w:eastAsia="Times New Roman" w:hAnsi="Calibri" w:cs="Times New Roman"/>
                <w:b w:val="0"/>
                <w:color w:val="000000"/>
                <w:lang w:eastAsia="en-GB"/>
              </w:rPr>
            </w:pPr>
            <w:r w:rsidRPr="006303F7">
              <w:rPr>
                <w:rFonts w:ascii="Calibri" w:hAnsi="Calibri" w:cs="Calibri"/>
                <w:b w:val="0"/>
                <w:color w:val="000000"/>
                <w:sz w:val="22"/>
              </w:rPr>
              <w:t>Health Board - Assistant Medical Director</w:t>
            </w:r>
          </w:p>
        </w:tc>
        <w:tc>
          <w:tcPr>
            <w:tcW w:w="2551" w:type="dxa"/>
            <w:noWrap/>
            <w:vAlign w:val="bottom"/>
            <w:hideMark/>
          </w:tcPr>
          <w:p w:rsidR="00917824" w:rsidRPr="006303F7" w:rsidRDefault="00917824" w:rsidP="00397E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r>
      <w:tr w:rsidR="00917824" w:rsidRPr="00556B6E" w:rsidTr="00397E6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bottom"/>
            <w:hideMark/>
          </w:tcPr>
          <w:p w:rsidR="00917824" w:rsidRPr="006303F7" w:rsidRDefault="00917824" w:rsidP="00397E61">
            <w:pPr>
              <w:rPr>
                <w:rFonts w:ascii="Calibri" w:eastAsia="Times New Roman" w:hAnsi="Calibri" w:cs="Times New Roman"/>
                <w:b w:val="0"/>
                <w:color w:val="000000"/>
                <w:lang w:eastAsia="en-GB"/>
              </w:rPr>
            </w:pPr>
            <w:r w:rsidRPr="006303F7">
              <w:rPr>
                <w:rFonts w:ascii="Calibri" w:hAnsi="Calibri" w:cs="Calibri"/>
                <w:b w:val="0"/>
                <w:color w:val="000000"/>
                <w:sz w:val="22"/>
              </w:rPr>
              <w:t>Health Board - Deputy CEO</w:t>
            </w:r>
          </w:p>
        </w:tc>
        <w:tc>
          <w:tcPr>
            <w:tcW w:w="2551" w:type="dxa"/>
            <w:noWrap/>
            <w:vAlign w:val="bottom"/>
            <w:hideMark/>
          </w:tcPr>
          <w:p w:rsidR="00917824" w:rsidRPr="006303F7" w:rsidRDefault="00917824" w:rsidP="00397E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303F7">
              <w:rPr>
                <w:rFonts w:ascii="Calibri" w:hAnsi="Calibri" w:cs="Calibri"/>
                <w:color w:val="000000"/>
                <w:sz w:val="22"/>
              </w:rPr>
              <w:t>1</w:t>
            </w:r>
          </w:p>
        </w:tc>
      </w:tr>
      <w:tr w:rsidR="00917824" w:rsidRPr="00556B6E" w:rsidTr="00397E61">
        <w:trPr>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bottom"/>
            <w:hideMark/>
          </w:tcPr>
          <w:p w:rsidR="00917824" w:rsidRPr="006303F7" w:rsidRDefault="00917824" w:rsidP="00397E61">
            <w:pPr>
              <w:rPr>
                <w:rFonts w:ascii="Calibri" w:eastAsia="Times New Roman" w:hAnsi="Calibri" w:cs="Times New Roman"/>
                <w:b w:val="0"/>
                <w:color w:val="000000"/>
                <w:lang w:eastAsia="en-GB"/>
              </w:rPr>
            </w:pPr>
            <w:r w:rsidRPr="006303F7">
              <w:rPr>
                <w:rFonts w:ascii="Calibri" w:hAnsi="Calibri" w:cs="Calibri"/>
                <w:b w:val="0"/>
                <w:color w:val="000000"/>
                <w:sz w:val="22"/>
              </w:rPr>
              <w:t>Health Board - Head of Primary Care</w:t>
            </w:r>
          </w:p>
        </w:tc>
        <w:tc>
          <w:tcPr>
            <w:tcW w:w="2551" w:type="dxa"/>
            <w:noWrap/>
            <w:vAlign w:val="bottom"/>
            <w:hideMark/>
          </w:tcPr>
          <w:p w:rsidR="00917824" w:rsidRPr="006303F7" w:rsidRDefault="00917824" w:rsidP="00397E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hAnsi="Calibri" w:cs="Calibri"/>
                <w:color w:val="000000"/>
                <w:sz w:val="22"/>
              </w:rPr>
              <w:t>3</w:t>
            </w:r>
          </w:p>
        </w:tc>
      </w:tr>
      <w:tr w:rsidR="00917824" w:rsidRPr="00556B6E" w:rsidTr="00397E6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bottom"/>
            <w:hideMark/>
          </w:tcPr>
          <w:p w:rsidR="00917824" w:rsidRPr="006303F7" w:rsidRDefault="00917824" w:rsidP="00397E61">
            <w:pPr>
              <w:rPr>
                <w:rFonts w:ascii="Calibri" w:eastAsia="Times New Roman" w:hAnsi="Calibri" w:cs="Times New Roman"/>
                <w:b w:val="0"/>
                <w:color w:val="000000"/>
                <w:lang w:eastAsia="en-GB"/>
              </w:rPr>
            </w:pPr>
            <w:r w:rsidRPr="006303F7">
              <w:rPr>
                <w:rFonts w:ascii="Calibri" w:hAnsi="Calibri" w:cs="Calibri"/>
                <w:b w:val="0"/>
                <w:color w:val="000000"/>
                <w:sz w:val="22"/>
              </w:rPr>
              <w:t>Health Board - Senior Cluster Coordinator</w:t>
            </w:r>
          </w:p>
        </w:tc>
        <w:tc>
          <w:tcPr>
            <w:tcW w:w="2551" w:type="dxa"/>
            <w:noWrap/>
            <w:vAlign w:val="bottom"/>
            <w:hideMark/>
          </w:tcPr>
          <w:p w:rsidR="00917824" w:rsidRPr="006303F7" w:rsidRDefault="00917824" w:rsidP="00397E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hAnsi="Calibri" w:cs="Calibri"/>
                <w:color w:val="000000"/>
                <w:sz w:val="22"/>
              </w:rPr>
              <w:t>2</w:t>
            </w:r>
          </w:p>
        </w:tc>
      </w:tr>
      <w:tr w:rsidR="00917824" w:rsidRPr="00556B6E" w:rsidTr="00397E61">
        <w:trPr>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bottom"/>
          </w:tcPr>
          <w:p w:rsidR="00917824" w:rsidRPr="00FC742E" w:rsidRDefault="00917824" w:rsidP="00397E61">
            <w:pPr>
              <w:rPr>
                <w:rFonts w:ascii="Calibri" w:hAnsi="Calibri" w:cs="Calibri"/>
                <w:b w:val="0"/>
                <w:color w:val="000000"/>
                <w:sz w:val="22"/>
              </w:rPr>
            </w:pPr>
            <w:r w:rsidRPr="00FC742E">
              <w:rPr>
                <w:rFonts w:ascii="Calibri" w:hAnsi="Calibri" w:cs="Calibri"/>
                <w:b w:val="0"/>
                <w:color w:val="000000"/>
                <w:sz w:val="22"/>
              </w:rPr>
              <w:t>Health Board – Primary care</w:t>
            </w:r>
          </w:p>
        </w:tc>
        <w:tc>
          <w:tcPr>
            <w:tcW w:w="2551" w:type="dxa"/>
            <w:noWrap/>
            <w:vAlign w:val="bottom"/>
          </w:tcPr>
          <w:p w:rsidR="00917824" w:rsidRPr="006303F7" w:rsidRDefault="00917824" w:rsidP="00397E6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8</w:t>
            </w:r>
          </w:p>
        </w:tc>
      </w:tr>
      <w:tr w:rsidR="00917824" w:rsidRPr="00556B6E" w:rsidTr="00397E6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bottom"/>
            <w:hideMark/>
          </w:tcPr>
          <w:p w:rsidR="00917824" w:rsidRPr="006303F7" w:rsidRDefault="00917824" w:rsidP="00397E61">
            <w:pPr>
              <w:rPr>
                <w:rFonts w:ascii="Calibri" w:eastAsia="Times New Roman" w:hAnsi="Calibri" w:cs="Times New Roman"/>
                <w:b w:val="0"/>
                <w:color w:val="000000"/>
                <w:lang w:eastAsia="en-GB"/>
              </w:rPr>
            </w:pPr>
            <w:r w:rsidRPr="006303F7">
              <w:rPr>
                <w:rFonts w:ascii="Calibri" w:hAnsi="Calibri" w:cs="Calibri"/>
                <w:b w:val="0"/>
                <w:color w:val="000000"/>
                <w:sz w:val="22"/>
              </w:rPr>
              <w:t>Health Inspectorate Wales</w:t>
            </w:r>
          </w:p>
        </w:tc>
        <w:tc>
          <w:tcPr>
            <w:tcW w:w="2551" w:type="dxa"/>
            <w:noWrap/>
            <w:vAlign w:val="bottom"/>
            <w:hideMark/>
          </w:tcPr>
          <w:p w:rsidR="00917824" w:rsidRPr="006303F7" w:rsidRDefault="00917824" w:rsidP="00397E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303F7">
              <w:rPr>
                <w:rFonts w:ascii="Calibri" w:hAnsi="Calibri" w:cs="Calibri"/>
                <w:color w:val="000000"/>
                <w:sz w:val="22"/>
              </w:rPr>
              <w:t>1</w:t>
            </w:r>
          </w:p>
        </w:tc>
      </w:tr>
      <w:tr w:rsidR="00917824" w:rsidRPr="00556B6E" w:rsidTr="00397E61">
        <w:trPr>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bottom"/>
            <w:hideMark/>
          </w:tcPr>
          <w:p w:rsidR="00917824" w:rsidRPr="006303F7" w:rsidRDefault="00917824" w:rsidP="00397E61">
            <w:pPr>
              <w:rPr>
                <w:rFonts w:ascii="Calibri" w:eastAsia="Times New Roman" w:hAnsi="Calibri" w:cs="Times New Roman"/>
                <w:b w:val="0"/>
                <w:color w:val="000000"/>
                <w:lang w:eastAsia="en-GB"/>
              </w:rPr>
            </w:pPr>
            <w:r w:rsidRPr="006303F7">
              <w:rPr>
                <w:rFonts w:ascii="Calibri" w:hAnsi="Calibri" w:cs="Calibri"/>
                <w:b w:val="0"/>
                <w:color w:val="000000"/>
                <w:sz w:val="22"/>
              </w:rPr>
              <w:t>Nursing</w:t>
            </w:r>
          </w:p>
        </w:tc>
        <w:tc>
          <w:tcPr>
            <w:tcW w:w="2551" w:type="dxa"/>
            <w:noWrap/>
            <w:vAlign w:val="bottom"/>
            <w:hideMark/>
          </w:tcPr>
          <w:p w:rsidR="00917824" w:rsidRPr="006303F7" w:rsidRDefault="00917824" w:rsidP="00397E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303F7">
              <w:rPr>
                <w:rFonts w:ascii="Calibri" w:hAnsi="Calibri" w:cs="Calibri"/>
                <w:color w:val="000000"/>
                <w:sz w:val="22"/>
              </w:rPr>
              <w:t>3</w:t>
            </w:r>
          </w:p>
        </w:tc>
      </w:tr>
      <w:tr w:rsidR="00917824" w:rsidRPr="00556B6E" w:rsidTr="00397E6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bottom"/>
            <w:hideMark/>
          </w:tcPr>
          <w:p w:rsidR="00917824" w:rsidRPr="006303F7" w:rsidRDefault="00917824" w:rsidP="00397E61">
            <w:pPr>
              <w:rPr>
                <w:rFonts w:ascii="Calibri" w:eastAsia="Times New Roman" w:hAnsi="Calibri" w:cs="Times New Roman"/>
                <w:b w:val="0"/>
                <w:color w:val="000000"/>
                <w:lang w:eastAsia="en-GB"/>
              </w:rPr>
            </w:pPr>
            <w:r w:rsidRPr="006303F7">
              <w:rPr>
                <w:rFonts w:ascii="Calibri" w:hAnsi="Calibri" w:cs="Calibri"/>
                <w:b w:val="0"/>
                <w:color w:val="000000"/>
                <w:sz w:val="22"/>
              </w:rPr>
              <w:t>Optometry</w:t>
            </w:r>
          </w:p>
        </w:tc>
        <w:tc>
          <w:tcPr>
            <w:tcW w:w="2551" w:type="dxa"/>
            <w:noWrap/>
            <w:vAlign w:val="bottom"/>
            <w:hideMark/>
          </w:tcPr>
          <w:p w:rsidR="00917824" w:rsidRPr="006303F7" w:rsidRDefault="00917824" w:rsidP="00397E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r>
      <w:tr w:rsidR="00917824" w:rsidRPr="00556B6E" w:rsidTr="00397E61">
        <w:trPr>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bottom"/>
            <w:hideMark/>
          </w:tcPr>
          <w:p w:rsidR="00917824" w:rsidRPr="006303F7" w:rsidRDefault="00917824" w:rsidP="00397E61">
            <w:pPr>
              <w:rPr>
                <w:rFonts w:ascii="Calibri" w:eastAsia="Times New Roman" w:hAnsi="Calibri" w:cs="Times New Roman"/>
                <w:b w:val="0"/>
                <w:color w:val="000000"/>
                <w:lang w:eastAsia="en-GB"/>
              </w:rPr>
            </w:pPr>
            <w:r w:rsidRPr="006303F7">
              <w:rPr>
                <w:rFonts w:ascii="Calibri" w:hAnsi="Calibri" w:cs="Calibri"/>
                <w:b w:val="0"/>
                <w:color w:val="000000"/>
                <w:sz w:val="22"/>
              </w:rPr>
              <w:t>Patient representative</w:t>
            </w:r>
          </w:p>
        </w:tc>
        <w:tc>
          <w:tcPr>
            <w:tcW w:w="2551" w:type="dxa"/>
            <w:noWrap/>
            <w:vAlign w:val="bottom"/>
            <w:hideMark/>
          </w:tcPr>
          <w:p w:rsidR="00917824" w:rsidRPr="006303F7" w:rsidRDefault="00917824" w:rsidP="00397E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303F7">
              <w:rPr>
                <w:rFonts w:ascii="Calibri" w:hAnsi="Calibri" w:cs="Calibri"/>
                <w:color w:val="000000"/>
                <w:sz w:val="22"/>
              </w:rPr>
              <w:t>1</w:t>
            </w:r>
          </w:p>
        </w:tc>
      </w:tr>
      <w:tr w:rsidR="00917824" w:rsidRPr="00556B6E" w:rsidTr="00397E6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bottom"/>
            <w:hideMark/>
          </w:tcPr>
          <w:p w:rsidR="00917824" w:rsidRPr="006303F7" w:rsidRDefault="00917824" w:rsidP="00397E61">
            <w:pPr>
              <w:rPr>
                <w:rFonts w:ascii="Calibri" w:eastAsia="Times New Roman" w:hAnsi="Calibri" w:cs="Times New Roman"/>
                <w:b w:val="0"/>
                <w:color w:val="000000"/>
                <w:lang w:eastAsia="en-GB"/>
              </w:rPr>
            </w:pPr>
            <w:r w:rsidRPr="006303F7">
              <w:rPr>
                <w:rFonts w:ascii="Calibri" w:hAnsi="Calibri" w:cs="Calibri"/>
                <w:b w:val="0"/>
                <w:color w:val="000000"/>
                <w:sz w:val="22"/>
              </w:rPr>
              <w:t>Pharmacy</w:t>
            </w:r>
          </w:p>
        </w:tc>
        <w:tc>
          <w:tcPr>
            <w:tcW w:w="2551" w:type="dxa"/>
            <w:noWrap/>
            <w:vAlign w:val="bottom"/>
            <w:hideMark/>
          </w:tcPr>
          <w:p w:rsidR="00917824" w:rsidRPr="006303F7" w:rsidRDefault="00917824" w:rsidP="00397E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303F7">
              <w:rPr>
                <w:rFonts w:ascii="Calibri" w:hAnsi="Calibri" w:cs="Calibri"/>
                <w:color w:val="000000"/>
                <w:sz w:val="22"/>
              </w:rPr>
              <w:t>1</w:t>
            </w:r>
          </w:p>
        </w:tc>
      </w:tr>
      <w:tr w:rsidR="00917824" w:rsidRPr="00556B6E" w:rsidTr="00397E61">
        <w:trPr>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bottom"/>
            <w:hideMark/>
          </w:tcPr>
          <w:p w:rsidR="00917824" w:rsidRPr="006303F7" w:rsidRDefault="00917824" w:rsidP="00397E61">
            <w:pPr>
              <w:rPr>
                <w:rFonts w:ascii="Calibri" w:eastAsia="Times New Roman" w:hAnsi="Calibri" w:cs="Times New Roman"/>
                <w:b w:val="0"/>
                <w:color w:val="000000"/>
                <w:lang w:eastAsia="en-GB"/>
              </w:rPr>
            </w:pPr>
            <w:r w:rsidRPr="006303F7">
              <w:rPr>
                <w:rFonts w:ascii="Calibri" w:hAnsi="Calibri" w:cs="Calibri"/>
                <w:b w:val="0"/>
                <w:color w:val="000000"/>
                <w:sz w:val="22"/>
              </w:rPr>
              <w:t>Public Health Wales</w:t>
            </w:r>
          </w:p>
        </w:tc>
        <w:tc>
          <w:tcPr>
            <w:tcW w:w="2551" w:type="dxa"/>
            <w:noWrap/>
            <w:vAlign w:val="bottom"/>
            <w:hideMark/>
          </w:tcPr>
          <w:p w:rsidR="00917824" w:rsidRPr="006303F7" w:rsidRDefault="00917824" w:rsidP="00397E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303F7">
              <w:rPr>
                <w:rFonts w:ascii="Calibri" w:hAnsi="Calibri" w:cs="Calibri"/>
                <w:color w:val="000000"/>
                <w:sz w:val="22"/>
              </w:rPr>
              <w:t>4</w:t>
            </w:r>
          </w:p>
        </w:tc>
      </w:tr>
      <w:tr w:rsidR="00917824" w:rsidRPr="00556B6E" w:rsidTr="00397E6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bottom"/>
            <w:hideMark/>
          </w:tcPr>
          <w:p w:rsidR="00917824" w:rsidRPr="006303F7" w:rsidRDefault="00917824" w:rsidP="00397E61">
            <w:pPr>
              <w:rPr>
                <w:rFonts w:ascii="Calibri" w:eastAsia="Times New Roman" w:hAnsi="Calibri" w:cs="Times New Roman"/>
                <w:b w:val="0"/>
                <w:color w:val="000000"/>
                <w:lang w:eastAsia="en-GB"/>
              </w:rPr>
            </w:pPr>
            <w:r w:rsidRPr="006303F7">
              <w:rPr>
                <w:rFonts w:ascii="Calibri" w:hAnsi="Calibri" w:cs="Calibri"/>
                <w:b w:val="0"/>
                <w:color w:val="000000"/>
                <w:sz w:val="22"/>
              </w:rPr>
              <w:t>Social Services</w:t>
            </w:r>
          </w:p>
        </w:tc>
        <w:tc>
          <w:tcPr>
            <w:tcW w:w="2551" w:type="dxa"/>
            <w:noWrap/>
            <w:vAlign w:val="bottom"/>
            <w:hideMark/>
          </w:tcPr>
          <w:p w:rsidR="00917824" w:rsidRPr="006303F7" w:rsidRDefault="00917824" w:rsidP="00397E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303F7">
              <w:rPr>
                <w:rFonts w:ascii="Calibri" w:hAnsi="Calibri" w:cs="Calibri"/>
                <w:color w:val="000000"/>
                <w:sz w:val="22"/>
              </w:rPr>
              <w:t>2</w:t>
            </w:r>
          </w:p>
        </w:tc>
      </w:tr>
      <w:tr w:rsidR="00917824" w:rsidRPr="00556B6E" w:rsidTr="00397E61">
        <w:trPr>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bottom"/>
            <w:hideMark/>
          </w:tcPr>
          <w:p w:rsidR="00917824" w:rsidRPr="006303F7" w:rsidRDefault="00917824" w:rsidP="00397E61">
            <w:pPr>
              <w:rPr>
                <w:rFonts w:ascii="Calibri" w:eastAsia="Times New Roman" w:hAnsi="Calibri" w:cs="Times New Roman"/>
                <w:b w:val="0"/>
                <w:color w:val="000000"/>
                <w:lang w:eastAsia="en-GB"/>
              </w:rPr>
            </w:pPr>
            <w:r w:rsidRPr="006303F7">
              <w:rPr>
                <w:rFonts w:ascii="Calibri" w:hAnsi="Calibri" w:cs="Calibri"/>
                <w:b w:val="0"/>
                <w:color w:val="000000"/>
                <w:sz w:val="22"/>
              </w:rPr>
              <w:t>Third sector organisations</w:t>
            </w:r>
          </w:p>
        </w:tc>
        <w:tc>
          <w:tcPr>
            <w:tcW w:w="2551" w:type="dxa"/>
            <w:noWrap/>
            <w:vAlign w:val="bottom"/>
            <w:hideMark/>
          </w:tcPr>
          <w:p w:rsidR="00917824" w:rsidRPr="006303F7" w:rsidRDefault="00917824" w:rsidP="00397E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303F7">
              <w:rPr>
                <w:rFonts w:ascii="Calibri" w:hAnsi="Calibri" w:cs="Calibri"/>
                <w:color w:val="000000"/>
                <w:sz w:val="22"/>
              </w:rPr>
              <w:t>3</w:t>
            </w:r>
          </w:p>
        </w:tc>
      </w:tr>
      <w:tr w:rsidR="00917824" w:rsidRPr="00556B6E" w:rsidTr="00397E6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21" w:type="dxa"/>
            <w:noWrap/>
            <w:vAlign w:val="bottom"/>
            <w:hideMark/>
          </w:tcPr>
          <w:p w:rsidR="00917824" w:rsidRPr="006303F7" w:rsidRDefault="00917824" w:rsidP="00397E61">
            <w:pPr>
              <w:rPr>
                <w:rFonts w:ascii="Calibri" w:eastAsia="Times New Roman" w:hAnsi="Calibri" w:cs="Times New Roman"/>
                <w:b w:val="0"/>
                <w:color w:val="000000"/>
                <w:lang w:eastAsia="en-GB"/>
              </w:rPr>
            </w:pPr>
            <w:r w:rsidRPr="006303F7">
              <w:rPr>
                <w:rFonts w:ascii="Calibri" w:hAnsi="Calibri" w:cs="Calibri"/>
                <w:b w:val="0"/>
                <w:color w:val="000000"/>
                <w:sz w:val="22"/>
              </w:rPr>
              <w:t>Wales Centre for Primary and Emergency Care Research (PRIME)</w:t>
            </w:r>
          </w:p>
        </w:tc>
        <w:tc>
          <w:tcPr>
            <w:tcW w:w="2551" w:type="dxa"/>
            <w:noWrap/>
            <w:vAlign w:val="bottom"/>
            <w:hideMark/>
          </w:tcPr>
          <w:p w:rsidR="00917824" w:rsidRPr="006303F7" w:rsidRDefault="00917824" w:rsidP="00397E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hAnsi="Calibri" w:cs="Calibri"/>
                <w:color w:val="000000"/>
                <w:sz w:val="22"/>
              </w:rPr>
              <w:t>2</w:t>
            </w:r>
          </w:p>
        </w:tc>
      </w:tr>
      <w:tr w:rsidR="00917824" w:rsidRPr="00556B6E" w:rsidTr="00397E61">
        <w:trPr>
          <w:trHeight w:val="300"/>
        </w:trPr>
        <w:tc>
          <w:tcPr>
            <w:cnfStyle w:val="001000000000" w:firstRow="0" w:lastRow="0" w:firstColumn="1" w:lastColumn="0" w:oddVBand="0" w:evenVBand="0" w:oddHBand="0" w:evenHBand="0" w:firstRowFirstColumn="0" w:firstRowLastColumn="0" w:lastRowFirstColumn="0" w:lastRowLastColumn="0"/>
            <w:tcW w:w="6521" w:type="dxa"/>
            <w:noWrap/>
            <w:hideMark/>
          </w:tcPr>
          <w:p w:rsidR="00917824" w:rsidRPr="00556B6E" w:rsidRDefault="00917824" w:rsidP="00397E61">
            <w:pPr>
              <w:rPr>
                <w:rFonts w:ascii="Calibri" w:eastAsia="Times New Roman" w:hAnsi="Calibri" w:cs="Times New Roman"/>
                <w:b w:val="0"/>
                <w:bCs w:val="0"/>
                <w:color w:val="000000"/>
                <w:lang w:eastAsia="en-GB"/>
              </w:rPr>
            </w:pPr>
            <w:r w:rsidRPr="00556B6E">
              <w:rPr>
                <w:rFonts w:ascii="Calibri" w:eastAsia="Times New Roman" w:hAnsi="Calibri" w:cs="Times New Roman"/>
                <w:color w:val="000000"/>
                <w:lang w:eastAsia="en-GB"/>
              </w:rPr>
              <w:t>Total</w:t>
            </w:r>
          </w:p>
        </w:tc>
        <w:tc>
          <w:tcPr>
            <w:tcW w:w="2551" w:type="dxa"/>
            <w:noWrap/>
            <w:hideMark/>
          </w:tcPr>
          <w:p w:rsidR="00917824" w:rsidRPr="00556B6E" w:rsidRDefault="00917824" w:rsidP="00397E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r w:rsidRPr="00556B6E">
              <w:rPr>
                <w:rFonts w:ascii="Calibri" w:eastAsia="Times New Roman" w:hAnsi="Calibri" w:cs="Times New Roman"/>
                <w:b/>
                <w:bCs/>
                <w:color w:val="000000"/>
                <w:lang w:eastAsia="en-GB"/>
              </w:rPr>
              <w:t>39</w:t>
            </w:r>
          </w:p>
        </w:tc>
      </w:tr>
    </w:tbl>
    <w:p w:rsidR="00F10392" w:rsidRDefault="00F10392" w:rsidP="006303F7">
      <w:pPr>
        <w:spacing w:after="0" w:line="360" w:lineRule="auto"/>
        <w:ind w:firstLine="720"/>
        <w:contextualSpacing/>
        <w:rPr>
          <w:rFonts w:cs="Times New Roman"/>
          <w:szCs w:val="24"/>
        </w:rPr>
      </w:pPr>
    </w:p>
    <w:p w:rsidR="007E59E9" w:rsidRPr="001D6684" w:rsidRDefault="007E59E9" w:rsidP="007E59E9">
      <w:pPr>
        <w:spacing w:after="0" w:line="360" w:lineRule="auto"/>
        <w:ind w:firstLine="720"/>
        <w:contextualSpacing/>
        <w:jc w:val="both"/>
        <w:rPr>
          <w:rFonts w:cs="Times New Roman"/>
          <w:szCs w:val="24"/>
        </w:rPr>
      </w:pPr>
      <w:r>
        <w:rPr>
          <w:rFonts w:cs="Times New Roman"/>
          <w:szCs w:val="24"/>
        </w:rPr>
        <w:t>The stakeholder workshops were located in South Wales (</w:t>
      </w:r>
      <w:r w:rsidRPr="001D6684">
        <w:rPr>
          <w:rFonts w:cs="Times New Roman"/>
          <w:szCs w:val="24"/>
        </w:rPr>
        <w:t>Cardiff</w:t>
      </w:r>
      <w:r>
        <w:rPr>
          <w:rFonts w:cs="Times New Roman"/>
          <w:szCs w:val="24"/>
        </w:rPr>
        <w:t>) and in North Wales (</w:t>
      </w:r>
      <w:r w:rsidRPr="001D6684">
        <w:rPr>
          <w:rFonts w:cs="Times New Roman"/>
          <w:szCs w:val="24"/>
        </w:rPr>
        <w:t xml:space="preserve">Wrexham). </w:t>
      </w:r>
      <w:r>
        <w:rPr>
          <w:rFonts w:cs="Times New Roman"/>
          <w:szCs w:val="24"/>
        </w:rPr>
        <w:t>During the workshops, in the first part of each session, p</w:t>
      </w:r>
      <w:r w:rsidRPr="001D6684">
        <w:rPr>
          <w:rFonts w:cs="Times New Roman"/>
          <w:szCs w:val="24"/>
        </w:rPr>
        <w:t xml:space="preserve">articipants worked in groups of </w:t>
      </w:r>
      <w:r>
        <w:rPr>
          <w:rFonts w:cs="Times New Roman"/>
          <w:szCs w:val="24"/>
        </w:rPr>
        <w:t>8</w:t>
      </w:r>
      <w:r w:rsidRPr="001D6684">
        <w:rPr>
          <w:rFonts w:cs="Times New Roman"/>
          <w:szCs w:val="24"/>
        </w:rPr>
        <w:t>-</w:t>
      </w:r>
      <w:r>
        <w:rPr>
          <w:rFonts w:cs="Times New Roman"/>
          <w:szCs w:val="24"/>
        </w:rPr>
        <w:t>10</w:t>
      </w:r>
      <w:r w:rsidRPr="001D6684">
        <w:rPr>
          <w:rFonts w:cs="Times New Roman"/>
          <w:szCs w:val="24"/>
        </w:rPr>
        <w:t xml:space="preserve"> to review the </w:t>
      </w:r>
      <w:r>
        <w:rPr>
          <w:rFonts w:cs="Times New Roman"/>
          <w:szCs w:val="24"/>
        </w:rPr>
        <w:t xml:space="preserve">previously devised </w:t>
      </w:r>
      <w:r w:rsidRPr="001D6684">
        <w:rPr>
          <w:rFonts w:cs="Times New Roman"/>
          <w:szCs w:val="24"/>
        </w:rPr>
        <w:t xml:space="preserve">indicators. Comments (including </w:t>
      </w:r>
      <w:r>
        <w:rPr>
          <w:rFonts w:cs="Times New Roman"/>
          <w:szCs w:val="24"/>
        </w:rPr>
        <w:t xml:space="preserve">drafting, </w:t>
      </w:r>
      <w:r w:rsidRPr="001D6684">
        <w:rPr>
          <w:rFonts w:cs="Times New Roman"/>
          <w:szCs w:val="24"/>
        </w:rPr>
        <w:t>re</w:t>
      </w:r>
      <w:r>
        <w:rPr>
          <w:rFonts w:cs="Times New Roman"/>
          <w:szCs w:val="24"/>
        </w:rPr>
        <w:t>-</w:t>
      </w:r>
      <w:r w:rsidRPr="001D6684">
        <w:rPr>
          <w:rFonts w:cs="Times New Roman"/>
          <w:szCs w:val="24"/>
        </w:rPr>
        <w:t>wording or re-allocation of indicators</w:t>
      </w:r>
      <w:r>
        <w:rPr>
          <w:rFonts w:cs="Times New Roman"/>
          <w:szCs w:val="24"/>
        </w:rPr>
        <w:t xml:space="preserve"> between dimensions of PC</w:t>
      </w:r>
      <w:r w:rsidRPr="001D6684">
        <w:rPr>
          <w:rFonts w:cs="Times New Roman"/>
          <w:szCs w:val="24"/>
        </w:rPr>
        <w:t xml:space="preserve">) were collected in writing, </w:t>
      </w:r>
      <w:r w:rsidRPr="001D6684">
        <w:rPr>
          <w:rFonts w:cs="Times New Roman"/>
          <w:szCs w:val="24"/>
        </w:rPr>
        <w:lastRenderedPageBreak/>
        <w:t xml:space="preserve">and reported </w:t>
      </w:r>
      <w:r>
        <w:rPr>
          <w:rFonts w:cs="Times New Roman"/>
          <w:szCs w:val="24"/>
        </w:rPr>
        <w:t xml:space="preserve">back </w:t>
      </w:r>
      <w:r w:rsidRPr="001D6684">
        <w:rPr>
          <w:rFonts w:cs="Times New Roman"/>
          <w:szCs w:val="24"/>
        </w:rPr>
        <w:t>to the group for discussion</w:t>
      </w:r>
      <w:r>
        <w:rPr>
          <w:rFonts w:cs="Times New Roman"/>
          <w:szCs w:val="24"/>
        </w:rPr>
        <w:t xml:space="preserve"> in the second part of the two sessions</w:t>
      </w:r>
      <w:r w:rsidRPr="001D6684">
        <w:rPr>
          <w:rFonts w:cs="Times New Roman"/>
          <w:szCs w:val="24"/>
        </w:rPr>
        <w:t>. The workshops were audio recorded. After the workshop, the</w:t>
      </w:r>
      <w:r>
        <w:rPr>
          <w:rFonts w:cs="Times New Roman"/>
          <w:szCs w:val="24"/>
        </w:rPr>
        <w:t xml:space="preserve"> multidisciplinary expert group</w:t>
      </w:r>
      <w:r w:rsidRPr="001D6684">
        <w:rPr>
          <w:rFonts w:cs="Times New Roman"/>
          <w:szCs w:val="24"/>
        </w:rPr>
        <w:t xml:space="preserve"> collated all workshop comments and online feedback</w:t>
      </w:r>
      <w:r>
        <w:rPr>
          <w:rFonts w:cs="Times New Roman"/>
          <w:szCs w:val="24"/>
        </w:rPr>
        <w:t xml:space="preserve"> and build </w:t>
      </w:r>
      <w:r w:rsidRPr="00B617B8">
        <w:rPr>
          <w:rFonts w:cs="Times New Roman"/>
          <w:szCs w:val="24"/>
        </w:rPr>
        <w:t xml:space="preserve">consensus through discussion </w:t>
      </w:r>
      <w:r>
        <w:rPr>
          <w:rFonts w:cs="Times New Roman"/>
          <w:szCs w:val="24"/>
        </w:rPr>
        <w:t xml:space="preserve">regarding the final wording of the indicators to </w:t>
      </w:r>
      <w:r w:rsidRPr="001D6684">
        <w:rPr>
          <w:rFonts w:cs="Times New Roman"/>
          <w:szCs w:val="24"/>
        </w:rPr>
        <w:t>finalise the PCC</w:t>
      </w:r>
      <w:r w:rsidR="00E66407">
        <w:rPr>
          <w:rFonts w:cs="Times New Roman"/>
          <w:szCs w:val="24"/>
        </w:rPr>
        <w:t>M</w:t>
      </w:r>
      <w:r w:rsidRPr="001D6684">
        <w:rPr>
          <w:rFonts w:cs="Times New Roman"/>
          <w:szCs w:val="24"/>
        </w:rPr>
        <w:t>A instrument.</w:t>
      </w:r>
    </w:p>
    <w:p w:rsidR="007E59E9" w:rsidRDefault="007E59E9" w:rsidP="006303F7">
      <w:pPr>
        <w:spacing w:after="0" w:line="360" w:lineRule="auto"/>
        <w:ind w:firstLine="720"/>
        <w:contextualSpacing/>
        <w:rPr>
          <w:rFonts w:cs="Times New Roman"/>
          <w:szCs w:val="24"/>
        </w:rPr>
      </w:pPr>
    </w:p>
    <w:p w:rsidR="00A2304C" w:rsidRDefault="00A2304C" w:rsidP="006303F7">
      <w:pPr>
        <w:spacing w:after="0" w:line="360" w:lineRule="auto"/>
        <w:ind w:firstLine="720"/>
        <w:contextualSpacing/>
        <w:rPr>
          <w:rFonts w:cs="Times New Roman"/>
          <w:szCs w:val="24"/>
        </w:rPr>
      </w:pPr>
    </w:p>
    <w:p w:rsidR="00D466A4" w:rsidRPr="001D6684" w:rsidRDefault="00D466A4" w:rsidP="002C1390">
      <w:pPr>
        <w:spacing w:after="0" w:line="360" w:lineRule="auto"/>
        <w:ind w:firstLine="720"/>
        <w:contextualSpacing/>
        <w:rPr>
          <w:rFonts w:cs="Times New Roman"/>
          <w:szCs w:val="24"/>
        </w:rPr>
      </w:pPr>
    </w:p>
    <w:p w:rsidR="001655E4" w:rsidRPr="00FA6E3D" w:rsidRDefault="001655E4" w:rsidP="002C1390">
      <w:pPr>
        <w:spacing w:after="0" w:line="360" w:lineRule="auto"/>
        <w:rPr>
          <w:i/>
        </w:rPr>
      </w:pPr>
      <w:bookmarkStart w:id="6" w:name="_Toc503746142"/>
      <w:r w:rsidRPr="00FA6E3D">
        <w:rPr>
          <w:i/>
        </w:rPr>
        <w:t xml:space="preserve">The first application of the Primary Care Clusters </w:t>
      </w:r>
      <w:r w:rsidR="00E66407">
        <w:rPr>
          <w:i/>
        </w:rPr>
        <w:t xml:space="preserve">Multi-dimensional </w:t>
      </w:r>
      <w:r w:rsidRPr="00FA6E3D">
        <w:rPr>
          <w:i/>
        </w:rPr>
        <w:t>Assessment (PCC</w:t>
      </w:r>
      <w:r w:rsidR="00E66407">
        <w:rPr>
          <w:i/>
        </w:rPr>
        <w:t>M</w:t>
      </w:r>
      <w:r w:rsidRPr="00FA6E3D">
        <w:rPr>
          <w:i/>
        </w:rPr>
        <w:t>A) tool (Work Package 4)</w:t>
      </w:r>
      <w:bookmarkEnd w:id="6"/>
    </w:p>
    <w:p w:rsidR="00017054" w:rsidRPr="001D6684" w:rsidRDefault="00C561CD" w:rsidP="002C1390">
      <w:pPr>
        <w:spacing w:after="0" w:line="360" w:lineRule="auto"/>
        <w:ind w:firstLine="720"/>
        <w:contextualSpacing/>
        <w:jc w:val="both"/>
        <w:rPr>
          <w:rFonts w:cs="Times New Roman"/>
          <w:szCs w:val="24"/>
        </w:rPr>
      </w:pPr>
      <w:r w:rsidRPr="001D6684">
        <w:rPr>
          <w:rFonts w:cs="Times New Roman"/>
          <w:szCs w:val="24"/>
        </w:rPr>
        <w:t>Between June</w:t>
      </w:r>
      <w:r w:rsidR="0027790D">
        <w:rPr>
          <w:rFonts w:cs="Times New Roman"/>
          <w:szCs w:val="24"/>
        </w:rPr>
        <w:t>-</w:t>
      </w:r>
      <w:r w:rsidRPr="001D6684">
        <w:rPr>
          <w:rFonts w:cs="Times New Roman"/>
          <w:szCs w:val="24"/>
        </w:rPr>
        <w:t xml:space="preserve">August </w:t>
      </w:r>
      <w:r w:rsidR="00031E15" w:rsidRPr="001D6684">
        <w:rPr>
          <w:rFonts w:cs="Times New Roman"/>
          <w:szCs w:val="24"/>
        </w:rPr>
        <w:t xml:space="preserve">2017, </w:t>
      </w:r>
      <w:r w:rsidR="009139B3">
        <w:rPr>
          <w:rFonts w:cs="Times New Roman"/>
          <w:szCs w:val="24"/>
        </w:rPr>
        <w:t>c</w:t>
      </w:r>
      <w:r w:rsidR="00B46799" w:rsidRPr="001D6684">
        <w:rPr>
          <w:rFonts w:cs="Times New Roman"/>
          <w:szCs w:val="24"/>
        </w:rPr>
        <w:t xml:space="preserve">luster </w:t>
      </w:r>
      <w:r w:rsidR="009139B3">
        <w:rPr>
          <w:rFonts w:cs="Times New Roman"/>
          <w:szCs w:val="24"/>
        </w:rPr>
        <w:t>l</w:t>
      </w:r>
      <w:r w:rsidR="00B46799" w:rsidRPr="001D6684">
        <w:rPr>
          <w:rFonts w:cs="Times New Roman"/>
          <w:szCs w:val="24"/>
        </w:rPr>
        <w:t>eads</w:t>
      </w:r>
      <w:r w:rsidR="001655E4" w:rsidRPr="001D6684">
        <w:rPr>
          <w:rFonts w:cs="Times New Roman"/>
          <w:szCs w:val="24"/>
        </w:rPr>
        <w:t xml:space="preserve"> </w:t>
      </w:r>
      <w:r w:rsidR="00B46799" w:rsidRPr="001D6684">
        <w:rPr>
          <w:rFonts w:cs="Times New Roman"/>
          <w:szCs w:val="24"/>
        </w:rPr>
        <w:t>representing 40 clusters</w:t>
      </w:r>
      <w:r w:rsidR="001655E4" w:rsidRPr="001D6684">
        <w:rPr>
          <w:rFonts w:cs="Times New Roman"/>
          <w:szCs w:val="24"/>
        </w:rPr>
        <w:t xml:space="preserve"> </w:t>
      </w:r>
      <w:r w:rsidRPr="001D6684">
        <w:rPr>
          <w:rFonts w:cs="Times New Roman"/>
          <w:szCs w:val="24"/>
        </w:rPr>
        <w:t xml:space="preserve">from </w:t>
      </w:r>
      <w:r w:rsidR="001655E4" w:rsidRPr="001D6684">
        <w:rPr>
          <w:rFonts w:cs="Times New Roman"/>
          <w:szCs w:val="24"/>
        </w:rPr>
        <w:t xml:space="preserve">all seven health boards in Wales, </w:t>
      </w:r>
      <w:r w:rsidR="00BD626B" w:rsidRPr="001D6684">
        <w:rPr>
          <w:rFonts w:cs="Times New Roman"/>
          <w:szCs w:val="24"/>
        </w:rPr>
        <w:t xml:space="preserve">completed the </w:t>
      </w:r>
      <w:r w:rsidR="001655E4" w:rsidRPr="001D6684">
        <w:rPr>
          <w:rFonts w:cs="Times New Roman"/>
          <w:szCs w:val="24"/>
        </w:rPr>
        <w:t>PCC</w:t>
      </w:r>
      <w:r w:rsidR="00E66407">
        <w:rPr>
          <w:rFonts w:cs="Times New Roman"/>
          <w:szCs w:val="24"/>
        </w:rPr>
        <w:t>M</w:t>
      </w:r>
      <w:r w:rsidR="001655E4" w:rsidRPr="001D6684">
        <w:rPr>
          <w:rFonts w:cs="Times New Roman"/>
          <w:szCs w:val="24"/>
        </w:rPr>
        <w:t>A survey online</w:t>
      </w:r>
      <w:r w:rsidR="00503A3F" w:rsidRPr="001D6684">
        <w:rPr>
          <w:rFonts w:cs="Times New Roman"/>
          <w:szCs w:val="24"/>
        </w:rPr>
        <w:t xml:space="preserve">. </w:t>
      </w:r>
      <w:r w:rsidR="00017054" w:rsidRPr="001D6684">
        <w:rPr>
          <w:rFonts w:cs="Times New Roman"/>
          <w:szCs w:val="24"/>
        </w:rPr>
        <w:t>All</w:t>
      </w:r>
      <w:r w:rsidR="007C7508" w:rsidRPr="001D6684">
        <w:rPr>
          <w:rFonts w:cs="Times New Roman"/>
          <w:szCs w:val="24"/>
        </w:rPr>
        <w:t xml:space="preserve"> </w:t>
      </w:r>
      <w:r w:rsidR="00017054" w:rsidRPr="001D6684">
        <w:rPr>
          <w:rFonts w:cs="Times New Roman"/>
          <w:szCs w:val="24"/>
        </w:rPr>
        <w:t xml:space="preserve">questions were presented </w:t>
      </w:r>
      <w:r w:rsidR="004354C2">
        <w:rPr>
          <w:rFonts w:cs="Times New Roman"/>
          <w:szCs w:val="24"/>
        </w:rPr>
        <w:t xml:space="preserve">using </w:t>
      </w:r>
      <w:r w:rsidR="00017054" w:rsidRPr="001D6684">
        <w:rPr>
          <w:rFonts w:cs="Times New Roman"/>
          <w:szCs w:val="24"/>
        </w:rPr>
        <w:t>a</w:t>
      </w:r>
      <w:r w:rsidR="004354C2">
        <w:rPr>
          <w:rFonts w:cs="Times New Roman"/>
          <w:szCs w:val="24"/>
        </w:rPr>
        <w:t>n electronic</w:t>
      </w:r>
      <w:r w:rsidR="00017054" w:rsidRPr="001D6684">
        <w:rPr>
          <w:rFonts w:cs="Times New Roman"/>
          <w:szCs w:val="24"/>
        </w:rPr>
        <w:t xml:space="preserve"> visual analogue scale</w:t>
      </w:r>
      <w:r w:rsidR="00C827AF">
        <w:rPr>
          <w:rFonts w:cs="Times New Roman"/>
          <w:szCs w:val="24"/>
        </w:rPr>
        <w:t xml:space="preserve"> (eVAS)</w:t>
      </w:r>
      <w:r w:rsidR="004354C2">
        <w:rPr>
          <w:rFonts w:cs="Times New Roman"/>
          <w:szCs w:val="24"/>
        </w:rPr>
        <w:t>,</w:t>
      </w:r>
      <w:r w:rsidR="00017054" w:rsidRPr="001D6684">
        <w:rPr>
          <w:rFonts w:cs="Times New Roman"/>
          <w:szCs w:val="24"/>
        </w:rPr>
        <w:t xml:space="preserve"> </w:t>
      </w:r>
      <w:r w:rsidR="004354C2">
        <w:rPr>
          <w:rFonts w:cs="Times New Roman"/>
          <w:szCs w:val="24"/>
        </w:rPr>
        <w:t xml:space="preserve">whose </w:t>
      </w:r>
      <w:r w:rsidR="00017054" w:rsidRPr="001D6684">
        <w:rPr>
          <w:rFonts w:cs="Times New Roman"/>
          <w:szCs w:val="24"/>
        </w:rPr>
        <w:t xml:space="preserve">slider could be positioned anywhere within the answer range (0-100). </w:t>
      </w:r>
      <w:r w:rsidR="00AA1C50">
        <w:rPr>
          <w:rFonts w:cs="Times New Roman"/>
          <w:szCs w:val="24"/>
        </w:rPr>
        <w:t>The indicators were presented in succession, without any mention of the 11 dimensions or the three levels of the PCC</w:t>
      </w:r>
      <w:r w:rsidR="00E66407">
        <w:rPr>
          <w:rFonts w:cs="Times New Roman"/>
          <w:szCs w:val="24"/>
        </w:rPr>
        <w:t>M</w:t>
      </w:r>
      <w:r w:rsidR="00AA1C50">
        <w:rPr>
          <w:rFonts w:cs="Times New Roman"/>
          <w:szCs w:val="24"/>
        </w:rPr>
        <w:t xml:space="preserve">A. </w:t>
      </w:r>
      <w:r w:rsidR="00230092" w:rsidRPr="001D6684">
        <w:rPr>
          <w:rFonts w:cs="Times New Roman"/>
          <w:szCs w:val="24"/>
        </w:rPr>
        <w:t>Twenty-eight of the 53 questions were reverse scored to reduce</w:t>
      </w:r>
      <w:r w:rsidR="00405DC2" w:rsidRPr="001D6684">
        <w:rPr>
          <w:rFonts w:cs="Times New Roman"/>
          <w:szCs w:val="24"/>
        </w:rPr>
        <w:t xml:space="preserve"> possible</w:t>
      </w:r>
      <w:r w:rsidR="00230092" w:rsidRPr="001D6684">
        <w:rPr>
          <w:rFonts w:cs="Times New Roman"/>
          <w:szCs w:val="24"/>
        </w:rPr>
        <w:t xml:space="preserve"> response bias</w:t>
      </w:r>
      <w:r w:rsidR="001871DD">
        <w:rPr>
          <w:rFonts w:cs="Times New Roman"/>
          <w:szCs w:val="24"/>
        </w:rPr>
        <w:t xml:space="preserve"> (see Figure </w:t>
      </w:r>
      <w:r w:rsidR="00E30A4B">
        <w:rPr>
          <w:rFonts w:cs="Times New Roman"/>
          <w:szCs w:val="24"/>
        </w:rPr>
        <w:t>1</w:t>
      </w:r>
      <w:r w:rsidR="001871DD">
        <w:rPr>
          <w:rFonts w:cs="Times New Roman"/>
          <w:szCs w:val="24"/>
        </w:rPr>
        <w:t>)</w:t>
      </w:r>
      <w:r w:rsidR="00230092" w:rsidRPr="001D6684">
        <w:rPr>
          <w:rFonts w:cs="Times New Roman"/>
          <w:szCs w:val="24"/>
        </w:rPr>
        <w:t xml:space="preserve">. </w:t>
      </w:r>
      <w:r w:rsidR="00705D0E">
        <w:rPr>
          <w:rFonts w:cs="Times New Roman"/>
          <w:szCs w:val="24"/>
        </w:rPr>
        <w:t>Summary PCC</w:t>
      </w:r>
      <w:r w:rsidR="00E66407">
        <w:rPr>
          <w:rFonts w:cs="Times New Roman"/>
          <w:szCs w:val="24"/>
        </w:rPr>
        <w:t>M</w:t>
      </w:r>
      <w:r w:rsidR="00705D0E">
        <w:rPr>
          <w:rFonts w:cs="Times New Roman"/>
          <w:szCs w:val="24"/>
        </w:rPr>
        <w:t xml:space="preserve">A </w:t>
      </w:r>
      <w:r w:rsidR="003250D2" w:rsidRPr="001D6684">
        <w:rPr>
          <w:rFonts w:cs="Times New Roman"/>
          <w:szCs w:val="24"/>
        </w:rPr>
        <w:t xml:space="preserve">dimension scores were calculated as </w:t>
      </w:r>
      <w:r w:rsidR="000A0B12">
        <w:rPr>
          <w:rFonts w:cs="Times New Roman"/>
          <w:szCs w:val="24"/>
        </w:rPr>
        <w:t>means</w:t>
      </w:r>
      <w:r w:rsidR="000A0B12" w:rsidRPr="001D6684">
        <w:rPr>
          <w:rFonts w:cs="Times New Roman"/>
          <w:szCs w:val="24"/>
        </w:rPr>
        <w:t xml:space="preserve"> </w:t>
      </w:r>
      <w:r w:rsidR="003250D2" w:rsidRPr="001D6684">
        <w:rPr>
          <w:rFonts w:cs="Times New Roman"/>
          <w:szCs w:val="24"/>
        </w:rPr>
        <w:t xml:space="preserve">of their respective indicator ratings. </w:t>
      </w:r>
      <w:r w:rsidR="00856841">
        <w:rPr>
          <w:rFonts w:cs="Times New Roman"/>
          <w:szCs w:val="24"/>
        </w:rPr>
        <w:t>Similarly with the PC Monitor,[</w:t>
      </w:r>
      <w:r w:rsidR="00DC60E8">
        <w:rPr>
          <w:rFonts w:cs="Times New Roman"/>
          <w:szCs w:val="24"/>
        </w:rPr>
        <w:t>12</w:t>
      </w:r>
      <w:r w:rsidR="00856841">
        <w:rPr>
          <w:rFonts w:cs="Times New Roman"/>
          <w:szCs w:val="24"/>
        </w:rPr>
        <w:t xml:space="preserve">] </w:t>
      </w:r>
      <w:r w:rsidR="00856841">
        <w:rPr>
          <w:rFonts w:eastAsiaTheme="majorEastAsia" w:cs="Times New Roman"/>
          <w:szCs w:val="24"/>
        </w:rPr>
        <w:t>summary scores</w:t>
      </w:r>
      <w:r w:rsidR="00856841" w:rsidRPr="001D6684">
        <w:rPr>
          <w:rFonts w:eastAsiaTheme="majorEastAsia" w:cs="Times New Roman"/>
          <w:szCs w:val="24"/>
        </w:rPr>
        <w:t xml:space="preserve"> </w:t>
      </w:r>
      <w:r w:rsidR="001655E4" w:rsidRPr="001D6684">
        <w:rPr>
          <w:rFonts w:eastAsiaTheme="majorEastAsia" w:cs="Times New Roman"/>
          <w:szCs w:val="24"/>
        </w:rPr>
        <w:t>we</w:t>
      </w:r>
      <w:r w:rsidR="0087346D" w:rsidRPr="001D6684">
        <w:rPr>
          <w:rFonts w:eastAsiaTheme="majorEastAsia" w:cs="Times New Roman"/>
          <w:szCs w:val="24"/>
        </w:rPr>
        <w:t xml:space="preserve">re </w:t>
      </w:r>
      <w:r w:rsidR="001655E4" w:rsidRPr="001D6684">
        <w:rPr>
          <w:rFonts w:eastAsiaTheme="majorEastAsia" w:cs="Times New Roman"/>
          <w:szCs w:val="24"/>
        </w:rPr>
        <w:t xml:space="preserve">classed into three groups: </w:t>
      </w:r>
      <w:r w:rsidR="007F0DB5" w:rsidRPr="001D6684">
        <w:rPr>
          <w:rFonts w:eastAsiaTheme="majorEastAsia" w:cs="Times New Roman"/>
          <w:szCs w:val="24"/>
        </w:rPr>
        <w:t>“</w:t>
      </w:r>
      <w:r w:rsidR="00E62F28" w:rsidRPr="001D6684">
        <w:rPr>
          <w:rFonts w:eastAsiaTheme="majorEastAsia" w:cs="Times New Roman"/>
          <w:szCs w:val="24"/>
        </w:rPr>
        <w:t>low</w:t>
      </w:r>
      <w:r w:rsidR="007F0DB5" w:rsidRPr="001D6684">
        <w:rPr>
          <w:rFonts w:eastAsiaTheme="majorEastAsia" w:cs="Times New Roman"/>
          <w:szCs w:val="24"/>
        </w:rPr>
        <w:t xml:space="preserve">” </w:t>
      </w:r>
      <w:r w:rsidR="00EC61E4">
        <w:rPr>
          <w:rFonts w:eastAsiaTheme="majorEastAsia" w:cs="Times New Roman"/>
          <w:szCs w:val="24"/>
        </w:rPr>
        <w:t>(</w:t>
      </w:r>
      <w:r w:rsidR="007F0DB5" w:rsidRPr="001D6684">
        <w:rPr>
          <w:rFonts w:eastAsiaTheme="majorEastAsia" w:cs="Times New Roman"/>
          <w:szCs w:val="24"/>
        </w:rPr>
        <w:t>0-33</w:t>
      </w:r>
      <w:r w:rsidR="00EC61E4">
        <w:rPr>
          <w:rFonts w:eastAsiaTheme="majorEastAsia" w:cs="Times New Roman"/>
          <w:szCs w:val="24"/>
        </w:rPr>
        <w:t>)</w:t>
      </w:r>
      <w:r w:rsidR="007F0DB5" w:rsidRPr="001D6684">
        <w:rPr>
          <w:rFonts w:eastAsiaTheme="majorEastAsia" w:cs="Times New Roman"/>
          <w:szCs w:val="24"/>
        </w:rPr>
        <w:t xml:space="preserve">, “medium” </w:t>
      </w:r>
      <w:r w:rsidR="00EC61E4">
        <w:rPr>
          <w:rFonts w:eastAsiaTheme="majorEastAsia" w:cs="Times New Roman"/>
          <w:szCs w:val="24"/>
        </w:rPr>
        <w:t>(</w:t>
      </w:r>
      <w:r w:rsidR="007F0DB5" w:rsidRPr="001D6684">
        <w:rPr>
          <w:rFonts w:eastAsiaTheme="majorEastAsia" w:cs="Times New Roman"/>
          <w:szCs w:val="24"/>
        </w:rPr>
        <w:t>3</w:t>
      </w:r>
      <w:r w:rsidR="00DC60E8">
        <w:rPr>
          <w:rFonts w:eastAsiaTheme="majorEastAsia" w:cs="Times New Roman"/>
          <w:szCs w:val="24"/>
        </w:rPr>
        <w:t>3</w:t>
      </w:r>
      <w:r w:rsidR="007F0DB5" w:rsidRPr="001D6684">
        <w:rPr>
          <w:rFonts w:eastAsiaTheme="majorEastAsia" w:cs="Times New Roman"/>
          <w:szCs w:val="24"/>
        </w:rPr>
        <w:t>-66</w:t>
      </w:r>
      <w:r w:rsidR="00EC61E4">
        <w:rPr>
          <w:rFonts w:eastAsiaTheme="majorEastAsia" w:cs="Times New Roman"/>
          <w:szCs w:val="24"/>
        </w:rPr>
        <w:t>)</w:t>
      </w:r>
      <w:r w:rsidR="007F0DB5" w:rsidRPr="001D6684">
        <w:rPr>
          <w:rFonts w:eastAsiaTheme="majorEastAsia" w:cs="Times New Roman"/>
          <w:szCs w:val="24"/>
        </w:rPr>
        <w:t>, and “</w:t>
      </w:r>
      <w:r w:rsidR="00E62F28" w:rsidRPr="001D6684">
        <w:rPr>
          <w:rFonts w:eastAsiaTheme="majorEastAsia" w:cs="Times New Roman"/>
          <w:szCs w:val="24"/>
        </w:rPr>
        <w:t>high</w:t>
      </w:r>
      <w:r w:rsidR="007F0DB5" w:rsidRPr="001D6684">
        <w:rPr>
          <w:rFonts w:eastAsiaTheme="majorEastAsia" w:cs="Times New Roman"/>
          <w:szCs w:val="24"/>
        </w:rPr>
        <w:t xml:space="preserve">” </w:t>
      </w:r>
      <w:r w:rsidR="00EC61E4">
        <w:rPr>
          <w:rFonts w:eastAsiaTheme="majorEastAsia" w:cs="Times New Roman"/>
          <w:szCs w:val="24"/>
        </w:rPr>
        <w:t>(</w:t>
      </w:r>
      <w:r w:rsidR="007F0DB5" w:rsidRPr="001D6684">
        <w:rPr>
          <w:rFonts w:eastAsiaTheme="majorEastAsia" w:cs="Times New Roman"/>
          <w:szCs w:val="24"/>
        </w:rPr>
        <w:t>6</w:t>
      </w:r>
      <w:r w:rsidR="00DC60E8">
        <w:rPr>
          <w:rFonts w:eastAsiaTheme="majorEastAsia" w:cs="Times New Roman"/>
          <w:szCs w:val="24"/>
        </w:rPr>
        <w:t>6</w:t>
      </w:r>
      <w:r w:rsidR="007F0DB5" w:rsidRPr="001D6684">
        <w:rPr>
          <w:rFonts w:eastAsiaTheme="majorEastAsia" w:cs="Times New Roman"/>
          <w:szCs w:val="24"/>
        </w:rPr>
        <w:t>-100</w:t>
      </w:r>
      <w:r w:rsidR="00EC61E4">
        <w:rPr>
          <w:rFonts w:eastAsiaTheme="majorEastAsia" w:cs="Times New Roman"/>
          <w:szCs w:val="24"/>
        </w:rPr>
        <w:t>)</w:t>
      </w:r>
      <w:r w:rsidR="00CC3499">
        <w:rPr>
          <w:rFonts w:eastAsiaTheme="majorEastAsia" w:cs="Times New Roman"/>
          <w:szCs w:val="24"/>
        </w:rPr>
        <w:t>, which corresponded visually to the three anchors of the eVAS</w:t>
      </w:r>
      <w:r w:rsidR="007F0DB5" w:rsidRPr="001D6684">
        <w:rPr>
          <w:rFonts w:eastAsiaTheme="majorEastAsia" w:cs="Times New Roman"/>
          <w:szCs w:val="24"/>
        </w:rPr>
        <w:t>.</w:t>
      </w:r>
      <w:r w:rsidR="0056020B">
        <w:rPr>
          <w:rFonts w:eastAsiaTheme="majorEastAsia" w:cs="Times New Roman"/>
          <w:szCs w:val="24"/>
        </w:rPr>
        <w:t xml:space="preserve"> </w:t>
      </w:r>
      <w:r w:rsidR="00C827AF">
        <w:rPr>
          <w:rFonts w:eastAsiaTheme="majorEastAsia" w:cs="Times New Roman"/>
          <w:szCs w:val="24"/>
        </w:rPr>
        <w:t>Analyses were carried out for the PCC</w:t>
      </w:r>
      <w:r w:rsidR="00E66407">
        <w:rPr>
          <w:rFonts w:eastAsiaTheme="majorEastAsia" w:cs="Times New Roman"/>
          <w:szCs w:val="24"/>
        </w:rPr>
        <w:t>M</w:t>
      </w:r>
      <w:r w:rsidR="00C827AF">
        <w:rPr>
          <w:rFonts w:eastAsiaTheme="majorEastAsia" w:cs="Times New Roman"/>
          <w:szCs w:val="24"/>
        </w:rPr>
        <w:t xml:space="preserve">A </w:t>
      </w:r>
      <w:r w:rsidR="0058628C">
        <w:rPr>
          <w:rFonts w:eastAsiaTheme="majorEastAsia" w:cs="Times New Roman"/>
          <w:szCs w:val="24"/>
        </w:rPr>
        <w:t xml:space="preserve">systemic </w:t>
      </w:r>
      <w:r w:rsidR="00C827AF">
        <w:rPr>
          <w:rFonts w:eastAsiaTheme="majorEastAsia" w:cs="Times New Roman"/>
          <w:szCs w:val="24"/>
        </w:rPr>
        <w:t xml:space="preserve">dimensions and in an anonymised form for the clusters, using descriptive statistics, to investigate the distribution of scores. </w:t>
      </w:r>
      <w:r w:rsidR="00683440">
        <w:rPr>
          <w:rFonts w:eastAsiaTheme="majorEastAsia" w:cs="Times New Roman"/>
          <w:szCs w:val="24"/>
        </w:rPr>
        <w:t>Firstly, t</w:t>
      </w:r>
      <w:r w:rsidR="00C827AF">
        <w:rPr>
          <w:rFonts w:eastAsiaTheme="majorEastAsia" w:cs="Times New Roman"/>
          <w:szCs w:val="24"/>
        </w:rPr>
        <w:t xml:space="preserve">he analysis aimed to establish </w:t>
      </w:r>
      <w:r w:rsidR="00683440">
        <w:rPr>
          <w:rFonts w:eastAsiaTheme="majorEastAsia" w:cs="Times New Roman"/>
          <w:szCs w:val="24"/>
        </w:rPr>
        <w:t>whether</w:t>
      </w:r>
      <w:r w:rsidR="00C827AF">
        <w:rPr>
          <w:rFonts w:eastAsiaTheme="majorEastAsia" w:cs="Times New Roman"/>
          <w:szCs w:val="24"/>
        </w:rPr>
        <w:t xml:space="preserve"> the PCC</w:t>
      </w:r>
      <w:r w:rsidR="00E66407">
        <w:rPr>
          <w:rFonts w:eastAsiaTheme="majorEastAsia" w:cs="Times New Roman"/>
          <w:szCs w:val="24"/>
        </w:rPr>
        <w:t>M</w:t>
      </w:r>
      <w:r w:rsidR="00C827AF">
        <w:rPr>
          <w:rFonts w:eastAsiaTheme="majorEastAsia" w:cs="Times New Roman"/>
          <w:szCs w:val="24"/>
        </w:rPr>
        <w:t>A was able to diffe</w:t>
      </w:r>
      <w:r w:rsidR="00683440">
        <w:rPr>
          <w:rFonts w:eastAsiaTheme="majorEastAsia" w:cs="Times New Roman"/>
          <w:szCs w:val="24"/>
        </w:rPr>
        <w:t>rentiate</w:t>
      </w:r>
      <w:r w:rsidR="00C827AF">
        <w:rPr>
          <w:rFonts w:eastAsiaTheme="majorEastAsia" w:cs="Times New Roman"/>
          <w:szCs w:val="24"/>
        </w:rPr>
        <w:t xml:space="preserve"> between low, medium and high performing situations for all dimension</w:t>
      </w:r>
      <w:r w:rsidR="00683440">
        <w:rPr>
          <w:rFonts w:eastAsiaTheme="majorEastAsia" w:cs="Times New Roman"/>
          <w:szCs w:val="24"/>
        </w:rPr>
        <w:t>, thus avoiding floor/ceiling effects and middle-of-the-road ratings</w:t>
      </w:r>
      <w:r w:rsidR="00C827AF">
        <w:rPr>
          <w:rFonts w:eastAsiaTheme="majorEastAsia" w:cs="Times New Roman"/>
          <w:szCs w:val="24"/>
        </w:rPr>
        <w:t xml:space="preserve">. </w:t>
      </w:r>
      <w:r w:rsidR="00683440">
        <w:rPr>
          <w:rFonts w:eastAsiaTheme="majorEastAsia" w:cs="Times New Roman"/>
          <w:szCs w:val="24"/>
        </w:rPr>
        <w:t xml:space="preserve">Secondly, we investigated </w:t>
      </w:r>
      <w:r w:rsidR="00A232F5">
        <w:rPr>
          <w:rFonts w:eastAsiaTheme="majorEastAsia" w:cs="Times New Roman"/>
          <w:szCs w:val="24"/>
        </w:rPr>
        <w:t>any differences between the strength of individual PC clusters. However, s</w:t>
      </w:r>
      <w:r w:rsidR="0056020B">
        <w:rPr>
          <w:rFonts w:eastAsiaTheme="majorEastAsia" w:cs="Times New Roman"/>
          <w:szCs w:val="24"/>
        </w:rPr>
        <w:t>ince only the cluster lead from each cluster provided ratings on the PCC</w:t>
      </w:r>
      <w:r w:rsidR="00E66407">
        <w:rPr>
          <w:rFonts w:eastAsiaTheme="majorEastAsia" w:cs="Times New Roman"/>
          <w:szCs w:val="24"/>
        </w:rPr>
        <w:t>M</w:t>
      </w:r>
      <w:r w:rsidR="0056020B">
        <w:rPr>
          <w:rFonts w:eastAsiaTheme="majorEastAsia" w:cs="Times New Roman"/>
          <w:szCs w:val="24"/>
        </w:rPr>
        <w:t xml:space="preserve">A, the </w:t>
      </w:r>
      <w:r w:rsidR="00C827AF">
        <w:rPr>
          <w:rFonts w:eastAsiaTheme="majorEastAsia" w:cs="Times New Roman"/>
          <w:szCs w:val="24"/>
        </w:rPr>
        <w:t xml:space="preserve">cluster analysis </w:t>
      </w:r>
      <w:r w:rsidR="0056020B">
        <w:rPr>
          <w:rFonts w:eastAsiaTheme="majorEastAsia" w:cs="Times New Roman"/>
          <w:szCs w:val="24"/>
        </w:rPr>
        <w:t xml:space="preserve">was reported </w:t>
      </w:r>
      <w:r w:rsidR="00A232F5">
        <w:rPr>
          <w:rFonts w:eastAsiaTheme="majorEastAsia" w:cs="Times New Roman"/>
          <w:szCs w:val="24"/>
        </w:rPr>
        <w:t>in an anonymised format, and did not include detailed individual or summary scores for each cluster, but distribution of scores consisting of ranges from minimum to maximum summary scores for individual PCC</w:t>
      </w:r>
      <w:r w:rsidR="00E66407">
        <w:rPr>
          <w:rFonts w:eastAsiaTheme="majorEastAsia" w:cs="Times New Roman"/>
          <w:szCs w:val="24"/>
        </w:rPr>
        <w:t>M</w:t>
      </w:r>
      <w:r w:rsidR="00A232F5">
        <w:rPr>
          <w:rFonts w:eastAsiaTheme="majorEastAsia" w:cs="Times New Roman"/>
          <w:szCs w:val="24"/>
        </w:rPr>
        <w:t>A dimensions</w:t>
      </w:r>
      <w:r w:rsidR="0056020B">
        <w:rPr>
          <w:rFonts w:eastAsiaTheme="majorEastAsia" w:cs="Times New Roman"/>
          <w:szCs w:val="24"/>
        </w:rPr>
        <w:t>.</w:t>
      </w:r>
    </w:p>
    <w:p w:rsidR="007A201F" w:rsidRDefault="007A201F" w:rsidP="002C1390">
      <w:pPr>
        <w:spacing w:after="0" w:line="360" w:lineRule="auto"/>
        <w:contextualSpacing/>
        <w:rPr>
          <w:rFonts w:cs="Times New Roman"/>
          <w:szCs w:val="24"/>
        </w:rPr>
      </w:pPr>
    </w:p>
    <w:p w:rsidR="00CF3378" w:rsidRPr="001D6684" w:rsidRDefault="00CF3378" w:rsidP="002C1390">
      <w:pPr>
        <w:spacing w:after="0" w:line="360" w:lineRule="auto"/>
        <w:contextualSpacing/>
        <w:rPr>
          <w:rFonts w:cs="Times New Roman"/>
          <w:szCs w:val="24"/>
        </w:rPr>
      </w:pPr>
    </w:p>
    <w:p w:rsidR="00421D75" w:rsidRPr="00FA6E3D" w:rsidRDefault="00421D75" w:rsidP="002C1390">
      <w:pPr>
        <w:spacing w:after="0" w:line="360" w:lineRule="auto"/>
        <w:jc w:val="center"/>
        <w:rPr>
          <w:b/>
        </w:rPr>
      </w:pPr>
      <w:bookmarkStart w:id="7" w:name="_Toc503746143"/>
      <w:r w:rsidRPr="00FA6E3D">
        <w:rPr>
          <w:b/>
        </w:rPr>
        <w:t>Results</w:t>
      </w:r>
      <w:bookmarkEnd w:id="7"/>
    </w:p>
    <w:p w:rsidR="00CF3378" w:rsidRDefault="00CF3378" w:rsidP="002C1390">
      <w:pPr>
        <w:spacing w:after="0" w:line="360" w:lineRule="auto"/>
        <w:rPr>
          <w:i/>
        </w:rPr>
      </w:pPr>
      <w:bookmarkStart w:id="8" w:name="_Toc503746144"/>
    </w:p>
    <w:p w:rsidR="00F80525" w:rsidRPr="00FA6E3D" w:rsidRDefault="001171E7" w:rsidP="002C1390">
      <w:pPr>
        <w:spacing w:after="0" w:line="360" w:lineRule="auto"/>
        <w:rPr>
          <w:i/>
        </w:rPr>
      </w:pPr>
      <w:r w:rsidRPr="00FA6E3D">
        <w:rPr>
          <w:i/>
        </w:rPr>
        <w:t xml:space="preserve">Cluster </w:t>
      </w:r>
      <w:r w:rsidR="00145D53" w:rsidRPr="00FA6E3D">
        <w:rPr>
          <w:i/>
        </w:rPr>
        <w:t>L</w:t>
      </w:r>
      <w:r w:rsidRPr="00FA6E3D">
        <w:rPr>
          <w:i/>
        </w:rPr>
        <w:t>eads</w:t>
      </w:r>
      <w:r w:rsidR="00A33803" w:rsidRPr="00FA6E3D">
        <w:rPr>
          <w:i/>
        </w:rPr>
        <w:t>’</w:t>
      </w:r>
      <w:r w:rsidRPr="00FA6E3D">
        <w:rPr>
          <w:i/>
        </w:rPr>
        <w:t xml:space="preserve"> views on maturity and impact of clusters (Work </w:t>
      </w:r>
      <w:r w:rsidR="00DC60E8">
        <w:rPr>
          <w:i/>
        </w:rPr>
        <w:t>P</w:t>
      </w:r>
      <w:r w:rsidRPr="00FA6E3D">
        <w:rPr>
          <w:i/>
        </w:rPr>
        <w:t>ackage 1)</w:t>
      </w:r>
      <w:bookmarkEnd w:id="8"/>
      <w:r w:rsidRPr="00FA6E3D">
        <w:rPr>
          <w:i/>
        </w:rPr>
        <w:t xml:space="preserve"> </w:t>
      </w:r>
    </w:p>
    <w:p w:rsidR="00D0543B" w:rsidRDefault="0010275C" w:rsidP="002C1390">
      <w:pPr>
        <w:spacing w:after="0" w:line="360" w:lineRule="auto"/>
        <w:ind w:firstLine="720"/>
        <w:contextualSpacing/>
        <w:jc w:val="both"/>
        <w:rPr>
          <w:rFonts w:cs="Times New Roman"/>
          <w:szCs w:val="24"/>
        </w:rPr>
      </w:pPr>
      <w:r w:rsidRPr="001D6684">
        <w:rPr>
          <w:rFonts w:cs="Times New Roman"/>
          <w:szCs w:val="24"/>
        </w:rPr>
        <w:lastRenderedPageBreak/>
        <w:t xml:space="preserve">Cluster </w:t>
      </w:r>
      <w:r w:rsidR="009139B3">
        <w:rPr>
          <w:rFonts w:cs="Times New Roman"/>
          <w:szCs w:val="24"/>
        </w:rPr>
        <w:t>l</w:t>
      </w:r>
      <w:r w:rsidRPr="001D6684">
        <w:rPr>
          <w:rFonts w:cs="Times New Roman"/>
          <w:szCs w:val="24"/>
        </w:rPr>
        <w:t xml:space="preserve">eads </w:t>
      </w:r>
      <w:r w:rsidR="00F80525" w:rsidRPr="001D6684">
        <w:rPr>
          <w:rFonts w:cs="Times New Roman"/>
          <w:szCs w:val="24"/>
        </w:rPr>
        <w:t xml:space="preserve">suggested that </w:t>
      </w:r>
      <w:r w:rsidRPr="001D6684">
        <w:rPr>
          <w:rFonts w:cs="Times New Roman"/>
          <w:szCs w:val="24"/>
        </w:rPr>
        <w:t xml:space="preserve">clusters had the opportunity to enhance local </w:t>
      </w:r>
      <w:r w:rsidR="00D740B5">
        <w:rPr>
          <w:rFonts w:cs="Times New Roman"/>
          <w:szCs w:val="24"/>
        </w:rPr>
        <w:t>PC</w:t>
      </w:r>
      <w:r w:rsidRPr="001D6684">
        <w:rPr>
          <w:rFonts w:cs="Times New Roman"/>
          <w:szCs w:val="24"/>
        </w:rPr>
        <w:t xml:space="preserve"> services</w:t>
      </w:r>
      <w:r w:rsidR="00F80525" w:rsidRPr="001D6684">
        <w:rPr>
          <w:rFonts w:cs="Times New Roman"/>
          <w:szCs w:val="24"/>
        </w:rPr>
        <w:t>, despite administrative bar</w:t>
      </w:r>
      <w:r w:rsidR="0032380A" w:rsidRPr="001D6684">
        <w:rPr>
          <w:rFonts w:cs="Times New Roman"/>
          <w:szCs w:val="24"/>
        </w:rPr>
        <w:t xml:space="preserve">riers </w:t>
      </w:r>
      <w:r w:rsidR="009139B3">
        <w:rPr>
          <w:rFonts w:cs="Times New Roman"/>
          <w:szCs w:val="24"/>
        </w:rPr>
        <w:t>to</w:t>
      </w:r>
      <w:r w:rsidR="009139B3" w:rsidRPr="001D6684">
        <w:rPr>
          <w:rFonts w:cs="Times New Roman"/>
          <w:szCs w:val="24"/>
        </w:rPr>
        <w:t xml:space="preserve"> </w:t>
      </w:r>
      <w:r w:rsidR="0032380A" w:rsidRPr="001D6684">
        <w:rPr>
          <w:rFonts w:cs="Times New Roman"/>
          <w:szCs w:val="24"/>
        </w:rPr>
        <w:t>the</w:t>
      </w:r>
      <w:r w:rsidR="009139B3">
        <w:rPr>
          <w:rFonts w:cs="Times New Roman"/>
          <w:szCs w:val="24"/>
        </w:rPr>
        <w:t>ir</w:t>
      </w:r>
      <w:r w:rsidR="0032380A" w:rsidRPr="001D6684">
        <w:rPr>
          <w:rFonts w:cs="Times New Roman"/>
          <w:szCs w:val="24"/>
        </w:rPr>
        <w:t xml:space="preserve"> relationship with h</w:t>
      </w:r>
      <w:r w:rsidR="00F80525" w:rsidRPr="001D6684">
        <w:rPr>
          <w:rFonts w:cs="Times New Roman"/>
          <w:szCs w:val="24"/>
        </w:rPr>
        <w:t xml:space="preserve">ealth </w:t>
      </w:r>
      <w:r w:rsidR="0032380A" w:rsidRPr="001D6684">
        <w:rPr>
          <w:rFonts w:cs="Times New Roman"/>
          <w:szCs w:val="24"/>
        </w:rPr>
        <w:t>b</w:t>
      </w:r>
      <w:r w:rsidR="00F80525" w:rsidRPr="001D6684">
        <w:rPr>
          <w:rFonts w:cs="Times New Roman"/>
          <w:szCs w:val="24"/>
        </w:rPr>
        <w:t xml:space="preserve">oards and occasional difficulties in engaging with other </w:t>
      </w:r>
      <w:r w:rsidR="009139B3">
        <w:rPr>
          <w:rFonts w:cs="Times New Roman"/>
          <w:szCs w:val="24"/>
        </w:rPr>
        <w:t xml:space="preserve">community </w:t>
      </w:r>
      <w:r w:rsidR="00F80525" w:rsidRPr="001D6684">
        <w:rPr>
          <w:rFonts w:cs="Times New Roman"/>
          <w:szCs w:val="24"/>
        </w:rPr>
        <w:t>agencies</w:t>
      </w:r>
      <w:r w:rsidR="00B9637C">
        <w:rPr>
          <w:rFonts w:cs="Times New Roman"/>
          <w:szCs w:val="24"/>
        </w:rPr>
        <w:t xml:space="preserve"> (see Table 2)</w:t>
      </w:r>
      <w:r w:rsidR="00F80525" w:rsidRPr="001D6684">
        <w:rPr>
          <w:rFonts w:cs="Times New Roman"/>
          <w:szCs w:val="24"/>
        </w:rPr>
        <w:t xml:space="preserve">. </w:t>
      </w:r>
      <w:r w:rsidR="00D0543B">
        <w:rPr>
          <w:rFonts w:cs="Times New Roman"/>
          <w:szCs w:val="24"/>
        </w:rPr>
        <w:t>Interestingly, c</w:t>
      </w:r>
      <w:r w:rsidR="0057764E" w:rsidRPr="0057764E">
        <w:rPr>
          <w:rFonts w:cs="Times New Roman"/>
          <w:szCs w:val="24"/>
        </w:rPr>
        <w:t xml:space="preserve">luster leads </w:t>
      </w:r>
      <w:r w:rsidR="00D0543B">
        <w:rPr>
          <w:rFonts w:cs="Times New Roman"/>
          <w:szCs w:val="24"/>
        </w:rPr>
        <w:t xml:space="preserve">reported </w:t>
      </w:r>
      <w:r w:rsidR="0057764E" w:rsidRPr="0057764E">
        <w:rPr>
          <w:rFonts w:cs="Times New Roman"/>
          <w:szCs w:val="24"/>
        </w:rPr>
        <w:t xml:space="preserve">that sometimes service development initiatives of PC clusters appeared to clash with the health board’s own development plan for that area, and eventually, the cluster’s initiatives failed to access their dedicated funding or had to be replaced with other initiatives. </w:t>
      </w:r>
      <w:r w:rsidR="00D0543B">
        <w:rPr>
          <w:rFonts w:cs="Times New Roman"/>
          <w:szCs w:val="24"/>
        </w:rPr>
        <w:t>Moreover</w:t>
      </w:r>
      <w:r w:rsidR="0057764E" w:rsidRPr="0057764E">
        <w:rPr>
          <w:rFonts w:cs="Times New Roman"/>
          <w:szCs w:val="24"/>
        </w:rPr>
        <w:t xml:space="preserve">, key departments within health boards seemed to view some clusters as more developed than others; and cluster leads believed that these perceptions influenced the speed and ease with which clusters accessed their funding. </w:t>
      </w:r>
    </w:p>
    <w:p w:rsidR="00F80525" w:rsidRDefault="00515BF0" w:rsidP="002C1390">
      <w:pPr>
        <w:spacing w:after="0" w:line="360" w:lineRule="auto"/>
        <w:ind w:firstLine="720"/>
        <w:contextualSpacing/>
        <w:jc w:val="both"/>
        <w:rPr>
          <w:rFonts w:cs="Times New Roman"/>
          <w:szCs w:val="24"/>
        </w:rPr>
      </w:pPr>
      <w:r>
        <w:rPr>
          <w:rFonts w:cs="Times New Roman"/>
          <w:szCs w:val="24"/>
        </w:rPr>
        <w:t>A few</w:t>
      </w:r>
      <w:r w:rsidR="001C20E8">
        <w:rPr>
          <w:rFonts w:cs="Times New Roman"/>
          <w:szCs w:val="24"/>
        </w:rPr>
        <w:t xml:space="preserve"> cluster leads reported a high engagement of GPs in the cluster work, while others said the GPs’ participation was still low. Sometimes, </w:t>
      </w:r>
      <w:r w:rsidR="000D7736">
        <w:rPr>
          <w:rFonts w:cs="Times New Roman"/>
          <w:szCs w:val="24"/>
        </w:rPr>
        <w:t xml:space="preserve">when cluster leads reported a high overall engagement, </w:t>
      </w:r>
      <w:r w:rsidR="001C20E8">
        <w:rPr>
          <w:rFonts w:cs="Times New Roman"/>
          <w:szCs w:val="24"/>
        </w:rPr>
        <w:t xml:space="preserve">they then explained that only some GPs were very active while others were still very reluctant to get involved. </w:t>
      </w:r>
      <w:r w:rsidR="0010275C" w:rsidRPr="001D6684">
        <w:rPr>
          <w:rFonts w:cs="Times New Roman"/>
          <w:szCs w:val="24"/>
        </w:rPr>
        <w:t>Achievements were often limited by the lack of cluster autonomy, lack of timely access to funding, inadequate administrative arrangements and other bureaucratic delays. However</w:t>
      </w:r>
      <w:r w:rsidR="009139B3">
        <w:rPr>
          <w:rFonts w:cs="Times New Roman"/>
          <w:szCs w:val="24"/>
        </w:rPr>
        <w:t>,</w:t>
      </w:r>
      <w:r w:rsidR="0010275C" w:rsidRPr="001D6684">
        <w:rPr>
          <w:rFonts w:cs="Times New Roman"/>
          <w:szCs w:val="24"/>
        </w:rPr>
        <w:t xml:space="preserve"> </w:t>
      </w:r>
      <w:r w:rsidR="009139B3">
        <w:rPr>
          <w:rFonts w:cs="Times New Roman"/>
          <w:szCs w:val="24"/>
        </w:rPr>
        <w:t>c</w:t>
      </w:r>
      <w:r w:rsidR="0010275C" w:rsidRPr="001D6684">
        <w:rPr>
          <w:rFonts w:cs="Times New Roman"/>
          <w:szCs w:val="24"/>
        </w:rPr>
        <w:t xml:space="preserve">luster </w:t>
      </w:r>
      <w:r w:rsidR="009139B3">
        <w:rPr>
          <w:rFonts w:cs="Times New Roman"/>
          <w:szCs w:val="24"/>
        </w:rPr>
        <w:t>l</w:t>
      </w:r>
      <w:r w:rsidR="0010275C" w:rsidRPr="001D6684">
        <w:rPr>
          <w:rFonts w:cs="Times New Roman"/>
          <w:szCs w:val="24"/>
        </w:rPr>
        <w:t xml:space="preserve">eads were able to identify many innovative projects across Wales. There was uncertainty about the future of clusters and their funding arrangements. Despite </w:t>
      </w:r>
      <w:r w:rsidR="000631A1" w:rsidRPr="001D6684">
        <w:rPr>
          <w:rFonts w:cs="Times New Roman"/>
          <w:szCs w:val="24"/>
        </w:rPr>
        <w:t xml:space="preserve">occasional </w:t>
      </w:r>
      <w:r w:rsidR="0010275C" w:rsidRPr="001D6684">
        <w:rPr>
          <w:rFonts w:cs="Times New Roman"/>
          <w:szCs w:val="24"/>
        </w:rPr>
        <w:t xml:space="preserve">local innovations, </w:t>
      </w:r>
      <w:r w:rsidR="009139B3">
        <w:rPr>
          <w:rFonts w:cs="Times New Roman"/>
          <w:szCs w:val="24"/>
        </w:rPr>
        <w:t>the use of</w:t>
      </w:r>
      <w:r w:rsidR="0010275C" w:rsidRPr="001D6684">
        <w:rPr>
          <w:rFonts w:cs="Times New Roman"/>
          <w:szCs w:val="24"/>
        </w:rPr>
        <w:t xml:space="preserve"> patient-level data was under-developed. Commonly suggested areas for improvement included increased funding to </w:t>
      </w:r>
      <w:r w:rsidR="00D740B5">
        <w:rPr>
          <w:rFonts w:cs="Times New Roman"/>
          <w:szCs w:val="24"/>
        </w:rPr>
        <w:t>PC</w:t>
      </w:r>
      <w:r w:rsidR="0010275C" w:rsidRPr="001D6684">
        <w:rPr>
          <w:rFonts w:cs="Times New Roman"/>
          <w:szCs w:val="24"/>
        </w:rPr>
        <w:t xml:space="preserve"> overall, the need to address the underlying GP staffing crisis, a call for increased governance and autonomy, new models for staff sharing, a call for measurements of cluster impact, a need for technical and leadership support, and suggestions for a best practice sharing programme </w:t>
      </w:r>
      <w:r w:rsidR="000A0B12">
        <w:rPr>
          <w:rFonts w:cs="Times New Roman"/>
          <w:szCs w:val="24"/>
        </w:rPr>
        <w:t xml:space="preserve">across </w:t>
      </w:r>
      <w:r w:rsidR="0010275C" w:rsidRPr="001D6684">
        <w:rPr>
          <w:rFonts w:cs="Times New Roman"/>
          <w:szCs w:val="24"/>
        </w:rPr>
        <w:t xml:space="preserve">Wales. </w:t>
      </w:r>
      <w:r w:rsidR="00405DC2" w:rsidRPr="001D6684">
        <w:rPr>
          <w:rFonts w:cs="Times New Roman"/>
          <w:szCs w:val="24"/>
        </w:rPr>
        <w:t xml:space="preserve">Although the interviews covered a comprehensive range of topics related to the functioning of </w:t>
      </w:r>
      <w:r w:rsidR="00D740B5">
        <w:rPr>
          <w:rFonts w:cs="Times New Roman"/>
          <w:szCs w:val="24"/>
        </w:rPr>
        <w:t>PC</w:t>
      </w:r>
      <w:r w:rsidR="00405DC2" w:rsidRPr="001D6684">
        <w:rPr>
          <w:rFonts w:cs="Times New Roman"/>
          <w:szCs w:val="24"/>
        </w:rPr>
        <w:t xml:space="preserve"> clusters, they </w:t>
      </w:r>
      <w:r w:rsidR="000A0B12">
        <w:rPr>
          <w:rFonts w:cs="Times New Roman"/>
          <w:szCs w:val="24"/>
        </w:rPr>
        <w:t xml:space="preserve">only </w:t>
      </w:r>
      <w:r w:rsidR="00405DC2" w:rsidRPr="001D6684">
        <w:rPr>
          <w:rFonts w:cs="Times New Roman"/>
          <w:szCs w:val="24"/>
        </w:rPr>
        <w:t>reflect</w:t>
      </w:r>
      <w:r w:rsidR="000A0B12">
        <w:rPr>
          <w:rFonts w:cs="Times New Roman"/>
          <w:szCs w:val="24"/>
        </w:rPr>
        <w:t>ed</w:t>
      </w:r>
      <w:r w:rsidR="00405DC2" w:rsidRPr="001D6684">
        <w:rPr>
          <w:rFonts w:cs="Times New Roman"/>
          <w:szCs w:val="24"/>
        </w:rPr>
        <w:t xml:space="preserve"> the view</w:t>
      </w:r>
      <w:r w:rsidR="00A81C26">
        <w:rPr>
          <w:rFonts w:cs="Times New Roman"/>
          <w:szCs w:val="24"/>
        </w:rPr>
        <w:t>s</w:t>
      </w:r>
      <w:r w:rsidR="00405DC2" w:rsidRPr="001D6684">
        <w:rPr>
          <w:rFonts w:cs="Times New Roman"/>
          <w:szCs w:val="24"/>
        </w:rPr>
        <w:t xml:space="preserve"> of a sample </w:t>
      </w:r>
      <w:r w:rsidR="00A81C26">
        <w:rPr>
          <w:rFonts w:cs="Times New Roman"/>
          <w:szCs w:val="24"/>
        </w:rPr>
        <w:t xml:space="preserve">of cluster leads </w:t>
      </w:r>
      <w:r w:rsidR="00405DC2" w:rsidRPr="001D6684">
        <w:rPr>
          <w:rFonts w:cs="Times New Roman"/>
          <w:szCs w:val="24"/>
        </w:rPr>
        <w:t>(approximately 33%)</w:t>
      </w:r>
      <w:r w:rsidR="000F4CCA" w:rsidRPr="001D6684">
        <w:rPr>
          <w:rFonts w:cs="Times New Roman"/>
          <w:szCs w:val="24"/>
        </w:rPr>
        <w:t>.</w:t>
      </w:r>
    </w:p>
    <w:p w:rsidR="00B9637C" w:rsidRDefault="00B9637C" w:rsidP="002C1390">
      <w:pPr>
        <w:spacing w:after="0" w:line="360" w:lineRule="auto"/>
        <w:ind w:firstLine="720"/>
        <w:contextualSpacing/>
        <w:jc w:val="both"/>
        <w:rPr>
          <w:rFonts w:cs="Times New Roman"/>
          <w:szCs w:val="24"/>
        </w:rPr>
        <w:sectPr w:rsidR="00B9637C" w:rsidSect="000E26A6">
          <w:headerReference w:type="default" r:id="rId11"/>
          <w:footerReference w:type="default" r:id="rId12"/>
          <w:pgSz w:w="11906" w:h="16838"/>
          <w:pgMar w:top="1440" w:right="1440" w:bottom="1440" w:left="1440" w:header="708" w:footer="708" w:gutter="0"/>
          <w:cols w:space="708"/>
          <w:docGrid w:linePitch="360"/>
        </w:sectPr>
      </w:pPr>
    </w:p>
    <w:p w:rsidR="00B9637C" w:rsidRDefault="00B9637C" w:rsidP="00B9637C">
      <w:r>
        <w:lastRenderedPageBreak/>
        <w:t>Table 2. Summary of themes and sub-themes emerging from the perspective of Cluster Leads interviews (</w:t>
      </w:r>
      <w:r w:rsidR="00DC60E8">
        <w:t>W</w:t>
      </w:r>
      <w:r>
        <w:t xml:space="preserve">ork </w:t>
      </w:r>
      <w:r w:rsidR="00DC60E8">
        <w:t>P</w:t>
      </w:r>
      <w:r>
        <w:t>ackage 1).</w:t>
      </w:r>
    </w:p>
    <w:tbl>
      <w:tblPr>
        <w:tblStyle w:val="TableGrid"/>
        <w:tblW w:w="13149" w:type="dxa"/>
        <w:tblLook w:val="04A0" w:firstRow="1" w:lastRow="0" w:firstColumn="1" w:lastColumn="0" w:noHBand="0" w:noVBand="1"/>
      </w:tblPr>
      <w:tblGrid>
        <w:gridCol w:w="3369"/>
        <w:gridCol w:w="9780"/>
      </w:tblGrid>
      <w:tr w:rsidR="00B9637C" w:rsidTr="00B9637C">
        <w:trPr>
          <w:trHeight w:val="149"/>
        </w:trPr>
        <w:tc>
          <w:tcPr>
            <w:tcW w:w="3369" w:type="dxa"/>
          </w:tcPr>
          <w:p w:rsidR="00B9637C" w:rsidRDefault="00B9637C" w:rsidP="000D7736">
            <w:pPr>
              <w:jc w:val="center"/>
            </w:pPr>
            <w:r>
              <w:t>Themes and sub-themes</w:t>
            </w:r>
          </w:p>
        </w:tc>
        <w:tc>
          <w:tcPr>
            <w:tcW w:w="9780" w:type="dxa"/>
          </w:tcPr>
          <w:p w:rsidR="00B9637C" w:rsidRDefault="00B9637C" w:rsidP="000D7736">
            <w:pPr>
              <w:jc w:val="center"/>
            </w:pPr>
            <w:r>
              <w:t>Key findings</w:t>
            </w:r>
          </w:p>
        </w:tc>
      </w:tr>
      <w:tr w:rsidR="00B9637C" w:rsidTr="00B9637C">
        <w:tc>
          <w:tcPr>
            <w:tcW w:w="3369" w:type="dxa"/>
          </w:tcPr>
          <w:p w:rsidR="00B9637C" w:rsidRDefault="00B9637C" w:rsidP="000D7736">
            <w:r w:rsidRPr="00483DAF">
              <w:t>Theme 1. The emergence of primary clusters and the involvement of GPs in cluster-level planning</w:t>
            </w:r>
          </w:p>
        </w:tc>
        <w:tc>
          <w:tcPr>
            <w:tcW w:w="9780" w:type="dxa"/>
          </w:tcPr>
          <w:p w:rsidR="00B9637C" w:rsidRDefault="00B9637C" w:rsidP="000D7736">
            <w:r>
              <w:t>1. T</w:t>
            </w:r>
            <w:r w:rsidRPr="00226B09">
              <w:t xml:space="preserve">he participation of </w:t>
            </w:r>
            <w:r>
              <w:t xml:space="preserve">individual General Practitioners (GPs) </w:t>
            </w:r>
            <w:r w:rsidRPr="00226B09">
              <w:t>in cluster work was considerably variable</w:t>
            </w:r>
            <w:r>
              <w:t>.</w:t>
            </w:r>
          </w:p>
          <w:p w:rsidR="00B9637C" w:rsidRDefault="00B9637C" w:rsidP="000D7736">
            <w:r>
              <w:t>2.</w:t>
            </w:r>
            <w:r w:rsidRPr="00226B09">
              <w:t xml:space="preserve"> </w:t>
            </w:r>
            <w:r>
              <w:t>Some local GPs showed a h</w:t>
            </w:r>
            <w:r w:rsidRPr="00226B09">
              <w:t xml:space="preserve">igh level of enthusiasm and engagement in cluster work. </w:t>
            </w:r>
          </w:p>
          <w:p w:rsidR="00B9637C" w:rsidRDefault="00B9637C" w:rsidP="000D7736">
            <w:r>
              <w:t xml:space="preserve">3. </w:t>
            </w:r>
            <w:r w:rsidRPr="00226B09">
              <w:t xml:space="preserve">Practice Managers </w:t>
            </w:r>
            <w:r>
              <w:t>had a key contribution in the involvement of GPs.</w:t>
            </w:r>
          </w:p>
          <w:p w:rsidR="00B9637C" w:rsidRDefault="00B9637C" w:rsidP="000D7736">
            <w:r>
              <w:t>4. I</w:t>
            </w:r>
            <w:r w:rsidRPr="00226B09">
              <w:t xml:space="preserve">nformation about the purpose </w:t>
            </w:r>
            <w:r>
              <w:t xml:space="preserve">and opportunities </w:t>
            </w:r>
            <w:r w:rsidRPr="00226B09">
              <w:t xml:space="preserve">of </w:t>
            </w:r>
            <w:r>
              <w:t xml:space="preserve">primary </w:t>
            </w:r>
            <w:r w:rsidRPr="00226B09">
              <w:t>c</w:t>
            </w:r>
            <w:r>
              <w:t>are c</w:t>
            </w:r>
            <w:r w:rsidRPr="00226B09">
              <w:t xml:space="preserve">lusters </w:t>
            </w:r>
            <w:r>
              <w:t>were not fully disseminated.</w:t>
            </w:r>
          </w:p>
          <w:p w:rsidR="00B9637C" w:rsidRDefault="00B9637C" w:rsidP="000D7736">
            <w:r>
              <w:t>5. Historical working arrangements influenced the engagement of GPs in cluster work.</w:t>
            </w:r>
          </w:p>
          <w:p w:rsidR="00B9637C" w:rsidRDefault="00B9637C" w:rsidP="000D7736">
            <w:r>
              <w:t>6. The heavy workload of GPs was often a barrier to greater engagement in primary care clusters.</w:t>
            </w:r>
          </w:p>
        </w:tc>
      </w:tr>
      <w:tr w:rsidR="00B9637C" w:rsidTr="00B9637C">
        <w:tc>
          <w:tcPr>
            <w:tcW w:w="3369" w:type="dxa"/>
          </w:tcPr>
          <w:p w:rsidR="00B9637C" w:rsidRDefault="00B9637C" w:rsidP="000D7736">
            <w:r w:rsidRPr="00483DAF">
              <w:t>Theme 2. The multidisciplinarity of the clusters and their ability to implement effective cross-agency working</w:t>
            </w:r>
          </w:p>
          <w:p w:rsidR="00B9637C" w:rsidRDefault="00B9637C" w:rsidP="000D7736"/>
        </w:tc>
        <w:tc>
          <w:tcPr>
            <w:tcW w:w="9780" w:type="dxa"/>
          </w:tcPr>
          <w:p w:rsidR="00B9637C" w:rsidRDefault="00B9637C" w:rsidP="000D7736">
            <w:r>
              <w:t xml:space="preserve">1. </w:t>
            </w:r>
            <w:r w:rsidRPr="005F071C">
              <w:t>The engagement of different agencies across clusters is varied, and this reflects local work arrangements and the level of service development.</w:t>
            </w:r>
          </w:p>
          <w:p w:rsidR="00B9637C" w:rsidRDefault="00B9637C" w:rsidP="000D7736">
            <w:r>
              <w:t>2. The perceived low degree of clusters autonomy restricted their ability to engage in multiagency work.</w:t>
            </w:r>
          </w:p>
        </w:tc>
      </w:tr>
      <w:tr w:rsidR="00B9637C" w:rsidTr="00B9637C">
        <w:tc>
          <w:tcPr>
            <w:tcW w:w="3369" w:type="dxa"/>
          </w:tcPr>
          <w:p w:rsidR="00B9637C" w:rsidRDefault="00B9637C" w:rsidP="000D7736">
            <w:r w:rsidRPr="00483DAF">
              <w:t>Theme 3. The relationship between the primary care clusters and Local Health Boards</w:t>
            </w:r>
          </w:p>
          <w:p w:rsidR="00B9637C" w:rsidRDefault="00B9637C" w:rsidP="000D7736"/>
        </w:tc>
        <w:tc>
          <w:tcPr>
            <w:tcW w:w="9780" w:type="dxa"/>
          </w:tcPr>
          <w:p w:rsidR="00B9637C" w:rsidRDefault="00B9637C" w:rsidP="000D7736">
            <w:r w:rsidRPr="00483DAF">
              <w:t>1</w:t>
            </w:r>
            <w:r>
              <w:t>.</w:t>
            </w:r>
            <w:r w:rsidRPr="00483DAF">
              <w:t xml:space="preserve"> Local governance and decentralisation of primary care delivery</w:t>
            </w:r>
            <w:r>
              <w:t xml:space="preserve"> is variable.</w:t>
            </w:r>
            <w:r w:rsidRPr="00483DAF">
              <w:t xml:space="preserve"> </w:t>
            </w:r>
          </w:p>
          <w:p w:rsidR="00B9637C" w:rsidRDefault="00B9637C" w:rsidP="000D7736">
            <w:r w:rsidRPr="00483DAF">
              <w:t xml:space="preserve">2 </w:t>
            </w:r>
            <w:r>
              <w:t>Clusters faced f</w:t>
            </w:r>
            <w:r w:rsidRPr="00483DAF">
              <w:t xml:space="preserve">unctional difficulties in their relationship with the </w:t>
            </w:r>
            <w:r>
              <w:t>h</w:t>
            </w:r>
            <w:r w:rsidRPr="00483DAF">
              <w:t xml:space="preserve">ealth </w:t>
            </w:r>
            <w:r>
              <w:t>b</w:t>
            </w:r>
            <w:r w:rsidRPr="00483DAF">
              <w:t>oards</w:t>
            </w:r>
            <w:r>
              <w:t xml:space="preserve">’ finance and human resources departments. </w:t>
            </w:r>
          </w:p>
          <w:p w:rsidR="00B9637C" w:rsidRDefault="00B9637C" w:rsidP="000D7736">
            <w:r>
              <w:t>3. Communication between primary care clusters and health boards was hampered by a relatively reduced awareness of the clusters’ role in the health boards, increased workload pressures on both sides and unfamiliar work processes.</w:t>
            </w:r>
          </w:p>
          <w:p w:rsidR="00B9637C" w:rsidRDefault="00B9637C" w:rsidP="000D7736">
            <w:r>
              <w:t xml:space="preserve">4. Communication between primary care clusters and health boards was aided by </w:t>
            </w:r>
            <w:r w:rsidRPr="00681AC0">
              <w:t xml:space="preserve">existing departments within the </w:t>
            </w:r>
            <w:r>
              <w:t>h</w:t>
            </w:r>
            <w:r w:rsidRPr="00681AC0">
              <w:t xml:space="preserve">ealth </w:t>
            </w:r>
            <w:r>
              <w:t>b</w:t>
            </w:r>
            <w:r w:rsidRPr="00681AC0">
              <w:t>oards</w:t>
            </w:r>
            <w:r>
              <w:t xml:space="preserve"> taking an extended role.</w:t>
            </w:r>
            <w:r w:rsidRPr="00483DAF">
              <w:t xml:space="preserve"> </w:t>
            </w:r>
          </w:p>
          <w:p w:rsidR="00B9637C" w:rsidRDefault="00B9637C" w:rsidP="000D7736">
            <w:r>
              <w:t>5. Cluster Leads were looking for more f</w:t>
            </w:r>
            <w:r w:rsidRPr="00483DAF">
              <w:t>inancial and administrative support from health boards</w:t>
            </w:r>
            <w:r>
              <w:t>.</w:t>
            </w:r>
          </w:p>
        </w:tc>
      </w:tr>
      <w:tr w:rsidR="00B9637C" w:rsidTr="00B9637C">
        <w:tc>
          <w:tcPr>
            <w:tcW w:w="3369" w:type="dxa"/>
          </w:tcPr>
          <w:p w:rsidR="00B9637C" w:rsidRPr="00483DAF" w:rsidRDefault="00B9637C" w:rsidP="000D7736">
            <w:r w:rsidRPr="00483DAF">
              <w:t xml:space="preserve">Theme 4. Local risk stratification and collective pooling of patient data at cluster level to identify local priorities and plan local services  </w:t>
            </w:r>
          </w:p>
        </w:tc>
        <w:tc>
          <w:tcPr>
            <w:tcW w:w="9780" w:type="dxa"/>
          </w:tcPr>
          <w:p w:rsidR="00B9637C" w:rsidRDefault="00B9637C" w:rsidP="000D7736">
            <w:r>
              <w:t>1. E</w:t>
            </w:r>
            <w:r w:rsidRPr="00681AC0">
              <w:t>ngagement</w:t>
            </w:r>
            <w:r>
              <w:t xml:space="preserve"> with the patient data locally wa</w:t>
            </w:r>
            <w:r w:rsidRPr="00681AC0">
              <w:t>s underdeveloped</w:t>
            </w:r>
            <w:r>
              <w:t>.</w:t>
            </w:r>
          </w:p>
        </w:tc>
      </w:tr>
      <w:tr w:rsidR="00B9637C" w:rsidTr="00B9637C">
        <w:tc>
          <w:tcPr>
            <w:tcW w:w="3369" w:type="dxa"/>
          </w:tcPr>
          <w:p w:rsidR="00B9637C" w:rsidRDefault="00B9637C" w:rsidP="000D7736">
            <w:r w:rsidRPr="00483DAF">
              <w:t xml:space="preserve">Theme 5. Recommendations </w:t>
            </w:r>
            <w:r w:rsidRPr="00483DAF">
              <w:lastRenderedPageBreak/>
              <w:t>from Cluster Leads on assessing and improving the clusters’ structure and functioning</w:t>
            </w:r>
          </w:p>
          <w:p w:rsidR="00B9637C" w:rsidRPr="00483DAF" w:rsidRDefault="00B9637C" w:rsidP="000D7736"/>
        </w:tc>
        <w:tc>
          <w:tcPr>
            <w:tcW w:w="9780" w:type="dxa"/>
          </w:tcPr>
          <w:p w:rsidR="00B9637C" w:rsidRDefault="00B9637C" w:rsidP="000D7736">
            <w:r>
              <w:lastRenderedPageBreak/>
              <w:t>1. T</w:t>
            </w:r>
            <w:r w:rsidRPr="00681AC0">
              <w:t>he transfer of care from sec</w:t>
            </w:r>
            <w:r>
              <w:t>ondary care into the community.</w:t>
            </w:r>
          </w:p>
          <w:p w:rsidR="00B9637C" w:rsidRDefault="00B9637C" w:rsidP="000D7736">
            <w:r>
              <w:lastRenderedPageBreak/>
              <w:t>2.</w:t>
            </w:r>
            <w:r w:rsidRPr="00681AC0">
              <w:t xml:space="preserve"> </w:t>
            </w:r>
            <w:r>
              <w:t>G</w:t>
            </w:r>
            <w:r w:rsidRPr="00681AC0">
              <w:t>overnance and autonomy of the clusters</w:t>
            </w:r>
            <w:r>
              <w:t>.</w:t>
            </w:r>
          </w:p>
          <w:p w:rsidR="00B9637C" w:rsidRDefault="00B9637C" w:rsidP="000D7736">
            <w:r>
              <w:t>3. T</w:t>
            </w:r>
            <w:r w:rsidRPr="00681AC0">
              <w:t>he impact of the clusters on the sustainability of primary care (for example, by sharing staff)</w:t>
            </w:r>
            <w:r>
              <w:t>.</w:t>
            </w:r>
          </w:p>
          <w:p w:rsidR="00B9637C" w:rsidRDefault="00B9637C" w:rsidP="000D7736">
            <w:r>
              <w:t>4. T</w:t>
            </w:r>
            <w:r w:rsidRPr="00681AC0">
              <w:t>he ability of the clusters to demonstrate to stakeholders and partners the impact they are having on patient care in the community</w:t>
            </w:r>
            <w:r>
              <w:t>.</w:t>
            </w:r>
          </w:p>
          <w:p w:rsidR="00B9637C" w:rsidRDefault="00B9637C" w:rsidP="000D7736">
            <w:r>
              <w:t>5.</w:t>
            </w:r>
            <w:r w:rsidRPr="00681AC0">
              <w:t xml:space="preserve"> </w:t>
            </w:r>
            <w:r>
              <w:t>T</w:t>
            </w:r>
            <w:r w:rsidRPr="00681AC0">
              <w:t>he level of technical and educational support needed and received by clusters to develop new ways of working locally.</w:t>
            </w:r>
          </w:p>
        </w:tc>
      </w:tr>
    </w:tbl>
    <w:p w:rsidR="00B9637C" w:rsidRDefault="00B9637C" w:rsidP="00B9637C"/>
    <w:p w:rsidR="00805037" w:rsidRDefault="00805037" w:rsidP="002C1390">
      <w:pPr>
        <w:spacing w:after="0" w:line="360" w:lineRule="auto"/>
        <w:ind w:firstLine="720"/>
        <w:contextualSpacing/>
        <w:jc w:val="both"/>
        <w:rPr>
          <w:rFonts w:cs="Times New Roman"/>
          <w:szCs w:val="24"/>
        </w:rPr>
      </w:pPr>
    </w:p>
    <w:p w:rsidR="00B9637C" w:rsidRDefault="00B9637C" w:rsidP="002C1390">
      <w:pPr>
        <w:spacing w:after="0" w:line="360" w:lineRule="auto"/>
        <w:ind w:firstLine="720"/>
        <w:contextualSpacing/>
        <w:jc w:val="both"/>
        <w:rPr>
          <w:rFonts w:cs="Times New Roman"/>
          <w:szCs w:val="24"/>
        </w:rPr>
        <w:sectPr w:rsidR="00B9637C" w:rsidSect="00B9637C">
          <w:pgSz w:w="16838" w:h="11906" w:orient="landscape"/>
          <w:pgMar w:top="1440" w:right="1440" w:bottom="1440" w:left="1440" w:header="708" w:footer="708" w:gutter="0"/>
          <w:cols w:space="708"/>
          <w:docGrid w:linePitch="360"/>
        </w:sectPr>
      </w:pPr>
    </w:p>
    <w:p w:rsidR="00805037" w:rsidRPr="001D6684" w:rsidRDefault="00805037" w:rsidP="002C1390">
      <w:pPr>
        <w:spacing w:after="0" w:line="360" w:lineRule="auto"/>
        <w:ind w:firstLine="720"/>
        <w:contextualSpacing/>
        <w:jc w:val="both"/>
        <w:rPr>
          <w:rFonts w:cs="Times New Roman"/>
          <w:szCs w:val="24"/>
        </w:rPr>
      </w:pPr>
    </w:p>
    <w:p w:rsidR="006D7633" w:rsidRPr="001D6684" w:rsidRDefault="006D7633" w:rsidP="002C1390">
      <w:pPr>
        <w:spacing w:after="0" w:line="360" w:lineRule="auto"/>
        <w:ind w:firstLine="720"/>
        <w:contextualSpacing/>
        <w:jc w:val="both"/>
        <w:rPr>
          <w:rFonts w:cs="Times New Roman"/>
          <w:szCs w:val="24"/>
        </w:rPr>
      </w:pPr>
    </w:p>
    <w:p w:rsidR="00421D75" w:rsidRPr="00FA6E3D" w:rsidRDefault="00A33803" w:rsidP="002C1390">
      <w:pPr>
        <w:spacing w:after="0" w:line="360" w:lineRule="auto"/>
        <w:rPr>
          <w:i/>
        </w:rPr>
      </w:pPr>
      <w:bookmarkStart w:id="9" w:name="_Toc503746145"/>
      <w:r w:rsidRPr="00FA6E3D">
        <w:rPr>
          <w:i/>
        </w:rPr>
        <w:t xml:space="preserve">Literature review of </w:t>
      </w:r>
      <w:r w:rsidR="00D740B5">
        <w:rPr>
          <w:i/>
        </w:rPr>
        <w:t>PC</w:t>
      </w:r>
      <w:r w:rsidRPr="00FA6E3D">
        <w:rPr>
          <w:i/>
        </w:rPr>
        <w:t xml:space="preserve"> assessment models (Work Package 2)</w:t>
      </w:r>
      <w:bookmarkEnd w:id="9"/>
    </w:p>
    <w:p w:rsidR="007A47D6" w:rsidRDefault="007A47D6" w:rsidP="00D35B4E">
      <w:pPr>
        <w:spacing w:after="0" w:line="360" w:lineRule="auto"/>
        <w:contextualSpacing/>
        <w:jc w:val="both"/>
        <w:rPr>
          <w:rFonts w:cs="Times New Roman"/>
          <w:szCs w:val="24"/>
        </w:rPr>
      </w:pPr>
      <w:r w:rsidRPr="001D6684">
        <w:rPr>
          <w:rFonts w:cs="Times New Roman"/>
          <w:szCs w:val="24"/>
        </w:rPr>
        <w:tab/>
      </w:r>
      <w:r w:rsidR="00C02FB6">
        <w:rPr>
          <w:rFonts w:cs="Times New Roman"/>
          <w:szCs w:val="24"/>
        </w:rPr>
        <w:t xml:space="preserve">Database searches identified </w:t>
      </w:r>
      <w:r w:rsidRPr="001D6684">
        <w:rPr>
          <w:rFonts w:cs="Times New Roman"/>
          <w:szCs w:val="24"/>
        </w:rPr>
        <w:t>9,652 publications. After removing 1,582 duplicate records, the titles of 8,070 publications</w:t>
      </w:r>
      <w:r w:rsidR="00DD0DB4">
        <w:rPr>
          <w:rFonts w:cs="Times New Roman"/>
          <w:szCs w:val="24"/>
        </w:rPr>
        <w:t xml:space="preserve"> were screened</w:t>
      </w:r>
      <w:r w:rsidR="00D35B4E">
        <w:rPr>
          <w:rFonts w:cs="Times New Roman"/>
          <w:szCs w:val="24"/>
        </w:rPr>
        <w:t xml:space="preserve">, then </w:t>
      </w:r>
      <w:r w:rsidR="00DD0DB4">
        <w:rPr>
          <w:rFonts w:cs="Times New Roman"/>
          <w:szCs w:val="24"/>
        </w:rPr>
        <w:t xml:space="preserve">the full text of 20 publications was </w:t>
      </w:r>
      <w:r w:rsidR="00D35B4E">
        <w:rPr>
          <w:rFonts w:cs="Times New Roman"/>
          <w:szCs w:val="24"/>
        </w:rPr>
        <w:t xml:space="preserve">retrieved and </w:t>
      </w:r>
      <w:r w:rsidR="00C02FB6">
        <w:rPr>
          <w:rFonts w:cs="Times New Roman"/>
          <w:szCs w:val="24"/>
        </w:rPr>
        <w:t xml:space="preserve">assessed </w:t>
      </w:r>
      <w:r w:rsidR="00C02FB6" w:rsidRPr="001D6684">
        <w:rPr>
          <w:rFonts w:cs="Times New Roman"/>
          <w:szCs w:val="24"/>
        </w:rPr>
        <w:t>for eligibility</w:t>
      </w:r>
      <w:r w:rsidR="00050325">
        <w:rPr>
          <w:rFonts w:cs="Times New Roman"/>
          <w:szCs w:val="24"/>
        </w:rPr>
        <w:t>.</w:t>
      </w:r>
      <w:r w:rsidRPr="001D6684">
        <w:rPr>
          <w:rFonts w:cs="Times New Roman"/>
          <w:szCs w:val="24"/>
        </w:rPr>
        <w:t xml:space="preserve"> </w:t>
      </w:r>
      <w:r w:rsidR="00050325" w:rsidRPr="00050325">
        <w:rPr>
          <w:rFonts w:cs="Times New Roman"/>
          <w:szCs w:val="24"/>
        </w:rPr>
        <w:t>Six studies met the inclusion criteria and were included in the qualitative synthesis</w:t>
      </w:r>
      <w:r w:rsidR="00050325">
        <w:rPr>
          <w:rFonts w:cs="Times New Roman"/>
          <w:szCs w:val="24"/>
        </w:rPr>
        <w:t xml:space="preserve"> (see Figure 2)</w:t>
      </w:r>
      <w:r w:rsidR="00050325" w:rsidRPr="00050325">
        <w:rPr>
          <w:rFonts w:cs="Times New Roman"/>
          <w:szCs w:val="24"/>
        </w:rPr>
        <w:t>.</w:t>
      </w:r>
    </w:p>
    <w:p w:rsidR="00CF3378" w:rsidRDefault="00CF3378" w:rsidP="002C1390">
      <w:pPr>
        <w:spacing w:after="0" w:line="360" w:lineRule="auto"/>
        <w:contextualSpacing/>
        <w:jc w:val="both"/>
        <w:rPr>
          <w:rFonts w:cs="Times New Roman"/>
          <w:szCs w:val="24"/>
        </w:rPr>
      </w:pPr>
    </w:p>
    <w:p w:rsidR="00755AE2" w:rsidRDefault="00755AE2" w:rsidP="002C1390">
      <w:pPr>
        <w:spacing w:after="0" w:line="360" w:lineRule="auto"/>
        <w:contextualSpacing/>
        <w:jc w:val="both"/>
        <w:rPr>
          <w:rFonts w:cs="Times New Roman"/>
          <w:szCs w:val="24"/>
        </w:rPr>
      </w:pPr>
      <w:r w:rsidRPr="00755AE2">
        <w:rPr>
          <w:rFonts w:cs="Times New Roman"/>
          <w:szCs w:val="24"/>
        </w:rPr>
        <w:t xml:space="preserve">Figure </w:t>
      </w:r>
      <w:r>
        <w:rPr>
          <w:rFonts w:cs="Times New Roman"/>
          <w:szCs w:val="24"/>
        </w:rPr>
        <w:t>2</w:t>
      </w:r>
      <w:r w:rsidRPr="00755AE2">
        <w:rPr>
          <w:rFonts w:cs="Times New Roman"/>
          <w:szCs w:val="24"/>
        </w:rPr>
        <w:t>. PRISMA diagram of the literature search and selection process</w:t>
      </w:r>
    </w:p>
    <w:p w:rsidR="00755AE2" w:rsidRDefault="00755AE2" w:rsidP="00755AE2">
      <w:pPr>
        <w:spacing w:after="0" w:line="360" w:lineRule="auto"/>
        <w:contextualSpacing/>
        <w:jc w:val="center"/>
        <w:rPr>
          <w:rFonts w:cs="Times New Roman"/>
          <w:szCs w:val="24"/>
        </w:rPr>
      </w:pPr>
      <w:r w:rsidRPr="00755AE2">
        <w:rPr>
          <w:noProof/>
          <w:lang w:eastAsia="en-GB"/>
        </w:rPr>
        <w:drawing>
          <wp:inline distT="0" distB="0" distL="0" distR="0" wp14:anchorId="00657794" wp14:editId="4FA90743">
            <wp:extent cx="4471024" cy="5783146"/>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1910" cy="5784292"/>
                    </a:xfrm>
                    <a:prstGeom prst="rect">
                      <a:avLst/>
                    </a:prstGeom>
                    <a:noFill/>
                    <a:ln>
                      <a:noFill/>
                    </a:ln>
                  </pic:spPr>
                </pic:pic>
              </a:graphicData>
            </a:graphic>
          </wp:inline>
        </w:drawing>
      </w:r>
    </w:p>
    <w:p w:rsidR="00755AE2" w:rsidRPr="001D6684" w:rsidRDefault="00755AE2" w:rsidP="002C1390">
      <w:pPr>
        <w:spacing w:after="0" w:line="360" w:lineRule="auto"/>
        <w:contextualSpacing/>
        <w:jc w:val="both"/>
        <w:rPr>
          <w:rFonts w:cs="Times New Roman"/>
          <w:szCs w:val="24"/>
        </w:rPr>
      </w:pPr>
    </w:p>
    <w:p w:rsidR="00050325" w:rsidRDefault="007A47D6" w:rsidP="00C02FB6">
      <w:pPr>
        <w:spacing w:after="0" w:line="360" w:lineRule="auto"/>
        <w:contextualSpacing/>
        <w:jc w:val="both"/>
        <w:rPr>
          <w:rFonts w:cs="Times New Roman"/>
          <w:szCs w:val="24"/>
        </w:rPr>
      </w:pPr>
      <w:r w:rsidRPr="001D6684">
        <w:rPr>
          <w:rFonts w:cs="Times New Roman"/>
          <w:szCs w:val="24"/>
        </w:rPr>
        <w:lastRenderedPageBreak/>
        <w:tab/>
      </w:r>
      <w:r w:rsidR="00A87CA6" w:rsidRPr="001D6684">
        <w:rPr>
          <w:rFonts w:cs="Times New Roman"/>
          <w:szCs w:val="24"/>
        </w:rPr>
        <w:t xml:space="preserve">The review identified a landmark study </w:t>
      </w:r>
      <w:r w:rsidR="001655E4" w:rsidRPr="001D6684">
        <w:rPr>
          <w:rFonts w:cs="Times New Roman"/>
          <w:szCs w:val="24"/>
        </w:rPr>
        <w:t xml:space="preserve">(PC Monitor) </w:t>
      </w:r>
      <w:r w:rsidR="00A87CA6" w:rsidRPr="001D6684">
        <w:rPr>
          <w:rFonts w:cs="Times New Roman"/>
          <w:szCs w:val="24"/>
        </w:rPr>
        <w:t xml:space="preserve">assessing the strength of </w:t>
      </w:r>
      <w:r w:rsidR="00D740B5">
        <w:rPr>
          <w:rFonts w:cs="Times New Roman"/>
          <w:szCs w:val="24"/>
        </w:rPr>
        <w:t>PC</w:t>
      </w:r>
      <w:r w:rsidR="00A87CA6" w:rsidRPr="001D6684">
        <w:rPr>
          <w:rFonts w:cs="Times New Roman"/>
          <w:szCs w:val="24"/>
        </w:rPr>
        <w:t xml:space="preserve"> across the European countries</w:t>
      </w:r>
      <w:r w:rsidR="004A071C">
        <w:rPr>
          <w:rFonts w:cs="Times New Roman"/>
          <w:szCs w:val="24"/>
        </w:rPr>
        <w:t>,</w:t>
      </w:r>
      <w:r w:rsidR="00C02FB6">
        <w:rPr>
          <w:rFonts w:cs="Times New Roman"/>
          <w:szCs w:val="24"/>
        </w:rPr>
        <w:t>[1</w:t>
      </w:r>
      <w:r w:rsidR="00DC60E8">
        <w:rPr>
          <w:rFonts w:cs="Times New Roman"/>
          <w:szCs w:val="24"/>
        </w:rPr>
        <w:t>2</w:t>
      </w:r>
      <w:r w:rsidR="00C02FB6">
        <w:rPr>
          <w:rFonts w:cs="Times New Roman"/>
          <w:szCs w:val="24"/>
        </w:rPr>
        <w:t>]</w:t>
      </w:r>
      <w:r w:rsidR="00A87CA6" w:rsidRPr="001D6684">
        <w:rPr>
          <w:rFonts w:cs="Times New Roman"/>
          <w:szCs w:val="24"/>
        </w:rPr>
        <w:t xml:space="preserve"> and five further reports of instruments able to measure aspects of </w:t>
      </w:r>
      <w:r w:rsidR="00D740B5">
        <w:rPr>
          <w:rFonts w:cs="Times New Roman"/>
          <w:szCs w:val="24"/>
        </w:rPr>
        <w:t>PC</w:t>
      </w:r>
      <w:r w:rsidR="00A87CA6" w:rsidRPr="001D6684">
        <w:rPr>
          <w:rFonts w:cs="Times New Roman"/>
          <w:szCs w:val="24"/>
        </w:rPr>
        <w:t xml:space="preserve"> systems. </w:t>
      </w:r>
      <w:r w:rsidR="001655E4" w:rsidRPr="001D6684">
        <w:rPr>
          <w:rFonts w:cs="Times New Roman"/>
          <w:szCs w:val="24"/>
        </w:rPr>
        <w:t xml:space="preserve"> </w:t>
      </w:r>
      <w:r w:rsidR="00AB5467" w:rsidRPr="001D6684">
        <w:rPr>
          <w:rFonts w:cs="Times New Roman"/>
          <w:szCs w:val="24"/>
        </w:rPr>
        <w:t xml:space="preserve">The PC Monitor benefited from the most comprehensive framework from the studies included in the review, </w:t>
      </w:r>
      <w:r w:rsidR="00CE5CBF" w:rsidRPr="001D6684">
        <w:rPr>
          <w:rFonts w:cs="Times New Roman"/>
          <w:szCs w:val="24"/>
        </w:rPr>
        <w:t xml:space="preserve">and </w:t>
      </w:r>
      <w:r w:rsidR="00755AE2">
        <w:rPr>
          <w:rFonts w:cs="Times New Roman"/>
          <w:szCs w:val="24"/>
        </w:rPr>
        <w:t>informed</w:t>
      </w:r>
      <w:r w:rsidR="00515BF0">
        <w:rPr>
          <w:rFonts w:cs="Times New Roman"/>
          <w:szCs w:val="24"/>
        </w:rPr>
        <w:t xml:space="preserve"> the</w:t>
      </w:r>
      <w:r w:rsidR="00755AE2">
        <w:rPr>
          <w:rFonts w:cs="Times New Roman"/>
          <w:szCs w:val="24"/>
        </w:rPr>
        <w:t xml:space="preserve"> </w:t>
      </w:r>
      <w:r w:rsidR="00AB5467" w:rsidRPr="001D6684">
        <w:rPr>
          <w:rFonts w:cs="Times New Roman"/>
          <w:szCs w:val="24"/>
        </w:rPr>
        <w:t>development of the PCC</w:t>
      </w:r>
      <w:r w:rsidR="00E66407">
        <w:rPr>
          <w:rFonts w:cs="Times New Roman"/>
          <w:szCs w:val="24"/>
        </w:rPr>
        <w:t>M</w:t>
      </w:r>
      <w:r w:rsidR="00AB5467" w:rsidRPr="001D6684">
        <w:rPr>
          <w:rFonts w:cs="Times New Roman"/>
          <w:szCs w:val="24"/>
        </w:rPr>
        <w:t xml:space="preserve">A tool. </w:t>
      </w:r>
      <w:r w:rsidR="00AF600E">
        <w:rPr>
          <w:rFonts w:cs="Times New Roman"/>
          <w:szCs w:val="24"/>
        </w:rPr>
        <w:t>T</w:t>
      </w:r>
      <w:r w:rsidR="00AB5467" w:rsidRPr="001D6684">
        <w:rPr>
          <w:rFonts w:cs="Times New Roman"/>
          <w:szCs w:val="24"/>
        </w:rPr>
        <w:t xml:space="preserve">he remaining studies </w:t>
      </w:r>
      <w:r w:rsidR="00755AE2">
        <w:rPr>
          <w:rFonts w:cs="Times New Roman"/>
          <w:szCs w:val="24"/>
        </w:rPr>
        <w:t>employed only a subset of the PC Monitor dimensions</w:t>
      </w:r>
      <w:r w:rsidR="00050325">
        <w:rPr>
          <w:rFonts w:cs="Times New Roman"/>
          <w:szCs w:val="24"/>
        </w:rPr>
        <w:t xml:space="preserve"> (see Table 3)</w:t>
      </w:r>
      <w:r w:rsidR="00AF600E" w:rsidRPr="00AF600E">
        <w:rPr>
          <w:rFonts w:cs="Times New Roman"/>
          <w:szCs w:val="24"/>
        </w:rPr>
        <w:t xml:space="preserve"> </w:t>
      </w:r>
      <w:r w:rsidR="00AF600E">
        <w:rPr>
          <w:rFonts w:cs="Times New Roman"/>
          <w:szCs w:val="24"/>
        </w:rPr>
        <w:t xml:space="preserve">, but </w:t>
      </w:r>
      <w:r w:rsidR="00AB5467" w:rsidRPr="001D6684">
        <w:rPr>
          <w:rFonts w:cs="Times New Roman"/>
          <w:szCs w:val="24"/>
        </w:rPr>
        <w:t xml:space="preserve">provided insight into how the assessment framework </w:t>
      </w:r>
      <w:r w:rsidR="001E12C2">
        <w:rPr>
          <w:rFonts w:cs="Times New Roman"/>
          <w:szCs w:val="24"/>
        </w:rPr>
        <w:t>could</w:t>
      </w:r>
      <w:r w:rsidR="001E12C2" w:rsidRPr="001D6684">
        <w:rPr>
          <w:rFonts w:cs="Times New Roman"/>
          <w:szCs w:val="24"/>
        </w:rPr>
        <w:t xml:space="preserve"> </w:t>
      </w:r>
      <w:r w:rsidR="00AB5467" w:rsidRPr="001D6684">
        <w:rPr>
          <w:rFonts w:cs="Times New Roman"/>
          <w:szCs w:val="24"/>
        </w:rPr>
        <w:t>be further improved (e.g., to reflect organisation level indicators – later to be included in the novel “</w:t>
      </w:r>
      <w:r w:rsidR="00264B22">
        <w:rPr>
          <w:rFonts w:cs="Times New Roman"/>
          <w:szCs w:val="24"/>
        </w:rPr>
        <w:t>c</w:t>
      </w:r>
      <w:r w:rsidR="00AB5467" w:rsidRPr="001D6684">
        <w:rPr>
          <w:rFonts w:cs="Times New Roman"/>
          <w:szCs w:val="24"/>
        </w:rPr>
        <w:t xml:space="preserve">luster </w:t>
      </w:r>
      <w:r w:rsidR="00264B22">
        <w:rPr>
          <w:rFonts w:cs="Times New Roman"/>
          <w:szCs w:val="24"/>
        </w:rPr>
        <w:t>o</w:t>
      </w:r>
      <w:r w:rsidR="00AB5467" w:rsidRPr="001D6684">
        <w:rPr>
          <w:rFonts w:cs="Times New Roman"/>
          <w:szCs w:val="24"/>
        </w:rPr>
        <w:t>rganisation” dimension)</w:t>
      </w:r>
      <w:r w:rsidR="00AF600E">
        <w:rPr>
          <w:rFonts w:cs="Times New Roman"/>
          <w:szCs w:val="24"/>
        </w:rPr>
        <w:t>. Moreover, a pool of indicators was collated from all included studies</w:t>
      </w:r>
      <w:r w:rsidR="00AB5467" w:rsidRPr="001D6684">
        <w:rPr>
          <w:rFonts w:cs="Times New Roman"/>
          <w:szCs w:val="24"/>
        </w:rPr>
        <w:t xml:space="preserve">, </w:t>
      </w:r>
      <w:r w:rsidR="00AF600E">
        <w:rPr>
          <w:rFonts w:cs="Times New Roman"/>
          <w:szCs w:val="24"/>
        </w:rPr>
        <w:t>which fed into the development of novel PCC</w:t>
      </w:r>
      <w:r w:rsidR="00E66407">
        <w:rPr>
          <w:rFonts w:cs="Times New Roman"/>
          <w:szCs w:val="24"/>
        </w:rPr>
        <w:t>M</w:t>
      </w:r>
      <w:r w:rsidR="00AF600E">
        <w:rPr>
          <w:rFonts w:cs="Times New Roman"/>
          <w:szCs w:val="24"/>
        </w:rPr>
        <w:t xml:space="preserve">A indicators in </w:t>
      </w:r>
      <w:r w:rsidR="00DC60E8">
        <w:rPr>
          <w:rFonts w:cs="Times New Roman"/>
          <w:szCs w:val="24"/>
        </w:rPr>
        <w:t>Work P</w:t>
      </w:r>
      <w:r w:rsidR="00AF600E">
        <w:rPr>
          <w:rFonts w:cs="Times New Roman"/>
          <w:szCs w:val="24"/>
        </w:rPr>
        <w:t>ackage 3.</w:t>
      </w:r>
    </w:p>
    <w:p w:rsidR="00050325" w:rsidRDefault="00050325" w:rsidP="00C02FB6">
      <w:pPr>
        <w:spacing w:after="0" w:line="360" w:lineRule="auto"/>
        <w:contextualSpacing/>
        <w:jc w:val="both"/>
        <w:rPr>
          <w:rFonts w:cs="Times New Roman"/>
          <w:szCs w:val="24"/>
        </w:rPr>
      </w:pPr>
    </w:p>
    <w:p w:rsidR="00050325" w:rsidRDefault="00050325" w:rsidP="00C02FB6">
      <w:pPr>
        <w:spacing w:after="0" w:line="360" w:lineRule="auto"/>
        <w:contextualSpacing/>
        <w:jc w:val="both"/>
        <w:rPr>
          <w:rFonts w:cs="Times New Roman"/>
          <w:szCs w:val="24"/>
        </w:rPr>
        <w:sectPr w:rsidR="00050325" w:rsidSect="000E26A6">
          <w:pgSz w:w="11906" w:h="16838"/>
          <w:pgMar w:top="1440" w:right="1440" w:bottom="1440" w:left="1440" w:header="708" w:footer="708" w:gutter="0"/>
          <w:cols w:space="708"/>
          <w:docGrid w:linePitch="360"/>
        </w:sectPr>
      </w:pPr>
    </w:p>
    <w:p w:rsidR="00050325" w:rsidRPr="00BB2808" w:rsidRDefault="00050325" w:rsidP="00050325">
      <w:pPr>
        <w:jc w:val="both"/>
      </w:pPr>
      <w:r w:rsidRPr="00BB2808">
        <w:lastRenderedPageBreak/>
        <w:t xml:space="preserve">Table </w:t>
      </w:r>
      <w:r>
        <w:t>3</w:t>
      </w:r>
      <w:r w:rsidRPr="00BB2808">
        <w:t xml:space="preserve">. </w:t>
      </w:r>
      <w:r w:rsidRPr="00BB2808">
        <w:rPr>
          <w:i/>
        </w:rPr>
        <w:t>Characteristics of studies</w:t>
      </w:r>
      <w:r>
        <w:rPr>
          <w:i/>
        </w:rPr>
        <w:t xml:space="preserve"> included in the l</w:t>
      </w:r>
      <w:r w:rsidRPr="00FA6E3D">
        <w:rPr>
          <w:i/>
        </w:rPr>
        <w:t xml:space="preserve">iterature review of </w:t>
      </w:r>
      <w:r>
        <w:rPr>
          <w:i/>
        </w:rPr>
        <w:t>PC</w:t>
      </w:r>
      <w:r w:rsidRPr="00FA6E3D">
        <w:rPr>
          <w:i/>
        </w:rPr>
        <w:t xml:space="preserve"> assessment models</w:t>
      </w:r>
      <w:r w:rsidR="00DC60E8">
        <w:rPr>
          <w:i/>
        </w:rPr>
        <w:t xml:space="preserve"> </w:t>
      </w:r>
      <w:r>
        <w:rPr>
          <w:i/>
        </w:rPr>
        <w:t>(</w:t>
      </w:r>
      <w:r w:rsidR="00DC60E8">
        <w:rPr>
          <w:i/>
        </w:rPr>
        <w:t>W</w:t>
      </w:r>
      <w:r>
        <w:rPr>
          <w:i/>
        </w:rPr>
        <w:t xml:space="preserve">ork </w:t>
      </w:r>
      <w:r w:rsidR="00DC60E8">
        <w:rPr>
          <w:i/>
        </w:rPr>
        <w:t>P</w:t>
      </w:r>
      <w:r>
        <w:rPr>
          <w:i/>
        </w:rPr>
        <w:t>ackage 2)</w:t>
      </w:r>
      <w:r w:rsidRPr="00BB2808">
        <w:rPr>
          <w:i/>
        </w:rPr>
        <w:t>.</w:t>
      </w:r>
    </w:p>
    <w:tbl>
      <w:tblPr>
        <w:tblStyle w:val="TableGrid"/>
        <w:tblW w:w="13999" w:type="dxa"/>
        <w:tblInd w:w="-14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28"/>
        <w:gridCol w:w="714"/>
        <w:gridCol w:w="109"/>
        <w:gridCol w:w="1134"/>
        <w:gridCol w:w="1276"/>
        <w:gridCol w:w="1134"/>
        <w:gridCol w:w="2126"/>
        <w:gridCol w:w="2164"/>
        <w:gridCol w:w="1559"/>
        <w:gridCol w:w="2655"/>
      </w:tblGrid>
      <w:tr w:rsidR="00050325" w:rsidRPr="00050325" w:rsidTr="00050325">
        <w:tc>
          <w:tcPr>
            <w:tcW w:w="1128" w:type="dxa"/>
          </w:tcPr>
          <w:p w:rsidR="00050325" w:rsidRPr="00050325" w:rsidRDefault="00050325" w:rsidP="003642B2">
            <w:pPr>
              <w:rPr>
                <w:b/>
                <w:sz w:val="16"/>
                <w:szCs w:val="16"/>
              </w:rPr>
            </w:pPr>
            <w:r w:rsidRPr="00050325">
              <w:rPr>
                <w:b/>
                <w:sz w:val="16"/>
                <w:szCs w:val="16"/>
              </w:rPr>
              <w:t>Author(s)</w:t>
            </w:r>
          </w:p>
        </w:tc>
        <w:tc>
          <w:tcPr>
            <w:tcW w:w="823" w:type="dxa"/>
            <w:gridSpan w:val="2"/>
          </w:tcPr>
          <w:p w:rsidR="00050325" w:rsidRPr="00050325" w:rsidRDefault="00050325" w:rsidP="003642B2">
            <w:pPr>
              <w:rPr>
                <w:b/>
                <w:sz w:val="16"/>
                <w:szCs w:val="16"/>
              </w:rPr>
            </w:pPr>
            <w:r w:rsidRPr="00050325">
              <w:rPr>
                <w:b/>
                <w:sz w:val="16"/>
                <w:szCs w:val="16"/>
              </w:rPr>
              <w:t>Year</w:t>
            </w:r>
          </w:p>
        </w:tc>
        <w:tc>
          <w:tcPr>
            <w:tcW w:w="1134" w:type="dxa"/>
          </w:tcPr>
          <w:p w:rsidR="00050325" w:rsidRPr="00050325" w:rsidRDefault="00050325" w:rsidP="003642B2">
            <w:pPr>
              <w:rPr>
                <w:b/>
                <w:sz w:val="16"/>
                <w:szCs w:val="16"/>
              </w:rPr>
            </w:pPr>
            <w:r w:rsidRPr="00050325">
              <w:rPr>
                <w:b/>
                <w:sz w:val="16"/>
                <w:szCs w:val="16"/>
              </w:rPr>
              <w:t>Country</w:t>
            </w:r>
          </w:p>
        </w:tc>
        <w:tc>
          <w:tcPr>
            <w:tcW w:w="1276" w:type="dxa"/>
          </w:tcPr>
          <w:p w:rsidR="00050325" w:rsidRPr="00050325" w:rsidRDefault="00050325" w:rsidP="003642B2">
            <w:pPr>
              <w:rPr>
                <w:b/>
                <w:sz w:val="16"/>
                <w:szCs w:val="16"/>
              </w:rPr>
            </w:pPr>
            <w:r w:rsidRPr="00050325">
              <w:rPr>
                <w:b/>
                <w:sz w:val="16"/>
                <w:szCs w:val="16"/>
              </w:rPr>
              <w:t>Sample</w:t>
            </w:r>
          </w:p>
        </w:tc>
        <w:tc>
          <w:tcPr>
            <w:tcW w:w="1134" w:type="dxa"/>
          </w:tcPr>
          <w:p w:rsidR="00050325" w:rsidRPr="00050325" w:rsidRDefault="00050325" w:rsidP="003642B2">
            <w:pPr>
              <w:rPr>
                <w:b/>
                <w:sz w:val="16"/>
                <w:szCs w:val="16"/>
              </w:rPr>
            </w:pPr>
            <w:r w:rsidRPr="00050325">
              <w:rPr>
                <w:b/>
                <w:sz w:val="16"/>
                <w:szCs w:val="16"/>
              </w:rPr>
              <w:t>Study design</w:t>
            </w:r>
          </w:p>
        </w:tc>
        <w:tc>
          <w:tcPr>
            <w:tcW w:w="2126" w:type="dxa"/>
          </w:tcPr>
          <w:p w:rsidR="00050325" w:rsidRPr="00050325" w:rsidRDefault="00050325" w:rsidP="003642B2">
            <w:pPr>
              <w:rPr>
                <w:b/>
                <w:sz w:val="16"/>
                <w:szCs w:val="16"/>
              </w:rPr>
            </w:pPr>
            <w:r w:rsidRPr="00050325">
              <w:rPr>
                <w:b/>
                <w:sz w:val="16"/>
                <w:szCs w:val="16"/>
              </w:rPr>
              <w:t>Study aim and focus</w:t>
            </w:r>
          </w:p>
        </w:tc>
        <w:tc>
          <w:tcPr>
            <w:tcW w:w="2164" w:type="dxa"/>
          </w:tcPr>
          <w:p w:rsidR="00050325" w:rsidRPr="00050325" w:rsidRDefault="00050325" w:rsidP="003642B2">
            <w:pPr>
              <w:rPr>
                <w:b/>
                <w:sz w:val="16"/>
                <w:szCs w:val="16"/>
              </w:rPr>
            </w:pPr>
            <w:r w:rsidRPr="00050325">
              <w:rPr>
                <w:b/>
                <w:sz w:val="16"/>
                <w:szCs w:val="16"/>
              </w:rPr>
              <w:t>Method/tool of assessment</w:t>
            </w:r>
          </w:p>
        </w:tc>
        <w:tc>
          <w:tcPr>
            <w:tcW w:w="1559" w:type="dxa"/>
          </w:tcPr>
          <w:p w:rsidR="00050325" w:rsidRPr="00050325" w:rsidRDefault="00050325" w:rsidP="003642B2">
            <w:pPr>
              <w:rPr>
                <w:b/>
                <w:sz w:val="16"/>
                <w:szCs w:val="16"/>
              </w:rPr>
            </w:pPr>
            <w:r w:rsidRPr="00050325">
              <w:rPr>
                <w:b/>
                <w:sz w:val="16"/>
                <w:szCs w:val="16"/>
              </w:rPr>
              <w:t>Validation</w:t>
            </w:r>
          </w:p>
        </w:tc>
        <w:tc>
          <w:tcPr>
            <w:tcW w:w="2655" w:type="dxa"/>
          </w:tcPr>
          <w:p w:rsidR="00050325" w:rsidRPr="00050325" w:rsidRDefault="00AF600E" w:rsidP="00AF600E">
            <w:pPr>
              <w:rPr>
                <w:b/>
                <w:sz w:val="16"/>
                <w:szCs w:val="16"/>
              </w:rPr>
            </w:pPr>
            <w:r>
              <w:rPr>
                <w:b/>
                <w:sz w:val="16"/>
                <w:szCs w:val="16"/>
              </w:rPr>
              <w:t xml:space="preserve">Framework </w:t>
            </w:r>
            <w:r w:rsidR="00050325" w:rsidRPr="00050325">
              <w:rPr>
                <w:b/>
                <w:sz w:val="16"/>
                <w:szCs w:val="16"/>
              </w:rPr>
              <w:t xml:space="preserve">of </w:t>
            </w:r>
            <w:r>
              <w:rPr>
                <w:b/>
                <w:sz w:val="16"/>
                <w:szCs w:val="16"/>
              </w:rPr>
              <w:t>assessment</w:t>
            </w:r>
          </w:p>
        </w:tc>
      </w:tr>
      <w:tr w:rsidR="00050325" w:rsidRPr="00050325" w:rsidTr="00050325">
        <w:tc>
          <w:tcPr>
            <w:tcW w:w="1128" w:type="dxa"/>
          </w:tcPr>
          <w:p w:rsidR="00050325" w:rsidRPr="00050325" w:rsidRDefault="00050325" w:rsidP="003642B2">
            <w:pPr>
              <w:rPr>
                <w:sz w:val="16"/>
                <w:szCs w:val="16"/>
              </w:rPr>
            </w:pPr>
            <w:r w:rsidRPr="00050325">
              <w:rPr>
                <w:sz w:val="16"/>
                <w:szCs w:val="16"/>
              </w:rPr>
              <w:t>Amando &amp; dos Santos</w:t>
            </w:r>
          </w:p>
        </w:tc>
        <w:tc>
          <w:tcPr>
            <w:tcW w:w="823" w:type="dxa"/>
            <w:gridSpan w:val="2"/>
          </w:tcPr>
          <w:p w:rsidR="00050325" w:rsidRPr="00050325" w:rsidRDefault="00050325" w:rsidP="003642B2">
            <w:pPr>
              <w:rPr>
                <w:sz w:val="16"/>
                <w:szCs w:val="16"/>
              </w:rPr>
            </w:pPr>
            <w:r w:rsidRPr="00050325">
              <w:rPr>
                <w:sz w:val="16"/>
                <w:szCs w:val="16"/>
              </w:rPr>
              <w:t>2009</w:t>
            </w:r>
          </w:p>
        </w:tc>
        <w:tc>
          <w:tcPr>
            <w:tcW w:w="1134" w:type="dxa"/>
          </w:tcPr>
          <w:p w:rsidR="00050325" w:rsidRPr="00050325" w:rsidRDefault="00050325" w:rsidP="003642B2">
            <w:pPr>
              <w:rPr>
                <w:sz w:val="16"/>
                <w:szCs w:val="16"/>
              </w:rPr>
            </w:pPr>
            <w:r w:rsidRPr="00050325">
              <w:rPr>
                <w:sz w:val="16"/>
                <w:szCs w:val="16"/>
              </w:rPr>
              <w:t>Portugal</w:t>
            </w:r>
          </w:p>
        </w:tc>
        <w:tc>
          <w:tcPr>
            <w:tcW w:w="1276" w:type="dxa"/>
          </w:tcPr>
          <w:p w:rsidR="00050325" w:rsidRPr="00050325" w:rsidRDefault="00050325" w:rsidP="003642B2">
            <w:pPr>
              <w:rPr>
                <w:sz w:val="16"/>
                <w:szCs w:val="16"/>
              </w:rPr>
            </w:pPr>
            <w:r w:rsidRPr="00050325">
              <w:rPr>
                <w:sz w:val="16"/>
                <w:szCs w:val="16"/>
              </w:rPr>
              <w:t>Data from all Portuguese health centres (n = 351) between 2004 and 2005 (researcher completed)</w:t>
            </w:r>
          </w:p>
        </w:tc>
        <w:tc>
          <w:tcPr>
            <w:tcW w:w="1134" w:type="dxa"/>
          </w:tcPr>
          <w:p w:rsidR="00050325" w:rsidRPr="00050325" w:rsidRDefault="00050325" w:rsidP="003642B2">
            <w:pPr>
              <w:rPr>
                <w:sz w:val="16"/>
                <w:szCs w:val="16"/>
              </w:rPr>
            </w:pPr>
            <w:r w:rsidRPr="00050325">
              <w:rPr>
                <w:sz w:val="16"/>
                <w:szCs w:val="16"/>
              </w:rPr>
              <w:t>Cross-sectional, survey-based</w:t>
            </w:r>
          </w:p>
        </w:tc>
        <w:tc>
          <w:tcPr>
            <w:tcW w:w="2126" w:type="dxa"/>
          </w:tcPr>
          <w:p w:rsidR="00050325" w:rsidRPr="00050325" w:rsidRDefault="00050325" w:rsidP="003642B2">
            <w:pPr>
              <w:rPr>
                <w:sz w:val="16"/>
                <w:szCs w:val="16"/>
              </w:rPr>
            </w:pPr>
            <w:r w:rsidRPr="00050325">
              <w:rPr>
                <w:sz w:val="16"/>
                <w:szCs w:val="16"/>
              </w:rPr>
              <w:t>To compare the geographical equity of access to services, technical efficiency and quality of</w:t>
            </w:r>
          </w:p>
          <w:p w:rsidR="00050325" w:rsidRPr="00050325" w:rsidRDefault="00050325" w:rsidP="003642B2">
            <w:pPr>
              <w:rPr>
                <w:sz w:val="16"/>
                <w:szCs w:val="16"/>
              </w:rPr>
            </w:pPr>
            <w:r w:rsidRPr="00050325">
              <w:rPr>
                <w:sz w:val="16"/>
                <w:szCs w:val="16"/>
              </w:rPr>
              <w:t>services across district health authorities</w:t>
            </w:r>
          </w:p>
        </w:tc>
        <w:tc>
          <w:tcPr>
            <w:tcW w:w="2164" w:type="dxa"/>
          </w:tcPr>
          <w:p w:rsidR="00050325" w:rsidRPr="00050325" w:rsidRDefault="00050325" w:rsidP="003642B2">
            <w:pPr>
              <w:rPr>
                <w:sz w:val="16"/>
                <w:szCs w:val="16"/>
              </w:rPr>
            </w:pPr>
            <w:r w:rsidRPr="00050325">
              <w:rPr>
                <w:sz w:val="16"/>
                <w:szCs w:val="16"/>
              </w:rPr>
              <w:t>Percentage of registered patients who have</w:t>
            </w:r>
          </w:p>
          <w:p w:rsidR="00050325" w:rsidRPr="00050325" w:rsidRDefault="00050325" w:rsidP="003642B2">
            <w:pPr>
              <w:rPr>
                <w:sz w:val="16"/>
                <w:szCs w:val="16"/>
              </w:rPr>
            </w:pPr>
            <w:r w:rsidRPr="00050325">
              <w:rPr>
                <w:sz w:val="16"/>
                <w:szCs w:val="16"/>
              </w:rPr>
              <w:t xml:space="preserve">a designated family doctor to assess equity. Data envelopment analysis to assess technical efficiency. </w:t>
            </w:r>
          </w:p>
        </w:tc>
        <w:tc>
          <w:tcPr>
            <w:tcW w:w="1559" w:type="dxa"/>
          </w:tcPr>
          <w:p w:rsidR="00050325" w:rsidRPr="00050325" w:rsidRDefault="00050325" w:rsidP="003642B2">
            <w:pPr>
              <w:rPr>
                <w:sz w:val="16"/>
                <w:szCs w:val="16"/>
              </w:rPr>
            </w:pPr>
            <w:r w:rsidRPr="00050325">
              <w:rPr>
                <w:sz w:val="16"/>
                <w:szCs w:val="16"/>
              </w:rPr>
              <w:t>Routinely collected data (Instituto de Gestão Informática e Financeira da Saúde)</w:t>
            </w:r>
          </w:p>
        </w:tc>
        <w:tc>
          <w:tcPr>
            <w:tcW w:w="2655" w:type="dxa"/>
          </w:tcPr>
          <w:p w:rsidR="00050325" w:rsidRPr="00050325" w:rsidRDefault="00050325" w:rsidP="003642B2">
            <w:pPr>
              <w:rPr>
                <w:sz w:val="16"/>
                <w:szCs w:val="16"/>
              </w:rPr>
            </w:pPr>
            <w:r w:rsidRPr="00050325">
              <w:rPr>
                <w:sz w:val="16"/>
                <w:szCs w:val="16"/>
              </w:rPr>
              <w:t>Equity, efficiency and quality of services</w:t>
            </w:r>
          </w:p>
        </w:tc>
      </w:tr>
      <w:tr w:rsidR="00050325" w:rsidRPr="00050325" w:rsidTr="00050325">
        <w:tc>
          <w:tcPr>
            <w:tcW w:w="1128" w:type="dxa"/>
          </w:tcPr>
          <w:p w:rsidR="00050325" w:rsidRPr="00050325" w:rsidRDefault="00050325" w:rsidP="003642B2">
            <w:pPr>
              <w:rPr>
                <w:sz w:val="16"/>
                <w:szCs w:val="16"/>
              </w:rPr>
            </w:pPr>
            <w:r w:rsidRPr="00050325">
              <w:rPr>
                <w:sz w:val="16"/>
                <w:szCs w:val="16"/>
              </w:rPr>
              <w:t>Beaulieu et al.</w:t>
            </w:r>
          </w:p>
        </w:tc>
        <w:tc>
          <w:tcPr>
            <w:tcW w:w="823" w:type="dxa"/>
            <w:gridSpan w:val="2"/>
          </w:tcPr>
          <w:p w:rsidR="00050325" w:rsidRPr="00050325" w:rsidRDefault="00050325" w:rsidP="003642B2">
            <w:pPr>
              <w:rPr>
                <w:sz w:val="16"/>
                <w:szCs w:val="16"/>
              </w:rPr>
            </w:pPr>
            <w:r w:rsidRPr="00050325">
              <w:rPr>
                <w:sz w:val="16"/>
                <w:szCs w:val="16"/>
              </w:rPr>
              <w:t>2013</w:t>
            </w:r>
          </w:p>
        </w:tc>
        <w:tc>
          <w:tcPr>
            <w:tcW w:w="1134" w:type="dxa"/>
          </w:tcPr>
          <w:p w:rsidR="00050325" w:rsidRPr="00050325" w:rsidRDefault="00050325" w:rsidP="003642B2">
            <w:pPr>
              <w:rPr>
                <w:sz w:val="16"/>
                <w:szCs w:val="16"/>
              </w:rPr>
            </w:pPr>
            <w:r w:rsidRPr="00050325">
              <w:rPr>
                <w:sz w:val="16"/>
                <w:szCs w:val="16"/>
              </w:rPr>
              <w:t>PC practices from</w:t>
            </w:r>
          </w:p>
          <w:p w:rsidR="00050325" w:rsidRPr="00050325" w:rsidRDefault="00050325" w:rsidP="003642B2">
            <w:pPr>
              <w:rPr>
                <w:sz w:val="16"/>
                <w:szCs w:val="16"/>
              </w:rPr>
            </w:pPr>
            <w:r w:rsidRPr="00050325">
              <w:rPr>
                <w:sz w:val="16"/>
                <w:szCs w:val="16"/>
              </w:rPr>
              <w:t>3 regions of Quebec, Canada</w:t>
            </w:r>
          </w:p>
        </w:tc>
        <w:tc>
          <w:tcPr>
            <w:tcW w:w="1276" w:type="dxa"/>
          </w:tcPr>
          <w:p w:rsidR="00050325" w:rsidRPr="00050325" w:rsidRDefault="00050325" w:rsidP="003642B2">
            <w:pPr>
              <w:rPr>
                <w:sz w:val="16"/>
                <w:szCs w:val="16"/>
              </w:rPr>
            </w:pPr>
            <w:r w:rsidRPr="00050325">
              <w:rPr>
                <w:sz w:val="16"/>
                <w:szCs w:val="16"/>
              </w:rPr>
              <w:t>A stratified random</w:t>
            </w:r>
          </w:p>
          <w:p w:rsidR="00050325" w:rsidRPr="00050325" w:rsidRDefault="00050325" w:rsidP="003642B2">
            <w:pPr>
              <w:rPr>
                <w:sz w:val="16"/>
                <w:szCs w:val="16"/>
              </w:rPr>
            </w:pPr>
            <w:r w:rsidRPr="00050325">
              <w:rPr>
                <w:sz w:val="16"/>
                <w:szCs w:val="16"/>
              </w:rPr>
              <w:t>sample of 37 PC physicians</w:t>
            </w:r>
          </w:p>
          <w:p w:rsidR="00050325" w:rsidRPr="00050325" w:rsidRDefault="00050325" w:rsidP="003642B2">
            <w:pPr>
              <w:rPr>
                <w:sz w:val="16"/>
                <w:szCs w:val="16"/>
              </w:rPr>
            </w:pPr>
          </w:p>
        </w:tc>
        <w:tc>
          <w:tcPr>
            <w:tcW w:w="1134" w:type="dxa"/>
          </w:tcPr>
          <w:p w:rsidR="00050325" w:rsidRPr="00050325" w:rsidRDefault="00050325" w:rsidP="003642B2">
            <w:pPr>
              <w:rPr>
                <w:sz w:val="16"/>
                <w:szCs w:val="16"/>
              </w:rPr>
            </w:pPr>
            <w:r w:rsidRPr="00050325">
              <w:rPr>
                <w:sz w:val="16"/>
                <w:szCs w:val="16"/>
              </w:rPr>
              <w:t>Survey-based</w:t>
            </w:r>
          </w:p>
        </w:tc>
        <w:tc>
          <w:tcPr>
            <w:tcW w:w="2126" w:type="dxa"/>
          </w:tcPr>
          <w:p w:rsidR="00050325" w:rsidRPr="00050325" w:rsidRDefault="00050325" w:rsidP="003642B2">
            <w:pPr>
              <w:rPr>
                <w:sz w:val="16"/>
                <w:szCs w:val="16"/>
              </w:rPr>
            </w:pPr>
            <w:r w:rsidRPr="00050325">
              <w:rPr>
                <w:sz w:val="16"/>
                <w:szCs w:val="16"/>
              </w:rPr>
              <w:t>To identify the</w:t>
            </w:r>
          </w:p>
          <w:p w:rsidR="00050325" w:rsidRPr="00050325" w:rsidRDefault="00050325" w:rsidP="003642B2">
            <w:pPr>
              <w:rPr>
                <w:sz w:val="16"/>
                <w:szCs w:val="16"/>
              </w:rPr>
            </w:pPr>
            <w:r w:rsidRPr="00050325">
              <w:rPr>
                <w:sz w:val="16"/>
                <w:szCs w:val="16"/>
              </w:rPr>
              <w:t>organizational characteristics of primary care</w:t>
            </w:r>
          </w:p>
          <w:p w:rsidR="00050325" w:rsidRPr="00050325" w:rsidRDefault="00050325" w:rsidP="003642B2">
            <w:pPr>
              <w:rPr>
                <w:sz w:val="16"/>
                <w:szCs w:val="16"/>
              </w:rPr>
            </w:pPr>
            <w:r w:rsidRPr="00050325">
              <w:rPr>
                <w:sz w:val="16"/>
                <w:szCs w:val="16"/>
              </w:rPr>
              <w:t>practices that provide high-quality PC</w:t>
            </w:r>
          </w:p>
        </w:tc>
        <w:tc>
          <w:tcPr>
            <w:tcW w:w="2164" w:type="dxa"/>
          </w:tcPr>
          <w:p w:rsidR="00050325" w:rsidRPr="00050325" w:rsidRDefault="00050325" w:rsidP="003642B2">
            <w:pPr>
              <w:rPr>
                <w:sz w:val="16"/>
                <w:szCs w:val="16"/>
              </w:rPr>
            </w:pPr>
            <w:r w:rsidRPr="00050325">
              <w:rPr>
                <w:sz w:val="16"/>
                <w:szCs w:val="16"/>
              </w:rPr>
              <w:t xml:space="preserve">Organisational characteristics using a validated questionnaire and the Team Climate Inventory. </w:t>
            </w:r>
          </w:p>
        </w:tc>
        <w:tc>
          <w:tcPr>
            <w:tcW w:w="1559" w:type="dxa"/>
          </w:tcPr>
          <w:p w:rsidR="00050325" w:rsidRPr="00050325" w:rsidRDefault="00050325" w:rsidP="003642B2">
            <w:pPr>
              <w:rPr>
                <w:sz w:val="16"/>
                <w:szCs w:val="16"/>
              </w:rPr>
            </w:pPr>
            <w:r w:rsidRPr="00050325">
              <w:rPr>
                <w:sz w:val="16"/>
                <w:szCs w:val="16"/>
              </w:rPr>
              <w:t>Survey instruments validated in French and English</w:t>
            </w:r>
          </w:p>
        </w:tc>
        <w:tc>
          <w:tcPr>
            <w:tcW w:w="2655" w:type="dxa"/>
          </w:tcPr>
          <w:p w:rsidR="00050325" w:rsidRPr="00050325" w:rsidRDefault="00050325" w:rsidP="003642B2">
            <w:pPr>
              <w:rPr>
                <w:sz w:val="16"/>
                <w:szCs w:val="16"/>
              </w:rPr>
            </w:pPr>
            <w:r w:rsidRPr="00050325">
              <w:rPr>
                <w:sz w:val="16"/>
                <w:szCs w:val="16"/>
              </w:rPr>
              <w:t>Identifying organizational characteristics associated with quality of care</w:t>
            </w:r>
          </w:p>
        </w:tc>
      </w:tr>
      <w:tr w:rsidR="00050325" w:rsidRPr="00050325" w:rsidTr="00050325">
        <w:tc>
          <w:tcPr>
            <w:tcW w:w="1128" w:type="dxa"/>
          </w:tcPr>
          <w:p w:rsidR="00050325" w:rsidRPr="00050325" w:rsidRDefault="00050325" w:rsidP="003642B2">
            <w:pPr>
              <w:rPr>
                <w:sz w:val="16"/>
                <w:szCs w:val="16"/>
              </w:rPr>
            </w:pPr>
            <w:r w:rsidRPr="00050325">
              <w:rPr>
                <w:sz w:val="16"/>
                <w:szCs w:val="16"/>
              </w:rPr>
              <w:t>Kringos et al.</w:t>
            </w:r>
          </w:p>
        </w:tc>
        <w:tc>
          <w:tcPr>
            <w:tcW w:w="823" w:type="dxa"/>
            <w:gridSpan w:val="2"/>
          </w:tcPr>
          <w:p w:rsidR="00050325" w:rsidRPr="00050325" w:rsidRDefault="00050325" w:rsidP="00050325">
            <w:pPr>
              <w:rPr>
                <w:sz w:val="16"/>
                <w:szCs w:val="16"/>
              </w:rPr>
            </w:pPr>
            <w:r w:rsidRPr="00050325">
              <w:rPr>
                <w:sz w:val="16"/>
                <w:szCs w:val="16"/>
              </w:rPr>
              <w:t>2013</w:t>
            </w:r>
          </w:p>
        </w:tc>
        <w:tc>
          <w:tcPr>
            <w:tcW w:w="1134" w:type="dxa"/>
          </w:tcPr>
          <w:p w:rsidR="00050325" w:rsidRPr="00050325" w:rsidRDefault="00050325" w:rsidP="003642B2">
            <w:pPr>
              <w:rPr>
                <w:sz w:val="16"/>
                <w:szCs w:val="16"/>
              </w:rPr>
            </w:pPr>
            <w:r w:rsidRPr="00050325">
              <w:rPr>
                <w:sz w:val="16"/>
                <w:szCs w:val="16"/>
              </w:rPr>
              <w:t>27 EU member states, plus Iceland, Norway,</w:t>
            </w:r>
          </w:p>
          <w:p w:rsidR="00050325" w:rsidRPr="00050325" w:rsidRDefault="00050325" w:rsidP="003642B2">
            <w:pPr>
              <w:rPr>
                <w:sz w:val="16"/>
                <w:szCs w:val="16"/>
              </w:rPr>
            </w:pPr>
            <w:r w:rsidRPr="00050325">
              <w:rPr>
                <w:sz w:val="16"/>
                <w:szCs w:val="16"/>
              </w:rPr>
              <w:t>Switzerland and Turkey</w:t>
            </w:r>
          </w:p>
        </w:tc>
        <w:tc>
          <w:tcPr>
            <w:tcW w:w="1276" w:type="dxa"/>
          </w:tcPr>
          <w:p w:rsidR="00050325" w:rsidRPr="00050325" w:rsidRDefault="00050325" w:rsidP="003642B2">
            <w:pPr>
              <w:rPr>
                <w:sz w:val="16"/>
                <w:szCs w:val="16"/>
              </w:rPr>
            </w:pPr>
            <w:r w:rsidRPr="00050325">
              <w:rPr>
                <w:sz w:val="16"/>
                <w:szCs w:val="16"/>
              </w:rPr>
              <w:t>31 countries (researcher completed)</w:t>
            </w:r>
          </w:p>
        </w:tc>
        <w:tc>
          <w:tcPr>
            <w:tcW w:w="1134" w:type="dxa"/>
          </w:tcPr>
          <w:p w:rsidR="00050325" w:rsidRPr="00050325" w:rsidRDefault="00050325" w:rsidP="003642B2">
            <w:pPr>
              <w:rPr>
                <w:sz w:val="16"/>
                <w:szCs w:val="16"/>
              </w:rPr>
            </w:pPr>
            <w:r w:rsidRPr="00050325">
              <w:rPr>
                <w:sz w:val="16"/>
                <w:szCs w:val="16"/>
              </w:rPr>
              <w:t>International comparative cross-sectional</w:t>
            </w:r>
          </w:p>
          <w:p w:rsidR="00050325" w:rsidRPr="00050325" w:rsidRDefault="00050325" w:rsidP="003642B2">
            <w:pPr>
              <w:rPr>
                <w:sz w:val="16"/>
                <w:szCs w:val="16"/>
              </w:rPr>
            </w:pPr>
            <w:r w:rsidRPr="00050325">
              <w:rPr>
                <w:sz w:val="16"/>
                <w:szCs w:val="16"/>
              </w:rPr>
              <w:t>study</w:t>
            </w:r>
          </w:p>
        </w:tc>
        <w:tc>
          <w:tcPr>
            <w:tcW w:w="2126" w:type="dxa"/>
          </w:tcPr>
          <w:p w:rsidR="00050325" w:rsidRPr="00050325" w:rsidRDefault="00050325" w:rsidP="003642B2">
            <w:pPr>
              <w:rPr>
                <w:sz w:val="16"/>
                <w:szCs w:val="16"/>
              </w:rPr>
            </w:pPr>
            <w:r w:rsidRPr="00050325">
              <w:rPr>
                <w:sz w:val="16"/>
                <w:szCs w:val="16"/>
              </w:rPr>
              <w:t>Evaluation of strength of primary care in Europe</w:t>
            </w:r>
          </w:p>
        </w:tc>
        <w:tc>
          <w:tcPr>
            <w:tcW w:w="2164" w:type="dxa"/>
          </w:tcPr>
          <w:p w:rsidR="00050325" w:rsidRPr="00050325" w:rsidRDefault="00050325" w:rsidP="003642B2">
            <w:pPr>
              <w:rPr>
                <w:sz w:val="16"/>
                <w:szCs w:val="16"/>
              </w:rPr>
            </w:pPr>
            <w:r w:rsidRPr="00050325">
              <w:rPr>
                <w:sz w:val="16"/>
                <w:szCs w:val="16"/>
              </w:rPr>
              <w:t>The European Primary Care Monitor consisted of a mix of quantitative and qualitative indicators extracted from international databases, scientific publications, national statistics offices, healthcare stakeholders, and national experts.</w:t>
            </w:r>
          </w:p>
        </w:tc>
        <w:tc>
          <w:tcPr>
            <w:tcW w:w="1559" w:type="dxa"/>
          </w:tcPr>
          <w:p w:rsidR="00050325" w:rsidRPr="00050325" w:rsidRDefault="00050325" w:rsidP="003642B2">
            <w:pPr>
              <w:rPr>
                <w:sz w:val="16"/>
                <w:szCs w:val="16"/>
              </w:rPr>
            </w:pPr>
            <w:r w:rsidRPr="00050325">
              <w:rPr>
                <w:sz w:val="16"/>
                <w:szCs w:val="16"/>
              </w:rPr>
              <w:t>Reliability coefficients (0.53 to 0.57) with only two scales (economic conditions and continuity of care) scoring lower (0.26 and 0.35 respectively)</w:t>
            </w:r>
          </w:p>
        </w:tc>
        <w:tc>
          <w:tcPr>
            <w:tcW w:w="2655" w:type="dxa"/>
          </w:tcPr>
          <w:p w:rsidR="00050325" w:rsidRPr="00050325" w:rsidRDefault="00050325" w:rsidP="003642B2">
            <w:pPr>
              <w:rPr>
                <w:sz w:val="16"/>
                <w:szCs w:val="16"/>
              </w:rPr>
            </w:pPr>
            <w:r w:rsidRPr="00050325">
              <w:rPr>
                <w:sz w:val="16"/>
                <w:szCs w:val="16"/>
              </w:rPr>
              <w:t>Two levels with seven dimensions</w:t>
            </w:r>
          </w:p>
          <w:p w:rsidR="00050325" w:rsidRPr="00050325" w:rsidRDefault="00050325" w:rsidP="003642B2">
            <w:pPr>
              <w:rPr>
                <w:sz w:val="16"/>
                <w:szCs w:val="16"/>
              </w:rPr>
            </w:pPr>
            <w:r w:rsidRPr="00050325">
              <w:rPr>
                <w:sz w:val="16"/>
                <w:szCs w:val="16"/>
              </w:rPr>
              <w:t xml:space="preserve">of primary care (level 1 - structure: </w:t>
            </w:r>
          </w:p>
          <w:p w:rsidR="00050325" w:rsidRPr="00050325" w:rsidRDefault="00050325" w:rsidP="003642B2">
            <w:pPr>
              <w:rPr>
                <w:sz w:val="16"/>
                <w:szCs w:val="16"/>
              </w:rPr>
            </w:pPr>
            <w:r w:rsidRPr="00050325">
              <w:rPr>
                <w:sz w:val="16"/>
                <w:szCs w:val="16"/>
              </w:rPr>
              <w:t>governance, economic conditions, workforce</w:t>
            </w:r>
          </w:p>
          <w:p w:rsidR="00050325" w:rsidRPr="00050325" w:rsidRDefault="00050325" w:rsidP="003642B2">
            <w:pPr>
              <w:rPr>
                <w:sz w:val="16"/>
                <w:szCs w:val="16"/>
              </w:rPr>
            </w:pPr>
            <w:r w:rsidRPr="00050325">
              <w:rPr>
                <w:sz w:val="16"/>
                <w:szCs w:val="16"/>
              </w:rPr>
              <w:t xml:space="preserve">development; </w:t>
            </w:r>
          </w:p>
          <w:p w:rsidR="00050325" w:rsidRPr="00050325" w:rsidRDefault="00050325" w:rsidP="003642B2">
            <w:pPr>
              <w:rPr>
                <w:sz w:val="16"/>
                <w:szCs w:val="16"/>
              </w:rPr>
            </w:pPr>
            <w:r w:rsidRPr="00050325">
              <w:rPr>
                <w:sz w:val="16"/>
                <w:szCs w:val="16"/>
              </w:rPr>
              <w:t>level 2 - process: accessibility,</w:t>
            </w:r>
          </w:p>
          <w:p w:rsidR="00050325" w:rsidRPr="00050325" w:rsidRDefault="00050325" w:rsidP="003642B2">
            <w:pPr>
              <w:rPr>
                <w:sz w:val="16"/>
                <w:szCs w:val="16"/>
              </w:rPr>
            </w:pPr>
            <w:r w:rsidRPr="00050325">
              <w:rPr>
                <w:sz w:val="16"/>
                <w:szCs w:val="16"/>
              </w:rPr>
              <w:t>comprehensiveness, continuity, and coordination</w:t>
            </w:r>
          </w:p>
        </w:tc>
      </w:tr>
      <w:tr w:rsidR="00050325" w:rsidRPr="00050325" w:rsidTr="00050325">
        <w:tc>
          <w:tcPr>
            <w:tcW w:w="1128" w:type="dxa"/>
          </w:tcPr>
          <w:p w:rsidR="00050325" w:rsidRPr="00050325" w:rsidRDefault="00050325" w:rsidP="003642B2">
            <w:pPr>
              <w:rPr>
                <w:sz w:val="16"/>
                <w:szCs w:val="16"/>
              </w:rPr>
            </w:pPr>
            <w:r w:rsidRPr="00050325">
              <w:rPr>
                <w:sz w:val="16"/>
                <w:szCs w:val="16"/>
              </w:rPr>
              <w:t>Levesque et al.</w:t>
            </w:r>
          </w:p>
        </w:tc>
        <w:tc>
          <w:tcPr>
            <w:tcW w:w="823" w:type="dxa"/>
            <w:gridSpan w:val="2"/>
          </w:tcPr>
          <w:p w:rsidR="00050325" w:rsidRPr="00050325" w:rsidRDefault="00050325" w:rsidP="003642B2">
            <w:pPr>
              <w:rPr>
                <w:sz w:val="16"/>
                <w:szCs w:val="16"/>
              </w:rPr>
            </w:pPr>
            <w:r w:rsidRPr="00050325">
              <w:rPr>
                <w:sz w:val="16"/>
                <w:szCs w:val="16"/>
              </w:rPr>
              <w:t>2010</w:t>
            </w:r>
          </w:p>
        </w:tc>
        <w:tc>
          <w:tcPr>
            <w:tcW w:w="1134" w:type="dxa"/>
          </w:tcPr>
          <w:p w:rsidR="00050325" w:rsidRPr="00050325" w:rsidRDefault="00050325" w:rsidP="003642B2">
            <w:pPr>
              <w:rPr>
                <w:sz w:val="16"/>
                <w:szCs w:val="16"/>
              </w:rPr>
            </w:pPr>
            <w:r w:rsidRPr="00050325">
              <w:rPr>
                <w:sz w:val="16"/>
                <w:szCs w:val="16"/>
              </w:rPr>
              <w:t>Quebec, Canada</w:t>
            </w:r>
          </w:p>
        </w:tc>
        <w:tc>
          <w:tcPr>
            <w:tcW w:w="1276" w:type="dxa"/>
          </w:tcPr>
          <w:p w:rsidR="00050325" w:rsidRPr="00050325" w:rsidRDefault="00050325" w:rsidP="003642B2">
            <w:pPr>
              <w:rPr>
                <w:sz w:val="16"/>
                <w:szCs w:val="16"/>
              </w:rPr>
            </w:pPr>
            <w:r w:rsidRPr="00050325">
              <w:rPr>
                <w:sz w:val="16"/>
                <w:szCs w:val="16"/>
              </w:rPr>
              <w:t>Randomly-selected adult patients from two populous regions in the province of Quebec</w:t>
            </w:r>
          </w:p>
        </w:tc>
        <w:tc>
          <w:tcPr>
            <w:tcW w:w="1134" w:type="dxa"/>
          </w:tcPr>
          <w:p w:rsidR="00050325" w:rsidRPr="00050325" w:rsidRDefault="00050325" w:rsidP="003642B2">
            <w:pPr>
              <w:rPr>
                <w:sz w:val="16"/>
                <w:szCs w:val="16"/>
              </w:rPr>
            </w:pPr>
            <w:r w:rsidRPr="00050325">
              <w:rPr>
                <w:sz w:val="16"/>
                <w:szCs w:val="16"/>
              </w:rPr>
              <w:t xml:space="preserve">Organizational-level data from a survey of 665 PHC clinics </w:t>
            </w:r>
          </w:p>
        </w:tc>
        <w:tc>
          <w:tcPr>
            <w:tcW w:w="2126" w:type="dxa"/>
          </w:tcPr>
          <w:p w:rsidR="00050325" w:rsidRPr="00050325" w:rsidRDefault="00050325" w:rsidP="003642B2">
            <w:pPr>
              <w:rPr>
                <w:sz w:val="16"/>
                <w:szCs w:val="16"/>
              </w:rPr>
            </w:pPr>
            <w:r w:rsidRPr="00050325">
              <w:rPr>
                <w:sz w:val="16"/>
                <w:szCs w:val="16"/>
              </w:rPr>
              <w:t>To assess the performance of PC models and the organisational factors associated with the high performance of PC</w:t>
            </w:r>
          </w:p>
          <w:p w:rsidR="00050325" w:rsidRPr="00050325" w:rsidRDefault="00050325" w:rsidP="003642B2">
            <w:pPr>
              <w:rPr>
                <w:sz w:val="16"/>
                <w:szCs w:val="16"/>
              </w:rPr>
            </w:pPr>
            <w:r w:rsidRPr="00050325">
              <w:rPr>
                <w:sz w:val="16"/>
                <w:szCs w:val="16"/>
              </w:rPr>
              <w:t>organisations</w:t>
            </w:r>
          </w:p>
        </w:tc>
        <w:tc>
          <w:tcPr>
            <w:tcW w:w="2164" w:type="dxa"/>
          </w:tcPr>
          <w:p w:rsidR="00050325" w:rsidRPr="00050325" w:rsidRDefault="00050325" w:rsidP="003642B2">
            <w:pPr>
              <w:rPr>
                <w:sz w:val="16"/>
                <w:szCs w:val="16"/>
              </w:rPr>
            </w:pPr>
            <w:r w:rsidRPr="00050325">
              <w:rPr>
                <w:sz w:val="16"/>
                <w:szCs w:val="16"/>
              </w:rPr>
              <w:t>Organizational-level data from a survey of PC</w:t>
            </w:r>
          </w:p>
          <w:p w:rsidR="00050325" w:rsidRPr="00050325" w:rsidRDefault="00050325" w:rsidP="003642B2">
            <w:pPr>
              <w:rPr>
                <w:sz w:val="16"/>
                <w:szCs w:val="16"/>
              </w:rPr>
            </w:pPr>
            <w:r w:rsidRPr="00050325">
              <w:rPr>
                <w:sz w:val="16"/>
                <w:szCs w:val="16"/>
              </w:rPr>
              <w:t>clinics and contextual-level information from a survey of</w:t>
            </w:r>
          </w:p>
          <w:p w:rsidR="00050325" w:rsidRPr="00050325" w:rsidRDefault="00050325" w:rsidP="003642B2">
            <w:pPr>
              <w:rPr>
                <w:sz w:val="16"/>
                <w:szCs w:val="16"/>
              </w:rPr>
            </w:pPr>
            <w:r w:rsidRPr="00050325">
              <w:rPr>
                <w:sz w:val="16"/>
                <w:szCs w:val="16"/>
              </w:rPr>
              <w:t>Local Centres.</w:t>
            </w:r>
          </w:p>
        </w:tc>
        <w:tc>
          <w:tcPr>
            <w:tcW w:w="1559" w:type="dxa"/>
          </w:tcPr>
          <w:p w:rsidR="00050325" w:rsidRPr="00050325" w:rsidRDefault="00050325" w:rsidP="003642B2">
            <w:pPr>
              <w:rPr>
                <w:sz w:val="16"/>
                <w:szCs w:val="16"/>
              </w:rPr>
            </w:pPr>
            <w:r w:rsidRPr="00050325">
              <w:rPr>
                <w:sz w:val="16"/>
                <w:szCs w:val="16"/>
              </w:rPr>
              <w:t>Previously validated in 2005 and 2007</w:t>
            </w:r>
          </w:p>
        </w:tc>
        <w:tc>
          <w:tcPr>
            <w:tcW w:w="2655" w:type="dxa"/>
          </w:tcPr>
          <w:p w:rsidR="00050325" w:rsidRPr="00050325" w:rsidRDefault="00050325" w:rsidP="003642B2">
            <w:pPr>
              <w:rPr>
                <w:sz w:val="16"/>
                <w:szCs w:val="16"/>
              </w:rPr>
            </w:pPr>
            <w:r w:rsidRPr="00050325">
              <w:rPr>
                <w:sz w:val="16"/>
                <w:szCs w:val="16"/>
              </w:rPr>
              <w:t>Magnitude and direction of organisational change; Association of organisational change with the</w:t>
            </w:r>
          </w:p>
          <w:p w:rsidR="00050325" w:rsidRPr="00050325" w:rsidRDefault="00050325" w:rsidP="003642B2">
            <w:pPr>
              <w:rPr>
                <w:sz w:val="16"/>
                <w:szCs w:val="16"/>
              </w:rPr>
            </w:pPr>
            <w:r w:rsidRPr="00050325">
              <w:rPr>
                <w:sz w:val="16"/>
                <w:szCs w:val="16"/>
              </w:rPr>
              <w:t>implementation of Local Networks and indicators of PHC performance (coverage, process and outcomes of care)</w:t>
            </w:r>
          </w:p>
        </w:tc>
      </w:tr>
      <w:tr w:rsidR="00050325" w:rsidRPr="00050325" w:rsidTr="00050325">
        <w:trPr>
          <w:trHeight w:val="1243"/>
        </w:trPr>
        <w:tc>
          <w:tcPr>
            <w:tcW w:w="1128" w:type="dxa"/>
          </w:tcPr>
          <w:p w:rsidR="00050325" w:rsidRPr="00050325" w:rsidRDefault="00050325" w:rsidP="003642B2">
            <w:pPr>
              <w:rPr>
                <w:sz w:val="16"/>
                <w:szCs w:val="16"/>
              </w:rPr>
            </w:pPr>
            <w:r w:rsidRPr="00050325">
              <w:rPr>
                <w:sz w:val="16"/>
                <w:szCs w:val="16"/>
              </w:rPr>
              <w:t>Schafer et al.</w:t>
            </w:r>
          </w:p>
        </w:tc>
        <w:tc>
          <w:tcPr>
            <w:tcW w:w="714" w:type="dxa"/>
          </w:tcPr>
          <w:p w:rsidR="00050325" w:rsidRPr="00050325" w:rsidRDefault="00050325" w:rsidP="003642B2">
            <w:pPr>
              <w:rPr>
                <w:sz w:val="16"/>
                <w:szCs w:val="16"/>
              </w:rPr>
            </w:pPr>
            <w:r w:rsidRPr="00050325">
              <w:rPr>
                <w:sz w:val="16"/>
                <w:szCs w:val="16"/>
              </w:rPr>
              <w:t>2013</w:t>
            </w:r>
          </w:p>
        </w:tc>
        <w:tc>
          <w:tcPr>
            <w:tcW w:w="1243" w:type="dxa"/>
            <w:gridSpan w:val="2"/>
          </w:tcPr>
          <w:p w:rsidR="00050325" w:rsidRPr="00050325" w:rsidRDefault="00050325" w:rsidP="003642B2">
            <w:pPr>
              <w:rPr>
                <w:sz w:val="16"/>
                <w:szCs w:val="16"/>
              </w:rPr>
            </w:pPr>
            <w:r w:rsidRPr="00050325">
              <w:rPr>
                <w:sz w:val="16"/>
                <w:szCs w:val="16"/>
              </w:rPr>
              <w:t>Belgium, the Netherlands and Slovenia</w:t>
            </w:r>
          </w:p>
        </w:tc>
        <w:tc>
          <w:tcPr>
            <w:tcW w:w="1276" w:type="dxa"/>
          </w:tcPr>
          <w:p w:rsidR="00050325" w:rsidRPr="00050325" w:rsidRDefault="00050325" w:rsidP="003642B2">
            <w:pPr>
              <w:rPr>
                <w:sz w:val="16"/>
                <w:szCs w:val="16"/>
              </w:rPr>
            </w:pPr>
            <w:r w:rsidRPr="00050325">
              <w:rPr>
                <w:sz w:val="16"/>
                <w:szCs w:val="16"/>
              </w:rPr>
              <w:t>Convenience sample of ~30 GPs invited, 112 patient questionnaires completed</w:t>
            </w:r>
          </w:p>
        </w:tc>
        <w:tc>
          <w:tcPr>
            <w:tcW w:w="1134" w:type="dxa"/>
          </w:tcPr>
          <w:p w:rsidR="00050325" w:rsidRPr="00050325" w:rsidRDefault="00050325" w:rsidP="003642B2">
            <w:pPr>
              <w:rPr>
                <w:sz w:val="16"/>
                <w:szCs w:val="16"/>
              </w:rPr>
            </w:pPr>
            <w:r w:rsidRPr="00050325">
              <w:rPr>
                <w:sz w:val="16"/>
                <w:szCs w:val="16"/>
              </w:rPr>
              <w:t xml:space="preserve">Questionnaire development and pilot survey </w:t>
            </w:r>
          </w:p>
        </w:tc>
        <w:tc>
          <w:tcPr>
            <w:tcW w:w="2126" w:type="dxa"/>
          </w:tcPr>
          <w:p w:rsidR="00050325" w:rsidRPr="00050325" w:rsidRDefault="00050325" w:rsidP="003642B2">
            <w:pPr>
              <w:rPr>
                <w:sz w:val="16"/>
                <w:szCs w:val="16"/>
              </w:rPr>
            </w:pPr>
            <w:r w:rsidRPr="00050325">
              <w:rPr>
                <w:sz w:val="16"/>
                <w:szCs w:val="16"/>
              </w:rPr>
              <w:t>To explore the measurement of primary health care systems quality, cost, and equity</w:t>
            </w:r>
          </w:p>
        </w:tc>
        <w:tc>
          <w:tcPr>
            <w:tcW w:w="2164" w:type="dxa"/>
          </w:tcPr>
          <w:p w:rsidR="00050325" w:rsidRPr="00050325" w:rsidRDefault="00050325" w:rsidP="003642B2">
            <w:pPr>
              <w:rPr>
                <w:sz w:val="16"/>
                <w:szCs w:val="16"/>
              </w:rPr>
            </w:pPr>
            <w:r w:rsidRPr="00050325">
              <w:rPr>
                <w:sz w:val="16"/>
                <w:szCs w:val="16"/>
              </w:rPr>
              <w:t>GP questionnaire to assess structural aspects and care processes of PC.  Practice questionnaire</w:t>
            </w:r>
          </w:p>
          <w:p w:rsidR="00050325" w:rsidRPr="00050325" w:rsidRDefault="00050325" w:rsidP="003642B2">
            <w:pPr>
              <w:rPr>
                <w:sz w:val="16"/>
                <w:szCs w:val="16"/>
              </w:rPr>
            </w:pPr>
            <w:r w:rsidRPr="00050325">
              <w:rPr>
                <w:sz w:val="16"/>
                <w:szCs w:val="16"/>
              </w:rPr>
              <w:t>to assess practice characteristics</w:t>
            </w:r>
          </w:p>
        </w:tc>
        <w:tc>
          <w:tcPr>
            <w:tcW w:w="1559" w:type="dxa"/>
          </w:tcPr>
          <w:p w:rsidR="00050325" w:rsidRPr="00050325" w:rsidRDefault="00050325" w:rsidP="003642B2">
            <w:pPr>
              <w:rPr>
                <w:sz w:val="16"/>
                <w:szCs w:val="16"/>
              </w:rPr>
            </w:pPr>
            <w:r w:rsidRPr="00050325">
              <w:rPr>
                <w:sz w:val="16"/>
                <w:szCs w:val="16"/>
              </w:rPr>
              <w:t>The four questionnaires are based on existing, validated questionnaires</w:t>
            </w:r>
          </w:p>
          <w:p w:rsidR="00050325" w:rsidRPr="00050325" w:rsidRDefault="00050325" w:rsidP="003642B2">
            <w:pPr>
              <w:rPr>
                <w:sz w:val="16"/>
                <w:szCs w:val="16"/>
              </w:rPr>
            </w:pPr>
            <w:r w:rsidRPr="00050325">
              <w:rPr>
                <w:sz w:val="16"/>
                <w:szCs w:val="16"/>
              </w:rPr>
              <w:t>and tested through a pilot survey</w:t>
            </w:r>
          </w:p>
        </w:tc>
        <w:tc>
          <w:tcPr>
            <w:tcW w:w="2655" w:type="dxa"/>
          </w:tcPr>
          <w:p w:rsidR="00050325" w:rsidRPr="00050325" w:rsidRDefault="00050325" w:rsidP="003642B2">
            <w:pPr>
              <w:rPr>
                <w:sz w:val="16"/>
                <w:szCs w:val="16"/>
              </w:rPr>
            </w:pPr>
            <w:r w:rsidRPr="00050325">
              <w:rPr>
                <w:sz w:val="16"/>
                <w:szCs w:val="16"/>
              </w:rPr>
              <w:t>Structural aspects of PC (e.g. economic conditions) and care</w:t>
            </w:r>
          </w:p>
          <w:p w:rsidR="00050325" w:rsidRPr="00050325" w:rsidRDefault="00050325" w:rsidP="003642B2">
            <w:pPr>
              <w:rPr>
                <w:sz w:val="16"/>
                <w:szCs w:val="16"/>
              </w:rPr>
            </w:pPr>
            <w:r w:rsidRPr="00050325">
              <w:rPr>
                <w:sz w:val="16"/>
                <w:szCs w:val="16"/>
              </w:rPr>
              <w:t>processes (e.g. comprehensiveness of services in PC).</w:t>
            </w:r>
          </w:p>
        </w:tc>
      </w:tr>
      <w:tr w:rsidR="00050325" w:rsidRPr="00050325" w:rsidTr="00050325">
        <w:tc>
          <w:tcPr>
            <w:tcW w:w="1128" w:type="dxa"/>
          </w:tcPr>
          <w:p w:rsidR="00050325" w:rsidRPr="00050325" w:rsidRDefault="00050325" w:rsidP="003642B2">
            <w:pPr>
              <w:rPr>
                <w:sz w:val="16"/>
                <w:szCs w:val="16"/>
              </w:rPr>
            </w:pPr>
            <w:r w:rsidRPr="00050325">
              <w:rPr>
                <w:sz w:val="16"/>
                <w:szCs w:val="16"/>
              </w:rPr>
              <w:t>Szecsenyi et al.</w:t>
            </w:r>
          </w:p>
        </w:tc>
        <w:tc>
          <w:tcPr>
            <w:tcW w:w="714" w:type="dxa"/>
          </w:tcPr>
          <w:p w:rsidR="00050325" w:rsidRPr="00050325" w:rsidRDefault="00050325" w:rsidP="003642B2">
            <w:pPr>
              <w:rPr>
                <w:sz w:val="16"/>
                <w:szCs w:val="16"/>
              </w:rPr>
            </w:pPr>
            <w:r w:rsidRPr="00050325">
              <w:rPr>
                <w:sz w:val="16"/>
                <w:szCs w:val="16"/>
              </w:rPr>
              <w:t>2011</w:t>
            </w:r>
          </w:p>
        </w:tc>
        <w:tc>
          <w:tcPr>
            <w:tcW w:w="1243" w:type="dxa"/>
            <w:gridSpan w:val="2"/>
          </w:tcPr>
          <w:p w:rsidR="00050325" w:rsidRPr="00050325" w:rsidRDefault="00050325" w:rsidP="003642B2">
            <w:pPr>
              <w:rPr>
                <w:sz w:val="16"/>
                <w:szCs w:val="16"/>
              </w:rPr>
            </w:pPr>
            <w:r w:rsidRPr="00050325">
              <w:rPr>
                <w:sz w:val="16"/>
                <w:szCs w:val="16"/>
              </w:rPr>
              <w:t>Germany</w:t>
            </w:r>
          </w:p>
        </w:tc>
        <w:tc>
          <w:tcPr>
            <w:tcW w:w="1276" w:type="dxa"/>
          </w:tcPr>
          <w:p w:rsidR="00050325" w:rsidRPr="00050325" w:rsidRDefault="00050325" w:rsidP="003642B2">
            <w:pPr>
              <w:rPr>
                <w:sz w:val="16"/>
                <w:szCs w:val="16"/>
              </w:rPr>
            </w:pPr>
            <w:r w:rsidRPr="00050325">
              <w:rPr>
                <w:sz w:val="16"/>
                <w:szCs w:val="16"/>
              </w:rPr>
              <w:t>204 PC practices (all practice staff, e.g., GPs, Practice Managers, etc.)</w:t>
            </w:r>
          </w:p>
        </w:tc>
        <w:tc>
          <w:tcPr>
            <w:tcW w:w="1134" w:type="dxa"/>
          </w:tcPr>
          <w:p w:rsidR="00050325" w:rsidRPr="00050325" w:rsidRDefault="00050325" w:rsidP="003642B2">
            <w:pPr>
              <w:rPr>
                <w:sz w:val="16"/>
                <w:szCs w:val="16"/>
              </w:rPr>
            </w:pPr>
            <w:r w:rsidRPr="00050325">
              <w:rPr>
                <w:sz w:val="16"/>
                <w:szCs w:val="16"/>
              </w:rPr>
              <w:t>Repeated-measures study (baseline and three years later)</w:t>
            </w:r>
          </w:p>
        </w:tc>
        <w:tc>
          <w:tcPr>
            <w:tcW w:w="2126" w:type="dxa"/>
          </w:tcPr>
          <w:p w:rsidR="00050325" w:rsidRPr="00050325" w:rsidRDefault="00050325" w:rsidP="003642B2">
            <w:pPr>
              <w:rPr>
                <w:sz w:val="16"/>
                <w:szCs w:val="16"/>
              </w:rPr>
            </w:pPr>
            <w:r w:rsidRPr="00050325">
              <w:rPr>
                <w:sz w:val="16"/>
                <w:szCs w:val="16"/>
              </w:rPr>
              <w:t>To determine whether</w:t>
            </w:r>
          </w:p>
          <w:p w:rsidR="00050325" w:rsidRPr="00050325" w:rsidRDefault="00050325" w:rsidP="003642B2">
            <w:pPr>
              <w:rPr>
                <w:sz w:val="16"/>
                <w:szCs w:val="16"/>
              </w:rPr>
            </w:pPr>
            <w:r w:rsidRPr="00050325">
              <w:rPr>
                <w:sz w:val="16"/>
                <w:szCs w:val="16"/>
              </w:rPr>
              <w:t>improvements in practice management occurred</w:t>
            </w:r>
          </w:p>
          <w:p w:rsidR="00050325" w:rsidRPr="00050325" w:rsidRDefault="00050325" w:rsidP="003642B2">
            <w:pPr>
              <w:rPr>
                <w:sz w:val="16"/>
                <w:szCs w:val="16"/>
              </w:rPr>
            </w:pPr>
            <w:r w:rsidRPr="00050325">
              <w:rPr>
                <w:sz w:val="16"/>
                <w:szCs w:val="16"/>
              </w:rPr>
              <w:t>in general practices that completed the European</w:t>
            </w:r>
          </w:p>
          <w:p w:rsidR="00050325" w:rsidRPr="00050325" w:rsidRDefault="00050325" w:rsidP="003642B2">
            <w:pPr>
              <w:rPr>
                <w:sz w:val="16"/>
                <w:szCs w:val="16"/>
              </w:rPr>
            </w:pPr>
            <w:r w:rsidRPr="00050325">
              <w:rPr>
                <w:sz w:val="16"/>
                <w:szCs w:val="16"/>
              </w:rPr>
              <w:t>Practice Assessment twice, when compared to once over three years</w:t>
            </w:r>
          </w:p>
        </w:tc>
        <w:tc>
          <w:tcPr>
            <w:tcW w:w="2164" w:type="dxa"/>
          </w:tcPr>
          <w:p w:rsidR="00050325" w:rsidRPr="00050325" w:rsidRDefault="00050325" w:rsidP="003642B2">
            <w:pPr>
              <w:rPr>
                <w:sz w:val="16"/>
                <w:szCs w:val="16"/>
              </w:rPr>
            </w:pPr>
            <w:r w:rsidRPr="00050325">
              <w:rPr>
                <w:sz w:val="16"/>
                <w:szCs w:val="16"/>
              </w:rPr>
              <w:t>Practice assessment</w:t>
            </w:r>
          </w:p>
          <w:p w:rsidR="00050325" w:rsidRPr="00050325" w:rsidRDefault="00050325" w:rsidP="003642B2">
            <w:pPr>
              <w:rPr>
                <w:sz w:val="16"/>
                <w:szCs w:val="16"/>
              </w:rPr>
            </w:pPr>
            <w:r w:rsidRPr="00050325">
              <w:rPr>
                <w:sz w:val="16"/>
                <w:szCs w:val="16"/>
              </w:rPr>
              <w:t>using the European Practice Assessment (EPA)</w:t>
            </w:r>
          </w:p>
          <w:p w:rsidR="00050325" w:rsidRPr="00050325" w:rsidRDefault="00050325" w:rsidP="003642B2">
            <w:pPr>
              <w:rPr>
                <w:sz w:val="16"/>
                <w:szCs w:val="16"/>
              </w:rPr>
            </w:pPr>
            <w:r w:rsidRPr="00050325">
              <w:rPr>
                <w:sz w:val="16"/>
                <w:szCs w:val="16"/>
              </w:rPr>
              <w:t>instrument</w:t>
            </w:r>
          </w:p>
        </w:tc>
        <w:tc>
          <w:tcPr>
            <w:tcW w:w="1559" w:type="dxa"/>
          </w:tcPr>
          <w:p w:rsidR="00050325" w:rsidRPr="00050325" w:rsidRDefault="00050325" w:rsidP="003642B2">
            <w:pPr>
              <w:rPr>
                <w:sz w:val="16"/>
                <w:szCs w:val="16"/>
              </w:rPr>
            </w:pPr>
            <w:r w:rsidRPr="00050325">
              <w:rPr>
                <w:sz w:val="16"/>
                <w:szCs w:val="16"/>
              </w:rPr>
              <w:t>The EPA tool was previously validated in 2006</w:t>
            </w:r>
          </w:p>
        </w:tc>
        <w:tc>
          <w:tcPr>
            <w:tcW w:w="2655" w:type="dxa"/>
          </w:tcPr>
          <w:p w:rsidR="00050325" w:rsidRPr="00050325" w:rsidRDefault="00050325" w:rsidP="003642B2">
            <w:pPr>
              <w:rPr>
                <w:sz w:val="16"/>
                <w:szCs w:val="16"/>
              </w:rPr>
            </w:pPr>
            <w:r w:rsidRPr="00050325">
              <w:rPr>
                <w:sz w:val="16"/>
                <w:szCs w:val="16"/>
              </w:rPr>
              <w:t>Quality and safety (complaint management, analysis of critical incidents, safety of staff and patients, quality development, quality policy, and detection of quality and safety problems)</w:t>
            </w:r>
          </w:p>
          <w:p w:rsidR="00050325" w:rsidRPr="00050325" w:rsidRDefault="00050325" w:rsidP="003642B2">
            <w:pPr>
              <w:rPr>
                <w:sz w:val="16"/>
                <w:szCs w:val="16"/>
              </w:rPr>
            </w:pPr>
            <w:r w:rsidRPr="00050325">
              <w:rPr>
                <w:sz w:val="16"/>
                <w:szCs w:val="16"/>
              </w:rPr>
              <w:t>Association between practice organisation and quality improvement</w:t>
            </w:r>
          </w:p>
        </w:tc>
      </w:tr>
    </w:tbl>
    <w:p w:rsidR="00050325" w:rsidRDefault="00050325" w:rsidP="00DC60E8">
      <w:pPr>
        <w:rPr>
          <w:rFonts w:cs="Times New Roman"/>
          <w:szCs w:val="24"/>
        </w:rPr>
      </w:pPr>
      <w:r w:rsidRPr="00BB2808">
        <w:t>(EPA – European Practice Assessment; GP – General Practitioner; PC – Primary care; PHC – primary health care; SF-12 – 12-Item Short Form Survey)</w:t>
      </w:r>
    </w:p>
    <w:p w:rsidR="00050325" w:rsidRDefault="00050325" w:rsidP="00C02FB6">
      <w:pPr>
        <w:spacing w:after="0" w:line="360" w:lineRule="auto"/>
        <w:contextualSpacing/>
        <w:jc w:val="both"/>
        <w:rPr>
          <w:rFonts w:cs="Times New Roman"/>
          <w:szCs w:val="24"/>
        </w:rPr>
        <w:sectPr w:rsidR="00050325" w:rsidSect="00050325">
          <w:pgSz w:w="16838" w:h="11906" w:orient="landscape"/>
          <w:pgMar w:top="1134" w:right="1440" w:bottom="851" w:left="1440" w:header="708" w:footer="708" w:gutter="0"/>
          <w:cols w:space="708"/>
          <w:docGrid w:linePitch="360"/>
        </w:sectPr>
      </w:pPr>
    </w:p>
    <w:p w:rsidR="00421D75" w:rsidRPr="00FA6E3D" w:rsidRDefault="00CE5CBF" w:rsidP="002C1390">
      <w:pPr>
        <w:spacing w:after="0" w:line="360" w:lineRule="auto"/>
        <w:rPr>
          <w:i/>
        </w:rPr>
      </w:pPr>
      <w:bookmarkStart w:id="10" w:name="_Toc503746146"/>
      <w:r w:rsidRPr="00FA6E3D">
        <w:rPr>
          <w:i/>
        </w:rPr>
        <w:lastRenderedPageBreak/>
        <w:t>The development of the Prim</w:t>
      </w:r>
      <w:r w:rsidR="00A33803" w:rsidRPr="00FA6E3D">
        <w:rPr>
          <w:i/>
        </w:rPr>
        <w:t>a</w:t>
      </w:r>
      <w:r w:rsidRPr="00FA6E3D">
        <w:rPr>
          <w:i/>
        </w:rPr>
        <w:t xml:space="preserve">ry Care Clusters </w:t>
      </w:r>
      <w:r w:rsidR="00E66407">
        <w:rPr>
          <w:i/>
        </w:rPr>
        <w:t xml:space="preserve">Multi-dimensional </w:t>
      </w:r>
      <w:r w:rsidRPr="00FA6E3D">
        <w:rPr>
          <w:i/>
        </w:rPr>
        <w:t>Assessment (PCC</w:t>
      </w:r>
      <w:r w:rsidR="00E66407">
        <w:rPr>
          <w:i/>
        </w:rPr>
        <w:t>M</w:t>
      </w:r>
      <w:r w:rsidRPr="00FA6E3D">
        <w:rPr>
          <w:i/>
        </w:rPr>
        <w:t>A) tool (</w:t>
      </w:r>
      <w:r w:rsidR="00421D75" w:rsidRPr="00FA6E3D">
        <w:rPr>
          <w:i/>
        </w:rPr>
        <w:t>Work package 3</w:t>
      </w:r>
      <w:r w:rsidRPr="00FA6E3D">
        <w:rPr>
          <w:i/>
        </w:rPr>
        <w:t>)</w:t>
      </w:r>
      <w:bookmarkEnd w:id="10"/>
    </w:p>
    <w:p w:rsidR="00DC60E8" w:rsidRDefault="00DC60E8" w:rsidP="00A018DE">
      <w:pPr>
        <w:spacing w:after="0" w:line="360" w:lineRule="auto"/>
        <w:ind w:firstLine="720"/>
        <w:contextualSpacing/>
        <w:rPr>
          <w:rFonts w:cs="Times New Roman"/>
          <w:szCs w:val="24"/>
        </w:rPr>
      </w:pPr>
    </w:p>
    <w:p w:rsidR="00CF3378" w:rsidRDefault="00F10629" w:rsidP="00A018DE">
      <w:pPr>
        <w:spacing w:after="0" w:line="360" w:lineRule="auto"/>
        <w:ind w:firstLine="720"/>
        <w:contextualSpacing/>
        <w:rPr>
          <w:rFonts w:cs="Times New Roman"/>
          <w:szCs w:val="24"/>
        </w:rPr>
      </w:pPr>
      <w:r w:rsidRPr="001D6684">
        <w:rPr>
          <w:rFonts w:cs="Times New Roman"/>
          <w:szCs w:val="24"/>
        </w:rPr>
        <w:t>The final version of the PCC</w:t>
      </w:r>
      <w:r w:rsidR="00E66407">
        <w:rPr>
          <w:rFonts w:cs="Times New Roman"/>
          <w:szCs w:val="24"/>
        </w:rPr>
        <w:t>M</w:t>
      </w:r>
      <w:r w:rsidRPr="001D6684">
        <w:rPr>
          <w:rFonts w:cs="Times New Roman"/>
          <w:szCs w:val="24"/>
        </w:rPr>
        <w:t xml:space="preserve">A </w:t>
      </w:r>
      <w:r w:rsidR="000A0B12" w:rsidRPr="001D6684">
        <w:rPr>
          <w:rFonts w:cs="Times New Roman"/>
          <w:szCs w:val="24"/>
        </w:rPr>
        <w:t>consist</w:t>
      </w:r>
      <w:r w:rsidR="000A0B12">
        <w:rPr>
          <w:rFonts w:cs="Times New Roman"/>
          <w:szCs w:val="24"/>
        </w:rPr>
        <w:t>ed</w:t>
      </w:r>
      <w:r w:rsidR="000A0B12" w:rsidRPr="001D6684">
        <w:rPr>
          <w:rFonts w:cs="Times New Roman"/>
          <w:szCs w:val="24"/>
        </w:rPr>
        <w:t xml:space="preserve"> </w:t>
      </w:r>
      <w:r w:rsidRPr="001D6684">
        <w:rPr>
          <w:rFonts w:cs="Times New Roman"/>
          <w:szCs w:val="24"/>
        </w:rPr>
        <w:t xml:space="preserve">of 53 indicators covering 11 </w:t>
      </w:r>
      <w:r w:rsidR="0058628C">
        <w:rPr>
          <w:rFonts w:cs="Times New Roman"/>
          <w:szCs w:val="24"/>
        </w:rPr>
        <w:t xml:space="preserve">systemic </w:t>
      </w:r>
      <w:r w:rsidRPr="001D6684">
        <w:rPr>
          <w:rFonts w:cs="Times New Roman"/>
          <w:szCs w:val="24"/>
        </w:rPr>
        <w:t>dimensions. These include</w:t>
      </w:r>
      <w:r w:rsidR="00A018DE">
        <w:rPr>
          <w:rFonts w:cs="Times New Roman"/>
          <w:szCs w:val="24"/>
        </w:rPr>
        <w:t>d</w:t>
      </w:r>
      <w:r w:rsidRPr="001D6684">
        <w:rPr>
          <w:rFonts w:cs="Times New Roman"/>
          <w:szCs w:val="24"/>
        </w:rPr>
        <w:t xml:space="preserve"> the 10 dimensions of the European PC Monitor</w:t>
      </w:r>
      <w:r w:rsidR="00A018DE">
        <w:rPr>
          <w:rFonts w:cs="Times New Roman"/>
          <w:szCs w:val="24"/>
        </w:rPr>
        <w:t xml:space="preserve"> (</w:t>
      </w:r>
      <w:r w:rsidR="00264B22">
        <w:rPr>
          <w:rFonts w:cs="Times New Roman"/>
          <w:szCs w:val="24"/>
        </w:rPr>
        <w:t>g</w:t>
      </w:r>
      <w:r w:rsidRPr="001D6684">
        <w:rPr>
          <w:rFonts w:cs="Times New Roman"/>
          <w:szCs w:val="24"/>
        </w:rPr>
        <w:t xml:space="preserve">overnance, </w:t>
      </w:r>
      <w:r w:rsidR="00264B22">
        <w:rPr>
          <w:rFonts w:cs="Times New Roman"/>
          <w:szCs w:val="24"/>
        </w:rPr>
        <w:t>e</w:t>
      </w:r>
      <w:r w:rsidRPr="001D6684">
        <w:rPr>
          <w:rFonts w:cs="Times New Roman"/>
          <w:szCs w:val="24"/>
        </w:rPr>
        <w:t xml:space="preserve">conomic conditions, </w:t>
      </w:r>
      <w:r w:rsidR="00264B22">
        <w:rPr>
          <w:rFonts w:cs="Times New Roman"/>
          <w:szCs w:val="24"/>
        </w:rPr>
        <w:t>w</w:t>
      </w:r>
      <w:r w:rsidRPr="001D6684">
        <w:rPr>
          <w:rFonts w:cs="Times New Roman"/>
          <w:szCs w:val="24"/>
        </w:rPr>
        <w:t xml:space="preserve">orkforce development, </w:t>
      </w:r>
      <w:r w:rsidR="00264B22">
        <w:rPr>
          <w:rFonts w:cs="Times New Roman"/>
          <w:szCs w:val="24"/>
        </w:rPr>
        <w:t>a</w:t>
      </w:r>
      <w:r w:rsidRPr="001D6684">
        <w:rPr>
          <w:rFonts w:cs="Times New Roman"/>
          <w:szCs w:val="24"/>
        </w:rPr>
        <w:t xml:space="preserve">ccess to </w:t>
      </w:r>
      <w:r w:rsidR="00D740B5">
        <w:rPr>
          <w:rFonts w:cs="Times New Roman"/>
          <w:szCs w:val="24"/>
        </w:rPr>
        <w:t>PC</w:t>
      </w:r>
      <w:r w:rsidRPr="001D6684">
        <w:rPr>
          <w:rFonts w:cs="Times New Roman"/>
          <w:szCs w:val="24"/>
        </w:rPr>
        <w:t xml:space="preserve">, </w:t>
      </w:r>
      <w:r w:rsidR="00264B22">
        <w:rPr>
          <w:rFonts w:cs="Times New Roman"/>
          <w:szCs w:val="24"/>
        </w:rPr>
        <w:t>c</w:t>
      </w:r>
      <w:r w:rsidRPr="001D6684">
        <w:rPr>
          <w:rFonts w:cs="Times New Roman"/>
          <w:szCs w:val="24"/>
        </w:rPr>
        <w:t xml:space="preserve">ontinuity of care, </w:t>
      </w:r>
      <w:r w:rsidR="00264B22">
        <w:rPr>
          <w:rFonts w:cs="Times New Roman"/>
          <w:szCs w:val="24"/>
        </w:rPr>
        <w:t>c</w:t>
      </w:r>
      <w:r w:rsidRPr="001D6684">
        <w:rPr>
          <w:rFonts w:cs="Times New Roman"/>
          <w:szCs w:val="24"/>
        </w:rPr>
        <w:t xml:space="preserve">o-ordination of care, </w:t>
      </w:r>
      <w:r w:rsidR="00264B22">
        <w:rPr>
          <w:rFonts w:cs="Times New Roman"/>
          <w:szCs w:val="24"/>
        </w:rPr>
        <w:t>c</w:t>
      </w:r>
      <w:r w:rsidRPr="001D6684">
        <w:rPr>
          <w:rFonts w:cs="Times New Roman"/>
          <w:szCs w:val="24"/>
        </w:rPr>
        <w:t xml:space="preserve">omprehensiveness, </w:t>
      </w:r>
      <w:r w:rsidR="00264B22">
        <w:rPr>
          <w:rFonts w:cs="Times New Roman"/>
          <w:szCs w:val="24"/>
        </w:rPr>
        <w:t>q</w:t>
      </w:r>
      <w:r w:rsidRPr="001D6684">
        <w:rPr>
          <w:rFonts w:cs="Times New Roman"/>
          <w:szCs w:val="24"/>
        </w:rPr>
        <w:t xml:space="preserve">uality of care, </w:t>
      </w:r>
      <w:r w:rsidR="00264B22">
        <w:rPr>
          <w:rFonts w:cs="Times New Roman"/>
          <w:szCs w:val="24"/>
        </w:rPr>
        <w:t>e</w:t>
      </w:r>
      <w:r w:rsidRPr="001D6684">
        <w:rPr>
          <w:rFonts w:cs="Times New Roman"/>
          <w:szCs w:val="24"/>
        </w:rPr>
        <w:t>fficiency</w:t>
      </w:r>
      <w:r w:rsidR="005603BF" w:rsidRPr="001D6684">
        <w:rPr>
          <w:rFonts w:cs="Times New Roman"/>
          <w:szCs w:val="24"/>
        </w:rPr>
        <w:t xml:space="preserve"> of care</w:t>
      </w:r>
      <w:r w:rsidRPr="001D6684">
        <w:rPr>
          <w:rFonts w:cs="Times New Roman"/>
          <w:szCs w:val="24"/>
        </w:rPr>
        <w:t xml:space="preserve">, and </w:t>
      </w:r>
      <w:r w:rsidR="00A018DE">
        <w:rPr>
          <w:rFonts w:cs="Times New Roman"/>
          <w:szCs w:val="24"/>
        </w:rPr>
        <w:t>e</w:t>
      </w:r>
      <w:r w:rsidRPr="001D6684">
        <w:rPr>
          <w:rFonts w:cs="Times New Roman"/>
          <w:szCs w:val="24"/>
        </w:rPr>
        <w:t>quity</w:t>
      </w:r>
      <w:r w:rsidR="00A018DE">
        <w:rPr>
          <w:rFonts w:cs="Times New Roman"/>
          <w:szCs w:val="24"/>
        </w:rPr>
        <w:t>).[1</w:t>
      </w:r>
      <w:r w:rsidR="00C7231F">
        <w:rPr>
          <w:rFonts w:cs="Times New Roman"/>
          <w:szCs w:val="24"/>
        </w:rPr>
        <w:t>2</w:t>
      </w:r>
      <w:r w:rsidR="00A018DE">
        <w:rPr>
          <w:rFonts w:cs="Times New Roman"/>
          <w:szCs w:val="24"/>
        </w:rPr>
        <w:t>]</w:t>
      </w:r>
      <w:r w:rsidRPr="001D6684">
        <w:rPr>
          <w:rFonts w:cs="Times New Roman"/>
          <w:szCs w:val="24"/>
        </w:rPr>
        <w:t xml:space="preserve"> </w:t>
      </w:r>
      <w:r w:rsidR="00A018DE">
        <w:rPr>
          <w:rFonts w:cs="Times New Roman"/>
          <w:szCs w:val="24"/>
        </w:rPr>
        <w:t>A</w:t>
      </w:r>
      <w:r w:rsidRPr="001D6684">
        <w:rPr>
          <w:rFonts w:cs="Times New Roman"/>
          <w:szCs w:val="24"/>
        </w:rPr>
        <w:t xml:space="preserve"> newly created dimension (</w:t>
      </w:r>
      <w:r w:rsidR="00264B22">
        <w:rPr>
          <w:rFonts w:cs="Times New Roman"/>
          <w:szCs w:val="24"/>
        </w:rPr>
        <w:t>c</w:t>
      </w:r>
      <w:r w:rsidRPr="001D6684">
        <w:rPr>
          <w:rFonts w:cs="Times New Roman"/>
          <w:szCs w:val="24"/>
        </w:rPr>
        <w:t>luster organisation)</w:t>
      </w:r>
      <w:r w:rsidR="00A018DE">
        <w:rPr>
          <w:rFonts w:cs="Times New Roman"/>
          <w:szCs w:val="24"/>
        </w:rPr>
        <w:t xml:space="preserve"> emerged </w:t>
      </w:r>
      <w:r w:rsidR="00FC0FEB" w:rsidRPr="001D6684">
        <w:rPr>
          <w:rFonts w:cs="Times New Roman"/>
          <w:szCs w:val="24"/>
        </w:rPr>
        <w:t>from the review work (Work Package 2) and was further supported by the workshops in Work Package 3</w:t>
      </w:r>
      <w:r w:rsidR="00A018DE">
        <w:rPr>
          <w:rFonts w:cs="Times New Roman"/>
          <w:szCs w:val="24"/>
        </w:rPr>
        <w:t>, and was also included in the PCC</w:t>
      </w:r>
      <w:r w:rsidR="00E66407">
        <w:rPr>
          <w:rFonts w:cs="Times New Roman"/>
          <w:szCs w:val="24"/>
        </w:rPr>
        <w:t>M</w:t>
      </w:r>
      <w:r w:rsidR="00A018DE">
        <w:rPr>
          <w:rFonts w:cs="Times New Roman"/>
          <w:szCs w:val="24"/>
        </w:rPr>
        <w:t>A</w:t>
      </w:r>
      <w:r w:rsidR="00F90A42" w:rsidRPr="001D6684">
        <w:rPr>
          <w:rFonts w:cs="Times New Roman"/>
          <w:szCs w:val="24"/>
        </w:rPr>
        <w:t xml:space="preserve"> (see Table </w:t>
      </w:r>
      <w:r w:rsidR="00684D16">
        <w:rPr>
          <w:rFonts w:cs="Times New Roman"/>
          <w:szCs w:val="24"/>
        </w:rPr>
        <w:t>4</w:t>
      </w:r>
      <w:r w:rsidR="00F90A42" w:rsidRPr="001D6684">
        <w:rPr>
          <w:rFonts w:cs="Times New Roman"/>
          <w:szCs w:val="24"/>
        </w:rPr>
        <w:t>)</w:t>
      </w:r>
      <w:r w:rsidRPr="001D6684">
        <w:rPr>
          <w:rFonts w:cs="Times New Roman"/>
          <w:szCs w:val="24"/>
        </w:rPr>
        <w:t>.</w:t>
      </w:r>
    </w:p>
    <w:p w:rsidR="00CF3378" w:rsidRDefault="00CF3378" w:rsidP="00CF3378">
      <w:pPr>
        <w:spacing w:after="0" w:line="360" w:lineRule="auto"/>
        <w:contextualSpacing/>
        <w:rPr>
          <w:rFonts w:cs="Times New Roman"/>
          <w:szCs w:val="24"/>
        </w:rPr>
      </w:pPr>
    </w:p>
    <w:p w:rsidR="00CF3378" w:rsidRDefault="00CF3378" w:rsidP="00CF3378">
      <w:pPr>
        <w:spacing w:after="0" w:line="360" w:lineRule="auto"/>
        <w:contextualSpacing/>
        <w:rPr>
          <w:rFonts w:cs="Times New Roman"/>
          <w:szCs w:val="24"/>
        </w:rPr>
      </w:pPr>
    </w:p>
    <w:p w:rsidR="002033B9" w:rsidRDefault="002033B9" w:rsidP="00CF3378">
      <w:pPr>
        <w:spacing w:after="0" w:line="360" w:lineRule="auto"/>
        <w:contextualSpacing/>
        <w:rPr>
          <w:rFonts w:cs="Times New Roman"/>
          <w:szCs w:val="24"/>
        </w:rPr>
        <w:sectPr w:rsidR="002033B9" w:rsidSect="000E26A6">
          <w:pgSz w:w="11906" w:h="16838"/>
          <w:pgMar w:top="1440" w:right="1440" w:bottom="1440" w:left="1440" w:header="708" w:footer="708" w:gutter="0"/>
          <w:cols w:space="708"/>
          <w:docGrid w:linePitch="360"/>
        </w:sectPr>
      </w:pPr>
    </w:p>
    <w:p w:rsidR="002B2790" w:rsidRDefault="002B2790" w:rsidP="00CF3378">
      <w:pPr>
        <w:spacing w:after="0" w:line="360" w:lineRule="auto"/>
        <w:contextualSpacing/>
        <w:rPr>
          <w:rFonts w:cs="Times New Roman"/>
          <w:i/>
          <w:szCs w:val="24"/>
        </w:rPr>
      </w:pPr>
      <w:r w:rsidRPr="001D6684">
        <w:rPr>
          <w:rFonts w:cs="Times New Roman"/>
          <w:szCs w:val="24"/>
        </w:rPr>
        <w:lastRenderedPageBreak/>
        <w:t xml:space="preserve">Table </w:t>
      </w:r>
      <w:r w:rsidR="00684D16">
        <w:rPr>
          <w:rFonts w:cs="Times New Roman"/>
          <w:szCs w:val="24"/>
        </w:rPr>
        <w:t>4</w:t>
      </w:r>
      <w:r w:rsidRPr="001D6684">
        <w:rPr>
          <w:rFonts w:cs="Times New Roman"/>
          <w:szCs w:val="24"/>
        </w:rPr>
        <w:t xml:space="preserve">. </w:t>
      </w:r>
      <w:r w:rsidRPr="001D6684">
        <w:rPr>
          <w:rFonts w:cs="Times New Roman"/>
          <w:i/>
          <w:szCs w:val="24"/>
        </w:rPr>
        <w:t xml:space="preserve">The </w:t>
      </w:r>
      <w:r w:rsidR="0058628C">
        <w:rPr>
          <w:rFonts w:cs="Times New Roman"/>
          <w:i/>
          <w:szCs w:val="24"/>
        </w:rPr>
        <w:t xml:space="preserve">systemic </w:t>
      </w:r>
      <w:r w:rsidR="00684D16">
        <w:rPr>
          <w:rFonts w:cs="Times New Roman"/>
          <w:i/>
          <w:szCs w:val="24"/>
        </w:rPr>
        <w:t>dimensions and indicators</w:t>
      </w:r>
      <w:r w:rsidR="00684D16" w:rsidRPr="001D6684">
        <w:rPr>
          <w:rFonts w:cs="Times New Roman"/>
          <w:i/>
          <w:szCs w:val="24"/>
        </w:rPr>
        <w:t xml:space="preserve"> </w:t>
      </w:r>
      <w:r w:rsidRPr="001D6684">
        <w:rPr>
          <w:rFonts w:cs="Times New Roman"/>
          <w:i/>
          <w:szCs w:val="24"/>
        </w:rPr>
        <w:t xml:space="preserve">of the Primary Care Clusters </w:t>
      </w:r>
      <w:r w:rsidR="00E66407">
        <w:rPr>
          <w:rFonts w:cs="Times New Roman"/>
          <w:i/>
          <w:szCs w:val="24"/>
        </w:rPr>
        <w:t xml:space="preserve">Multi-dimensional </w:t>
      </w:r>
      <w:r w:rsidRPr="001D6684">
        <w:rPr>
          <w:rFonts w:cs="Times New Roman"/>
          <w:i/>
          <w:szCs w:val="24"/>
        </w:rPr>
        <w:t>Assessment (PCC</w:t>
      </w:r>
      <w:r w:rsidR="00E66407">
        <w:rPr>
          <w:rFonts w:cs="Times New Roman"/>
          <w:i/>
          <w:szCs w:val="24"/>
        </w:rPr>
        <w:t>M</w:t>
      </w:r>
      <w:r w:rsidRPr="001D6684">
        <w:rPr>
          <w:rFonts w:cs="Times New Roman"/>
          <w:i/>
          <w:szCs w:val="24"/>
        </w:rPr>
        <w:t>A).</w:t>
      </w:r>
    </w:p>
    <w:tbl>
      <w:tblPr>
        <w:tblStyle w:val="PlainTable2"/>
        <w:tblW w:w="13292" w:type="dxa"/>
        <w:tblLook w:val="04A0" w:firstRow="1" w:lastRow="0" w:firstColumn="1" w:lastColumn="0" w:noHBand="0" w:noVBand="1"/>
      </w:tblPr>
      <w:tblGrid>
        <w:gridCol w:w="1101"/>
        <w:gridCol w:w="2693"/>
        <w:gridCol w:w="9498"/>
      </w:tblGrid>
      <w:tr w:rsidR="002033B9" w:rsidRPr="002033B9" w:rsidTr="002033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2033B9" w:rsidRPr="002033B9" w:rsidRDefault="002033B9" w:rsidP="003642B2">
            <w:pPr>
              <w:spacing w:line="360" w:lineRule="auto"/>
              <w:contextualSpacing/>
              <w:rPr>
                <w:rFonts w:cs="Times New Roman"/>
                <w:sz w:val="20"/>
                <w:szCs w:val="20"/>
              </w:rPr>
            </w:pPr>
            <w:r w:rsidRPr="002033B9">
              <w:rPr>
                <w:rFonts w:cs="Times New Roman"/>
                <w:sz w:val="20"/>
                <w:szCs w:val="20"/>
              </w:rPr>
              <w:t>Levels</w:t>
            </w:r>
          </w:p>
        </w:tc>
        <w:tc>
          <w:tcPr>
            <w:tcW w:w="2693" w:type="dxa"/>
          </w:tcPr>
          <w:p w:rsidR="002033B9" w:rsidRPr="002033B9" w:rsidRDefault="002033B9" w:rsidP="003642B2">
            <w:pPr>
              <w:spacing w:line="360" w:lineRule="auto"/>
              <w:contextualSpacing/>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2033B9">
              <w:rPr>
                <w:rFonts w:cs="Times New Roman"/>
                <w:sz w:val="20"/>
                <w:szCs w:val="20"/>
              </w:rPr>
              <w:t>Dimensions</w:t>
            </w:r>
          </w:p>
        </w:tc>
        <w:tc>
          <w:tcPr>
            <w:tcW w:w="9498" w:type="dxa"/>
          </w:tcPr>
          <w:p w:rsidR="002033B9" w:rsidRPr="002033B9" w:rsidRDefault="002033B9" w:rsidP="003642B2">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2033B9">
              <w:rPr>
                <w:rFonts w:cs="Times New Roman"/>
                <w:sz w:val="20"/>
                <w:szCs w:val="20"/>
              </w:rPr>
              <w:t>Indicators</w:t>
            </w:r>
          </w:p>
        </w:tc>
      </w:tr>
      <w:tr w:rsidR="002033B9" w:rsidRPr="002033B9" w:rsidTr="00203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vAlign w:val="center"/>
          </w:tcPr>
          <w:p w:rsidR="002033B9" w:rsidRPr="002033B9" w:rsidRDefault="002033B9" w:rsidP="003642B2">
            <w:pPr>
              <w:spacing w:line="360" w:lineRule="auto"/>
              <w:contextualSpacing/>
              <w:rPr>
                <w:rFonts w:cs="Times New Roman"/>
                <w:b w:val="0"/>
                <w:sz w:val="20"/>
                <w:szCs w:val="20"/>
              </w:rPr>
            </w:pPr>
            <w:r w:rsidRPr="002033B9">
              <w:rPr>
                <w:rFonts w:cs="Times New Roman"/>
                <w:b w:val="0"/>
                <w:sz w:val="20"/>
                <w:szCs w:val="20"/>
              </w:rPr>
              <w:t>Structure</w:t>
            </w:r>
          </w:p>
        </w:tc>
        <w:tc>
          <w:tcPr>
            <w:tcW w:w="2693" w:type="dxa"/>
          </w:tcPr>
          <w:p w:rsidR="002033B9" w:rsidRPr="002033B9" w:rsidRDefault="002033B9" w:rsidP="003642B2">
            <w:pPr>
              <w:spacing w:line="360"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033B9">
              <w:rPr>
                <w:rFonts w:cs="Times New Roman"/>
                <w:sz w:val="20"/>
                <w:szCs w:val="20"/>
              </w:rPr>
              <w:t>1. Governance</w:t>
            </w:r>
          </w:p>
        </w:tc>
        <w:tc>
          <w:tcPr>
            <w:tcW w:w="9498" w:type="dxa"/>
          </w:tcPr>
          <w:p w:rsidR="002033B9" w:rsidRPr="002033B9" w:rsidRDefault="002033B9" w:rsidP="003642B2">
            <w:pPr>
              <w:spacing w:line="360"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033B9">
              <w:rPr>
                <w:rFonts w:cs="Times New Roman"/>
                <w:sz w:val="20"/>
                <w:szCs w:val="20"/>
              </w:rPr>
              <w:t>1. Primary care service development at cluster-level</w:t>
            </w:r>
          </w:p>
          <w:p w:rsidR="002033B9" w:rsidRPr="002033B9" w:rsidRDefault="002033B9" w:rsidP="003642B2">
            <w:pPr>
              <w:spacing w:line="360"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033B9">
              <w:rPr>
                <w:rFonts w:cs="Times New Roman"/>
                <w:sz w:val="20"/>
                <w:szCs w:val="20"/>
              </w:rPr>
              <w:t>2. Recognition for the work of the cluster and contribution to patient care received from the health board</w:t>
            </w:r>
          </w:p>
          <w:p w:rsidR="002033B9" w:rsidRPr="002033B9" w:rsidRDefault="002033B9" w:rsidP="003642B2">
            <w:pPr>
              <w:spacing w:line="360"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033B9">
              <w:rPr>
                <w:rFonts w:cs="Times New Roman"/>
                <w:sz w:val="20"/>
                <w:szCs w:val="20"/>
              </w:rPr>
              <w:t>3. Health board’s efforts to promote the work of the cluster</w:t>
            </w:r>
          </w:p>
          <w:p w:rsidR="002033B9" w:rsidRPr="002033B9" w:rsidRDefault="002033B9" w:rsidP="003642B2">
            <w:pPr>
              <w:spacing w:line="360"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033B9">
              <w:rPr>
                <w:rFonts w:cs="Times New Roman"/>
                <w:sz w:val="20"/>
                <w:szCs w:val="20"/>
              </w:rPr>
              <w:t>4. Information from the health board about the cluster population and services provided in the cluster</w:t>
            </w:r>
          </w:p>
          <w:p w:rsidR="002033B9" w:rsidRPr="002033B9" w:rsidRDefault="002033B9" w:rsidP="003642B2">
            <w:pPr>
              <w:spacing w:line="360"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033B9">
              <w:rPr>
                <w:rFonts w:cs="Times New Roman"/>
                <w:sz w:val="20"/>
                <w:szCs w:val="20"/>
              </w:rPr>
              <w:t>5. Availability of National Health Service guidance (terms of reference) for the clusters</w:t>
            </w:r>
          </w:p>
          <w:p w:rsidR="002033B9" w:rsidRPr="002033B9" w:rsidRDefault="002033B9" w:rsidP="003642B2">
            <w:pPr>
              <w:spacing w:line="360"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033B9">
              <w:rPr>
                <w:rFonts w:cs="Times New Roman"/>
                <w:sz w:val="20"/>
                <w:szCs w:val="20"/>
              </w:rPr>
              <w:t>6. The influence of the local community and cluster on the health board’s provision of broader health services (e.g., diagnosis and treatment facilities)</w:t>
            </w:r>
          </w:p>
        </w:tc>
      </w:tr>
      <w:tr w:rsidR="002033B9" w:rsidRPr="002033B9" w:rsidTr="002033B9">
        <w:tc>
          <w:tcPr>
            <w:cnfStyle w:val="001000000000" w:firstRow="0" w:lastRow="0" w:firstColumn="1" w:lastColumn="0" w:oddVBand="0" w:evenVBand="0" w:oddHBand="0" w:evenHBand="0" w:firstRowFirstColumn="0" w:firstRowLastColumn="0" w:lastRowFirstColumn="0" w:lastRowLastColumn="0"/>
            <w:tcW w:w="1101" w:type="dxa"/>
            <w:vMerge/>
            <w:vAlign w:val="center"/>
          </w:tcPr>
          <w:p w:rsidR="002033B9" w:rsidRPr="002033B9" w:rsidRDefault="002033B9" w:rsidP="003642B2">
            <w:pPr>
              <w:spacing w:line="360" w:lineRule="auto"/>
              <w:contextualSpacing/>
              <w:rPr>
                <w:rFonts w:cs="Times New Roman"/>
                <w:b w:val="0"/>
                <w:sz w:val="20"/>
                <w:szCs w:val="20"/>
              </w:rPr>
            </w:pPr>
          </w:p>
        </w:tc>
        <w:tc>
          <w:tcPr>
            <w:tcW w:w="2693" w:type="dxa"/>
          </w:tcPr>
          <w:p w:rsidR="002033B9" w:rsidRPr="002033B9" w:rsidRDefault="002033B9" w:rsidP="003642B2">
            <w:pPr>
              <w:spacing w:line="360" w:lineRule="auto"/>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033B9">
              <w:rPr>
                <w:rFonts w:cs="Times New Roman"/>
                <w:sz w:val="20"/>
                <w:szCs w:val="20"/>
              </w:rPr>
              <w:t>2. Economic conditions</w:t>
            </w:r>
          </w:p>
        </w:tc>
        <w:tc>
          <w:tcPr>
            <w:tcW w:w="9498" w:type="dxa"/>
          </w:tcPr>
          <w:p w:rsidR="00E427D3" w:rsidRDefault="00E427D3" w:rsidP="003642B2">
            <w:pPr>
              <w:spacing w:line="360" w:lineRule="auto"/>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033B9">
              <w:rPr>
                <w:rFonts w:cs="Times New Roman"/>
                <w:sz w:val="20"/>
                <w:szCs w:val="20"/>
              </w:rPr>
              <w:t>7. Support from our Health Board to access the cluster funding</w:t>
            </w:r>
          </w:p>
          <w:p w:rsidR="002033B9" w:rsidRPr="002033B9" w:rsidRDefault="002033B9" w:rsidP="003642B2">
            <w:pPr>
              <w:spacing w:line="360" w:lineRule="auto"/>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033B9">
              <w:rPr>
                <w:rFonts w:cs="Times New Roman"/>
                <w:sz w:val="20"/>
                <w:szCs w:val="20"/>
              </w:rPr>
              <w:t>8. The amount of cluster funding received through the health board from the government</w:t>
            </w:r>
          </w:p>
          <w:p w:rsidR="002033B9" w:rsidRPr="002033B9" w:rsidRDefault="002033B9" w:rsidP="003642B2">
            <w:pPr>
              <w:spacing w:line="360" w:lineRule="auto"/>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033B9">
              <w:rPr>
                <w:rFonts w:cs="Times New Roman"/>
                <w:sz w:val="20"/>
                <w:szCs w:val="20"/>
              </w:rPr>
              <w:t>9. Ability to access and deploy all available resources to meet the needs of the cluster</w:t>
            </w:r>
          </w:p>
        </w:tc>
      </w:tr>
      <w:tr w:rsidR="002033B9" w:rsidRPr="002033B9" w:rsidTr="00203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ign w:val="center"/>
          </w:tcPr>
          <w:p w:rsidR="002033B9" w:rsidRPr="002033B9" w:rsidRDefault="002033B9" w:rsidP="003642B2">
            <w:pPr>
              <w:spacing w:line="360" w:lineRule="auto"/>
              <w:contextualSpacing/>
              <w:rPr>
                <w:rFonts w:cs="Times New Roman"/>
                <w:b w:val="0"/>
                <w:sz w:val="20"/>
                <w:szCs w:val="20"/>
              </w:rPr>
            </w:pPr>
          </w:p>
        </w:tc>
        <w:tc>
          <w:tcPr>
            <w:tcW w:w="2693" w:type="dxa"/>
          </w:tcPr>
          <w:p w:rsidR="002033B9" w:rsidRPr="002033B9" w:rsidRDefault="002033B9" w:rsidP="003642B2">
            <w:pPr>
              <w:spacing w:line="360"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033B9">
              <w:rPr>
                <w:rFonts w:cs="Times New Roman"/>
                <w:sz w:val="20"/>
                <w:szCs w:val="20"/>
              </w:rPr>
              <w:t>3. Workforce development</w:t>
            </w:r>
          </w:p>
        </w:tc>
        <w:tc>
          <w:tcPr>
            <w:tcW w:w="9498" w:type="dxa"/>
          </w:tcPr>
          <w:p w:rsidR="002033B9" w:rsidRPr="002033B9" w:rsidRDefault="002033B9" w:rsidP="003642B2">
            <w:pPr>
              <w:spacing w:line="360"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033B9">
              <w:rPr>
                <w:rFonts w:cs="Times New Roman"/>
                <w:sz w:val="20"/>
                <w:szCs w:val="20"/>
              </w:rPr>
              <w:t>10. The assessment of the training needs of all health and social care providers in the cluster</w:t>
            </w:r>
          </w:p>
          <w:p w:rsidR="002033B9" w:rsidRPr="002033B9" w:rsidRDefault="002033B9" w:rsidP="003642B2">
            <w:pPr>
              <w:spacing w:line="360"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033B9">
              <w:rPr>
                <w:rFonts w:cs="Times New Roman"/>
                <w:sz w:val="20"/>
                <w:szCs w:val="20"/>
              </w:rPr>
              <w:t>11. The delivery of training for all care providers in the cluster</w:t>
            </w:r>
          </w:p>
          <w:p w:rsidR="002033B9" w:rsidRPr="002033B9" w:rsidRDefault="002033B9" w:rsidP="003642B2">
            <w:pPr>
              <w:spacing w:line="360"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033B9">
              <w:rPr>
                <w:rFonts w:cs="Times New Roman"/>
                <w:sz w:val="20"/>
                <w:szCs w:val="20"/>
              </w:rPr>
              <w:t>12. The measurement and reporting of the engagement of all relevant health and social care providers in cluster’s activity</w:t>
            </w:r>
          </w:p>
          <w:p w:rsidR="002033B9" w:rsidRPr="002033B9" w:rsidRDefault="002033B9" w:rsidP="003642B2">
            <w:pPr>
              <w:spacing w:line="360"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033B9">
              <w:rPr>
                <w:rFonts w:cs="Times New Roman"/>
                <w:sz w:val="20"/>
                <w:szCs w:val="20"/>
              </w:rPr>
              <w:t>13. The availability of resources needed to develop leadership at cluster level</w:t>
            </w:r>
          </w:p>
          <w:p w:rsidR="002033B9" w:rsidRPr="002033B9" w:rsidRDefault="002033B9" w:rsidP="003642B2">
            <w:pPr>
              <w:spacing w:line="360"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033B9">
              <w:rPr>
                <w:rFonts w:cs="Times New Roman"/>
                <w:sz w:val="20"/>
                <w:szCs w:val="20"/>
              </w:rPr>
              <w:t>14. The availability of resources needed to foster innovation in human resources allocation at cluster level</w:t>
            </w:r>
          </w:p>
          <w:p w:rsidR="002033B9" w:rsidRPr="002033B9" w:rsidRDefault="002033B9" w:rsidP="003642B2">
            <w:pPr>
              <w:spacing w:line="360"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033B9">
              <w:rPr>
                <w:rFonts w:cs="Times New Roman"/>
                <w:sz w:val="20"/>
                <w:szCs w:val="20"/>
              </w:rPr>
              <w:t>15. The local strategy for achieving the right skill mix in the cluster’s workforce</w:t>
            </w:r>
          </w:p>
          <w:p w:rsidR="002033B9" w:rsidRPr="002033B9" w:rsidRDefault="002033B9" w:rsidP="003642B2">
            <w:pPr>
              <w:spacing w:line="360"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033B9">
              <w:rPr>
                <w:rFonts w:cs="Times New Roman"/>
                <w:sz w:val="20"/>
                <w:szCs w:val="20"/>
              </w:rPr>
              <w:t>16. Shortages of healthcare professionals in the cluster</w:t>
            </w:r>
          </w:p>
        </w:tc>
      </w:tr>
      <w:tr w:rsidR="002033B9" w:rsidRPr="002033B9" w:rsidTr="002033B9">
        <w:tc>
          <w:tcPr>
            <w:cnfStyle w:val="001000000000" w:firstRow="0" w:lastRow="0" w:firstColumn="1" w:lastColumn="0" w:oddVBand="0" w:evenVBand="0" w:oddHBand="0" w:evenHBand="0" w:firstRowFirstColumn="0" w:firstRowLastColumn="0" w:lastRowFirstColumn="0" w:lastRowLastColumn="0"/>
            <w:tcW w:w="1101" w:type="dxa"/>
            <w:vMerge w:val="restart"/>
            <w:vAlign w:val="center"/>
          </w:tcPr>
          <w:p w:rsidR="002033B9" w:rsidRPr="002033B9" w:rsidRDefault="002033B9" w:rsidP="003642B2">
            <w:pPr>
              <w:spacing w:line="360" w:lineRule="auto"/>
              <w:contextualSpacing/>
              <w:rPr>
                <w:rFonts w:cs="Times New Roman"/>
                <w:sz w:val="20"/>
                <w:szCs w:val="20"/>
              </w:rPr>
            </w:pPr>
            <w:r w:rsidRPr="002033B9">
              <w:rPr>
                <w:rFonts w:cs="Times New Roman"/>
                <w:b w:val="0"/>
                <w:sz w:val="20"/>
                <w:szCs w:val="20"/>
              </w:rPr>
              <w:t>Process</w:t>
            </w:r>
          </w:p>
        </w:tc>
        <w:tc>
          <w:tcPr>
            <w:tcW w:w="2693" w:type="dxa"/>
          </w:tcPr>
          <w:p w:rsidR="002033B9" w:rsidRPr="002033B9" w:rsidRDefault="002033B9" w:rsidP="003642B2">
            <w:pPr>
              <w:spacing w:line="360" w:lineRule="auto"/>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033B9">
              <w:rPr>
                <w:rFonts w:cs="Times New Roman"/>
                <w:sz w:val="20"/>
                <w:szCs w:val="20"/>
              </w:rPr>
              <w:t>4. Access to care</w:t>
            </w:r>
          </w:p>
        </w:tc>
        <w:tc>
          <w:tcPr>
            <w:tcW w:w="9498" w:type="dxa"/>
          </w:tcPr>
          <w:p w:rsidR="002033B9" w:rsidRPr="002033B9" w:rsidRDefault="002033B9" w:rsidP="003642B2">
            <w:pPr>
              <w:spacing w:line="360" w:lineRule="auto"/>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033B9">
              <w:rPr>
                <w:rFonts w:cs="Times New Roman"/>
                <w:sz w:val="20"/>
                <w:szCs w:val="20"/>
              </w:rPr>
              <w:t>17. The cluster’s engagement in outreach projects and activities in the community</w:t>
            </w:r>
          </w:p>
          <w:p w:rsidR="002033B9" w:rsidRPr="002033B9" w:rsidRDefault="002033B9" w:rsidP="003642B2">
            <w:pPr>
              <w:spacing w:line="360" w:lineRule="auto"/>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033B9">
              <w:rPr>
                <w:rFonts w:cs="Times New Roman"/>
                <w:sz w:val="20"/>
                <w:szCs w:val="20"/>
              </w:rPr>
              <w:t>18. The evaluation of access to routine primary care services in the cluster</w:t>
            </w:r>
          </w:p>
          <w:p w:rsidR="002033B9" w:rsidRPr="002033B9" w:rsidRDefault="002033B9" w:rsidP="003642B2">
            <w:pPr>
              <w:spacing w:line="360" w:lineRule="auto"/>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033B9">
              <w:rPr>
                <w:rFonts w:cs="Times New Roman"/>
                <w:sz w:val="20"/>
                <w:szCs w:val="20"/>
              </w:rPr>
              <w:t>19. The planning and implementation of specific measures to improve the access to routine primary care services</w:t>
            </w:r>
          </w:p>
          <w:p w:rsidR="002033B9" w:rsidRPr="002033B9" w:rsidRDefault="002033B9" w:rsidP="003642B2">
            <w:pPr>
              <w:spacing w:line="360" w:lineRule="auto"/>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033B9">
              <w:rPr>
                <w:rFonts w:cs="Times New Roman"/>
                <w:sz w:val="20"/>
                <w:szCs w:val="20"/>
              </w:rPr>
              <w:t>20. The planning and implementation of specific measures to understand the changing needs of the cluster’s population in terms of the broader determinants of health (e.g., housing, transport, etc.)</w:t>
            </w:r>
          </w:p>
          <w:p w:rsidR="002033B9" w:rsidRPr="002033B9" w:rsidRDefault="002033B9" w:rsidP="003642B2">
            <w:pPr>
              <w:spacing w:line="360" w:lineRule="auto"/>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033B9">
              <w:rPr>
                <w:rFonts w:cs="Times New Roman"/>
                <w:sz w:val="20"/>
                <w:szCs w:val="20"/>
              </w:rPr>
              <w:lastRenderedPageBreak/>
              <w:t>21. The planning and implementation of specific measures to influence the services provided by other agencies to meet the changing wellbeing needs of the cluster’s population in terms of the broader determinants of health (e.g. planning for new builds, transport issues, etc.)</w:t>
            </w:r>
          </w:p>
        </w:tc>
      </w:tr>
      <w:tr w:rsidR="002033B9" w:rsidRPr="002033B9" w:rsidTr="00203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ign w:val="center"/>
          </w:tcPr>
          <w:p w:rsidR="002033B9" w:rsidRPr="002033B9" w:rsidRDefault="002033B9" w:rsidP="003642B2">
            <w:pPr>
              <w:spacing w:line="360" w:lineRule="auto"/>
              <w:contextualSpacing/>
              <w:rPr>
                <w:rFonts w:cs="Times New Roman"/>
                <w:sz w:val="20"/>
                <w:szCs w:val="20"/>
              </w:rPr>
            </w:pPr>
          </w:p>
        </w:tc>
        <w:tc>
          <w:tcPr>
            <w:tcW w:w="2693" w:type="dxa"/>
          </w:tcPr>
          <w:p w:rsidR="002033B9" w:rsidRPr="002033B9" w:rsidRDefault="002033B9" w:rsidP="003642B2">
            <w:pPr>
              <w:spacing w:line="360"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033B9">
              <w:rPr>
                <w:rFonts w:cs="Times New Roman"/>
                <w:sz w:val="20"/>
                <w:szCs w:val="20"/>
              </w:rPr>
              <w:t xml:space="preserve">5. Continuity of care </w:t>
            </w:r>
          </w:p>
        </w:tc>
        <w:tc>
          <w:tcPr>
            <w:tcW w:w="9498" w:type="dxa"/>
          </w:tcPr>
          <w:p w:rsidR="002033B9" w:rsidRPr="002033B9" w:rsidRDefault="002033B9" w:rsidP="003642B2">
            <w:pPr>
              <w:spacing w:line="360"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033B9">
              <w:rPr>
                <w:rFonts w:cs="Times New Roman"/>
                <w:sz w:val="20"/>
                <w:szCs w:val="20"/>
              </w:rPr>
              <w:t>22. The appropriate sharing of individual patient care information between primary care, community services, and secondary care</w:t>
            </w:r>
          </w:p>
          <w:p w:rsidR="002033B9" w:rsidRPr="002033B9" w:rsidRDefault="002033B9" w:rsidP="003642B2">
            <w:pPr>
              <w:spacing w:line="360"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033B9">
              <w:rPr>
                <w:rFonts w:cs="Times New Roman"/>
                <w:sz w:val="20"/>
                <w:szCs w:val="20"/>
              </w:rPr>
              <w:t>23. The plan for the distribution of human resources and facilities within the cluster is (e.g., sharing staff when needed, such as maternity cover)</w:t>
            </w:r>
          </w:p>
        </w:tc>
      </w:tr>
      <w:tr w:rsidR="002033B9" w:rsidRPr="002033B9" w:rsidTr="002033B9">
        <w:tc>
          <w:tcPr>
            <w:cnfStyle w:val="001000000000" w:firstRow="0" w:lastRow="0" w:firstColumn="1" w:lastColumn="0" w:oddVBand="0" w:evenVBand="0" w:oddHBand="0" w:evenHBand="0" w:firstRowFirstColumn="0" w:firstRowLastColumn="0" w:lastRowFirstColumn="0" w:lastRowLastColumn="0"/>
            <w:tcW w:w="1101" w:type="dxa"/>
            <w:vMerge/>
            <w:vAlign w:val="center"/>
          </w:tcPr>
          <w:p w:rsidR="002033B9" w:rsidRPr="002033B9" w:rsidRDefault="002033B9" w:rsidP="003642B2">
            <w:pPr>
              <w:spacing w:line="360" w:lineRule="auto"/>
              <w:contextualSpacing/>
              <w:rPr>
                <w:rFonts w:cs="Times New Roman"/>
                <w:sz w:val="20"/>
                <w:szCs w:val="20"/>
              </w:rPr>
            </w:pPr>
          </w:p>
        </w:tc>
        <w:tc>
          <w:tcPr>
            <w:tcW w:w="2693" w:type="dxa"/>
          </w:tcPr>
          <w:p w:rsidR="002033B9" w:rsidRPr="002033B9" w:rsidRDefault="002033B9" w:rsidP="003642B2">
            <w:pPr>
              <w:spacing w:line="360" w:lineRule="auto"/>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033B9">
              <w:rPr>
                <w:rFonts w:cs="Times New Roman"/>
                <w:sz w:val="20"/>
                <w:szCs w:val="20"/>
              </w:rPr>
              <w:t>6. Coordination of care</w:t>
            </w:r>
          </w:p>
        </w:tc>
        <w:tc>
          <w:tcPr>
            <w:tcW w:w="9498" w:type="dxa"/>
          </w:tcPr>
          <w:p w:rsidR="002033B9" w:rsidRPr="002033B9" w:rsidRDefault="002033B9" w:rsidP="003642B2">
            <w:pPr>
              <w:spacing w:line="360" w:lineRule="auto"/>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033B9">
              <w:rPr>
                <w:rFonts w:cs="Times New Roman"/>
                <w:sz w:val="20"/>
                <w:szCs w:val="20"/>
              </w:rPr>
              <w:t>24. The clear understanding of the care workers’ roles and skills of all the all the health and social care providers in the cluster</w:t>
            </w:r>
          </w:p>
          <w:p w:rsidR="002033B9" w:rsidRPr="002033B9" w:rsidRDefault="002033B9" w:rsidP="003642B2">
            <w:pPr>
              <w:spacing w:line="360" w:lineRule="auto"/>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033B9">
              <w:rPr>
                <w:rFonts w:cs="Times New Roman"/>
                <w:sz w:val="20"/>
                <w:szCs w:val="20"/>
              </w:rPr>
              <w:t>25. The availability of care plans for patients with complex life-limiting care conditions</w:t>
            </w:r>
          </w:p>
          <w:p w:rsidR="002033B9" w:rsidRPr="002033B9" w:rsidRDefault="002033B9" w:rsidP="003642B2">
            <w:pPr>
              <w:spacing w:line="360" w:lineRule="auto"/>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033B9">
              <w:rPr>
                <w:rFonts w:cs="Times New Roman"/>
                <w:sz w:val="20"/>
                <w:szCs w:val="20"/>
              </w:rPr>
              <w:t>26. The presence of Care Coordinators / Case Managers for people with complex care needs</w:t>
            </w:r>
          </w:p>
          <w:p w:rsidR="002033B9" w:rsidRPr="002033B9" w:rsidRDefault="002033B9" w:rsidP="003642B2">
            <w:pPr>
              <w:spacing w:line="360" w:lineRule="auto"/>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033B9">
              <w:rPr>
                <w:rFonts w:cs="Times New Roman"/>
                <w:sz w:val="20"/>
                <w:szCs w:val="20"/>
              </w:rPr>
              <w:t>27. The culture of multidisciplinary working and respect between different professional disciplines</w:t>
            </w:r>
          </w:p>
        </w:tc>
      </w:tr>
      <w:tr w:rsidR="002033B9" w:rsidRPr="002033B9" w:rsidTr="00203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ign w:val="center"/>
          </w:tcPr>
          <w:p w:rsidR="002033B9" w:rsidRPr="002033B9" w:rsidRDefault="002033B9" w:rsidP="003642B2">
            <w:pPr>
              <w:spacing w:line="360" w:lineRule="auto"/>
              <w:contextualSpacing/>
              <w:rPr>
                <w:rFonts w:cs="Times New Roman"/>
                <w:sz w:val="20"/>
                <w:szCs w:val="20"/>
              </w:rPr>
            </w:pPr>
          </w:p>
        </w:tc>
        <w:tc>
          <w:tcPr>
            <w:tcW w:w="2693" w:type="dxa"/>
          </w:tcPr>
          <w:p w:rsidR="002033B9" w:rsidRPr="002033B9" w:rsidRDefault="002033B9" w:rsidP="003642B2">
            <w:pPr>
              <w:spacing w:line="360"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033B9">
              <w:rPr>
                <w:rFonts w:cs="Times New Roman"/>
                <w:sz w:val="20"/>
                <w:szCs w:val="20"/>
              </w:rPr>
              <w:t>7. Comprehensiveness of care</w:t>
            </w:r>
          </w:p>
        </w:tc>
        <w:tc>
          <w:tcPr>
            <w:tcW w:w="9498" w:type="dxa"/>
          </w:tcPr>
          <w:p w:rsidR="002033B9" w:rsidRPr="002033B9" w:rsidRDefault="002033B9" w:rsidP="003642B2">
            <w:pPr>
              <w:spacing w:line="360"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033B9">
              <w:rPr>
                <w:rFonts w:cs="Times New Roman"/>
                <w:sz w:val="20"/>
                <w:szCs w:val="20"/>
              </w:rPr>
              <w:t>28. The integration and promotion of community resources (e.g., leisure centres, community groups) in the cluster’s work</w:t>
            </w:r>
          </w:p>
          <w:p w:rsidR="002033B9" w:rsidRPr="002033B9" w:rsidRDefault="002033B9" w:rsidP="003642B2">
            <w:pPr>
              <w:spacing w:line="360"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033B9">
              <w:rPr>
                <w:rFonts w:cs="Times New Roman"/>
                <w:sz w:val="20"/>
                <w:szCs w:val="20"/>
              </w:rPr>
              <w:t>29. The planning and implementation of specific measures to improve end of life care</w:t>
            </w:r>
          </w:p>
          <w:p w:rsidR="002033B9" w:rsidRPr="002033B9" w:rsidRDefault="002033B9" w:rsidP="003642B2">
            <w:pPr>
              <w:spacing w:line="360"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033B9">
              <w:rPr>
                <w:rFonts w:cs="Times New Roman"/>
                <w:sz w:val="20"/>
                <w:szCs w:val="20"/>
              </w:rPr>
              <w:t xml:space="preserve">30. The planning and implementation of specific measures to improve the health and wellbeing of the cluster’s population </w:t>
            </w:r>
          </w:p>
        </w:tc>
      </w:tr>
      <w:tr w:rsidR="002033B9" w:rsidRPr="002033B9" w:rsidTr="002033B9">
        <w:tc>
          <w:tcPr>
            <w:cnfStyle w:val="001000000000" w:firstRow="0" w:lastRow="0" w:firstColumn="1" w:lastColumn="0" w:oddVBand="0" w:evenVBand="0" w:oddHBand="0" w:evenHBand="0" w:firstRowFirstColumn="0" w:firstRowLastColumn="0" w:lastRowFirstColumn="0" w:lastRowLastColumn="0"/>
            <w:tcW w:w="1101" w:type="dxa"/>
            <w:vMerge/>
            <w:vAlign w:val="center"/>
          </w:tcPr>
          <w:p w:rsidR="002033B9" w:rsidRPr="002033B9" w:rsidRDefault="002033B9" w:rsidP="003642B2">
            <w:pPr>
              <w:spacing w:line="360" w:lineRule="auto"/>
              <w:contextualSpacing/>
              <w:rPr>
                <w:rFonts w:cs="Times New Roman"/>
                <w:sz w:val="20"/>
                <w:szCs w:val="20"/>
              </w:rPr>
            </w:pPr>
          </w:p>
        </w:tc>
        <w:tc>
          <w:tcPr>
            <w:tcW w:w="2693" w:type="dxa"/>
          </w:tcPr>
          <w:p w:rsidR="002033B9" w:rsidRPr="002033B9" w:rsidRDefault="002033B9" w:rsidP="003642B2">
            <w:pPr>
              <w:spacing w:line="360" w:lineRule="auto"/>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033B9">
              <w:rPr>
                <w:rFonts w:cs="Times New Roman"/>
                <w:sz w:val="20"/>
                <w:szCs w:val="20"/>
              </w:rPr>
              <w:t>8. Cluster organisation</w:t>
            </w:r>
          </w:p>
        </w:tc>
        <w:tc>
          <w:tcPr>
            <w:tcW w:w="9498" w:type="dxa"/>
          </w:tcPr>
          <w:p w:rsidR="002033B9" w:rsidRPr="002033B9" w:rsidRDefault="002033B9" w:rsidP="003642B2">
            <w:pPr>
              <w:spacing w:line="360" w:lineRule="auto"/>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033B9">
              <w:rPr>
                <w:rFonts w:cs="Times New Roman"/>
                <w:sz w:val="20"/>
                <w:szCs w:val="20"/>
              </w:rPr>
              <w:t>31. The use of a formalised action plan in guiding discussion at the cluster meetings</w:t>
            </w:r>
          </w:p>
          <w:p w:rsidR="002033B9" w:rsidRPr="002033B9" w:rsidRDefault="002033B9" w:rsidP="003642B2">
            <w:pPr>
              <w:spacing w:line="360" w:lineRule="auto"/>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033B9">
              <w:rPr>
                <w:rFonts w:cs="Times New Roman"/>
                <w:sz w:val="20"/>
                <w:szCs w:val="20"/>
              </w:rPr>
              <w:t>32. The breadth of participation at the cluster meetings from all health and social care providers in the cluster</w:t>
            </w:r>
          </w:p>
          <w:p w:rsidR="002033B9" w:rsidRPr="002033B9" w:rsidRDefault="002033B9" w:rsidP="003642B2">
            <w:pPr>
              <w:spacing w:line="360" w:lineRule="auto"/>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033B9">
              <w:rPr>
                <w:rFonts w:cs="Times New Roman"/>
                <w:sz w:val="20"/>
                <w:szCs w:val="20"/>
              </w:rPr>
              <w:t>33. The communication of the specific aims and actions in the cluster’s action plan to all health and social care providers in the cluster</w:t>
            </w:r>
          </w:p>
          <w:p w:rsidR="002033B9" w:rsidRPr="002033B9" w:rsidRDefault="002033B9" w:rsidP="003642B2">
            <w:pPr>
              <w:spacing w:line="360" w:lineRule="auto"/>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033B9">
              <w:rPr>
                <w:rFonts w:cs="Times New Roman"/>
                <w:sz w:val="20"/>
                <w:szCs w:val="20"/>
              </w:rPr>
              <w:t>34. The contribution of patients and public to the development of our cluster’s action plan</w:t>
            </w:r>
          </w:p>
          <w:p w:rsidR="002033B9" w:rsidRPr="002033B9" w:rsidRDefault="002033B9" w:rsidP="003642B2">
            <w:pPr>
              <w:spacing w:line="360" w:lineRule="auto"/>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033B9">
              <w:rPr>
                <w:rFonts w:cs="Times New Roman"/>
                <w:sz w:val="20"/>
                <w:szCs w:val="20"/>
              </w:rPr>
              <w:t>35. The participation of the health and social care providers in the cluster to the development of the cluster’s action plan</w:t>
            </w:r>
          </w:p>
          <w:p w:rsidR="002033B9" w:rsidRPr="002033B9" w:rsidRDefault="002033B9" w:rsidP="003642B2">
            <w:pPr>
              <w:spacing w:line="360" w:lineRule="auto"/>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033B9">
              <w:rPr>
                <w:rFonts w:cs="Times New Roman"/>
                <w:sz w:val="20"/>
                <w:szCs w:val="20"/>
              </w:rPr>
              <w:t xml:space="preserve">36. The planning and implementation of specific measures to encourage health and social care providers in the </w:t>
            </w:r>
            <w:r w:rsidRPr="002033B9">
              <w:rPr>
                <w:rFonts w:cs="Times New Roman"/>
                <w:sz w:val="20"/>
                <w:szCs w:val="20"/>
              </w:rPr>
              <w:lastRenderedPageBreak/>
              <w:t>cluster to work more closely together</w:t>
            </w:r>
          </w:p>
          <w:p w:rsidR="002033B9" w:rsidRPr="002033B9" w:rsidRDefault="002033B9" w:rsidP="003642B2">
            <w:pPr>
              <w:spacing w:line="360" w:lineRule="auto"/>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033B9">
              <w:rPr>
                <w:rFonts w:cs="Times New Roman"/>
                <w:sz w:val="20"/>
                <w:szCs w:val="20"/>
              </w:rPr>
              <w:t>37. The planning and implementation of specific measures to share process measures and outcome data across the cluster</w:t>
            </w:r>
          </w:p>
          <w:p w:rsidR="002033B9" w:rsidRPr="002033B9" w:rsidRDefault="002033B9" w:rsidP="003642B2">
            <w:pPr>
              <w:spacing w:line="360" w:lineRule="auto"/>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033B9">
              <w:rPr>
                <w:rFonts w:cs="Times New Roman"/>
                <w:sz w:val="20"/>
                <w:szCs w:val="20"/>
              </w:rPr>
              <w:t>38. The measurement, analysis and reporting of patient orientated outcomes (patient reported outcome measures, and patient reported experience measures) across the cluster</w:t>
            </w:r>
          </w:p>
          <w:p w:rsidR="002033B9" w:rsidRPr="002033B9" w:rsidRDefault="002033B9" w:rsidP="003642B2">
            <w:pPr>
              <w:spacing w:line="360" w:lineRule="auto"/>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033B9">
              <w:rPr>
                <w:rFonts w:cs="Times New Roman"/>
                <w:sz w:val="20"/>
                <w:szCs w:val="20"/>
              </w:rPr>
              <w:t>39. The planning and implementation of specific measures to use pooled patient data to identify cluster priorities</w:t>
            </w:r>
          </w:p>
        </w:tc>
      </w:tr>
      <w:tr w:rsidR="002033B9" w:rsidRPr="002033B9" w:rsidTr="00203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vAlign w:val="center"/>
          </w:tcPr>
          <w:p w:rsidR="002033B9" w:rsidRPr="002033B9" w:rsidRDefault="002033B9" w:rsidP="003642B2">
            <w:pPr>
              <w:spacing w:line="360" w:lineRule="auto"/>
              <w:contextualSpacing/>
              <w:rPr>
                <w:rFonts w:cs="Times New Roman"/>
                <w:sz w:val="20"/>
                <w:szCs w:val="20"/>
              </w:rPr>
            </w:pPr>
            <w:r w:rsidRPr="002033B9">
              <w:rPr>
                <w:rFonts w:cs="Times New Roman"/>
                <w:b w:val="0"/>
                <w:sz w:val="20"/>
                <w:szCs w:val="20"/>
              </w:rPr>
              <w:lastRenderedPageBreak/>
              <w:t>Outcome</w:t>
            </w:r>
          </w:p>
        </w:tc>
        <w:tc>
          <w:tcPr>
            <w:tcW w:w="2693" w:type="dxa"/>
          </w:tcPr>
          <w:p w:rsidR="002033B9" w:rsidRPr="002033B9" w:rsidRDefault="002033B9" w:rsidP="003642B2">
            <w:pPr>
              <w:spacing w:line="360"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033B9">
              <w:rPr>
                <w:rFonts w:cs="Times New Roman"/>
                <w:sz w:val="20"/>
                <w:szCs w:val="20"/>
              </w:rPr>
              <w:t>9. Quality of care</w:t>
            </w:r>
          </w:p>
        </w:tc>
        <w:tc>
          <w:tcPr>
            <w:tcW w:w="9498" w:type="dxa"/>
          </w:tcPr>
          <w:p w:rsidR="002033B9" w:rsidRPr="002033B9" w:rsidRDefault="002033B9" w:rsidP="003642B2">
            <w:pPr>
              <w:spacing w:line="360"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033B9">
              <w:rPr>
                <w:rFonts w:cs="Times New Roman"/>
                <w:sz w:val="20"/>
                <w:szCs w:val="20"/>
              </w:rPr>
              <w:t>40. The planning and implementation of quality improvement processes</w:t>
            </w:r>
          </w:p>
          <w:p w:rsidR="002033B9" w:rsidRPr="002033B9" w:rsidRDefault="002033B9" w:rsidP="003642B2">
            <w:pPr>
              <w:spacing w:line="360"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033B9">
              <w:rPr>
                <w:rFonts w:cs="Times New Roman"/>
                <w:sz w:val="20"/>
                <w:szCs w:val="20"/>
              </w:rPr>
              <w:t>41. The planning and implementation of specific measures to disseminate personalised self-management information to chronic disease patients</w:t>
            </w:r>
          </w:p>
          <w:p w:rsidR="002033B9" w:rsidRPr="002033B9" w:rsidRDefault="002033B9" w:rsidP="003642B2">
            <w:pPr>
              <w:spacing w:line="360"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033B9">
              <w:rPr>
                <w:rFonts w:cs="Times New Roman"/>
                <w:sz w:val="20"/>
                <w:szCs w:val="20"/>
              </w:rPr>
              <w:t>42. The planning and completion of specific assessments of the needs of care providers in order to prioritise actions in the cluster’s action plan</w:t>
            </w:r>
          </w:p>
          <w:p w:rsidR="002033B9" w:rsidRPr="002033B9" w:rsidRDefault="002033B9" w:rsidP="003642B2">
            <w:pPr>
              <w:spacing w:line="360"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033B9">
              <w:rPr>
                <w:rFonts w:cs="Times New Roman"/>
                <w:sz w:val="20"/>
                <w:szCs w:val="20"/>
              </w:rPr>
              <w:t>43. The sharing of data on safety measures (e.g., patient safety, risk management, healthcare incident reporting, etc.) between all health and social care providers in the cluster to improve own practice and patient outcomes</w:t>
            </w:r>
          </w:p>
          <w:p w:rsidR="002033B9" w:rsidRPr="002033B9" w:rsidRDefault="002033B9" w:rsidP="003642B2">
            <w:pPr>
              <w:spacing w:line="360"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033B9">
              <w:rPr>
                <w:rFonts w:cs="Times New Roman"/>
                <w:sz w:val="20"/>
                <w:szCs w:val="20"/>
              </w:rPr>
              <w:t>44. The dissemination and promotion of evidence-based clinical guidelines (specific for primary care) to all care providers</w:t>
            </w:r>
          </w:p>
          <w:p w:rsidR="002033B9" w:rsidRPr="002033B9" w:rsidRDefault="002033B9" w:rsidP="003642B2">
            <w:pPr>
              <w:spacing w:line="360"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033B9">
              <w:rPr>
                <w:rFonts w:cs="Times New Roman"/>
                <w:sz w:val="20"/>
                <w:szCs w:val="20"/>
              </w:rPr>
              <w:t>45. The planning and implementation of specific measures to ensure that patient-centred care is delivered by all health and social care providers</w:t>
            </w:r>
          </w:p>
        </w:tc>
      </w:tr>
      <w:tr w:rsidR="002033B9" w:rsidRPr="002033B9" w:rsidTr="002033B9">
        <w:tc>
          <w:tcPr>
            <w:cnfStyle w:val="001000000000" w:firstRow="0" w:lastRow="0" w:firstColumn="1" w:lastColumn="0" w:oddVBand="0" w:evenVBand="0" w:oddHBand="0" w:evenHBand="0" w:firstRowFirstColumn="0" w:firstRowLastColumn="0" w:lastRowFirstColumn="0" w:lastRowLastColumn="0"/>
            <w:tcW w:w="1101" w:type="dxa"/>
            <w:vMerge/>
          </w:tcPr>
          <w:p w:rsidR="002033B9" w:rsidRPr="002033B9" w:rsidRDefault="002033B9" w:rsidP="003642B2">
            <w:pPr>
              <w:spacing w:line="360" w:lineRule="auto"/>
              <w:contextualSpacing/>
              <w:rPr>
                <w:rFonts w:cs="Times New Roman"/>
                <w:sz w:val="20"/>
                <w:szCs w:val="20"/>
              </w:rPr>
            </w:pPr>
          </w:p>
        </w:tc>
        <w:tc>
          <w:tcPr>
            <w:tcW w:w="2693" w:type="dxa"/>
          </w:tcPr>
          <w:p w:rsidR="002033B9" w:rsidRPr="002033B9" w:rsidRDefault="002033B9" w:rsidP="003642B2">
            <w:pPr>
              <w:spacing w:line="360" w:lineRule="auto"/>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033B9">
              <w:rPr>
                <w:rFonts w:cs="Times New Roman"/>
                <w:sz w:val="20"/>
                <w:szCs w:val="20"/>
              </w:rPr>
              <w:t>10. Efficiency of care</w:t>
            </w:r>
          </w:p>
        </w:tc>
        <w:tc>
          <w:tcPr>
            <w:tcW w:w="9498" w:type="dxa"/>
          </w:tcPr>
          <w:p w:rsidR="002033B9" w:rsidRPr="002033B9" w:rsidRDefault="002033B9" w:rsidP="003642B2">
            <w:pPr>
              <w:spacing w:line="360" w:lineRule="auto"/>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033B9">
              <w:rPr>
                <w:rFonts w:cs="Times New Roman"/>
                <w:sz w:val="20"/>
                <w:szCs w:val="20"/>
              </w:rPr>
              <w:t>46. The planning and implementation of specific measures to promote different forms of role substitution (e.g., transferring primary care work and responsibilities from doctors to nurses, clinical pharmacists, etc.)</w:t>
            </w:r>
          </w:p>
          <w:p w:rsidR="002033B9" w:rsidRPr="002033B9" w:rsidRDefault="002033B9" w:rsidP="003642B2">
            <w:pPr>
              <w:spacing w:line="360" w:lineRule="auto"/>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033B9">
              <w:rPr>
                <w:rFonts w:cs="Times New Roman"/>
                <w:sz w:val="20"/>
                <w:szCs w:val="20"/>
              </w:rPr>
              <w:t xml:space="preserve">47. The planning and implementation of specific measures to reduce avoidable costs (e.g., shared back-office services) and streamline delivery across all providers </w:t>
            </w:r>
          </w:p>
          <w:p w:rsidR="002033B9" w:rsidRPr="002033B9" w:rsidRDefault="002033B9" w:rsidP="003642B2">
            <w:pPr>
              <w:spacing w:line="360" w:lineRule="auto"/>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033B9">
              <w:rPr>
                <w:rFonts w:cs="Times New Roman"/>
                <w:sz w:val="20"/>
                <w:szCs w:val="20"/>
              </w:rPr>
              <w:t>48. The planning and implementation of specific measures to guide the members of the public to the most appropriate service or care provider (including self-care)</w:t>
            </w:r>
          </w:p>
          <w:p w:rsidR="002033B9" w:rsidRPr="002033B9" w:rsidRDefault="002033B9" w:rsidP="003642B2">
            <w:pPr>
              <w:spacing w:line="360" w:lineRule="auto"/>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033B9">
              <w:rPr>
                <w:rFonts w:cs="Times New Roman"/>
                <w:sz w:val="20"/>
                <w:szCs w:val="20"/>
              </w:rPr>
              <w:t>49. The planning and implementation of specific measures to support the sustainability of all health and social care providers in the cluster (including contingency planning)</w:t>
            </w:r>
          </w:p>
        </w:tc>
      </w:tr>
      <w:tr w:rsidR="002033B9" w:rsidRPr="002033B9" w:rsidTr="00203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Pr>
          <w:p w:rsidR="002033B9" w:rsidRPr="002033B9" w:rsidRDefault="002033B9" w:rsidP="003642B2">
            <w:pPr>
              <w:spacing w:line="360" w:lineRule="auto"/>
              <w:contextualSpacing/>
              <w:rPr>
                <w:rFonts w:cs="Times New Roman"/>
                <w:sz w:val="20"/>
                <w:szCs w:val="20"/>
              </w:rPr>
            </w:pPr>
          </w:p>
        </w:tc>
        <w:tc>
          <w:tcPr>
            <w:tcW w:w="2693" w:type="dxa"/>
          </w:tcPr>
          <w:p w:rsidR="002033B9" w:rsidRPr="002033B9" w:rsidRDefault="002033B9" w:rsidP="003642B2">
            <w:pPr>
              <w:spacing w:line="360"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033B9">
              <w:rPr>
                <w:rFonts w:cs="Times New Roman"/>
                <w:sz w:val="20"/>
                <w:szCs w:val="20"/>
              </w:rPr>
              <w:t>11. Equity of care</w:t>
            </w:r>
          </w:p>
        </w:tc>
        <w:tc>
          <w:tcPr>
            <w:tcW w:w="9498" w:type="dxa"/>
          </w:tcPr>
          <w:p w:rsidR="002033B9" w:rsidRPr="002033B9" w:rsidRDefault="002033B9" w:rsidP="003642B2">
            <w:pPr>
              <w:spacing w:line="360"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033B9">
              <w:rPr>
                <w:rFonts w:cs="Times New Roman"/>
                <w:sz w:val="20"/>
                <w:szCs w:val="20"/>
              </w:rPr>
              <w:t>50. The planning and implementation of specific measures to identify and assess local health inequalities</w:t>
            </w:r>
          </w:p>
          <w:p w:rsidR="002033B9" w:rsidRPr="002033B9" w:rsidRDefault="002033B9" w:rsidP="003642B2">
            <w:pPr>
              <w:spacing w:line="360"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033B9">
              <w:rPr>
                <w:rFonts w:cs="Times New Roman"/>
                <w:sz w:val="20"/>
                <w:szCs w:val="20"/>
              </w:rPr>
              <w:lastRenderedPageBreak/>
              <w:t>51. The planning and implementation of specific measures to address and improve local health inequalities</w:t>
            </w:r>
          </w:p>
          <w:p w:rsidR="002033B9" w:rsidRPr="002033B9" w:rsidRDefault="002033B9" w:rsidP="003642B2">
            <w:pPr>
              <w:spacing w:line="360"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033B9">
              <w:rPr>
                <w:rFonts w:cs="Times New Roman"/>
                <w:sz w:val="20"/>
                <w:szCs w:val="20"/>
              </w:rPr>
              <w:t>52. The planning and implementation of specific measures to consider and involve isolated communities (e.g., traveller communities, people with no fixed abode, refugees, etc.) in planning and provision of local primary care services</w:t>
            </w:r>
          </w:p>
          <w:p w:rsidR="002033B9" w:rsidRPr="002033B9" w:rsidRDefault="002033B9" w:rsidP="003642B2">
            <w:pPr>
              <w:spacing w:line="360"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033B9">
              <w:rPr>
                <w:rFonts w:cs="Times New Roman"/>
                <w:sz w:val="20"/>
                <w:szCs w:val="20"/>
              </w:rPr>
              <w:t xml:space="preserve">53. The planning and implementation of specific measures to make care available through the patients' preferred language </w:t>
            </w:r>
          </w:p>
        </w:tc>
      </w:tr>
    </w:tbl>
    <w:p w:rsidR="002033B9" w:rsidRDefault="002033B9" w:rsidP="00CF3378">
      <w:pPr>
        <w:spacing w:after="0" w:line="360" w:lineRule="auto"/>
        <w:contextualSpacing/>
        <w:rPr>
          <w:rFonts w:cs="Times New Roman"/>
          <w:szCs w:val="24"/>
        </w:rPr>
      </w:pPr>
    </w:p>
    <w:p w:rsidR="002033B9" w:rsidRDefault="002033B9" w:rsidP="00CF3378">
      <w:pPr>
        <w:spacing w:after="0" w:line="360" w:lineRule="auto"/>
        <w:contextualSpacing/>
        <w:rPr>
          <w:rFonts w:cs="Times New Roman"/>
          <w:szCs w:val="24"/>
        </w:rPr>
      </w:pPr>
    </w:p>
    <w:p w:rsidR="002033B9" w:rsidRDefault="002033B9" w:rsidP="00CF3378">
      <w:pPr>
        <w:spacing w:after="0" w:line="360" w:lineRule="auto"/>
        <w:contextualSpacing/>
        <w:rPr>
          <w:rFonts w:cs="Times New Roman"/>
          <w:szCs w:val="24"/>
        </w:rPr>
        <w:sectPr w:rsidR="002033B9" w:rsidSect="002033B9">
          <w:pgSz w:w="16838" w:h="11906" w:orient="landscape"/>
          <w:pgMar w:top="1440" w:right="1440" w:bottom="1440" w:left="1440" w:header="708" w:footer="708" w:gutter="0"/>
          <w:cols w:space="708"/>
          <w:docGrid w:linePitch="360"/>
        </w:sectPr>
      </w:pPr>
    </w:p>
    <w:p w:rsidR="00E37147" w:rsidRPr="00FA6E3D" w:rsidRDefault="00E37147" w:rsidP="002C1390">
      <w:pPr>
        <w:spacing w:after="0" w:line="360" w:lineRule="auto"/>
        <w:rPr>
          <w:i/>
        </w:rPr>
      </w:pPr>
      <w:bookmarkStart w:id="11" w:name="_Toc503746147"/>
      <w:r w:rsidRPr="00FA6E3D">
        <w:rPr>
          <w:i/>
        </w:rPr>
        <w:lastRenderedPageBreak/>
        <w:t xml:space="preserve">The first application of the Primary Care Clusters </w:t>
      </w:r>
      <w:r w:rsidR="00E66407">
        <w:rPr>
          <w:i/>
        </w:rPr>
        <w:t xml:space="preserve">Multi-dimensional </w:t>
      </w:r>
      <w:r w:rsidRPr="00FA6E3D">
        <w:rPr>
          <w:i/>
        </w:rPr>
        <w:t>Assessment (PCC</w:t>
      </w:r>
      <w:r w:rsidR="00E66407">
        <w:rPr>
          <w:i/>
        </w:rPr>
        <w:t>M</w:t>
      </w:r>
      <w:r w:rsidRPr="00FA6E3D">
        <w:rPr>
          <w:i/>
        </w:rPr>
        <w:t>A) tool (Work Package 4)</w:t>
      </w:r>
      <w:bookmarkEnd w:id="11"/>
    </w:p>
    <w:p w:rsidR="00710A06" w:rsidRDefault="00710A06" w:rsidP="002C1390">
      <w:pPr>
        <w:spacing w:after="0" w:line="360" w:lineRule="auto"/>
        <w:ind w:firstLine="720"/>
        <w:contextualSpacing/>
        <w:rPr>
          <w:rFonts w:cs="Times New Roman"/>
          <w:szCs w:val="24"/>
        </w:rPr>
      </w:pPr>
    </w:p>
    <w:p w:rsidR="0057764E" w:rsidRDefault="0057764E" w:rsidP="0057764E">
      <w:pPr>
        <w:spacing w:after="0" w:line="360" w:lineRule="auto"/>
        <w:ind w:firstLine="720"/>
        <w:contextualSpacing/>
        <w:rPr>
          <w:rFonts w:cs="Times New Roman"/>
          <w:szCs w:val="24"/>
        </w:rPr>
      </w:pPr>
      <w:r>
        <w:rPr>
          <w:rFonts w:cs="Times New Roman"/>
          <w:szCs w:val="24"/>
        </w:rPr>
        <w:t>The analysis of the PCC</w:t>
      </w:r>
      <w:r w:rsidR="00E66407">
        <w:rPr>
          <w:rFonts w:cs="Times New Roman"/>
          <w:szCs w:val="24"/>
        </w:rPr>
        <w:t>M</w:t>
      </w:r>
      <w:r>
        <w:rPr>
          <w:rFonts w:cs="Times New Roman"/>
          <w:szCs w:val="24"/>
        </w:rPr>
        <w:t xml:space="preserve">A </w:t>
      </w:r>
      <w:r w:rsidR="0058628C">
        <w:rPr>
          <w:rFonts w:cs="Times New Roman"/>
          <w:szCs w:val="24"/>
        </w:rPr>
        <w:t xml:space="preserve">systemic </w:t>
      </w:r>
      <w:r>
        <w:rPr>
          <w:rFonts w:cs="Times New Roman"/>
          <w:szCs w:val="24"/>
        </w:rPr>
        <w:t xml:space="preserve">dimensions showed that most PC clusters reported summary dimension scores in the medium range </w:t>
      </w:r>
      <w:r w:rsidR="00DC60E8">
        <w:rPr>
          <w:rFonts w:cs="Times New Roman"/>
          <w:szCs w:val="24"/>
        </w:rPr>
        <w:t>(</w:t>
      </w:r>
      <w:r>
        <w:rPr>
          <w:rFonts w:cs="Times New Roman"/>
          <w:szCs w:val="24"/>
        </w:rPr>
        <w:t>33-66</w:t>
      </w:r>
      <w:r w:rsidR="00DC60E8">
        <w:rPr>
          <w:rFonts w:cs="Times New Roman"/>
          <w:szCs w:val="24"/>
        </w:rPr>
        <w:t>)</w:t>
      </w:r>
      <w:r>
        <w:rPr>
          <w:rFonts w:cs="Times New Roman"/>
          <w:szCs w:val="24"/>
        </w:rPr>
        <w:t xml:space="preserve">, with the sole exception of the “continuity of care” dimension, where a majority of PC clusters (N=21) scored in the low range </w:t>
      </w:r>
      <w:r w:rsidR="00DC60E8">
        <w:rPr>
          <w:rFonts w:cs="Times New Roman"/>
          <w:szCs w:val="24"/>
        </w:rPr>
        <w:t>(</w:t>
      </w:r>
      <w:r>
        <w:rPr>
          <w:rFonts w:cs="Times New Roman"/>
          <w:szCs w:val="24"/>
        </w:rPr>
        <w:t>0-33</w:t>
      </w:r>
      <w:r w:rsidR="00DC60E8">
        <w:rPr>
          <w:rFonts w:cs="Times New Roman"/>
          <w:szCs w:val="24"/>
        </w:rPr>
        <w:t>)</w:t>
      </w:r>
      <w:r>
        <w:rPr>
          <w:rFonts w:cs="Times New Roman"/>
          <w:szCs w:val="24"/>
        </w:rPr>
        <w:t>, as shown in Figure 3. Firstly, this means that most cluster leads reported a moderate stage of development for their cluster, on most dimensions, which perhaps is encouraging, but not surprising. Secondly, for every single dimension, there were clusters leads who scored their own cluster high on the PCC</w:t>
      </w:r>
      <w:r w:rsidR="00E66407">
        <w:rPr>
          <w:rFonts w:cs="Times New Roman"/>
          <w:szCs w:val="24"/>
        </w:rPr>
        <w:t>M</w:t>
      </w:r>
      <w:r>
        <w:rPr>
          <w:rFonts w:cs="Times New Roman"/>
          <w:szCs w:val="24"/>
        </w:rPr>
        <w:t xml:space="preserve">A scale, and others, indeed, who scored theirs very low. </w:t>
      </w:r>
    </w:p>
    <w:p w:rsidR="0057764E" w:rsidRPr="00DE451E" w:rsidRDefault="0057764E" w:rsidP="0057764E">
      <w:pPr>
        <w:spacing w:after="0" w:line="360" w:lineRule="auto"/>
        <w:rPr>
          <w:rFonts w:cs="Times New Roman"/>
          <w:szCs w:val="24"/>
        </w:rPr>
      </w:pPr>
    </w:p>
    <w:p w:rsidR="0057764E" w:rsidRPr="001D6684" w:rsidRDefault="0057764E" w:rsidP="0057764E">
      <w:pPr>
        <w:spacing w:after="0" w:line="360" w:lineRule="auto"/>
        <w:ind w:firstLine="720"/>
        <w:contextualSpacing/>
        <w:rPr>
          <w:rFonts w:cs="Times New Roman"/>
          <w:szCs w:val="24"/>
        </w:rPr>
      </w:pPr>
    </w:p>
    <w:p w:rsidR="0057764E" w:rsidRPr="001D6684" w:rsidRDefault="0057764E" w:rsidP="0057764E">
      <w:pPr>
        <w:spacing w:after="0" w:line="360" w:lineRule="auto"/>
        <w:contextualSpacing/>
        <w:rPr>
          <w:rFonts w:cs="Times New Roman"/>
          <w:szCs w:val="24"/>
        </w:rPr>
      </w:pPr>
      <w:r w:rsidRPr="002F6E36">
        <w:rPr>
          <w:noProof/>
          <w:lang w:eastAsia="en-GB"/>
        </w:rPr>
        <w:drawing>
          <wp:inline distT="0" distB="0" distL="0" distR="0" wp14:anchorId="59030049" wp14:editId="632ED525">
            <wp:extent cx="5731510" cy="4741632"/>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4741632"/>
                    </a:xfrm>
                    <a:prstGeom prst="rect">
                      <a:avLst/>
                    </a:prstGeom>
                    <a:noFill/>
                    <a:ln>
                      <a:noFill/>
                    </a:ln>
                  </pic:spPr>
                </pic:pic>
              </a:graphicData>
            </a:graphic>
          </wp:inline>
        </w:drawing>
      </w:r>
    </w:p>
    <w:p w:rsidR="00ED7825" w:rsidRDefault="0057764E" w:rsidP="00ED7825">
      <w:pPr>
        <w:spacing w:after="0" w:line="360" w:lineRule="auto"/>
        <w:contextualSpacing/>
        <w:rPr>
          <w:rFonts w:cs="Times New Roman"/>
          <w:szCs w:val="24"/>
        </w:rPr>
      </w:pPr>
      <w:r w:rsidRPr="001D6684">
        <w:rPr>
          <w:rFonts w:cs="Times New Roman"/>
          <w:i/>
          <w:szCs w:val="24"/>
        </w:rPr>
        <w:t xml:space="preserve">Figure </w:t>
      </w:r>
      <w:r w:rsidR="00DC60E8">
        <w:rPr>
          <w:rFonts w:cs="Times New Roman"/>
          <w:i/>
          <w:szCs w:val="24"/>
        </w:rPr>
        <w:t>3</w:t>
      </w:r>
      <w:r w:rsidRPr="001D6684">
        <w:rPr>
          <w:rFonts w:cs="Times New Roman"/>
          <w:i/>
          <w:szCs w:val="24"/>
        </w:rPr>
        <w:t xml:space="preserve">. </w:t>
      </w:r>
      <w:r w:rsidRPr="00014B51">
        <w:rPr>
          <w:rFonts w:cs="Times New Roman"/>
          <w:szCs w:val="24"/>
        </w:rPr>
        <w:t>Boxplots with the summary scores of the PCC</w:t>
      </w:r>
      <w:r w:rsidR="00E66407">
        <w:rPr>
          <w:rFonts w:cs="Times New Roman"/>
          <w:szCs w:val="24"/>
        </w:rPr>
        <w:t>M</w:t>
      </w:r>
      <w:r w:rsidRPr="00014B51">
        <w:rPr>
          <w:rFonts w:cs="Times New Roman"/>
          <w:szCs w:val="24"/>
        </w:rPr>
        <w:t xml:space="preserve">A </w:t>
      </w:r>
      <w:r w:rsidR="0058628C">
        <w:rPr>
          <w:rFonts w:cs="Times New Roman"/>
          <w:szCs w:val="24"/>
        </w:rPr>
        <w:t xml:space="preserve">systemic </w:t>
      </w:r>
      <w:r w:rsidRPr="00014B51">
        <w:rPr>
          <w:rFonts w:cs="Times New Roman"/>
          <w:szCs w:val="24"/>
        </w:rPr>
        <w:t xml:space="preserve">dimensions. The lower whiskers represent the range of the bottom 25% of scores (i.e., the range of summary scores </w:t>
      </w:r>
      <w:r w:rsidRPr="00014B51">
        <w:rPr>
          <w:rFonts w:cs="Times New Roman"/>
          <w:szCs w:val="24"/>
        </w:rPr>
        <w:lastRenderedPageBreak/>
        <w:t xml:space="preserve">for the lowest scoring 25% of clusters for the respective dimension); the lower part of the boxplots represents the second quartile of scores, the top part of the boxplots represents the third quartile, and the top whiskers represent the </w:t>
      </w:r>
      <w:r w:rsidR="00ED7825">
        <w:rPr>
          <w:rFonts w:cs="Times New Roman"/>
          <w:szCs w:val="24"/>
        </w:rPr>
        <w:t xml:space="preserve">range of the top 25% of scores. </w:t>
      </w:r>
    </w:p>
    <w:p w:rsidR="00ED7825" w:rsidRDefault="00ED7825" w:rsidP="00ED7825">
      <w:pPr>
        <w:spacing w:after="0" w:line="360" w:lineRule="auto"/>
        <w:contextualSpacing/>
        <w:rPr>
          <w:rFonts w:cs="Times New Roman"/>
          <w:szCs w:val="24"/>
        </w:rPr>
      </w:pPr>
    </w:p>
    <w:p w:rsidR="00ED7825" w:rsidRDefault="00ED7825" w:rsidP="00ED7825">
      <w:pPr>
        <w:spacing w:after="0" w:line="360" w:lineRule="auto"/>
        <w:contextualSpacing/>
        <w:rPr>
          <w:rFonts w:cs="Times New Roman"/>
          <w:szCs w:val="24"/>
        </w:rPr>
      </w:pPr>
    </w:p>
    <w:p w:rsidR="0055797F" w:rsidRDefault="0057764E" w:rsidP="00ED7825">
      <w:pPr>
        <w:spacing w:after="0" w:line="360" w:lineRule="auto"/>
        <w:contextualSpacing/>
        <w:rPr>
          <w:rFonts w:cs="Times New Roman"/>
          <w:szCs w:val="24"/>
        </w:rPr>
      </w:pPr>
      <w:r>
        <w:rPr>
          <w:rFonts w:cs="Times New Roman"/>
          <w:szCs w:val="24"/>
        </w:rPr>
        <w:t xml:space="preserve">Among the structure-level dimensions, “governance” seemed to be rated highest by cluster leads. “Economic conditions” and “workforce development” dimensions were rated progressively lower. </w:t>
      </w:r>
      <w:r w:rsidR="00ED7825">
        <w:rPr>
          <w:rFonts w:cs="Times New Roman"/>
          <w:szCs w:val="24"/>
        </w:rPr>
        <w:t xml:space="preserve"> </w:t>
      </w:r>
      <w:r>
        <w:rPr>
          <w:rFonts w:cs="Times New Roman"/>
          <w:szCs w:val="24"/>
        </w:rPr>
        <w:t xml:space="preserve">Process-level dimensions showed mixed results. There was great variability between clusters (wide range of summary scores), in particular on the “access to care” and “comprehensiveness of care” dimensions. The high scores on these </w:t>
      </w:r>
      <w:r w:rsidR="000346BA">
        <w:rPr>
          <w:rFonts w:cs="Times New Roman"/>
          <w:szCs w:val="24"/>
        </w:rPr>
        <w:t xml:space="preserve">systemic </w:t>
      </w:r>
      <w:r>
        <w:rPr>
          <w:rFonts w:cs="Times New Roman"/>
          <w:szCs w:val="24"/>
        </w:rPr>
        <w:t>dimensions suggest potential cases of best practice could be identified among PC clusters, the low scores suggest more support is needed to improve the process-level dimensions of particular PC clusters. T</w:t>
      </w:r>
      <w:r w:rsidRPr="00845A20">
        <w:rPr>
          <w:rFonts w:cs="Times New Roman"/>
          <w:szCs w:val="24"/>
        </w:rPr>
        <w:t xml:space="preserve">he </w:t>
      </w:r>
      <w:r>
        <w:rPr>
          <w:rFonts w:cs="Times New Roman"/>
          <w:szCs w:val="24"/>
        </w:rPr>
        <w:t xml:space="preserve">“comprehensiveness  of care” dimension was highest scoring overall, and </w:t>
      </w:r>
      <w:r w:rsidRPr="00845A20">
        <w:rPr>
          <w:rFonts w:cs="Times New Roman"/>
          <w:szCs w:val="24"/>
        </w:rPr>
        <w:t xml:space="preserve">“continuity of </w:t>
      </w:r>
      <w:r>
        <w:rPr>
          <w:rFonts w:cs="Times New Roman"/>
          <w:szCs w:val="24"/>
        </w:rPr>
        <w:t>care</w:t>
      </w:r>
      <w:r w:rsidRPr="00845A20">
        <w:rPr>
          <w:rFonts w:cs="Times New Roman"/>
          <w:szCs w:val="24"/>
        </w:rPr>
        <w:t xml:space="preserve">” </w:t>
      </w:r>
      <w:r>
        <w:rPr>
          <w:rFonts w:cs="Times New Roman"/>
          <w:szCs w:val="24"/>
        </w:rPr>
        <w:t>was lowest scoring. The “cluster organisation” dimension showed a notably compact range of summary scores, narrowest among all PCC</w:t>
      </w:r>
      <w:r w:rsidR="00E66407">
        <w:rPr>
          <w:rFonts w:cs="Times New Roman"/>
          <w:szCs w:val="24"/>
        </w:rPr>
        <w:t>M</w:t>
      </w:r>
      <w:r>
        <w:rPr>
          <w:rFonts w:cs="Times New Roman"/>
          <w:szCs w:val="24"/>
        </w:rPr>
        <w:t xml:space="preserve">A dimensions, and closely packed around the medium range </w:t>
      </w:r>
      <w:r w:rsidR="00DC60E8">
        <w:rPr>
          <w:rFonts w:cs="Times New Roman"/>
          <w:szCs w:val="24"/>
        </w:rPr>
        <w:t>(</w:t>
      </w:r>
      <w:r>
        <w:rPr>
          <w:rFonts w:cs="Times New Roman"/>
          <w:szCs w:val="24"/>
        </w:rPr>
        <w:t>33-66</w:t>
      </w:r>
      <w:r w:rsidR="00DC60E8">
        <w:rPr>
          <w:rFonts w:cs="Times New Roman"/>
          <w:szCs w:val="24"/>
        </w:rPr>
        <w:t>)</w:t>
      </w:r>
      <w:r>
        <w:rPr>
          <w:rFonts w:cs="Times New Roman"/>
          <w:szCs w:val="24"/>
        </w:rPr>
        <w:t>. This suggests that the practical mechanics of the cluster activity are starting to take shape across Wales, with little disparity between clusters.</w:t>
      </w:r>
      <w:r w:rsidR="00ED7825">
        <w:rPr>
          <w:rFonts w:cs="Times New Roman"/>
          <w:szCs w:val="24"/>
        </w:rPr>
        <w:t xml:space="preserve"> </w:t>
      </w:r>
      <w:r>
        <w:rPr>
          <w:rFonts w:cs="Times New Roman"/>
          <w:szCs w:val="24"/>
        </w:rPr>
        <w:t xml:space="preserve">Outcome-level dimensions were notable for the high scores of the “efficiency of care” dimension, and the great variability of the “equity of care dimension”. </w:t>
      </w:r>
    </w:p>
    <w:p w:rsidR="0057764E" w:rsidRDefault="0057764E" w:rsidP="0055797F">
      <w:pPr>
        <w:spacing w:after="0" w:line="360" w:lineRule="auto"/>
        <w:ind w:firstLine="720"/>
        <w:contextualSpacing/>
        <w:rPr>
          <w:rFonts w:cs="Times New Roman"/>
          <w:szCs w:val="24"/>
        </w:rPr>
      </w:pPr>
      <w:r>
        <w:rPr>
          <w:rFonts w:cs="Times New Roman"/>
          <w:szCs w:val="24"/>
        </w:rPr>
        <w:t>The analysis of the PCC</w:t>
      </w:r>
      <w:r w:rsidR="00E66407">
        <w:rPr>
          <w:rFonts w:cs="Times New Roman"/>
          <w:szCs w:val="24"/>
        </w:rPr>
        <w:t>M</w:t>
      </w:r>
      <w:r>
        <w:rPr>
          <w:rFonts w:cs="Times New Roman"/>
          <w:szCs w:val="24"/>
        </w:rPr>
        <w:t xml:space="preserve">A showed broad ranges of scores, from high to very low, on most </w:t>
      </w:r>
      <w:r w:rsidR="000346BA">
        <w:rPr>
          <w:rFonts w:cs="Times New Roman"/>
          <w:szCs w:val="24"/>
        </w:rPr>
        <w:t xml:space="preserve">systemic </w:t>
      </w:r>
      <w:r>
        <w:rPr>
          <w:rFonts w:cs="Times New Roman"/>
          <w:szCs w:val="24"/>
        </w:rPr>
        <w:t>dimensions. This raised the question of whether the same clusters were responsible for all the low scores, and conversely, if other clusters were responsible for all the high scores. The analysis of the clusters was able to answer this question, and interestingly showed that while the high scores were shared between a large number of clusters (with few exceptions, from clusters numbered 13-40; see Figure 4), the very low scores were reported only by few clusters (numbered 1-3, for the lowest summary scores, and 1-15 more broadly). This indicated that efforts to support clusters may need to be targeted regionally and specifically at the affected clusters.</w:t>
      </w:r>
    </w:p>
    <w:p w:rsidR="0057764E" w:rsidRPr="001D6684" w:rsidRDefault="0057764E" w:rsidP="0057764E">
      <w:pPr>
        <w:spacing w:after="0" w:line="360" w:lineRule="auto"/>
        <w:contextualSpacing/>
        <w:rPr>
          <w:rFonts w:cs="Times New Roman"/>
          <w:szCs w:val="24"/>
        </w:rPr>
      </w:pPr>
      <w:r w:rsidRPr="002652F6">
        <w:rPr>
          <w:noProof/>
          <w:lang w:eastAsia="en-GB"/>
        </w:rPr>
        <w:lastRenderedPageBreak/>
        <w:drawing>
          <wp:inline distT="0" distB="0" distL="0" distR="0" wp14:anchorId="64633A6F" wp14:editId="4DC59D39">
            <wp:extent cx="5731510" cy="4615059"/>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4615059"/>
                    </a:xfrm>
                    <a:prstGeom prst="rect">
                      <a:avLst/>
                    </a:prstGeom>
                    <a:noFill/>
                    <a:ln>
                      <a:noFill/>
                    </a:ln>
                  </pic:spPr>
                </pic:pic>
              </a:graphicData>
            </a:graphic>
          </wp:inline>
        </w:drawing>
      </w:r>
    </w:p>
    <w:p w:rsidR="0057764E" w:rsidRPr="00014B51" w:rsidRDefault="0057764E" w:rsidP="0057764E">
      <w:pPr>
        <w:spacing w:after="0" w:line="360" w:lineRule="auto"/>
        <w:contextualSpacing/>
        <w:rPr>
          <w:rFonts w:cs="Times New Roman"/>
          <w:szCs w:val="24"/>
        </w:rPr>
      </w:pPr>
      <w:r w:rsidRPr="001D6684">
        <w:rPr>
          <w:rFonts w:cs="Times New Roman"/>
          <w:i/>
          <w:szCs w:val="24"/>
        </w:rPr>
        <w:t xml:space="preserve">Figure </w:t>
      </w:r>
      <w:r>
        <w:rPr>
          <w:rFonts w:cs="Times New Roman"/>
          <w:i/>
          <w:szCs w:val="24"/>
        </w:rPr>
        <w:t>4</w:t>
      </w:r>
      <w:r w:rsidRPr="001D6684">
        <w:rPr>
          <w:rFonts w:cs="Times New Roman"/>
          <w:i/>
          <w:szCs w:val="24"/>
        </w:rPr>
        <w:t xml:space="preserve">. </w:t>
      </w:r>
      <w:r>
        <w:rPr>
          <w:rFonts w:cs="Times New Roman"/>
          <w:szCs w:val="24"/>
        </w:rPr>
        <w:t>The distribution of PCC</w:t>
      </w:r>
      <w:r w:rsidR="00E66407">
        <w:rPr>
          <w:rFonts w:cs="Times New Roman"/>
          <w:szCs w:val="24"/>
        </w:rPr>
        <w:t>M</w:t>
      </w:r>
      <w:r>
        <w:rPr>
          <w:rFonts w:cs="Times New Roman"/>
          <w:szCs w:val="24"/>
        </w:rPr>
        <w:t>A summary dimension scores across the primary care (PC) clusters</w:t>
      </w:r>
      <w:r w:rsidRPr="00014B51">
        <w:rPr>
          <w:rFonts w:cs="Times New Roman"/>
          <w:szCs w:val="24"/>
        </w:rPr>
        <w:t>.</w:t>
      </w:r>
      <w:r>
        <w:rPr>
          <w:rFonts w:cs="Times New Roman"/>
          <w:szCs w:val="24"/>
        </w:rPr>
        <w:t xml:space="preserve"> The bars represent the range (minimum to maximum) of summary scores for the 11 PCC</w:t>
      </w:r>
      <w:r w:rsidR="00E66407">
        <w:rPr>
          <w:rFonts w:cs="Times New Roman"/>
          <w:szCs w:val="24"/>
        </w:rPr>
        <w:t>M</w:t>
      </w:r>
      <w:r>
        <w:rPr>
          <w:rFonts w:cs="Times New Roman"/>
          <w:szCs w:val="24"/>
        </w:rPr>
        <w:t xml:space="preserve">A </w:t>
      </w:r>
      <w:r w:rsidR="000346BA">
        <w:rPr>
          <w:rFonts w:cs="Times New Roman"/>
          <w:szCs w:val="24"/>
        </w:rPr>
        <w:t xml:space="preserve">systemic </w:t>
      </w:r>
      <w:r>
        <w:rPr>
          <w:rFonts w:cs="Times New Roman"/>
          <w:szCs w:val="24"/>
        </w:rPr>
        <w:t>dimensions, corresponding to each individual cluster (</w:t>
      </w:r>
      <w:r w:rsidRPr="00DC60E8">
        <w:rPr>
          <w:rFonts w:cs="Times New Roman"/>
          <w:i/>
          <w:szCs w:val="24"/>
        </w:rPr>
        <w:t>N</w:t>
      </w:r>
      <w:r>
        <w:rPr>
          <w:rFonts w:cs="Times New Roman"/>
          <w:szCs w:val="24"/>
        </w:rPr>
        <w:t>=40).</w:t>
      </w:r>
    </w:p>
    <w:p w:rsidR="00AA1C50" w:rsidRDefault="00AA1C50" w:rsidP="002C1390">
      <w:pPr>
        <w:spacing w:after="0" w:line="360" w:lineRule="auto"/>
        <w:contextualSpacing/>
        <w:rPr>
          <w:rFonts w:cs="Times New Roman"/>
          <w:szCs w:val="24"/>
        </w:rPr>
      </w:pPr>
    </w:p>
    <w:p w:rsidR="00AA1C50" w:rsidRDefault="00AA1C50" w:rsidP="002C1390">
      <w:pPr>
        <w:spacing w:after="0" w:line="360" w:lineRule="auto"/>
        <w:contextualSpacing/>
        <w:rPr>
          <w:rFonts w:cs="Times New Roman"/>
          <w:szCs w:val="24"/>
        </w:rPr>
      </w:pPr>
    </w:p>
    <w:p w:rsidR="003642B2" w:rsidRPr="001D6684" w:rsidRDefault="003642B2" w:rsidP="002C1390">
      <w:pPr>
        <w:spacing w:after="0" w:line="360" w:lineRule="auto"/>
        <w:contextualSpacing/>
        <w:rPr>
          <w:rFonts w:cs="Times New Roman"/>
          <w:szCs w:val="24"/>
        </w:rPr>
      </w:pPr>
    </w:p>
    <w:p w:rsidR="00421D75" w:rsidRPr="00FA6E3D" w:rsidRDefault="00421D75" w:rsidP="002C1390">
      <w:pPr>
        <w:spacing w:after="0" w:line="360" w:lineRule="auto"/>
        <w:jc w:val="center"/>
        <w:rPr>
          <w:b/>
        </w:rPr>
      </w:pPr>
      <w:bookmarkStart w:id="12" w:name="_Toc503746148"/>
      <w:r w:rsidRPr="00FA6E3D">
        <w:rPr>
          <w:b/>
        </w:rPr>
        <w:t>Discussion</w:t>
      </w:r>
      <w:bookmarkEnd w:id="12"/>
    </w:p>
    <w:p w:rsidR="00FA6E3D" w:rsidRDefault="00FA6E3D" w:rsidP="002C1390">
      <w:pPr>
        <w:spacing w:after="0" w:line="360" w:lineRule="auto"/>
        <w:ind w:firstLine="720"/>
        <w:contextualSpacing/>
        <w:jc w:val="both"/>
        <w:rPr>
          <w:rFonts w:cs="Times New Roman"/>
          <w:szCs w:val="24"/>
        </w:rPr>
      </w:pPr>
    </w:p>
    <w:p w:rsidR="0032380A" w:rsidRPr="001D6684" w:rsidRDefault="007F4DBA" w:rsidP="002C1390">
      <w:pPr>
        <w:spacing w:after="0" w:line="360" w:lineRule="auto"/>
        <w:ind w:firstLine="720"/>
        <w:contextualSpacing/>
        <w:jc w:val="both"/>
        <w:rPr>
          <w:rFonts w:cs="Times New Roman"/>
          <w:szCs w:val="24"/>
        </w:rPr>
      </w:pPr>
      <w:r w:rsidRPr="001D6684">
        <w:rPr>
          <w:rFonts w:cs="Times New Roman"/>
          <w:szCs w:val="24"/>
        </w:rPr>
        <w:t>The</w:t>
      </w:r>
      <w:r w:rsidR="009178DD">
        <w:rPr>
          <w:rFonts w:cs="Times New Roman"/>
          <w:szCs w:val="24"/>
        </w:rPr>
        <w:t xml:space="preserve"> present work</w:t>
      </w:r>
      <w:r w:rsidRPr="001D6684">
        <w:rPr>
          <w:rFonts w:cs="Times New Roman"/>
          <w:szCs w:val="24"/>
        </w:rPr>
        <w:t xml:space="preserve"> re</w:t>
      </w:r>
      <w:r w:rsidR="0032380A" w:rsidRPr="001D6684">
        <w:rPr>
          <w:rFonts w:cs="Times New Roman"/>
          <w:szCs w:val="24"/>
        </w:rPr>
        <w:t>present</w:t>
      </w:r>
      <w:r w:rsidR="009178DD">
        <w:rPr>
          <w:rFonts w:cs="Times New Roman"/>
          <w:szCs w:val="24"/>
        </w:rPr>
        <w:t>s</w:t>
      </w:r>
      <w:r w:rsidRPr="001D6684">
        <w:rPr>
          <w:rFonts w:cs="Times New Roman"/>
          <w:szCs w:val="24"/>
        </w:rPr>
        <w:t xml:space="preserve"> the development and </w:t>
      </w:r>
      <w:r w:rsidR="003E4812" w:rsidRPr="001D6684">
        <w:rPr>
          <w:rFonts w:cs="Times New Roman"/>
          <w:szCs w:val="24"/>
        </w:rPr>
        <w:t xml:space="preserve">first </w:t>
      </w:r>
      <w:r w:rsidRPr="001D6684">
        <w:rPr>
          <w:rFonts w:cs="Times New Roman"/>
          <w:szCs w:val="24"/>
        </w:rPr>
        <w:t xml:space="preserve">application </w:t>
      </w:r>
      <w:r w:rsidR="003E4812" w:rsidRPr="001D6684">
        <w:rPr>
          <w:rFonts w:cs="Times New Roman"/>
          <w:szCs w:val="24"/>
        </w:rPr>
        <w:t xml:space="preserve">of a </w:t>
      </w:r>
      <w:r w:rsidRPr="001D6684">
        <w:rPr>
          <w:rFonts w:cs="Times New Roman"/>
          <w:szCs w:val="24"/>
        </w:rPr>
        <w:t xml:space="preserve">measurement tool to assess </w:t>
      </w:r>
      <w:r w:rsidR="00D740B5">
        <w:rPr>
          <w:rFonts w:cs="Times New Roman"/>
          <w:szCs w:val="24"/>
        </w:rPr>
        <w:t>PC</w:t>
      </w:r>
      <w:r w:rsidRPr="001D6684">
        <w:rPr>
          <w:rFonts w:cs="Times New Roman"/>
          <w:szCs w:val="24"/>
        </w:rPr>
        <w:t xml:space="preserve"> in Wales</w:t>
      </w:r>
      <w:r w:rsidR="00FA6E3D">
        <w:rPr>
          <w:rFonts w:cs="Times New Roman"/>
          <w:szCs w:val="24"/>
        </w:rPr>
        <w:t xml:space="preserve"> at cluster level</w:t>
      </w:r>
      <w:r w:rsidR="003A6772">
        <w:rPr>
          <w:rFonts w:cs="Times New Roman"/>
          <w:szCs w:val="24"/>
        </w:rPr>
        <w:t xml:space="preserve">. </w:t>
      </w:r>
      <w:r w:rsidR="00FA5B17">
        <w:rPr>
          <w:rFonts w:cs="Times New Roman"/>
          <w:szCs w:val="24"/>
        </w:rPr>
        <w:t xml:space="preserve">The multidimensional nature of the PCCMA allows healthcare policy planners and managers at government, health board and PC cluster level to evaluate independent aspects of PC (e.g., coordination, efficiency, or equity of care, etc.), and focus efforts on addressing existing </w:t>
      </w:r>
      <w:r w:rsidR="009178DD">
        <w:rPr>
          <w:rFonts w:cs="Times New Roman"/>
          <w:szCs w:val="24"/>
        </w:rPr>
        <w:t xml:space="preserve">and emerging </w:t>
      </w:r>
      <w:r w:rsidR="00FA5B17">
        <w:rPr>
          <w:rFonts w:cs="Times New Roman"/>
          <w:szCs w:val="24"/>
        </w:rPr>
        <w:t xml:space="preserve">national and local priorities. The PCCMA </w:t>
      </w:r>
      <w:r w:rsidR="008D3E6F">
        <w:rPr>
          <w:rFonts w:cs="Times New Roman"/>
          <w:szCs w:val="24"/>
        </w:rPr>
        <w:t xml:space="preserve">uses a novel set of indicators to assess a comprehensive range of PC systemic dimensions, related to PC structure, process and outcome, at a PC cluster level. The PCCMA does not include specific health outcome measures, and thus </w:t>
      </w:r>
      <w:r w:rsidR="00FA5B17">
        <w:rPr>
          <w:rFonts w:cs="Times New Roman"/>
          <w:szCs w:val="24"/>
        </w:rPr>
        <w:t xml:space="preserve">can complement </w:t>
      </w:r>
      <w:r w:rsidR="009178DD">
        <w:rPr>
          <w:rFonts w:cs="Times New Roman"/>
          <w:szCs w:val="24"/>
        </w:rPr>
        <w:t xml:space="preserve">and help </w:t>
      </w:r>
      <w:r w:rsidR="009178DD">
        <w:rPr>
          <w:rFonts w:cs="Times New Roman"/>
          <w:szCs w:val="24"/>
        </w:rPr>
        <w:lastRenderedPageBreak/>
        <w:t xml:space="preserve">explain </w:t>
      </w:r>
      <w:r w:rsidR="00FA5B17">
        <w:rPr>
          <w:rFonts w:cs="Times New Roman"/>
          <w:szCs w:val="24"/>
        </w:rPr>
        <w:t xml:space="preserve">measures of </w:t>
      </w:r>
      <w:r w:rsidR="00FA5B17" w:rsidRPr="00463469">
        <w:rPr>
          <w:rFonts w:cs="Times New Roman"/>
          <w:szCs w:val="24"/>
        </w:rPr>
        <w:t>standardised clinical indicators</w:t>
      </w:r>
      <w:r w:rsidR="002B4BDA">
        <w:rPr>
          <w:rFonts w:cs="Times New Roman"/>
          <w:szCs w:val="24"/>
        </w:rPr>
        <w:t>, patient reported outcome measures (PROMs)</w:t>
      </w:r>
      <w:r w:rsidR="00FA5B17" w:rsidRPr="00463469">
        <w:rPr>
          <w:rFonts w:cs="Times New Roman"/>
          <w:szCs w:val="24"/>
        </w:rPr>
        <w:t xml:space="preserve"> and other routinely collected healthcare data</w:t>
      </w:r>
      <w:r w:rsidR="009178DD">
        <w:rPr>
          <w:rFonts w:cs="Times New Roman"/>
          <w:szCs w:val="24"/>
        </w:rPr>
        <w:t xml:space="preserve">, by providing a snapshot of the broadest set of </w:t>
      </w:r>
      <w:r w:rsidR="008D3E6F">
        <w:rPr>
          <w:rFonts w:cs="Times New Roman"/>
          <w:szCs w:val="24"/>
        </w:rPr>
        <w:t xml:space="preserve">systemic </w:t>
      </w:r>
      <w:r w:rsidR="009178DD">
        <w:rPr>
          <w:rFonts w:cs="Times New Roman"/>
          <w:szCs w:val="24"/>
        </w:rPr>
        <w:t>dimensions contributing to PC strength</w:t>
      </w:r>
      <w:r w:rsidR="00FA5B17" w:rsidRPr="00463469">
        <w:rPr>
          <w:rFonts w:cs="Times New Roman"/>
          <w:szCs w:val="24"/>
        </w:rPr>
        <w:t>.</w:t>
      </w:r>
      <w:r w:rsidR="00FA5B17">
        <w:rPr>
          <w:rFonts w:cs="Times New Roman"/>
          <w:szCs w:val="24"/>
        </w:rPr>
        <w:t xml:space="preserve"> </w:t>
      </w:r>
      <w:r w:rsidR="003A6772">
        <w:rPr>
          <w:rFonts w:cs="Times New Roman"/>
          <w:szCs w:val="24"/>
        </w:rPr>
        <w:t>At</w:t>
      </w:r>
      <w:r w:rsidR="00990083">
        <w:rPr>
          <w:rFonts w:cs="Times New Roman"/>
          <w:szCs w:val="24"/>
        </w:rPr>
        <w:t xml:space="preserve"> present</w:t>
      </w:r>
      <w:r w:rsidR="003A6772">
        <w:rPr>
          <w:rFonts w:cs="Times New Roman"/>
          <w:szCs w:val="24"/>
        </w:rPr>
        <w:t>, this is</w:t>
      </w:r>
      <w:r w:rsidR="00990083">
        <w:rPr>
          <w:rFonts w:cs="Times New Roman"/>
          <w:szCs w:val="24"/>
        </w:rPr>
        <w:t xml:space="preserve"> only </w:t>
      </w:r>
      <w:r w:rsidRPr="001D6684">
        <w:rPr>
          <w:rFonts w:cs="Times New Roman"/>
          <w:szCs w:val="24"/>
        </w:rPr>
        <w:t xml:space="preserve">from the perspective of </w:t>
      </w:r>
      <w:r w:rsidR="00264B22">
        <w:rPr>
          <w:rFonts w:cs="Times New Roman"/>
          <w:szCs w:val="24"/>
        </w:rPr>
        <w:t>c</w:t>
      </w:r>
      <w:r w:rsidRPr="001D6684">
        <w:rPr>
          <w:rFonts w:cs="Times New Roman"/>
          <w:szCs w:val="24"/>
        </w:rPr>
        <w:t xml:space="preserve">luster </w:t>
      </w:r>
      <w:r w:rsidR="00264B22">
        <w:rPr>
          <w:rFonts w:cs="Times New Roman"/>
          <w:szCs w:val="24"/>
        </w:rPr>
        <w:t>l</w:t>
      </w:r>
      <w:r w:rsidRPr="001D6684">
        <w:rPr>
          <w:rFonts w:cs="Times New Roman"/>
          <w:szCs w:val="24"/>
        </w:rPr>
        <w:t>eads</w:t>
      </w:r>
      <w:r w:rsidR="003A6772">
        <w:rPr>
          <w:rFonts w:cs="Times New Roman"/>
          <w:szCs w:val="24"/>
        </w:rPr>
        <w:t>, but this</w:t>
      </w:r>
      <w:r w:rsidR="0032380A" w:rsidRPr="001D6684">
        <w:rPr>
          <w:rFonts w:cs="Times New Roman"/>
          <w:szCs w:val="24"/>
        </w:rPr>
        <w:t xml:space="preserve"> instrument </w:t>
      </w:r>
      <w:r w:rsidR="00E81B9A" w:rsidRPr="001D6684">
        <w:rPr>
          <w:rFonts w:cs="Times New Roman"/>
          <w:szCs w:val="24"/>
        </w:rPr>
        <w:t xml:space="preserve">could </w:t>
      </w:r>
      <w:r w:rsidR="0032380A" w:rsidRPr="001D6684">
        <w:rPr>
          <w:rFonts w:cs="Times New Roman"/>
          <w:szCs w:val="24"/>
        </w:rPr>
        <w:t>a</w:t>
      </w:r>
      <w:r w:rsidR="00E81B9A" w:rsidRPr="001D6684">
        <w:rPr>
          <w:rFonts w:cs="Times New Roman"/>
          <w:szCs w:val="24"/>
        </w:rPr>
        <w:t>llow</w:t>
      </w:r>
      <w:r w:rsidR="0032380A" w:rsidRPr="001D6684">
        <w:rPr>
          <w:rFonts w:cs="Times New Roman"/>
          <w:szCs w:val="24"/>
        </w:rPr>
        <w:t xml:space="preserve"> the benchmarking of clusters </w:t>
      </w:r>
      <w:r w:rsidR="003A6772">
        <w:rPr>
          <w:rFonts w:cs="Times New Roman"/>
          <w:szCs w:val="24"/>
        </w:rPr>
        <w:t xml:space="preserve">for </w:t>
      </w:r>
      <w:r w:rsidR="0032380A" w:rsidRPr="001D6684">
        <w:rPr>
          <w:rFonts w:cs="Times New Roman"/>
          <w:szCs w:val="24"/>
        </w:rPr>
        <w:t xml:space="preserve">the </w:t>
      </w:r>
      <w:r w:rsidR="003E4812" w:rsidRPr="001D6684">
        <w:rPr>
          <w:rFonts w:cs="Times New Roman"/>
          <w:szCs w:val="24"/>
        </w:rPr>
        <w:t xml:space="preserve">local planning and </w:t>
      </w:r>
      <w:r w:rsidR="0032380A" w:rsidRPr="001D6684">
        <w:rPr>
          <w:rFonts w:cs="Times New Roman"/>
          <w:szCs w:val="24"/>
        </w:rPr>
        <w:t xml:space="preserve">provision </w:t>
      </w:r>
      <w:r w:rsidR="003E4812" w:rsidRPr="001D6684">
        <w:rPr>
          <w:rFonts w:cs="Times New Roman"/>
          <w:szCs w:val="24"/>
        </w:rPr>
        <w:t xml:space="preserve">of </w:t>
      </w:r>
      <w:r w:rsidR="00D740B5">
        <w:rPr>
          <w:rFonts w:cs="Times New Roman"/>
          <w:szCs w:val="24"/>
        </w:rPr>
        <w:t>PC</w:t>
      </w:r>
      <w:r w:rsidR="003E4812" w:rsidRPr="001D6684">
        <w:rPr>
          <w:rFonts w:cs="Times New Roman"/>
          <w:szCs w:val="24"/>
        </w:rPr>
        <w:t xml:space="preserve"> services, and </w:t>
      </w:r>
      <w:r w:rsidR="003A6772">
        <w:rPr>
          <w:rFonts w:cs="Times New Roman"/>
          <w:szCs w:val="24"/>
        </w:rPr>
        <w:t xml:space="preserve">could be used </w:t>
      </w:r>
      <w:r w:rsidR="003E4812" w:rsidRPr="001D6684">
        <w:rPr>
          <w:rFonts w:cs="Times New Roman"/>
          <w:szCs w:val="24"/>
        </w:rPr>
        <w:t xml:space="preserve">to develop a comprehensive 360 degrees assessment. Moreover, this work has international relevance for comprehensive and developed health care systems, where </w:t>
      </w:r>
      <w:r w:rsidR="00D740B5">
        <w:rPr>
          <w:rFonts w:cs="Times New Roman"/>
          <w:szCs w:val="24"/>
        </w:rPr>
        <w:t>PC</w:t>
      </w:r>
      <w:r w:rsidR="003E4812" w:rsidRPr="001D6684">
        <w:rPr>
          <w:rFonts w:cs="Times New Roman"/>
          <w:szCs w:val="24"/>
        </w:rPr>
        <w:t xml:space="preserve"> provision is planned and delivered locally at the levels comparable to Wales (</w:t>
      </w:r>
      <w:r w:rsidR="00FA6E3D">
        <w:rPr>
          <w:rFonts w:cs="Times New Roman"/>
          <w:szCs w:val="24"/>
        </w:rPr>
        <w:t>2</w:t>
      </w:r>
      <w:r w:rsidR="00FC0FEB" w:rsidRPr="001D6684">
        <w:rPr>
          <w:rFonts w:cs="Times New Roman"/>
          <w:szCs w:val="24"/>
        </w:rPr>
        <w:t>0</w:t>
      </w:r>
      <w:r w:rsidR="003E4812" w:rsidRPr="001D6684">
        <w:rPr>
          <w:rFonts w:cs="Times New Roman"/>
          <w:szCs w:val="24"/>
        </w:rPr>
        <w:t>,000-</w:t>
      </w:r>
      <w:r w:rsidR="00FA6E3D">
        <w:rPr>
          <w:rFonts w:cs="Times New Roman"/>
          <w:szCs w:val="24"/>
        </w:rPr>
        <w:t>10</w:t>
      </w:r>
      <w:r w:rsidR="003E4812" w:rsidRPr="001D6684">
        <w:rPr>
          <w:rFonts w:cs="Times New Roman"/>
          <w:szCs w:val="24"/>
        </w:rPr>
        <w:t>0,000 people).</w:t>
      </w:r>
    </w:p>
    <w:p w:rsidR="0032380A" w:rsidRPr="001D6684" w:rsidRDefault="0032380A" w:rsidP="002C1390">
      <w:pPr>
        <w:spacing w:after="0" w:line="360" w:lineRule="auto"/>
        <w:ind w:firstLine="720"/>
        <w:contextualSpacing/>
        <w:jc w:val="both"/>
        <w:rPr>
          <w:rFonts w:cs="Times New Roman"/>
          <w:szCs w:val="24"/>
        </w:rPr>
      </w:pPr>
    </w:p>
    <w:p w:rsidR="0032380A" w:rsidRPr="00FA6E3D" w:rsidRDefault="0032380A" w:rsidP="002C1390">
      <w:pPr>
        <w:spacing w:after="0" w:line="360" w:lineRule="auto"/>
        <w:rPr>
          <w:i/>
        </w:rPr>
      </w:pPr>
      <w:bookmarkStart w:id="13" w:name="_Toc503746149"/>
      <w:r w:rsidRPr="00FA6E3D">
        <w:rPr>
          <w:i/>
        </w:rPr>
        <w:t>Summary of findings</w:t>
      </w:r>
      <w:bookmarkEnd w:id="13"/>
    </w:p>
    <w:p w:rsidR="00D0543B" w:rsidRDefault="003E4812" w:rsidP="00D0543B">
      <w:pPr>
        <w:spacing w:after="0" w:line="360" w:lineRule="auto"/>
        <w:ind w:firstLine="720"/>
        <w:contextualSpacing/>
        <w:rPr>
          <w:rFonts w:cs="Times New Roman"/>
          <w:szCs w:val="24"/>
        </w:rPr>
      </w:pPr>
      <w:r w:rsidRPr="001D6684">
        <w:rPr>
          <w:rFonts w:cs="Times New Roman"/>
          <w:szCs w:val="24"/>
        </w:rPr>
        <w:t>T</w:t>
      </w:r>
      <w:r w:rsidR="00C65D9E" w:rsidRPr="001D6684">
        <w:rPr>
          <w:rFonts w:cs="Times New Roman"/>
          <w:szCs w:val="24"/>
        </w:rPr>
        <w:t xml:space="preserve">he </w:t>
      </w:r>
      <w:r w:rsidR="00204D6B">
        <w:rPr>
          <w:rFonts w:cs="Times New Roman"/>
          <w:szCs w:val="24"/>
        </w:rPr>
        <w:t>c</w:t>
      </w:r>
      <w:r w:rsidR="00C65D9E" w:rsidRPr="001D6684">
        <w:rPr>
          <w:rFonts w:cs="Times New Roman"/>
          <w:szCs w:val="24"/>
        </w:rPr>
        <w:t xml:space="preserve">luster </w:t>
      </w:r>
      <w:r w:rsidR="00204D6B">
        <w:rPr>
          <w:rFonts w:cs="Times New Roman"/>
          <w:szCs w:val="24"/>
        </w:rPr>
        <w:t>l</w:t>
      </w:r>
      <w:r w:rsidR="00C65D9E" w:rsidRPr="001D6684">
        <w:rPr>
          <w:rFonts w:cs="Times New Roman"/>
          <w:szCs w:val="24"/>
        </w:rPr>
        <w:t xml:space="preserve">eads </w:t>
      </w:r>
      <w:r w:rsidRPr="001D6684">
        <w:rPr>
          <w:rFonts w:cs="Times New Roman"/>
          <w:szCs w:val="24"/>
        </w:rPr>
        <w:t>who took part in the telephone interviews</w:t>
      </w:r>
      <w:r w:rsidR="00C65D9E" w:rsidRPr="001D6684">
        <w:rPr>
          <w:rFonts w:cs="Times New Roman"/>
          <w:szCs w:val="24"/>
        </w:rPr>
        <w:t xml:space="preserve"> were positive about the impact of </w:t>
      </w:r>
      <w:r w:rsidR="00D740B5">
        <w:rPr>
          <w:rFonts w:cs="Times New Roman"/>
          <w:szCs w:val="24"/>
        </w:rPr>
        <w:t>PC</w:t>
      </w:r>
      <w:r w:rsidR="00C65D9E" w:rsidRPr="001D6684">
        <w:rPr>
          <w:rFonts w:cs="Times New Roman"/>
          <w:szCs w:val="24"/>
        </w:rPr>
        <w:t xml:space="preserve"> clusters across Wales. Regional and national challenges to the clusters’ work </w:t>
      </w:r>
      <w:r w:rsidRPr="001D6684">
        <w:rPr>
          <w:rFonts w:cs="Times New Roman"/>
          <w:szCs w:val="24"/>
        </w:rPr>
        <w:t>exist</w:t>
      </w:r>
      <w:r w:rsidR="00D0543B">
        <w:rPr>
          <w:rFonts w:cs="Times New Roman"/>
          <w:szCs w:val="24"/>
        </w:rPr>
        <w:t>ed</w:t>
      </w:r>
      <w:r w:rsidR="00F93385">
        <w:rPr>
          <w:rFonts w:cs="Times New Roman"/>
          <w:szCs w:val="24"/>
        </w:rPr>
        <w:t xml:space="preserve"> </w:t>
      </w:r>
      <w:r w:rsidR="00F93385" w:rsidRPr="001D6684">
        <w:rPr>
          <w:rFonts w:cs="Times New Roman"/>
          <w:szCs w:val="24"/>
        </w:rPr>
        <w:t>(e.g., recruitment, funding, autonomy, and integration)</w:t>
      </w:r>
      <w:r w:rsidRPr="001D6684">
        <w:rPr>
          <w:rFonts w:cs="Times New Roman"/>
          <w:szCs w:val="24"/>
        </w:rPr>
        <w:t xml:space="preserve"> and</w:t>
      </w:r>
      <w:r w:rsidR="00C65D9E" w:rsidRPr="001D6684">
        <w:rPr>
          <w:rFonts w:cs="Times New Roman"/>
          <w:szCs w:val="24"/>
        </w:rPr>
        <w:t xml:space="preserve"> progress in addressing them </w:t>
      </w:r>
      <w:r w:rsidR="00D0543B">
        <w:rPr>
          <w:rFonts w:cs="Times New Roman"/>
          <w:szCs w:val="24"/>
        </w:rPr>
        <w:t>wa</w:t>
      </w:r>
      <w:r w:rsidR="00C65D9E" w:rsidRPr="001D6684">
        <w:rPr>
          <w:rFonts w:cs="Times New Roman"/>
          <w:szCs w:val="24"/>
        </w:rPr>
        <w:t>s variable</w:t>
      </w:r>
      <w:r w:rsidR="00F93385">
        <w:rPr>
          <w:rFonts w:cs="Times New Roman"/>
          <w:szCs w:val="24"/>
        </w:rPr>
        <w:t>.</w:t>
      </w:r>
      <w:r w:rsidR="00D0543B">
        <w:rPr>
          <w:rFonts w:cs="Times New Roman"/>
          <w:szCs w:val="24"/>
        </w:rPr>
        <w:t xml:space="preserve"> </w:t>
      </w:r>
      <w:r w:rsidR="00A9304A">
        <w:rPr>
          <w:rFonts w:cs="Times New Roman"/>
          <w:szCs w:val="24"/>
        </w:rPr>
        <w:t>Notably</w:t>
      </w:r>
      <w:r w:rsidR="00D0543B">
        <w:rPr>
          <w:rFonts w:cs="Times New Roman"/>
          <w:szCs w:val="24"/>
        </w:rPr>
        <w:t xml:space="preserve">, cluster leads reported a perception that whenever locally identified PC cluster priorities failed to align with the development plans of the health board, the clusters’ funding seemed to be steered away from those priorities. </w:t>
      </w:r>
      <w:r w:rsidR="00A9304A">
        <w:rPr>
          <w:rFonts w:cs="Times New Roman"/>
          <w:szCs w:val="24"/>
        </w:rPr>
        <w:t>This highlighted the need for a more formalised relationship between PC clusters and health boards, including the need for a formal recognition of the clusters’ autonomy. Few cluster leads perceived that other clusters in their health board enjoyed a greater recognition, better relationship, and more support from the health board, while it was not immediately apparent to the cluster leads how those other clusters came to be in that position. The issue of a transparent and objective assessment is relevant here, one that would allow both PC clusters and health boards to identify areas of strength and weakness and use them to support both the allocation of funding and organisational support to the clusters. For the moment, the cluster leads’ perceptions reported in the interview study remain an issue to be investigated further, but</w:t>
      </w:r>
      <w:r w:rsidR="00D0543B">
        <w:rPr>
          <w:rFonts w:cs="Times New Roman"/>
          <w:szCs w:val="24"/>
        </w:rPr>
        <w:t xml:space="preserve"> </w:t>
      </w:r>
      <w:r w:rsidR="00D0543B" w:rsidRPr="001D6684">
        <w:rPr>
          <w:rFonts w:cs="Times New Roman"/>
          <w:szCs w:val="24"/>
        </w:rPr>
        <w:t xml:space="preserve">highlight an important area of study regarding the relationship between the larger and established organisations of the health boards, and the newly formed </w:t>
      </w:r>
      <w:r w:rsidR="00D0543B">
        <w:rPr>
          <w:rFonts w:cs="Times New Roman"/>
          <w:szCs w:val="24"/>
        </w:rPr>
        <w:t>PC</w:t>
      </w:r>
      <w:r w:rsidR="00D0543B" w:rsidRPr="001D6684">
        <w:rPr>
          <w:rFonts w:cs="Times New Roman"/>
          <w:szCs w:val="24"/>
        </w:rPr>
        <w:t xml:space="preserve"> clusters</w:t>
      </w:r>
      <w:r w:rsidR="00A9304A">
        <w:rPr>
          <w:rFonts w:cs="Times New Roman"/>
          <w:szCs w:val="24"/>
        </w:rPr>
        <w:t xml:space="preserve">. Importantly, these indications </w:t>
      </w:r>
      <w:r w:rsidR="00D0543B">
        <w:rPr>
          <w:rFonts w:cs="Times New Roman"/>
          <w:szCs w:val="24"/>
        </w:rPr>
        <w:t xml:space="preserve">are in agreement </w:t>
      </w:r>
      <w:r w:rsidR="00D0543B">
        <w:t>with the evidence and conclusions of the 2017 inquiry into PC clusters carried out by the National Assembly for Wales’ Health, Social Care and Sport Committee.[</w:t>
      </w:r>
      <w:r w:rsidR="00DC60E8">
        <w:t>3</w:t>
      </w:r>
      <w:r w:rsidR="00D0543B">
        <w:t xml:space="preserve">7] </w:t>
      </w:r>
    </w:p>
    <w:p w:rsidR="00834E1A" w:rsidRDefault="00834E1A" w:rsidP="002C1390">
      <w:pPr>
        <w:spacing w:after="0" w:line="360" w:lineRule="auto"/>
        <w:ind w:firstLine="720"/>
        <w:contextualSpacing/>
        <w:jc w:val="both"/>
        <w:rPr>
          <w:rFonts w:cs="Times New Roman"/>
          <w:szCs w:val="24"/>
        </w:rPr>
      </w:pPr>
    </w:p>
    <w:p w:rsidR="00834E1A" w:rsidRDefault="00834E1A" w:rsidP="00C02FB6">
      <w:pPr>
        <w:spacing w:after="0" w:line="360" w:lineRule="auto"/>
        <w:ind w:firstLine="720"/>
        <w:contextualSpacing/>
        <w:jc w:val="both"/>
        <w:rPr>
          <w:rFonts w:cs="Times New Roman"/>
          <w:szCs w:val="24"/>
        </w:rPr>
      </w:pPr>
      <w:r>
        <w:rPr>
          <w:rFonts w:cs="Times New Roman"/>
          <w:szCs w:val="24"/>
        </w:rPr>
        <w:t>The literature review identified w</w:t>
      </w:r>
      <w:r w:rsidR="00677CE1" w:rsidRPr="001D6684">
        <w:rPr>
          <w:rFonts w:cs="Times New Roman"/>
          <w:szCs w:val="24"/>
        </w:rPr>
        <w:t xml:space="preserve">ork of critical importance published in the last five years concerning international evaluations of </w:t>
      </w:r>
      <w:r w:rsidR="00D740B5">
        <w:rPr>
          <w:rFonts w:cs="Times New Roman"/>
          <w:szCs w:val="24"/>
        </w:rPr>
        <w:t>PC</w:t>
      </w:r>
      <w:r w:rsidR="00677CE1" w:rsidRPr="001D6684">
        <w:rPr>
          <w:rFonts w:cs="Times New Roman"/>
          <w:szCs w:val="24"/>
        </w:rPr>
        <w:t xml:space="preserve"> systems. The models of evaluation </w:t>
      </w:r>
      <w:r>
        <w:rPr>
          <w:rFonts w:cs="Times New Roman"/>
          <w:szCs w:val="24"/>
        </w:rPr>
        <w:t xml:space="preserve">most relevant for developed </w:t>
      </w:r>
      <w:r w:rsidR="00D740B5">
        <w:rPr>
          <w:rFonts w:cs="Times New Roman"/>
          <w:szCs w:val="24"/>
        </w:rPr>
        <w:t>PC</w:t>
      </w:r>
      <w:r w:rsidR="00677CE1" w:rsidRPr="001D6684">
        <w:rPr>
          <w:rFonts w:cs="Times New Roman"/>
          <w:szCs w:val="24"/>
        </w:rPr>
        <w:t xml:space="preserve"> </w:t>
      </w:r>
      <w:r>
        <w:rPr>
          <w:rFonts w:cs="Times New Roman"/>
          <w:szCs w:val="24"/>
        </w:rPr>
        <w:t xml:space="preserve">systems should cover </w:t>
      </w:r>
      <w:r w:rsidR="00677CE1" w:rsidRPr="001D6684">
        <w:rPr>
          <w:rFonts w:cs="Times New Roman"/>
          <w:szCs w:val="24"/>
        </w:rPr>
        <w:t xml:space="preserve">three </w:t>
      </w:r>
      <w:r>
        <w:rPr>
          <w:rFonts w:cs="Times New Roman"/>
          <w:szCs w:val="24"/>
        </w:rPr>
        <w:t xml:space="preserve">fundamental </w:t>
      </w:r>
      <w:r w:rsidR="00677CE1" w:rsidRPr="001D6684">
        <w:rPr>
          <w:rFonts w:cs="Times New Roman"/>
          <w:szCs w:val="24"/>
        </w:rPr>
        <w:t xml:space="preserve">levels: structure, process </w:t>
      </w:r>
      <w:r w:rsidR="00677CE1" w:rsidRPr="001D6684">
        <w:rPr>
          <w:rFonts w:cs="Times New Roman"/>
          <w:szCs w:val="24"/>
        </w:rPr>
        <w:lastRenderedPageBreak/>
        <w:t>and outcomes. The framework and developmental methodology used by Kringos and colleagues were adopted and expanded in the present work.</w:t>
      </w:r>
      <w:r w:rsidR="00C02FB6">
        <w:rPr>
          <w:rFonts w:cs="Times New Roman"/>
          <w:szCs w:val="24"/>
        </w:rPr>
        <w:t>[1</w:t>
      </w:r>
      <w:r w:rsidR="00C7231F">
        <w:rPr>
          <w:rFonts w:cs="Times New Roman"/>
          <w:szCs w:val="24"/>
        </w:rPr>
        <w:t>2</w:t>
      </w:r>
      <w:r w:rsidR="00C02FB6">
        <w:rPr>
          <w:rFonts w:cs="Times New Roman"/>
          <w:szCs w:val="24"/>
        </w:rPr>
        <w:t>]</w:t>
      </w:r>
      <w:r w:rsidR="00677CE1" w:rsidRPr="001D6684">
        <w:rPr>
          <w:rFonts w:cs="Times New Roman"/>
          <w:szCs w:val="24"/>
        </w:rPr>
        <w:t xml:space="preserve"> </w:t>
      </w:r>
    </w:p>
    <w:p w:rsidR="00677CE1" w:rsidRPr="001D6684" w:rsidRDefault="00677CE1" w:rsidP="002C1390">
      <w:pPr>
        <w:spacing w:after="0" w:line="360" w:lineRule="auto"/>
        <w:ind w:firstLine="720"/>
        <w:contextualSpacing/>
        <w:jc w:val="both"/>
        <w:rPr>
          <w:rFonts w:cs="Times New Roman"/>
          <w:szCs w:val="24"/>
        </w:rPr>
      </w:pPr>
      <w:r w:rsidRPr="001D6684">
        <w:rPr>
          <w:rFonts w:cs="Times New Roman"/>
          <w:szCs w:val="24"/>
        </w:rPr>
        <w:t xml:space="preserve">Following the literature review and engagement with key </w:t>
      </w:r>
      <w:r w:rsidR="00834E1A">
        <w:rPr>
          <w:rFonts w:cs="Times New Roman"/>
          <w:szCs w:val="24"/>
        </w:rPr>
        <w:t xml:space="preserve">stakeholders </w:t>
      </w:r>
      <w:r w:rsidRPr="001D6684">
        <w:rPr>
          <w:rFonts w:cs="Times New Roman"/>
          <w:szCs w:val="24"/>
        </w:rPr>
        <w:t xml:space="preserve">in </w:t>
      </w:r>
      <w:r w:rsidR="00D740B5">
        <w:rPr>
          <w:rFonts w:cs="Times New Roman"/>
          <w:szCs w:val="24"/>
        </w:rPr>
        <w:t>PC</w:t>
      </w:r>
      <w:r w:rsidRPr="001D6684">
        <w:rPr>
          <w:rFonts w:cs="Times New Roman"/>
          <w:szCs w:val="24"/>
        </w:rPr>
        <w:t xml:space="preserve"> in Wales, a series of indicators were identified </w:t>
      </w:r>
      <w:r w:rsidR="00204326">
        <w:rPr>
          <w:rFonts w:cs="Times New Roman"/>
          <w:szCs w:val="24"/>
        </w:rPr>
        <w:t>a</w:t>
      </w:r>
      <w:r w:rsidR="00204326">
        <w:t xml:space="preserve">nd agreed as an appropriate and comprehensive data set to assess the level and effectiveness of PC </w:t>
      </w:r>
      <w:r w:rsidR="007F48F3">
        <w:t>c</w:t>
      </w:r>
      <w:r w:rsidR="00204326">
        <w:t>luster activity</w:t>
      </w:r>
      <w:r w:rsidR="00834E1A">
        <w:rPr>
          <w:rFonts w:cs="Times New Roman"/>
          <w:szCs w:val="24"/>
        </w:rPr>
        <w:t xml:space="preserve">. </w:t>
      </w:r>
      <w:r w:rsidR="007F48F3">
        <w:rPr>
          <w:rFonts w:cs="Times New Roman"/>
          <w:szCs w:val="24"/>
        </w:rPr>
        <w:t>The</w:t>
      </w:r>
      <w:r w:rsidR="00485E5E">
        <w:rPr>
          <w:rFonts w:cs="Times New Roman"/>
          <w:szCs w:val="24"/>
        </w:rPr>
        <w:t xml:space="preserve"> 53</w:t>
      </w:r>
      <w:r w:rsidR="007F48F3">
        <w:rPr>
          <w:rFonts w:cs="Times New Roman"/>
          <w:szCs w:val="24"/>
        </w:rPr>
        <w:t xml:space="preserve"> </w:t>
      </w:r>
      <w:r w:rsidRPr="001D6684">
        <w:rPr>
          <w:rFonts w:cs="Times New Roman"/>
          <w:szCs w:val="24"/>
        </w:rPr>
        <w:t>indicators</w:t>
      </w:r>
      <w:r w:rsidR="00485E5E">
        <w:rPr>
          <w:rFonts w:cs="Times New Roman"/>
          <w:szCs w:val="24"/>
        </w:rPr>
        <w:t xml:space="preserve">, covering the 11 </w:t>
      </w:r>
      <w:r w:rsidR="000346BA">
        <w:rPr>
          <w:rFonts w:cs="Times New Roman"/>
          <w:szCs w:val="24"/>
        </w:rPr>
        <w:t xml:space="preserve">systemic </w:t>
      </w:r>
      <w:r w:rsidR="00485E5E">
        <w:rPr>
          <w:rFonts w:cs="Times New Roman"/>
          <w:szCs w:val="24"/>
        </w:rPr>
        <w:t xml:space="preserve">dimensions of PC, </w:t>
      </w:r>
      <w:r w:rsidRPr="001D6684">
        <w:rPr>
          <w:rFonts w:cs="Times New Roman"/>
          <w:szCs w:val="24"/>
        </w:rPr>
        <w:t>have been piloted in a measurem</w:t>
      </w:r>
      <w:r w:rsidR="00834E1A">
        <w:rPr>
          <w:rFonts w:cs="Times New Roman"/>
          <w:szCs w:val="24"/>
        </w:rPr>
        <w:t>ent instrument called the PCC</w:t>
      </w:r>
      <w:r w:rsidR="00E66407">
        <w:rPr>
          <w:rFonts w:cs="Times New Roman"/>
          <w:szCs w:val="24"/>
        </w:rPr>
        <w:t>M</w:t>
      </w:r>
      <w:r w:rsidR="00834E1A">
        <w:rPr>
          <w:rFonts w:cs="Times New Roman"/>
          <w:szCs w:val="24"/>
        </w:rPr>
        <w:t>A.</w:t>
      </w:r>
    </w:p>
    <w:p w:rsidR="00176D84" w:rsidRDefault="00F93385" w:rsidP="00C02FB6">
      <w:pPr>
        <w:spacing w:after="0" w:line="360" w:lineRule="auto"/>
        <w:ind w:firstLine="720"/>
        <w:contextualSpacing/>
        <w:rPr>
          <w:rFonts w:cs="Times New Roman"/>
          <w:szCs w:val="24"/>
        </w:rPr>
      </w:pPr>
      <w:r>
        <w:rPr>
          <w:rFonts w:cs="Times New Roman"/>
          <w:szCs w:val="24"/>
        </w:rPr>
        <w:t xml:space="preserve">Almost two thirds of </w:t>
      </w:r>
      <w:r w:rsidR="0054104A" w:rsidRPr="001D6684">
        <w:rPr>
          <w:rFonts w:cs="Times New Roman"/>
          <w:szCs w:val="24"/>
        </w:rPr>
        <w:t xml:space="preserve">clusters </w:t>
      </w:r>
      <w:r>
        <w:rPr>
          <w:rFonts w:cs="Times New Roman"/>
          <w:szCs w:val="24"/>
        </w:rPr>
        <w:t xml:space="preserve">completed </w:t>
      </w:r>
      <w:r w:rsidR="0054104A" w:rsidRPr="001D6684">
        <w:rPr>
          <w:rFonts w:cs="Times New Roman"/>
          <w:szCs w:val="24"/>
        </w:rPr>
        <w:t>the PCC</w:t>
      </w:r>
      <w:r w:rsidR="00E66407">
        <w:rPr>
          <w:rFonts w:cs="Times New Roman"/>
          <w:szCs w:val="24"/>
        </w:rPr>
        <w:t>M</w:t>
      </w:r>
      <w:r w:rsidR="0054104A" w:rsidRPr="001D6684">
        <w:rPr>
          <w:rFonts w:cs="Times New Roman"/>
          <w:szCs w:val="24"/>
        </w:rPr>
        <w:t>A survey.</w:t>
      </w:r>
      <w:r w:rsidR="00E81B9A" w:rsidRPr="001D6684">
        <w:rPr>
          <w:rFonts w:cs="Times New Roman"/>
          <w:szCs w:val="24"/>
        </w:rPr>
        <w:t xml:space="preserve"> </w:t>
      </w:r>
      <w:r w:rsidR="00613503" w:rsidRPr="001D6684">
        <w:rPr>
          <w:rFonts w:cs="Times New Roman"/>
          <w:szCs w:val="24"/>
        </w:rPr>
        <w:t xml:space="preserve">The </w:t>
      </w:r>
      <w:r w:rsidR="00AE204A">
        <w:rPr>
          <w:rFonts w:cs="Times New Roman"/>
          <w:szCs w:val="24"/>
        </w:rPr>
        <w:t>“</w:t>
      </w:r>
      <w:r w:rsidR="00204D6B">
        <w:rPr>
          <w:rFonts w:cs="Times New Roman"/>
          <w:szCs w:val="24"/>
        </w:rPr>
        <w:t>c</w:t>
      </w:r>
      <w:r w:rsidR="00613503" w:rsidRPr="001D6684">
        <w:rPr>
          <w:rFonts w:cs="Times New Roman"/>
          <w:szCs w:val="24"/>
        </w:rPr>
        <w:t xml:space="preserve">omprehensiveness </w:t>
      </w:r>
      <w:r w:rsidR="00AE204A">
        <w:rPr>
          <w:rFonts w:cs="Times New Roman"/>
          <w:szCs w:val="24"/>
        </w:rPr>
        <w:t xml:space="preserve">of care” </w:t>
      </w:r>
      <w:r w:rsidR="00AF5B21" w:rsidRPr="001D6684">
        <w:rPr>
          <w:rFonts w:cs="Times New Roman"/>
          <w:szCs w:val="24"/>
        </w:rPr>
        <w:t xml:space="preserve">and </w:t>
      </w:r>
      <w:r w:rsidR="00AE204A">
        <w:rPr>
          <w:rFonts w:cs="Times New Roman"/>
          <w:szCs w:val="24"/>
        </w:rPr>
        <w:t>“</w:t>
      </w:r>
      <w:r w:rsidR="00204D6B">
        <w:rPr>
          <w:rFonts w:cs="Times New Roman"/>
          <w:szCs w:val="24"/>
        </w:rPr>
        <w:t>e</w:t>
      </w:r>
      <w:r w:rsidR="00613503" w:rsidRPr="001D6684">
        <w:rPr>
          <w:rFonts w:cs="Times New Roman"/>
          <w:szCs w:val="24"/>
        </w:rPr>
        <w:t xml:space="preserve">fficiency </w:t>
      </w:r>
      <w:r w:rsidR="00AE204A">
        <w:rPr>
          <w:rFonts w:cs="Times New Roman"/>
          <w:szCs w:val="24"/>
        </w:rPr>
        <w:t xml:space="preserve">of care” </w:t>
      </w:r>
      <w:r w:rsidR="00613503" w:rsidRPr="001D6684">
        <w:rPr>
          <w:rFonts w:cs="Times New Roman"/>
          <w:szCs w:val="24"/>
        </w:rPr>
        <w:t xml:space="preserve">dimensions scored highest overall, while the </w:t>
      </w:r>
      <w:r w:rsidR="00AE204A">
        <w:rPr>
          <w:rFonts w:cs="Times New Roman"/>
          <w:szCs w:val="24"/>
        </w:rPr>
        <w:t>“</w:t>
      </w:r>
      <w:r w:rsidR="00204D6B">
        <w:rPr>
          <w:rFonts w:cs="Times New Roman"/>
          <w:szCs w:val="24"/>
        </w:rPr>
        <w:t>c</w:t>
      </w:r>
      <w:r w:rsidR="00613503" w:rsidRPr="001D6684">
        <w:rPr>
          <w:rFonts w:cs="Times New Roman"/>
          <w:szCs w:val="24"/>
        </w:rPr>
        <w:t>ontinuity of care</w:t>
      </w:r>
      <w:r w:rsidR="00AE204A">
        <w:rPr>
          <w:rFonts w:cs="Times New Roman"/>
          <w:szCs w:val="24"/>
        </w:rPr>
        <w:t>”</w:t>
      </w:r>
      <w:r w:rsidR="00613503" w:rsidRPr="001D6684">
        <w:rPr>
          <w:rFonts w:cs="Times New Roman"/>
          <w:szCs w:val="24"/>
        </w:rPr>
        <w:t xml:space="preserve"> dimension scored lowest. </w:t>
      </w:r>
      <w:r w:rsidR="00AE204A">
        <w:rPr>
          <w:rFonts w:cs="Times New Roman"/>
          <w:szCs w:val="24"/>
        </w:rPr>
        <w:t>Interestingly, a</w:t>
      </w:r>
      <w:r>
        <w:rPr>
          <w:rFonts w:cs="Times New Roman"/>
          <w:szCs w:val="24"/>
        </w:rPr>
        <w:t xml:space="preserve">lthough </w:t>
      </w:r>
      <w:r w:rsidR="00204D6B">
        <w:rPr>
          <w:rFonts w:cs="Times New Roman"/>
          <w:szCs w:val="24"/>
        </w:rPr>
        <w:t xml:space="preserve">the </w:t>
      </w:r>
      <w:r w:rsidR="008F797E">
        <w:rPr>
          <w:rFonts w:cs="Times New Roman"/>
          <w:szCs w:val="24"/>
        </w:rPr>
        <w:t xml:space="preserve">UK </w:t>
      </w:r>
      <w:r>
        <w:rPr>
          <w:rFonts w:cs="Times New Roman"/>
          <w:szCs w:val="24"/>
        </w:rPr>
        <w:t>score</w:t>
      </w:r>
      <w:r w:rsidR="00204D6B">
        <w:rPr>
          <w:rFonts w:cs="Times New Roman"/>
          <w:szCs w:val="24"/>
        </w:rPr>
        <w:t>s</w:t>
      </w:r>
      <w:r>
        <w:rPr>
          <w:rFonts w:cs="Times New Roman"/>
          <w:szCs w:val="24"/>
        </w:rPr>
        <w:t xml:space="preserve"> highly in international comparisons of </w:t>
      </w:r>
      <w:r w:rsidR="00D740B5">
        <w:rPr>
          <w:rFonts w:cs="Times New Roman"/>
          <w:szCs w:val="24"/>
        </w:rPr>
        <w:t>PC</w:t>
      </w:r>
      <w:r>
        <w:rPr>
          <w:rFonts w:cs="Times New Roman"/>
          <w:szCs w:val="24"/>
        </w:rPr>
        <w:t xml:space="preserve"> systems, </w:t>
      </w:r>
      <w:r w:rsidR="00204D6B">
        <w:rPr>
          <w:rFonts w:cs="Times New Roman"/>
          <w:szCs w:val="24"/>
        </w:rPr>
        <w:t>c</w:t>
      </w:r>
      <w:r w:rsidRPr="001D6684">
        <w:rPr>
          <w:rFonts w:cs="Times New Roman"/>
          <w:szCs w:val="24"/>
        </w:rPr>
        <w:t xml:space="preserve">ontinuity of care is </w:t>
      </w:r>
      <w:r w:rsidR="0057764E">
        <w:rPr>
          <w:rFonts w:cs="Times New Roman"/>
          <w:szCs w:val="24"/>
        </w:rPr>
        <w:t xml:space="preserve">consistently reported as </w:t>
      </w:r>
      <w:r w:rsidRPr="001D6684">
        <w:rPr>
          <w:rFonts w:cs="Times New Roman"/>
          <w:szCs w:val="24"/>
        </w:rPr>
        <w:t>the lowest scoring dimension</w:t>
      </w:r>
      <w:r w:rsidR="004A071C">
        <w:rPr>
          <w:rFonts w:cs="Times New Roman"/>
          <w:szCs w:val="24"/>
        </w:rPr>
        <w:t>.</w:t>
      </w:r>
      <w:r w:rsidR="00C02FB6">
        <w:rPr>
          <w:rFonts w:cs="Times New Roman"/>
          <w:szCs w:val="24"/>
        </w:rPr>
        <w:t>[1</w:t>
      </w:r>
      <w:r w:rsidR="00C7231F">
        <w:rPr>
          <w:rFonts w:cs="Times New Roman"/>
          <w:szCs w:val="24"/>
        </w:rPr>
        <w:t>2</w:t>
      </w:r>
      <w:r w:rsidR="00C02FB6">
        <w:rPr>
          <w:rFonts w:cs="Times New Roman"/>
          <w:szCs w:val="24"/>
        </w:rPr>
        <w:t>]</w:t>
      </w:r>
    </w:p>
    <w:p w:rsidR="00AE204A" w:rsidRPr="004A071C" w:rsidRDefault="00AE204A" w:rsidP="00C02FB6">
      <w:pPr>
        <w:spacing w:after="0" w:line="360" w:lineRule="auto"/>
        <w:ind w:firstLine="720"/>
        <w:contextualSpacing/>
        <w:rPr>
          <w:rFonts w:cs="Times New Roman"/>
          <w:szCs w:val="24"/>
          <w:vertAlign w:val="superscript"/>
        </w:rPr>
      </w:pPr>
      <w:r>
        <w:rPr>
          <w:rFonts w:cs="Times New Roman"/>
          <w:szCs w:val="24"/>
        </w:rPr>
        <w:t>There was a large variation in PCC</w:t>
      </w:r>
      <w:r w:rsidR="00E66407">
        <w:rPr>
          <w:rFonts w:cs="Times New Roman"/>
          <w:szCs w:val="24"/>
        </w:rPr>
        <w:t>M</w:t>
      </w:r>
      <w:r>
        <w:rPr>
          <w:rFonts w:cs="Times New Roman"/>
          <w:szCs w:val="24"/>
        </w:rPr>
        <w:t xml:space="preserve">A summary dimension scores, across all </w:t>
      </w:r>
      <w:r w:rsidR="000346BA">
        <w:rPr>
          <w:rFonts w:cs="Times New Roman"/>
          <w:szCs w:val="24"/>
        </w:rPr>
        <w:t xml:space="preserve">systemic </w:t>
      </w:r>
      <w:r>
        <w:rPr>
          <w:rFonts w:cs="Times New Roman"/>
          <w:szCs w:val="24"/>
        </w:rPr>
        <w:t xml:space="preserve">dimensions. </w:t>
      </w:r>
      <w:r w:rsidRPr="00AE204A">
        <w:rPr>
          <w:rFonts w:cs="Times New Roman"/>
          <w:szCs w:val="24"/>
        </w:rPr>
        <w:t>Methodologically, this suggests that the middle anchor of the eVAS indicators showed good sensitivity and achieved its purpose to differentiate between clusters on various levels of development. Empirically, this suggests that further support is needed, in different clusters, across all dimensions of the PCC</w:t>
      </w:r>
      <w:r w:rsidR="00E66407">
        <w:rPr>
          <w:rFonts w:cs="Times New Roman"/>
          <w:szCs w:val="24"/>
        </w:rPr>
        <w:t>M</w:t>
      </w:r>
      <w:r w:rsidRPr="00AE204A">
        <w:rPr>
          <w:rFonts w:cs="Times New Roman"/>
          <w:szCs w:val="24"/>
        </w:rPr>
        <w:t>A.</w:t>
      </w:r>
      <w:r>
        <w:rPr>
          <w:rFonts w:cs="Times New Roman"/>
          <w:szCs w:val="24"/>
        </w:rPr>
        <w:t xml:space="preserve"> Crucially, the high scores on the PCC</w:t>
      </w:r>
      <w:r w:rsidR="00E66407">
        <w:rPr>
          <w:rFonts w:cs="Times New Roman"/>
          <w:szCs w:val="24"/>
        </w:rPr>
        <w:t>M</w:t>
      </w:r>
      <w:r>
        <w:rPr>
          <w:rFonts w:cs="Times New Roman"/>
          <w:szCs w:val="24"/>
        </w:rPr>
        <w:t xml:space="preserve">A dimensions were shared widely between a larger number of clusters, while the very low scores came from a narrow pocket of clusters whose leads reported </w:t>
      </w:r>
      <w:r w:rsidR="00834DFA">
        <w:rPr>
          <w:rFonts w:cs="Times New Roman"/>
          <w:szCs w:val="24"/>
        </w:rPr>
        <w:t xml:space="preserve">a substantial need for support </w:t>
      </w:r>
      <w:r>
        <w:rPr>
          <w:rFonts w:cs="Times New Roman"/>
          <w:szCs w:val="24"/>
        </w:rPr>
        <w:t>across all PCC</w:t>
      </w:r>
      <w:r w:rsidR="00E66407">
        <w:rPr>
          <w:rFonts w:cs="Times New Roman"/>
          <w:szCs w:val="24"/>
        </w:rPr>
        <w:t>M</w:t>
      </w:r>
      <w:r>
        <w:rPr>
          <w:rFonts w:cs="Times New Roman"/>
          <w:szCs w:val="24"/>
        </w:rPr>
        <w:t xml:space="preserve">A dimensions. </w:t>
      </w:r>
      <w:r w:rsidR="00834DFA">
        <w:rPr>
          <w:rFonts w:cs="Times New Roman"/>
          <w:szCs w:val="24"/>
        </w:rPr>
        <w:t>T</w:t>
      </w:r>
      <w:r>
        <w:rPr>
          <w:rFonts w:cs="Times New Roman"/>
          <w:szCs w:val="24"/>
        </w:rPr>
        <w:t xml:space="preserve">he identity of those clusters is protected in the current study, </w:t>
      </w:r>
      <w:r w:rsidR="00834DFA">
        <w:rPr>
          <w:rFonts w:cs="Times New Roman"/>
          <w:szCs w:val="24"/>
        </w:rPr>
        <w:t xml:space="preserve">but </w:t>
      </w:r>
      <w:r>
        <w:rPr>
          <w:rFonts w:cs="Times New Roman"/>
          <w:szCs w:val="24"/>
        </w:rPr>
        <w:t>th</w:t>
      </w:r>
      <w:r w:rsidR="00834DFA">
        <w:rPr>
          <w:rFonts w:cs="Times New Roman"/>
          <w:szCs w:val="24"/>
        </w:rPr>
        <w:t>e findings</w:t>
      </w:r>
      <w:r>
        <w:rPr>
          <w:rFonts w:cs="Times New Roman"/>
          <w:szCs w:val="24"/>
        </w:rPr>
        <w:t xml:space="preserve"> showed the potential of the PCC</w:t>
      </w:r>
      <w:r w:rsidR="00E66407">
        <w:rPr>
          <w:rFonts w:cs="Times New Roman"/>
          <w:szCs w:val="24"/>
        </w:rPr>
        <w:t>M</w:t>
      </w:r>
      <w:r>
        <w:rPr>
          <w:rFonts w:cs="Times New Roman"/>
          <w:szCs w:val="24"/>
        </w:rPr>
        <w:t xml:space="preserve">A to identify both areas of best practice and areas of largest potential for growth, which can inform </w:t>
      </w:r>
      <w:r w:rsidR="00834DFA">
        <w:rPr>
          <w:rFonts w:cs="Times New Roman"/>
          <w:szCs w:val="24"/>
        </w:rPr>
        <w:t xml:space="preserve">the priorities of </w:t>
      </w:r>
      <w:r>
        <w:rPr>
          <w:rFonts w:cs="Times New Roman"/>
          <w:szCs w:val="24"/>
        </w:rPr>
        <w:t xml:space="preserve">health care policy makers, planners and managers </w:t>
      </w:r>
      <w:r w:rsidR="00834DFA">
        <w:rPr>
          <w:rFonts w:cs="Times New Roman"/>
          <w:szCs w:val="24"/>
        </w:rPr>
        <w:t>for the development of PC clusters.</w:t>
      </w:r>
    </w:p>
    <w:p w:rsidR="0054104A" w:rsidRDefault="0054104A" w:rsidP="00355DFB">
      <w:pPr>
        <w:spacing w:after="0" w:line="360" w:lineRule="auto"/>
        <w:ind w:firstLine="720"/>
        <w:contextualSpacing/>
        <w:rPr>
          <w:rFonts w:cs="Times New Roman"/>
          <w:szCs w:val="24"/>
        </w:rPr>
      </w:pPr>
    </w:p>
    <w:p w:rsidR="00496CBC" w:rsidRPr="001D6684" w:rsidRDefault="00496CBC" w:rsidP="002C1390">
      <w:pPr>
        <w:spacing w:after="0" w:line="360" w:lineRule="auto"/>
        <w:ind w:firstLine="720"/>
        <w:contextualSpacing/>
        <w:rPr>
          <w:rFonts w:cs="Times New Roman"/>
          <w:szCs w:val="24"/>
        </w:rPr>
      </w:pPr>
    </w:p>
    <w:p w:rsidR="00496CBC" w:rsidRPr="001D6684" w:rsidRDefault="00496CBC" w:rsidP="002C1390">
      <w:pPr>
        <w:pStyle w:val="Heading2"/>
        <w:spacing w:before="0" w:line="360" w:lineRule="auto"/>
        <w:contextualSpacing/>
        <w:rPr>
          <w:rFonts w:cs="Times New Roman"/>
          <w:b w:val="0"/>
          <w:i/>
          <w:szCs w:val="24"/>
        </w:rPr>
      </w:pPr>
      <w:bookmarkStart w:id="14" w:name="_Toc503746150"/>
      <w:r w:rsidRPr="001D6684">
        <w:rPr>
          <w:rFonts w:cs="Times New Roman"/>
          <w:b w:val="0"/>
          <w:i/>
          <w:szCs w:val="24"/>
        </w:rPr>
        <w:t xml:space="preserve">Comparison with </w:t>
      </w:r>
      <w:r w:rsidR="00C105B0" w:rsidRPr="001D6684">
        <w:rPr>
          <w:rFonts w:cs="Times New Roman"/>
          <w:b w:val="0"/>
          <w:i/>
          <w:szCs w:val="24"/>
        </w:rPr>
        <w:t xml:space="preserve">similar and ongoing assessments </w:t>
      </w:r>
      <w:r w:rsidR="002B4BDA" w:rsidRPr="001D6684">
        <w:rPr>
          <w:rFonts w:cs="Times New Roman"/>
          <w:b w:val="0"/>
          <w:i/>
          <w:szCs w:val="24"/>
        </w:rPr>
        <w:t>o</w:t>
      </w:r>
      <w:r w:rsidR="002B4BDA">
        <w:rPr>
          <w:rFonts w:cs="Times New Roman"/>
          <w:b w:val="0"/>
          <w:i/>
          <w:szCs w:val="24"/>
        </w:rPr>
        <w:t>f</w:t>
      </w:r>
      <w:r w:rsidR="002B4BDA" w:rsidRPr="001D6684">
        <w:rPr>
          <w:rFonts w:cs="Times New Roman"/>
          <w:b w:val="0"/>
          <w:i/>
          <w:szCs w:val="24"/>
        </w:rPr>
        <w:t xml:space="preserve"> </w:t>
      </w:r>
      <w:r w:rsidR="00C105B0" w:rsidRPr="001D6684">
        <w:rPr>
          <w:rFonts w:cs="Times New Roman"/>
          <w:b w:val="0"/>
          <w:i/>
          <w:szCs w:val="24"/>
        </w:rPr>
        <w:t xml:space="preserve">similar </w:t>
      </w:r>
      <w:r w:rsidR="00D740B5">
        <w:rPr>
          <w:rFonts w:cs="Times New Roman"/>
          <w:b w:val="0"/>
          <w:i/>
          <w:szCs w:val="24"/>
        </w:rPr>
        <w:t>PC</w:t>
      </w:r>
      <w:r w:rsidR="00C105B0" w:rsidRPr="001D6684">
        <w:rPr>
          <w:rFonts w:cs="Times New Roman"/>
          <w:b w:val="0"/>
          <w:i/>
          <w:szCs w:val="24"/>
        </w:rPr>
        <w:t xml:space="preserve"> structures</w:t>
      </w:r>
      <w:bookmarkEnd w:id="14"/>
    </w:p>
    <w:p w:rsidR="00B11A89" w:rsidRDefault="0092730E" w:rsidP="002C1390">
      <w:pPr>
        <w:spacing w:after="0" w:line="360" w:lineRule="auto"/>
        <w:ind w:firstLine="720"/>
        <w:contextualSpacing/>
        <w:rPr>
          <w:rFonts w:cs="Times New Roman"/>
          <w:szCs w:val="24"/>
        </w:rPr>
      </w:pPr>
      <w:r w:rsidRPr="001D6684">
        <w:rPr>
          <w:rFonts w:cs="Times New Roman"/>
          <w:szCs w:val="24"/>
        </w:rPr>
        <w:t>The PCC</w:t>
      </w:r>
      <w:r w:rsidR="00E66407">
        <w:rPr>
          <w:rFonts w:cs="Times New Roman"/>
          <w:szCs w:val="24"/>
        </w:rPr>
        <w:t>M</w:t>
      </w:r>
      <w:r w:rsidRPr="001D6684">
        <w:rPr>
          <w:rFonts w:cs="Times New Roman"/>
          <w:szCs w:val="24"/>
        </w:rPr>
        <w:t>A</w:t>
      </w:r>
      <w:r w:rsidR="00613503" w:rsidRPr="001D6684">
        <w:rPr>
          <w:rFonts w:cs="Times New Roman"/>
          <w:szCs w:val="24"/>
        </w:rPr>
        <w:t xml:space="preserve"> can directly compare</w:t>
      </w:r>
      <w:r w:rsidRPr="001D6684">
        <w:rPr>
          <w:rFonts w:cs="Times New Roman"/>
          <w:szCs w:val="24"/>
        </w:rPr>
        <w:t xml:space="preserve"> individual </w:t>
      </w:r>
      <w:r w:rsidR="00D740B5">
        <w:rPr>
          <w:rFonts w:cs="Times New Roman"/>
          <w:szCs w:val="24"/>
        </w:rPr>
        <w:t>PC</w:t>
      </w:r>
      <w:r w:rsidRPr="001D6684">
        <w:rPr>
          <w:rFonts w:cs="Times New Roman"/>
          <w:szCs w:val="24"/>
        </w:rPr>
        <w:t xml:space="preserve"> clusters</w:t>
      </w:r>
      <w:r w:rsidR="00677CE1" w:rsidRPr="001D6684">
        <w:rPr>
          <w:rFonts w:cs="Times New Roman"/>
          <w:szCs w:val="24"/>
        </w:rPr>
        <w:t xml:space="preserve"> </w:t>
      </w:r>
      <w:r w:rsidR="00613503" w:rsidRPr="001D6684">
        <w:rPr>
          <w:rFonts w:cs="Times New Roman"/>
          <w:szCs w:val="24"/>
        </w:rPr>
        <w:t>and can reveal</w:t>
      </w:r>
      <w:r w:rsidRPr="001D6684">
        <w:rPr>
          <w:rFonts w:cs="Times New Roman"/>
          <w:szCs w:val="24"/>
        </w:rPr>
        <w:t xml:space="preserve"> which clusters are </w:t>
      </w:r>
      <w:r w:rsidR="007C0B99" w:rsidRPr="001D6684">
        <w:rPr>
          <w:rFonts w:cs="Times New Roman"/>
          <w:szCs w:val="24"/>
        </w:rPr>
        <w:t>scoring lower</w:t>
      </w:r>
      <w:r w:rsidRPr="001D6684">
        <w:rPr>
          <w:rFonts w:cs="Times New Roman"/>
          <w:szCs w:val="24"/>
        </w:rPr>
        <w:t xml:space="preserve"> in specific </w:t>
      </w:r>
      <w:r w:rsidR="000346BA">
        <w:rPr>
          <w:rFonts w:cs="Times New Roman"/>
          <w:szCs w:val="24"/>
        </w:rPr>
        <w:t xml:space="preserve">systemic </w:t>
      </w:r>
      <w:r w:rsidRPr="001D6684">
        <w:rPr>
          <w:rFonts w:cs="Times New Roman"/>
          <w:szCs w:val="24"/>
        </w:rPr>
        <w:t xml:space="preserve">dimensions of </w:t>
      </w:r>
      <w:r w:rsidR="00D740B5">
        <w:rPr>
          <w:rFonts w:cs="Times New Roman"/>
          <w:szCs w:val="24"/>
        </w:rPr>
        <w:t>PC</w:t>
      </w:r>
      <w:r w:rsidR="002B4BDA">
        <w:rPr>
          <w:rFonts w:cs="Times New Roman"/>
          <w:szCs w:val="24"/>
        </w:rPr>
        <w:t xml:space="preserve">. This </w:t>
      </w:r>
      <w:r w:rsidR="000212E3">
        <w:rPr>
          <w:rFonts w:cs="Times New Roman"/>
          <w:szCs w:val="24"/>
        </w:rPr>
        <w:t xml:space="preserve">could </w:t>
      </w:r>
      <w:r w:rsidRPr="001D6684">
        <w:rPr>
          <w:rFonts w:cs="Times New Roman"/>
          <w:szCs w:val="24"/>
        </w:rPr>
        <w:t xml:space="preserve">enable health boards </w:t>
      </w:r>
      <w:r w:rsidR="002B4BDA">
        <w:rPr>
          <w:rFonts w:cs="Times New Roman"/>
          <w:szCs w:val="24"/>
        </w:rPr>
        <w:t xml:space="preserve">and government healthcare managers </w:t>
      </w:r>
      <w:r w:rsidRPr="001D6684">
        <w:rPr>
          <w:rFonts w:cs="Times New Roman"/>
          <w:szCs w:val="24"/>
        </w:rPr>
        <w:t xml:space="preserve">to </w:t>
      </w:r>
      <w:r w:rsidR="00F77275" w:rsidRPr="001D6684">
        <w:rPr>
          <w:rFonts w:cs="Times New Roman"/>
          <w:szCs w:val="24"/>
        </w:rPr>
        <w:t xml:space="preserve">target specific and prompt measures to address imbalances in the development of </w:t>
      </w:r>
      <w:r w:rsidR="002B4BDA">
        <w:rPr>
          <w:rFonts w:cs="Times New Roman"/>
          <w:szCs w:val="24"/>
        </w:rPr>
        <w:t xml:space="preserve">PC </w:t>
      </w:r>
      <w:r w:rsidR="00F77275" w:rsidRPr="001D6684">
        <w:rPr>
          <w:rFonts w:cs="Times New Roman"/>
          <w:szCs w:val="24"/>
        </w:rPr>
        <w:t>clusters</w:t>
      </w:r>
      <w:r w:rsidR="00677CE1" w:rsidRPr="001D6684">
        <w:rPr>
          <w:rFonts w:cs="Times New Roman"/>
          <w:szCs w:val="24"/>
        </w:rPr>
        <w:t xml:space="preserve"> </w:t>
      </w:r>
      <w:r w:rsidR="002B4BDA">
        <w:rPr>
          <w:rFonts w:cs="Times New Roman"/>
          <w:szCs w:val="24"/>
        </w:rPr>
        <w:t xml:space="preserve">in </w:t>
      </w:r>
      <w:r w:rsidR="00677CE1" w:rsidRPr="001D6684">
        <w:rPr>
          <w:rFonts w:cs="Times New Roman"/>
          <w:szCs w:val="24"/>
        </w:rPr>
        <w:t>areas of need</w:t>
      </w:r>
      <w:r w:rsidRPr="001D6684">
        <w:rPr>
          <w:rFonts w:cs="Times New Roman"/>
          <w:szCs w:val="24"/>
        </w:rPr>
        <w:t xml:space="preserve">. </w:t>
      </w:r>
    </w:p>
    <w:p w:rsidR="00B11A89" w:rsidRDefault="00B11A89" w:rsidP="007F3D27">
      <w:pPr>
        <w:spacing w:after="0" w:line="360" w:lineRule="auto"/>
        <w:ind w:firstLine="720"/>
        <w:contextualSpacing/>
        <w:rPr>
          <w:rFonts w:cs="Times New Roman"/>
          <w:szCs w:val="24"/>
        </w:rPr>
      </w:pPr>
      <w:r>
        <w:rPr>
          <w:rFonts w:cs="Times New Roman"/>
          <w:szCs w:val="24"/>
        </w:rPr>
        <w:t>The PCC</w:t>
      </w:r>
      <w:r w:rsidR="00E66407">
        <w:rPr>
          <w:rFonts w:cs="Times New Roman"/>
          <w:szCs w:val="24"/>
        </w:rPr>
        <w:t>M</w:t>
      </w:r>
      <w:r>
        <w:rPr>
          <w:rFonts w:cs="Times New Roman"/>
          <w:szCs w:val="24"/>
        </w:rPr>
        <w:t>A uses a classical assessment framework, based on three levels (</w:t>
      </w:r>
      <w:r w:rsidR="00B521CE">
        <w:rPr>
          <w:rFonts w:cs="Times New Roman"/>
          <w:szCs w:val="24"/>
        </w:rPr>
        <w:t xml:space="preserve">structure, </w:t>
      </w:r>
      <w:r>
        <w:rPr>
          <w:rFonts w:cs="Times New Roman"/>
          <w:szCs w:val="24"/>
        </w:rPr>
        <w:t>process, outcome) which has a long tradition of use in healthcare systems quality improvement.[</w:t>
      </w:r>
      <w:r w:rsidR="00511D12">
        <w:rPr>
          <w:rFonts w:cs="Times New Roman"/>
          <w:szCs w:val="24"/>
        </w:rPr>
        <w:t>4</w:t>
      </w:r>
      <w:r w:rsidR="001B0E38">
        <w:rPr>
          <w:rFonts w:cs="Times New Roman"/>
          <w:szCs w:val="24"/>
        </w:rPr>
        <w:t>1</w:t>
      </w:r>
      <w:r>
        <w:rPr>
          <w:rFonts w:cs="Times New Roman"/>
          <w:szCs w:val="24"/>
        </w:rPr>
        <w:t xml:space="preserve">] This framework is also employed by </w:t>
      </w:r>
      <w:r w:rsidR="00B521CE">
        <w:rPr>
          <w:rFonts w:cs="Times New Roman"/>
          <w:szCs w:val="24"/>
        </w:rPr>
        <w:t>a recent</w:t>
      </w:r>
      <w:r>
        <w:rPr>
          <w:rFonts w:cs="Times New Roman"/>
          <w:szCs w:val="24"/>
        </w:rPr>
        <w:t xml:space="preserve"> influential </w:t>
      </w:r>
      <w:r w:rsidR="00B521CE">
        <w:rPr>
          <w:rFonts w:cs="Times New Roman"/>
          <w:szCs w:val="24"/>
        </w:rPr>
        <w:t xml:space="preserve">PC </w:t>
      </w:r>
      <w:r>
        <w:rPr>
          <w:rFonts w:cs="Times New Roman"/>
          <w:szCs w:val="24"/>
        </w:rPr>
        <w:t>system assessment tool (the PC Monitor</w:t>
      </w:r>
      <w:r w:rsidR="00B521CE">
        <w:rPr>
          <w:rFonts w:cs="Times New Roman"/>
          <w:szCs w:val="24"/>
        </w:rPr>
        <w:t>).</w:t>
      </w:r>
      <w:r w:rsidR="001A1CA5">
        <w:rPr>
          <w:rFonts w:cs="Times New Roman"/>
          <w:szCs w:val="24"/>
        </w:rPr>
        <w:t>[</w:t>
      </w:r>
      <w:r w:rsidR="00511D12">
        <w:rPr>
          <w:rFonts w:cs="Times New Roman"/>
          <w:szCs w:val="24"/>
        </w:rPr>
        <w:t>12</w:t>
      </w:r>
      <w:r w:rsidR="001A1CA5">
        <w:rPr>
          <w:rFonts w:cs="Times New Roman"/>
          <w:szCs w:val="24"/>
        </w:rPr>
        <w:t>]</w:t>
      </w:r>
      <w:r w:rsidR="00B521CE">
        <w:rPr>
          <w:rFonts w:cs="Times New Roman"/>
          <w:szCs w:val="24"/>
        </w:rPr>
        <w:t xml:space="preserve"> The PCC</w:t>
      </w:r>
      <w:r w:rsidR="00E66407">
        <w:rPr>
          <w:rFonts w:cs="Times New Roman"/>
          <w:szCs w:val="24"/>
        </w:rPr>
        <w:t>M</w:t>
      </w:r>
      <w:r w:rsidR="00B521CE">
        <w:rPr>
          <w:rFonts w:cs="Times New Roman"/>
          <w:szCs w:val="24"/>
        </w:rPr>
        <w:t xml:space="preserve">A tool diverges from the PC Monitor by </w:t>
      </w:r>
      <w:r w:rsidR="00B521CE">
        <w:rPr>
          <w:rFonts w:cs="Times New Roman"/>
          <w:szCs w:val="24"/>
        </w:rPr>
        <w:lastRenderedPageBreak/>
        <w:t xml:space="preserve">using a novel set of indicators targeted at the PC clusters (rather than </w:t>
      </w:r>
      <w:r w:rsidR="001A1CA5">
        <w:rPr>
          <w:rFonts w:cs="Times New Roman"/>
          <w:szCs w:val="24"/>
        </w:rPr>
        <w:t xml:space="preserve">at </w:t>
      </w:r>
      <w:r w:rsidR="00B521CE">
        <w:rPr>
          <w:rFonts w:cs="Times New Roman"/>
          <w:szCs w:val="24"/>
        </w:rPr>
        <w:t xml:space="preserve">the PC system as a whole), and by introducing an eleventh “cluster organisation” dimension. </w:t>
      </w:r>
      <w:r w:rsidR="001A1CA5">
        <w:rPr>
          <w:rFonts w:cs="Times New Roman"/>
          <w:szCs w:val="24"/>
        </w:rPr>
        <w:t xml:space="preserve">Similarly with </w:t>
      </w:r>
      <w:r w:rsidR="00B521CE">
        <w:rPr>
          <w:rFonts w:cs="Times New Roman"/>
          <w:szCs w:val="24"/>
        </w:rPr>
        <w:t>the PC Monitor, the PCC</w:t>
      </w:r>
      <w:r w:rsidR="00E66407">
        <w:rPr>
          <w:rFonts w:cs="Times New Roman"/>
          <w:szCs w:val="24"/>
        </w:rPr>
        <w:t>M</w:t>
      </w:r>
      <w:r w:rsidR="00B521CE">
        <w:rPr>
          <w:rFonts w:cs="Times New Roman"/>
          <w:szCs w:val="24"/>
        </w:rPr>
        <w:t xml:space="preserve">A is a quantitative instrument </w:t>
      </w:r>
      <w:r w:rsidR="001A1CA5">
        <w:rPr>
          <w:rFonts w:cs="Times New Roman"/>
          <w:szCs w:val="24"/>
        </w:rPr>
        <w:t xml:space="preserve">using a similar rating scale (0-100), and is </w:t>
      </w:r>
      <w:r>
        <w:rPr>
          <w:rFonts w:cs="Times New Roman"/>
          <w:szCs w:val="24"/>
        </w:rPr>
        <w:t xml:space="preserve">designed to </w:t>
      </w:r>
      <w:r w:rsidR="00547FD7">
        <w:rPr>
          <w:rFonts w:cs="Times New Roman"/>
          <w:szCs w:val="24"/>
        </w:rPr>
        <w:t>produce an aggregate score for each dimension of PC</w:t>
      </w:r>
      <w:r w:rsidR="001A1CA5">
        <w:rPr>
          <w:rFonts w:cs="Times New Roman"/>
          <w:szCs w:val="24"/>
        </w:rPr>
        <w:t xml:space="preserve">. This aggregate score </w:t>
      </w:r>
      <w:r w:rsidR="0027790D">
        <w:rPr>
          <w:rFonts w:cs="Times New Roman"/>
          <w:szCs w:val="24"/>
        </w:rPr>
        <w:t xml:space="preserve">can be </w:t>
      </w:r>
      <w:r w:rsidR="00547FD7">
        <w:rPr>
          <w:rFonts w:cs="Times New Roman"/>
          <w:szCs w:val="24"/>
        </w:rPr>
        <w:t>further classified into “weak”, “medium” and “strong” categories for reliability</w:t>
      </w:r>
      <w:r w:rsidR="004354C2">
        <w:rPr>
          <w:rFonts w:cs="Times New Roman"/>
          <w:szCs w:val="24"/>
        </w:rPr>
        <w:t xml:space="preserve">, since they correspond to the three </w:t>
      </w:r>
      <w:r w:rsidR="00DE7E4F">
        <w:rPr>
          <w:rFonts w:cs="Times New Roman"/>
          <w:szCs w:val="24"/>
        </w:rPr>
        <w:t xml:space="preserve">descriptors (i.e., eVAS </w:t>
      </w:r>
      <w:r w:rsidR="004354C2">
        <w:rPr>
          <w:rFonts w:cs="Times New Roman"/>
          <w:szCs w:val="24"/>
        </w:rPr>
        <w:t>anchors</w:t>
      </w:r>
      <w:r w:rsidR="00DE7E4F">
        <w:rPr>
          <w:rFonts w:cs="Times New Roman"/>
          <w:szCs w:val="24"/>
        </w:rPr>
        <w:t>)</w:t>
      </w:r>
      <w:r w:rsidR="004354C2">
        <w:rPr>
          <w:rFonts w:cs="Times New Roman"/>
          <w:szCs w:val="24"/>
        </w:rPr>
        <w:t xml:space="preserve"> used to provide </w:t>
      </w:r>
      <w:r w:rsidR="00DE7E4F">
        <w:rPr>
          <w:rFonts w:cs="Times New Roman"/>
          <w:szCs w:val="24"/>
        </w:rPr>
        <w:t>the indicator ratings</w:t>
      </w:r>
      <w:r w:rsidR="00547FD7">
        <w:rPr>
          <w:rFonts w:cs="Times New Roman"/>
          <w:szCs w:val="24"/>
        </w:rPr>
        <w:t xml:space="preserve">. </w:t>
      </w:r>
      <w:r w:rsidR="00DE7E4F">
        <w:rPr>
          <w:rFonts w:cs="Times New Roman"/>
          <w:szCs w:val="24"/>
        </w:rPr>
        <w:t>Coincidently, these three categories are also used by the PC Monitor</w:t>
      </w:r>
      <w:r w:rsidR="0027790D">
        <w:rPr>
          <w:rFonts w:cs="Times New Roman"/>
          <w:szCs w:val="24"/>
        </w:rPr>
        <w:t xml:space="preserve">. However, </w:t>
      </w:r>
      <w:r w:rsidR="00DE7E4F">
        <w:rPr>
          <w:rFonts w:cs="Times New Roman"/>
          <w:szCs w:val="24"/>
        </w:rPr>
        <w:t>the PCC</w:t>
      </w:r>
      <w:r w:rsidR="00E66407">
        <w:rPr>
          <w:rFonts w:cs="Times New Roman"/>
          <w:szCs w:val="24"/>
        </w:rPr>
        <w:t>M</w:t>
      </w:r>
      <w:r w:rsidR="00DE7E4F">
        <w:rPr>
          <w:rFonts w:cs="Times New Roman"/>
          <w:szCs w:val="24"/>
        </w:rPr>
        <w:t xml:space="preserve">A produces a numerical score (0-100) of a far greater granularity than the PC Monitor, to which </w:t>
      </w:r>
      <w:r w:rsidR="00DE7E4F" w:rsidRPr="00DE7E4F">
        <w:rPr>
          <w:rFonts w:cs="Times New Roman"/>
          <w:szCs w:val="24"/>
        </w:rPr>
        <w:t>alternative data transformations</w:t>
      </w:r>
      <w:r w:rsidR="00DE7E4F">
        <w:rPr>
          <w:rFonts w:cs="Times New Roman"/>
          <w:szCs w:val="24"/>
        </w:rPr>
        <w:t xml:space="preserve"> could be applied (e.g., </w:t>
      </w:r>
      <w:r w:rsidR="00DE7E4F" w:rsidRPr="00DE7E4F">
        <w:rPr>
          <w:rFonts w:cs="Times New Roman"/>
          <w:szCs w:val="24"/>
        </w:rPr>
        <w:t>quartiles, quintiles or deciles</w:t>
      </w:r>
      <w:r w:rsidR="00DE7E4F">
        <w:rPr>
          <w:rFonts w:cs="Times New Roman"/>
          <w:szCs w:val="24"/>
        </w:rPr>
        <w:t>)</w:t>
      </w:r>
      <w:r w:rsidR="00DE7E4F" w:rsidRPr="00DE7E4F">
        <w:rPr>
          <w:rFonts w:cs="Times New Roman"/>
          <w:szCs w:val="24"/>
        </w:rPr>
        <w:t>,</w:t>
      </w:r>
      <w:r w:rsidR="00DE7E4F">
        <w:rPr>
          <w:rFonts w:cs="Times New Roman"/>
          <w:szCs w:val="24"/>
        </w:rPr>
        <w:t xml:space="preserve"> </w:t>
      </w:r>
      <w:r w:rsidR="00DE7E4F" w:rsidRPr="00DE7E4F">
        <w:rPr>
          <w:rFonts w:cs="Times New Roman"/>
          <w:szCs w:val="24"/>
        </w:rPr>
        <w:t>notwithstanding the particular relationship between the three eVAS anchors and the three categories.</w:t>
      </w:r>
      <w:r w:rsidR="007F3D27">
        <w:rPr>
          <w:rFonts w:cs="Times New Roman"/>
          <w:szCs w:val="24"/>
        </w:rPr>
        <w:t xml:space="preserve"> </w:t>
      </w:r>
      <w:r w:rsidR="00547FD7">
        <w:rPr>
          <w:rFonts w:cs="Times New Roman"/>
          <w:szCs w:val="24"/>
        </w:rPr>
        <w:t xml:space="preserve">Notably, like the PC Monitor, an overall </w:t>
      </w:r>
      <w:r>
        <w:rPr>
          <w:rFonts w:cs="Times New Roman"/>
          <w:szCs w:val="24"/>
        </w:rPr>
        <w:t xml:space="preserve">score </w:t>
      </w:r>
      <w:r w:rsidR="00547FD7">
        <w:rPr>
          <w:rFonts w:cs="Times New Roman"/>
          <w:szCs w:val="24"/>
        </w:rPr>
        <w:t>of the PCC</w:t>
      </w:r>
      <w:r w:rsidR="00E66407">
        <w:rPr>
          <w:rFonts w:cs="Times New Roman"/>
          <w:szCs w:val="24"/>
        </w:rPr>
        <w:t>M</w:t>
      </w:r>
      <w:r w:rsidR="00547FD7">
        <w:rPr>
          <w:rFonts w:cs="Times New Roman"/>
          <w:szCs w:val="24"/>
        </w:rPr>
        <w:t xml:space="preserve">A </w:t>
      </w:r>
      <w:r w:rsidR="001A1CA5">
        <w:rPr>
          <w:rFonts w:cs="Times New Roman"/>
          <w:szCs w:val="24"/>
        </w:rPr>
        <w:t xml:space="preserve">(across all </w:t>
      </w:r>
      <w:r w:rsidR="000346BA">
        <w:rPr>
          <w:rFonts w:cs="Times New Roman"/>
          <w:szCs w:val="24"/>
        </w:rPr>
        <w:t xml:space="preserve">systemic </w:t>
      </w:r>
      <w:r w:rsidR="001A1CA5">
        <w:rPr>
          <w:rFonts w:cs="Times New Roman"/>
          <w:szCs w:val="24"/>
        </w:rPr>
        <w:t xml:space="preserve">dimensions) </w:t>
      </w:r>
      <w:r w:rsidR="00547FD7">
        <w:rPr>
          <w:rFonts w:cs="Times New Roman"/>
          <w:szCs w:val="24"/>
        </w:rPr>
        <w:t>is not prescribed by the current methodology</w:t>
      </w:r>
      <w:r w:rsidR="001A1CA5">
        <w:rPr>
          <w:rFonts w:cs="Times New Roman"/>
          <w:szCs w:val="24"/>
        </w:rPr>
        <w:t xml:space="preserve">. </w:t>
      </w:r>
      <w:r w:rsidR="00547FD7">
        <w:rPr>
          <w:rFonts w:cs="Times New Roman"/>
          <w:szCs w:val="24"/>
        </w:rPr>
        <w:t>A</w:t>
      </w:r>
      <w:r w:rsidR="00DF7921">
        <w:rPr>
          <w:rFonts w:cs="Times New Roman"/>
          <w:szCs w:val="24"/>
        </w:rPr>
        <w:t>t a minimum, a</w:t>
      </w:r>
      <w:r w:rsidR="00547FD7">
        <w:rPr>
          <w:rFonts w:cs="Times New Roman"/>
          <w:szCs w:val="24"/>
        </w:rPr>
        <w:t>ggregating the summary scores of each dimension</w:t>
      </w:r>
      <w:r w:rsidR="001A1CA5">
        <w:rPr>
          <w:rFonts w:cs="Times New Roman"/>
          <w:szCs w:val="24"/>
        </w:rPr>
        <w:t xml:space="preserve"> into an overall score</w:t>
      </w:r>
      <w:r w:rsidR="00547FD7">
        <w:rPr>
          <w:rFonts w:cs="Times New Roman"/>
          <w:szCs w:val="24"/>
        </w:rPr>
        <w:t xml:space="preserve">, while computationally </w:t>
      </w:r>
      <w:r w:rsidR="00DF7921">
        <w:rPr>
          <w:rFonts w:cs="Times New Roman"/>
          <w:szCs w:val="24"/>
        </w:rPr>
        <w:t>trivial (e.g., via a simple or weighted mean, or any other algorithm)</w:t>
      </w:r>
      <w:r w:rsidR="00547FD7">
        <w:rPr>
          <w:rFonts w:cs="Times New Roman"/>
          <w:szCs w:val="24"/>
        </w:rPr>
        <w:t xml:space="preserve">, </w:t>
      </w:r>
      <w:r w:rsidR="001A1CA5">
        <w:rPr>
          <w:rFonts w:cs="Times New Roman"/>
          <w:szCs w:val="24"/>
        </w:rPr>
        <w:t xml:space="preserve">would require </w:t>
      </w:r>
      <w:r w:rsidR="00DF7921">
        <w:rPr>
          <w:rFonts w:cs="Times New Roman"/>
          <w:szCs w:val="24"/>
        </w:rPr>
        <w:t xml:space="preserve">judgements about the importance of each dimension of PC and subsequent contribution to the overall score. While all dimensions of PC are ostensibly important, their contribution to an overall score may not automatically be equal, in all circumstances. This can be due to conceptual reasons, guided by different healthcare policies and strategies (e.g., greater emphasis of efficiency over comprehensiveness of care) and methodological reasons such as the indicator density of each dimension (i.e., </w:t>
      </w:r>
      <w:r w:rsidR="007B5221">
        <w:rPr>
          <w:rFonts w:cs="Times New Roman"/>
          <w:szCs w:val="24"/>
        </w:rPr>
        <w:t>some dimensions have more indicators than others, and thus</w:t>
      </w:r>
      <w:r w:rsidR="00612022">
        <w:rPr>
          <w:rFonts w:cs="Times New Roman"/>
          <w:szCs w:val="24"/>
        </w:rPr>
        <w:t xml:space="preserve">, arguably, </w:t>
      </w:r>
      <w:r w:rsidR="007B5221">
        <w:rPr>
          <w:rFonts w:cs="Times New Roman"/>
          <w:szCs w:val="24"/>
        </w:rPr>
        <w:t>a greater domain of assessment)</w:t>
      </w:r>
      <w:r>
        <w:rPr>
          <w:rFonts w:cs="Times New Roman"/>
          <w:szCs w:val="24"/>
        </w:rPr>
        <w:t>.</w:t>
      </w:r>
      <w:r w:rsidR="007B5221">
        <w:rPr>
          <w:rFonts w:cs="Times New Roman"/>
          <w:szCs w:val="24"/>
        </w:rPr>
        <w:t xml:space="preserve"> These considerations are a matter of healthcare policy and focus, and can easily inform the </w:t>
      </w:r>
      <w:r w:rsidR="00612022">
        <w:rPr>
          <w:rFonts w:cs="Times New Roman"/>
          <w:szCs w:val="24"/>
        </w:rPr>
        <w:t xml:space="preserve">future </w:t>
      </w:r>
      <w:r w:rsidR="007B5221">
        <w:rPr>
          <w:rFonts w:cs="Times New Roman"/>
          <w:szCs w:val="24"/>
        </w:rPr>
        <w:t xml:space="preserve">use </w:t>
      </w:r>
      <w:r w:rsidR="00612022">
        <w:rPr>
          <w:rFonts w:cs="Times New Roman"/>
          <w:szCs w:val="24"/>
        </w:rPr>
        <w:t xml:space="preserve">and calculation </w:t>
      </w:r>
      <w:r w:rsidR="007B5221">
        <w:rPr>
          <w:rFonts w:cs="Times New Roman"/>
          <w:szCs w:val="24"/>
        </w:rPr>
        <w:t xml:space="preserve">of the </w:t>
      </w:r>
      <w:r w:rsidR="00612022">
        <w:rPr>
          <w:rFonts w:cs="Times New Roman"/>
          <w:szCs w:val="24"/>
        </w:rPr>
        <w:t xml:space="preserve">overall </w:t>
      </w:r>
      <w:r w:rsidR="007B5221">
        <w:rPr>
          <w:rFonts w:cs="Times New Roman"/>
          <w:szCs w:val="24"/>
        </w:rPr>
        <w:t>PCC</w:t>
      </w:r>
      <w:r w:rsidR="00E66407">
        <w:rPr>
          <w:rFonts w:cs="Times New Roman"/>
          <w:szCs w:val="24"/>
        </w:rPr>
        <w:t>M</w:t>
      </w:r>
      <w:r w:rsidR="007B5221">
        <w:rPr>
          <w:rFonts w:cs="Times New Roman"/>
          <w:szCs w:val="24"/>
        </w:rPr>
        <w:t>A aggregate score.</w:t>
      </w:r>
    </w:p>
    <w:p w:rsidR="00496CBC" w:rsidRPr="001D6684" w:rsidRDefault="0092730E" w:rsidP="002C1390">
      <w:pPr>
        <w:spacing w:after="0" w:line="360" w:lineRule="auto"/>
        <w:ind w:firstLine="720"/>
        <w:contextualSpacing/>
        <w:rPr>
          <w:rFonts w:cs="Times New Roman"/>
          <w:szCs w:val="24"/>
        </w:rPr>
      </w:pPr>
      <w:r w:rsidRPr="001D6684">
        <w:rPr>
          <w:rFonts w:cs="Times New Roman"/>
          <w:szCs w:val="24"/>
        </w:rPr>
        <w:t>T</w:t>
      </w:r>
      <w:r w:rsidR="00697255" w:rsidRPr="001D6684">
        <w:rPr>
          <w:rFonts w:cs="Times New Roman"/>
          <w:szCs w:val="24"/>
        </w:rPr>
        <w:t xml:space="preserve">he breadth of indicators </w:t>
      </w:r>
      <w:r w:rsidRPr="001D6684">
        <w:rPr>
          <w:rFonts w:cs="Times New Roman"/>
          <w:szCs w:val="24"/>
        </w:rPr>
        <w:t>used in the 360 degree</w:t>
      </w:r>
      <w:r w:rsidR="00990083">
        <w:rPr>
          <w:rFonts w:cs="Times New Roman"/>
          <w:szCs w:val="24"/>
        </w:rPr>
        <w:t xml:space="preserve"> </w:t>
      </w:r>
      <w:r w:rsidRPr="001D6684">
        <w:rPr>
          <w:rFonts w:cs="Times New Roman"/>
          <w:szCs w:val="24"/>
        </w:rPr>
        <w:t xml:space="preserve">assessment in England </w:t>
      </w:r>
      <w:r w:rsidR="00CB176F">
        <w:rPr>
          <w:rFonts w:cs="Times New Roman"/>
          <w:szCs w:val="24"/>
        </w:rPr>
        <w:t xml:space="preserve">has </w:t>
      </w:r>
      <w:r w:rsidR="00F77275" w:rsidRPr="001D6684">
        <w:rPr>
          <w:rFonts w:cs="Times New Roman"/>
          <w:szCs w:val="24"/>
        </w:rPr>
        <w:t xml:space="preserve">covered specific activities related to commissioning of services, but </w:t>
      </w:r>
      <w:r w:rsidR="00CB176F">
        <w:rPr>
          <w:rFonts w:cs="Times New Roman"/>
          <w:szCs w:val="24"/>
        </w:rPr>
        <w:t xml:space="preserve">has </w:t>
      </w:r>
      <w:r w:rsidR="00F77275" w:rsidRPr="001D6684">
        <w:rPr>
          <w:rFonts w:cs="Times New Roman"/>
          <w:szCs w:val="24"/>
        </w:rPr>
        <w:t xml:space="preserve">not systematically </w:t>
      </w:r>
      <w:r w:rsidR="00CB176F">
        <w:rPr>
          <w:rFonts w:cs="Times New Roman"/>
          <w:szCs w:val="24"/>
        </w:rPr>
        <w:t xml:space="preserve">addressed </w:t>
      </w:r>
      <w:r w:rsidR="00697255" w:rsidRPr="001D6684">
        <w:rPr>
          <w:rFonts w:cs="Times New Roman"/>
          <w:szCs w:val="24"/>
        </w:rPr>
        <w:t>the</w:t>
      </w:r>
      <w:r w:rsidR="00F77275" w:rsidRPr="001D6684">
        <w:rPr>
          <w:rFonts w:cs="Times New Roman"/>
          <w:szCs w:val="24"/>
        </w:rPr>
        <w:t xml:space="preserve"> entire </w:t>
      </w:r>
      <w:r w:rsidR="00D740B5">
        <w:rPr>
          <w:rFonts w:cs="Times New Roman"/>
          <w:szCs w:val="24"/>
        </w:rPr>
        <w:t>PC</w:t>
      </w:r>
      <w:r w:rsidR="00F77275" w:rsidRPr="001D6684">
        <w:rPr>
          <w:rFonts w:cs="Times New Roman"/>
          <w:szCs w:val="24"/>
        </w:rPr>
        <w:t xml:space="preserve"> system</w:t>
      </w:r>
      <w:r w:rsidR="00697255" w:rsidRPr="001D6684">
        <w:rPr>
          <w:rFonts w:cs="Times New Roman"/>
          <w:szCs w:val="24"/>
        </w:rPr>
        <w:t>.</w:t>
      </w:r>
      <w:r w:rsidR="00C105B0" w:rsidRPr="001D6684">
        <w:rPr>
          <w:rFonts w:cs="Times New Roman"/>
          <w:szCs w:val="24"/>
        </w:rPr>
        <w:t xml:space="preserve"> This limits the ability to group indicators by specific dimensions of </w:t>
      </w:r>
      <w:r w:rsidR="00D740B5">
        <w:rPr>
          <w:rFonts w:cs="Times New Roman"/>
          <w:szCs w:val="24"/>
        </w:rPr>
        <w:t>PC</w:t>
      </w:r>
      <w:r w:rsidR="00CB176F">
        <w:rPr>
          <w:rFonts w:cs="Times New Roman"/>
          <w:szCs w:val="24"/>
        </w:rPr>
        <w:t>,</w:t>
      </w:r>
      <w:r w:rsidR="00C105B0" w:rsidRPr="001D6684">
        <w:rPr>
          <w:rFonts w:cs="Times New Roman"/>
          <w:szCs w:val="24"/>
        </w:rPr>
        <w:t xml:space="preserve"> as was done in the PCC</w:t>
      </w:r>
      <w:r w:rsidR="00E66407">
        <w:rPr>
          <w:rFonts w:cs="Times New Roman"/>
          <w:szCs w:val="24"/>
        </w:rPr>
        <w:t>M</w:t>
      </w:r>
      <w:r w:rsidR="00C105B0" w:rsidRPr="001D6684">
        <w:rPr>
          <w:rFonts w:cs="Times New Roman"/>
          <w:szCs w:val="24"/>
        </w:rPr>
        <w:t>A</w:t>
      </w:r>
      <w:r w:rsidR="00CB176F">
        <w:rPr>
          <w:rFonts w:cs="Times New Roman"/>
          <w:szCs w:val="24"/>
        </w:rPr>
        <w:t>,</w:t>
      </w:r>
      <w:r w:rsidR="00F77275" w:rsidRPr="001D6684">
        <w:rPr>
          <w:rFonts w:cs="Times New Roman"/>
          <w:szCs w:val="24"/>
        </w:rPr>
        <w:t xml:space="preserve"> </w:t>
      </w:r>
      <w:r w:rsidR="000212E3">
        <w:rPr>
          <w:rFonts w:cs="Times New Roman"/>
          <w:szCs w:val="24"/>
        </w:rPr>
        <w:t xml:space="preserve">in order to </w:t>
      </w:r>
      <w:r w:rsidR="00F77275" w:rsidRPr="001D6684">
        <w:rPr>
          <w:rFonts w:cs="Times New Roman"/>
          <w:szCs w:val="24"/>
        </w:rPr>
        <w:t xml:space="preserve">inform broad areas of policy change (e.g., governance, workforce development, access to </w:t>
      </w:r>
      <w:r w:rsidR="00D740B5">
        <w:rPr>
          <w:rFonts w:cs="Times New Roman"/>
          <w:szCs w:val="24"/>
        </w:rPr>
        <w:t>PC</w:t>
      </w:r>
      <w:r w:rsidR="00F77275" w:rsidRPr="001D6684">
        <w:rPr>
          <w:rFonts w:cs="Times New Roman"/>
          <w:szCs w:val="24"/>
        </w:rPr>
        <w:t xml:space="preserve"> services, efficiency, equity, etc.)</w:t>
      </w:r>
      <w:r w:rsidR="00C105B0" w:rsidRPr="001D6684">
        <w:rPr>
          <w:rFonts w:cs="Times New Roman"/>
          <w:szCs w:val="24"/>
        </w:rPr>
        <w:t xml:space="preserve">. </w:t>
      </w:r>
      <w:r w:rsidR="00CB176F">
        <w:rPr>
          <w:rFonts w:cs="Times New Roman"/>
          <w:szCs w:val="24"/>
        </w:rPr>
        <w:t>T</w:t>
      </w:r>
      <w:r w:rsidR="00C105B0" w:rsidRPr="001D6684">
        <w:rPr>
          <w:rFonts w:cs="Times New Roman"/>
          <w:szCs w:val="24"/>
        </w:rPr>
        <w:t xml:space="preserve">he </w:t>
      </w:r>
      <w:r w:rsidR="00CB176F">
        <w:rPr>
          <w:rFonts w:cs="Times New Roman"/>
          <w:szCs w:val="24"/>
        </w:rPr>
        <w:t>annual</w:t>
      </w:r>
      <w:r w:rsidR="00C105B0" w:rsidRPr="001D6684">
        <w:rPr>
          <w:rFonts w:cs="Times New Roman"/>
          <w:szCs w:val="24"/>
        </w:rPr>
        <w:t xml:space="preserve"> 360</w:t>
      </w:r>
      <w:r w:rsidR="00CB176F">
        <w:rPr>
          <w:rFonts w:cs="Times New Roman"/>
          <w:szCs w:val="24"/>
        </w:rPr>
        <w:t>-</w:t>
      </w:r>
      <w:r w:rsidR="00C105B0" w:rsidRPr="001D6684">
        <w:rPr>
          <w:rFonts w:cs="Times New Roman"/>
          <w:szCs w:val="24"/>
        </w:rPr>
        <w:t xml:space="preserve">degree assessment </w:t>
      </w:r>
      <w:r w:rsidR="00CB176F">
        <w:rPr>
          <w:rFonts w:cs="Times New Roman"/>
          <w:szCs w:val="24"/>
        </w:rPr>
        <w:t xml:space="preserve">has </w:t>
      </w:r>
      <w:r w:rsidR="00C105B0" w:rsidRPr="001D6684">
        <w:rPr>
          <w:rFonts w:cs="Times New Roman"/>
          <w:szCs w:val="24"/>
        </w:rPr>
        <w:t xml:space="preserve">enabled benchmarking and analysis of </w:t>
      </w:r>
      <w:r w:rsidR="00CB176F">
        <w:rPr>
          <w:rFonts w:cs="Times New Roman"/>
          <w:szCs w:val="24"/>
        </w:rPr>
        <w:t xml:space="preserve">how </w:t>
      </w:r>
      <w:r w:rsidR="00C105B0" w:rsidRPr="001D6684">
        <w:rPr>
          <w:rFonts w:cs="Times New Roman"/>
          <w:szCs w:val="24"/>
        </w:rPr>
        <w:t>the CCGs</w:t>
      </w:r>
      <w:r w:rsidR="00CB176F">
        <w:rPr>
          <w:rFonts w:cs="Times New Roman"/>
          <w:szCs w:val="24"/>
        </w:rPr>
        <w:t xml:space="preserve"> have evolved, which</w:t>
      </w:r>
      <w:r w:rsidR="00C105B0" w:rsidRPr="001D6684">
        <w:rPr>
          <w:rFonts w:cs="Times New Roman"/>
          <w:szCs w:val="24"/>
        </w:rPr>
        <w:t xml:space="preserve"> would be </w:t>
      </w:r>
      <w:r w:rsidR="000212E3">
        <w:rPr>
          <w:rFonts w:cs="Times New Roman"/>
          <w:szCs w:val="24"/>
        </w:rPr>
        <w:t>enhanced</w:t>
      </w:r>
      <w:r w:rsidR="00CB176F">
        <w:rPr>
          <w:rFonts w:cs="Times New Roman"/>
          <w:szCs w:val="24"/>
        </w:rPr>
        <w:t xml:space="preserve"> by the use of</w:t>
      </w:r>
      <w:r w:rsidR="00C105B0" w:rsidRPr="001D6684">
        <w:rPr>
          <w:rFonts w:cs="Times New Roman"/>
          <w:szCs w:val="24"/>
        </w:rPr>
        <w:t xml:space="preserve"> the PCC</w:t>
      </w:r>
      <w:r w:rsidR="00E66407">
        <w:rPr>
          <w:rFonts w:cs="Times New Roman"/>
          <w:szCs w:val="24"/>
        </w:rPr>
        <w:t>M</w:t>
      </w:r>
      <w:r w:rsidR="00C105B0" w:rsidRPr="001D6684">
        <w:rPr>
          <w:rFonts w:cs="Times New Roman"/>
          <w:szCs w:val="24"/>
        </w:rPr>
        <w:t>A</w:t>
      </w:r>
      <w:r w:rsidR="00F430CD" w:rsidRPr="001D6684">
        <w:rPr>
          <w:rFonts w:cs="Times New Roman"/>
          <w:szCs w:val="24"/>
        </w:rPr>
        <w:t>.</w:t>
      </w:r>
      <w:r w:rsidR="00C105B0" w:rsidRPr="001D6684">
        <w:rPr>
          <w:rFonts w:cs="Times New Roman"/>
          <w:szCs w:val="24"/>
        </w:rPr>
        <w:t xml:space="preserve"> </w:t>
      </w:r>
    </w:p>
    <w:p w:rsidR="00AD2C83" w:rsidRPr="001D6684" w:rsidRDefault="00C105B0" w:rsidP="002C1390">
      <w:pPr>
        <w:spacing w:after="0" w:line="360" w:lineRule="auto"/>
        <w:ind w:firstLine="720"/>
        <w:contextualSpacing/>
        <w:rPr>
          <w:rFonts w:cs="Times New Roman"/>
          <w:szCs w:val="24"/>
        </w:rPr>
      </w:pPr>
      <w:r w:rsidRPr="001D6684">
        <w:rPr>
          <w:rFonts w:cs="Times New Roman"/>
          <w:szCs w:val="24"/>
        </w:rPr>
        <w:t xml:space="preserve">Internationally, </w:t>
      </w:r>
      <w:r w:rsidR="00F77275" w:rsidRPr="001D6684">
        <w:rPr>
          <w:rFonts w:cs="Times New Roman"/>
          <w:szCs w:val="24"/>
        </w:rPr>
        <w:t xml:space="preserve">organisations in developed health care systems are looking for integrated ways of planning and delivering care at population levels similar to </w:t>
      </w:r>
      <w:r w:rsidR="00D740B5">
        <w:rPr>
          <w:rFonts w:cs="Times New Roman"/>
          <w:szCs w:val="24"/>
        </w:rPr>
        <w:t>PC</w:t>
      </w:r>
      <w:r w:rsidR="00613503" w:rsidRPr="001D6684">
        <w:rPr>
          <w:rFonts w:cs="Times New Roman"/>
          <w:szCs w:val="24"/>
        </w:rPr>
        <w:t xml:space="preserve"> clusters in Wales (</w:t>
      </w:r>
      <w:r w:rsidR="00381A24">
        <w:rPr>
          <w:rFonts w:cs="Times New Roman"/>
          <w:szCs w:val="24"/>
        </w:rPr>
        <w:t>2</w:t>
      </w:r>
      <w:r w:rsidR="00F77275" w:rsidRPr="001D6684">
        <w:rPr>
          <w:rFonts w:cs="Times New Roman"/>
          <w:szCs w:val="24"/>
        </w:rPr>
        <w:t>0,000-</w:t>
      </w:r>
      <w:r w:rsidR="00381A24">
        <w:rPr>
          <w:rFonts w:cs="Times New Roman"/>
          <w:szCs w:val="24"/>
        </w:rPr>
        <w:t>10</w:t>
      </w:r>
      <w:r w:rsidR="00F77275" w:rsidRPr="001D6684">
        <w:rPr>
          <w:rFonts w:cs="Times New Roman"/>
          <w:szCs w:val="24"/>
        </w:rPr>
        <w:t xml:space="preserve">0,000 patients). </w:t>
      </w:r>
      <w:r w:rsidR="008E4CFC">
        <w:rPr>
          <w:rFonts w:cs="Times New Roman"/>
          <w:szCs w:val="24"/>
        </w:rPr>
        <w:t>Previous</w:t>
      </w:r>
      <w:r w:rsidR="00F77275" w:rsidRPr="001D6684">
        <w:rPr>
          <w:rFonts w:cs="Times New Roman"/>
          <w:szCs w:val="24"/>
        </w:rPr>
        <w:t xml:space="preserve"> </w:t>
      </w:r>
      <w:r w:rsidRPr="001D6684">
        <w:rPr>
          <w:rFonts w:cs="Times New Roman"/>
          <w:szCs w:val="24"/>
        </w:rPr>
        <w:t>assessment</w:t>
      </w:r>
      <w:r w:rsidR="008E4CFC">
        <w:rPr>
          <w:rFonts w:cs="Times New Roman"/>
          <w:szCs w:val="24"/>
        </w:rPr>
        <w:t>s</w:t>
      </w:r>
      <w:r w:rsidRPr="001D6684">
        <w:rPr>
          <w:rFonts w:cs="Times New Roman"/>
          <w:szCs w:val="24"/>
        </w:rPr>
        <w:t xml:space="preserve"> of </w:t>
      </w:r>
      <w:r w:rsidR="00D740B5">
        <w:rPr>
          <w:rFonts w:cs="Times New Roman"/>
          <w:szCs w:val="24"/>
        </w:rPr>
        <w:t>PC</w:t>
      </w:r>
      <w:r w:rsidRPr="001D6684">
        <w:rPr>
          <w:rFonts w:cs="Times New Roman"/>
          <w:szCs w:val="24"/>
        </w:rPr>
        <w:t xml:space="preserve"> systems </w:t>
      </w:r>
      <w:r w:rsidR="008E4CFC">
        <w:rPr>
          <w:rFonts w:cs="Times New Roman"/>
          <w:szCs w:val="24"/>
        </w:rPr>
        <w:t>have been at the</w:t>
      </w:r>
      <w:r w:rsidRPr="001D6684">
        <w:rPr>
          <w:rFonts w:cs="Times New Roman"/>
          <w:szCs w:val="24"/>
        </w:rPr>
        <w:t xml:space="preserve"> level </w:t>
      </w:r>
      <w:r w:rsidR="008E4CFC">
        <w:rPr>
          <w:rFonts w:cs="Times New Roman"/>
          <w:szCs w:val="24"/>
        </w:rPr>
        <w:t xml:space="preserve">of individual </w:t>
      </w:r>
      <w:r w:rsidR="00D740B5">
        <w:rPr>
          <w:rFonts w:cs="Times New Roman"/>
          <w:szCs w:val="24"/>
        </w:rPr>
        <w:t>PC</w:t>
      </w:r>
      <w:r w:rsidRPr="001D6684">
        <w:rPr>
          <w:rFonts w:cs="Times New Roman"/>
          <w:szCs w:val="24"/>
        </w:rPr>
        <w:t xml:space="preserve"> practices</w:t>
      </w:r>
      <w:r w:rsidR="008E4CFC">
        <w:rPr>
          <w:rFonts w:cs="Times New Roman"/>
          <w:szCs w:val="24"/>
        </w:rPr>
        <w:t xml:space="preserve"> and</w:t>
      </w:r>
      <w:r w:rsidRPr="001D6684">
        <w:rPr>
          <w:rFonts w:cs="Times New Roman"/>
          <w:szCs w:val="24"/>
        </w:rPr>
        <w:t xml:space="preserve"> community services</w:t>
      </w:r>
      <w:r w:rsidR="00F77275" w:rsidRPr="001D6684">
        <w:rPr>
          <w:rFonts w:cs="Times New Roman"/>
          <w:szCs w:val="24"/>
        </w:rPr>
        <w:t xml:space="preserve">, </w:t>
      </w:r>
      <w:r w:rsidR="008E4CFC">
        <w:rPr>
          <w:rFonts w:cs="Times New Roman"/>
          <w:szCs w:val="24"/>
        </w:rPr>
        <w:t>or</w:t>
      </w:r>
      <w:r w:rsidR="00F77275" w:rsidRPr="001D6684">
        <w:rPr>
          <w:rFonts w:cs="Times New Roman"/>
          <w:szCs w:val="24"/>
        </w:rPr>
        <w:t xml:space="preserve"> at </w:t>
      </w:r>
      <w:r w:rsidR="008E4CFC">
        <w:rPr>
          <w:rFonts w:cs="Times New Roman"/>
          <w:szCs w:val="24"/>
        </w:rPr>
        <w:t>the national level</w:t>
      </w:r>
      <w:r w:rsidR="00F77275" w:rsidRPr="001D6684">
        <w:rPr>
          <w:rFonts w:cs="Times New Roman"/>
          <w:szCs w:val="24"/>
        </w:rPr>
        <w:t>. The PCC</w:t>
      </w:r>
      <w:r w:rsidR="00E66407">
        <w:rPr>
          <w:rFonts w:cs="Times New Roman"/>
          <w:szCs w:val="24"/>
        </w:rPr>
        <w:t>M</w:t>
      </w:r>
      <w:r w:rsidR="00F77275" w:rsidRPr="001D6684">
        <w:rPr>
          <w:rFonts w:cs="Times New Roman"/>
          <w:szCs w:val="24"/>
        </w:rPr>
        <w:t xml:space="preserve">A </w:t>
      </w:r>
      <w:r w:rsidR="00F77275" w:rsidRPr="001D6684">
        <w:rPr>
          <w:rFonts w:cs="Times New Roman"/>
          <w:szCs w:val="24"/>
        </w:rPr>
        <w:lastRenderedPageBreak/>
        <w:t xml:space="preserve">addresses the </w:t>
      </w:r>
      <w:r w:rsidR="00381A24">
        <w:rPr>
          <w:rFonts w:cs="Times New Roman"/>
          <w:szCs w:val="24"/>
        </w:rPr>
        <w:t>gap</w:t>
      </w:r>
      <w:r w:rsidR="00F77275" w:rsidRPr="001D6684">
        <w:rPr>
          <w:rFonts w:cs="Times New Roman"/>
          <w:szCs w:val="24"/>
        </w:rPr>
        <w:t xml:space="preserve"> </w:t>
      </w:r>
      <w:r w:rsidR="008E4CFC">
        <w:rPr>
          <w:rFonts w:cs="Times New Roman"/>
          <w:szCs w:val="24"/>
        </w:rPr>
        <w:t>in</w:t>
      </w:r>
      <w:r w:rsidR="008E4CFC" w:rsidRPr="001D6684">
        <w:rPr>
          <w:rFonts w:cs="Times New Roman"/>
          <w:szCs w:val="24"/>
        </w:rPr>
        <w:t xml:space="preserve"> between</w:t>
      </w:r>
      <w:r w:rsidR="00F77275" w:rsidRPr="001D6684">
        <w:rPr>
          <w:rFonts w:cs="Times New Roman"/>
          <w:szCs w:val="24"/>
        </w:rPr>
        <w:t xml:space="preserve">, which </w:t>
      </w:r>
      <w:r w:rsidR="008E4CFC">
        <w:rPr>
          <w:rFonts w:cs="Times New Roman"/>
          <w:szCs w:val="24"/>
        </w:rPr>
        <w:t>is</w:t>
      </w:r>
      <w:r w:rsidR="00F77275" w:rsidRPr="001D6684">
        <w:rPr>
          <w:rFonts w:cs="Times New Roman"/>
          <w:szCs w:val="24"/>
        </w:rPr>
        <w:t xml:space="preserve"> increasingly important for health policy planners and large health care provider organisations. </w:t>
      </w:r>
    </w:p>
    <w:p w:rsidR="00FA4B37" w:rsidRPr="001D6684" w:rsidRDefault="00FA4B37" w:rsidP="002C1390">
      <w:pPr>
        <w:spacing w:after="0" w:line="360" w:lineRule="auto"/>
        <w:ind w:firstLine="720"/>
        <w:contextualSpacing/>
        <w:rPr>
          <w:rFonts w:cs="Times New Roman"/>
          <w:szCs w:val="24"/>
        </w:rPr>
      </w:pPr>
    </w:p>
    <w:p w:rsidR="0048638D" w:rsidRPr="00381A24" w:rsidRDefault="0048638D" w:rsidP="002C1390">
      <w:pPr>
        <w:spacing w:after="0" w:line="360" w:lineRule="auto"/>
        <w:rPr>
          <w:i/>
        </w:rPr>
      </w:pPr>
      <w:bookmarkStart w:id="15" w:name="_Toc503746151"/>
      <w:r w:rsidRPr="00381A24">
        <w:rPr>
          <w:i/>
        </w:rPr>
        <w:t>Strengths and limitations</w:t>
      </w:r>
      <w:bookmarkEnd w:id="15"/>
    </w:p>
    <w:p w:rsidR="0032380A" w:rsidRPr="001D6684" w:rsidRDefault="00994770" w:rsidP="00C02FB6">
      <w:pPr>
        <w:spacing w:after="0" w:line="360" w:lineRule="auto"/>
        <w:contextualSpacing/>
        <w:rPr>
          <w:rFonts w:cs="Times New Roman"/>
          <w:szCs w:val="24"/>
        </w:rPr>
      </w:pPr>
      <w:r w:rsidRPr="001D6684">
        <w:rPr>
          <w:rFonts w:cs="Times New Roman"/>
          <w:szCs w:val="24"/>
        </w:rPr>
        <w:tab/>
        <w:t>The PCC</w:t>
      </w:r>
      <w:r w:rsidR="00E66407">
        <w:rPr>
          <w:rFonts w:cs="Times New Roman"/>
          <w:szCs w:val="24"/>
        </w:rPr>
        <w:t>M</w:t>
      </w:r>
      <w:r w:rsidRPr="001D6684">
        <w:rPr>
          <w:rFonts w:cs="Times New Roman"/>
          <w:szCs w:val="24"/>
        </w:rPr>
        <w:t xml:space="preserve">A is the first </w:t>
      </w:r>
      <w:r w:rsidR="00D018A5" w:rsidRPr="001D6684">
        <w:rPr>
          <w:rFonts w:cs="Times New Roman"/>
          <w:szCs w:val="24"/>
        </w:rPr>
        <w:t xml:space="preserve">comprehensive </w:t>
      </w:r>
      <w:r w:rsidRPr="001D6684">
        <w:rPr>
          <w:rFonts w:cs="Times New Roman"/>
          <w:szCs w:val="24"/>
        </w:rPr>
        <w:t xml:space="preserve">instrument to allow a systematic assessment of </w:t>
      </w:r>
      <w:r w:rsidR="00D740B5">
        <w:rPr>
          <w:rFonts w:cs="Times New Roman"/>
          <w:szCs w:val="24"/>
        </w:rPr>
        <w:t>PC</w:t>
      </w:r>
      <w:r w:rsidRPr="001D6684">
        <w:rPr>
          <w:rFonts w:cs="Times New Roman"/>
          <w:szCs w:val="24"/>
        </w:rPr>
        <w:t xml:space="preserve"> clusters on all key dimensions of </w:t>
      </w:r>
      <w:r w:rsidR="00D740B5">
        <w:rPr>
          <w:rFonts w:cs="Times New Roman"/>
          <w:szCs w:val="24"/>
        </w:rPr>
        <w:t>PC</w:t>
      </w:r>
      <w:r w:rsidR="00AF5B21" w:rsidRPr="001D6684">
        <w:rPr>
          <w:rFonts w:cs="Times New Roman"/>
          <w:szCs w:val="24"/>
        </w:rPr>
        <w:t xml:space="preserve"> from the perspective of </w:t>
      </w:r>
      <w:r w:rsidR="008E4CFC">
        <w:rPr>
          <w:rFonts w:cs="Times New Roman"/>
          <w:szCs w:val="24"/>
        </w:rPr>
        <w:t>c</w:t>
      </w:r>
      <w:r w:rsidR="00AF5B21" w:rsidRPr="001D6684">
        <w:rPr>
          <w:rFonts w:cs="Times New Roman"/>
          <w:szCs w:val="24"/>
        </w:rPr>
        <w:t xml:space="preserve">luster </w:t>
      </w:r>
      <w:r w:rsidR="008E4CFC">
        <w:rPr>
          <w:rFonts w:cs="Times New Roman"/>
          <w:szCs w:val="24"/>
        </w:rPr>
        <w:t>l</w:t>
      </w:r>
      <w:r w:rsidR="00AF5B21" w:rsidRPr="001D6684">
        <w:rPr>
          <w:rFonts w:cs="Times New Roman"/>
          <w:szCs w:val="24"/>
        </w:rPr>
        <w:t>eads</w:t>
      </w:r>
      <w:r w:rsidRPr="001D6684">
        <w:rPr>
          <w:rFonts w:cs="Times New Roman"/>
          <w:szCs w:val="24"/>
        </w:rPr>
        <w:t xml:space="preserve">. It builds on an established </w:t>
      </w:r>
      <w:r w:rsidR="00D740B5">
        <w:rPr>
          <w:rFonts w:cs="Times New Roman"/>
          <w:szCs w:val="24"/>
        </w:rPr>
        <w:t>PC</w:t>
      </w:r>
      <w:r w:rsidRPr="001D6684">
        <w:rPr>
          <w:rFonts w:cs="Times New Roman"/>
          <w:szCs w:val="24"/>
        </w:rPr>
        <w:t xml:space="preserve"> assessment framework and </w:t>
      </w:r>
      <w:r w:rsidR="00481786" w:rsidRPr="001D6684">
        <w:rPr>
          <w:rFonts w:cs="Times New Roman"/>
          <w:szCs w:val="24"/>
        </w:rPr>
        <w:t>its</w:t>
      </w:r>
      <w:r w:rsidRPr="001D6684">
        <w:rPr>
          <w:rFonts w:cs="Times New Roman"/>
          <w:szCs w:val="24"/>
        </w:rPr>
        <w:t xml:space="preserve"> content ha</w:t>
      </w:r>
      <w:r w:rsidR="008E4CFC">
        <w:rPr>
          <w:rFonts w:cs="Times New Roman"/>
          <w:szCs w:val="24"/>
        </w:rPr>
        <w:t>ve</w:t>
      </w:r>
      <w:r w:rsidRPr="001D6684">
        <w:rPr>
          <w:rFonts w:cs="Times New Roman"/>
          <w:szCs w:val="24"/>
        </w:rPr>
        <w:t xml:space="preserve"> been </w:t>
      </w:r>
      <w:r w:rsidR="00613503" w:rsidRPr="001D6684">
        <w:rPr>
          <w:rFonts w:cs="Times New Roman"/>
          <w:szCs w:val="24"/>
        </w:rPr>
        <w:t xml:space="preserve">developed </w:t>
      </w:r>
      <w:r w:rsidR="00D018A5" w:rsidRPr="001D6684">
        <w:rPr>
          <w:rFonts w:cs="Times New Roman"/>
          <w:szCs w:val="24"/>
        </w:rPr>
        <w:t xml:space="preserve">by </w:t>
      </w:r>
      <w:r w:rsidRPr="001D6684">
        <w:rPr>
          <w:rFonts w:cs="Times New Roman"/>
          <w:szCs w:val="24"/>
        </w:rPr>
        <w:t xml:space="preserve">a broad range of </w:t>
      </w:r>
      <w:r w:rsidR="00D740B5">
        <w:rPr>
          <w:rFonts w:cs="Times New Roman"/>
          <w:szCs w:val="24"/>
        </w:rPr>
        <w:t>PC</w:t>
      </w:r>
      <w:r w:rsidRPr="001D6684">
        <w:rPr>
          <w:rFonts w:cs="Times New Roman"/>
          <w:szCs w:val="24"/>
        </w:rPr>
        <w:t xml:space="preserve"> stakeholders. </w:t>
      </w:r>
      <w:r w:rsidR="00481786" w:rsidRPr="001D6684">
        <w:rPr>
          <w:rFonts w:cs="Times New Roman"/>
          <w:szCs w:val="24"/>
        </w:rPr>
        <w:t>I</w:t>
      </w:r>
      <w:r w:rsidR="00613503" w:rsidRPr="001D6684">
        <w:rPr>
          <w:rFonts w:cs="Times New Roman"/>
          <w:szCs w:val="24"/>
        </w:rPr>
        <w:t>n future, the PCC</w:t>
      </w:r>
      <w:r w:rsidR="00E66407">
        <w:rPr>
          <w:rFonts w:cs="Times New Roman"/>
          <w:szCs w:val="24"/>
        </w:rPr>
        <w:t>M</w:t>
      </w:r>
      <w:r w:rsidR="00613503" w:rsidRPr="001D6684">
        <w:rPr>
          <w:rFonts w:cs="Times New Roman"/>
          <w:szCs w:val="24"/>
        </w:rPr>
        <w:t xml:space="preserve">A could </w:t>
      </w:r>
      <w:r w:rsidR="00481786" w:rsidRPr="001D6684">
        <w:rPr>
          <w:rFonts w:cs="Times New Roman"/>
          <w:szCs w:val="24"/>
        </w:rPr>
        <w:t>a</w:t>
      </w:r>
      <w:r w:rsidR="00613503" w:rsidRPr="001D6684">
        <w:rPr>
          <w:rFonts w:cs="Times New Roman"/>
          <w:szCs w:val="24"/>
        </w:rPr>
        <w:t>llow</w:t>
      </w:r>
      <w:r w:rsidR="00481786" w:rsidRPr="001D6684">
        <w:rPr>
          <w:rFonts w:cs="Times New Roman"/>
          <w:szCs w:val="24"/>
        </w:rPr>
        <w:t xml:space="preserve"> benchmarking of the</w:t>
      </w:r>
      <w:r w:rsidR="001B4C49">
        <w:rPr>
          <w:rFonts w:cs="Times New Roman"/>
          <w:szCs w:val="24"/>
        </w:rPr>
        <w:t xml:space="preserve"> strength of</w:t>
      </w:r>
      <w:r w:rsidR="00481786" w:rsidRPr="001D6684">
        <w:rPr>
          <w:rFonts w:cs="Times New Roman"/>
          <w:szCs w:val="24"/>
        </w:rPr>
        <w:t xml:space="preserve"> </w:t>
      </w:r>
      <w:r w:rsidR="00D740B5">
        <w:rPr>
          <w:rFonts w:cs="Times New Roman"/>
          <w:szCs w:val="24"/>
        </w:rPr>
        <w:t>PC</w:t>
      </w:r>
      <w:r w:rsidR="00481786" w:rsidRPr="001D6684">
        <w:rPr>
          <w:rFonts w:cs="Times New Roman"/>
          <w:szCs w:val="24"/>
        </w:rPr>
        <w:t xml:space="preserve"> clusters. </w:t>
      </w:r>
      <w:r w:rsidRPr="001D6684">
        <w:rPr>
          <w:rFonts w:cs="Times New Roman"/>
          <w:szCs w:val="24"/>
        </w:rPr>
        <w:t xml:space="preserve">However, </w:t>
      </w:r>
      <w:r w:rsidR="00381A24">
        <w:rPr>
          <w:rFonts w:cs="Times New Roman"/>
          <w:szCs w:val="24"/>
        </w:rPr>
        <w:t xml:space="preserve">in the present format, </w:t>
      </w:r>
      <w:r w:rsidR="00481786" w:rsidRPr="001D6684">
        <w:rPr>
          <w:rFonts w:cs="Times New Roman"/>
          <w:szCs w:val="24"/>
        </w:rPr>
        <w:t xml:space="preserve">the </w:t>
      </w:r>
      <w:r w:rsidR="00381A24">
        <w:rPr>
          <w:rFonts w:cs="Times New Roman"/>
          <w:szCs w:val="24"/>
        </w:rPr>
        <w:t>PCC</w:t>
      </w:r>
      <w:r w:rsidR="00E66407">
        <w:rPr>
          <w:rFonts w:cs="Times New Roman"/>
          <w:szCs w:val="24"/>
        </w:rPr>
        <w:t>M</w:t>
      </w:r>
      <w:r w:rsidR="00381A24">
        <w:rPr>
          <w:rFonts w:cs="Times New Roman"/>
          <w:szCs w:val="24"/>
        </w:rPr>
        <w:t xml:space="preserve">A </w:t>
      </w:r>
      <w:r w:rsidR="00481786" w:rsidRPr="001D6684">
        <w:rPr>
          <w:rFonts w:cs="Times New Roman"/>
          <w:szCs w:val="24"/>
        </w:rPr>
        <w:t xml:space="preserve">should not be seen as a definitive assessment of </w:t>
      </w:r>
      <w:r w:rsidR="00D740B5">
        <w:rPr>
          <w:rFonts w:cs="Times New Roman"/>
          <w:szCs w:val="24"/>
        </w:rPr>
        <w:t>PC</w:t>
      </w:r>
      <w:r w:rsidR="00381A24">
        <w:rPr>
          <w:rFonts w:cs="Times New Roman"/>
          <w:szCs w:val="24"/>
        </w:rPr>
        <w:t xml:space="preserve"> </w:t>
      </w:r>
      <w:r w:rsidR="00481786" w:rsidRPr="001D6684">
        <w:rPr>
          <w:rFonts w:cs="Times New Roman"/>
          <w:szCs w:val="24"/>
        </w:rPr>
        <w:t xml:space="preserve">clusters. It is a snapshot from </w:t>
      </w:r>
      <w:r w:rsidR="008E4CFC">
        <w:rPr>
          <w:rFonts w:cs="Times New Roman"/>
          <w:szCs w:val="24"/>
        </w:rPr>
        <w:t>the</w:t>
      </w:r>
      <w:r w:rsidR="00481786" w:rsidRPr="001D6684">
        <w:rPr>
          <w:rFonts w:cs="Times New Roman"/>
          <w:szCs w:val="24"/>
        </w:rPr>
        <w:t xml:space="preserve"> perspective</w:t>
      </w:r>
      <w:r w:rsidR="00381A24">
        <w:rPr>
          <w:rFonts w:cs="Times New Roman"/>
          <w:szCs w:val="24"/>
        </w:rPr>
        <w:t xml:space="preserve"> </w:t>
      </w:r>
      <w:r w:rsidR="008E4CFC">
        <w:rPr>
          <w:rFonts w:cs="Times New Roman"/>
          <w:szCs w:val="24"/>
        </w:rPr>
        <w:t>of c</w:t>
      </w:r>
      <w:r w:rsidR="00381A24">
        <w:rPr>
          <w:rFonts w:cs="Times New Roman"/>
          <w:szCs w:val="24"/>
        </w:rPr>
        <w:t xml:space="preserve">luster </w:t>
      </w:r>
      <w:r w:rsidR="008E4CFC">
        <w:rPr>
          <w:rFonts w:cs="Times New Roman"/>
          <w:szCs w:val="24"/>
        </w:rPr>
        <w:t>l</w:t>
      </w:r>
      <w:r w:rsidR="00381A24">
        <w:rPr>
          <w:rFonts w:cs="Times New Roman"/>
          <w:szCs w:val="24"/>
        </w:rPr>
        <w:t>eads</w:t>
      </w:r>
      <w:r w:rsidR="00481786" w:rsidRPr="001D6684">
        <w:rPr>
          <w:rFonts w:cs="Times New Roman"/>
          <w:szCs w:val="24"/>
        </w:rPr>
        <w:t xml:space="preserve">, </w:t>
      </w:r>
      <w:r w:rsidR="008E4CFC">
        <w:rPr>
          <w:rFonts w:cs="Times New Roman"/>
          <w:szCs w:val="24"/>
        </w:rPr>
        <w:t>which</w:t>
      </w:r>
      <w:r w:rsidR="000F4CCA" w:rsidRPr="001D6684">
        <w:rPr>
          <w:rFonts w:cs="Times New Roman"/>
          <w:szCs w:val="24"/>
        </w:rPr>
        <w:t xml:space="preserve"> </w:t>
      </w:r>
      <w:r w:rsidR="00481786" w:rsidRPr="001D6684">
        <w:rPr>
          <w:rFonts w:cs="Times New Roman"/>
          <w:szCs w:val="24"/>
        </w:rPr>
        <w:t xml:space="preserve">can be </w:t>
      </w:r>
      <w:r w:rsidR="000F4CCA" w:rsidRPr="001D6684">
        <w:rPr>
          <w:rFonts w:cs="Times New Roman"/>
          <w:szCs w:val="24"/>
        </w:rPr>
        <w:t xml:space="preserve">strengthened </w:t>
      </w:r>
      <w:r w:rsidR="00481786" w:rsidRPr="001D6684">
        <w:rPr>
          <w:rFonts w:cs="Times New Roman"/>
          <w:szCs w:val="24"/>
        </w:rPr>
        <w:t xml:space="preserve">in </w:t>
      </w:r>
      <w:r w:rsidR="00381A24">
        <w:rPr>
          <w:rFonts w:cs="Times New Roman"/>
          <w:szCs w:val="24"/>
        </w:rPr>
        <w:t xml:space="preserve">three </w:t>
      </w:r>
      <w:r w:rsidR="00481786" w:rsidRPr="001D6684">
        <w:rPr>
          <w:rFonts w:cs="Times New Roman"/>
          <w:szCs w:val="24"/>
        </w:rPr>
        <w:t>important ways.</w:t>
      </w:r>
      <w:r w:rsidR="00381A24">
        <w:rPr>
          <w:rFonts w:cs="Times New Roman"/>
          <w:szCs w:val="24"/>
        </w:rPr>
        <w:t xml:space="preserve"> </w:t>
      </w:r>
      <w:r w:rsidR="00B77DE3" w:rsidRPr="001D6684">
        <w:rPr>
          <w:rFonts w:cs="Times New Roman"/>
          <w:szCs w:val="24"/>
        </w:rPr>
        <w:t xml:space="preserve">Firstly, </w:t>
      </w:r>
      <w:r w:rsidR="00973A9A">
        <w:rPr>
          <w:rFonts w:cs="Times New Roman"/>
          <w:szCs w:val="24"/>
        </w:rPr>
        <w:t xml:space="preserve">with </w:t>
      </w:r>
      <w:r w:rsidR="00973A9A" w:rsidRPr="00973A9A">
        <w:rPr>
          <w:rFonts w:cs="Times New Roman"/>
          <w:szCs w:val="24"/>
        </w:rPr>
        <w:t>further validation</w:t>
      </w:r>
      <w:r w:rsidR="00973A9A">
        <w:rPr>
          <w:rFonts w:cs="Times New Roman"/>
          <w:szCs w:val="24"/>
        </w:rPr>
        <w:t xml:space="preserve">, </w:t>
      </w:r>
      <w:r w:rsidR="00481786" w:rsidRPr="001D6684">
        <w:rPr>
          <w:rFonts w:cs="Times New Roman"/>
          <w:szCs w:val="24"/>
        </w:rPr>
        <w:t>the PCC</w:t>
      </w:r>
      <w:r w:rsidR="00E66407">
        <w:rPr>
          <w:rFonts w:cs="Times New Roman"/>
          <w:szCs w:val="24"/>
        </w:rPr>
        <w:t>M</w:t>
      </w:r>
      <w:r w:rsidR="00481786" w:rsidRPr="001D6684">
        <w:rPr>
          <w:rFonts w:cs="Times New Roman"/>
          <w:szCs w:val="24"/>
        </w:rPr>
        <w:t xml:space="preserve">A </w:t>
      </w:r>
      <w:r w:rsidR="00B77DE3" w:rsidRPr="001D6684">
        <w:rPr>
          <w:rFonts w:cs="Times New Roman"/>
          <w:szCs w:val="24"/>
        </w:rPr>
        <w:t xml:space="preserve">can be </w:t>
      </w:r>
      <w:r w:rsidR="00B36710">
        <w:rPr>
          <w:rFonts w:cs="Times New Roman"/>
          <w:szCs w:val="24"/>
        </w:rPr>
        <w:t>develop</w:t>
      </w:r>
      <w:r w:rsidR="00B36710" w:rsidRPr="001D6684">
        <w:rPr>
          <w:rFonts w:cs="Times New Roman"/>
          <w:szCs w:val="24"/>
        </w:rPr>
        <w:t xml:space="preserve">ed </w:t>
      </w:r>
      <w:r w:rsidR="00B77DE3" w:rsidRPr="001D6684">
        <w:rPr>
          <w:rFonts w:cs="Times New Roman"/>
          <w:szCs w:val="24"/>
        </w:rPr>
        <w:t xml:space="preserve">into </w:t>
      </w:r>
      <w:r w:rsidR="00481786" w:rsidRPr="001D6684">
        <w:rPr>
          <w:rFonts w:cs="Times New Roman"/>
          <w:szCs w:val="24"/>
        </w:rPr>
        <w:t>a 360</w:t>
      </w:r>
      <w:r w:rsidR="00C02FB6">
        <w:rPr>
          <w:rFonts w:cs="Times New Roman"/>
          <w:szCs w:val="24"/>
        </w:rPr>
        <w:t>-</w:t>
      </w:r>
      <w:r w:rsidR="00481786" w:rsidRPr="001D6684">
        <w:rPr>
          <w:rFonts w:cs="Times New Roman"/>
          <w:szCs w:val="24"/>
        </w:rPr>
        <w:t>degree</w:t>
      </w:r>
      <w:r w:rsidR="00990083">
        <w:rPr>
          <w:rFonts w:cs="Times New Roman"/>
          <w:szCs w:val="24"/>
        </w:rPr>
        <w:t xml:space="preserve"> </w:t>
      </w:r>
      <w:r w:rsidR="00481786" w:rsidRPr="001D6684">
        <w:rPr>
          <w:rFonts w:cs="Times New Roman"/>
          <w:szCs w:val="24"/>
        </w:rPr>
        <w:t>instrument, allowing the assessment of the clusters from multi</w:t>
      </w:r>
      <w:r w:rsidR="00B36710">
        <w:rPr>
          <w:rFonts w:cs="Times New Roman"/>
          <w:szCs w:val="24"/>
        </w:rPr>
        <w:t xml:space="preserve">ple </w:t>
      </w:r>
      <w:r w:rsidR="00481786" w:rsidRPr="001D6684">
        <w:rPr>
          <w:rFonts w:cs="Times New Roman"/>
          <w:szCs w:val="24"/>
        </w:rPr>
        <w:t>agenc</w:t>
      </w:r>
      <w:r w:rsidR="00B36710">
        <w:rPr>
          <w:rFonts w:cs="Times New Roman"/>
          <w:szCs w:val="24"/>
        </w:rPr>
        <w:t>ies</w:t>
      </w:r>
      <w:r w:rsidR="00481786" w:rsidRPr="001D6684">
        <w:rPr>
          <w:rFonts w:cs="Times New Roman"/>
          <w:szCs w:val="24"/>
        </w:rPr>
        <w:t xml:space="preserve">. This would involve obtaining assessments from all the </w:t>
      </w:r>
      <w:r w:rsidR="00B36710">
        <w:rPr>
          <w:rFonts w:cs="Times New Roman"/>
          <w:szCs w:val="24"/>
        </w:rPr>
        <w:t>participants</w:t>
      </w:r>
      <w:r w:rsidR="008D1FA8" w:rsidRPr="001D6684">
        <w:rPr>
          <w:rFonts w:cs="Times New Roman"/>
          <w:szCs w:val="24"/>
        </w:rPr>
        <w:t xml:space="preserve"> at the cluster meetings</w:t>
      </w:r>
      <w:r w:rsidR="00481786" w:rsidRPr="001D6684">
        <w:rPr>
          <w:rFonts w:cs="Times New Roman"/>
          <w:szCs w:val="24"/>
        </w:rPr>
        <w:t xml:space="preserve"> (e.g. </w:t>
      </w:r>
      <w:r w:rsidR="00B36710">
        <w:rPr>
          <w:rFonts w:cs="Times New Roman"/>
          <w:szCs w:val="24"/>
        </w:rPr>
        <w:t xml:space="preserve">GPs, practice managers, </w:t>
      </w:r>
      <w:r w:rsidR="00481786" w:rsidRPr="001D6684">
        <w:rPr>
          <w:rFonts w:cs="Times New Roman"/>
          <w:szCs w:val="24"/>
        </w:rPr>
        <w:t xml:space="preserve">health </w:t>
      </w:r>
      <w:r w:rsidR="00B36710">
        <w:rPr>
          <w:rFonts w:cs="Times New Roman"/>
          <w:szCs w:val="24"/>
        </w:rPr>
        <w:t>board managers</w:t>
      </w:r>
      <w:r w:rsidR="00481786" w:rsidRPr="001D6684">
        <w:rPr>
          <w:rFonts w:cs="Times New Roman"/>
          <w:szCs w:val="24"/>
        </w:rPr>
        <w:t xml:space="preserve">, </w:t>
      </w:r>
      <w:r w:rsidR="00B36710">
        <w:rPr>
          <w:rFonts w:cs="Times New Roman"/>
          <w:szCs w:val="24"/>
        </w:rPr>
        <w:t xml:space="preserve">community teams, </w:t>
      </w:r>
      <w:r w:rsidR="00481786" w:rsidRPr="001D6684">
        <w:rPr>
          <w:rFonts w:cs="Times New Roman"/>
          <w:szCs w:val="24"/>
        </w:rPr>
        <w:t>social care, third sector organisations, etc.).</w:t>
      </w:r>
      <w:r w:rsidR="00381A24">
        <w:rPr>
          <w:rFonts w:cs="Times New Roman"/>
          <w:szCs w:val="24"/>
        </w:rPr>
        <w:t xml:space="preserve"> </w:t>
      </w:r>
      <w:r w:rsidR="00B77DE3" w:rsidRPr="001D6684">
        <w:rPr>
          <w:rFonts w:cs="Times New Roman"/>
          <w:szCs w:val="24"/>
        </w:rPr>
        <w:t>Secondly</w:t>
      </w:r>
      <w:r w:rsidR="00481786" w:rsidRPr="001D6684">
        <w:rPr>
          <w:rFonts w:cs="Times New Roman"/>
          <w:szCs w:val="24"/>
        </w:rPr>
        <w:t xml:space="preserve">, </w:t>
      </w:r>
      <w:r w:rsidR="00B77DE3" w:rsidRPr="001D6684">
        <w:rPr>
          <w:rFonts w:cs="Times New Roman"/>
          <w:szCs w:val="24"/>
        </w:rPr>
        <w:t>the PCC</w:t>
      </w:r>
      <w:r w:rsidR="00E66407">
        <w:rPr>
          <w:rFonts w:cs="Times New Roman"/>
          <w:szCs w:val="24"/>
        </w:rPr>
        <w:t>M</w:t>
      </w:r>
      <w:r w:rsidR="00B77DE3" w:rsidRPr="001D6684">
        <w:rPr>
          <w:rFonts w:cs="Times New Roman"/>
          <w:szCs w:val="24"/>
        </w:rPr>
        <w:t xml:space="preserve">A data should be analysed in the context of other routinely collected clinical, demographics and cluster maturity indicators. </w:t>
      </w:r>
      <w:r w:rsidR="006B571C">
        <w:rPr>
          <w:rFonts w:cs="Times New Roman"/>
          <w:szCs w:val="24"/>
        </w:rPr>
        <w:t xml:space="preserve">Of immediate interest are </w:t>
      </w:r>
      <w:r w:rsidR="006B571C" w:rsidRPr="006B571C">
        <w:rPr>
          <w:rFonts w:cs="Times New Roman"/>
          <w:szCs w:val="24"/>
        </w:rPr>
        <w:t xml:space="preserve">the </w:t>
      </w:r>
      <w:r w:rsidR="006B571C">
        <w:rPr>
          <w:rFonts w:cs="Times New Roman"/>
          <w:szCs w:val="24"/>
        </w:rPr>
        <w:t xml:space="preserve">PC </w:t>
      </w:r>
      <w:r w:rsidR="006B571C" w:rsidRPr="006B571C">
        <w:rPr>
          <w:rFonts w:cs="Times New Roman"/>
          <w:szCs w:val="24"/>
        </w:rPr>
        <w:t>indicators produced by PHW and accepted by the Directors of P</w:t>
      </w:r>
      <w:r w:rsidR="000212E3">
        <w:rPr>
          <w:rFonts w:cs="Times New Roman"/>
          <w:szCs w:val="24"/>
        </w:rPr>
        <w:t>C</w:t>
      </w:r>
      <w:r w:rsidR="006B571C" w:rsidRPr="006B571C">
        <w:rPr>
          <w:rFonts w:cs="Times New Roman"/>
          <w:szCs w:val="24"/>
        </w:rPr>
        <w:t xml:space="preserve"> </w:t>
      </w:r>
      <w:r w:rsidR="00511D12">
        <w:rPr>
          <w:rFonts w:cs="Times New Roman"/>
          <w:szCs w:val="24"/>
        </w:rPr>
        <w:t>in Wales,[4</w:t>
      </w:r>
      <w:r w:rsidR="001B0E38">
        <w:rPr>
          <w:rFonts w:cs="Times New Roman"/>
          <w:szCs w:val="24"/>
        </w:rPr>
        <w:t>2</w:t>
      </w:r>
      <w:r w:rsidR="006B571C">
        <w:rPr>
          <w:rFonts w:cs="Times New Roman"/>
          <w:szCs w:val="24"/>
        </w:rPr>
        <w:t>] and the m</w:t>
      </w:r>
      <w:r w:rsidR="006B571C" w:rsidRPr="006B571C">
        <w:rPr>
          <w:rFonts w:cs="Times New Roman"/>
          <w:szCs w:val="24"/>
        </w:rPr>
        <w:t>aturity matrix for locality network</w:t>
      </w:r>
      <w:r w:rsidR="006B571C">
        <w:rPr>
          <w:rFonts w:cs="Times New Roman"/>
          <w:szCs w:val="24"/>
        </w:rPr>
        <w:t>.[</w:t>
      </w:r>
      <w:r w:rsidR="00511D12">
        <w:rPr>
          <w:rFonts w:cs="Times New Roman"/>
          <w:szCs w:val="24"/>
        </w:rPr>
        <w:t>4</w:t>
      </w:r>
      <w:r w:rsidR="001B0E38">
        <w:rPr>
          <w:rFonts w:cs="Times New Roman"/>
          <w:szCs w:val="24"/>
        </w:rPr>
        <w:t>3</w:t>
      </w:r>
      <w:r w:rsidR="006B571C">
        <w:rPr>
          <w:rFonts w:cs="Times New Roman"/>
          <w:szCs w:val="24"/>
        </w:rPr>
        <w:t xml:space="preserve">] </w:t>
      </w:r>
      <w:r w:rsidR="00B77DE3" w:rsidRPr="001D6684">
        <w:rPr>
          <w:rFonts w:cs="Times New Roman"/>
          <w:szCs w:val="24"/>
        </w:rPr>
        <w:t>This c</w:t>
      </w:r>
      <w:r w:rsidR="00B36710">
        <w:rPr>
          <w:rFonts w:cs="Times New Roman"/>
          <w:szCs w:val="24"/>
        </w:rPr>
        <w:t>ould</w:t>
      </w:r>
      <w:r w:rsidR="00B77DE3" w:rsidRPr="001D6684">
        <w:rPr>
          <w:rFonts w:cs="Times New Roman"/>
          <w:szCs w:val="24"/>
        </w:rPr>
        <w:t xml:space="preserve"> help explore and explain associations between ratings of key </w:t>
      </w:r>
      <w:r w:rsidR="00D740B5">
        <w:rPr>
          <w:rFonts w:cs="Times New Roman"/>
          <w:szCs w:val="24"/>
        </w:rPr>
        <w:t>PC</w:t>
      </w:r>
      <w:r w:rsidR="00B77DE3" w:rsidRPr="001D6684">
        <w:rPr>
          <w:rFonts w:cs="Times New Roman"/>
          <w:szCs w:val="24"/>
        </w:rPr>
        <w:t xml:space="preserve"> dimensions, and variations between clusters from the same health board, or with similar demographic characteristics.</w:t>
      </w:r>
      <w:r w:rsidR="00381A24">
        <w:rPr>
          <w:rFonts w:cs="Times New Roman"/>
          <w:szCs w:val="24"/>
        </w:rPr>
        <w:t xml:space="preserve"> </w:t>
      </w:r>
      <w:r w:rsidR="00B77DE3" w:rsidRPr="001D6684">
        <w:rPr>
          <w:rFonts w:cs="Times New Roman"/>
          <w:szCs w:val="24"/>
        </w:rPr>
        <w:t xml:space="preserve">Thirdly, the </w:t>
      </w:r>
      <w:r w:rsidR="009F517A" w:rsidRPr="001D6684">
        <w:rPr>
          <w:rFonts w:cs="Times New Roman"/>
          <w:szCs w:val="24"/>
        </w:rPr>
        <w:t>PCC</w:t>
      </w:r>
      <w:r w:rsidR="00E66407">
        <w:rPr>
          <w:rFonts w:cs="Times New Roman"/>
          <w:szCs w:val="24"/>
        </w:rPr>
        <w:t>M</w:t>
      </w:r>
      <w:r w:rsidR="009F517A" w:rsidRPr="001D6684">
        <w:rPr>
          <w:rFonts w:cs="Times New Roman"/>
          <w:szCs w:val="24"/>
        </w:rPr>
        <w:t xml:space="preserve">A instrument </w:t>
      </w:r>
      <w:r w:rsidR="00B36710">
        <w:rPr>
          <w:rFonts w:cs="Times New Roman"/>
          <w:szCs w:val="24"/>
        </w:rPr>
        <w:t>could</w:t>
      </w:r>
      <w:r w:rsidR="009F517A" w:rsidRPr="001D6684">
        <w:rPr>
          <w:rFonts w:cs="Times New Roman"/>
          <w:szCs w:val="24"/>
        </w:rPr>
        <w:t xml:space="preserve"> identify clusters that need more support, health-board level challenges, and variations between and within individual dimensions of </w:t>
      </w:r>
      <w:r w:rsidR="00D740B5">
        <w:rPr>
          <w:rFonts w:cs="Times New Roman"/>
          <w:szCs w:val="24"/>
        </w:rPr>
        <w:t>PC</w:t>
      </w:r>
      <w:r w:rsidR="009F517A" w:rsidRPr="001D6684">
        <w:rPr>
          <w:rFonts w:cs="Times New Roman"/>
          <w:szCs w:val="24"/>
        </w:rPr>
        <w:t xml:space="preserve">. </w:t>
      </w:r>
      <w:r w:rsidR="00381A24">
        <w:rPr>
          <w:rFonts w:cs="Times New Roman"/>
          <w:szCs w:val="24"/>
        </w:rPr>
        <w:t xml:space="preserve">Thus, </w:t>
      </w:r>
      <w:r w:rsidR="004C3E9F" w:rsidRPr="001D6684">
        <w:rPr>
          <w:rFonts w:cs="Times New Roman"/>
          <w:szCs w:val="24"/>
        </w:rPr>
        <w:t>completion rate</w:t>
      </w:r>
      <w:r w:rsidR="00B36710">
        <w:rPr>
          <w:rFonts w:cs="Times New Roman"/>
          <w:szCs w:val="24"/>
        </w:rPr>
        <w:t>s</w:t>
      </w:r>
      <w:r w:rsidR="004C3E9F" w:rsidRPr="001D6684">
        <w:rPr>
          <w:rFonts w:cs="Times New Roman"/>
          <w:szCs w:val="24"/>
        </w:rPr>
        <w:t xml:space="preserve"> and </w:t>
      </w:r>
      <w:r w:rsidR="009F517A" w:rsidRPr="001D6684">
        <w:rPr>
          <w:rFonts w:cs="Times New Roman"/>
          <w:szCs w:val="24"/>
        </w:rPr>
        <w:t>continu</w:t>
      </w:r>
      <w:r w:rsidR="00B36710">
        <w:rPr>
          <w:rFonts w:cs="Times New Roman"/>
          <w:szCs w:val="24"/>
        </w:rPr>
        <w:t xml:space="preserve">al </w:t>
      </w:r>
      <w:r w:rsidR="009F517A" w:rsidRPr="001D6684">
        <w:rPr>
          <w:rFonts w:cs="Times New Roman"/>
          <w:szCs w:val="24"/>
        </w:rPr>
        <w:t>assessment</w:t>
      </w:r>
      <w:r w:rsidR="004C3E9F" w:rsidRPr="001D6684">
        <w:rPr>
          <w:rFonts w:cs="Times New Roman"/>
          <w:szCs w:val="24"/>
        </w:rPr>
        <w:t xml:space="preserve"> remain important considerations</w:t>
      </w:r>
      <w:r w:rsidR="009F517A" w:rsidRPr="001D6684">
        <w:rPr>
          <w:rFonts w:cs="Times New Roman"/>
          <w:szCs w:val="24"/>
        </w:rPr>
        <w:t xml:space="preserve">. </w:t>
      </w:r>
      <w:r w:rsidR="00B36710">
        <w:rPr>
          <w:rFonts w:cs="Times New Roman"/>
          <w:szCs w:val="24"/>
        </w:rPr>
        <w:t>Similar to</w:t>
      </w:r>
      <w:r w:rsidR="00381A24">
        <w:rPr>
          <w:rFonts w:cs="Times New Roman"/>
          <w:szCs w:val="24"/>
        </w:rPr>
        <w:t xml:space="preserve"> the assessment model in England, </w:t>
      </w:r>
      <w:r w:rsidR="001B5AD2" w:rsidRPr="001D6684">
        <w:rPr>
          <w:rFonts w:cs="Times New Roman"/>
          <w:szCs w:val="24"/>
        </w:rPr>
        <w:t xml:space="preserve">a </w:t>
      </w:r>
      <w:r w:rsidR="00C02FB6">
        <w:rPr>
          <w:rFonts w:cs="Times New Roman"/>
          <w:szCs w:val="24"/>
        </w:rPr>
        <w:t>360-degree</w:t>
      </w:r>
      <w:r w:rsidR="00381A24">
        <w:rPr>
          <w:rFonts w:cs="Times New Roman"/>
          <w:szCs w:val="24"/>
        </w:rPr>
        <w:t xml:space="preserve"> </w:t>
      </w:r>
      <w:r w:rsidR="001B5AD2" w:rsidRPr="001D6684">
        <w:rPr>
          <w:rFonts w:cs="Times New Roman"/>
          <w:szCs w:val="24"/>
        </w:rPr>
        <w:t>version of the PCC</w:t>
      </w:r>
      <w:r w:rsidR="00E66407">
        <w:rPr>
          <w:rFonts w:cs="Times New Roman"/>
          <w:szCs w:val="24"/>
        </w:rPr>
        <w:t>M</w:t>
      </w:r>
      <w:r w:rsidR="001B5AD2" w:rsidRPr="001D6684">
        <w:rPr>
          <w:rFonts w:cs="Times New Roman"/>
          <w:szCs w:val="24"/>
        </w:rPr>
        <w:t xml:space="preserve">A could </w:t>
      </w:r>
      <w:r w:rsidR="00B36710">
        <w:rPr>
          <w:rFonts w:cs="Times New Roman"/>
          <w:szCs w:val="24"/>
        </w:rPr>
        <w:t>be administered</w:t>
      </w:r>
      <w:r w:rsidR="001B5AD2" w:rsidRPr="001D6684">
        <w:rPr>
          <w:rFonts w:cs="Times New Roman"/>
          <w:szCs w:val="24"/>
        </w:rPr>
        <w:t xml:space="preserve"> annually and allow the benchmarking of individual clusters and health boards </w:t>
      </w:r>
      <w:r w:rsidR="00B36710">
        <w:rPr>
          <w:rFonts w:cs="Times New Roman"/>
          <w:szCs w:val="24"/>
        </w:rPr>
        <w:t>to</w:t>
      </w:r>
      <w:r w:rsidR="00B36710" w:rsidRPr="001D6684">
        <w:rPr>
          <w:rFonts w:cs="Times New Roman"/>
          <w:szCs w:val="24"/>
        </w:rPr>
        <w:t xml:space="preserve"> </w:t>
      </w:r>
      <w:r w:rsidR="001B5AD2" w:rsidRPr="001D6684">
        <w:rPr>
          <w:rFonts w:cs="Times New Roman"/>
          <w:szCs w:val="24"/>
        </w:rPr>
        <w:t>improv</w:t>
      </w:r>
      <w:r w:rsidR="00B36710">
        <w:rPr>
          <w:rFonts w:cs="Times New Roman"/>
          <w:szCs w:val="24"/>
        </w:rPr>
        <w:t>e</w:t>
      </w:r>
      <w:r w:rsidR="001B5AD2" w:rsidRPr="001D6684">
        <w:rPr>
          <w:rFonts w:cs="Times New Roman"/>
          <w:szCs w:val="24"/>
        </w:rPr>
        <w:t xml:space="preserve"> the local planning and delivery of </w:t>
      </w:r>
      <w:r w:rsidR="00D740B5">
        <w:rPr>
          <w:rFonts w:cs="Times New Roman"/>
          <w:szCs w:val="24"/>
        </w:rPr>
        <w:t>PC</w:t>
      </w:r>
      <w:r w:rsidR="001B5AD2" w:rsidRPr="001D6684">
        <w:rPr>
          <w:rFonts w:cs="Times New Roman"/>
          <w:szCs w:val="24"/>
        </w:rPr>
        <w:t xml:space="preserve"> services.</w:t>
      </w:r>
      <w:r w:rsidR="00BD200E">
        <w:rPr>
          <w:rFonts w:cs="Times New Roman"/>
          <w:szCs w:val="24"/>
        </w:rPr>
        <w:t xml:space="preserve"> </w:t>
      </w:r>
    </w:p>
    <w:p w:rsidR="001B5AD2" w:rsidRDefault="001B5AD2" w:rsidP="002C1390">
      <w:pPr>
        <w:spacing w:after="0" w:line="360" w:lineRule="auto"/>
        <w:contextualSpacing/>
        <w:rPr>
          <w:rFonts w:cs="Times New Roman"/>
          <w:szCs w:val="24"/>
        </w:rPr>
      </w:pPr>
    </w:p>
    <w:p w:rsidR="0032380A" w:rsidRPr="00147DEC" w:rsidRDefault="00147DEC" w:rsidP="00147DEC">
      <w:pPr>
        <w:spacing w:after="0" w:line="360" w:lineRule="auto"/>
        <w:jc w:val="center"/>
        <w:rPr>
          <w:b/>
          <w:bCs/>
          <w:iCs/>
        </w:rPr>
      </w:pPr>
      <w:r w:rsidRPr="00147DEC">
        <w:rPr>
          <w:b/>
          <w:bCs/>
          <w:iCs/>
        </w:rPr>
        <w:t>Conclusions</w:t>
      </w:r>
    </w:p>
    <w:p w:rsidR="000F4CCA" w:rsidRPr="001D6684" w:rsidRDefault="00973A9A" w:rsidP="00463469">
      <w:pPr>
        <w:spacing w:after="0" w:line="360" w:lineRule="auto"/>
        <w:ind w:firstLine="720"/>
        <w:contextualSpacing/>
        <w:rPr>
          <w:rFonts w:cs="Times New Roman"/>
          <w:szCs w:val="24"/>
        </w:rPr>
      </w:pPr>
      <w:r>
        <w:rPr>
          <w:rFonts w:cs="Times New Roman"/>
          <w:szCs w:val="24"/>
        </w:rPr>
        <w:t>T</w:t>
      </w:r>
      <w:r w:rsidR="009A675B" w:rsidRPr="001D6684">
        <w:rPr>
          <w:rFonts w:cs="Times New Roman"/>
          <w:szCs w:val="24"/>
        </w:rPr>
        <w:t xml:space="preserve">he </w:t>
      </w:r>
      <w:r w:rsidR="00147DEC">
        <w:rPr>
          <w:rFonts w:cs="Times New Roman"/>
          <w:szCs w:val="24"/>
        </w:rPr>
        <w:t>PCC</w:t>
      </w:r>
      <w:r w:rsidR="00E66407">
        <w:rPr>
          <w:rFonts w:cs="Times New Roman"/>
          <w:szCs w:val="24"/>
        </w:rPr>
        <w:t>M</w:t>
      </w:r>
      <w:r w:rsidR="00147DEC">
        <w:rPr>
          <w:rFonts w:cs="Times New Roman"/>
          <w:szCs w:val="24"/>
        </w:rPr>
        <w:t xml:space="preserve">A </w:t>
      </w:r>
      <w:r w:rsidR="009A675B" w:rsidRPr="001D6684">
        <w:rPr>
          <w:rFonts w:cs="Times New Roman"/>
          <w:szCs w:val="24"/>
        </w:rPr>
        <w:t>improve</w:t>
      </w:r>
      <w:r w:rsidR="00394AC8">
        <w:rPr>
          <w:rFonts w:cs="Times New Roman"/>
          <w:szCs w:val="24"/>
        </w:rPr>
        <w:t>s</w:t>
      </w:r>
      <w:r w:rsidR="009A675B" w:rsidRPr="001D6684">
        <w:rPr>
          <w:rFonts w:cs="Times New Roman"/>
          <w:szCs w:val="24"/>
        </w:rPr>
        <w:t xml:space="preserve"> the information available to national policy makers and local partners about </w:t>
      </w:r>
      <w:r w:rsidR="00987AC2" w:rsidRPr="001D6684">
        <w:rPr>
          <w:rFonts w:cs="Times New Roman"/>
          <w:szCs w:val="24"/>
        </w:rPr>
        <w:t xml:space="preserve">the </w:t>
      </w:r>
      <w:r w:rsidR="009A675B" w:rsidRPr="001D6684">
        <w:rPr>
          <w:rFonts w:cs="Times New Roman"/>
          <w:szCs w:val="24"/>
        </w:rPr>
        <w:t xml:space="preserve">development of the </w:t>
      </w:r>
      <w:r w:rsidR="00463469">
        <w:rPr>
          <w:rFonts w:cs="Times New Roman"/>
          <w:szCs w:val="24"/>
        </w:rPr>
        <w:t xml:space="preserve">PC </w:t>
      </w:r>
      <w:r w:rsidR="00987AC2" w:rsidRPr="001D6684">
        <w:rPr>
          <w:rFonts w:cs="Times New Roman"/>
          <w:szCs w:val="24"/>
        </w:rPr>
        <w:t xml:space="preserve">clusters </w:t>
      </w:r>
      <w:r w:rsidR="009A675B" w:rsidRPr="001D6684">
        <w:rPr>
          <w:rFonts w:cs="Times New Roman"/>
          <w:szCs w:val="24"/>
        </w:rPr>
        <w:t xml:space="preserve">and </w:t>
      </w:r>
      <w:r w:rsidR="00394AC8">
        <w:rPr>
          <w:rFonts w:cs="Times New Roman"/>
          <w:szCs w:val="24"/>
        </w:rPr>
        <w:t xml:space="preserve">can </w:t>
      </w:r>
      <w:r w:rsidR="009A675B" w:rsidRPr="001D6684">
        <w:rPr>
          <w:rFonts w:cs="Times New Roman"/>
          <w:szCs w:val="24"/>
        </w:rPr>
        <w:t xml:space="preserve">contribute to finding ways to increase the strength of </w:t>
      </w:r>
      <w:r w:rsidR="00D740B5">
        <w:rPr>
          <w:rFonts w:cs="Times New Roman"/>
          <w:szCs w:val="24"/>
        </w:rPr>
        <w:t>PC</w:t>
      </w:r>
      <w:r w:rsidR="00987AC2" w:rsidRPr="001D6684">
        <w:rPr>
          <w:rFonts w:cs="Times New Roman"/>
          <w:szCs w:val="24"/>
        </w:rPr>
        <w:t xml:space="preserve">. </w:t>
      </w:r>
      <w:r w:rsidR="00197DD5">
        <w:rPr>
          <w:rFonts w:cs="Times New Roman"/>
          <w:szCs w:val="24"/>
        </w:rPr>
        <w:t>The</w:t>
      </w:r>
      <w:r w:rsidR="00197DD5" w:rsidRPr="001D6684">
        <w:rPr>
          <w:rFonts w:cs="Times New Roman"/>
          <w:szCs w:val="24"/>
        </w:rPr>
        <w:t xml:space="preserve"> involvement of local front line </w:t>
      </w:r>
      <w:r w:rsidR="00D740B5">
        <w:rPr>
          <w:rFonts w:cs="Times New Roman"/>
          <w:szCs w:val="24"/>
        </w:rPr>
        <w:t>PC</w:t>
      </w:r>
      <w:r w:rsidR="00197DD5" w:rsidRPr="001D6684">
        <w:rPr>
          <w:rFonts w:cs="Times New Roman"/>
          <w:szCs w:val="24"/>
        </w:rPr>
        <w:t xml:space="preserve"> providers and patients is paramount for the development of the clusters. </w:t>
      </w:r>
      <w:r w:rsidR="007D325C" w:rsidRPr="001D6684">
        <w:rPr>
          <w:rFonts w:cs="Times New Roman"/>
          <w:szCs w:val="24"/>
        </w:rPr>
        <w:t>This is particularly the case for longitudinal assessment</w:t>
      </w:r>
      <w:r w:rsidR="00147DEC">
        <w:rPr>
          <w:rFonts w:cs="Times New Roman"/>
          <w:szCs w:val="24"/>
        </w:rPr>
        <w:t>s</w:t>
      </w:r>
      <w:r w:rsidR="000212E3">
        <w:rPr>
          <w:rFonts w:cs="Times New Roman"/>
          <w:szCs w:val="24"/>
        </w:rPr>
        <w:t>,</w:t>
      </w:r>
      <w:r w:rsidR="007D325C" w:rsidRPr="001D6684">
        <w:rPr>
          <w:rFonts w:cs="Times New Roman"/>
          <w:szCs w:val="24"/>
        </w:rPr>
        <w:t xml:space="preserve"> which will allow benchmarking. </w:t>
      </w:r>
      <w:r w:rsidR="00987AC2" w:rsidRPr="001D6684">
        <w:rPr>
          <w:rFonts w:cs="Times New Roman"/>
          <w:szCs w:val="24"/>
        </w:rPr>
        <w:t>The development of the PCC</w:t>
      </w:r>
      <w:r w:rsidR="00E66407">
        <w:rPr>
          <w:rFonts w:cs="Times New Roman"/>
          <w:szCs w:val="24"/>
        </w:rPr>
        <w:t>M</w:t>
      </w:r>
      <w:r w:rsidR="00987AC2" w:rsidRPr="001D6684">
        <w:rPr>
          <w:rFonts w:cs="Times New Roman"/>
          <w:szCs w:val="24"/>
        </w:rPr>
        <w:t xml:space="preserve">A and its associated findings will allow </w:t>
      </w:r>
      <w:r w:rsidR="00147DEC">
        <w:rPr>
          <w:rFonts w:cs="Times New Roman"/>
          <w:szCs w:val="24"/>
        </w:rPr>
        <w:t xml:space="preserve">the monitoring of </w:t>
      </w:r>
      <w:r w:rsidR="00987AC2" w:rsidRPr="001D6684">
        <w:rPr>
          <w:rFonts w:cs="Times New Roman"/>
          <w:szCs w:val="24"/>
        </w:rPr>
        <w:t xml:space="preserve">change, </w:t>
      </w:r>
      <w:r w:rsidR="00147DEC">
        <w:rPr>
          <w:rFonts w:cs="Times New Roman"/>
          <w:szCs w:val="24"/>
        </w:rPr>
        <w:t xml:space="preserve">the identification of </w:t>
      </w:r>
      <w:r w:rsidR="00987AC2" w:rsidRPr="001D6684">
        <w:rPr>
          <w:rFonts w:cs="Times New Roman"/>
          <w:szCs w:val="24"/>
        </w:rPr>
        <w:t xml:space="preserve">areas of need </w:t>
      </w:r>
      <w:r w:rsidR="00197DD5">
        <w:rPr>
          <w:rFonts w:cs="Times New Roman"/>
          <w:szCs w:val="24"/>
        </w:rPr>
        <w:lastRenderedPageBreak/>
        <w:t xml:space="preserve">and </w:t>
      </w:r>
      <w:r w:rsidR="00147DEC">
        <w:rPr>
          <w:rFonts w:cs="Times New Roman"/>
          <w:szCs w:val="24"/>
        </w:rPr>
        <w:t xml:space="preserve">sharing of </w:t>
      </w:r>
      <w:r w:rsidR="00197DD5">
        <w:rPr>
          <w:rFonts w:cs="Times New Roman"/>
          <w:szCs w:val="24"/>
        </w:rPr>
        <w:t>best practice.</w:t>
      </w:r>
      <w:r w:rsidR="00463469">
        <w:rPr>
          <w:rFonts w:cs="Times New Roman"/>
          <w:szCs w:val="24"/>
        </w:rPr>
        <w:t xml:space="preserve"> </w:t>
      </w:r>
      <w:r w:rsidR="00BD200E">
        <w:rPr>
          <w:rFonts w:cs="Times New Roman"/>
          <w:szCs w:val="24"/>
        </w:rPr>
        <w:t xml:space="preserve">The PCCMA can also complement specific </w:t>
      </w:r>
      <w:r w:rsidR="00BD200E" w:rsidRPr="00BD200E">
        <w:rPr>
          <w:rFonts w:cs="Times New Roman"/>
          <w:szCs w:val="24"/>
        </w:rPr>
        <w:t xml:space="preserve">impact evaluation and </w:t>
      </w:r>
      <w:r w:rsidR="00BD200E">
        <w:rPr>
          <w:rFonts w:cs="Times New Roman"/>
          <w:szCs w:val="24"/>
        </w:rPr>
        <w:t xml:space="preserve">healthcare </w:t>
      </w:r>
      <w:r w:rsidR="00BD200E" w:rsidRPr="00BD200E">
        <w:rPr>
          <w:rFonts w:cs="Times New Roman"/>
          <w:szCs w:val="24"/>
        </w:rPr>
        <w:t xml:space="preserve">outcomes measures </w:t>
      </w:r>
      <w:r w:rsidR="00BD200E">
        <w:rPr>
          <w:rFonts w:cs="Times New Roman"/>
          <w:szCs w:val="24"/>
        </w:rPr>
        <w:t xml:space="preserve">on particular priorities of PC health policy (e.g., equity, efficiency and quality of care). </w:t>
      </w:r>
      <w:r>
        <w:rPr>
          <w:rFonts w:cs="Times New Roman"/>
          <w:szCs w:val="24"/>
        </w:rPr>
        <w:t xml:space="preserve">Moreover, </w:t>
      </w:r>
      <w:r w:rsidRPr="00973A9A">
        <w:rPr>
          <w:rFonts w:cs="Times New Roman"/>
          <w:szCs w:val="24"/>
        </w:rPr>
        <w:t xml:space="preserve">the </w:t>
      </w:r>
      <w:r w:rsidR="007C4AF0">
        <w:rPr>
          <w:rFonts w:cs="Times New Roman"/>
          <w:szCs w:val="24"/>
        </w:rPr>
        <w:t>systematic and comprehensive</w:t>
      </w:r>
      <w:r w:rsidR="00463469">
        <w:rPr>
          <w:rFonts w:cs="Times New Roman"/>
          <w:szCs w:val="24"/>
        </w:rPr>
        <w:t xml:space="preserve"> </w:t>
      </w:r>
      <w:r>
        <w:rPr>
          <w:rFonts w:cs="Times New Roman"/>
          <w:szCs w:val="24"/>
        </w:rPr>
        <w:t xml:space="preserve">assessment of </w:t>
      </w:r>
      <w:r w:rsidR="00D740B5">
        <w:rPr>
          <w:rFonts w:cs="Times New Roman"/>
          <w:szCs w:val="24"/>
        </w:rPr>
        <w:t>PC</w:t>
      </w:r>
      <w:r>
        <w:rPr>
          <w:rFonts w:cs="Times New Roman"/>
          <w:szCs w:val="24"/>
        </w:rPr>
        <w:t xml:space="preserve"> clusters can be </w:t>
      </w:r>
      <w:r w:rsidRPr="00973A9A">
        <w:rPr>
          <w:rFonts w:cs="Times New Roman"/>
          <w:szCs w:val="24"/>
        </w:rPr>
        <w:t>of interest to GPs embracing new ways of working,</w:t>
      </w:r>
      <w:r w:rsidR="004A7A30">
        <w:rPr>
          <w:rFonts w:cs="Times New Roman"/>
          <w:szCs w:val="24"/>
        </w:rPr>
        <w:t xml:space="preserve"> PC</w:t>
      </w:r>
      <w:r w:rsidRPr="00973A9A">
        <w:rPr>
          <w:rFonts w:cs="Times New Roman"/>
          <w:szCs w:val="24"/>
        </w:rPr>
        <w:t xml:space="preserve"> federations and </w:t>
      </w:r>
      <w:r w:rsidR="00D740B5">
        <w:rPr>
          <w:rFonts w:cs="Times New Roman"/>
          <w:szCs w:val="24"/>
        </w:rPr>
        <w:t>PC</w:t>
      </w:r>
      <w:r w:rsidRPr="00973A9A">
        <w:rPr>
          <w:rFonts w:cs="Times New Roman"/>
          <w:szCs w:val="24"/>
        </w:rPr>
        <w:t xml:space="preserve"> leads.</w:t>
      </w:r>
      <w:r>
        <w:rPr>
          <w:rFonts w:cs="Times New Roman"/>
          <w:szCs w:val="24"/>
        </w:rPr>
        <w:t xml:space="preserve"> </w:t>
      </w:r>
      <w:r w:rsidR="000F4CCA" w:rsidRPr="001D6684">
        <w:rPr>
          <w:rFonts w:cs="Times New Roman"/>
          <w:szCs w:val="24"/>
        </w:rPr>
        <w:t xml:space="preserve">Finally, this </w:t>
      </w:r>
      <w:r w:rsidR="00AC1821">
        <w:rPr>
          <w:rFonts w:cs="Times New Roman"/>
          <w:szCs w:val="24"/>
        </w:rPr>
        <w:t xml:space="preserve">instrument can be applied </w:t>
      </w:r>
      <w:r w:rsidR="000F4CCA" w:rsidRPr="001D6684">
        <w:rPr>
          <w:rFonts w:cs="Times New Roman"/>
          <w:szCs w:val="24"/>
        </w:rPr>
        <w:t xml:space="preserve">in </w:t>
      </w:r>
      <w:r w:rsidR="00147DEC">
        <w:rPr>
          <w:rFonts w:cs="Times New Roman"/>
          <w:szCs w:val="24"/>
        </w:rPr>
        <w:t xml:space="preserve">all </w:t>
      </w:r>
      <w:r w:rsidR="000F4CCA" w:rsidRPr="001D6684">
        <w:rPr>
          <w:rFonts w:cs="Times New Roman"/>
          <w:szCs w:val="24"/>
        </w:rPr>
        <w:t xml:space="preserve">countries with a strong </w:t>
      </w:r>
      <w:r w:rsidR="00D740B5">
        <w:rPr>
          <w:rFonts w:cs="Times New Roman"/>
          <w:szCs w:val="24"/>
        </w:rPr>
        <w:t>PC</w:t>
      </w:r>
      <w:r w:rsidR="00072DE3" w:rsidRPr="001D6684">
        <w:rPr>
          <w:rFonts w:cs="Times New Roman"/>
          <w:szCs w:val="24"/>
        </w:rPr>
        <w:t xml:space="preserve"> base, where care is planned and organised at similar scales</w:t>
      </w:r>
      <w:r w:rsidR="00AC1821">
        <w:rPr>
          <w:rFonts w:cs="Times New Roman"/>
          <w:szCs w:val="24"/>
        </w:rPr>
        <w:t xml:space="preserve">, </w:t>
      </w:r>
      <w:r w:rsidR="00525364" w:rsidRPr="001D6684">
        <w:rPr>
          <w:rFonts w:cs="Times New Roman"/>
          <w:szCs w:val="24"/>
        </w:rPr>
        <w:t>and measurement is needed for continuous quality improvement</w:t>
      </w:r>
      <w:r w:rsidR="000F4CCA" w:rsidRPr="001D6684">
        <w:rPr>
          <w:rFonts w:cs="Times New Roman"/>
          <w:szCs w:val="24"/>
        </w:rPr>
        <w:t>.</w:t>
      </w:r>
    </w:p>
    <w:p w:rsidR="00973A9A" w:rsidRDefault="00973A9A" w:rsidP="002C1390">
      <w:pPr>
        <w:spacing w:after="0" w:line="360" w:lineRule="auto"/>
        <w:contextualSpacing/>
        <w:rPr>
          <w:rFonts w:cs="Times New Roman"/>
          <w:szCs w:val="24"/>
        </w:rPr>
      </w:pPr>
    </w:p>
    <w:p w:rsidR="00D865EF" w:rsidRDefault="00D865EF" w:rsidP="002C1390">
      <w:pPr>
        <w:spacing w:after="0" w:line="360" w:lineRule="auto"/>
        <w:rPr>
          <w:rFonts w:cs="Times New Roman"/>
          <w:szCs w:val="24"/>
        </w:rPr>
      </w:pPr>
      <w:r>
        <w:rPr>
          <w:rFonts w:cs="Times New Roman"/>
          <w:szCs w:val="24"/>
        </w:rPr>
        <w:br w:type="page"/>
      </w:r>
    </w:p>
    <w:p w:rsidR="001B0E38" w:rsidRPr="00BB548D" w:rsidRDefault="001B0E38" w:rsidP="001B0E38">
      <w:pPr>
        <w:spacing w:after="0" w:line="360" w:lineRule="auto"/>
        <w:jc w:val="center"/>
        <w:rPr>
          <w:b/>
        </w:rPr>
      </w:pPr>
      <w:bookmarkStart w:id="16" w:name="_Toc503746153"/>
      <w:r w:rsidRPr="00BB548D">
        <w:rPr>
          <w:b/>
        </w:rPr>
        <w:lastRenderedPageBreak/>
        <w:t>References</w:t>
      </w:r>
      <w:bookmarkEnd w:id="16"/>
    </w:p>
    <w:p w:rsidR="001B0E38" w:rsidRDefault="001B0E38" w:rsidP="001B0E38">
      <w:pPr>
        <w:tabs>
          <w:tab w:val="left" w:pos="567"/>
        </w:tabs>
        <w:autoSpaceDE w:val="0"/>
        <w:autoSpaceDN w:val="0"/>
        <w:adjustRightInd w:val="0"/>
        <w:spacing w:after="0" w:line="360" w:lineRule="auto"/>
        <w:ind w:left="567" w:hanging="567"/>
      </w:pPr>
    </w:p>
    <w:p w:rsidR="001B0E38" w:rsidRDefault="001B0E38" w:rsidP="001B0E38">
      <w:pPr>
        <w:tabs>
          <w:tab w:val="left" w:pos="567"/>
        </w:tabs>
        <w:autoSpaceDE w:val="0"/>
        <w:autoSpaceDN w:val="0"/>
        <w:adjustRightInd w:val="0"/>
        <w:spacing w:after="0" w:line="360" w:lineRule="auto"/>
        <w:ind w:left="567" w:hanging="567"/>
      </w:pPr>
      <w:r>
        <w:t>[1]</w:t>
      </w:r>
      <w:r>
        <w:tab/>
        <w:t>Addicott R, Ham C. Commissioning and funding general practice: Making the case for family care networks. Kings Fund; 2014. https://www.kingsfund.org.uk/sites/files/kf/field/field_publication_file/commissioning-and-funding-general-practice-kingsfund-feb14.pdf, (accessed on November 25, 2017)</w:t>
      </w:r>
    </w:p>
    <w:p w:rsidR="001B0E38" w:rsidRDefault="001B0E38" w:rsidP="001B0E38">
      <w:pPr>
        <w:tabs>
          <w:tab w:val="left" w:pos="567"/>
        </w:tabs>
        <w:autoSpaceDE w:val="0"/>
        <w:autoSpaceDN w:val="0"/>
        <w:adjustRightInd w:val="0"/>
        <w:spacing w:after="0" w:line="360" w:lineRule="auto"/>
        <w:ind w:left="567" w:hanging="567"/>
      </w:pPr>
      <w:r>
        <w:t>[2]</w:t>
      </w:r>
      <w:r>
        <w:tab/>
        <w:t>Kringos DS, Boerma W, van der Zee J, Groenewegen P. Europe's strong primary care systems are linked to better population health but also to higher health spending. Health Aff (Millwood) 2013; 32(4):686–94. doi: 10.1377/hlthaff.2012.1242.</w:t>
      </w:r>
    </w:p>
    <w:p w:rsidR="001B0E38" w:rsidRDefault="001B0E38" w:rsidP="001B0E38">
      <w:pPr>
        <w:tabs>
          <w:tab w:val="left" w:pos="567"/>
        </w:tabs>
        <w:autoSpaceDE w:val="0"/>
        <w:autoSpaceDN w:val="0"/>
        <w:adjustRightInd w:val="0"/>
        <w:spacing w:after="0" w:line="360" w:lineRule="auto"/>
        <w:ind w:left="567" w:hanging="567"/>
      </w:pPr>
      <w:r>
        <w:t>[3]</w:t>
      </w:r>
      <w:r>
        <w:tab/>
        <w:t>Kessler R, Stafford D, editors. Collaborative medicine case studies: Evidence in practice. New York, NY: Springer Science &amp; Business Media, 2008.</w:t>
      </w:r>
    </w:p>
    <w:p w:rsidR="00FE2B26" w:rsidRPr="00B5358C" w:rsidRDefault="00FE2B26" w:rsidP="00FE2B26">
      <w:pPr>
        <w:tabs>
          <w:tab w:val="left" w:pos="567"/>
        </w:tabs>
        <w:autoSpaceDE w:val="0"/>
        <w:autoSpaceDN w:val="0"/>
        <w:adjustRightInd w:val="0"/>
        <w:spacing w:after="0" w:line="360" w:lineRule="auto"/>
        <w:ind w:left="567" w:hanging="567"/>
      </w:pPr>
      <w:r w:rsidRPr="00B5358C">
        <w:t>[4]</w:t>
      </w:r>
      <w:r w:rsidRPr="00B5358C">
        <w:tab/>
      </w:r>
      <w:r>
        <w:t>J. Borkan, C.B. Eaton, D. Novillo-Ortiz, P. Rivero Corte, &amp; A.R. Jadad</w:t>
      </w:r>
      <w:r w:rsidRPr="00B5358C">
        <w:t>. Renewing Primary Care: Lessons Learned From The Spanish Health Care System. Health Aff 2010; 29(8). https://doi.org/10.1377/hlthaff.2010.0023.</w:t>
      </w:r>
    </w:p>
    <w:p w:rsidR="001B0E38" w:rsidRDefault="00FE2B26" w:rsidP="00FE2B26">
      <w:pPr>
        <w:tabs>
          <w:tab w:val="left" w:pos="567"/>
        </w:tabs>
        <w:autoSpaceDE w:val="0"/>
        <w:autoSpaceDN w:val="0"/>
        <w:adjustRightInd w:val="0"/>
        <w:spacing w:after="0" w:line="360" w:lineRule="auto"/>
        <w:ind w:left="567" w:hanging="567"/>
      </w:pPr>
      <w:r>
        <w:t xml:space="preserve"> </w:t>
      </w:r>
      <w:r w:rsidR="001B0E38">
        <w:t>[5]</w:t>
      </w:r>
      <w:r w:rsidR="001B0E38">
        <w:tab/>
        <w:t>Ministero della Salute. Anagrafi ASL e strutture e contesto demográfico, 2014. http://www.salute.gov.it/portale/temi/p2_6.jsp?lingua=italiano&amp;id=3826&amp;area=statisticheSSN&amp;menu=vuoto (accessed Apr 14, 2018).</w:t>
      </w:r>
    </w:p>
    <w:p w:rsidR="00FE2B26" w:rsidRPr="00B5358C" w:rsidRDefault="00FE2B26" w:rsidP="00FE2B26">
      <w:pPr>
        <w:tabs>
          <w:tab w:val="left" w:pos="567"/>
        </w:tabs>
        <w:autoSpaceDE w:val="0"/>
        <w:autoSpaceDN w:val="0"/>
        <w:adjustRightInd w:val="0"/>
        <w:spacing w:after="0" w:line="360" w:lineRule="auto"/>
        <w:ind w:left="567" w:hanging="567"/>
      </w:pPr>
      <w:r w:rsidRPr="00B5358C">
        <w:t>[6]</w:t>
      </w:r>
      <w:r w:rsidRPr="00B5358C">
        <w:tab/>
        <w:t>B</w:t>
      </w:r>
      <w:r>
        <w:t>.</w:t>
      </w:r>
      <w:r w:rsidRPr="00B5358C">
        <w:t>J. Manns, M</w:t>
      </w:r>
      <w:r>
        <w:t xml:space="preserve">. </w:t>
      </w:r>
      <w:r w:rsidRPr="00B5358C">
        <w:t>Tonelli, J</w:t>
      </w:r>
      <w:r>
        <w:t xml:space="preserve">. </w:t>
      </w:r>
      <w:r w:rsidRPr="00B5358C">
        <w:t>Zhang, D</w:t>
      </w:r>
      <w:r>
        <w:t>.</w:t>
      </w:r>
      <w:r w:rsidRPr="00B5358C">
        <w:t>J.T. Campbell, P</w:t>
      </w:r>
      <w:r>
        <w:t xml:space="preserve">. </w:t>
      </w:r>
      <w:r w:rsidRPr="00B5358C">
        <w:t>Sargious, B</w:t>
      </w:r>
      <w:r>
        <w:t xml:space="preserve">. </w:t>
      </w:r>
      <w:r w:rsidRPr="00B5358C">
        <w:t>Ayyalasomayajula,</w:t>
      </w:r>
      <w:r>
        <w:t xml:space="preserve"> et al. </w:t>
      </w:r>
      <w:r w:rsidRPr="00B5358C">
        <w:t>Enrolment in primary care networks: impact on outcomes and processes of care for patients with diabetes. CMAJ 2012; 184(2):E144–152. doi:10.1503/cmaj.110755.</w:t>
      </w:r>
    </w:p>
    <w:p w:rsidR="001B0E38" w:rsidRDefault="00FE2B26" w:rsidP="00FE2B26">
      <w:pPr>
        <w:tabs>
          <w:tab w:val="left" w:pos="567"/>
        </w:tabs>
        <w:autoSpaceDE w:val="0"/>
        <w:autoSpaceDN w:val="0"/>
        <w:adjustRightInd w:val="0"/>
        <w:spacing w:after="0" w:line="360" w:lineRule="auto"/>
        <w:ind w:left="567" w:hanging="567"/>
      </w:pPr>
      <w:r>
        <w:t xml:space="preserve"> </w:t>
      </w:r>
      <w:r w:rsidR="001B0E38">
        <w:t>[7]</w:t>
      </w:r>
      <w:r w:rsidR="001B0E38">
        <w:tab/>
        <w:t>Ahgren B, Axelsson R. Determinants of integrated health care development: chains of care in Sweden. Int J Health Plann Manage 2007; 22(2):145–157. doi:10.1002/hpm.870</w:t>
      </w:r>
    </w:p>
    <w:p w:rsidR="001B0E38" w:rsidRDefault="001B0E38" w:rsidP="001B0E38">
      <w:pPr>
        <w:tabs>
          <w:tab w:val="left" w:pos="567"/>
        </w:tabs>
        <w:autoSpaceDE w:val="0"/>
        <w:autoSpaceDN w:val="0"/>
        <w:adjustRightInd w:val="0"/>
        <w:spacing w:after="0" w:line="360" w:lineRule="auto"/>
        <w:ind w:left="567" w:hanging="567"/>
      </w:pPr>
      <w:r>
        <w:t>[8]</w:t>
      </w:r>
      <w:r>
        <w:tab/>
        <w:t>Australian Primary Care Collaboratives – Pioneering Change. https://apcc.org.au/ (accessed Apr 14, 2018).</w:t>
      </w:r>
    </w:p>
    <w:p w:rsidR="00FE2B26" w:rsidRPr="00B5358C" w:rsidRDefault="00FE2B26" w:rsidP="00FE2B26">
      <w:pPr>
        <w:tabs>
          <w:tab w:val="left" w:pos="567"/>
        </w:tabs>
        <w:autoSpaceDE w:val="0"/>
        <w:autoSpaceDN w:val="0"/>
        <w:adjustRightInd w:val="0"/>
        <w:spacing w:after="0" w:line="360" w:lineRule="auto"/>
        <w:ind w:left="567" w:hanging="567"/>
      </w:pPr>
      <w:r w:rsidRPr="00B5358C">
        <w:t>[9]</w:t>
      </w:r>
      <w:r w:rsidRPr="00B5358C">
        <w:tab/>
        <w:t>A</w:t>
      </w:r>
      <w:r>
        <w:t>.</w:t>
      </w:r>
      <w:r w:rsidRPr="00B5358C">
        <w:t>W</w:t>
      </w:r>
      <w:r>
        <w:t>.</w:t>
      </w:r>
      <w:r w:rsidRPr="00B5358C">
        <w:t xml:space="preserve"> Knight,</w:t>
      </w:r>
      <w:r>
        <w:t xml:space="preserve"> </w:t>
      </w:r>
      <w:r w:rsidRPr="00B5358C">
        <w:t>D</w:t>
      </w:r>
      <w:r>
        <w:t>.</w:t>
      </w:r>
      <w:r w:rsidRPr="00B5358C">
        <w:t xml:space="preserve"> Ford,</w:t>
      </w:r>
      <w:r>
        <w:t xml:space="preserve"> </w:t>
      </w:r>
      <w:r w:rsidRPr="00B5358C">
        <w:t>R</w:t>
      </w:r>
      <w:r>
        <w:t>.</w:t>
      </w:r>
      <w:r w:rsidRPr="00B5358C">
        <w:t xml:space="preserve"> Audehm</w:t>
      </w:r>
      <w:r>
        <w:t xml:space="preserve">, S. Colagiuri, J. Best. </w:t>
      </w:r>
      <w:r w:rsidRPr="00B5358C">
        <w:t>The Australian Primary Care Collaboratives Program: improving diabetes care. BMJ Qual Saf 2012; 21(11):956–963. doi:10.1136/bmjqs-2011-000460.</w:t>
      </w:r>
      <w:r w:rsidRPr="00B5358C">
        <w:tab/>
      </w:r>
    </w:p>
    <w:p w:rsidR="001B0E38" w:rsidRDefault="00FE2B26" w:rsidP="00FE2B26">
      <w:pPr>
        <w:tabs>
          <w:tab w:val="left" w:pos="567"/>
        </w:tabs>
        <w:autoSpaceDE w:val="0"/>
        <w:autoSpaceDN w:val="0"/>
        <w:adjustRightInd w:val="0"/>
        <w:spacing w:after="0" w:line="360" w:lineRule="auto"/>
        <w:ind w:left="567" w:hanging="567"/>
      </w:pPr>
      <w:r>
        <w:t xml:space="preserve"> </w:t>
      </w:r>
      <w:r w:rsidR="001B0E38">
        <w:t>[10]</w:t>
      </w:r>
      <w:r w:rsidR="001B0E38">
        <w:tab/>
      </w:r>
      <w:r w:rsidR="001B0E38" w:rsidRPr="00784452">
        <w:t>Taket</w:t>
      </w:r>
      <w:r w:rsidR="001B0E38">
        <w:t xml:space="preserve"> AR, </w:t>
      </w:r>
      <w:r w:rsidR="001B0E38" w:rsidRPr="00784452">
        <w:t>Curtis</w:t>
      </w:r>
      <w:r w:rsidR="001B0E38">
        <w:t xml:space="preserve"> </w:t>
      </w:r>
      <w:r w:rsidR="001B0E38" w:rsidRPr="00784452">
        <w:t>SE</w:t>
      </w:r>
      <w:r w:rsidR="001B0E38">
        <w:t>.</w:t>
      </w:r>
      <w:r w:rsidR="001B0E38" w:rsidRPr="00784452">
        <w:t xml:space="preserve"> Locality Planning for Health Care: A Case </w:t>
      </w:r>
      <w:r w:rsidR="001B0E38">
        <w:t xml:space="preserve">Study in East London </w:t>
      </w:r>
      <w:r w:rsidR="001B0E38" w:rsidRPr="00784452">
        <w:t>Area</w:t>
      </w:r>
      <w:r w:rsidR="001B0E38">
        <w:t xml:space="preserve">. 1989;21(4):357-364. </w:t>
      </w:r>
      <w:r w:rsidR="001B0E38" w:rsidRPr="00784452">
        <w:t>Stable URL:</w:t>
      </w:r>
      <w:r w:rsidR="001B0E38">
        <w:t xml:space="preserve"> </w:t>
      </w:r>
      <w:r w:rsidR="001B0E38" w:rsidRPr="00784452">
        <w:t>https://www.jstor.org/stable/20000060</w:t>
      </w:r>
      <w:r w:rsidR="001B0E38">
        <w:tab/>
      </w:r>
    </w:p>
    <w:p w:rsidR="001B0E38" w:rsidRDefault="001B0E38" w:rsidP="001B0E38">
      <w:pPr>
        <w:tabs>
          <w:tab w:val="left" w:pos="567"/>
        </w:tabs>
        <w:autoSpaceDE w:val="0"/>
        <w:autoSpaceDN w:val="0"/>
        <w:adjustRightInd w:val="0"/>
        <w:spacing w:after="0" w:line="360" w:lineRule="auto"/>
        <w:ind w:left="567" w:hanging="567"/>
      </w:pPr>
      <w:r>
        <w:t>[11]</w:t>
      </w:r>
      <w:r>
        <w:tab/>
        <w:t>Bob H. Decentralisation and Primary Care Groups: a paradigm shift for the National Health Service in England? Policy &amp; Politics 1999;27(2):159-172. doi: https://doi.org/10.1332/030557399782227308</w:t>
      </w:r>
    </w:p>
    <w:p w:rsidR="00FE2B26" w:rsidRPr="00B5358C" w:rsidRDefault="00FE2B26" w:rsidP="00FE2B26">
      <w:pPr>
        <w:tabs>
          <w:tab w:val="left" w:pos="567"/>
        </w:tabs>
        <w:autoSpaceDE w:val="0"/>
        <w:autoSpaceDN w:val="0"/>
        <w:adjustRightInd w:val="0"/>
        <w:spacing w:after="0" w:line="360" w:lineRule="auto"/>
        <w:ind w:left="567" w:hanging="567"/>
      </w:pPr>
      <w:r w:rsidRPr="00B5358C">
        <w:lastRenderedPageBreak/>
        <w:t>[12]</w:t>
      </w:r>
      <w:r w:rsidRPr="00B5358C">
        <w:tab/>
        <w:t>D</w:t>
      </w:r>
      <w:r>
        <w:t xml:space="preserve">. </w:t>
      </w:r>
      <w:r w:rsidRPr="00B5358C">
        <w:t>Kringos, W</w:t>
      </w:r>
      <w:r>
        <w:t>.</w:t>
      </w:r>
      <w:r w:rsidRPr="00B5358C">
        <w:t xml:space="preserve"> Boerma, Y</w:t>
      </w:r>
      <w:r>
        <w:t>.</w:t>
      </w:r>
      <w:r w:rsidRPr="00B5358C">
        <w:t xml:space="preserve"> Bourgueil, T</w:t>
      </w:r>
      <w:r>
        <w:t>.</w:t>
      </w:r>
      <w:r w:rsidRPr="00B5358C">
        <w:t xml:space="preserve"> Cartier, T</w:t>
      </w:r>
      <w:r>
        <w:t>.</w:t>
      </w:r>
      <w:r w:rsidRPr="00B5358C">
        <w:t xml:space="preserve"> Dedeu, T</w:t>
      </w:r>
      <w:r>
        <w:t>. Hasvold, et al.</w:t>
      </w:r>
      <w:r w:rsidRPr="00B5358C">
        <w:t xml:space="preserve"> The strength of primary care in Europe: an international comparative study. BJGP 2013; 63(616):e742–750.</w:t>
      </w:r>
    </w:p>
    <w:p w:rsidR="001B0E38" w:rsidRDefault="001B0E38" w:rsidP="00FE2B26">
      <w:pPr>
        <w:tabs>
          <w:tab w:val="left" w:pos="567"/>
        </w:tabs>
        <w:autoSpaceDE w:val="0"/>
        <w:autoSpaceDN w:val="0"/>
        <w:adjustRightInd w:val="0"/>
        <w:spacing w:after="0" w:line="360" w:lineRule="auto"/>
        <w:ind w:left="567" w:hanging="567"/>
      </w:pPr>
      <w:r>
        <w:t>[13]</w:t>
      </w:r>
      <w:r>
        <w:tab/>
        <w:t>Donabedian A. Explorations in quality assessment and monitoring Vol. 1. The Definition of quality and approaches to its assessment. Ann Arbor, MI: Health Administration Press; 1980.</w:t>
      </w:r>
    </w:p>
    <w:p w:rsidR="001B0E38" w:rsidRDefault="001B0E38" w:rsidP="001B0E38">
      <w:pPr>
        <w:tabs>
          <w:tab w:val="left" w:pos="567"/>
        </w:tabs>
        <w:autoSpaceDE w:val="0"/>
        <w:autoSpaceDN w:val="0"/>
        <w:adjustRightInd w:val="0"/>
        <w:spacing w:after="0" w:line="360" w:lineRule="auto"/>
        <w:ind w:left="567" w:hanging="567"/>
      </w:pPr>
      <w:r>
        <w:t>[14]</w:t>
      </w:r>
      <w:r>
        <w:tab/>
        <w:t>Sibthorpe B, Gardner K: A conceptual framework for performance assessment in primary health care. Aust J Prim Health 2007;13:96–103.</w:t>
      </w:r>
    </w:p>
    <w:p w:rsidR="001B0E38" w:rsidRDefault="001B0E38" w:rsidP="001B0E38">
      <w:pPr>
        <w:tabs>
          <w:tab w:val="left" w:pos="567"/>
        </w:tabs>
        <w:autoSpaceDE w:val="0"/>
        <w:autoSpaceDN w:val="0"/>
        <w:adjustRightInd w:val="0"/>
        <w:spacing w:after="0" w:line="360" w:lineRule="auto"/>
        <w:ind w:left="567" w:hanging="567"/>
      </w:pPr>
      <w:r>
        <w:t>[15]</w:t>
      </w:r>
      <w:r>
        <w:tab/>
        <w:t>Starfield B. Is primary care essential? The Lancet. 1994 Oct 22;344(8930):1129-33. doi:10.1016/S0140-6736(94)90634-3</w:t>
      </w:r>
    </w:p>
    <w:p w:rsidR="001B0E38" w:rsidRDefault="001B0E38" w:rsidP="001B0E38">
      <w:pPr>
        <w:tabs>
          <w:tab w:val="left" w:pos="567"/>
        </w:tabs>
        <w:autoSpaceDE w:val="0"/>
        <w:autoSpaceDN w:val="0"/>
        <w:adjustRightInd w:val="0"/>
        <w:spacing w:after="0" w:line="360" w:lineRule="auto"/>
        <w:ind w:left="567" w:hanging="567"/>
      </w:pPr>
      <w:r>
        <w:t>[16]</w:t>
      </w:r>
      <w:r>
        <w:tab/>
        <w:t>Starfield B, Shi L. Policy relevant determinants of health: an international perspective. Health policy. 2002 Jun 1;60(3):201-18. doi:10.1016/S0168-8510(01)00208-1</w:t>
      </w:r>
    </w:p>
    <w:p w:rsidR="001B0E38" w:rsidRDefault="001B0E38" w:rsidP="001B0E38">
      <w:pPr>
        <w:tabs>
          <w:tab w:val="left" w:pos="567"/>
        </w:tabs>
        <w:autoSpaceDE w:val="0"/>
        <w:autoSpaceDN w:val="0"/>
        <w:adjustRightInd w:val="0"/>
        <w:spacing w:after="0" w:line="360" w:lineRule="auto"/>
        <w:ind w:left="567" w:hanging="567"/>
      </w:pPr>
      <w:r>
        <w:t>[17]</w:t>
      </w:r>
      <w:r>
        <w:tab/>
      </w:r>
      <w:r w:rsidRPr="007F3B3D">
        <w:t>Macinko J, Starfield B, Shi L. The contribution of primary care systems to health outcomes within Organization for Economic Cooperation and Development (OECD) countries, 1970–1998. Health services research. 2003 Jun;38(3):831-65. Doi:10.1111/1475-6773.00149</w:t>
      </w:r>
    </w:p>
    <w:p w:rsidR="001B0E38" w:rsidRDefault="001B0E38" w:rsidP="001B0E38">
      <w:pPr>
        <w:tabs>
          <w:tab w:val="left" w:pos="567"/>
        </w:tabs>
        <w:autoSpaceDE w:val="0"/>
        <w:autoSpaceDN w:val="0"/>
        <w:adjustRightInd w:val="0"/>
        <w:spacing w:after="0" w:line="360" w:lineRule="auto"/>
        <w:ind w:left="567" w:hanging="567"/>
      </w:pPr>
      <w:r>
        <w:t>[18]</w:t>
      </w:r>
      <w:r>
        <w:tab/>
        <w:t>Ramsay J, Campbell JL, Schroter S, Green J, Roland M. The General Practice Assessment Survey (GPAS): tests of data quality and measurement properties. Family Practice. 2000 Oct 1;17(5):372-9. https://doi.org/10.1093/fampra/17.5.372</w:t>
      </w:r>
    </w:p>
    <w:p w:rsidR="001B0E38" w:rsidRDefault="001B0E38" w:rsidP="001B0E38">
      <w:pPr>
        <w:tabs>
          <w:tab w:val="left" w:pos="567"/>
        </w:tabs>
        <w:autoSpaceDE w:val="0"/>
        <w:autoSpaceDN w:val="0"/>
        <w:adjustRightInd w:val="0"/>
        <w:spacing w:after="0" w:line="360" w:lineRule="auto"/>
        <w:ind w:left="567" w:hanging="567"/>
      </w:pPr>
      <w:r>
        <w:t>[19]</w:t>
      </w:r>
      <w:r w:rsidRPr="00D05809">
        <w:t xml:space="preserve"> </w:t>
      </w:r>
      <w:r w:rsidRPr="00D05809">
        <w:tab/>
        <w:t>Mead N, Bower P, Roland M. The general practice assessment questionnaire (GPAQ)–development and psychometric characteristics. BMC family practice. 2008 Dec;9(1):13. https://doi.org/10.1186/1471-2296-9-13</w:t>
      </w:r>
    </w:p>
    <w:p w:rsidR="001B0E38" w:rsidRDefault="001B0E38" w:rsidP="001B0E38">
      <w:pPr>
        <w:tabs>
          <w:tab w:val="left" w:pos="567"/>
        </w:tabs>
        <w:autoSpaceDE w:val="0"/>
        <w:autoSpaceDN w:val="0"/>
        <w:adjustRightInd w:val="0"/>
        <w:spacing w:after="0" w:line="360" w:lineRule="auto"/>
        <w:ind w:left="567" w:hanging="567"/>
      </w:pPr>
      <w:r>
        <w:t>[20]</w:t>
      </w:r>
      <w:r>
        <w:tab/>
      </w:r>
      <w:r w:rsidRPr="007F3B3D">
        <w:t>Rhydderch M, Edwards A, Elwyn G, Marshall M, Engels Y, Van den Hombergh P, Grol R. Organizational assessment in general practice: a systematic review and implications for quality improvement. Journal of evaluation in clinical practice. 2005 Aug;11(4):366-78. doi:10.1111/j.1365-2753.2005.00544.x</w:t>
      </w:r>
    </w:p>
    <w:p w:rsidR="001B0E38" w:rsidRDefault="001B0E38" w:rsidP="001B0E38">
      <w:pPr>
        <w:tabs>
          <w:tab w:val="left" w:pos="567"/>
        </w:tabs>
        <w:autoSpaceDE w:val="0"/>
        <w:autoSpaceDN w:val="0"/>
        <w:adjustRightInd w:val="0"/>
        <w:spacing w:after="0" w:line="360" w:lineRule="auto"/>
        <w:ind w:left="567" w:hanging="567"/>
      </w:pPr>
      <w:r>
        <w:t>[21]</w:t>
      </w:r>
      <w:r>
        <w:tab/>
      </w:r>
      <w:r w:rsidRPr="007F3B3D">
        <w:t>Amado CA, Dyson RG. On comparing the performance of primary care providers. European Journal of Operational Research. 2008 Mar 16;185(3):915-32. doi:10.1016/j.ejor.2006.02.052</w:t>
      </w:r>
    </w:p>
    <w:p w:rsidR="001B0E38" w:rsidRDefault="001B0E38" w:rsidP="001B0E38">
      <w:pPr>
        <w:tabs>
          <w:tab w:val="left" w:pos="567"/>
        </w:tabs>
        <w:autoSpaceDE w:val="0"/>
        <w:autoSpaceDN w:val="0"/>
        <w:adjustRightInd w:val="0"/>
        <w:spacing w:after="0" w:line="360" w:lineRule="auto"/>
        <w:ind w:left="567" w:hanging="567"/>
      </w:pPr>
      <w:r>
        <w:t>[22]</w:t>
      </w:r>
      <w:r>
        <w:tab/>
      </w:r>
      <w:r w:rsidRPr="007F3B3D">
        <w:t>Starfield B, Cassady C, Nanda J, Forrest CB, Berk R. Consumer experiences and provider perceptions of the quality of primary care: implications for managed care. Journal of Family Practice. 1998 Mar 1;46(3):216-26.</w:t>
      </w:r>
    </w:p>
    <w:p w:rsidR="001B0E38" w:rsidRDefault="001B0E38" w:rsidP="001B0E38">
      <w:pPr>
        <w:tabs>
          <w:tab w:val="left" w:pos="567"/>
        </w:tabs>
        <w:autoSpaceDE w:val="0"/>
        <w:autoSpaceDN w:val="0"/>
        <w:adjustRightInd w:val="0"/>
        <w:spacing w:after="0" w:line="360" w:lineRule="auto"/>
        <w:ind w:left="567" w:hanging="567"/>
      </w:pPr>
      <w:r>
        <w:t>[23]</w:t>
      </w:r>
      <w:r>
        <w:tab/>
        <w:t xml:space="preserve">NHS England. Clinical commissioning group details. 2018. https://www.england.nhs.uk/ccg-details/ (accessed Apr 14, 2018) </w:t>
      </w:r>
    </w:p>
    <w:p w:rsidR="001B0E38" w:rsidRDefault="001B0E38" w:rsidP="001B0E38">
      <w:pPr>
        <w:tabs>
          <w:tab w:val="left" w:pos="567"/>
        </w:tabs>
        <w:autoSpaceDE w:val="0"/>
        <w:autoSpaceDN w:val="0"/>
        <w:adjustRightInd w:val="0"/>
        <w:spacing w:after="0" w:line="360" w:lineRule="auto"/>
        <w:ind w:left="567" w:hanging="567"/>
      </w:pPr>
      <w:r>
        <w:lastRenderedPageBreak/>
        <w:t>[24]</w:t>
      </w:r>
      <w:r>
        <w:tab/>
        <w:t>Health and Social Care Act 2012. 2012. http://www.legislation.gov.uk/ukpga/2012/7/contents/enacted (accessed Apr 14, 2018)</w:t>
      </w:r>
    </w:p>
    <w:p w:rsidR="00FE2B26" w:rsidRPr="00B5358C" w:rsidRDefault="00FE2B26" w:rsidP="00FE2B26">
      <w:pPr>
        <w:tabs>
          <w:tab w:val="left" w:pos="567"/>
        </w:tabs>
        <w:autoSpaceDE w:val="0"/>
        <w:autoSpaceDN w:val="0"/>
        <w:adjustRightInd w:val="0"/>
        <w:spacing w:after="0" w:line="360" w:lineRule="auto"/>
        <w:ind w:left="567" w:hanging="567"/>
      </w:pPr>
      <w:r w:rsidRPr="00B5358C">
        <w:t>[25]</w:t>
      </w:r>
      <w:r w:rsidRPr="00B5358C">
        <w:tab/>
        <w:t>C</w:t>
      </w:r>
      <w:r>
        <w:t>.</w:t>
      </w:r>
      <w:r w:rsidRPr="00B5358C">
        <w:t xml:space="preserve"> Naylor</w:t>
      </w:r>
      <w:r>
        <w:t xml:space="preserve">, </w:t>
      </w:r>
      <w:r w:rsidRPr="00B5358C">
        <w:t>N</w:t>
      </w:r>
      <w:r>
        <w:t>.</w:t>
      </w:r>
      <w:r w:rsidRPr="00B5358C">
        <w:t xml:space="preserve"> Curry</w:t>
      </w:r>
      <w:r>
        <w:t xml:space="preserve">, </w:t>
      </w:r>
      <w:r w:rsidRPr="00B5358C">
        <w:t>H</w:t>
      </w:r>
      <w:r>
        <w:t>.</w:t>
      </w:r>
      <w:r w:rsidRPr="00B5358C">
        <w:t xml:space="preserve"> Holder</w:t>
      </w:r>
      <w:r>
        <w:t xml:space="preserve">, </w:t>
      </w:r>
      <w:r w:rsidRPr="00B5358C">
        <w:t>S</w:t>
      </w:r>
      <w:r>
        <w:t>.</w:t>
      </w:r>
      <w:r w:rsidRPr="00B5358C">
        <w:t xml:space="preserve"> Ross</w:t>
      </w:r>
      <w:r>
        <w:t xml:space="preserve">, </w:t>
      </w:r>
      <w:r w:rsidRPr="00B5358C">
        <w:t>L</w:t>
      </w:r>
      <w:r>
        <w:t>.</w:t>
      </w:r>
      <w:r w:rsidRPr="00B5358C">
        <w:t xml:space="preserve"> Marshall</w:t>
      </w:r>
      <w:r>
        <w:t xml:space="preserve">, </w:t>
      </w:r>
      <w:r w:rsidRPr="00B5358C">
        <w:t>E</w:t>
      </w:r>
      <w:r>
        <w:t>.</w:t>
      </w:r>
      <w:r w:rsidRPr="00B5358C">
        <w:t xml:space="preserve"> Tait</w:t>
      </w:r>
      <w:r>
        <w:t>.</w:t>
      </w:r>
      <w:r w:rsidRPr="00B5358C">
        <w:t xml:space="preserve"> Clinical commissioning groups: supporting improvement in general practice? London, UK: The Kings Fund. 2013. https://www.kingsfund.org.uk/sites/default/files/field/field_publication_file/clinical-commissioning-groups-report-ings-fund-nuffield-jul13.pdf (accessed Apr 14, 2018)</w:t>
      </w:r>
    </w:p>
    <w:p w:rsidR="001B0E38" w:rsidRDefault="001B0E38" w:rsidP="00FE2B26">
      <w:pPr>
        <w:tabs>
          <w:tab w:val="left" w:pos="567"/>
        </w:tabs>
        <w:autoSpaceDE w:val="0"/>
        <w:autoSpaceDN w:val="0"/>
        <w:adjustRightInd w:val="0"/>
        <w:spacing w:after="0" w:line="360" w:lineRule="auto"/>
        <w:ind w:left="567" w:hanging="567"/>
      </w:pPr>
      <w:r w:rsidRPr="001B0E38">
        <w:t>[26]</w:t>
      </w:r>
      <w:r w:rsidRPr="001B0E38">
        <w:tab/>
        <w:t xml:space="preserve">NHS England. </w:t>
      </w:r>
      <w:r>
        <w:t>CCG improvement and assessment. Available from: https://www.england.nhs.uk/commissioning/ccg-assess/ (accessed Apr 14, 2018)</w:t>
      </w:r>
    </w:p>
    <w:p w:rsidR="00FE2B26" w:rsidRPr="00FE2B26" w:rsidRDefault="00FE2B26" w:rsidP="00FE2B26">
      <w:pPr>
        <w:tabs>
          <w:tab w:val="left" w:pos="567"/>
        </w:tabs>
        <w:autoSpaceDE w:val="0"/>
        <w:autoSpaceDN w:val="0"/>
        <w:adjustRightInd w:val="0"/>
        <w:spacing w:after="0" w:line="360" w:lineRule="auto"/>
        <w:ind w:left="567" w:hanging="567"/>
        <w:rPr>
          <w:lang w:val="de-DE"/>
        </w:rPr>
      </w:pPr>
      <w:r w:rsidRPr="00527689">
        <w:rPr>
          <w:lang w:val="de-DE"/>
        </w:rPr>
        <w:t>[27]</w:t>
      </w:r>
      <w:r w:rsidRPr="00527689">
        <w:rPr>
          <w:lang w:val="de-DE"/>
        </w:rPr>
        <w:tab/>
      </w:r>
      <w:r w:rsidRPr="00C65370">
        <w:rPr>
          <w:lang w:val="de-DE"/>
        </w:rPr>
        <w:t xml:space="preserve">K. Checkland, P. Allen, A. Coleman, J. Segar, I. McDermott, S. Harrison, et al. </w:t>
      </w:r>
      <w:r w:rsidRPr="00B5358C">
        <w:t xml:space="preserve">Accountable to whom, for what? An exploration of the early development of Clinical Commissioning Groups in the English NHS. </w:t>
      </w:r>
      <w:r w:rsidRPr="00FE2B26">
        <w:rPr>
          <w:lang w:val="de-DE"/>
        </w:rPr>
        <w:t>BMJ Open 2013; 3(12): e003769. http://dx.doi.org/10.1136/bmjopen-2013-003769</w:t>
      </w:r>
    </w:p>
    <w:p w:rsidR="001B0E38" w:rsidRDefault="001B0E38" w:rsidP="00FE2B26">
      <w:pPr>
        <w:tabs>
          <w:tab w:val="left" w:pos="567"/>
        </w:tabs>
        <w:autoSpaceDE w:val="0"/>
        <w:autoSpaceDN w:val="0"/>
        <w:adjustRightInd w:val="0"/>
        <w:spacing w:after="0" w:line="360" w:lineRule="auto"/>
        <w:ind w:left="567" w:hanging="567"/>
      </w:pPr>
      <w:r w:rsidRPr="00FE2B26">
        <w:rPr>
          <w:lang w:val="de-DE"/>
        </w:rPr>
        <w:t>[28]</w:t>
      </w:r>
      <w:r w:rsidRPr="00FE2B26">
        <w:rPr>
          <w:lang w:val="de-DE"/>
        </w:rPr>
        <w:tab/>
        <w:t xml:space="preserve">NHS England. </w:t>
      </w:r>
      <w:r>
        <w:t xml:space="preserve">Primary care networks. </w:t>
      </w:r>
      <w:r w:rsidRPr="006B70E6">
        <w:t>https://www.england.nhs.uk/primary-care/primary-care-networks/</w:t>
      </w:r>
      <w:r>
        <w:t xml:space="preserve"> (accessed on Aug 20, 2019)</w:t>
      </w:r>
    </w:p>
    <w:p w:rsidR="001B0E38" w:rsidRDefault="001B0E38" w:rsidP="001B0E38">
      <w:pPr>
        <w:tabs>
          <w:tab w:val="left" w:pos="567"/>
        </w:tabs>
        <w:autoSpaceDE w:val="0"/>
        <w:autoSpaceDN w:val="0"/>
        <w:adjustRightInd w:val="0"/>
        <w:spacing w:after="0" w:line="360" w:lineRule="auto"/>
        <w:ind w:left="567" w:hanging="567"/>
      </w:pPr>
      <w:r>
        <w:t>[29]</w:t>
      </w:r>
      <w:r>
        <w:tab/>
        <w:t xml:space="preserve">NHS England. </w:t>
      </w:r>
      <w:r w:rsidRPr="006B70E6">
        <w:t>NHS Shared Planning Guidance</w:t>
      </w:r>
      <w:r>
        <w:t xml:space="preserve">. </w:t>
      </w:r>
      <w:r w:rsidRPr="006E7791">
        <w:t>https://www.england.nhs.uk/operational-planning-and-contracting/</w:t>
      </w:r>
      <w:r>
        <w:t xml:space="preserve"> (accessed on Aug 20, 2019)</w:t>
      </w:r>
    </w:p>
    <w:p w:rsidR="001B0E38" w:rsidRDefault="001B0E38" w:rsidP="001B0E38">
      <w:pPr>
        <w:tabs>
          <w:tab w:val="left" w:pos="567"/>
        </w:tabs>
        <w:autoSpaceDE w:val="0"/>
        <w:autoSpaceDN w:val="0"/>
        <w:adjustRightInd w:val="0"/>
        <w:spacing w:after="0" w:line="360" w:lineRule="auto"/>
        <w:ind w:left="567" w:hanging="567"/>
      </w:pPr>
      <w:r>
        <w:t>[30]</w:t>
      </w:r>
      <w:r>
        <w:tab/>
      </w:r>
      <w:r w:rsidRPr="006B70E6">
        <w:t>Scottish Government. A national clinical strategy for Scotland. 2016. http://www.gov.scot/Publications/2016/02/8699/downloads (accessed May 26, 2017)</w:t>
      </w:r>
    </w:p>
    <w:p w:rsidR="001B0E38" w:rsidRDefault="001B0E38" w:rsidP="001B0E38">
      <w:pPr>
        <w:tabs>
          <w:tab w:val="left" w:pos="567"/>
        </w:tabs>
        <w:autoSpaceDE w:val="0"/>
        <w:autoSpaceDN w:val="0"/>
        <w:adjustRightInd w:val="0"/>
        <w:spacing w:after="0" w:line="360" w:lineRule="auto"/>
        <w:ind w:left="567" w:hanging="567"/>
      </w:pPr>
      <w:r>
        <w:t>[31]</w:t>
      </w:r>
      <w:r>
        <w:tab/>
      </w:r>
      <w:r w:rsidRPr="006B70E6">
        <w:t>Smith GI, Mercer SW, Gillies JC, McDevitt A. Improving together: a new quality framework for GP clusters in Scotland. British Journal of General Practice. 2017; 67(660):294-295. Doi:10.3399/bjgp17X691601</w:t>
      </w:r>
    </w:p>
    <w:p w:rsidR="001B0E38" w:rsidRDefault="001B0E38" w:rsidP="001B0E38">
      <w:pPr>
        <w:tabs>
          <w:tab w:val="left" w:pos="567"/>
        </w:tabs>
        <w:autoSpaceDE w:val="0"/>
        <w:autoSpaceDN w:val="0"/>
        <w:adjustRightInd w:val="0"/>
        <w:spacing w:after="0" w:line="360" w:lineRule="auto"/>
        <w:ind w:left="567" w:hanging="567"/>
      </w:pPr>
      <w:r>
        <w:t>[32]</w:t>
      </w:r>
      <w:r>
        <w:tab/>
        <w:t xml:space="preserve">Northern Ireland Medical and Training Agency. GP Federations. </w:t>
      </w:r>
      <w:r w:rsidRPr="006B70E6">
        <w:t>http://www.nimdta.gov.uk/general-practice/gp-career-development/gp-federations/</w:t>
      </w:r>
      <w:r>
        <w:t xml:space="preserve"> (accessed on Aug 20, 2019)</w:t>
      </w:r>
    </w:p>
    <w:p w:rsidR="001B0E38" w:rsidRDefault="001B0E38" w:rsidP="001B0E38">
      <w:pPr>
        <w:tabs>
          <w:tab w:val="left" w:pos="567"/>
        </w:tabs>
        <w:autoSpaceDE w:val="0"/>
        <w:autoSpaceDN w:val="0"/>
        <w:adjustRightInd w:val="0"/>
        <w:spacing w:after="0" w:line="360" w:lineRule="auto"/>
        <w:ind w:left="567" w:hanging="567"/>
      </w:pPr>
      <w:r>
        <w:t>[33]</w:t>
      </w:r>
      <w:r>
        <w:tab/>
        <w:t xml:space="preserve">Royal College of General Practitioners. </w:t>
      </w:r>
      <w:r w:rsidRPr="006B70E6">
        <w:t>Primary Care Federations putting patients first</w:t>
      </w:r>
      <w:r>
        <w:t xml:space="preserve">. </w:t>
      </w:r>
      <w:r w:rsidRPr="006B70E6">
        <w:t>https://www.rcgp.org.uk/policy/rcgp-policy-areas/primary-care-federations-putting-patients-first.aspx</w:t>
      </w:r>
      <w:r>
        <w:t xml:space="preserve"> (accessed on Aug 20, 2019)</w:t>
      </w:r>
    </w:p>
    <w:p w:rsidR="001B0E38" w:rsidRDefault="001B0E38" w:rsidP="001B0E38">
      <w:pPr>
        <w:tabs>
          <w:tab w:val="left" w:pos="567"/>
        </w:tabs>
        <w:autoSpaceDE w:val="0"/>
        <w:autoSpaceDN w:val="0"/>
        <w:adjustRightInd w:val="0"/>
        <w:spacing w:after="0" w:line="360" w:lineRule="auto"/>
        <w:ind w:left="567" w:hanging="567"/>
      </w:pPr>
      <w:r>
        <w:t>[34]</w:t>
      </w:r>
      <w:r>
        <w:tab/>
        <w:t>NHS Wales. Health in Wales. 2017. http://www.wales.nhs.uk/nhswalesaboutus/structure (accessed on Apr 14, 2018)</w:t>
      </w:r>
    </w:p>
    <w:p w:rsidR="001B0E38" w:rsidRDefault="001B0E38" w:rsidP="001B0E38">
      <w:pPr>
        <w:tabs>
          <w:tab w:val="left" w:pos="567"/>
        </w:tabs>
        <w:autoSpaceDE w:val="0"/>
        <w:autoSpaceDN w:val="0"/>
        <w:adjustRightInd w:val="0"/>
        <w:spacing w:after="0" w:line="360" w:lineRule="auto"/>
        <w:ind w:left="567" w:hanging="567"/>
      </w:pPr>
      <w:r>
        <w:t>[35]</w:t>
      </w:r>
      <w:r>
        <w:tab/>
        <w:t xml:space="preserve">Welsh Assembly Government. Setting the Direction – Primary &amp; Community Services Strategic Delivery Programme. 2010. </w:t>
      </w:r>
      <w:r>
        <w:lastRenderedPageBreak/>
        <w:t>http://www.wales.nhs.uk/sitesplus/documents/829/setting%20the%20direction.pdf (accessed Apr 14, 2018)</w:t>
      </w:r>
    </w:p>
    <w:p w:rsidR="001B0E38" w:rsidRDefault="001B0E38" w:rsidP="001B0E38">
      <w:pPr>
        <w:tabs>
          <w:tab w:val="left" w:pos="567"/>
        </w:tabs>
        <w:autoSpaceDE w:val="0"/>
        <w:autoSpaceDN w:val="0"/>
        <w:adjustRightInd w:val="0"/>
        <w:spacing w:after="0" w:line="360" w:lineRule="auto"/>
        <w:ind w:left="567" w:hanging="567"/>
      </w:pPr>
      <w:r>
        <w:t>[36]</w:t>
      </w:r>
      <w:r>
        <w:tab/>
        <w:t>Welsh Government. Together for Health – A Five Year Vision for NHS in Wales. 2011. http://www.wales.nhs.uk/sitesplus/documents/829/togetherforhealth.pdf (accessed Apr 14, 2018)</w:t>
      </w:r>
    </w:p>
    <w:p w:rsidR="001B0E38" w:rsidRDefault="001B0E38" w:rsidP="001B0E38">
      <w:pPr>
        <w:tabs>
          <w:tab w:val="left" w:pos="567"/>
        </w:tabs>
        <w:autoSpaceDE w:val="0"/>
        <w:autoSpaceDN w:val="0"/>
        <w:adjustRightInd w:val="0"/>
        <w:spacing w:after="0" w:line="360" w:lineRule="auto"/>
        <w:ind w:left="567" w:hanging="567"/>
      </w:pPr>
      <w:r>
        <w:t>[37]</w:t>
      </w:r>
      <w:r>
        <w:tab/>
        <w:t>National Assembly for Wales – Health, Social Care and Sport Committee. Inquiry into Primary Care: Clusters. 2017. http://www.assembly.wales/en/newhome/pages/newsitem.aspx?itemid=1768&amp;utm_medium=social&amp;utm_campaign=SocialSignIn&amp;utm_source=Twitter (accessed Apr 14, 2018)</w:t>
      </w:r>
    </w:p>
    <w:p w:rsidR="001B0E38" w:rsidRDefault="001B0E38" w:rsidP="001B0E38">
      <w:pPr>
        <w:tabs>
          <w:tab w:val="left" w:pos="567"/>
        </w:tabs>
        <w:autoSpaceDE w:val="0"/>
        <w:autoSpaceDN w:val="0"/>
        <w:adjustRightInd w:val="0"/>
        <w:spacing w:after="0" w:line="360" w:lineRule="auto"/>
        <w:ind w:left="567" w:hanging="567"/>
      </w:pPr>
      <w:r>
        <w:t>[38]</w:t>
      </w:r>
      <w:r>
        <w:tab/>
        <w:t>Ritchie J, Spencer L. Qualitative data analysis for applied policy research. In: Bryman A, Burgess RG. (eds.) Analyzing qualitative data. London, UK: Routledge; 1994. p173–194.</w:t>
      </w:r>
    </w:p>
    <w:p w:rsidR="001B0E38" w:rsidRDefault="001B0E38" w:rsidP="001B0E38">
      <w:pPr>
        <w:tabs>
          <w:tab w:val="left" w:pos="567"/>
        </w:tabs>
        <w:autoSpaceDE w:val="0"/>
        <w:autoSpaceDN w:val="0"/>
        <w:adjustRightInd w:val="0"/>
        <w:spacing w:after="0" w:line="360" w:lineRule="auto"/>
        <w:ind w:left="567" w:hanging="567"/>
      </w:pPr>
      <w:r>
        <w:t>[39]</w:t>
      </w:r>
      <w:r>
        <w:tab/>
        <w:t>Ritchie J, Spencer L, O’Connor W. Carrying out Qualitative Analysis. In: Ritchie J, Lewis J. (eds.) Qualitative Research practice. London, UK: SAGE; 2003. p.219-263.</w:t>
      </w:r>
    </w:p>
    <w:p w:rsidR="00FE2B26" w:rsidRPr="00B5358C" w:rsidRDefault="00FE2B26" w:rsidP="00FE2B26">
      <w:pPr>
        <w:tabs>
          <w:tab w:val="left" w:pos="567"/>
        </w:tabs>
        <w:autoSpaceDE w:val="0"/>
        <w:autoSpaceDN w:val="0"/>
        <w:adjustRightInd w:val="0"/>
        <w:spacing w:after="0" w:line="360" w:lineRule="auto"/>
        <w:ind w:left="567" w:hanging="567"/>
      </w:pPr>
      <w:r w:rsidRPr="00B5358C">
        <w:t>[40]</w:t>
      </w:r>
      <w:r w:rsidRPr="00B5358C">
        <w:tab/>
      </w:r>
      <w:r>
        <w:t>K. Thomas</w:t>
      </w:r>
      <w:r w:rsidRPr="00002FC6">
        <w:t xml:space="preserve">, </w:t>
      </w:r>
      <w:r>
        <w:t>P. Myres</w:t>
      </w:r>
      <w:r w:rsidRPr="00002FC6">
        <w:t xml:space="preserve">, </w:t>
      </w:r>
      <w:r>
        <w:t>G. Brown</w:t>
      </w:r>
      <w:r w:rsidRPr="00002FC6">
        <w:t xml:space="preserve">, </w:t>
      </w:r>
      <w:r>
        <w:t>C. Wilkinson</w:t>
      </w:r>
      <w:r w:rsidRPr="00002FC6">
        <w:t xml:space="preserve">, &amp; </w:t>
      </w:r>
      <w:r>
        <w:t>H. Howson</w:t>
      </w:r>
      <w:r w:rsidRPr="00002FC6">
        <w:t>.</w:t>
      </w:r>
      <w:r>
        <w:t xml:space="preserve"> </w:t>
      </w:r>
      <w:r w:rsidRPr="00B5358C">
        <w:t>Primary care: rapid review of models and policies. 2014. http://www.gpone.wales.nhs.uk/sitesplus/documents/1000/Primary%20care%20models%20and%20policies-%20rapid%20review%20July%202014%20FINAL.pdf (accessed Apr 14, 2018)</w:t>
      </w:r>
    </w:p>
    <w:p w:rsidR="001B0E38" w:rsidRDefault="001B0E38" w:rsidP="00FE2B26">
      <w:pPr>
        <w:tabs>
          <w:tab w:val="left" w:pos="567"/>
        </w:tabs>
        <w:autoSpaceDE w:val="0"/>
        <w:autoSpaceDN w:val="0"/>
        <w:adjustRightInd w:val="0"/>
        <w:spacing w:after="0" w:line="360" w:lineRule="auto"/>
        <w:ind w:left="567" w:hanging="567"/>
      </w:pPr>
      <w:bookmarkStart w:id="17" w:name="_GoBack"/>
      <w:bookmarkEnd w:id="17"/>
      <w:r>
        <w:t>[41]</w:t>
      </w:r>
      <w:r>
        <w:tab/>
      </w:r>
      <w:r w:rsidRPr="00815D10">
        <w:t>Campbell SM, Roland MO, Buetow SA. Defining quality of care. Social science &amp; medicine. 2000;51(11):1611-25.</w:t>
      </w:r>
      <w:r>
        <w:t xml:space="preserve"> </w:t>
      </w:r>
    </w:p>
    <w:p w:rsidR="001B0E38" w:rsidRDefault="001B0E38" w:rsidP="001B0E38">
      <w:pPr>
        <w:tabs>
          <w:tab w:val="left" w:pos="567"/>
        </w:tabs>
        <w:autoSpaceDE w:val="0"/>
        <w:autoSpaceDN w:val="0"/>
        <w:adjustRightInd w:val="0"/>
        <w:spacing w:after="0" w:line="360" w:lineRule="auto"/>
        <w:ind w:left="567" w:hanging="567"/>
      </w:pPr>
      <w:r>
        <w:t xml:space="preserve">[42] Public Health Wales. Primary Care Annual Report 2016-17. Available at: </w:t>
      </w:r>
      <w:r w:rsidRPr="00677F35">
        <w:t>http://www2.nphs.wales.nhs.uk:8080/PHWPapersDocs.nsf/cf3d6e123b990da080256fa300512475/317909c432c224b9802581a2005019b4/$FILE/08.280917%20-%20Primary%20Care%20Annual%20Report%202016-17.pdf</w:t>
      </w:r>
      <w:r>
        <w:t xml:space="preserve"> [accessed 26.09.2018]</w:t>
      </w:r>
    </w:p>
    <w:p w:rsidR="001B0E38" w:rsidRDefault="001B0E38" w:rsidP="001B0E38">
      <w:pPr>
        <w:tabs>
          <w:tab w:val="left" w:pos="567"/>
        </w:tabs>
        <w:autoSpaceDE w:val="0"/>
        <w:autoSpaceDN w:val="0"/>
        <w:adjustRightInd w:val="0"/>
        <w:spacing w:after="0" w:line="360" w:lineRule="auto"/>
        <w:ind w:left="567" w:hanging="567"/>
      </w:pPr>
      <w:r>
        <w:t xml:space="preserve">[43] Welsh Government – NHS Wales. </w:t>
      </w:r>
      <w:r w:rsidRPr="00677F35">
        <w:t>Delivering Local Health Care</w:t>
      </w:r>
      <w:r>
        <w:t xml:space="preserve">. Available from: </w:t>
      </w:r>
      <w:r w:rsidRPr="009D06FB">
        <w:t>https://gov.wales/docs/dhss/publications/131101planen.pdf</w:t>
      </w:r>
      <w:r>
        <w:t xml:space="preserve"> [accessed 26.09.2018]</w:t>
      </w:r>
    </w:p>
    <w:p w:rsidR="001B0E38" w:rsidRDefault="001B0E38" w:rsidP="001B0E38">
      <w:pPr>
        <w:tabs>
          <w:tab w:val="left" w:pos="567"/>
        </w:tabs>
        <w:autoSpaceDE w:val="0"/>
        <w:autoSpaceDN w:val="0"/>
        <w:adjustRightInd w:val="0"/>
        <w:spacing w:after="0" w:line="360" w:lineRule="auto"/>
        <w:ind w:left="567" w:hanging="567"/>
      </w:pPr>
    </w:p>
    <w:p w:rsidR="001B0E38" w:rsidRDefault="001B0E38" w:rsidP="001B0E38">
      <w:pPr>
        <w:tabs>
          <w:tab w:val="left" w:pos="567"/>
        </w:tabs>
        <w:autoSpaceDE w:val="0"/>
        <w:autoSpaceDN w:val="0"/>
        <w:adjustRightInd w:val="0"/>
        <w:spacing w:after="0" w:line="360" w:lineRule="auto"/>
        <w:ind w:left="567" w:hanging="567"/>
      </w:pPr>
    </w:p>
    <w:p w:rsidR="00176D84" w:rsidRPr="00052266" w:rsidRDefault="00176D84" w:rsidP="001B0E38">
      <w:pPr>
        <w:spacing w:after="0" w:line="360" w:lineRule="auto"/>
        <w:rPr>
          <w:rFonts w:cs="Times New Roman"/>
          <w:szCs w:val="24"/>
        </w:rPr>
      </w:pPr>
    </w:p>
    <w:sectPr w:rsidR="00176D84" w:rsidRPr="00052266" w:rsidSect="000E26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B16" w:rsidRDefault="00775B16" w:rsidP="007D7230">
      <w:pPr>
        <w:spacing w:after="0" w:line="240" w:lineRule="auto"/>
      </w:pPr>
      <w:r>
        <w:separator/>
      </w:r>
    </w:p>
  </w:endnote>
  <w:endnote w:type="continuationSeparator" w:id="0">
    <w:p w:rsidR="00775B16" w:rsidRDefault="00775B16" w:rsidP="007D7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7420"/>
      <w:docPartObj>
        <w:docPartGallery w:val="Page Numbers (Bottom of Page)"/>
        <w:docPartUnique/>
      </w:docPartObj>
    </w:sdtPr>
    <w:sdtEndPr>
      <w:rPr>
        <w:noProof/>
      </w:rPr>
    </w:sdtEndPr>
    <w:sdtContent>
      <w:p w:rsidR="00256F53" w:rsidRDefault="00256F53">
        <w:pPr>
          <w:pStyle w:val="Footer"/>
          <w:jc w:val="right"/>
        </w:pPr>
        <w:r>
          <w:fldChar w:fldCharType="begin"/>
        </w:r>
        <w:r>
          <w:instrText xml:space="preserve"> PAGE   \* MERGEFORMAT </w:instrText>
        </w:r>
        <w:r>
          <w:fldChar w:fldCharType="separate"/>
        </w:r>
        <w:r w:rsidR="00FE2B26">
          <w:rPr>
            <w:noProof/>
          </w:rPr>
          <w:t>33</w:t>
        </w:r>
        <w:r>
          <w:rPr>
            <w:noProof/>
          </w:rPr>
          <w:fldChar w:fldCharType="end"/>
        </w:r>
      </w:p>
    </w:sdtContent>
  </w:sdt>
  <w:p w:rsidR="00256F53" w:rsidRDefault="00256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B16" w:rsidRDefault="00775B16" w:rsidP="007D7230">
      <w:pPr>
        <w:spacing w:after="0" w:line="240" w:lineRule="auto"/>
      </w:pPr>
      <w:r>
        <w:separator/>
      </w:r>
    </w:p>
  </w:footnote>
  <w:footnote w:type="continuationSeparator" w:id="0">
    <w:p w:rsidR="00775B16" w:rsidRDefault="00775B16" w:rsidP="007D72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F53" w:rsidRDefault="00256F53">
    <w:pPr>
      <w:pStyle w:val="Header"/>
    </w:pPr>
    <w:r>
      <w:rPr>
        <w:rFonts w:cs="Times New Roman"/>
        <w:bCs/>
        <w:szCs w:val="24"/>
      </w:rPr>
      <w:t xml:space="preserve">The Primary Care Clusters </w:t>
    </w:r>
    <w:r w:rsidR="00EC2287">
      <w:rPr>
        <w:rFonts w:cs="Times New Roman"/>
        <w:bCs/>
        <w:szCs w:val="24"/>
      </w:rPr>
      <w:t>Multi</w:t>
    </w:r>
    <w:r w:rsidR="003E1C33">
      <w:rPr>
        <w:rFonts w:cs="Times New Roman"/>
        <w:bCs/>
        <w:szCs w:val="24"/>
      </w:rPr>
      <w:t xml:space="preserve">dimensional </w:t>
    </w:r>
    <w:r>
      <w:rPr>
        <w:rFonts w:cs="Times New Roman"/>
        <w:bCs/>
        <w:szCs w:val="24"/>
      </w:rPr>
      <w:t>Assessment (PCC</w:t>
    </w:r>
    <w:r w:rsidR="003E1C33">
      <w:rPr>
        <w:rFonts w:cs="Times New Roman"/>
        <w:bCs/>
        <w:szCs w:val="24"/>
      </w:rPr>
      <w:t>M</w:t>
    </w:r>
    <w:r>
      <w:rPr>
        <w:rFonts w:cs="Times New Roman"/>
        <w:bCs/>
        <w:szCs w:val="24"/>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7pt;height:11.7pt" o:bullet="t">
        <v:imagedata r:id="rId1" o:title="clip_image001"/>
        <o:lock v:ext="edit" cropping="t"/>
      </v:shape>
    </w:pict>
  </w:numPicBullet>
  <w:abstractNum w:abstractNumId="0">
    <w:nsid w:val="00531FC7"/>
    <w:multiLevelType w:val="hybridMultilevel"/>
    <w:tmpl w:val="9C68C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70DBB"/>
    <w:multiLevelType w:val="hybridMultilevel"/>
    <w:tmpl w:val="AE662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850AF8"/>
    <w:multiLevelType w:val="hybridMultilevel"/>
    <w:tmpl w:val="87960D9A"/>
    <w:lvl w:ilvl="0" w:tplc="03E836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6F2D6C"/>
    <w:multiLevelType w:val="hybridMultilevel"/>
    <w:tmpl w:val="929E37D8"/>
    <w:lvl w:ilvl="0" w:tplc="902C78AC">
      <w:start w:val="1"/>
      <w:numFmt w:val="bullet"/>
      <w:lvlText w:val=""/>
      <w:lvlPicBulletId w:val="0"/>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360"/>
        </w:tabs>
        <w:ind w:left="3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0EF925B5"/>
    <w:multiLevelType w:val="multilevel"/>
    <w:tmpl w:val="70C4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175FB8"/>
    <w:multiLevelType w:val="hybridMultilevel"/>
    <w:tmpl w:val="B4B07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356A84"/>
    <w:multiLevelType w:val="multilevel"/>
    <w:tmpl w:val="4F889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536C44"/>
    <w:multiLevelType w:val="hybridMultilevel"/>
    <w:tmpl w:val="9C481886"/>
    <w:lvl w:ilvl="0" w:tplc="EAC2DC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7D0F89"/>
    <w:multiLevelType w:val="hybridMultilevel"/>
    <w:tmpl w:val="4944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62458D"/>
    <w:multiLevelType w:val="hybridMultilevel"/>
    <w:tmpl w:val="99FCE9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CA4E39"/>
    <w:multiLevelType w:val="hybridMultilevel"/>
    <w:tmpl w:val="34C4C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2D480F"/>
    <w:multiLevelType w:val="hybridMultilevel"/>
    <w:tmpl w:val="49546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6B60A7"/>
    <w:multiLevelType w:val="hybridMultilevel"/>
    <w:tmpl w:val="4396589A"/>
    <w:lvl w:ilvl="0" w:tplc="3244E058">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6141F6"/>
    <w:multiLevelType w:val="hybridMultilevel"/>
    <w:tmpl w:val="92DEF4FE"/>
    <w:lvl w:ilvl="0" w:tplc="35E27500">
      <w:start w:val="1"/>
      <w:numFmt w:val="bullet"/>
      <w:lvlText w:val="•"/>
      <w:lvlJc w:val="left"/>
      <w:pPr>
        <w:tabs>
          <w:tab w:val="num" w:pos="720"/>
        </w:tabs>
        <w:ind w:left="720" w:hanging="360"/>
      </w:pPr>
      <w:rPr>
        <w:rFonts w:ascii="Times New Roman" w:hAnsi="Times New Roman" w:hint="default"/>
      </w:rPr>
    </w:lvl>
    <w:lvl w:ilvl="1" w:tplc="0F90561C" w:tentative="1">
      <w:start w:val="1"/>
      <w:numFmt w:val="bullet"/>
      <w:lvlText w:val="•"/>
      <w:lvlJc w:val="left"/>
      <w:pPr>
        <w:tabs>
          <w:tab w:val="num" w:pos="1440"/>
        </w:tabs>
        <w:ind w:left="1440" w:hanging="360"/>
      </w:pPr>
      <w:rPr>
        <w:rFonts w:ascii="Times New Roman" w:hAnsi="Times New Roman" w:hint="default"/>
      </w:rPr>
    </w:lvl>
    <w:lvl w:ilvl="2" w:tplc="DED42504" w:tentative="1">
      <w:start w:val="1"/>
      <w:numFmt w:val="bullet"/>
      <w:lvlText w:val="•"/>
      <w:lvlJc w:val="left"/>
      <w:pPr>
        <w:tabs>
          <w:tab w:val="num" w:pos="2160"/>
        </w:tabs>
        <w:ind w:left="2160" w:hanging="360"/>
      </w:pPr>
      <w:rPr>
        <w:rFonts w:ascii="Times New Roman" w:hAnsi="Times New Roman" w:hint="default"/>
      </w:rPr>
    </w:lvl>
    <w:lvl w:ilvl="3" w:tplc="90627604" w:tentative="1">
      <w:start w:val="1"/>
      <w:numFmt w:val="bullet"/>
      <w:lvlText w:val="•"/>
      <w:lvlJc w:val="left"/>
      <w:pPr>
        <w:tabs>
          <w:tab w:val="num" w:pos="2880"/>
        </w:tabs>
        <w:ind w:left="2880" w:hanging="360"/>
      </w:pPr>
      <w:rPr>
        <w:rFonts w:ascii="Times New Roman" w:hAnsi="Times New Roman" w:hint="default"/>
      </w:rPr>
    </w:lvl>
    <w:lvl w:ilvl="4" w:tplc="1C7AEB8E" w:tentative="1">
      <w:start w:val="1"/>
      <w:numFmt w:val="bullet"/>
      <w:lvlText w:val="•"/>
      <w:lvlJc w:val="left"/>
      <w:pPr>
        <w:tabs>
          <w:tab w:val="num" w:pos="3600"/>
        </w:tabs>
        <w:ind w:left="3600" w:hanging="360"/>
      </w:pPr>
      <w:rPr>
        <w:rFonts w:ascii="Times New Roman" w:hAnsi="Times New Roman" w:hint="default"/>
      </w:rPr>
    </w:lvl>
    <w:lvl w:ilvl="5" w:tplc="60563EA6" w:tentative="1">
      <w:start w:val="1"/>
      <w:numFmt w:val="bullet"/>
      <w:lvlText w:val="•"/>
      <w:lvlJc w:val="left"/>
      <w:pPr>
        <w:tabs>
          <w:tab w:val="num" w:pos="4320"/>
        </w:tabs>
        <w:ind w:left="4320" w:hanging="360"/>
      </w:pPr>
      <w:rPr>
        <w:rFonts w:ascii="Times New Roman" w:hAnsi="Times New Roman" w:hint="default"/>
      </w:rPr>
    </w:lvl>
    <w:lvl w:ilvl="6" w:tplc="B3F42FD6" w:tentative="1">
      <w:start w:val="1"/>
      <w:numFmt w:val="bullet"/>
      <w:lvlText w:val="•"/>
      <w:lvlJc w:val="left"/>
      <w:pPr>
        <w:tabs>
          <w:tab w:val="num" w:pos="5040"/>
        </w:tabs>
        <w:ind w:left="5040" w:hanging="360"/>
      </w:pPr>
      <w:rPr>
        <w:rFonts w:ascii="Times New Roman" w:hAnsi="Times New Roman" w:hint="default"/>
      </w:rPr>
    </w:lvl>
    <w:lvl w:ilvl="7" w:tplc="7818956E" w:tentative="1">
      <w:start w:val="1"/>
      <w:numFmt w:val="bullet"/>
      <w:lvlText w:val="•"/>
      <w:lvlJc w:val="left"/>
      <w:pPr>
        <w:tabs>
          <w:tab w:val="num" w:pos="5760"/>
        </w:tabs>
        <w:ind w:left="5760" w:hanging="360"/>
      </w:pPr>
      <w:rPr>
        <w:rFonts w:ascii="Times New Roman" w:hAnsi="Times New Roman" w:hint="default"/>
      </w:rPr>
    </w:lvl>
    <w:lvl w:ilvl="8" w:tplc="37C62E4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81369B6"/>
    <w:multiLevelType w:val="hybridMultilevel"/>
    <w:tmpl w:val="1616B3AA"/>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5">
    <w:nsid w:val="3B4806BD"/>
    <w:multiLevelType w:val="hybridMultilevel"/>
    <w:tmpl w:val="E4983652"/>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6">
    <w:nsid w:val="400F3ECD"/>
    <w:multiLevelType w:val="hybridMultilevel"/>
    <w:tmpl w:val="11EAA8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67135A"/>
    <w:multiLevelType w:val="hybridMultilevel"/>
    <w:tmpl w:val="1A5A41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DCF3690"/>
    <w:multiLevelType w:val="hybridMultilevel"/>
    <w:tmpl w:val="E4983652"/>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9">
    <w:nsid w:val="4E9914C7"/>
    <w:multiLevelType w:val="hybridMultilevel"/>
    <w:tmpl w:val="761C9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00647DD"/>
    <w:multiLevelType w:val="hybridMultilevel"/>
    <w:tmpl w:val="EB3C2416"/>
    <w:lvl w:ilvl="0" w:tplc="1A7C6A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509701C"/>
    <w:multiLevelType w:val="hybridMultilevel"/>
    <w:tmpl w:val="8E3E5FE2"/>
    <w:lvl w:ilvl="0" w:tplc="F6248E50">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9393A5A"/>
    <w:multiLevelType w:val="hybridMultilevel"/>
    <w:tmpl w:val="98F2F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1DC11CB"/>
    <w:multiLevelType w:val="hybridMultilevel"/>
    <w:tmpl w:val="CCDC9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671C79CC"/>
    <w:multiLevelType w:val="hybridMultilevel"/>
    <w:tmpl w:val="D1A688F6"/>
    <w:lvl w:ilvl="0" w:tplc="EE721506">
      <w:numFmt w:val="bullet"/>
      <w:lvlText w:val="-"/>
      <w:lvlJc w:val="left"/>
      <w:pPr>
        <w:ind w:left="360" w:hanging="360"/>
      </w:pPr>
      <w:rPr>
        <w:rFonts w:ascii="Calibri" w:eastAsiaTheme="minorHAnsi" w:hAnsi="Calibri" w:cs="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90528DB"/>
    <w:multiLevelType w:val="hybridMultilevel"/>
    <w:tmpl w:val="B212EFEE"/>
    <w:lvl w:ilvl="0" w:tplc="53184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CC80491"/>
    <w:multiLevelType w:val="hybridMultilevel"/>
    <w:tmpl w:val="0B480E32"/>
    <w:lvl w:ilvl="0" w:tplc="3A8C96F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BFC57B5"/>
    <w:multiLevelType w:val="hybridMultilevel"/>
    <w:tmpl w:val="4496B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
  </w:num>
  <w:num w:numId="4">
    <w:abstractNumId w:val="12"/>
  </w:num>
  <w:num w:numId="5">
    <w:abstractNumId w:val="7"/>
  </w:num>
  <w:num w:numId="6">
    <w:abstractNumId w:val="11"/>
  </w:num>
  <w:num w:numId="7">
    <w:abstractNumId w:val="2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5"/>
  </w:num>
  <w:num w:numId="11">
    <w:abstractNumId w:val="24"/>
  </w:num>
  <w:num w:numId="12">
    <w:abstractNumId w:val="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9"/>
  </w:num>
  <w:num w:numId="16">
    <w:abstractNumId w:val="17"/>
  </w:num>
  <w:num w:numId="17">
    <w:abstractNumId w:val="16"/>
  </w:num>
  <w:num w:numId="18">
    <w:abstractNumId w:val="2"/>
  </w:num>
  <w:num w:numId="19">
    <w:abstractNumId w:val="25"/>
  </w:num>
  <w:num w:numId="20">
    <w:abstractNumId w:val="20"/>
  </w:num>
  <w:num w:numId="21">
    <w:abstractNumId w:val="9"/>
  </w:num>
  <w:num w:numId="22">
    <w:abstractNumId w:val="10"/>
  </w:num>
  <w:num w:numId="23">
    <w:abstractNumId w:val="0"/>
  </w:num>
  <w:num w:numId="24">
    <w:abstractNumId w:val="5"/>
  </w:num>
  <w:num w:numId="25">
    <w:abstractNumId w:val="13"/>
  </w:num>
  <w:num w:numId="26">
    <w:abstractNumId w:val="6"/>
  </w:num>
  <w:num w:numId="27">
    <w:abstractNumId w:val="4"/>
  </w:num>
  <w:num w:numId="28">
    <w:abstractNumId w:val="27"/>
  </w:num>
  <w:num w:numId="29">
    <w:abstractNumId w:val="21"/>
  </w:num>
  <w:num w:numId="3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i Stanciu">
    <w15:presenceInfo w15:providerId="AD" w15:userId="S-1-5-21-3078600092-423061347-3850411739-1512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s-ES_tradnl"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de-DE"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s>
  <w:rsids>
    <w:rsidRoot w:val="007D7230"/>
    <w:rsid w:val="00000176"/>
    <w:rsid w:val="0000030D"/>
    <w:rsid w:val="000004F2"/>
    <w:rsid w:val="00000CF6"/>
    <w:rsid w:val="000015E4"/>
    <w:rsid w:val="00001D98"/>
    <w:rsid w:val="00002A53"/>
    <w:rsid w:val="00003196"/>
    <w:rsid w:val="00010360"/>
    <w:rsid w:val="00010410"/>
    <w:rsid w:val="00010C5A"/>
    <w:rsid w:val="00012782"/>
    <w:rsid w:val="0001293B"/>
    <w:rsid w:val="00013439"/>
    <w:rsid w:val="000138C1"/>
    <w:rsid w:val="000142D4"/>
    <w:rsid w:val="0001450D"/>
    <w:rsid w:val="00015AF1"/>
    <w:rsid w:val="000168CB"/>
    <w:rsid w:val="00016EB3"/>
    <w:rsid w:val="00017054"/>
    <w:rsid w:val="00017E86"/>
    <w:rsid w:val="000212E3"/>
    <w:rsid w:val="0002136C"/>
    <w:rsid w:val="000220C2"/>
    <w:rsid w:val="00022468"/>
    <w:rsid w:val="00023749"/>
    <w:rsid w:val="00027404"/>
    <w:rsid w:val="00027BBF"/>
    <w:rsid w:val="00027DE1"/>
    <w:rsid w:val="00030F33"/>
    <w:rsid w:val="000317DE"/>
    <w:rsid w:val="00031DDF"/>
    <w:rsid w:val="00031E15"/>
    <w:rsid w:val="00032342"/>
    <w:rsid w:val="0003389C"/>
    <w:rsid w:val="000338FD"/>
    <w:rsid w:val="00033B46"/>
    <w:rsid w:val="00034002"/>
    <w:rsid w:val="000346BA"/>
    <w:rsid w:val="000362A7"/>
    <w:rsid w:val="00036F61"/>
    <w:rsid w:val="00036FEE"/>
    <w:rsid w:val="00037FE6"/>
    <w:rsid w:val="000400C5"/>
    <w:rsid w:val="00040B15"/>
    <w:rsid w:val="00041622"/>
    <w:rsid w:val="000424B5"/>
    <w:rsid w:val="00042F44"/>
    <w:rsid w:val="0004347A"/>
    <w:rsid w:val="00044646"/>
    <w:rsid w:val="00045132"/>
    <w:rsid w:val="00045B38"/>
    <w:rsid w:val="000462F3"/>
    <w:rsid w:val="00046405"/>
    <w:rsid w:val="00046767"/>
    <w:rsid w:val="00047BC6"/>
    <w:rsid w:val="00050325"/>
    <w:rsid w:val="0005044B"/>
    <w:rsid w:val="00050B5A"/>
    <w:rsid w:val="00051EE3"/>
    <w:rsid w:val="00052266"/>
    <w:rsid w:val="00055CDA"/>
    <w:rsid w:val="000568F2"/>
    <w:rsid w:val="0005745D"/>
    <w:rsid w:val="00057B2F"/>
    <w:rsid w:val="00057EB0"/>
    <w:rsid w:val="000610F6"/>
    <w:rsid w:val="00061B86"/>
    <w:rsid w:val="00062915"/>
    <w:rsid w:val="000631A1"/>
    <w:rsid w:val="00063747"/>
    <w:rsid w:val="00063A1C"/>
    <w:rsid w:val="00065483"/>
    <w:rsid w:val="000670C1"/>
    <w:rsid w:val="00067170"/>
    <w:rsid w:val="0006758D"/>
    <w:rsid w:val="00070EC3"/>
    <w:rsid w:val="00071909"/>
    <w:rsid w:val="00071D73"/>
    <w:rsid w:val="000721B8"/>
    <w:rsid w:val="000726B5"/>
    <w:rsid w:val="00072A65"/>
    <w:rsid w:val="00072DE3"/>
    <w:rsid w:val="00073038"/>
    <w:rsid w:val="00073900"/>
    <w:rsid w:val="000747A2"/>
    <w:rsid w:val="00074F98"/>
    <w:rsid w:val="0007546D"/>
    <w:rsid w:val="00076155"/>
    <w:rsid w:val="000772C7"/>
    <w:rsid w:val="000778F3"/>
    <w:rsid w:val="000800EC"/>
    <w:rsid w:val="00080279"/>
    <w:rsid w:val="00080BEE"/>
    <w:rsid w:val="0008118D"/>
    <w:rsid w:val="000813DD"/>
    <w:rsid w:val="000818EB"/>
    <w:rsid w:val="00083FD7"/>
    <w:rsid w:val="00085CED"/>
    <w:rsid w:val="00087EDB"/>
    <w:rsid w:val="00091A32"/>
    <w:rsid w:val="00091C32"/>
    <w:rsid w:val="00091D2B"/>
    <w:rsid w:val="00091D8F"/>
    <w:rsid w:val="0009200B"/>
    <w:rsid w:val="0009266B"/>
    <w:rsid w:val="00092A33"/>
    <w:rsid w:val="000944B8"/>
    <w:rsid w:val="00094A3B"/>
    <w:rsid w:val="00094FDD"/>
    <w:rsid w:val="000953EF"/>
    <w:rsid w:val="00095B3D"/>
    <w:rsid w:val="000A06DC"/>
    <w:rsid w:val="000A0743"/>
    <w:rsid w:val="000A0B12"/>
    <w:rsid w:val="000A0EC1"/>
    <w:rsid w:val="000A2808"/>
    <w:rsid w:val="000A2BE6"/>
    <w:rsid w:val="000A2E86"/>
    <w:rsid w:val="000A32D5"/>
    <w:rsid w:val="000A37C4"/>
    <w:rsid w:val="000A3A7E"/>
    <w:rsid w:val="000A4B60"/>
    <w:rsid w:val="000A4C49"/>
    <w:rsid w:val="000A52C6"/>
    <w:rsid w:val="000A6528"/>
    <w:rsid w:val="000A79C7"/>
    <w:rsid w:val="000A7FD0"/>
    <w:rsid w:val="000B00E8"/>
    <w:rsid w:val="000B1851"/>
    <w:rsid w:val="000B1949"/>
    <w:rsid w:val="000B1F01"/>
    <w:rsid w:val="000B389A"/>
    <w:rsid w:val="000B38C8"/>
    <w:rsid w:val="000B43B6"/>
    <w:rsid w:val="000B4627"/>
    <w:rsid w:val="000B503E"/>
    <w:rsid w:val="000B55D6"/>
    <w:rsid w:val="000B5641"/>
    <w:rsid w:val="000B6510"/>
    <w:rsid w:val="000B665B"/>
    <w:rsid w:val="000B7406"/>
    <w:rsid w:val="000B7EB7"/>
    <w:rsid w:val="000C12D5"/>
    <w:rsid w:val="000C20EE"/>
    <w:rsid w:val="000C4A14"/>
    <w:rsid w:val="000C53AE"/>
    <w:rsid w:val="000C6DEA"/>
    <w:rsid w:val="000D00CB"/>
    <w:rsid w:val="000D09C7"/>
    <w:rsid w:val="000D29D0"/>
    <w:rsid w:val="000D3450"/>
    <w:rsid w:val="000D5CE4"/>
    <w:rsid w:val="000D696A"/>
    <w:rsid w:val="000D7067"/>
    <w:rsid w:val="000D7736"/>
    <w:rsid w:val="000E0B0E"/>
    <w:rsid w:val="000E0CC1"/>
    <w:rsid w:val="000E1308"/>
    <w:rsid w:val="000E200E"/>
    <w:rsid w:val="000E26A6"/>
    <w:rsid w:val="000E2AA5"/>
    <w:rsid w:val="000E34FF"/>
    <w:rsid w:val="000E35C8"/>
    <w:rsid w:val="000E49BC"/>
    <w:rsid w:val="000E54BE"/>
    <w:rsid w:val="000E7AA0"/>
    <w:rsid w:val="000E7B11"/>
    <w:rsid w:val="000F14AA"/>
    <w:rsid w:val="000F21D1"/>
    <w:rsid w:val="000F25A8"/>
    <w:rsid w:val="000F25DF"/>
    <w:rsid w:val="000F2889"/>
    <w:rsid w:val="000F3E5D"/>
    <w:rsid w:val="000F4CBE"/>
    <w:rsid w:val="000F4CCA"/>
    <w:rsid w:val="000F5699"/>
    <w:rsid w:val="000F614F"/>
    <w:rsid w:val="001001E4"/>
    <w:rsid w:val="0010105F"/>
    <w:rsid w:val="00101836"/>
    <w:rsid w:val="0010275C"/>
    <w:rsid w:val="00102F11"/>
    <w:rsid w:val="00103650"/>
    <w:rsid w:val="00104355"/>
    <w:rsid w:val="00106078"/>
    <w:rsid w:val="0010645D"/>
    <w:rsid w:val="00106F3D"/>
    <w:rsid w:val="00107E16"/>
    <w:rsid w:val="0011072C"/>
    <w:rsid w:val="001114C8"/>
    <w:rsid w:val="001114E0"/>
    <w:rsid w:val="00111AE8"/>
    <w:rsid w:val="001123F9"/>
    <w:rsid w:val="001127F2"/>
    <w:rsid w:val="001139D6"/>
    <w:rsid w:val="00113F0B"/>
    <w:rsid w:val="00114451"/>
    <w:rsid w:val="0011526E"/>
    <w:rsid w:val="00115327"/>
    <w:rsid w:val="00115C7F"/>
    <w:rsid w:val="001160EF"/>
    <w:rsid w:val="00116768"/>
    <w:rsid w:val="001171E7"/>
    <w:rsid w:val="00117807"/>
    <w:rsid w:val="00117F10"/>
    <w:rsid w:val="00120918"/>
    <w:rsid w:val="001225B8"/>
    <w:rsid w:val="001226AB"/>
    <w:rsid w:val="00122B04"/>
    <w:rsid w:val="0012331B"/>
    <w:rsid w:val="001248CB"/>
    <w:rsid w:val="00126496"/>
    <w:rsid w:val="001266E8"/>
    <w:rsid w:val="00126C74"/>
    <w:rsid w:val="00127306"/>
    <w:rsid w:val="001278B0"/>
    <w:rsid w:val="00130132"/>
    <w:rsid w:val="00130777"/>
    <w:rsid w:val="00131EF4"/>
    <w:rsid w:val="00132979"/>
    <w:rsid w:val="00132CCA"/>
    <w:rsid w:val="00134865"/>
    <w:rsid w:val="00134E4C"/>
    <w:rsid w:val="00135884"/>
    <w:rsid w:val="00135F1C"/>
    <w:rsid w:val="001364B5"/>
    <w:rsid w:val="001368B3"/>
    <w:rsid w:val="00136B37"/>
    <w:rsid w:val="00137275"/>
    <w:rsid w:val="001372BD"/>
    <w:rsid w:val="001376BB"/>
    <w:rsid w:val="00137731"/>
    <w:rsid w:val="0013776E"/>
    <w:rsid w:val="00137791"/>
    <w:rsid w:val="00137A13"/>
    <w:rsid w:val="00140AC4"/>
    <w:rsid w:val="00140C5F"/>
    <w:rsid w:val="00140F03"/>
    <w:rsid w:val="00141516"/>
    <w:rsid w:val="00141E1E"/>
    <w:rsid w:val="001427A9"/>
    <w:rsid w:val="00142D44"/>
    <w:rsid w:val="00142EF1"/>
    <w:rsid w:val="00143518"/>
    <w:rsid w:val="0014356F"/>
    <w:rsid w:val="001439F2"/>
    <w:rsid w:val="00143D89"/>
    <w:rsid w:val="00143F2F"/>
    <w:rsid w:val="00143FAF"/>
    <w:rsid w:val="001441FF"/>
    <w:rsid w:val="00144D97"/>
    <w:rsid w:val="001453A3"/>
    <w:rsid w:val="00145D53"/>
    <w:rsid w:val="0014655A"/>
    <w:rsid w:val="00146D92"/>
    <w:rsid w:val="001478ED"/>
    <w:rsid w:val="0014792D"/>
    <w:rsid w:val="00147DEC"/>
    <w:rsid w:val="00150048"/>
    <w:rsid w:val="001511B9"/>
    <w:rsid w:val="001511C2"/>
    <w:rsid w:val="00151268"/>
    <w:rsid w:val="0015148B"/>
    <w:rsid w:val="001514EB"/>
    <w:rsid w:val="00152B30"/>
    <w:rsid w:val="001530DC"/>
    <w:rsid w:val="00153DD0"/>
    <w:rsid w:val="00153FF0"/>
    <w:rsid w:val="001549D2"/>
    <w:rsid w:val="00155DC3"/>
    <w:rsid w:val="001564C0"/>
    <w:rsid w:val="00156BFD"/>
    <w:rsid w:val="001602C0"/>
    <w:rsid w:val="001602EF"/>
    <w:rsid w:val="00162BA8"/>
    <w:rsid w:val="00162E64"/>
    <w:rsid w:val="00163400"/>
    <w:rsid w:val="001638A3"/>
    <w:rsid w:val="00163CED"/>
    <w:rsid w:val="00163D27"/>
    <w:rsid w:val="001641AD"/>
    <w:rsid w:val="001655E4"/>
    <w:rsid w:val="001678FB"/>
    <w:rsid w:val="00170DD4"/>
    <w:rsid w:val="00171C9E"/>
    <w:rsid w:val="0017242B"/>
    <w:rsid w:val="001744FA"/>
    <w:rsid w:val="00176D84"/>
    <w:rsid w:val="00180D2B"/>
    <w:rsid w:val="0018191D"/>
    <w:rsid w:val="001819A5"/>
    <w:rsid w:val="00181CD7"/>
    <w:rsid w:val="001836CB"/>
    <w:rsid w:val="001836E3"/>
    <w:rsid w:val="0018445B"/>
    <w:rsid w:val="00184A45"/>
    <w:rsid w:val="001852D2"/>
    <w:rsid w:val="00185E2F"/>
    <w:rsid w:val="00186090"/>
    <w:rsid w:val="00186426"/>
    <w:rsid w:val="001870E2"/>
    <w:rsid w:val="001871DD"/>
    <w:rsid w:val="00187A4B"/>
    <w:rsid w:val="00187B35"/>
    <w:rsid w:val="00187F16"/>
    <w:rsid w:val="00190011"/>
    <w:rsid w:val="00190B4F"/>
    <w:rsid w:val="001918FA"/>
    <w:rsid w:val="00191C7D"/>
    <w:rsid w:val="001956FF"/>
    <w:rsid w:val="0019591F"/>
    <w:rsid w:val="0019593F"/>
    <w:rsid w:val="001960C1"/>
    <w:rsid w:val="00196F5A"/>
    <w:rsid w:val="00197094"/>
    <w:rsid w:val="0019741A"/>
    <w:rsid w:val="00197520"/>
    <w:rsid w:val="00197727"/>
    <w:rsid w:val="00197DD5"/>
    <w:rsid w:val="001A0322"/>
    <w:rsid w:val="001A1CA5"/>
    <w:rsid w:val="001A311D"/>
    <w:rsid w:val="001A616C"/>
    <w:rsid w:val="001A6581"/>
    <w:rsid w:val="001A763F"/>
    <w:rsid w:val="001A7C7A"/>
    <w:rsid w:val="001B08D1"/>
    <w:rsid w:val="001B0E38"/>
    <w:rsid w:val="001B1509"/>
    <w:rsid w:val="001B20B5"/>
    <w:rsid w:val="001B28BD"/>
    <w:rsid w:val="001B2C91"/>
    <w:rsid w:val="001B394E"/>
    <w:rsid w:val="001B39A0"/>
    <w:rsid w:val="001B4C49"/>
    <w:rsid w:val="001B5AD2"/>
    <w:rsid w:val="001B69CF"/>
    <w:rsid w:val="001B7202"/>
    <w:rsid w:val="001B723C"/>
    <w:rsid w:val="001B7EDC"/>
    <w:rsid w:val="001C1415"/>
    <w:rsid w:val="001C189B"/>
    <w:rsid w:val="001C20E8"/>
    <w:rsid w:val="001C2CBB"/>
    <w:rsid w:val="001C2E7F"/>
    <w:rsid w:val="001C2ECD"/>
    <w:rsid w:val="001C2F74"/>
    <w:rsid w:val="001C2F81"/>
    <w:rsid w:val="001C3046"/>
    <w:rsid w:val="001C7215"/>
    <w:rsid w:val="001C75E5"/>
    <w:rsid w:val="001C7AE5"/>
    <w:rsid w:val="001D0732"/>
    <w:rsid w:val="001D0E4E"/>
    <w:rsid w:val="001D2C7E"/>
    <w:rsid w:val="001D326B"/>
    <w:rsid w:val="001D6345"/>
    <w:rsid w:val="001D6684"/>
    <w:rsid w:val="001D74E9"/>
    <w:rsid w:val="001D79B3"/>
    <w:rsid w:val="001D7B52"/>
    <w:rsid w:val="001E0C32"/>
    <w:rsid w:val="001E0F0D"/>
    <w:rsid w:val="001E1227"/>
    <w:rsid w:val="001E12C2"/>
    <w:rsid w:val="001E1A02"/>
    <w:rsid w:val="001E23E0"/>
    <w:rsid w:val="001E25FC"/>
    <w:rsid w:val="001E28D8"/>
    <w:rsid w:val="001E407B"/>
    <w:rsid w:val="001E47C8"/>
    <w:rsid w:val="001E539B"/>
    <w:rsid w:val="001E6C38"/>
    <w:rsid w:val="001F0912"/>
    <w:rsid w:val="001F24CE"/>
    <w:rsid w:val="001F30CF"/>
    <w:rsid w:val="001F40CD"/>
    <w:rsid w:val="001F434C"/>
    <w:rsid w:val="001F5B09"/>
    <w:rsid w:val="001F6A35"/>
    <w:rsid w:val="001F7697"/>
    <w:rsid w:val="001F7983"/>
    <w:rsid w:val="00200669"/>
    <w:rsid w:val="0020265A"/>
    <w:rsid w:val="00202A47"/>
    <w:rsid w:val="00202EB0"/>
    <w:rsid w:val="00202EB8"/>
    <w:rsid w:val="002033B9"/>
    <w:rsid w:val="00204326"/>
    <w:rsid w:val="002045D7"/>
    <w:rsid w:val="00204D6B"/>
    <w:rsid w:val="00205171"/>
    <w:rsid w:val="002052BA"/>
    <w:rsid w:val="00205C2A"/>
    <w:rsid w:val="00205D29"/>
    <w:rsid w:val="002073BC"/>
    <w:rsid w:val="0021170B"/>
    <w:rsid w:val="00211734"/>
    <w:rsid w:val="0021317C"/>
    <w:rsid w:val="002131D5"/>
    <w:rsid w:val="00213D8B"/>
    <w:rsid w:val="002141A3"/>
    <w:rsid w:val="0021444B"/>
    <w:rsid w:val="002152A0"/>
    <w:rsid w:val="00215BC1"/>
    <w:rsid w:val="00215C51"/>
    <w:rsid w:val="00215C68"/>
    <w:rsid w:val="0021690C"/>
    <w:rsid w:val="00216919"/>
    <w:rsid w:val="002174BE"/>
    <w:rsid w:val="00220652"/>
    <w:rsid w:val="002209F3"/>
    <w:rsid w:val="002212CA"/>
    <w:rsid w:val="00221B08"/>
    <w:rsid w:val="00222D3D"/>
    <w:rsid w:val="00222F56"/>
    <w:rsid w:val="00224096"/>
    <w:rsid w:val="00224282"/>
    <w:rsid w:val="002243C2"/>
    <w:rsid w:val="002247C1"/>
    <w:rsid w:val="00224842"/>
    <w:rsid w:val="00225046"/>
    <w:rsid w:val="002255DD"/>
    <w:rsid w:val="002256FF"/>
    <w:rsid w:val="00226252"/>
    <w:rsid w:val="00226692"/>
    <w:rsid w:val="00226CA2"/>
    <w:rsid w:val="00230092"/>
    <w:rsid w:val="00230745"/>
    <w:rsid w:val="00232C92"/>
    <w:rsid w:val="00234413"/>
    <w:rsid w:val="00235980"/>
    <w:rsid w:val="00236174"/>
    <w:rsid w:val="002364DC"/>
    <w:rsid w:val="00237089"/>
    <w:rsid w:val="00240351"/>
    <w:rsid w:val="0024074E"/>
    <w:rsid w:val="002421CC"/>
    <w:rsid w:val="00242F51"/>
    <w:rsid w:val="00243120"/>
    <w:rsid w:val="002437FA"/>
    <w:rsid w:val="002465B7"/>
    <w:rsid w:val="00247AC8"/>
    <w:rsid w:val="00247E96"/>
    <w:rsid w:val="0025069A"/>
    <w:rsid w:val="002511F6"/>
    <w:rsid w:val="00252053"/>
    <w:rsid w:val="00254E6F"/>
    <w:rsid w:val="002557B5"/>
    <w:rsid w:val="00255C8B"/>
    <w:rsid w:val="00255D6C"/>
    <w:rsid w:val="0025682F"/>
    <w:rsid w:val="00256F53"/>
    <w:rsid w:val="0025750C"/>
    <w:rsid w:val="002578E4"/>
    <w:rsid w:val="00257E4C"/>
    <w:rsid w:val="00261A92"/>
    <w:rsid w:val="00262595"/>
    <w:rsid w:val="002631C4"/>
    <w:rsid w:val="002631E5"/>
    <w:rsid w:val="0026333C"/>
    <w:rsid w:val="00264411"/>
    <w:rsid w:val="00264B22"/>
    <w:rsid w:val="00264BDF"/>
    <w:rsid w:val="002656A3"/>
    <w:rsid w:val="00265E17"/>
    <w:rsid w:val="002660B8"/>
    <w:rsid w:val="00266F6D"/>
    <w:rsid w:val="00270ACD"/>
    <w:rsid w:val="00270BF5"/>
    <w:rsid w:val="002710CA"/>
    <w:rsid w:val="00271F68"/>
    <w:rsid w:val="002720CB"/>
    <w:rsid w:val="00272A46"/>
    <w:rsid w:val="00274B6D"/>
    <w:rsid w:val="00275827"/>
    <w:rsid w:val="00275C56"/>
    <w:rsid w:val="00276F90"/>
    <w:rsid w:val="002776B9"/>
    <w:rsid w:val="0027790D"/>
    <w:rsid w:val="00280A2A"/>
    <w:rsid w:val="0028171B"/>
    <w:rsid w:val="00281979"/>
    <w:rsid w:val="002827DD"/>
    <w:rsid w:val="00283E2D"/>
    <w:rsid w:val="00283F96"/>
    <w:rsid w:val="0028477B"/>
    <w:rsid w:val="00284B4F"/>
    <w:rsid w:val="00285810"/>
    <w:rsid w:val="002861ED"/>
    <w:rsid w:val="00287731"/>
    <w:rsid w:val="00287E39"/>
    <w:rsid w:val="00290274"/>
    <w:rsid w:val="00290A9B"/>
    <w:rsid w:val="0029137B"/>
    <w:rsid w:val="00291D0C"/>
    <w:rsid w:val="00291F1B"/>
    <w:rsid w:val="00292211"/>
    <w:rsid w:val="00292E0F"/>
    <w:rsid w:val="0029303C"/>
    <w:rsid w:val="002934C8"/>
    <w:rsid w:val="002935F5"/>
    <w:rsid w:val="00293727"/>
    <w:rsid w:val="00293914"/>
    <w:rsid w:val="00293A58"/>
    <w:rsid w:val="00294DFE"/>
    <w:rsid w:val="00295218"/>
    <w:rsid w:val="002957FE"/>
    <w:rsid w:val="0029613F"/>
    <w:rsid w:val="00296CAD"/>
    <w:rsid w:val="002972D1"/>
    <w:rsid w:val="002A0AB1"/>
    <w:rsid w:val="002A1021"/>
    <w:rsid w:val="002A3D75"/>
    <w:rsid w:val="002A48BC"/>
    <w:rsid w:val="002A4F90"/>
    <w:rsid w:val="002A6217"/>
    <w:rsid w:val="002A73A7"/>
    <w:rsid w:val="002B0E9E"/>
    <w:rsid w:val="002B2790"/>
    <w:rsid w:val="002B2F1F"/>
    <w:rsid w:val="002B4866"/>
    <w:rsid w:val="002B49DF"/>
    <w:rsid w:val="002B4BDA"/>
    <w:rsid w:val="002B76E0"/>
    <w:rsid w:val="002B7BFA"/>
    <w:rsid w:val="002C014B"/>
    <w:rsid w:val="002C045B"/>
    <w:rsid w:val="002C1390"/>
    <w:rsid w:val="002C168D"/>
    <w:rsid w:val="002C19BB"/>
    <w:rsid w:val="002C1D9D"/>
    <w:rsid w:val="002C2F39"/>
    <w:rsid w:val="002C30C1"/>
    <w:rsid w:val="002C44C9"/>
    <w:rsid w:val="002C4D78"/>
    <w:rsid w:val="002C63A4"/>
    <w:rsid w:val="002C682A"/>
    <w:rsid w:val="002C6D69"/>
    <w:rsid w:val="002C709F"/>
    <w:rsid w:val="002C7E33"/>
    <w:rsid w:val="002D135C"/>
    <w:rsid w:val="002D263F"/>
    <w:rsid w:val="002D2719"/>
    <w:rsid w:val="002D3F69"/>
    <w:rsid w:val="002D4317"/>
    <w:rsid w:val="002D4586"/>
    <w:rsid w:val="002D4D29"/>
    <w:rsid w:val="002D50ED"/>
    <w:rsid w:val="002D653E"/>
    <w:rsid w:val="002D7603"/>
    <w:rsid w:val="002E0C1E"/>
    <w:rsid w:val="002E1F0A"/>
    <w:rsid w:val="002E35E5"/>
    <w:rsid w:val="002E3B40"/>
    <w:rsid w:val="002E435D"/>
    <w:rsid w:val="002E6518"/>
    <w:rsid w:val="002F0DCC"/>
    <w:rsid w:val="002F0ECC"/>
    <w:rsid w:val="002F185F"/>
    <w:rsid w:val="002F24B0"/>
    <w:rsid w:val="002F3B6A"/>
    <w:rsid w:val="002F3F44"/>
    <w:rsid w:val="002F4444"/>
    <w:rsid w:val="002F6266"/>
    <w:rsid w:val="002F7D78"/>
    <w:rsid w:val="00300153"/>
    <w:rsid w:val="003003AF"/>
    <w:rsid w:val="0030177B"/>
    <w:rsid w:val="00303566"/>
    <w:rsid w:val="0030493D"/>
    <w:rsid w:val="003055FC"/>
    <w:rsid w:val="00305735"/>
    <w:rsid w:val="00305C71"/>
    <w:rsid w:val="00306193"/>
    <w:rsid w:val="00306E84"/>
    <w:rsid w:val="003079C5"/>
    <w:rsid w:val="003104D0"/>
    <w:rsid w:val="00311E0A"/>
    <w:rsid w:val="00311E4C"/>
    <w:rsid w:val="00314174"/>
    <w:rsid w:val="003144E9"/>
    <w:rsid w:val="00315930"/>
    <w:rsid w:val="0031691B"/>
    <w:rsid w:val="00316E54"/>
    <w:rsid w:val="0032055B"/>
    <w:rsid w:val="0032151D"/>
    <w:rsid w:val="00321B7F"/>
    <w:rsid w:val="0032240A"/>
    <w:rsid w:val="003227BF"/>
    <w:rsid w:val="003229DC"/>
    <w:rsid w:val="00322FFC"/>
    <w:rsid w:val="003237B9"/>
    <w:rsid w:val="0032380A"/>
    <w:rsid w:val="003238F6"/>
    <w:rsid w:val="003250D2"/>
    <w:rsid w:val="0032605F"/>
    <w:rsid w:val="003263DB"/>
    <w:rsid w:val="003268D3"/>
    <w:rsid w:val="00327648"/>
    <w:rsid w:val="0033039F"/>
    <w:rsid w:val="00330513"/>
    <w:rsid w:val="003308B4"/>
    <w:rsid w:val="003320D0"/>
    <w:rsid w:val="00336339"/>
    <w:rsid w:val="00337A7E"/>
    <w:rsid w:val="00337C56"/>
    <w:rsid w:val="003400F7"/>
    <w:rsid w:val="0034052D"/>
    <w:rsid w:val="00340C95"/>
    <w:rsid w:val="00342092"/>
    <w:rsid w:val="00342B9F"/>
    <w:rsid w:val="00342FBE"/>
    <w:rsid w:val="0034488A"/>
    <w:rsid w:val="00345041"/>
    <w:rsid w:val="00345298"/>
    <w:rsid w:val="00345387"/>
    <w:rsid w:val="0034620B"/>
    <w:rsid w:val="00346230"/>
    <w:rsid w:val="0034658A"/>
    <w:rsid w:val="0034723D"/>
    <w:rsid w:val="0034727B"/>
    <w:rsid w:val="0035025A"/>
    <w:rsid w:val="00350B08"/>
    <w:rsid w:val="003519EB"/>
    <w:rsid w:val="00351FA8"/>
    <w:rsid w:val="003535C9"/>
    <w:rsid w:val="003535D0"/>
    <w:rsid w:val="00353AD5"/>
    <w:rsid w:val="0035509A"/>
    <w:rsid w:val="00355DFB"/>
    <w:rsid w:val="003561C3"/>
    <w:rsid w:val="00356E1D"/>
    <w:rsid w:val="00357630"/>
    <w:rsid w:val="0036064B"/>
    <w:rsid w:val="00360858"/>
    <w:rsid w:val="00361D60"/>
    <w:rsid w:val="003636CD"/>
    <w:rsid w:val="003641BF"/>
    <w:rsid w:val="003642B2"/>
    <w:rsid w:val="00364805"/>
    <w:rsid w:val="003648B8"/>
    <w:rsid w:val="003664CB"/>
    <w:rsid w:val="003677F5"/>
    <w:rsid w:val="00367FF8"/>
    <w:rsid w:val="00371348"/>
    <w:rsid w:val="00373686"/>
    <w:rsid w:val="00373929"/>
    <w:rsid w:val="0037479D"/>
    <w:rsid w:val="0037490B"/>
    <w:rsid w:val="00374EA8"/>
    <w:rsid w:val="0037722A"/>
    <w:rsid w:val="00377509"/>
    <w:rsid w:val="003806EE"/>
    <w:rsid w:val="0038094A"/>
    <w:rsid w:val="00381762"/>
    <w:rsid w:val="00381A24"/>
    <w:rsid w:val="00381E63"/>
    <w:rsid w:val="003838C0"/>
    <w:rsid w:val="003839A1"/>
    <w:rsid w:val="00383A2F"/>
    <w:rsid w:val="00383EB0"/>
    <w:rsid w:val="00384C8F"/>
    <w:rsid w:val="00384FC9"/>
    <w:rsid w:val="0038522E"/>
    <w:rsid w:val="00385FAD"/>
    <w:rsid w:val="0038744B"/>
    <w:rsid w:val="00390736"/>
    <w:rsid w:val="003922E2"/>
    <w:rsid w:val="003922FF"/>
    <w:rsid w:val="00394AC8"/>
    <w:rsid w:val="00394F09"/>
    <w:rsid w:val="003952F0"/>
    <w:rsid w:val="00395ABC"/>
    <w:rsid w:val="00397E61"/>
    <w:rsid w:val="00397F42"/>
    <w:rsid w:val="003A14FD"/>
    <w:rsid w:val="003A20D5"/>
    <w:rsid w:val="003A2FAB"/>
    <w:rsid w:val="003A31DA"/>
    <w:rsid w:val="003A38E5"/>
    <w:rsid w:val="003A3F3F"/>
    <w:rsid w:val="003A44F6"/>
    <w:rsid w:val="003A6772"/>
    <w:rsid w:val="003A6FAF"/>
    <w:rsid w:val="003B083F"/>
    <w:rsid w:val="003B08C4"/>
    <w:rsid w:val="003B09CF"/>
    <w:rsid w:val="003B143D"/>
    <w:rsid w:val="003B155F"/>
    <w:rsid w:val="003B19D1"/>
    <w:rsid w:val="003B2537"/>
    <w:rsid w:val="003B38FB"/>
    <w:rsid w:val="003B4788"/>
    <w:rsid w:val="003B47BB"/>
    <w:rsid w:val="003B495B"/>
    <w:rsid w:val="003B4B2E"/>
    <w:rsid w:val="003B4FCF"/>
    <w:rsid w:val="003B5C95"/>
    <w:rsid w:val="003B6AD9"/>
    <w:rsid w:val="003B7481"/>
    <w:rsid w:val="003B7699"/>
    <w:rsid w:val="003C064D"/>
    <w:rsid w:val="003C0D49"/>
    <w:rsid w:val="003C0F3A"/>
    <w:rsid w:val="003C1100"/>
    <w:rsid w:val="003C1233"/>
    <w:rsid w:val="003C1737"/>
    <w:rsid w:val="003C447E"/>
    <w:rsid w:val="003C5079"/>
    <w:rsid w:val="003C6223"/>
    <w:rsid w:val="003C649D"/>
    <w:rsid w:val="003C6640"/>
    <w:rsid w:val="003C6EFC"/>
    <w:rsid w:val="003C6FC5"/>
    <w:rsid w:val="003C761C"/>
    <w:rsid w:val="003C7651"/>
    <w:rsid w:val="003C7D26"/>
    <w:rsid w:val="003D0588"/>
    <w:rsid w:val="003D0DD6"/>
    <w:rsid w:val="003D1747"/>
    <w:rsid w:val="003D1AD0"/>
    <w:rsid w:val="003D213A"/>
    <w:rsid w:val="003D2612"/>
    <w:rsid w:val="003D275F"/>
    <w:rsid w:val="003D2BAB"/>
    <w:rsid w:val="003D3935"/>
    <w:rsid w:val="003D4005"/>
    <w:rsid w:val="003D46A5"/>
    <w:rsid w:val="003D4F4E"/>
    <w:rsid w:val="003D53EA"/>
    <w:rsid w:val="003D562D"/>
    <w:rsid w:val="003D5D76"/>
    <w:rsid w:val="003D6898"/>
    <w:rsid w:val="003D7138"/>
    <w:rsid w:val="003D75B9"/>
    <w:rsid w:val="003D79A4"/>
    <w:rsid w:val="003E1278"/>
    <w:rsid w:val="003E1C33"/>
    <w:rsid w:val="003E1F05"/>
    <w:rsid w:val="003E31AB"/>
    <w:rsid w:val="003E4812"/>
    <w:rsid w:val="003E4AE6"/>
    <w:rsid w:val="003E4CF1"/>
    <w:rsid w:val="003E59EF"/>
    <w:rsid w:val="003E6C7A"/>
    <w:rsid w:val="003E7350"/>
    <w:rsid w:val="003E7CC2"/>
    <w:rsid w:val="003F02B6"/>
    <w:rsid w:val="003F21DB"/>
    <w:rsid w:val="003F231C"/>
    <w:rsid w:val="003F270A"/>
    <w:rsid w:val="003F27AB"/>
    <w:rsid w:val="003F285B"/>
    <w:rsid w:val="003F3367"/>
    <w:rsid w:val="003F3848"/>
    <w:rsid w:val="003F3B4D"/>
    <w:rsid w:val="003F40A8"/>
    <w:rsid w:val="003F4C31"/>
    <w:rsid w:val="003F7237"/>
    <w:rsid w:val="003F7C0A"/>
    <w:rsid w:val="004000EB"/>
    <w:rsid w:val="0040207B"/>
    <w:rsid w:val="0040214B"/>
    <w:rsid w:val="00402921"/>
    <w:rsid w:val="00403FC8"/>
    <w:rsid w:val="004042B7"/>
    <w:rsid w:val="0040465C"/>
    <w:rsid w:val="004049FA"/>
    <w:rsid w:val="00405539"/>
    <w:rsid w:val="00405DC2"/>
    <w:rsid w:val="004067E1"/>
    <w:rsid w:val="00406FB4"/>
    <w:rsid w:val="00407611"/>
    <w:rsid w:val="00410347"/>
    <w:rsid w:val="00410BD4"/>
    <w:rsid w:val="00411562"/>
    <w:rsid w:val="00412730"/>
    <w:rsid w:val="00414105"/>
    <w:rsid w:val="00414494"/>
    <w:rsid w:val="004145A9"/>
    <w:rsid w:val="00414EA8"/>
    <w:rsid w:val="004159AE"/>
    <w:rsid w:val="00415DA2"/>
    <w:rsid w:val="004160A3"/>
    <w:rsid w:val="00417868"/>
    <w:rsid w:val="00420740"/>
    <w:rsid w:val="00420FBD"/>
    <w:rsid w:val="00421D75"/>
    <w:rsid w:val="00422518"/>
    <w:rsid w:val="00422C4C"/>
    <w:rsid w:val="004233E7"/>
    <w:rsid w:val="00424B62"/>
    <w:rsid w:val="00425697"/>
    <w:rsid w:val="0042609C"/>
    <w:rsid w:val="00426926"/>
    <w:rsid w:val="0042724B"/>
    <w:rsid w:val="004306DB"/>
    <w:rsid w:val="004306F9"/>
    <w:rsid w:val="004327AA"/>
    <w:rsid w:val="00432E18"/>
    <w:rsid w:val="00433526"/>
    <w:rsid w:val="00433AE2"/>
    <w:rsid w:val="004354C2"/>
    <w:rsid w:val="004355CB"/>
    <w:rsid w:val="00435BF8"/>
    <w:rsid w:val="0043785B"/>
    <w:rsid w:val="00437F6E"/>
    <w:rsid w:val="0044073C"/>
    <w:rsid w:val="00440D75"/>
    <w:rsid w:val="00442445"/>
    <w:rsid w:val="00442B93"/>
    <w:rsid w:val="00442FFE"/>
    <w:rsid w:val="00443259"/>
    <w:rsid w:val="004439FC"/>
    <w:rsid w:val="00444953"/>
    <w:rsid w:val="00444AA6"/>
    <w:rsid w:val="00445A57"/>
    <w:rsid w:val="00445AC2"/>
    <w:rsid w:val="00445DFE"/>
    <w:rsid w:val="00446970"/>
    <w:rsid w:val="00450442"/>
    <w:rsid w:val="00452166"/>
    <w:rsid w:val="004521E2"/>
    <w:rsid w:val="004528FE"/>
    <w:rsid w:val="00453A18"/>
    <w:rsid w:val="00454115"/>
    <w:rsid w:val="004544E8"/>
    <w:rsid w:val="00455775"/>
    <w:rsid w:val="00455A4E"/>
    <w:rsid w:val="00455C49"/>
    <w:rsid w:val="00455D18"/>
    <w:rsid w:val="00456916"/>
    <w:rsid w:val="004614C7"/>
    <w:rsid w:val="00461C6C"/>
    <w:rsid w:val="0046286B"/>
    <w:rsid w:val="00462A00"/>
    <w:rsid w:val="00463469"/>
    <w:rsid w:val="00463A82"/>
    <w:rsid w:val="00463AE4"/>
    <w:rsid w:val="00464AFB"/>
    <w:rsid w:val="00465517"/>
    <w:rsid w:val="00466FB4"/>
    <w:rsid w:val="00467982"/>
    <w:rsid w:val="00470DDC"/>
    <w:rsid w:val="0047266C"/>
    <w:rsid w:val="00473B74"/>
    <w:rsid w:val="004761EF"/>
    <w:rsid w:val="00476A10"/>
    <w:rsid w:val="00476B8F"/>
    <w:rsid w:val="00477137"/>
    <w:rsid w:val="00477507"/>
    <w:rsid w:val="004803B9"/>
    <w:rsid w:val="004804EE"/>
    <w:rsid w:val="00481786"/>
    <w:rsid w:val="00481833"/>
    <w:rsid w:val="00481C5D"/>
    <w:rsid w:val="0048215A"/>
    <w:rsid w:val="00485E5E"/>
    <w:rsid w:val="0048638D"/>
    <w:rsid w:val="00486D1A"/>
    <w:rsid w:val="0048734F"/>
    <w:rsid w:val="00487401"/>
    <w:rsid w:val="004875CB"/>
    <w:rsid w:val="004903F2"/>
    <w:rsid w:val="00490714"/>
    <w:rsid w:val="00490753"/>
    <w:rsid w:val="00490CD6"/>
    <w:rsid w:val="00491642"/>
    <w:rsid w:val="00491BF2"/>
    <w:rsid w:val="004929B0"/>
    <w:rsid w:val="00492B1F"/>
    <w:rsid w:val="004934C8"/>
    <w:rsid w:val="00494203"/>
    <w:rsid w:val="00494B55"/>
    <w:rsid w:val="00496179"/>
    <w:rsid w:val="00496CBC"/>
    <w:rsid w:val="00497414"/>
    <w:rsid w:val="00497424"/>
    <w:rsid w:val="004A0556"/>
    <w:rsid w:val="004A071C"/>
    <w:rsid w:val="004A0789"/>
    <w:rsid w:val="004A295F"/>
    <w:rsid w:val="004A32D0"/>
    <w:rsid w:val="004A407B"/>
    <w:rsid w:val="004A411E"/>
    <w:rsid w:val="004A675C"/>
    <w:rsid w:val="004A706B"/>
    <w:rsid w:val="004A7A30"/>
    <w:rsid w:val="004A7DB1"/>
    <w:rsid w:val="004B0054"/>
    <w:rsid w:val="004B007B"/>
    <w:rsid w:val="004B0586"/>
    <w:rsid w:val="004B2839"/>
    <w:rsid w:val="004B29B7"/>
    <w:rsid w:val="004B2F4F"/>
    <w:rsid w:val="004B32BC"/>
    <w:rsid w:val="004B6049"/>
    <w:rsid w:val="004B6862"/>
    <w:rsid w:val="004B7061"/>
    <w:rsid w:val="004B7BA5"/>
    <w:rsid w:val="004C0561"/>
    <w:rsid w:val="004C0AA8"/>
    <w:rsid w:val="004C0E48"/>
    <w:rsid w:val="004C1B3D"/>
    <w:rsid w:val="004C1DB8"/>
    <w:rsid w:val="004C2E02"/>
    <w:rsid w:val="004C2FF0"/>
    <w:rsid w:val="004C35B6"/>
    <w:rsid w:val="004C36F7"/>
    <w:rsid w:val="004C399B"/>
    <w:rsid w:val="004C3E9F"/>
    <w:rsid w:val="004C47B4"/>
    <w:rsid w:val="004C4CAD"/>
    <w:rsid w:val="004C4F20"/>
    <w:rsid w:val="004C7551"/>
    <w:rsid w:val="004C76CD"/>
    <w:rsid w:val="004D0F2E"/>
    <w:rsid w:val="004D1CCB"/>
    <w:rsid w:val="004D2542"/>
    <w:rsid w:val="004D2594"/>
    <w:rsid w:val="004D3929"/>
    <w:rsid w:val="004E02CA"/>
    <w:rsid w:val="004E2BE9"/>
    <w:rsid w:val="004E37B8"/>
    <w:rsid w:val="004E5BE7"/>
    <w:rsid w:val="004E5DC3"/>
    <w:rsid w:val="004E6941"/>
    <w:rsid w:val="004E69F6"/>
    <w:rsid w:val="004E75B2"/>
    <w:rsid w:val="004F11A4"/>
    <w:rsid w:val="004F188F"/>
    <w:rsid w:val="004F1E4D"/>
    <w:rsid w:val="004F2D32"/>
    <w:rsid w:val="004F4532"/>
    <w:rsid w:val="004F4999"/>
    <w:rsid w:val="004F5DB3"/>
    <w:rsid w:val="004F612D"/>
    <w:rsid w:val="004F65DF"/>
    <w:rsid w:val="004F67FE"/>
    <w:rsid w:val="00500B35"/>
    <w:rsid w:val="00500CAF"/>
    <w:rsid w:val="0050212F"/>
    <w:rsid w:val="00503A3F"/>
    <w:rsid w:val="00504033"/>
    <w:rsid w:val="00504426"/>
    <w:rsid w:val="0050498B"/>
    <w:rsid w:val="00504CBD"/>
    <w:rsid w:val="00506A55"/>
    <w:rsid w:val="00507468"/>
    <w:rsid w:val="00511D12"/>
    <w:rsid w:val="00511F14"/>
    <w:rsid w:val="0051273E"/>
    <w:rsid w:val="00513311"/>
    <w:rsid w:val="005133FB"/>
    <w:rsid w:val="0051379E"/>
    <w:rsid w:val="00514609"/>
    <w:rsid w:val="005155CB"/>
    <w:rsid w:val="00515BF0"/>
    <w:rsid w:val="00516AF4"/>
    <w:rsid w:val="00516C4F"/>
    <w:rsid w:val="005201CC"/>
    <w:rsid w:val="00520565"/>
    <w:rsid w:val="00520AF7"/>
    <w:rsid w:val="00521164"/>
    <w:rsid w:val="00521223"/>
    <w:rsid w:val="00521436"/>
    <w:rsid w:val="00522AA4"/>
    <w:rsid w:val="0052351B"/>
    <w:rsid w:val="005236CB"/>
    <w:rsid w:val="005239B2"/>
    <w:rsid w:val="005248C9"/>
    <w:rsid w:val="00524921"/>
    <w:rsid w:val="00524C6D"/>
    <w:rsid w:val="00525364"/>
    <w:rsid w:val="00526D36"/>
    <w:rsid w:val="0052788D"/>
    <w:rsid w:val="00531758"/>
    <w:rsid w:val="00531A14"/>
    <w:rsid w:val="00531E81"/>
    <w:rsid w:val="005335E5"/>
    <w:rsid w:val="005337AB"/>
    <w:rsid w:val="00535A7E"/>
    <w:rsid w:val="00536DCA"/>
    <w:rsid w:val="00537051"/>
    <w:rsid w:val="00537166"/>
    <w:rsid w:val="005373BF"/>
    <w:rsid w:val="005379EB"/>
    <w:rsid w:val="00537E95"/>
    <w:rsid w:val="00540364"/>
    <w:rsid w:val="00540D1F"/>
    <w:rsid w:val="0054104A"/>
    <w:rsid w:val="00541289"/>
    <w:rsid w:val="005421C2"/>
    <w:rsid w:val="005423A9"/>
    <w:rsid w:val="00542F72"/>
    <w:rsid w:val="005433B4"/>
    <w:rsid w:val="00543947"/>
    <w:rsid w:val="00543E2D"/>
    <w:rsid w:val="00543E3B"/>
    <w:rsid w:val="00545FDE"/>
    <w:rsid w:val="00546605"/>
    <w:rsid w:val="00546FAD"/>
    <w:rsid w:val="005472B7"/>
    <w:rsid w:val="00547636"/>
    <w:rsid w:val="005477DB"/>
    <w:rsid w:val="00547FD7"/>
    <w:rsid w:val="00550756"/>
    <w:rsid w:val="0055076C"/>
    <w:rsid w:val="005507A8"/>
    <w:rsid w:val="00552E03"/>
    <w:rsid w:val="00552E4D"/>
    <w:rsid w:val="005541CE"/>
    <w:rsid w:val="00555328"/>
    <w:rsid w:val="005561E7"/>
    <w:rsid w:val="005568C3"/>
    <w:rsid w:val="00556B6E"/>
    <w:rsid w:val="0055797F"/>
    <w:rsid w:val="00557DBE"/>
    <w:rsid w:val="0056020B"/>
    <w:rsid w:val="005603BF"/>
    <w:rsid w:val="005604F6"/>
    <w:rsid w:val="0056192D"/>
    <w:rsid w:val="00561D79"/>
    <w:rsid w:val="00562E0D"/>
    <w:rsid w:val="00563B26"/>
    <w:rsid w:val="00565093"/>
    <w:rsid w:val="005650A8"/>
    <w:rsid w:val="0056529F"/>
    <w:rsid w:val="00565586"/>
    <w:rsid w:val="0056668B"/>
    <w:rsid w:val="00566C84"/>
    <w:rsid w:val="00566F18"/>
    <w:rsid w:val="005708E8"/>
    <w:rsid w:val="005715DA"/>
    <w:rsid w:val="00573160"/>
    <w:rsid w:val="0057352B"/>
    <w:rsid w:val="00575276"/>
    <w:rsid w:val="005754B4"/>
    <w:rsid w:val="00575DFB"/>
    <w:rsid w:val="00576A04"/>
    <w:rsid w:val="0057764E"/>
    <w:rsid w:val="00577E01"/>
    <w:rsid w:val="00580932"/>
    <w:rsid w:val="00580C2D"/>
    <w:rsid w:val="00581158"/>
    <w:rsid w:val="0058175B"/>
    <w:rsid w:val="00581EAC"/>
    <w:rsid w:val="00582B6D"/>
    <w:rsid w:val="005831F2"/>
    <w:rsid w:val="005839D0"/>
    <w:rsid w:val="005851B0"/>
    <w:rsid w:val="00585410"/>
    <w:rsid w:val="00585E60"/>
    <w:rsid w:val="00585FCC"/>
    <w:rsid w:val="0058628C"/>
    <w:rsid w:val="00586C55"/>
    <w:rsid w:val="00587507"/>
    <w:rsid w:val="00587FA7"/>
    <w:rsid w:val="005903E1"/>
    <w:rsid w:val="00591227"/>
    <w:rsid w:val="00591464"/>
    <w:rsid w:val="005914D4"/>
    <w:rsid w:val="00591940"/>
    <w:rsid w:val="00592D42"/>
    <w:rsid w:val="00593790"/>
    <w:rsid w:val="00595288"/>
    <w:rsid w:val="005964F7"/>
    <w:rsid w:val="00596FA5"/>
    <w:rsid w:val="005979AC"/>
    <w:rsid w:val="00597B5D"/>
    <w:rsid w:val="005A069D"/>
    <w:rsid w:val="005A074A"/>
    <w:rsid w:val="005A0FCE"/>
    <w:rsid w:val="005A1EFD"/>
    <w:rsid w:val="005A24DD"/>
    <w:rsid w:val="005A282A"/>
    <w:rsid w:val="005A2A6C"/>
    <w:rsid w:val="005A2D70"/>
    <w:rsid w:val="005A52CF"/>
    <w:rsid w:val="005A66A8"/>
    <w:rsid w:val="005A71D4"/>
    <w:rsid w:val="005B0170"/>
    <w:rsid w:val="005B037F"/>
    <w:rsid w:val="005B0730"/>
    <w:rsid w:val="005B0DA3"/>
    <w:rsid w:val="005B2741"/>
    <w:rsid w:val="005B2B57"/>
    <w:rsid w:val="005B2E45"/>
    <w:rsid w:val="005B48AB"/>
    <w:rsid w:val="005B4F41"/>
    <w:rsid w:val="005B4F81"/>
    <w:rsid w:val="005B544A"/>
    <w:rsid w:val="005B5BB6"/>
    <w:rsid w:val="005B6143"/>
    <w:rsid w:val="005B6687"/>
    <w:rsid w:val="005B69CA"/>
    <w:rsid w:val="005B6D75"/>
    <w:rsid w:val="005B7269"/>
    <w:rsid w:val="005C00B0"/>
    <w:rsid w:val="005C033B"/>
    <w:rsid w:val="005C1114"/>
    <w:rsid w:val="005C23E3"/>
    <w:rsid w:val="005C2CA5"/>
    <w:rsid w:val="005C2CCB"/>
    <w:rsid w:val="005C3111"/>
    <w:rsid w:val="005C35BB"/>
    <w:rsid w:val="005C6399"/>
    <w:rsid w:val="005D0A7E"/>
    <w:rsid w:val="005D0B9F"/>
    <w:rsid w:val="005D14D5"/>
    <w:rsid w:val="005D1B48"/>
    <w:rsid w:val="005D2DC8"/>
    <w:rsid w:val="005D2F8E"/>
    <w:rsid w:val="005D43EF"/>
    <w:rsid w:val="005D45CA"/>
    <w:rsid w:val="005D48BF"/>
    <w:rsid w:val="005D4CC4"/>
    <w:rsid w:val="005D506B"/>
    <w:rsid w:val="005D5D53"/>
    <w:rsid w:val="005D6160"/>
    <w:rsid w:val="005D6779"/>
    <w:rsid w:val="005D6DA6"/>
    <w:rsid w:val="005D74F2"/>
    <w:rsid w:val="005D76D1"/>
    <w:rsid w:val="005E0F0E"/>
    <w:rsid w:val="005E1E58"/>
    <w:rsid w:val="005E31EF"/>
    <w:rsid w:val="005E39B2"/>
    <w:rsid w:val="005E49DF"/>
    <w:rsid w:val="005E4E69"/>
    <w:rsid w:val="005E5148"/>
    <w:rsid w:val="005E519E"/>
    <w:rsid w:val="005E6A1D"/>
    <w:rsid w:val="005E7242"/>
    <w:rsid w:val="005E76AE"/>
    <w:rsid w:val="005E77FE"/>
    <w:rsid w:val="005F01C0"/>
    <w:rsid w:val="005F0987"/>
    <w:rsid w:val="005F0F43"/>
    <w:rsid w:val="005F15FB"/>
    <w:rsid w:val="005F234D"/>
    <w:rsid w:val="005F278C"/>
    <w:rsid w:val="005F3AF8"/>
    <w:rsid w:val="005F508B"/>
    <w:rsid w:val="005F7DD6"/>
    <w:rsid w:val="006003B5"/>
    <w:rsid w:val="00600C8B"/>
    <w:rsid w:val="00600D71"/>
    <w:rsid w:val="00600E9E"/>
    <w:rsid w:val="006012BC"/>
    <w:rsid w:val="006013D8"/>
    <w:rsid w:val="006018DD"/>
    <w:rsid w:val="00602F24"/>
    <w:rsid w:val="00604737"/>
    <w:rsid w:val="00606B4B"/>
    <w:rsid w:val="006072E5"/>
    <w:rsid w:val="00607EA8"/>
    <w:rsid w:val="00607F97"/>
    <w:rsid w:val="0061063B"/>
    <w:rsid w:val="00611A4B"/>
    <w:rsid w:val="00612022"/>
    <w:rsid w:val="006134FA"/>
    <w:rsid w:val="00613503"/>
    <w:rsid w:val="006154B4"/>
    <w:rsid w:val="0061630A"/>
    <w:rsid w:val="00623776"/>
    <w:rsid w:val="00624164"/>
    <w:rsid w:val="006251A0"/>
    <w:rsid w:val="006268C1"/>
    <w:rsid w:val="0062700D"/>
    <w:rsid w:val="00627478"/>
    <w:rsid w:val="006303F7"/>
    <w:rsid w:val="00631C79"/>
    <w:rsid w:val="00632909"/>
    <w:rsid w:val="0063424A"/>
    <w:rsid w:val="00634712"/>
    <w:rsid w:val="006348A0"/>
    <w:rsid w:val="00634F6E"/>
    <w:rsid w:val="006351E9"/>
    <w:rsid w:val="00635A5A"/>
    <w:rsid w:val="006361A7"/>
    <w:rsid w:val="00636314"/>
    <w:rsid w:val="00636BCA"/>
    <w:rsid w:val="00636E72"/>
    <w:rsid w:val="00637E04"/>
    <w:rsid w:val="006400CF"/>
    <w:rsid w:val="006401D6"/>
    <w:rsid w:val="00642ABD"/>
    <w:rsid w:val="00643C46"/>
    <w:rsid w:val="00645698"/>
    <w:rsid w:val="00647CA2"/>
    <w:rsid w:val="006528DB"/>
    <w:rsid w:val="00655721"/>
    <w:rsid w:val="0066044D"/>
    <w:rsid w:val="00660504"/>
    <w:rsid w:val="00660F2A"/>
    <w:rsid w:val="00661852"/>
    <w:rsid w:val="006632BB"/>
    <w:rsid w:val="00663873"/>
    <w:rsid w:val="00663E9D"/>
    <w:rsid w:val="00665553"/>
    <w:rsid w:val="00665684"/>
    <w:rsid w:val="006657F7"/>
    <w:rsid w:val="00665A08"/>
    <w:rsid w:val="0066626D"/>
    <w:rsid w:val="006665F0"/>
    <w:rsid w:val="006677CC"/>
    <w:rsid w:val="00670672"/>
    <w:rsid w:val="00671057"/>
    <w:rsid w:val="00672FCD"/>
    <w:rsid w:val="0067304D"/>
    <w:rsid w:val="00673D85"/>
    <w:rsid w:val="00674016"/>
    <w:rsid w:val="0067478A"/>
    <w:rsid w:val="00675065"/>
    <w:rsid w:val="0067559E"/>
    <w:rsid w:val="00676315"/>
    <w:rsid w:val="00676585"/>
    <w:rsid w:val="00677379"/>
    <w:rsid w:val="00677CE1"/>
    <w:rsid w:val="00677D56"/>
    <w:rsid w:val="00677DB1"/>
    <w:rsid w:val="00680791"/>
    <w:rsid w:val="006815F0"/>
    <w:rsid w:val="0068206C"/>
    <w:rsid w:val="0068246A"/>
    <w:rsid w:val="00683440"/>
    <w:rsid w:val="0068349F"/>
    <w:rsid w:val="00684733"/>
    <w:rsid w:val="006847F4"/>
    <w:rsid w:val="00684D16"/>
    <w:rsid w:val="006850D2"/>
    <w:rsid w:val="006856EF"/>
    <w:rsid w:val="00685C59"/>
    <w:rsid w:val="00687767"/>
    <w:rsid w:val="00690068"/>
    <w:rsid w:val="0069041C"/>
    <w:rsid w:val="006919BE"/>
    <w:rsid w:val="00691AC1"/>
    <w:rsid w:val="00692951"/>
    <w:rsid w:val="006933BC"/>
    <w:rsid w:val="00693971"/>
    <w:rsid w:val="0069681A"/>
    <w:rsid w:val="00696BC8"/>
    <w:rsid w:val="00697255"/>
    <w:rsid w:val="006977BA"/>
    <w:rsid w:val="006A1158"/>
    <w:rsid w:val="006A1163"/>
    <w:rsid w:val="006A1DA0"/>
    <w:rsid w:val="006A258A"/>
    <w:rsid w:val="006A2C80"/>
    <w:rsid w:val="006A4E64"/>
    <w:rsid w:val="006A5C7B"/>
    <w:rsid w:val="006A6B23"/>
    <w:rsid w:val="006A7304"/>
    <w:rsid w:val="006A76B0"/>
    <w:rsid w:val="006A7A62"/>
    <w:rsid w:val="006B0843"/>
    <w:rsid w:val="006B1920"/>
    <w:rsid w:val="006B31FB"/>
    <w:rsid w:val="006B35E3"/>
    <w:rsid w:val="006B4B02"/>
    <w:rsid w:val="006B571C"/>
    <w:rsid w:val="006B66D7"/>
    <w:rsid w:val="006B6FF9"/>
    <w:rsid w:val="006B7439"/>
    <w:rsid w:val="006C0EEE"/>
    <w:rsid w:val="006C1687"/>
    <w:rsid w:val="006C1DE3"/>
    <w:rsid w:val="006C2914"/>
    <w:rsid w:val="006C3C0C"/>
    <w:rsid w:val="006C4B02"/>
    <w:rsid w:val="006C6DD5"/>
    <w:rsid w:val="006C7892"/>
    <w:rsid w:val="006C7CDF"/>
    <w:rsid w:val="006D0FB2"/>
    <w:rsid w:val="006D10F9"/>
    <w:rsid w:val="006D16F2"/>
    <w:rsid w:val="006D1811"/>
    <w:rsid w:val="006D269C"/>
    <w:rsid w:val="006D2A2E"/>
    <w:rsid w:val="006D2B96"/>
    <w:rsid w:val="006D3524"/>
    <w:rsid w:val="006D47F1"/>
    <w:rsid w:val="006D4C21"/>
    <w:rsid w:val="006D58EB"/>
    <w:rsid w:val="006D660C"/>
    <w:rsid w:val="006D684B"/>
    <w:rsid w:val="006D6C2A"/>
    <w:rsid w:val="006D7633"/>
    <w:rsid w:val="006E09F2"/>
    <w:rsid w:val="006E0F8C"/>
    <w:rsid w:val="006E1575"/>
    <w:rsid w:val="006E1AA5"/>
    <w:rsid w:val="006E3682"/>
    <w:rsid w:val="006E3DF6"/>
    <w:rsid w:val="006E4967"/>
    <w:rsid w:val="006E4FCE"/>
    <w:rsid w:val="006E5C40"/>
    <w:rsid w:val="006E652D"/>
    <w:rsid w:val="006E6BD6"/>
    <w:rsid w:val="006E74EE"/>
    <w:rsid w:val="006E7791"/>
    <w:rsid w:val="006F1609"/>
    <w:rsid w:val="006F1C09"/>
    <w:rsid w:val="006F259A"/>
    <w:rsid w:val="006F4427"/>
    <w:rsid w:val="006F4884"/>
    <w:rsid w:val="006F4EAC"/>
    <w:rsid w:val="006F5916"/>
    <w:rsid w:val="006F5E48"/>
    <w:rsid w:val="006F7FD1"/>
    <w:rsid w:val="007004B0"/>
    <w:rsid w:val="00701CE9"/>
    <w:rsid w:val="00701FB1"/>
    <w:rsid w:val="00702D14"/>
    <w:rsid w:val="007032E7"/>
    <w:rsid w:val="00703F97"/>
    <w:rsid w:val="00703FEE"/>
    <w:rsid w:val="00704FB6"/>
    <w:rsid w:val="00705D0E"/>
    <w:rsid w:val="00705D47"/>
    <w:rsid w:val="00706097"/>
    <w:rsid w:val="0071069B"/>
    <w:rsid w:val="00710A06"/>
    <w:rsid w:val="007118B9"/>
    <w:rsid w:val="00714DCD"/>
    <w:rsid w:val="0071504D"/>
    <w:rsid w:val="007153D3"/>
    <w:rsid w:val="007160FE"/>
    <w:rsid w:val="0071627A"/>
    <w:rsid w:val="00716306"/>
    <w:rsid w:val="007166A4"/>
    <w:rsid w:val="007166B3"/>
    <w:rsid w:val="00716C4A"/>
    <w:rsid w:val="00716EFF"/>
    <w:rsid w:val="0071726C"/>
    <w:rsid w:val="00717CAD"/>
    <w:rsid w:val="00720489"/>
    <w:rsid w:val="007205A4"/>
    <w:rsid w:val="00721687"/>
    <w:rsid w:val="00722069"/>
    <w:rsid w:val="007234A7"/>
    <w:rsid w:val="00724A23"/>
    <w:rsid w:val="0072514F"/>
    <w:rsid w:val="007260E8"/>
    <w:rsid w:val="007262FE"/>
    <w:rsid w:val="007273C8"/>
    <w:rsid w:val="00727757"/>
    <w:rsid w:val="00730833"/>
    <w:rsid w:val="00730C2C"/>
    <w:rsid w:val="00731A06"/>
    <w:rsid w:val="00731CDA"/>
    <w:rsid w:val="0073205C"/>
    <w:rsid w:val="007335D8"/>
    <w:rsid w:val="0073490B"/>
    <w:rsid w:val="00734DFB"/>
    <w:rsid w:val="00735251"/>
    <w:rsid w:val="00737776"/>
    <w:rsid w:val="00740D59"/>
    <w:rsid w:val="00741115"/>
    <w:rsid w:val="007419E9"/>
    <w:rsid w:val="00742E10"/>
    <w:rsid w:val="00743F40"/>
    <w:rsid w:val="00744F59"/>
    <w:rsid w:val="0074513A"/>
    <w:rsid w:val="00745DC9"/>
    <w:rsid w:val="00745FF7"/>
    <w:rsid w:val="00747136"/>
    <w:rsid w:val="00747495"/>
    <w:rsid w:val="00747630"/>
    <w:rsid w:val="00750752"/>
    <w:rsid w:val="00750CB7"/>
    <w:rsid w:val="00750F6B"/>
    <w:rsid w:val="00751A7F"/>
    <w:rsid w:val="00752CEC"/>
    <w:rsid w:val="00752F4F"/>
    <w:rsid w:val="007536DF"/>
    <w:rsid w:val="00754BD5"/>
    <w:rsid w:val="00755AE2"/>
    <w:rsid w:val="0075687F"/>
    <w:rsid w:val="00757A03"/>
    <w:rsid w:val="00760131"/>
    <w:rsid w:val="00760430"/>
    <w:rsid w:val="007631E5"/>
    <w:rsid w:val="0076344D"/>
    <w:rsid w:val="00764E77"/>
    <w:rsid w:val="00764E81"/>
    <w:rsid w:val="007660ED"/>
    <w:rsid w:val="0076616B"/>
    <w:rsid w:val="00766EA3"/>
    <w:rsid w:val="00767C4B"/>
    <w:rsid w:val="00770934"/>
    <w:rsid w:val="007727D1"/>
    <w:rsid w:val="00772949"/>
    <w:rsid w:val="00773D1D"/>
    <w:rsid w:val="007742EE"/>
    <w:rsid w:val="00775717"/>
    <w:rsid w:val="00775B16"/>
    <w:rsid w:val="00775EDE"/>
    <w:rsid w:val="00776DE0"/>
    <w:rsid w:val="007775AF"/>
    <w:rsid w:val="007776A3"/>
    <w:rsid w:val="00777BF6"/>
    <w:rsid w:val="00777DC4"/>
    <w:rsid w:val="007804D1"/>
    <w:rsid w:val="0078166A"/>
    <w:rsid w:val="00781932"/>
    <w:rsid w:val="0078235D"/>
    <w:rsid w:val="00783F16"/>
    <w:rsid w:val="00785E85"/>
    <w:rsid w:val="00786ED3"/>
    <w:rsid w:val="00787C60"/>
    <w:rsid w:val="007914CE"/>
    <w:rsid w:val="00792406"/>
    <w:rsid w:val="00792DB2"/>
    <w:rsid w:val="00792FB5"/>
    <w:rsid w:val="00794B45"/>
    <w:rsid w:val="007958FC"/>
    <w:rsid w:val="00796378"/>
    <w:rsid w:val="0079683C"/>
    <w:rsid w:val="00797055"/>
    <w:rsid w:val="007A0024"/>
    <w:rsid w:val="007A04CA"/>
    <w:rsid w:val="007A07D8"/>
    <w:rsid w:val="007A0922"/>
    <w:rsid w:val="007A101D"/>
    <w:rsid w:val="007A201F"/>
    <w:rsid w:val="007A2783"/>
    <w:rsid w:val="007A44BA"/>
    <w:rsid w:val="007A47D6"/>
    <w:rsid w:val="007A77AF"/>
    <w:rsid w:val="007A785C"/>
    <w:rsid w:val="007B0B93"/>
    <w:rsid w:val="007B1117"/>
    <w:rsid w:val="007B3A60"/>
    <w:rsid w:val="007B5080"/>
    <w:rsid w:val="007B5221"/>
    <w:rsid w:val="007B6D3F"/>
    <w:rsid w:val="007B7171"/>
    <w:rsid w:val="007C072D"/>
    <w:rsid w:val="007C0B99"/>
    <w:rsid w:val="007C1D34"/>
    <w:rsid w:val="007C2D53"/>
    <w:rsid w:val="007C38D2"/>
    <w:rsid w:val="007C45B3"/>
    <w:rsid w:val="007C4AF0"/>
    <w:rsid w:val="007C7508"/>
    <w:rsid w:val="007C7816"/>
    <w:rsid w:val="007D0072"/>
    <w:rsid w:val="007D05D1"/>
    <w:rsid w:val="007D168E"/>
    <w:rsid w:val="007D187C"/>
    <w:rsid w:val="007D22B7"/>
    <w:rsid w:val="007D260A"/>
    <w:rsid w:val="007D325C"/>
    <w:rsid w:val="007D3963"/>
    <w:rsid w:val="007D3E6F"/>
    <w:rsid w:val="007D3FCA"/>
    <w:rsid w:val="007D40AE"/>
    <w:rsid w:val="007D40E9"/>
    <w:rsid w:val="007D5509"/>
    <w:rsid w:val="007D6051"/>
    <w:rsid w:val="007D6231"/>
    <w:rsid w:val="007D64FC"/>
    <w:rsid w:val="007D7230"/>
    <w:rsid w:val="007D7DCD"/>
    <w:rsid w:val="007E01EA"/>
    <w:rsid w:val="007E025D"/>
    <w:rsid w:val="007E0E54"/>
    <w:rsid w:val="007E1205"/>
    <w:rsid w:val="007E1333"/>
    <w:rsid w:val="007E17F5"/>
    <w:rsid w:val="007E1886"/>
    <w:rsid w:val="007E1C2D"/>
    <w:rsid w:val="007E276F"/>
    <w:rsid w:val="007E3648"/>
    <w:rsid w:val="007E36C5"/>
    <w:rsid w:val="007E42C2"/>
    <w:rsid w:val="007E4CED"/>
    <w:rsid w:val="007E59E9"/>
    <w:rsid w:val="007E6308"/>
    <w:rsid w:val="007F0DB5"/>
    <w:rsid w:val="007F0F09"/>
    <w:rsid w:val="007F25C1"/>
    <w:rsid w:val="007F2E44"/>
    <w:rsid w:val="007F3D27"/>
    <w:rsid w:val="007F3D8C"/>
    <w:rsid w:val="007F3F81"/>
    <w:rsid w:val="007F432A"/>
    <w:rsid w:val="007F48F3"/>
    <w:rsid w:val="007F4DBA"/>
    <w:rsid w:val="007F5A54"/>
    <w:rsid w:val="007F5A99"/>
    <w:rsid w:val="007F7E04"/>
    <w:rsid w:val="007F7F7A"/>
    <w:rsid w:val="008011DD"/>
    <w:rsid w:val="00801468"/>
    <w:rsid w:val="00801A9C"/>
    <w:rsid w:val="00802A4E"/>
    <w:rsid w:val="0080312A"/>
    <w:rsid w:val="0080429C"/>
    <w:rsid w:val="00805037"/>
    <w:rsid w:val="008073B2"/>
    <w:rsid w:val="00807A09"/>
    <w:rsid w:val="008100C7"/>
    <w:rsid w:val="008100CC"/>
    <w:rsid w:val="008101EF"/>
    <w:rsid w:val="00810662"/>
    <w:rsid w:val="00810F5A"/>
    <w:rsid w:val="00811C54"/>
    <w:rsid w:val="0081222A"/>
    <w:rsid w:val="00812D21"/>
    <w:rsid w:val="00812DE0"/>
    <w:rsid w:val="0081376F"/>
    <w:rsid w:val="00814B1E"/>
    <w:rsid w:val="00814E07"/>
    <w:rsid w:val="00814F09"/>
    <w:rsid w:val="00815512"/>
    <w:rsid w:val="00815857"/>
    <w:rsid w:val="00816160"/>
    <w:rsid w:val="00817336"/>
    <w:rsid w:val="008176F4"/>
    <w:rsid w:val="00817BC1"/>
    <w:rsid w:val="00817F35"/>
    <w:rsid w:val="00817F5E"/>
    <w:rsid w:val="00820151"/>
    <w:rsid w:val="00820798"/>
    <w:rsid w:val="00821113"/>
    <w:rsid w:val="0082164C"/>
    <w:rsid w:val="0082237D"/>
    <w:rsid w:val="008230BE"/>
    <w:rsid w:val="00823DC1"/>
    <w:rsid w:val="00824597"/>
    <w:rsid w:val="00824926"/>
    <w:rsid w:val="00825535"/>
    <w:rsid w:val="0082588F"/>
    <w:rsid w:val="00825DA2"/>
    <w:rsid w:val="0083082C"/>
    <w:rsid w:val="00831323"/>
    <w:rsid w:val="008315AD"/>
    <w:rsid w:val="00832FEA"/>
    <w:rsid w:val="008334D7"/>
    <w:rsid w:val="00833972"/>
    <w:rsid w:val="00833CEF"/>
    <w:rsid w:val="008341C2"/>
    <w:rsid w:val="00834DFA"/>
    <w:rsid w:val="00834E1A"/>
    <w:rsid w:val="00835B12"/>
    <w:rsid w:val="00835C90"/>
    <w:rsid w:val="0083751D"/>
    <w:rsid w:val="00837540"/>
    <w:rsid w:val="00837798"/>
    <w:rsid w:val="00841102"/>
    <w:rsid w:val="00841AC7"/>
    <w:rsid w:val="008428C4"/>
    <w:rsid w:val="00843458"/>
    <w:rsid w:val="00844574"/>
    <w:rsid w:val="00845755"/>
    <w:rsid w:val="00845A20"/>
    <w:rsid w:val="008467B4"/>
    <w:rsid w:val="00847243"/>
    <w:rsid w:val="008472ED"/>
    <w:rsid w:val="008476EE"/>
    <w:rsid w:val="00847B05"/>
    <w:rsid w:val="00847D86"/>
    <w:rsid w:val="00847F4B"/>
    <w:rsid w:val="00850042"/>
    <w:rsid w:val="00850716"/>
    <w:rsid w:val="00850905"/>
    <w:rsid w:val="00851286"/>
    <w:rsid w:val="00851643"/>
    <w:rsid w:val="00852506"/>
    <w:rsid w:val="008526BA"/>
    <w:rsid w:val="00852CEA"/>
    <w:rsid w:val="008531FA"/>
    <w:rsid w:val="008532A6"/>
    <w:rsid w:val="008532B4"/>
    <w:rsid w:val="00854B30"/>
    <w:rsid w:val="00854BB5"/>
    <w:rsid w:val="00854CB1"/>
    <w:rsid w:val="00855D0E"/>
    <w:rsid w:val="00856841"/>
    <w:rsid w:val="008569D1"/>
    <w:rsid w:val="00856C0A"/>
    <w:rsid w:val="00856C8F"/>
    <w:rsid w:val="0085741D"/>
    <w:rsid w:val="008606F9"/>
    <w:rsid w:val="00861901"/>
    <w:rsid w:val="0086198C"/>
    <w:rsid w:val="00862858"/>
    <w:rsid w:val="00862C81"/>
    <w:rsid w:val="00862D3A"/>
    <w:rsid w:val="00863227"/>
    <w:rsid w:val="00864FA6"/>
    <w:rsid w:val="00865852"/>
    <w:rsid w:val="00867D3B"/>
    <w:rsid w:val="0087004C"/>
    <w:rsid w:val="008710DA"/>
    <w:rsid w:val="00871845"/>
    <w:rsid w:val="00871B41"/>
    <w:rsid w:val="008722B8"/>
    <w:rsid w:val="00872B95"/>
    <w:rsid w:val="0087346D"/>
    <w:rsid w:val="0087379B"/>
    <w:rsid w:val="00873B0D"/>
    <w:rsid w:val="00873F23"/>
    <w:rsid w:val="0087418A"/>
    <w:rsid w:val="00875100"/>
    <w:rsid w:val="00875D88"/>
    <w:rsid w:val="008761B8"/>
    <w:rsid w:val="008761C2"/>
    <w:rsid w:val="00876E9C"/>
    <w:rsid w:val="00876EF3"/>
    <w:rsid w:val="00877E55"/>
    <w:rsid w:val="00877F51"/>
    <w:rsid w:val="00880C93"/>
    <w:rsid w:val="00881AAA"/>
    <w:rsid w:val="00882949"/>
    <w:rsid w:val="00883A8E"/>
    <w:rsid w:val="00884C2E"/>
    <w:rsid w:val="0088637E"/>
    <w:rsid w:val="00886775"/>
    <w:rsid w:val="00887445"/>
    <w:rsid w:val="00887FA5"/>
    <w:rsid w:val="00890CFA"/>
    <w:rsid w:val="008913EF"/>
    <w:rsid w:val="00891B18"/>
    <w:rsid w:val="00892108"/>
    <w:rsid w:val="008929DA"/>
    <w:rsid w:val="00893053"/>
    <w:rsid w:val="008944B7"/>
    <w:rsid w:val="0089462E"/>
    <w:rsid w:val="0089494D"/>
    <w:rsid w:val="008958BD"/>
    <w:rsid w:val="00896E4B"/>
    <w:rsid w:val="008A055E"/>
    <w:rsid w:val="008A1326"/>
    <w:rsid w:val="008A1CFA"/>
    <w:rsid w:val="008A202E"/>
    <w:rsid w:val="008A33AC"/>
    <w:rsid w:val="008A375D"/>
    <w:rsid w:val="008A3A95"/>
    <w:rsid w:val="008A3B09"/>
    <w:rsid w:val="008A51A8"/>
    <w:rsid w:val="008A6910"/>
    <w:rsid w:val="008A77B8"/>
    <w:rsid w:val="008B04C4"/>
    <w:rsid w:val="008B2D4B"/>
    <w:rsid w:val="008B4401"/>
    <w:rsid w:val="008B4CCA"/>
    <w:rsid w:val="008B4E32"/>
    <w:rsid w:val="008B541C"/>
    <w:rsid w:val="008B6214"/>
    <w:rsid w:val="008B7DB0"/>
    <w:rsid w:val="008C14A0"/>
    <w:rsid w:val="008C23B7"/>
    <w:rsid w:val="008C2A55"/>
    <w:rsid w:val="008C2F90"/>
    <w:rsid w:val="008C6961"/>
    <w:rsid w:val="008D0124"/>
    <w:rsid w:val="008D022B"/>
    <w:rsid w:val="008D16D3"/>
    <w:rsid w:val="008D1FA8"/>
    <w:rsid w:val="008D20B5"/>
    <w:rsid w:val="008D38B0"/>
    <w:rsid w:val="008D3E6F"/>
    <w:rsid w:val="008D642C"/>
    <w:rsid w:val="008D7070"/>
    <w:rsid w:val="008D7540"/>
    <w:rsid w:val="008D75EC"/>
    <w:rsid w:val="008D7938"/>
    <w:rsid w:val="008D7DA3"/>
    <w:rsid w:val="008D7E82"/>
    <w:rsid w:val="008E0F6C"/>
    <w:rsid w:val="008E250C"/>
    <w:rsid w:val="008E25A6"/>
    <w:rsid w:val="008E311E"/>
    <w:rsid w:val="008E3254"/>
    <w:rsid w:val="008E34CA"/>
    <w:rsid w:val="008E42A0"/>
    <w:rsid w:val="008E4CFC"/>
    <w:rsid w:val="008E5E52"/>
    <w:rsid w:val="008E6151"/>
    <w:rsid w:val="008E6ADE"/>
    <w:rsid w:val="008F059F"/>
    <w:rsid w:val="008F1AD8"/>
    <w:rsid w:val="008F3047"/>
    <w:rsid w:val="008F31CA"/>
    <w:rsid w:val="008F33F8"/>
    <w:rsid w:val="008F546E"/>
    <w:rsid w:val="008F650E"/>
    <w:rsid w:val="008F664B"/>
    <w:rsid w:val="008F696B"/>
    <w:rsid w:val="008F6A60"/>
    <w:rsid w:val="008F6F16"/>
    <w:rsid w:val="008F7077"/>
    <w:rsid w:val="008F797E"/>
    <w:rsid w:val="008F7B9C"/>
    <w:rsid w:val="0090108F"/>
    <w:rsid w:val="00901D90"/>
    <w:rsid w:val="00902F3F"/>
    <w:rsid w:val="009033CA"/>
    <w:rsid w:val="00904CC9"/>
    <w:rsid w:val="00904D68"/>
    <w:rsid w:val="00905AB7"/>
    <w:rsid w:val="009060A3"/>
    <w:rsid w:val="00906EED"/>
    <w:rsid w:val="00906F30"/>
    <w:rsid w:val="00906FAF"/>
    <w:rsid w:val="009077C4"/>
    <w:rsid w:val="0091004B"/>
    <w:rsid w:val="009102DD"/>
    <w:rsid w:val="009109E7"/>
    <w:rsid w:val="00910FA7"/>
    <w:rsid w:val="00913717"/>
    <w:rsid w:val="009139B3"/>
    <w:rsid w:val="00914A8F"/>
    <w:rsid w:val="0091514A"/>
    <w:rsid w:val="009156DA"/>
    <w:rsid w:val="00917824"/>
    <w:rsid w:val="009178DD"/>
    <w:rsid w:val="009179BD"/>
    <w:rsid w:val="00917BB5"/>
    <w:rsid w:val="009202EE"/>
    <w:rsid w:val="009203C7"/>
    <w:rsid w:val="00920410"/>
    <w:rsid w:val="00921FBF"/>
    <w:rsid w:val="009229A1"/>
    <w:rsid w:val="00922B1A"/>
    <w:rsid w:val="00922EAB"/>
    <w:rsid w:val="00923CAB"/>
    <w:rsid w:val="00923EBF"/>
    <w:rsid w:val="00924ECE"/>
    <w:rsid w:val="0092730E"/>
    <w:rsid w:val="00927942"/>
    <w:rsid w:val="009304EB"/>
    <w:rsid w:val="0093122C"/>
    <w:rsid w:val="00931944"/>
    <w:rsid w:val="00932440"/>
    <w:rsid w:val="009340DD"/>
    <w:rsid w:val="00934885"/>
    <w:rsid w:val="00935968"/>
    <w:rsid w:val="00936250"/>
    <w:rsid w:val="00936310"/>
    <w:rsid w:val="00937168"/>
    <w:rsid w:val="009374BB"/>
    <w:rsid w:val="0093799A"/>
    <w:rsid w:val="00937BF1"/>
    <w:rsid w:val="00940363"/>
    <w:rsid w:val="00940D9B"/>
    <w:rsid w:val="00941065"/>
    <w:rsid w:val="00942375"/>
    <w:rsid w:val="009423CB"/>
    <w:rsid w:val="00942CFF"/>
    <w:rsid w:val="00943162"/>
    <w:rsid w:val="009431D1"/>
    <w:rsid w:val="0094396B"/>
    <w:rsid w:val="00943CF9"/>
    <w:rsid w:val="00946D15"/>
    <w:rsid w:val="00947402"/>
    <w:rsid w:val="00947A8B"/>
    <w:rsid w:val="009507E0"/>
    <w:rsid w:val="009510FF"/>
    <w:rsid w:val="009521EB"/>
    <w:rsid w:val="009523F7"/>
    <w:rsid w:val="009553B0"/>
    <w:rsid w:val="00955CDE"/>
    <w:rsid w:val="00956DF1"/>
    <w:rsid w:val="0095706D"/>
    <w:rsid w:val="00957223"/>
    <w:rsid w:val="00957B60"/>
    <w:rsid w:val="00957EBC"/>
    <w:rsid w:val="00960F24"/>
    <w:rsid w:val="009627C9"/>
    <w:rsid w:val="00963852"/>
    <w:rsid w:val="00963E96"/>
    <w:rsid w:val="00964108"/>
    <w:rsid w:val="0096526F"/>
    <w:rsid w:val="00965B5E"/>
    <w:rsid w:val="00965C70"/>
    <w:rsid w:val="00966984"/>
    <w:rsid w:val="00971302"/>
    <w:rsid w:val="00971404"/>
    <w:rsid w:val="00971418"/>
    <w:rsid w:val="00972C25"/>
    <w:rsid w:val="00973A9A"/>
    <w:rsid w:val="00974F2B"/>
    <w:rsid w:val="00975A49"/>
    <w:rsid w:val="009764D1"/>
    <w:rsid w:val="0097739C"/>
    <w:rsid w:val="00980598"/>
    <w:rsid w:val="00980630"/>
    <w:rsid w:val="00980D06"/>
    <w:rsid w:val="009813F0"/>
    <w:rsid w:val="00981793"/>
    <w:rsid w:val="0098200C"/>
    <w:rsid w:val="0098226C"/>
    <w:rsid w:val="00982CD0"/>
    <w:rsid w:val="00982CF8"/>
    <w:rsid w:val="00983B18"/>
    <w:rsid w:val="009849B0"/>
    <w:rsid w:val="0098562F"/>
    <w:rsid w:val="0098600E"/>
    <w:rsid w:val="00986D5C"/>
    <w:rsid w:val="00987965"/>
    <w:rsid w:val="00987AC2"/>
    <w:rsid w:val="00990083"/>
    <w:rsid w:val="0099063B"/>
    <w:rsid w:val="009907B0"/>
    <w:rsid w:val="00990B05"/>
    <w:rsid w:val="00990BD0"/>
    <w:rsid w:val="00990E28"/>
    <w:rsid w:val="00991B67"/>
    <w:rsid w:val="0099351B"/>
    <w:rsid w:val="00993A01"/>
    <w:rsid w:val="00993CA6"/>
    <w:rsid w:val="00993EEC"/>
    <w:rsid w:val="00994770"/>
    <w:rsid w:val="00996779"/>
    <w:rsid w:val="009A064E"/>
    <w:rsid w:val="009A0952"/>
    <w:rsid w:val="009A0AB5"/>
    <w:rsid w:val="009A1FE2"/>
    <w:rsid w:val="009A24AF"/>
    <w:rsid w:val="009A27DE"/>
    <w:rsid w:val="009A36CA"/>
    <w:rsid w:val="009A431E"/>
    <w:rsid w:val="009A5D0A"/>
    <w:rsid w:val="009A65B0"/>
    <w:rsid w:val="009A675B"/>
    <w:rsid w:val="009A6997"/>
    <w:rsid w:val="009A7ABE"/>
    <w:rsid w:val="009B1DB8"/>
    <w:rsid w:val="009B3F3F"/>
    <w:rsid w:val="009B6FE1"/>
    <w:rsid w:val="009B754E"/>
    <w:rsid w:val="009C06C7"/>
    <w:rsid w:val="009C15DA"/>
    <w:rsid w:val="009C1968"/>
    <w:rsid w:val="009C2108"/>
    <w:rsid w:val="009C2CBE"/>
    <w:rsid w:val="009C5365"/>
    <w:rsid w:val="009C58C6"/>
    <w:rsid w:val="009C7BE6"/>
    <w:rsid w:val="009C7DEC"/>
    <w:rsid w:val="009D0DAE"/>
    <w:rsid w:val="009D278B"/>
    <w:rsid w:val="009D3970"/>
    <w:rsid w:val="009D3E5E"/>
    <w:rsid w:val="009D4A6C"/>
    <w:rsid w:val="009D534E"/>
    <w:rsid w:val="009D59BE"/>
    <w:rsid w:val="009D6735"/>
    <w:rsid w:val="009D6935"/>
    <w:rsid w:val="009D73F2"/>
    <w:rsid w:val="009E0055"/>
    <w:rsid w:val="009E03B9"/>
    <w:rsid w:val="009E04A8"/>
    <w:rsid w:val="009E17E6"/>
    <w:rsid w:val="009E3127"/>
    <w:rsid w:val="009E31EB"/>
    <w:rsid w:val="009E4A9C"/>
    <w:rsid w:val="009E6765"/>
    <w:rsid w:val="009E6E18"/>
    <w:rsid w:val="009E7C37"/>
    <w:rsid w:val="009F1244"/>
    <w:rsid w:val="009F357A"/>
    <w:rsid w:val="009F5076"/>
    <w:rsid w:val="009F517A"/>
    <w:rsid w:val="009F68F4"/>
    <w:rsid w:val="009F6ACF"/>
    <w:rsid w:val="009F6B2A"/>
    <w:rsid w:val="009F6CA5"/>
    <w:rsid w:val="009F73E7"/>
    <w:rsid w:val="009F74C9"/>
    <w:rsid w:val="00A00148"/>
    <w:rsid w:val="00A003A6"/>
    <w:rsid w:val="00A0103C"/>
    <w:rsid w:val="00A018DE"/>
    <w:rsid w:val="00A021C9"/>
    <w:rsid w:val="00A02AE9"/>
    <w:rsid w:val="00A04580"/>
    <w:rsid w:val="00A0497B"/>
    <w:rsid w:val="00A04A69"/>
    <w:rsid w:val="00A04BBB"/>
    <w:rsid w:val="00A04DFD"/>
    <w:rsid w:val="00A05972"/>
    <w:rsid w:val="00A05BFB"/>
    <w:rsid w:val="00A062E1"/>
    <w:rsid w:val="00A0643A"/>
    <w:rsid w:val="00A10A05"/>
    <w:rsid w:val="00A10ACE"/>
    <w:rsid w:val="00A1184E"/>
    <w:rsid w:val="00A1244C"/>
    <w:rsid w:val="00A12C07"/>
    <w:rsid w:val="00A12DC1"/>
    <w:rsid w:val="00A13A1E"/>
    <w:rsid w:val="00A141DC"/>
    <w:rsid w:val="00A1464B"/>
    <w:rsid w:val="00A159F4"/>
    <w:rsid w:val="00A15C79"/>
    <w:rsid w:val="00A16114"/>
    <w:rsid w:val="00A16603"/>
    <w:rsid w:val="00A16D2F"/>
    <w:rsid w:val="00A16F64"/>
    <w:rsid w:val="00A17415"/>
    <w:rsid w:val="00A17925"/>
    <w:rsid w:val="00A20583"/>
    <w:rsid w:val="00A20BB4"/>
    <w:rsid w:val="00A21416"/>
    <w:rsid w:val="00A21A61"/>
    <w:rsid w:val="00A22E54"/>
    <w:rsid w:val="00A2304C"/>
    <w:rsid w:val="00A232F5"/>
    <w:rsid w:val="00A23BE9"/>
    <w:rsid w:val="00A24578"/>
    <w:rsid w:val="00A248D1"/>
    <w:rsid w:val="00A24FD1"/>
    <w:rsid w:val="00A26B4E"/>
    <w:rsid w:val="00A27B2C"/>
    <w:rsid w:val="00A27B4C"/>
    <w:rsid w:val="00A27CBA"/>
    <w:rsid w:val="00A27DDD"/>
    <w:rsid w:val="00A3071B"/>
    <w:rsid w:val="00A3122C"/>
    <w:rsid w:val="00A314D0"/>
    <w:rsid w:val="00A33803"/>
    <w:rsid w:val="00A33FD3"/>
    <w:rsid w:val="00A34796"/>
    <w:rsid w:val="00A349CB"/>
    <w:rsid w:val="00A34A95"/>
    <w:rsid w:val="00A34D16"/>
    <w:rsid w:val="00A37B43"/>
    <w:rsid w:val="00A37C47"/>
    <w:rsid w:val="00A4110E"/>
    <w:rsid w:val="00A41EA1"/>
    <w:rsid w:val="00A41F81"/>
    <w:rsid w:val="00A423FF"/>
    <w:rsid w:val="00A4257E"/>
    <w:rsid w:val="00A429F3"/>
    <w:rsid w:val="00A42C33"/>
    <w:rsid w:val="00A439A1"/>
    <w:rsid w:val="00A43B0A"/>
    <w:rsid w:val="00A44355"/>
    <w:rsid w:val="00A44D41"/>
    <w:rsid w:val="00A46208"/>
    <w:rsid w:val="00A46DB4"/>
    <w:rsid w:val="00A47028"/>
    <w:rsid w:val="00A476E6"/>
    <w:rsid w:val="00A50C99"/>
    <w:rsid w:val="00A512F0"/>
    <w:rsid w:val="00A52B12"/>
    <w:rsid w:val="00A52CE2"/>
    <w:rsid w:val="00A54B53"/>
    <w:rsid w:val="00A54CAB"/>
    <w:rsid w:val="00A55CAB"/>
    <w:rsid w:val="00A56BF0"/>
    <w:rsid w:val="00A56CC6"/>
    <w:rsid w:val="00A5706D"/>
    <w:rsid w:val="00A576D5"/>
    <w:rsid w:val="00A57A1D"/>
    <w:rsid w:val="00A60C30"/>
    <w:rsid w:val="00A60D73"/>
    <w:rsid w:val="00A620A8"/>
    <w:rsid w:val="00A6288F"/>
    <w:rsid w:val="00A630E4"/>
    <w:rsid w:val="00A637A0"/>
    <w:rsid w:val="00A6477E"/>
    <w:rsid w:val="00A6480A"/>
    <w:rsid w:val="00A65F9B"/>
    <w:rsid w:val="00A66804"/>
    <w:rsid w:val="00A66876"/>
    <w:rsid w:val="00A6761A"/>
    <w:rsid w:val="00A70662"/>
    <w:rsid w:val="00A7146A"/>
    <w:rsid w:val="00A716F4"/>
    <w:rsid w:val="00A72F00"/>
    <w:rsid w:val="00A730A4"/>
    <w:rsid w:val="00A731BA"/>
    <w:rsid w:val="00A75754"/>
    <w:rsid w:val="00A77E7B"/>
    <w:rsid w:val="00A8033C"/>
    <w:rsid w:val="00A80490"/>
    <w:rsid w:val="00A81317"/>
    <w:rsid w:val="00A81C26"/>
    <w:rsid w:val="00A8391F"/>
    <w:rsid w:val="00A839A7"/>
    <w:rsid w:val="00A83AA3"/>
    <w:rsid w:val="00A8554A"/>
    <w:rsid w:val="00A86B84"/>
    <w:rsid w:val="00A87CA6"/>
    <w:rsid w:val="00A90937"/>
    <w:rsid w:val="00A90CD1"/>
    <w:rsid w:val="00A9304A"/>
    <w:rsid w:val="00A9449E"/>
    <w:rsid w:val="00A95502"/>
    <w:rsid w:val="00A96025"/>
    <w:rsid w:val="00A96C73"/>
    <w:rsid w:val="00A97F60"/>
    <w:rsid w:val="00AA13E9"/>
    <w:rsid w:val="00AA1C50"/>
    <w:rsid w:val="00AA1EE2"/>
    <w:rsid w:val="00AA304B"/>
    <w:rsid w:val="00AA32B1"/>
    <w:rsid w:val="00AA40D6"/>
    <w:rsid w:val="00AA67BD"/>
    <w:rsid w:val="00AB0025"/>
    <w:rsid w:val="00AB03AE"/>
    <w:rsid w:val="00AB1744"/>
    <w:rsid w:val="00AB19FE"/>
    <w:rsid w:val="00AB3A42"/>
    <w:rsid w:val="00AB403A"/>
    <w:rsid w:val="00AB433B"/>
    <w:rsid w:val="00AB5467"/>
    <w:rsid w:val="00AB6D13"/>
    <w:rsid w:val="00AB6D22"/>
    <w:rsid w:val="00AB6E33"/>
    <w:rsid w:val="00AB7C74"/>
    <w:rsid w:val="00AB7DCC"/>
    <w:rsid w:val="00AC01A7"/>
    <w:rsid w:val="00AC0654"/>
    <w:rsid w:val="00AC0E36"/>
    <w:rsid w:val="00AC1385"/>
    <w:rsid w:val="00AC1821"/>
    <w:rsid w:val="00AC1D58"/>
    <w:rsid w:val="00AC2EFE"/>
    <w:rsid w:val="00AC3ACE"/>
    <w:rsid w:val="00AC4205"/>
    <w:rsid w:val="00AC4447"/>
    <w:rsid w:val="00AC7808"/>
    <w:rsid w:val="00AC7831"/>
    <w:rsid w:val="00AC7ABA"/>
    <w:rsid w:val="00AD05F6"/>
    <w:rsid w:val="00AD0EF3"/>
    <w:rsid w:val="00AD1226"/>
    <w:rsid w:val="00AD1F1E"/>
    <w:rsid w:val="00AD2973"/>
    <w:rsid w:val="00AD2C83"/>
    <w:rsid w:val="00AD3112"/>
    <w:rsid w:val="00AD3B83"/>
    <w:rsid w:val="00AD5B47"/>
    <w:rsid w:val="00AD68FD"/>
    <w:rsid w:val="00AD722D"/>
    <w:rsid w:val="00AD7BE7"/>
    <w:rsid w:val="00AE0A47"/>
    <w:rsid w:val="00AE1F8C"/>
    <w:rsid w:val="00AE204A"/>
    <w:rsid w:val="00AE3361"/>
    <w:rsid w:val="00AE3A35"/>
    <w:rsid w:val="00AE3DA7"/>
    <w:rsid w:val="00AE4EE1"/>
    <w:rsid w:val="00AE528D"/>
    <w:rsid w:val="00AE5308"/>
    <w:rsid w:val="00AE64A0"/>
    <w:rsid w:val="00AE64D7"/>
    <w:rsid w:val="00AE67FA"/>
    <w:rsid w:val="00AE6B8E"/>
    <w:rsid w:val="00AE78BC"/>
    <w:rsid w:val="00AF0429"/>
    <w:rsid w:val="00AF1187"/>
    <w:rsid w:val="00AF14AA"/>
    <w:rsid w:val="00AF1CA5"/>
    <w:rsid w:val="00AF36B7"/>
    <w:rsid w:val="00AF3FF7"/>
    <w:rsid w:val="00AF55D6"/>
    <w:rsid w:val="00AF58C9"/>
    <w:rsid w:val="00AF5B21"/>
    <w:rsid w:val="00AF600E"/>
    <w:rsid w:val="00AF715A"/>
    <w:rsid w:val="00B00AD4"/>
    <w:rsid w:val="00B00BBA"/>
    <w:rsid w:val="00B00BF9"/>
    <w:rsid w:val="00B00CEC"/>
    <w:rsid w:val="00B013CF"/>
    <w:rsid w:val="00B019BD"/>
    <w:rsid w:val="00B02A01"/>
    <w:rsid w:val="00B02D0B"/>
    <w:rsid w:val="00B0312A"/>
    <w:rsid w:val="00B03DE1"/>
    <w:rsid w:val="00B0487A"/>
    <w:rsid w:val="00B04C9A"/>
    <w:rsid w:val="00B07DD9"/>
    <w:rsid w:val="00B11A89"/>
    <w:rsid w:val="00B11F72"/>
    <w:rsid w:val="00B132E4"/>
    <w:rsid w:val="00B138E2"/>
    <w:rsid w:val="00B13D2F"/>
    <w:rsid w:val="00B14336"/>
    <w:rsid w:val="00B15712"/>
    <w:rsid w:val="00B1614D"/>
    <w:rsid w:val="00B1713F"/>
    <w:rsid w:val="00B21F18"/>
    <w:rsid w:val="00B223E0"/>
    <w:rsid w:val="00B22589"/>
    <w:rsid w:val="00B226CA"/>
    <w:rsid w:val="00B2277A"/>
    <w:rsid w:val="00B22C93"/>
    <w:rsid w:val="00B23576"/>
    <w:rsid w:val="00B23BC0"/>
    <w:rsid w:val="00B24733"/>
    <w:rsid w:val="00B24CA3"/>
    <w:rsid w:val="00B251C0"/>
    <w:rsid w:val="00B259A3"/>
    <w:rsid w:val="00B25E94"/>
    <w:rsid w:val="00B2655C"/>
    <w:rsid w:val="00B2718B"/>
    <w:rsid w:val="00B27983"/>
    <w:rsid w:val="00B27ABB"/>
    <w:rsid w:val="00B27DEE"/>
    <w:rsid w:val="00B30E00"/>
    <w:rsid w:val="00B31DB7"/>
    <w:rsid w:val="00B32749"/>
    <w:rsid w:val="00B33D86"/>
    <w:rsid w:val="00B3432F"/>
    <w:rsid w:val="00B34877"/>
    <w:rsid w:val="00B351C5"/>
    <w:rsid w:val="00B36710"/>
    <w:rsid w:val="00B36DA6"/>
    <w:rsid w:val="00B40E95"/>
    <w:rsid w:val="00B40EB3"/>
    <w:rsid w:val="00B40EE1"/>
    <w:rsid w:val="00B41999"/>
    <w:rsid w:val="00B42E6E"/>
    <w:rsid w:val="00B43014"/>
    <w:rsid w:val="00B44716"/>
    <w:rsid w:val="00B44FC6"/>
    <w:rsid w:val="00B46685"/>
    <w:rsid w:val="00B46799"/>
    <w:rsid w:val="00B46866"/>
    <w:rsid w:val="00B46AE9"/>
    <w:rsid w:val="00B46BB1"/>
    <w:rsid w:val="00B47ADC"/>
    <w:rsid w:val="00B50475"/>
    <w:rsid w:val="00B50549"/>
    <w:rsid w:val="00B515BD"/>
    <w:rsid w:val="00B52157"/>
    <w:rsid w:val="00B521CE"/>
    <w:rsid w:val="00B539FC"/>
    <w:rsid w:val="00B54897"/>
    <w:rsid w:val="00B54DE9"/>
    <w:rsid w:val="00B55400"/>
    <w:rsid w:val="00B56659"/>
    <w:rsid w:val="00B5694B"/>
    <w:rsid w:val="00B5726C"/>
    <w:rsid w:val="00B57427"/>
    <w:rsid w:val="00B57633"/>
    <w:rsid w:val="00B57970"/>
    <w:rsid w:val="00B57ADF"/>
    <w:rsid w:val="00B57C68"/>
    <w:rsid w:val="00B617B8"/>
    <w:rsid w:val="00B61CBD"/>
    <w:rsid w:val="00B6296A"/>
    <w:rsid w:val="00B6351E"/>
    <w:rsid w:val="00B649D7"/>
    <w:rsid w:val="00B6522C"/>
    <w:rsid w:val="00B66BB6"/>
    <w:rsid w:val="00B6726F"/>
    <w:rsid w:val="00B67F20"/>
    <w:rsid w:val="00B71F49"/>
    <w:rsid w:val="00B739B1"/>
    <w:rsid w:val="00B73AB5"/>
    <w:rsid w:val="00B73F81"/>
    <w:rsid w:val="00B741E8"/>
    <w:rsid w:val="00B7455D"/>
    <w:rsid w:val="00B74815"/>
    <w:rsid w:val="00B752F9"/>
    <w:rsid w:val="00B75377"/>
    <w:rsid w:val="00B76273"/>
    <w:rsid w:val="00B762DB"/>
    <w:rsid w:val="00B7689A"/>
    <w:rsid w:val="00B778AF"/>
    <w:rsid w:val="00B77DE3"/>
    <w:rsid w:val="00B817EA"/>
    <w:rsid w:val="00B82524"/>
    <w:rsid w:val="00B835A0"/>
    <w:rsid w:val="00B839B4"/>
    <w:rsid w:val="00B85C75"/>
    <w:rsid w:val="00B86615"/>
    <w:rsid w:val="00B90344"/>
    <w:rsid w:val="00B9045C"/>
    <w:rsid w:val="00B91ABF"/>
    <w:rsid w:val="00B92165"/>
    <w:rsid w:val="00B9231F"/>
    <w:rsid w:val="00B92F75"/>
    <w:rsid w:val="00B93101"/>
    <w:rsid w:val="00B9376F"/>
    <w:rsid w:val="00B959F2"/>
    <w:rsid w:val="00B95A25"/>
    <w:rsid w:val="00B95D4B"/>
    <w:rsid w:val="00B9637C"/>
    <w:rsid w:val="00BA1136"/>
    <w:rsid w:val="00BA1183"/>
    <w:rsid w:val="00BA15F6"/>
    <w:rsid w:val="00BA165C"/>
    <w:rsid w:val="00BA1791"/>
    <w:rsid w:val="00BA1AD4"/>
    <w:rsid w:val="00BA26AC"/>
    <w:rsid w:val="00BA2E96"/>
    <w:rsid w:val="00BA300F"/>
    <w:rsid w:val="00BA3DF3"/>
    <w:rsid w:val="00BA42B9"/>
    <w:rsid w:val="00BA47CE"/>
    <w:rsid w:val="00BA5062"/>
    <w:rsid w:val="00BA53CD"/>
    <w:rsid w:val="00BA64A6"/>
    <w:rsid w:val="00BA7140"/>
    <w:rsid w:val="00BA72FE"/>
    <w:rsid w:val="00BA79FA"/>
    <w:rsid w:val="00BB053E"/>
    <w:rsid w:val="00BB05A8"/>
    <w:rsid w:val="00BB0D61"/>
    <w:rsid w:val="00BB1912"/>
    <w:rsid w:val="00BB1D2C"/>
    <w:rsid w:val="00BB1EB0"/>
    <w:rsid w:val="00BB2746"/>
    <w:rsid w:val="00BB2808"/>
    <w:rsid w:val="00BB2CEB"/>
    <w:rsid w:val="00BB2EBA"/>
    <w:rsid w:val="00BB379D"/>
    <w:rsid w:val="00BB3EC8"/>
    <w:rsid w:val="00BB4009"/>
    <w:rsid w:val="00BB4554"/>
    <w:rsid w:val="00BB548D"/>
    <w:rsid w:val="00BB54E6"/>
    <w:rsid w:val="00BB7B31"/>
    <w:rsid w:val="00BC06A9"/>
    <w:rsid w:val="00BC0E7D"/>
    <w:rsid w:val="00BC16F9"/>
    <w:rsid w:val="00BC2C8C"/>
    <w:rsid w:val="00BC30D7"/>
    <w:rsid w:val="00BC32FC"/>
    <w:rsid w:val="00BC3737"/>
    <w:rsid w:val="00BC378F"/>
    <w:rsid w:val="00BC4D1F"/>
    <w:rsid w:val="00BC5537"/>
    <w:rsid w:val="00BC553B"/>
    <w:rsid w:val="00BC591C"/>
    <w:rsid w:val="00BC6186"/>
    <w:rsid w:val="00BC63F1"/>
    <w:rsid w:val="00BC68AA"/>
    <w:rsid w:val="00BC77EF"/>
    <w:rsid w:val="00BD0000"/>
    <w:rsid w:val="00BD0409"/>
    <w:rsid w:val="00BD132B"/>
    <w:rsid w:val="00BD200E"/>
    <w:rsid w:val="00BD2382"/>
    <w:rsid w:val="00BD2933"/>
    <w:rsid w:val="00BD42FE"/>
    <w:rsid w:val="00BD4847"/>
    <w:rsid w:val="00BD4BFC"/>
    <w:rsid w:val="00BD513F"/>
    <w:rsid w:val="00BD5951"/>
    <w:rsid w:val="00BD626B"/>
    <w:rsid w:val="00BD67F2"/>
    <w:rsid w:val="00BD6BE8"/>
    <w:rsid w:val="00BD797A"/>
    <w:rsid w:val="00BD7E57"/>
    <w:rsid w:val="00BE0A71"/>
    <w:rsid w:val="00BE1721"/>
    <w:rsid w:val="00BE42E8"/>
    <w:rsid w:val="00BE4B32"/>
    <w:rsid w:val="00BE4FCD"/>
    <w:rsid w:val="00BE6B71"/>
    <w:rsid w:val="00BE7E99"/>
    <w:rsid w:val="00BF0B8A"/>
    <w:rsid w:val="00BF0F8C"/>
    <w:rsid w:val="00BF2913"/>
    <w:rsid w:val="00BF3337"/>
    <w:rsid w:val="00BF33F1"/>
    <w:rsid w:val="00BF3B80"/>
    <w:rsid w:val="00BF5433"/>
    <w:rsid w:val="00BF54BD"/>
    <w:rsid w:val="00BF6289"/>
    <w:rsid w:val="00BF6520"/>
    <w:rsid w:val="00BF74DE"/>
    <w:rsid w:val="00C003C9"/>
    <w:rsid w:val="00C01155"/>
    <w:rsid w:val="00C01AF3"/>
    <w:rsid w:val="00C02BE9"/>
    <w:rsid w:val="00C02DD2"/>
    <w:rsid w:val="00C02FB6"/>
    <w:rsid w:val="00C047A5"/>
    <w:rsid w:val="00C0533E"/>
    <w:rsid w:val="00C069DD"/>
    <w:rsid w:val="00C0771C"/>
    <w:rsid w:val="00C07BFF"/>
    <w:rsid w:val="00C07D10"/>
    <w:rsid w:val="00C07DAD"/>
    <w:rsid w:val="00C1030D"/>
    <w:rsid w:val="00C105B0"/>
    <w:rsid w:val="00C108BA"/>
    <w:rsid w:val="00C1461A"/>
    <w:rsid w:val="00C153CB"/>
    <w:rsid w:val="00C158F6"/>
    <w:rsid w:val="00C160EF"/>
    <w:rsid w:val="00C1619C"/>
    <w:rsid w:val="00C164E7"/>
    <w:rsid w:val="00C16617"/>
    <w:rsid w:val="00C16DB1"/>
    <w:rsid w:val="00C17CC2"/>
    <w:rsid w:val="00C200C6"/>
    <w:rsid w:val="00C20562"/>
    <w:rsid w:val="00C2076C"/>
    <w:rsid w:val="00C211DA"/>
    <w:rsid w:val="00C21F9A"/>
    <w:rsid w:val="00C23DB3"/>
    <w:rsid w:val="00C2412D"/>
    <w:rsid w:val="00C24535"/>
    <w:rsid w:val="00C24F69"/>
    <w:rsid w:val="00C24F72"/>
    <w:rsid w:val="00C268F3"/>
    <w:rsid w:val="00C275EF"/>
    <w:rsid w:val="00C27F1E"/>
    <w:rsid w:val="00C30010"/>
    <w:rsid w:val="00C3167B"/>
    <w:rsid w:val="00C31ED6"/>
    <w:rsid w:val="00C3264C"/>
    <w:rsid w:val="00C34359"/>
    <w:rsid w:val="00C34831"/>
    <w:rsid w:val="00C363D6"/>
    <w:rsid w:val="00C37163"/>
    <w:rsid w:val="00C37C96"/>
    <w:rsid w:val="00C37F79"/>
    <w:rsid w:val="00C419AD"/>
    <w:rsid w:val="00C42632"/>
    <w:rsid w:val="00C43286"/>
    <w:rsid w:val="00C43BAE"/>
    <w:rsid w:val="00C43DFA"/>
    <w:rsid w:val="00C44696"/>
    <w:rsid w:val="00C44CAB"/>
    <w:rsid w:val="00C45817"/>
    <w:rsid w:val="00C45944"/>
    <w:rsid w:val="00C46041"/>
    <w:rsid w:val="00C475CA"/>
    <w:rsid w:val="00C47DA7"/>
    <w:rsid w:val="00C50765"/>
    <w:rsid w:val="00C51A08"/>
    <w:rsid w:val="00C52DAC"/>
    <w:rsid w:val="00C540A1"/>
    <w:rsid w:val="00C55700"/>
    <w:rsid w:val="00C561CD"/>
    <w:rsid w:val="00C5674A"/>
    <w:rsid w:val="00C60B0A"/>
    <w:rsid w:val="00C617A4"/>
    <w:rsid w:val="00C61BD3"/>
    <w:rsid w:val="00C633C0"/>
    <w:rsid w:val="00C63F02"/>
    <w:rsid w:val="00C63FBE"/>
    <w:rsid w:val="00C64069"/>
    <w:rsid w:val="00C645B3"/>
    <w:rsid w:val="00C65096"/>
    <w:rsid w:val="00C65692"/>
    <w:rsid w:val="00C65D9E"/>
    <w:rsid w:val="00C716ED"/>
    <w:rsid w:val="00C71B44"/>
    <w:rsid w:val="00C7221D"/>
    <w:rsid w:val="00C7231F"/>
    <w:rsid w:val="00C72F98"/>
    <w:rsid w:val="00C7316F"/>
    <w:rsid w:val="00C739F1"/>
    <w:rsid w:val="00C73AAA"/>
    <w:rsid w:val="00C758E7"/>
    <w:rsid w:val="00C75AF1"/>
    <w:rsid w:val="00C76DFB"/>
    <w:rsid w:val="00C76DFD"/>
    <w:rsid w:val="00C776A6"/>
    <w:rsid w:val="00C77D2E"/>
    <w:rsid w:val="00C808B2"/>
    <w:rsid w:val="00C827AF"/>
    <w:rsid w:val="00C83EEA"/>
    <w:rsid w:val="00C84E9C"/>
    <w:rsid w:val="00C8641B"/>
    <w:rsid w:val="00C86FE7"/>
    <w:rsid w:val="00C8786D"/>
    <w:rsid w:val="00C87B71"/>
    <w:rsid w:val="00C9042B"/>
    <w:rsid w:val="00C91C97"/>
    <w:rsid w:val="00C92117"/>
    <w:rsid w:val="00C926ED"/>
    <w:rsid w:val="00C93BC1"/>
    <w:rsid w:val="00C942AB"/>
    <w:rsid w:val="00C9467D"/>
    <w:rsid w:val="00C94C26"/>
    <w:rsid w:val="00C96242"/>
    <w:rsid w:val="00C964DB"/>
    <w:rsid w:val="00CA1212"/>
    <w:rsid w:val="00CA1429"/>
    <w:rsid w:val="00CA1C52"/>
    <w:rsid w:val="00CA242F"/>
    <w:rsid w:val="00CA2A58"/>
    <w:rsid w:val="00CA31B4"/>
    <w:rsid w:val="00CA41E5"/>
    <w:rsid w:val="00CA4274"/>
    <w:rsid w:val="00CA4EEB"/>
    <w:rsid w:val="00CA57A2"/>
    <w:rsid w:val="00CA58DF"/>
    <w:rsid w:val="00CA5D46"/>
    <w:rsid w:val="00CA6946"/>
    <w:rsid w:val="00CB0373"/>
    <w:rsid w:val="00CB087B"/>
    <w:rsid w:val="00CB0B54"/>
    <w:rsid w:val="00CB1711"/>
    <w:rsid w:val="00CB176F"/>
    <w:rsid w:val="00CB2744"/>
    <w:rsid w:val="00CB2B42"/>
    <w:rsid w:val="00CB3AC7"/>
    <w:rsid w:val="00CB41F2"/>
    <w:rsid w:val="00CB4BEF"/>
    <w:rsid w:val="00CB52A6"/>
    <w:rsid w:val="00CB5C0B"/>
    <w:rsid w:val="00CB6200"/>
    <w:rsid w:val="00CB6295"/>
    <w:rsid w:val="00CC0778"/>
    <w:rsid w:val="00CC08C0"/>
    <w:rsid w:val="00CC0B7A"/>
    <w:rsid w:val="00CC0EE8"/>
    <w:rsid w:val="00CC16CB"/>
    <w:rsid w:val="00CC2872"/>
    <w:rsid w:val="00CC2951"/>
    <w:rsid w:val="00CC2B37"/>
    <w:rsid w:val="00CC2C73"/>
    <w:rsid w:val="00CC3499"/>
    <w:rsid w:val="00CC39BB"/>
    <w:rsid w:val="00CC3B95"/>
    <w:rsid w:val="00CC407C"/>
    <w:rsid w:val="00CC4E7A"/>
    <w:rsid w:val="00CC5192"/>
    <w:rsid w:val="00CC5846"/>
    <w:rsid w:val="00CC6902"/>
    <w:rsid w:val="00CC6C54"/>
    <w:rsid w:val="00CC74CA"/>
    <w:rsid w:val="00CC793B"/>
    <w:rsid w:val="00CC7D13"/>
    <w:rsid w:val="00CC7DF6"/>
    <w:rsid w:val="00CD0F06"/>
    <w:rsid w:val="00CD364B"/>
    <w:rsid w:val="00CD372D"/>
    <w:rsid w:val="00CD4131"/>
    <w:rsid w:val="00CD59B9"/>
    <w:rsid w:val="00CD6604"/>
    <w:rsid w:val="00CD71A0"/>
    <w:rsid w:val="00CE045E"/>
    <w:rsid w:val="00CE0C5D"/>
    <w:rsid w:val="00CE17AB"/>
    <w:rsid w:val="00CE17B8"/>
    <w:rsid w:val="00CE1CAA"/>
    <w:rsid w:val="00CE20D5"/>
    <w:rsid w:val="00CE3CC0"/>
    <w:rsid w:val="00CE44AA"/>
    <w:rsid w:val="00CE4719"/>
    <w:rsid w:val="00CE56F0"/>
    <w:rsid w:val="00CE5CBF"/>
    <w:rsid w:val="00CE5CC7"/>
    <w:rsid w:val="00CE728C"/>
    <w:rsid w:val="00CE72F5"/>
    <w:rsid w:val="00CE7993"/>
    <w:rsid w:val="00CE799B"/>
    <w:rsid w:val="00CF0079"/>
    <w:rsid w:val="00CF0AAC"/>
    <w:rsid w:val="00CF1076"/>
    <w:rsid w:val="00CF299E"/>
    <w:rsid w:val="00CF3378"/>
    <w:rsid w:val="00CF3D1E"/>
    <w:rsid w:val="00CF444E"/>
    <w:rsid w:val="00CF4AA7"/>
    <w:rsid w:val="00CF4C21"/>
    <w:rsid w:val="00CF4F37"/>
    <w:rsid w:val="00CF570A"/>
    <w:rsid w:val="00CF762F"/>
    <w:rsid w:val="00D00230"/>
    <w:rsid w:val="00D0027E"/>
    <w:rsid w:val="00D009E7"/>
    <w:rsid w:val="00D00CBF"/>
    <w:rsid w:val="00D018A5"/>
    <w:rsid w:val="00D03187"/>
    <w:rsid w:val="00D033DC"/>
    <w:rsid w:val="00D03CE0"/>
    <w:rsid w:val="00D042F1"/>
    <w:rsid w:val="00D04F2B"/>
    <w:rsid w:val="00D05157"/>
    <w:rsid w:val="00D05304"/>
    <w:rsid w:val="00D0543B"/>
    <w:rsid w:val="00D0638B"/>
    <w:rsid w:val="00D063A5"/>
    <w:rsid w:val="00D0682B"/>
    <w:rsid w:val="00D06CF1"/>
    <w:rsid w:val="00D07392"/>
    <w:rsid w:val="00D10CE4"/>
    <w:rsid w:val="00D15130"/>
    <w:rsid w:val="00D1605B"/>
    <w:rsid w:val="00D1673F"/>
    <w:rsid w:val="00D16BE7"/>
    <w:rsid w:val="00D171A1"/>
    <w:rsid w:val="00D17380"/>
    <w:rsid w:val="00D174D8"/>
    <w:rsid w:val="00D17A8F"/>
    <w:rsid w:val="00D20157"/>
    <w:rsid w:val="00D21765"/>
    <w:rsid w:val="00D223D7"/>
    <w:rsid w:val="00D23A5D"/>
    <w:rsid w:val="00D23A97"/>
    <w:rsid w:val="00D23B82"/>
    <w:rsid w:val="00D24BAD"/>
    <w:rsid w:val="00D24C00"/>
    <w:rsid w:val="00D25100"/>
    <w:rsid w:val="00D25DF5"/>
    <w:rsid w:val="00D264BD"/>
    <w:rsid w:val="00D26735"/>
    <w:rsid w:val="00D26841"/>
    <w:rsid w:val="00D26C31"/>
    <w:rsid w:val="00D26CA8"/>
    <w:rsid w:val="00D27A4B"/>
    <w:rsid w:val="00D27E48"/>
    <w:rsid w:val="00D3010B"/>
    <w:rsid w:val="00D30494"/>
    <w:rsid w:val="00D31640"/>
    <w:rsid w:val="00D317C6"/>
    <w:rsid w:val="00D332F1"/>
    <w:rsid w:val="00D34B3C"/>
    <w:rsid w:val="00D35676"/>
    <w:rsid w:val="00D357C1"/>
    <w:rsid w:val="00D35A90"/>
    <w:rsid w:val="00D35B4E"/>
    <w:rsid w:val="00D3703C"/>
    <w:rsid w:val="00D37D3F"/>
    <w:rsid w:val="00D42FBF"/>
    <w:rsid w:val="00D437B4"/>
    <w:rsid w:val="00D4390F"/>
    <w:rsid w:val="00D445B0"/>
    <w:rsid w:val="00D44FC3"/>
    <w:rsid w:val="00D454F7"/>
    <w:rsid w:val="00D4589D"/>
    <w:rsid w:val="00D45DC7"/>
    <w:rsid w:val="00D45E47"/>
    <w:rsid w:val="00D466A4"/>
    <w:rsid w:val="00D46BB5"/>
    <w:rsid w:val="00D5010D"/>
    <w:rsid w:val="00D50EC6"/>
    <w:rsid w:val="00D514FA"/>
    <w:rsid w:val="00D51C2C"/>
    <w:rsid w:val="00D54300"/>
    <w:rsid w:val="00D54A03"/>
    <w:rsid w:val="00D550BA"/>
    <w:rsid w:val="00D552C4"/>
    <w:rsid w:val="00D55BE0"/>
    <w:rsid w:val="00D56217"/>
    <w:rsid w:val="00D56521"/>
    <w:rsid w:val="00D568DD"/>
    <w:rsid w:val="00D57872"/>
    <w:rsid w:val="00D57B9F"/>
    <w:rsid w:val="00D60818"/>
    <w:rsid w:val="00D6107A"/>
    <w:rsid w:val="00D616F2"/>
    <w:rsid w:val="00D62DD9"/>
    <w:rsid w:val="00D655B4"/>
    <w:rsid w:val="00D676B6"/>
    <w:rsid w:val="00D67CE9"/>
    <w:rsid w:val="00D740B5"/>
    <w:rsid w:val="00D75142"/>
    <w:rsid w:val="00D75672"/>
    <w:rsid w:val="00D7621B"/>
    <w:rsid w:val="00D764F8"/>
    <w:rsid w:val="00D8092D"/>
    <w:rsid w:val="00D83665"/>
    <w:rsid w:val="00D865EF"/>
    <w:rsid w:val="00D86B59"/>
    <w:rsid w:val="00D8753D"/>
    <w:rsid w:val="00D94060"/>
    <w:rsid w:val="00D94806"/>
    <w:rsid w:val="00D9630B"/>
    <w:rsid w:val="00DA0BCC"/>
    <w:rsid w:val="00DA185E"/>
    <w:rsid w:val="00DA1B0B"/>
    <w:rsid w:val="00DA2419"/>
    <w:rsid w:val="00DA29D5"/>
    <w:rsid w:val="00DA2C6F"/>
    <w:rsid w:val="00DA36AF"/>
    <w:rsid w:val="00DA419D"/>
    <w:rsid w:val="00DA4A01"/>
    <w:rsid w:val="00DA60F9"/>
    <w:rsid w:val="00DA610D"/>
    <w:rsid w:val="00DA6CC1"/>
    <w:rsid w:val="00DA7204"/>
    <w:rsid w:val="00DA75CE"/>
    <w:rsid w:val="00DA7B48"/>
    <w:rsid w:val="00DB1CE4"/>
    <w:rsid w:val="00DB2EA7"/>
    <w:rsid w:val="00DB31B8"/>
    <w:rsid w:val="00DB45AC"/>
    <w:rsid w:val="00DB473D"/>
    <w:rsid w:val="00DB4845"/>
    <w:rsid w:val="00DB5D92"/>
    <w:rsid w:val="00DB624B"/>
    <w:rsid w:val="00DB6708"/>
    <w:rsid w:val="00DB6DB2"/>
    <w:rsid w:val="00DC0883"/>
    <w:rsid w:val="00DC0D5F"/>
    <w:rsid w:val="00DC14E2"/>
    <w:rsid w:val="00DC1884"/>
    <w:rsid w:val="00DC1A14"/>
    <w:rsid w:val="00DC1A94"/>
    <w:rsid w:val="00DC1DFF"/>
    <w:rsid w:val="00DC3202"/>
    <w:rsid w:val="00DC3304"/>
    <w:rsid w:val="00DC5193"/>
    <w:rsid w:val="00DC5B25"/>
    <w:rsid w:val="00DC60E8"/>
    <w:rsid w:val="00DC71B7"/>
    <w:rsid w:val="00DD00C4"/>
    <w:rsid w:val="00DD0901"/>
    <w:rsid w:val="00DD09B1"/>
    <w:rsid w:val="00DD0DB4"/>
    <w:rsid w:val="00DD1136"/>
    <w:rsid w:val="00DD241B"/>
    <w:rsid w:val="00DD2882"/>
    <w:rsid w:val="00DD3BC5"/>
    <w:rsid w:val="00DD456E"/>
    <w:rsid w:val="00DD4B7B"/>
    <w:rsid w:val="00DD4B95"/>
    <w:rsid w:val="00DD5024"/>
    <w:rsid w:val="00DD567D"/>
    <w:rsid w:val="00DD6AEE"/>
    <w:rsid w:val="00DD701D"/>
    <w:rsid w:val="00DD764F"/>
    <w:rsid w:val="00DD7F83"/>
    <w:rsid w:val="00DE16C2"/>
    <w:rsid w:val="00DE2627"/>
    <w:rsid w:val="00DE26AC"/>
    <w:rsid w:val="00DE276A"/>
    <w:rsid w:val="00DE30AB"/>
    <w:rsid w:val="00DE327C"/>
    <w:rsid w:val="00DE3674"/>
    <w:rsid w:val="00DE3B1C"/>
    <w:rsid w:val="00DE401A"/>
    <w:rsid w:val="00DE451E"/>
    <w:rsid w:val="00DE4BB9"/>
    <w:rsid w:val="00DE539B"/>
    <w:rsid w:val="00DE5619"/>
    <w:rsid w:val="00DE59AE"/>
    <w:rsid w:val="00DE5A88"/>
    <w:rsid w:val="00DE5F94"/>
    <w:rsid w:val="00DE61A5"/>
    <w:rsid w:val="00DE6258"/>
    <w:rsid w:val="00DE62BB"/>
    <w:rsid w:val="00DE6BB6"/>
    <w:rsid w:val="00DE6D87"/>
    <w:rsid w:val="00DE7101"/>
    <w:rsid w:val="00DE7E4F"/>
    <w:rsid w:val="00DF0118"/>
    <w:rsid w:val="00DF04CD"/>
    <w:rsid w:val="00DF299F"/>
    <w:rsid w:val="00DF3ABF"/>
    <w:rsid w:val="00DF41B0"/>
    <w:rsid w:val="00DF4F35"/>
    <w:rsid w:val="00DF58F7"/>
    <w:rsid w:val="00DF6228"/>
    <w:rsid w:val="00DF6F1E"/>
    <w:rsid w:val="00DF732E"/>
    <w:rsid w:val="00DF7921"/>
    <w:rsid w:val="00E00866"/>
    <w:rsid w:val="00E00B1B"/>
    <w:rsid w:val="00E01182"/>
    <w:rsid w:val="00E01833"/>
    <w:rsid w:val="00E018CC"/>
    <w:rsid w:val="00E01B40"/>
    <w:rsid w:val="00E01F6F"/>
    <w:rsid w:val="00E02509"/>
    <w:rsid w:val="00E03F40"/>
    <w:rsid w:val="00E0472C"/>
    <w:rsid w:val="00E04D2A"/>
    <w:rsid w:val="00E05143"/>
    <w:rsid w:val="00E06801"/>
    <w:rsid w:val="00E07904"/>
    <w:rsid w:val="00E07C06"/>
    <w:rsid w:val="00E10FF5"/>
    <w:rsid w:val="00E13856"/>
    <w:rsid w:val="00E13EA9"/>
    <w:rsid w:val="00E1469E"/>
    <w:rsid w:val="00E14985"/>
    <w:rsid w:val="00E14DB1"/>
    <w:rsid w:val="00E14FDC"/>
    <w:rsid w:val="00E15F40"/>
    <w:rsid w:val="00E16025"/>
    <w:rsid w:val="00E17288"/>
    <w:rsid w:val="00E17293"/>
    <w:rsid w:val="00E179BF"/>
    <w:rsid w:val="00E21138"/>
    <w:rsid w:val="00E221A7"/>
    <w:rsid w:val="00E22FB4"/>
    <w:rsid w:val="00E24161"/>
    <w:rsid w:val="00E24257"/>
    <w:rsid w:val="00E248BA"/>
    <w:rsid w:val="00E24AE2"/>
    <w:rsid w:val="00E259BD"/>
    <w:rsid w:val="00E25D8E"/>
    <w:rsid w:val="00E263E3"/>
    <w:rsid w:val="00E2788E"/>
    <w:rsid w:val="00E27EE7"/>
    <w:rsid w:val="00E30123"/>
    <w:rsid w:val="00E30A4B"/>
    <w:rsid w:val="00E30F38"/>
    <w:rsid w:val="00E33BA1"/>
    <w:rsid w:val="00E34513"/>
    <w:rsid w:val="00E34AB3"/>
    <w:rsid w:val="00E34BD1"/>
    <w:rsid w:val="00E35121"/>
    <w:rsid w:val="00E35A4F"/>
    <w:rsid w:val="00E35C6D"/>
    <w:rsid w:val="00E36853"/>
    <w:rsid w:val="00E369A1"/>
    <w:rsid w:val="00E36EC7"/>
    <w:rsid w:val="00E37147"/>
    <w:rsid w:val="00E372F5"/>
    <w:rsid w:val="00E40363"/>
    <w:rsid w:val="00E411D7"/>
    <w:rsid w:val="00E412CC"/>
    <w:rsid w:val="00E41796"/>
    <w:rsid w:val="00E41CB7"/>
    <w:rsid w:val="00E42340"/>
    <w:rsid w:val="00E427D3"/>
    <w:rsid w:val="00E42C99"/>
    <w:rsid w:val="00E42E2C"/>
    <w:rsid w:val="00E433BB"/>
    <w:rsid w:val="00E4357C"/>
    <w:rsid w:val="00E4527C"/>
    <w:rsid w:val="00E465C2"/>
    <w:rsid w:val="00E46E46"/>
    <w:rsid w:val="00E46EED"/>
    <w:rsid w:val="00E47CB1"/>
    <w:rsid w:val="00E51437"/>
    <w:rsid w:val="00E51A42"/>
    <w:rsid w:val="00E51A81"/>
    <w:rsid w:val="00E53C93"/>
    <w:rsid w:val="00E543A8"/>
    <w:rsid w:val="00E55133"/>
    <w:rsid w:val="00E5544C"/>
    <w:rsid w:val="00E5570B"/>
    <w:rsid w:val="00E55EA8"/>
    <w:rsid w:val="00E55F66"/>
    <w:rsid w:val="00E56052"/>
    <w:rsid w:val="00E562E1"/>
    <w:rsid w:val="00E569B0"/>
    <w:rsid w:val="00E57A67"/>
    <w:rsid w:val="00E61DC4"/>
    <w:rsid w:val="00E61E50"/>
    <w:rsid w:val="00E62D1C"/>
    <w:rsid w:val="00E62F28"/>
    <w:rsid w:val="00E632BD"/>
    <w:rsid w:val="00E63789"/>
    <w:rsid w:val="00E63917"/>
    <w:rsid w:val="00E64090"/>
    <w:rsid w:val="00E64FAE"/>
    <w:rsid w:val="00E66407"/>
    <w:rsid w:val="00E66536"/>
    <w:rsid w:val="00E668D6"/>
    <w:rsid w:val="00E66CE5"/>
    <w:rsid w:val="00E66FD3"/>
    <w:rsid w:val="00E67C01"/>
    <w:rsid w:val="00E7111D"/>
    <w:rsid w:val="00E7291E"/>
    <w:rsid w:val="00E7298C"/>
    <w:rsid w:val="00E744A8"/>
    <w:rsid w:val="00E74835"/>
    <w:rsid w:val="00E75481"/>
    <w:rsid w:val="00E76C14"/>
    <w:rsid w:val="00E775BF"/>
    <w:rsid w:val="00E77BE3"/>
    <w:rsid w:val="00E80476"/>
    <w:rsid w:val="00E80EC1"/>
    <w:rsid w:val="00E81A2E"/>
    <w:rsid w:val="00E81B9A"/>
    <w:rsid w:val="00E8391B"/>
    <w:rsid w:val="00E851DE"/>
    <w:rsid w:val="00E854A5"/>
    <w:rsid w:val="00E85D54"/>
    <w:rsid w:val="00E85F45"/>
    <w:rsid w:val="00E85FC2"/>
    <w:rsid w:val="00E877E3"/>
    <w:rsid w:val="00E900CF"/>
    <w:rsid w:val="00E90109"/>
    <w:rsid w:val="00E91638"/>
    <w:rsid w:val="00E91EB1"/>
    <w:rsid w:val="00E92B04"/>
    <w:rsid w:val="00E93A7C"/>
    <w:rsid w:val="00E94C97"/>
    <w:rsid w:val="00E95162"/>
    <w:rsid w:val="00E9657D"/>
    <w:rsid w:val="00E97044"/>
    <w:rsid w:val="00E97D81"/>
    <w:rsid w:val="00EA011C"/>
    <w:rsid w:val="00EA13A7"/>
    <w:rsid w:val="00EA4311"/>
    <w:rsid w:val="00EA5A2A"/>
    <w:rsid w:val="00EA7832"/>
    <w:rsid w:val="00EB2F8A"/>
    <w:rsid w:val="00EB33D9"/>
    <w:rsid w:val="00EB3AAF"/>
    <w:rsid w:val="00EB5FA6"/>
    <w:rsid w:val="00EB62D9"/>
    <w:rsid w:val="00EB6653"/>
    <w:rsid w:val="00EB70A7"/>
    <w:rsid w:val="00EB7579"/>
    <w:rsid w:val="00EC17B3"/>
    <w:rsid w:val="00EC1814"/>
    <w:rsid w:val="00EC1CB7"/>
    <w:rsid w:val="00EC1D76"/>
    <w:rsid w:val="00EC2287"/>
    <w:rsid w:val="00EC26E3"/>
    <w:rsid w:val="00EC2C67"/>
    <w:rsid w:val="00EC3987"/>
    <w:rsid w:val="00EC40F1"/>
    <w:rsid w:val="00EC4B10"/>
    <w:rsid w:val="00EC4C16"/>
    <w:rsid w:val="00EC54BC"/>
    <w:rsid w:val="00EC6002"/>
    <w:rsid w:val="00EC6042"/>
    <w:rsid w:val="00EC61E4"/>
    <w:rsid w:val="00EC64E2"/>
    <w:rsid w:val="00EC66BD"/>
    <w:rsid w:val="00EC722C"/>
    <w:rsid w:val="00EC72A5"/>
    <w:rsid w:val="00EC7434"/>
    <w:rsid w:val="00EC7D14"/>
    <w:rsid w:val="00ED0653"/>
    <w:rsid w:val="00ED06D7"/>
    <w:rsid w:val="00ED1678"/>
    <w:rsid w:val="00ED2005"/>
    <w:rsid w:val="00ED31D2"/>
    <w:rsid w:val="00ED3468"/>
    <w:rsid w:val="00ED49CF"/>
    <w:rsid w:val="00ED4AF5"/>
    <w:rsid w:val="00ED6B2D"/>
    <w:rsid w:val="00ED7777"/>
    <w:rsid w:val="00ED7825"/>
    <w:rsid w:val="00EE0596"/>
    <w:rsid w:val="00EE0AD3"/>
    <w:rsid w:val="00EE1731"/>
    <w:rsid w:val="00EF03D7"/>
    <w:rsid w:val="00EF0702"/>
    <w:rsid w:val="00EF1170"/>
    <w:rsid w:val="00EF11C6"/>
    <w:rsid w:val="00EF1B5C"/>
    <w:rsid w:val="00EF245C"/>
    <w:rsid w:val="00EF2471"/>
    <w:rsid w:val="00EF28CD"/>
    <w:rsid w:val="00EF4054"/>
    <w:rsid w:val="00EF4351"/>
    <w:rsid w:val="00EF4588"/>
    <w:rsid w:val="00EF576A"/>
    <w:rsid w:val="00EF6185"/>
    <w:rsid w:val="00EF6A5B"/>
    <w:rsid w:val="00EF790E"/>
    <w:rsid w:val="00EF7F50"/>
    <w:rsid w:val="00F0070E"/>
    <w:rsid w:val="00F00934"/>
    <w:rsid w:val="00F00E07"/>
    <w:rsid w:val="00F027B2"/>
    <w:rsid w:val="00F0345A"/>
    <w:rsid w:val="00F03E4F"/>
    <w:rsid w:val="00F05663"/>
    <w:rsid w:val="00F05E19"/>
    <w:rsid w:val="00F07FA3"/>
    <w:rsid w:val="00F10392"/>
    <w:rsid w:val="00F10629"/>
    <w:rsid w:val="00F130ED"/>
    <w:rsid w:val="00F14A57"/>
    <w:rsid w:val="00F1506D"/>
    <w:rsid w:val="00F17744"/>
    <w:rsid w:val="00F2075A"/>
    <w:rsid w:val="00F20B3A"/>
    <w:rsid w:val="00F21151"/>
    <w:rsid w:val="00F2188B"/>
    <w:rsid w:val="00F2188D"/>
    <w:rsid w:val="00F226CE"/>
    <w:rsid w:val="00F23E46"/>
    <w:rsid w:val="00F2589E"/>
    <w:rsid w:val="00F25ACA"/>
    <w:rsid w:val="00F26D8F"/>
    <w:rsid w:val="00F27FF1"/>
    <w:rsid w:val="00F30D3C"/>
    <w:rsid w:val="00F31379"/>
    <w:rsid w:val="00F31BD0"/>
    <w:rsid w:val="00F32002"/>
    <w:rsid w:val="00F32BC9"/>
    <w:rsid w:val="00F33E1A"/>
    <w:rsid w:val="00F34D51"/>
    <w:rsid w:val="00F35B6F"/>
    <w:rsid w:val="00F365BF"/>
    <w:rsid w:val="00F4087A"/>
    <w:rsid w:val="00F4160D"/>
    <w:rsid w:val="00F427CA"/>
    <w:rsid w:val="00F430CD"/>
    <w:rsid w:val="00F43A71"/>
    <w:rsid w:val="00F43ABD"/>
    <w:rsid w:val="00F4513C"/>
    <w:rsid w:val="00F4694E"/>
    <w:rsid w:val="00F505EA"/>
    <w:rsid w:val="00F5072E"/>
    <w:rsid w:val="00F50E15"/>
    <w:rsid w:val="00F51185"/>
    <w:rsid w:val="00F5315B"/>
    <w:rsid w:val="00F5396F"/>
    <w:rsid w:val="00F53AA3"/>
    <w:rsid w:val="00F53DFE"/>
    <w:rsid w:val="00F545CC"/>
    <w:rsid w:val="00F55470"/>
    <w:rsid w:val="00F565D5"/>
    <w:rsid w:val="00F56D77"/>
    <w:rsid w:val="00F57F65"/>
    <w:rsid w:val="00F60ACD"/>
    <w:rsid w:val="00F61DF2"/>
    <w:rsid w:val="00F61F28"/>
    <w:rsid w:val="00F62908"/>
    <w:rsid w:val="00F62FF1"/>
    <w:rsid w:val="00F630A4"/>
    <w:rsid w:val="00F6475F"/>
    <w:rsid w:val="00F663A4"/>
    <w:rsid w:val="00F66861"/>
    <w:rsid w:val="00F66A59"/>
    <w:rsid w:val="00F670C2"/>
    <w:rsid w:val="00F67D2A"/>
    <w:rsid w:val="00F70421"/>
    <w:rsid w:val="00F71D21"/>
    <w:rsid w:val="00F72465"/>
    <w:rsid w:val="00F72477"/>
    <w:rsid w:val="00F72CBA"/>
    <w:rsid w:val="00F7369F"/>
    <w:rsid w:val="00F73CD9"/>
    <w:rsid w:val="00F7417E"/>
    <w:rsid w:val="00F768F3"/>
    <w:rsid w:val="00F76A82"/>
    <w:rsid w:val="00F77275"/>
    <w:rsid w:val="00F77669"/>
    <w:rsid w:val="00F77984"/>
    <w:rsid w:val="00F77B4F"/>
    <w:rsid w:val="00F80053"/>
    <w:rsid w:val="00F80525"/>
    <w:rsid w:val="00F80737"/>
    <w:rsid w:val="00F80B53"/>
    <w:rsid w:val="00F8137F"/>
    <w:rsid w:val="00F82483"/>
    <w:rsid w:val="00F85804"/>
    <w:rsid w:val="00F85996"/>
    <w:rsid w:val="00F871F1"/>
    <w:rsid w:val="00F8722B"/>
    <w:rsid w:val="00F90538"/>
    <w:rsid w:val="00F906B8"/>
    <w:rsid w:val="00F90A42"/>
    <w:rsid w:val="00F92265"/>
    <w:rsid w:val="00F92BBE"/>
    <w:rsid w:val="00F93385"/>
    <w:rsid w:val="00F93CBA"/>
    <w:rsid w:val="00F95D6D"/>
    <w:rsid w:val="00F96488"/>
    <w:rsid w:val="00F97198"/>
    <w:rsid w:val="00F978A2"/>
    <w:rsid w:val="00FA06A1"/>
    <w:rsid w:val="00FA1510"/>
    <w:rsid w:val="00FA19EE"/>
    <w:rsid w:val="00FA265A"/>
    <w:rsid w:val="00FA29F2"/>
    <w:rsid w:val="00FA2CC0"/>
    <w:rsid w:val="00FA3BC1"/>
    <w:rsid w:val="00FA3BE8"/>
    <w:rsid w:val="00FA422D"/>
    <w:rsid w:val="00FA49FA"/>
    <w:rsid w:val="00FA4B37"/>
    <w:rsid w:val="00FA5B17"/>
    <w:rsid w:val="00FA5BDE"/>
    <w:rsid w:val="00FA5EFF"/>
    <w:rsid w:val="00FA6184"/>
    <w:rsid w:val="00FA658A"/>
    <w:rsid w:val="00FA6A8A"/>
    <w:rsid w:val="00FA6E3D"/>
    <w:rsid w:val="00FA6F55"/>
    <w:rsid w:val="00FA7496"/>
    <w:rsid w:val="00FA79CA"/>
    <w:rsid w:val="00FA7BC1"/>
    <w:rsid w:val="00FB058A"/>
    <w:rsid w:val="00FB19C6"/>
    <w:rsid w:val="00FB1DC5"/>
    <w:rsid w:val="00FB2579"/>
    <w:rsid w:val="00FB3FE2"/>
    <w:rsid w:val="00FB446A"/>
    <w:rsid w:val="00FB47C4"/>
    <w:rsid w:val="00FB4C06"/>
    <w:rsid w:val="00FB6326"/>
    <w:rsid w:val="00FB6384"/>
    <w:rsid w:val="00FB71FB"/>
    <w:rsid w:val="00FC0186"/>
    <w:rsid w:val="00FC03A6"/>
    <w:rsid w:val="00FC0776"/>
    <w:rsid w:val="00FC0D25"/>
    <w:rsid w:val="00FC0FEB"/>
    <w:rsid w:val="00FC119E"/>
    <w:rsid w:val="00FC1F4A"/>
    <w:rsid w:val="00FC2D68"/>
    <w:rsid w:val="00FC2F20"/>
    <w:rsid w:val="00FC36DC"/>
    <w:rsid w:val="00FC40D0"/>
    <w:rsid w:val="00FC4191"/>
    <w:rsid w:val="00FC4394"/>
    <w:rsid w:val="00FC4D61"/>
    <w:rsid w:val="00FC5BCB"/>
    <w:rsid w:val="00FC69CA"/>
    <w:rsid w:val="00FC742E"/>
    <w:rsid w:val="00FD0F00"/>
    <w:rsid w:val="00FD1020"/>
    <w:rsid w:val="00FD1FA5"/>
    <w:rsid w:val="00FD3E72"/>
    <w:rsid w:val="00FD5DF7"/>
    <w:rsid w:val="00FD67DF"/>
    <w:rsid w:val="00FD74C6"/>
    <w:rsid w:val="00FE015D"/>
    <w:rsid w:val="00FE0D68"/>
    <w:rsid w:val="00FE253F"/>
    <w:rsid w:val="00FE255A"/>
    <w:rsid w:val="00FE2B26"/>
    <w:rsid w:val="00FE3A8F"/>
    <w:rsid w:val="00FE498C"/>
    <w:rsid w:val="00FE59AD"/>
    <w:rsid w:val="00FE616F"/>
    <w:rsid w:val="00FE6A8C"/>
    <w:rsid w:val="00FE7387"/>
    <w:rsid w:val="00FE7B19"/>
    <w:rsid w:val="00FE7B1D"/>
    <w:rsid w:val="00FF0A22"/>
    <w:rsid w:val="00FF0EE8"/>
    <w:rsid w:val="00FF2BDD"/>
    <w:rsid w:val="00FF3244"/>
    <w:rsid w:val="00FF3AEA"/>
    <w:rsid w:val="00FF3CA9"/>
    <w:rsid w:val="00FF4617"/>
    <w:rsid w:val="00FF5911"/>
    <w:rsid w:val="00FF691A"/>
    <w:rsid w:val="00FF727D"/>
    <w:rsid w:val="00FF7334"/>
    <w:rsid w:val="00FF7C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6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1A4"/>
    <w:rPr>
      <w:rFonts w:ascii="Times New Roman" w:hAnsi="Times New Roman"/>
      <w:sz w:val="24"/>
    </w:rPr>
  </w:style>
  <w:style w:type="paragraph" w:styleId="Heading1">
    <w:name w:val="heading 1"/>
    <w:basedOn w:val="Normal"/>
    <w:link w:val="Heading1Char"/>
    <w:uiPriority w:val="9"/>
    <w:qFormat/>
    <w:rsid w:val="00421D75"/>
    <w:pPr>
      <w:spacing w:before="100" w:beforeAutospacing="1" w:after="100" w:afterAutospacing="1" w:line="240" w:lineRule="auto"/>
      <w:outlineLvl w:val="0"/>
    </w:pPr>
    <w:rPr>
      <w:rFonts w:eastAsia="Times New Roman" w:cs="Times New Roman"/>
      <w:b/>
      <w:bCs/>
      <w:kern w:val="36"/>
      <w:sz w:val="28"/>
      <w:szCs w:val="48"/>
      <w:lang w:eastAsia="en-GB"/>
    </w:rPr>
  </w:style>
  <w:style w:type="paragraph" w:styleId="Heading2">
    <w:name w:val="heading 2"/>
    <w:basedOn w:val="Normal"/>
    <w:next w:val="Normal"/>
    <w:link w:val="Heading2Char"/>
    <w:uiPriority w:val="9"/>
    <w:unhideWhenUsed/>
    <w:qFormat/>
    <w:rsid w:val="00A1244C"/>
    <w:pPr>
      <w:keepNext/>
      <w:keepLines/>
      <w:spacing w:before="40" w:after="0" w:line="24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15712"/>
    <w:pPr>
      <w:keepNext/>
      <w:keepLines/>
      <w:spacing w:before="40" w:after="0"/>
      <w:outlineLvl w:val="2"/>
    </w:pPr>
    <w:rPr>
      <w:rFonts w:eastAsiaTheme="majorEastAsia" w:cstheme="majorBidi"/>
      <w:b/>
      <w:i/>
      <w:szCs w:val="24"/>
    </w:rPr>
  </w:style>
  <w:style w:type="paragraph" w:styleId="Heading4">
    <w:name w:val="heading 4"/>
    <w:basedOn w:val="Normal"/>
    <w:next w:val="Normal"/>
    <w:link w:val="Heading4Char"/>
    <w:uiPriority w:val="9"/>
    <w:unhideWhenUsed/>
    <w:qFormat/>
    <w:rsid w:val="00A12C07"/>
    <w:pPr>
      <w:keepNext/>
      <w:keepLines/>
      <w:spacing w:before="40" w:after="0"/>
      <w:outlineLvl w:val="3"/>
    </w:pPr>
    <w:rPr>
      <w:rFonts w:eastAsiaTheme="majorEastAsia" w:cstheme="majorBidi"/>
      <w:b/>
      <w:i/>
      <w:iCs/>
    </w:rPr>
  </w:style>
  <w:style w:type="paragraph" w:styleId="Heading5">
    <w:name w:val="heading 5"/>
    <w:basedOn w:val="Normal"/>
    <w:next w:val="Normal"/>
    <w:link w:val="Heading5Char"/>
    <w:uiPriority w:val="9"/>
    <w:semiHidden/>
    <w:unhideWhenUsed/>
    <w:qFormat/>
    <w:rsid w:val="001C2CB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2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230"/>
  </w:style>
  <w:style w:type="paragraph" w:styleId="Footer">
    <w:name w:val="footer"/>
    <w:basedOn w:val="Normal"/>
    <w:link w:val="FooterChar"/>
    <w:uiPriority w:val="99"/>
    <w:unhideWhenUsed/>
    <w:rsid w:val="007D72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230"/>
  </w:style>
  <w:style w:type="paragraph" w:customStyle="1" w:styleId="Default">
    <w:name w:val="Default"/>
    <w:uiPriority w:val="99"/>
    <w:rsid w:val="007D7230"/>
    <w:pPr>
      <w:autoSpaceDE w:val="0"/>
      <w:autoSpaceDN w:val="0"/>
      <w:adjustRightInd w:val="0"/>
      <w:spacing w:after="0" w:line="240" w:lineRule="auto"/>
    </w:pPr>
    <w:rPr>
      <w:rFonts w:ascii="Calibri" w:eastAsia="Times New Roman" w:hAnsi="Calibri" w:cs="Times New Roman"/>
      <w:color w:val="000000"/>
      <w:sz w:val="24"/>
      <w:szCs w:val="24"/>
      <w:lang w:val="en-US"/>
    </w:rPr>
  </w:style>
  <w:style w:type="character" w:styleId="Hyperlink">
    <w:name w:val="Hyperlink"/>
    <w:basedOn w:val="DefaultParagraphFont"/>
    <w:uiPriority w:val="99"/>
    <w:unhideWhenUsed/>
    <w:rsid w:val="00481C5D"/>
    <w:rPr>
      <w:color w:val="0563C1" w:themeColor="hyperlink"/>
      <w:u w:val="single"/>
    </w:rPr>
  </w:style>
  <w:style w:type="paragraph" w:styleId="BalloonText">
    <w:name w:val="Balloon Text"/>
    <w:basedOn w:val="Normal"/>
    <w:link w:val="BalloonTextChar"/>
    <w:uiPriority w:val="99"/>
    <w:semiHidden/>
    <w:unhideWhenUsed/>
    <w:rsid w:val="00677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DB1"/>
    <w:rPr>
      <w:rFonts w:ascii="Segoe UI" w:hAnsi="Segoe UI" w:cs="Segoe UI"/>
      <w:sz w:val="18"/>
      <w:szCs w:val="18"/>
    </w:rPr>
  </w:style>
  <w:style w:type="paragraph" w:styleId="ListParagraph">
    <w:name w:val="List Paragraph"/>
    <w:basedOn w:val="Normal"/>
    <w:uiPriority w:val="34"/>
    <w:qFormat/>
    <w:rsid w:val="00A1244C"/>
    <w:pPr>
      <w:contextualSpacing/>
    </w:pPr>
  </w:style>
  <w:style w:type="character" w:styleId="FollowedHyperlink">
    <w:name w:val="FollowedHyperlink"/>
    <w:basedOn w:val="DefaultParagraphFont"/>
    <w:uiPriority w:val="99"/>
    <w:semiHidden/>
    <w:unhideWhenUsed/>
    <w:rsid w:val="00D676B6"/>
    <w:rPr>
      <w:color w:val="954F72" w:themeColor="followedHyperlink"/>
      <w:u w:val="single"/>
    </w:rPr>
  </w:style>
  <w:style w:type="character" w:customStyle="1" w:styleId="Heading1Char">
    <w:name w:val="Heading 1 Char"/>
    <w:basedOn w:val="DefaultParagraphFont"/>
    <w:link w:val="Heading1"/>
    <w:uiPriority w:val="9"/>
    <w:rsid w:val="00421D75"/>
    <w:rPr>
      <w:rFonts w:eastAsia="Times New Roman" w:cs="Times New Roman"/>
      <w:b/>
      <w:bCs/>
      <w:kern w:val="36"/>
      <w:sz w:val="28"/>
      <w:szCs w:val="48"/>
      <w:lang w:eastAsia="en-GB"/>
    </w:rPr>
  </w:style>
  <w:style w:type="table" w:styleId="TableGrid">
    <w:name w:val="Table Grid"/>
    <w:basedOn w:val="TableNormal"/>
    <w:uiPriority w:val="59"/>
    <w:rsid w:val="00E6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6603"/>
    <w:rPr>
      <w:sz w:val="16"/>
      <w:szCs w:val="16"/>
    </w:rPr>
  </w:style>
  <w:style w:type="paragraph" w:styleId="CommentText">
    <w:name w:val="annotation text"/>
    <w:basedOn w:val="Normal"/>
    <w:link w:val="CommentTextChar"/>
    <w:uiPriority w:val="99"/>
    <w:unhideWhenUsed/>
    <w:rsid w:val="00A16603"/>
    <w:pPr>
      <w:spacing w:line="240" w:lineRule="auto"/>
    </w:pPr>
    <w:rPr>
      <w:sz w:val="20"/>
      <w:szCs w:val="20"/>
    </w:rPr>
  </w:style>
  <w:style w:type="character" w:customStyle="1" w:styleId="CommentTextChar">
    <w:name w:val="Comment Text Char"/>
    <w:basedOn w:val="DefaultParagraphFont"/>
    <w:link w:val="CommentText"/>
    <w:uiPriority w:val="99"/>
    <w:rsid w:val="00A16603"/>
    <w:rPr>
      <w:sz w:val="20"/>
      <w:szCs w:val="20"/>
    </w:rPr>
  </w:style>
  <w:style w:type="paragraph" w:styleId="CommentSubject">
    <w:name w:val="annotation subject"/>
    <w:basedOn w:val="CommentText"/>
    <w:next w:val="CommentText"/>
    <w:link w:val="CommentSubjectChar"/>
    <w:uiPriority w:val="99"/>
    <w:semiHidden/>
    <w:unhideWhenUsed/>
    <w:rsid w:val="00A16603"/>
    <w:rPr>
      <w:b/>
      <w:bCs/>
    </w:rPr>
  </w:style>
  <w:style w:type="character" w:customStyle="1" w:styleId="CommentSubjectChar">
    <w:name w:val="Comment Subject Char"/>
    <w:basedOn w:val="CommentTextChar"/>
    <w:link w:val="CommentSubject"/>
    <w:uiPriority w:val="99"/>
    <w:semiHidden/>
    <w:rsid w:val="00A16603"/>
    <w:rPr>
      <w:b/>
      <w:bCs/>
      <w:sz w:val="20"/>
      <w:szCs w:val="20"/>
    </w:rPr>
  </w:style>
  <w:style w:type="character" w:customStyle="1" w:styleId="Heading2Char">
    <w:name w:val="Heading 2 Char"/>
    <w:basedOn w:val="DefaultParagraphFont"/>
    <w:link w:val="Heading2"/>
    <w:uiPriority w:val="9"/>
    <w:rsid w:val="00A1244C"/>
    <w:rPr>
      <w:rFonts w:eastAsiaTheme="majorEastAsia" w:cstheme="majorBidi"/>
      <w:b/>
      <w:szCs w:val="26"/>
    </w:rPr>
  </w:style>
  <w:style w:type="character" w:customStyle="1" w:styleId="Heading3Char">
    <w:name w:val="Heading 3 Char"/>
    <w:basedOn w:val="DefaultParagraphFont"/>
    <w:link w:val="Heading3"/>
    <w:uiPriority w:val="9"/>
    <w:rsid w:val="00B15712"/>
    <w:rPr>
      <w:rFonts w:eastAsiaTheme="majorEastAsia" w:cstheme="majorBidi"/>
      <w:b/>
      <w:i/>
      <w:szCs w:val="24"/>
    </w:rPr>
  </w:style>
  <w:style w:type="character" w:styleId="Emphasis">
    <w:name w:val="Emphasis"/>
    <w:basedOn w:val="DefaultParagraphFont"/>
    <w:uiPriority w:val="20"/>
    <w:qFormat/>
    <w:rsid w:val="005C23E3"/>
    <w:rPr>
      <w:i/>
      <w:iCs/>
    </w:rPr>
  </w:style>
  <w:style w:type="paragraph" w:styleId="Revision">
    <w:name w:val="Revision"/>
    <w:hidden/>
    <w:uiPriority w:val="99"/>
    <w:semiHidden/>
    <w:rsid w:val="00455D18"/>
    <w:pPr>
      <w:spacing w:after="0" w:line="240" w:lineRule="auto"/>
    </w:pPr>
  </w:style>
  <w:style w:type="character" w:customStyle="1" w:styleId="op">
    <w:name w:val="op"/>
    <w:basedOn w:val="DefaultParagraphFont"/>
    <w:rsid w:val="00CA4274"/>
  </w:style>
  <w:style w:type="character" w:styleId="PlaceholderText">
    <w:name w:val="Placeholder Text"/>
    <w:basedOn w:val="DefaultParagraphFont"/>
    <w:uiPriority w:val="99"/>
    <w:semiHidden/>
    <w:rsid w:val="00C44696"/>
    <w:rPr>
      <w:color w:val="808080"/>
    </w:rPr>
  </w:style>
  <w:style w:type="character" w:customStyle="1" w:styleId="Heading4Char">
    <w:name w:val="Heading 4 Char"/>
    <w:basedOn w:val="DefaultParagraphFont"/>
    <w:link w:val="Heading4"/>
    <w:uiPriority w:val="9"/>
    <w:rsid w:val="00A12C07"/>
    <w:rPr>
      <w:rFonts w:eastAsiaTheme="majorEastAsia" w:cstheme="majorBidi"/>
      <w:b/>
      <w:i/>
      <w:iCs/>
    </w:rPr>
  </w:style>
  <w:style w:type="character" w:customStyle="1" w:styleId="tgc">
    <w:name w:val="_tgc"/>
    <w:basedOn w:val="DefaultParagraphFont"/>
    <w:rsid w:val="00DE16C2"/>
  </w:style>
  <w:style w:type="paragraph" w:styleId="NormalWeb">
    <w:name w:val="Normal (Web)"/>
    <w:basedOn w:val="Normal"/>
    <w:uiPriority w:val="99"/>
    <w:unhideWhenUsed/>
    <w:rsid w:val="00E744A8"/>
    <w:pPr>
      <w:spacing w:before="100" w:beforeAutospacing="1" w:after="100" w:afterAutospacing="1" w:line="240" w:lineRule="auto"/>
    </w:pPr>
    <w:rPr>
      <w:rFonts w:eastAsiaTheme="minorEastAsia" w:cs="Times New Roman"/>
      <w:szCs w:val="24"/>
      <w:lang w:eastAsia="en-GB"/>
    </w:rPr>
  </w:style>
  <w:style w:type="paragraph" w:styleId="TOCHeading">
    <w:name w:val="TOC Heading"/>
    <w:basedOn w:val="Heading1"/>
    <w:next w:val="Normal"/>
    <w:uiPriority w:val="39"/>
    <w:unhideWhenUsed/>
    <w:qFormat/>
    <w:rsid w:val="00BE4FCD"/>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BE4FCD"/>
    <w:pPr>
      <w:spacing w:after="100"/>
    </w:pPr>
  </w:style>
  <w:style w:type="paragraph" w:styleId="TOC2">
    <w:name w:val="toc 2"/>
    <w:basedOn w:val="Normal"/>
    <w:next w:val="Normal"/>
    <w:autoRedefine/>
    <w:uiPriority w:val="39"/>
    <w:unhideWhenUsed/>
    <w:rsid w:val="00BE4FCD"/>
    <w:pPr>
      <w:spacing w:after="100"/>
      <w:ind w:left="220"/>
    </w:pPr>
  </w:style>
  <w:style w:type="paragraph" w:styleId="TOC3">
    <w:name w:val="toc 3"/>
    <w:basedOn w:val="Normal"/>
    <w:next w:val="Normal"/>
    <w:autoRedefine/>
    <w:uiPriority w:val="39"/>
    <w:unhideWhenUsed/>
    <w:rsid w:val="00BE4FCD"/>
    <w:pPr>
      <w:spacing w:after="100"/>
      <w:ind w:left="440"/>
    </w:pPr>
  </w:style>
  <w:style w:type="paragraph" w:styleId="DocumentMap">
    <w:name w:val="Document Map"/>
    <w:basedOn w:val="Normal"/>
    <w:link w:val="DocumentMapChar"/>
    <w:uiPriority w:val="99"/>
    <w:semiHidden/>
    <w:unhideWhenUsed/>
    <w:rsid w:val="00847D86"/>
    <w:pPr>
      <w:spacing w:after="0" w:line="240" w:lineRule="auto"/>
    </w:pPr>
    <w:rPr>
      <w:rFonts w:cs="Times New Roman"/>
      <w:szCs w:val="24"/>
    </w:rPr>
  </w:style>
  <w:style w:type="character" w:customStyle="1" w:styleId="DocumentMapChar">
    <w:name w:val="Document Map Char"/>
    <w:basedOn w:val="DefaultParagraphFont"/>
    <w:link w:val="DocumentMap"/>
    <w:uiPriority w:val="99"/>
    <w:semiHidden/>
    <w:rsid w:val="00847D86"/>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190B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0B4F"/>
    <w:rPr>
      <w:sz w:val="20"/>
      <w:szCs w:val="20"/>
    </w:rPr>
  </w:style>
  <w:style w:type="character" w:styleId="EndnoteReference">
    <w:name w:val="endnote reference"/>
    <w:basedOn w:val="DefaultParagraphFont"/>
    <w:uiPriority w:val="99"/>
    <w:semiHidden/>
    <w:unhideWhenUsed/>
    <w:rsid w:val="00190B4F"/>
    <w:rPr>
      <w:vertAlign w:val="superscript"/>
    </w:rPr>
  </w:style>
  <w:style w:type="paragraph" w:styleId="FootnoteText">
    <w:name w:val="footnote text"/>
    <w:basedOn w:val="Normal"/>
    <w:link w:val="FootnoteTextChar"/>
    <w:uiPriority w:val="99"/>
    <w:semiHidden/>
    <w:unhideWhenUsed/>
    <w:rsid w:val="00190B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B4F"/>
    <w:rPr>
      <w:sz w:val="20"/>
      <w:szCs w:val="20"/>
    </w:rPr>
  </w:style>
  <w:style w:type="character" w:styleId="FootnoteReference">
    <w:name w:val="footnote reference"/>
    <w:basedOn w:val="DefaultParagraphFont"/>
    <w:uiPriority w:val="99"/>
    <w:semiHidden/>
    <w:unhideWhenUsed/>
    <w:rsid w:val="00190B4F"/>
    <w:rPr>
      <w:vertAlign w:val="superscript"/>
    </w:rPr>
  </w:style>
  <w:style w:type="table" w:customStyle="1" w:styleId="PlainTable2">
    <w:name w:val="Plain Table 2"/>
    <w:basedOn w:val="TableNormal"/>
    <w:uiPriority w:val="42"/>
    <w:rsid w:val="00F90A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TMLCite">
    <w:name w:val="HTML Cite"/>
    <w:basedOn w:val="DefaultParagraphFont"/>
    <w:uiPriority w:val="99"/>
    <w:semiHidden/>
    <w:unhideWhenUsed/>
    <w:rsid w:val="001F434C"/>
    <w:rPr>
      <w:i/>
      <w:iCs/>
    </w:rPr>
  </w:style>
  <w:style w:type="character" w:customStyle="1" w:styleId="highwire-cite-journal">
    <w:name w:val="highwire-cite-journal"/>
    <w:basedOn w:val="DefaultParagraphFont"/>
    <w:rsid w:val="001F434C"/>
  </w:style>
  <w:style w:type="character" w:customStyle="1" w:styleId="highwire-cite-published-year">
    <w:name w:val="highwire-cite-published-year"/>
    <w:basedOn w:val="DefaultParagraphFont"/>
    <w:rsid w:val="001F434C"/>
  </w:style>
  <w:style w:type="character" w:customStyle="1" w:styleId="highwire-cite-volume-issue">
    <w:name w:val="highwire-cite-volume-issue"/>
    <w:basedOn w:val="DefaultParagraphFont"/>
    <w:rsid w:val="001F434C"/>
  </w:style>
  <w:style w:type="character" w:customStyle="1" w:styleId="highwire-cite-doi">
    <w:name w:val="highwire-cite-doi"/>
    <w:basedOn w:val="DefaultParagraphFont"/>
    <w:rsid w:val="001F434C"/>
  </w:style>
  <w:style w:type="character" w:customStyle="1" w:styleId="highwire-cite-date">
    <w:name w:val="highwire-cite-date"/>
    <w:basedOn w:val="DefaultParagraphFont"/>
    <w:rsid w:val="001F434C"/>
  </w:style>
  <w:style w:type="character" w:customStyle="1" w:styleId="highwire-cite-article-as">
    <w:name w:val="highwire-cite-article-as"/>
    <w:basedOn w:val="DefaultParagraphFont"/>
    <w:rsid w:val="001F434C"/>
  </w:style>
  <w:style w:type="character" w:customStyle="1" w:styleId="italic">
    <w:name w:val="italic"/>
    <w:basedOn w:val="DefaultParagraphFont"/>
    <w:rsid w:val="001F434C"/>
  </w:style>
  <w:style w:type="character" w:customStyle="1" w:styleId="hlfld-contribauthor">
    <w:name w:val="hlfld-contribauthor"/>
    <w:basedOn w:val="DefaultParagraphFont"/>
    <w:rsid w:val="001F434C"/>
  </w:style>
  <w:style w:type="character" w:customStyle="1" w:styleId="affiliationslabel">
    <w:name w:val="affiliations__label"/>
    <w:basedOn w:val="DefaultParagraphFont"/>
    <w:rsid w:val="001F434C"/>
  </w:style>
  <w:style w:type="character" w:customStyle="1" w:styleId="epub-sectionitem">
    <w:name w:val="epub-section__item"/>
    <w:basedOn w:val="DefaultParagraphFont"/>
    <w:rsid w:val="001F434C"/>
  </w:style>
  <w:style w:type="character" w:customStyle="1" w:styleId="epub-sectionstate">
    <w:name w:val="epub-section__state"/>
    <w:basedOn w:val="DefaultParagraphFont"/>
    <w:rsid w:val="001F434C"/>
  </w:style>
  <w:style w:type="character" w:customStyle="1" w:styleId="epub-sectiondate">
    <w:name w:val="epub-section__date"/>
    <w:basedOn w:val="DefaultParagraphFont"/>
    <w:rsid w:val="001F434C"/>
  </w:style>
  <w:style w:type="character" w:customStyle="1" w:styleId="epub-sectiontext">
    <w:name w:val="epub-section__text"/>
    <w:basedOn w:val="DefaultParagraphFont"/>
    <w:rsid w:val="001F434C"/>
  </w:style>
  <w:style w:type="character" w:customStyle="1" w:styleId="highlight">
    <w:name w:val="highlight"/>
    <w:basedOn w:val="DefaultParagraphFont"/>
    <w:rsid w:val="00321B7F"/>
  </w:style>
  <w:style w:type="character" w:customStyle="1" w:styleId="Heading5Char">
    <w:name w:val="Heading 5 Char"/>
    <w:basedOn w:val="DefaultParagraphFont"/>
    <w:link w:val="Heading5"/>
    <w:uiPriority w:val="9"/>
    <w:semiHidden/>
    <w:rsid w:val="001C2CBB"/>
    <w:rPr>
      <w:rFonts w:asciiTheme="majorHAnsi" w:eastAsiaTheme="majorEastAsia" w:hAnsiTheme="majorHAnsi" w:cstheme="majorBidi"/>
      <w:color w:val="2E74B5" w:themeColor="accent1" w:themeShade="BF"/>
      <w:sz w:val="24"/>
    </w:rPr>
  </w:style>
  <w:style w:type="character" w:customStyle="1" w:styleId="rust">
    <w:name w:val="rust"/>
    <w:basedOn w:val="DefaultParagraphFont"/>
    <w:rsid w:val="001C2CBB"/>
  </w:style>
  <w:style w:type="character" w:styleId="Strong">
    <w:name w:val="Strong"/>
    <w:basedOn w:val="DefaultParagraphFont"/>
    <w:uiPriority w:val="22"/>
    <w:qFormat/>
    <w:rsid w:val="001C2CBB"/>
    <w:rPr>
      <w:b/>
      <w:bCs/>
    </w:rPr>
  </w:style>
  <w:style w:type="character" w:customStyle="1" w:styleId="dimensionsbadgeembed">
    <w:name w:val="__dimensions_badge_embed__"/>
    <w:basedOn w:val="DefaultParagraphFont"/>
    <w:rsid w:val="001C2CBB"/>
  </w:style>
  <w:style w:type="character" w:customStyle="1" w:styleId="pagesnum">
    <w:name w:val="pagesnum"/>
    <w:basedOn w:val="DefaultParagraphFont"/>
    <w:rsid w:val="001C2C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1A4"/>
    <w:rPr>
      <w:rFonts w:ascii="Times New Roman" w:hAnsi="Times New Roman"/>
      <w:sz w:val="24"/>
    </w:rPr>
  </w:style>
  <w:style w:type="paragraph" w:styleId="Heading1">
    <w:name w:val="heading 1"/>
    <w:basedOn w:val="Normal"/>
    <w:link w:val="Heading1Char"/>
    <w:uiPriority w:val="9"/>
    <w:qFormat/>
    <w:rsid w:val="00421D75"/>
    <w:pPr>
      <w:spacing w:before="100" w:beforeAutospacing="1" w:after="100" w:afterAutospacing="1" w:line="240" w:lineRule="auto"/>
      <w:outlineLvl w:val="0"/>
    </w:pPr>
    <w:rPr>
      <w:rFonts w:eastAsia="Times New Roman" w:cs="Times New Roman"/>
      <w:b/>
      <w:bCs/>
      <w:kern w:val="36"/>
      <w:sz w:val="28"/>
      <w:szCs w:val="48"/>
      <w:lang w:eastAsia="en-GB"/>
    </w:rPr>
  </w:style>
  <w:style w:type="paragraph" w:styleId="Heading2">
    <w:name w:val="heading 2"/>
    <w:basedOn w:val="Normal"/>
    <w:next w:val="Normal"/>
    <w:link w:val="Heading2Char"/>
    <w:uiPriority w:val="9"/>
    <w:unhideWhenUsed/>
    <w:qFormat/>
    <w:rsid w:val="00A1244C"/>
    <w:pPr>
      <w:keepNext/>
      <w:keepLines/>
      <w:spacing w:before="40" w:after="0" w:line="24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15712"/>
    <w:pPr>
      <w:keepNext/>
      <w:keepLines/>
      <w:spacing w:before="40" w:after="0"/>
      <w:outlineLvl w:val="2"/>
    </w:pPr>
    <w:rPr>
      <w:rFonts w:eastAsiaTheme="majorEastAsia" w:cstheme="majorBidi"/>
      <w:b/>
      <w:i/>
      <w:szCs w:val="24"/>
    </w:rPr>
  </w:style>
  <w:style w:type="paragraph" w:styleId="Heading4">
    <w:name w:val="heading 4"/>
    <w:basedOn w:val="Normal"/>
    <w:next w:val="Normal"/>
    <w:link w:val="Heading4Char"/>
    <w:uiPriority w:val="9"/>
    <w:unhideWhenUsed/>
    <w:qFormat/>
    <w:rsid w:val="00A12C07"/>
    <w:pPr>
      <w:keepNext/>
      <w:keepLines/>
      <w:spacing w:before="40" w:after="0"/>
      <w:outlineLvl w:val="3"/>
    </w:pPr>
    <w:rPr>
      <w:rFonts w:eastAsiaTheme="majorEastAsia" w:cstheme="majorBidi"/>
      <w:b/>
      <w:i/>
      <w:iCs/>
    </w:rPr>
  </w:style>
  <w:style w:type="paragraph" w:styleId="Heading5">
    <w:name w:val="heading 5"/>
    <w:basedOn w:val="Normal"/>
    <w:next w:val="Normal"/>
    <w:link w:val="Heading5Char"/>
    <w:uiPriority w:val="9"/>
    <w:semiHidden/>
    <w:unhideWhenUsed/>
    <w:qFormat/>
    <w:rsid w:val="001C2CB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2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230"/>
  </w:style>
  <w:style w:type="paragraph" w:styleId="Footer">
    <w:name w:val="footer"/>
    <w:basedOn w:val="Normal"/>
    <w:link w:val="FooterChar"/>
    <w:uiPriority w:val="99"/>
    <w:unhideWhenUsed/>
    <w:rsid w:val="007D72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230"/>
  </w:style>
  <w:style w:type="paragraph" w:customStyle="1" w:styleId="Default">
    <w:name w:val="Default"/>
    <w:uiPriority w:val="99"/>
    <w:rsid w:val="007D7230"/>
    <w:pPr>
      <w:autoSpaceDE w:val="0"/>
      <w:autoSpaceDN w:val="0"/>
      <w:adjustRightInd w:val="0"/>
      <w:spacing w:after="0" w:line="240" w:lineRule="auto"/>
    </w:pPr>
    <w:rPr>
      <w:rFonts w:ascii="Calibri" w:eastAsia="Times New Roman" w:hAnsi="Calibri" w:cs="Times New Roman"/>
      <w:color w:val="000000"/>
      <w:sz w:val="24"/>
      <w:szCs w:val="24"/>
      <w:lang w:val="en-US"/>
    </w:rPr>
  </w:style>
  <w:style w:type="character" w:styleId="Hyperlink">
    <w:name w:val="Hyperlink"/>
    <w:basedOn w:val="DefaultParagraphFont"/>
    <w:uiPriority w:val="99"/>
    <w:unhideWhenUsed/>
    <w:rsid w:val="00481C5D"/>
    <w:rPr>
      <w:color w:val="0563C1" w:themeColor="hyperlink"/>
      <w:u w:val="single"/>
    </w:rPr>
  </w:style>
  <w:style w:type="paragraph" w:styleId="BalloonText">
    <w:name w:val="Balloon Text"/>
    <w:basedOn w:val="Normal"/>
    <w:link w:val="BalloonTextChar"/>
    <w:uiPriority w:val="99"/>
    <w:semiHidden/>
    <w:unhideWhenUsed/>
    <w:rsid w:val="00677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DB1"/>
    <w:rPr>
      <w:rFonts w:ascii="Segoe UI" w:hAnsi="Segoe UI" w:cs="Segoe UI"/>
      <w:sz w:val="18"/>
      <w:szCs w:val="18"/>
    </w:rPr>
  </w:style>
  <w:style w:type="paragraph" w:styleId="ListParagraph">
    <w:name w:val="List Paragraph"/>
    <w:basedOn w:val="Normal"/>
    <w:uiPriority w:val="34"/>
    <w:qFormat/>
    <w:rsid w:val="00A1244C"/>
    <w:pPr>
      <w:contextualSpacing/>
    </w:pPr>
  </w:style>
  <w:style w:type="character" w:styleId="FollowedHyperlink">
    <w:name w:val="FollowedHyperlink"/>
    <w:basedOn w:val="DefaultParagraphFont"/>
    <w:uiPriority w:val="99"/>
    <w:semiHidden/>
    <w:unhideWhenUsed/>
    <w:rsid w:val="00D676B6"/>
    <w:rPr>
      <w:color w:val="954F72" w:themeColor="followedHyperlink"/>
      <w:u w:val="single"/>
    </w:rPr>
  </w:style>
  <w:style w:type="character" w:customStyle="1" w:styleId="Heading1Char">
    <w:name w:val="Heading 1 Char"/>
    <w:basedOn w:val="DefaultParagraphFont"/>
    <w:link w:val="Heading1"/>
    <w:uiPriority w:val="9"/>
    <w:rsid w:val="00421D75"/>
    <w:rPr>
      <w:rFonts w:eastAsia="Times New Roman" w:cs="Times New Roman"/>
      <w:b/>
      <w:bCs/>
      <w:kern w:val="36"/>
      <w:sz w:val="28"/>
      <w:szCs w:val="48"/>
      <w:lang w:eastAsia="en-GB"/>
    </w:rPr>
  </w:style>
  <w:style w:type="table" w:styleId="TableGrid">
    <w:name w:val="Table Grid"/>
    <w:basedOn w:val="TableNormal"/>
    <w:uiPriority w:val="59"/>
    <w:rsid w:val="00E6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6603"/>
    <w:rPr>
      <w:sz w:val="16"/>
      <w:szCs w:val="16"/>
    </w:rPr>
  </w:style>
  <w:style w:type="paragraph" w:styleId="CommentText">
    <w:name w:val="annotation text"/>
    <w:basedOn w:val="Normal"/>
    <w:link w:val="CommentTextChar"/>
    <w:uiPriority w:val="99"/>
    <w:unhideWhenUsed/>
    <w:rsid w:val="00A16603"/>
    <w:pPr>
      <w:spacing w:line="240" w:lineRule="auto"/>
    </w:pPr>
    <w:rPr>
      <w:sz w:val="20"/>
      <w:szCs w:val="20"/>
    </w:rPr>
  </w:style>
  <w:style w:type="character" w:customStyle="1" w:styleId="CommentTextChar">
    <w:name w:val="Comment Text Char"/>
    <w:basedOn w:val="DefaultParagraphFont"/>
    <w:link w:val="CommentText"/>
    <w:uiPriority w:val="99"/>
    <w:rsid w:val="00A16603"/>
    <w:rPr>
      <w:sz w:val="20"/>
      <w:szCs w:val="20"/>
    </w:rPr>
  </w:style>
  <w:style w:type="paragraph" w:styleId="CommentSubject">
    <w:name w:val="annotation subject"/>
    <w:basedOn w:val="CommentText"/>
    <w:next w:val="CommentText"/>
    <w:link w:val="CommentSubjectChar"/>
    <w:uiPriority w:val="99"/>
    <w:semiHidden/>
    <w:unhideWhenUsed/>
    <w:rsid w:val="00A16603"/>
    <w:rPr>
      <w:b/>
      <w:bCs/>
    </w:rPr>
  </w:style>
  <w:style w:type="character" w:customStyle="1" w:styleId="CommentSubjectChar">
    <w:name w:val="Comment Subject Char"/>
    <w:basedOn w:val="CommentTextChar"/>
    <w:link w:val="CommentSubject"/>
    <w:uiPriority w:val="99"/>
    <w:semiHidden/>
    <w:rsid w:val="00A16603"/>
    <w:rPr>
      <w:b/>
      <w:bCs/>
      <w:sz w:val="20"/>
      <w:szCs w:val="20"/>
    </w:rPr>
  </w:style>
  <w:style w:type="character" w:customStyle="1" w:styleId="Heading2Char">
    <w:name w:val="Heading 2 Char"/>
    <w:basedOn w:val="DefaultParagraphFont"/>
    <w:link w:val="Heading2"/>
    <w:uiPriority w:val="9"/>
    <w:rsid w:val="00A1244C"/>
    <w:rPr>
      <w:rFonts w:eastAsiaTheme="majorEastAsia" w:cstheme="majorBidi"/>
      <w:b/>
      <w:szCs w:val="26"/>
    </w:rPr>
  </w:style>
  <w:style w:type="character" w:customStyle="1" w:styleId="Heading3Char">
    <w:name w:val="Heading 3 Char"/>
    <w:basedOn w:val="DefaultParagraphFont"/>
    <w:link w:val="Heading3"/>
    <w:uiPriority w:val="9"/>
    <w:rsid w:val="00B15712"/>
    <w:rPr>
      <w:rFonts w:eastAsiaTheme="majorEastAsia" w:cstheme="majorBidi"/>
      <w:b/>
      <w:i/>
      <w:szCs w:val="24"/>
    </w:rPr>
  </w:style>
  <w:style w:type="character" w:styleId="Emphasis">
    <w:name w:val="Emphasis"/>
    <w:basedOn w:val="DefaultParagraphFont"/>
    <w:uiPriority w:val="20"/>
    <w:qFormat/>
    <w:rsid w:val="005C23E3"/>
    <w:rPr>
      <w:i/>
      <w:iCs/>
    </w:rPr>
  </w:style>
  <w:style w:type="paragraph" w:styleId="Revision">
    <w:name w:val="Revision"/>
    <w:hidden/>
    <w:uiPriority w:val="99"/>
    <w:semiHidden/>
    <w:rsid w:val="00455D18"/>
    <w:pPr>
      <w:spacing w:after="0" w:line="240" w:lineRule="auto"/>
    </w:pPr>
  </w:style>
  <w:style w:type="character" w:customStyle="1" w:styleId="op">
    <w:name w:val="op"/>
    <w:basedOn w:val="DefaultParagraphFont"/>
    <w:rsid w:val="00CA4274"/>
  </w:style>
  <w:style w:type="character" w:styleId="PlaceholderText">
    <w:name w:val="Placeholder Text"/>
    <w:basedOn w:val="DefaultParagraphFont"/>
    <w:uiPriority w:val="99"/>
    <w:semiHidden/>
    <w:rsid w:val="00C44696"/>
    <w:rPr>
      <w:color w:val="808080"/>
    </w:rPr>
  </w:style>
  <w:style w:type="character" w:customStyle="1" w:styleId="Heading4Char">
    <w:name w:val="Heading 4 Char"/>
    <w:basedOn w:val="DefaultParagraphFont"/>
    <w:link w:val="Heading4"/>
    <w:uiPriority w:val="9"/>
    <w:rsid w:val="00A12C07"/>
    <w:rPr>
      <w:rFonts w:eastAsiaTheme="majorEastAsia" w:cstheme="majorBidi"/>
      <w:b/>
      <w:i/>
      <w:iCs/>
    </w:rPr>
  </w:style>
  <w:style w:type="character" w:customStyle="1" w:styleId="tgc">
    <w:name w:val="_tgc"/>
    <w:basedOn w:val="DefaultParagraphFont"/>
    <w:rsid w:val="00DE16C2"/>
  </w:style>
  <w:style w:type="paragraph" w:styleId="NormalWeb">
    <w:name w:val="Normal (Web)"/>
    <w:basedOn w:val="Normal"/>
    <w:uiPriority w:val="99"/>
    <w:unhideWhenUsed/>
    <w:rsid w:val="00E744A8"/>
    <w:pPr>
      <w:spacing w:before="100" w:beforeAutospacing="1" w:after="100" w:afterAutospacing="1" w:line="240" w:lineRule="auto"/>
    </w:pPr>
    <w:rPr>
      <w:rFonts w:eastAsiaTheme="minorEastAsia" w:cs="Times New Roman"/>
      <w:szCs w:val="24"/>
      <w:lang w:eastAsia="en-GB"/>
    </w:rPr>
  </w:style>
  <w:style w:type="paragraph" w:styleId="TOCHeading">
    <w:name w:val="TOC Heading"/>
    <w:basedOn w:val="Heading1"/>
    <w:next w:val="Normal"/>
    <w:uiPriority w:val="39"/>
    <w:unhideWhenUsed/>
    <w:qFormat/>
    <w:rsid w:val="00BE4FCD"/>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BE4FCD"/>
    <w:pPr>
      <w:spacing w:after="100"/>
    </w:pPr>
  </w:style>
  <w:style w:type="paragraph" w:styleId="TOC2">
    <w:name w:val="toc 2"/>
    <w:basedOn w:val="Normal"/>
    <w:next w:val="Normal"/>
    <w:autoRedefine/>
    <w:uiPriority w:val="39"/>
    <w:unhideWhenUsed/>
    <w:rsid w:val="00BE4FCD"/>
    <w:pPr>
      <w:spacing w:after="100"/>
      <w:ind w:left="220"/>
    </w:pPr>
  </w:style>
  <w:style w:type="paragraph" w:styleId="TOC3">
    <w:name w:val="toc 3"/>
    <w:basedOn w:val="Normal"/>
    <w:next w:val="Normal"/>
    <w:autoRedefine/>
    <w:uiPriority w:val="39"/>
    <w:unhideWhenUsed/>
    <w:rsid w:val="00BE4FCD"/>
    <w:pPr>
      <w:spacing w:after="100"/>
      <w:ind w:left="440"/>
    </w:pPr>
  </w:style>
  <w:style w:type="paragraph" w:styleId="DocumentMap">
    <w:name w:val="Document Map"/>
    <w:basedOn w:val="Normal"/>
    <w:link w:val="DocumentMapChar"/>
    <w:uiPriority w:val="99"/>
    <w:semiHidden/>
    <w:unhideWhenUsed/>
    <w:rsid w:val="00847D86"/>
    <w:pPr>
      <w:spacing w:after="0" w:line="240" w:lineRule="auto"/>
    </w:pPr>
    <w:rPr>
      <w:rFonts w:cs="Times New Roman"/>
      <w:szCs w:val="24"/>
    </w:rPr>
  </w:style>
  <w:style w:type="character" w:customStyle="1" w:styleId="DocumentMapChar">
    <w:name w:val="Document Map Char"/>
    <w:basedOn w:val="DefaultParagraphFont"/>
    <w:link w:val="DocumentMap"/>
    <w:uiPriority w:val="99"/>
    <w:semiHidden/>
    <w:rsid w:val="00847D86"/>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190B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0B4F"/>
    <w:rPr>
      <w:sz w:val="20"/>
      <w:szCs w:val="20"/>
    </w:rPr>
  </w:style>
  <w:style w:type="character" w:styleId="EndnoteReference">
    <w:name w:val="endnote reference"/>
    <w:basedOn w:val="DefaultParagraphFont"/>
    <w:uiPriority w:val="99"/>
    <w:semiHidden/>
    <w:unhideWhenUsed/>
    <w:rsid w:val="00190B4F"/>
    <w:rPr>
      <w:vertAlign w:val="superscript"/>
    </w:rPr>
  </w:style>
  <w:style w:type="paragraph" w:styleId="FootnoteText">
    <w:name w:val="footnote text"/>
    <w:basedOn w:val="Normal"/>
    <w:link w:val="FootnoteTextChar"/>
    <w:uiPriority w:val="99"/>
    <w:semiHidden/>
    <w:unhideWhenUsed/>
    <w:rsid w:val="00190B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B4F"/>
    <w:rPr>
      <w:sz w:val="20"/>
      <w:szCs w:val="20"/>
    </w:rPr>
  </w:style>
  <w:style w:type="character" w:styleId="FootnoteReference">
    <w:name w:val="footnote reference"/>
    <w:basedOn w:val="DefaultParagraphFont"/>
    <w:uiPriority w:val="99"/>
    <w:semiHidden/>
    <w:unhideWhenUsed/>
    <w:rsid w:val="00190B4F"/>
    <w:rPr>
      <w:vertAlign w:val="superscript"/>
    </w:rPr>
  </w:style>
  <w:style w:type="table" w:customStyle="1" w:styleId="PlainTable2">
    <w:name w:val="Plain Table 2"/>
    <w:basedOn w:val="TableNormal"/>
    <w:uiPriority w:val="42"/>
    <w:rsid w:val="00F90A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TMLCite">
    <w:name w:val="HTML Cite"/>
    <w:basedOn w:val="DefaultParagraphFont"/>
    <w:uiPriority w:val="99"/>
    <w:semiHidden/>
    <w:unhideWhenUsed/>
    <w:rsid w:val="001F434C"/>
    <w:rPr>
      <w:i/>
      <w:iCs/>
    </w:rPr>
  </w:style>
  <w:style w:type="character" w:customStyle="1" w:styleId="highwire-cite-journal">
    <w:name w:val="highwire-cite-journal"/>
    <w:basedOn w:val="DefaultParagraphFont"/>
    <w:rsid w:val="001F434C"/>
  </w:style>
  <w:style w:type="character" w:customStyle="1" w:styleId="highwire-cite-published-year">
    <w:name w:val="highwire-cite-published-year"/>
    <w:basedOn w:val="DefaultParagraphFont"/>
    <w:rsid w:val="001F434C"/>
  </w:style>
  <w:style w:type="character" w:customStyle="1" w:styleId="highwire-cite-volume-issue">
    <w:name w:val="highwire-cite-volume-issue"/>
    <w:basedOn w:val="DefaultParagraphFont"/>
    <w:rsid w:val="001F434C"/>
  </w:style>
  <w:style w:type="character" w:customStyle="1" w:styleId="highwire-cite-doi">
    <w:name w:val="highwire-cite-doi"/>
    <w:basedOn w:val="DefaultParagraphFont"/>
    <w:rsid w:val="001F434C"/>
  </w:style>
  <w:style w:type="character" w:customStyle="1" w:styleId="highwire-cite-date">
    <w:name w:val="highwire-cite-date"/>
    <w:basedOn w:val="DefaultParagraphFont"/>
    <w:rsid w:val="001F434C"/>
  </w:style>
  <w:style w:type="character" w:customStyle="1" w:styleId="highwire-cite-article-as">
    <w:name w:val="highwire-cite-article-as"/>
    <w:basedOn w:val="DefaultParagraphFont"/>
    <w:rsid w:val="001F434C"/>
  </w:style>
  <w:style w:type="character" w:customStyle="1" w:styleId="italic">
    <w:name w:val="italic"/>
    <w:basedOn w:val="DefaultParagraphFont"/>
    <w:rsid w:val="001F434C"/>
  </w:style>
  <w:style w:type="character" w:customStyle="1" w:styleId="hlfld-contribauthor">
    <w:name w:val="hlfld-contribauthor"/>
    <w:basedOn w:val="DefaultParagraphFont"/>
    <w:rsid w:val="001F434C"/>
  </w:style>
  <w:style w:type="character" w:customStyle="1" w:styleId="affiliationslabel">
    <w:name w:val="affiliations__label"/>
    <w:basedOn w:val="DefaultParagraphFont"/>
    <w:rsid w:val="001F434C"/>
  </w:style>
  <w:style w:type="character" w:customStyle="1" w:styleId="epub-sectionitem">
    <w:name w:val="epub-section__item"/>
    <w:basedOn w:val="DefaultParagraphFont"/>
    <w:rsid w:val="001F434C"/>
  </w:style>
  <w:style w:type="character" w:customStyle="1" w:styleId="epub-sectionstate">
    <w:name w:val="epub-section__state"/>
    <w:basedOn w:val="DefaultParagraphFont"/>
    <w:rsid w:val="001F434C"/>
  </w:style>
  <w:style w:type="character" w:customStyle="1" w:styleId="epub-sectiondate">
    <w:name w:val="epub-section__date"/>
    <w:basedOn w:val="DefaultParagraphFont"/>
    <w:rsid w:val="001F434C"/>
  </w:style>
  <w:style w:type="character" w:customStyle="1" w:styleId="epub-sectiontext">
    <w:name w:val="epub-section__text"/>
    <w:basedOn w:val="DefaultParagraphFont"/>
    <w:rsid w:val="001F434C"/>
  </w:style>
  <w:style w:type="character" w:customStyle="1" w:styleId="highlight">
    <w:name w:val="highlight"/>
    <w:basedOn w:val="DefaultParagraphFont"/>
    <w:rsid w:val="00321B7F"/>
  </w:style>
  <w:style w:type="character" w:customStyle="1" w:styleId="Heading5Char">
    <w:name w:val="Heading 5 Char"/>
    <w:basedOn w:val="DefaultParagraphFont"/>
    <w:link w:val="Heading5"/>
    <w:uiPriority w:val="9"/>
    <w:semiHidden/>
    <w:rsid w:val="001C2CBB"/>
    <w:rPr>
      <w:rFonts w:asciiTheme="majorHAnsi" w:eastAsiaTheme="majorEastAsia" w:hAnsiTheme="majorHAnsi" w:cstheme="majorBidi"/>
      <w:color w:val="2E74B5" w:themeColor="accent1" w:themeShade="BF"/>
      <w:sz w:val="24"/>
    </w:rPr>
  </w:style>
  <w:style w:type="character" w:customStyle="1" w:styleId="rust">
    <w:name w:val="rust"/>
    <w:basedOn w:val="DefaultParagraphFont"/>
    <w:rsid w:val="001C2CBB"/>
  </w:style>
  <w:style w:type="character" w:styleId="Strong">
    <w:name w:val="Strong"/>
    <w:basedOn w:val="DefaultParagraphFont"/>
    <w:uiPriority w:val="22"/>
    <w:qFormat/>
    <w:rsid w:val="001C2CBB"/>
    <w:rPr>
      <w:b/>
      <w:bCs/>
    </w:rPr>
  </w:style>
  <w:style w:type="character" w:customStyle="1" w:styleId="dimensionsbadgeembed">
    <w:name w:val="__dimensions_badge_embed__"/>
    <w:basedOn w:val="DefaultParagraphFont"/>
    <w:rsid w:val="001C2CBB"/>
  </w:style>
  <w:style w:type="character" w:customStyle="1" w:styleId="pagesnum">
    <w:name w:val="pagesnum"/>
    <w:basedOn w:val="DefaultParagraphFont"/>
    <w:rsid w:val="001C2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8239">
      <w:bodyDiv w:val="1"/>
      <w:marLeft w:val="0"/>
      <w:marRight w:val="0"/>
      <w:marTop w:val="0"/>
      <w:marBottom w:val="0"/>
      <w:divBdr>
        <w:top w:val="none" w:sz="0" w:space="0" w:color="auto"/>
        <w:left w:val="none" w:sz="0" w:space="0" w:color="auto"/>
        <w:bottom w:val="none" w:sz="0" w:space="0" w:color="auto"/>
        <w:right w:val="none" w:sz="0" w:space="0" w:color="auto"/>
      </w:divBdr>
    </w:div>
    <w:div w:id="86584228">
      <w:bodyDiv w:val="1"/>
      <w:marLeft w:val="0"/>
      <w:marRight w:val="0"/>
      <w:marTop w:val="0"/>
      <w:marBottom w:val="0"/>
      <w:divBdr>
        <w:top w:val="none" w:sz="0" w:space="0" w:color="auto"/>
        <w:left w:val="none" w:sz="0" w:space="0" w:color="auto"/>
        <w:bottom w:val="none" w:sz="0" w:space="0" w:color="auto"/>
        <w:right w:val="none" w:sz="0" w:space="0" w:color="auto"/>
      </w:divBdr>
    </w:div>
    <w:div w:id="124855283">
      <w:bodyDiv w:val="1"/>
      <w:marLeft w:val="0"/>
      <w:marRight w:val="0"/>
      <w:marTop w:val="0"/>
      <w:marBottom w:val="0"/>
      <w:divBdr>
        <w:top w:val="none" w:sz="0" w:space="0" w:color="auto"/>
        <w:left w:val="none" w:sz="0" w:space="0" w:color="auto"/>
        <w:bottom w:val="none" w:sz="0" w:space="0" w:color="auto"/>
        <w:right w:val="none" w:sz="0" w:space="0" w:color="auto"/>
      </w:divBdr>
    </w:div>
    <w:div w:id="169222178">
      <w:bodyDiv w:val="1"/>
      <w:marLeft w:val="0"/>
      <w:marRight w:val="0"/>
      <w:marTop w:val="0"/>
      <w:marBottom w:val="0"/>
      <w:divBdr>
        <w:top w:val="none" w:sz="0" w:space="0" w:color="auto"/>
        <w:left w:val="none" w:sz="0" w:space="0" w:color="auto"/>
        <w:bottom w:val="none" w:sz="0" w:space="0" w:color="auto"/>
        <w:right w:val="none" w:sz="0" w:space="0" w:color="auto"/>
      </w:divBdr>
    </w:div>
    <w:div w:id="179902156">
      <w:bodyDiv w:val="1"/>
      <w:marLeft w:val="0"/>
      <w:marRight w:val="0"/>
      <w:marTop w:val="0"/>
      <w:marBottom w:val="0"/>
      <w:divBdr>
        <w:top w:val="none" w:sz="0" w:space="0" w:color="auto"/>
        <w:left w:val="none" w:sz="0" w:space="0" w:color="auto"/>
        <w:bottom w:val="none" w:sz="0" w:space="0" w:color="auto"/>
        <w:right w:val="none" w:sz="0" w:space="0" w:color="auto"/>
      </w:divBdr>
    </w:div>
    <w:div w:id="284965062">
      <w:bodyDiv w:val="1"/>
      <w:marLeft w:val="0"/>
      <w:marRight w:val="0"/>
      <w:marTop w:val="0"/>
      <w:marBottom w:val="0"/>
      <w:divBdr>
        <w:top w:val="none" w:sz="0" w:space="0" w:color="auto"/>
        <w:left w:val="none" w:sz="0" w:space="0" w:color="auto"/>
        <w:bottom w:val="none" w:sz="0" w:space="0" w:color="auto"/>
        <w:right w:val="none" w:sz="0" w:space="0" w:color="auto"/>
      </w:divBdr>
      <w:divsChild>
        <w:div w:id="613638939">
          <w:marLeft w:val="0"/>
          <w:marRight w:val="0"/>
          <w:marTop w:val="0"/>
          <w:marBottom w:val="0"/>
          <w:divBdr>
            <w:top w:val="none" w:sz="0" w:space="0" w:color="auto"/>
            <w:left w:val="none" w:sz="0" w:space="0" w:color="auto"/>
            <w:bottom w:val="none" w:sz="0" w:space="0" w:color="auto"/>
            <w:right w:val="none" w:sz="0" w:space="0" w:color="auto"/>
          </w:divBdr>
        </w:div>
        <w:div w:id="758480885">
          <w:marLeft w:val="0"/>
          <w:marRight w:val="0"/>
          <w:marTop w:val="0"/>
          <w:marBottom w:val="0"/>
          <w:divBdr>
            <w:top w:val="none" w:sz="0" w:space="0" w:color="auto"/>
            <w:left w:val="none" w:sz="0" w:space="0" w:color="auto"/>
            <w:bottom w:val="none" w:sz="0" w:space="0" w:color="auto"/>
            <w:right w:val="none" w:sz="0" w:space="0" w:color="auto"/>
          </w:divBdr>
        </w:div>
        <w:div w:id="823547068">
          <w:marLeft w:val="0"/>
          <w:marRight w:val="0"/>
          <w:marTop w:val="0"/>
          <w:marBottom w:val="0"/>
          <w:divBdr>
            <w:top w:val="none" w:sz="0" w:space="0" w:color="auto"/>
            <w:left w:val="none" w:sz="0" w:space="0" w:color="auto"/>
            <w:bottom w:val="none" w:sz="0" w:space="0" w:color="auto"/>
            <w:right w:val="none" w:sz="0" w:space="0" w:color="auto"/>
          </w:divBdr>
        </w:div>
        <w:div w:id="1173884058">
          <w:marLeft w:val="0"/>
          <w:marRight w:val="0"/>
          <w:marTop w:val="0"/>
          <w:marBottom w:val="0"/>
          <w:divBdr>
            <w:top w:val="none" w:sz="0" w:space="0" w:color="auto"/>
            <w:left w:val="none" w:sz="0" w:space="0" w:color="auto"/>
            <w:bottom w:val="none" w:sz="0" w:space="0" w:color="auto"/>
            <w:right w:val="none" w:sz="0" w:space="0" w:color="auto"/>
          </w:divBdr>
        </w:div>
        <w:div w:id="1366760180">
          <w:marLeft w:val="0"/>
          <w:marRight w:val="0"/>
          <w:marTop w:val="0"/>
          <w:marBottom w:val="0"/>
          <w:divBdr>
            <w:top w:val="none" w:sz="0" w:space="0" w:color="auto"/>
            <w:left w:val="none" w:sz="0" w:space="0" w:color="auto"/>
            <w:bottom w:val="none" w:sz="0" w:space="0" w:color="auto"/>
            <w:right w:val="none" w:sz="0" w:space="0" w:color="auto"/>
          </w:divBdr>
        </w:div>
        <w:div w:id="2051417235">
          <w:marLeft w:val="0"/>
          <w:marRight w:val="0"/>
          <w:marTop w:val="0"/>
          <w:marBottom w:val="0"/>
          <w:divBdr>
            <w:top w:val="none" w:sz="0" w:space="0" w:color="auto"/>
            <w:left w:val="none" w:sz="0" w:space="0" w:color="auto"/>
            <w:bottom w:val="none" w:sz="0" w:space="0" w:color="auto"/>
            <w:right w:val="none" w:sz="0" w:space="0" w:color="auto"/>
          </w:divBdr>
        </w:div>
      </w:divsChild>
    </w:div>
    <w:div w:id="308479448">
      <w:bodyDiv w:val="1"/>
      <w:marLeft w:val="0"/>
      <w:marRight w:val="0"/>
      <w:marTop w:val="0"/>
      <w:marBottom w:val="0"/>
      <w:divBdr>
        <w:top w:val="none" w:sz="0" w:space="0" w:color="auto"/>
        <w:left w:val="none" w:sz="0" w:space="0" w:color="auto"/>
        <w:bottom w:val="none" w:sz="0" w:space="0" w:color="auto"/>
        <w:right w:val="none" w:sz="0" w:space="0" w:color="auto"/>
      </w:divBdr>
    </w:div>
    <w:div w:id="313264921">
      <w:bodyDiv w:val="1"/>
      <w:marLeft w:val="0"/>
      <w:marRight w:val="0"/>
      <w:marTop w:val="0"/>
      <w:marBottom w:val="0"/>
      <w:divBdr>
        <w:top w:val="none" w:sz="0" w:space="0" w:color="auto"/>
        <w:left w:val="none" w:sz="0" w:space="0" w:color="auto"/>
        <w:bottom w:val="none" w:sz="0" w:space="0" w:color="auto"/>
        <w:right w:val="none" w:sz="0" w:space="0" w:color="auto"/>
      </w:divBdr>
    </w:div>
    <w:div w:id="364866988">
      <w:bodyDiv w:val="1"/>
      <w:marLeft w:val="0"/>
      <w:marRight w:val="0"/>
      <w:marTop w:val="0"/>
      <w:marBottom w:val="0"/>
      <w:divBdr>
        <w:top w:val="none" w:sz="0" w:space="0" w:color="auto"/>
        <w:left w:val="none" w:sz="0" w:space="0" w:color="auto"/>
        <w:bottom w:val="none" w:sz="0" w:space="0" w:color="auto"/>
        <w:right w:val="none" w:sz="0" w:space="0" w:color="auto"/>
      </w:divBdr>
      <w:divsChild>
        <w:div w:id="128714964">
          <w:marLeft w:val="0"/>
          <w:marRight w:val="0"/>
          <w:marTop w:val="0"/>
          <w:marBottom w:val="0"/>
          <w:divBdr>
            <w:top w:val="none" w:sz="0" w:space="0" w:color="auto"/>
            <w:left w:val="none" w:sz="0" w:space="0" w:color="auto"/>
            <w:bottom w:val="none" w:sz="0" w:space="0" w:color="auto"/>
            <w:right w:val="none" w:sz="0" w:space="0" w:color="auto"/>
          </w:divBdr>
        </w:div>
        <w:div w:id="272323298">
          <w:marLeft w:val="0"/>
          <w:marRight w:val="0"/>
          <w:marTop w:val="0"/>
          <w:marBottom w:val="0"/>
          <w:divBdr>
            <w:top w:val="none" w:sz="0" w:space="0" w:color="auto"/>
            <w:left w:val="none" w:sz="0" w:space="0" w:color="auto"/>
            <w:bottom w:val="none" w:sz="0" w:space="0" w:color="auto"/>
            <w:right w:val="none" w:sz="0" w:space="0" w:color="auto"/>
          </w:divBdr>
        </w:div>
        <w:div w:id="327639904">
          <w:marLeft w:val="0"/>
          <w:marRight w:val="0"/>
          <w:marTop w:val="0"/>
          <w:marBottom w:val="0"/>
          <w:divBdr>
            <w:top w:val="none" w:sz="0" w:space="0" w:color="auto"/>
            <w:left w:val="none" w:sz="0" w:space="0" w:color="auto"/>
            <w:bottom w:val="none" w:sz="0" w:space="0" w:color="auto"/>
            <w:right w:val="none" w:sz="0" w:space="0" w:color="auto"/>
          </w:divBdr>
        </w:div>
        <w:div w:id="415060334">
          <w:marLeft w:val="0"/>
          <w:marRight w:val="0"/>
          <w:marTop w:val="0"/>
          <w:marBottom w:val="0"/>
          <w:divBdr>
            <w:top w:val="none" w:sz="0" w:space="0" w:color="auto"/>
            <w:left w:val="none" w:sz="0" w:space="0" w:color="auto"/>
            <w:bottom w:val="none" w:sz="0" w:space="0" w:color="auto"/>
            <w:right w:val="none" w:sz="0" w:space="0" w:color="auto"/>
          </w:divBdr>
        </w:div>
        <w:div w:id="585651346">
          <w:marLeft w:val="0"/>
          <w:marRight w:val="0"/>
          <w:marTop w:val="0"/>
          <w:marBottom w:val="0"/>
          <w:divBdr>
            <w:top w:val="none" w:sz="0" w:space="0" w:color="auto"/>
            <w:left w:val="none" w:sz="0" w:space="0" w:color="auto"/>
            <w:bottom w:val="none" w:sz="0" w:space="0" w:color="auto"/>
            <w:right w:val="none" w:sz="0" w:space="0" w:color="auto"/>
          </w:divBdr>
        </w:div>
        <w:div w:id="635261355">
          <w:marLeft w:val="0"/>
          <w:marRight w:val="0"/>
          <w:marTop w:val="0"/>
          <w:marBottom w:val="0"/>
          <w:divBdr>
            <w:top w:val="none" w:sz="0" w:space="0" w:color="auto"/>
            <w:left w:val="none" w:sz="0" w:space="0" w:color="auto"/>
            <w:bottom w:val="none" w:sz="0" w:space="0" w:color="auto"/>
            <w:right w:val="none" w:sz="0" w:space="0" w:color="auto"/>
          </w:divBdr>
        </w:div>
        <w:div w:id="835416674">
          <w:marLeft w:val="0"/>
          <w:marRight w:val="0"/>
          <w:marTop w:val="0"/>
          <w:marBottom w:val="0"/>
          <w:divBdr>
            <w:top w:val="none" w:sz="0" w:space="0" w:color="auto"/>
            <w:left w:val="none" w:sz="0" w:space="0" w:color="auto"/>
            <w:bottom w:val="none" w:sz="0" w:space="0" w:color="auto"/>
            <w:right w:val="none" w:sz="0" w:space="0" w:color="auto"/>
          </w:divBdr>
        </w:div>
        <w:div w:id="847864805">
          <w:marLeft w:val="0"/>
          <w:marRight w:val="0"/>
          <w:marTop w:val="0"/>
          <w:marBottom w:val="0"/>
          <w:divBdr>
            <w:top w:val="none" w:sz="0" w:space="0" w:color="auto"/>
            <w:left w:val="none" w:sz="0" w:space="0" w:color="auto"/>
            <w:bottom w:val="none" w:sz="0" w:space="0" w:color="auto"/>
            <w:right w:val="none" w:sz="0" w:space="0" w:color="auto"/>
          </w:divBdr>
        </w:div>
        <w:div w:id="911355420">
          <w:marLeft w:val="0"/>
          <w:marRight w:val="0"/>
          <w:marTop w:val="0"/>
          <w:marBottom w:val="0"/>
          <w:divBdr>
            <w:top w:val="none" w:sz="0" w:space="0" w:color="auto"/>
            <w:left w:val="none" w:sz="0" w:space="0" w:color="auto"/>
            <w:bottom w:val="none" w:sz="0" w:space="0" w:color="auto"/>
            <w:right w:val="none" w:sz="0" w:space="0" w:color="auto"/>
          </w:divBdr>
        </w:div>
        <w:div w:id="927809023">
          <w:marLeft w:val="0"/>
          <w:marRight w:val="0"/>
          <w:marTop w:val="0"/>
          <w:marBottom w:val="0"/>
          <w:divBdr>
            <w:top w:val="none" w:sz="0" w:space="0" w:color="auto"/>
            <w:left w:val="none" w:sz="0" w:space="0" w:color="auto"/>
            <w:bottom w:val="none" w:sz="0" w:space="0" w:color="auto"/>
            <w:right w:val="none" w:sz="0" w:space="0" w:color="auto"/>
          </w:divBdr>
        </w:div>
        <w:div w:id="962275444">
          <w:marLeft w:val="0"/>
          <w:marRight w:val="0"/>
          <w:marTop w:val="0"/>
          <w:marBottom w:val="0"/>
          <w:divBdr>
            <w:top w:val="none" w:sz="0" w:space="0" w:color="auto"/>
            <w:left w:val="none" w:sz="0" w:space="0" w:color="auto"/>
            <w:bottom w:val="none" w:sz="0" w:space="0" w:color="auto"/>
            <w:right w:val="none" w:sz="0" w:space="0" w:color="auto"/>
          </w:divBdr>
        </w:div>
        <w:div w:id="996225366">
          <w:marLeft w:val="0"/>
          <w:marRight w:val="0"/>
          <w:marTop w:val="0"/>
          <w:marBottom w:val="0"/>
          <w:divBdr>
            <w:top w:val="none" w:sz="0" w:space="0" w:color="auto"/>
            <w:left w:val="none" w:sz="0" w:space="0" w:color="auto"/>
            <w:bottom w:val="none" w:sz="0" w:space="0" w:color="auto"/>
            <w:right w:val="none" w:sz="0" w:space="0" w:color="auto"/>
          </w:divBdr>
        </w:div>
        <w:div w:id="1013074511">
          <w:marLeft w:val="0"/>
          <w:marRight w:val="0"/>
          <w:marTop w:val="0"/>
          <w:marBottom w:val="0"/>
          <w:divBdr>
            <w:top w:val="none" w:sz="0" w:space="0" w:color="auto"/>
            <w:left w:val="none" w:sz="0" w:space="0" w:color="auto"/>
            <w:bottom w:val="none" w:sz="0" w:space="0" w:color="auto"/>
            <w:right w:val="none" w:sz="0" w:space="0" w:color="auto"/>
          </w:divBdr>
        </w:div>
        <w:div w:id="1035546855">
          <w:marLeft w:val="0"/>
          <w:marRight w:val="0"/>
          <w:marTop w:val="0"/>
          <w:marBottom w:val="0"/>
          <w:divBdr>
            <w:top w:val="none" w:sz="0" w:space="0" w:color="auto"/>
            <w:left w:val="none" w:sz="0" w:space="0" w:color="auto"/>
            <w:bottom w:val="none" w:sz="0" w:space="0" w:color="auto"/>
            <w:right w:val="none" w:sz="0" w:space="0" w:color="auto"/>
          </w:divBdr>
        </w:div>
        <w:div w:id="1174759621">
          <w:marLeft w:val="0"/>
          <w:marRight w:val="0"/>
          <w:marTop w:val="0"/>
          <w:marBottom w:val="0"/>
          <w:divBdr>
            <w:top w:val="none" w:sz="0" w:space="0" w:color="auto"/>
            <w:left w:val="none" w:sz="0" w:space="0" w:color="auto"/>
            <w:bottom w:val="none" w:sz="0" w:space="0" w:color="auto"/>
            <w:right w:val="none" w:sz="0" w:space="0" w:color="auto"/>
          </w:divBdr>
        </w:div>
        <w:div w:id="1246040095">
          <w:marLeft w:val="0"/>
          <w:marRight w:val="0"/>
          <w:marTop w:val="0"/>
          <w:marBottom w:val="0"/>
          <w:divBdr>
            <w:top w:val="none" w:sz="0" w:space="0" w:color="auto"/>
            <w:left w:val="none" w:sz="0" w:space="0" w:color="auto"/>
            <w:bottom w:val="none" w:sz="0" w:space="0" w:color="auto"/>
            <w:right w:val="none" w:sz="0" w:space="0" w:color="auto"/>
          </w:divBdr>
        </w:div>
        <w:div w:id="1402630914">
          <w:marLeft w:val="0"/>
          <w:marRight w:val="0"/>
          <w:marTop w:val="0"/>
          <w:marBottom w:val="0"/>
          <w:divBdr>
            <w:top w:val="none" w:sz="0" w:space="0" w:color="auto"/>
            <w:left w:val="none" w:sz="0" w:space="0" w:color="auto"/>
            <w:bottom w:val="none" w:sz="0" w:space="0" w:color="auto"/>
            <w:right w:val="none" w:sz="0" w:space="0" w:color="auto"/>
          </w:divBdr>
        </w:div>
        <w:div w:id="1478841596">
          <w:marLeft w:val="0"/>
          <w:marRight w:val="0"/>
          <w:marTop w:val="0"/>
          <w:marBottom w:val="0"/>
          <w:divBdr>
            <w:top w:val="none" w:sz="0" w:space="0" w:color="auto"/>
            <w:left w:val="none" w:sz="0" w:space="0" w:color="auto"/>
            <w:bottom w:val="none" w:sz="0" w:space="0" w:color="auto"/>
            <w:right w:val="none" w:sz="0" w:space="0" w:color="auto"/>
          </w:divBdr>
        </w:div>
        <w:div w:id="1559515275">
          <w:marLeft w:val="0"/>
          <w:marRight w:val="0"/>
          <w:marTop w:val="0"/>
          <w:marBottom w:val="0"/>
          <w:divBdr>
            <w:top w:val="none" w:sz="0" w:space="0" w:color="auto"/>
            <w:left w:val="none" w:sz="0" w:space="0" w:color="auto"/>
            <w:bottom w:val="none" w:sz="0" w:space="0" w:color="auto"/>
            <w:right w:val="none" w:sz="0" w:space="0" w:color="auto"/>
          </w:divBdr>
        </w:div>
        <w:div w:id="1594506265">
          <w:marLeft w:val="0"/>
          <w:marRight w:val="0"/>
          <w:marTop w:val="0"/>
          <w:marBottom w:val="0"/>
          <w:divBdr>
            <w:top w:val="none" w:sz="0" w:space="0" w:color="auto"/>
            <w:left w:val="none" w:sz="0" w:space="0" w:color="auto"/>
            <w:bottom w:val="none" w:sz="0" w:space="0" w:color="auto"/>
            <w:right w:val="none" w:sz="0" w:space="0" w:color="auto"/>
          </w:divBdr>
        </w:div>
        <w:div w:id="1838493473">
          <w:marLeft w:val="0"/>
          <w:marRight w:val="0"/>
          <w:marTop w:val="0"/>
          <w:marBottom w:val="0"/>
          <w:divBdr>
            <w:top w:val="none" w:sz="0" w:space="0" w:color="auto"/>
            <w:left w:val="none" w:sz="0" w:space="0" w:color="auto"/>
            <w:bottom w:val="none" w:sz="0" w:space="0" w:color="auto"/>
            <w:right w:val="none" w:sz="0" w:space="0" w:color="auto"/>
          </w:divBdr>
        </w:div>
        <w:div w:id="1871724907">
          <w:marLeft w:val="0"/>
          <w:marRight w:val="0"/>
          <w:marTop w:val="0"/>
          <w:marBottom w:val="0"/>
          <w:divBdr>
            <w:top w:val="none" w:sz="0" w:space="0" w:color="auto"/>
            <w:left w:val="none" w:sz="0" w:space="0" w:color="auto"/>
            <w:bottom w:val="none" w:sz="0" w:space="0" w:color="auto"/>
            <w:right w:val="none" w:sz="0" w:space="0" w:color="auto"/>
          </w:divBdr>
        </w:div>
        <w:div w:id="1933659453">
          <w:marLeft w:val="0"/>
          <w:marRight w:val="0"/>
          <w:marTop w:val="0"/>
          <w:marBottom w:val="0"/>
          <w:divBdr>
            <w:top w:val="none" w:sz="0" w:space="0" w:color="auto"/>
            <w:left w:val="none" w:sz="0" w:space="0" w:color="auto"/>
            <w:bottom w:val="none" w:sz="0" w:space="0" w:color="auto"/>
            <w:right w:val="none" w:sz="0" w:space="0" w:color="auto"/>
          </w:divBdr>
        </w:div>
        <w:div w:id="2018187728">
          <w:marLeft w:val="0"/>
          <w:marRight w:val="0"/>
          <w:marTop w:val="0"/>
          <w:marBottom w:val="0"/>
          <w:divBdr>
            <w:top w:val="none" w:sz="0" w:space="0" w:color="auto"/>
            <w:left w:val="none" w:sz="0" w:space="0" w:color="auto"/>
            <w:bottom w:val="none" w:sz="0" w:space="0" w:color="auto"/>
            <w:right w:val="none" w:sz="0" w:space="0" w:color="auto"/>
          </w:divBdr>
        </w:div>
        <w:div w:id="2063821675">
          <w:marLeft w:val="0"/>
          <w:marRight w:val="0"/>
          <w:marTop w:val="0"/>
          <w:marBottom w:val="0"/>
          <w:divBdr>
            <w:top w:val="none" w:sz="0" w:space="0" w:color="auto"/>
            <w:left w:val="none" w:sz="0" w:space="0" w:color="auto"/>
            <w:bottom w:val="none" w:sz="0" w:space="0" w:color="auto"/>
            <w:right w:val="none" w:sz="0" w:space="0" w:color="auto"/>
          </w:divBdr>
        </w:div>
        <w:div w:id="2127310025">
          <w:marLeft w:val="0"/>
          <w:marRight w:val="0"/>
          <w:marTop w:val="0"/>
          <w:marBottom w:val="0"/>
          <w:divBdr>
            <w:top w:val="none" w:sz="0" w:space="0" w:color="auto"/>
            <w:left w:val="none" w:sz="0" w:space="0" w:color="auto"/>
            <w:bottom w:val="none" w:sz="0" w:space="0" w:color="auto"/>
            <w:right w:val="none" w:sz="0" w:space="0" w:color="auto"/>
          </w:divBdr>
        </w:div>
        <w:div w:id="2135517101">
          <w:marLeft w:val="0"/>
          <w:marRight w:val="0"/>
          <w:marTop w:val="0"/>
          <w:marBottom w:val="0"/>
          <w:divBdr>
            <w:top w:val="none" w:sz="0" w:space="0" w:color="auto"/>
            <w:left w:val="none" w:sz="0" w:space="0" w:color="auto"/>
            <w:bottom w:val="none" w:sz="0" w:space="0" w:color="auto"/>
            <w:right w:val="none" w:sz="0" w:space="0" w:color="auto"/>
          </w:divBdr>
        </w:div>
      </w:divsChild>
    </w:div>
    <w:div w:id="474299224">
      <w:bodyDiv w:val="1"/>
      <w:marLeft w:val="0"/>
      <w:marRight w:val="0"/>
      <w:marTop w:val="0"/>
      <w:marBottom w:val="0"/>
      <w:divBdr>
        <w:top w:val="none" w:sz="0" w:space="0" w:color="auto"/>
        <w:left w:val="none" w:sz="0" w:space="0" w:color="auto"/>
        <w:bottom w:val="none" w:sz="0" w:space="0" w:color="auto"/>
        <w:right w:val="none" w:sz="0" w:space="0" w:color="auto"/>
      </w:divBdr>
    </w:div>
    <w:div w:id="513881202">
      <w:bodyDiv w:val="1"/>
      <w:marLeft w:val="0"/>
      <w:marRight w:val="0"/>
      <w:marTop w:val="0"/>
      <w:marBottom w:val="0"/>
      <w:divBdr>
        <w:top w:val="none" w:sz="0" w:space="0" w:color="auto"/>
        <w:left w:val="none" w:sz="0" w:space="0" w:color="auto"/>
        <w:bottom w:val="none" w:sz="0" w:space="0" w:color="auto"/>
        <w:right w:val="none" w:sz="0" w:space="0" w:color="auto"/>
      </w:divBdr>
    </w:div>
    <w:div w:id="531649562">
      <w:bodyDiv w:val="1"/>
      <w:marLeft w:val="0"/>
      <w:marRight w:val="0"/>
      <w:marTop w:val="0"/>
      <w:marBottom w:val="0"/>
      <w:divBdr>
        <w:top w:val="none" w:sz="0" w:space="0" w:color="auto"/>
        <w:left w:val="none" w:sz="0" w:space="0" w:color="auto"/>
        <w:bottom w:val="none" w:sz="0" w:space="0" w:color="auto"/>
        <w:right w:val="none" w:sz="0" w:space="0" w:color="auto"/>
      </w:divBdr>
    </w:div>
    <w:div w:id="607391294">
      <w:bodyDiv w:val="1"/>
      <w:marLeft w:val="0"/>
      <w:marRight w:val="0"/>
      <w:marTop w:val="0"/>
      <w:marBottom w:val="0"/>
      <w:divBdr>
        <w:top w:val="none" w:sz="0" w:space="0" w:color="auto"/>
        <w:left w:val="none" w:sz="0" w:space="0" w:color="auto"/>
        <w:bottom w:val="none" w:sz="0" w:space="0" w:color="auto"/>
        <w:right w:val="none" w:sz="0" w:space="0" w:color="auto"/>
      </w:divBdr>
    </w:div>
    <w:div w:id="631639260">
      <w:bodyDiv w:val="1"/>
      <w:marLeft w:val="0"/>
      <w:marRight w:val="0"/>
      <w:marTop w:val="0"/>
      <w:marBottom w:val="0"/>
      <w:divBdr>
        <w:top w:val="none" w:sz="0" w:space="0" w:color="auto"/>
        <w:left w:val="none" w:sz="0" w:space="0" w:color="auto"/>
        <w:bottom w:val="none" w:sz="0" w:space="0" w:color="auto"/>
        <w:right w:val="none" w:sz="0" w:space="0" w:color="auto"/>
      </w:divBdr>
      <w:divsChild>
        <w:div w:id="78260624">
          <w:marLeft w:val="0"/>
          <w:marRight w:val="0"/>
          <w:marTop w:val="0"/>
          <w:marBottom w:val="0"/>
          <w:divBdr>
            <w:top w:val="none" w:sz="0" w:space="0" w:color="auto"/>
            <w:left w:val="none" w:sz="0" w:space="0" w:color="auto"/>
            <w:bottom w:val="none" w:sz="0" w:space="0" w:color="auto"/>
            <w:right w:val="none" w:sz="0" w:space="0" w:color="auto"/>
          </w:divBdr>
        </w:div>
        <w:div w:id="94332379">
          <w:marLeft w:val="0"/>
          <w:marRight w:val="0"/>
          <w:marTop w:val="0"/>
          <w:marBottom w:val="0"/>
          <w:divBdr>
            <w:top w:val="none" w:sz="0" w:space="0" w:color="auto"/>
            <w:left w:val="none" w:sz="0" w:space="0" w:color="auto"/>
            <w:bottom w:val="none" w:sz="0" w:space="0" w:color="auto"/>
            <w:right w:val="none" w:sz="0" w:space="0" w:color="auto"/>
          </w:divBdr>
        </w:div>
        <w:div w:id="444662613">
          <w:marLeft w:val="0"/>
          <w:marRight w:val="0"/>
          <w:marTop w:val="0"/>
          <w:marBottom w:val="0"/>
          <w:divBdr>
            <w:top w:val="none" w:sz="0" w:space="0" w:color="auto"/>
            <w:left w:val="none" w:sz="0" w:space="0" w:color="auto"/>
            <w:bottom w:val="none" w:sz="0" w:space="0" w:color="auto"/>
            <w:right w:val="none" w:sz="0" w:space="0" w:color="auto"/>
          </w:divBdr>
        </w:div>
        <w:div w:id="469636192">
          <w:marLeft w:val="0"/>
          <w:marRight w:val="0"/>
          <w:marTop w:val="0"/>
          <w:marBottom w:val="0"/>
          <w:divBdr>
            <w:top w:val="none" w:sz="0" w:space="0" w:color="auto"/>
            <w:left w:val="none" w:sz="0" w:space="0" w:color="auto"/>
            <w:bottom w:val="none" w:sz="0" w:space="0" w:color="auto"/>
            <w:right w:val="none" w:sz="0" w:space="0" w:color="auto"/>
          </w:divBdr>
        </w:div>
        <w:div w:id="558445136">
          <w:marLeft w:val="0"/>
          <w:marRight w:val="0"/>
          <w:marTop w:val="0"/>
          <w:marBottom w:val="0"/>
          <w:divBdr>
            <w:top w:val="none" w:sz="0" w:space="0" w:color="auto"/>
            <w:left w:val="none" w:sz="0" w:space="0" w:color="auto"/>
            <w:bottom w:val="none" w:sz="0" w:space="0" w:color="auto"/>
            <w:right w:val="none" w:sz="0" w:space="0" w:color="auto"/>
          </w:divBdr>
        </w:div>
        <w:div w:id="918291113">
          <w:marLeft w:val="0"/>
          <w:marRight w:val="0"/>
          <w:marTop w:val="0"/>
          <w:marBottom w:val="0"/>
          <w:divBdr>
            <w:top w:val="none" w:sz="0" w:space="0" w:color="auto"/>
            <w:left w:val="none" w:sz="0" w:space="0" w:color="auto"/>
            <w:bottom w:val="none" w:sz="0" w:space="0" w:color="auto"/>
            <w:right w:val="none" w:sz="0" w:space="0" w:color="auto"/>
          </w:divBdr>
        </w:div>
        <w:div w:id="1026297457">
          <w:marLeft w:val="0"/>
          <w:marRight w:val="0"/>
          <w:marTop w:val="0"/>
          <w:marBottom w:val="0"/>
          <w:divBdr>
            <w:top w:val="none" w:sz="0" w:space="0" w:color="auto"/>
            <w:left w:val="none" w:sz="0" w:space="0" w:color="auto"/>
            <w:bottom w:val="none" w:sz="0" w:space="0" w:color="auto"/>
            <w:right w:val="none" w:sz="0" w:space="0" w:color="auto"/>
          </w:divBdr>
        </w:div>
        <w:div w:id="1433547473">
          <w:marLeft w:val="0"/>
          <w:marRight w:val="0"/>
          <w:marTop w:val="0"/>
          <w:marBottom w:val="0"/>
          <w:divBdr>
            <w:top w:val="none" w:sz="0" w:space="0" w:color="auto"/>
            <w:left w:val="none" w:sz="0" w:space="0" w:color="auto"/>
            <w:bottom w:val="none" w:sz="0" w:space="0" w:color="auto"/>
            <w:right w:val="none" w:sz="0" w:space="0" w:color="auto"/>
          </w:divBdr>
        </w:div>
        <w:div w:id="2090926845">
          <w:marLeft w:val="0"/>
          <w:marRight w:val="0"/>
          <w:marTop w:val="0"/>
          <w:marBottom w:val="0"/>
          <w:divBdr>
            <w:top w:val="none" w:sz="0" w:space="0" w:color="auto"/>
            <w:left w:val="none" w:sz="0" w:space="0" w:color="auto"/>
            <w:bottom w:val="none" w:sz="0" w:space="0" w:color="auto"/>
            <w:right w:val="none" w:sz="0" w:space="0" w:color="auto"/>
          </w:divBdr>
        </w:div>
      </w:divsChild>
    </w:div>
    <w:div w:id="660351738">
      <w:bodyDiv w:val="1"/>
      <w:marLeft w:val="0"/>
      <w:marRight w:val="0"/>
      <w:marTop w:val="0"/>
      <w:marBottom w:val="0"/>
      <w:divBdr>
        <w:top w:val="none" w:sz="0" w:space="0" w:color="auto"/>
        <w:left w:val="none" w:sz="0" w:space="0" w:color="auto"/>
        <w:bottom w:val="none" w:sz="0" w:space="0" w:color="auto"/>
        <w:right w:val="none" w:sz="0" w:space="0" w:color="auto"/>
      </w:divBdr>
      <w:divsChild>
        <w:div w:id="32508052">
          <w:marLeft w:val="0"/>
          <w:marRight w:val="0"/>
          <w:marTop w:val="0"/>
          <w:marBottom w:val="0"/>
          <w:divBdr>
            <w:top w:val="none" w:sz="0" w:space="0" w:color="auto"/>
            <w:left w:val="none" w:sz="0" w:space="0" w:color="auto"/>
            <w:bottom w:val="none" w:sz="0" w:space="0" w:color="auto"/>
            <w:right w:val="none" w:sz="0" w:space="0" w:color="auto"/>
          </w:divBdr>
        </w:div>
        <w:div w:id="992871067">
          <w:marLeft w:val="0"/>
          <w:marRight w:val="0"/>
          <w:marTop w:val="0"/>
          <w:marBottom w:val="0"/>
          <w:divBdr>
            <w:top w:val="none" w:sz="0" w:space="0" w:color="auto"/>
            <w:left w:val="none" w:sz="0" w:space="0" w:color="auto"/>
            <w:bottom w:val="none" w:sz="0" w:space="0" w:color="auto"/>
            <w:right w:val="none" w:sz="0" w:space="0" w:color="auto"/>
          </w:divBdr>
          <w:divsChild>
            <w:div w:id="157115433">
              <w:marLeft w:val="0"/>
              <w:marRight w:val="0"/>
              <w:marTop w:val="0"/>
              <w:marBottom w:val="0"/>
              <w:divBdr>
                <w:top w:val="none" w:sz="0" w:space="0" w:color="auto"/>
                <w:left w:val="none" w:sz="0" w:space="0" w:color="auto"/>
                <w:bottom w:val="none" w:sz="0" w:space="0" w:color="auto"/>
                <w:right w:val="none" w:sz="0" w:space="0" w:color="auto"/>
              </w:divBdr>
            </w:div>
            <w:div w:id="1105687955">
              <w:marLeft w:val="0"/>
              <w:marRight w:val="0"/>
              <w:marTop w:val="0"/>
              <w:marBottom w:val="0"/>
              <w:divBdr>
                <w:top w:val="none" w:sz="0" w:space="0" w:color="auto"/>
                <w:left w:val="none" w:sz="0" w:space="0" w:color="auto"/>
                <w:bottom w:val="none" w:sz="0" w:space="0" w:color="auto"/>
                <w:right w:val="none" w:sz="0" w:space="0" w:color="auto"/>
              </w:divBdr>
              <w:divsChild>
                <w:div w:id="612444882">
                  <w:marLeft w:val="0"/>
                  <w:marRight w:val="0"/>
                  <w:marTop w:val="0"/>
                  <w:marBottom w:val="0"/>
                  <w:divBdr>
                    <w:top w:val="none" w:sz="0" w:space="0" w:color="auto"/>
                    <w:left w:val="none" w:sz="0" w:space="0" w:color="auto"/>
                    <w:bottom w:val="none" w:sz="0" w:space="0" w:color="auto"/>
                    <w:right w:val="none" w:sz="0" w:space="0" w:color="auto"/>
                  </w:divBdr>
                </w:div>
              </w:divsChild>
            </w:div>
            <w:div w:id="1973517411">
              <w:marLeft w:val="0"/>
              <w:marRight w:val="0"/>
              <w:marTop w:val="0"/>
              <w:marBottom w:val="0"/>
              <w:divBdr>
                <w:top w:val="none" w:sz="0" w:space="0" w:color="auto"/>
                <w:left w:val="none" w:sz="0" w:space="0" w:color="auto"/>
                <w:bottom w:val="none" w:sz="0" w:space="0" w:color="auto"/>
                <w:right w:val="none" w:sz="0" w:space="0" w:color="auto"/>
              </w:divBdr>
              <w:divsChild>
                <w:div w:id="10029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55680">
          <w:marLeft w:val="0"/>
          <w:marRight w:val="0"/>
          <w:marTop w:val="0"/>
          <w:marBottom w:val="0"/>
          <w:divBdr>
            <w:top w:val="none" w:sz="0" w:space="0" w:color="auto"/>
            <w:left w:val="none" w:sz="0" w:space="0" w:color="auto"/>
            <w:bottom w:val="none" w:sz="0" w:space="0" w:color="auto"/>
            <w:right w:val="none" w:sz="0" w:space="0" w:color="auto"/>
          </w:divBdr>
          <w:divsChild>
            <w:div w:id="1754206621">
              <w:marLeft w:val="0"/>
              <w:marRight w:val="0"/>
              <w:marTop w:val="0"/>
              <w:marBottom w:val="0"/>
              <w:divBdr>
                <w:top w:val="none" w:sz="0" w:space="0" w:color="auto"/>
                <w:left w:val="none" w:sz="0" w:space="0" w:color="auto"/>
                <w:bottom w:val="none" w:sz="0" w:space="0" w:color="auto"/>
                <w:right w:val="none" w:sz="0" w:space="0" w:color="auto"/>
              </w:divBdr>
              <w:divsChild>
                <w:div w:id="839077802">
                  <w:marLeft w:val="0"/>
                  <w:marRight w:val="0"/>
                  <w:marTop w:val="0"/>
                  <w:marBottom w:val="0"/>
                  <w:divBdr>
                    <w:top w:val="none" w:sz="0" w:space="0" w:color="auto"/>
                    <w:left w:val="none" w:sz="0" w:space="0" w:color="auto"/>
                    <w:bottom w:val="none" w:sz="0" w:space="0" w:color="auto"/>
                    <w:right w:val="none" w:sz="0" w:space="0" w:color="auto"/>
                  </w:divBdr>
                </w:div>
                <w:div w:id="14454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02420">
      <w:bodyDiv w:val="1"/>
      <w:marLeft w:val="0"/>
      <w:marRight w:val="0"/>
      <w:marTop w:val="0"/>
      <w:marBottom w:val="0"/>
      <w:divBdr>
        <w:top w:val="none" w:sz="0" w:space="0" w:color="auto"/>
        <w:left w:val="none" w:sz="0" w:space="0" w:color="auto"/>
        <w:bottom w:val="none" w:sz="0" w:space="0" w:color="auto"/>
        <w:right w:val="none" w:sz="0" w:space="0" w:color="auto"/>
      </w:divBdr>
    </w:div>
    <w:div w:id="703794437">
      <w:bodyDiv w:val="1"/>
      <w:marLeft w:val="0"/>
      <w:marRight w:val="0"/>
      <w:marTop w:val="0"/>
      <w:marBottom w:val="0"/>
      <w:divBdr>
        <w:top w:val="none" w:sz="0" w:space="0" w:color="auto"/>
        <w:left w:val="none" w:sz="0" w:space="0" w:color="auto"/>
        <w:bottom w:val="none" w:sz="0" w:space="0" w:color="auto"/>
        <w:right w:val="none" w:sz="0" w:space="0" w:color="auto"/>
      </w:divBdr>
    </w:div>
    <w:div w:id="735054881">
      <w:bodyDiv w:val="1"/>
      <w:marLeft w:val="0"/>
      <w:marRight w:val="0"/>
      <w:marTop w:val="0"/>
      <w:marBottom w:val="0"/>
      <w:divBdr>
        <w:top w:val="none" w:sz="0" w:space="0" w:color="auto"/>
        <w:left w:val="none" w:sz="0" w:space="0" w:color="auto"/>
        <w:bottom w:val="none" w:sz="0" w:space="0" w:color="auto"/>
        <w:right w:val="none" w:sz="0" w:space="0" w:color="auto"/>
      </w:divBdr>
      <w:divsChild>
        <w:div w:id="1560439756">
          <w:marLeft w:val="0"/>
          <w:marRight w:val="0"/>
          <w:marTop w:val="0"/>
          <w:marBottom w:val="0"/>
          <w:divBdr>
            <w:top w:val="none" w:sz="0" w:space="0" w:color="auto"/>
            <w:left w:val="none" w:sz="0" w:space="0" w:color="auto"/>
            <w:bottom w:val="none" w:sz="0" w:space="0" w:color="auto"/>
            <w:right w:val="none" w:sz="0" w:space="0" w:color="auto"/>
          </w:divBdr>
          <w:divsChild>
            <w:div w:id="2065827975">
              <w:marLeft w:val="0"/>
              <w:marRight w:val="0"/>
              <w:marTop w:val="0"/>
              <w:marBottom w:val="0"/>
              <w:divBdr>
                <w:top w:val="none" w:sz="0" w:space="0" w:color="auto"/>
                <w:left w:val="none" w:sz="0" w:space="0" w:color="auto"/>
                <w:bottom w:val="none" w:sz="0" w:space="0" w:color="auto"/>
                <w:right w:val="none" w:sz="0" w:space="0" w:color="auto"/>
              </w:divBdr>
              <w:divsChild>
                <w:div w:id="314990795">
                  <w:marLeft w:val="0"/>
                  <w:marRight w:val="75"/>
                  <w:marTop w:val="0"/>
                  <w:marBottom w:val="0"/>
                  <w:divBdr>
                    <w:top w:val="none" w:sz="0" w:space="0" w:color="auto"/>
                    <w:left w:val="none" w:sz="0" w:space="0" w:color="auto"/>
                    <w:bottom w:val="none" w:sz="0" w:space="0" w:color="auto"/>
                    <w:right w:val="none" w:sz="0" w:space="0" w:color="auto"/>
                  </w:divBdr>
                </w:div>
              </w:divsChild>
            </w:div>
            <w:div w:id="1226188108">
              <w:marLeft w:val="0"/>
              <w:marRight w:val="0"/>
              <w:marTop w:val="90"/>
              <w:marBottom w:val="0"/>
              <w:divBdr>
                <w:top w:val="single" w:sz="6" w:space="2" w:color="A4A6A8"/>
                <w:left w:val="single" w:sz="6" w:space="4" w:color="A4A6A8"/>
                <w:bottom w:val="single" w:sz="6" w:space="2" w:color="A4A6A8"/>
                <w:right w:val="single" w:sz="6" w:space="4" w:color="A4A6A8"/>
              </w:divBdr>
              <w:divsChild>
                <w:div w:id="1218933333">
                  <w:marLeft w:val="0"/>
                  <w:marRight w:val="0"/>
                  <w:marTop w:val="0"/>
                  <w:marBottom w:val="0"/>
                  <w:divBdr>
                    <w:top w:val="none" w:sz="0" w:space="0" w:color="auto"/>
                    <w:left w:val="none" w:sz="0" w:space="0" w:color="auto"/>
                    <w:bottom w:val="none" w:sz="0" w:space="0" w:color="auto"/>
                    <w:right w:val="none" w:sz="0" w:space="0" w:color="auto"/>
                  </w:divBdr>
                  <w:divsChild>
                    <w:div w:id="7946359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74285226">
          <w:marLeft w:val="0"/>
          <w:marRight w:val="0"/>
          <w:marTop w:val="0"/>
          <w:marBottom w:val="0"/>
          <w:divBdr>
            <w:top w:val="none" w:sz="0" w:space="0" w:color="auto"/>
            <w:left w:val="none" w:sz="0" w:space="0" w:color="auto"/>
            <w:bottom w:val="none" w:sz="0" w:space="0" w:color="auto"/>
            <w:right w:val="none" w:sz="0" w:space="0" w:color="auto"/>
          </w:divBdr>
          <w:divsChild>
            <w:div w:id="1731922470">
              <w:marLeft w:val="0"/>
              <w:marRight w:val="0"/>
              <w:marTop w:val="0"/>
              <w:marBottom w:val="0"/>
              <w:divBdr>
                <w:top w:val="none" w:sz="0" w:space="0" w:color="auto"/>
                <w:left w:val="none" w:sz="0" w:space="0" w:color="auto"/>
                <w:bottom w:val="none" w:sz="0" w:space="0" w:color="auto"/>
                <w:right w:val="none" w:sz="0" w:space="0" w:color="auto"/>
              </w:divBdr>
              <w:divsChild>
                <w:div w:id="1864171960">
                  <w:marLeft w:val="0"/>
                  <w:marRight w:val="0"/>
                  <w:marTop w:val="0"/>
                  <w:marBottom w:val="0"/>
                  <w:divBdr>
                    <w:top w:val="none" w:sz="0" w:space="0" w:color="auto"/>
                    <w:left w:val="none" w:sz="0" w:space="0" w:color="auto"/>
                    <w:bottom w:val="none" w:sz="0" w:space="0" w:color="auto"/>
                    <w:right w:val="none" w:sz="0" w:space="0" w:color="auto"/>
                  </w:divBdr>
                </w:div>
                <w:div w:id="1839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758711">
      <w:bodyDiv w:val="1"/>
      <w:marLeft w:val="0"/>
      <w:marRight w:val="0"/>
      <w:marTop w:val="0"/>
      <w:marBottom w:val="0"/>
      <w:divBdr>
        <w:top w:val="none" w:sz="0" w:space="0" w:color="auto"/>
        <w:left w:val="none" w:sz="0" w:space="0" w:color="auto"/>
        <w:bottom w:val="none" w:sz="0" w:space="0" w:color="auto"/>
        <w:right w:val="none" w:sz="0" w:space="0" w:color="auto"/>
      </w:divBdr>
    </w:div>
    <w:div w:id="838035515">
      <w:bodyDiv w:val="1"/>
      <w:marLeft w:val="0"/>
      <w:marRight w:val="0"/>
      <w:marTop w:val="0"/>
      <w:marBottom w:val="0"/>
      <w:divBdr>
        <w:top w:val="none" w:sz="0" w:space="0" w:color="auto"/>
        <w:left w:val="none" w:sz="0" w:space="0" w:color="auto"/>
        <w:bottom w:val="none" w:sz="0" w:space="0" w:color="auto"/>
        <w:right w:val="none" w:sz="0" w:space="0" w:color="auto"/>
      </w:divBdr>
    </w:div>
    <w:div w:id="887768531">
      <w:bodyDiv w:val="1"/>
      <w:marLeft w:val="0"/>
      <w:marRight w:val="0"/>
      <w:marTop w:val="0"/>
      <w:marBottom w:val="0"/>
      <w:divBdr>
        <w:top w:val="none" w:sz="0" w:space="0" w:color="auto"/>
        <w:left w:val="none" w:sz="0" w:space="0" w:color="auto"/>
        <w:bottom w:val="none" w:sz="0" w:space="0" w:color="auto"/>
        <w:right w:val="none" w:sz="0" w:space="0" w:color="auto"/>
      </w:divBdr>
    </w:div>
    <w:div w:id="892231065">
      <w:bodyDiv w:val="1"/>
      <w:marLeft w:val="0"/>
      <w:marRight w:val="0"/>
      <w:marTop w:val="0"/>
      <w:marBottom w:val="0"/>
      <w:divBdr>
        <w:top w:val="none" w:sz="0" w:space="0" w:color="auto"/>
        <w:left w:val="none" w:sz="0" w:space="0" w:color="auto"/>
        <w:bottom w:val="none" w:sz="0" w:space="0" w:color="auto"/>
        <w:right w:val="none" w:sz="0" w:space="0" w:color="auto"/>
      </w:divBdr>
    </w:div>
    <w:div w:id="913584018">
      <w:bodyDiv w:val="1"/>
      <w:marLeft w:val="0"/>
      <w:marRight w:val="0"/>
      <w:marTop w:val="0"/>
      <w:marBottom w:val="0"/>
      <w:divBdr>
        <w:top w:val="none" w:sz="0" w:space="0" w:color="auto"/>
        <w:left w:val="none" w:sz="0" w:space="0" w:color="auto"/>
        <w:bottom w:val="none" w:sz="0" w:space="0" w:color="auto"/>
        <w:right w:val="none" w:sz="0" w:space="0" w:color="auto"/>
      </w:divBdr>
    </w:div>
    <w:div w:id="922497637">
      <w:bodyDiv w:val="1"/>
      <w:marLeft w:val="0"/>
      <w:marRight w:val="0"/>
      <w:marTop w:val="0"/>
      <w:marBottom w:val="0"/>
      <w:divBdr>
        <w:top w:val="none" w:sz="0" w:space="0" w:color="auto"/>
        <w:left w:val="none" w:sz="0" w:space="0" w:color="auto"/>
        <w:bottom w:val="none" w:sz="0" w:space="0" w:color="auto"/>
        <w:right w:val="none" w:sz="0" w:space="0" w:color="auto"/>
      </w:divBdr>
    </w:div>
    <w:div w:id="927613921">
      <w:bodyDiv w:val="1"/>
      <w:marLeft w:val="0"/>
      <w:marRight w:val="0"/>
      <w:marTop w:val="0"/>
      <w:marBottom w:val="0"/>
      <w:divBdr>
        <w:top w:val="none" w:sz="0" w:space="0" w:color="auto"/>
        <w:left w:val="none" w:sz="0" w:space="0" w:color="auto"/>
        <w:bottom w:val="none" w:sz="0" w:space="0" w:color="auto"/>
        <w:right w:val="none" w:sz="0" w:space="0" w:color="auto"/>
      </w:divBdr>
    </w:div>
    <w:div w:id="959454284">
      <w:bodyDiv w:val="1"/>
      <w:marLeft w:val="0"/>
      <w:marRight w:val="0"/>
      <w:marTop w:val="0"/>
      <w:marBottom w:val="0"/>
      <w:divBdr>
        <w:top w:val="none" w:sz="0" w:space="0" w:color="auto"/>
        <w:left w:val="none" w:sz="0" w:space="0" w:color="auto"/>
        <w:bottom w:val="none" w:sz="0" w:space="0" w:color="auto"/>
        <w:right w:val="none" w:sz="0" w:space="0" w:color="auto"/>
      </w:divBdr>
      <w:divsChild>
        <w:div w:id="49888809">
          <w:marLeft w:val="0"/>
          <w:marRight w:val="0"/>
          <w:marTop w:val="0"/>
          <w:marBottom w:val="0"/>
          <w:divBdr>
            <w:top w:val="none" w:sz="0" w:space="0" w:color="auto"/>
            <w:left w:val="none" w:sz="0" w:space="0" w:color="auto"/>
            <w:bottom w:val="none" w:sz="0" w:space="0" w:color="auto"/>
            <w:right w:val="none" w:sz="0" w:space="0" w:color="auto"/>
          </w:divBdr>
        </w:div>
        <w:div w:id="150366692">
          <w:marLeft w:val="0"/>
          <w:marRight w:val="0"/>
          <w:marTop w:val="0"/>
          <w:marBottom w:val="0"/>
          <w:divBdr>
            <w:top w:val="none" w:sz="0" w:space="0" w:color="auto"/>
            <w:left w:val="none" w:sz="0" w:space="0" w:color="auto"/>
            <w:bottom w:val="none" w:sz="0" w:space="0" w:color="auto"/>
            <w:right w:val="none" w:sz="0" w:space="0" w:color="auto"/>
          </w:divBdr>
        </w:div>
        <w:div w:id="627320646">
          <w:marLeft w:val="0"/>
          <w:marRight w:val="0"/>
          <w:marTop w:val="0"/>
          <w:marBottom w:val="0"/>
          <w:divBdr>
            <w:top w:val="none" w:sz="0" w:space="0" w:color="auto"/>
            <w:left w:val="none" w:sz="0" w:space="0" w:color="auto"/>
            <w:bottom w:val="none" w:sz="0" w:space="0" w:color="auto"/>
            <w:right w:val="none" w:sz="0" w:space="0" w:color="auto"/>
          </w:divBdr>
        </w:div>
        <w:div w:id="661811213">
          <w:marLeft w:val="0"/>
          <w:marRight w:val="0"/>
          <w:marTop w:val="0"/>
          <w:marBottom w:val="0"/>
          <w:divBdr>
            <w:top w:val="none" w:sz="0" w:space="0" w:color="auto"/>
            <w:left w:val="none" w:sz="0" w:space="0" w:color="auto"/>
            <w:bottom w:val="none" w:sz="0" w:space="0" w:color="auto"/>
            <w:right w:val="none" w:sz="0" w:space="0" w:color="auto"/>
          </w:divBdr>
        </w:div>
        <w:div w:id="697241017">
          <w:marLeft w:val="0"/>
          <w:marRight w:val="0"/>
          <w:marTop w:val="0"/>
          <w:marBottom w:val="0"/>
          <w:divBdr>
            <w:top w:val="none" w:sz="0" w:space="0" w:color="auto"/>
            <w:left w:val="none" w:sz="0" w:space="0" w:color="auto"/>
            <w:bottom w:val="none" w:sz="0" w:space="0" w:color="auto"/>
            <w:right w:val="none" w:sz="0" w:space="0" w:color="auto"/>
          </w:divBdr>
        </w:div>
        <w:div w:id="708994343">
          <w:marLeft w:val="0"/>
          <w:marRight w:val="0"/>
          <w:marTop w:val="0"/>
          <w:marBottom w:val="0"/>
          <w:divBdr>
            <w:top w:val="none" w:sz="0" w:space="0" w:color="auto"/>
            <w:left w:val="none" w:sz="0" w:space="0" w:color="auto"/>
            <w:bottom w:val="none" w:sz="0" w:space="0" w:color="auto"/>
            <w:right w:val="none" w:sz="0" w:space="0" w:color="auto"/>
          </w:divBdr>
        </w:div>
        <w:div w:id="820388147">
          <w:marLeft w:val="0"/>
          <w:marRight w:val="0"/>
          <w:marTop w:val="0"/>
          <w:marBottom w:val="0"/>
          <w:divBdr>
            <w:top w:val="none" w:sz="0" w:space="0" w:color="auto"/>
            <w:left w:val="none" w:sz="0" w:space="0" w:color="auto"/>
            <w:bottom w:val="none" w:sz="0" w:space="0" w:color="auto"/>
            <w:right w:val="none" w:sz="0" w:space="0" w:color="auto"/>
          </w:divBdr>
        </w:div>
        <w:div w:id="883519376">
          <w:marLeft w:val="0"/>
          <w:marRight w:val="0"/>
          <w:marTop w:val="0"/>
          <w:marBottom w:val="0"/>
          <w:divBdr>
            <w:top w:val="none" w:sz="0" w:space="0" w:color="auto"/>
            <w:left w:val="none" w:sz="0" w:space="0" w:color="auto"/>
            <w:bottom w:val="none" w:sz="0" w:space="0" w:color="auto"/>
            <w:right w:val="none" w:sz="0" w:space="0" w:color="auto"/>
          </w:divBdr>
        </w:div>
        <w:div w:id="1324701201">
          <w:marLeft w:val="0"/>
          <w:marRight w:val="0"/>
          <w:marTop w:val="0"/>
          <w:marBottom w:val="0"/>
          <w:divBdr>
            <w:top w:val="none" w:sz="0" w:space="0" w:color="auto"/>
            <w:left w:val="none" w:sz="0" w:space="0" w:color="auto"/>
            <w:bottom w:val="none" w:sz="0" w:space="0" w:color="auto"/>
            <w:right w:val="none" w:sz="0" w:space="0" w:color="auto"/>
          </w:divBdr>
        </w:div>
        <w:div w:id="1411732957">
          <w:marLeft w:val="0"/>
          <w:marRight w:val="0"/>
          <w:marTop w:val="0"/>
          <w:marBottom w:val="0"/>
          <w:divBdr>
            <w:top w:val="none" w:sz="0" w:space="0" w:color="auto"/>
            <w:left w:val="none" w:sz="0" w:space="0" w:color="auto"/>
            <w:bottom w:val="none" w:sz="0" w:space="0" w:color="auto"/>
            <w:right w:val="none" w:sz="0" w:space="0" w:color="auto"/>
          </w:divBdr>
        </w:div>
        <w:div w:id="1771046657">
          <w:marLeft w:val="0"/>
          <w:marRight w:val="0"/>
          <w:marTop w:val="0"/>
          <w:marBottom w:val="0"/>
          <w:divBdr>
            <w:top w:val="none" w:sz="0" w:space="0" w:color="auto"/>
            <w:left w:val="none" w:sz="0" w:space="0" w:color="auto"/>
            <w:bottom w:val="none" w:sz="0" w:space="0" w:color="auto"/>
            <w:right w:val="none" w:sz="0" w:space="0" w:color="auto"/>
          </w:divBdr>
        </w:div>
        <w:div w:id="1822772145">
          <w:marLeft w:val="0"/>
          <w:marRight w:val="0"/>
          <w:marTop w:val="0"/>
          <w:marBottom w:val="0"/>
          <w:divBdr>
            <w:top w:val="none" w:sz="0" w:space="0" w:color="auto"/>
            <w:left w:val="none" w:sz="0" w:space="0" w:color="auto"/>
            <w:bottom w:val="none" w:sz="0" w:space="0" w:color="auto"/>
            <w:right w:val="none" w:sz="0" w:space="0" w:color="auto"/>
          </w:divBdr>
        </w:div>
        <w:div w:id="1861426562">
          <w:marLeft w:val="0"/>
          <w:marRight w:val="0"/>
          <w:marTop w:val="0"/>
          <w:marBottom w:val="0"/>
          <w:divBdr>
            <w:top w:val="none" w:sz="0" w:space="0" w:color="auto"/>
            <w:left w:val="none" w:sz="0" w:space="0" w:color="auto"/>
            <w:bottom w:val="none" w:sz="0" w:space="0" w:color="auto"/>
            <w:right w:val="none" w:sz="0" w:space="0" w:color="auto"/>
          </w:divBdr>
        </w:div>
      </w:divsChild>
    </w:div>
    <w:div w:id="965742741">
      <w:bodyDiv w:val="1"/>
      <w:marLeft w:val="0"/>
      <w:marRight w:val="0"/>
      <w:marTop w:val="0"/>
      <w:marBottom w:val="0"/>
      <w:divBdr>
        <w:top w:val="none" w:sz="0" w:space="0" w:color="auto"/>
        <w:left w:val="none" w:sz="0" w:space="0" w:color="auto"/>
        <w:bottom w:val="none" w:sz="0" w:space="0" w:color="auto"/>
        <w:right w:val="none" w:sz="0" w:space="0" w:color="auto"/>
      </w:divBdr>
    </w:div>
    <w:div w:id="986518326">
      <w:bodyDiv w:val="1"/>
      <w:marLeft w:val="0"/>
      <w:marRight w:val="0"/>
      <w:marTop w:val="0"/>
      <w:marBottom w:val="0"/>
      <w:divBdr>
        <w:top w:val="none" w:sz="0" w:space="0" w:color="auto"/>
        <w:left w:val="none" w:sz="0" w:space="0" w:color="auto"/>
        <w:bottom w:val="none" w:sz="0" w:space="0" w:color="auto"/>
        <w:right w:val="none" w:sz="0" w:space="0" w:color="auto"/>
      </w:divBdr>
    </w:div>
    <w:div w:id="987050199">
      <w:bodyDiv w:val="1"/>
      <w:marLeft w:val="0"/>
      <w:marRight w:val="0"/>
      <w:marTop w:val="0"/>
      <w:marBottom w:val="0"/>
      <w:divBdr>
        <w:top w:val="none" w:sz="0" w:space="0" w:color="auto"/>
        <w:left w:val="none" w:sz="0" w:space="0" w:color="auto"/>
        <w:bottom w:val="none" w:sz="0" w:space="0" w:color="auto"/>
        <w:right w:val="none" w:sz="0" w:space="0" w:color="auto"/>
      </w:divBdr>
    </w:div>
    <w:div w:id="998459793">
      <w:bodyDiv w:val="1"/>
      <w:marLeft w:val="0"/>
      <w:marRight w:val="0"/>
      <w:marTop w:val="0"/>
      <w:marBottom w:val="0"/>
      <w:divBdr>
        <w:top w:val="none" w:sz="0" w:space="0" w:color="auto"/>
        <w:left w:val="none" w:sz="0" w:space="0" w:color="auto"/>
        <w:bottom w:val="none" w:sz="0" w:space="0" w:color="auto"/>
        <w:right w:val="none" w:sz="0" w:space="0" w:color="auto"/>
      </w:divBdr>
    </w:div>
    <w:div w:id="1027221805">
      <w:bodyDiv w:val="1"/>
      <w:marLeft w:val="0"/>
      <w:marRight w:val="0"/>
      <w:marTop w:val="0"/>
      <w:marBottom w:val="0"/>
      <w:divBdr>
        <w:top w:val="none" w:sz="0" w:space="0" w:color="auto"/>
        <w:left w:val="none" w:sz="0" w:space="0" w:color="auto"/>
        <w:bottom w:val="none" w:sz="0" w:space="0" w:color="auto"/>
        <w:right w:val="none" w:sz="0" w:space="0" w:color="auto"/>
      </w:divBdr>
    </w:div>
    <w:div w:id="1036155891">
      <w:bodyDiv w:val="1"/>
      <w:marLeft w:val="0"/>
      <w:marRight w:val="0"/>
      <w:marTop w:val="0"/>
      <w:marBottom w:val="0"/>
      <w:divBdr>
        <w:top w:val="none" w:sz="0" w:space="0" w:color="auto"/>
        <w:left w:val="none" w:sz="0" w:space="0" w:color="auto"/>
        <w:bottom w:val="none" w:sz="0" w:space="0" w:color="auto"/>
        <w:right w:val="none" w:sz="0" w:space="0" w:color="auto"/>
      </w:divBdr>
    </w:div>
    <w:div w:id="1207448930">
      <w:bodyDiv w:val="1"/>
      <w:marLeft w:val="0"/>
      <w:marRight w:val="0"/>
      <w:marTop w:val="0"/>
      <w:marBottom w:val="0"/>
      <w:divBdr>
        <w:top w:val="none" w:sz="0" w:space="0" w:color="auto"/>
        <w:left w:val="none" w:sz="0" w:space="0" w:color="auto"/>
        <w:bottom w:val="none" w:sz="0" w:space="0" w:color="auto"/>
        <w:right w:val="none" w:sz="0" w:space="0" w:color="auto"/>
      </w:divBdr>
      <w:divsChild>
        <w:div w:id="227696390">
          <w:marLeft w:val="547"/>
          <w:marRight w:val="0"/>
          <w:marTop w:val="0"/>
          <w:marBottom w:val="0"/>
          <w:divBdr>
            <w:top w:val="none" w:sz="0" w:space="0" w:color="auto"/>
            <w:left w:val="none" w:sz="0" w:space="0" w:color="auto"/>
            <w:bottom w:val="none" w:sz="0" w:space="0" w:color="auto"/>
            <w:right w:val="none" w:sz="0" w:space="0" w:color="auto"/>
          </w:divBdr>
        </w:div>
        <w:div w:id="335572305">
          <w:marLeft w:val="547"/>
          <w:marRight w:val="0"/>
          <w:marTop w:val="0"/>
          <w:marBottom w:val="0"/>
          <w:divBdr>
            <w:top w:val="none" w:sz="0" w:space="0" w:color="auto"/>
            <w:left w:val="none" w:sz="0" w:space="0" w:color="auto"/>
            <w:bottom w:val="none" w:sz="0" w:space="0" w:color="auto"/>
            <w:right w:val="none" w:sz="0" w:space="0" w:color="auto"/>
          </w:divBdr>
        </w:div>
        <w:div w:id="509956499">
          <w:marLeft w:val="547"/>
          <w:marRight w:val="0"/>
          <w:marTop w:val="0"/>
          <w:marBottom w:val="0"/>
          <w:divBdr>
            <w:top w:val="none" w:sz="0" w:space="0" w:color="auto"/>
            <w:left w:val="none" w:sz="0" w:space="0" w:color="auto"/>
            <w:bottom w:val="none" w:sz="0" w:space="0" w:color="auto"/>
            <w:right w:val="none" w:sz="0" w:space="0" w:color="auto"/>
          </w:divBdr>
        </w:div>
        <w:div w:id="669522499">
          <w:marLeft w:val="547"/>
          <w:marRight w:val="0"/>
          <w:marTop w:val="0"/>
          <w:marBottom w:val="0"/>
          <w:divBdr>
            <w:top w:val="none" w:sz="0" w:space="0" w:color="auto"/>
            <w:left w:val="none" w:sz="0" w:space="0" w:color="auto"/>
            <w:bottom w:val="none" w:sz="0" w:space="0" w:color="auto"/>
            <w:right w:val="none" w:sz="0" w:space="0" w:color="auto"/>
          </w:divBdr>
        </w:div>
        <w:div w:id="1144270820">
          <w:marLeft w:val="547"/>
          <w:marRight w:val="0"/>
          <w:marTop w:val="0"/>
          <w:marBottom w:val="0"/>
          <w:divBdr>
            <w:top w:val="none" w:sz="0" w:space="0" w:color="auto"/>
            <w:left w:val="none" w:sz="0" w:space="0" w:color="auto"/>
            <w:bottom w:val="none" w:sz="0" w:space="0" w:color="auto"/>
            <w:right w:val="none" w:sz="0" w:space="0" w:color="auto"/>
          </w:divBdr>
        </w:div>
        <w:div w:id="1271739225">
          <w:marLeft w:val="547"/>
          <w:marRight w:val="0"/>
          <w:marTop w:val="0"/>
          <w:marBottom w:val="0"/>
          <w:divBdr>
            <w:top w:val="none" w:sz="0" w:space="0" w:color="auto"/>
            <w:left w:val="none" w:sz="0" w:space="0" w:color="auto"/>
            <w:bottom w:val="none" w:sz="0" w:space="0" w:color="auto"/>
            <w:right w:val="none" w:sz="0" w:space="0" w:color="auto"/>
          </w:divBdr>
        </w:div>
        <w:div w:id="1441801983">
          <w:marLeft w:val="547"/>
          <w:marRight w:val="0"/>
          <w:marTop w:val="0"/>
          <w:marBottom w:val="0"/>
          <w:divBdr>
            <w:top w:val="none" w:sz="0" w:space="0" w:color="auto"/>
            <w:left w:val="none" w:sz="0" w:space="0" w:color="auto"/>
            <w:bottom w:val="none" w:sz="0" w:space="0" w:color="auto"/>
            <w:right w:val="none" w:sz="0" w:space="0" w:color="auto"/>
          </w:divBdr>
        </w:div>
        <w:div w:id="1507670906">
          <w:marLeft w:val="547"/>
          <w:marRight w:val="0"/>
          <w:marTop w:val="0"/>
          <w:marBottom w:val="0"/>
          <w:divBdr>
            <w:top w:val="none" w:sz="0" w:space="0" w:color="auto"/>
            <w:left w:val="none" w:sz="0" w:space="0" w:color="auto"/>
            <w:bottom w:val="none" w:sz="0" w:space="0" w:color="auto"/>
            <w:right w:val="none" w:sz="0" w:space="0" w:color="auto"/>
          </w:divBdr>
        </w:div>
        <w:div w:id="1538852074">
          <w:marLeft w:val="547"/>
          <w:marRight w:val="0"/>
          <w:marTop w:val="0"/>
          <w:marBottom w:val="0"/>
          <w:divBdr>
            <w:top w:val="none" w:sz="0" w:space="0" w:color="auto"/>
            <w:left w:val="none" w:sz="0" w:space="0" w:color="auto"/>
            <w:bottom w:val="none" w:sz="0" w:space="0" w:color="auto"/>
            <w:right w:val="none" w:sz="0" w:space="0" w:color="auto"/>
          </w:divBdr>
        </w:div>
        <w:div w:id="1736662764">
          <w:marLeft w:val="547"/>
          <w:marRight w:val="0"/>
          <w:marTop w:val="0"/>
          <w:marBottom w:val="0"/>
          <w:divBdr>
            <w:top w:val="none" w:sz="0" w:space="0" w:color="auto"/>
            <w:left w:val="none" w:sz="0" w:space="0" w:color="auto"/>
            <w:bottom w:val="none" w:sz="0" w:space="0" w:color="auto"/>
            <w:right w:val="none" w:sz="0" w:space="0" w:color="auto"/>
          </w:divBdr>
        </w:div>
        <w:div w:id="1921939127">
          <w:marLeft w:val="547"/>
          <w:marRight w:val="0"/>
          <w:marTop w:val="0"/>
          <w:marBottom w:val="0"/>
          <w:divBdr>
            <w:top w:val="none" w:sz="0" w:space="0" w:color="auto"/>
            <w:left w:val="none" w:sz="0" w:space="0" w:color="auto"/>
            <w:bottom w:val="none" w:sz="0" w:space="0" w:color="auto"/>
            <w:right w:val="none" w:sz="0" w:space="0" w:color="auto"/>
          </w:divBdr>
        </w:div>
      </w:divsChild>
    </w:div>
    <w:div w:id="1235165190">
      <w:bodyDiv w:val="1"/>
      <w:marLeft w:val="0"/>
      <w:marRight w:val="0"/>
      <w:marTop w:val="0"/>
      <w:marBottom w:val="0"/>
      <w:divBdr>
        <w:top w:val="none" w:sz="0" w:space="0" w:color="auto"/>
        <w:left w:val="none" w:sz="0" w:space="0" w:color="auto"/>
        <w:bottom w:val="none" w:sz="0" w:space="0" w:color="auto"/>
        <w:right w:val="none" w:sz="0" w:space="0" w:color="auto"/>
      </w:divBdr>
    </w:div>
    <w:div w:id="1285234543">
      <w:bodyDiv w:val="1"/>
      <w:marLeft w:val="0"/>
      <w:marRight w:val="0"/>
      <w:marTop w:val="0"/>
      <w:marBottom w:val="0"/>
      <w:divBdr>
        <w:top w:val="none" w:sz="0" w:space="0" w:color="auto"/>
        <w:left w:val="none" w:sz="0" w:space="0" w:color="auto"/>
        <w:bottom w:val="none" w:sz="0" w:space="0" w:color="auto"/>
        <w:right w:val="none" w:sz="0" w:space="0" w:color="auto"/>
      </w:divBdr>
      <w:divsChild>
        <w:div w:id="10185474">
          <w:marLeft w:val="0"/>
          <w:marRight w:val="0"/>
          <w:marTop w:val="0"/>
          <w:marBottom w:val="0"/>
          <w:divBdr>
            <w:top w:val="none" w:sz="0" w:space="0" w:color="auto"/>
            <w:left w:val="none" w:sz="0" w:space="0" w:color="auto"/>
            <w:bottom w:val="none" w:sz="0" w:space="0" w:color="auto"/>
            <w:right w:val="none" w:sz="0" w:space="0" w:color="auto"/>
          </w:divBdr>
        </w:div>
        <w:div w:id="827865434">
          <w:marLeft w:val="0"/>
          <w:marRight w:val="0"/>
          <w:marTop w:val="0"/>
          <w:marBottom w:val="0"/>
          <w:divBdr>
            <w:top w:val="none" w:sz="0" w:space="0" w:color="auto"/>
            <w:left w:val="none" w:sz="0" w:space="0" w:color="auto"/>
            <w:bottom w:val="none" w:sz="0" w:space="0" w:color="auto"/>
            <w:right w:val="none" w:sz="0" w:space="0" w:color="auto"/>
          </w:divBdr>
        </w:div>
        <w:div w:id="1552382078">
          <w:marLeft w:val="0"/>
          <w:marRight w:val="0"/>
          <w:marTop w:val="0"/>
          <w:marBottom w:val="0"/>
          <w:divBdr>
            <w:top w:val="none" w:sz="0" w:space="0" w:color="auto"/>
            <w:left w:val="none" w:sz="0" w:space="0" w:color="auto"/>
            <w:bottom w:val="none" w:sz="0" w:space="0" w:color="auto"/>
            <w:right w:val="none" w:sz="0" w:space="0" w:color="auto"/>
          </w:divBdr>
        </w:div>
      </w:divsChild>
    </w:div>
    <w:div w:id="1314993210">
      <w:bodyDiv w:val="1"/>
      <w:marLeft w:val="0"/>
      <w:marRight w:val="0"/>
      <w:marTop w:val="0"/>
      <w:marBottom w:val="0"/>
      <w:divBdr>
        <w:top w:val="none" w:sz="0" w:space="0" w:color="auto"/>
        <w:left w:val="none" w:sz="0" w:space="0" w:color="auto"/>
        <w:bottom w:val="none" w:sz="0" w:space="0" w:color="auto"/>
        <w:right w:val="none" w:sz="0" w:space="0" w:color="auto"/>
      </w:divBdr>
    </w:div>
    <w:div w:id="1330252524">
      <w:bodyDiv w:val="1"/>
      <w:marLeft w:val="0"/>
      <w:marRight w:val="0"/>
      <w:marTop w:val="0"/>
      <w:marBottom w:val="0"/>
      <w:divBdr>
        <w:top w:val="none" w:sz="0" w:space="0" w:color="auto"/>
        <w:left w:val="none" w:sz="0" w:space="0" w:color="auto"/>
        <w:bottom w:val="none" w:sz="0" w:space="0" w:color="auto"/>
        <w:right w:val="none" w:sz="0" w:space="0" w:color="auto"/>
      </w:divBdr>
    </w:div>
    <w:div w:id="1347367114">
      <w:bodyDiv w:val="1"/>
      <w:marLeft w:val="0"/>
      <w:marRight w:val="0"/>
      <w:marTop w:val="0"/>
      <w:marBottom w:val="0"/>
      <w:divBdr>
        <w:top w:val="none" w:sz="0" w:space="0" w:color="auto"/>
        <w:left w:val="none" w:sz="0" w:space="0" w:color="auto"/>
        <w:bottom w:val="none" w:sz="0" w:space="0" w:color="auto"/>
        <w:right w:val="none" w:sz="0" w:space="0" w:color="auto"/>
      </w:divBdr>
    </w:div>
    <w:div w:id="1379355490">
      <w:bodyDiv w:val="1"/>
      <w:marLeft w:val="0"/>
      <w:marRight w:val="0"/>
      <w:marTop w:val="0"/>
      <w:marBottom w:val="0"/>
      <w:divBdr>
        <w:top w:val="none" w:sz="0" w:space="0" w:color="auto"/>
        <w:left w:val="none" w:sz="0" w:space="0" w:color="auto"/>
        <w:bottom w:val="none" w:sz="0" w:space="0" w:color="auto"/>
        <w:right w:val="none" w:sz="0" w:space="0" w:color="auto"/>
      </w:divBdr>
      <w:divsChild>
        <w:div w:id="165749613">
          <w:marLeft w:val="0"/>
          <w:marRight w:val="0"/>
          <w:marTop w:val="0"/>
          <w:marBottom w:val="0"/>
          <w:divBdr>
            <w:top w:val="none" w:sz="0" w:space="0" w:color="auto"/>
            <w:left w:val="none" w:sz="0" w:space="0" w:color="auto"/>
            <w:bottom w:val="none" w:sz="0" w:space="0" w:color="auto"/>
            <w:right w:val="none" w:sz="0" w:space="0" w:color="auto"/>
          </w:divBdr>
        </w:div>
        <w:div w:id="261258270">
          <w:marLeft w:val="0"/>
          <w:marRight w:val="0"/>
          <w:marTop w:val="0"/>
          <w:marBottom w:val="0"/>
          <w:divBdr>
            <w:top w:val="none" w:sz="0" w:space="0" w:color="auto"/>
            <w:left w:val="none" w:sz="0" w:space="0" w:color="auto"/>
            <w:bottom w:val="none" w:sz="0" w:space="0" w:color="auto"/>
            <w:right w:val="none" w:sz="0" w:space="0" w:color="auto"/>
          </w:divBdr>
        </w:div>
        <w:div w:id="342051785">
          <w:marLeft w:val="0"/>
          <w:marRight w:val="0"/>
          <w:marTop w:val="0"/>
          <w:marBottom w:val="0"/>
          <w:divBdr>
            <w:top w:val="none" w:sz="0" w:space="0" w:color="auto"/>
            <w:left w:val="none" w:sz="0" w:space="0" w:color="auto"/>
            <w:bottom w:val="none" w:sz="0" w:space="0" w:color="auto"/>
            <w:right w:val="none" w:sz="0" w:space="0" w:color="auto"/>
          </w:divBdr>
        </w:div>
        <w:div w:id="526676810">
          <w:marLeft w:val="0"/>
          <w:marRight w:val="0"/>
          <w:marTop w:val="0"/>
          <w:marBottom w:val="0"/>
          <w:divBdr>
            <w:top w:val="none" w:sz="0" w:space="0" w:color="auto"/>
            <w:left w:val="none" w:sz="0" w:space="0" w:color="auto"/>
            <w:bottom w:val="none" w:sz="0" w:space="0" w:color="auto"/>
            <w:right w:val="none" w:sz="0" w:space="0" w:color="auto"/>
          </w:divBdr>
        </w:div>
        <w:div w:id="647128023">
          <w:marLeft w:val="0"/>
          <w:marRight w:val="0"/>
          <w:marTop w:val="0"/>
          <w:marBottom w:val="0"/>
          <w:divBdr>
            <w:top w:val="none" w:sz="0" w:space="0" w:color="auto"/>
            <w:left w:val="none" w:sz="0" w:space="0" w:color="auto"/>
            <w:bottom w:val="none" w:sz="0" w:space="0" w:color="auto"/>
            <w:right w:val="none" w:sz="0" w:space="0" w:color="auto"/>
          </w:divBdr>
        </w:div>
        <w:div w:id="674308762">
          <w:marLeft w:val="0"/>
          <w:marRight w:val="0"/>
          <w:marTop w:val="0"/>
          <w:marBottom w:val="0"/>
          <w:divBdr>
            <w:top w:val="none" w:sz="0" w:space="0" w:color="auto"/>
            <w:left w:val="none" w:sz="0" w:space="0" w:color="auto"/>
            <w:bottom w:val="none" w:sz="0" w:space="0" w:color="auto"/>
            <w:right w:val="none" w:sz="0" w:space="0" w:color="auto"/>
          </w:divBdr>
        </w:div>
        <w:div w:id="1148011323">
          <w:marLeft w:val="0"/>
          <w:marRight w:val="0"/>
          <w:marTop w:val="0"/>
          <w:marBottom w:val="0"/>
          <w:divBdr>
            <w:top w:val="none" w:sz="0" w:space="0" w:color="auto"/>
            <w:left w:val="none" w:sz="0" w:space="0" w:color="auto"/>
            <w:bottom w:val="none" w:sz="0" w:space="0" w:color="auto"/>
            <w:right w:val="none" w:sz="0" w:space="0" w:color="auto"/>
          </w:divBdr>
        </w:div>
        <w:div w:id="1375423381">
          <w:marLeft w:val="0"/>
          <w:marRight w:val="0"/>
          <w:marTop w:val="0"/>
          <w:marBottom w:val="0"/>
          <w:divBdr>
            <w:top w:val="none" w:sz="0" w:space="0" w:color="auto"/>
            <w:left w:val="none" w:sz="0" w:space="0" w:color="auto"/>
            <w:bottom w:val="none" w:sz="0" w:space="0" w:color="auto"/>
            <w:right w:val="none" w:sz="0" w:space="0" w:color="auto"/>
          </w:divBdr>
        </w:div>
        <w:div w:id="1487941838">
          <w:marLeft w:val="0"/>
          <w:marRight w:val="0"/>
          <w:marTop w:val="0"/>
          <w:marBottom w:val="0"/>
          <w:divBdr>
            <w:top w:val="none" w:sz="0" w:space="0" w:color="auto"/>
            <w:left w:val="none" w:sz="0" w:space="0" w:color="auto"/>
            <w:bottom w:val="none" w:sz="0" w:space="0" w:color="auto"/>
            <w:right w:val="none" w:sz="0" w:space="0" w:color="auto"/>
          </w:divBdr>
        </w:div>
        <w:div w:id="1679849034">
          <w:marLeft w:val="0"/>
          <w:marRight w:val="0"/>
          <w:marTop w:val="0"/>
          <w:marBottom w:val="0"/>
          <w:divBdr>
            <w:top w:val="none" w:sz="0" w:space="0" w:color="auto"/>
            <w:left w:val="none" w:sz="0" w:space="0" w:color="auto"/>
            <w:bottom w:val="none" w:sz="0" w:space="0" w:color="auto"/>
            <w:right w:val="none" w:sz="0" w:space="0" w:color="auto"/>
          </w:divBdr>
        </w:div>
        <w:div w:id="2073309415">
          <w:marLeft w:val="0"/>
          <w:marRight w:val="0"/>
          <w:marTop w:val="0"/>
          <w:marBottom w:val="0"/>
          <w:divBdr>
            <w:top w:val="none" w:sz="0" w:space="0" w:color="auto"/>
            <w:left w:val="none" w:sz="0" w:space="0" w:color="auto"/>
            <w:bottom w:val="none" w:sz="0" w:space="0" w:color="auto"/>
            <w:right w:val="none" w:sz="0" w:space="0" w:color="auto"/>
          </w:divBdr>
        </w:div>
        <w:div w:id="2100519211">
          <w:marLeft w:val="0"/>
          <w:marRight w:val="0"/>
          <w:marTop w:val="0"/>
          <w:marBottom w:val="0"/>
          <w:divBdr>
            <w:top w:val="none" w:sz="0" w:space="0" w:color="auto"/>
            <w:left w:val="none" w:sz="0" w:space="0" w:color="auto"/>
            <w:bottom w:val="none" w:sz="0" w:space="0" w:color="auto"/>
            <w:right w:val="none" w:sz="0" w:space="0" w:color="auto"/>
          </w:divBdr>
        </w:div>
      </w:divsChild>
    </w:div>
    <w:div w:id="1435517461">
      <w:bodyDiv w:val="1"/>
      <w:marLeft w:val="0"/>
      <w:marRight w:val="0"/>
      <w:marTop w:val="0"/>
      <w:marBottom w:val="0"/>
      <w:divBdr>
        <w:top w:val="none" w:sz="0" w:space="0" w:color="auto"/>
        <w:left w:val="none" w:sz="0" w:space="0" w:color="auto"/>
        <w:bottom w:val="none" w:sz="0" w:space="0" w:color="auto"/>
        <w:right w:val="none" w:sz="0" w:space="0" w:color="auto"/>
      </w:divBdr>
    </w:div>
    <w:div w:id="1446458628">
      <w:bodyDiv w:val="1"/>
      <w:marLeft w:val="0"/>
      <w:marRight w:val="0"/>
      <w:marTop w:val="0"/>
      <w:marBottom w:val="0"/>
      <w:divBdr>
        <w:top w:val="none" w:sz="0" w:space="0" w:color="auto"/>
        <w:left w:val="none" w:sz="0" w:space="0" w:color="auto"/>
        <w:bottom w:val="none" w:sz="0" w:space="0" w:color="auto"/>
        <w:right w:val="none" w:sz="0" w:space="0" w:color="auto"/>
      </w:divBdr>
      <w:divsChild>
        <w:div w:id="905801801">
          <w:marLeft w:val="0"/>
          <w:marRight w:val="0"/>
          <w:marTop w:val="0"/>
          <w:marBottom w:val="0"/>
          <w:divBdr>
            <w:top w:val="none" w:sz="0" w:space="0" w:color="auto"/>
            <w:left w:val="none" w:sz="0" w:space="0" w:color="auto"/>
            <w:bottom w:val="none" w:sz="0" w:space="0" w:color="auto"/>
            <w:right w:val="none" w:sz="0" w:space="0" w:color="auto"/>
          </w:divBdr>
        </w:div>
        <w:div w:id="951935982">
          <w:marLeft w:val="0"/>
          <w:marRight w:val="0"/>
          <w:marTop w:val="0"/>
          <w:marBottom w:val="0"/>
          <w:divBdr>
            <w:top w:val="none" w:sz="0" w:space="0" w:color="auto"/>
            <w:left w:val="none" w:sz="0" w:space="0" w:color="auto"/>
            <w:bottom w:val="none" w:sz="0" w:space="0" w:color="auto"/>
            <w:right w:val="none" w:sz="0" w:space="0" w:color="auto"/>
          </w:divBdr>
          <w:divsChild>
            <w:div w:id="278148110">
              <w:marLeft w:val="0"/>
              <w:marRight w:val="0"/>
              <w:marTop w:val="0"/>
              <w:marBottom w:val="0"/>
              <w:divBdr>
                <w:top w:val="none" w:sz="0" w:space="0" w:color="auto"/>
                <w:left w:val="none" w:sz="0" w:space="0" w:color="auto"/>
                <w:bottom w:val="none" w:sz="0" w:space="0" w:color="auto"/>
                <w:right w:val="none" w:sz="0" w:space="0" w:color="auto"/>
              </w:divBdr>
            </w:div>
            <w:div w:id="1798988298">
              <w:marLeft w:val="0"/>
              <w:marRight w:val="0"/>
              <w:marTop w:val="0"/>
              <w:marBottom w:val="0"/>
              <w:divBdr>
                <w:top w:val="none" w:sz="0" w:space="0" w:color="auto"/>
                <w:left w:val="none" w:sz="0" w:space="0" w:color="auto"/>
                <w:bottom w:val="none" w:sz="0" w:space="0" w:color="auto"/>
                <w:right w:val="none" w:sz="0" w:space="0" w:color="auto"/>
              </w:divBdr>
              <w:divsChild>
                <w:div w:id="1837450087">
                  <w:marLeft w:val="0"/>
                  <w:marRight w:val="0"/>
                  <w:marTop w:val="0"/>
                  <w:marBottom w:val="0"/>
                  <w:divBdr>
                    <w:top w:val="none" w:sz="0" w:space="0" w:color="auto"/>
                    <w:left w:val="none" w:sz="0" w:space="0" w:color="auto"/>
                    <w:bottom w:val="none" w:sz="0" w:space="0" w:color="auto"/>
                    <w:right w:val="none" w:sz="0" w:space="0" w:color="auto"/>
                  </w:divBdr>
                  <w:divsChild>
                    <w:div w:id="1599828386">
                      <w:marLeft w:val="0"/>
                      <w:marRight w:val="0"/>
                      <w:marTop w:val="0"/>
                      <w:marBottom w:val="0"/>
                      <w:divBdr>
                        <w:top w:val="none" w:sz="0" w:space="0" w:color="auto"/>
                        <w:left w:val="none" w:sz="0" w:space="0" w:color="auto"/>
                        <w:bottom w:val="none" w:sz="0" w:space="0" w:color="auto"/>
                        <w:right w:val="none" w:sz="0" w:space="0" w:color="auto"/>
                      </w:divBdr>
                      <w:divsChild>
                        <w:div w:id="175703265">
                          <w:marLeft w:val="0"/>
                          <w:marRight w:val="0"/>
                          <w:marTop w:val="0"/>
                          <w:marBottom w:val="0"/>
                          <w:divBdr>
                            <w:top w:val="none" w:sz="0" w:space="0" w:color="auto"/>
                            <w:left w:val="none" w:sz="0" w:space="0" w:color="auto"/>
                            <w:bottom w:val="none" w:sz="0" w:space="0" w:color="auto"/>
                            <w:right w:val="none" w:sz="0" w:space="0" w:color="auto"/>
                          </w:divBdr>
                        </w:div>
                        <w:div w:id="14616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920195">
          <w:marLeft w:val="0"/>
          <w:marRight w:val="0"/>
          <w:marTop w:val="0"/>
          <w:marBottom w:val="0"/>
          <w:divBdr>
            <w:top w:val="none" w:sz="0" w:space="0" w:color="auto"/>
            <w:left w:val="none" w:sz="0" w:space="0" w:color="auto"/>
            <w:bottom w:val="none" w:sz="0" w:space="0" w:color="auto"/>
            <w:right w:val="none" w:sz="0" w:space="0" w:color="auto"/>
          </w:divBdr>
          <w:divsChild>
            <w:div w:id="335159380">
              <w:marLeft w:val="0"/>
              <w:marRight w:val="0"/>
              <w:marTop w:val="0"/>
              <w:marBottom w:val="0"/>
              <w:divBdr>
                <w:top w:val="none" w:sz="0" w:space="0" w:color="auto"/>
                <w:left w:val="none" w:sz="0" w:space="0" w:color="auto"/>
                <w:bottom w:val="none" w:sz="0" w:space="0" w:color="auto"/>
                <w:right w:val="none" w:sz="0" w:space="0" w:color="auto"/>
              </w:divBdr>
            </w:div>
            <w:div w:id="694425224">
              <w:marLeft w:val="0"/>
              <w:marRight w:val="0"/>
              <w:marTop w:val="0"/>
              <w:marBottom w:val="0"/>
              <w:divBdr>
                <w:top w:val="none" w:sz="0" w:space="0" w:color="auto"/>
                <w:left w:val="none" w:sz="0" w:space="0" w:color="auto"/>
                <w:bottom w:val="none" w:sz="0" w:space="0" w:color="auto"/>
                <w:right w:val="none" w:sz="0" w:space="0" w:color="auto"/>
              </w:divBdr>
            </w:div>
            <w:div w:id="1109936002">
              <w:marLeft w:val="0"/>
              <w:marRight w:val="0"/>
              <w:marTop w:val="0"/>
              <w:marBottom w:val="0"/>
              <w:divBdr>
                <w:top w:val="none" w:sz="0" w:space="0" w:color="auto"/>
                <w:left w:val="none" w:sz="0" w:space="0" w:color="auto"/>
                <w:bottom w:val="none" w:sz="0" w:space="0" w:color="auto"/>
                <w:right w:val="none" w:sz="0" w:space="0" w:color="auto"/>
              </w:divBdr>
            </w:div>
            <w:div w:id="1199781879">
              <w:marLeft w:val="0"/>
              <w:marRight w:val="0"/>
              <w:marTop w:val="0"/>
              <w:marBottom w:val="0"/>
              <w:divBdr>
                <w:top w:val="none" w:sz="0" w:space="0" w:color="auto"/>
                <w:left w:val="none" w:sz="0" w:space="0" w:color="auto"/>
                <w:bottom w:val="none" w:sz="0" w:space="0" w:color="auto"/>
                <w:right w:val="none" w:sz="0" w:space="0" w:color="auto"/>
              </w:divBdr>
            </w:div>
            <w:div w:id="1324551567">
              <w:marLeft w:val="0"/>
              <w:marRight w:val="0"/>
              <w:marTop w:val="0"/>
              <w:marBottom w:val="0"/>
              <w:divBdr>
                <w:top w:val="none" w:sz="0" w:space="0" w:color="auto"/>
                <w:left w:val="none" w:sz="0" w:space="0" w:color="auto"/>
                <w:bottom w:val="none" w:sz="0" w:space="0" w:color="auto"/>
                <w:right w:val="none" w:sz="0" w:space="0" w:color="auto"/>
              </w:divBdr>
            </w:div>
            <w:div w:id="1563565747">
              <w:marLeft w:val="0"/>
              <w:marRight w:val="0"/>
              <w:marTop w:val="0"/>
              <w:marBottom w:val="0"/>
              <w:divBdr>
                <w:top w:val="none" w:sz="0" w:space="0" w:color="auto"/>
                <w:left w:val="none" w:sz="0" w:space="0" w:color="auto"/>
                <w:bottom w:val="none" w:sz="0" w:space="0" w:color="auto"/>
                <w:right w:val="none" w:sz="0" w:space="0" w:color="auto"/>
              </w:divBdr>
            </w:div>
            <w:div w:id="1838032828">
              <w:marLeft w:val="0"/>
              <w:marRight w:val="0"/>
              <w:marTop w:val="0"/>
              <w:marBottom w:val="0"/>
              <w:divBdr>
                <w:top w:val="none" w:sz="0" w:space="0" w:color="auto"/>
                <w:left w:val="none" w:sz="0" w:space="0" w:color="auto"/>
                <w:bottom w:val="none" w:sz="0" w:space="0" w:color="auto"/>
                <w:right w:val="none" w:sz="0" w:space="0" w:color="auto"/>
              </w:divBdr>
            </w:div>
            <w:div w:id="19006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38531">
      <w:bodyDiv w:val="1"/>
      <w:marLeft w:val="0"/>
      <w:marRight w:val="0"/>
      <w:marTop w:val="0"/>
      <w:marBottom w:val="0"/>
      <w:divBdr>
        <w:top w:val="none" w:sz="0" w:space="0" w:color="auto"/>
        <w:left w:val="none" w:sz="0" w:space="0" w:color="auto"/>
        <w:bottom w:val="none" w:sz="0" w:space="0" w:color="auto"/>
        <w:right w:val="none" w:sz="0" w:space="0" w:color="auto"/>
      </w:divBdr>
    </w:div>
    <w:div w:id="1502812563">
      <w:bodyDiv w:val="1"/>
      <w:marLeft w:val="0"/>
      <w:marRight w:val="0"/>
      <w:marTop w:val="0"/>
      <w:marBottom w:val="0"/>
      <w:divBdr>
        <w:top w:val="none" w:sz="0" w:space="0" w:color="auto"/>
        <w:left w:val="none" w:sz="0" w:space="0" w:color="auto"/>
        <w:bottom w:val="none" w:sz="0" w:space="0" w:color="auto"/>
        <w:right w:val="none" w:sz="0" w:space="0" w:color="auto"/>
      </w:divBdr>
      <w:divsChild>
        <w:div w:id="235164984">
          <w:marLeft w:val="0"/>
          <w:marRight w:val="0"/>
          <w:marTop w:val="0"/>
          <w:marBottom w:val="0"/>
          <w:divBdr>
            <w:top w:val="none" w:sz="0" w:space="0" w:color="auto"/>
            <w:left w:val="none" w:sz="0" w:space="0" w:color="auto"/>
            <w:bottom w:val="none" w:sz="0" w:space="0" w:color="auto"/>
            <w:right w:val="none" w:sz="0" w:space="0" w:color="auto"/>
          </w:divBdr>
          <w:divsChild>
            <w:div w:id="20326627">
              <w:marLeft w:val="0"/>
              <w:marRight w:val="0"/>
              <w:marTop w:val="0"/>
              <w:marBottom w:val="0"/>
              <w:divBdr>
                <w:top w:val="none" w:sz="0" w:space="0" w:color="auto"/>
                <w:left w:val="none" w:sz="0" w:space="0" w:color="auto"/>
                <w:bottom w:val="none" w:sz="0" w:space="0" w:color="auto"/>
                <w:right w:val="none" w:sz="0" w:space="0" w:color="auto"/>
              </w:divBdr>
            </w:div>
            <w:div w:id="23142336">
              <w:marLeft w:val="0"/>
              <w:marRight w:val="0"/>
              <w:marTop w:val="0"/>
              <w:marBottom w:val="0"/>
              <w:divBdr>
                <w:top w:val="none" w:sz="0" w:space="0" w:color="auto"/>
                <w:left w:val="none" w:sz="0" w:space="0" w:color="auto"/>
                <w:bottom w:val="none" w:sz="0" w:space="0" w:color="auto"/>
                <w:right w:val="none" w:sz="0" w:space="0" w:color="auto"/>
              </w:divBdr>
            </w:div>
            <w:div w:id="54819364">
              <w:marLeft w:val="0"/>
              <w:marRight w:val="0"/>
              <w:marTop w:val="0"/>
              <w:marBottom w:val="0"/>
              <w:divBdr>
                <w:top w:val="none" w:sz="0" w:space="0" w:color="auto"/>
                <w:left w:val="none" w:sz="0" w:space="0" w:color="auto"/>
                <w:bottom w:val="none" w:sz="0" w:space="0" w:color="auto"/>
                <w:right w:val="none" w:sz="0" w:space="0" w:color="auto"/>
              </w:divBdr>
            </w:div>
            <w:div w:id="59836280">
              <w:marLeft w:val="0"/>
              <w:marRight w:val="0"/>
              <w:marTop w:val="0"/>
              <w:marBottom w:val="0"/>
              <w:divBdr>
                <w:top w:val="none" w:sz="0" w:space="0" w:color="auto"/>
                <w:left w:val="none" w:sz="0" w:space="0" w:color="auto"/>
                <w:bottom w:val="none" w:sz="0" w:space="0" w:color="auto"/>
                <w:right w:val="none" w:sz="0" w:space="0" w:color="auto"/>
              </w:divBdr>
            </w:div>
            <w:div w:id="142619809">
              <w:marLeft w:val="0"/>
              <w:marRight w:val="0"/>
              <w:marTop w:val="0"/>
              <w:marBottom w:val="0"/>
              <w:divBdr>
                <w:top w:val="none" w:sz="0" w:space="0" w:color="auto"/>
                <w:left w:val="none" w:sz="0" w:space="0" w:color="auto"/>
                <w:bottom w:val="none" w:sz="0" w:space="0" w:color="auto"/>
                <w:right w:val="none" w:sz="0" w:space="0" w:color="auto"/>
              </w:divBdr>
            </w:div>
            <w:div w:id="150029972">
              <w:marLeft w:val="0"/>
              <w:marRight w:val="0"/>
              <w:marTop w:val="0"/>
              <w:marBottom w:val="0"/>
              <w:divBdr>
                <w:top w:val="none" w:sz="0" w:space="0" w:color="auto"/>
                <w:left w:val="none" w:sz="0" w:space="0" w:color="auto"/>
                <w:bottom w:val="none" w:sz="0" w:space="0" w:color="auto"/>
                <w:right w:val="none" w:sz="0" w:space="0" w:color="auto"/>
              </w:divBdr>
            </w:div>
            <w:div w:id="160052853">
              <w:marLeft w:val="0"/>
              <w:marRight w:val="0"/>
              <w:marTop w:val="0"/>
              <w:marBottom w:val="0"/>
              <w:divBdr>
                <w:top w:val="none" w:sz="0" w:space="0" w:color="auto"/>
                <w:left w:val="none" w:sz="0" w:space="0" w:color="auto"/>
                <w:bottom w:val="none" w:sz="0" w:space="0" w:color="auto"/>
                <w:right w:val="none" w:sz="0" w:space="0" w:color="auto"/>
              </w:divBdr>
            </w:div>
            <w:div w:id="190147407">
              <w:marLeft w:val="0"/>
              <w:marRight w:val="0"/>
              <w:marTop w:val="0"/>
              <w:marBottom w:val="0"/>
              <w:divBdr>
                <w:top w:val="none" w:sz="0" w:space="0" w:color="auto"/>
                <w:left w:val="none" w:sz="0" w:space="0" w:color="auto"/>
                <w:bottom w:val="none" w:sz="0" w:space="0" w:color="auto"/>
                <w:right w:val="none" w:sz="0" w:space="0" w:color="auto"/>
              </w:divBdr>
            </w:div>
            <w:div w:id="196477680">
              <w:marLeft w:val="0"/>
              <w:marRight w:val="0"/>
              <w:marTop w:val="0"/>
              <w:marBottom w:val="0"/>
              <w:divBdr>
                <w:top w:val="none" w:sz="0" w:space="0" w:color="auto"/>
                <w:left w:val="none" w:sz="0" w:space="0" w:color="auto"/>
                <w:bottom w:val="none" w:sz="0" w:space="0" w:color="auto"/>
                <w:right w:val="none" w:sz="0" w:space="0" w:color="auto"/>
              </w:divBdr>
            </w:div>
            <w:div w:id="230313538">
              <w:marLeft w:val="0"/>
              <w:marRight w:val="0"/>
              <w:marTop w:val="0"/>
              <w:marBottom w:val="0"/>
              <w:divBdr>
                <w:top w:val="none" w:sz="0" w:space="0" w:color="auto"/>
                <w:left w:val="none" w:sz="0" w:space="0" w:color="auto"/>
                <w:bottom w:val="none" w:sz="0" w:space="0" w:color="auto"/>
                <w:right w:val="none" w:sz="0" w:space="0" w:color="auto"/>
              </w:divBdr>
            </w:div>
            <w:div w:id="276840631">
              <w:marLeft w:val="0"/>
              <w:marRight w:val="0"/>
              <w:marTop w:val="0"/>
              <w:marBottom w:val="0"/>
              <w:divBdr>
                <w:top w:val="none" w:sz="0" w:space="0" w:color="auto"/>
                <w:left w:val="none" w:sz="0" w:space="0" w:color="auto"/>
                <w:bottom w:val="none" w:sz="0" w:space="0" w:color="auto"/>
                <w:right w:val="none" w:sz="0" w:space="0" w:color="auto"/>
              </w:divBdr>
            </w:div>
            <w:div w:id="306135371">
              <w:marLeft w:val="0"/>
              <w:marRight w:val="0"/>
              <w:marTop w:val="0"/>
              <w:marBottom w:val="0"/>
              <w:divBdr>
                <w:top w:val="none" w:sz="0" w:space="0" w:color="auto"/>
                <w:left w:val="none" w:sz="0" w:space="0" w:color="auto"/>
                <w:bottom w:val="none" w:sz="0" w:space="0" w:color="auto"/>
                <w:right w:val="none" w:sz="0" w:space="0" w:color="auto"/>
              </w:divBdr>
            </w:div>
            <w:div w:id="420495079">
              <w:marLeft w:val="0"/>
              <w:marRight w:val="0"/>
              <w:marTop w:val="0"/>
              <w:marBottom w:val="0"/>
              <w:divBdr>
                <w:top w:val="none" w:sz="0" w:space="0" w:color="auto"/>
                <w:left w:val="none" w:sz="0" w:space="0" w:color="auto"/>
                <w:bottom w:val="none" w:sz="0" w:space="0" w:color="auto"/>
                <w:right w:val="none" w:sz="0" w:space="0" w:color="auto"/>
              </w:divBdr>
            </w:div>
            <w:div w:id="450511630">
              <w:marLeft w:val="0"/>
              <w:marRight w:val="0"/>
              <w:marTop w:val="0"/>
              <w:marBottom w:val="0"/>
              <w:divBdr>
                <w:top w:val="none" w:sz="0" w:space="0" w:color="auto"/>
                <w:left w:val="none" w:sz="0" w:space="0" w:color="auto"/>
                <w:bottom w:val="none" w:sz="0" w:space="0" w:color="auto"/>
                <w:right w:val="none" w:sz="0" w:space="0" w:color="auto"/>
              </w:divBdr>
            </w:div>
            <w:div w:id="470943776">
              <w:marLeft w:val="0"/>
              <w:marRight w:val="0"/>
              <w:marTop w:val="0"/>
              <w:marBottom w:val="0"/>
              <w:divBdr>
                <w:top w:val="none" w:sz="0" w:space="0" w:color="auto"/>
                <w:left w:val="none" w:sz="0" w:space="0" w:color="auto"/>
                <w:bottom w:val="none" w:sz="0" w:space="0" w:color="auto"/>
                <w:right w:val="none" w:sz="0" w:space="0" w:color="auto"/>
              </w:divBdr>
            </w:div>
            <w:div w:id="560672709">
              <w:marLeft w:val="0"/>
              <w:marRight w:val="0"/>
              <w:marTop w:val="0"/>
              <w:marBottom w:val="0"/>
              <w:divBdr>
                <w:top w:val="none" w:sz="0" w:space="0" w:color="auto"/>
                <w:left w:val="none" w:sz="0" w:space="0" w:color="auto"/>
                <w:bottom w:val="none" w:sz="0" w:space="0" w:color="auto"/>
                <w:right w:val="none" w:sz="0" w:space="0" w:color="auto"/>
              </w:divBdr>
            </w:div>
            <w:div w:id="573515626">
              <w:marLeft w:val="0"/>
              <w:marRight w:val="0"/>
              <w:marTop w:val="0"/>
              <w:marBottom w:val="0"/>
              <w:divBdr>
                <w:top w:val="none" w:sz="0" w:space="0" w:color="auto"/>
                <w:left w:val="none" w:sz="0" w:space="0" w:color="auto"/>
                <w:bottom w:val="none" w:sz="0" w:space="0" w:color="auto"/>
                <w:right w:val="none" w:sz="0" w:space="0" w:color="auto"/>
              </w:divBdr>
            </w:div>
            <w:div w:id="589699932">
              <w:marLeft w:val="0"/>
              <w:marRight w:val="0"/>
              <w:marTop w:val="0"/>
              <w:marBottom w:val="0"/>
              <w:divBdr>
                <w:top w:val="none" w:sz="0" w:space="0" w:color="auto"/>
                <w:left w:val="none" w:sz="0" w:space="0" w:color="auto"/>
                <w:bottom w:val="none" w:sz="0" w:space="0" w:color="auto"/>
                <w:right w:val="none" w:sz="0" w:space="0" w:color="auto"/>
              </w:divBdr>
            </w:div>
            <w:div w:id="631983626">
              <w:marLeft w:val="0"/>
              <w:marRight w:val="0"/>
              <w:marTop w:val="0"/>
              <w:marBottom w:val="0"/>
              <w:divBdr>
                <w:top w:val="none" w:sz="0" w:space="0" w:color="auto"/>
                <w:left w:val="none" w:sz="0" w:space="0" w:color="auto"/>
                <w:bottom w:val="none" w:sz="0" w:space="0" w:color="auto"/>
                <w:right w:val="none" w:sz="0" w:space="0" w:color="auto"/>
              </w:divBdr>
            </w:div>
            <w:div w:id="639270147">
              <w:marLeft w:val="0"/>
              <w:marRight w:val="0"/>
              <w:marTop w:val="0"/>
              <w:marBottom w:val="0"/>
              <w:divBdr>
                <w:top w:val="none" w:sz="0" w:space="0" w:color="auto"/>
                <w:left w:val="none" w:sz="0" w:space="0" w:color="auto"/>
                <w:bottom w:val="none" w:sz="0" w:space="0" w:color="auto"/>
                <w:right w:val="none" w:sz="0" w:space="0" w:color="auto"/>
              </w:divBdr>
            </w:div>
            <w:div w:id="639774193">
              <w:marLeft w:val="0"/>
              <w:marRight w:val="0"/>
              <w:marTop w:val="0"/>
              <w:marBottom w:val="0"/>
              <w:divBdr>
                <w:top w:val="none" w:sz="0" w:space="0" w:color="auto"/>
                <w:left w:val="none" w:sz="0" w:space="0" w:color="auto"/>
                <w:bottom w:val="none" w:sz="0" w:space="0" w:color="auto"/>
                <w:right w:val="none" w:sz="0" w:space="0" w:color="auto"/>
              </w:divBdr>
            </w:div>
            <w:div w:id="650864026">
              <w:marLeft w:val="0"/>
              <w:marRight w:val="0"/>
              <w:marTop w:val="0"/>
              <w:marBottom w:val="0"/>
              <w:divBdr>
                <w:top w:val="none" w:sz="0" w:space="0" w:color="auto"/>
                <w:left w:val="none" w:sz="0" w:space="0" w:color="auto"/>
                <w:bottom w:val="none" w:sz="0" w:space="0" w:color="auto"/>
                <w:right w:val="none" w:sz="0" w:space="0" w:color="auto"/>
              </w:divBdr>
            </w:div>
            <w:div w:id="687171502">
              <w:marLeft w:val="0"/>
              <w:marRight w:val="0"/>
              <w:marTop w:val="0"/>
              <w:marBottom w:val="0"/>
              <w:divBdr>
                <w:top w:val="none" w:sz="0" w:space="0" w:color="auto"/>
                <w:left w:val="none" w:sz="0" w:space="0" w:color="auto"/>
                <w:bottom w:val="none" w:sz="0" w:space="0" w:color="auto"/>
                <w:right w:val="none" w:sz="0" w:space="0" w:color="auto"/>
              </w:divBdr>
            </w:div>
            <w:div w:id="707991500">
              <w:marLeft w:val="0"/>
              <w:marRight w:val="0"/>
              <w:marTop w:val="0"/>
              <w:marBottom w:val="0"/>
              <w:divBdr>
                <w:top w:val="none" w:sz="0" w:space="0" w:color="auto"/>
                <w:left w:val="none" w:sz="0" w:space="0" w:color="auto"/>
                <w:bottom w:val="none" w:sz="0" w:space="0" w:color="auto"/>
                <w:right w:val="none" w:sz="0" w:space="0" w:color="auto"/>
              </w:divBdr>
            </w:div>
            <w:div w:id="713850415">
              <w:marLeft w:val="0"/>
              <w:marRight w:val="0"/>
              <w:marTop w:val="0"/>
              <w:marBottom w:val="0"/>
              <w:divBdr>
                <w:top w:val="none" w:sz="0" w:space="0" w:color="auto"/>
                <w:left w:val="none" w:sz="0" w:space="0" w:color="auto"/>
                <w:bottom w:val="none" w:sz="0" w:space="0" w:color="auto"/>
                <w:right w:val="none" w:sz="0" w:space="0" w:color="auto"/>
              </w:divBdr>
            </w:div>
            <w:div w:id="774061759">
              <w:marLeft w:val="0"/>
              <w:marRight w:val="0"/>
              <w:marTop w:val="0"/>
              <w:marBottom w:val="0"/>
              <w:divBdr>
                <w:top w:val="none" w:sz="0" w:space="0" w:color="auto"/>
                <w:left w:val="none" w:sz="0" w:space="0" w:color="auto"/>
                <w:bottom w:val="none" w:sz="0" w:space="0" w:color="auto"/>
                <w:right w:val="none" w:sz="0" w:space="0" w:color="auto"/>
              </w:divBdr>
            </w:div>
            <w:div w:id="800995581">
              <w:marLeft w:val="0"/>
              <w:marRight w:val="0"/>
              <w:marTop w:val="0"/>
              <w:marBottom w:val="0"/>
              <w:divBdr>
                <w:top w:val="none" w:sz="0" w:space="0" w:color="auto"/>
                <w:left w:val="none" w:sz="0" w:space="0" w:color="auto"/>
                <w:bottom w:val="none" w:sz="0" w:space="0" w:color="auto"/>
                <w:right w:val="none" w:sz="0" w:space="0" w:color="auto"/>
              </w:divBdr>
            </w:div>
            <w:div w:id="822887953">
              <w:marLeft w:val="0"/>
              <w:marRight w:val="0"/>
              <w:marTop w:val="0"/>
              <w:marBottom w:val="0"/>
              <w:divBdr>
                <w:top w:val="none" w:sz="0" w:space="0" w:color="auto"/>
                <w:left w:val="none" w:sz="0" w:space="0" w:color="auto"/>
                <w:bottom w:val="none" w:sz="0" w:space="0" w:color="auto"/>
                <w:right w:val="none" w:sz="0" w:space="0" w:color="auto"/>
              </w:divBdr>
            </w:div>
            <w:div w:id="873932379">
              <w:marLeft w:val="0"/>
              <w:marRight w:val="0"/>
              <w:marTop w:val="0"/>
              <w:marBottom w:val="0"/>
              <w:divBdr>
                <w:top w:val="none" w:sz="0" w:space="0" w:color="auto"/>
                <w:left w:val="none" w:sz="0" w:space="0" w:color="auto"/>
                <w:bottom w:val="none" w:sz="0" w:space="0" w:color="auto"/>
                <w:right w:val="none" w:sz="0" w:space="0" w:color="auto"/>
              </w:divBdr>
            </w:div>
            <w:div w:id="883324750">
              <w:marLeft w:val="0"/>
              <w:marRight w:val="0"/>
              <w:marTop w:val="0"/>
              <w:marBottom w:val="0"/>
              <w:divBdr>
                <w:top w:val="none" w:sz="0" w:space="0" w:color="auto"/>
                <w:left w:val="none" w:sz="0" w:space="0" w:color="auto"/>
                <w:bottom w:val="none" w:sz="0" w:space="0" w:color="auto"/>
                <w:right w:val="none" w:sz="0" w:space="0" w:color="auto"/>
              </w:divBdr>
            </w:div>
            <w:div w:id="950358066">
              <w:marLeft w:val="0"/>
              <w:marRight w:val="0"/>
              <w:marTop w:val="0"/>
              <w:marBottom w:val="0"/>
              <w:divBdr>
                <w:top w:val="none" w:sz="0" w:space="0" w:color="auto"/>
                <w:left w:val="none" w:sz="0" w:space="0" w:color="auto"/>
                <w:bottom w:val="none" w:sz="0" w:space="0" w:color="auto"/>
                <w:right w:val="none" w:sz="0" w:space="0" w:color="auto"/>
              </w:divBdr>
            </w:div>
            <w:div w:id="1022634432">
              <w:marLeft w:val="0"/>
              <w:marRight w:val="0"/>
              <w:marTop w:val="0"/>
              <w:marBottom w:val="0"/>
              <w:divBdr>
                <w:top w:val="none" w:sz="0" w:space="0" w:color="auto"/>
                <w:left w:val="none" w:sz="0" w:space="0" w:color="auto"/>
                <w:bottom w:val="none" w:sz="0" w:space="0" w:color="auto"/>
                <w:right w:val="none" w:sz="0" w:space="0" w:color="auto"/>
              </w:divBdr>
            </w:div>
            <w:div w:id="1030304864">
              <w:marLeft w:val="0"/>
              <w:marRight w:val="0"/>
              <w:marTop w:val="0"/>
              <w:marBottom w:val="0"/>
              <w:divBdr>
                <w:top w:val="none" w:sz="0" w:space="0" w:color="auto"/>
                <w:left w:val="none" w:sz="0" w:space="0" w:color="auto"/>
                <w:bottom w:val="none" w:sz="0" w:space="0" w:color="auto"/>
                <w:right w:val="none" w:sz="0" w:space="0" w:color="auto"/>
              </w:divBdr>
            </w:div>
            <w:div w:id="1067072532">
              <w:marLeft w:val="0"/>
              <w:marRight w:val="0"/>
              <w:marTop w:val="0"/>
              <w:marBottom w:val="0"/>
              <w:divBdr>
                <w:top w:val="none" w:sz="0" w:space="0" w:color="auto"/>
                <w:left w:val="none" w:sz="0" w:space="0" w:color="auto"/>
                <w:bottom w:val="none" w:sz="0" w:space="0" w:color="auto"/>
                <w:right w:val="none" w:sz="0" w:space="0" w:color="auto"/>
              </w:divBdr>
            </w:div>
            <w:div w:id="1087078056">
              <w:marLeft w:val="0"/>
              <w:marRight w:val="0"/>
              <w:marTop w:val="0"/>
              <w:marBottom w:val="0"/>
              <w:divBdr>
                <w:top w:val="none" w:sz="0" w:space="0" w:color="auto"/>
                <w:left w:val="none" w:sz="0" w:space="0" w:color="auto"/>
                <w:bottom w:val="none" w:sz="0" w:space="0" w:color="auto"/>
                <w:right w:val="none" w:sz="0" w:space="0" w:color="auto"/>
              </w:divBdr>
            </w:div>
            <w:div w:id="1095519432">
              <w:marLeft w:val="0"/>
              <w:marRight w:val="0"/>
              <w:marTop w:val="0"/>
              <w:marBottom w:val="0"/>
              <w:divBdr>
                <w:top w:val="none" w:sz="0" w:space="0" w:color="auto"/>
                <w:left w:val="none" w:sz="0" w:space="0" w:color="auto"/>
                <w:bottom w:val="none" w:sz="0" w:space="0" w:color="auto"/>
                <w:right w:val="none" w:sz="0" w:space="0" w:color="auto"/>
              </w:divBdr>
            </w:div>
            <w:div w:id="1276324719">
              <w:marLeft w:val="0"/>
              <w:marRight w:val="0"/>
              <w:marTop w:val="0"/>
              <w:marBottom w:val="0"/>
              <w:divBdr>
                <w:top w:val="none" w:sz="0" w:space="0" w:color="auto"/>
                <w:left w:val="none" w:sz="0" w:space="0" w:color="auto"/>
                <w:bottom w:val="none" w:sz="0" w:space="0" w:color="auto"/>
                <w:right w:val="none" w:sz="0" w:space="0" w:color="auto"/>
              </w:divBdr>
            </w:div>
            <w:div w:id="1384524332">
              <w:marLeft w:val="0"/>
              <w:marRight w:val="0"/>
              <w:marTop w:val="0"/>
              <w:marBottom w:val="0"/>
              <w:divBdr>
                <w:top w:val="none" w:sz="0" w:space="0" w:color="auto"/>
                <w:left w:val="none" w:sz="0" w:space="0" w:color="auto"/>
                <w:bottom w:val="none" w:sz="0" w:space="0" w:color="auto"/>
                <w:right w:val="none" w:sz="0" w:space="0" w:color="auto"/>
              </w:divBdr>
            </w:div>
            <w:div w:id="1396197659">
              <w:marLeft w:val="0"/>
              <w:marRight w:val="0"/>
              <w:marTop w:val="0"/>
              <w:marBottom w:val="0"/>
              <w:divBdr>
                <w:top w:val="none" w:sz="0" w:space="0" w:color="auto"/>
                <w:left w:val="none" w:sz="0" w:space="0" w:color="auto"/>
                <w:bottom w:val="none" w:sz="0" w:space="0" w:color="auto"/>
                <w:right w:val="none" w:sz="0" w:space="0" w:color="auto"/>
              </w:divBdr>
            </w:div>
            <w:div w:id="1415471992">
              <w:marLeft w:val="0"/>
              <w:marRight w:val="0"/>
              <w:marTop w:val="0"/>
              <w:marBottom w:val="0"/>
              <w:divBdr>
                <w:top w:val="none" w:sz="0" w:space="0" w:color="auto"/>
                <w:left w:val="none" w:sz="0" w:space="0" w:color="auto"/>
                <w:bottom w:val="none" w:sz="0" w:space="0" w:color="auto"/>
                <w:right w:val="none" w:sz="0" w:space="0" w:color="auto"/>
              </w:divBdr>
            </w:div>
            <w:div w:id="1418476551">
              <w:marLeft w:val="0"/>
              <w:marRight w:val="0"/>
              <w:marTop w:val="0"/>
              <w:marBottom w:val="0"/>
              <w:divBdr>
                <w:top w:val="none" w:sz="0" w:space="0" w:color="auto"/>
                <w:left w:val="none" w:sz="0" w:space="0" w:color="auto"/>
                <w:bottom w:val="none" w:sz="0" w:space="0" w:color="auto"/>
                <w:right w:val="none" w:sz="0" w:space="0" w:color="auto"/>
              </w:divBdr>
            </w:div>
            <w:div w:id="1521553602">
              <w:marLeft w:val="0"/>
              <w:marRight w:val="0"/>
              <w:marTop w:val="0"/>
              <w:marBottom w:val="0"/>
              <w:divBdr>
                <w:top w:val="none" w:sz="0" w:space="0" w:color="auto"/>
                <w:left w:val="none" w:sz="0" w:space="0" w:color="auto"/>
                <w:bottom w:val="none" w:sz="0" w:space="0" w:color="auto"/>
                <w:right w:val="none" w:sz="0" w:space="0" w:color="auto"/>
              </w:divBdr>
            </w:div>
            <w:div w:id="1586959875">
              <w:marLeft w:val="0"/>
              <w:marRight w:val="0"/>
              <w:marTop w:val="0"/>
              <w:marBottom w:val="0"/>
              <w:divBdr>
                <w:top w:val="none" w:sz="0" w:space="0" w:color="auto"/>
                <w:left w:val="none" w:sz="0" w:space="0" w:color="auto"/>
                <w:bottom w:val="none" w:sz="0" w:space="0" w:color="auto"/>
                <w:right w:val="none" w:sz="0" w:space="0" w:color="auto"/>
              </w:divBdr>
            </w:div>
            <w:div w:id="1611624699">
              <w:marLeft w:val="0"/>
              <w:marRight w:val="0"/>
              <w:marTop w:val="0"/>
              <w:marBottom w:val="0"/>
              <w:divBdr>
                <w:top w:val="none" w:sz="0" w:space="0" w:color="auto"/>
                <w:left w:val="none" w:sz="0" w:space="0" w:color="auto"/>
                <w:bottom w:val="none" w:sz="0" w:space="0" w:color="auto"/>
                <w:right w:val="none" w:sz="0" w:space="0" w:color="auto"/>
              </w:divBdr>
            </w:div>
            <w:div w:id="1655572422">
              <w:marLeft w:val="0"/>
              <w:marRight w:val="0"/>
              <w:marTop w:val="0"/>
              <w:marBottom w:val="0"/>
              <w:divBdr>
                <w:top w:val="none" w:sz="0" w:space="0" w:color="auto"/>
                <w:left w:val="none" w:sz="0" w:space="0" w:color="auto"/>
                <w:bottom w:val="none" w:sz="0" w:space="0" w:color="auto"/>
                <w:right w:val="none" w:sz="0" w:space="0" w:color="auto"/>
              </w:divBdr>
            </w:div>
            <w:div w:id="1677537803">
              <w:marLeft w:val="0"/>
              <w:marRight w:val="0"/>
              <w:marTop w:val="0"/>
              <w:marBottom w:val="0"/>
              <w:divBdr>
                <w:top w:val="none" w:sz="0" w:space="0" w:color="auto"/>
                <w:left w:val="none" w:sz="0" w:space="0" w:color="auto"/>
                <w:bottom w:val="none" w:sz="0" w:space="0" w:color="auto"/>
                <w:right w:val="none" w:sz="0" w:space="0" w:color="auto"/>
              </w:divBdr>
            </w:div>
            <w:div w:id="1682583908">
              <w:marLeft w:val="0"/>
              <w:marRight w:val="0"/>
              <w:marTop w:val="0"/>
              <w:marBottom w:val="0"/>
              <w:divBdr>
                <w:top w:val="none" w:sz="0" w:space="0" w:color="auto"/>
                <w:left w:val="none" w:sz="0" w:space="0" w:color="auto"/>
                <w:bottom w:val="none" w:sz="0" w:space="0" w:color="auto"/>
                <w:right w:val="none" w:sz="0" w:space="0" w:color="auto"/>
              </w:divBdr>
            </w:div>
            <w:div w:id="1689983027">
              <w:marLeft w:val="0"/>
              <w:marRight w:val="0"/>
              <w:marTop w:val="0"/>
              <w:marBottom w:val="0"/>
              <w:divBdr>
                <w:top w:val="none" w:sz="0" w:space="0" w:color="auto"/>
                <w:left w:val="none" w:sz="0" w:space="0" w:color="auto"/>
                <w:bottom w:val="none" w:sz="0" w:space="0" w:color="auto"/>
                <w:right w:val="none" w:sz="0" w:space="0" w:color="auto"/>
              </w:divBdr>
            </w:div>
            <w:div w:id="1704556506">
              <w:marLeft w:val="0"/>
              <w:marRight w:val="0"/>
              <w:marTop w:val="0"/>
              <w:marBottom w:val="0"/>
              <w:divBdr>
                <w:top w:val="none" w:sz="0" w:space="0" w:color="auto"/>
                <w:left w:val="none" w:sz="0" w:space="0" w:color="auto"/>
                <w:bottom w:val="none" w:sz="0" w:space="0" w:color="auto"/>
                <w:right w:val="none" w:sz="0" w:space="0" w:color="auto"/>
              </w:divBdr>
            </w:div>
            <w:div w:id="1704792738">
              <w:marLeft w:val="0"/>
              <w:marRight w:val="0"/>
              <w:marTop w:val="0"/>
              <w:marBottom w:val="0"/>
              <w:divBdr>
                <w:top w:val="none" w:sz="0" w:space="0" w:color="auto"/>
                <w:left w:val="none" w:sz="0" w:space="0" w:color="auto"/>
                <w:bottom w:val="none" w:sz="0" w:space="0" w:color="auto"/>
                <w:right w:val="none" w:sz="0" w:space="0" w:color="auto"/>
              </w:divBdr>
            </w:div>
            <w:div w:id="1714111240">
              <w:marLeft w:val="0"/>
              <w:marRight w:val="0"/>
              <w:marTop w:val="0"/>
              <w:marBottom w:val="0"/>
              <w:divBdr>
                <w:top w:val="none" w:sz="0" w:space="0" w:color="auto"/>
                <w:left w:val="none" w:sz="0" w:space="0" w:color="auto"/>
                <w:bottom w:val="none" w:sz="0" w:space="0" w:color="auto"/>
                <w:right w:val="none" w:sz="0" w:space="0" w:color="auto"/>
              </w:divBdr>
            </w:div>
            <w:div w:id="1734546735">
              <w:marLeft w:val="0"/>
              <w:marRight w:val="0"/>
              <w:marTop w:val="0"/>
              <w:marBottom w:val="0"/>
              <w:divBdr>
                <w:top w:val="none" w:sz="0" w:space="0" w:color="auto"/>
                <w:left w:val="none" w:sz="0" w:space="0" w:color="auto"/>
                <w:bottom w:val="none" w:sz="0" w:space="0" w:color="auto"/>
                <w:right w:val="none" w:sz="0" w:space="0" w:color="auto"/>
              </w:divBdr>
            </w:div>
            <w:div w:id="1740862466">
              <w:marLeft w:val="0"/>
              <w:marRight w:val="0"/>
              <w:marTop w:val="0"/>
              <w:marBottom w:val="0"/>
              <w:divBdr>
                <w:top w:val="none" w:sz="0" w:space="0" w:color="auto"/>
                <w:left w:val="none" w:sz="0" w:space="0" w:color="auto"/>
                <w:bottom w:val="none" w:sz="0" w:space="0" w:color="auto"/>
                <w:right w:val="none" w:sz="0" w:space="0" w:color="auto"/>
              </w:divBdr>
            </w:div>
            <w:div w:id="1802647409">
              <w:marLeft w:val="0"/>
              <w:marRight w:val="0"/>
              <w:marTop w:val="0"/>
              <w:marBottom w:val="0"/>
              <w:divBdr>
                <w:top w:val="none" w:sz="0" w:space="0" w:color="auto"/>
                <w:left w:val="none" w:sz="0" w:space="0" w:color="auto"/>
                <w:bottom w:val="none" w:sz="0" w:space="0" w:color="auto"/>
                <w:right w:val="none" w:sz="0" w:space="0" w:color="auto"/>
              </w:divBdr>
            </w:div>
            <w:div w:id="1848398363">
              <w:marLeft w:val="0"/>
              <w:marRight w:val="0"/>
              <w:marTop w:val="0"/>
              <w:marBottom w:val="0"/>
              <w:divBdr>
                <w:top w:val="none" w:sz="0" w:space="0" w:color="auto"/>
                <w:left w:val="none" w:sz="0" w:space="0" w:color="auto"/>
                <w:bottom w:val="none" w:sz="0" w:space="0" w:color="auto"/>
                <w:right w:val="none" w:sz="0" w:space="0" w:color="auto"/>
              </w:divBdr>
            </w:div>
            <w:div w:id="1854101280">
              <w:marLeft w:val="0"/>
              <w:marRight w:val="0"/>
              <w:marTop w:val="0"/>
              <w:marBottom w:val="0"/>
              <w:divBdr>
                <w:top w:val="none" w:sz="0" w:space="0" w:color="auto"/>
                <w:left w:val="none" w:sz="0" w:space="0" w:color="auto"/>
                <w:bottom w:val="none" w:sz="0" w:space="0" w:color="auto"/>
                <w:right w:val="none" w:sz="0" w:space="0" w:color="auto"/>
              </w:divBdr>
            </w:div>
            <w:div w:id="1863786715">
              <w:marLeft w:val="0"/>
              <w:marRight w:val="0"/>
              <w:marTop w:val="0"/>
              <w:marBottom w:val="0"/>
              <w:divBdr>
                <w:top w:val="none" w:sz="0" w:space="0" w:color="auto"/>
                <w:left w:val="none" w:sz="0" w:space="0" w:color="auto"/>
                <w:bottom w:val="none" w:sz="0" w:space="0" w:color="auto"/>
                <w:right w:val="none" w:sz="0" w:space="0" w:color="auto"/>
              </w:divBdr>
            </w:div>
            <w:div w:id="1866943859">
              <w:marLeft w:val="0"/>
              <w:marRight w:val="0"/>
              <w:marTop w:val="0"/>
              <w:marBottom w:val="0"/>
              <w:divBdr>
                <w:top w:val="none" w:sz="0" w:space="0" w:color="auto"/>
                <w:left w:val="none" w:sz="0" w:space="0" w:color="auto"/>
                <w:bottom w:val="none" w:sz="0" w:space="0" w:color="auto"/>
                <w:right w:val="none" w:sz="0" w:space="0" w:color="auto"/>
              </w:divBdr>
            </w:div>
            <w:div w:id="1985311015">
              <w:marLeft w:val="0"/>
              <w:marRight w:val="0"/>
              <w:marTop w:val="0"/>
              <w:marBottom w:val="0"/>
              <w:divBdr>
                <w:top w:val="none" w:sz="0" w:space="0" w:color="auto"/>
                <w:left w:val="none" w:sz="0" w:space="0" w:color="auto"/>
                <w:bottom w:val="none" w:sz="0" w:space="0" w:color="auto"/>
                <w:right w:val="none" w:sz="0" w:space="0" w:color="auto"/>
              </w:divBdr>
            </w:div>
            <w:div w:id="20136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9873">
      <w:bodyDiv w:val="1"/>
      <w:marLeft w:val="0"/>
      <w:marRight w:val="0"/>
      <w:marTop w:val="0"/>
      <w:marBottom w:val="0"/>
      <w:divBdr>
        <w:top w:val="none" w:sz="0" w:space="0" w:color="auto"/>
        <w:left w:val="none" w:sz="0" w:space="0" w:color="auto"/>
        <w:bottom w:val="none" w:sz="0" w:space="0" w:color="auto"/>
        <w:right w:val="none" w:sz="0" w:space="0" w:color="auto"/>
      </w:divBdr>
    </w:div>
    <w:div w:id="1731224779">
      <w:bodyDiv w:val="1"/>
      <w:marLeft w:val="0"/>
      <w:marRight w:val="0"/>
      <w:marTop w:val="0"/>
      <w:marBottom w:val="0"/>
      <w:divBdr>
        <w:top w:val="none" w:sz="0" w:space="0" w:color="auto"/>
        <w:left w:val="none" w:sz="0" w:space="0" w:color="auto"/>
        <w:bottom w:val="none" w:sz="0" w:space="0" w:color="auto"/>
        <w:right w:val="none" w:sz="0" w:space="0" w:color="auto"/>
      </w:divBdr>
      <w:divsChild>
        <w:div w:id="413934297">
          <w:marLeft w:val="547"/>
          <w:marRight w:val="0"/>
          <w:marTop w:val="0"/>
          <w:marBottom w:val="0"/>
          <w:divBdr>
            <w:top w:val="none" w:sz="0" w:space="0" w:color="auto"/>
            <w:left w:val="none" w:sz="0" w:space="0" w:color="auto"/>
            <w:bottom w:val="none" w:sz="0" w:space="0" w:color="auto"/>
            <w:right w:val="none" w:sz="0" w:space="0" w:color="auto"/>
          </w:divBdr>
        </w:div>
      </w:divsChild>
    </w:div>
    <w:div w:id="1767651456">
      <w:bodyDiv w:val="1"/>
      <w:marLeft w:val="0"/>
      <w:marRight w:val="0"/>
      <w:marTop w:val="0"/>
      <w:marBottom w:val="0"/>
      <w:divBdr>
        <w:top w:val="none" w:sz="0" w:space="0" w:color="auto"/>
        <w:left w:val="none" w:sz="0" w:space="0" w:color="auto"/>
        <w:bottom w:val="none" w:sz="0" w:space="0" w:color="auto"/>
        <w:right w:val="none" w:sz="0" w:space="0" w:color="auto"/>
      </w:divBdr>
    </w:div>
    <w:div w:id="1819108115">
      <w:bodyDiv w:val="1"/>
      <w:marLeft w:val="0"/>
      <w:marRight w:val="0"/>
      <w:marTop w:val="0"/>
      <w:marBottom w:val="0"/>
      <w:divBdr>
        <w:top w:val="none" w:sz="0" w:space="0" w:color="auto"/>
        <w:left w:val="none" w:sz="0" w:space="0" w:color="auto"/>
        <w:bottom w:val="none" w:sz="0" w:space="0" w:color="auto"/>
        <w:right w:val="none" w:sz="0" w:space="0" w:color="auto"/>
      </w:divBdr>
    </w:div>
    <w:div w:id="1871918571">
      <w:bodyDiv w:val="1"/>
      <w:marLeft w:val="0"/>
      <w:marRight w:val="0"/>
      <w:marTop w:val="0"/>
      <w:marBottom w:val="0"/>
      <w:divBdr>
        <w:top w:val="none" w:sz="0" w:space="0" w:color="auto"/>
        <w:left w:val="none" w:sz="0" w:space="0" w:color="auto"/>
        <w:bottom w:val="none" w:sz="0" w:space="0" w:color="auto"/>
        <w:right w:val="none" w:sz="0" w:space="0" w:color="auto"/>
      </w:divBdr>
    </w:div>
    <w:div w:id="1874463876">
      <w:bodyDiv w:val="1"/>
      <w:marLeft w:val="0"/>
      <w:marRight w:val="0"/>
      <w:marTop w:val="0"/>
      <w:marBottom w:val="0"/>
      <w:divBdr>
        <w:top w:val="none" w:sz="0" w:space="0" w:color="auto"/>
        <w:left w:val="none" w:sz="0" w:space="0" w:color="auto"/>
        <w:bottom w:val="none" w:sz="0" w:space="0" w:color="auto"/>
        <w:right w:val="none" w:sz="0" w:space="0" w:color="auto"/>
      </w:divBdr>
    </w:div>
    <w:div w:id="1887137650">
      <w:bodyDiv w:val="1"/>
      <w:marLeft w:val="0"/>
      <w:marRight w:val="0"/>
      <w:marTop w:val="0"/>
      <w:marBottom w:val="0"/>
      <w:divBdr>
        <w:top w:val="none" w:sz="0" w:space="0" w:color="auto"/>
        <w:left w:val="none" w:sz="0" w:space="0" w:color="auto"/>
        <w:bottom w:val="none" w:sz="0" w:space="0" w:color="auto"/>
        <w:right w:val="none" w:sz="0" w:space="0" w:color="auto"/>
      </w:divBdr>
    </w:div>
    <w:div w:id="1914507228">
      <w:bodyDiv w:val="1"/>
      <w:marLeft w:val="0"/>
      <w:marRight w:val="0"/>
      <w:marTop w:val="0"/>
      <w:marBottom w:val="0"/>
      <w:divBdr>
        <w:top w:val="none" w:sz="0" w:space="0" w:color="auto"/>
        <w:left w:val="none" w:sz="0" w:space="0" w:color="auto"/>
        <w:bottom w:val="none" w:sz="0" w:space="0" w:color="auto"/>
        <w:right w:val="none" w:sz="0" w:space="0" w:color="auto"/>
      </w:divBdr>
    </w:div>
    <w:div w:id="2002811667">
      <w:bodyDiv w:val="1"/>
      <w:marLeft w:val="0"/>
      <w:marRight w:val="0"/>
      <w:marTop w:val="0"/>
      <w:marBottom w:val="0"/>
      <w:divBdr>
        <w:top w:val="none" w:sz="0" w:space="0" w:color="auto"/>
        <w:left w:val="none" w:sz="0" w:space="0" w:color="auto"/>
        <w:bottom w:val="none" w:sz="0" w:space="0" w:color="auto"/>
        <w:right w:val="none" w:sz="0" w:space="0" w:color="auto"/>
      </w:divBdr>
    </w:div>
    <w:div w:id="2021932501">
      <w:bodyDiv w:val="1"/>
      <w:marLeft w:val="0"/>
      <w:marRight w:val="0"/>
      <w:marTop w:val="0"/>
      <w:marBottom w:val="0"/>
      <w:divBdr>
        <w:top w:val="none" w:sz="0" w:space="0" w:color="auto"/>
        <w:left w:val="none" w:sz="0" w:space="0" w:color="auto"/>
        <w:bottom w:val="none" w:sz="0" w:space="0" w:color="auto"/>
        <w:right w:val="none" w:sz="0" w:space="0" w:color="auto"/>
      </w:divBdr>
    </w:div>
    <w:div w:id="2069836217">
      <w:bodyDiv w:val="1"/>
      <w:marLeft w:val="0"/>
      <w:marRight w:val="0"/>
      <w:marTop w:val="0"/>
      <w:marBottom w:val="0"/>
      <w:divBdr>
        <w:top w:val="none" w:sz="0" w:space="0" w:color="auto"/>
        <w:left w:val="none" w:sz="0" w:space="0" w:color="auto"/>
        <w:bottom w:val="none" w:sz="0" w:space="0" w:color="auto"/>
        <w:right w:val="none" w:sz="0" w:space="0" w:color="auto"/>
      </w:divBdr>
    </w:div>
    <w:div w:id="2076660294">
      <w:bodyDiv w:val="1"/>
      <w:marLeft w:val="0"/>
      <w:marRight w:val="0"/>
      <w:marTop w:val="0"/>
      <w:marBottom w:val="0"/>
      <w:divBdr>
        <w:top w:val="none" w:sz="0" w:space="0" w:color="auto"/>
        <w:left w:val="none" w:sz="0" w:space="0" w:color="auto"/>
        <w:bottom w:val="none" w:sz="0" w:space="0" w:color="auto"/>
        <w:right w:val="none" w:sz="0" w:space="0" w:color="auto"/>
      </w:divBdr>
    </w:div>
    <w:div w:id="2115899850">
      <w:bodyDiv w:val="1"/>
      <w:marLeft w:val="0"/>
      <w:marRight w:val="0"/>
      <w:marTop w:val="0"/>
      <w:marBottom w:val="0"/>
      <w:divBdr>
        <w:top w:val="none" w:sz="0" w:space="0" w:color="auto"/>
        <w:left w:val="none" w:sz="0" w:space="0" w:color="auto"/>
        <w:bottom w:val="none" w:sz="0" w:space="0" w:color="auto"/>
        <w:right w:val="none" w:sz="0" w:space="0" w:color="auto"/>
      </w:divBdr>
    </w:div>
    <w:div w:id="211891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hyperlink" Target="https://doi.org/10.1016/j.healthpol.2019.12.004" TargetMode="Externa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F014E-00DF-459B-8ABB-73B5E0A9E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9717</Words>
  <Characters>55392</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64980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Stanciu,Marian Andrei</dc:creator>
  <cp:lastModifiedBy>MAS</cp:lastModifiedBy>
  <cp:revision>3</cp:revision>
  <cp:lastPrinted>2017-09-07T15:54:00Z</cp:lastPrinted>
  <dcterms:created xsi:type="dcterms:W3CDTF">2019-12-18T21:49:00Z</dcterms:created>
  <dcterms:modified xsi:type="dcterms:W3CDTF">2019-12-18T21:55:00Z</dcterms:modified>
</cp:coreProperties>
</file>