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1A57BA" w14:textId="77777777" w:rsidR="003562B1" w:rsidRPr="00190CE5" w:rsidRDefault="002F0115" w:rsidP="00281199">
      <w:pPr>
        <w:pStyle w:val="Heading2"/>
        <w:numPr>
          <w:ilvl w:val="0"/>
          <w:numId w:val="0"/>
        </w:numPr>
        <w:rPr>
          <w:rFonts w:asciiTheme="majorHAnsi" w:hAnsiTheme="majorHAnsi"/>
          <w:color w:val="auto"/>
          <w:sz w:val="32"/>
          <w:szCs w:val="32"/>
        </w:rPr>
      </w:pPr>
      <w:r w:rsidRPr="00190CE5">
        <w:rPr>
          <w:rFonts w:asciiTheme="majorHAnsi" w:hAnsiTheme="majorHAnsi"/>
          <w:color w:val="auto"/>
          <w:sz w:val="32"/>
          <w:szCs w:val="32"/>
        </w:rPr>
        <w:t xml:space="preserve">Ten–Second Electrophysiology: </w:t>
      </w:r>
      <w:r w:rsidR="004B6EB1" w:rsidRPr="00190CE5">
        <w:rPr>
          <w:rFonts w:asciiTheme="majorHAnsi" w:hAnsiTheme="majorHAnsi"/>
          <w:color w:val="auto"/>
          <w:sz w:val="32"/>
          <w:szCs w:val="32"/>
        </w:rPr>
        <w:t xml:space="preserve">Evaluation of the </w:t>
      </w:r>
      <w:r w:rsidR="00105B21" w:rsidRPr="00190CE5">
        <w:rPr>
          <w:rFonts w:asciiTheme="majorHAnsi" w:hAnsiTheme="majorHAnsi"/>
          <w:color w:val="auto"/>
          <w:sz w:val="32"/>
          <w:szCs w:val="32"/>
        </w:rPr>
        <w:t>3DEP Platform</w:t>
      </w:r>
      <w:r w:rsidR="004B6EB1" w:rsidRPr="00190CE5">
        <w:rPr>
          <w:rFonts w:asciiTheme="majorHAnsi" w:hAnsiTheme="majorHAnsi"/>
          <w:color w:val="auto"/>
          <w:sz w:val="32"/>
          <w:szCs w:val="32"/>
        </w:rPr>
        <w:t xml:space="preserve"> for high-speed, high-accuracy cell analysis</w:t>
      </w:r>
    </w:p>
    <w:p w14:paraId="34A4529D" w14:textId="77777777" w:rsidR="003562B1" w:rsidRPr="00190CE5" w:rsidRDefault="003562B1" w:rsidP="00281199">
      <w:pPr>
        <w:spacing w:after="0"/>
        <w:rPr>
          <w:rFonts w:asciiTheme="majorHAnsi" w:hAnsiTheme="majorHAnsi"/>
          <w:sz w:val="22"/>
        </w:rPr>
      </w:pPr>
    </w:p>
    <w:p w14:paraId="1F0214EC" w14:textId="67ED64A4" w:rsidR="00B355FC" w:rsidRPr="00190CE5" w:rsidRDefault="00B355FC" w:rsidP="00281199">
      <w:pPr>
        <w:spacing w:line="276" w:lineRule="auto"/>
        <w:rPr>
          <w:rFonts w:asciiTheme="majorHAnsi" w:hAnsiTheme="majorHAnsi"/>
          <w:sz w:val="22"/>
        </w:rPr>
      </w:pPr>
      <w:r w:rsidRPr="00190CE5">
        <w:rPr>
          <w:rFonts w:asciiTheme="majorHAnsi" w:hAnsiTheme="majorHAnsi"/>
          <w:sz w:val="22"/>
        </w:rPr>
        <w:t>Kai F Hoettges</w:t>
      </w:r>
      <w:r w:rsidRPr="00190CE5">
        <w:rPr>
          <w:rFonts w:asciiTheme="majorHAnsi" w:hAnsiTheme="majorHAnsi"/>
          <w:sz w:val="22"/>
          <w:vertAlign w:val="superscript"/>
        </w:rPr>
        <w:t>1</w:t>
      </w:r>
      <w:r w:rsidR="005C1582" w:rsidRPr="00190CE5">
        <w:rPr>
          <w:rFonts w:asciiTheme="majorHAnsi" w:hAnsiTheme="majorHAnsi"/>
          <w:sz w:val="22"/>
          <w:vertAlign w:val="superscript"/>
        </w:rPr>
        <w:t>a</w:t>
      </w:r>
      <w:r w:rsidR="009B25F4" w:rsidRPr="00190CE5">
        <w:rPr>
          <w:rFonts w:asciiTheme="majorHAnsi" w:hAnsiTheme="majorHAnsi"/>
          <w:sz w:val="22"/>
          <w:vertAlign w:val="superscript"/>
        </w:rPr>
        <w:t>†</w:t>
      </w:r>
      <w:r w:rsidRPr="00190CE5">
        <w:rPr>
          <w:rFonts w:asciiTheme="majorHAnsi" w:hAnsiTheme="majorHAnsi"/>
          <w:sz w:val="22"/>
        </w:rPr>
        <w:t>, Erin A. Henslee</w:t>
      </w:r>
      <w:r w:rsidRPr="00190CE5">
        <w:rPr>
          <w:rFonts w:asciiTheme="majorHAnsi" w:hAnsiTheme="majorHAnsi"/>
          <w:sz w:val="22"/>
          <w:vertAlign w:val="superscript"/>
        </w:rPr>
        <w:t>1</w:t>
      </w:r>
      <w:r w:rsidR="00AA67F5" w:rsidRPr="00190CE5">
        <w:rPr>
          <w:rFonts w:asciiTheme="majorHAnsi" w:hAnsiTheme="majorHAnsi"/>
          <w:sz w:val="22"/>
          <w:vertAlign w:val="superscript"/>
        </w:rPr>
        <w:t>b</w:t>
      </w:r>
      <w:r w:rsidR="009B25F4" w:rsidRPr="00190CE5">
        <w:rPr>
          <w:rFonts w:asciiTheme="majorHAnsi" w:hAnsiTheme="majorHAnsi"/>
          <w:sz w:val="22"/>
          <w:vertAlign w:val="superscript"/>
        </w:rPr>
        <w:t>†</w:t>
      </w:r>
      <w:r w:rsidRPr="00190CE5">
        <w:rPr>
          <w:rFonts w:asciiTheme="majorHAnsi" w:hAnsiTheme="majorHAnsi"/>
          <w:sz w:val="22"/>
        </w:rPr>
        <w:t xml:space="preserve">, </w:t>
      </w:r>
      <w:r w:rsidR="001951CC" w:rsidRPr="00190CE5">
        <w:rPr>
          <w:rFonts w:asciiTheme="majorHAnsi" w:hAnsiTheme="majorHAnsi"/>
          <w:sz w:val="22"/>
        </w:rPr>
        <w:t xml:space="preserve">Ruth M. </w:t>
      </w:r>
      <w:proofErr w:type="spellStart"/>
      <w:r w:rsidR="001951CC" w:rsidRPr="00190CE5">
        <w:rPr>
          <w:rFonts w:asciiTheme="majorHAnsi" w:hAnsiTheme="majorHAnsi"/>
          <w:sz w:val="22"/>
        </w:rPr>
        <w:t>Torcal</w:t>
      </w:r>
      <w:proofErr w:type="spellEnd"/>
      <w:r w:rsidR="001951CC" w:rsidRPr="00190CE5">
        <w:rPr>
          <w:rFonts w:asciiTheme="majorHAnsi" w:hAnsiTheme="majorHAnsi"/>
          <w:sz w:val="22"/>
        </w:rPr>
        <w:t xml:space="preserve"> Serrano</w:t>
      </w:r>
      <w:r w:rsidR="001951CC" w:rsidRPr="00190CE5">
        <w:rPr>
          <w:rFonts w:asciiTheme="majorHAnsi" w:hAnsiTheme="majorHAnsi"/>
          <w:sz w:val="22"/>
          <w:vertAlign w:val="superscript"/>
        </w:rPr>
        <w:t>1</w:t>
      </w:r>
      <w:r w:rsidR="001951CC" w:rsidRPr="00190CE5">
        <w:rPr>
          <w:rFonts w:asciiTheme="majorHAnsi" w:hAnsiTheme="majorHAnsi"/>
          <w:sz w:val="22"/>
        </w:rPr>
        <w:t xml:space="preserve">, </w:t>
      </w:r>
      <w:r w:rsidRPr="00190CE5">
        <w:rPr>
          <w:rFonts w:asciiTheme="majorHAnsi" w:hAnsiTheme="majorHAnsi"/>
          <w:sz w:val="22"/>
        </w:rPr>
        <w:t>Rita I Jabr</w:t>
      </w:r>
      <w:r w:rsidRPr="00190CE5">
        <w:rPr>
          <w:rFonts w:asciiTheme="majorHAnsi" w:hAnsiTheme="majorHAnsi"/>
          <w:sz w:val="22"/>
          <w:vertAlign w:val="superscript"/>
        </w:rPr>
        <w:t>2</w:t>
      </w:r>
      <w:r w:rsidRPr="00190CE5">
        <w:rPr>
          <w:rFonts w:asciiTheme="majorHAnsi" w:hAnsiTheme="majorHAnsi"/>
          <w:sz w:val="22"/>
        </w:rPr>
        <w:t xml:space="preserve">, </w:t>
      </w:r>
      <w:r w:rsidR="009B25F4" w:rsidRPr="00190CE5">
        <w:rPr>
          <w:rFonts w:asciiTheme="majorHAnsi" w:hAnsiTheme="majorHAnsi"/>
          <w:sz w:val="22"/>
        </w:rPr>
        <w:t>Rula G. Abdallat</w:t>
      </w:r>
      <w:r w:rsidR="009B25F4" w:rsidRPr="00190CE5">
        <w:rPr>
          <w:rFonts w:asciiTheme="majorHAnsi" w:hAnsiTheme="majorHAnsi"/>
          <w:sz w:val="22"/>
          <w:vertAlign w:val="superscript"/>
        </w:rPr>
        <w:t>3</w:t>
      </w:r>
      <w:r w:rsidR="009B25F4" w:rsidRPr="00190CE5">
        <w:rPr>
          <w:rFonts w:asciiTheme="majorHAnsi" w:hAnsiTheme="majorHAnsi"/>
          <w:sz w:val="22"/>
        </w:rPr>
        <w:t xml:space="preserve">, </w:t>
      </w:r>
      <w:r w:rsidR="00AA67F5" w:rsidRPr="00190CE5">
        <w:rPr>
          <w:rFonts w:asciiTheme="majorHAnsi" w:hAnsiTheme="majorHAnsi"/>
          <w:sz w:val="22"/>
        </w:rPr>
        <w:t>Andrew D. Beale</w:t>
      </w:r>
      <w:r w:rsidR="00AA67F5" w:rsidRPr="00190CE5">
        <w:rPr>
          <w:rFonts w:asciiTheme="majorHAnsi" w:hAnsiTheme="majorHAnsi"/>
          <w:sz w:val="22"/>
          <w:vertAlign w:val="superscript"/>
        </w:rPr>
        <w:t>1c</w:t>
      </w:r>
      <w:r w:rsidR="00AA67F5" w:rsidRPr="00190CE5">
        <w:rPr>
          <w:rFonts w:asciiTheme="majorHAnsi" w:hAnsiTheme="majorHAnsi"/>
          <w:sz w:val="22"/>
        </w:rPr>
        <w:t xml:space="preserve"> </w:t>
      </w:r>
      <w:r w:rsidR="00BA4136" w:rsidRPr="00190CE5">
        <w:rPr>
          <w:rFonts w:asciiTheme="majorHAnsi" w:hAnsiTheme="majorHAnsi"/>
          <w:sz w:val="22"/>
        </w:rPr>
        <w:t>Abdul Waheed</w:t>
      </w:r>
      <w:r w:rsidR="00BA4136" w:rsidRPr="00190CE5">
        <w:rPr>
          <w:rFonts w:asciiTheme="majorHAnsi" w:hAnsiTheme="majorHAnsi"/>
          <w:sz w:val="22"/>
          <w:vertAlign w:val="superscript"/>
        </w:rPr>
        <w:t>2</w:t>
      </w:r>
      <w:r w:rsidR="00BA4136" w:rsidRPr="00190CE5">
        <w:rPr>
          <w:rFonts w:asciiTheme="majorHAnsi" w:hAnsiTheme="majorHAnsi"/>
          <w:sz w:val="22"/>
        </w:rPr>
        <w:t xml:space="preserve">, </w:t>
      </w:r>
      <w:r w:rsidR="002D7840" w:rsidRPr="00190CE5">
        <w:rPr>
          <w:rFonts w:asciiTheme="majorHAnsi" w:hAnsiTheme="majorHAnsi"/>
          <w:sz w:val="22"/>
        </w:rPr>
        <w:t>Patrizia Camell</w:t>
      </w:r>
      <w:r w:rsidR="00B25222" w:rsidRPr="00190CE5">
        <w:rPr>
          <w:rFonts w:asciiTheme="majorHAnsi" w:hAnsiTheme="majorHAnsi"/>
          <w:sz w:val="22"/>
        </w:rPr>
        <w:t>i</w:t>
      </w:r>
      <w:r w:rsidR="002D7840" w:rsidRPr="00190CE5">
        <w:rPr>
          <w:rFonts w:asciiTheme="majorHAnsi" w:hAnsiTheme="majorHAnsi"/>
          <w:sz w:val="22"/>
        </w:rPr>
        <w:t>ti</w:t>
      </w:r>
      <w:r w:rsidR="002D7840" w:rsidRPr="00190CE5">
        <w:rPr>
          <w:rFonts w:asciiTheme="majorHAnsi" w:hAnsiTheme="majorHAnsi"/>
          <w:sz w:val="22"/>
          <w:vertAlign w:val="superscript"/>
        </w:rPr>
        <w:t>2</w:t>
      </w:r>
      <w:r w:rsidR="002D7840" w:rsidRPr="00190CE5">
        <w:rPr>
          <w:rFonts w:asciiTheme="majorHAnsi" w:hAnsiTheme="majorHAnsi"/>
          <w:sz w:val="22"/>
        </w:rPr>
        <w:t xml:space="preserve">, </w:t>
      </w:r>
      <w:r w:rsidR="002B4BF2" w:rsidRPr="00190CE5">
        <w:rPr>
          <w:rFonts w:asciiTheme="majorHAnsi" w:hAnsiTheme="majorHAnsi"/>
          <w:sz w:val="22"/>
        </w:rPr>
        <w:t>Christopher H. Fry</w:t>
      </w:r>
      <w:r w:rsidR="002B4BF2" w:rsidRPr="00190CE5">
        <w:rPr>
          <w:rFonts w:asciiTheme="majorHAnsi" w:hAnsiTheme="majorHAnsi"/>
          <w:sz w:val="22"/>
          <w:vertAlign w:val="superscript"/>
        </w:rPr>
        <w:t>2</w:t>
      </w:r>
      <w:r w:rsidR="00AA67F5" w:rsidRPr="00190CE5">
        <w:rPr>
          <w:rFonts w:asciiTheme="majorHAnsi" w:hAnsiTheme="majorHAnsi"/>
          <w:sz w:val="22"/>
          <w:vertAlign w:val="superscript"/>
        </w:rPr>
        <w:t>d</w:t>
      </w:r>
      <w:r w:rsidR="002B4BF2" w:rsidRPr="00190CE5">
        <w:rPr>
          <w:rFonts w:asciiTheme="majorHAnsi" w:hAnsiTheme="majorHAnsi"/>
          <w:sz w:val="22"/>
        </w:rPr>
        <w:t xml:space="preserve">, </w:t>
      </w:r>
      <w:r w:rsidR="0081707D" w:rsidRPr="00190CE5">
        <w:rPr>
          <w:rFonts w:asciiTheme="majorHAnsi" w:hAnsiTheme="majorHAnsi"/>
          <w:sz w:val="22"/>
        </w:rPr>
        <w:t>Daan</w:t>
      </w:r>
      <w:r w:rsidR="00C451AB" w:rsidRPr="00190CE5">
        <w:rPr>
          <w:rFonts w:asciiTheme="majorHAnsi" w:hAnsiTheme="majorHAnsi"/>
          <w:sz w:val="22"/>
        </w:rPr>
        <w:t xml:space="preserve"> R.</w:t>
      </w:r>
      <w:r w:rsidR="0081707D" w:rsidRPr="00190CE5">
        <w:rPr>
          <w:rFonts w:asciiTheme="majorHAnsi" w:hAnsiTheme="majorHAnsi"/>
          <w:sz w:val="22"/>
        </w:rPr>
        <w:t xml:space="preserve"> van der Veen</w:t>
      </w:r>
      <w:r w:rsidR="0081707D" w:rsidRPr="00190CE5">
        <w:rPr>
          <w:rFonts w:asciiTheme="majorHAnsi" w:hAnsiTheme="majorHAnsi"/>
          <w:sz w:val="22"/>
          <w:vertAlign w:val="superscript"/>
        </w:rPr>
        <w:t>2</w:t>
      </w:r>
      <w:r w:rsidR="00FE51D4" w:rsidRPr="00190CE5">
        <w:rPr>
          <w:rFonts w:asciiTheme="majorHAnsi" w:hAnsiTheme="majorHAnsi"/>
          <w:sz w:val="22"/>
          <w:vertAlign w:val="subscript"/>
        </w:rPr>
        <w:t>,</w:t>
      </w:r>
      <w:r w:rsidR="00FE51D4" w:rsidRPr="00190CE5">
        <w:rPr>
          <w:rFonts w:asciiTheme="majorHAnsi" w:hAnsiTheme="majorHAnsi"/>
          <w:sz w:val="22"/>
        </w:rPr>
        <w:t xml:space="preserve"> </w:t>
      </w:r>
      <w:r w:rsidRPr="00190CE5">
        <w:rPr>
          <w:rFonts w:asciiTheme="majorHAnsi" w:hAnsiTheme="majorHAnsi"/>
          <w:sz w:val="22"/>
        </w:rPr>
        <w:t>Fatima H. Labeed</w:t>
      </w:r>
      <w:r w:rsidRPr="00190CE5">
        <w:rPr>
          <w:rFonts w:asciiTheme="majorHAnsi" w:hAnsiTheme="majorHAnsi"/>
          <w:sz w:val="22"/>
          <w:vertAlign w:val="superscript"/>
        </w:rPr>
        <w:t>1</w:t>
      </w:r>
      <w:r w:rsidR="0081707D" w:rsidRPr="00190CE5">
        <w:rPr>
          <w:rFonts w:asciiTheme="majorHAnsi" w:hAnsiTheme="majorHAnsi"/>
          <w:sz w:val="22"/>
          <w:vertAlign w:val="superscript"/>
        </w:rPr>
        <w:t>*</w:t>
      </w:r>
      <w:r w:rsidRPr="00190CE5">
        <w:rPr>
          <w:rFonts w:asciiTheme="majorHAnsi" w:hAnsiTheme="majorHAnsi"/>
          <w:sz w:val="22"/>
        </w:rPr>
        <w:t>, Michael P. Hughes</w:t>
      </w:r>
      <w:r w:rsidRPr="00190CE5">
        <w:rPr>
          <w:rFonts w:asciiTheme="majorHAnsi" w:hAnsiTheme="majorHAnsi"/>
          <w:sz w:val="22"/>
          <w:vertAlign w:val="superscript"/>
        </w:rPr>
        <w:t>1</w:t>
      </w:r>
      <w:r w:rsidR="002D7840" w:rsidRPr="00190CE5">
        <w:rPr>
          <w:rFonts w:asciiTheme="majorHAnsi" w:hAnsiTheme="majorHAnsi"/>
          <w:sz w:val="22"/>
          <w:vertAlign w:val="superscript"/>
        </w:rPr>
        <w:t>*</w:t>
      </w:r>
      <w:r w:rsidR="0081707D" w:rsidRPr="00190CE5">
        <w:rPr>
          <w:rFonts w:asciiTheme="majorHAnsi" w:hAnsiTheme="majorHAnsi"/>
          <w:sz w:val="22"/>
          <w:vertAlign w:val="superscript"/>
        </w:rPr>
        <w:t>*</w:t>
      </w:r>
    </w:p>
    <w:p w14:paraId="2DE96AF1" w14:textId="77777777" w:rsidR="00B355FC" w:rsidRPr="00190CE5" w:rsidRDefault="00B355FC" w:rsidP="00281199">
      <w:pPr>
        <w:spacing w:line="276" w:lineRule="auto"/>
        <w:rPr>
          <w:rFonts w:asciiTheme="majorHAnsi" w:hAnsiTheme="majorHAnsi"/>
          <w:sz w:val="22"/>
        </w:rPr>
      </w:pPr>
      <w:r w:rsidRPr="00190CE5">
        <w:rPr>
          <w:rFonts w:asciiTheme="majorHAnsi" w:hAnsiTheme="majorHAnsi"/>
          <w:sz w:val="22"/>
          <w:vertAlign w:val="superscript"/>
        </w:rPr>
        <w:t>1</w:t>
      </w:r>
      <w:r w:rsidRPr="00190CE5">
        <w:rPr>
          <w:rFonts w:asciiTheme="majorHAnsi" w:hAnsiTheme="majorHAnsi"/>
          <w:sz w:val="22"/>
        </w:rPr>
        <w:t>Centre for Biomedical Engineering, Department of Mechanical Engineering Sciences, University of Surrey, Guildford, Surrey GU2 7XH, UK</w:t>
      </w:r>
    </w:p>
    <w:p w14:paraId="0979D807" w14:textId="53DE3F6F" w:rsidR="009B25F4" w:rsidRPr="00190CE5" w:rsidRDefault="00B355FC" w:rsidP="00281199">
      <w:pPr>
        <w:spacing w:line="276" w:lineRule="auto"/>
        <w:rPr>
          <w:rFonts w:asciiTheme="majorHAnsi" w:hAnsiTheme="majorHAnsi"/>
          <w:sz w:val="22"/>
        </w:rPr>
      </w:pPr>
      <w:r w:rsidRPr="00190CE5">
        <w:rPr>
          <w:rFonts w:asciiTheme="majorHAnsi" w:hAnsiTheme="majorHAnsi"/>
          <w:sz w:val="22"/>
          <w:vertAlign w:val="superscript"/>
        </w:rPr>
        <w:t>2</w:t>
      </w:r>
      <w:r w:rsidR="00691A19" w:rsidRPr="00190CE5">
        <w:rPr>
          <w:rFonts w:asciiTheme="majorHAnsi" w:hAnsiTheme="majorHAnsi"/>
          <w:sz w:val="22"/>
        </w:rPr>
        <w:t>School of Biosciences and Medicine</w:t>
      </w:r>
      <w:r w:rsidRPr="00190CE5">
        <w:rPr>
          <w:rFonts w:asciiTheme="majorHAnsi" w:hAnsiTheme="majorHAnsi"/>
          <w:sz w:val="22"/>
        </w:rPr>
        <w:t>, University of Surrey, Guildford, Surrey GU2 7XH, UK</w:t>
      </w:r>
    </w:p>
    <w:p w14:paraId="288D00C2" w14:textId="70B2A474" w:rsidR="00274FF9" w:rsidRPr="00190CE5" w:rsidRDefault="00EF4963" w:rsidP="00D140D3">
      <w:pPr>
        <w:spacing w:line="276" w:lineRule="auto"/>
        <w:rPr>
          <w:rFonts w:asciiTheme="majorHAnsi" w:hAnsiTheme="majorHAnsi"/>
          <w:sz w:val="22"/>
        </w:rPr>
      </w:pPr>
      <w:r w:rsidRPr="00190CE5">
        <w:rPr>
          <w:rFonts w:asciiTheme="majorHAnsi" w:hAnsiTheme="majorHAnsi"/>
          <w:sz w:val="22"/>
          <w:vertAlign w:val="superscript"/>
        </w:rPr>
        <w:t>3</w:t>
      </w:r>
      <w:r w:rsidRPr="00190CE5">
        <w:rPr>
          <w:rFonts w:asciiTheme="majorHAnsi" w:hAnsiTheme="majorHAnsi"/>
          <w:sz w:val="22"/>
        </w:rPr>
        <w:t>Department of Biomedical Engineering, Faculty of Engineering, The Hashemite University, PO Box 330127, Zarqa 13133, Jordan.</w:t>
      </w:r>
    </w:p>
    <w:p w14:paraId="32FF4691" w14:textId="77777777" w:rsidR="0081707D" w:rsidRPr="00190CE5" w:rsidRDefault="0081707D" w:rsidP="00D140D3">
      <w:pPr>
        <w:spacing w:line="276" w:lineRule="auto"/>
        <w:rPr>
          <w:rFonts w:asciiTheme="majorHAnsi" w:hAnsiTheme="majorHAnsi"/>
          <w:sz w:val="22"/>
        </w:rPr>
      </w:pPr>
      <w:r w:rsidRPr="00190CE5">
        <w:rPr>
          <w:rFonts w:asciiTheme="majorHAnsi" w:hAnsiTheme="majorHAnsi"/>
          <w:sz w:val="22"/>
        </w:rPr>
        <w:t xml:space="preserve">*Corresponding author: Fatima H. Labeed, Centre for Biomedical Engineering, University of Surrey, Guildford, Surrey GU2 7XH, UK.  Email </w:t>
      </w:r>
      <w:hyperlink r:id="rId8" w:history="1">
        <w:r w:rsidRPr="00190CE5">
          <w:rPr>
            <w:rStyle w:val="Hyperlink"/>
            <w:rFonts w:asciiTheme="majorHAnsi" w:hAnsiTheme="majorHAnsi"/>
            <w:color w:val="auto"/>
            <w:sz w:val="22"/>
          </w:rPr>
          <w:t>f.labeed@surrey.ac.uk</w:t>
        </w:r>
      </w:hyperlink>
      <w:r w:rsidRPr="00190CE5">
        <w:rPr>
          <w:rFonts w:asciiTheme="majorHAnsi" w:hAnsiTheme="majorHAnsi"/>
          <w:sz w:val="22"/>
        </w:rPr>
        <w:t>, tel. 0044 1483 684536</w:t>
      </w:r>
    </w:p>
    <w:p w14:paraId="0642F089" w14:textId="77777777" w:rsidR="00BA4136" w:rsidRPr="00190CE5" w:rsidRDefault="00B355FC" w:rsidP="00D140D3">
      <w:pPr>
        <w:spacing w:line="276" w:lineRule="auto"/>
        <w:rPr>
          <w:rFonts w:asciiTheme="majorHAnsi" w:hAnsiTheme="majorHAnsi"/>
          <w:sz w:val="22"/>
        </w:rPr>
      </w:pPr>
      <w:r w:rsidRPr="00190CE5">
        <w:rPr>
          <w:rFonts w:asciiTheme="majorHAnsi" w:hAnsiTheme="majorHAnsi"/>
          <w:sz w:val="22"/>
        </w:rPr>
        <w:t>*</w:t>
      </w:r>
      <w:r w:rsidR="0081707D" w:rsidRPr="00190CE5">
        <w:rPr>
          <w:rFonts w:asciiTheme="majorHAnsi" w:hAnsiTheme="majorHAnsi"/>
          <w:sz w:val="22"/>
        </w:rPr>
        <w:t>*</w:t>
      </w:r>
      <w:r w:rsidRPr="00190CE5">
        <w:rPr>
          <w:rFonts w:asciiTheme="majorHAnsi" w:hAnsiTheme="majorHAnsi"/>
          <w:sz w:val="22"/>
        </w:rPr>
        <w:t>Corresponding author</w:t>
      </w:r>
      <w:r w:rsidR="002D7840" w:rsidRPr="00190CE5">
        <w:rPr>
          <w:rFonts w:asciiTheme="majorHAnsi" w:hAnsiTheme="majorHAnsi"/>
          <w:sz w:val="22"/>
        </w:rPr>
        <w:t xml:space="preserve">: Michael P. Hughes, Centre for Biomedical Engineering, University of Surrey, Guildford, Surrey GU2 7XH, UK.  </w:t>
      </w:r>
      <w:r w:rsidRPr="00190CE5">
        <w:rPr>
          <w:rFonts w:asciiTheme="majorHAnsi" w:hAnsiTheme="majorHAnsi"/>
          <w:sz w:val="22"/>
        </w:rPr>
        <w:t xml:space="preserve">Email </w:t>
      </w:r>
      <w:hyperlink r:id="rId9" w:history="1">
        <w:r w:rsidRPr="00190CE5">
          <w:rPr>
            <w:rStyle w:val="Hyperlink"/>
            <w:rFonts w:asciiTheme="majorHAnsi" w:hAnsiTheme="majorHAnsi"/>
            <w:color w:val="auto"/>
            <w:sz w:val="22"/>
          </w:rPr>
          <w:t>m.hughes@surrey.ac.uk</w:t>
        </w:r>
      </w:hyperlink>
      <w:r w:rsidRPr="00190CE5">
        <w:rPr>
          <w:rFonts w:asciiTheme="majorHAnsi" w:hAnsiTheme="majorHAnsi"/>
          <w:sz w:val="22"/>
        </w:rPr>
        <w:t>, tel. 0044 1483 686775</w:t>
      </w:r>
    </w:p>
    <w:p w14:paraId="511272AA" w14:textId="77777777" w:rsidR="00BA4136" w:rsidRPr="00190CE5" w:rsidRDefault="005C1582" w:rsidP="00D140D3">
      <w:pPr>
        <w:spacing w:line="276" w:lineRule="auto"/>
        <w:rPr>
          <w:rFonts w:asciiTheme="majorHAnsi" w:hAnsiTheme="majorHAnsi"/>
          <w:sz w:val="22"/>
        </w:rPr>
      </w:pPr>
      <w:r w:rsidRPr="00190CE5">
        <w:rPr>
          <w:rFonts w:asciiTheme="majorHAnsi" w:hAnsiTheme="majorHAnsi"/>
          <w:sz w:val="22"/>
          <w:vertAlign w:val="superscript"/>
        </w:rPr>
        <w:t xml:space="preserve">a </w:t>
      </w:r>
      <w:r w:rsidRPr="00190CE5">
        <w:rPr>
          <w:rFonts w:asciiTheme="majorHAnsi" w:hAnsiTheme="majorHAnsi"/>
          <w:sz w:val="22"/>
        </w:rPr>
        <w:t>Present address:</w:t>
      </w:r>
      <w:r w:rsidR="007365D0" w:rsidRPr="00190CE5">
        <w:rPr>
          <w:rFonts w:asciiTheme="majorHAnsi" w:hAnsiTheme="majorHAnsi"/>
          <w:sz w:val="22"/>
        </w:rPr>
        <w:t xml:space="preserve"> Department of Electrical Engineering and Electronics, University of Liverpool, </w:t>
      </w:r>
      <w:r w:rsidR="00726C3D" w:rsidRPr="00190CE5">
        <w:rPr>
          <w:rFonts w:asciiTheme="majorHAnsi" w:hAnsiTheme="majorHAnsi"/>
          <w:sz w:val="22"/>
        </w:rPr>
        <w:t>Brownlow Hill, Liverpool L69 3GJ, UK</w:t>
      </w:r>
    </w:p>
    <w:p w14:paraId="7A407056" w14:textId="65834986" w:rsidR="00AA67F5" w:rsidRPr="00190CE5" w:rsidRDefault="00AA67F5" w:rsidP="00D140D3">
      <w:pPr>
        <w:spacing w:line="276" w:lineRule="auto"/>
        <w:rPr>
          <w:rFonts w:asciiTheme="majorHAnsi" w:hAnsiTheme="majorHAnsi"/>
          <w:sz w:val="22"/>
        </w:rPr>
      </w:pPr>
      <w:r w:rsidRPr="00190CE5">
        <w:rPr>
          <w:rFonts w:asciiTheme="majorHAnsi" w:hAnsiTheme="majorHAnsi"/>
          <w:sz w:val="22"/>
          <w:vertAlign w:val="superscript"/>
        </w:rPr>
        <w:t xml:space="preserve">b </w:t>
      </w:r>
      <w:r w:rsidRPr="00190CE5">
        <w:rPr>
          <w:rFonts w:asciiTheme="majorHAnsi" w:hAnsiTheme="majorHAnsi"/>
          <w:sz w:val="22"/>
        </w:rPr>
        <w:t>Present address: Department of Engineering, Wake Forest University, Wake Downtown, Winston-Salem, NC 27109, USA</w:t>
      </w:r>
    </w:p>
    <w:p w14:paraId="699678B5" w14:textId="4809CE2C" w:rsidR="00AA67F5" w:rsidRPr="00190CE5" w:rsidRDefault="00AA67F5" w:rsidP="00D140D3">
      <w:pPr>
        <w:spacing w:line="276" w:lineRule="auto"/>
        <w:rPr>
          <w:rFonts w:asciiTheme="majorHAnsi" w:hAnsiTheme="majorHAnsi"/>
          <w:sz w:val="22"/>
        </w:rPr>
      </w:pPr>
      <w:r w:rsidRPr="00190CE5">
        <w:rPr>
          <w:rFonts w:asciiTheme="majorHAnsi" w:hAnsiTheme="majorHAnsi"/>
          <w:sz w:val="22"/>
          <w:vertAlign w:val="superscript"/>
        </w:rPr>
        <w:t>c</w:t>
      </w:r>
      <w:r w:rsidRPr="00190CE5">
        <w:rPr>
          <w:rFonts w:asciiTheme="majorHAnsi" w:hAnsiTheme="majorHAnsi"/>
          <w:sz w:val="22"/>
        </w:rPr>
        <w:t xml:space="preserve"> Present address: MRC Laboratory for Molecular Biology, Francis Crick Avenue, Cambridge CB2 0QH, UK</w:t>
      </w:r>
    </w:p>
    <w:p w14:paraId="4BC5B4C1" w14:textId="15228D61" w:rsidR="005C1582" w:rsidRPr="00190CE5" w:rsidRDefault="00AA67F5" w:rsidP="00D140D3">
      <w:pPr>
        <w:spacing w:line="276" w:lineRule="auto"/>
        <w:rPr>
          <w:rStyle w:val="postal-code"/>
          <w:rFonts w:asciiTheme="majorHAnsi" w:hAnsiTheme="majorHAnsi"/>
          <w:sz w:val="22"/>
        </w:rPr>
      </w:pPr>
      <w:r w:rsidRPr="00190CE5">
        <w:rPr>
          <w:rFonts w:asciiTheme="majorHAnsi" w:hAnsiTheme="majorHAnsi"/>
          <w:sz w:val="22"/>
          <w:vertAlign w:val="superscript"/>
        </w:rPr>
        <w:t>d</w:t>
      </w:r>
      <w:r w:rsidR="005C1582" w:rsidRPr="00190CE5">
        <w:rPr>
          <w:rFonts w:asciiTheme="majorHAnsi" w:hAnsiTheme="majorHAnsi"/>
          <w:sz w:val="22"/>
        </w:rPr>
        <w:t xml:space="preserve"> Present address: </w:t>
      </w:r>
      <w:r w:rsidR="007365D0" w:rsidRPr="00190CE5">
        <w:rPr>
          <w:rStyle w:val="street-address"/>
          <w:rFonts w:asciiTheme="majorHAnsi" w:hAnsiTheme="majorHAnsi" w:cs="Arial"/>
          <w:sz w:val="22"/>
        </w:rPr>
        <w:t>School of Physiology</w:t>
      </w:r>
      <w:r w:rsidR="000209FA" w:rsidRPr="00190CE5">
        <w:rPr>
          <w:rStyle w:val="street-address"/>
          <w:rFonts w:asciiTheme="majorHAnsi" w:hAnsiTheme="majorHAnsi" w:cs="Arial"/>
          <w:sz w:val="22"/>
        </w:rPr>
        <w:t xml:space="preserve">, </w:t>
      </w:r>
      <w:r w:rsidR="007365D0" w:rsidRPr="00190CE5">
        <w:rPr>
          <w:rStyle w:val="street-address"/>
          <w:rFonts w:asciiTheme="majorHAnsi" w:hAnsiTheme="majorHAnsi" w:cs="Arial"/>
          <w:sz w:val="22"/>
        </w:rPr>
        <w:t>Pharmacology</w:t>
      </w:r>
      <w:r w:rsidR="000209FA" w:rsidRPr="00190CE5">
        <w:rPr>
          <w:rStyle w:val="street-address"/>
          <w:rFonts w:asciiTheme="majorHAnsi" w:hAnsiTheme="majorHAnsi" w:cs="Arial"/>
          <w:sz w:val="22"/>
        </w:rPr>
        <w:t xml:space="preserve"> &amp; Neuroscience</w:t>
      </w:r>
      <w:r w:rsidR="007365D0" w:rsidRPr="00190CE5">
        <w:rPr>
          <w:rStyle w:val="street-address"/>
          <w:rFonts w:asciiTheme="majorHAnsi" w:hAnsiTheme="majorHAnsi" w:cs="Arial"/>
          <w:sz w:val="22"/>
        </w:rPr>
        <w:t xml:space="preserve">, University of Bristol, </w:t>
      </w:r>
      <w:r w:rsidR="007365D0" w:rsidRPr="00190CE5">
        <w:rPr>
          <w:rStyle w:val="locality"/>
          <w:rFonts w:asciiTheme="majorHAnsi" w:hAnsiTheme="majorHAnsi" w:cs="Arial"/>
          <w:sz w:val="22"/>
        </w:rPr>
        <w:t>University Walk, Bristol</w:t>
      </w:r>
      <w:r w:rsidR="007365D0" w:rsidRPr="00190CE5">
        <w:rPr>
          <w:rStyle w:val="apple-converted-space"/>
          <w:rFonts w:asciiTheme="majorHAnsi" w:hAnsiTheme="majorHAnsi" w:cs="Arial"/>
          <w:sz w:val="22"/>
        </w:rPr>
        <w:t> </w:t>
      </w:r>
      <w:r w:rsidR="007365D0" w:rsidRPr="00190CE5">
        <w:rPr>
          <w:rStyle w:val="postal-code"/>
          <w:rFonts w:asciiTheme="majorHAnsi" w:hAnsiTheme="majorHAnsi" w:cs="Arial"/>
          <w:sz w:val="22"/>
        </w:rPr>
        <w:t>BS8 1TD, UK</w:t>
      </w:r>
    </w:p>
    <w:p w14:paraId="7AB43783" w14:textId="50392633" w:rsidR="00AD0D37" w:rsidRPr="00190CE5" w:rsidRDefault="009B25F4" w:rsidP="00D140D3">
      <w:pPr>
        <w:spacing w:line="276" w:lineRule="auto"/>
        <w:rPr>
          <w:rStyle w:val="postal-code"/>
          <w:rFonts w:asciiTheme="majorHAnsi" w:hAnsiTheme="majorHAnsi"/>
          <w:sz w:val="22"/>
        </w:rPr>
      </w:pPr>
      <w:r w:rsidRPr="00190CE5">
        <w:rPr>
          <w:rStyle w:val="postal-code"/>
          <w:rFonts w:asciiTheme="majorHAnsi" w:hAnsiTheme="majorHAnsi"/>
          <w:sz w:val="22"/>
          <w:vertAlign w:val="superscript"/>
        </w:rPr>
        <w:t>†</w:t>
      </w:r>
      <w:r w:rsidRPr="00190CE5">
        <w:rPr>
          <w:rStyle w:val="postal-code"/>
          <w:rFonts w:asciiTheme="majorHAnsi" w:hAnsiTheme="majorHAnsi"/>
          <w:sz w:val="22"/>
        </w:rPr>
        <w:t>Contributed equally to this work</w:t>
      </w:r>
    </w:p>
    <w:p w14:paraId="6EC28FE7" w14:textId="2CEF3222" w:rsidR="00AD0D37" w:rsidRPr="00190CE5" w:rsidRDefault="00AD0D37" w:rsidP="00D140D3">
      <w:pPr>
        <w:spacing w:line="276" w:lineRule="auto"/>
        <w:rPr>
          <w:rFonts w:asciiTheme="majorHAnsi" w:hAnsiTheme="majorHAnsi"/>
          <w:sz w:val="22"/>
        </w:rPr>
      </w:pPr>
      <w:r w:rsidRPr="00190CE5">
        <w:rPr>
          <w:rStyle w:val="postal-code"/>
          <w:rFonts w:asciiTheme="majorHAnsi" w:hAnsiTheme="majorHAnsi" w:cs="Arial"/>
          <w:sz w:val="22"/>
        </w:rPr>
        <w:t>Key</w:t>
      </w:r>
      <w:r w:rsidR="00372AD9" w:rsidRPr="00190CE5">
        <w:rPr>
          <w:rStyle w:val="postal-code"/>
          <w:rFonts w:asciiTheme="majorHAnsi" w:hAnsiTheme="majorHAnsi" w:cs="Arial"/>
          <w:sz w:val="22"/>
        </w:rPr>
        <w:t>w</w:t>
      </w:r>
      <w:r w:rsidR="009B25F4" w:rsidRPr="00190CE5">
        <w:rPr>
          <w:rStyle w:val="postal-code"/>
          <w:rFonts w:asciiTheme="majorHAnsi" w:hAnsiTheme="majorHAnsi" w:cs="Arial"/>
          <w:sz w:val="22"/>
        </w:rPr>
        <w:t>o</w:t>
      </w:r>
      <w:r w:rsidRPr="00190CE5">
        <w:rPr>
          <w:rStyle w:val="postal-code"/>
          <w:rFonts w:asciiTheme="majorHAnsi" w:hAnsiTheme="majorHAnsi" w:cs="Arial"/>
          <w:sz w:val="22"/>
        </w:rPr>
        <w:t xml:space="preserve">rds: Dielectrophoresis; </w:t>
      </w:r>
      <w:proofErr w:type="spellStart"/>
      <w:r w:rsidRPr="00190CE5">
        <w:rPr>
          <w:rStyle w:val="postal-code"/>
          <w:rFonts w:asciiTheme="majorHAnsi" w:hAnsiTheme="majorHAnsi" w:cs="Arial"/>
          <w:sz w:val="22"/>
        </w:rPr>
        <w:t>Electrorotation</w:t>
      </w:r>
      <w:proofErr w:type="spellEnd"/>
      <w:r w:rsidRPr="00190CE5">
        <w:rPr>
          <w:rStyle w:val="postal-code"/>
          <w:rFonts w:asciiTheme="majorHAnsi" w:hAnsiTheme="majorHAnsi" w:cs="Arial"/>
          <w:sz w:val="22"/>
        </w:rPr>
        <w:t xml:space="preserve">; DEP; </w:t>
      </w:r>
      <w:proofErr w:type="spellStart"/>
      <w:r w:rsidRPr="00190CE5">
        <w:rPr>
          <w:rStyle w:val="postal-code"/>
          <w:rFonts w:asciiTheme="majorHAnsi" w:hAnsiTheme="majorHAnsi" w:cs="Arial"/>
          <w:sz w:val="22"/>
        </w:rPr>
        <w:t>electrokinetics</w:t>
      </w:r>
      <w:proofErr w:type="spellEnd"/>
      <w:r w:rsidR="00831C7A" w:rsidRPr="00190CE5">
        <w:rPr>
          <w:rStyle w:val="postal-code"/>
          <w:rFonts w:asciiTheme="majorHAnsi" w:hAnsiTheme="majorHAnsi" w:cs="Arial"/>
          <w:sz w:val="22"/>
        </w:rPr>
        <w:t>; membrane</w:t>
      </w:r>
    </w:p>
    <w:p w14:paraId="39177FBD" w14:textId="77777777" w:rsidR="005C1582" w:rsidRPr="00190CE5" w:rsidRDefault="005C1582" w:rsidP="00D140D3">
      <w:pPr>
        <w:spacing w:line="276" w:lineRule="auto"/>
        <w:rPr>
          <w:rFonts w:asciiTheme="majorHAnsi" w:hAnsiTheme="majorHAnsi"/>
          <w:sz w:val="22"/>
        </w:rPr>
      </w:pPr>
    </w:p>
    <w:p w14:paraId="558C4203" w14:textId="77777777" w:rsidR="002D7840" w:rsidRPr="00190CE5" w:rsidRDefault="002D7840" w:rsidP="00D140D3">
      <w:pPr>
        <w:spacing w:line="276" w:lineRule="auto"/>
        <w:rPr>
          <w:rFonts w:asciiTheme="majorHAnsi" w:hAnsiTheme="majorHAnsi"/>
          <w:b/>
          <w:sz w:val="22"/>
        </w:rPr>
      </w:pPr>
      <w:r w:rsidRPr="00190CE5">
        <w:rPr>
          <w:rFonts w:asciiTheme="majorHAnsi" w:hAnsiTheme="majorHAnsi"/>
          <w:b/>
          <w:sz w:val="22"/>
        </w:rPr>
        <w:br w:type="page"/>
      </w:r>
    </w:p>
    <w:p w14:paraId="54DE649A" w14:textId="0AC7640B" w:rsidR="0081707D" w:rsidRPr="00190CE5" w:rsidRDefault="00BA4136" w:rsidP="005A48F6">
      <w:pPr>
        <w:rPr>
          <w:rFonts w:ascii="Cambria" w:hAnsi="Cambria"/>
          <w:sz w:val="22"/>
        </w:rPr>
      </w:pPr>
      <w:r w:rsidRPr="00190CE5">
        <w:rPr>
          <w:rFonts w:asciiTheme="majorHAnsi" w:hAnsiTheme="majorHAnsi"/>
          <w:b/>
          <w:sz w:val="22"/>
        </w:rPr>
        <w:lastRenderedPageBreak/>
        <w:t>Abstract</w:t>
      </w:r>
      <w:r w:rsidR="003562B1" w:rsidRPr="00190CE5">
        <w:rPr>
          <w:rFonts w:asciiTheme="majorHAnsi" w:hAnsiTheme="majorHAnsi"/>
          <w:b/>
          <w:sz w:val="22"/>
        </w:rPr>
        <w:t xml:space="preserve"> </w:t>
      </w:r>
      <w:r w:rsidR="004B6EB1" w:rsidRPr="00190CE5">
        <w:rPr>
          <w:rFonts w:ascii="Cambria" w:hAnsi="Cambria"/>
          <w:sz w:val="22"/>
        </w:rPr>
        <w:t xml:space="preserve">Electrical correlates of the physiological state of a cell, such as </w:t>
      </w:r>
      <w:r w:rsidR="005A48F6" w:rsidRPr="00190CE5">
        <w:rPr>
          <w:rFonts w:ascii="Cambria" w:hAnsi="Cambria"/>
          <w:sz w:val="22"/>
        </w:rPr>
        <w:t xml:space="preserve">membrane </w:t>
      </w:r>
      <w:r w:rsidR="000118FC" w:rsidRPr="00190CE5">
        <w:rPr>
          <w:rFonts w:ascii="Cambria" w:hAnsi="Cambria"/>
          <w:sz w:val="22"/>
        </w:rPr>
        <w:t>conductance</w:t>
      </w:r>
      <w:r w:rsidR="0014216F" w:rsidRPr="00190CE5">
        <w:rPr>
          <w:rFonts w:ascii="Cambria" w:hAnsi="Cambria"/>
          <w:sz w:val="22"/>
        </w:rPr>
        <w:t xml:space="preserve"> and capacitance</w:t>
      </w:r>
      <w:r w:rsidR="000118FC" w:rsidRPr="00190CE5">
        <w:rPr>
          <w:rFonts w:ascii="Cambria" w:hAnsi="Cambria"/>
          <w:sz w:val="22"/>
        </w:rPr>
        <w:t xml:space="preserve">, </w:t>
      </w:r>
      <w:r w:rsidR="00331300" w:rsidRPr="00190CE5">
        <w:rPr>
          <w:rFonts w:ascii="Cambria" w:hAnsi="Cambria"/>
          <w:sz w:val="22"/>
        </w:rPr>
        <w:t xml:space="preserve">as well as </w:t>
      </w:r>
      <w:r w:rsidR="005A48F6" w:rsidRPr="00190CE5">
        <w:rPr>
          <w:rFonts w:ascii="Cambria" w:hAnsi="Cambria"/>
          <w:sz w:val="22"/>
        </w:rPr>
        <w:t>cytoplasm</w:t>
      </w:r>
      <w:r w:rsidR="000209FA" w:rsidRPr="00190CE5">
        <w:rPr>
          <w:rFonts w:ascii="Cambria" w:hAnsi="Cambria"/>
          <w:sz w:val="22"/>
        </w:rPr>
        <w:t xml:space="preserve"> </w:t>
      </w:r>
      <w:r w:rsidR="000118FC" w:rsidRPr="00190CE5">
        <w:rPr>
          <w:rFonts w:ascii="Cambria" w:hAnsi="Cambria"/>
          <w:sz w:val="22"/>
        </w:rPr>
        <w:t>conductivity</w:t>
      </w:r>
      <w:r w:rsidR="004B6EB1" w:rsidRPr="00190CE5">
        <w:rPr>
          <w:rFonts w:ascii="Cambria" w:hAnsi="Cambria"/>
          <w:sz w:val="22"/>
        </w:rPr>
        <w:t>,</w:t>
      </w:r>
      <w:r w:rsidR="005A48F6" w:rsidRPr="00190CE5">
        <w:rPr>
          <w:rFonts w:ascii="Cambria" w:hAnsi="Cambria"/>
          <w:sz w:val="22"/>
        </w:rPr>
        <w:t xml:space="preserve"> contain vital information about cellular function, </w:t>
      </w:r>
      <w:r w:rsidR="00331300" w:rsidRPr="00190CE5">
        <w:rPr>
          <w:rFonts w:ascii="Cambria" w:hAnsi="Cambria"/>
          <w:sz w:val="22"/>
        </w:rPr>
        <w:t xml:space="preserve">ion </w:t>
      </w:r>
      <w:r w:rsidR="005A48F6" w:rsidRPr="00190CE5">
        <w:rPr>
          <w:rFonts w:ascii="Cambria" w:hAnsi="Cambria"/>
          <w:sz w:val="22"/>
        </w:rPr>
        <w:t xml:space="preserve">transport </w:t>
      </w:r>
      <w:r w:rsidR="00A06B70" w:rsidRPr="00190CE5">
        <w:rPr>
          <w:rFonts w:ascii="Cambria" w:hAnsi="Cambria"/>
          <w:sz w:val="22"/>
        </w:rPr>
        <w:t>across</w:t>
      </w:r>
      <w:r w:rsidR="005A48F6" w:rsidRPr="00190CE5">
        <w:rPr>
          <w:rFonts w:ascii="Cambria" w:hAnsi="Cambria"/>
          <w:sz w:val="22"/>
        </w:rPr>
        <w:t xml:space="preserve"> the </w:t>
      </w:r>
      <w:r w:rsidR="00A06B70" w:rsidRPr="00190CE5">
        <w:rPr>
          <w:rFonts w:ascii="Cambria" w:hAnsi="Cambria"/>
          <w:sz w:val="22"/>
        </w:rPr>
        <w:t>membrane</w:t>
      </w:r>
      <w:r w:rsidR="000209FA" w:rsidRPr="00190CE5">
        <w:rPr>
          <w:rFonts w:ascii="Cambria" w:hAnsi="Cambria"/>
          <w:sz w:val="22"/>
        </w:rPr>
        <w:t xml:space="preserve">, </w:t>
      </w:r>
      <w:r w:rsidR="000118FC" w:rsidRPr="00190CE5">
        <w:rPr>
          <w:rFonts w:ascii="Cambria" w:hAnsi="Cambria"/>
          <w:sz w:val="22"/>
        </w:rPr>
        <w:t>and</w:t>
      </w:r>
      <w:r w:rsidR="000209FA" w:rsidRPr="00190CE5">
        <w:rPr>
          <w:rFonts w:ascii="Cambria" w:hAnsi="Cambria"/>
          <w:sz w:val="22"/>
        </w:rPr>
        <w:t xml:space="preserve"> propagation of electrical signals</w:t>
      </w:r>
      <w:r w:rsidR="005A48F6" w:rsidRPr="00190CE5">
        <w:rPr>
          <w:rFonts w:ascii="Cambria" w:hAnsi="Cambria"/>
          <w:sz w:val="22"/>
        </w:rPr>
        <w:t xml:space="preserve">.  </w:t>
      </w:r>
      <w:r w:rsidR="000209FA" w:rsidRPr="00190CE5">
        <w:rPr>
          <w:rFonts w:ascii="Cambria" w:hAnsi="Cambria"/>
          <w:sz w:val="22"/>
        </w:rPr>
        <w:t>They are</w:t>
      </w:r>
      <w:r w:rsidR="005A48F6" w:rsidRPr="00190CE5">
        <w:rPr>
          <w:rFonts w:ascii="Cambria" w:hAnsi="Cambria"/>
          <w:sz w:val="22"/>
        </w:rPr>
        <w:t>, however, difficult to measure</w:t>
      </w:r>
      <w:r w:rsidR="00003E19" w:rsidRPr="00190CE5">
        <w:rPr>
          <w:rFonts w:ascii="Cambria" w:hAnsi="Cambria"/>
          <w:sz w:val="22"/>
        </w:rPr>
        <w:t>;</w:t>
      </w:r>
      <w:r w:rsidR="005A48F6" w:rsidRPr="00190CE5">
        <w:rPr>
          <w:rFonts w:ascii="Cambria" w:hAnsi="Cambria"/>
          <w:sz w:val="22"/>
        </w:rPr>
        <w:t xml:space="preserve"> gold-standard technique</w:t>
      </w:r>
      <w:r w:rsidR="000209FA" w:rsidRPr="00190CE5">
        <w:rPr>
          <w:rFonts w:ascii="Cambria" w:hAnsi="Cambria"/>
          <w:sz w:val="22"/>
        </w:rPr>
        <w:t>s</w:t>
      </w:r>
      <w:r w:rsidR="005A48F6" w:rsidRPr="00190CE5">
        <w:rPr>
          <w:rFonts w:ascii="Cambria" w:hAnsi="Cambria"/>
          <w:sz w:val="22"/>
        </w:rPr>
        <w:t xml:space="preserve"> </w:t>
      </w:r>
      <w:r w:rsidR="00003E19" w:rsidRPr="00190CE5">
        <w:rPr>
          <w:rFonts w:ascii="Cambria" w:hAnsi="Cambria"/>
          <w:sz w:val="22"/>
        </w:rPr>
        <w:t xml:space="preserve">are </w:t>
      </w:r>
      <w:r w:rsidR="005A48F6" w:rsidRPr="00190CE5">
        <w:rPr>
          <w:rFonts w:ascii="Cambria" w:hAnsi="Cambria"/>
          <w:sz w:val="22"/>
        </w:rPr>
        <w:t xml:space="preserve">typically </w:t>
      </w:r>
      <w:r w:rsidR="00003E19" w:rsidRPr="00190CE5">
        <w:rPr>
          <w:rFonts w:ascii="Cambria" w:hAnsi="Cambria"/>
          <w:sz w:val="22"/>
        </w:rPr>
        <w:t xml:space="preserve">unable to </w:t>
      </w:r>
      <w:r w:rsidR="00835F7C" w:rsidRPr="00190CE5">
        <w:rPr>
          <w:rFonts w:ascii="Cambria" w:hAnsi="Cambria"/>
          <w:sz w:val="22"/>
        </w:rPr>
        <w:t xml:space="preserve">measure </w:t>
      </w:r>
      <w:r w:rsidR="005A48F6" w:rsidRPr="00190CE5">
        <w:rPr>
          <w:rFonts w:ascii="Cambria" w:hAnsi="Cambria"/>
          <w:sz w:val="22"/>
        </w:rPr>
        <w:t xml:space="preserve">more than a </w:t>
      </w:r>
      <w:r w:rsidR="00A06B70" w:rsidRPr="00190CE5">
        <w:rPr>
          <w:rFonts w:ascii="Cambria" w:hAnsi="Cambria"/>
          <w:sz w:val="22"/>
        </w:rPr>
        <w:t>few</w:t>
      </w:r>
      <w:r w:rsidR="005A48F6" w:rsidRPr="00190CE5">
        <w:rPr>
          <w:rFonts w:ascii="Cambria" w:hAnsi="Cambria"/>
          <w:sz w:val="22"/>
        </w:rPr>
        <w:t xml:space="preserve"> cells per day</w:t>
      </w:r>
      <w:r w:rsidR="00003E19" w:rsidRPr="00190CE5">
        <w:rPr>
          <w:rFonts w:ascii="Cambria" w:hAnsi="Cambria"/>
          <w:sz w:val="22"/>
        </w:rPr>
        <w:t xml:space="preserve">, </w:t>
      </w:r>
      <w:r w:rsidR="00835F7C" w:rsidRPr="00190CE5">
        <w:rPr>
          <w:rFonts w:ascii="Cambria" w:hAnsi="Cambria"/>
          <w:sz w:val="22"/>
        </w:rPr>
        <w:t>making widespread adoption difficult and limiting statistical reproducibility</w:t>
      </w:r>
      <w:r w:rsidR="005A48F6" w:rsidRPr="00190CE5">
        <w:rPr>
          <w:rFonts w:ascii="Cambria" w:hAnsi="Cambria"/>
          <w:sz w:val="22"/>
        </w:rPr>
        <w:t xml:space="preserve">.  </w:t>
      </w:r>
      <w:r w:rsidR="0014216F" w:rsidRPr="00190CE5">
        <w:rPr>
          <w:rFonts w:ascii="Cambria" w:hAnsi="Cambria"/>
          <w:sz w:val="22"/>
        </w:rPr>
        <w:t>W</w:t>
      </w:r>
      <w:r w:rsidR="00431C70" w:rsidRPr="00190CE5">
        <w:rPr>
          <w:rFonts w:ascii="Cambria" w:hAnsi="Cambria"/>
          <w:sz w:val="22"/>
        </w:rPr>
        <w:t xml:space="preserve">e </w:t>
      </w:r>
      <w:r w:rsidR="005A48F6" w:rsidRPr="00190CE5">
        <w:rPr>
          <w:rFonts w:ascii="Cambria" w:hAnsi="Cambria"/>
          <w:sz w:val="22"/>
        </w:rPr>
        <w:t xml:space="preserve">have developed a dielectrophoretic platform using a </w:t>
      </w:r>
      <w:r w:rsidR="009862F0" w:rsidRPr="00190CE5">
        <w:rPr>
          <w:rFonts w:ascii="Cambria" w:hAnsi="Cambria"/>
          <w:sz w:val="22"/>
        </w:rPr>
        <w:t xml:space="preserve">disposable </w:t>
      </w:r>
      <w:r w:rsidR="005A48F6" w:rsidRPr="00190CE5">
        <w:rPr>
          <w:rFonts w:ascii="Cambria" w:hAnsi="Cambria"/>
          <w:sz w:val="22"/>
        </w:rPr>
        <w:t xml:space="preserve">3D electrode geometry that accurately </w:t>
      </w:r>
      <w:r w:rsidR="0014216F" w:rsidRPr="00190CE5">
        <w:rPr>
          <w:rFonts w:ascii="Cambria" w:hAnsi="Cambria"/>
          <w:sz w:val="22"/>
        </w:rPr>
        <w:t>(r</w:t>
      </w:r>
      <w:r w:rsidR="0014216F" w:rsidRPr="00190CE5">
        <w:rPr>
          <w:rFonts w:ascii="Cambria" w:hAnsi="Cambria"/>
          <w:sz w:val="22"/>
          <w:vertAlign w:val="superscript"/>
        </w:rPr>
        <w:t>2</w:t>
      </w:r>
      <w:r w:rsidR="0014216F" w:rsidRPr="00190CE5">
        <w:rPr>
          <w:rFonts w:ascii="Cambria" w:hAnsi="Cambria"/>
          <w:sz w:val="22"/>
        </w:rPr>
        <w:t xml:space="preserve">&gt;0.99) </w:t>
      </w:r>
      <w:r w:rsidR="005A48F6" w:rsidRPr="00190CE5">
        <w:rPr>
          <w:rFonts w:ascii="Cambria" w:hAnsi="Cambria"/>
          <w:sz w:val="22"/>
        </w:rPr>
        <w:t xml:space="preserve">measures mean </w:t>
      </w:r>
      <w:r w:rsidR="000209FA" w:rsidRPr="00190CE5">
        <w:rPr>
          <w:rFonts w:ascii="Cambria" w:hAnsi="Cambria"/>
          <w:sz w:val="22"/>
        </w:rPr>
        <w:t xml:space="preserve">electrical properties </w:t>
      </w:r>
      <w:r w:rsidR="005A48F6" w:rsidRPr="00190CE5">
        <w:rPr>
          <w:rFonts w:ascii="Cambria" w:hAnsi="Cambria"/>
          <w:sz w:val="22"/>
        </w:rPr>
        <w:t>of populations of ~20,000 cells</w:t>
      </w:r>
      <w:r w:rsidR="00431C70" w:rsidRPr="00190CE5">
        <w:rPr>
          <w:rFonts w:ascii="Cambria" w:hAnsi="Cambria"/>
          <w:sz w:val="22"/>
        </w:rPr>
        <w:t xml:space="preserve">, by taking </w:t>
      </w:r>
      <w:r w:rsidR="00331300" w:rsidRPr="00190CE5">
        <w:rPr>
          <w:rFonts w:ascii="Cambria" w:hAnsi="Cambria"/>
          <w:sz w:val="22"/>
        </w:rPr>
        <w:t xml:space="preserve">parallel </w:t>
      </w:r>
      <w:r w:rsidR="009862F0" w:rsidRPr="00190CE5">
        <w:rPr>
          <w:rFonts w:ascii="Cambria" w:hAnsi="Cambria"/>
          <w:sz w:val="22"/>
        </w:rPr>
        <w:t xml:space="preserve">ensemble </w:t>
      </w:r>
      <w:r w:rsidR="00431C70" w:rsidRPr="00190CE5">
        <w:rPr>
          <w:rFonts w:ascii="Cambria" w:hAnsi="Cambria"/>
          <w:sz w:val="22"/>
        </w:rPr>
        <w:t xml:space="preserve">measurements </w:t>
      </w:r>
      <w:r w:rsidR="009862F0" w:rsidRPr="00190CE5">
        <w:rPr>
          <w:rFonts w:ascii="Cambria" w:hAnsi="Cambria"/>
          <w:sz w:val="22"/>
        </w:rPr>
        <w:t xml:space="preserve">of cells </w:t>
      </w:r>
      <w:r w:rsidR="00431C70" w:rsidRPr="00190CE5">
        <w:rPr>
          <w:rFonts w:ascii="Cambria" w:hAnsi="Cambria"/>
          <w:sz w:val="22"/>
        </w:rPr>
        <w:t xml:space="preserve">at </w:t>
      </w:r>
      <w:r w:rsidR="005A48F6" w:rsidRPr="00190CE5">
        <w:rPr>
          <w:rFonts w:ascii="Cambria" w:hAnsi="Cambria"/>
          <w:sz w:val="22"/>
        </w:rPr>
        <w:t xml:space="preserve">20 </w:t>
      </w:r>
      <w:r w:rsidR="00431C70" w:rsidRPr="00190CE5">
        <w:rPr>
          <w:rFonts w:ascii="Cambria" w:hAnsi="Cambria"/>
          <w:sz w:val="22"/>
        </w:rPr>
        <w:t>frequencies</w:t>
      </w:r>
      <w:r w:rsidR="009862F0" w:rsidRPr="00190CE5">
        <w:rPr>
          <w:rFonts w:ascii="Cambria" w:hAnsi="Cambria"/>
          <w:sz w:val="22"/>
        </w:rPr>
        <w:t xml:space="preserve"> </w:t>
      </w:r>
      <w:r w:rsidR="005A48F6" w:rsidRPr="00190CE5">
        <w:rPr>
          <w:rFonts w:ascii="Cambria" w:hAnsi="Cambria"/>
          <w:sz w:val="22"/>
        </w:rPr>
        <w:t>up to 45</w:t>
      </w:r>
      <w:r w:rsidR="000209FA" w:rsidRPr="00190CE5">
        <w:rPr>
          <w:rFonts w:ascii="Cambria" w:hAnsi="Cambria"/>
          <w:sz w:val="22"/>
        </w:rPr>
        <w:t xml:space="preserve"> </w:t>
      </w:r>
      <w:r w:rsidR="005A48F6" w:rsidRPr="00190CE5">
        <w:rPr>
          <w:rFonts w:ascii="Cambria" w:hAnsi="Cambria"/>
          <w:sz w:val="22"/>
        </w:rPr>
        <w:t>MHz</w:t>
      </w:r>
      <w:r w:rsidR="00331300" w:rsidRPr="00190CE5">
        <w:rPr>
          <w:rFonts w:ascii="Cambria" w:hAnsi="Cambria"/>
          <w:sz w:val="22"/>
        </w:rPr>
        <w:t>,</w:t>
      </w:r>
      <w:r w:rsidR="00055993" w:rsidRPr="00190CE5">
        <w:rPr>
          <w:rFonts w:ascii="Cambria" w:hAnsi="Cambria"/>
          <w:sz w:val="22"/>
        </w:rPr>
        <w:t xml:space="preserve"> in (typically) ten seconds</w:t>
      </w:r>
      <w:r w:rsidR="00331300" w:rsidRPr="00190CE5">
        <w:rPr>
          <w:rFonts w:ascii="Cambria" w:hAnsi="Cambria"/>
          <w:sz w:val="22"/>
        </w:rPr>
        <w:t>.  This allows</w:t>
      </w:r>
      <w:r w:rsidR="001408AA" w:rsidRPr="00190CE5">
        <w:rPr>
          <w:rFonts w:ascii="Cambria" w:hAnsi="Cambria"/>
          <w:sz w:val="22"/>
        </w:rPr>
        <w:t xml:space="preserve"> acquisition of </w:t>
      </w:r>
      <w:r w:rsidR="004F5740" w:rsidRPr="00190CE5">
        <w:rPr>
          <w:rFonts w:ascii="Cambria" w:hAnsi="Cambria"/>
          <w:sz w:val="22"/>
        </w:rPr>
        <w:t>ultra-high-</w:t>
      </w:r>
      <w:r w:rsidR="00431C70" w:rsidRPr="00190CE5">
        <w:rPr>
          <w:rFonts w:ascii="Cambria" w:hAnsi="Cambria"/>
          <w:sz w:val="22"/>
        </w:rPr>
        <w:t>resolution (100-point</w:t>
      </w:r>
      <w:r w:rsidR="0014216F" w:rsidRPr="00190CE5">
        <w:rPr>
          <w:rFonts w:ascii="Cambria" w:hAnsi="Cambria"/>
          <w:sz w:val="22"/>
        </w:rPr>
        <w:t>)</w:t>
      </w:r>
      <w:r w:rsidR="00431C70" w:rsidRPr="00190CE5">
        <w:rPr>
          <w:rFonts w:ascii="Cambria" w:hAnsi="Cambria"/>
          <w:sz w:val="22"/>
        </w:rPr>
        <w:t xml:space="preserve"> DEP spectra</w:t>
      </w:r>
      <w:r w:rsidR="0014216F" w:rsidRPr="00190CE5">
        <w:rPr>
          <w:rFonts w:ascii="Cambria" w:hAnsi="Cambria"/>
          <w:sz w:val="22"/>
        </w:rPr>
        <w:t xml:space="preserve"> </w:t>
      </w:r>
      <w:r w:rsidR="00431C70" w:rsidRPr="00190CE5">
        <w:rPr>
          <w:rFonts w:ascii="Cambria" w:hAnsi="Cambria"/>
          <w:sz w:val="22"/>
        </w:rPr>
        <w:t xml:space="preserve">in </w:t>
      </w:r>
      <w:r w:rsidR="0014216F" w:rsidRPr="00190CE5">
        <w:rPr>
          <w:rFonts w:ascii="Cambria" w:hAnsi="Cambria"/>
          <w:sz w:val="22"/>
        </w:rPr>
        <w:t>under</w:t>
      </w:r>
      <w:r w:rsidR="002E59FE" w:rsidRPr="00190CE5">
        <w:rPr>
          <w:rFonts w:ascii="Cambria" w:hAnsi="Cambria"/>
          <w:sz w:val="22"/>
        </w:rPr>
        <w:t xml:space="preserve"> </w:t>
      </w:r>
      <w:r w:rsidR="00431C70" w:rsidRPr="00190CE5">
        <w:rPr>
          <w:rFonts w:ascii="Cambria" w:hAnsi="Cambria"/>
          <w:sz w:val="22"/>
        </w:rPr>
        <w:t xml:space="preserve">two minutes.  </w:t>
      </w:r>
      <w:r w:rsidR="00A06B70" w:rsidRPr="00190CE5">
        <w:rPr>
          <w:rFonts w:ascii="Cambria" w:hAnsi="Cambria"/>
          <w:sz w:val="22"/>
        </w:rPr>
        <w:t xml:space="preserve">Data </w:t>
      </w:r>
      <w:r w:rsidR="00055993" w:rsidRPr="00190CE5">
        <w:rPr>
          <w:rFonts w:ascii="Cambria" w:hAnsi="Cambria"/>
          <w:sz w:val="22"/>
        </w:rPr>
        <w:t xml:space="preserve">acquired </w:t>
      </w:r>
      <w:r w:rsidR="00A06B70" w:rsidRPr="00190CE5">
        <w:rPr>
          <w:rFonts w:ascii="Cambria" w:hAnsi="Cambria"/>
          <w:sz w:val="22"/>
        </w:rPr>
        <w:t>from</w:t>
      </w:r>
      <w:r w:rsidR="005A48F6" w:rsidRPr="00190CE5">
        <w:rPr>
          <w:rFonts w:ascii="Cambria" w:hAnsi="Cambria"/>
          <w:sz w:val="22"/>
        </w:rPr>
        <w:t xml:space="preserve"> a wide range of cell</w:t>
      </w:r>
      <w:r w:rsidR="00372AD9" w:rsidRPr="00190CE5">
        <w:rPr>
          <w:rFonts w:ascii="Cambria" w:hAnsi="Cambria"/>
          <w:sz w:val="22"/>
        </w:rPr>
        <w:t>s</w:t>
      </w:r>
      <w:r w:rsidR="00A06B70" w:rsidRPr="00190CE5">
        <w:rPr>
          <w:rFonts w:ascii="Cambria" w:hAnsi="Cambria"/>
          <w:sz w:val="22"/>
        </w:rPr>
        <w:t xml:space="preserve"> </w:t>
      </w:r>
      <w:r w:rsidR="00055993" w:rsidRPr="00190CE5">
        <w:rPr>
          <w:rFonts w:ascii="Cambria" w:hAnsi="Cambria"/>
          <w:sz w:val="22"/>
        </w:rPr>
        <w:t>–</w:t>
      </w:r>
      <w:r w:rsidR="005A48F6" w:rsidRPr="00190CE5">
        <w:rPr>
          <w:rFonts w:ascii="Cambria" w:hAnsi="Cambria"/>
          <w:sz w:val="22"/>
        </w:rPr>
        <w:t xml:space="preserve"> </w:t>
      </w:r>
      <w:r w:rsidR="00055993" w:rsidRPr="00190CE5">
        <w:rPr>
          <w:rFonts w:ascii="Cambria" w:hAnsi="Cambria"/>
          <w:sz w:val="22"/>
        </w:rPr>
        <w:t xml:space="preserve">from </w:t>
      </w:r>
      <w:r w:rsidR="005A48F6" w:rsidRPr="00190CE5">
        <w:rPr>
          <w:rFonts w:ascii="Cambria" w:hAnsi="Cambria"/>
          <w:sz w:val="22"/>
        </w:rPr>
        <w:t>platelets</w:t>
      </w:r>
      <w:r w:rsidR="0014216F" w:rsidRPr="00190CE5">
        <w:rPr>
          <w:rFonts w:ascii="Cambria" w:hAnsi="Cambria"/>
          <w:sz w:val="22"/>
        </w:rPr>
        <w:t xml:space="preserve"> </w:t>
      </w:r>
      <w:r w:rsidR="005A48F6" w:rsidRPr="00190CE5">
        <w:rPr>
          <w:rFonts w:ascii="Cambria" w:hAnsi="Cambria"/>
          <w:sz w:val="22"/>
        </w:rPr>
        <w:t xml:space="preserve">to large </w:t>
      </w:r>
      <w:r w:rsidR="00055993" w:rsidRPr="00190CE5">
        <w:rPr>
          <w:rFonts w:ascii="Cambria" w:hAnsi="Cambria"/>
          <w:sz w:val="22"/>
        </w:rPr>
        <w:t>cardiac cells</w:t>
      </w:r>
      <w:r w:rsidR="005A48F6" w:rsidRPr="00190CE5">
        <w:rPr>
          <w:rFonts w:ascii="Cambria" w:hAnsi="Cambria"/>
          <w:sz w:val="22"/>
        </w:rPr>
        <w:t xml:space="preserve"> </w:t>
      </w:r>
      <w:r w:rsidR="001408AA" w:rsidRPr="00190CE5">
        <w:rPr>
          <w:rFonts w:ascii="Cambria" w:hAnsi="Cambria"/>
          <w:sz w:val="22"/>
        </w:rPr>
        <w:t>-</w:t>
      </w:r>
      <w:r w:rsidR="00055993" w:rsidRPr="00190CE5">
        <w:rPr>
          <w:rFonts w:ascii="Cambria" w:hAnsi="Cambria"/>
          <w:sz w:val="22"/>
        </w:rPr>
        <w:t xml:space="preserve"> benchmark well with patch-clamp-data</w:t>
      </w:r>
      <w:r w:rsidR="001408AA" w:rsidRPr="00190CE5">
        <w:rPr>
          <w:rFonts w:ascii="Cambria" w:hAnsi="Cambria"/>
          <w:sz w:val="22"/>
        </w:rPr>
        <w:t>.</w:t>
      </w:r>
      <w:r w:rsidR="000209FA" w:rsidRPr="00190CE5">
        <w:rPr>
          <w:rFonts w:ascii="Cambria" w:hAnsi="Cambria"/>
          <w:sz w:val="22"/>
        </w:rPr>
        <w:t xml:space="preserve"> </w:t>
      </w:r>
      <w:r w:rsidR="00366F7D" w:rsidRPr="00190CE5">
        <w:rPr>
          <w:rFonts w:ascii="Cambria" w:hAnsi="Cambria"/>
          <w:sz w:val="22"/>
        </w:rPr>
        <w:t xml:space="preserve">These advantages are collectively demonstrated in a </w:t>
      </w:r>
      <w:r w:rsidR="00055993" w:rsidRPr="00190CE5">
        <w:rPr>
          <w:rFonts w:ascii="Cambria" w:hAnsi="Cambria"/>
          <w:sz w:val="22"/>
        </w:rPr>
        <w:t xml:space="preserve">longitudinal (same-animal) </w:t>
      </w:r>
      <w:r w:rsidR="00366F7D" w:rsidRPr="00190CE5">
        <w:rPr>
          <w:rFonts w:ascii="Cambria" w:hAnsi="Cambria"/>
          <w:sz w:val="22"/>
        </w:rPr>
        <w:t xml:space="preserve">study </w:t>
      </w:r>
      <w:r w:rsidR="00431C70" w:rsidRPr="00190CE5">
        <w:rPr>
          <w:rFonts w:ascii="Cambria" w:hAnsi="Cambria"/>
          <w:sz w:val="22"/>
        </w:rPr>
        <w:t xml:space="preserve">of rapidly-changing phenomena such as </w:t>
      </w:r>
      <w:r w:rsidR="0081707D" w:rsidRPr="00190CE5">
        <w:rPr>
          <w:rFonts w:ascii="Cambria" w:hAnsi="Cambria" w:cstheme="minorHAnsi"/>
          <w:sz w:val="22"/>
        </w:rPr>
        <w:t>ultradian</w:t>
      </w:r>
      <w:r w:rsidR="00431C70" w:rsidRPr="00190CE5">
        <w:rPr>
          <w:rFonts w:ascii="Cambria" w:hAnsi="Cambria" w:cstheme="minorHAnsi"/>
          <w:sz w:val="22"/>
        </w:rPr>
        <w:t xml:space="preserve"> (</w:t>
      </w:r>
      <w:r w:rsidR="0081707D" w:rsidRPr="00190CE5">
        <w:rPr>
          <w:rFonts w:ascii="Cambria" w:hAnsi="Cambria" w:cstheme="minorHAnsi"/>
          <w:sz w:val="22"/>
        </w:rPr>
        <w:t>2-3 hour</w:t>
      </w:r>
      <w:r w:rsidR="00431C70" w:rsidRPr="00190CE5">
        <w:rPr>
          <w:rFonts w:ascii="Cambria" w:hAnsi="Cambria" w:cstheme="minorHAnsi"/>
          <w:sz w:val="22"/>
        </w:rPr>
        <w:t>)</w:t>
      </w:r>
      <w:r w:rsidR="0081707D" w:rsidRPr="00190CE5">
        <w:rPr>
          <w:rFonts w:ascii="Cambria" w:hAnsi="Cambria" w:cstheme="minorHAnsi"/>
          <w:sz w:val="22"/>
        </w:rPr>
        <w:t xml:space="preserve"> rhythmicity in </w:t>
      </w:r>
      <w:r w:rsidR="002E59FE" w:rsidRPr="00190CE5">
        <w:rPr>
          <w:rFonts w:ascii="Cambria" w:hAnsi="Cambria" w:cstheme="minorHAnsi"/>
          <w:sz w:val="22"/>
        </w:rPr>
        <w:t>whole</w:t>
      </w:r>
      <w:r w:rsidR="00431C70" w:rsidRPr="00190CE5">
        <w:rPr>
          <w:rFonts w:ascii="Cambria" w:hAnsi="Cambria" w:cstheme="minorHAnsi"/>
          <w:sz w:val="22"/>
        </w:rPr>
        <w:t xml:space="preserve"> blood </w:t>
      </w:r>
      <w:r w:rsidR="002E59FE" w:rsidRPr="00190CE5">
        <w:rPr>
          <w:rFonts w:ascii="Cambria" w:hAnsi="Cambria" w:cstheme="minorHAnsi"/>
          <w:sz w:val="22"/>
        </w:rPr>
        <w:t>samples</w:t>
      </w:r>
      <w:r w:rsidR="00431C70" w:rsidRPr="00190CE5">
        <w:rPr>
          <w:rFonts w:ascii="Cambria" w:hAnsi="Cambria" w:cstheme="minorHAnsi"/>
          <w:sz w:val="22"/>
        </w:rPr>
        <w:t xml:space="preserve"> of </w:t>
      </w:r>
      <w:r w:rsidR="0081707D" w:rsidRPr="00190CE5">
        <w:rPr>
          <w:rFonts w:ascii="Cambria" w:hAnsi="Cambria" w:cstheme="minorHAnsi"/>
          <w:sz w:val="22"/>
        </w:rPr>
        <w:t>the common vole (</w:t>
      </w:r>
      <w:r w:rsidR="0081707D" w:rsidRPr="00190CE5">
        <w:rPr>
          <w:rFonts w:ascii="Cambria" w:hAnsi="Cambria" w:cstheme="minorHAnsi"/>
          <w:i/>
          <w:sz w:val="22"/>
        </w:rPr>
        <w:t xml:space="preserve">Microtus </w:t>
      </w:r>
      <w:proofErr w:type="spellStart"/>
      <w:r w:rsidR="0081707D" w:rsidRPr="00190CE5">
        <w:rPr>
          <w:rFonts w:ascii="Cambria" w:hAnsi="Cambria" w:cstheme="minorHAnsi"/>
          <w:i/>
          <w:sz w:val="22"/>
        </w:rPr>
        <w:t>arvalis</w:t>
      </w:r>
      <w:proofErr w:type="spellEnd"/>
      <w:r w:rsidR="0081707D" w:rsidRPr="00190CE5">
        <w:rPr>
          <w:rFonts w:ascii="Cambria" w:hAnsi="Cambria" w:cstheme="minorHAnsi"/>
          <w:sz w:val="22"/>
        </w:rPr>
        <w:t>)</w:t>
      </w:r>
      <w:r w:rsidR="00055993" w:rsidRPr="00190CE5">
        <w:rPr>
          <w:rFonts w:ascii="Cambria" w:hAnsi="Cambria" w:cstheme="minorHAnsi"/>
          <w:sz w:val="22"/>
        </w:rPr>
        <w:t xml:space="preserve">, </w:t>
      </w:r>
      <w:r w:rsidR="002E59FE" w:rsidRPr="00190CE5">
        <w:rPr>
          <w:rFonts w:ascii="Cambria" w:hAnsi="Cambria" w:cstheme="minorHAnsi"/>
          <w:sz w:val="22"/>
        </w:rPr>
        <w:t xml:space="preserve">taken from </w:t>
      </w:r>
      <w:r w:rsidR="000A7BFD" w:rsidRPr="00190CE5">
        <w:rPr>
          <w:rFonts w:ascii="Cambria" w:hAnsi="Cambria" w:cstheme="minorHAnsi"/>
          <w:sz w:val="22"/>
        </w:rPr>
        <w:t xml:space="preserve">10 </w:t>
      </w:r>
      <w:r w:rsidR="00331300" w:rsidRPr="00190CE5">
        <w:rPr>
          <w:rFonts w:ascii="Cambria" w:hAnsi="Cambria" w:cstheme="minorHAnsi"/>
          <w:sz w:val="22"/>
        </w:rPr>
        <w:t xml:space="preserve">µl </w:t>
      </w:r>
      <w:r w:rsidR="000A7BFD" w:rsidRPr="00190CE5">
        <w:rPr>
          <w:rFonts w:ascii="Cambria" w:hAnsi="Cambria" w:cstheme="minorHAnsi"/>
          <w:sz w:val="22"/>
        </w:rPr>
        <w:t>tail-nick blood samples</w:t>
      </w:r>
      <w:r w:rsidR="001408AA" w:rsidRPr="00190CE5">
        <w:rPr>
          <w:rFonts w:ascii="Cambria" w:hAnsi="Cambria" w:cstheme="minorHAnsi"/>
          <w:sz w:val="22"/>
        </w:rPr>
        <w:t xml:space="preserve"> and avoiding </w:t>
      </w:r>
      <w:r w:rsidR="00430B16" w:rsidRPr="00190CE5">
        <w:rPr>
          <w:rFonts w:ascii="Cambria" w:hAnsi="Cambria" w:cstheme="minorHAnsi"/>
          <w:sz w:val="22"/>
        </w:rPr>
        <w:t>sacrifice of the animal</w:t>
      </w:r>
      <w:r w:rsidR="00331300" w:rsidRPr="00190CE5">
        <w:rPr>
          <w:rFonts w:ascii="Cambria" w:hAnsi="Cambria" w:cstheme="minorHAnsi"/>
          <w:sz w:val="22"/>
        </w:rPr>
        <w:t xml:space="preserve"> that is </w:t>
      </w:r>
      <w:r w:rsidR="000A7BFD" w:rsidRPr="00190CE5">
        <w:rPr>
          <w:rFonts w:ascii="Cambria" w:hAnsi="Cambria" w:cstheme="minorHAnsi"/>
          <w:sz w:val="22"/>
        </w:rPr>
        <w:t>typically required in these studies</w:t>
      </w:r>
      <w:r w:rsidR="0081707D" w:rsidRPr="00190CE5">
        <w:rPr>
          <w:rFonts w:ascii="Cambria" w:hAnsi="Cambria" w:cstheme="minorHAnsi"/>
          <w:sz w:val="22"/>
        </w:rPr>
        <w:t>.</w:t>
      </w:r>
    </w:p>
    <w:p w14:paraId="72C6533D" w14:textId="77777777" w:rsidR="003562B1" w:rsidRPr="00190CE5" w:rsidRDefault="003562B1" w:rsidP="00D140D3">
      <w:pPr>
        <w:rPr>
          <w:rFonts w:asciiTheme="majorHAnsi" w:hAnsiTheme="majorHAnsi"/>
          <w:sz w:val="22"/>
        </w:rPr>
      </w:pPr>
    </w:p>
    <w:p w14:paraId="3D744F8F" w14:textId="77777777" w:rsidR="00BA4136" w:rsidRPr="00190CE5" w:rsidRDefault="00BA4136" w:rsidP="00D140D3">
      <w:pPr>
        <w:spacing w:line="276" w:lineRule="auto"/>
        <w:rPr>
          <w:rFonts w:asciiTheme="majorHAnsi" w:hAnsiTheme="majorHAnsi"/>
          <w:sz w:val="22"/>
        </w:rPr>
      </w:pPr>
    </w:p>
    <w:p w14:paraId="321CF94A" w14:textId="77777777" w:rsidR="00BA4136" w:rsidRPr="00190CE5" w:rsidRDefault="00BA4136" w:rsidP="00D140D3">
      <w:pPr>
        <w:spacing w:line="276" w:lineRule="auto"/>
        <w:rPr>
          <w:rFonts w:asciiTheme="majorHAnsi" w:hAnsiTheme="majorHAnsi"/>
          <w:b/>
          <w:sz w:val="22"/>
        </w:rPr>
      </w:pPr>
    </w:p>
    <w:p w14:paraId="1C946BA5" w14:textId="77777777" w:rsidR="00BD6828" w:rsidRPr="00190CE5" w:rsidRDefault="00BD6828" w:rsidP="00D140D3">
      <w:pPr>
        <w:spacing w:line="276" w:lineRule="auto"/>
        <w:rPr>
          <w:rFonts w:asciiTheme="majorHAnsi" w:hAnsiTheme="majorHAnsi"/>
          <w:b/>
          <w:sz w:val="22"/>
        </w:rPr>
      </w:pPr>
      <w:r w:rsidRPr="00190CE5">
        <w:rPr>
          <w:rFonts w:asciiTheme="majorHAnsi" w:hAnsiTheme="majorHAnsi"/>
          <w:b/>
          <w:sz w:val="22"/>
        </w:rPr>
        <w:br w:type="page"/>
      </w:r>
    </w:p>
    <w:p w14:paraId="04F251AB" w14:textId="77777777" w:rsidR="006E7903" w:rsidRPr="00190CE5" w:rsidRDefault="00830C0E" w:rsidP="00D140D3">
      <w:pPr>
        <w:spacing w:after="0"/>
        <w:rPr>
          <w:rFonts w:asciiTheme="majorHAnsi" w:hAnsiTheme="majorHAnsi" w:cstheme="minorHAnsi"/>
          <w:b/>
          <w:sz w:val="32"/>
          <w:szCs w:val="32"/>
        </w:rPr>
      </w:pPr>
      <w:r w:rsidRPr="00190CE5">
        <w:rPr>
          <w:rFonts w:asciiTheme="majorHAnsi" w:hAnsiTheme="majorHAnsi" w:cstheme="minorHAnsi"/>
          <w:b/>
          <w:sz w:val="32"/>
          <w:szCs w:val="32"/>
        </w:rPr>
        <w:lastRenderedPageBreak/>
        <w:t xml:space="preserve">1. </w:t>
      </w:r>
      <w:r w:rsidR="006E7903" w:rsidRPr="00190CE5">
        <w:rPr>
          <w:rFonts w:asciiTheme="majorHAnsi" w:hAnsiTheme="majorHAnsi" w:cstheme="minorHAnsi"/>
          <w:b/>
          <w:sz w:val="32"/>
          <w:szCs w:val="32"/>
        </w:rPr>
        <w:t>Introduction</w:t>
      </w:r>
    </w:p>
    <w:p w14:paraId="5F33AD7D" w14:textId="030FA711" w:rsidR="005F5F94" w:rsidRPr="00190CE5" w:rsidRDefault="0062531B" w:rsidP="00D140D3">
      <w:pPr>
        <w:spacing w:after="0"/>
        <w:rPr>
          <w:rFonts w:asciiTheme="majorHAnsi" w:hAnsiTheme="majorHAnsi" w:cstheme="minorHAnsi"/>
          <w:sz w:val="22"/>
        </w:rPr>
      </w:pPr>
      <w:r w:rsidRPr="00190CE5">
        <w:rPr>
          <w:rFonts w:asciiTheme="majorHAnsi" w:hAnsiTheme="majorHAnsi" w:cstheme="minorHAnsi"/>
          <w:sz w:val="22"/>
        </w:rPr>
        <w:t xml:space="preserve">Since the work of Galvani in the 1790s it has been known that the function of many biological tissues is related to electricity, and in particular on the </w:t>
      </w:r>
      <w:r w:rsidR="005F5F94" w:rsidRPr="00190CE5">
        <w:rPr>
          <w:rFonts w:asciiTheme="majorHAnsi" w:hAnsiTheme="majorHAnsi" w:cstheme="minorHAnsi"/>
          <w:sz w:val="22"/>
        </w:rPr>
        <w:t xml:space="preserve">transmembrane movement </w:t>
      </w:r>
      <w:r w:rsidR="00644534" w:rsidRPr="00190CE5">
        <w:rPr>
          <w:rFonts w:asciiTheme="majorHAnsi" w:hAnsiTheme="majorHAnsi" w:cstheme="minorHAnsi"/>
          <w:sz w:val="22"/>
        </w:rPr>
        <w:t xml:space="preserve">of </w:t>
      </w:r>
      <w:r w:rsidR="00703210" w:rsidRPr="00190CE5">
        <w:rPr>
          <w:rFonts w:asciiTheme="majorHAnsi" w:hAnsiTheme="majorHAnsi" w:cstheme="minorHAnsi"/>
          <w:sz w:val="22"/>
        </w:rPr>
        <w:t>electrical charge as ions or changes to electrostatic potential</w:t>
      </w:r>
      <w:r w:rsidR="005F5F94" w:rsidRPr="00190CE5">
        <w:rPr>
          <w:rFonts w:asciiTheme="majorHAnsi" w:hAnsiTheme="majorHAnsi" w:cstheme="minorHAnsi"/>
          <w:sz w:val="22"/>
        </w:rPr>
        <w:t>.  The concept of a cell membrane as a high, b</w:t>
      </w:r>
      <w:r w:rsidRPr="00190CE5">
        <w:rPr>
          <w:rFonts w:asciiTheme="majorHAnsi" w:hAnsiTheme="majorHAnsi" w:cstheme="minorHAnsi"/>
          <w:sz w:val="22"/>
        </w:rPr>
        <w:t>ut variable, resistance barrier</w:t>
      </w:r>
      <w:r w:rsidR="005F5F94" w:rsidRPr="00190CE5">
        <w:rPr>
          <w:rFonts w:asciiTheme="majorHAnsi" w:hAnsiTheme="majorHAnsi" w:cstheme="minorHAnsi"/>
          <w:sz w:val="22"/>
        </w:rPr>
        <w:t xml:space="preserve"> with </w:t>
      </w:r>
      <w:r w:rsidR="00B576CF" w:rsidRPr="00190CE5">
        <w:rPr>
          <w:rFonts w:asciiTheme="majorHAnsi" w:hAnsiTheme="majorHAnsi" w:cstheme="minorHAnsi"/>
          <w:sz w:val="22"/>
        </w:rPr>
        <w:t>capacitive</w:t>
      </w:r>
      <w:r w:rsidR="005F5F94" w:rsidRPr="00190CE5">
        <w:rPr>
          <w:rFonts w:asciiTheme="majorHAnsi" w:hAnsiTheme="majorHAnsi" w:cstheme="minorHAnsi"/>
          <w:sz w:val="22"/>
        </w:rPr>
        <w:t xml:space="preserve"> properties was </w:t>
      </w:r>
      <w:r w:rsidRPr="00190CE5">
        <w:rPr>
          <w:rFonts w:asciiTheme="majorHAnsi" w:hAnsiTheme="majorHAnsi" w:cstheme="minorHAnsi"/>
          <w:sz w:val="22"/>
        </w:rPr>
        <w:t xml:space="preserve">subsequently </w:t>
      </w:r>
      <w:r w:rsidR="005F5F94" w:rsidRPr="00190CE5">
        <w:rPr>
          <w:rFonts w:asciiTheme="majorHAnsi" w:hAnsiTheme="majorHAnsi" w:cstheme="minorHAnsi"/>
          <w:sz w:val="22"/>
        </w:rPr>
        <w:t>developed by measurement of the frequency-dependent impedance properties of many plant and animal tissues</w:t>
      </w:r>
      <w:r w:rsidRPr="00190CE5">
        <w:rPr>
          <w:rFonts w:asciiTheme="majorHAnsi" w:hAnsiTheme="majorHAnsi" w:cstheme="minorHAnsi"/>
          <w:sz w:val="22"/>
        </w:rPr>
        <w:t xml:space="preserve">, culminating </w:t>
      </w:r>
      <w:r w:rsidR="005F5F94" w:rsidRPr="00190CE5">
        <w:rPr>
          <w:rFonts w:asciiTheme="majorHAnsi" w:hAnsiTheme="majorHAnsi" w:cstheme="minorHAnsi"/>
          <w:sz w:val="22"/>
        </w:rPr>
        <w:t xml:space="preserve">in </w:t>
      </w:r>
      <w:r w:rsidR="0026653F" w:rsidRPr="00190CE5">
        <w:rPr>
          <w:rFonts w:asciiTheme="majorHAnsi" w:hAnsiTheme="majorHAnsi" w:cstheme="minorHAnsi"/>
          <w:sz w:val="22"/>
        </w:rPr>
        <w:t xml:space="preserve">the </w:t>
      </w:r>
      <w:r w:rsidR="00503BD6" w:rsidRPr="00190CE5">
        <w:rPr>
          <w:rFonts w:asciiTheme="majorHAnsi" w:hAnsiTheme="majorHAnsi" w:cstheme="minorHAnsi"/>
          <w:sz w:val="22"/>
        </w:rPr>
        <w:t xml:space="preserve">seminal work </w:t>
      </w:r>
      <w:r w:rsidR="005F5F94" w:rsidRPr="00190CE5">
        <w:rPr>
          <w:rFonts w:asciiTheme="majorHAnsi" w:hAnsiTheme="majorHAnsi" w:cstheme="minorHAnsi"/>
          <w:sz w:val="22"/>
        </w:rPr>
        <w:t>by Hodgkin, Huxley and Katz</w:t>
      </w:r>
      <w:r w:rsidR="00762585" w:rsidRPr="00190CE5">
        <w:rPr>
          <w:rFonts w:asciiTheme="majorHAnsi" w:hAnsiTheme="majorHAnsi" w:cstheme="minorHAnsi"/>
          <w:sz w:val="22"/>
          <w:vertAlign w:val="superscript"/>
        </w:rPr>
        <w:t>1</w:t>
      </w:r>
      <w:r w:rsidR="00410532" w:rsidRPr="00190CE5">
        <w:rPr>
          <w:rFonts w:asciiTheme="majorHAnsi" w:hAnsiTheme="majorHAnsi" w:cstheme="minorHAnsi"/>
          <w:sz w:val="22"/>
        </w:rPr>
        <w:t xml:space="preserve">.  Subsequently, these electrophysiological principles have been </w:t>
      </w:r>
      <w:r w:rsidR="00B576CF" w:rsidRPr="00190CE5">
        <w:rPr>
          <w:rFonts w:asciiTheme="majorHAnsi" w:hAnsiTheme="majorHAnsi" w:cstheme="minorHAnsi"/>
          <w:sz w:val="22"/>
        </w:rPr>
        <w:t>used to address a number of questions including transmission of information in the nervous system</w:t>
      </w:r>
      <w:r w:rsidR="00503BD6" w:rsidRPr="00190CE5">
        <w:rPr>
          <w:rFonts w:asciiTheme="majorHAnsi" w:hAnsiTheme="majorHAnsi" w:cstheme="minorHAnsi"/>
          <w:sz w:val="22"/>
        </w:rPr>
        <w:t xml:space="preserve"> and</w:t>
      </w:r>
      <w:r w:rsidR="00B576CF" w:rsidRPr="00190CE5">
        <w:rPr>
          <w:rFonts w:asciiTheme="majorHAnsi" w:hAnsiTheme="majorHAnsi" w:cstheme="minorHAnsi"/>
          <w:sz w:val="22"/>
        </w:rPr>
        <w:t xml:space="preserve"> excitation-</w:t>
      </w:r>
      <w:r w:rsidR="007D2C9F" w:rsidRPr="00190CE5">
        <w:rPr>
          <w:rFonts w:asciiTheme="majorHAnsi" w:hAnsiTheme="majorHAnsi" w:cstheme="minorHAnsi"/>
          <w:sz w:val="22"/>
        </w:rPr>
        <w:t>contraction/secretion coupling</w:t>
      </w:r>
      <w:r w:rsidR="002F2F92" w:rsidRPr="00190CE5">
        <w:rPr>
          <w:rFonts w:asciiTheme="majorHAnsi" w:hAnsiTheme="majorHAnsi" w:cstheme="minorHAnsi"/>
          <w:sz w:val="22"/>
          <w:vertAlign w:val="superscript"/>
        </w:rPr>
        <w:t>2</w:t>
      </w:r>
      <w:r w:rsidR="00503BD6" w:rsidRPr="00190CE5">
        <w:rPr>
          <w:rFonts w:asciiTheme="majorHAnsi" w:hAnsiTheme="majorHAnsi" w:cstheme="minorHAnsi"/>
          <w:sz w:val="22"/>
        </w:rPr>
        <w:t>.</w:t>
      </w:r>
      <w:r w:rsidR="00086C5B" w:rsidRPr="00190CE5">
        <w:rPr>
          <w:rFonts w:asciiTheme="majorHAnsi" w:hAnsiTheme="majorHAnsi" w:cstheme="minorHAnsi"/>
          <w:sz w:val="22"/>
        </w:rPr>
        <w:t xml:space="preserve"> </w:t>
      </w:r>
      <w:r w:rsidR="00503BD6" w:rsidRPr="00190CE5">
        <w:rPr>
          <w:rFonts w:asciiTheme="majorHAnsi" w:hAnsiTheme="majorHAnsi" w:cstheme="minorHAnsi"/>
          <w:sz w:val="22"/>
        </w:rPr>
        <w:t>M</w:t>
      </w:r>
      <w:r w:rsidR="00086C5B" w:rsidRPr="00190CE5">
        <w:rPr>
          <w:rFonts w:asciiTheme="majorHAnsi" w:hAnsiTheme="majorHAnsi" w:cstheme="minorHAnsi"/>
          <w:sz w:val="22"/>
        </w:rPr>
        <w:t xml:space="preserve">ore recently, changes in membrane potential </w:t>
      </w:r>
      <w:r w:rsidR="00335D7D" w:rsidRPr="00190CE5">
        <w:rPr>
          <w:rFonts w:asciiTheme="majorHAnsi" w:hAnsiTheme="majorHAnsi" w:cstheme="minorHAnsi"/>
          <w:sz w:val="22"/>
        </w:rPr>
        <w:t xml:space="preserve">due to disturbances </w:t>
      </w:r>
      <w:r w:rsidR="00331300" w:rsidRPr="00190CE5">
        <w:rPr>
          <w:rFonts w:asciiTheme="majorHAnsi" w:hAnsiTheme="majorHAnsi" w:cstheme="minorHAnsi"/>
          <w:sz w:val="22"/>
        </w:rPr>
        <w:t xml:space="preserve">of </w:t>
      </w:r>
      <w:r w:rsidR="00086C5B" w:rsidRPr="00190CE5">
        <w:rPr>
          <w:rFonts w:asciiTheme="majorHAnsi" w:hAnsiTheme="majorHAnsi" w:cstheme="minorHAnsi"/>
          <w:sz w:val="22"/>
        </w:rPr>
        <w:t>cytoplasm</w:t>
      </w:r>
      <w:r w:rsidR="00503BD6" w:rsidRPr="00190CE5">
        <w:rPr>
          <w:rFonts w:asciiTheme="majorHAnsi" w:hAnsiTheme="majorHAnsi" w:cstheme="minorHAnsi"/>
          <w:sz w:val="22"/>
        </w:rPr>
        <w:t>ic</w:t>
      </w:r>
      <w:r w:rsidR="00086C5B" w:rsidRPr="00190CE5">
        <w:rPr>
          <w:rFonts w:asciiTheme="majorHAnsi" w:hAnsiTheme="majorHAnsi" w:cstheme="minorHAnsi"/>
          <w:sz w:val="22"/>
        </w:rPr>
        <w:t xml:space="preserve"> ion</w:t>
      </w:r>
      <w:r w:rsidR="00335D7D" w:rsidRPr="00190CE5">
        <w:rPr>
          <w:rFonts w:asciiTheme="majorHAnsi" w:hAnsiTheme="majorHAnsi" w:cstheme="minorHAnsi"/>
          <w:sz w:val="22"/>
        </w:rPr>
        <w:t xml:space="preserve"> composition</w:t>
      </w:r>
      <w:r w:rsidR="00086C5B" w:rsidRPr="00190CE5">
        <w:rPr>
          <w:rFonts w:asciiTheme="majorHAnsi" w:hAnsiTheme="majorHAnsi" w:cstheme="minorHAnsi"/>
          <w:sz w:val="22"/>
        </w:rPr>
        <w:t xml:space="preserve"> ha</w:t>
      </w:r>
      <w:r w:rsidR="00503BD6" w:rsidRPr="00190CE5">
        <w:rPr>
          <w:rFonts w:asciiTheme="majorHAnsi" w:hAnsiTheme="majorHAnsi" w:cstheme="minorHAnsi"/>
          <w:sz w:val="22"/>
        </w:rPr>
        <w:t>ve</w:t>
      </w:r>
      <w:r w:rsidR="00086C5B" w:rsidRPr="00190CE5">
        <w:rPr>
          <w:rFonts w:asciiTheme="majorHAnsi" w:hAnsiTheme="majorHAnsi" w:cstheme="minorHAnsi"/>
          <w:sz w:val="22"/>
        </w:rPr>
        <w:t xml:space="preserve"> been associated with cancer phenotype</w:t>
      </w:r>
      <w:r w:rsidR="00503BD6" w:rsidRPr="00190CE5">
        <w:rPr>
          <w:rFonts w:asciiTheme="majorHAnsi" w:hAnsiTheme="majorHAnsi" w:cstheme="minorHAnsi"/>
          <w:sz w:val="22"/>
        </w:rPr>
        <w:t>s</w:t>
      </w:r>
      <w:r w:rsidR="002F2F92" w:rsidRPr="00190CE5">
        <w:rPr>
          <w:rFonts w:asciiTheme="majorHAnsi" w:hAnsiTheme="majorHAnsi" w:cstheme="minorHAnsi"/>
          <w:sz w:val="22"/>
          <w:vertAlign w:val="superscript"/>
        </w:rPr>
        <w:t>3</w:t>
      </w:r>
      <w:r w:rsidR="00503BD6" w:rsidRPr="00190CE5">
        <w:rPr>
          <w:rFonts w:asciiTheme="majorHAnsi" w:hAnsiTheme="majorHAnsi" w:cstheme="minorHAnsi"/>
          <w:sz w:val="22"/>
        </w:rPr>
        <w:t xml:space="preserve">.  </w:t>
      </w:r>
      <w:r w:rsidR="0026653F" w:rsidRPr="00190CE5">
        <w:rPr>
          <w:rFonts w:asciiTheme="majorHAnsi" w:hAnsiTheme="majorHAnsi" w:cstheme="minorHAnsi"/>
          <w:sz w:val="22"/>
        </w:rPr>
        <w:t>E</w:t>
      </w:r>
      <w:r w:rsidR="00503BD6" w:rsidRPr="00190CE5">
        <w:rPr>
          <w:rFonts w:asciiTheme="majorHAnsi" w:hAnsiTheme="majorHAnsi" w:cstheme="minorHAnsi"/>
          <w:sz w:val="22"/>
        </w:rPr>
        <w:t xml:space="preserve">ven in non-excitable cells, </w:t>
      </w:r>
      <w:r w:rsidR="00086C5B" w:rsidRPr="00190CE5">
        <w:rPr>
          <w:rFonts w:asciiTheme="majorHAnsi" w:hAnsiTheme="majorHAnsi" w:cstheme="minorHAnsi"/>
          <w:sz w:val="22"/>
        </w:rPr>
        <w:t xml:space="preserve">key cellular processes are mediated by ion </w:t>
      </w:r>
      <w:r w:rsidR="00503BD6" w:rsidRPr="00190CE5">
        <w:rPr>
          <w:rFonts w:asciiTheme="majorHAnsi" w:hAnsiTheme="majorHAnsi" w:cstheme="minorHAnsi"/>
          <w:sz w:val="22"/>
        </w:rPr>
        <w:t xml:space="preserve">channel </w:t>
      </w:r>
      <w:r w:rsidR="00086C5B" w:rsidRPr="00190CE5">
        <w:rPr>
          <w:rFonts w:asciiTheme="majorHAnsi" w:hAnsiTheme="majorHAnsi" w:cstheme="minorHAnsi"/>
          <w:sz w:val="22"/>
        </w:rPr>
        <w:t>activity, such as Ca</w:t>
      </w:r>
      <w:r w:rsidR="00086C5B" w:rsidRPr="00190CE5">
        <w:rPr>
          <w:rFonts w:asciiTheme="majorHAnsi" w:hAnsiTheme="majorHAnsi" w:cstheme="minorHAnsi"/>
          <w:sz w:val="22"/>
          <w:vertAlign w:val="superscript"/>
        </w:rPr>
        <w:t>2+</w:t>
      </w:r>
      <w:r w:rsidR="00086C5B" w:rsidRPr="00190CE5">
        <w:rPr>
          <w:rFonts w:asciiTheme="majorHAnsi" w:hAnsiTheme="majorHAnsi" w:cstheme="minorHAnsi"/>
          <w:sz w:val="22"/>
        </w:rPr>
        <w:t xml:space="preserve"> and K</w:t>
      </w:r>
      <w:r w:rsidR="00086C5B" w:rsidRPr="00190CE5">
        <w:rPr>
          <w:rFonts w:asciiTheme="majorHAnsi" w:hAnsiTheme="majorHAnsi" w:cstheme="minorHAnsi"/>
          <w:sz w:val="22"/>
          <w:vertAlign w:val="superscript"/>
        </w:rPr>
        <w:t>+</w:t>
      </w:r>
      <w:r w:rsidR="00086C5B" w:rsidRPr="00190CE5">
        <w:rPr>
          <w:rFonts w:asciiTheme="majorHAnsi" w:hAnsiTheme="majorHAnsi" w:cstheme="minorHAnsi"/>
          <w:sz w:val="22"/>
        </w:rPr>
        <w:t xml:space="preserve"> mo</w:t>
      </w:r>
      <w:r w:rsidR="007D2C9F" w:rsidRPr="00190CE5">
        <w:rPr>
          <w:rFonts w:asciiTheme="majorHAnsi" w:hAnsiTheme="majorHAnsi" w:cstheme="minorHAnsi"/>
          <w:sz w:val="22"/>
        </w:rPr>
        <w:t>vements underpinning apoptosis</w:t>
      </w:r>
      <w:r w:rsidR="002F2F92" w:rsidRPr="00190CE5">
        <w:rPr>
          <w:rFonts w:asciiTheme="majorHAnsi" w:hAnsiTheme="majorHAnsi" w:cstheme="minorHAnsi"/>
          <w:sz w:val="22"/>
          <w:vertAlign w:val="superscript"/>
        </w:rPr>
        <w:t>4</w:t>
      </w:r>
      <w:r w:rsidR="00086C5B" w:rsidRPr="00190CE5">
        <w:rPr>
          <w:rFonts w:asciiTheme="majorHAnsi" w:hAnsiTheme="majorHAnsi" w:cstheme="minorHAnsi"/>
          <w:sz w:val="22"/>
        </w:rPr>
        <w:t xml:space="preserve">, </w:t>
      </w:r>
      <w:r w:rsidR="0026653F" w:rsidRPr="00190CE5">
        <w:rPr>
          <w:rFonts w:asciiTheme="majorHAnsi" w:hAnsiTheme="majorHAnsi" w:cstheme="minorHAnsi"/>
          <w:sz w:val="22"/>
        </w:rPr>
        <w:t>or</w:t>
      </w:r>
      <w:r w:rsidR="00503BD6" w:rsidRPr="00190CE5">
        <w:rPr>
          <w:rFonts w:asciiTheme="majorHAnsi" w:hAnsiTheme="majorHAnsi" w:cstheme="minorHAnsi"/>
          <w:sz w:val="22"/>
        </w:rPr>
        <w:t xml:space="preserve"> characteristic</w:t>
      </w:r>
      <w:r w:rsidR="00086C5B" w:rsidRPr="00190CE5">
        <w:rPr>
          <w:rFonts w:asciiTheme="majorHAnsi" w:hAnsiTheme="majorHAnsi" w:cstheme="minorHAnsi"/>
          <w:sz w:val="22"/>
        </w:rPr>
        <w:t xml:space="preserve"> </w:t>
      </w:r>
      <w:r w:rsidR="00B576CF" w:rsidRPr="00190CE5">
        <w:rPr>
          <w:rFonts w:asciiTheme="majorHAnsi" w:hAnsiTheme="majorHAnsi" w:cstheme="minorHAnsi"/>
          <w:sz w:val="22"/>
        </w:rPr>
        <w:t xml:space="preserve">changes </w:t>
      </w:r>
      <w:r w:rsidR="0037011A" w:rsidRPr="00190CE5">
        <w:rPr>
          <w:rFonts w:asciiTheme="majorHAnsi" w:hAnsiTheme="majorHAnsi" w:cstheme="minorHAnsi"/>
          <w:sz w:val="22"/>
        </w:rPr>
        <w:t xml:space="preserve">of </w:t>
      </w:r>
      <w:r w:rsidR="00503BD6" w:rsidRPr="00190CE5">
        <w:rPr>
          <w:rFonts w:asciiTheme="majorHAnsi" w:hAnsiTheme="majorHAnsi" w:cstheme="minorHAnsi"/>
          <w:sz w:val="22"/>
        </w:rPr>
        <w:t>membrane impedance that occur</w:t>
      </w:r>
      <w:r w:rsidR="00B576CF" w:rsidRPr="00190CE5">
        <w:rPr>
          <w:rFonts w:asciiTheme="majorHAnsi" w:hAnsiTheme="majorHAnsi" w:cstheme="minorHAnsi"/>
          <w:sz w:val="22"/>
        </w:rPr>
        <w:t xml:space="preserve"> during </w:t>
      </w:r>
      <w:r w:rsidR="00503BD6" w:rsidRPr="00190CE5">
        <w:rPr>
          <w:rFonts w:asciiTheme="majorHAnsi" w:hAnsiTheme="majorHAnsi" w:cstheme="minorHAnsi"/>
          <w:sz w:val="22"/>
        </w:rPr>
        <w:t xml:space="preserve">cellular </w:t>
      </w:r>
      <w:r w:rsidR="00B576CF" w:rsidRPr="00190CE5">
        <w:rPr>
          <w:rFonts w:asciiTheme="majorHAnsi" w:hAnsiTheme="majorHAnsi" w:cstheme="minorHAnsi"/>
          <w:sz w:val="22"/>
        </w:rPr>
        <w:t xml:space="preserve">differentiation </w:t>
      </w:r>
      <w:r w:rsidR="00503BD6" w:rsidRPr="00190CE5">
        <w:rPr>
          <w:rFonts w:asciiTheme="majorHAnsi" w:hAnsiTheme="majorHAnsi" w:cstheme="minorHAnsi"/>
          <w:sz w:val="22"/>
        </w:rPr>
        <w:t xml:space="preserve">and </w:t>
      </w:r>
      <w:r w:rsidR="00B576CF" w:rsidRPr="00190CE5">
        <w:rPr>
          <w:rFonts w:asciiTheme="majorHAnsi" w:hAnsiTheme="majorHAnsi" w:cstheme="minorHAnsi"/>
          <w:sz w:val="22"/>
        </w:rPr>
        <w:t>transformation</w:t>
      </w:r>
      <w:r w:rsidR="002F2F92" w:rsidRPr="00190CE5">
        <w:rPr>
          <w:rFonts w:asciiTheme="majorHAnsi" w:hAnsiTheme="majorHAnsi" w:cstheme="minorHAnsi"/>
          <w:sz w:val="22"/>
          <w:vertAlign w:val="superscript"/>
        </w:rPr>
        <w:t>5,6</w:t>
      </w:r>
      <w:r w:rsidR="00B576CF" w:rsidRPr="00190CE5">
        <w:rPr>
          <w:rFonts w:asciiTheme="majorHAnsi" w:hAnsiTheme="majorHAnsi" w:cstheme="minorHAnsi"/>
          <w:sz w:val="22"/>
        </w:rPr>
        <w:t>.</w:t>
      </w:r>
    </w:p>
    <w:p w14:paraId="5C93803B" w14:textId="77777777" w:rsidR="00AA6266" w:rsidRPr="00190CE5" w:rsidRDefault="00AA6266" w:rsidP="00D140D3">
      <w:pPr>
        <w:spacing w:after="0"/>
        <w:rPr>
          <w:rFonts w:asciiTheme="majorHAnsi" w:hAnsiTheme="majorHAnsi" w:cstheme="minorHAnsi"/>
          <w:sz w:val="22"/>
        </w:rPr>
      </w:pPr>
    </w:p>
    <w:p w14:paraId="21AB3FE3" w14:textId="0A88EFFA" w:rsidR="004777D1" w:rsidRPr="00190CE5" w:rsidRDefault="00B576CF" w:rsidP="00D140D3">
      <w:pPr>
        <w:spacing w:after="0"/>
        <w:rPr>
          <w:rFonts w:asciiTheme="majorHAnsi" w:hAnsiTheme="majorHAnsi" w:cstheme="minorHAnsi"/>
          <w:sz w:val="22"/>
        </w:rPr>
      </w:pPr>
      <w:r w:rsidRPr="00190CE5">
        <w:rPr>
          <w:rFonts w:asciiTheme="majorHAnsi" w:hAnsiTheme="majorHAnsi" w:cstheme="minorHAnsi"/>
          <w:sz w:val="22"/>
        </w:rPr>
        <w:t xml:space="preserve">Electrophysiological </w:t>
      </w:r>
      <w:r w:rsidR="003F0413" w:rsidRPr="00190CE5">
        <w:rPr>
          <w:rFonts w:asciiTheme="majorHAnsi" w:hAnsiTheme="majorHAnsi" w:cstheme="minorHAnsi"/>
          <w:sz w:val="22"/>
        </w:rPr>
        <w:t>methods</w:t>
      </w:r>
      <w:r w:rsidRPr="00190CE5">
        <w:rPr>
          <w:rFonts w:asciiTheme="majorHAnsi" w:hAnsiTheme="majorHAnsi" w:cstheme="minorHAnsi"/>
          <w:sz w:val="22"/>
        </w:rPr>
        <w:t xml:space="preserve"> generally </w:t>
      </w:r>
      <w:r w:rsidR="0026653F" w:rsidRPr="00190CE5">
        <w:rPr>
          <w:rFonts w:asciiTheme="majorHAnsi" w:hAnsiTheme="majorHAnsi" w:cstheme="minorHAnsi"/>
          <w:sz w:val="22"/>
        </w:rPr>
        <w:t>use</w:t>
      </w:r>
      <w:r w:rsidRPr="00190CE5">
        <w:rPr>
          <w:rFonts w:asciiTheme="majorHAnsi" w:hAnsiTheme="majorHAnsi" w:cstheme="minorHAnsi"/>
          <w:sz w:val="22"/>
        </w:rPr>
        <w:t xml:space="preserve"> intracellular electrodes to measure changes </w:t>
      </w:r>
      <w:r w:rsidR="00503BD6" w:rsidRPr="00190CE5">
        <w:rPr>
          <w:rFonts w:asciiTheme="majorHAnsi" w:hAnsiTheme="majorHAnsi" w:cstheme="minorHAnsi"/>
          <w:sz w:val="22"/>
        </w:rPr>
        <w:t>in</w:t>
      </w:r>
      <w:r w:rsidRPr="00190CE5">
        <w:rPr>
          <w:rFonts w:asciiTheme="majorHAnsi" w:hAnsiTheme="majorHAnsi" w:cstheme="minorHAnsi"/>
          <w:sz w:val="22"/>
        </w:rPr>
        <w:t xml:space="preserve"> transmembrane potential</w:t>
      </w:r>
      <w:r w:rsidR="0026653F" w:rsidRPr="00190CE5">
        <w:rPr>
          <w:rFonts w:asciiTheme="majorHAnsi" w:hAnsiTheme="majorHAnsi" w:cstheme="minorHAnsi"/>
          <w:sz w:val="22"/>
        </w:rPr>
        <w:t xml:space="preserve"> or impedance</w:t>
      </w:r>
      <w:r w:rsidR="003F0413" w:rsidRPr="00190CE5">
        <w:rPr>
          <w:rFonts w:asciiTheme="majorHAnsi" w:hAnsiTheme="majorHAnsi" w:cstheme="minorHAnsi"/>
          <w:sz w:val="22"/>
        </w:rPr>
        <w:t>,</w:t>
      </w:r>
      <w:r w:rsidRPr="00190CE5">
        <w:rPr>
          <w:rFonts w:asciiTheme="majorHAnsi" w:hAnsiTheme="majorHAnsi" w:cstheme="minorHAnsi"/>
          <w:sz w:val="22"/>
        </w:rPr>
        <w:t xml:space="preserve"> or ion flux</w:t>
      </w:r>
      <w:r w:rsidR="003F0413" w:rsidRPr="00190CE5">
        <w:rPr>
          <w:rFonts w:asciiTheme="majorHAnsi" w:hAnsiTheme="majorHAnsi" w:cstheme="minorHAnsi"/>
          <w:sz w:val="22"/>
        </w:rPr>
        <w:t xml:space="preserve"> under voltage-clamp. This approach was hugely advanced by the development of patch-clamp techniques</w:t>
      </w:r>
      <w:r w:rsidR="00F04E3C" w:rsidRPr="00190CE5">
        <w:rPr>
          <w:rFonts w:asciiTheme="majorHAnsi" w:hAnsiTheme="majorHAnsi" w:cstheme="minorHAnsi"/>
          <w:sz w:val="22"/>
        </w:rPr>
        <w:t xml:space="preserve"> that allowed more accurate measurements with cells</w:t>
      </w:r>
      <w:r w:rsidR="00644534" w:rsidRPr="00190CE5">
        <w:rPr>
          <w:rFonts w:asciiTheme="majorHAnsi" w:hAnsiTheme="majorHAnsi" w:cstheme="minorHAnsi"/>
          <w:sz w:val="22"/>
        </w:rPr>
        <w:t xml:space="preserve"> </w:t>
      </w:r>
      <w:r w:rsidR="00F04E3C" w:rsidRPr="00190CE5">
        <w:rPr>
          <w:rFonts w:asciiTheme="majorHAnsi" w:hAnsiTheme="majorHAnsi" w:cstheme="minorHAnsi"/>
          <w:sz w:val="22"/>
        </w:rPr>
        <w:t>less accessible to previou</w:t>
      </w:r>
      <w:r w:rsidR="00B81ED4" w:rsidRPr="00190CE5">
        <w:rPr>
          <w:rFonts w:asciiTheme="majorHAnsi" w:hAnsiTheme="majorHAnsi" w:cstheme="minorHAnsi"/>
          <w:sz w:val="22"/>
        </w:rPr>
        <w:t>s conventional configuration</w:t>
      </w:r>
      <w:r w:rsidR="007D2C9F" w:rsidRPr="00190CE5">
        <w:rPr>
          <w:rFonts w:asciiTheme="majorHAnsi" w:hAnsiTheme="majorHAnsi" w:cstheme="minorHAnsi"/>
          <w:sz w:val="22"/>
        </w:rPr>
        <w:t>s</w:t>
      </w:r>
      <w:r w:rsidR="002F2F92" w:rsidRPr="00190CE5">
        <w:rPr>
          <w:rFonts w:asciiTheme="majorHAnsi" w:hAnsiTheme="majorHAnsi" w:cstheme="minorHAnsi"/>
          <w:sz w:val="22"/>
          <w:vertAlign w:val="superscript"/>
        </w:rPr>
        <w:t>7</w:t>
      </w:r>
      <w:r w:rsidR="00F04E3C" w:rsidRPr="00190CE5">
        <w:rPr>
          <w:rFonts w:asciiTheme="majorHAnsi" w:hAnsiTheme="majorHAnsi" w:cstheme="minorHAnsi"/>
          <w:sz w:val="22"/>
        </w:rPr>
        <w:t xml:space="preserve">.  Patch-clamp </w:t>
      </w:r>
      <w:r w:rsidR="00644534" w:rsidRPr="00190CE5">
        <w:rPr>
          <w:rFonts w:asciiTheme="majorHAnsi" w:hAnsiTheme="majorHAnsi" w:cstheme="minorHAnsi"/>
          <w:sz w:val="22"/>
        </w:rPr>
        <w:t xml:space="preserve">uses </w:t>
      </w:r>
      <w:r w:rsidR="00476038" w:rsidRPr="00190CE5">
        <w:rPr>
          <w:rFonts w:asciiTheme="majorHAnsi" w:hAnsiTheme="majorHAnsi" w:cstheme="minorHAnsi"/>
          <w:sz w:val="22"/>
        </w:rPr>
        <w:t xml:space="preserve">a micropipette </w:t>
      </w:r>
      <w:r w:rsidR="00644534" w:rsidRPr="00190CE5">
        <w:rPr>
          <w:rFonts w:asciiTheme="majorHAnsi" w:hAnsiTheme="majorHAnsi" w:cstheme="minorHAnsi"/>
          <w:sz w:val="22"/>
        </w:rPr>
        <w:t xml:space="preserve">to form </w:t>
      </w:r>
      <w:r w:rsidR="00476038" w:rsidRPr="00190CE5">
        <w:rPr>
          <w:rFonts w:asciiTheme="majorHAnsi" w:hAnsiTheme="majorHAnsi" w:cstheme="minorHAnsi"/>
          <w:sz w:val="22"/>
        </w:rPr>
        <w:t xml:space="preserve">a </w:t>
      </w:r>
      <w:r w:rsidR="00F04E3C" w:rsidRPr="00190CE5">
        <w:rPr>
          <w:rFonts w:asciiTheme="majorHAnsi" w:hAnsiTheme="majorHAnsi" w:cstheme="minorHAnsi"/>
          <w:sz w:val="22"/>
        </w:rPr>
        <w:t>high resistance</w:t>
      </w:r>
      <w:r w:rsidR="00B778D2" w:rsidRPr="00190CE5">
        <w:rPr>
          <w:rFonts w:asciiTheme="majorHAnsi" w:hAnsiTheme="majorHAnsi" w:cstheme="minorHAnsi"/>
          <w:sz w:val="22"/>
        </w:rPr>
        <w:t xml:space="preserve"> (GΩ)</w:t>
      </w:r>
      <w:r w:rsidR="00F04E3C" w:rsidRPr="00190CE5">
        <w:rPr>
          <w:rFonts w:asciiTheme="majorHAnsi" w:hAnsiTheme="majorHAnsi" w:cstheme="minorHAnsi"/>
          <w:sz w:val="22"/>
        </w:rPr>
        <w:t xml:space="preserve"> </w:t>
      </w:r>
      <w:r w:rsidR="00476038" w:rsidRPr="00190CE5">
        <w:rPr>
          <w:rFonts w:asciiTheme="majorHAnsi" w:hAnsiTheme="majorHAnsi" w:cstheme="minorHAnsi"/>
          <w:sz w:val="22"/>
        </w:rPr>
        <w:t>seal between the pipette and the cell</w:t>
      </w:r>
      <w:r w:rsidR="00223CD1" w:rsidRPr="00190CE5">
        <w:rPr>
          <w:rFonts w:asciiTheme="majorHAnsi" w:hAnsiTheme="majorHAnsi" w:cstheme="minorHAnsi"/>
          <w:sz w:val="22"/>
        </w:rPr>
        <w:t xml:space="preserve"> to allow</w:t>
      </w:r>
      <w:r w:rsidR="00476038" w:rsidRPr="00190CE5">
        <w:rPr>
          <w:rFonts w:asciiTheme="majorHAnsi" w:hAnsiTheme="majorHAnsi" w:cstheme="minorHAnsi"/>
          <w:sz w:val="22"/>
        </w:rPr>
        <w:t xml:space="preserve"> the </w:t>
      </w:r>
      <w:r w:rsidR="00223CD1" w:rsidRPr="00190CE5">
        <w:rPr>
          <w:rFonts w:asciiTheme="majorHAnsi" w:hAnsiTheme="majorHAnsi" w:cstheme="minorHAnsi"/>
          <w:sz w:val="22"/>
        </w:rPr>
        <w:t xml:space="preserve">time- and voltage-dependent </w:t>
      </w:r>
      <w:r w:rsidR="00476038" w:rsidRPr="00190CE5">
        <w:rPr>
          <w:rFonts w:asciiTheme="majorHAnsi" w:hAnsiTheme="majorHAnsi" w:cstheme="minorHAnsi"/>
          <w:sz w:val="22"/>
        </w:rPr>
        <w:t xml:space="preserve">electrical </w:t>
      </w:r>
      <w:r w:rsidR="00223CD1" w:rsidRPr="00190CE5">
        <w:rPr>
          <w:rFonts w:asciiTheme="majorHAnsi" w:hAnsiTheme="majorHAnsi" w:cstheme="minorHAnsi"/>
          <w:sz w:val="22"/>
        </w:rPr>
        <w:t xml:space="preserve">properties </w:t>
      </w:r>
      <w:r w:rsidR="00476038" w:rsidRPr="00190CE5">
        <w:rPr>
          <w:rFonts w:asciiTheme="majorHAnsi" w:hAnsiTheme="majorHAnsi" w:cstheme="minorHAnsi"/>
          <w:sz w:val="22"/>
        </w:rPr>
        <w:t xml:space="preserve">of </w:t>
      </w:r>
      <w:r w:rsidR="00223CD1" w:rsidRPr="00190CE5">
        <w:rPr>
          <w:rFonts w:asciiTheme="majorHAnsi" w:hAnsiTheme="majorHAnsi" w:cstheme="minorHAnsi"/>
          <w:sz w:val="22"/>
        </w:rPr>
        <w:t>a</w:t>
      </w:r>
      <w:r w:rsidR="00476038" w:rsidRPr="00190CE5">
        <w:rPr>
          <w:rFonts w:asciiTheme="majorHAnsi" w:hAnsiTheme="majorHAnsi" w:cstheme="minorHAnsi"/>
          <w:sz w:val="22"/>
        </w:rPr>
        <w:t xml:space="preserve"> patch of cell</w:t>
      </w:r>
      <w:r w:rsidR="00223CD1" w:rsidRPr="00190CE5">
        <w:rPr>
          <w:rFonts w:asciiTheme="majorHAnsi" w:hAnsiTheme="majorHAnsi" w:cstheme="minorHAnsi"/>
          <w:sz w:val="22"/>
        </w:rPr>
        <w:t xml:space="preserve"> membrane, or that of the whole cell, to </w:t>
      </w:r>
      <w:r w:rsidR="00476038" w:rsidRPr="00190CE5">
        <w:rPr>
          <w:rFonts w:asciiTheme="majorHAnsi" w:hAnsiTheme="majorHAnsi" w:cstheme="minorHAnsi"/>
          <w:sz w:val="22"/>
        </w:rPr>
        <w:t xml:space="preserve">be </w:t>
      </w:r>
      <w:r w:rsidR="00503BD6" w:rsidRPr="00190CE5">
        <w:rPr>
          <w:rFonts w:asciiTheme="majorHAnsi" w:hAnsiTheme="majorHAnsi" w:cstheme="minorHAnsi"/>
          <w:sz w:val="22"/>
        </w:rPr>
        <w:t>measured directly</w:t>
      </w:r>
      <w:r w:rsidR="00476038" w:rsidRPr="00190CE5">
        <w:rPr>
          <w:rFonts w:asciiTheme="majorHAnsi" w:hAnsiTheme="majorHAnsi" w:cstheme="minorHAnsi"/>
          <w:sz w:val="22"/>
        </w:rPr>
        <w:t xml:space="preserve">.  </w:t>
      </w:r>
      <w:r w:rsidR="00703210" w:rsidRPr="00190CE5">
        <w:rPr>
          <w:rFonts w:asciiTheme="majorHAnsi" w:hAnsiTheme="majorHAnsi" w:cstheme="minorHAnsi"/>
          <w:sz w:val="22"/>
        </w:rPr>
        <w:t>The technique</w:t>
      </w:r>
      <w:r w:rsidR="00476038" w:rsidRPr="00190CE5">
        <w:rPr>
          <w:rFonts w:asciiTheme="majorHAnsi" w:hAnsiTheme="majorHAnsi" w:cstheme="minorHAnsi"/>
          <w:sz w:val="22"/>
        </w:rPr>
        <w:t xml:space="preserve"> </w:t>
      </w:r>
      <w:r w:rsidR="00703210" w:rsidRPr="00190CE5">
        <w:rPr>
          <w:rFonts w:asciiTheme="majorHAnsi" w:hAnsiTheme="majorHAnsi" w:cstheme="minorHAnsi"/>
          <w:sz w:val="22"/>
        </w:rPr>
        <w:t xml:space="preserve">remains </w:t>
      </w:r>
      <w:r w:rsidR="00476038" w:rsidRPr="00190CE5">
        <w:rPr>
          <w:rFonts w:asciiTheme="majorHAnsi" w:hAnsiTheme="majorHAnsi" w:cstheme="minorHAnsi"/>
          <w:sz w:val="22"/>
        </w:rPr>
        <w:t xml:space="preserve">in widespread use, </w:t>
      </w:r>
      <w:r w:rsidR="00703210" w:rsidRPr="00190CE5">
        <w:rPr>
          <w:rFonts w:asciiTheme="majorHAnsi" w:hAnsiTheme="majorHAnsi" w:cstheme="minorHAnsi"/>
          <w:sz w:val="22"/>
        </w:rPr>
        <w:t>but</w:t>
      </w:r>
      <w:r w:rsidR="00F139FE" w:rsidRPr="00190CE5">
        <w:rPr>
          <w:rFonts w:asciiTheme="majorHAnsi" w:hAnsiTheme="majorHAnsi" w:cstheme="minorHAnsi"/>
          <w:sz w:val="22"/>
        </w:rPr>
        <w:t xml:space="preserve"> </w:t>
      </w:r>
      <w:r w:rsidR="00476038" w:rsidRPr="00190CE5">
        <w:rPr>
          <w:rFonts w:asciiTheme="majorHAnsi" w:hAnsiTheme="majorHAnsi" w:cstheme="minorHAnsi"/>
          <w:sz w:val="22"/>
        </w:rPr>
        <w:t>is slow</w:t>
      </w:r>
      <w:r w:rsidR="0026653F" w:rsidRPr="00190CE5">
        <w:rPr>
          <w:rFonts w:asciiTheme="majorHAnsi" w:hAnsiTheme="majorHAnsi" w:cstheme="minorHAnsi"/>
          <w:sz w:val="22"/>
        </w:rPr>
        <w:t>,</w:t>
      </w:r>
      <w:r w:rsidR="00476038" w:rsidRPr="00190CE5">
        <w:rPr>
          <w:rFonts w:asciiTheme="majorHAnsi" w:hAnsiTheme="majorHAnsi" w:cstheme="minorHAnsi"/>
          <w:sz w:val="22"/>
        </w:rPr>
        <w:t xml:space="preserve"> </w:t>
      </w:r>
      <w:r w:rsidR="0037011A" w:rsidRPr="00190CE5">
        <w:rPr>
          <w:rFonts w:asciiTheme="majorHAnsi" w:hAnsiTheme="majorHAnsi" w:cstheme="minorHAnsi"/>
          <w:sz w:val="22"/>
        </w:rPr>
        <w:t xml:space="preserve">requires skilled operators, </w:t>
      </w:r>
      <w:r w:rsidR="00503BD6" w:rsidRPr="00190CE5">
        <w:rPr>
          <w:rFonts w:asciiTheme="majorHAnsi" w:hAnsiTheme="majorHAnsi" w:cstheme="minorHAnsi"/>
          <w:sz w:val="22"/>
        </w:rPr>
        <w:t xml:space="preserve">and </w:t>
      </w:r>
      <w:r w:rsidR="0037011A" w:rsidRPr="00190CE5">
        <w:rPr>
          <w:rFonts w:asciiTheme="majorHAnsi" w:hAnsiTheme="majorHAnsi" w:cstheme="minorHAnsi"/>
          <w:sz w:val="22"/>
        </w:rPr>
        <w:t xml:space="preserve">is </w:t>
      </w:r>
      <w:r w:rsidR="00503BD6" w:rsidRPr="00190CE5">
        <w:rPr>
          <w:rFonts w:asciiTheme="majorHAnsi" w:hAnsiTheme="majorHAnsi" w:cstheme="minorHAnsi"/>
          <w:sz w:val="22"/>
        </w:rPr>
        <w:t xml:space="preserve">reliant upon </w:t>
      </w:r>
      <w:r w:rsidR="00476038" w:rsidRPr="00190CE5">
        <w:rPr>
          <w:rFonts w:asciiTheme="majorHAnsi" w:hAnsiTheme="majorHAnsi" w:cstheme="minorHAnsi"/>
          <w:sz w:val="22"/>
        </w:rPr>
        <w:t xml:space="preserve">expensive </w:t>
      </w:r>
      <w:r w:rsidR="00503BD6" w:rsidRPr="00190CE5">
        <w:rPr>
          <w:rFonts w:asciiTheme="majorHAnsi" w:hAnsiTheme="majorHAnsi" w:cstheme="minorHAnsi"/>
          <w:sz w:val="22"/>
        </w:rPr>
        <w:t>equipment that only record</w:t>
      </w:r>
      <w:r w:rsidR="0026653F" w:rsidRPr="00190CE5">
        <w:rPr>
          <w:rFonts w:asciiTheme="majorHAnsi" w:hAnsiTheme="majorHAnsi" w:cstheme="minorHAnsi"/>
          <w:sz w:val="22"/>
        </w:rPr>
        <w:t>s</w:t>
      </w:r>
      <w:r w:rsidR="00503BD6" w:rsidRPr="00190CE5">
        <w:rPr>
          <w:rFonts w:asciiTheme="majorHAnsi" w:hAnsiTheme="majorHAnsi" w:cstheme="minorHAnsi"/>
          <w:sz w:val="22"/>
        </w:rPr>
        <w:t xml:space="preserve"> from one cell at a time. </w:t>
      </w:r>
      <w:r w:rsidR="00703210" w:rsidRPr="00190CE5">
        <w:rPr>
          <w:rFonts w:asciiTheme="majorHAnsi" w:hAnsiTheme="majorHAnsi" w:cstheme="minorHAnsi"/>
          <w:sz w:val="22"/>
        </w:rPr>
        <w:t xml:space="preserve"> </w:t>
      </w:r>
      <w:r w:rsidR="0026653F" w:rsidRPr="00190CE5">
        <w:rPr>
          <w:rFonts w:asciiTheme="majorHAnsi" w:hAnsiTheme="majorHAnsi" w:cstheme="minorHAnsi"/>
          <w:sz w:val="22"/>
        </w:rPr>
        <w:t>A</w:t>
      </w:r>
      <w:r w:rsidR="00476038" w:rsidRPr="00190CE5">
        <w:rPr>
          <w:rFonts w:asciiTheme="majorHAnsi" w:hAnsiTheme="majorHAnsi" w:cstheme="minorHAnsi"/>
          <w:sz w:val="22"/>
        </w:rPr>
        <w:t xml:space="preserve">utomated microfluidic </w:t>
      </w:r>
      <w:r w:rsidR="00F139FE" w:rsidRPr="00190CE5">
        <w:rPr>
          <w:rFonts w:asciiTheme="majorHAnsi" w:hAnsiTheme="majorHAnsi" w:cstheme="minorHAnsi"/>
          <w:sz w:val="22"/>
        </w:rPr>
        <w:t>patch-</w:t>
      </w:r>
      <w:r w:rsidR="007D2C9F" w:rsidRPr="00190CE5">
        <w:rPr>
          <w:rFonts w:asciiTheme="majorHAnsi" w:hAnsiTheme="majorHAnsi" w:cstheme="minorHAnsi"/>
          <w:sz w:val="22"/>
        </w:rPr>
        <w:t>clamp instruments</w:t>
      </w:r>
      <w:r w:rsidR="00762585" w:rsidRPr="00190CE5">
        <w:rPr>
          <w:rFonts w:asciiTheme="majorHAnsi" w:hAnsiTheme="majorHAnsi" w:cstheme="minorHAnsi"/>
          <w:sz w:val="22"/>
          <w:vertAlign w:val="superscript"/>
        </w:rPr>
        <w:t>8</w:t>
      </w:r>
      <w:r w:rsidR="006B1F8D" w:rsidRPr="00190CE5">
        <w:rPr>
          <w:rFonts w:asciiTheme="majorHAnsi" w:hAnsiTheme="majorHAnsi" w:cstheme="minorHAnsi"/>
          <w:sz w:val="22"/>
        </w:rPr>
        <w:t xml:space="preserve"> </w:t>
      </w:r>
      <w:r w:rsidR="00476038" w:rsidRPr="00190CE5">
        <w:rPr>
          <w:rFonts w:asciiTheme="majorHAnsi" w:hAnsiTheme="majorHAnsi" w:cstheme="minorHAnsi"/>
          <w:sz w:val="22"/>
        </w:rPr>
        <w:t xml:space="preserve">have </w:t>
      </w:r>
      <w:r w:rsidR="0026653F" w:rsidRPr="00190CE5">
        <w:rPr>
          <w:rFonts w:asciiTheme="majorHAnsi" w:hAnsiTheme="majorHAnsi" w:cstheme="minorHAnsi"/>
          <w:sz w:val="22"/>
        </w:rPr>
        <w:t xml:space="preserve">recently </w:t>
      </w:r>
      <w:r w:rsidR="00476038" w:rsidRPr="00190CE5">
        <w:rPr>
          <w:rFonts w:asciiTheme="majorHAnsi" w:hAnsiTheme="majorHAnsi" w:cstheme="minorHAnsi"/>
          <w:sz w:val="22"/>
        </w:rPr>
        <w:t>become available</w:t>
      </w:r>
      <w:r w:rsidR="0026653F" w:rsidRPr="00190CE5">
        <w:rPr>
          <w:rFonts w:asciiTheme="majorHAnsi" w:hAnsiTheme="majorHAnsi" w:cstheme="minorHAnsi"/>
          <w:sz w:val="22"/>
        </w:rPr>
        <w:t xml:space="preserve">.  These </w:t>
      </w:r>
      <w:r w:rsidR="00476038" w:rsidRPr="00190CE5">
        <w:rPr>
          <w:rFonts w:asciiTheme="majorHAnsi" w:hAnsiTheme="majorHAnsi" w:cstheme="minorHAnsi"/>
          <w:sz w:val="22"/>
        </w:rPr>
        <w:t xml:space="preserve">can perform </w:t>
      </w:r>
      <w:r w:rsidR="00F139FE" w:rsidRPr="00190CE5">
        <w:rPr>
          <w:rFonts w:asciiTheme="majorHAnsi" w:hAnsiTheme="majorHAnsi" w:cstheme="minorHAnsi"/>
          <w:sz w:val="22"/>
        </w:rPr>
        <w:t xml:space="preserve">simultaneous </w:t>
      </w:r>
      <w:r w:rsidR="00476038" w:rsidRPr="00190CE5">
        <w:rPr>
          <w:rFonts w:asciiTheme="majorHAnsi" w:hAnsiTheme="majorHAnsi" w:cstheme="minorHAnsi"/>
          <w:sz w:val="22"/>
        </w:rPr>
        <w:t>tests</w:t>
      </w:r>
      <w:r w:rsidR="0026653F" w:rsidRPr="00190CE5">
        <w:rPr>
          <w:rFonts w:asciiTheme="majorHAnsi" w:hAnsiTheme="majorHAnsi" w:cstheme="minorHAnsi"/>
          <w:sz w:val="22"/>
        </w:rPr>
        <w:t xml:space="preserve"> </w:t>
      </w:r>
      <w:r w:rsidR="00F139FE" w:rsidRPr="00190CE5">
        <w:rPr>
          <w:rFonts w:asciiTheme="majorHAnsi" w:hAnsiTheme="majorHAnsi" w:cstheme="minorHAnsi"/>
          <w:sz w:val="22"/>
        </w:rPr>
        <w:t xml:space="preserve">on </w:t>
      </w:r>
      <w:r w:rsidR="00476038" w:rsidRPr="00190CE5">
        <w:rPr>
          <w:rFonts w:asciiTheme="majorHAnsi" w:hAnsiTheme="majorHAnsi" w:cstheme="minorHAnsi"/>
          <w:sz w:val="22"/>
        </w:rPr>
        <w:t>20</w:t>
      </w:r>
      <w:r w:rsidR="00F139FE" w:rsidRPr="00190CE5">
        <w:rPr>
          <w:rFonts w:asciiTheme="majorHAnsi" w:hAnsiTheme="majorHAnsi" w:cstheme="minorHAnsi"/>
          <w:sz w:val="22"/>
        </w:rPr>
        <w:t xml:space="preserve"> or more</w:t>
      </w:r>
      <w:r w:rsidR="00476038" w:rsidRPr="00190CE5">
        <w:rPr>
          <w:rFonts w:asciiTheme="majorHAnsi" w:hAnsiTheme="majorHAnsi" w:cstheme="minorHAnsi"/>
          <w:sz w:val="22"/>
        </w:rPr>
        <w:t xml:space="preserve"> cells</w:t>
      </w:r>
      <w:r w:rsidR="00F139FE" w:rsidRPr="00190CE5">
        <w:rPr>
          <w:rFonts w:asciiTheme="majorHAnsi" w:hAnsiTheme="majorHAnsi" w:cstheme="minorHAnsi"/>
          <w:sz w:val="22"/>
        </w:rPr>
        <w:t>,</w:t>
      </w:r>
      <w:r w:rsidR="00476038" w:rsidRPr="00190CE5">
        <w:rPr>
          <w:rFonts w:asciiTheme="majorHAnsi" w:hAnsiTheme="majorHAnsi" w:cstheme="minorHAnsi"/>
          <w:sz w:val="22"/>
        </w:rPr>
        <w:t xml:space="preserve"> </w:t>
      </w:r>
      <w:r w:rsidR="00F139FE" w:rsidRPr="00190CE5">
        <w:rPr>
          <w:rFonts w:asciiTheme="majorHAnsi" w:hAnsiTheme="majorHAnsi" w:cstheme="minorHAnsi"/>
          <w:sz w:val="22"/>
        </w:rPr>
        <w:t>using</w:t>
      </w:r>
      <w:r w:rsidR="00476038" w:rsidRPr="00190CE5">
        <w:rPr>
          <w:rFonts w:asciiTheme="majorHAnsi" w:hAnsiTheme="majorHAnsi" w:cstheme="minorHAnsi"/>
          <w:sz w:val="22"/>
        </w:rPr>
        <w:t xml:space="preserve"> disposable chips, </w:t>
      </w:r>
      <w:r w:rsidR="00644534" w:rsidRPr="00190CE5">
        <w:rPr>
          <w:rFonts w:asciiTheme="majorHAnsi" w:hAnsiTheme="majorHAnsi" w:cstheme="minorHAnsi"/>
          <w:sz w:val="22"/>
        </w:rPr>
        <w:t xml:space="preserve">but the cost of such apparatus </w:t>
      </w:r>
      <w:r w:rsidR="005A07DA" w:rsidRPr="00190CE5">
        <w:rPr>
          <w:rFonts w:asciiTheme="majorHAnsi" w:hAnsiTheme="majorHAnsi" w:cstheme="minorHAnsi"/>
          <w:sz w:val="22"/>
        </w:rPr>
        <w:t>can be prohibitive</w:t>
      </w:r>
      <w:r w:rsidR="00644534" w:rsidRPr="00190CE5">
        <w:rPr>
          <w:rFonts w:asciiTheme="majorHAnsi" w:hAnsiTheme="majorHAnsi" w:cstheme="minorHAnsi"/>
          <w:sz w:val="22"/>
        </w:rPr>
        <w:t xml:space="preserve">. An </w:t>
      </w:r>
      <w:r w:rsidR="00476038" w:rsidRPr="00190CE5">
        <w:rPr>
          <w:rFonts w:asciiTheme="majorHAnsi" w:hAnsiTheme="majorHAnsi" w:cstheme="minorHAnsi"/>
          <w:sz w:val="22"/>
        </w:rPr>
        <w:t xml:space="preserve">alternative method </w:t>
      </w:r>
      <w:r w:rsidR="00503BD6" w:rsidRPr="00190CE5">
        <w:rPr>
          <w:rFonts w:asciiTheme="majorHAnsi" w:hAnsiTheme="majorHAnsi" w:cstheme="minorHAnsi"/>
          <w:sz w:val="22"/>
        </w:rPr>
        <w:t>for</w:t>
      </w:r>
      <w:r w:rsidR="004777D1" w:rsidRPr="00190CE5">
        <w:rPr>
          <w:rFonts w:asciiTheme="majorHAnsi" w:hAnsiTheme="majorHAnsi" w:cstheme="minorHAnsi"/>
          <w:sz w:val="22"/>
        </w:rPr>
        <w:t xml:space="preserve"> measur</w:t>
      </w:r>
      <w:r w:rsidR="00503BD6" w:rsidRPr="00190CE5">
        <w:rPr>
          <w:rFonts w:asciiTheme="majorHAnsi" w:hAnsiTheme="majorHAnsi" w:cstheme="minorHAnsi"/>
          <w:sz w:val="22"/>
        </w:rPr>
        <w:t>ing</w:t>
      </w:r>
      <w:r w:rsidR="004777D1" w:rsidRPr="00190CE5">
        <w:rPr>
          <w:rFonts w:asciiTheme="majorHAnsi" w:hAnsiTheme="majorHAnsi" w:cstheme="minorHAnsi"/>
          <w:sz w:val="22"/>
        </w:rPr>
        <w:t xml:space="preserve"> changes </w:t>
      </w:r>
      <w:r w:rsidR="0037011A" w:rsidRPr="00190CE5">
        <w:rPr>
          <w:rFonts w:asciiTheme="majorHAnsi" w:hAnsiTheme="majorHAnsi" w:cstheme="minorHAnsi"/>
          <w:sz w:val="22"/>
        </w:rPr>
        <w:t xml:space="preserve">of </w:t>
      </w:r>
      <w:r w:rsidR="004777D1" w:rsidRPr="00190CE5">
        <w:rPr>
          <w:rFonts w:asciiTheme="majorHAnsi" w:hAnsiTheme="majorHAnsi" w:cstheme="minorHAnsi"/>
          <w:sz w:val="22"/>
        </w:rPr>
        <w:t xml:space="preserve">membrane potential </w:t>
      </w:r>
      <w:r w:rsidR="00476038" w:rsidRPr="00190CE5">
        <w:rPr>
          <w:rFonts w:asciiTheme="majorHAnsi" w:hAnsiTheme="majorHAnsi" w:cstheme="minorHAnsi"/>
          <w:sz w:val="22"/>
        </w:rPr>
        <w:t xml:space="preserve">involves the use of </w:t>
      </w:r>
      <w:r w:rsidR="00503BD6" w:rsidRPr="00190CE5">
        <w:rPr>
          <w:rFonts w:asciiTheme="majorHAnsi" w:hAnsiTheme="majorHAnsi" w:cstheme="minorHAnsi"/>
          <w:sz w:val="22"/>
        </w:rPr>
        <w:t>lipid-soluble fluorescent</w:t>
      </w:r>
      <w:r w:rsidR="00240522" w:rsidRPr="00190CE5">
        <w:rPr>
          <w:rFonts w:asciiTheme="majorHAnsi" w:hAnsiTheme="majorHAnsi" w:cstheme="minorHAnsi"/>
          <w:sz w:val="22"/>
        </w:rPr>
        <w:t xml:space="preserve"> </w:t>
      </w:r>
      <w:r w:rsidR="00F139FE" w:rsidRPr="00190CE5">
        <w:rPr>
          <w:rFonts w:asciiTheme="majorHAnsi" w:hAnsiTheme="majorHAnsi" w:cstheme="minorHAnsi"/>
          <w:sz w:val="22"/>
        </w:rPr>
        <w:t xml:space="preserve">probes </w:t>
      </w:r>
      <w:r w:rsidR="00503BD6" w:rsidRPr="00190CE5">
        <w:rPr>
          <w:rFonts w:asciiTheme="majorHAnsi" w:hAnsiTheme="majorHAnsi" w:cstheme="minorHAnsi"/>
          <w:sz w:val="22"/>
        </w:rPr>
        <w:t xml:space="preserve">whose excitation/emission characteristics vary </w:t>
      </w:r>
      <w:r w:rsidR="00F139FE" w:rsidRPr="00190CE5">
        <w:rPr>
          <w:rFonts w:asciiTheme="majorHAnsi" w:hAnsiTheme="majorHAnsi" w:cstheme="minorHAnsi"/>
          <w:sz w:val="22"/>
        </w:rPr>
        <w:t>as a function of membrane potential</w:t>
      </w:r>
      <w:r w:rsidR="002F2F92" w:rsidRPr="00190CE5">
        <w:rPr>
          <w:rFonts w:asciiTheme="majorHAnsi" w:hAnsiTheme="majorHAnsi" w:cstheme="minorHAnsi"/>
          <w:sz w:val="22"/>
          <w:vertAlign w:val="superscript"/>
        </w:rPr>
        <w:t>9</w:t>
      </w:r>
      <w:r w:rsidR="00476038" w:rsidRPr="00190CE5">
        <w:rPr>
          <w:rFonts w:asciiTheme="majorHAnsi" w:hAnsiTheme="majorHAnsi" w:cstheme="minorHAnsi"/>
          <w:sz w:val="22"/>
        </w:rPr>
        <w:t xml:space="preserve">.  </w:t>
      </w:r>
      <w:r w:rsidR="00503BD6" w:rsidRPr="00190CE5">
        <w:rPr>
          <w:rFonts w:asciiTheme="majorHAnsi" w:hAnsiTheme="majorHAnsi" w:cstheme="minorHAnsi"/>
          <w:sz w:val="22"/>
        </w:rPr>
        <w:t xml:space="preserve">Such methods are limited, however, since they have </w:t>
      </w:r>
      <w:r w:rsidR="00703210" w:rsidRPr="00190CE5">
        <w:rPr>
          <w:rFonts w:asciiTheme="majorHAnsi" w:hAnsiTheme="majorHAnsi" w:cstheme="minorHAnsi"/>
          <w:sz w:val="22"/>
        </w:rPr>
        <w:t xml:space="preserve">small </w:t>
      </w:r>
      <w:r w:rsidR="00503BD6" w:rsidRPr="00190CE5">
        <w:rPr>
          <w:rFonts w:asciiTheme="majorHAnsi" w:hAnsiTheme="majorHAnsi" w:cstheme="minorHAnsi"/>
          <w:sz w:val="22"/>
        </w:rPr>
        <w:t xml:space="preserve">dynamic range, </w:t>
      </w:r>
      <w:r w:rsidR="00835F7C" w:rsidRPr="00190CE5">
        <w:rPr>
          <w:rFonts w:asciiTheme="majorHAnsi" w:hAnsiTheme="majorHAnsi" w:cstheme="minorHAnsi"/>
          <w:sz w:val="22"/>
        </w:rPr>
        <w:t>poor</w:t>
      </w:r>
      <w:r w:rsidR="0037011A" w:rsidRPr="00190CE5">
        <w:rPr>
          <w:rFonts w:asciiTheme="majorHAnsi" w:hAnsiTheme="majorHAnsi" w:cstheme="minorHAnsi"/>
          <w:sz w:val="22"/>
        </w:rPr>
        <w:t xml:space="preserve"> quantum efficiency, they </w:t>
      </w:r>
      <w:r w:rsidR="00503BD6" w:rsidRPr="00190CE5">
        <w:rPr>
          <w:rFonts w:asciiTheme="majorHAnsi" w:hAnsiTheme="majorHAnsi" w:cstheme="minorHAnsi"/>
          <w:sz w:val="22"/>
        </w:rPr>
        <w:t>cannot measure the resistive and capacitive properties of cells, and can interfere with normal membrane function.</w:t>
      </w:r>
      <w:r w:rsidR="00AA0598" w:rsidRPr="00190CE5">
        <w:rPr>
          <w:rFonts w:asciiTheme="majorHAnsi" w:hAnsiTheme="majorHAnsi" w:cstheme="minorHAnsi"/>
          <w:sz w:val="22"/>
        </w:rPr>
        <w:t xml:space="preserve"> Taken together, these factors make assessment of cellular electrical properties at scale and speed highly difficult to achieve and have prevented such </w:t>
      </w:r>
      <w:r w:rsidR="000B6A1E" w:rsidRPr="00190CE5">
        <w:rPr>
          <w:rFonts w:asciiTheme="majorHAnsi" w:hAnsiTheme="majorHAnsi" w:cstheme="minorHAnsi"/>
          <w:sz w:val="22"/>
        </w:rPr>
        <w:t xml:space="preserve">measures </w:t>
      </w:r>
      <w:r w:rsidR="00AA0598" w:rsidRPr="00190CE5">
        <w:rPr>
          <w:rFonts w:asciiTheme="majorHAnsi" w:hAnsiTheme="majorHAnsi" w:cstheme="minorHAnsi"/>
          <w:sz w:val="22"/>
        </w:rPr>
        <w:t>being adopted widely across cell biology.</w:t>
      </w:r>
    </w:p>
    <w:p w14:paraId="41BEA2E2" w14:textId="77777777" w:rsidR="00AA6266" w:rsidRPr="00190CE5" w:rsidRDefault="00AA6266" w:rsidP="00D140D3">
      <w:pPr>
        <w:spacing w:after="0"/>
        <w:rPr>
          <w:rFonts w:asciiTheme="majorHAnsi" w:hAnsiTheme="majorHAnsi" w:cstheme="minorHAnsi"/>
          <w:sz w:val="22"/>
        </w:rPr>
      </w:pPr>
    </w:p>
    <w:p w14:paraId="2BFD6163" w14:textId="201D775A" w:rsidR="006254D6" w:rsidRPr="00190CE5" w:rsidRDefault="00B009DF" w:rsidP="00D140D3">
      <w:pPr>
        <w:pStyle w:val="Body"/>
        <w:tabs>
          <w:tab w:val="left" w:pos="4252"/>
          <w:tab w:val="left" w:pos="4961"/>
          <w:tab w:val="left" w:pos="5669"/>
          <w:tab w:val="left" w:pos="6378"/>
          <w:tab w:val="left" w:pos="7087"/>
          <w:tab w:val="left" w:pos="7795"/>
          <w:tab w:val="left" w:pos="8504"/>
          <w:tab w:val="left" w:pos="9213"/>
        </w:tabs>
        <w:spacing w:before="0" w:after="0" w:line="360" w:lineRule="auto"/>
        <w:rPr>
          <w:rFonts w:asciiTheme="majorHAnsi" w:hAnsiTheme="majorHAnsi"/>
          <w:color w:val="auto"/>
          <w:szCs w:val="22"/>
          <w:lang w:val="en-GB"/>
        </w:rPr>
      </w:pPr>
      <w:r w:rsidRPr="00190CE5">
        <w:rPr>
          <w:rFonts w:asciiTheme="majorHAnsi" w:hAnsiTheme="majorHAnsi"/>
          <w:color w:val="auto"/>
          <w:szCs w:val="22"/>
          <w:lang w:val="en-GB"/>
        </w:rPr>
        <w:t>Other methods of assessing electrophysiological state exploit the interaction of cells with electrical fields to measure the</w:t>
      </w:r>
      <w:r w:rsidR="000B6A1E" w:rsidRPr="00190CE5">
        <w:rPr>
          <w:rFonts w:asciiTheme="majorHAnsi" w:hAnsiTheme="majorHAnsi"/>
          <w:color w:val="auto"/>
          <w:szCs w:val="22"/>
          <w:lang w:val="en-GB"/>
        </w:rPr>
        <w:t>ir</w:t>
      </w:r>
      <w:r w:rsidRPr="00190CE5">
        <w:rPr>
          <w:rFonts w:asciiTheme="majorHAnsi" w:hAnsiTheme="majorHAnsi"/>
          <w:color w:val="auto"/>
          <w:szCs w:val="22"/>
          <w:lang w:val="en-GB"/>
        </w:rPr>
        <w:t xml:space="preserve"> passive </w:t>
      </w:r>
      <w:r w:rsidR="000B6A1E" w:rsidRPr="00190CE5">
        <w:rPr>
          <w:rFonts w:asciiTheme="majorHAnsi" w:hAnsiTheme="majorHAnsi"/>
          <w:color w:val="auto"/>
          <w:szCs w:val="22"/>
          <w:lang w:val="en-GB"/>
        </w:rPr>
        <w:t xml:space="preserve">and active </w:t>
      </w:r>
      <w:r w:rsidRPr="00190CE5">
        <w:rPr>
          <w:rFonts w:asciiTheme="majorHAnsi" w:hAnsiTheme="majorHAnsi"/>
          <w:color w:val="auto"/>
          <w:szCs w:val="22"/>
          <w:lang w:val="en-GB"/>
        </w:rPr>
        <w:t xml:space="preserve">electrical properties.  Such methods can be </w:t>
      </w:r>
      <w:r w:rsidRPr="00190CE5">
        <w:rPr>
          <w:rFonts w:asciiTheme="majorHAnsi" w:hAnsiTheme="majorHAnsi"/>
          <w:color w:val="auto"/>
          <w:szCs w:val="22"/>
          <w:lang w:val="en-GB"/>
        </w:rPr>
        <w:lastRenderedPageBreak/>
        <w:t>classified according to whether</w:t>
      </w:r>
      <w:r w:rsidR="000B6A1E" w:rsidRPr="00190CE5">
        <w:rPr>
          <w:rFonts w:asciiTheme="majorHAnsi" w:hAnsiTheme="majorHAnsi"/>
          <w:color w:val="auto"/>
          <w:szCs w:val="22"/>
          <w:lang w:val="en-GB"/>
        </w:rPr>
        <w:t xml:space="preserve"> </w:t>
      </w:r>
      <w:r w:rsidRPr="00190CE5">
        <w:rPr>
          <w:rFonts w:asciiTheme="majorHAnsi" w:hAnsiTheme="majorHAnsi"/>
          <w:color w:val="auto"/>
          <w:szCs w:val="22"/>
          <w:lang w:val="en-GB"/>
        </w:rPr>
        <w:t xml:space="preserve">current </w:t>
      </w:r>
      <w:r w:rsidR="000B6A1E" w:rsidRPr="00190CE5">
        <w:rPr>
          <w:rFonts w:asciiTheme="majorHAnsi" w:hAnsiTheme="majorHAnsi"/>
          <w:color w:val="auto"/>
          <w:szCs w:val="22"/>
          <w:lang w:val="en-GB"/>
        </w:rPr>
        <w:t xml:space="preserve">is passed </w:t>
      </w:r>
      <w:r w:rsidRPr="00190CE5">
        <w:rPr>
          <w:rFonts w:asciiTheme="majorHAnsi" w:hAnsiTheme="majorHAnsi"/>
          <w:color w:val="auto"/>
          <w:szCs w:val="22"/>
          <w:lang w:val="en-GB"/>
        </w:rPr>
        <w:t xml:space="preserve">through the cell (and surrounding medium) in order to determine </w:t>
      </w:r>
      <w:r w:rsidR="000B6A1E" w:rsidRPr="00190CE5">
        <w:rPr>
          <w:rFonts w:asciiTheme="majorHAnsi" w:hAnsiTheme="majorHAnsi"/>
          <w:color w:val="auto"/>
          <w:szCs w:val="22"/>
          <w:lang w:val="en-GB"/>
        </w:rPr>
        <w:t xml:space="preserve">its </w:t>
      </w:r>
      <w:r w:rsidRPr="00190CE5">
        <w:rPr>
          <w:rFonts w:asciiTheme="majorHAnsi" w:hAnsiTheme="majorHAnsi"/>
          <w:color w:val="auto"/>
          <w:szCs w:val="22"/>
          <w:lang w:val="en-GB"/>
        </w:rPr>
        <w:t>impedance</w:t>
      </w:r>
      <w:r w:rsidR="000B6A1E" w:rsidRPr="00190CE5">
        <w:rPr>
          <w:rFonts w:asciiTheme="majorHAnsi" w:hAnsiTheme="majorHAnsi"/>
          <w:color w:val="auto"/>
          <w:szCs w:val="22"/>
          <w:lang w:val="en-GB"/>
        </w:rPr>
        <w:t xml:space="preserve">; </w:t>
      </w:r>
      <w:r w:rsidRPr="00190CE5">
        <w:rPr>
          <w:rFonts w:asciiTheme="majorHAnsi" w:hAnsiTheme="majorHAnsi"/>
          <w:color w:val="auto"/>
          <w:szCs w:val="22"/>
          <w:lang w:val="en-GB"/>
        </w:rPr>
        <w:t xml:space="preserve">or </w:t>
      </w:r>
      <w:r w:rsidR="000B6A1E" w:rsidRPr="00190CE5">
        <w:rPr>
          <w:rFonts w:asciiTheme="majorHAnsi" w:hAnsiTheme="majorHAnsi"/>
          <w:color w:val="auto"/>
          <w:szCs w:val="22"/>
          <w:lang w:val="en-GB"/>
        </w:rPr>
        <w:t xml:space="preserve">how </w:t>
      </w:r>
      <w:r w:rsidRPr="00190CE5">
        <w:rPr>
          <w:rFonts w:asciiTheme="majorHAnsi" w:hAnsiTheme="majorHAnsi"/>
          <w:color w:val="auto"/>
          <w:szCs w:val="22"/>
          <w:lang w:val="en-GB"/>
        </w:rPr>
        <w:t xml:space="preserve">the cell interacts with the field is measured.  The former approach is best </w:t>
      </w:r>
      <w:r w:rsidR="000B6A1E" w:rsidRPr="00190CE5">
        <w:rPr>
          <w:rFonts w:asciiTheme="majorHAnsi" w:hAnsiTheme="majorHAnsi"/>
          <w:color w:val="auto"/>
          <w:szCs w:val="22"/>
          <w:lang w:val="en-GB"/>
        </w:rPr>
        <w:t xml:space="preserve">embodied </w:t>
      </w:r>
      <w:r w:rsidRPr="00190CE5">
        <w:rPr>
          <w:rFonts w:asciiTheme="majorHAnsi" w:hAnsiTheme="majorHAnsi"/>
          <w:color w:val="auto"/>
          <w:szCs w:val="22"/>
          <w:lang w:val="en-GB"/>
        </w:rPr>
        <w:t>by impedance spectroscopy</w:t>
      </w:r>
      <w:r w:rsidR="00C44167" w:rsidRPr="00190CE5">
        <w:rPr>
          <w:rFonts w:asciiTheme="majorHAnsi" w:hAnsiTheme="majorHAnsi"/>
          <w:color w:val="auto"/>
          <w:szCs w:val="22"/>
          <w:vertAlign w:val="superscript"/>
          <w:lang w:val="en-GB"/>
        </w:rPr>
        <w:t>10-13</w:t>
      </w:r>
      <w:r w:rsidRPr="00190CE5">
        <w:rPr>
          <w:rFonts w:asciiTheme="majorHAnsi" w:hAnsiTheme="majorHAnsi"/>
          <w:color w:val="auto"/>
          <w:szCs w:val="22"/>
          <w:lang w:val="en-GB"/>
        </w:rPr>
        <w:t xml:space="preserve">, whereby the properties of cells are elucidated by direct measurement of impedance through the use of </w:t>
      </w:r>
      <w:proofErr w:type="spellStart"/>
      <w:r w:rsidRPr="00190CE5">
        <w:rPr>
          <w:rFonts w:asciiTheme="majorHAnsi" w:hAnsiTheme="majorHAnsi"/>
          <w:color w:val="auto"/>
          <w:szCs w:val="22"/>
          <w:lang w:val="en-GB"/>
        </w:rPr>
        <w:t>microengineered</w:t>
      </w:r>
      <w:proofErr w:type="spellEnd"/>
      <w:r w:rsidRPr="00190CE5">
        <w:rPr>
          <w:rFonts w:asciiTheme="majorHAnsi" w:hAnsiTheme="majorHAnsi"/>
          <w:color w:val="auto"/>
          <w:szCs w:val="22"/>
          <w:lang w:val="en-GB"/>
        </w:rPr>
        <w:t xml:space="preserve"> electrodes </w:t>
      </w:r>
      <w:r w:rsidR="000B6A1E" w:rsidRPr="00190CE5">
        <w:rPr>
          <w:rFonts w:asciiTheme="majorHAnsi" w:hAnsiTheme="majorHAnsi"/>
          <w:color w:val="auto"/>
          <w:szCs w:val="22"/>
          <w:lang w:val="en-GB"/>
        </w:rPr>
        <w:t xml:space="preserve">and </w:t>
      </w:r>
      <w:r w:rsidRPr="00190CE5">
        <w:rPr>
          <w:rFonts w:asciiTheme="majorHAnsi" w:hAnsiTheme="majorHAnsi"/>
          <w:color w:val="auto"/>
          <w:szCs w:val="22"/>
          <w:lang w:val="en-GB"/>
        </w:rPr>
        <w:t>microfluidics. Such devices allow single-cell analysis of properties, but at a cost of throughput (below 100</w:t>
      </w:r>
      <w:r w:rsidR="006254D6" w:rsidRPr="00190CE5">
        <w:rPr>
          <w:rFonts w:asciiTheme="majorHAnsi" w:hAnsiTheme="majorHAnsi"/>
          <w:color w:val="auto"/>
          <w:szCs w:val="22"/>
          <w:lang w:val="en-GB"/>
        </w:rPr>
        <w:t>s</w:t>
      </w:r>
      <w:r w:rsidR="006254D6" w:rsidRPr="00190CE5">
        <w:rPr>
          <w:rFonts w:asciiTheme="majorHAnsi" w:hAnsiTheme="majorHAnsi"/>
          <w:color w:val="auto"/>
          <w:szCs w:val="22"/>
          <w:vertAlign w:val="superscript"/>
          <w:lang w:val="en-GB"/>
        </w:rPr>
        <w:t>-1</w:t>
      </w:r>
      <w:r w:rsidRPr="00190CE5">
        <w:rPr>
          <w:rFonts w:asciiTheme="majorHAnsi" w:hAnsiTheme="majorHAnsi"/>
          <w:color w:val="auto"/>
          <w:szCs w:val="22"/>
          <w:lang w:val="en-GB"/>
        </w:rPr>
        <w:t xml:space="preserve">, </w:t>
      </w:r>
      <w:r w:rsidR="000B6A1E" w:rsidRPr="00190CE5">
        <w:rPr>
          <w:rFonts w:asciiTheme="majorHAnsi" w:hAnsiTheme="majorHAnsi"/>
          <w:color w:val="auto"/>
          <w:szCs w:val="22"/>
          <w:lang w:val="en-GB"/>
        </w:rPr>
        <w:t xml:space="preserve">often </w:t>
      </w:r>
      <w:r w:rsidRPr="00190CE5">
        <w:rPr>
          <w:rFonts w:asciiTheme="majorHAnsi" w:hAnsiTheme="majorHAnsi"/>
          <w:color w:val="auto"/>
          <w:szCs w:val="22"/>
          <w:lang w:val="en-GB"/>
        </w:rPr>
        <w:t>much slower) and device cost.</w:t>
      </w:r>
      <w:r w:rsidR="00885FF9" w:rsidRPr="00190CE5">
        <w:rPr>
          <w:rFonts w:asciiTheme="majorHAnsi" w:hAnsiTheme="majorHAnsi"/>
          <w:color w:val="auto"/>
          <w:szCs w:val="22"/>
          <w:lang w:val="en-GB"/>
        </w:rPr>
        <w:t xml:space="preserve"> </w:t>
      </w:r>
    </w:p>
    <w:p w14:paraId="1ECFDF5F" w14:textId="77777777" w:rsidR="006254D6" w:rsidRPr="00190CE5" w:rsidRDefault="006254D6" w:rsidP="00D140D3">
      <w:pPr>
        <w:pStyle w:val="Body"/>
        <w:tabs>
          <w:tab w:val="left" w:pos="4252"/>
          <w:tab w:val="left" w:pos="4961"/>
          <w:tab w:val="left" w:pos="5669"/>
          <w:tab w:val="left" w:pos="6378"/>
          <w:tab w:val="left" w:pos="7087"/>
          <w:tab w:val="left" w:pos="7795"/>
          <w:tab w:val="left" w:pos="8504"/>
          <w:tab w:val="left" w:pos="9213"/>
        </w:tabs>
        <w:spacing w:before="0" w:after="0" w:line="360" w:lineRule="auto"/>
        <w:rPr>
          <w:rFonts w:asciiTheme="majorHAnsi" w:hAnsiTheme="majorHAnsi"/>
          <w:color w:val="auto"/>
          <w:szCs w:val="22"/>
          <w:lang w:val="en-GB"/>
        </w:rPr>
      </w:pPr>
    </w:p>
    <w:p w14:paraId="497B9384" w14:textId="30E381AF" w:rsidR="003A25C3" w:rsidRPr="00190CE5" w:rsidRDefault="00885FF9" w:rsidP="00D140D3">
      <w:pPr>
        <w:pStyle w:val="Body"/>
        <w:tabs>
          <w:tab w:val="left" w:pos="4252"/>
          <w:tab w:val="left" w:pos="4961"/>
          <w:tab w:val="left" w:pos="5669"/>
          <w:tab w:val="left" w:pos="6378"/>
          <w:tab w:val="left" w:pos="7087"/>
          <w:tab w:val="left" w:pos="7795"/>
          <w:tab w:val="left" w:pos="8504"/>
          <w:tab w:val="left" w:pos="9213"/>
        </w:tabs>
        <w:spacing w:before="0" w:after="0" w:line="360" w:lineRule="auto"/>
        <w:rPr>
          <w:rFonts w:asciiTheme="majorHAnsi" w:hAnsiTheme="majorHAnsi"/>
          <w:color w:val="auto"/>
          <w:szCs w:val="22"/>
          <w:lang w:val="en-GB"/>
        </w:rPr>
      </w:pPr>
      <w:r w:rsidRPr="00190CE5">
        <w:rPr>
          <w:rFonts w:asciiTheme="majorHAnsi" w:hAnsiTheme="majorHAnsi"/>
          <w:color w:val="auto"/>
          <w:szCs w:val="22"/>
          <w:lang w:val="en-GB"/>
        </w:rPr>
        <w:t>The second approach is to study the forces generated in individual cells due to their interaction with electric fields.</w:t>
      </w:r>
      <w:r w:rsidR="006254D6" w:rsidRPr="00190CE5">
        <w:rPr>
          <w:rFonts w:asciiTheme="majorHAnsi" w:hAnsiTheme="majorHAnsi"/>
          <w:color w:val="auto"/>
          <w:szCs w:val="22"/>
          <w:lang w:val="en-GB"/>
        </w:rPr>
        <w:t xml:space="preserve"> </w:t>
      </w:r>
      <w:r w:rsidR="003A25C3" w:rsidRPr="00190CE5">
        <w:rPr>
          <w:rFonts w:asciiTheme="majorHAnsi" w:hAnsiTheme="majorHAnsi"/>
          <w:color w:val="auto"/>
          <w:szCs w:val="22"/>
          <w:lang w:val="en-GB"/>
        </w:rPr>
        <w:t>We have developed a novel instrument for the ensemble analysis</w:t>
      </w:r>
      <w:r w:rsidR="00F50C73" w:rsidRPr="00190CE5">
        <w:rPr>
          <w:rFonts w:asciiTheme="majorHAnsi" w:hAnsiTheme="majorHAnsi"/>
          <w:color w:val="auto"/>
          <w:szCs w:val="22"/>
          <w:lang w:val="en-GB"/>
        </w:rPr>
        <w:t xml:space="preserve"> of cellular </w:t>
      </w:r>
      <w:r w:rsidR="00703210" w:rsidRPr="00190CE5">
        <w:rPr>
          <w:rFonts w:asciiTheme="majorHAnsi" w:hAnsiTheme="majorHAnsi"/>
          <w:color w:val="auto"/>
          <w:szCs w:val="22"/>
          <w:lang w:val="en-GB"/>
        </w:rPr>
        <w:t xml:space="preserve">electrical properties </w:t>
      </w:r>
      <w:r w:rsidR="003A25C3" w:rsidRPr="00190CE5">
        <w:rPr>
          <w:rFonts w:asciiTheme="majorHAnsi" w:hAnsiTheme="majorHAnsi"/>
          <w:color w:val="auto"/>
          <w:szCs w:val="22"/>
          <w:lang w:val="en-GB"/>
        </w:rPr>
        <w:t xml:space="preserve">through dielectrophoresis (DEP), the movement of particles within non-uniform electric fields. During DEP, cells are subject to an oscillating electric field and, as a consequence of the transient electric dipoles that arise will either be attracted to, or repelled from, areas of high electric field gradient as a function of the </w:t>
      </w:r>
      <w:r w:rsidR="008E17FC" w:rsidRPr="00190CE5">
        <w:rPr>
          <w:rFonts w:asciiTheme="majorHAnsi" w:hAnsiTheme="majorHAnsi"/>
          <w:color w:val="auto"/>
          <w:szCs w:val="22"/>
          <w:lang w:val="en-GB"/>
        </w:rPr>
        <w:t xml:space="preserve">frequency of the </w:t>
      </w:r>
      <w:r w:rsidR="003A25C3" w:rsidRPr="00190CE5">
        <w:rPr>
          <w:rFonts w:asciiTheme="majorHAnsi" w:hAnsiTheme="majorHAnsi"/>
          <w:color w:val="auto"/>
          <w:szCs w:val="22"/>
          <w:lang w:val="en-GB"/>
        </w:rPr>
        <w:t>applied fiel</w:t>
      </w:r>
      <w:r w:rsidR="008E17FC" w:rsidRPr="00190CE5">
        <w:rPr>
          <w:rFonts w:asciiTheme="majorHAnsi" w:hAnsiTheme="majorHAnsi"/>
          <w:color w:val="auto"/>
          <w:szCs w:val="22"/>
          <w:lang w:val="en-GB"/>
        </w:rPr>
        <w:t>d</w:t>
      </w:r>
      <w:r w:rsidR="00A04CF5" w:rsidRPr="00190CE5">
        <w:rPr>
          <w:rFonts w:asciiTheme="majorHAnsi" w:hAnsiTheme="majorHAnsi"/>
          <w:color w:val="auto"/>
          <w:szCs w:val="22"/>
          <w:vertAlign w:val="superscript"/>
          <w:lang w:val="en-GB"/>
        </w:rPr>
        <w:t>1</w:t>
      </w:r>
      <w:r w:rsidR="00B42B49" w:rsidRPr="00190CE5">
        <w:rPr>
          <w:rFonts w:asciiTheme="majorHAnsi" w:hAnsiTheme="majorHAnsi"/>
          <w:color w:val="auto"/>
          <w:szCs w:val="22"/>
          <w:vertAlign w:val="superscript"/>
          <w:lang w:val="en-GB"/>
        </w:rPr>
        <w:t>4</w:t>
      </w:r>
      <w:r w:rsidR="003A25C3" w:rsidRPr="00190CE5">
        <w:rPr>
          <w:rFonts w:asciiTheme="majorHAnsi" w:hAnsiTheme="majorHAnsi"/>
          <w:color w:val="auto"/>
          <w:szCs w:val="22"/>
          <w:lang w:val="en-GB"/>
        </w:rPr>
        <w:t>.  Every membrane-bound cell or sub-cellular particle has dielectric properties such as surface charge and membrane capacitance, as well as the resistive properties of the membrane and cell</w:t>
      </w:r>
      <w:r w:rsidR="0026653F" w:rsidRPr="00190CE5">
        <w:rPr>
          <w:rFonts w:asciiTheme="majorHAnsi" w:hAnsiTheme="majorHAnsi"/>
          <w:color w:val="auto"/>
          <w:szCs w:val="22"/>
          <w:lang w:val="en-GB"/>
        </w:rPr>
        <w:t>/particle</w:t>
      </w:r>
      <w:r w:rsidR="003A25C3" w:rsidRPr="00190CE5">
        <w:rPr>
          <w:rFonts w:asciiTheme="majorHAnsi" w:hAnsiTheme="majorHAnsi"/>
          <w:color w:val="auto"/>
          <w:szCs w:val="22"/>
          <w:lang w:val="en-GB"/>
        </w:rPr>
        <w:t xml:space="preserve"> interior (cytoplasm). Together these fundamental properties </w:t>
      </w:r>
      <w:r w:rsidR="0026653F" w:rsidRPr="00190CE5">
        <w:rPr>
          <w:rFonts w:asciiTheme="majorHAnsi" w:hAnsiTheme="majorHAnsi"/>
          <w:color w:val="auto"/>
          <w:szCs w:val="22"/>
          <w:lang w:val="en-GB"/>
        </w:rPr>
        <w:t xml:space="preserve">describe </w:t>
      </w:r>
      <w:r w:rsidR="008E17FC" w:rsidRPr="00190CE5">
        <w:rPr>
          <w:rFonts w:asciiTheme="majorHAnsi" w:hAnsiTheme="majorHAnsi"/>
          <w:color w:val="auto"/>
          <w:szCs w:val="22"/>
          <w:lang w:val="en-GB"/>
        </w:rPr>
        <w:t xml:space="preserve">both </w:t>
      </w:r>
      <w:r w:rsidR="0026653F" w:rsidRPr="00190CE5">
        <w:rPr>
          <w:rFonts w:asciiTheme="majorHAnsi" w:hAnsiTheme="majorHAnsi"/>
          <w:color w:val="auto"/>
          <w:szCs w:val="22"/>
          <w:lang w:val="en-GB"/>
        </w:rPr>
        <w:t xml:space="preserve">the </w:t>
      </w:r>
      <w:r w:rsidR="003A25C3" w:rsidRPr="00190CE5">
        <w:rPr>
          <w:rFonts w:asciiTheme="majorHAnsi" w:hAnsiTheme="majorHAnsi"/>
          <w:color w:val="auto"/>
          <w:szCs w:val="22"/>
          <w:lang w:val="en-GB"/>
        </w:rPr>
        <w:t>biological state</w:t>
      </w:r>
      <w:r w:rsidR="008E17FC" w:rsidRPr="00190CE5">
        <w:rPr>
          <w:rFonts w:asciiTheme="majorHAnsi" w:hAnsiTheme="majorHAnsi"/>
          <w:color w:val="auto"/>
          <w:szCs w:val="22"/>
          <w:lang w:val="en-GB"/>
        </w:rPr>
        <w:t xml:space="preserve"> of the cell</w:t>
      </w:r>
      <w:r w:rsidR="003A25C3" w:rsidRPr="00190CE5">
        <w:rPr>
          <w:rFonts w:asciiTheme="majorHAnsi" w:hAnsiTheme="majorHAnsi"/>
          <w:color w:val="auto"/>
          <w:szCs w:val="22"/>
          <w:lang w:val="en-GB"/>
        </w:rPr>
        <w:t xml:space="preserve"> and determine the response of</w:t>
      </w:r>
      <w:r w:rsidR="007D2C9F" w:rsidRPr="00190CE5">
        <w:rPr>
          <w:rFonts w:asciiTheme="majorHAnsi" w:hAnsiTheme="majorHAnsi"/>
          <w:color w:val="auto"/>
          <w:szCs w:val="22"/>
          <w:lang w:val="en-GB"/>
        </w:rPr>
        <w:t xml:space="preserve"> a cell during DEP experiments</w:t>
      </w:r>
      <w:r w:rsidR="00B42B49" w:rsidRPr="00190CE5">
        <w:rPr>
          <w:rFonts w:asciiTheme="majorHAnsi" w:hAnsiTheme="majorHAnsi"/>
          <w:color w:val="auto"/>
          <w:szCs w:val="22"/>
          <w:vertAlign w:val="superscript"/>
          <w:lang w:val="en-GB"/>
        </w:rPr>
        <w:t>15</w:t>
      </w:r>
      <w:r w:rsidR="003A25C3" w:rsidRPr="00190CE5">
        <w:rPr>
          <w:rFonts w:asciiTheme="majorHAnsi" w:hAnsiTheme="majorHAnsi"/>
          <w:color w:val="auto"/>
          <w:szCs w:val="22"/>
          <w:lang w:val="en-GB"/>
        </w:rPr>
        <w:t>.</w:t>
      </w:r>
      <w:r w:rsidR="003A25C3" w:rsidRPr="00190CE5">
        <w:rPr>
          <w:rFonts w:asciiTheme="majorHAnsi" w:eastAsia="Calibri" w:hAnsiTheme="majorHAnsi"/>
          <w:color w:val="auto"/>
        </w:rPr>
        <w:t xml:space="preserve"> </w:t>
      </w:r>
      <w:r w:rsidR="003A25C3" w:rsidRPr="00190CE5">
        <w:rPr>
          <w:rFonts w:asciiTheme="majorHAnsi" w:hAnsiTheme="majorHAnsi"/>
          <w:color w:val="auto"/>
          <w:szCs w:val="22"/>
          <w:lang w:val="en-GB"/>
        </w:rPr>
        <w:t>The values of these electrical parameters may be robustly interpolated from dielectrophoretic responses of cells: measured as the way in which the magnitude and direction of DEP responses vary as a function of frequency.  The resultant “DEP-spectrum” describes the electrical properties of the cells in a rapid, cost-</w:t>
      </w:r>
      <w:r w:rsidR="007D2C9F" w:rsidRPr="00190CE5">
        <w:rPr>
          <w:rFonts w:asciiTheme="majorHAnsi" w:hAnsiTheme="majorHAnsi"/>
          <w:color w:val="auto"/>
          <w:szCs w:val="22"/>
          <w:lang w:val="en-GB"/>
        </w:rPr>
        <w:t>effective and non-invasive way</w:t>
      </w:r>
      <w:r w:rsidR="00A04CF5" w:rsidRPr="00190CE5">
        <w:rPr>
          <w:rFonts w:asciiTheme="majorHAnsi" w:hAnsiTheme="majorHAnsi"/>
          <w:color w:val="auto"/>
          <w:szCs w:val="22"/>
          <w:vertAlign w:val="superscript"/>
          <w:lang w:val="en-GB"/>
        </w:rPr>
        <w:t>1</w:t>
      </w:r>
      <w:r w:rsidR="00B42B49" w:rsidRPr="00190CE5">
        <w:rPr>
          <w:rFonts w:asciiTheme="majorHAnsi" w:hAnsiTheme="majorHAnsi"/>
          <w:color w:val="auto"/>
          <w:szCs w:val="22"/>
          <w:vertAlign w:val="superscript"/>
          <w:lang w:val="en-GB"/>
        </w:rPr>
        <w:t>6,17</w:t>
      </w:r>
      <w:r w:rsidR="003A25C3" w:rsidRPr="00190CE5">
        <w:rPr>
          <w:rFonts w:asciiTheme="majorHAnsi" w:hAnsiTheme="majorHAnsi"/>
          <w:color w:val="auto"/>
          <w:szCs w:val="22"/>
          <w:lang w:val="en-GB"/>
        </w:rPr>
        <w:t xml:space="preserve">. </w:t>
      </w:r>
    </w:p>
    <w:p w14:paraId="24D6F982" w14:textId="77777777" w:rsidR="003A25C3" w:rsidRPr="00190CE5" w:rsidRDefault="00476038" w:rsidP="00D140D3">
      <w:pPr>
        <w:pStyle w:val="Body"/>
        <w:tabs>
          <w:tab w:val="left" w:pos="4252"/>
          <w:tab w:val="left" w:pos="4961"/>
          <w:tab w:val="left" w:pos="5669"/>
          <w:tab w:val="left" w:pos="6378"/>
          <w:tab w:val="left" w:pos="7087"/>
          <w:tab w:val="left" w:pos="7795"/>
          <w:tab w:val="left" w:pos="8504"/>
          <w:tab w:val="left" w:pos="9213"/>
        </w:tabs>
        <w:spacing w:before="0" w:after="0" w:line="360" w:lineRule="auto"/>
        <w:rPr>
          <w:rFonts w:asciiTheme="majorHAnsi" w:hAnsiTheme="majorHAnsi"/>
          <w:color w:val="auto"/>
          <w:szCs w:val="22"/>
          <w:lang w:val="en-GB"/>
        </w:rPr>
      </w:pPr>
      <w:r w:rsidRPr="00190CE5">
        <w:rPr>
          <w:rFonts w:asciiTheme="majorHAnsi" w:hAnsiTheme="majorHAnsi"/>
          <w:color w:val="auto"/>
          <w:szCs w:val="22"/>
          <w:lang w:val="en-GB"/>
        </w:rPr>
        <w:t xml:space="preserve">  </w:t>
      </w:r>
    </w:p>
    <w:p w14:paraId="4F79F085" w14:textId="25CE9719" w:rsidR="00CE1610" w:rsidRPr="00190CE5" w:rsidRDefault="003A25C3" w:rsidP="00E70271">
      <w:pPr>
        <w:spacing w:after="0"/>
        <w:rPr>
          <w:rFonts w:asciiTheme="majorHAnsi" w:eastAsia="ヒラギノ角ゴ Pro W3" w:hAnsiTheme="majorHAnsi" w:cs="Times New Roman"/>
          <w:sz w:val="22"/>
          <w:lang w:eastAsia="en-GB"/>
        </w:rPr>
      </w:pPr>
      <w:r w:rsidRPr="00190CE5">
        <w:rPr>
          <w:rFonts w:asciiTheme="majorHAnsi" w:eastAsia="Calibri" w:hAnsiTheme="majorHAnsi" w:cs="Times New Roman"/>
          <w:sz w:val="22"/>
          <w:szCs w:val="20"/>
          <w:lang w:val="en-US" w:eastAsia="en-GB"/>
        </w:rPr>
        <w:t>DEP</w:t>
      </w:r>
      <w:r w:rsidR="00B8201C" w:rsidRPr="00190CE5">
        <w:rPr>
          <w:rFonts w:asciiTheme="majorHAnsi" w:eastAsia="Calibri" w:hAnsiTheme="majorHAnsi" w:cs="Times New Roman"/>
          <w:sz w:val="22"/>
          <w:szCs w:val="20"/>
          <w:lang w:val="en-US" w:eastAsia="en-GB"/>
        </w:rPr>
        <w:t xml:space="preserve"> </w:t>
      </w:r>
      <w:r w:rsidR="00AA0598" w:rsidRPr="00190CE5">
        <w:rPr>
          <w:rFonts w:asciiTheme="majorHAnsi" w:eastAsia="Calibri" w:hAnsiTheme="majorHAnsi" w:cs="Times New Roman"/>
          <w:sz w:val="22"/>
          <w:szCs w:val="20"/>
          <w:lang w:val="en-US" w:eastAsia="en-GB"/>
        </w:rPr>
        <w:t>has</w:t>
      </w:r>
      <w:r w:rsidRPr="00190CE5">
        <w:rPr>
          <w:rFonts w:asciiTheme="majorHAnsi" w:eastAsia="Calibri" w:hAnsiTheme="majorHAnsi" w:cs="Times New Roman"/>
          <w:sz w:val="22"/>
          <w:szCs w:val="20"/>
          <w:lang w:val="en-US" w:eastAsia="en-GB"/>
        </w:rPr>
        <w:t xml:space="preserve"> been used to </w:t>
      </w:r>
      <w:r w:rsidR="00171AF1" w:rsidRPr="00190CE5">
        <w:rPr>
          <w:rFonts w:asciiTheme="majorHAnsi" w:eastAsia="Calibri" w:hAnsiTheme="majorHAnsi" w:cs="Times New Roman"/>
          <w:sz w:val="22"/>
          <w:szCs w:val="20"/>
          <w:lang w:val="en-US" w:eastAsia="en-GB"/>
        </w:rPr>
        <w:t>measure</w:t>
      </w:r>
      <w:r w:rsidRPr="00190CE5">
        <w:rPr>
          <w:rFonts w:asciiTheme="majorHAnsi" w:eastAsia="Calibri" w:hAnsiTheme="majorHAnsi" w:cs="Times New Roman"/>
          <w:sz w:val="22"/>
          <w:szCs w:val="20"/>
          <w:lang w:val="en-US" w:eastAsia="en-GB"/>
        </w:rPr>
        <w:t xml:space="preserve"> </w:t>
      </w:r>
      <w:r w:rsidR="008E17FC" w:rsidRPr="00190CE5">
        <w:rPr>
          <w:rFonts w:asciiTheme="majorHAnsi" w:eastAsia="Calibri" w:hAnsiTheme="majorHAnsi" w:cs="Times New Roman"/>
          <w:sz w:val="22"/>
          <w:szCs w:val="20"/>
          <w:lang w:val="en-US" w:eastAsia="en-GB"/>
        </w:rPr>
        <w:t xml:space="preserve">electrical </w:t>
      </w:r>
      <w:r w:rsidRPr="00190CE5">
        <w:rPr>
          <w:rFonts w:asciiTheme="majorHAnsi" w:eastAsia="Calibri" w:hAnsiTheme="majorHAnsi" w:cs="Times New Roman"/>
          <w:sz w:val="22"/>
          <w:szCs w:val="20"/>
          <w:lang w:val="en-US" w:eastAsia="en-GB"/>
        </w:rPr>
        <w:t xml:space="preserve">properties </w:t>
      </w:r>
      <w:r w:rsidR="008E17FC" w:rsidRPr="00190CE5">
        <w:rPr>
          <w:rFonts w:asciiTheme="majorHAnsi" w:eastAsia="Calibri" w:hAnsiTheme="majorHAnsi" w:cs="Times New Roman"/>
          <w:sz w:val="22"/>
          <w:szCs w:val="20"/>
          <w:lang w:val="en-US" w:eastAsia="en-GB"/>
        </w:rPr>
        <w:t xml:space="preserve">of </w:t>
      </w:r>
      <w:r w:rsidRPr="00190CE5">
        <w:rPr>
          <w:rFonts w:asciiTheme="majorHAnsi" w:eastAsia="Calibri" w:hAnsiTheme="majorHAnsi" w:cs="Times New Roman"/>
          <w:sz w:val="22"/>
          <w:szCs w:val="20"/>
          <w:lang w:val="en-US" w:eastAsia="en-GB"/>
        </w:rPr>
        <w:t>excitable cells and benchmarks well against other</w:t>
      </w:r>
      <w:r w:rsidR="008E17FC" w:rsidRPr="00190CE5">
        <w:rPr>
          <w:rFonts w:asciiTheme="majorHAnsi" w:eastAsia="Calibri" w:hAnsiTheme="majorHAnsi" w:cs="Times New Roman"/>
          <w:sz w:val="22"/>
          <w:szCs w:val="20"/>
          <w:lang w:val="en-US" w:eastAsia="en-GB"/>
        </w:rPr>
        <w:t>, validated</w:t>
      </w:r>
      <w:r w:rsidR="007D2C9F" w:rsidRPr="00190CE5">
        <w:rPr>
          <w:rFonts w:asciiTheme="majorHAnsi" w:eastAsia="Calibri" w:hAnsiTheme="majorHAnsi" w:cs="Times New Roman"/>
          <w:sz w:val="22"/>
          <w:szCs w:val="20"/>
          <w:lang w:val="en-US" w:eastAsia="en-GB"/>
        </w:rPr>
        <w:t xml:space="preserve"> methods</w:t>
      </w:r>
      <w:r w:rsidR="00A04CF5" w:rsidRPr="00190CE5">
        <w:rPr>
          <w:rFonts w:asciiTheme="majorHAnsi" w:eastAsia="Calibri" w:hAnsiTheme="majorHAnsi" w:cs="Times New Roman"/>
          <w:sz w:val="22"/>
          <w:szCs w:val="20"/>
          <w:vertAlign w:val="superscript"/>
          <w:lang w:val="en-US" w:eastAsia="en-GB"/>
        </w:rPr>
        <w:t>1</w:t>
      </w:r>
      <w:r w:rsidR="00B42B49" w:rsidRPr="00190CE5">
        <w:rPr>
          <w:rFonts w:asciiTheme="majorHAnsi" w:eastAsia="Calibri" w:hAnsiTheme="majorHAnsi" w:cs="Times New Roman"/>
          <w:sz w:val="22"/>
          <w:szCs w:val="20"/>
          <w:vertAlign w:val="superscript"/>
          <w:lang w:val="en-US" w:eastAsia="en-GB"/>
        </w:rPr>
        <w:t>8</w:t>
      </w:r>
      <w:r w:rsidRPr="00190CE5">
        <w:rPr>
          <w:rFonts w:asciiTheme="majorHAnsi" w:eastAsia="Calibri" w:hAnsiTheme="majorHAnsi" w:cs="Times New Roman"/>
          <w:sz w:val="22"/>
          <w:szCs w:val="20"/>
          <w:lang w:val="en-US" w:eastAsia="en-GB"/>
        </w:rPr>
        <w:t>. DEP</w:t>
      </w:r>
      <w:r w:rsidR="004F2904" w:rsidRPr="00190CE5">
        <w:rPr>
          <w:rFonts w:asciiTheme="majorHAnsi" w:eastAsia="Calibri" w:hAnsiTheme="majorHAnsi" w:cs="Times New Roman"/>
          <w:sz w:val="22"/>
          <w:szCs w:val="20"/>
          <w:lang w:val="en-US" w:eastAsia="en-GB"/>
        </w:rPr>
        <w:t>-spectra</w:t>
      </w:r>
      <w:r w:rsidRPr="00190CE5">
        <w:rPr>
          <w:rFonts w:asciiTheme="majorHAnsi" w:eastAsia="Calibri" w:hAnsiTheme="majorHAnsi" w:cs="Times New Roman"/>
          <w:sz w:val="22"/>
          <w:szCs w:val="20"/>
          <w:lang w:val="en-US" w:eastAsia="en-GB"/>
        </w:rPr>
        <w:t xml:space="preserve"> ha</w:t>
      </w:r>
      <w:r w:rsidR="004F2904" w:rsidRPr="00190CE5">
        <w:rPr>
          <w:rFonts w:asciiTheme="majorHAnsi" w:eastAsia="Calibri" w:hAnsiTheme="majorHAnsi" w:cs="Times New Roman"/>
          <w:sz w:val="22"/>
          <w:szCs w:val="20"/>
          <w:lang w:val="en-US" w:eastAsia="en-GB"/>
        </w:rPr>
        <w:t>ve</w:t>
      </w:r>
      <w:r w:rsidRPr="00190CE5">
        <w:rPr>
          <w:rFonts w:asciiTheme="majorHAnsi" w:eastAsia="Calibri" w:hAnsiTheme="majorHAnsi" w:cs="Times New Roman"/>
          <w:sz w:val="22"/>
          <w:szCs w:val="20"/>
          <w:lang w:val="en-US" w:eastAsia="en-GB"/>
        </w:rPr>
        <w:t xml:space="preserve"> also successfully </w:t>
      </w:r>
      <w:r w:rsidR="008E17FC" w:rsidRPr="00190CE5">
        <w:rPr>
          <w:rFonts w:asciiTheme="majorHAnsi" w:eastAsia="Calibri" w:hAnsiTheme="majorHAnsi" w:cs="Times New Roman"/>
          <w:sz w:val="22"/>
          <w:szCs w:val="20"/>
          <w:lang w:val="en-US" w:eastAsia="en-GB"/>
        </w:rPr>
        <w:t>define</w:t>
      </w:r>
      <w:r w:rsidR="004F2904" w:rsidRPr="00190CE5">
        <w:rPr>
          <w:rFonts w:asciiTheme="majorHAnsi" w:eastAsia="Calibri" w:hAnsiTheme="majorHAnsi" w:cs="Times New Roman"/>
          <w:sz w:val="22"/>
          <w:szCs w:val="20"/>
          <w:lang w:val="en-US" w:eastAsia="en-GB"/>
        </w:rPr>
        <w:t>d</w:t>
      </w:r>
      <w:r w:rsidRPr="00190CE5">
        <w:rPr>
          <w:rFonts w:asciiTheme="majorHAnsi" w:eastAsia="Calibri" w:hAnsiTheme="majorHAnsi" w:cs="Times New Roman"/>
          <w:sz w:val="22"/>
          <w:szCs w:val="20"/>
          <w:lang w:val="en-US" w:eastAsia="en-GB"/>
        </w:rPr>
        <w:t xml:space="preserve"> biomarker</w:t>
      </w:r>
      <w:r w:rsidR="008E17FC" w:rsidRPr="00190CE5">
        <w:rPr>
          <w:rFonts w:asciiTheme="majorHAnsi" w:eastAsia="Calibri" w:hAnsiTheme="majorHAnsi" w:cs="Times New Roman"/>
          <w:sz w:val="22"/>
          <w:szCs w:val="20"/>
          <w:lang w:val="en-US" w:eastAsia="en-GB"/>
        </w:rPr>
        <w:t>s</w:t>
      </w:r>
      <w:r w:rsidR="007D2C9F" w:rsidRPr="00190CE5">
        <w:rPr>
          <w:rFonts w:asciiTheme="majorHAnsi" w:eastAsia="Calibri" w:hAnsiTheme="majorHAnsi" w:cs="Times New Roman"/>
          <w:sz w:val="22"/>
          <w:szCs w:val="20"/>
          <w:lang w:val="en-US" w:eastAsia="en-GB"/>
        </w:rPr>
        <w:t xml:space="preserve"> for stem cell differentiation</w:t>
      </w:r>
      <w:r w:rsidR="00A04CF5" w:rsidRPr="00190CE5">
        <w:rPr>
          <w:rFonts w:asciiTheme="majorHAnsi" w:eastAsia="Calibri" w:hAnsiTheme="majorHAnsi" w:cs="Times New Roman"/>
          <w:sz w:val="22"/>
          <w:szCs w:val="20"/>
          <w:vertAlign w:val="superscript"/>
          <w:lang w:val="en-US" w:eastAsia="en-GB"/>
        </w:rPr>
        <w:t>5,1</w:t>
      </w:r>
      <w:r w:rsidR="00B42B49" w:rsidRPr="00190CE5">
        <w:rPr>
          <w:rFonts w:asciiTheme="majorHAnsi" w:eastAsia="Calibri" w:hAnsiTheme="majorHAnsi" w:cs="Times New Roman"/>
          <w:sz w:val="22"/>
          <w:szCs w:val="20"/>
          <w:vertAlign w:val="superscript"/>
          <w:lang w:val="en-US" w:eastAsia="en-GB"/>
        </w:rPr>
        <w:t>9</w:t>
      </w:r>
      <w:r w:rsidR="007D2C9F" w:rsidRPr="00190CE5">
        <w:rPr>
          <w:rFonts w:asciiTheme="majorHAnsi" w:eastAsia="Calibri" w:hAnsiTheme="majorHAnsi" w:cs="Times New Roman"/>
          <w:sz w:val="22"/>
          <w:szCs w:val="20"/>
          <w:lang w:val="en-US" w:eastAsia="en-GB"/>
        </w:rPr>
        <w:t>, cancer</w:t>
      </w:r>
      <w:r w:rsidR="00B42B49" w:rsidRPr="00190CE5">
        <w:rPr>
          <w:rFonts w:asciiTheme="majorHAnsi" w:eastAsia="Calibri" w:hAnsiTheme="majorHAnsi" w:cs="Times New Roman"/>
          <w:sz w:val="22"/>
          <w:szCs w:val="20"/>
          <w:vertAlign w:val="superscript"/>
          <w:lang w:val="en-US" w:eastAsia="en-GB"/>
        </w:rPr>
        <w:t>20,21</w:t>
      </w:r>
      <w:r w:rsidR="00B8201C" w:rsidRPr="00190CE5">
        <w:rPr>
          <w:rFonts w:asciiTheme="majorHAnsi" w:eastAsia="Calibri" w:hAnsiTheme="majorHAnsi" w:cs="Times New Roman"/>
          <w:sz w:val="22"/>
          <w:szCs w:val="20"/>
          <w:lang w:val="en-US" w:eastAsia="en-GB"/>
        </w:rPr>
        <w:t>,</w:t>
      </w:r>
      <w:r w:rsidRPr="00190CE5">
        <w:rPr>
          <w:rFonts w:asciiTheme="majorHAnsi" w:eastAsia="Calibri" w:hAnsiTheme="majorHAnsi" w:cs="Times New Roman"/>
          <w:sz w:val="22"/>
          <w:szCs w:val="20"/>
          <w:lang w:val="en-US" w:eastAsia="en-GB"/>
        </w:rPr>
        <w:t xml:space="preserve"> drug interactions</w:t>
      </w:r>
      <w:r w:rsidR="00B42B49" w:rsidRPr="00190CE5">
        <w:rPr>
          <w:rFonts w:asciiTheme="majorHAnsi" w:eastAsia="Calibri" w:hAnsiTheme="majorHAnsi" w:cs="Times New Roman"/>
          <w:sz w:val="22"/>
          <w:szCs w:val="20"/>
          <w:vertAlign w:val="superscript"/>
          <w:lang w:val="en-US" w:eastAsia="en-GB"/>
        </w:rPr>
        <w:t>22-24</w:t>
      </w:r>
      <w:r w:rsidR="00B8201C" w:rsidRPr="00190CE5">
        <w:rPr>
          <w:rFonts w:asciiTheme="majorHAnsi" w:eastAsia="Calibri" w:hAnsiTheme="majorHAnsi" w:cs="Times New Roman"/>
          <w:sz w:val="22"/>
          <w:szCs w:val="20"/>
          <w:lang w:val="en-US" w:eastAsia="en-GB"/>
        </w:rPr>
        <w:t xml:space="preserve"> and circadian biology</w:t>
      </w:r>
      <w:r w:rsidR="00B42B49" w:rsidRPr="00190CE5">
        <w:rPr>
          <w:rFonts w:asciiTheme="majorHAnsi" w:eastAsia="Calibri" w:hAnsiTheme="majorHAnsi" w:cs="Times New Roman"/>
          <w:sz w:val="22"/>
          <w:szCs w:val="20"/>
          <w:vertAlign w:val="superscript"/>
          <w:lang w:val="en-US" w:eastAsia="en-GB"/>
        </w:rPr>
        <w:t>25,26</w:t>
      </w:r>
      <w:r w:rsidRPr="00190CE5">
        <w:rPr>
          <w:rFonts w:asciiTheme="majorHAnsi" w:eastAsia="Calibri" w:hAnsiTheme="majorHAnsi" w:cs="Times New Roman"/>
          <w:sz w:val="22"/>
          <w:szCs w:val="20"/>
          <w:lang w:val="en-US" w:eastAsia="en-GB"/>
        </w:rPr>
        <w:t>.</w:t>
      </w:r>
      <w:r w:rsidRPr="00190CE5">
        <w:rPr>
          <w:rFonts w:asciiTheme="majorHAnsi" w:eastAsia="ヒラギノ角ゴ Pro W3" w:hAnsiTheme="majorHAnsi" w:cs="Times New Roman"/>
          <w:sz w:val="22"/>
          <w:lang w:eastAsia="en-GB"/>
        </w:rPr>
        <w:t xml:space="preserve"> However, although DEP is most effective for measuring cell </w:t>
      </w:r>
      <w:r w:rsidR="008E17FC" w:rsidRPr="00190CE5">
        <w:rPr>
          <w:rFonts w:asciiTheme="majorHAnsi" w:eastAsia="Calibri" w:hAnsiTheme="majorHAnsi" w:cs="Times New Roman"/>
          <w:sz w:val="22"/>
          <w:szCs w:val="20"/>
          <w:lang w:val="en-US" w:eastAsia="en-GB"/>
        </w:rPr>
        <w:t>electrical properties</w:t>
      </w:r>
      <w:r w:rsidRPr="00190CE5">
        <w:rPr>
          <w:rFonts w:asciiTheme="majorHAnsi" w:eastAsia="ヒラギノ角ゴ Pro W3" w:hAnsiTheme="majorHAnsi" w:cs="Times New Roman"/>
          <w:sz w:val="22"/>
          <w:lang w:eastAsia="en-GB"/>
        </w:rPr>
        <w:t xml:space="preserve">, its adoption as a method in general cell biology has been limited by electrode technology and the challenges associated with robust data analysis. Hitherto, electrodes </w:t>
      </w:r>
      <w:r w:rsidR="00D55638" w:rsidRPr="00190CE5">
        <w:rPr>
          <w:rFonts w:asciiTheme="majorHAnsi" w:eastAsia="ヒラギノ角ゴ Pro W3" w:hAnsiTheme="majorHAnsi" w:cs="Times New Roman"/>
          <w:sz w:val="22"/>
          <w:lang w:eastAsia="en-GB"/>
        </w:rPr>
        <w:t>generally</w:t>
      </w:r>
      <w:r w:rsidRPr="00190CE5">
        <w:rPr>
          <w:rFonts w:asciiTheme="majorHAnsi" w:eastAsia="ヒラギノ角ゴ Pro W3" w:hAnsiTheme="majorHAnsi" w:cs="Times New Roman"/>
          <w:sz w:val="22"/>
          <w:lang w:eastAsia="en-GB"/>
        </w:rPr>
        <w:t xml:space="preserve"> consisted of two-dimensional structures etched onto glass slides and observed with a camera</w:t>
      </w:r>
      <w:r w:rsidR="00D02886" w:rsidRPr="00190CE5">
        <w:rPr>
          <w:rFonts w:asciiTheme="majorHAnsi" w:eastAsia="ヒラギノ角ゴ Pro W3" w:hAnsiTheme="majorHAnsi" w:cs="Times New Roman"/>
          <w:sz w:val="22"/>
          <w:lang w:eastAsia="en-GB"/>
        </w:rPr>
        <w:t>.  S</w:t>
      </w:r>
      <w:r w:rsidR="00D55638" w:rsidRPr="00190CE5">
        <w:rPr>
          <w:rFonts w:asciiTheme="majorHAnsi" w:eastAsia="ヒラギノ角ゴ Pro W3" w:hAnsiTheme="majorHAnsi" w:cs="Times New Roman"/>
          <w:sz w:val="22"/>
          <w:lang w:eastAsia="en-GB"/>
        </w:rPr>
        <w:t xml:space="preserve">uch systems characterised relatively low cell numbers, </w:t>
      </w:r>
      <w:r w:rsidR="0037011A" w:rsidRPr="00190CE5">
        <w:rPr>
          <w:rFonts w:asciiTheme="majorHAnsi" w:eastAsia="ヒラギノ角ゴ Pro W3" w:hAnsiTheme="majorHAnsi" w:cs="Times New Roman"/>
          <w:sz w:val="22"/>
          <w:lang w:eastAsia="en-GB"/>
        </w:rPr>
        <w:t xml:space="preserve">and </w:t>
      </w:r>
      <w:r w:rsidR="00D55638" w:rsidRPr="00190CE5">
        <w:rPr>
          <w:rFonts w:asciiTheme="majorHAnsi" w:eastAsia="ヒラギノ角ゴ Pro W3" w:hAnsiTheme="majorHAnsi" w:cs="Times New Roman"/>
          <w:sz w:val="22"/>
          <w:lang w:eastAsia="en-GB"/>
        </w:rPr>
        <w:t>were highly complex to operate</w:t>
      </w:r>
      <w:r w:rsidR="005559A7" w:rsidRPr="00190CE5">
        <w:rPr>
          <w:rFonts w:asciiTheme="majorHAnsi" w:eastAsia="ヒラギノ角ゴ Pro W3" w:hAnsiTheme="majorHAnsi" w:cs="Times New Roman"/>
          <w:sz w:val="22"/>
          <w:lang w:eastAsia="en-GB"/>
        </w:rPr>
        <w:t xml:space="preserve">; </w:t>
      </w:r>
      <w:r w:rsidR="00BF6F60" w:rsidRPr="00190CE5">
        <w:rPr>
          <w:rFonts w:asciiTheme="majorHAnsi" w:eastAsia="ヒラギノ角ゴ Pro W3" w:hAnsiTheme="majorHAnsi" w:cs="Times New Roman"/>
          <w:sz w:val="22"/>
          <w:lang w:eastAsia="en-GB"/>
        </w:rPr>
        <w:t xml:space="preserve">measurements were limited to low-conductivity media, whilst </w:t>
      </w:r>
      <w:r w:rsidR="004F2904" w:rsidRPr="00190CE5">
        <w:rPr>
          <w:rFonts w:asciiTheme="majorHAnsi" w:eastAsia="ヒラギノ角ゴ Pro W3" w:hAnsiTheme="majorHAnsi" w:cs="Times New Roman"/>
          <w:sz w:val="22"/>
          <w:lang w:eastAsia="en-GB"/>
        </w:rPr>
        <w:t>achiev</w:t>
      </w:r>
      <w:r w:rsidR="00BF6F60" w:rsidRPr="00190CE5">
        <w:rPr>
          <w:rFonts w:asciiTheme="majorHAnsi" w:eastAsia="ヒラギノ角ゴ Pro W3" w:hAnsiTheme="majorHAnsi" w:cs="Times New Roman"/>
          <w:sz w:val="22"/>
          <w:lang w:eastAsia="en-GB"/>
        </w:rPr>
        <w:t xml:space="preserve">ing </w:t>
      </w:r>
      <w:r w:rsidR="004F2904" w:rsidRPr="00190CE5">
        <w:rPr>
          <w:rFonts w:asciiTheme="majorHAnsi" w:eastAsia="ヒラギノ角ゴ Pro W3" w:hAnsiTheme="majorHAnsi" w:cs="Times New Roman"/>
          <w:sz w:val="22"/>
          <w:lang w:eastAsia="en-GB"/>
        </w:rPr>
        <w:t xml:space="preserve">a full DEP-spectrum </w:t>
      </w:r>
      <w:r w:rsidR="00BF6F60" w:rsidRPr="00190CE5">
        <w:rPr>
          <w:rFonts w:asciiTheme="majorHAnsi" w:eastAsia="ヒラギノ角ゴ Pro W3" w:hAnsiTheme="majorHAnsi" w:cs="Times New Roman"/>
          <w:sz w:val="22"/>
          <w:lang w:eastAsia="en-GB"/>
        </w:rPr>
        <w:t xml:space="preserve">was </w:t>
      </w:r>
      <w:r w:rsidR="005559A7" w:rsidRPr="00190CE5">
        <w:rPr>
          <w:rFonts w:asciiTheme="majorHAnsi" w:eastAsia="ヒラギノ角ゴ Pro W3" w:hAnsiTheme="majorHAnsi" w:cs="Times New Roman"/>
          <w:sz w:val="22"/>
          <w:lang w:eastAsia="en-GB"/>
        </w:rPr>
        <w:t>time consuming</w:t>
      </w:r>
      <w:r w:rsidR="00885FF9" w:rsidRPr="00190CE5">
        <w:rPr>
          <w:rFonts w:asciiTheme="majorHAnsi" w:eastAsia="ヒラギノ角ゴ Pro W3" w:hAnsiTheme="majorHAnsi" w:cs="Times New Roman"/>
          <w:sz w:val="22"/>
          <w:lang w:eastAsia="en-GB"/>
        </w:rPr>
        <w:t xml:space="preserve">.  This </w:t>
      </w:r>
      <w:r w:rsidR="00DD7D93" w:rsidRPr="00190CE5">
        <w:rPr>
          <w:rFonts w:asciiTheme="majorHAnsi" w:eastAsia="ヒラギノ角ゴ Pro W3" w:hAnsiTheme="majorHAnsi" w:cs="Times New Roman"/>
          <w:sz w:val="22"/>
          <w:lang w:eastAsia="en-GB"/>
        </w:rPr>
        <w:t>created</w:t>
      </w:r>
      <w:r w:rsidR="00BF6F60" w:rsidRPr="00190CE5">
        <w:rPr>
          <w:rFonts w:asciiTheme="majorHAnsi" w:eastAsia="ヒラギノ角ゴ Pro W3" w:hAnsiTheme="majorHAnsi" w:cs="Times New Roman"/>
          <w:sz w:val="22"/>
          <w:lang w:eastAsia="en-GB"/>
        </w:rPr>
        <w:t xml:space="preserve"> pressure to produce low-resolution spectra with few points, and hence </w:t>
      </w:r>
      <w:r w:rsidR="00885FF9" w:rsidRPr="00190CE5">
        <w:rPr>
          <w:rFonts w:asciiTheme="majorHAnsi" w:eastAsia="ヒラギノ角ゴ Pro W3" w:hAnsiTheme="majorHAnsi" w:cs="Times New Roman"/>
          <w:sz w:val="22"/>
          <w:lang w:eastAsia="en-GB"/>
        </w:rPr>
        <w:t xml:space="preserve">introduced </w:t>
      </w:r>
      <w:r w:rsidR="00BF6F60" w:rsidRPr="00190CE5">
        <w:rPr>
          <w:rFonts w:asciiTheme="majorHAnsi" w:eastAsia="ヒラギノ角ゴ Pro W3" w:hAnsiTheme="majorHAnsi" w:cs="Times New Roman"/>
          <w:sz w:val="22"/>
          <w:lang w:eastAsia="en-GB"/>
        </w:rPr>
        <w:t>error when fitting biophysical models to data in order to extract parameters</w:t>
      </w:r>
      <w:r w:rsidR="004A7EF6" w:rsidRPr="00190CE5">
        <w:rPr>
          <w:rFonts w:asciiTheme="majorHAnsi" w:eastAsia="ヒラギノ角ゴ Pro W3" w:hAnsiTheme="majorHAnsi" w:cs="Times New Roman"/>
          <w:sz w:val="22"/>
          <w:vertAlign w:val="superscript"/>
          <w:lang w:eastAsia="en-GB"/>
        </w:rPr>
        <w:t>27</w:t>
      </w:r>
      <w:r w:rsidR="00BF6F60" w:rsidRPr="00190CE5">
        <w:rPr>
          <w:rFonts w:asciiTheme="majorHAnsi" w:eastAsia="ヒラギノ角ゴ Pro W3" w:hAnsiTheme="majorHAnsi" w:cs="Times New Roman"/>
          <w:sz w:val="22"/>
          <w:lang w:eastAsia="en-GB"/>
        </w:rPr>
        <w:t>.</w:t>
      </w:r>
    </w:p>
    <w:p w14:paraId="3BCBF6F9" w14:textId="77777777" w:rsidR="00CE1610" w:rsidRPr="00190CE5" w:rsidRDefault="00CE1610" w:rsidP="00D02886">
      <w:pPr>
        <w:tabs>
          <w:tab w:val="left" w:pos="3969"/>
          <w:tab w:val="left" w:pos="4252"/>
          <w:tab w:val="left" w:pos="4961"/>
          <w:tab w:val="left" w:pos="5669"/>
          <w:tab w:val="left" w:pos="6378"/>
          <w:tab w:val="left" w:pos="7087"/>
          <w:tab w:val="left" w:pos="7795"/>
          <w:tab w:val="left" w:pos="8504"/>
          <w:tab w:val="left" w:pos="9213"/>
        </w:tabs>
        <w:spacing w:after="0"/>
        <w:rPr>
          <w:rFonts w:asciiTheme="majorHAnsi" w:eastAsia="ヒラギノ角ゴ Pro W3" w:hAnsiTheme="majorHAnsi" w:cs="Times New Roman"/>
          <w:sz w:val="22"/>
          <w:lang w:eastAsia="en-GB"/>
        </w:rPr>
      </w:pPr>
    </w:p>
    <w:p w14:paraId="44D2D4CD" w14:textId="14258341" w:rsidR="00D02886" w:rsidRPr="00190CE5" w:rsidRDefault="003A25C3" w:rsidP="00D02886">
      <w:pPr>
        <w:tabs>
          <w:tab w:val="left" w:pos="3969"/>
          <w:tab w:val="left" w:pos="4252"/>
          <w:tab w:val="left" w:pos="4961"/>
          <w:tab w:val="left" w:pos="5669"/>
          <w:tab w:val="left" w:pos="6378"/>
          <w:tab w:val="left" w:pos="7087"/>
          <w:tab w:val="left" w:pos="7795"/>
          <w:tab w:val="left" w:pos="8504"/>
          <w:tab w:val="left" w:pos="9213"/>
        </w:tabs>
        <w:spacing w:after="0"/>
        <w:rPr>
          <w:rFonts w:asciiTheme="majorHAnsi" w:hAnsiTheme="majorHAnsi"/>
          <w:sz w:val="22"/>
        </w:rPr>
      </w:pPr>
      <w:r w:rsidRPr="00190CE5">
        <w:rPr>
          <w:rFonts w:asciiTheme="majorHAnsi" w:hAnsiTheme="majorHAnsi"/>
          <w:sz w:val="22"/>
        </w:rPr>
        <w:t xml:space="preserve">To better realise DEP as an analytical technique, we developed a novel </w:t>
      </w:r>
      <w:r w:rsidR="00D55638" w:rsidRPr="00190CE5">
        <w:rPr>
          <w:rFonts w:asciiTheme="majorHAnsi" w:hAnsiTheme="majorHAnsi"/>
          <w:sz w:val="22"/>
        </w:rPr>
        <w:t xml:space="preserve">approach to the construction and embodiment of </w:t>
      </w:r>
      <w:r w:rsidRPr="00190CE5">
        <w:rPr>
          <w:rFonts w:asciiTheme="majorHAnsi" w:hAnsiTheme="majorHAnsi"/>
          <w:sz w:val="22"/>
        </w:rPr>
        <w:t>three-dimensional</w:t>
      </w:r>
      <w:r w:rsidR="00D02886" w:rsidRPr="00190CE5">
        <w:rPr>
          <w:rFonts w:asciiTheme="majorHAnsi" w:hAnsiTheme="majorHAnsi"/>
          <w:sz w:val="22"/>
        </w:rPr>
        <w:t xml:space="preserve"> electrodes </w:t>
      </w:r>
      <w:r w:rsidRPr="00190CE5">
        <w:rPr>
          <w:rFonts w:asciiTheme="majorHAnsi" w:hAnsiTheme="majorHAnsi"/>
          <w:sz w:val="22"/>
        </w:rPr>
        <w:t xml:space="preserve">drilled from laminates of copper </w:t>
      </w:r>
      <w:r w:rsidRPr="00190CE5">
        <w:rPr>
          <w:rFonts w:asciiTheme="majorHAnsi" w:hAnsiTheme="majorHAnsi"/>
          <w:sz w:val="22"/>
        </w:rPr>
        <w:lastRenderedPageBreak/>
        <w:t>and glass fibre reinforced epoxy resin and then gold-plated, for stability and biocompatibility</w:t>
      </w:r>
      <w:r w:rsidR="00B42B49" w:rsidRPr="00190CE5">
        <w:rPr>
          <w:rFonts w:asciiTheme="majorHAnsi" w:hAnsiTheme="majorHAnsi"/>
          <w:sz w:val="22"/>
          <w:vertAlign w:val="superscript"/>
        </w:rPr>
        <w:t>17</w:t>
      </w:r>
      <w:r w:rsidRPr="00190CE5">
        <w:rPr>
          <w:rFonts w:asciiTheme="majorHAnsi" w:hAnsiTheme="majorHAnsi"/>
          <w:sz w:val="22"/>
        </w:rPr>
        <w:t xml:space="preserve">.  These </w:t>
      </w:r>
      <w:r w:rsidR="00D02886" w:rsidRPr="00190CE5">
        <w:rPr>
          <w:rFonts w:asciiTheme="majorHAnsi" w:hAnsiTheme="majorHAnsi"/>
          <w:sz w:val="22"/>
        </w:rPr>
        <w:t>“DEP-</w:t>
      </w:r>
      <w:r w:rsidRPr="00190CE5">
        <w:rPr>
          <w:rFonts w:asciiTheme="majorHAnsi" w:hAnsiTheme="majorHAnsi"/>
          <w:sz w:val="22"/>
        </w:rPr>
        <w:t xml:space="preserve">wells” have annular electrodes along the length of the </w:t>
      </w:r>
      <w:r w:rsidR="00CB5BAC" w:rsidRPr="00190CE5">
        <w:rPr>
          <w:rFonts w:asciiTheme="majorHAnsi" w:hAnsiTheme="majorHAnsi"/>
          <w:sz w:val="22"/>
        </w:rPr>
        <w:t>side wall</w:t>
      </w:r>
      <w:r w:rsidRPr="00190CE5">
        <w:rPr>
          <w:rFonts w:asciiTheme="majorHAnsi" w:hAnsiTheme="majorHAnsi"/>
          <w:sz w:val="22"/>
        </w:rPr>
        <w:t xml:space="preserve">, reducing DEP-induced cell </w:t>
      </w:r>
      <w:r w:rsidR="00AA0598" w:rsidRPr="00190CE5">
        <w:rPr>
          <w:rFonts w:asciiTheme="majorHAnsi" w:hAnsiTheme="majorHAnsi"/>
          <w:sz w:val="22"/>
        </w:rPr>
        <w:t>movement to</w:t>
      </w:r>
      <w:r w:rsidRPr="00190CE5">
        <w:rPr>
          <w:rFonts w:asciiTheme="majorHAnsi" w:hAnsiTheme="majorHAnsi"/>
          <w:sz w:val="22"/>
        </w:rPr>
        <w:t xml:space="preserve"> 1-dimension: cells move towards or away from the </w:t>
      </w:r>
      <w:r w:rsidR="0037011A" w:rsidRPr="00190CE5">
        <w:rPr>
          <w:rFonts w:asciiTheme="majorHAnsi" w:hAnsiTheme="majorHAnsi"/>
          <w:sz w:val="22"/>
        </w:rPr>
        <w:t xml:space="preserve">line passing </w:t>
      </w:r>
      <w:r w:rsidR="00E70271" w:rsidRPr="00190CE5">
        <w:rPr>
          <w:rFonts w:asciiTheme="majorHAnsi" w:hAnsiTheme="majorHAnsi"/>
          <w:sz w:val="22"/>
        </w:rPr>
        <w:t>t</w:t>
      </w:r>
      <w:r w:rsidR="0037011A" w:rsidRPr="00190CE5">
        <w:rPr>
          <w:rFonts w:asciiTheme="majorHAnsi" w:hAnsiTheme="majorHAnsi"/>
          <w:sz w:val="22"/>
        </w:rPr>
        <w:t xml:space="preserve">hrough the </w:t>
      </w:r>
      <w:r w:rsidRPr="00190CE5">
        <w:rPr>
          <w:rFonts w:asciiTheme="majorHAnsi" w:hAnsiTheme="majorHAnsi"/>
          <w:sz w:val="22"/>
        </w:rPr>
        <w:t xml:space="preserve">centre </w:t>
      </w:r>
      <w:r w:rsidR="0037011A" w:rsidRPr="00190CE5">
        <w:rPr>
          <w:rFonts w:asciiTheme="majorHAnsi" w:hAnsiTheme="majorHAnsi"/>
          <w:sz w:val="22"/>
        </w:rPr>
        <w:t>of the well</w:t>
      </w:r>
      <w:r w:rsidR="00E70271" w:rsidRPr="00190CE5">
        <w:rPr>
          <w:rFonts w:asciiTheme="majorHAnsi" w:hAnsiTheme="majorHAnsi"/>
          <w:sz w:val="22"/>
        </w:rPr>
        <w:t xml:space="preserve"> </w:t>
      </w:r>
      <w:r w:rsidRPr="00190CE5">
        <w:rPr>
          <w:rFonts w:asciiTheme="majorHAnsi" w:hAnsiTheme="majorHAnsi"/>
          <w:sz w:val="22"/>
        </w:rPr>
        <w:t xml:space="preserve">at a rate proportional to the DEP force they experience.  </w:t>
      </w:r>
      <w:r w:rsidR="00D02A1E" w:rsidRPr="00190CE5">
        <w:rPr>
          <w:rFonts w:asciiTheme="majorHAnsi" w:hAnsiTheme="majorHAnsi"/>
          <w:sz w:val="22"/>
        </w:rPr>
        <w:t xml:space="preserve">Whilst the technique lacks single-cell precision compared with impedance cytometry, it more than compensates for this though speed, throughput and ease of use. </w:t>
      </w:r>
      <w:r w:rsidR="00485366" w:rsidRPr="00190CE5">
        <w:rPr>
          <w:rFonts w:asciiTheme="majorHAnsi" w:hAnsiTheme="majorHAnsi"/>
          <w:sz w:val="22"/>
        </w:rPr>
        <w:t xml:space="preserve">  Previous systems described in the literature used simple single-well systems to characterise cells one frequency at a time and at up to two minutes per measurement, meaning a complete spectrum might take an hour.</w:t>
      </w:r>
      <w:r w:rsidR="00D02A1E" w:rsidRPr="00190CE5">
        <w:rPr>
          <w:rFonts w:asciiTheme="majorHAnsi" w:hAnsiTheme="majorHAnsi"/>
          <w:sz w:val="22"/>
        </w:rPr>
        <w:t xml:space="preserve"> </w:t>
      </w:r>
      <w:r w:rsidRPr="00190CE5">
        <w:rPr>
          <w:rFonts w:asciiTheme="majorHAnsi" w:hAnsiTheme="majorHAnsi"/>
          <w:sz w:val="22"/>
        </w:rPr>
        <w:t xml:space="preserve"> </w:t>
      </w:r>
      <w:r w:rsidR="00136BF8" w:rsidRPr="00190CE5">
        <w:rPr>
          <w:rFonts w:asciiTheme="majorHAnsi" w:hAnsiTheme="majorHAnsi"/>
          <w:sz w:val="22"/>
        </w:rPr>
        <w:t xml:space="preserve">In this paper we describe </w:t>
      </w:r>
      <w:r w:rsidR="00D02886" w:rsidRPr="00190CE5">
        <w:rPr>
          <w:rFonts w:asciiTheme="majorHAnsi" w:hAnsiTheme="majorHAnsi"/>
          <w:sz w:val="22"/>
        </w:rPr>
        <w:t xml:space="preserve">the performance of the first commercial DEP cytometry platform, the </w:t>
      </w:r>
      <w:proofErr w:type="spellStart"/>
      <w:r w:rsidR="00D02886" w:rsidRPr="00190CE5">
        <w:rPr>
          <w:rFonts w:asciiTheme="majorHAnsi" w:hAnsiTheme="majorHAnsi"/>
          <w:sz w:val="22"/>
        </w:rPr>
        <w:t>DEPtech</w:t>
      </w:r>
      <w:proofErr w:type="spellEnd"/>
      <w:r w:rsidR="00D02886" w:rsidRPr="00190CE5">
        <w:rPr>
          <w:rFonts w:asciiTheme="majorHAnsi" w:hAnsiTheme="majorHAnsi"/>
          <w:sz w:val="22"/>
        </w:rPr>
        <w:t xml:space="preserve"> 3DEP (</w:t>
      </w:r>
      <w:proofErr w:type="spellStart"/>
      <w:r w:rsidR="00D02886" w:rsidRPr="00190CE5">
        <w:rPr>
          <w:rFonts w:asciiTheme="majorHAnsi" w:hAnsiTheme="majorHAnsi"/>
          <w:sz w:val="22"/>
        </w:rPr>
        <w:t>Labtech</w:t>
      </w:r>
      <w:proofErr w:type="spellEnd"/>
      <w:r w:rsidR="00D02886" w:rsidRPr="00190CE5">
        <w:rPr>
          <w:rFonts w:asciiTheme="majorHAnsi" w:hAnsiTheme="majorHAnsi"/>
          <w:sz w:val="22"/>
        </w:rPr>
        <w:t xml:space="preserve">, </w:t>
      </w:r>
      <w:proofErr w:type="spellStart"/>
      <w:r w:rsidR="00D02886" w:rsidRPr="00190CE5">
        <w:rPr>
          <w:rFonts w:asciiTheme="majorHAnsi" w:hAnsiTheme="majorHAnsi"/>
          <w:sz w:val="22"/>
        </w:rPr>
        <w:t>Heathfield</w:t>
      </w:r>
      <w:proofErr w:type="spellEnd"/>
      <w:r w:rsidR="00885FF9" w:rsidRPr="00190CE5">
        <w:rPr>
          <w:rFonts w:asciiTheme="majorHAnsi" w:hAnsiTheme="majorHAnsi"/>
          <w:sz w:val="22"/>
        </w:rPr>
        <w:t>,</w:t>
      </w:r>
      <w:r w:rsidR="00D02886" w:rsidRPr="00190CE5">
        <w:rPr>
          <w:rFonts w:asciiTheme="majorHAnsi" w:hAnsiTheme="majorHAnsi"/>
          <w:sz w:val="22"/>
        </w:rPr>
        <w:t xml:space="preserve"> UK)</w:t>
      </w:r>
      <w:r w:rsidR="005559A7" w:rsidRPr="00190CE5">
        <w:rPr>
          <w:rFonts w:asciiTheme="majorHAnsi" w:hAnsiTheme="majorHAnsi"/>
          <w:sz w:val="22"/>
        </w:rPr>
        <w:t xml:space="preserve">, and show how this platform </w:t>
      </w:r>
      <w:r w:rsidR="00485366" w:rsidRPr="00190CE5">
        <w:rPr>
          <w:rFonts w:asciiTheme="majorHAnsi" w:hAnsiTheme="majorHAnsi"/>
          <w:sz w:val="22"/>
        </w:rPr>
        <w:t>significantly improves on previous DEP-well performance through parallel signal generation and improved optics and signal processing</w:t>
      </w:r>
      <w:r w:rsidR="00C44167" w:rsidRPr="00190CE5">
        <w:rPr>
          <w:rFonts w:asciiTheme="majorHAnsi" w:hAnsiTheme="majorHAnsi"/>
          <w:sz w:val="22"/>
          <w:vertAlign w:val="superscript"/>
        </w:rPr>
        <w:t>28</w:t>
      </w:r>
      <w:r w:rsidR="00885FF9" w:rsidRPr="00190CE5">
        <w:rPr>
          <w:rFonts w:asciiTheme="majorHAnsi" w:hAnsiTheme="majorHAnsi"/>
          <w:sz w:val="22"/>
        </w:rPr>
        <w:t xml:space="preserve">.  This permits simultaneous </w:t>
      </w:r>
      <w:r w:rsidR="005559A7" w:rsidRPr="00190CE5">
        <w:rPr>
          <w:rFonts w:asciiTheme="majorHAnsi" w:hAnsiTheme="majorHAnsi"/>
          <w:sz w:val="22"/>
        </w:rPr>
        <w:t xml:space="preserve">characterisation of thousands of cells, </w:t>
      </w:r>
      <w:r w:rsidR="0037011A" w:rsidRPr="00190CE5">
        <w:rPr>
          <w:rFonts w:asciiTheme="majorHAnsi" w:hAnsiTheme="majorHAnsi"/>
          <w:sz w:val="22"/>
        </w:rPr>
        <w:t xml:space="preserve">acquiring data </w:t>
      </w:r>
      <w:r w:rsidR="005559A7" w:rsidRPr="00190CE5">
        <w:rPr>
          <w:rFonts w:asciiTheme="majorHAnsi" w:hAnsiTheme="majorHAnsi"/>
          <w:sz w:val="22"/>
        </w:rPr>
        <w:t>at high speed</w:t>
      </w:r>
      <w:r w:rsidR="00C2283B" w:rsidRPr="00190CE5">
        <w:rPr>
          <w:rFonts w:asciiTheme="majorHAnsi" w:hAnsiTheme="majorHAnsi"/>
          <w:sz w:val="22"/>
        </w:rPr>
        <w:t>,</w:t>
      </w:r>
      <w:r w:rsidR="005559A7" w:rsidRPr="00190CE5">
        <w:rPr>
          <w:rFonts w:asciiTheme="majorHAnsi" w:hAnsiTheme="majorHAnsi"/>
          <w:sz w:val="22"/>
        </w:rPr>
        <w:t xml:space="preserve"> </w:t>
      </w:r>
      <w:r w:rsidR="00C2283B" w:rsidRPr="00190CE5">
        <w:rPr>
          <w:rFonts w:asciiTheme="majorHAnsi" w:hAnsiTheme="majorHAnsi"/>
          <w:sz w:val="22"/>
        </w:rPr>
        <w:t xml:space="preserve">and </w:t>
      </w:r>
      <w:r w:rsidR="005559A7" w:rsidRPr="00190CE5">
        <w:rPr>
          <w:rFonts w:asciiTheme="majorHAnsi" w:hAnsiTheme="majorHAnsi"/>
          <w:sz w:val="22"/>
        </w:rPr>
        <w:t xml:space="preserve">potentially </w:t>
      </w:r>
      <w:r w:rsidR="0037011A" w:rsidRPr="00190CE5">
        <w:rPr>
          <w:rFonts w:asciiTheme="majorHAnsi" w:hAnsiTheme="majorHAnsi"/>
          <w:sz w:val="22"/>
        </w:rPr>
        <w:t>making measurements in cell suspension</w:t>
      </w:r>
      <w:r w:rsidR="00885FF9" w:rsidRPr="00190CE5">
        <w:rPr>
          <w:rFonts w:asciiTheme="majorHAnsi" w:hAnsiTheme="majorHAnsi"/>
          <w:sz w:val="22"/>
        </w:rPr>
        <w:t>s</w:t>
      </w:r>
      <w:r w:rsidR="0037011A" w:rsidRPr="00190CE5">
        <w:rPr>
          <w:rFonts w:asciiTheme="majorHAnsi" w:hAnsiTheme="majorHAnsi"/>
          <w:sz w:val="22"/>
        </w:rPr>
        <w:t xml:space="preserve"> of high electrical conductivity</w:t>
      </w:r>
      <w:r w:rsidR="005559A7" w:rsidRPr="00190CE5">
        <w:rPr>
          <w:rFonts w:asciiTheme="majorHAnsi" w:hAnsiTheme="majorHAnsi"/>
          <w:sz w:val="22"/>
        </w:rPr>
        <w:t xml:space="preserve">, </w:t>
      </w:r>
      <w:r w:rsidR="004F2904" w:rsidRPr="00190CE5">
        <w:rPr>
          <w:rFonts w:asciiTheme="majorHAnsi" w:hAnsiTheme="majorHAnsi"/>
          <w:sz w:val="22"/>
        </w:rPr>
        <w:t>allowing</w:t>
      </w:r>
      <w:r w:rsidR="005559A7" w:rsidRPr="00190CE5">
        <w:rPr>
          <w:rFonts w:asciiTheme="majorHAnsi" w:hAnsiTheme="majorHAnsi"/>
          <w:sz w:val="22"/>
        </w:rPr>
        <w:t xml:space="preserve"> measurements of electrophysiological phenomena which are </w:t>
      </w:r>
      <w:r w:rsidR="0037011A" w:rsidRPr="00190CE5">
        <w:rPr>
          <w:rFonts w:asciiTheme="majorHAnsi" w:hAnsiTheme="majorHAnsi"/>
          <w:sz w:val="22"/>
        </w:rPr>
        <w:t xml:space="preserve">difficult to achieve </w:t>
      </w:r>
      <w:r w:rsidR="005559A7" w:rsidRPr="00190CE5">
        <w:rPr>
          <w:rFonts w:asciiTheme="majorHAnsi" w:hAnsiTheme="majorHAnsi"/>
          <w:sz w:val="22"/>
        </w:rPr>
        <w:t>by other means.</w:t>
      </w:r>
    </w:p>
    <w:p w14:paraId="710973A7" w14:textId="77777777" w:rsidR="00B42B49" w:rsidRPr="00190CE5" w:rsidRDefault="00B42B49" w:rsidP="00D02886">
      <w:pPr>
        <w:tabs>
          <w:tab w:val="left" w:pos="3969"/>
          <w:tab w:val="left" w:pos="4252"/>
          <w:tab w:val="left" w:pos="4961"/>
          <w:tab w:val="left" w:pos="5669"/>
          <w:tab w:val="left" w:pos="6378"/>
          <w:tab w:val="left" w:pos="7087"/>
          <w:tab w:val="left" w:pos="7795"/>
          <w:tab w:val="left" w:pos="8504"/>
          <w:tab w:val="left" w:pos="9213"/>
        </w:tabs>
        <w:spacing w:after="0"/>
        <w:rPr>
          <w:rFonts w:asciiTheme="majorHAnsi" w:hAnsiTheme="majorHAnsi"/>
          <w:sz w:val="22"/>
        </w:rPr>
      </w:pPr>
    </w:p>
    <w:p w14:paraId="3660DC06" w14:textId="77777777" w:rsidR="006E7903" w:rsidRPr="00190CE5" w:rsidRDefault="00830C0E" w:rsidP="006E7903">
      <w:pPr>
        <w:pStyle w:val="Body"/>
        <w:tabs>
          <w:tab w:val="left" w:pos="2552"/>
          <w:tab w:val="left" w:pos="3544"/>
          <w:tab w:val="left" w:pos="4252"/>
          <w:tab w:val="left" w:pos="4961"/>
          <w:tab w:val="left" w:pos="5669"/>
          <w:tab w:val="left" w:pos="6378"/>
          <w:tab w:val="left" w:pos="7087"/>
          <w:tab w:val="left" w:pos="7795"/>
          <w:tab w:val="left" w:pos="8504"/>
          <w:tab w:val="left" w:pos="9213"/>
        </w:tabs>
        <w:spacing w:before="0" w:after="0" w:line="360" w:lineRule="auto"/>
        <w:rPr>
          <w:rFonts w:asciiTheme="majorHAnsi" w:hAnsiTheme="majorHAnsi"/>
          <w:b/>
          <w:color w:val="auto"/>
          <w:sz w:val="32"/>
          <w:szCs w:val="32"/>
          <w:lang w:val="en-GB"/>
        </w:rPr>
      </w:pPr>
      <w:r w:rsidRPr="00190CE5">
        <w:rPr>
          <w:rFonts w:asciiTheme="majorHAnsi" w:hAnsiTheme="majorHAnsi"/>
          <w:b/>
          <w:color w:val="auto"/>
          <w:sz w:val="32"/>
          <w:szCs w:val="32"/>
          <w:lang w:val="en-GB"/>
        </w:rPr>
        <w:t xml:space="preserve">2. </w:t>
      </w:r>
      <w:r w:rsidR="006E7903" w:rsidRPr="00190CE5">
        <w:rPr>
          <w:rFonts w:asciiTheme="majorHAnsi" w:hAnsiTheme="majorHAnsi"/>
          <w:b/>
          <w:color w:val="auto"/>
          <w:sz w:val="32"/>
          <w:szCs w:val="32"/>
          <w:lang w:val="en-GB"/>
        </w:rPr>
        <w:t>System Description</w:t>
      </w:r>
    </w:p>
    <w:p w14:paraId="30223087" w14:textId="431951CD" w:rsidR="00CE1610" w:rsidRPr="00190CE5" w:rsidRDefault="00CE1610" w:rsidP="00570CE1">
      <w:pPr>
        <w:pStyle w:val="CommentText"/>
        <w:spacing w:after="0" w:line="360" w:lineRule="auto"/>
        <w:rPr>
          <w:rFonts w:asciiTheme="majorHAnsi" w:hAnsiTheme="majorHAnsi"/>
          <w:b/>
          <w:szCs w:val="22"/>
        </w:rPr>
      </w:pPr>
      <w:r w:rsidRPr="00190CE5">
        <w:rPr>
          <w:rFonts w:asciiTheme="majorHAnsi" w:hAnsiTheme="majorHAnsi" w:cs="Times New Roman"/>
          <w:b/>
          <w:sz w:val="22"/>
          <w:szCs w:val="22"/>
        </w:rPr>
        <w:t xml:space="preserve">2.1 </w:t>
      </w:r>
      <w:r w:rsidR="00570CE1" w:rsidRPr="00190CE5">
        <w:rPr>
          <w:rFonts w:asciiTheme="majorHAnsi" w:hAnsiTheme="majorHAnsi" w:cs="Times New Roman"/>
          <w:b/>
          <w:sz w:val="22"/>
          <w:szCs w:val="22"/>
        </w:rPr>
        <w:t>3DEP Analysis</w:t>
      </w:r>
    </w:p>
    <w:p w14:paraId="6BD4D4A3" w14:textId="2E1C7706" w:rsidR="00FB3F77" w:rsidRPr="00190CE5" w:rsidRDefault="00A654E8" w:rsidP="00D140D3">
      <w:pPr>
        <w:pStyle w:val="Body"/>
        <w:tabs>
          <w:tab w:val="left" w:pos="4252"/>
          <w:tab w:val="left" w:pos="4961"/>
          <w:tab w:val="left" w:pos="5669"/>
          <w:tab w:val="left" w:pos="6378"/>
          <w:tab w:val="left" w:pos="7087"/>
          <w:tab w:val="left" w:pos="7795"/>
          <w:tab w:val="left" w:pos="8504"/>
          <w:tab w:val="left" w:pos="9213"/>
        </w:tabs>
        <w:spacing w:before="0" w:after="0" w:line="360" w:lineRule="auto"/>
        <w:rPr>
          <w:rFonts w:asciiTheme="majorHAnsi" w:hAnsiTheme="majorHAnsi"/>
          <w:color w:val="auto"/>
          <w:szCs w:val="22"/>
          <w:lang w:val="en-GB"/>
        </w:rPr>
      </w:pPr>
      <w:r w:rsidRPr="00190CE5">
        <w:rPr>
          <w:rFonts w:asciiTheme="majorHAnsi" w:hAnsiTheme="majorHAnsi"/>
          <w:color w:val="auto"/>
          <w:szCs w:val="22"/>
          <w:lang w:val="en-GB"/>
        </w:rPr>
        <w:t xml:space="preserve">The system </w:t>
      </w:r>
      <w:r w:rsidR="006E7903" w:rsidRPr="00190CE5">
        <w:rPr>
          <w:rFonts w:asciiTheme="majorHAnsi" w:hAnsiTheme="majorHAnsi"/>
          <w:color w:val="auto"/>
          <w:szCs w:val="22"/>
          <w:lang w:val="en-GB"/>
        </w:rPr>
        <w:t xml:space="preserve">comprises a chip (Figure 1a) inserted into a reader </w:t>
      </w:r>
      <w:r w:rsidR="00F420F1" w:rsidRPr="00190CE5">
        <w:rPr>
          <w:rFonts w:asciiTheme="majorHAnsi" w:hAnsiTheme="majorHAnsi"/>
          <w:color w:val="auto"/>
          <w:szCs w:val="22"/>
          <w:lang w:val="en-GB"/>
        </w:rPr>
        <w:t xml:space="preserve">(Figure 1b) </w:t>
      </w:r>
      <w:r w:rsidR="006E7903" w:rsidRPr="00190CE5">
        <w:rPr>
          <w:rFonts w:asciiTheme="majorHAnsi" w:hAnsiTheme="majorHAnsi"/>
          <w:color w:val="auto"/>
          <w:szCs w:val="22"/>
          <w:lang w:val="en-GB"/>
        </w:rPr>
        <w:t xml:space="preserve">containing </w:t>
      </w:r>
      <w:r w:rsidRPr="00190CE5">
        <w:rPr>
          <w:rFonts w:asciiTheme="majorHAnsi" w:hAnsiTheme="majorHAnsi"/>
          <w:color w:val="auto"/>
          <w:szCs w:val="22"/>
          <w:lang w:val="en-GB"/>
        </w:rPr>
        <w:t xml:space="preserve">twenty independently-controlled </w:t>
      </w:r>
      <w:r w:rsidR="00337306" w:rsidRPr="00190CE5">
        <w:rPr>
          <w:rFonts w:asciiTheme="majorHAnsi" w:hAnsiTheme="majorHAnsi"/>
          <w:color w:val="auto"/>
          <w:szCs w:val="22"/>
          <w:lang w:val="en-GB"/>
        </w:rPr>
        <w:t xml:space="preserve">DDS-based </w:t>
      </w:r>
      <w:r w:rsidRPr="00190CE5">
        <w:rPr>
          <w:rFonts w:asciiTheme="majorHAnsi" w:hAnsiTheme="majorHAnsi"/>
          <w:color w:val="auto"/>
          <w:szCs w:val="22"/>
          <w:lang w:val="en-GB"/>
        </w:rPr>
        <w:t>signal generators, each capable of delivering 20</w:t>
      </w:r>
      <w:r w:rsidR="0037011A" w:rsidRPr="00190CE5">
        <w:rPr>
          <w:rFonts w:asciiTheme="majorHAnsi" w:hAnsiTheme="majorHAnsi"/>
          <w:color w:val="auto"/>
          <w:szCs w:val="22"/>
          <w:lang w:val="en-GB"/>
        </w:rPr>
        <w:t xml:space="preserve"> </w:t>
      </w:r>
      <w:proofErr w:type="spellStart"/>
      <w:r w:rsidRPr="00190CE5">
        <w:rPr>
          <w:rFonts w:asciiTheme="majorHAnsi" w:hAnsiTheme="majorHAnsi"/>
          <w:color w:val="auto"/>
          <w:szCs w:val="22"/>
          <w:lang w:val="en-GB"/>
        </w:rPr>
        <w:t>V</w:t>
      </w:r>
      <w:r w:rsidRPr="00190CE5">
        <w:rPr>
          <w:rFonts w:asciiTheme="majorHAnsi" w:hAnsiTheme="majorHAnsi"/>
          <w:color w:val="auto"/>
          <w:szCs w:val="22"/>
          <w:vertAlign w:val="subscript"/>
          <w:lang w:val="en-GB"/>
        </w:rPr>
        <w:t>pp</w:t>
      </w:r>
      <w:proofErr w:type="spellEnd"/>
      <w:r w:rsidRPr="00190CE5">
        <w:rPr>
          <w:rFonts w:asciiTheme="majorHAnsi" w:hAnsiTheme="majorHAnsi"/>
          <w:color w:val="auto"/>
          <w:szCs w:val="22"/>
          <w:lang w:val="en-GB"/>
        </w:rPr>
        <w:t xml:space="preserve"> at frequencies up to 45</w:t>
      </w:r>
      <w:r w:rsidR="0037011A" w:rsidRPr="00190CE5">
        <w:rPr>
          <w:rFonts w:asciiTheme="majorHAnsi" w:hAnsiTheme="majorHAnsi"/>
          <w:color w:val="auto"/>
          <w:szCs w:val="22"/>
          <w:lang w:val="en-GB"/>
        </w:rPr>
        <w:t xml:space="preserve"> </w:t>
      </w:r>
      <w:proofErr w:type="spellStart"/>
      <w:r w:rsidRPr="00190CE5">
        <w:rPr>
          <w:rFonts w:asciiTheme="majorHAnsi" w:hAnsiTheme="majorHAnsi"/>
          <w:color w:val="auto"/>
          <w:szCs w:val="22"/>
          <w:lang w:val="en-GB"/>
        </w:rPr>
        <w:t>MHz</w:t>
      </w:r>
      <w:r w:rsidR="00E103E3" w:rsidRPr="00190CE5">
        <w:rPr>
          <w:rFonts w:asciiTheme="majorHAnsi" w:hAnsiTheme="majorHAnsi"/>
          <w:color w:val="auto"/>
          <w:szCs w:val="22"/>
          <w:lang w:val="en-GB"/>
        </w:rPr>
        <w:t>.</w:t>
      </w:r>
      <w:proofErr w:type="spellEnd"/>
      <w:r w:rsidR="00E103E3" w:rsidRPr="00190CE5">
        <w:rPr>
          <w:rFonts w:asciiTheme="majorHAnsi" w:hAnsiTheme="majorHAnsi"/>
          <w:color w:val="auto"/>
          <w:szCs w:val="22"/>
          <w:lang w:val="en-GB"/>
        </w:rPr>
        <w:t xml:space="preserve">  </w:t>
      </w:r>
      <w:r w:rsidR="001408AA" w:rsidRPr="00190CE5">
        <w:rPr>
          <w:rFonts w:asciiTheme="majorHAnsi" w:hAnsiTheme="majorHAnsi"/>
          <w:color w:val="auto"/>
          <w:szCs w:val="22"/>
          <w:lang w:val="en-GB"/>
        </w:rPr>
        <w:t xml:space="preserve">When the electric field is applied, cells redistribute within the well according to their DEP response at that frequency, and changes in light absorption </w:t>
      </w:r>
      <w:r w:rsidR="00DD7D93" w:rsidRPr="00190CE5">
        <w:rPr>
          <w:rFonts w:asciiTheme="majorHAnsi" w:hAnsiTheme="majorHAnsi"/>
          <w:color w:val="auto"/>
          <w:szCs w:val="22"/>
          <w:lang w:val="en-GB"/>
        </w:rPr>
        <w:t xml:space="preserve">from </w:t>
      </w:r>
      <w:r w:rsidR="001408AA" w:rsidRPr="00190CE5">
        <w:rPr>
          <w:rFonts w:asciiTheme="majorHAnsi" w:hAnsiTheme="majorHAnsi"/>
          <w:color w:val="auto"/>
          <w:szCs w:val="22"/>
          <w:lang w:val="en-GB"/>
        </w:rPr>
        <w:t xml:space="preserve">a number of concentric annular regions is monitored to track the redistribution of cells.  </w:t>
      </w:r>
      <w:r w:rsidR="00337306" w:rsidRPr="00190CE5">
        <w:rPr>
          <w:rFonts w:asciiTheme="majorHAnsi" w:hAnsiTheme="majorHAnsi"/>
          <w:color w:val="auto"/>
        </w:rPr>
        <w:t xml:space="preserve">When the electrodes within the chip are </w:t>
      </w:r>
      <w:proofErr w:type="spellStart"/>
      <w:r w:rsidR="00337306" w:rsidRPr="00190CE5">
        <w:rPr>
          <w:rFonts w:asciiTheme="majorHAnsi" w:hAnsiTheme="majorHAnsi"/>
          <w:color w:val="auto"/>
        </w:rPr>
        <w:t>energised</w:t>
      </w:r>
      <w:proofErr w:type="spellEnd"/>
      <w:r w:rsidR="00337306" w:rsidRPr="00190CE5">
        <w:rPr>
          <w:rFonts w:asciiTheme="majorHAnsi" w:hAnsiTheme="majorHAnsi"/>
          <w:color w:val="auto"/>
        </w:rPr>
        <w:t xml:space="preserve">, the </w:t>
      </w:r>
      <w:proofErr w:type="spellStart"/>
      <w:r w:rsidR="00337306" w:rsidRPr="00190CE5">
        <w:rPr>
          <w:rFonts w:asciiTheme="majorHAnsi" w:hAnsiTheme="majorHAnsi"/>
          <w:color w:val="auto"/>
        </w:rPr>
        <w:t>dielectrophoretic</w:t>
      </w:r>
      <w:proofErr w:type="spellEnd"/>
      <w:r w:rsidR="00337306" w:rsidRPr="00190CE5">
        <w:rPr>
          <w:rFonts w:asciiTheme="majorHAnsi" w:hAnsiTheme="majorHAnsi"/>
          <w:color w:val="auto"/>
        </w:rPr>
        <w:t xml:space="preserve"> force causes cells to move either towards or away from the well edges, meaning that the change in light absorbance through the well allows determination of cell </w:t>
      </w:r>
      <w:proofErr w:type="spellStart"/>
      <w:r w:rsidR="00337306" w:rsidRPr="00190CE5">
        <w:rPr>
          <w:rFonts w:asciiTheme="majorHAnsi" w:hAnsiTheme="majorHAnsi"/>
          <w:color w:val="auto"/>
        </w:rPr>
        <w:t>polarisability</w:t>
      </w:r>
      <w:proofErr w:type="spellEnd"/>
      <w:r w:rsidR="00337306" w:rsidRPr="00190CE5">
        <w:rPr>
          <w:rFonts w:asciiTheme="majorHAnsi" w:hAnsiTheme="majorHAnsi"/>
          <w:color w:val="auto"/>
        </w:rPr>
        <w:t xml:space="preserve"> at that frequency.  Since the wells are axisymmetric, the light intensity can be reduced to a one-dimensional axial value.  </w:t>
      </w:r>
      <w:r w:rsidR="00FB3F77" w:rsidRPr="00190CE5">
        <w:rPr>
          <w:rFonts w:asciiTheme="majorHAnsi" w:hAnsiTheme="majorHAnsi"/>
          <w:color w:val="auto"/>
        </w:rPr>
        <w:t xml:space="preserve"> </w:t>
      </w:r>
      <w:r w:rsidR="001408AA" w:rsidRPr="00190CE5">
        <w:rPr>
          <w:rFonts w:asciiTheme="majorHAnsi" w:hAnsiTheme="majorHAnsi"/>
          <w:color w:val="auto"/>
          <w:szCs w:val="22"/>
          <w:lang w:val="en-GB"/>
        </w:rPr>
        <w:t>S</w:t>
      </w:r>
      <w:r w:rsidRPr="00190CE5">
        <w:rPr>
          <w:rFonts w:asciiTheme="majorHAnsi" w:hAnsiTheme="majorHAnsi"/>
          <w:color w:val="auto"/>
          <w:szCs w:val="22"/>
          <w:lang w:val="en-GB"/>
        </w:rPr>
        <w:t xml:space="preserve">imultaneous energising of </w:t>
      </w:r>
      <w:r w:rsidR="001408AA" w:rsidRPr="00190CE5">
        <w:rPr>
          <w:rFonts w:asciiTheme="majorHAnsi" w:hAnsiTheme="majorHAnsi"/>
          <w:color w:val="auto"/>
          <w:szCs w:val="22"/>
          <w:lang w:val="en-GB"/>
        </w:rPr>
        <w:t xml:space="preserve">20 wells </w:t>
      </w:r>
      <w:r w:rsidRPr="00190CE5">
        <w:rPr>
          <w:rFonts w:asciiTheme="majorHAnsi" w:hAnsiTheme="majorHAnsi"/>
          <w:color w:val="auto"/>
          <w:szCs w:val="22"/>
          <w:lang w:val="en-GB"/>
        </w:rPr>
        <w:t>with different frequenc</w:t>
      </w:r>
      <w:r w:rsidR="001408AA" w:rsidRPr="00190CE5">
        <w:rPr>
          <w:rFonts w:asciiTheme="majorHAnsi" w:hAnsiTheme="majorHAnsi"/>
          <w:color w:val="auto"/>
          <w:szCs w:val="22"/>
          <w:lang w:val="en-GB"/>
        </w:rPr>
        <w:t>ies permit</w:t>
      </w:r>
      <w:r w:rsidR="0026653F" w:rsidRPr="00190CE5">
        <w:rPr>
          <w:rFonts w:asciiTheme="majorHAnsi" w:hAnsiTheme="majorHAnsi"/>
          <w:color w:val="auto"/>
          <w:szCs w:val="22"/>
          <w:lang w:val="en-GB"/>
        </w:rPr>
        <w:t xml:space="preserve"> </w:t>
      </w:r>
      <w:r w:rsidR="001408AA" w:rsidRPr="00190CE5">
        <w:rPr>
          <w:rFonts w:asciiTheme="majorHAnsi" w:hAnsiTheme="majorHAnsi"/>
          <w:color w:val="auto"/>
          <w:szCs w:val="22"/>
          <w:lang w:val="en-GB"/>
        </w:rPr>
        <w:t xml:space="preserve">parallel acquisition of 20-point </w:t>
      </w:r>
      <w:r w:rsidR="000142C4" w:rsidRPr="00190CE5">
        <w:rPr>
          <w:rFonts w:asciiTheme="majorHAnsi" w:hAnsiTheme="majorHAnsi"/>
          <w:color w:val="auto"/>
          <w:szCs w:val="22"/>
          <w:lang w:val="en-GB"/>
        </w:rPr>
        <w:t>spectr</w:t>
      </w:r>
      <w:r w:rsidR="001408AA" w:rsidRPr="00190CE5">
        <w:rPr>
          <w:rFonts w:asciiTheme="majorHAnsi" w:hAnsiTheme="majorHAnsi"/>
          <w:color w:val="auto"/>
          <w:szCs w:val="22"/>
          <w:lang w:val="en-GB"/>
        </w:rPr>
        <w:t>a</w:t>
      </w:r>
      <w:r w:rsidR="00753F24" w:rsidRPr="00190CE5">
        <w:rPr>
          <w:rFonts w:asciiTheme="majorHAnsi" w:hAnsiTheme="majorHAnsi"/>
          <w:color w:val="auto"/>
          <w:szCs w:val="22"/>
          <w:lang w:val="en-GB"/>
        </w:rPr>
        <w:t xml:space="preserve"> and </w:t>
      </w:r>
      <w:r w:rsidR="004F2904" w:rsidRPr="00190CE5">
        <w:rPr>
          <w:rFonts w:asciiTheme="majorHAnsi" w:hAnsiTheme="majorHAnsi"/>
          <w:color w:val="auto"/>
          <w:szCs w:val="22"/>
          <w:lang w:val="en-GB"/>
        </w:rPr>
        <w:t>reduc</w:t>
      </w:r>
      <w:r w:rsidR="001408AA" w:rsidRPr="00190CE5">
        <w:rPr>
          <w:rFonts w:asciiTheme="majorHAnsi" w:hAnsiTheme="majorHAnsi"/>
          <w:color w:val="auto"/>
          <w:szCs w:val="22"/>
          <w:lang w:val="en-GB"/>
        </w:rPr>
        <w:t>e</w:t>
      </w:r>
      <w:r w:rsidR="004F2904" w:rsidRPr="00190CE5">
        <w:rPr>
          <w:rFonts w:asciiTheme="majorHAnsi" w:hAnsiTheme="majorHAnsi"/>
          <w:color w:val="auto"/>
          <w:szCs w:val="22"/>
          <w:lang w:val="en-GB"/>
        </w:rPr>
        <w:t xml:space="preserve"> the time to </w:t>
      </w:r>
      <w:r w:rsidR="001408AA" w:rsidRPr="00190CE5">
        <w:rPr>
          <w:rFonts w:asciiTheme="majorHAnsi" w:hAnsiTheme="majorHAnsi"/>
          <w:color w:val="auto"/>
          <w:szCs w:val="22"/>
          <w:lang w:val="en-GB"/>
        </w:rPr>
        <w:t xml:space="preserve">acquire </w:t>
      </w:r>
      <w:r w:rsidR="004F2904" w:rsidRPr="00190CE5">
        <w:rPr>
          <w:rFonts w:asciiTheme="majorHAnsi" w:hAnsiTheme="majorHAnsi"/>
          <w:color w:val="auto"/>
          <w:szCs w:val="22"/>
          <w:lang w:val="en-GB"/>
        </w:rPr>
        <w:t xml:space="preserve">a full DEP-spectrum from hours to seconds </w:t>
      </w:r>
      <w:r w:rsidR="00FE51D4" w:rsidRPr="00190CE5">
        <w:rPr>
          <w:rFonts w:asciiTheme="majorHAnsi" w:hAnsiTheme="majorHAnsi"/>
          <w:color w:val="auto"/>
          <w:szCs w:val="22"/>
          <w:lang w:val="en-GB"/>
        </w:rPr>
        <w:t xml:space="preserve">(Figure </w:t>
      </w:r>
      <w:r w:rsidR="00E103E3" w:rsidRPr="00190CE5">
        <w:rPr>
          <w:rFonts w:asciiTheme="majorHAnsi" w:hAnsiTheme="majorHAnsi"/>
          <w:color w:val="auto"/>
          <w:szCs w:val="22"/>
          <w:lang w:val="en-GB"/>
        </w:rPr>
        <w:t>2</w:t>
      </w:r>
      <w:r w:rsidR="00FE51D4" w:rsidRPr="00190CE5">
        <w:rPr>
          <w:rFonts w:asciiTheme="majorHAnsi" w:hAnsiTheme="majorHAnsi"/>
          <w:color w:val="auto"/>
          <w:szCs w:val="22"/>
          <w:lang w:val="en-GB"/>
        </w:rPr>
        <w:t>)</w:t>
      </w:r>
      <w:r w:rsidR="001408AA" w:rsidRPr="00190CE5">
        <w:rPr>
          <w:rFonts w:asciiTheme="majorHAnsi" w:hAnsiTheme="majorHAnsi"/>
          <w:color w:val="auto"/>
          <w:szCs w:val="22"/>
          <w:lang w:val="en-GB"/>
        </w:rPr>
        <w:t>; s</w:t>
      </w:r>
      <w:r w:rsidR="000142C4" w:rsidRPr="00190CE5">
        <w:rPr>
          <w:rFonts w:asciiTheme="majorHAnsi" w:hAnsiTheme="majorHAnsi"/>
          <w:color w:val="auto"/>
          <w:szCs w:val="22"/>
          <w:lang w:val="en-GB"/>
        </w:rPr>
        <w:t xml:space="preserve">pectra are typically acquired in 10 </w:t>
      </w:r>
      <w:proofErr w:type="gramStart"/>
      <w:r w:rsidR="000142C4" w:rsidRPr="00190CE5">
        <w:rPr>
          <w:rFonts w:asciiTheme="majorHAnsi" w:hAnsiTheme="majorHAnsi"/>
          <w:color w:val="auto"/>
          <w:szCs w:val="22"/>
          <w:lang w:val="en-GB"/>
        </w:rPr>
        <w:t>seconds</w:t>
      </w:r>
      <w:r w:rsidR="0026653F" w:rsidRPr="00190CE5">
        <w:rPr>
          <w:rFonts w:asciiTheme="majorHAnsi" w:hAnsiTheme="majorHAnsi"/>
          <w:color w:val="auto"/>
          <w:szCs w:val="22"/>
          <w:lang w:val="en-GB"/>
        </w:rPr>
        <w:t>,</w:t>
      </w:r>
      <w:proofErr w:type="gramEnd"/>
      <w:r w:rsidR="0026653F" w:rsidRPr="00190CE5">
        <w:rPr>
          <w:rFonts w:asciiTheme="majorHAnsi" w:hAnsiTheme="majorHAnsi"/>
          <w:color w:val="auto"/>
          <w:szCs w:val="22"/>
          <w:lang w:val="en-GB"/>
        </w:rPr>
        <w:t xml:space="preserve"> though</w:t>
      </w:r>
      <w:r w:rsidR="000142C4" w:rsidRPr="00190CE5">
        <w:rPr>
          <w:rFonts w:asciiTheme="majorHAnsi" w:hAnsiTheme="majorHAnsi"/>
          <w:color w:val="auto"/>
          <w:szCs w:val="22"/>
          <w:lang w:val="en-GB"/>
        </w:rPr>
        <w:t xml:space="preserve"> larger mammalian cells can produce high-quality data in as little as 3 seconds.  </w:t>
      </w:r>
      <w:r w:rsidR="00DD7D93" w:rsidRPr="00190CE5">
        <w:rPr>
          <w:rFonts w:asciiTheme="majorHAnsi" w:hAnsiTheme="majorHAnsi"/>
          <w:color w:val="auto"/>
          <w:szCs w:val="22"/>
          <w:lang w:val="en-GB"/>
        </w:rPr>
        <w:t xml:space="preserve">Extension of the </w:t>
      </w:r>
      <w:r w:rsidR="00337306" w:rsidRPr="00190CE5">
        <w:rPr>
          <w:rFonts w:asciiTheme="majorHAnsi" w:hAnsiTheme="majorHAnsi"/>
          <w:color w:val="auto"/>
          <w:szCs w:val="22"/>
          <w:lang w:val="en-GB"/>
        </w:rPr>
        <w:t xml:space="preserve">upper frequency limit </w:t>
      </w:r>
      <w:r w:rsidR="00DD7D93" w:rsidRPr="00190CE5">
        <w:rPr>
          <w:rFonts w:asciiTheme="majorHAnsi" w:hAnsiTheme="majorHAnsi"/>
          <w:color w:val="auto"/>
          <w:szCs w:val="22"/>
          <w:lang w:val="en-GB"/>
        </w:rPr>
        <w:t xml:space="preserve">to 45 MHz </w:t>
      </w:r>
      <w:r w:rsidR="00337306" w:rsidRPr="00190CE5">
        <w:rPr>
          <w:rFonts w:asciiTheme="majorHAnsi" w:hAnsiTheme="majorHAnsi"/>
          <w:color w:val="auto"/>
          <w:szCs w:val="22"/>
          <w:lang w:val="en-GB"/>
        </w:rPr>
        <w:t xml:space="preserve">is significant as it permits observation of </w:t>
      </w:r>
      <w:r w:rsidR="00FB3F77" w:rsidRPr="00190CE5">
        <w:rPr>
          <w:rFonts w:asciiTheme="majorHAnsi" w:hAnsiTheme="majorHAnsi"/>
          <w:color w:val="auto"/>
          <w:szCs w:val="22"/>
          <w:lang w:val="en-GB"/>
        </w:rPr>
        <w:t>almost all of the high-frequency</w:t>
      </w:r>
      <w:r w:rsidR="00337306" w:rsidRPr="00190CE5">
        <w:rPr>
          <w:rFonts w:asciiTheme="majorHAnsi" w:hAnsiTheme="majorHAnsi"/>
          <w:color w:val="auto"/>
          <w:szCs w:val="22"/>
          <w:lang w:val="en-GB"/>
        </w:rPr>
        <w:t xml:space="preserve"> dispersion, allowing </w:t>
      </w:r>
      <w:r w:rsidR="00FB3F77" w:rsidRPr="00190CE5">
        <w:rPr>
          <w:rFonts w:asciiTheme="majorHAnsi" w:hAnsiTheme="majorHAnsi"/>
          <w:color w:val="auto"/>
          <w:szCs w:val="22"/>
          <w:lang w:val="en-GB"/>
        </w:rPr>
        <w:t xml:space="preserve">more </w:t>
      </w:r>
      <w:r w:rsidR="00337306" w:rsidRPr="00190CE5">
        <w:rPr>
          <w:rFonts w:asciiTheme="majorHAnsi" w:hAnsiTheme="majorHAnsi"/>
          <w:color w:val="auto"/>
          <w:szCs w:val="22"/>
          <w:lang w:val="en-GB"/>
        </w:rPr>
        <w:t xml:space="preserve">accurate determination of the cytoplasmic electrical properties.  </w:t>
      </w:r>
      <w:r w:rsidR="001408AA" w:rsidRPr="00190CE5">
        <w:rPr>
          <w:rFonts w:asciiTheme="majorHAnsi" w:hAnsiTheme="majorHAnsi"/>
          <w:color w:val="auto"/>
          <w:szCs w:val="22"/>
          <w:lang w:val="en-GB"/>
        </w:rPr>
        <w:t xml:space="preserve"> </w:t>
      </w:r>
    </w:p>
    <w:p w14:paraId="6960CF6F" w14:textId="77777777" w:rsidR="00FB3F77" w:rsidRPr="00190CE5" w:rsidRDefault="00FB3F77" w:rsidP="00D140D3">
      <w:pPr>
        <w:pStyle w:val="Body"/>
        <w:tabs>
          <w:tab w:val="left" w:pos="4252"/>
          <w:tab w:val="left" w:pos="4961"/>
          <w:tab w:val="left" w:pos="5669"/>
          <w:tab w:val="left" w:pos="6378"/>
          <w:tab w:val="left" w:pos="7087"/>
          <w:tab w:val="left" w:pos="7795"/>
          <w:tab w:val="left" w:pos="8504"/>
          <w:tab w:val="left" w:pos="9213"/>
        </w:tabs>
        <w:spacing w:before="0" w:after="0" w:line="360" w:lineRule="auto"/>
        <w:rPr>
          <w:rFonts w:asciiTheme="majorHAnsi" w:hAnsiTheme="majorHAnsi"/>
          <w:color w:val="auto"/>
          <w:szCs w:val="22"/>
          <w:lang w:val="en-GB"/>
        </w:rPr>
      </w:pPr>
    </w:p>
    <w:p w14:paraId="53527E7C" w14:textId="6F7745F7" w:rsidR="006E7903" w:rsidRPr="00190CE5" w:rsidRDefault="00CE1610" w:rsidP="00EF477F">
      <w:pPr>
        <w:pStyle w:val="CommentText"/>
        <w:spacing w:after="0" w:line="360" w:lineRule="auto"/>
        <w:rPr>
          <w:rFonts w:asciiTheme="majorHAnsi" w:hAnsiTheme="majorHAnsi"/>
          <w:b/>
          <w:szCs w:val="22"/>
        </w:rPr>
      </w:pPr>
      <w:r w:rsidRPr="00190CE5">
        <w:rPr>
          <w:rFonts w:asciiTheme="majorHAnsi" w:hAnsiTheme="majorHAnsi" w:cs="Times New Roman"/>
          <w:b/>
          <w:sz w:val="22"/>
          <w:szCs w:val="22"/>
        </w:rPr>
        <w:t xml:space="preserve">2.2 </w:t>
      </w:r>
      <w:r w:rsidR="00835F7C" w:rsidRPr="00190CE5">
        <w:rPr>
          <w:rFonts w:asciiTheme="majorHAnsi" w:hAnsiTheme="majorHAnsi" w:cs="Times New Roman"/>
          <w:b/>
          <w:sz w:val="22"/>
          <w:szCs w:val="22"/>
        </w:rPr>
        <w:t xml:space="preserve">The </w:t>
      </w:r>
      <w:r w:rsidRPr="00190CE5">
        <w:rPr>
          <w:rFonts w:asciiTheme="majorHAnsi" w:hAnsiTheme="majorHAnsi" w:cs="Times New Roman"/>
          <w:b/>
          <w:sz w:val="22"/>
          <w:szCs w:val="22"/>
        </w:rPr>
        <w:t xml:space="preserve">3DEP Electrode </w:t>
      </w:r>
    </w:p>
    <w:p w14:paraId="1ECB491E" w14:textId="4CA66083" w:rsidR="006E7903" w:rsidRPr="00190CE5" w:rsidRDefault="006E7903" w:rsidP="006E7903">
      <w:pPr>
        <w:pStyle w:val="Body"/>
        <w:tabs>
          <w:tab w:val="left" w:pos="2552"/>
          <w:tab w:val="left" w:pos="3544"/>
          <w:tab w:val="left" w:pos="4252"/>
          <w:tab w:val="left" w:pos="4961"/>
          <w:tab w:val="left" w:pos="5669"/>
          <w:tab w:val="left" w:pos="6378"/>
          <w:tab w:val="left" w:pos="7087"/>
          <w:tab w:val="left" w:pos="7795"/>
          <w:tab w:val="left" w:pos="8504"/>
          <w:tab w:val="left" w:pos="9213"/>
        </w:tabs>
        <w:spacing w:before="0" w:after="0" w:line="360" w:lineRule="auto"/>
        <w:rPr>
          <w:rFonts w:asciiTheme="majorHAnsi" w:hAnsiTheme="majorHAnsi"/>
          <w:color w:val="auto"/>
          <w:szCs w:val="22"/>
          <w:lang w:val="en-GB"/>
        </w:rPr>
      </w:pPr>
      <w:r w:rsidRPr="00190CE5">
        <w:rPr>
          <w:rFonts w:asciiTheme="majorHAnsi" w:hAnsiTheme="majorHAnsi"/>
          <w:color w:val="auto"/>
          <w:szCs w:val="22"/>
          <w:lang w:val="en-GB"/>
        </w:rPr>
        <w:lastRenderedPageBreak/>
        <w:t xml:space="preserve">The 3D </w:t>
      </w:r>
      <w:r w:rsidR="006254D6" w:rsidRPr="00190CE5">
        <w:rPr>
          <w:rFonts w:asciiTheme="majorHAnsi" w:hAnsiTheme="majorHAnsi"/>
          <w:color w:val="auto"/>
          <w:szCs w:val="22"/>
          <w:lang w:val="en-GB"/>
        </w:rPr>
        <w:t>chi</w:t>
      </w:r>
      <w:r w:rsidRPr="00190CE5">
        <w:rPr>
          <w:rFonts w:asciiTheme="majorHAnsi" w:hAnsiTheme="majorHAnsi"/>
          <w:color w:val="auto"/>
          <w:szCs w:val="22"/>
          <w:lang w:val="en-GB"/>
        </w:rPr>
        <w:t>p</w:t>
      </w:r>
      <w:r w:rsidR="006254D6" w:rsidRPr="00190CE5">
        <w:rPr>
          <w:rFonts w:asciiTheme="majorHAnsi" w:hAnsiTheme="majorHAnsi"/>
          <w:color w:val="auto"/>
          <w:szCs w:val="22"/>
          <w:lang w:val="en-GB"/>
        </w:rPr>
        <w:t xml:space="preserve"> </w:t>
      </w:r>
      <w:r w:rsidRPr="00190CE5">
        <w:rPr>
          <w:rFonts w:asciiTheme="majorHAnsi" w:hAnsiTheme="majorHAnsi"/>
          <w:color w:val="auto"/>
          <w:szCs w:val="22"/>
          <w:lang w:val="en-GB"/>
        </w:rPr>
        <w:t>represents a</w:t>
      </w:r>
      <w:r w:rsidR="00EB6B58" w:rsidRPr="00190CE5">
        <w:rPr>
          <w:rFonts w:asciiTheme="majorHAnsi" w:hAnsiTheme="majorHAnsi"/>
          <w:color w:val="auto"/>
          <w:szCs w:val="22"/>
          <w:lang w:val="en-GB"/>
        </w:rPr>
        <w:t xml:space="preserve"> significant</w:t>
      </w:r>
      <w:r w:rsidRPr="00190CE5">
        <w:rPr>
          <w:rFonts w:asciiTheme="majorHAnsi" w:hAnsiTheme="majorHAnsi"/>
          <w:color w:val="auto"/>
          <w:szCs w:val="22"/>
          <w:lang w:val="en-GB"/>
        </w:rPr>
        <w:t xml:space="preserve"> advance on devices developed previously</w:t>
      </w:r>
      <w:r w:rsidR="00E70271" w:rsidRPr="00190CE5">
        <w:rPr>
          <w:rFonts w:asciiTheme="majorHAnsi" w:hAnsiTheme="majorHAnsi"/>
          <w:color w:val="auto"/>
          <w:szCs w:val="22"/>
          <w:vertAlign w:val="superscript"/>
          <w:lang w:val="en-GB"/>
        </w:rPr>
        <w:t>1</w:t>
      </w:r>
      <w:r w:rsidR="00B42B49" w:rsidRPr="00190CE5">
        <w:rPr>
          <w:rFonts w:asciiTheme="majorHAnsi" w:hAnsiTheme="majorHAnsi"/>
          <w:color w:val="auto"/>
          <w:szCs w:val="22"/>
          <w:vertAlign w:val="superscript"/>
          <w:lang w:val="en-GB"/>
        </w:rPr>
        <w:t>7</w:t>
      </w:r>
      <w:r w:rsidR="007D2C9F" w:rsidRPr="00190CE5">
        <w:rPr>
          <w:rFonts w:asciiTheme="majorHAnsi" w:hAnsiTheme="majorHAnsi"/>
          <w:color w:val="auto"/>
          <w:szCs w:val="22"/>
          <w:vertAlign w:val="superscript"/>
          <w:lang w:val="en-GB"/>
        </w:rPr>
        <w:t>,</w:t>
      </w:r>
      <w:r w:rsidR="00B42B49" w:rsidRPr="00190CE5">
        <w:rPr>
          <w:rFonts w:asciiTheme="majorHAnsi" w:hAnsiTheme="majorHAnsi"/>
          <w:color w:val="auto"/>
          <w:szCs w:val="22"/>
          <w:vertAlign w:val="superscript"/>
          <w:lang w:val="en-GB"/>
        </w:rPr>
        <w:t>30-32</w:t>
      </w:r>
      <w:r w:rsidRPr="00190CE5">
        <w:rPr>
          <w:rFonts w:asciiTheme="majorHAnsi" w:hAnsiTheme="majorHAnsi"/>
          <w:color w:val="auto"/>
          <w:szCs w:val="22"/>
          <w:lang w:val="en-GB"/>
        </w:rPr>
        <w:t xml:space="preserve">.  </w:t>
      </w:r>
      <w:r w:rsidR="001408AA" w:rsidRPr="00190CE5">
        <w:rPr>
          <w:rFonts w:asciiTheme="majorHAnsi" w:hAnsiTheme="majorHAnsi"/>
          <w:color w:val="auto"/>
          <w:szCs w:val="22"/>
          <w:lang w:val="en-GB"/>
        </w:rPr>
        <w:t>C</w:t>
      </w:r>
      <w:r w:rsidRPr="00190CE5">
        <w:rPr>
          <w:rFonts w:asciiTheme="majorHAnsi" w:hAnsiTheme="majorHAnsi"/>
          <w:color w:val="auto"/>
          <w:szCs w:val="22"/>
          <w:lang w:val="en-GB"/>
        </w:rPr>
        <w:t xml:space="preserve">hips </w:t>
      </w:r>
      <w:r w:rsidR="001408AA" w:rsidRPr="00190CE5">
        <w:rPr>
          <w:rFonts w:asciiTheme="majorHAnsi" w:hAnsiTheme="majorHAnsi"/>
          <w:color w:val="auto"/>
          <w:szCs w:val="22"/>
          <w:lang w:val="en-GB"/>
        </w:rPr>
        <w:t>comprise</w:t>
      </w:r>
      <w:r w:rsidRPr="00190CE5">
        <w:rPr>
          <w:rFonts w:asciiTheme="majorHAnsi" w:hAnsiTheme="majorHAnsi"/>
          <w:color w:val="auto"/>
          <w:szCs w:val="22"/>
          <w:lang w:val="en-GB"/>
        </w:rPr>
        <w:t xml:space="preserve"> alternating layers of conductors (copper, 70</w:t>
      </w:r>
      <w:r w:rsidR="00116D1C" w:rsidRPr="00190CE5">
        <w:rPr>
          <w:rFonts w:asciiTheme="majorHAnsi" w:hAnsiTheme="majorHAnsi"/>
          <w:color w:val="auto"/>
          <w:szCs w:val="22"/>
          <w:lang w:val="en-GB"/>
        </w:rPr>
        <w:t xml:space="preserve"> </w:t>
      </w:r>
      <w:r w:rsidRPr="00190CE5">
        <w:rPr>
          <w:rFonts w:asciiTheme="majorHAnsi" w:hAnsiTheme="majorHAnsi"/>
          <w:color w:val="auto"/>
          <w:szCs w:val="22"/>
          <w:lang w:val="en-GB"/>
        </w:rPr>
        <w:t>µm thick) and insulators (glass fibre reinforced epoxy (FR4), 150 µm thick) which, when drilled, form wells (1mm diameter) with electrode “</w:t>
      </w:r>
      <w:r w:rsidR="00203D02" w:rsidRPr="00190CE5">
        <w:rPr>
          <w:rFonts w:asciiTheme="majorHAnsi" w:hAnsiTheme="majorHAnsi"/>
          <w:color w:val="auto"/>
          <w:szCs w:val="22"/>
          <w:lang w:val="en-GB"/>
        </w:rPr>
        <w:t>rings</w:t>
      </w:r>
      <w:r w:rsidRPr="00190CE5">
        <w:rPr>
          <w:rFonts w:asciiTheme="majorHAnsi" w:hAnsiTheme="majorHAnsi"/>
          <w:color w:val="auto"/>
          <w:szCs w:val="22"/>
          <w:lang w:val="en-GB"/>
        </w:rPr>
        <w:t xml:space="preserve">” </w:t>
      </w:r>
      <w:r w:rsidR="00203D02" w:rsidRPr="00190CE5">
        <w:rPr>
          <w:rFonts w:asciiTheme="majorHAnsi" w:hAnsiTheme="majorHAnsi"/>
          <w:color w:val="auto"/>
          <w:szCs w:val="22"/>
          <w:lang w:val="en-GB"/>
        </w:rPr>
        <w:t xml:space="preserve">stacked on </w:t>
      </w:r>
      <w:r w:rsidRPr="00190CE5">
        <w:rPr>
          <w:rFonts w:asciiTheme="majorHAnsi" w:hAnsiTheme="majorHAnsi"/>
          <w:color w:val="auto"/>
          <w:szCs w:val="22"/>
          <w:lang w:val="en-GB"/>
        </w:rPr>
        <w:t>the side</w:t>
      </w:r>
      <w:r w:rsidR="00203D02" w:rsidRPr="00190CE5">
        <w:rPr>
          <w:rFonts w:asciiTheme="majorHAnsi" w:hAnsiTheme="majorHAnsi"/>
          <w:color w:val="auto"/>
          <w:szCs w:val="22"/>
          <w:lang w:val="en-GB"/>
        </w:rPr>
        <w:t xml:space="preserve"> wall</w:t>
      </w:r>
      <w:r w:rsidRPr="00190CE5">
        <w:rPr>
          <w:rFonts w:asciiTheme="majorHAnsi" w:hAnsiTheme="majorHAnsi"/>
          <w:color w:val="auto"/>
          <w:szCs w:val="22"/>
          <w:lang w:val="en-GB"/>
        </w:rPr>
        <w:t xml:space="preserve">.   The exposed electrode surfaces are gold-plated to ensure biocompatibility, and each well is served by a separate set of power lines, allowing independent signals to be sent to each well. </w:t>
      </w:r>
      <w:r w:rsidR="006254D6" w:rsidRPr="00190CE5">
        <w:rPr>
          <w:rFonts w:asciiTheme="majorHAnsi" w:hAnsiTheme="majorHAnsi"/>
          <w:color w:val="auto"/>
          <w:szCs w:val="22"/>
          <w:lang w:val="en-GB"/>
        </w:rPr>
        <w:t xml:space="preserve"> </w:t>
      </w:r>
      <w:r w:rsidRPr="00190CE5">
        <w:rPr>
          <w:rFonts w:asciiTheme="majorHAnsi" w:hAnsiTheme="majorHAnsi"/>
          <w:color w:val="auto"/>
          <w:szCs w:val="22"/>
          <w:lang w:val="en-GB"/>
        </w:rPr>
        <w:t xml:space="preserve">After fabrication, a gasket and glass window </w:t>
      </w:r>
      <w:r w:rsidR="00116D1C" w:rsidRPr="00190CE5">
        <w:rPr>
          <w:rFonts w:asciiTheme="majorHAnsi" w:hAnsiTheme="majorHAnsi"/>
          <w:color w:val="auto"/>
          <w:szCs w:val="22"/>
          <w:lang w:val="en-GB"/>
        </w:rPr>
        <w:t xml:space="preserve">are </w:t>
      </w:r>
      <w:r w:rsidRPr="00190CE5">
        <w:rPr>
          <w:rFonts w:asciiTheme="majorHAnsi" w:hAnsiTheme="majorHAnsi"/>
          <w:color w:val="auto"/>
          <w:szCs w:val="22"/>
          <w:lang w:val="en-GB"/>
        </w:rPr>
        <w:t xml:space="preserve">affixed to the </w:t>
      </w:r>
      <w:r w:rsidR="00203D02" w:rsidRPr="00190CE5">
        <w:rPr>
          <w:rFonts w:asciiTheme="majorHAnsi" w:hAnsiTheme="majorHAnsi"/>
          <w:color w:val="auto"/>
          <w:szCs w:val="22"/>
          <w:lang w:val="en-GB"/>
        </w:rPr>
        <w:t>base</w:t>
      </w:r>
      <w:r w:rsidRPr="00190CE5">
        <w:rPr>
          <w:rFonts w:asciiTheme="majorHAnsi" w:hAnsiTheme="majorHAnsi"/>
          <w:color w:val="auto"/>
          <w:szCs w:val="22"/>
          <w:lang w:val="en-GB"/>
        </w:rPr>
        <w:t xml:space="preserve">.  The gasket </w:t>
      </w:r>
      <w:r w:rsidR="00A61D43" w:rsidRPr="00190CE5">
        <w:rPr>
          <w:rFonts w:asciiTheme="majorHAnsi" w:hAnsiTheme="majorHAnsi"/>
          <w:color w:val="auto"/>
          <w:szCs w:val="22"/>
          <w:lang w:val="en-GB"/>
        </w:rPr>
        <w:t xml:space="preserve">hydraulically </w:t>
      </w:r>
      <w:r w:rsidRPr="00190CE5">
        <w:rPr>
          <w:rFonts w:asciiTheme="majorHAnsi" w:hAnsiTheme="majorHAnsi"/>
          <w:color w:val="auto"/>
          <w:szCs w:val="22"/>
          <w:lang w:val="en-GB"/>
        </w:rPr>
        <w:t>connects the well interiors, allowing cell solution to pass between the wells.  As a consequence, a 20-well chip is filled by adding approximately 80</w:t>
      </w:r>
      <w:r w:rsidR="00210D05" w:rsidRPr="00190CE5">
        <w:rPr>
          <w:rFonts w:asciiTheme="majorHAnsi" w:hAnsiTheme="majorHAnsi"/>
          <w:color w:val="auto"/>
          <w:szCs w:val="22"/>
          <w:lang w:val="en-GB"/>
        </w:rPr>
        <w:t xml:space="preserve"> </w:t>
      </w:r>
      <w:r w:rsidRPr="00190CE5">
        <w:rPr>
          <w:rFonts w:asciiTheme="majorHAnsi" w:hAnsiTheme="majorHAnsi"/>
          <w:color w:val="auto"/>
          <w:szCs w:val="22"/>
          <w:lang w:val="en-GB"/>
        </w:rPr>
        <w:t xml:space="preserve">µl of solution </w:t>
      </w:r>
      <w:r w:rsidR="001408AA" w:rsidRPr="00190CE5">
        <w:rPr>
          <w:rFonts w:asciiTheme="majorHAnsi" w:hAnsiTheme="majorHAnsi"/>
          <w:color w:val="auto"/>
          <w:szCs w:val="22"/>
          <w:lang w:val="en-GB"/>
        </w:rPr>
        <w:t>through</w:t>
      </w:r>
      <w:r w:rsidRPr="00190CE5">
        <w:rPr>
          <w:rFonts w:asciiTheme="majorHAnsi" w:hAnsiTheme="majorHAnsi"/>
          <w:color w:val="auto"/>
          <w:szCs w:val="22"/>
          <w:lang w:val="en-GB"/>
        </w:rPr>
        <w:t xml:space="preserve"> a single well.  A cover slip is placed over the filled wells before being placed in the </w:t>
      </w:r>
      <w:r w:rsidR="00203D02" w:rsidRPr="00190CE5">
        <w:rPr>
          <w:rFonts w:asciiTheme="majorHAnsi" w:hAnsiTheme="majorHAnsi"/>
          <w:color w:val="auto"/>
          <w:szCs w:val="22"/>
          <w:lang w:val="en-GB"/>
        </w:rPr>
        <w:t>instrument</w:t>
      </w:r>
      <w:r w:rsidRPr="00190CE5">
        <w:rPr>
          <w:rFonts w:asciiTheme="majorHAnsi" w:hAnsiTheme="majorHAnsi"/>
          <w:color w:val="auto"/>
          <w:szCs w:val="22"/>
          <w:lang w:val="en-GB"/>
        </w:rPr>
        <w:t xml:space="preserve">. Wells are of similar size and pitch to those found on high-throughput well systems, so that for example, a multi-sample system based on a 1536-well plate would use conventional liquid handling robots with little or no adaptation required. Cells are typically loaded at a concentration of </w:t>
      </w:r>
      <w:r w:rsidR="009A2B6B" w:rsidRPr="00190CE5">
        <w:rPr>
          <w:rFonts w:asciiTheme="majorHAnsi" w:hAnsiTheme="majorHAnsi"/>
          <w:i/>
          <w:color w:val="auto"/>
          <w:szCs w:val="22"/>
          <w:lang w:val="en-GB"/>
        </w:rPr>
        <w:t>circa</w:t>
      </w:r>
      <w:r w:rsidR="009A2B6B" w:rsidRPr="00190CE5">
        <w:rPr>
          <w:rFonts w:asciiTheme="majorHAnsi" w:hAnsiTheme="majorHAnsi"/>
          <w:color w:val="auto"/>
          <w:szCs w:val="22"/>
          <w:lang w:val="en-GB"/>
        </w:rPr>
        <w:t xml:space="preserve"> </w:t>
      </w:r>
      <w:r w:rsidRPr="00190CE5">
        <w:rPr>
          <w:rFonts w:asciiTheme="majorHAnsi" w:hAnsiTheme="majorHAnsi"/>
          <w:color w:val="auto"/>
          <w:szCs w:val="22"/>
          <w:lang w:val="en-GB"/>
        </w:rPr>
        <w:t>10</w:t>
      </w:r>
      <w:r w:rsidRPr="00190CE5">
        <w:rPr>
          <w:rFonts w:asciiTheme="majorHAnsi" w:hAnsiTheme="majorHAnsi"/>
          <w:color w:val="auto"/>
          <w:szCs w:val="22"/>
          <w:vertAlign w:val="superscript"/>
          <w:lang w:val="en-GB"/>
        </w:rPr>
        <w:t xml:space="preserve">6 </w:t>
      </w:r>
      <w:r w:rsidR="00210D05" w:rsidRPr="00190CE5">
        <w:rPr>
          <w:rFonts w:asciiTheme="majorHAnsi" w:hAnsiTheme="majorHAnsi"/>
          <w:color w:val="auto"/>
          <w:szCs w:val="22"/>
          <w:lang w:val="en-GB"/>
        </w:rPr>
        <w:t>.</w:t>
      </w:r>
      <w:r w:rsidRPr="00190CE5">
        <w:rPr>
          <w:rFonts w:asciiTheme="majorHAnsi" w:hAnsiTheme="majorHAnsi"/>
          <w:color w:val="auto"/>
          <w:szCs w:val="22"/>
          <w:lang w:val="en-GB"/>
        </w:rPr>
        <w:t>ml</w:t>
      </w:r>
      <w:r w:rsidRPr="00190CE5">
        <w:rPr>
          <w:rFonts w:asciiTheme="majorHAnsi" w:hAnsiTheme="majorHAnsi"/>
          <w:color w:val="auto"/>
          <w:szCs w:val="22"/>
          <w:vertAlign w:val="superscript"/>
          <w:lang w:val="en-GB"/>
        </w:rPr>
        <w:t>-1</w:t>
      </w:r>
      <w:r w:rsidRPr="00190CE5">
        <w:rPr>
          <w:rFonts w:asciiTheme="majorHAnsi" w:hAnsiTheme="majorHAnsi"/>
          <w:color w:val="auto"/>
          <w:szCs w:val="22"/>
          <w:lang w:val="en-GB"/>
        </w:rPr>
        <w:t>, and with a total chip volume of 80</w:t>
      </w:r>
      <w:r w:rsidR="009A2B6B" w:rsidRPr="00190CE5">
        <w:rPr>
          <w:rFonts w:asciiTheme="majorHAnsi" w:hAnsiTheme="majorHAnsi"/>
          <w:color w:val="auto"/>
          <w:szCs w:val="22"/>
          <w:lang w:val="en-GB"/>
        </w:rPr>
        <w:t xml:space="preserve"> </w:t>
      </w:r>
      <w:r w:rsidRPr="00190CE5">
        <w:rPr>
          <w:rFonts w:asciiTheme="majorHAnsi" w:hAnsiTheme="majorHAnsi"/>
          <w:color w:val="auto"/>
          <w:szCs w:val="22"/>
          <w:lang w:val="en-GB"/>
        </w:rPr>
        <w:t>µl the total cell number per well is approximately 1000</w:t>
      </w:r>
      <w:r w:rsidR="00FC1473" w:rsidRPr="00190CE5">
        <w:rPr>
          <w:rFonts w:asciiTheme="majorHAnsi" w:hAnsiTheme="majorHAnsi"/>
          <w:color w:val="auto"/>
          <w:szCs w:val="22"/>
          <w:lang w:val="en-GB"/>
        </w:rPr>
        <w:t>;</w:t>
      </w:r>
      <w:r w:rsidRPr="00190CE5">
        <w:rPr>
          <w:rFonts w:asciiTheme="majorHAnsi" w:hAnsiTheme="majorHAnsi"/>
          <w:color w:val="auto"/>
          <w:szCs w:val="22"/>
          <w:lang w:val="en-GB"/>
        </w:rPr>
        <w:t xml:space="preserve"> </w:t>
      </w:r>
      <w:r w:rsidR="00FC1473" w:rsidRPr="00190CE5">
        <w:rPr>
          <w:rFonts w:asciiTheme="majorHAnsi" w:hAnsiTheme="majorHAnsi"/>
          <w:color w:val="auto"/>
          <w:szCs w:val="22"/>
          <w:lang w:val="en-GB"/>
        </w:rPr>
        <w:t>we have found empirically that DEP-well electrodes can produce modellable spectra from concentrations below 10</w:t>
      </w:r>
      <w:r w:rsidR="00FC1473" w:rsidRPr="00190CE5">
        <w:rPr>
          <w:rFonts w:asciiTheme="majorHAnsi" w:hAnsiTheme="majorHAnsi"/>
          <w:color w:val="auto"/>
          <w:szCs w:val="22"/>
          <w:vertAlign w:val="superscript"/>
          <w:lang w:val="en-GB"/>
        </w:rPr>
        <w:t>4</w:t>
      </w:r>
      <w:r w:rsidR="00FC1473" w:rsidRPr="00190CE5">
        <w:rPr>
          <w:rFonts w:asciiTheme="majorHAnsi" w:hAnsiTheme="majorHAnsi"/>
          <w:color w:val="auto"/>
          <w:szCs w:val="22"/>
          <w:lang w:val="en-GB"/>
        </w:rPr>
        <w:t xml:space="preserve"> ml</w:t>
      </w:r>
      <w:r w:rsidR="00FC1473" w:rsidRPr="00190CE5">
        <w:rPr>
          <w:rFonts w:asciiTheme="majorHAnsi" w:hAnsiTheme="majorHAnsi"/>
          <w:color w:val="auto"/>
          <w:szCs w:val="22"/>
          <w:vertAlign w:val="superscript"/>
          <w:lang w:val="en-GB"/>
        </w:rPr>
        <w:t>-1</w:t>
      </w:r>
      <w:r w:rsidR="00FC1473" w:rsidRPr="00190CE5">
        <w:rPr>
          <w:rFonts w:asciiTheme="majorHAnsi" w:hAnsiTheme="majorHAnsi"/>
          <w:color w:val="auto"/>
          <w:szCs w:val="22"/>
          <w:vertAlign w:val="subscript"/>
          <w:lang w:val="en-GB"/>
        </w:rPr>
        <w:t xml:space="preserve"> </w:t>
      </w:r>
      <w:r w:rsidR="00FC1473" w:rsidRPr="00190CE5">
        <w:rPr>
          <w:rFonts w:asciiTheme="majorHAnsi" w:hAnsiTheme="majorHAnsi"/>
          <w:color w:val="auto"/>
          <w:szCs w:val="22"/>
          <w:lang w:val="en-GB"/>
        </w:rPr>
        <w:t>to over 10</w:t>
      </w:r>
      <w:r w:rsidR="00FC1473" w:rsidRPr="00190CE5">
        <w:rPr>
          <w:rFonts w:asciiTheme="majorHAnsi" w:hAnsiTheme="majorHAnsi"/>
          <w:color w:val="auto"/>
          <w:szCs w:val="22"/>
          <w:vertAlign w:val="superscript"/>
          <w:lang w:val="en-GB"/>
        </w:rPr>
        <w:t>8</w:t>
      </w:r>
      <w:r w:rsidR="00FC1473" w:rsidRPr="00190CE5">
        <w:rPr>
          <w:rFonts w:asciiTheme="majorHAnsi" w:hAnsiTheme="majorHAnsi"/>
          <w:color w:val="auto"/>
          <w:szCs w:val="22"/>
          <w:lang w:val="en-GB"/>
        </w:rPr>
        <w:t xml:space="preserve"> ml</w:t>
      </w:r>
      <w:r w:rsidR="00FC1473" w:rsidRPr="00190CE5">
        <w:rPr>
          <w:rFonts w:asciiTheme="majorHAnsi" w:hAnsiTheme="majorHAnsi"/>
          <w:color w:val="auto"/>
          <w:szCs w:val="22"/>
          <w:vertAlign w:val="superscript"/>
          <w:lang w:val="en-GB"/>
        </w:rPr>
        <w:t>-1</w:t>
      </w:r>
      <w:r w:rsidR="00FC1473" w:rsidRPr="00190CE5">
        <w:rPr>
          <w:rFonts w:asciiTheme="majorHAnsi" w:hAnsiTheme="majorHAnsi"/>
          <w:color w:val="auto"/>
          <w:szCs w:val="22"/>
          <w:lang w:val="en-GB"/>
        </w:rPr>
        <w:t>, but that noise levels increase below 10</w:t>
      </w:r>
      <w:r w:rsidR="00FC1473" w:rsidRPr="00190CE5">
        <w:rPr>
          <w:rFonts w:asciiTheme="majorHAnsi" w:hAnsiTheme="majorHAnsi"/>
          <w:color w:val="auto"/>
          <w:szCs w:val="22"/>
          <w:vertAlign w:val="superscript"/>
          <w:lang w:val="en-GB"/>
        </w:rPr>
        <w:t>6</w:t>
      </w:r>
      <w:r w:rsidR="00FC1473" w:rsidRPr="00190CE5">
        <w:rPr>
          <w:rFonts w:asciiTheme="majorHAnsi" w:hAnsiTheme="majorHAnsi"/>
          <w:color w:val="auto"/>
          <w:szCs w:val="22"/>
          <w:lang w:val="en-GB"/>
        </w:rPr>
        <w:t xml:space="preserve"> ml</w:t>
      </w:r>
      <w:r w:rsidR="00FC1473" w:rsidRPr="00190CE5">
        <w:rPr>
          <w:rFonts w:asciiTheme="majorHAnsi" w:hAnsiTheme="majorHAnsi"/>
          <w:color w:val="auto"/>
          <w:szCs w:val="22"/>
          <w:vertAlign w:val="superscript"/>
          <w:lang w:val="en-GB"/>
        </w:rPr>
        <w:t>-1</w:t>
      </w:r>
      <w:r w:rsidR="00FC1473" w:rsidRPr="00190CE5">
        <w:rPr>
          <w:rFonts w:asciiTheme="majorHAnsi" w:hAnsiTheme="majorHAnsi"/>
          <w:color w:val="auto"/>
          <w:szCs w:val="22"/>
          <w:lang w:val="en-GB"/>
        </w:rPr>
        <w:t xml:space="preserve">, making this the optimum combination of low cell requirements and low noise. </w:t>
      </w:r>
    </w:p>
    <w:p w14:paraId="77C0D737" w14:textId="77777777" w:rsidR="006E7903" w:rsidRPr="00190CE5" w:rsidRDefault="006E7903" w:rsidP="006E7903">
      <w:pPr>
        <w:pStyle w:val="Body"/>
        <w:tabs>
          <w:tab w:val="left" w:pos="2552"/>
          <w:tab w:val="left" w:pos="3544"/>
          <w:tab w:val="left" w:pos="4252"/>
          <w:tab w:val="left" w:pos="4961"/>
          <w:tab w:val="left" w:pos="5669"/>
          <w:tab w:val="left" w:pos="6378"/>
          <w:tab w:val="left" w:pos="7087"/>
          <w:tab w:val="left" w:pos="7795"/>
          <w:tab w:val="left" w:pos="8504"/>
          <w:tab w:val="left" w:pos="9213"/>
        </w:tabs>
        <w:spacing w:before="0" w:after="0" w:line="360" w:lineRule="auto"/>
        <w:rPr>
          <w:rFonts w:asciiTheme="majorHAnsi" w:hAnsiTheme="majorHAnsi"/>
          <w:color w:val="auto"/>
          <w:szCs w:val="22"/>
          <w:lang w:val="en-GB"/>
        </w:rPr>
      </w:pPr>
    </w:p>
    <w:p w14:paraId="5B10EA7D" w14:textId="2714358E" w:rsidR="00CE1610" w:rsidRPr="00190CE5" w:rsidRDefault="00CE1610" w:rsidP="00570CE1">
      <w:pPr>
        <w:pStyle w:val="CommentText"/>
        <w:spacing w:after="0" w:line="360" w:lineRule="auto"/>
        <w:rPr>
          <w:rFonts w:asciiTheme="majorHAnsi" w:hAnsiTheme="majorHAnsi" w:cs="Times New Roman"/>
          <w:b/>
          <w:sz w:val="22"/>
        </w:rPr>
      </w:pPr>
      <w:r w:rsidRPr="00190CE5">
        <w:rPr>
          <w:rFonts w:asciiTheme="majorHAnsi" w:hAnsiTheme="majorHAnsi" w:cs="Times New Roman"/>
          <w:b/>
          <w:sz w:val="22"/>
          <w:szCs w:val="22"/>
        </w:rPr>
        <w:t xml:space="preserve">2.3 </w:t>
      </w:r>
      <w:r w:rsidR="00570CE1" w:rsidRPr="00190CE5">
        <w:rPr>
          <w:rFonts w:asciiTheme="majorHAnsi" w:hAnsiTheme="majorHAnsi" w:cs="Times New Roman"/>
          <w:b/>
          <w:sz w:val="22"/>
          <w:szCs w:val="22"/>
        </w:rPr>
        <w:t>The 3DEP Platform</w:t>
      </w:r>
    </w:p>
    <w:p w14:paraId="6CA35117" w14:textId="084CA067" w:rsidR="0003111B" w:rsidRPr="00190CE5" w:rsidRDefault="00570CE1" w:rsidP="006E7903">
      <w:pPr>
        <w:spacing w:after="0"/>
        <w:rPr>
          <w:rFonts w:asciiTheme="majorHAnsi" w:hAnsiTheme="majorHAnsi"/>
          <w:sz w:val="22"/>
        </w:rPr>
      </w:pPr>
      <w:r w:rsidRPr="00190CE5">
        <w:rPr>
          <w:rFonts w:asciiTheme="majorHAnsi" w:hAnsiTheme="majorHAnsi"/>
          <w:sz w:val="22"/>
        </w:rPr>
        <w:t xml:space="preserve">The system is summarised in Figure 3. </w:t>
      </w:r>
      <w:r w:rsidR="0003111B" w:rsidRPr="00190CE5">
        <w:rPr>
          <w:rFonts w:asciiTheme="majorHAnsi" w:hAnsiTheme="majorHAnsi"/>
          <w:sz w:val="22"/>
        </w:rPr>
        <w:t>To run an experiment, t</w:t>
      </w:r>
      <w:r w:rsidR="006E7903" w:rsidRPr="00190CE5">
        <w:rPr>
          <w:rFonts w:asciiTheme="majorHAnsi" w:hAnsiTheme="majorHAnsi"/>
          <w:sz w:val="22"/>
        </w:rPr>
        <w:t>he chip</w:t>
      </w:r>
      <w:r w:rsidR="0003111B" w:rsidRPr="00190CE5">
        <w:rPr>
          <w:rFonts w:asciiTheme="majorHAnsi" w:hAnsiTheme="majorHAnsi"/>
          <w:sz w:val="22"/>
        </w:rPr>
        <w:t xml:space="preserve"> containing the cell suspension</w:t>
      </w:r>
      <w:r w:rsidR="006E7903" w:rsidRPr="00190CE5">
        <w:rPr>
          <w:rFonts w:asciiTheme="majorHAnsi" w:hAnsiTheme="majorHAnsi"/>
          <w:sz w:val="22"/>
        </w:rPr>
        <w:t xml:space="preserve"> is inserted into a custom, zero</w:t>
      </w:r>
      <w:r w:rsidR="0003111B" w:rsidRPr="00190CE5">
        <w:rPr>
          <w:rFonts w:asciiTheme="majorHAnsi" w:hAnsiTheme="majorHAnsi"/>
          <w:sz w:val="22"/>
        </w:rPr>
        <w:t>-</w:t>
      </w:r>
      <w:r w:rsidR="006E7903" w:rsidRPr="00190CE5">
        <w:rPr>
          <w:rFonts w:asciiTheme="majorHAnsi" w:hAnsiTheme="majorHAnsi"/>
          <w:sz w:val="22"/>
        </w:rPr>
        <w:t xml:space="preserve">insertion force mount that </w:t>
      </w:r>
      <w:r w:rsidR="00A61D43" w:rsidRPr="00190CE5">
        <w:rPr>
          <w:rFonts w:asciiTheme="majorHAnsi" w:hAnsiTheme="majorHAnsi"/>
          <w:sz w:val="22"/>
        </w:rPr>
        <w:t xml:space="preserve">connects the wells to the signal generators and </w:t>
      </w:r>
      <w:r w:rsidR="006E7903" w:rsidRPr="00190CE5">
        <w:rPr>
          <w:rFonts w:asciiTheme="majorHAnsi" w:hAnsiTheme="majorHAnsi"/>
          <w:sz w:val="22"/>
        </w:rPr>
        <w:t xml:space="preserve">locks it in place immediately prior to each recording.  The chip is then illuminated using a collimated light source and monitored using a CMOS camera fitted with a bi-telecentric optic, </w:t>
      </w:r>
      <w:r w:rsidR="0003111B" w:rsidRPr="00190CE5">
        <w:rPr>
          <w:rFonts w:asciiTheme="majorHAnsi" w:hAnsiTheme="majorHAnsi"/>
          <w:sz w:val="22"/>
        </w:rPr>
        <w:t xml:space="preserve">allowing the </w:t>
      </w:r>
      <w:r w:rsidR="006E7903" w:rsidRPr="00190CE5">
        <w:rPr>
          <w:rFonts w:asciiTheme="majorHAnsi" w:hAnsiTheme="majorHAnsi"/>
          <w:sz w:val="22"/>
        </w:rPr>
        <w:t xml:space="preserve">monitoring of all </w:t>
      </w:r>
      <w:r w:rsidR="0003111B" w:rsidRPr="00190CE5">
        <w:rPr>
          <w:rFonts w:asciiTheme="majorHAnsi" w:hAnsiTheme="majorHAnsi"/>
          <w:sz w:val="22"/>
        </w:rPr>
        <w:t xml:space="preserve">20 </w:t>
      </w:r>
      <w:r w:rsidR="006E7903" w:rsidRPr="00190CE5">
        <w:rPr>
          <w:rFonts w:asciiTheme="majorHAnsi" w:hAnsiTheme="majorHAnsi"/>
          <w:sz w:val="22"/>
        </w:rPr>
        <w:t>wells simultaneously. During the recording, the wells are energised with 20 user-assignable</w:t>
      </w:r>
      <w:r w:rsidR="00337306" w:rsidRPr="00190CE5">
        <w:rPr>
          <w:rFonts w:asciiTheme="majorHAnsi" w:hAnsiTheme="majorHAnsi"/>
          <w:sz w:val="22"/>
        </w:rPr>
        <w:t xml:space="preserve"> frequencies</w:t>
      </w:r>
      <w:r w:rsidR="006E7903" w:rsidRPr="00190CE5">
        <w:rPr>
          <w:rFonts w:asciiTheme="majorHAnsi" w:hAnsiTheme="majorHAnsi"/>
          <w:sz w:val="22"/>
        </w:rPr>
        <w:t xml:space="preserve">, typically selected to cover approximately five points per </w:t>
      </w:r>
      <w:r w:rsidR="00337306" w:rsidRPr="00190CE5">
        <w:rPr>
          <w:rFonts w:asciiTheme="majorHAnsi" w:hAnsiTheme="majorHAnsi"/>
          <w:sz w:val="22"/>
        </w:rPr>
        <w:t xml:space="preserve">decade </w:t>
      </w:r>
      <w:r w:rsidR="006E7903" w:rsidRPr="00190CE5">
        <w:rPr>
          <w:rFonts w:asciiTheme="majorHAnsi" w:hAnsiTheme="majorHAnsi"/>
          <w:sz w:val="22"/>
        </w:rPr>
        <w:t>from 1</w:t>
      </w:r>
      <w:r w:rsidR="009A2B6B" w:rsidRPr="00190CE5">
        <w:rPr>
          <w:rFonts w:asciiTheme="majorHAnsi" w:hAnsiTheme="majorHAnsi"/>
          <w:sz w:val="22"/>
        </w:rPr>
        <w:t xml:space="preserve"> </w:t>
      </w:r>
      <w:r w:rsidR="006E7903" w:rsidRPr="00190CE5">
        <w:rPr>
          <w:rFonts w:asciiTheme="majorHAnsi" w:hAnsiTheme="majorHAnsi"/>
          <w:sz w:val="22"/>
        </w:rPr>
        <w:t>kHz to 45</w:t>
      </w:r>
      <w:r w:rsidR="009A2B6B" w:rsidRPr="00190CE5">
        <w:rPr>
          <w:rFonts w:asciiTheme="majorHAnsi" w:hAnsiTheme="majorHAnsi"/>
          <w:sz w:val="22"/>
        </w:rPr>
        <w:t xml:space="preserve"> </w:t>
      </w:r>
      <w:proofErr w:type="spellStart"/>
      <w:r w:rsidR="006E7903" w:rsidRPr="00190CE5">
        <w:rPr>
          <w:rFonts w:asciiTheme="majorHAnsi" w:hAnsiTheme="majorHAnsi"/>
          <w:sz w:val="22"/>
        </w:rPr>
        <w:t>MHz</w:t>
      </w:r>
      <w:r w:rsidR="00337306" w:rsidRPr="00190CE5">
        <w:rPr>
          <w:rFonts w:asciiTheme="majorHAnsi" w:hAnsiTheme="majorHAnsi"/>
          <w:sz w:val="22"/>
        </w:rPr>
        <w:t>.</w:t>
      </w:r>
      <w:proofErr w:type="spellEnd"/>
      <w:r w:rsidR="00337306" w:rsidRPr="00190CE5">
        <w:rPr>
          <w:rFonts w:asciiTheme="majorHAnsi" w:hAnsiTheme="majorHAnsi"/>
          <w:sz w:val="22"/>
        </w:rPr>
        <w:t xml:space="preserve">   M</w:t>
      </w:r>
      <w:r w:rsidR="006E7903" w:rsidRPr="00190CE5">
        <w:rPr>
          <w:rFonts w:asciiTheme="majorHAnsi" w:hAnsiTheme="majorHAnsi"/>
          <w:sz w:val="22"/>
        </w:rPr>
        <w:t>otion of particles tracked across the wells</w:t>
      </w:r>
      <w:r w:rsidR="002F29C9" w:rsidRPr="00190CE5">
        <w:rPr>
          <w:rFonts w:asciiTheme="majorHAnsi" w:hAnsiTheme="majorHAnsi"/>
          <w:sz w:val="22"/>
        </w:rPr>
        <w:t>, using an i</w:t>
      </w:r>
      <w:r w:rsidR="00203D02" w:rsidRPr="00190CE5">
        <w:rPr>
          <w:rFonts w:asciiTheme="majorHAnsi" w:hAnsiTheme="majorHAnsi"/>
          <w:sz w:val="22"/>
        </w:rPr>
        <w:t xml:space="preserve">mage analysis </w:t>
      </w:r>
      <w:r w:rsidR="002F29C9" w:rsidRPr="00190CE5">
        <w:rPr>
          <w:rFonts w:asciiTheme="majorHAnsi" w:hAnsiTheme="majorHAnsi"/>
          <w:sz w:val="22"/>
        </w:rPr>
        <w:t xml:space="preserve">algorithm </w:t>
      </w:r>
      <w:r w:rsidR="006E7903" w:rsidRPr="00190CE5">
        <w:rPr>
          <w:rFonts w:asciiTheme="majorHAnsi" w:hAnsiTheme="majorHAnsi"/>
          <w:sz w:val="22"/>
        </w:rPr>
        <w:t xml:space="preserve">on the host PC. Light </w:t>
      </w:r>
      <w:r w:rsidR="00203D02" w:rsidRPr="00190CE5">
        <w:rPr>
          <w:rFonts w:asciiTheme="majorHAnsi" w:hAnsiTheme="majorHAnsi"/>
          <w:sz w:val="22"/>
        </w:rPr>
        <w:t xml:space="preserve">absorbance </w:t>
      </w:r>
      <w:r w:rsidR="006E7903" w:rsidRPr="00190CE5">
        <w:rPr>
          <w:rFonts w:asciiTheme="majorHAnsi" w:hAnsiTheme="majorHAnsi"/>
          <w:sz w:val="22"/>
        </w:rPr>
        <w:t xml:space="preserve">is monitored across ten concentric </w:t>
      </w:r>
      <w:r w:rsidR="00203D02" w:rsidRPr="00190CE5">
        <w:rPr>
          <w:rFonts w:asciiTheme="majorHAnsi" w:hAnsiTheme="majorHAnsi"/>
          <w:sz w:val="22"/>
        </w:rPr>
        <w:t>rings inside each well</w:t>
      </w:r>
      <w:r w:rsidR="006E7903" w:rsidRPr="00190CE5">
        <w:rPr>
          <w:rFonts w:asciiTheme="majorHAnsi" w:hAnsiTheme="majorHAnsi"/>
          <w:sz w:val="22"/>
        </w:rPr>
        <w:t>, and the rate of change in light intensity</w:t>
      </w:r>
      <w:r w:rsidR="00A61D43" w:rsidRPr="00190CE5">
        <w:rPr>
          <w:rFonts w:asciiTheme="majorHAnsi" w:hAnsiTheme="majorHAnsi"/>
          <w:sz w:val="22"/>
        </w:rPr>
        <w:t xml:space="preserve"> within these rings</w:t>
      </w:r>
      <w:r w:rsidR="006E7903" w:rsidRPr="00190CE5">
        <w:rPr>
          <w:rFonts w:asciiTheme="majorHAnsi" w:hAnsiTheme="majorHAnsi"/>
          <w:sz w:val="22"/>
        </w:rPr>
        <w:t xml:space="preserve"> is determined </w:t>
      </w:r>
      <w:r w:rsidR="00A61D43" w:rsidRPr="00190CE5">
        <w:rPr>
          <w:rFonts w:asciiTheme="majorHAnsi" w:hAnsiTheme="majorHAnsi"/>
          <w:sz w:val="22"/>
        </w:rPr>
        <w:t>and</w:t>
      </w:r>
      <w:r w:rsidR="006E7903" w:rsidRPr="00190CE5">
        <w:rPr>
          <w:rFonts w:asciiTheme="majorHAnsi" w:hAnsiTheme="majorHAnsi"/>
          <w:sz w:val="22"/>
        </w:rPr>
        <w:t xml:space="preserve"> scaled </w:t>
      </w:r>
      <w:r w:rsidR="00A61D43" w:rsidRPr="00190CE5">
        <w:rPr>
          <w:rFonts w:asciiTheme="majorHAnsi" w:hAnsiTheme="majorHAnsi"/>
          <w:sz w:val="22"/>
        </w:rPr>
        <w:t xml:space="preserve">to </w:t>
      </w:r>
      <w:r w:rsidR="006E7903" w:rsidRPr="00190CE5">
        <w:rPr>
          <w:rFonts w:asciiTheme="majorHAnsi" w:hAnsiTheme="majorHAnsi"/>
          <w:sz w:val="22"/>
        </w:rPr>
        <w:t>relative area</w:t>
      </w:r>
      <w:r w:rsidR="00BB2BB2" w:rsidRPr="00190CE5">
        <w:rPr>
          <w:rFonts w:asciiTheme="majorHAnsi" w:hAnsiTheme="majorHAnsi"/>
          <w:sz w:val="22"/>
          <w:vertAlign w:val="superscript"/>
        </w:rPr>
        <w:t>29,</w:t>
      </w:r>
      <w:r w:rsidR="00B42B49" w:rsidRPr="00190CE5">
        <w:rPr>
          <w:rFonts w:asciiTheme="majorHAnsi" w:hAnsiTheme="majorHAnsi"/>
          <w:sz w:val="22"/>
          <w:vertAlign w:val="superscript"/>
        </w:rPr>
        <w:t>30</w:t>
      </w:r>
      <w:r w:rsidR="006E7903" w:rsidRPr="00190CE5">
        <w:rPr>
          <w:rFonts w:asciiTheme="majorHAnsi" w:hAnsiTheme="majorHAnsi"/>
          <w:sz w:val="22"/>
        </w:rPr>
        <w:t xml:space="preserve">. This parameter is proportional to the Clausius-Mossotti factor, a mathematical relationship for the relative </w:t>
      </w:r>
      <w:proofErr w:type="spellStart"/>
      <w:r w:rsidR="006E7903" w:rsidRPr="00190CE5">
        <w:rPr>
          <w:rFonts w:asciiTheme="majorHAnsi" w:hAnsiTheme="majorHAnsi"/>
          <w:sz w:val="22"/>
        </w:rPr>
        <w:t>polari</w:t>
      </w:r>
      <w:r w:rsidR="00116D1C" w:rsidRPr="00190CE5">
        <w:rPr>
          <w:rFonts w:asciiTheme="majorHAnsi" w:hAnsiTheme="majorHAnsi"/>
          <w:sz w:val="22"/>
        </w:rPr>
        <w:t>s</w:t>
      </w:r>
      <w:r w:rsidR="006E7903" w:rsidRPr="00190CE5">
        <w:rPr>
          <w:rFonts w:asciiTheme="majorHAnsi" w:hAnsiTheme="majorHAnsi"/>
          <w:sz w:val="22"/>
        </w:rPr>
        <w:t>ability</w:t>
      </w:r>
      <w:proofErr w:type="spellEnd"/>
      <w:r w:rsidR="006E7903" w:rsidRPr="00190CE5">
        <w:rPr>
          <w:rFonts w:asciiTheme="majorHAnsi" w:hAnsiTheme="majorHAnsi"/>
          <w:sz w:val="22"/>
        </w:rPr>
        <w:t xml:space="preserve"> of the suspended particles which is based</w:t>
      </w:r>
      <w:r w:rsidR="0003111B" w:rsidRPr="00190CE5">
        <w:rPr>
          <w:rFonts w:asciiTheme="majorHAnsi" w:hAnsiTheme="majorHAnsi"/>
          <w:sz w:val="22"/>
        </w:rPr>
        <w:t>,</w:t>
      </w:r>
      <w:r w:rsidR="006E7903" w:rsidRPr="00190CE5">
        <w:rPr>
          <w:rFonts w:asciiTheme="majorHAnsi" w:hAnsiTheme="majorHAnsi"/>
          <w:sz w:val="22"/>
        </w:rPr>
        <w:t xml:space="preserve"> in this instance</w:t>
      </w:r>
      <w:r w:rsidR="0003111B" w:rsidRPr="00190CE5">
        <w:rPr>
          <w:rFonts w:asciiTheme="majorHAnsi" w:hAnsiTheme="majorHAnsi"/>
          <w:sz w:val="22"/>
        </w:rPr>
        <w:t>,</w:t>
      </w:r>
      <w:r w:rsidR="006E7903" w:rsidRPr="00190CE5">
        <w:rPr>
          <w:rFonts w:asciiTheme="majorHAnsi" w:hAnsiTheme="majorHAnsi"/>
          <w:sz w:val="22"/>
        </w:rPr>
        <w:t xml:space="preserve"> on the dielectric properties of cytoplasm, membrane and suspending medium and on the applied frequency</w:t>
      </w:r>
      <w:r w:rsidR="00CE23E6" w:rsidRPr="00190CE5">
        <w:rPr>
          <w:rFonts w:asciiTheme="majorHAnsi" w:hAnsiTheme="majorHAnsi"/>
          <w:sz w:val="22"/>
          <w:vertAlign w:val="superscript"/>
        </w:rPr>
        <w:t>1</w:t>
      </w:r>
      <w:r w:rsidR="00B42B49" w:rsidRPr="00190CE5">
        <w:rPr>
          <w:rFonts w:asciiTheme="majorHAnsi" w:hAnsiTheme="majorHAnsi"/>
          <w:sz w:val="22"/>
          <w:vertAlign w:val="superscript"/>
        </w:rPr>
        <w:t>4, 27</w:t>
      </w:r>
      <w:r w:rsidR="006E7903" w:rsidRPr="00190CE5">
        <w:rPr>
          <w:rFonts w:asciiTheme="majorHAnsi" w:hAnsiTheme="majorHAnsi"/>
          <w:sz w:val="22"/>
        </w:rPr>
        <w:t xml:space="preserve">. </w:t>
      </w:r>
    </w:p>
    <w:p w14:paraId="3AB71287" w14:textId="06F3CAD3" w:rsidR="00C5191D" w:rsidRPr="00190CE5" w:rsidRDefault="00C5191D" w:rsidP="006E7903">
      <w:pPr>
        <w:spacing w:after="0"/>
        <w:rPr>
          <w:rFonts w:asciiTheme="majorHAnsi" w:hAnsiTheme="majorHAnsi"/>
          <w:sz w:val="22"/>
        </w:rPr>
      </w:pPr>
    </w:p>
    <w:p w14:paraId="344E3919" w14:textId="5D6F61E9" w:rsidR="00AA785C" w:rsidRPr="00190CE5" w:rsidRDefault="00337306" w:rsidP="006E7903">
      <w:pPr>
        <w:spacing w:after="0"/>
        <w:rPr>
          <w:rFonts w:asciiTheme="majorHAnsi" w:hAnsiTheme="majorHAnsi"/>
          <w:sz w:val="22"/>
        </w:rPr>
      </w:pPr>
      <w:r w:rsidRPr="00190CE5">
        <w:rPr>
          <w:rFonts w:asciiTheme="majorHAnsi" w:hAnsiTheme="majorHAnsi"/>
          <w:sz w:val="22"/>
        </w:rPr>
        <w:t xml:space="preserve">Once the chip is filled and locked into the reader and the device door closed to reduce interference, the system follows a one-click automated process of activating the optical path, signal generators and analysis software.  </w:t>
      </w:r>
      <w:r w:rsidR="006E7903" w:rsidRPr="00190CE5">
        <w:rPr>
          <w:rFonts w:asciiTheme="majorHAnsi" w:hAnsiTheme="majorHAnsi"/>
          <w:sz w:val="22"/>
        </w:rPr>
        <w:t xml:space="preserve">Images of the well are taken once per second, </w:t>
      </w:r>
      <w:r w:rsidR="00116D1C" w:rsidRPr="00190CE5">
        <w:rPr>
          <w:rFonts w:asciiTheme="majorHAnsi" w:hAnsiTheme="majorHAnsi"/>
          <w:sz w:val="22"/>
        </w:rPr>
        <w:t xml:space="preserve">up to </w:t>
      </w:r>
      <w:r w:rsidR="006E7903" w:rsidRPr="00190CE5">
        <w:rPr>
          <w:rFonts w:asciiTheme="majorHAnsi" w:hAnsiTheme="majorHAnsi"/>
          <w:sz w:val="22"/>
        </w:rPr>
        <w:t xml:space="preserve">a </w:t>
      </w:r>
      <w:r w:rsidR="006E7903" w:rsidRPr="00190CE5">
        <w:rPr>
          <w:rFonts w:asciiTheme="majorHAnsi" w:hAnsiTheme="majorHAnsi"/>
          <w:sz w:val="22"/>
        </w:rPr>
        <w:lastRenderedPageBreak/>
        <w:t>user</w:t>
      </w:r>
      <w:r w:rsidR="00116D1C" w:rsidRPr="00190CE5">
        <w:rPr>
          <w:rFonts w:asciiTheme="majorHAnsi" w:hAnsiTheme="majorHAnsi"/>
          <w:sz w:val="22"/>
        </w:rPr>
        <w:t>-</w:t>
      </w:r>
      <w:r w:rsidR="006E7903" w:rsidRPr="00190CE5">
        <w:rPr>
          <w:rFonts w:asciiTheme="majorHAnsi" w:hAnsiTheme="majorHAnsi"/>
          <w:sz w:val="22"/>
        </w:rPr>
        <w:t>defined time limit; theoretical analysis</w:t>
      </w:r>
      <w:r w:rsidR="00B42B49" w:rsidRPr="00190CE5">
        <w:rPr>
          <w:rFonts w:asciiTheme="majorHAnsi" w:hAnsiTheme="majorHAnsi"/>
          <w:sz w:val="22"/>
          <w:vertAlign w:val="superscript"/>
        </w:rPr>
        <w:t>30</w:t>
      </w:r>
      <w:r w:rsidR="006E7903" w:rsidRPr="00190CE5">
        <w:rPr>
          <w:rFonts w:asciiTheme="majorHAnsi" w:hAnsiTheme="majorHAnsi"/>
          <w:sz w:val="22"/>
        </w:rPr>
        <w:t xml:space="preserve"> indicates that the system results are linear up to 10 seconds, which is used as the standard analysis period.  </w:t>
      </w:r>
      <w:r w:rsidR="00AA785C" w:rsidRPr="00190CE5">
        <w:rPr>
          <w:rFonts w:asciiTheme="majorHAnsi" w:hAnsiTheme="majorHAnsi"/>
          <w:sz w:val="22"/>
        </w:rPr>
        <w:t>L</w:t>
      </w:r>
      <w:r w:rsidR="006E7903" w:rsidRPr="00190CE5">
        <w:rPr>
          <w:rFonts w:asciiTheme="majorHAnsi" w:hAnsiTheme="majorHAnsi"/>
          <w:sz w:val="22"/>
        </w:rPr>
        <w:t xml:space="preserve">onger periods can be used for a greater signal magnitude where there is noise in the data, for example </w:t>
      </w:r>
      <w:r w:rsidR="009A2B6B" w:rsidRPr="00190CE5">
        <w:rPr>
          <w:rFonts w:asciiTheme="majorHAnsi" w:hAnsiTheme="majorHAnsi"/>
          <w:sz w:val="22"/>
        </w:rPr>
        <w:t xml:space="preserve">when </w:t>
      </w:r>
      <w:r w:rsidR="006E7903" w:rsidRPr="00190CE5">
        <w:rPr>
          <w:rFonts w:asciiTheme="majorHAnsi" w:hAnsiTheme="majorHAnsi"/>
          <w:sz w:val="22"/>
        </w:rPr>
        <w:t>the cell concentration is low</w:t>
      </w:r>
      <w:r w:rsidR="009A2B6B" w:rsidRPr="00190CE5">
        <w:rPr>
          <w:rFonts w:asciiTheme="majorHAnsi" w:hAnsiTheme="majorHAnsi"/>
          <w:sz w:val="22"/>
        </w:rPr>
        <w:t>;</w:t>
      </w:r>
      <w:r w:rsidR="00D65957" w:rsidRPr="00190CE5">
        <w:rPr>
          <w:rFonts w:asciiTheme="majorHAnsi" w:hAnsiTheme="majorHAnsi"/>
          <w:sz w:val="22"/>
        </w:rPr>
        <w:t xml:space="preserve"> </w:t>
      </w:r>
      <w:r w:rsidR="009A2B6B" w:rsidRPr="00190CE5">
        <w:rPr>
          <w:rFonts w:asciiTheme="majorHAnsi" w:hAnsiTheme="majorHAnsi"/>
          <w:sz w:val="22"/>
        </w:rPr>
        <w:t xml:space="preserve">however, </w:t>
      </w:r>
      <w:r w:rsidR="00D65957" w:rsidRPr="00190CE5">
        <w:rPr>
          <w:rFonts w:asciiTheme="majorHAnsi" w:hAnsiTheme="majorHAnsi"/>
          <w:sz w:val="22"/>
        </w:rPr>
        <w:t>prolonged run times lead to a less linear response.</w:t>
      </w:r>
      <w:r w:rsidR="006E7903" w:rsidRPr="00190CE5">
        <w:rPr>
          <w:rFonts w:asciiTheme="majorHAnsi" w:hAnsiTheme="majorHAnsi"/>
          <w:sz w:val="22"/>
        </w:rPr>
        <w:t xml:space="preserve"> </w:t>
      </w:r>
    </w:p>
    <w:p w14:paraId="0CB3A898" w14:textId="77777777" w:rsidR="00AA785C" w:rsidRPr="00190CE5" w:rsidRDefault="00AA785C" w:rsidP="006E7903">
      <w:pPr>
        <w:spacing w:after="0"/>
        <w:rPr>
          <w:rFonts w:asciiTheme="majorHAnsi" w:hAnsiTheme="majorHAnsi"/>
          <w:sz w:val="22"/>
        </w:rPr>
      </w:pPr>
    </w:p>
    <w:p w14:paraId="3C0D5895" w14:textId="335CBDC0" w:rsidR="006E7903" w:rsidRPr="00190CE5" w:rsidRDefault="00337306" w:rsidP="00337306">
      <w:pPr>
        <w:pStyle w:val="CommentText"/>
        <w:spacing w:after="0" w:line="360" w:lineRule="auto"/>
        <w:rPr>
          <w:rFonts w:asciiTheme="majorHAnsi" w:hAnsiTheme="majorHAnsi"/>
          <w:sz w:val="22"/>
        </w:rPr>
      </w:pPr>
      <w:r w:rsidRPr="00190CE5">
        <w:rPr>
          <w:rFonts w:asciiTheme="majorHAnsi" w:hAnsiTheme="majorHAnsi" w:cs="Times New Roman"/>
          <w:sz w:val="22"/>
          <w:szCs w:val="22"/>
        </w:rPr>
        <w:t xml:space="preserve">The impact on cells is low.  </w:t>
      </w:r>
      <w:r w:rsidR="006E7903" w:rsidRPr="00190CE5">
        <w:rPr>
          <w:rFonts w:asciiTheme="majorHAnsi" w:hAnsiTheme="majorHAnsi"/>
          <w:sz w:val="22"/>
        </w:rPr>
        <w:t>The only requirement for cells analysed in the present system is that they are in suspension</w:t>
      </w:r>
      <w:r w:rsidRPr="00190CE5">
        <w:rPr>
          <w:rFonts w:asciiTheme="majorHAnsi" w:hAnsiTheme="majorHAnsi"/>
          <w:sz w:val="22"/>
        </w:rPr>
        <w:t>,</w:t>
      </w:r>
      <w:r w:rsidR="006E7903" w:rsidRPr="00190CE5">
        <w:rPr>
          <w:rFonts w:asciiTheme="majorHAnsi" w:hAnsiTheme="majorHAnsi"/>
          <w:sz w:val="22"/>
        </w:rPr>
        <w:t xml:space="preserve"> which may require detachment.  Cells need be present in </w:t>
      </w:r>
      <w:r w:rsidR="00AA785C" w:rsidRPr="00190CE5">
        <w:rPr>
          <w:rFonts w:asciiTheme="majorHAnsi" w:hAnsiTheme="majorHAnsi"/>
          <w:sz w:val="22"/>
        </w:rPr>
        <w:t xml:space="preserve">this </w:t>
      </w:r>
      <w:r w:rsidR="006E7903" w:rsidRPr="00190CE5">
        <w:rPr>
          <w:rFonts w:asciiTheme="majorHAnsi" w:hAnsiTheme="majorHAnsi"/>
          <w:sz w:val="22"/>
        </w:rPr>
        <w:t xml:space="preserve">medium for no longer than the wash cycle and the time required to take a measurement; a total of </w:t>
      </w:r>
      <w:r w:rsidR="00691A19" w:rsidRPr="00190CE5">
        <w:rPr>
          <w:rFonts w:asciiTheme="majorHAnsi" w:hAnsiTheme="majorHAnsi"/>
          <w:sz w:val="22"/>
        </w:rPr>
        <w:t xml:space="preserve">approximately </w:t>
      </w:r>
      <w:r w:rsidR="006E7903" w:rsidRPr="00190CE5">
        <w:rPr>
          <w:rFonts w:asciiTheme="majorHAnsi" w:hAnsiTheme="majorHAnsi"/>
          <w:sz w:val="22"/>
        </w:rPr>
        <w:t xml:space="preserve">fifteen minutes.  During this time, cells are exposed to a low-intensity electric field for typically ten seconds.  Following measurement, cells </w:t>
      </w:r>
      <w:r w:rsidR="00116D1C" w:rsidRPr="00190CE5">
        <w:rPr>
          <w:rFonts w:asciiTheme="majorHAnsi" w:hAnsiTheme="majorHAnsi"/>
          <w:sz w:val="22"/>
        </w:rPr>
        <w:t xml:space="preserve">will </w:t>
      </w:r>
      <w:r w:rsidR="006E7903" w:rsidRPr="00190CE5">
        <w:rPr>
          <w:rFonts w:asciiTheme="majorHAnsi" w:hAnsiTheme="majorHAnsi"/>
          <w:sz w:val="22"/>
        </w:rPr>
        <w:t>have been exposed to few hazards, and can be recovered and re</w:t>
      </w:r>
      <w:r w:rsidR="00210D05" w:rsidRPr="00190CE5">
        <w:rPr>
          <w:rFonts w:asciiTheme="majorHAnsi" w:hAnsiTheme="majorHAnsi"/>
          <w:sz w:val="22"/>
        </w:rPr>
        <w:t>-</w:t>
      </w:r>
      <w:r w:rsidR="006E7903" w:rsidRPr="00190CE5">
        <w:rPr>
          <w:rFonts w:asciiTheme="majorHAnsi" w:hAnsiTheme="majorHAnsi"/>
          <w:sz w:val="22"/>
        </w:rPr>
        <w:t xml:space="preserve">cultured provided the measurement is taken under sterile conditions.  </w:t>
      </w:r>
      <w:r w:rsidR="00AA785C" w:rsidRPr="00190CE5">
        <w:rPr>
          <w:rFonts w:asciiTheme="majorHAnsi" w:hAnsiTheme="majorHAnsi"/>
          <w:sz w:val="22"/>
        </w:rPr>
        <w:t>R</w:t>
      </w:r>
      <w:r w:rsidR="006E7903" w:rsidRPr="00190CE5">
        <w:rPr>
          <w:rFonts w:asciiTheme="majorHAnsi" w:hAnsiTheme="majorHAnsi"/>
          <w:sz w:val="22"/>
        </w:rPr>
        <w:t xml:space="preserve">ecovery is simple; </w:t>
      </w:r>
      <w:r w:rsidR="00AA785C" w:rsidRPr="00190CE5">
        <w:rPr>
          <w:rFonts w:asciiTheme="majorHAnsi" w:hAnsiTheme="majorHAnsi"/>
          <w:sz w:val="22"/>
        </w:rPr>
        <w:t xml:space="preserve">after careful removal of the cover slip, </w:t>
      </w:r>
      <w:r w:rsidR="006E7903" w:rsidRPr="00190CE5">
        <w:rPr>
          <w:rFonts w:asciiTheme="majorHAnsi" w:hAnsiTheme="majorHAnsi"/>
          <w:sz w:val="22"/>
        </w:rPr>
        <w:t xml:space="preserve">the use of a syringe or micropipette allows the recovery of typically 70% of the cells inserted in the device.  </w:t>
      </w:r>
      <w:r w:rsidR="00AA785C" w:rsidRPr="00190CE5">
        <w:rPr>
          <w:rFonts w:asciiTheme="majorHAnsi" w:hAnsiTheme="majorHAnsi"/>
          <w:sz w:val="22"/>
        </w:rPr>
        <w:t>Cells can subsequently be centrifuged and resuspended in their typical culture media and re</w:t>
      </w:r>
      <w:r w:rsidR="006B3006" w:rsidRPr="00190CE5">
        <w:rPr>
          <w:rFonts w:asciiTheme="majorHAnsi" w:hAnsiTheme="majorHAnsi"/>
          <w:sz w:val="22"/>
        </w:rPr>
        <w:t>-</w:t>
      </w:r>
      <w:r w:rsidR="00AA785C" w:rsidRPr="00190CE5">
        <w:rPr>
          <w:rFonts w:asciiTheme="majorHAnsi" w:hAnsiTheme="majorHAnsi"/>
          <w:sz w:val="22"/>
        </w:rPr>
        <w:t xml:space="preserve">plated. </w:t>
      </w:r>
      <w:r w:rsidR="006E7903" w:rsidRPr="00190CE5">
        <w:rPr>
          <w:rFonts w:asciiTheme="majorHAnsi" w:hAnsiTheme="majorHAnsi"/>
          <w:sz w:val="22"/>
        </w:rPr>
        <w:t xml:space="preserve">  </w:t>
      </w:r>
    </w:p>
    <w:p w14:paraId="3143ABB0" w14:textId="77777777" w:rsidR="00210D05" w:rsidRPr="00190CE5" w:rsidRDefault="00210D05" w:rsidP="00337306">
      <w:pPr>
        <w:pStyle w:val="CommentText"/>
        <w:spacing w:after="0" w:line="360" w:lineRule="auto"/>
        <w:rPr>
          <w:rFonts w:asciiTheme="majorHAnsi" w:hAnsiTheme="majorHAnsi"/>
          <w:sz w:val="22"/>
        </w:rPr>
      </w:pPr>
    </w:p>
    <w:p w14:paraId="66E3B9AD" w14:textId="3FBF9874" w:rsidR="000C1E11" w:rsidRPr="00190CE5" w:rsidRDefault="000C1E11" w:rsidP="000C1E11">
      <w:pPr>
        <w:pStyle w:val="Heading3"/>
        <w:rPr>
          <w:rFonts w:ascii="Cambria" w:hAnsi="Cambria"/>
        </w:rPr>
      </w:pPr>
      <w:r w:rsidRPr="00190CE5">
        <w:rPr>
          <w:rFonts w:ascii="Cambria" w:hAnsi="Cambria"/>
        </w:rPr>
        <w:t>3. Materials and Methods</w:t>
      </w:r>
    </w:p>
    <w:p w14:paraId="495703DB" w14:textId="77777777" w:rsidR="000C1E11" w:rsidRPr="00190CE5" w:rsidRDefault="000C1E11" w:rsidP="000C1E11">
      <w:pPr>
        <w:pStyle w:val="CommentText"/>
        <w:spacing w:after="0" w:line="360" w:lineRule="auto"/>
        <w:rPr>
          <w:rFonts w:ascii="Cambria" w:hAnsi="Cambria" w:cs="Times New Roman"/>
          <w:b/>
          <w:sz w:val="22"/>
          <w:szCs w:val="22"/>
        </w:rPr>
      </w:pPr>
      <w:bookmarkStart w:id="0" w:name="_Ref357693072"/>
      <w:r w:rsidRPr="00190CE5">
        <w:rPr>
          <w:rFonts w:ascii="Cambria" w:hAnsi="Cambria" w:cs="Times New Roman"/>
          <w:b/>
          <w:sz w:val="22"/>
          <w:szCs w:val="22"/>
        </w:rPr>
        <w:t>Preparation of cells</w:t>
      </w:r>
    </w:p>
    <w:p w14:paraId="2A3BB284" w14:textId="77777777" w:rsidR="000C1E11" w:rsidRPr="00190CE5" w:rsidRDefault="000C1E11" w:rsidP="000C1E11">
      <w:pPr>
        <w:pStyle w:val="CommentText"/>
        <w:spacing w:after="0" w:line="360" w:lineRule="auto"/>
        <w:rPr>
          <w:rFonts w:ascii="Cambria" w:hAnsi="Cambria" w:cs="Times New Roman"/>
          <w:i/>
          <w:sz w:val="22"/>
          <w:szCs w:val="22"/>
        </w:rPr>
      </w:pPr>
      <w:r w:rsidRPr="00190CE5">
        <w:rPr>
          <w:rFonts w:ascii="Cambria" w:hAnsi="Cambria" w:cs="Times New Roman"/>
          <w:i/>
          <w:sz w:val="22"/>
          <w:szCs w:val="22"/>
        </w:rPr>
        <w:t>Cultured cells</w:t>
      </w:r>
    </w:p>
    <w:p w14:paraId="4F3C3025" w14:textId="77777777" w:rsidR="000C1E11" w:rsidRPr="00190CE5" w:rsidRDefault="000C1E11" w:rsidP="000C1E11">
      <w:pPr>
        <w:pStyle w:val="CommentText"/>
        <w:spacing w:after="0" w:line="360" w:lineRule="auto"/>
        <w:rPr>
          <w:rFonts w:ascii="Cambria" w:hAnsi="Cambria" w:cs="Times New Roman"/>
          <w:sz w:val="22"/>
          <w:szCs w:val="22"/>
        </w:rPr>
      </w:pPr>
      <w:r w:rsidRPr="00190CE5">
        <w:rPr>
          <w:rFonts w:ascii="Cambria" w:hAnsi="Cambria" w:cs="Times New Roman"/>
          <w:sz w:val="22"/>
          <w:szCs w:val="22"/>
        </w:rPr>
        <w:t xml:space="preserve">The murine cardiomyocyte line HL-1 (kindly donated by Prof W. </w:t>
      </w:r>
      <w:proofErr w:type="spellStart"/>
      <w:r w:rsidRPr="00190CE5">
        <w:rPr>
          <w:rFonts w:ascii="Cambria" w:hAnsi="Cambria" w:cs="Times New Roman"/>
          <w:sz w:val="22"/>
          <w:szCs w:val="22"/>
        </w:rPr>
        <w:t>Claycomb</w:t>
      </w:r>
      <w:proofErr w:type="spellEnd"/>
      <w:r w:rsidRPr="00190CE5">
        <w:rPr>
          <w:rFonts w:ascii="Cambria" w:hAnsi="Cambria" w:cs="Times New Roman"/>
          <w:sz w:val="22"/>
          <w:szCs w:val="22"/>
        </w:rPr>
        <w:t xml:space="preserve">, Louisiana State University), human myelogenous leukaemia line K562, human breast cancer line HeLa and </w:t>
      </w:r>
      <w:proofErr w:type="spellStart"/>
      <w:r w:rsidRPr="00190CE5">
        <w:rPr>
          <w:rFonts w:ascii="Cambria" w:hAnsi="Cambria" w:cs="Times New Roman"/>
          <w:sz w:val="22"/>
          <w:szCs w:val="22"/>
        </w:rPr>
        <w:t>Jurkat</w:t>
      </w:r>
      <w:proofErr w:type="spellEnd"/>
      <w:r w:rsidRPr="00190CE5">
        <w:rPr>
          <w:rFonts w:ascii="Cambria" w:hAnsi="Cambria" w:cs="Times New Roman"/>
          <w:sz w:val="22"/>
          <w:szCs w:val="22"/>
        </w:rPr>
        <w:t xml:space="preserve"> human T-lymphocyte line (all purchased from ATCC Cells, UK) were cultured under standard conditions.  Prior to experimentation, c</w:t>
      </w:r>
      <w:r w:rsidRPr="00190CE5">
        <w:rPr>
          <w:rFonts w:ascii="Cambria" w:hAnsi="Cambria"/>
          <w:sz w:val="22"/>
        </w:rPr>
        <w:t>ells were centrifuged at room temperature at 259</w:t>
      </w:r>
      <w:r w:rsidRPr="00190CE5">
        <w:rPr>
          <w:rFonts w:ascii="Cambria" w:hAnsi="Cambria"/>
          <w:i/>
          <w:sz w:val="22"/>
        </w:rPr>
        <w:t>g</w:t>
      </w:r>
      <w:r w:rsidRPr="00190CE5">
        <w:rPr>
          <w:rFonts w:ascii="Cambria" w:hAnsi="Cambria"/>
          <w:sz w:val="22"/>
        </w:rPr>
        <w:t xml:space="preserve"> for 6 minutes. The supernatant was removed and the pellets were resuspended in iso-osmotic medium consisting of 8.5% (w/v) sucrose, 0.5% (w/v) dextrose, 100 µM CaCl</w:t>
      </w:r>
      <w:r w:rsidRPr="00190CE5">
        <w:rPr>
          <w:rFonts w:ascii="Cambria" w:hAnsi="Cambria"/>
          <w:sz w:val="22"/>
          <w:vertAlign w:val="subscript"/>
        </w:rPr>
        <w:t>2</w:t>
      </w:r>
      <w:r w:rsidRPr="00190CE5">
        <w:rPr>
          <w:rFonts w:ascii="Cambria" w:hAnsi="Cambria"/>
          <w:sz w:val="22"/>
        </w:rPr>
        <w:t xml:space="preserve"> and 250 µM MgCl</w:t>
      </w:r>
      <w:r w:rsidRPr="00190CE5">
        <w:rPr>
          <w:rFonts w:ascii="Cambria" w:hAnsi="Cambria"/>
          <w:sz w:val="22"/>
          <w:vertAlign w:val="subscript"/>
        </w:rPr>
        <w:t>2</w:t>
      </w:r>
      <w:r w:rsidRPr="00190CE5">
        <w:rPr>
          <w:rFonts w:ascii="Cambria" w:hAnsi="Cambria"/>
          <w:sz w:val="22"/>
        </w:rPr>
        <w:t>. The medium conductivity was adjusted using PBS to 10 mS.m</w:t>
      </w:r>
      <w:r w:rsidRPr="00190CE5">
        <w:rPr>
          <w:rFonts w:ascii="Cambria" w:hAnsi="Cambria"/>
          <w:sz w:val="22"/>
          <w:vertAlign w:val="superscript"/>
        </w:rPr>
        <w:t>-1</w:t>
      </w:r>
      <w:r w:rsidRPr="00190CE5">
        <w:rPr>
          <w:rFonts w:ascii="Cambria" w:hAnsi="Cambria"/>
          <w:sz w:val="22"/>
        </w:rPr>
        <w:t xml:space="preserve"> (typically ca. 0.7% by volume) The conductivity was verified using a </w:t>
      </w:r>
      <w:proofErr w:type="spellStart"/>
      <w:r w:rsidRPr="00190CE5">
        <w:rPr>
          <w:rFonts w:ascii="Cambria" w:hAnsi="Cambria"/>
          <w:sz w:val="22"/>
        </w:rPr>
        <w:t>Jenway</w:t>
      </w:r>
      <w:proofErr w:type="spellEnd"/>
      <w:r w:rsidRPr="00190CE5">
        <w:rPr>
          <w:rFonts w:ascii="Cambria" w:hAnsi="Cambria"/>
          <w:sz w:val="22"/>
        </w:rPr>
        <w:t xml:space="preserve"> conductivity meter (VWR </w:t>
      </w:r>
      <w:proofErr w:type="spellStart"/>
      <w:r w:rsidRPr="00190CE5">
        <w:rPr>
          <w:rFonts w:ascii="Cambria" w:hAnsi="Cambria"/>
          <w:sz w:val="22"/>
        </w:rPr>
        <w:t>Jencons</w:t>
      </w:r>
      <w:proofErr w:type="spellEnd"/>
      <w:r w:rsidRPr="00190CE5">
        <w:rPr>
          <w:rFonts w:ascii="Cambria" w:hAnsi="Cambria"/>
          <w:sz w:val="22"/>
        </w:rPr>
        <w:t>, Leicestershire, UK).  The final cell population was counted using a haemocytometer and adjusted for DEP measurements to 1 x 10</w:t>
      </w:r>
      <w:r w:rsidRPr="00190CE5">
        <w:rPr>
          <w:rFonts w:ascii="Cambria" w:hAnsi="Cambria"/>
          <w:sz w:val="22"/>
          <w:vertAlign w:val="superscript"/>
        </w:rPr>
        <w:t xml:space="preserve">6 </w:t>
      </w:r>
      <w:r w:rsidRPr="00190CE5">
        <w:rPr>
          <w:rFonts w:ascii="Cambria" w:hAnsi="Cambria"/>
          <w:sz w:val="22"/>
        </w:rPr>
        <w:t>cells ml</w:t>
      </w:r>
      <w:r w:rsidRPr="00190CE5">
        <w:rPr>
          <w:rFonts w:ascii="Cambria" w:hAnsi="Cambria"/>
          <w:sz w:val="22"/>
          <w:vertAlign w:val="superscript"/>
        </w:rPr>
        <w:t>-1</w:t>
      </w:r>
      <w:r w:rsidRPr="00190CE5">
        <w:rPr>
          <w:rFonts w:ascii="Cambria" w:hAnsi="Cambria"/>
          <w:sz w:val="22"/>
        </w:rPr>
        <w:t xml:space="preserve"> (±15%).</w:t>
      </w:r>
    </w:p>
    <w:p w14:paraId="530FCC23" w14:textId="77777777" w:rsidR="000C1E11" w:rsidRPr="00190CE5" w:rsidRDefault="000C1E11" w:rsidP="000C1E11">
      <w:pPr>
        <w:pStyle w:val="CommentText"/>
        <w:spacing w:after="0" w:line="360" w:lineRule="auto"/>
        <w:rPr>
          <w:rFonts w:ascii="Cambria" w:hAnsi="Cambria" w:cs="Times New Roman"/>
          <w:b/>
          <w:sz w:val="22"/>
          <w:szCs w:val="22"/>
        </w:rPr>
      </w:pPr>
    </w:p>
    <w:p w14:paraId="20174C9C" w14:textId="77777777" w:rsidR="000C1E11" w:rsidRPr="00190CE5" w:rsidRDefault="000C1E11" w:rsidP="000C1E11">
      <w:pPr>
        <w:pStyle w:val="CommentText"/>
        <w:spacing w:after="0" w:line="360" w:lineRule="auto"/>
        <w:rPr>
          <w:rFonts w:ascii="Cambria" w:hAnsi="Cambria" w:cs="Times New Roman"/>
          <w:i/>
          <w:sz w:val="22"/>
          <w:szCs w:val="22"/>
        </w:rPr>
      </w:pPr>
      <w:r w:rsidRPr="00190CE5">
        <w:rPr>
          <w:rFonts w:ascii="Cambria" w:hAnsi="Cambria" w:cs="Times New Roman"/>
          <w:i/>
          <w:sz w:val="22"/>
          <w:szCs w:val="22"/>
        </w:rPr>
        <w:t>Human RBCs and platelets</w:t>
      </w:r>
    </w:p>
    <w:p w14:paraId="38E2B3BF" w14:textId="77777777" w:rsidR="000C1E11" w:rsidRPr="00190CE5" w:rsidRDefault="000C1E11" w:rsidP="000C1E11">
      <w:pPr>
        <w:pStyle w:val="CommentText"/>
        <w:spacing w:after="0" w:line="360" w:lineRule="auto"/>
        <w:rPr>
          <w:rFonts w:ascii="Cambria" w:hAnsi="Cambria" w:cs="Times New Roman"/>
          <w:sz w:val="22"/>
          <w:szCs w:val="22"/>
        </w:rPr>
      </w:pPr>
      <w:r w:rsidRPr="00190CE5">
        <w:rPr>
          <w:rFonts w:ascii="Cambria" w:hAnsi="Cambria" w:cs="Times New Roman"/>
          <w:sz w:val="22"/>
          <w:szCs w:val="22"/>
        </w:rPr>
        <w:t xml:space="preserve">To obtain human RBCs, anticoagulant-treated whole blood (lithium heparin Vacutainer, BD Biosciences, Franklin Lakes, NJ) was mixed 1:3 with phosphate-buffered saline (Sigma Aldrich), layered onto a density gradient medium Histopaque-1077 and centrifuged at 480 rpm for 30 min at room temperature. The cell pellet was resuspended into PBS to remove non-erythrocytic cells, </w:t>
      </w:r>
      <w:r w:rsidRPr="00190CE5">
        <w:rPr>
          <w:rFonts w:ascii="Cambria" w:hAnsi="Cambria" w:cs="Times New Roman"/>
          <w:sz w:val="22"/>
          <w:szCs w:val="22"/>
        </w:rPr>
        <w:lastRenderedPageBreak/>
        <w:t>and centrifuged again at 1270 rpm for 15 min</w:t>
      </w:r>
      <w:r w:rsidRPr="00190CE5">
        <w:rPr>
          <w:rFonts w:ascii="Cambria" w:hAnsi="Cambria" w:cs="Times New Roman"/>
          <w:sz w:val="22"/>
          <w:szCs w:val="22"/>
          <w:vertAlign w:val="superscript"/>
        </w:rPr>
        <w:t>51</w:t>
      </w:r>
      <w:r w:rsidRPr="00190CE5">
        <w:rPr>
          <w:rFonts w:ascii="Cambria" w:hAnsi="Cambria" w:cs="Times New Roman"/>
          <w:sz w:val="22"/>
          <w:szCs w:val="22"/>
        </w:rPr>
        <w:t xml:space="preserve"> and the pellet suspended into a DEP medium as described in section 3.1.1, but adjusted to a final conductivity of </w:t>
      </w:r>
      <w:r w:rsidRPr="00190CE5">
        <w:rPr>
          <w:rFonts w:ascii="Cambria" w:hAnsi="Cambria"/>
          <w:sz w:val="22"/>
        </w:rPr>
        <w:t>43 mS.m</w:t>
      </w:r>
      <w:r w:rsidRPr="00190CE5">
        <w:rPr>
          <w:rFonts w:ascii="Cambria" w:hAnsi="Cambria"/>
          <w:sz w:val="22"/>
          <w:vertAlign w:val="superscript"/>
        </w:rPr>
        <w:t>-1</w:t>
      </w:r>
      <w:r w:rsidRPr="00190CE5">
        <w:rPr>
          <w:rFonts w:ascii="Cambria" w:hAnsi="Cambria" w:cs="Times New Roman"/>
          <w:sz w:val="22"/>
          <w:szCs w:val="22"/>
        </w:rPr>
        <w:t>.</w:t>
      </w:r>
    </w:p>
    <w:p w14:paraId="6C166D44" w14:textId="77777777" w:rsidR="000C1E11" w:rsidRPr="00190CE5" w:rsidRDefault="000C1E11" w:rsidP="000C1E11">
      <w:pPr>
        <w:pStyle w:val="CommentText"/>
        <w:spacing w:after="0" w:line="360" w:lineRule="auto"/>
        <w:rPr>
          <w:rFonts w:ascii="Cambria" w:hAnsi="Cambria" w:cs="Times New Roman"/>
          <w:sz w:val="22"/>
          <w:szCs w:val="22"/>
        </w:rPr>
      </w:pPr>
      <w:r w:rsidRPr="00190CE5">
        <w:rPr>
          <w:rFonts w:ascii="Cambria" w:hAnsi="Cambria" w:cs="Times New Roman"/>
          <w:sz w:val="22"/>
          <w:szCs w:val="22"/>
        </w:rPr>
        <w:t xml:space="preserve"> </w:t>
      </w:r>
    </w:p>
    <w:p w14:paraId="336AC376" w14:textId="77777777" w:rsidR="000C1E11" w:rsidRPr="00190CE5" w:rsidRDefault="000C1E11" w:rsidP="000C1E11">
      <w:pPr>
        <w:pStyle w:val="CommentText"/>
        <w:spacing w:after="0" w:line="360" w:lineRule="auto"/>
        <w:rPr>
          <w:rFonts w:ascii="Cambria" w:hAnsi="Cambria" w:cs="Times New Roman"/>
          <w:sz w:val="22"/>
          <w:szCs w:val="22"/>
        </w:rPr>
      </w:pPr>
      <w:r w:rsidRPr="00190CE5">
        <w:rPr>
          <w:rFonts w:ascii="Cambria" w:hAnsi="Cambria" w:cs="Times New Roman"/>
          <w:sz w:val="22"/>
          <w:szCs w:val="22"/>
        </w:rPr>
        <w:t>Platelet-rich plasma was isolated from the fractionated whole blood sample following the 30-minute centrifuge described above. To avoid platelet activation, further centrifugation was not performed, and only minimal (&lt;1%) RBC contamination was observed. Care was taken to gently pipette the platelet layer which formed on top of the RBC pellet and leucocyte layer. For experiments, 10 µl was resuspended in 5 ml DEP medium and adjusted to 43mS.m</w:t>
      </w:r>
      <w:r w:rsidRPr="00190CE5">
        <w:rPr>
          <w:rFonts w:ascii="Cambria" w:hAnsi="Cambria" w:cs="Times New Roman"/>
          <w:sz w:val="22"/>
          <w:szCs w:val="22"/>
          <w:vertAlign w:val="superscript"/>
        </w:rPr>
        <w:t>-1</w:t>
      </w:r>
      <w:r w:rsidRPr="00190CE5">
        <w:rPr>
          <w:rFonts w:ascii="Cambria" w:hAnsi="Cambria" w:cs="Times New Roman"/>
          <w:sz w:val="22"/>
          <w:szCs w:val="22"/>
        </w:rPr>
        <w:t xml:space="preserve">, whilst 200, 400 and 800 </w:t>
      </w:r>
      <w:proofErr w:type="gramStart"/>
      <w:r w:rsidRPr="00190CE5">
        <w:rPr>
          <w:rFonts w:ascii="Cambria" w:hAnsi="Cambria" w:cs="Times New Roman"/>
          <w:sz w:val="22"/>
          <w:szCs w:val="22"/>
        </w:rPr>
        <w:t>m.Sm</w:t>
      </w:r>
      <w:proofErr w:type="gramEnd"/>
      <w:r w:rsidRPr="00190CE5">
        <w:rPr>
          <w:rFonts w:ascii="Cambria" w:hAnsi="Cambria" w:cs="Times New Roman"/>
          <w:sz w:val="22"/>
          <w:szCs w:val="22"/>
          <w:vertAlign w:val="superscript"/>
        </w:rPr>
        <w:t>-1</w:t>
      </w:r>
      <w:r w:rsidRPr="00190CE5">
        <w:rPr>
          <w:rFonts w:ascii="Cambria" w:hAnsi="Cambria"/>
          <w:sz w:val="22"/>
        </w:rPr>
        <w:t xml:space="preserve"> media were achieved by mixing platelet-rich plasma (ca. 1500 mS.m</w:t>
      </w:r>
      <w:r w:rsidRPr="00190CE5">
        <w:rPr>
          <w:rFonts w:ascii="Cambria" w:hAnsi="Cambria"/>
          <w:sz w:val="22"/>
          <w:vertAlign w:val="superscript"/>
        </w:rPr>
        <w:t>-1</w:t>
      </w:r>
      <w:r w:rsidRPr="00190CE5">
        <w:rPr>
          <w:rFonts w:ascii="Cambria" w:hAnsi="Cambria"/>
          <w:sz w:val="22"/>
        </w:rPr>
        <w:t>) and 43 mS.m</w:t>
      </w:r>
      <w:r w:rsidRPr="00190CE5">
        <w:rPr>
          <w:rFonts w:ascii="Cambria" w:hAnsi="Cambria"/>
          <w:sz w:val="22"/>
          <w:vertAlign w:val="superscript"/>
        </w:rPr>
        <w:t>-1</w:t>
      </w:r>
      <w:r w:rsidRPr="00190CE5">
        <w:rPr>
          <w:rFonts w:ascii="Cambria" w:hAnsi="Cambria"/>
          <w:sz w:val="22"/>
        </w:rPr>
        <w:t xml:space="preserve"> DEP medium at different ratios.   Studies were conducted in concordance with the principles of the Declaration of Helsinki; the study received approval from the Ethics Committee of the University of Surrey. </w:t>
      </w:r>
    </w:p>
    <w:p w14:paraId="21D96627" w14:textId="77777777" w:rsidR="000C1E11" w:rsidRPr="00190CE5" w:rsidRDefault="000C1E11" w:rsidP="000C1E11">
      <w:pPr>
        <w:spacing w:after="0"/>
        <w:rPr>
          <w:rFonts w:ascii="Cambria" w:hAnsi="Cambria"/>
          <w:i/>
          <w:sz w:val="22"/>
        </w:rPr>
      </w:pPr>
    </w:p>
    <w:p w14:paraId="2C30A94E" w14:textId="77777777" w:rsidR="000C1E11" w:rsidRPr="00190CE5" w:rsidRDefault="000C1E11" w:rsidP="000C1E11">
      <w:pPr>
        <w:spacing w:after="0"/>
        <w:rPr>
          <w:rFonts w:ascii="Cambria" w:hAnsi="Cambria"/>
          <w:i/>
          <w:sz w:val="22"/>
        </w:rPr>
      </w:pPr>
      <w:r w:rsidRPr="00190CE5">
        <w:rPr>
          <w:rFonts w:ascii="Cambria" w:hAnsi="Cambria"/>
          <w:i/>
          <w:sz w:val="22"/>
        </w:rPr>
        <w:t>Whole vole blood</w:t>
      </w:r>
    </w:p>
    <w:p w14:paraId="61DBE595" w14:textId="5021F380" w:rsidR="000C1E11" w:rsidRPr="00190CE5" w:rsidRDefault="000C1E11" w:rsidP="000C1E11">
      <w:pPr>
        <w:spacing w:after="0"/>
        <w:rPr>
          <w:rFonts w:ascii="Cambria" w:hAnsi="Cambria"/>
          <w:sz w:val="22"/>
        </w:rPr>
      </w:pPr>
      <w:r w:rsidRPr="00190CE5">
        <w:rPr>
          <w:rFonts w:ascii="Cambria" w:hAnsi="Cambria"/>
          <w:sz w:val="22"/>
        </w:rPr>
        <w:t xml:space="preserve">The vole </w:t>
      </w:r>
      <w:r w:rsidRPr="00190CE5">
        <w:rPr>
          <w:rFonts w:ascii="Cambria" w:hAnsi="Cambria" w:cstheme="minorHAnsi"/>
          <w:sz w:val="22"/>
        </w:rPr>
        <w:t>(</w:t>
      </w:r>
      <w:r w:rsidRPr="00190CE5">
        <w:rPr>
          <w:rFonts w:ascii="Cambria" w:hAnsi="Cambria" w:cstheme="minorHAnsi"/>
          <w:i/>
          <w:sz w:val="22"/>
        </w:rPr>
        <w:t xml:space="preserve">Microtus </w:t>
      </w:r>
      <w:proofErr w:type="spellStart"/>
      <w:r w:rsidRPr="00190CE5">
        <w:rPr>
          <w:rFonts w:ascii="Cambria" w:hAnsi="Cambria" w:cstheme="minorHAnsi"/>
          <w:i/>
          <w:sz w:val="22"/>
        </w:rPr>
        <w:t>arvalis</w:t>
      </w:r>
      <w:proofErr w:type="spellEnd"/>
      <w:r w:rsidRPr="00190CE5">
        <w:rPr>
          <w:rFonts w:ascii="Cambria" w:hAnsi="Cambria" w:cstheme="minorHAnsi"/>
          <w:sz w:val="22"/>
        </w:rPr>
        <w:t>)</w:t>
      </w:r>
      <w:r w:rsidRPr="00190CE5">
        <w:rPr>
          <w:rFonts w:ascii="Cambria" w:hAnsi="Cambria"/>
          <w:sz w:val="22"/>
        </w:rPr>
        <w:t xml:space="preserve"> naturally expresses short (ultradian) feeding-fasting cycles and sleep-wake cycles with a period around 2 hours, whilst being housed under a diurnal light-dark cycle</w:t>
      </w:r>
      <w:r w:rsidR="00C44167" w:rsidRPr="00190CE5">
        <w:rPr>
          <w:rFonts w:ascii="Cambria" w:hAnsi="Cambria"/>
          <w:sz w:val="22"/>
          <w:vertAlign w:val="superscript"/>
        </w:rPr>
        <w:t>33,34</w:t>
      </w:r>
      <w:r w:rsidRPr="00190CE5">
        <w:rPr>
          <w:rFonts w:ascii="Cambria" w:hAnsi="Cambria"/>
          <w:sz w:val="22"/>
        </w:rPr>
        <w:t xml:space="preserve">. Voles were housed under a 12-hour light, 12-hour dark cycles, for a period of 10 days, with </w:t>
      </w:r>
      <w:r w:rsidRPr="00190CE5">
        <w:rPr>
          <w:rFonts w:ascii="Cambria" w:hAnsi="Cambria"/>
          <w:i/>
          <w:sz w:val="22"/>
        </w:rPr>
        <w:t>ad libitum</w:t>
      </w:r>
      <w:r w:rsidRPr="00190CE5">
        <w:rPr>
          <w:rFonts w:ascii="Cambria" w:hAnsi="Cambria"/>
          <w:sz w:val="22"/>
        </w:rPr>
        <w:t xml:space="preserve"> access to water and food. Behavioural activity was monitored using Passive Infrared motion detection (</w:t>
      </w:r>
      <w:proofErr w:type="spellStart"/>
      <w:r w:rsidRPr="00190CE5">
        <w:rPr>
          <w:rFonts w:ascii="Cambria" w:hAnsi="Cambria"/>
          <w:sz w:val="22"/>
        </w:rPr>
        <w:t>ClockLab</w:t>
      </w:r>
      <w:proofErr w:type="spellEnd"/>
      <w:r w:rsidRPr="00190CE5">
        <w:rPr>
          <w:rFonts w:ascii="Cambria" w:hAnsi="Cambria"/>
          <w:sz w:val="22"/>
        </w:rPr>
        <w:t xml:space="preserve">, </w:t>
      </w:r>
      <w:proofErr w:type="spellStart"/>
      <w:r w:rsidRPr="00190CE5">
        <w:rPr>
          <w:rFonts w:ascii="Cambria" w:hAnsi="Cambria"/>
          <w:sz w:val="22"/>
        </w:rPr>
        <w:t>Actimetrics</w:t>
      </w:r>
      <w:proofErr w:type="spellEnd"/>
      <w:r w:rsidRPr="00190CE5">
        <w:rPr>
          <w:rFonts w:ascii="Cambria" w:hAnsi="Cambria"/>
          <w:sz w:val="22"/>
        </w:rPr>
        <w:t>, Il, USA), confirming ultradian behavioural activity. At the onset of lights on (known as Zeitgeber Time 0; ZT0) on day 10, tail blood samples (10 µl) were collected using minimally invasive tail pricks every 30 minutes, for a period of 4 hours. Whole blood samples were immediately diluted in 5 ml of 10 mS.m</w:t>
      </w:r>
      <w:r w:rsidRPr="00190CE5">
        <w:rPr>
          <w:rFonts w:ascii="Cambria" w:hAnsi="Cambria"/>
          <w:sz w:val="22"/>
          <w:vertAlign w:val="superscript"/>
        </w:rPr>
        <w:t>-1</w:t>
      </w:r>
      <w:r w:rsidRPr="00190CE5">
        <w:rPr>
          <w:rFonts w:ascii="Cambria" w:hAnsi="Cambria"/>
          <w:sz w:val="22"/>
        </w:rPr>
        <w:t xml:space="preserve"> DEP medium (each sample measured for final conductivity) and analysed within 15 minutes.  The extracted electrophysiological parameters were then fitted with a standard cosine curve, with the period fixed to that of the behavioural activity cycles during the preceding 10 days, and phase, mean estimating statistic of rhythm (</w:t>
      </w:r>
      <w:proofErr w:type="spellStart"/>
      <w:r w:rsidRPr="00190CE5">
        <w:rPr>
          <w:rFonts w:ascii="Cambria" w:hAnsi="Cambria"/>
          <w:sz w:val="22"/>
        </w:rPr>
        <w:t>mesor</w:t>
      </w:r>
      <w:proofErr w:type="spellEnd"/>
      <w:r w:rsidRPr="00190CE5">
        <w:rPr>
          <w:rFonts w:ascii="Cambria" w:hAnsi="Cambria"/>
          <w:sz w:val="22"/>
        </w:rPr>
        <w:t>) and amplitude left to fit as free parameters.  All vole work was approved, and carried out in accordance with the guidelines and regulations of the UK Home Office.</w:t>
      </w:r>
    </w:p>
    <w:p w14:paraId="4C037393" w14:textId="77777777" w:rsidR="000C1E11" w:rsidRPr="00190CE5" w:rsidRDefault="000C1E11" w:rsidP="000C1E11">
      <w:pPr>
        <w:spacing w:after="0"/>
        <w:rPr>
          <w:rFonts w:ascii="Cambria" w:hAnsi="Cambria"/>
          <w:sz w:val="22"/>
        </w:rPr>
      </w:pPr>
    </w:p>
    <w:bookmarkEnd w:id="0"/>
    <w:p w14:paraId="3B759E34" w14:textId="77777777" w:rsidR="000C1E11" w:rsidRPr="00190CE5" w:rsidRDefault="000C1E11" w:rsidP="004A7EF6">
      <w:pPr>
        <w:spacing w:after="0"/>
        <w:rPr>
          <w:rFonts w:ascii="Cambria" w:hAnsi="Cambria"/>
          <w:b/>
        </w:rPr>
      </w:pPr>
      <w:r w:rsidRPr="00190CE5">
        <w:rPr>
          <w:rFonts w:ascii="Cambria" w:hAnsi="Cambria"/>
          <w:b/>
        </w:rPr>
        <w:t>DEP experiments and analysis</w:t>
      </w:r>
    </w:p>
    <w:p w14:paraId="3024AD17" w14:textId="4045E717" w:rsidR="002355CF" w:rsidRPr="005C519B" w:rsidRDefault="000C1E11" w:rsidP="002355CF">
      <w:pPr>
        <w:rPr>
          <w:rFonts w:asciiTheme="majorHAnsi" w:hAnsiTheme="majorHAnsi"/>
          <w:sz w:val="22"/>
        </w:rPr>
      </w:pPr>
      <w:r w:rsidRPr="00190CE5">
        <w:rPr>
          <w:rFonts w:ascii="Cambria" w:hAnsi="Cambria"/>
          <w:sz w:val="22"/>
        </w:rPr>
        <w:t>Approximately 80 µl of cell suspension was injected into the DEP well chip, and a cover glass placed on top in order to avoid the formation of a meniscus, due to surface tension, which could interfere with the measurement of light intensity changes. The chip was inserted into the chip holder of the 3DEP and the door was closed in order to prevent interference from ambient room lighting.  All cells were analysed for 10 seconds except for platelets, which were energised for 30 seconds owing to their smaller size requiring a larger signal.</w:t>
      </w:r>
      <w:r w:rsidR="002355CF" w:rsidRPr="002355CF">
        <w:rPr>
          <w:rFonts w:asciiTheme="majorHAnsi" w:hAnsiTheme="majorHAnsi"/>
          <w:sz w:val="22"/>
        </w:rPr>
        <w:t xml:space="preserve"> </w:t>
      </w:r>
      <w:r w:rsidR="002355CF" w:rsidRPr="005C519B">
        <w:rPr>
          <w:rFonts w:asciiTheme="majorHAnsi" w:hAnsiTheme="majorHAnsi"/>
          <w:sz w:val="22"/>
        </w:rPr>
        <w:t xml:space="preserve">We have studied the 3DEP response </w:t>
      </w:r>
      <w:r w:rsidR="002355CF" w:rsidRPr="005C519B">
        <w:rPr>
          <w:rFonts w:asciiTheme="majorHAnsi" w:hAnsiTheme="majorHAnsi"/>
          <w:sz w:val="22"/>
        </w:rPr>
        <w:lastRenderedPageBreak/>
        <w:t>across a range of particle concentrations and sizes</w:t>
      </w:r>
      <w:r w:rsidR="002355CF">
        <w:rPr>
          <w:rFonts w:asciiTheme="majorHAnsi" w:hAnsiTheme="majorHAnsi"/>
          <w:sz w:val="22"/>
        </w:rPr>
        <w:t>; i</w:t>
      </w:r>
      <w:r w:rsidR="002355CF" w:rsidRPr="005C519B">
        <w:rPr>
          <w:rFonts w:asciiTheme="majorHAnsi" w:hAnsiTheme="majorHAnsi"/>
          <w:sz w:val="22"/>
        </w:rPr>
        <w:t>n general, for mammalian cells 1e6 /ml offers the optimum combination of low noise and low cell requirements.  We have obtained spectra at concentrations an order of magnitude below this</w:t>
      </w:r>
      <w:r w:rsidR="002355CF">
        <w:rPr>
          <w:rFonts w:asciiTheme="majorHAnsi" w:hAnsiTheme="majorHAnsi"/>
          <w:sz w:val="22"/>
        </w:rPr>
        <w:t>, and two orders above</w:t>
      </w:r>
      <w:r w:rsidR="002355CF" w:rsidRPr="005C519B">
        <w:rPr>
          <w:rFonts w:asciiTheme="majorHAnsi" w:hAnsiTheme="majorHAnsi"/>
          <w:sz w:val="22"/>
        </w:rPr>
        <w:t xml:space="preserve">; at lower concentrations noise increases due to a lack of cells interfering with the light beam, whilst concentrations above 1e7/ml reduces the light passing through the well and again increases noise.  Smaller particles such as bacteria require higher concentrations </w:t>
      </w:r>
      <w:r w:rsidR="002355CF">
        <w:rPr>
          <w:rFonts w:asciiTheme="majorHAnsi" w:hAnsiTheme="majorHAnsi"/>
          <w:sz w:val="22"/>
        </w:rPr>
        <w:t xml:space="preserve">than this </w:t>
      </w:r>
      <w:r w:rsidR="002355CF" w:rsidRPr="005C519B">
        <w:rPr>
          <w:rFonts w:asciiTheme="majorHAnsi" w:hAnsiTheme="majorHAnsi"/>
          <w:sz w:val="22"/>
        </w:rPr>
        <w:t>(</w:t>
      </w:r>
      <w:r w:rsidR="002355CF">
        <w:rPr>
          <w:rFonts w:asciiTheme="majorHAnsi" w:hAnsiTheme="majorHAnsi"/>
          <w:sz w:val="22"/>
        </w:rPr>
        <w:t xml:space="preserve">typically </w:t>
      </w:r>
      <w:bookmarkStart w:id="1" w:name="_GoBack"/>
      <w:bookmarkEnd w:id="1"/>
      <w:r w:rsidR="002355CF" w:rsidRPr="005C519B">
        <w:rPr>
          <w:rFonts w:asciiTheme="majorHAnsi" w:hAnsiTheme="majorHAnsi"/>
          <w:sz w:val="22"/>
        </w:rPr>
        <w:t xml:space="preserve">by x10), but are not considered here.  </w:t>
      </w:r>
    </w:p>
    <w:p w14:paraId="2A42F587" w14:textId="77777777" w:rsidR="000C1E11" w:rsidRPr="00190CE5" w:rsidRDefault="000C1E11" w:rsidP="004A7EF6">
      <w:pPr>
        <w:spacing w:after="0"/>
        <w:rPr>
          <w:rFonts w:ascii="Cambria" w:hAnsi="Cambria"/>
          <w:sz w:val="22"/>
        </w:rPr>
      </w:pPr>
    </w:p>
    <w:p w14:paraId="65D1FE34" w14:textId="77777777" w:rsidR="000C1E11" w:rsidRPr="00190CE5" w:rsidRDefault="000C1E11" w:rsidP="000C1E11">
      <w:pPr>
        <w:spacing w:after="0"/>
        <w:rPr>
          <w:rFonts w:ascii="Cambria" w:eastAsia="Calibri" w:hAnsi="Cambria" w:cs="Times New Roman"/>
          <w:sz w:val="22"/>
        </w:rPr>
      </w:pPr>
      <w:r w:rsidRPr="00190CE5">
        <w:rPr>
          <w:rFonts w:ascii="Cambria" w:eastAsia="Calibri" w:hAnsi="Cambria" w:cs="Times New Roman"/>
          <w:sz w:val="22"/>
        </w:rPr>
        <w:t>An aliquot of each cell sample in DEP medium was transferred onto a haemocytometer. Pictures of the cells dispersed over the grid portion of the haemocytometer were taken in order to measure their radii using Image-J software (National Institute of Health, Maryland, US). The scale was calibrated by measuring the number of pixels across a line of the grid of known length. The cell diameter of cells was then measured by placing a horizontal line across the centre of each cell. One hundred cells were measured for each sample. The distribution of cell size was analysed using statistical analysis software SPSS version 20 (SPSS Inc. Chicago, IL).</w:t>
      </w:r>
    </w:p>
    <w:p w14:paraId="4411F9A4" w14:textId="77777777" w:rsidR="000C1E11" w:rsidRPr="00190CE5" w:rsidRDefault="000C1E11" w:rsidP="000C1E11">
      <w:pPr>
        <w:spacing w:after="0"/>
        <w:rPr>
          <w:rFonts w:ascii="Cambria" w:eastAsia="Calibri" w:hAnsi="Cambria" w:cs="Times New Roman"/>
          <w:sz w:val="22"/>
        </w:rPr>
      </w:pPr>
    </w:p>
    <w:p w14:paraId="00A2DFE0" w14:textId="75176E29" w:rsidR="000C1E11" w:rsidRPr="00190CE5" w:rsidRDefault="000C1E11" w:rsidP="000C1E11">
      <w:pPr>
        <w:rPr>
          <w:rFonts w:ascii="Cambria" w:hAnsi="Cambria"/>
          <w:sz w:val="22"/>
        </w:rPr>
      </w:pPr>
      <w:r w:rsidRPr="00190CE5">
        <w:rPr>
          <w:rFonts w:ascii="Cambria" w:hAnsi="Cambria"/>
          <w:sz w:val="22"/>
          <w:lang w:bidi="en-US"/>
        </w:rPr>
        <w:t xml:space="preserve">Post DEP viability was assessed using </w:t>
      </w:r>
      <w:r w:rsidRPr="00190CE5">
        <w:rPr>
          <w:rFonts w:ascii="Cambria" w:hAnsi="Cambria"/>
          <w:sz w:val="22"/>
        </w:rPr>
        <w:t xml:space="preserve">a LIVE/DEAD </w:t>
      </w:r>
      <w:r w:rsidR="0007094E" w:rsidRPr="00190CE5">
        <w:rPr>
          <w:rFonts w:ascii="Cambria" w:hAnsi="Cambria"/>
          <w:sz w:val="22"/>
        </w:rPr>
        <w:t>v</w:t>
      </w:r>
      <w:r w:rsidRPr="00190CE5">
        <w:rPr>
          <w:rFonts w:ascii="Cambria" w:hAnsi="Cambria"/>
          <w:sz w:val="22"/>
        </w:rPr>
        <w:t>iability/</w:t>
      </w:r>
      <w:r w:rsidR="0007094E" w:rsidRPr="00190CE5">
        <w:rPr>
          <w:rFonts w:ascii="Cambria" w:hAnsi="Cambria"/>
          <w:sz w:val="22"/>
        </w:rPr>
        <w:t>c</w:t>
      </w:r>
      <w:r w:rsidRPr="00190CE5">
        <w:rPr>
          <w:rFonts w:ascii="Cambria" w:hAnsi="Cambria"/>
          <w:sz w:val="22"/>
        </w:rPr>
        <w:t xml:space="preserve">ytotoxicity </w:t>
      </w:r>
      <w:r w:rsidR="0007094E" w:rsidRPr="00190CE5">
        <w:rPr>
          <w:rFonts w:ascii="Cambria" w:hAnsi="Cambria"/>
          <w:sz w:val="22"/>
        </w:rPr>
        <w:t>k</w:t>
      </w:r>
      <w:r w:rsidRPr="00190CE5">
        <w:rPr>
          <w:rFonts w:ascii="Cambria" w:hAnsi="Cambria"/>
          <w:sz w:val="22"/>
        </w:rPr>
        <w:t xml:space="preserve">it for mammalian cells (Sigma-Aldrich, UK).  Cells were washed of the serum enriched media with PBS and then incubated for 15 minutes with 200 </w:t>
      </w:r>
      <w:r w:rsidRPr="00190CE5">
        <w:rPr>
          <w:rFonts w:ascii="Cambria" w:hAnsi="Cambria" w:cstheme="minorHAnsi"/>
          <w:sz w:val="22"/>
        </w:rPr>
        <w:t>µ</w:t>
      </w:r>
      <w:r w:rsidRPr="00190CE5">
        <w:rPr>
          <w:rFonts w:ascii="Cambria" w:hAnsi="Cambria"/>
          <w:sz w:val="22"/>
        </w:rPr>
        <w:t>L PBS containing 2 μl.ml</w:t>
      </w:r>
      <w:r w:rsidRPr="00190CE5">
        <w:rPr>
          <w:rFonts w:ascii="Cambria" w:hAnsi="Cambria"/>
          <w:sz w:val="22"/>
          <w:vertAlign w:val="superscript"/>
        </w:rPr>
        <w:t>-1</w:t>
      </w:r>
      <w:r w:rsidRPr="00190CE5">
        <w:rPr>
          <w:rFonts w:ascii="Cambria" w:hAnsi="Cambria"/>
          <w:sz w:val="22"/>
        </w:rPr>
        <w:t xml:space="preserve"> </w:t>
      </w:r>
      <w:proofErr w:type="spellStart"/>
      <w:r w:rsidRPr="00190CE5">
        <w:rPr>
          <w:rFonts w:ascii="Cambria" w:hAnsi="Cambria"/>
          <w:sz w:val="22"/>
        </w:rPr>
        <w:t>calcein</w:t>
      </w:r>
      <w:proofErr w:type="spellEnd"/>
      <w:r w:rsidR="00C2020B">
        <w:rPr>
          <w:rFonts w:ascii="Cambria" w:hAnsi="Cambria"/>
          <w:sz w:val="22"/>
        </w:rPr>
        <w:t>-</w:t>
      </w:r>
      <w:r w:rsidRPr="00190CE5">
        <w:rPr>
          <w:rFonts w:ascii="Cambria" w:hAnsi="Cambria"/>
          <w:sz w:val="22"/>
        </w:rPr>
        <w:t>AM and 6 μl.ml</w:t>
      </w:r>
      <w:r w:rsidRPr="00190CE5">
        <w:rPr>
          <w:rFonts w:ascii="Cambria" w:hAnsi="Cambria"/>
          <w:sz w:val="22"/>
          <w:vertAlign w:val="superscript"/>
        </w:rPr>
        <w:t>-1</w:t>
      </w:r>
      <w:r w:rsidRPr="00190CE5">
        <w:rPr>
          <w:rFonts w:ascii="Cambria" w:hAnsi="Cambria"/>
          <w:sz w:val="22"/>
        </w:rPr>
        <w:t xml:space="preserve"> propidium iodide (PI). </w:t>
      </w:r>
      <w:proofErr w:type="spellStart"/>
      <w:r w:rsidRPr="00190CE5">
        <w:rPr>
          <w:rFonts w:ascii="Cambria" w:hAnsi="Cambria"/>
          <w:sz w:val="22"/>
        </w:rPr>
        <w:t>Calcein</w:t>
      </w:r>
      <w:proofErr w:type="spellEnd"/>
      <w:r w:rsidRPr="00190CE5">
        <w:rPr>
          <w:rFonts w:ascii="Cambria" w:hAnsi="Cambria"/>
          <w:sz w:val="22"/>
        </w:rPr>
        <w:t xml:space="preserve">-AM is enzymatically converted to green fluorescent </w:t>
      </w:r>
      <w:proofErr w:type="spellStart"/>
      <w:r w:rsidRPr="00190CE5">
        <w:rPr>
          <w:rFonts w:ascii="Cambria" w:hAnsi="Cambria"/>
          <w:sz w:val="22"/>
        </w:rPr>
        <w:t>calcein</w:t>
      </w:r>
      <w:proofErr w:type="spellEnd"/>
      <w:r w:rsidRPr="00190CE5">
        <w:rPr>
          <w:rFonts w:ascii="Cambria" w:hAnsi="Cambria"/>
          <w:sz w:val="22"/>
        </w:rPr>
        <w:t xml:space="preserve"> in living cells. PI is a </w:t>
      </w:r>
      <w:proofErr w:type="spellStart"/>
      <w:r w:rsidRPr="00190CE5">
        <w:rPr>
          <w:rFonts w:ascii="Cambria" w:hAnsi="Cambria"/>
          <w:sz w:val="22"/>
        </w:rPr>
        <w:t>nuclein</w:t>
      </w:r>
      <w:proofErr w:type="spellEnd"/>
      <w:r w:rsidRPr="00190CE5">
        <w:rPr>
          <w:rFonts w:ascii="Cambria" w:hAnsi="Cambria"/>
          <w:sz w:val="22"/>
        </w:rPr>
        <w:t xml:space="preserve"> staining dye which cannot pass through a viable cell membrane. It reaches the nucleus by passing through disordered areas of dead cell membrane, and upon nucleic acid-binding produces a red fluorescence.</w:t>
      </w:r>
    </w:p>
    <w:p w14:paraId="037338F2" w14:textId="77777777" w:rsidR="000C1E11" w:rsidRPr="00190CE5" w:rsidRDefault="000C1E11" w:rsidP="004A7EF6">
      <w:pPr>
        <w:spacing w:after="0"/>
        <w:rPr>
          <w:rFonts w:ascii="Cambria" w:hAnsi="Cambria"/>
          <w:b/>
          <w:szCs w:val="24"/>
        </w:rPr>
      </w:pPr>
      <w:r w:rsidRPr="00190CE5">
        <w:rPr>
          <w:rFonts w:ascii="Cambria" w:hAnsi="Cambria"/>
          <w:b/>
          <w:szCs w:val="24"/>
        </w:rPr>
        <w:t>Data extraction</w:t>
      </w:r>
    </w:p>
    <w:p w14:paraId="765C419A" w14:textId="77777777" w:rsidR="000C1E11" w:rsidRPr="00190CE5" w:rsidRDefault="000C1E11" w:rsidP="004A7EF6">
      <w:pPr>
        <w:pStyle w:val="Body"/>
        <w:tabs>
          <w:tab w:val="left" w:pos="4252"/>
          <w:tab w:val="left" w:pos="4961"/>
          <w:tab w:val="left" w:pos="5669"/>
          <w:tab w:val="left" w:pos="6378"/>
          <w:tab w:val="left" w:pos="7087"/>
          <w:tab w:val="left" w:pos="7795"/>
          <w:tab w:val="left" w:pos="8504"/>
          <w:tab w:val="left" w:pos="9213"/>
        </w:tabs>
        <w:spacing w:before="0" w:after="0" w:line="360" w:lineRule="auto"/>
        <w:rPr>
          <w:rFonts w:ascii="Cambria" w:hAnsi="Cambria"/>
          <w:color w:val="auto"/>
          <w:szCs w:val="22"/>
          <w:lang w:val="en-GB"/>
        </w:rPr>
      </w:pPr>
      <w:r w:rsidRPr="00190CE5">
        <w:rPr>
          <w:rFonts w:ascii="Cambria" w:hAnsi="Cambria"/>
          <w:color w:val="auto"/>
          <w:szCs w:val="22"/>
          <w:lang w:val="en-GB"/>
        </w:rPr>
        <w:t>Cell electrophysiological properties were extracted by fitting a mathematical model of the Clausius-Mossotti (C-M) factor to the data</w:t>
      </w:r>
      <w:r w:rsidRPr="00190CE5">
        <w:rPr>
          <w:rFonts w:ascii="Cambria" w:hAnsi="Cambria"/>
          <w:color w:val="auto"/>
          <w:szCs w:val="22"/>
          <w:vertAlign w:val="superscript"/>
          <w:lang w:val="en-GB"/>
        </w:rPr>
        <w:t>27</w:t>
      </w:r>
      <w:r w:rsidRPr="00190CE5">
        <w:rPr>
          <w:rFonts w:ascii="Cambria" w:hAnsi="Cambria"/>
          <w:color w:val="auto"/>
          <w:szCs w:val="22"/>
          <w:lang w:val="en-GB"/>
        </w:rPr>
        <w:t>.  This describes the frequency-dependent polarizability of a lossy dielectric (that is, having both resistance and capacitance) spheroids in a lossy dielectric medium, and can be adapted to examine spheroids comprising multiple concentric “shells” around a central “core”.  Since the use of higher numbers of cells produces more unknowns than measurable variables, we use a single-shell model to describe the cell membrane and cytoplasm.  Where heterogeneous cells are analysed, the resultant DEP spectrum is comprised of the superposition of the separate C-M factors of different subpopulations</w:t>
      </w:r>
      <w:r w:rsidRPr="00190CE5">
        <w:rPr>
          <w:rFonts w:ascii="Cambria" w:hAnsi="Cambria"/>
          <w:color w:val="auto"/>
          <w:szCs w:val="22"/>
          <w:vertAlign w:val="superscript"/>
          <w:lang w:val="en-GB"/>
        </w:rPr>
        <w:t>16</w:t>
      </w:r>
      <w:r w:rsidRPr="00190CE5">
        <w:rPr>
          <w:rFonts w:ascii="Cambria" w:hAnsi="Cambria"/>
          <w:color w:val="auto"/>
          <w:szCs w:val="22"/>
          <w:lang w:val="en-GB"/>
        </w:rPr>
        <w:t>; this has been evaluated with cells of similar size (such as live and dead yeast cells)</w:t>
      </w:r>
      <w:r w:rsidRPr="00190CE5">
        <w:rPr>
          <w:rFonts w:ascii="Cambria" w:hAnsi="Cambria"/>
          <w:color w:val="auto"/>
          <w:szCs w:val="22"/>
          <w:vertAlign w:val="superscript"/>
          <w:lang w:val="en-GB"/>
        </w:rPr>
        <w:t>17</w:t>
      </w:r>
      <w:r w:rsidRPr="00190CE5">
        <w:rPr>
          <w:rFonts w:ascii="Cambria" w:hAnsi="Cambria"/>
          <w:color w:val="auto"/>
          <w:szCs w:val="22"/>
          <w:lang w:val="en-GB"/>
        </w:rPr>
        <w:t xml:space="preserve"> or different size (such as apoptotic cells and apoptotic bodies)</w:t>
      </w:r>
      <w:r w:rsidRPr="00190CE5">
        <w:rPr>
          <w:rFonts w:ascii="Cambria" w:hAnsi="Cambria"/>
          <w:color w:val="auto"/>
          <w:szCs w:val="22"/>
          <w:vertAlign w:val="superscript"/>
          <w:lang w:val="en-GB"/>
        </w:rPr>
        <w:t>22</w:t>
      </w:r>
      <w:r w:rsidRPr="00190CE5">
        <w:rPr>
          <w:rFonts w:ascii="Cambria" w:hAnsi="Cambria"/>
          <w:color w:val="auto"/>
          <w:szCs w:val="22"/>
          <w:lang w:val="en-GB"/>
        </w:rPr>
        <w:t xml:space="preserve"> with good accuracy in discriminating up to four subpopulations; however, in the present work only homogeneous populations were examined.  </w:t>
      </w:r>
      <w:r w:rsidRPr="00190CE5">
        <w:rPr>
          <w:rFonts w:ascii="Cambria" w:hAnsi="Cambria"/>
          <w:color w:val="auto"/>
          <w:szCs w:val="22"/>
          <w:lang w:val="en-GB"/>
        </w:rPr>
        <w:lastRenderedPageBreak/>
        <w:t xml:space="preserve">Fitting between the model and data was performed using a </w:t>
      </w:r>
      <w:r w:rsidRPr="00190CE5">
        <w:rPr>
          <w:rFonts w:ascii="Cambria" w:hAnsi="Cambria"/>
          <w:color w:val="auto"/>
        </w:rPr>
        <w:t>Levenberg–Marquardt</w:t>
      </w:r>
      <w:r w:rsidRPr="00190CE5">
        <w:rPr>
          <w:rFonts w:ascii="Cambria" w:hAnsi="Cambria"/>
          <w:color w:val="auto"/>
          <w:vertAlign w:val="superscript"/>
        </w:rPr>
        <w:t>28</w:t>
      </w:r>
      <w:r w:rsidRPr="00190CE5">
        <w:rPr>
          <w:rFonts w:ascii="Cambria" w:hAnsi="Cambria"/>
          <w:color w:val="auto"/>
        </w:rPr>
        <w:t xml:space="preserve"> </w:t>
      </w:r>
      <w:r w:rsidRPr="00190CE5">
        <w:rPr>
          <w:rFonts w:ascii="Cambria" w:hAnsi="Cambria"/>
          <w:color w:val="auto"/>
          <w:szCs w:val="22"/>
          <w:lang w:val="en-GB"/>
        </w:rPr>
        <w:t xml:space="preserve">best-fit algorithm. </w:t>
      </w:r>
    </w:p>
    <w:p w14:paraId="4C4DA44B" w14:textId="77777777" w:rsidR="000C1E11" w:rsidRPr="00190CE5" w:rsidRDefault="000C1E11" w:rsidP="000C1E11">
      <w:pPr>
        <w:pStyle w:val="Body"/>
        <w:tabs>
          <w:tab w:val="left" w:pos="4252"/>
          <w:tab w:val="left" w:pos="4961"/>
          <w:tab w:val="left" w:pos="5669"/>
          <w:tab w:val="left" w:pos="6378"/>
          <w:tab w:val="left" w:pos="7087"/>
          <w:tab w:val="left" w:pos="7795"/>
          <w:tab w:val="left" w:pos="8504"/>
          <w:tab w:val="left" w:pos="9213"/>
        </w:tabs>
        <w:spacing w:before="0" w:after="0" w:line="360" w:lineRule="auto"/>
        <w:rPr>
          <w:rFonts w:ascii="Cambria" w:hAnsi="Cambria"/>
          <w:color w:val="auto"/>
          <w:szCs w:val="22"/>
          <w:lang w:val="en-GB"/>
        </w:rPr>
      </w:pPr>
    </w:p>
    <w:p w14:paraId="59A4A8B0" w14:textId="77777777" w:rsidR="000C1E11" w:rsidRPr="00190CE5" w:rsidRDefault="000C1E11" w:rsidP="000C1E11">
      <w:pPr>
        <w:pStyle w:val="Body"/>
        <w:tabs>
          <w:tab w:val="left" w:pos="4252"/>
          <w:tab w:val="left" w:pos="4961"/>
          <w:tab w:val="left" w:pos="5669"/>
          <w:tab w:val="left" w:pos="6378"/>
          <w:tab w:val="left" w:pos="7087"/>
          <w:tab w:val="left" w:pos="7795"/>
          <w:tab w:val="left" w:pos="8504"/>
          <w:tab w:val="left" w:pos="9213"/>
        </w:tabs>
        <w:spacing w:before="0" w:after="0" w:line="360" w:lineRule="auto"/>
        <w:rPr>
          <w:rFonts w:ascii="Cambria" w:hAnsi="Cambria"/>
          <w:color w:val="auto"/>
        </w:rPr>
      </w:pPr>
      <w:r w:rsidRPr="00190CE5">
        <w:rPr>
          <w:rFonts w:ascii="Cambria" w:hAnsi="Cambria"/>
          <w:color w:val="auto"/>
          <w:szCs w:val="22"/>
          <w:lang w:val="en-GB"/>
        </w:rPr>
        <w:t>Analysing a large number of cells ensures a high signal-to-noise ratio; spectra from cells such as erythrocytes, regularly fit with a Pearson correlation coefficient r</w:t>
      </w:r>
      <w:r w:rsidRPr="00190CE5">
        <w:rPr>
          <w:rFonts w:ascii="Cambria" w:hAnsi="Cambria"/>
          <w:color w:val="auto"/>
          <w:szCs w:val="22"/>
          <w:vertAlign w:val="superscript"/>
          <w:lang w:val="en-GB"/>
        </w:rPr>
        <w:t>2</w:t>
      </w:r>
      <w:r w:rsidRPr="00190CE5">
        <w:rPr>
          <w:rFonts w:ascii="Cambria" w:hAnsi="Cambria"/>
          <w:color w:val="auto"/>
          <w:szCs w:val="22"/>
          <w:lang w:val="en-GB"/>
        </w:rPr>
        <w:t>&gt;0.99 from a single measurement.  Where the number of cells is low, performing several technical replicates yields fits to their collective frequency-response of a similar quality.   As the system tracks changes in cell distribution within the wells by monitoring optical absorbance, it is able to observe any particle which interferes with the light beam; it can be used for large cells such as cardiomyocytes. However, it is equally effective for measurement of small cells such as erythrocytes, or even micron-scale entities such as platelets, bacteria or apoptotic bodies, which are difficult or even impossible to analyse using conventional electrophysiological assays</w:t>
      </w:r>
      <w:r w:rsidRPr="00190CE5">
        <w:rPr>
          <w:rFonts w:ascii="Cambria" w:hAnsi="Cambria"/>
          <w:color w:val="auto"/>
          <w:szCs w:val="22"/>
          <w:vertAlign w:val="superscript"/>
          <w:lang w:val="en-GB"/>
        </w:rPr>
        <w:t>29</w:t>
      </w:r>
      <w:r w:rsidRPr="00190CE5">
        <w:rPr>
          <w:rFonts w:ascii="Cambria" w:hAnsi="Cambria"/>
          <w:color w:val="auto"/>
          <w:szCs w:val="22"/>
          <w:lang w:val="en-GB"/>
        </w:rPr>
        <w:t xml:space="preserve">. </w:t>
      </w:r>
    </w:p>
    <w:p w14:paraId="22AD2150" w14:textId="77777777" w:rsidR="000C1E11" w:rsidRPr="00190CE5" w:rsidRDefault="000C1E11" w:rsidP="006E7903">
      <w:pPr>
        <w:keepNext/>
        <w:keepLines/>
        <w:spacing w:after="0"/>
        <w:outlineLvl w:val="2"/>
        <w:rPr>
          <w:rFonts w:asciiTheme="majorHAnsi" w:eastAsiaTheme="majorEastAsia" w:hAnsiTheme="majorHAnsi" w:cs="Times New Roman"/>
          <w:b/>
          <w:bCs/>
          <w:sz w:val="22"/>
        </w:rPr>
      </w:pPr>
    </w:p>
    <w:p w14:paraId="3E9DA83F" w14:textId="77777777" w:rsidR="006E7903" w:rsidRPr="00190CE5" w:rsidRDefault="00830C0E" w:rsidP="006E7903">
      <w:pPr>
        <w:spacing w:after="0"/>
        <w:rPr>
          <w:rFonts w:asciiTheme="majorHAnsi" w:hAnsiTheme="majorHAnsi"/>
          <w:b/>
          <w:sz w:val="32"/>
          <w:szCs w:val="32"/>
        </w:rPr>
      </w:pPr>
      <w:r w:rsidRPr="00190CE5">
        <w:rPr>
          <w:rFonts w:asciiTheme="majorHAnsi" w:hAnsiTheme="majorHAnsi"/>
          <w:b/>
          <w:sz w:val="32"/>
          <w:szCs w:val="32"/>
        </w:rPr>
        <w:t xml:space="preserve">4. </w:t>
      </w:r>
      <w:r w:rsidR="006E7903" w:rsidRPr="00190CE5">
        <w:rPr>
          <w:rFonts w:asciiTheme="majorHAnsi" w:hAnsiTheme="majorHAnsi"/>
          <w:b/>
          <w:sz w:val="32"/>
          <w:szCs w:val="32"/>
        </w:rPr>
        <w:t>Results</w:t>
      </w:r>
      <w:r w:rsidR="003D4BEA" w:rsidRPr="00190CE5">
        <w:rPr>
          <w:rFonts w:asciiTheme="majorHAnsi" w:hAnsiTheme="majorHAnsi"/>
          <w:b/>
          <w:sz w:val="32"/>
          <w:szCs w:val="32"/>
        </w:rPr>
        <w:t xml:space="preserve"> and Discussion</w:t>
      </w:r>
    </w:p>
    <w:p w14:paraId="6CE1100A" w14:textId="77777777" w:rsidR="00AA1054" w:rsidRPr="00190CE5" w:rsidRDefault="00AA1054" w:rsidP="00AA1054">
      <w:pPr>
        <w:spacing w:after="0"/>
        <w:rPr>
          <w:rFonts w:asciiTheme="majorHAnsi" w:hAnsiTheme="majorHAnsi"/>
          <w:b/>
          <w:sz w:val="22"/>
        </w:rPr>
      </w:pPr>
      <w:r w:rsidRPr="00190CE5">
        <w:rPr>
          <w:rFonts w:asciiTheme="majorHAnsi" w:hAnsiTheme="majorHAnsi"/>
          <w:b/>
          <w:sz w:val="22"/>
        </w:rPr>
        <w:t>4.1. Ultra-high-resolution DEP spectra</w:t>
      </w:r>
    </w:p>
    <w:p w14:paraId="11313683" w14:textId="01EFD278" w:rsidR="00AA1054" w:rsidRPr="00190CE5" w:rsidRDefault="00AA1054" w:rsidP="00AA1054">
      <w:pPr>
        <w:pStyle w:val="Body"/>
        <w:tabs>
          <w:tab w:val="left" w:pos="4252"/>
          <w:tab w:val="left" w:pos="4961"/>
          <w:tab w:val="left" w:pos="5669"/>
          <w:tab w:val="left" w:pos="6378"/>
          <w:tab w:val="left" w:pos="7087"/>
          <w:tab w:val="left" w:pos="7795"/>
          <w:tab w:val="left" w:pos="8504"/>
          <w:tab w:val="left" w:pos="9213"/>
        </w:tabs>
        <w:spacing w:before="0" w:after="0" w:line="360" w:lineRule="auto"/>
        <w:rPr>
          <w:rFonts w:asciiTheme="majorHAnsi" w:hAnsiTheme="majorHAnsi"/>
          <w:color w:val="auto"/>
        </w:rPr>
      </w:pPr>
      <w:r w:rsidRPr="00190CE5">
        <w:rPr>
          <w:rFonts w:asciiTheme="majorHAnsi" w:hAnsiTheme="majorHAnsi"/>
          <w:color w:val="auto"/>
        </w:rPr>
        <w:t>The DEP system uses 20 wells, enabling 4 decades to be studied at approximately 5 points per decade.  Given that dielectric dispersions in the DEP spectrum take approx</w:t>
      </w:r>
      <w:r w:rsidR="007D2C9F" w:rsidRPr="00190CE5">
        <w:rPr>
          <w:rFonts w:asciiTheme="majorHAnsi" w:hAnsiTheme="majorHAnsi"/>
          <w:color w:val="auto"/>
        </w:rPr>
        <w:t>imately one decade to complete</w:t>
      </w:r>
      <w:r w:rsidR="00CE23E6" w:rsidRPr="00190CE5">
        <w:rPr>
          <w:rFonts w:asciiTheme="majorHAnsi" w:hAnsiTheme="majorHAnsi"/>
          <w:color w:val="auto"/>
          <w:vertAlign w:val="superscript"/>
        </w:rPr>
        <w:t>1</w:t>
      </w:r>
      <w:r w:rsidR="007D271F" w:rsidRPr="00190CE5">
        <w:rPr>
          <w:rFonts w:asciiTheme="majorHAnsi" w:hAnsiTheme="majorHAnsi"/>
          <w:color w:val="auto"/>
          <w:vertAlign w:val="superscript"/>
        </w:rPr>
        <w:t>6</w:t>
      </w:r>
      <w:r w:rsidRPr="00190CE5">
        <w:rPr>
          <w:rFonts w:asciiTheme="majorHAnsi" w:hAnsiTheme="majorHAnsi"/>
          <w:color w:val="auto"/>
        </w:rPr>
        <w:t xml:space="preserve">, we can assume that 20 points affords sufficient resolution to accurately observe all of the key features of the DEP spectrum (low, middle and high frequency plateaus and two dispersions).  However, since the acquisition of a 20-point spectrum takes such a short time, we were able to examine this assumption by rapidly acquiring 100-point spectra in a little more than five minutes.  This was achieved by analyzing five chips in rapid succession, each loaded with the same cell solution but </w:t>
      </w:r>
      <w:r w:rsidRPr="00190CE5">
        <w:rPr>
          <w:rFonts w:asciiTheme="majorHAnsi" w:hAnsiTheme="majorHAnsi"/>
          <w:color w:val="auto"/>
          <w:szCs w:val="22"/>
        </w:rPr>
        <w:t>energized with a set of frequencies shifted slightly across the logarithmic scale with respect to those used on the previous chip.  Using five chips and shifting the frequency range of each successive chip by a factor of 1.118, we synthesize</w:t>
      </w:r>
      <w:r w:rsidR="00337306" w:rsidRPr="00190CE5">
        <w:rPr>
          <w:rFonts w:asciiTheme="majorHAnsi" w:hAnsiTheme="majorHAnsi"/>
          <w:color w:val="auto"/>
          <w:szCs w:val="22"/>
        </w:rPr>
        <w:t>d</w:t>
      </w:r>
      <w:r w:rsidRPr="00190CE5">
        <w:rPr>
          <w:rFonts w:asciiTheme="majorHAnsi" w:hAnsiTheme="majorHAnsi"/>
          <w:color w:val="auto"/>
          <w:szCs w:val="22"/>
        </w:rPr>
        <w:t xml:space="preserve"> the equivalent of 100-point </w:t>
      </w:r>
      <w:r w:rsidR="00337306" w:rsidRPr="00190CE5">
        <w:rPr>
          <w:rFonts w:asciiTheme="majorHAnsi" w:hAnsiTheme="majorHAnsi"/>
          <w:color w:val="auto"/>
          <w:szCs w:val="22"/>
        </w:rPr>
        <w:t>spectra</w:t>
      </w:r>
      <w:r w:rsidRPr="00190CE5">
        <w:rPr>
          <w:rFonts w:asciiTheme="majorHAnsi" w:hAnsiTheme="majorHAnsi"/>
          <w:color w:val="auto"/>
          <w:szCs w:val="22"/>
        </w:rPr>
        <w:t>, as shown in Figure 4.   We acquired and modelled 100-point spectra from K562 cells, RBCs and yeast cells.</w:t>
      </w:r>
    </w:p>
    <w:p w14:paraId="28050234" w14:textId="77777777" w:rsidR="00AA1054" w:rsidRPr="00190CE5" w:rsidRDefault="00AA1054" w:rsidP="00AA1054">
      <w:pPr>
        <w:pStyle w:val="Body"/>
        <w:tabs>
          <w:tab w:val="left" w:pos="4252"/>
          <w:tab w:val="left" w:pos="4961"/>
          <w:tab w:val="left" w:pos="5669"/>
          <w:tab w:val="left" w:pos="6378"/>
          <w:tab w:val="left" w:pos="7087"/>
          <w:tab w:val="left" w:pos="7795"/>
          <w:tab w:val="left" w:pos="8504"/>
          <w:tab w:val="left" w:pos="9213"/>
        </w:tabs>
        <w:spacing w:before="0" w:after="0" w:line="360" w:lineRule="auto"/>
        <w:rPr>
          <w:rFonts w:asciiTheme="majorHAnsi" w:hAnsiTheme="majorHAnsi"/>
          <w:color w:val="auto"/>
          <w:szCs w:val="22"/>
        </w:rPr>
      </w:pPr>
    </w:p>
    <w:p w14:paraId="17D9D83E" w14:textId="6F0DD8F3" w:rsidR="00AA1054" w:rsidRPr="00190CE5" w:rsidRDefault="00AA1054" w:rsidP="00AA1054">
      <w:pPr>
        <w:pStyle w:val="Body"/>
        <w:tabs>
          <w:tab w:val="left" w:pos="4252"/>
          <w:tab w:val="left" w:pos="4961"/>
          <w:tab w:val="left" w:pos="5669"/>
          <w:tab w:val="left" w:pos="6378"/>
          <w:tab w:val="left" w:pos="7087"/>
          <w:tab w:val="left" w:pos="7795"/>
          <w:tab w:val="left" w:pos="8504"/>
          <w:tab w:val="left" w:pos="9213"/>
        </w:tabs>
        <w:spacing w:before="0" w:after="0" w:line="360" w:lineRule="auto"/>
        <w:rPr>
          <w:rFonts w:asciiTheme="majorHAnsi" w:hAnsiTheme="majorHAnsi"/>
          <w:color w:val="auto"/>
          <w:szCs w:val="22"/>
        </w:rPr>
      </w:pPr>
      <w:r w:rsidRPr="00190CE5">
        <w:rPr>
          <w:rFonts w:asciiTheme="majorHAnsi" w:hAnsiTheme="majorHAnsi"/>
          <w:color w:val="auto"/>
          <w:szCs w:val="22"/>
        </w:rPr>
        <w:t xml:space="preserve">This allowed us to test the hypothesis that 20 points are sufficient to produce accurate data for modelling.  </w:t>
      </w:r>
      <w:r w:rsidR="00337306" w:rsidRPr="00190CE5">
        <w:rPr>
          <w:rFonts w:asciiTheme="majorHAnsi" w:hAnsiTheme="majorHAnsi"/>
          <w:color w:val="auto"/>
          <w:szCs w:val="22"/>
        </w:rPr>
        <w:t>The f</w:t>
      </w:r>
      <w:r w:rsidRPr="00190CE5">
        <w:rPr>
          <w:rFonts w:asciiTheme="majorHAnsi" w:hAnsiTheme="majorHAnsi"/>
          <w:color w:val="auto"/>
          <w:szCs w:val="22"/>
        </w:rPr>
        <w:t xml:space="preserve">ive 20-point spectra were modelled separately, then combined to produce a </w:t>
      </w:r>
      <w:r w:rsidRPr="00190CE5">
        <w:rPr>
          <w:rFonts w:asciiTheme="majorHAnsi" w:hAnsiTheme="majorHAnsi"/>
          <w:color w:val="auto"/>
        </w:rPr>
        <w:t xml:space="preserve">100-point spectrum that was </w:t>
      </w:r>
      <w:r w:rsidR="00337306" w:rsidRPr="00190CE5">
        <w:rPr>
          <w:rFonts w:asciiTheme="majorHAnsi" w:hAnsiTheme="majorHAnsi"/>
          <w:color w:val="auto"/>
        </w:rPr>
        <w:t>re</w:t>
      </w:r>
      <w:r w:rsidRPr="00190CE5">
        <w:rPr>
          <w:rFonts w:asciiTheme="majorHAnsi" w:hAnsiTheme="majorHAnsi"/>
          <w:color w:val="auto"/>
        </w:rPr>
        <w:t xml:space="preserve">modeled.  One-way ANOVA with multiple comparisons across all frequencies showed that none of the data points was statistically different from the model mean (p&gt;0.05 for all points).  We also analyzed the statistical distribution of each frequency of ten 100-point spectra </w:t>
      </w:r>
      <w:r w:rsidRPr="00190CE5">
        <w:rPr>
          <w:rFonts w:asciiTheme="majorHAnsi" w:hAnsiTheme="majorHAnsi"/>
          <w:color w:val="auto"/>
          <w:lang w:bidi="en-US"/>
        </w:rPr>
        <w:t xml:space="preserve">to examine data point distribution and significance. </w:t>
      </w:r>
      <w:r w:rsidRPr="00190CE5">
        <w:rPr>
          <w:rFonts w:asciiTheme="majorHAnsi" w:hAnsiTheme="majorHAnsi"/>
          <w:color w:val="auto"/>
        </w:rPr>
        <w:t xml:space="preserve">A D’Agostino and Pearson </w:t>
      </w:r>
      <w:r w:rsidRPr="00190CE5">
        <w:rPr>
          <w:rFonts w:asciiTheme="majorHAnsi" w:hAnsiTheme="majorHAnsi"/>
          <w:color w:val="auto"/>
        </w:rPr>
        <w:lastRenderedPageBreak/>
        <w:t xml:space="preserve">omnibus normality test was conducted across all 100 frequencies, which revealed that all but three frequencies demonstrated normal distribution </w:t>
      </w:r>
      <w:r w:rsidRPr="00190CE5">
        <w:rPr>
          <w:rFonts w:asciiTheme="majorHAnsi" w:hAnsiTheme="majorHAnsi"/>
          <w:color w:val="auto"/>
          <w:szCs w:val="22"/>
        </w:rPr>
        <w:t xml:space="preserve">across the 10 repeats. </w:t>
      </w:r>
    </w:p>
    <w:p w14:paraId="63324AB9" w14:textId="0BA0BCAF" w:rsidR="00AA1054" w:rsidRPr="00190CE5" w:rsidRDefault="00AA1054" w:rsidP="00AA1054">
      <w:pPr>
        <w:pStyle w:val="Body"/>
        <w:tabs>
          <w:tab w:val="left" w:pos="4252"/>
          <w:tab w:val="left" w:pos="4961"/>
          <w:tab w:val="left" w:pos="5669"/>
          <w:tab w:val="left" w:pos="6378"/>
          <w:tab w:val="left" w:pos="7087"/>
          <w:tab w:val="left" w:pos="7795"/>
          <w:tab w:val="left" w:pos="8504"/>
          <w:tab w:val="left" w:pos="9213"/>
        </w:tabs>
        <w:spacing w:before="0" w:after="0" w:line="360" w:lineRule="auto"/>
        <w:rPr>
          <w:rFonts w:asciiTheme="majorHAnsi" w:hAnsiTheme="majorHAnsi"/>
          <w:color w:val="auto"/>
          <w:szCs w:val="22"/>
        </w:rPr>
      </w:pPr>
    </w:p>
    <w:p w14:paraId="26456FCF" w14:textId="7C524467" w:rsidR="004631E4" w:rsidRPr="00190CE5" w:rsidRDefault="00830C0E" w:rsidP="004631E4">
      <w:pPr>
        <w:spacing w:after="0"/>
        <w:rPr>
          <w:rFonts w:asciiTheme="majorHAnsi" w:eastAsia="Calibri" w:hAnsiTheme="majorHAnsi" w:cs="Times New Roman"/>
          <w:b/>
          <w:sz w:val="22"/>
        </w:rPr>
      </w:pPr>
      <w:r w:rsidRPr="00190CE5">
        <w:rPr>
          <w:rFonts w:asciiTheme="majorHAnsi" w:eastAsia="Calibri" w:hAnsiTheme="majorHAnsi" w:cs="Times New Roman"/>
          <w:b/>
          <w:sz w:val="22"/>
        </w:rPr>
        <w:t>4.</w:t>
      </w:r>
      <w:r w:rsidR="00AA1054" w:rsidRPr="00190CE5">
        <w:rPr>
          <w:rFonts w:asciiTheme="majorHAnsi" w:eastAsia="Calibri" w:hAnsiTheme="majorHAnsi" w:cs="Times New Roman"/>
          <w:b/>
          <w:sz w:val="22"/>
        </w:rPr>
        <w:t>2</w:t>
      </w:r>
      <w:r w:rsidRPr="00190CE5">
        <w:rPr>
          <w:rFonts w:asciiTheme="majorHAnsi" w:eastAsia="Calibri" w:hAnsiTheme="majorHAnsi" w:cs="Times New Roman"/>
          <w:b/>
          <w:sz w:val="22"/>
        </w:rPr>
        <w:t xml:space="preserve"> </w:t>
      </w:r>
      <w:r w:rsidR="00430B16" w:rsidRPr="00190CE5">
        <w:rPr>
          <w:rFonts w:asciiTheme="majorHAnsi" w:eastAsia="Calibri" w:hAnsiTheme="majorHAnsi" w:cs="Times New Roman"/>
          <w:b/>
          <w:sz w:val="22"/>
        </w:rPr>
        <w:t>Benchmarking</w:t>
      </w:r>
      <w:r w:rsidR="00FE67D2" w:rsidRPr="00190CE5">
        <w:rPr>
          <w:rFonts w:asciiTheme="majorHAnsi" w:eastAsia="Calibri" w:hAnsiTheme="majorHAnsi" w:cs="Times New Roman"/>
          <w:b/>
          <w:sz w:val="22"/>
        </w:rPr>
        <w:t xml:space="preserve"> against </w:t>
      </w:r>
      <w:r w:rsidR="00430B16" w:rsidRPr="00190CE5">
        <w:rPr>
          <w:rFonts w:asciiTheme="majorHAnsi" w:eastAsia="Calibri" w:hAnsiTheme="majorHAnsi" w:cs="Times New Roman"/>
          <w:b/>
          <w:sz w:val="22"/>
        </w:rPr>
        <w:t xml:space="preserve">published </w:t>
      </w:r>
      <w:r w:rsidR="004631E4" w:rsidRPr="00190CE5">
        <w:rPr>
          <w:rFonts w:asciiTheme="majorHAnsi" w:eastAsia="Calibri" w:hAnsiTheme="majorHAnsi" w:cs="Times New Roman"/>
          <w:b/>
          <w:sz w:val="22"/>
        </w:rPr>
        <w:t>data</w:t>
      </w:r>
    </w:p>
    <w:p w14:paraId="57599F30" w14:textId="5EB364A9" w:rsidR="004A63F1" w:rsidRPr="00190CE5" w:rsidRDefault="00C2283B" w:rsidP="004631E4">
      <w:pPr>
        <w:spacing w:after="0"/>
        <w:rPr>
          <w:rFonts w:asciiTheme="majorHAnsi" w:eastAsia="Calibri" w:hAnsiTheme="majorHAnsi" w:cs="Times New Roman"/>
          <w:sz w:val="22"/>
        </w:rPr>
      </w:pPr>
      <w:r w:rsidRPr="00190CE5">
        <w:rPr>
          <w:rFonts w:asciiTheme="majorHAnsi" w:eastAsia="Calibri" w:hAnsiTheme="majorHAnsi" w:cs="Times New Roman"/>
          <w:sz w:val="22"/>
        </w:rPr>
        <w:t xml:space="preserve">We compared </w:t>
      </w:r>
      <w:r w:rsidR="004A63F1" w:rsidRPr="00190CE5">
        <w:rPr>
          <w:rFonts w:asciiTheme="majorHAnsi" w:eastAsia="Calibri" w:hAnsiTheme="majorHAnsi" w:cs="Times New Roman"/>
          <w:sz w:val="22"/>
        </w:rPr>
        <w:t xml:space="preserve">the electrophysiological data acquired using the 3DEP </w:t>
      </w:r>
      <w:r w:rsidR="00372C3C" w:rsidRPr="00190CE5">
        <w:rPr>
          <w:rFonts w:asciiTheme="majorHAnsi" w:eastAsia="Calibri" w:hAnsiTheme="majorHAnsi" w:cs="Times New Roman"/>
          <w:sz w:val="22"/>
        </w:rPr>
        <w:t>platform</w:t>
      </w:r>
      <w:r w:rsidRPr="00190CE5">
        <w:rPr>
          <w:rFonts w:asciiTheme="majorHAnsi" w:eastAsia="Calibri" w:hAnsiTheme="majorHAnsi" w:cs="Times New Roman"/>
          <w:sz w:val="22"/>
        </w:rPr>
        <w:t xml:space="preserve"> </w:t>
      </w:r>
      <w:r w:rsidR="004A63F1" w:rsidRPr="00190CE5">
        <w:rPr>
          <w:rFonts w:asciiTheme="majorHAnsi" w:eastAsia="Calibri" w:hAnsiTheme="majorHAnsi" w:cs="Times New Roman"/>
          <w:sz w:val="22"/>
        </w:rPr>
        <w:t xml:space="preserve">with literature values reported either by DEP or patch clamp.  For DEP measurement, we compared values acquired for </w:t>
      </w:r>
      <w:proofErr w:type="spellStart"/>
      <w:r w:rsidR="004A63F1" w:rsidRPr="00190CE5">
        <w:rPr>
          <w:rFonts w:asciiTheme="majorHAnsi" w:eastAsia="Calibri" w:hAnsiTheme="majorHAnsi" w:cs="Times New Roman"/>
          <w:sz w:val="22"/>
        </w:rPr>
        <w:t>Jurkat</w:t>
      </w:r>
      <w:proofErr w:type="spellEnd"/>
      <w:r w:rsidR="004A63F1" w:rsidRPr="00190CE5">
        <w:rPr>
          <w:rFonts w:asciiTheme="majorHAnsi" w:eastAsia="Calibri" w:hAnsiTheme="majorHAnsi" w:cs="Times New Roman"/>
          <w:sz w:val="22"/>
        </w:rPr>
        <w:t xml:space="preserve"> cells, which have been performed by a relatively large number of other practitioners; for patch clamp we compared RBCs, platelets, </w:t>
      </w:r>
      <w:proofErr w:type="spellStart"/>
      <w:r w:rsidR="004A63F1" w:rsidRPr="00190CE5">
        <w:rPr>
          <w:rFonts w:asciiTheme="majorHAnsi" w:eastAsia="Calibri" w:hAnsiTheme="majorHAnsi" w:cs="Times New Roman"/>
          <w:sz w:val="22"/>
        </w:rPr>
        <w:t>Jurkats</w:t>
      </w:r>
      <w:proofErr w:type="spellEnd"/>
      <w:r w:rsidR="004A63F1" w:rsidRPr="00190CE5">
        <w:rPr>
          <w:rFonts w:asciiTheme="majorHAnsi" w:eastAsia="Calibri" w:hAnsiTheme="majorHAnsi" w:cs="Times New Roman"/>
          <w:sz w:val="22"/>
        </w:rPr>
        <w:t xml:space="preserve">, K562 and </w:t>
      </w:r>
      <w:r w:rsidR="00107986" w:rsidRPr="00190CE5">
        <w:rPr>
          <w:rFonts w:asciiTheme="majorHAnsi" w:eastAsia="Calibri" w:hAnsiTheme="majorHAnsi" w:cs="Times New Roman"/>
          <w:sz w:val="22"/>
        </w:rPr>
        <w:t xml:space="preserve">HL-1 </w:t>
      </w:r>
      <w:r w:rsidR="004A63F1" w:rsidRPr="00190CE5">
        <w:rPr>
          <w:rFonts w:asciiTheme="majorHAnsi" w:eastAsia="Calibri" w:hAnsiTheme="majorHAnsi" w:cs="Times New Roman"/>
          <w:sz w:val="22"/>
        </w:rPr>
        <w:t xml:space="preserve">cells.  Note that </w:t>
      </w:r>
      <w:r w:rsidR="00753F24" w:rsidRPr="00190CE5">
        <w:rPr>
          <w:rFonts w:asciiTheme="majorHAnsi" w:eastAsia="Calibri" w:hAnsiTheme="majorHAnsi" w:cs="Times New Roman"/>
          <w:sz w:val="22"/>
        </w:rPr>
        <w:t xml:space="preserve">additionally, the </w:t>
      </w:r>
      <w:r w:rsidR="004A63F1" w:rsidRPr="00190CE5">
        <w:rPr>
          <w:rFonts w:asciiTheme="majorHAnsi" w:hAnsiTheme="majorHAnsi"/>
          <w:sz w:val="22"/>
        </w:rPr>
        <w:t xml:space="preserve">cytoplasm conductivity </w:t>
      </w:r>
      <w:r w:rsidR="00107986" w:rsidRPr="00190CE5">
        <w:rPr>
          <w:rFonts w:asciiTheme="majorHAnsi" w:hAnsiTheme="majorHAnsi"/>
          <w:sz w:val="22"/>
        </w:rPr>
        <w:t xml:space="preserve">of HL-1 </w:t>
      </w:r>
      <w:r w:rsidR="00753F24" w:rsidRPr="00190CE5">
        <w:rPr>
          <w:rFonts w:asciiTheme="majorHAnsi" w:hAnsiTheme="majorHAnsi"/>
          <w:sz w:val="22"/>
        </w:rPr>
        <w:t xml:space="preserve">cardiomyocytes </w:t>
      </w:r>
      <w:r w:rsidR="004A63F1" w:rsidRPr="00190CE5">
        <w:rPr>
          <w:rFonts w:asciiTheme="majorHAnsi" w:hAnsiTheme="majorHAnsi"/>
          <w:sz w:val="22"/>
        </w:rPr>
        <w:t xml:space="preserve">has </w:t>
      </w:r>
      <w:r w:rsidRPr="00190CE5">
        <w:rPr>
          <w:rFonts w:asciiTheme="majorHAnsi" w:hAnsiTheme="majorHAnsi"/>
          <w:sz w:val="22"/>
        </w:rPr>
        <w:t xml:space="preserve">previously </w:t>
      </w:r>
      <w:r w:rsidR="004A63F1" w:rsidRPr="00190CE5">
        <w:rPr>
          <w:rFonts w:asciiTheme="majorHAnsi" w:hAnsiTheme="majorHAnsi"/>
          <w:sz w:val="22"/>
        </w:rPr>
        <w:t xml:space="preserve">been benchmarked against standard electrophysiological methods </w:t>
      </w:r>
      <w:r w:rsidR="00AA1054" w:rsidRPr="00190CE5">
        <w:rPr>
          <w:rFonts w:asciiTheme="majorHAnsi" w:hAnsiTheme="majorHAnsi"/>
          <w:sz w:val="22"/>
        </w:rPr>
        <w:t>used in cardiac</w:t>
      </w:r>
      <w:r w:rsidR="00753F24" w:rsidRPr="00190CE5">
        <w:rPr>
          <w:rFonts w:asciiTheme="majorHAnsi" w:hAnsiTheme="majorHAnsi"/>
          <w:sz w:val="22"/>
        </w:rPr>
        <w:t xml:space="preserve"> physiology</w:t>
      </w:r>
      <w:r w:rsidR="00CE23E6" w:rsidRPr="00190CE5">
        <w:rPr>
          <w:rFonts w:asciiTheme="majorHAnsi" w:hAnsiTheme="majorHAnsi"/>
          <w:sz w:val="22"/>
          <w:vertAlign w:val="superscript"/>
        </w:rPr>
        <w:t>1</w:t>
      </w:r>
      <w:r w:rsidR="007D271F" w:rsidRPr="00190CE5">
        <w:rPr>
          <w:rFonts w:asciiTheme="majorHAnsi" w:hAnsiTheme="majorHAnsi"/>
          <w:sz w:val="22"/>
          <w:vertAlign w:val="superscript"/>
        </w:rPr>
        <w:t>8</w:t>
      </w:r>
      <w:r w:rsidR="00691A19" w:rsidRPr="00190CE5">
        <w:rPr>
          <w:rFonts w:asciiTheme="majorHAnsi" w:hAnsiTheme="majorHAnsi"/>
          <w:sz w:val="22"/>
        </w:rPr>
        <w:t>.</w:t>
      </w:r>
      <w:r w:rsidR="004A63F1" w:rsidRPr="00190CE5">
        <w:rPr>
          <w:rFonts w:asciiTheme="majorHAnsi" w:hAnsiTheme="majorHAnsi"/>
          <w:sz w:val="22"/>
        </w:rPr>
        <w:t xml:space="preserve"> </w:t>
      </w:r>
    </w:p>
    <w:p w14:paraId="73C9EB47" w14:textId="56AB2ADE" w:rsidR="004A63F1" w:rsidRPr="00190CE5" w:rsidRDefault="004A63F1" w:rsidP="004631E4">
      <w:pPr>
        <w:spacing w:after="0"/>
        <w:rPr>
          <w:rFonts w:asciiTheme="majorHAnsi" w:eastAsia="Calibri" w:hAnsiTheme="majorHAnsi" w:cs="Times New Roman"/>
          <w:sz w:val="22"/>
        </w:rPr>
      </w:pPr>
    </w:p>
    <w:p w14:paraId="031E5AE7" w14:textId="17F62768" w:rsidR="001F2398" w:rsidRPr="00190CE5" w:rsidRDefault="001F2398" w:rsidP="004631E4">
      <w:pPr>
        <w:spacing w:after="0"/>
        <w:rPr>
          <w:rFonts w:asciiTheme="majorHAnsi" w:eastAsia="Calibri" w:hAnsiTheme="majorHAnsi" w:cs="Times New Roman"/>
          <w:i/>
          <w:sz w:val="22"/>
        </w:rPr>
      </w:pPr>
      <w:r w:rsidRPr="00190CE5">
        <w:rPr>
          <w:rFonts w:asciiTheme="majorHAnsi" w:eastAsia="Calibri" w:hAnsiTheme="majorHAnsi" w:cs="Times New Roman"/>
          <w:i/>
          <w:sz w:val="22"/>
        </w:rPr>
        <w:t>4.1.1</w:t>
      </w:r>
      <w:r w:rsidR="00D254C2" w:rsidRPr="00190CE5">
        <w:rPr>
          <w:rFonts w:asciiTheme="majorHAnsi" w:eastAsia="Calibri" w:hAnsiTheme="majorHAnsi" w:cs="Times New Roman"/>
          <w:i/>
          <w:sz w:val="22"/>
        </w:rPr>
        <w:t>.</w:t>
      </w:r>
      <w:r w:rsidRPr="00190CE5">
        <w:rPr>
          <w:rFonts w:asciiTheme="majorHAnsi" w:eastAsia="Calibri" w:hAnsiTheme="majorHAnsi" w:cs="Times New Roman"/>
          <w:i/>
          <w:sz w:val="22"/>
        </w:rPr>
        <w:t xml:space="preserve"> Bench marking DEP parameters </w:t>
      </w:r>
    </w:p>
    <w:p w14:paraId="72B71011" w14:textId="16564DD6" w:rsidR="001666FA" w:rsidRPr="00190CE5" w:rsidRDefault="00FB326F" w:rsidP="004631E4">
      <w:pPr>
        <w:spacing w:after="0"/>
        <w:rPr>
          <w:rFonts w:asciiTheme="majorHAnsi" w:eastAsia="Calibri" w:hAnsiTheme="majorHAnsi" w:cs="Times New Roman"/>
          <w:sz w:val="22"/>
        </w:rPr>
      </w:pPr>
      <w:r w:rsidRPr="00190CE5">
        <w:rPr>
          <w:rFonts w:asciiTheme="majorHAnsi" w:eastAsia="Calibri" w:hAnsiTheme="majorHAnsi" w:cs="Times New Roman"/>
          <w:sz w:val="22"/>
        </w:rPr>
        <w:t>T</w:t>
      </w:r>
      <w:r w:rsidR="004A63F1" w:rsidRPr="00190CE5">
        <w:rPr>
          <w:rFonts w:asciiTheme="majorHAnsi" w:eastAsia="Calibri" w:hAnsiTheme="majorHAnsi" w:cs="Times New Roman"/>
          <w:sz w:val="22"/>
        </w:rPr>
        <w:t>o compare with existing DEP data, 3</w:t>
      </w:r>
      <w:r w:rsidR="004631E4" w:rsidRPr="00190CE5">
        <w:rPr>
          <w:rFonts w:asciiTheme="majorHAnsi" w:eastAsia="Calibri" w:hAnsiTheme="majorHAnsi" w:cs="Times New Roman"/>
          <w:sz w:val="22"/>
        </w:rPr>
        <w:t xml:space="preserve">DEP spectra of </w:t>
      </w:r>
      <w:proofErr w:type="spellStart"/>
      <w:r w:rsidR="004631E4" w:rsidRPr="00190CE5">
        <w:rPr>
          <w:rFonts w:asciiTheme="majorHAnsi" w:eastAsia="Calibri" w:hAnsiTheme="majorHAnsi" w:cs="Times New Roman"/>
          <w:sz w:val="22"/>
        </w:rPr>
        <w:t>Jurkat</w:t>
      </w:r>
      <w:proofErr w:type="spellEnd"/>
      <w:r w:rsidR="004631E4" w:rsidRPr="00190CE5">
        <w:rPr>
          <w:rFonts w:asciiTheme="majorHAnsi" w:eastAsia="Calibri" w:hAnsiTheme="majorHAnsi" w:cs="Times New Roman"/>
          <w:sz w:val="22"/>
        </w:rPr>
        <w:t xml:space="preserve"> cells were</w:t>
      </w:r>
      <w:r w:rsidR="00532710" w:rsidRPr="00190CE5">
        <w:rPr>
          <w:rFonts w:asciiTheme="majorHAnsi" w:eastAsia="Calibri" w:hAnsiTheme="majorHAnsi" w:cs="Times New Roman"/>
          <w:sz w:val="22"/>
        </w:rPr>
        <w:t xml:space="preserve"> acquired</w:t>
      </w:r>
      <w:r w:rsidR="004631E4" w:rsidRPr="00190CE5">
        <w:rPr>
          <w:rFonts w:asciiTheme="majorHAnsi" w:eastAsia="Calibri" w:hAnsiTheme="majorHAnsi" w:cs="Times New Roman"/>
          <w:sz w:val="22"/>
        </w:rPr>
        <w:t xml:space="preserve"> (n=15), </w:t>
      </w:r>
      <w:r w:rsidR="004631E4" w:rsidRPr="00190CE5">
        <w:rPr>
          <w:rFonts w:asciiTheme="majorHAnsi" w:hAnsiTheme="majorHAnsi"/>
          <w:sz w:val="22"/>
        </w:rPr>
        <w:t xml:space="preserve">Figure </w:t>
      </w:r>
      <w:r w:rsidR="00AA1054" w:rsidRPr="00190CE5">
        <w:rPr>
          <w:rFonts w:asciiTheme="majorHAnsi" w:hAnsiTheme="majorHAnsi"/>
          <w:sz w:val="22"/>
        </w:rPr>
        <w:t>5</w:t>
      </w:r>
      <w:r w:rsidR="004631E4" w:rsidRPr="00190CE5">
        <w:rPr>
          <w:rFonts w:asciiTheme="majorHAnsi" w:hAnsiTheme="majorHAnsi"/>
          <w:sz w:val="22"/>
        </w:rPr>
        <w:t>.</w:t>
      </w:r>
      <w:r w:rsidR="004631E4" w:rsidRPr="00190CE5">
        <w:rPr>
          <w:rFonts w:asciiTheme="majorHAnsi" w:eastAsia="Calibri" w:hAnsiTheme="majorHAnsi" w:cs="Times New Roman"/>
          <w:sz w:val="22"/>
        </w:rPr>
        <w:t xml:space="preserve">  When modelled</w:t>
      </w:r>
      <w:r w:rsidR="007751AE" w:rsidRPr="00190CE5">
        <w:rPr>
          <w:rFonts w:asciiTheme="majorHAnsi" w:eastAsia="Calibri" w:hAnsiTheme="majorHAnsi" w:cs="Times New Roman"/>
          <w:sz w:val="22"/>
        </w:rPr>
        <w:t xml:space="preserve"> against a multi-population model</w:t>
      </w:r>
      <w:r w:rsidR="007D271F" w:rsidRPr="00190CE5">
        <w:rPr>
          <w:rFonts w:asciiTheme="majorHAnsi" w:eastAsia="Calibri" w:hAnsiTheme="majorHAnsi" w:cs="Times New Roman"/>
          <w:sz w:val="22"/>
          <w:vertAlign w:val="superscript"/>
        </w:rPr>
        <w:t>16</w:t>
      </w:r>
      <w:r w:rsidR="00CE23E6" w:rsidRPr="00190CE5">
        <w:rPr>
          <w:rFonts w:asciiTheme="majorHAnsi" w:eastAsia="Calibri" w:hAnsiTheme="majorHAnsi" w:cs="Times New Roman"/>
          <w:sz w:val="22"/>
          <w:vertAlign w:val="superscript"/>
        </w:rPr>
        <w:t>,</w:t>
      </w:r>
      <w:r w:rsidR="007D271F" w:rsidRPr="00190CE5">
        <w:rPr>
          <w:rFonts w:asciiTheme="majorHAnsi" w:eastAsia="Calibri" w:hAnsiTheme="majorHAnsi" w:cs="Times New Roman"/>
          <w:sz w:val="22"/>
          <w:vertAlign w:val="superscript"/>
        </w:rPr>
        <w:t>22</w:t>
      </w:r>
      <w:r w:rsidR="004631E4" w:rsidRPr="00190CE5">
        <w:rPr>
          <w:rFonts w:asciiTheme="majorHAnsi" w:eastAsia="Calibri" w:hAnsiTheme="majorHAnsi" w:cs="Times New Roman"/>
          <w:sz w:val="22"/>
        </w:rPr>
        <w:t>, it was found that</w:t>
      </w:r>
      <w:r w:rsidR="002E7614" w:rsidRPr="00190CE5">
        <w:rPr>
          <w:rFonts w:asciiTheme="majorHAnsi" w:eastAsia="Calibri" w:hAnsiTheme="majorHAnsi" w:cs="Times New Roman"/>
          <w:sz w:val="22"/>
        </w:rPr>
        <w:t xml:space="preserve"> within the average population</w:t>
      </w:r>
      <w:r w:rsidR="004631E4" w:rsidRPr="00190CE5">
        <w:rPr>
          <w:rFonts w:asciiTheme="majorHAnsi" w:eastAsia="Calibri" w:hAnsiTheme="majorHAnsi" w:cs="Times New Roman"/>
          <w:sz w:val="22"/>
        </w:rPr>
        <w:t xml:space="preserve"> 90% of </w:t>
      </w:r>
      <w:proofErr w:type="spellStart"/>
      <w:r w:rsidR="004631E4" w:rsidRPr="00190CE5">
        <w:rPr>
          <w:rFonts w:asciiTheme="majorHAnsi" w:eastAsia="Calibri" w:hAnsiTheme="majorHAnsi" w:cs="Times New Roman"/>
          <w:sz w:val="22"/>
        </w:rPr>
        <w:t>Jurkat</w:t>
      </w:r>
      <w:proofErr w:type="spellEnd"/>
      <w:r w:rsidR="004631E4" w:rsidRPr="00190CE5">
        <w:rPr>
          <w:rFonts w:asciiTheme="majorHAnsi" w:eastAsia="Calibri" w:hAnsiTheme="majorHAnsi" w:cs="Times New Roman"/>
          <w:sz w:val="22"/>
        </w:rPr>
        <w:t xml:space="preserve"> cells conformed to a dielectric parameter set resembling a healthy cell population, whose extracted data closely follow data reported by other impedance-based methods, including dielectrophoresis, reported in the literature</w:t>
      </w:r>
      <w:r w:rsidR="00C44167" w:rsidRPr="00190CE5">
        <w:rPr>
          <w:rFonts w:asciiTheme="majorHAnsi" w:hAnsiTheme="majorHAnsi"/>
          <w:sz w:val="22"/>
          <w:vertAlign w:val="superscript"/>
        </w:rPr>
        <w:t>35-40</w:t>
      </w:r>
      <w:r w:rsidR="004631E4" w:rsidRPr="00190CE5">
        <w:rPr>
          <w:rFonts w:asciiTheme="majorHAnsi" w:eastAsia="Calibri" w:hAnsiTheme="majorHAnsi" w:cs="Times New Roman"/>
          <w:sz w:val="22"/>
        </w:rPr>
        <w:t xml:space="preserve"> (T</w:t>
      </w:r>
      <w:r w:rsidR="004631E4" w:rsidRPr="00190CE5">
        <w:rPr>
          <w:rFonts w:asciiTheme="majorHAnsi" w:hAnsiTheme="majorHAnsi"/>
          <w:sz w:val="22"/>
        </w:rPr>
        <w:t>able 1). The additional 10% of the population resembled the majority population but had significantly lower cytoplasm conductivity</w:t>
      </w:r>
      <w:r w:rsidR="00D52C44" w:rsidRPr="00190CE5">
        <w:rPr>
          <w:rFonts w:asciiTheme="majorHAnsi" w:hAnsiTheme="majorHAnsi"/>
          <w:sz w:val="22"/>
        </w:rPr>
        <w:t xml:space="preserve"> (70 mSm</w:t>
      </w:r>
      <w:r w:rsidR="00D52C44" w:rsidRPr="00190CE5">
        <w:rPr>
          <w:rFonts w:asciiTheme="majorHAnsi" w:hAnsiTheme="majorHAnsi"/>
          <w:sz w:val="22"/>
          <w:vertAlign w:val="superscript"/>
        </w:rPr>
        <w:t>-1</w:t>
      </w:r>
      <w:r w:rsidR="00D52C44" w:rsidRPr="00190CE5">
        <w:rPr>
          <w:rFonts w:asciiTheme="majorHAnsi" w:hAnsiTheme="majorHAnsi"/>
          <w:sz w:val="22"/>
        </w:rPr>
        <w:t xml:space="preserve">, a </w:t>
      </w:r>
      <w:r w:rsidR="00532710" w:rsidRPr="00190CE5">
        <w:rPr>
          <w:rFonts w:asciiTheme="majorHAnsi" w:hAnsiTheme="majorHAnsi"/>
          <w:sz w:val="22"/>
        </w:rPr>
        <w:t xml:space="preserve">reduction </w:t>
      </w:r>
      <w:r w:rsidR="00D52C44" w:rsidRPr="00190CE5">
        <w:rPr>
          <w:rFonts w:asciiTheme="majorHAnsi" w:hAnsiTheme="majorHAnsi"/>
          <w:sz w:val="22"/>
        </w:rPr>
        <w:t>of 85%) and membrane conductance (by 50%)</w:t>
      </w:r>
      <w:r w:rsidR="004631E4" w:rsidRPr="00190CE5">
        <w:rPr>
          <w:rFonts w:asciiTheme="majorHAnsi" w:hAnsiTheme="majorHAnsi"/>
          <w:sz w:val="22"/>
        </w:rPr>
        <w:t xml:space="preserve">, </w:t>
      </w:r>
      <w:r w:rsidR="00D52C44" w:rsidRPr="00190CE5">
        <w:rPr>
          <w:rFonts w:asciiTheme="majorHAnsi" w:hAnsiTheme="majorHAnsi"/>
          <w:sz w:val="22"/>
        </w:rPr>
        <w:t xml:space="preserve">potentially </w:t>
      </w:r>
      <w:r w:rsidR="004631E4" w:rsidRPr="00190CE5">
        <w:rPr>
          <w:rFonts w:asciiTheme="majorHAnsi" w:hAnsiTheme="majorHAnsi"/>
          <w:sz w:val="22"/>
        </w:rPr>
        <w:t xml:space="preserve">indicating </w:t>
      </w:r>
      <w:r w:rsidR="00D52C44" w:rsidRPr="00190CE5">
        <w:rPr>
          <w:rFonts w:asciiTheme="majorHAnsi" w:hAnsiTheme="majorHAnsi"/>
          <w:sz w:val="22"/>
        </w:rPr>
        <w:t xml:space="preserve">either </w:t>
      </w:r>
      <w:r w:rsidR="004631E4" w:rsidRPr="00190CE5">
        <w:rPr>
          <w:rFonts w:asciiTheme="majorHAnsi" w:hAnsiTheme="majorHAnsi"/>
          <w:sz w:val="22"/>
        </w:rPr>
        <w:t xml:space="preserve">cell damage </w:t>
      </w:r>
      <w:r w:rsidR="00D52C44" w:rsidRPr="00190CE5">
        <w:rPr>
          <w:rFonts w:asciiTheme="majorHAnsi" w:hAnsiTheme="majorHAnsi"/>
          <w:sz w:val="22"/>
        </w:rPr>
        <w:t xml:space="preserve">or apoptosis caused by stresses during </w:t>
      </w:r>
      <w:r w:rsidR="004631E4" w:rsidRPr="00190CE5">
        <w:rPr>
          <w:rFonts w:asciiTheme="majorHAnsi" w:hAnsiTheme="majorHAnsi"/>
          <w:sz w:val="22"/>
        </w:rPr>
        <w:t xml:space="preserve">sample preparation.  The only difference of note between the </w:t>
      </w:r>
      <w:r w:rsidR="00863260" w:rsidRPr="00190CE5">
        <w:rPr>
          <w:rFonts w:asciiTheme="majorHAnsi" w:hAnsiTheme="majorHAnsi"/>
          <w:sz w:val="22"/>
        </w:rPr>
        <w:t xml:space="preserve">electrical properties </w:t>
      </w:r>
      <w:r w:rsidR="004631E4" w:rsidRPr="00190CE5">
        <w:rPr>
          <w:rFonts w:asciiTheme="majorHAnsi" w:hAnsiTheme="majorHAnsi"/>
          <w:sz w:val="22"/>
        </w:rPr>
        <w:t xml:space="preserve">of the </w:t>
      </w:r>
      <w:r w:rsidR="00D52C44" w:rsidRPr="00190CE5">
        <w:rPr>
          <w:rFonts w:asciiTheme="majorHAnsi" w:hAnsiTheme="majorHAnsi"/>
          <w:sz w:val="22"/>
        </w:rPr>
        <w:t xml:space="preserve">“healthy” cell </w:t>
      </w:r>
      <w:r w:rsidR="004631E4" w:rsidRPr="00190CE5">
        <w:rPr>
          <w:rFonts w:asciiTheme="majorHAnsi" w:hAnsiTheme="majorHAnsi"/>
          <w:sz w:val="22"/>
        </w:rPr>
        <w:t xml:space="preserve">population and </w:t>
      </w:r>
      <w:proofErr w:type="spellStart"/>
      <w:r w:rsidR="00D52C44" w:rsidRPr="00190CE5">
        <w:rPr>
          <w:rFonts w:asciiTheme="majorHAnsi" w:hAnsiTheme="majorHAnsi"/>
          <w:sz w:val="22"/>
        </w:rPr>
        <w:t>Jurkat</w:t>
      </w:r>
      <w:proofErr w:type="spellEnd"/>
      <w:r w:rsidR="00D52C44" w:rsidRPr="00190CE5">
        <w:rPr>
          <w:rFonts w:asciiTheme="majorHAnsi" w:hAnsiTheme="majorHAnsi"/>
          <w:sz w:val="22"/>
        </w:rPr>
        <w:t xml:space="preserve"> data</w:t>
      </w:r>
      <w:r w:rsidR="004631E4" w:rsidRPr="00190CE5">
        <w:rPr>
          <w:rFonts w:asciiTheme="majorHAnsi" w:hAnsiTheme="majorHAnsi"/>
          <w:sz w:val="22"/>
        </w:rPr>
        <w:t xml:space="preserve"> </w:t>
      </w:r>
      <w:r w:rsidR="00D52C44" w:rsidRPr="00190CE5">
        <w:rPr>
          <w:rFonts w:asciiTheme="majorHAnsi" w:hAnsiTheme="majorHAnsi"/>
          <w:sz w:val="22"/>
        </w:rPr>
        <w:t xml:space="preserve">acquired by other researchers </w:t>
      </w:r>
      <w:r w:rsidR="004631E4" w:rsidRPr="00190CE5">
        <w:rPr>
          <w:rFonts w:asciiTheme="majorHAnsi" w:hAnsiTheme="majorHAnsi"/>
          <w:sz w:val="22"/>
        </w:rPr>
        <w:t xml:space="preserve">was the lower value of membrane conductance using the </w:t>
      </w:r>
      <w:r w:rsidR="001F2398" w:rsidRPr="00190CE5">
        <w:rPr>
          <w:rFonts w:asciiTheme="majorHAnsi" w:hAnsiTheme="majorHAnsi"/>
          <w:sz w:val="22"/>
        </w:rPr>
        <w:t xml:space="preserve">3DEP </w:t>
      </w:r>
      <w:r w:rsidR="004631E4" w:rsidRPr="00190CE5">
        <w:rPr>
          <w:rFonts w:asciiTheme="majorHAnsi" w:hAnsiTheme="majorHAnsi"/>
          <w:sz w:val="22"/>
        </w:rPr>
        <w:t>system, most likely due to alterations in medium composition, as the inclusion of MgCl</w:t>
      </w:r>
      <w:r w:rsidR="004631E4" w:rsidRPr="00190CE5">
        <w:rPr>
          <w:rFonts w:asciiTheme="majorHAnsi" w:hAnsiTheme="majorHAnsi"/>
          <w:sz w:val="22"/>
          <w:vertAlign w:val="subscript"/>
        </w:rPr>
        <w:t>2</w:t>
      </w:r>
      <w:r w:rsidR="004631E4" w:rsidRPr="00190CE5">
        <w:rPr>
          <w:rFonts w:asciiTheme="majorHAnsi" w:hAnsiTheme="majorHAnsi"/>
          <w:sz w:val="22"/>
        </w:rPr>
        <w:t xml:space="preserve"> and CaCl</w:t>
      </w:r>
      <w:r w:rsidR="004631E4" w:rsidRPr="00190CE5">
        <w:rPr>
          <w:rFonts w:asciiTheme="majorHAnsi" w:hAnsiTheme="majorHAnsi"/>
          <w:sz w:val="22"/>
          <w:vertAlign w:val="subscript"/>
        </w:rPr>
        <w:t>2</w:t>
      </w:r>
      <w:r w:rsidR="004631E4" w:rsidRPr="00190CE5">
        <w:rPr>
          <w:rFonts w:asciiTheme="majorHAnsi" w:hAnsiTheme="majorHAnsi"/>
          <w:sz w:val="22"/>
        </w:rPr>
        <w:t xml:space="preserve"> in the medium has been shown to prevent ion leakage in low conductivity media</w:t>
      </w:r>
      <w:r w:rsidR="007D271F" w:rsidRPr="00190CE5">
        <w:rPr>
          <w:rFonts w:asciiTheme="majorHAnsi" w:hAnsiTheme="majorHAnsi"/>
          <w:sz w:val="22"/>
          <w:vertAlign w:val="superscript"/>
        </w:rPr>
        <w:t>18</w:t>
      </w:r>
      <w:r w:rsidR="004631E4" w:rsidRPr="00190CE5">
        <w:rPr>
          <w:rFonts w:asciiTheme="majorHAnsi" w:hAnsiTheme="majorHAnsi"/>
          <w:sz w:val="22"/>
        </w:rPr>
        <w:t xml:space="preserve">.  </w:t>
      </w:r>
    </w:p>
    <w:p w14:paraId="7BF05265" w14:textId="77777777" w:rsidR="004A63F1" w:rsidRPr="00190CE5" w:rsidRDefault="004A63F1" w:rsidP="003D4BEA">
      <w:pPr>
        <w:spacing w:after="0"/>
        <w:rPr>
          <w:rFonts w:asciiTheme="majorHAnsi" w:hAnsiTheme="majorHAnsi"/>
          <w:sz w:val="22"/>
        </w:rPr>
      </w:pPr>
    </w:p>
    <w:p w14:paraId="5F3520B4" w14:textId="18EFE65D" w:rsidR="001F2398" w:rsidRPr="00190CE5" w:rsidRDefault="001F2398" w:rsidP="00381AE2">
      <w:pPr>
        <w:spacing w:after="0"/>
        <w:rPr>
          <w:rFonts w:asciiTheme="majorHAnsi" w:hAnsiTheme="majorHAnsi"/>
          <w:i/>
          <w:sz w:val="22"/>
        </w:rPr>
      </w:pPr>
      <w:r w:rsidRPr="00190CE5">
        <w:rPr>
          <w:rFonts w:asciiTheme="majorHAnsi" w:hAnsiTheme="majorHAnsi"/>
          <w:i/>
          <w:sz w:val="22"/>
        </w:rPr>
        <w:t>4.1.2</w:t>
      </w:r>
      <w:r w:rsidR="00D254C2" w:rsidRPr="00190CE5">
        <w:rPr>
          <w:rFonts w:asciiTheme="majorHAnsi" w:hAnsiTheme="majorHAnsi"/>
          <w:i/>
          <w:sz w:val="22"/>
        </w:rPr>
        <w:t>.</w:t>
      </w:r>
      <w:r w:rsidRPr="00190CE5">
        <w:rPr>
          <w:rFonts w:asciiTheme="majorHAnsi" w:hAnsiTheme="majorHAnsi"/>
          <w:i/>
          <w:sz w:val="22"/>
        </w:rPr>
        <w:t xml:space="preserve"> </w:t>
      </w:r>
      <w:r w:rsidR="00D254C2" w:rsidRPr="00190CE5">
        <w:rPr>
          <w:rFonts w:asciiTheme="majorHAnsi" w:hAnsiTheme="majorHAnsi"/>
          <w:i/>
          <w:sz w:val="22"/>
        </w:rPr>
        <w:t xml:space="preserve">Whole-Cell </w:t>
      </w:r>
      <w:r w:rsidRPr="00190CE5">
        <w:rPr>
          <w:rFonts w:asciiTheme="majorHAnsi" w:hAnsiTheme="majorHAnsi"/>
          <w:i/>
          <w:sz w:val="22"/>
        </w:rPr>
        <w:t>Membrane Capacitance</w:t>
      </w:r>
      <w:r w:rsidR="00D254C2" w:rsidRPr="00190CE5">
        <w:rPr>
          <w:rFonts w:asciiTheme="majorHAnsi" w:hAnsiTheme="majorHAnsi"/>
          <w:i/>
          <w:sz w:val="22"/>
        </w:rPr>
        <w:t xml:space="preserve"> </w:t>
      </w:r>
    </w:p>
    <w:p w14:paraId="04430562" w14:textId="3EF6B579" w:rsidR="00381AE2" w:rsidRPr="00190CE5" w:rsidRDefault="004A63F1" w:rsidP="00381AE2">
      <w:pPr>
        <w:spacing w:after="0"/>
        <w:rPr>
          <w:rFonts w:asciiTheme="majorHAnsi" w:hAnsiTheme="majorHAnsi"/>
          <w:sz w:val="22"/>
        </w:rPr>
      </w:pPr>
      <w:r w:rsidRPr="00190CE5">
        <w:rPr>
          <w:rFonts w:asciiTheme="majorHAnsi" w:hAnsiTheme="majorHAnsi"/>
          <w:sz w:val="22"/>
        </w:rPr>
        <w:t xml:space="preserve">We also compared the values of membrane capacitance and conductance acquired </w:t>
      </w:r>
      <w:r w:rsidR="00381AE2" w:rsidRPr="00190CE5">
        <w:rPr>
          <w:rFonts w:asciiTheme="majorHAnsi" w:hAnsiTheme="majorHAnsi"/>
          <w:sz w:val="22"/>
        </w:rPr>
        <w:t>by DEP with those acquired by the gold-standard patch clamp method, which produces values of whole-cell capacitance and conductance.  We were able to produce comparable data from DEP spectra (which produces values per unit area) by multiplying the derived values of specific membrane capacitance and conductance with the average surface area calculated from acquired radius measurements (n&gt;100</w:t>
      </w:r>
      <w:r w:rsidR="00FB326F" w:rsidRPr="00190CE5">
        <w:rPr>
          <w:rFonts w:asciiTheme="majorHAnsi" w:hAnsiTheme="majorHAnsi"/>
          <w:sz w:val="22"/>
        </w:rPr>
        <w:t>); though the particles were not spherical, using a spherical assumption for both model and assumed area produces highly comparable data.</w:t>
      </w:r>
    </w:p>
    <w:p w14:paraId="0BCF018D" w14:textId="35FE9FBE" w:rsidR="009C0414" w:rsidRPr="00190CE5" w:rsidRDefault="009C0414" w:rsidP="003D4BEA">
      <w:pPr>
        <w:spacing w:after="0"/>
        <w:rPr>
          <w:rFonts w:asciiTheme="majorHAnsi" w:hAnsiTheme="majorHAnsi"/>
          <w:sz w:val="22"/>
        </w:rPr>
      </w:pPr>
    </w:p>
    <w:p w14:paraId="46850A5C" w14:textId="6BF793B3" w:rsidR="007E7DB2" w:rsidRPr="00190CE5" w:rsidRDefault="007A1D3E" w:rsidP="007E7DB2">
      <w:pPr>
        <w:spacing w:after="0"/>
        <w:rPr>
          <w:rFonts w:asciiTheme="majorHAnsi" w:hAnsiTheme="majorHAnsi"/>
          <w:sz w:val="22"/>
        </w:rPr>
      </w:pPr>
      <w:r w:rsidRPr="00190CE5">
        <w:rPr>
          <w:rFonts w:asciiTheme="majorHAnsi" w:hAnsiTheme="majorHAnsi"/>
          <w:sz w:val="22"/>
        </w:rPr>
        <w:t>C</w:t>
      </w:r>
      <w:r w:rsidR="00381AE2" w:rsidRPr="00190CE5">
        <w:rPr>
          <w:rFonts w:asciiTheme="majorHAnsi" w:hAnsiTheme="majorHAnsi"/>
          <w:sz w:val="22"/>
        </w:rPr>
        <w:t xml:space="preserve">omparative data for membrane capacitance </w:t>
      </w:r>
      <w:r w:rsidR="00BA1EFB" w:rsidRPr="00190CE5">
        <w:rPr>
          <w:rFonts w:asciiTheme="majorHAnsi" w:hAnsiTheme="majorHAnsi"/>
          <w:sz w:val="22"/>
        </w:rPr>
        <w:t>are summarised in Table 2.</w:t>
      </w:r>
      <w:r w:rsidR="00381AE2" w:rsidRPr="00190CE5">
        <w:rPr>
          <w:rFonts w:asciiTheme="majorHAnsi" w:hAnsiTheme="majorHAnsi"/>
          <w:sz w:val="22"/>
        </w:rPr>
        <w:t xml:space="preserve">  </w:t>
      </w:r>
      <w:r w:rsidR="006E7903" w:rsidRPr="00190CE5">
        <w:rPr>
          <w:rFonts w:asciiTheme="majorHAnsi" w:hAnsiTheme="majorHAnsi"/>
          <w:sz w:val="22"/>
        </w:rPr>
        <w:t xml:space="preserve">Considering first the analysis of human RBCs; these highly regular cells provide a useful technical standard due to their </w:t>
      </w:r>
      <w:r w:rsidR="006E7903" w:rsidRPr="00190CE5">
        <w:rPr>
          <w:rFonts w:asciiTheme="majorHAnsi" w:hAnsiTheme="majorHAnsi"/>
          <w:sz w:val="22"/>
        </w:rPr>
        <w:lastRenderedPageBreak/>
        <w:t xml:space="preserve">highly homogeneous and well-characterised morphology.  RBCs have a known </w:t>
      </w:r>
      <w:r w:rsidR="007D5A4F" w:rsidRPr="00190CE5">
        <w:rPr>
          <w:rFonts w:asciiTheme="majorHAnsi" w:hAnsiTheme="majorHAnsi"/>
          <w:sz w:val="22"/>
        </w:rPr>
        <w:t xml:space="preserve">surface </w:t>
      </w:r>
      <w:r w:rsidR="006E7903" w:rsidRPr="00190CE5">
        <w:rPr>
          <w:rFonts w:asciiTheme="majorHAnsi" w:hAnsiTheme="majorHAnsi"/>
          <w:sz w:val="22"/>
        </w:rPr>
        <w:t>area and membrane permittivity, which together give a theoretical value of 1.3-1.6</w:t>
      </w:r>
      <w:r w:rsidR="007D5A4F" w:rsidRPr="00190CE5">
        <w:rPr>
          <w:rFonts w:asciiTheme="majorHAnsi" w:hAnsiTheme="majorHAnsi"/>
          <w:sz w:val="22"/>
        </w:rPr>
        <w:t xml:space="preserve"> </w:t>
      </w:r>
      <w:r w:rsidR="006E7903" w:rsidRPr="00190CE5">
        <w:rPr>
          <w:rFonts w:asciiTheme="majorHAnsi" w:hAnsiTheme="majorHAnsi"/>
          <w:sz w:val="22"/>
        </w:rPr>
        <w:t>pF</w:t>
      </w:r>
      <w:r w:rsidR="00C44167" w:rsidRPr="00190CE5">
        <w:rPr>
          <w:rFonts w:asciiTheme="majorHAnsi" w:hAnsiTheme="majorHAnsi"/>
          <w:sz w:val="22"/>
          <w:vertAlign w:val="superscript"/>
        </w:rPr>
        <w:t>41</w:t>
      </w:r>
      <w:r w:rsidR="006E7903" w:rsidRPr="00190CE5">
        <w:rPr>
          <w:rFonts w:asciiTheme="majorHAnsi" w:hAnsiTheme="majorHAnsi"/>
          <w:sz w:val="22"/>
        </w:rPr>
        <w:t xml:space="preserve"> and values sh</w:t>
      </w:r>
      <w:r w:rsidR="00BB063E" w:rsidRPr="00190CE5">
        <w:rPr>
          <w:rFonts w:asciiTheme="majorHAnsi" w:hAnsiTheme="majorHAnsi"/>
          <w:sz w:val="22"/>
        </w:rPr>
        <w:t>owing this have been reported</w:t>
      </w:r>
      <w:r w:rsidR="007D271F" w:rsidRPr="00190CE5">
        <w:rPr>
          <w:rFonts w:asciiTheme="majorHAnsi" w:hAnsiTheme="majorHAnsi"/>
          <w:sz w:val="22"/>
          <w:vertAlign w:val="superscript"/>
        </w:rPr>
        <w:t>4</w:t>
      </w:r>
      <w:r w:rsidR="00C44167" w:rsidRPr="00190CE5">
        <w:rPr>
          <w:rFonts w:asciiTheme="majorHAnsi" w:hAnsiTheme="majorHAnsi"/>
          <w:sz w:val="22"/>
          <w:vertAlign w:val="superscript"/>
        </w:rPr>
        <w:t>2</w:t>
      </w:r>
      <w:r w:rsidR="006E7903" w:rsidRPr="00190CE5">
        <w:rPr>
          <w:rFonts w:asciiTheme="majorHAnsi" w:hAnsiTheme="majorHAnsi"/>
          <w:sz w:val="22"/>
        </w:rPr>
        <w:t>.  RBCs fractioned from whole blood, and whole blood itself</w:t>
      </w:r>
      <w:r w:rsidR="00CD6FF2" w:rsidRPr="00190CE5">
        <w:rPr>
          <w:rFonts w:asciiTheme="majorHAnsi" w:hAnsiTheme="majorHAnsi"/>
          <w:sz w:val="22"/>
        </w:rPr>
        <w:t xml:space="preserve"> were analysed</w:t>
      </w:r>
      <w:r w:rsidR="007D5A4F" w:rsidRPr="00190CE5">
        <w:rPr>
          <w:rFonts w:asciiTheme="majorHAnsi" w:hAnsiTheme="majorHAnsi"/>
          <w:sz w:val="22"/>
        </w:rPr>
        <w:t xml:space="preserve"> in this study.  </w:t>
      </w:r>
      <w:r w:rsidR="006E7903" w:rsidRPr="00190CE5">
        <w:rPr>
          <w:rFonts w:asciiTheme="majorHAnsi" w:hAnsiTheme="majorHAnsi"/>
          <w:sz w:val="22"/>
        </w:rPr>
        <w:t xml:space="preserve">Using a mean measured RBC radius of 4.1 ± 0.1 µm, the mean whole-cell capacitance of isolated RBCs (n=185 experiments) was 1.32 ± 0.02 </w:t>
      </w:r>
      <w:proofErr w:type="spellStart"/>
      <w:r w:rsidR="006E7903" w:rsidRPr="00190CE5">
        <w:rPr>
          <w:rFonts w:asciiTheme="majorHAnsi" w:hAnsiTheme="majorHAnsi"/>
          <w:sz w:val="22"/>
        </w:rPr>
        <w:t>pF</w:t>
      </w:r>
      <w:r w:rsidR="007E7DB2" w:rsidRPr="00190CE5">
        <w:rPr>
          <w:rFonts w:asciiTheme="majorHAnsi" w:hAnsiTheme="majorHAnsi"/>
          <w:sz w:val="22"/>
        </w:rPr>
        <w:t>.</w:t>
      </w:r>
      <w:proofErr w:type="spellEnd"/>
      <w:r w:rsidR="007E7DB2" w:rsidRPr="00190CE5">
        <w:rPr>
          <w:rFonts w:asciiTheme="majorHAnsi" w:hAnsiTheme="majorHAnsi"/>
          <w:sz w:val="22"/>
        </w:rPr>
        <w:t xml:space="preserve">  </w:t>
      </w:r>
      <w:r w:rsidR="00CD6FF2" w:rsidRPr="00190CE5">
        <w:rPr>
          <w:rFonts w:asciiTheme="majorHAnsi" w:hAnsiTheme="majorHAnsi"/>
          <w:sz w:val="22"/>
        </w:rPr>
        <w:t>For</w:t>
      </w:r>
      <w:r w:rsidR="006E7903" w:rsidRPr="00190CE5">
        <w:rPr>
          <w:rFonts w:asciiTheme="majorHAnsi" w:hAnsiTheme="majorHAnsi"/>
          <w:sz w:val="22"/>
        </w:rPr>
        <w:t xml:space="preserve"> platelets (mean radius 0.51± 0.04 µm) </w:t>
      </w:r>
      <w:r w:rsidR="00CD6FF2" w:rsidRPr="00190CE5">
        <w:rPr>
          <w:rFonts w:asciiTheme="majorHAnsi" w:hAnsiTheme="majorHAnsi"/>
          <w:sz w:val="22"/>
        </w:rPr>
        <w:t xml:space="preserve">isolated </w:t>
      </w:r>
      <w:r w:rsidR="00B57303" w:rsidRPr="00190CE5">
        <w:rPr>
          <w:rFonts w:asciiTheme="majorHAnsi" w:hAnsiTheme="majorHAnsi"/>
          <w:sz w:val="22"/>
        </w:rPr>
        <w:t>from whole blood samples</w:t>
      </w:r>
      <w:r w:rsidR="00ED45B2" w:rsidRPr="00190CE5">
        <w:rPr>
          <w:rFonts w:asciiTheme="majorHAnsi" w:hAnsiTheme="majorHAnsi"/>
          <w:sz w:val="22"/>
        </w:rPr>
        <w:t>,</w:t>
      </w:r>
      <w:r w:rsidR="006E7903" w:rsidRPr="00190CE5">
        <w:rPr>
          <w:rFonts w:asciiTheme="majorHAnsi" w:hAnsiTheme="majorHAnsi"/>
          <w:sz w:val="22"/>
        </w:rPr>
        <w:t xml:space="preserve"> </w:t>
      </w:r>
      <w:r w:rsidRPr="00190CE5">
        <w:rPr>
          <w:rFonts w:asciiTheme="majorHAnsi" w:hAnsiTheme="majorHAnsi"/>
          <w:sz w:val="22"/>
        </w:rPr>
        <w:t xml:space="preserve">a </w:t>
      </w:r>
      <w:r w:rsidR="006E7903" w:rsidRPr="00190CE5">
        <w:rPr>
          <w:rFonts w:asciiTheme="majorHAnsi" w:hAnsiTheme="majorHAnsi"/>
          <w:sz w:val="22"/>
        </w:rPr>
        <w:t xml:space="preserve">whole-cell capacitance of 121 ± 7 </w:t>
      </w:r>
      <w:proofErr w:type="spellStart"/>
      <w:r w:rsidR="006E7903" w:rsidRPr="00190CE5">
        <w:rPr>
          <w:rFonts w:asciiTheme="majorHAnsi" w:hAnsiTheme="majorHAnsi"/>
          <w:sz w:val="22"/>
        </w:rPr>
        <w:t>fF</w:t>
      </w:r>
      <w:proofErr w:type="spellEnd"/>
      <w:r w:rsidR="006E7903" w:rsidRPr="00190CE5">
        <w:rPr>
          <w:rFonts w:asciiTheme="majorHAnsi" w:hAnsiTheme="majorHAnsi"/>
          <w:sz w:val="22"/>
        </w:rPr>
        <w:t xml:space="preserve"> (n=5)</w:t>
      </w:r>
      <w:r w:rsidR="00CD6FF2" w:rsidRPr="00190CE5">
        <w:rPr>
          <w:rFonts w:asciiTheme="majorHAnsi" w:hAnsiTheme="majorHAnsi"/>
          <w:sz w:val="22"/>
        </w:rPr>
        <w:t xml:space="preserve"> </w:t>
      </w:r>
      <w:r w:rsidR="009D144C" w:rsidRPr="00190CE5">
        <w:rPr>
          <w:rFonts w:asciiTheme="majorHAnsi" w:hAnsiTheme="majorHAnsi"/>
          <w:sz w:val="22"/>
        </w:rPr>
        <w:t>was</w:t>
      </w:r>
      <w:r w:rsidR="00CD6FF2" w:rsidRPr="00190CE5">
        <w:rPr>
          <w:rFonts w:asciiTheme="majorHAnsi" w:hAnsiTheme="majorHAnsi"/>
          <w:sz w:val="22"/>
        </w:rPr>
        <w:t xml:space="preserve"> </w:t>
      </w:r>
      <w:r w:rsidRPr="00190CE5">
        <w:rPr>
          <w:rFonts w:asciiTheme="majorHAnsi" w:hAnsiTheme="majorHAnsi"/>
          <w:sz w:val="22"/>
        </w:rPr>
        <w:t>calculated</w:t>
      </w:r>
      <w:r w:rsidR="006E7903" w:rsidRPr="00190CE5">
        <w:rPr>
          <w:rFonts w:asciiTheme="majorHAnsi" w:hAnsiTheme="majorHAnsi"/>
          <w:sz w:val="22"/>
        </w:rPr>
        <w:t>.  This is consistent with the literature value, 128 ± 8</w:t>
      </w:r>
      <w:r w:rsidR="007D5A4F" w:rsidRPr="00190CE5">
        <w:rPr>
          <w:rFonts w:asciiTheme="majorHAnsi" w:hAnsiTheme="majorHAnsi"/>
          <w:sz w:val="22"/>
        </w:rPr>
        <w:t xml:space="preserve"> </w:t>
      </w:r>
      <w:proofErr w:type="spellStart"/>
      <w:r w:rsidR="006E7903" w:rsidRPr="00190CE5">
        <w:rPr>
          <w:rFonts w:asciiTheme="majorHAnsi" w:hAnsiTheme="majorHAnsi"/>
          <w:sz w:val="22"/>
        </w:rPr>
        <w:t>fF</w:t>
      </w:r>
      <w:proofErr w:type="spellEnd"/>
      <w:r w:rsidR="006E7903" w:rsidRPr="00190CE5">
        <w:rPr>
          <w:rFonts w:asciiTheme="majorHAnsi" w:hAnsiTheme="majorHAnsi"/>
          <w:sz w:val="22"/>
        </w:rPr>
        <w:t>, cited in electrophysiological studies</w:t>
      </w:r>
      <w:r w:rsidR="007D271F" w:rsidRPr="00190CE5">
        <w:rPr>
          <w:rFonts w:asciiTheme="majorHAnsi" w:hAnsiTheme="majorHAnsi"/>
          <w:sz w:val="22"/>
          <w:vertAlign w:val="superscript"/>
        </w:rPr>
        <w:t>4</w:t>
      </w:r>
      <w:r w:rsidR="00C44167" w:rsidRPr="00190CE5">
        <w:rPr>
          <w:rFonts w:asciiTheme="majorHAnsi" w:hAnsiTheme="majorHAnsi"/>
          <w:sz w:val="22"/>
          <w:vertAlign w:val="superscript"/>
        </w:rPr>
        <w:t>3,44</w:t>
      </w:r>
      <w:r w:rsidR="004631E4" w:rsidRPr="00190CE5">
        <w:rPr>
          <w:rFonts w:asciiTheme="majorHAnsi" w:hAnsiTheme="majorHAnsi"/>
          <w:sz w:val="22"/>
        </w:rPr>
        <w:t>.</w:t>
      </w:r>
      <w:r w:rsidR="007E7DB2" w:rsidRPr="00190CE5">
        <w:rPr>
          <w:rFonts w:asciiTheme="majorHAnsi" w:hAnsiTheme="majorHAnsi"/>
          <w:sz w:val="22"/>
        </w:rPr>
        <w:t xml:space="preserve">  </w:t>
      </w:r>
      <w:r w:rsidR="006E7903" w:rsidRPr="00190CE5">
        <w:rPr>
          <w:rFonts w:asciiTheme="majorHAnsi" w:hAnsiTheme="majorHAnsi"/>
          <w:sz w:val="22"/>
        </w:rPr>
        <w:t xml:space="preserve">For </w:t>
      </w:r>
      <w:proofErr w:type="spellStart"/>
      <w:r w:rsidR="004054D6" w:rsidRPr="00190CE5">
        <w:rPr>
          <w:rFonts w:asciiTheme="majorHAnsi" w:hAnsiTheme="majorHAnsi"/>
          <w:sz w:val="22"/>
        </w:rPr>
        <w:t>Jurkat</w:t>
      </w:r>
      <w:proofErr w:type="spellEnd"/>
      <w:r w:rsidR="004054D6" w:rsidRPr="00190CE5">
        <w:rPr>
          <w:rFonts w:asciiTheme="majorHAnsi" w:hAnsiTheme="majorHAnsi"/>
          <w:sz w:val="22"/>
        </w:rPr>
        <w:t xml:space="preserve"> </w:t>
      </w:r>
      <w:r w:rsidR="006E7903" w:rsidRPr="00190CE5">
        <w:rPr>
          <w:rFonts w:asciiTheme="majorHAnsi" w:hAnsiTheme="majorHAnsi"/>
          <w:sz w:val="22"/>
        </w:rPr>
        <w:t>cells</w:t>
      </w:r>
      <w:r w:rsidR="008A29FD" w:rsidRPr="00190CE5">
        <w:rPr>
          <w:rFonts w:asciiTheme="majorHAnsi" w:hAnsiTheme="majorHAnsi"/>
          <w:sz w:val="22"/>
        </w:rPr>
        <w:t xml:space="preserve"> (n=15)</w:t>
      </w:r>
      <w:r w:rsidR="002A0510" w:rsidRPr="00190CE5">
        <w:rPr>
          <w:rFonts w:asciiTheme="majorHAnsi" w:hAnsiTheme="majorHAnsi"/>
          <w:sz w:val="22"/>
        </w:rPr>
        <w:t>,</w:t>
      </w:r>
      <w:r w:rsidR="006E7903" w:rsidRPr="00190CE5">
        <w:rPr>
          <w:rFonts w:asciiTheme="majorHAnsi" w:hAnsiTheme="majorHAnsi"/>
          <w:sz w:val="22"/>
        </w:rPr>
        <w:t xml:space="preserve"> the mean value of whole-cell capacitance </w:t>
      </w:r>
      <w:r w:rsidR="004054D6" w:rsidRPr="00190CE5">
        <w:rPr>
          <w:rFonts w:asciiTheme="majorHAnsi" w:hAnsiTheme="majorHAnsi"/>
          <w:sz w:val="22"/>
        </w:rPr>
        <w:t xml:space="preserve">of 5.3±1.4 pF acquired by DEP </w:t>
      </w:r>
      <w:r w:rsidR="006E7903" w:rsidRPr="00190CE5">
        <w:rPr>
          <w:rFonts w:asciiTheme="majorHAnsi" w:hAnsiTheme="majorHAnsi"/>
          <w:sz w:val="22"/>
        </w:rPr>
        <w:t xml:space="preserve">was smaller than published values obtained </w:t>
      </w:r>
      <w:r w:rsidR="0085596D" w:rsidRPr="00190CE5">
        <w:rPr>
          <w:rFonts w:asciiTheme="majorHAnsi" w:hAnsiTheme="majorHAnsi"/>
          <w:sz w:val="22"/>
        </w:rPr>
        <w:t>from patch clamping</w:t>
      </w:r>
      <w:r w:rsidR="00C44167" w:rsidRPr="00190CE5">
        <w:rPr>
          <w:rFonts w:asciiTheme="majorHAnsi" w:hAnsiTheme="majorHAnsi"/>
          <w:sz w:val="22"/>
          <w:vertAlign w:val="superscript"/>
        </w:rPr>
        <w:t>45</w:t>
      </w:r>
      <w:r w:rsidR="006E7903" w:rsidRPr="00190CE5">
        <w:rPr>
          <w:rFonts w:asciiTheme="majorHAnsi" w:hAnsiTheme="majorHAnsi"/>
          <w:sz w:val="22"/>
        </w:rPr>
        <w:t xml:space="preserve"> </w:t>
      </w:r>
      <w:r w:rsidR="004054D6" w:rsidRPr="00190CE5">
        <w:rPr>
          <w:rFonts w:asciiTheme="majorHAnsi" w:hAnsiTheme="majorHAnsi"/>
          <w:sz w:val="22"/>
        </w:rPr>
        <w:t xml:space="preserve">of </w:t>
      </w:r>
      <w:r w:rsidR="006E7903" w:rsidRPr="00190CE5">
        <w:rPr>
          <w:rFonts w:asciiTheme="majorHAnsi" w:hAnsiTheme="majorHAnsi"/>
          <w:sz w:val="22"/>
        </w:rPr>
        <w:t xml:space="preserve">7.5±0.8 </w:t>
      </w:r>
      <w:proofErr w:type="spellStart"/>
      <w:r w:rsidR="006E7903" w:rsidRPr="00190CE5">
        <w:rPr>
          <w:rFonts w:asciiTheme="majorHAnsi" w:hAnsiTheme="majorHAnsi"/>
          <w:sz w:val="22"/>
        </w:rPr>
        <w:t>pF</w:t>
      </w:r>
      <w:r w:rsidR="004054D6" w:rsidRPr="00190CE5">
        <w:rPr>
          <w:rFonts w:asciiTheme="majorHAnsi" w:hAnsiTheme="majorHAnsi"/>
          <w:sz w:val="22"/>
        </w:rPr>
        <w:t>.</w:t>
      </w:r>
      <w:proofErr w:type="spellEnd"/>
      <w:r w:rsidR="004054D6" w:rsidRPr="00190CE5">
        <w:rPr>
          <w:rFonts w:asciiTheme="majorHAnsi" w:hAnsiTheme="majorHAnsi"/>
          <w:sz w:val="22"/>
        </w:rPr>
        <w:t xml:space="preserve"> </w:t>
      </w:r>
      <w:r w:rsidR="00E93C71" w:rsidRPr="00190CE5">
        <w:rPr>
          <w:rFonts w:asciiTheme="majorHAnsi" w:hAnsiTheme="majorHAnsi"/>
          <w:sz w:val="22"/>
        </w:rPr>
        <w:t xml:space="preserve"> HL-1 cardiomyocytes</w:t>
      </w:r>
      <w:r w:rsidR="00F512D1" w:rsidRPr="00190CE5">
        <w:rPr>
          <w:rFonts w:asciiTheme="majorHAnsi" w:hAnsiTheme="majorHAnsi"/>
          <w:sz w:val="22"/>
        </w:rPr>
        <w:t xml:space="preserve"> (n=</w:t>
      </w:r>
      <w:r w:rsidR="00F17DC6" w:rsidRPr="00190CE5">
        <w:rPr>
          <w:rFonts w:asciiTheme="majorHAnsi" w:hAnsiTheme="majorHAnsi"/>
          <w:sz w:val="22"/>
        </w:rPr>
        <w:t>5</w:t>
      </w:r>
      <w:r w:rsidR="00F512D1" w:rsidRPr="00190CE5">
        <w:rPr>
          <w:rFonts w:asciiTheme="majorHAnsi" w:hAnsiTheme="majorHAnsi"/>
          <w:sz w:val="22"/>
        </w:rPr>
        <w:t>)</w:t>
      </w:r>
      <w:r w:rsidR="00E93C71" w:rsidRPr="00190CE5">
        <w:rPr>
          <w:rFonts w:asciiTheme="majorHAnsi" w:hAnsiTheme="majorHAnsi"/>
          <w:sz w:val="22"/>
        </w:rPr>
        <w:t xml:space="preserve"> were measured at 7.</w:t>
      </w:r>
      <w:r w:rsidR="00E41ABF" w:rsidRPr="00190CE5">
        <w:rPr>
          <w:rFonts w:asciiTheme="majorHAnsi" w:hAnsiTheme="majorHAnsi"/>
          <w:sz w:val="22"/>
        </w:rPr>
        <w:t>9 ± 1.4</w:t>
      </w:r>
      <w:r w:rsidR="00E93C71" w:rsidRPr="00190CE5">
        <w:rPr>
          <w:rFonts w:asciiTheme="majorHAnsi" w:hAnsiTheme="majorHAnsi"/>
          <w:sz w:val="22"/>
        </w:rPr>
        <w:t xml:space="preserve"> pF, approximately 2</w:t>
      </w:r>
      <w:r w:rsidR="00E41ABF" w:rsidRPr="00190CE5">
        <w:rPr>
          <w:rFonts w:asciiTheme="majorHAnsi" w:hAnsiTheme="majorHAnsi"/>
          <w:sz w:val="22"/>
        </w:rPr>
        <w:t>0</w:t>
      </w:r>
      <w:r w:rsidR="00E93C71" w:rsidRPr="00190CE5">
        <w:rPr>
          <w:rFonts w:asciiTheme="majorHAnsi" w:hAnsiTheme="majorHAnsi"/>
          <w:sz w:val="22"/>
        </w:rPr>
        <w:t>% smaller than those obtained by patch clamp on the same cells in an attached state</w:t>
      </w:r>
      <w:r w:rsidR="00C44167" w:rsidRPr="00190CE5">
        <w:rPr>
          <w:rFonts w:asciiTheme="majorHAnsi" w:hAnsiTheme="majorHAnsi"/>
          <w:sz w:val="22"/>
          <w:vertAlign w:val="superscript"/>
        </w:rPr>
        <w:t>46</w:t>
      </w:r>
      <w:r w:rsidR="00E93C71" w:rsidRPr="00190CE5">
        <w:rPr>
          <w:rFonts w:asciiTheme="majorHAnsi" w:hAnsiTheme="majorHAnsi"/>
          <w:sz w:val="22"/>
        </w:rPr>
        <w:t xml:space="preserve"> (9.9 ± 0.9 </w:t>
      </w:r>
      <w:r w:rsidR="00532710" w:rsidRPr="00190CE5">
        <w:rPr>
          <w:rFonts w:asciiTheme="majorHAnsi" w:hAnsiTheme="majorHAnsi"/>
          <w:sz w:val="22"/>
        </w:rPr>
        <w:t>pF</w:t>
      </w:r>
      <w:r w:rsidR="00A05B8D" w:rsidRPr="00190CE5">
        <w:rPr>
          <w:rFonts w:asciiTheme="majorHAnsi" w:hAnsiTheme="majorHAnsi"/>
          <w:sz w:val="22"/>
        </w:rPr>
        <w:t>)</w:t>
      </w:r>
      <w:r w:rsidR="00E93C71" w:rsidRPr="00190CE5">
        <w:rPr>
          <w:rFonts w:asciiTheme="majorHAnsi" w:hAnsiTheme="majorHAnsi"/>
          <w:sz w:val="22"/>
        </w:rPr>
        <w:t xml:space="preserve">, whilst K562 cells </w:t>
      </w:r>
      <w:r w:rsidR="00580732" w:rsidRPr="00190CE5">
        <w:rPr>
          <w:rFonts w:asciiTheme="majorHAnsi" w:hAnsiTheme="majorHAnsi"/>
          <w:sz w:val="22"/>
        </w:rPr>
        <w:t xml:space="preserve">(n=12) </w:t>
      </w:r>
      <w:r w:rsidR="00E93C71" w:rsidRPr="00190CE5">
        <w:rPr>
          <w:rFonts w:asciiTheme="majorHAnsi" w:hAnsiTheme="majorHAnsi"/>
          <w:sz w:val="22"/>
        </w:rPr>
        <w:t>were measured at 4</w:t>
      </w:r>
      <w:r w:rsidRPr="00190CE5">
        <w:rPr>
          <w:rFonts w:asciiTheme="majorHAnsi" w:hAnsiTheme="majorHAnsi"/>
          <w:sz w:val="22"/>
        </w:rPr>
        <w:t>.0</w:t>
      </w:r>
      <w:r w:rsidR="00E93C71" w:rsidRPr="00190CE5">
        <w:rPr>
          <w:rFonts w:asciiTheme="majorHAnsi" w:hAnsiTheme="majorHAnsi"/>
          <w:sz w:val="22"/>
        </w:rPr>
        <w:t>±0.5 pF, which is comparable to the lower end of a range of published values</w:t>
      </w:r>
      <w:r w:rsidR="00595688" w:rsidRPr="00190CE5">
        <w:rPr>
          <w:rFonts w:asciiTheme="majorHAnsi" w:hAnsiTheme="majorHAnsi"/>
          <w:sz w:val="22"/>
          <w:vertAlign w:val="superscript"/>
        </w:rPr>
        <w:t>4</w:t>
      </w:r>
      <w:r w:rsidR="00C44167" w:rsidRPr="00190CE5">
        <w:rPr>
          <w:rFonts w:asciiTheme="majorHAnsi" w:hAnsiTheme="majorHAnsi"/>
          <w:sz w:val="22"/>
          <w:vertAlign w:val="superscript"/>
        </w:rPr>
        <w:t>7</w:t>
      </w:r>
      <w:r w:rsidR="00E93C71" w:rsidRPr="00190CE5">
        <w:rPr>
          <w:rFonts w:asciiTheme="majorHAnsi" w:hAnsiTheme="majorHAnsi"/>
          <w:sz w:val="22"/>
        </w:rPr>
        <w:t>.</w:t>
      </w:r>
    </w:p>
    <w:p w14:paraId="76AA178A" w14:textId="77777777" w:rsidR="007E7DB2" w:rsidRPr="00190CE5" w:rsidRDefault="007E7DB2" w:rsidP="007E7DB2">
      <w:pPr>
        <w:spacing w:after="0"/>
        <w:rPr>
          <w:rFonts w:asciiTheme="majorHAnsi" w:hAnsiTheme="majorHAnsi"/>
          <w:sz w:val="22"/>
        </w:rPr>
      </w:pPr>
    </w:p>
    <w:p w14:paraId="4C073D73" w14:textId="7183EE0D" w:rsidR="006618B1" w:rsidRPr="00190CE5" w:rsidRDefault="00E93C71" w:rsidP="00E93C71">
      <w:pPr>
        <w:spacing w:after="0"/>
        <w:rPr>
          <w:rFonts w:asciiTheme="majorHAnsi" w:hAnsiTheme="majorHAnsi"/>
          <w:sz w:val="22"/>
        </w:rPr>
      </w:pPr>
      <w:r w:rsidRPr="00190CE5">
        <w:rPr>
          <w:rFonts w:asciiTheme="majorHAnsi" w:hAnsiTheme="majorHAnsi"/>
          <w:sz w:val="22"/>
        </w:rPr>
        <w:t xml:space="preserve">It is notable that whilst cells that are very regular in size show very little difference between patch clamp and DEP, </w:t>
      </w:r>
      <w:r w:rsidR="00532710" w:rsidRPr="00190CE5">
        <w:rPr>
          <w:rFonts w:asciiTheme="majorHAnsi" w:hAnsiTheme="majorHAnsi"/>
          <w:sz w:val="22"/>
        </w:rPr>
        <w:t xml:space="preserve">with </w:t>
      </w:r>
      <w:r w:rsidRPr="00190CE5">
        <w:rPr>
          <w:rFonts w:asciiTheme="majorHAnsi" w:hAnsiTheme="majorHAnsi"/>
          <w:sz w:val="22"/>
        </w:rPr>
        <w:t xml:space="preserve">cells </w:t>
      </w:r>
      <w:r w:rsidR="00D254C2" w:rsidRPr="00190CE5">
        <w:rPr>
          <w:rFonts w:asciiTheme="majorHAnsi" w:hAnsiTheme="majorHAnsi"/>
          <w:sz w:val="22"/>
        </w:rPr>
        <w:t xml:space="preserve">that </w:t>
      </w:r>
      <w:r w:rsidRPr="00190CE5">
        <w:rPr>
          <w:rFonts w:asciiTheme="majorHAnsi" w:hAnsiTheme="majorHAnsi"/>
          <w:sz w:val="22"/>
        </w:rPr>
        <w:t>exhibit greater variation in size DEP consistently produce</w:t>
      </w:r>
      <w:r w:rsidR="007A1D3E" w:rsidRPr="00190CE5">
        <w:rPr>
          <w:rFonts w:asciiTheme="majorHAnsi" w:hAnsiTheme="majorHAnsi"/>
          <w:sz w:val="22"/>
        </w:rPr>
        <w:t>d</w:t>
      </w:r>
      <w:r w:rsidRPr="00190CE5">
        <w:rPr>
          <w:rFonts w:asciiTheme="majorHAnsi" w:hAnsiTheme="majorHAnsi"/>
          <w:sz w:val="22"/>
        </w:rPr>
        <w:t xml:space="preserve"> smaller values of membrane capacitance than patch clamp.  </w:t>
      </w:r>
      <w:r w:rsidR="004054D6" w:rsidRPr="00190CE5">
        <w:rPr>
          <w:rFonts w:asciiTheme="majorHAnsi" w:hAnsiTheme="majorHAnsi"/>
          <w:sz w:val="22"/>
        </w:rPr>
        <w:t>There are a number of potential reasons for this discrepancy</w:t>
      </w:r>
      <w:r w:rsidR="0045176D" w:rsidRPr="00190CE5">
        <w:rPr>
          <w:rFonts w:asciiTheme="majorHAnsi" w:hAnsiTheme="majorHAnsi"/>
          <w:sz w:val="22"/>
        </w:rPr>
        <w:t>; for example, it may be that adherent cells have lower capacitance in suspension, However, a</w:t>
      </w:r>
      <w:r w:rsidR="00AA1496" w:rsidRPr="00190CE5">
        <w:rPr>
          <w:rFonts w:asciiTheme="majorHAnsi" w:hAnsiTheme="majorHAnsi"/>
          <w:sz w:val="22"/>
        </w:rPr>
        <w:t xml:space="preserve">necdotal evidence from patch clamp practitioners suggests another possible cause.  </w:t>
      </w:r>
      <w:r w:rsidR="0045176D" w:rsidRPr="00190CE5">
        <w:rPr>
          <w:rFonts w:asciiTheme="majorHAnsi" w:hAnsiTheme="majorHAnsi"/>
          <w:sz w:val="22"/>
        </w:rPr>
        <w:t xml:space="preserve"> </w:t>
      </w:r>
      <w:r w:rsidR="00AA1496" w:rsidRPr="00190CE5">
        <w:rPr>
          <w:rFonts w:asciiTheme="majorHAnsi" w:hAnsiTheme="majorHAnsi"/>
          <w:sz w:val="22"/>
        </w:rPr>
        <w:t xml:space="preserve">Given </w:t>
      </w:r>
      <w:r w:rsidR="006E7903" w:rsidRPr="00190CE5">
        <w:rPr>
          <w:rFonts w:asciiTheme="majorHAnsi" w:hAnsiTheme="majorHAnsi"/>
          <w:sz w:val="22"/>
        </w:rPr>
        <w:t xml:space="preserve">the very small numbers of cells typically presented in patch clamp research </w:t>
      </w:r>
      <w:r w:rsidR="0045176D" w:rsidRPr="00190CE5">
        <w:rPr>
          <w:rFonts w:asciiTheme="majorHAnsi" w:hAnsiTheme="majorHAnsi"/>
          <w:sz w:val="22"/>
        </w:rPr>
        <w:t xml:space="preserve">(four in the case of the </w:t>
      </w:r>
      <w:proofErr w:type="spellStart"/>
      <w:r w:rsidR="0045176D" w:rsidRPr="00190CE5">
        <w:rPr>
          <w:rFonts w:asciiTheme="majorHAnsi" w:hAnsiTheme="majorHAnsi"/>
          <w:sz w:val="22"/>
        </w:rPr>
        <w:t>Jurkat</w:t>
      </w:r>
      <w:proofErr w:type="spellEnd"/>
      <w:r w:rsidR="0045176D" w:rsidRPr="00190CE5">
        <w:rPr>
          <w:rFonts w:asciiTheme="majorHAnsi" w:hAnsiTheme="majorHAnsi"/>
          <w:sz w:val="22"/>
        </w:rPr>
        <w:t xml:space="preserve"> data cited here) </w:t>
      </w:r>
      <w:r w:rsidR="006E7903" w:rsidRPr="00190CE5">
        <w:rPr>
          <w:rFonts w:asciiTheme="majorHAnsi" w:hAnsiTheme="majorHAnsi"/>
          <w:sz w:val="22"/>
        </w:rPr>
        <w:t>and the difficulty in performing patch-clamp experiments, there exists a pragmatic tendency to select the largest</w:t>
      </w:r>
      <w:r w:rsidR="0022550E" w:rsidRPr="00190CE5">
        <w:rPr>
          <w:rFonts w:asciiTheme="majorHAnsi" w:hAnsiTheme="majorHAnsi"/>
          <w:sz w:val="22"/>
        </w:rPr>
        <w:t>,</w:t>
      </w:r>
      <w:r w:rsidR="009D144C" w:rsidRPr="00190CE5">
        <w:rPr>
          <w:rFonts w:asciiTheme="majorHAnsi" w:hAnsiTheme="majorHAnsi"/>
          <w:sz w:val="22"/>
        </w:rPr>
        <w:t xml:space="preserve"> </w:t>
      </w:r>
      <w:r w:rsidR="006E7903" w:rsidRPr="00190CE5">
        <w:rPr>
          <w:rFonts w:asciiTheme="majorHAnsi" w:hAnsiTheme="majorHAnsi"/>
          <w:sz w:val="22"/>
        </w:rPr>
        <w:t xml:space="preserve">easiest </w:t>
      </w:r>
      <w:r w:rsidR="0022550E" w:rsidRPr="00190CE5">
        <w:rPr>
          <w:rFonts w:asciiTheme="majorHAnsi" w:hAnsiTheme="majorHAnsi"/>
          <w:sz w:val="22"/>
        </w:rPr>
        <w:t xml:space="preserve">cells </w:t>
      </w:r>
      <w:r w:rsidR="006E7903" w:rsidRPr="00190CE5">
        <w:rPr>
          <w:rFonts w:asciiTheme="majorHAnsi" w:hAnsiTheme="majorHAnsi"/>
          <w:sz w:val="22"/>
        </w:rPr>
        <w:t xml:space="preserve">to </w:t>
      </w:r>
      <w:r w:rsidR="0022550E" w:rsidRPr="00190CE5">
        <w:rPr>
          <w:rFonts w:asciiTheme="majorHAnsi" w:hAnsiTheme="majorHAnsi"/>
          <w:sz w:val="22"/>
        </w:rPr>
        <w:t>analyse</w:t>
      </w:r>
      <w:r w:rsidR="006E7903" w:rsidRPr="00190CE5">
        <w:rPr>
          <w:rFonts w:asciiTheme="majorHAnsi" w:hAnsiTheme="majorHAnsi"/>
          <w:sz w:val="22"/>
        </w:rPr>
        <w:t xml:space="preserve">.  Since whole-cell capacitance is related to cell surface area, this would lead to a </w:t>
      </w:r>
      <w:r w:rsidR="009D144C" w:rsidRPr="00190CE5">
        <w:rPr>
          <w:rFonts w:asciiTheme="majorHAnsi" w:hAnsiTheme="majorHAnsi"/>
          <w:sz w:val="22"/>
        </w:rPr>
        <w:t xml:space="preserve">systematic </w:t>
      </w:r>
      <w:r w:rsidR="006E7903" w:rsidRPr="00190CE5">
        <w:rPr>
          <w:rFonts w:asciiTheme="majorHAnsi" w:hAnsiTheme="majorHAnsi"/>
          <w:sz w:val="22"/>
        </w:rPr>
        <w:t xml:space="preserve">bias towards larger values; for example, selecting cells with radii around 20% larger than the mean would account for the shift seen in </w:t>
      </w:r>
      <w:r w:rsidR="00ED45B2" w:rsidRPr="00190CE5">
        <w:rPr>
          <w:rFonts w:asciiTheme="majorHAnsi" w:hAnsiTheme="majorHAnsi"/>
          <w:sz w:val="22"/>
        </w:rPr>
        <w:t xml:space="preserve">the data from </w:t>
      </w:r>
      <w:proofErr w:type="spellStart"/>
      <w:r w:rsidR="006E7903" w:rsidRPr="00190CE5">
        <w:rPr>
          <w:rFonts w:asciiTheme="majorHAnsi" w:hAnsiTheme="majorHAnsi"/>
          <w:sz w:val="22"/>
        </w:rPr>
        <w:t>Jurkat</w:t>
      </w:r>
      <w:proofErr w:type="spellEnd"/>
      <w:r w:rsidR="006E7903" w:rsidRPr="00190CE5">
        <w:rPr>
          <w:rFonts w:asciiTheme="majorHAnsi" w:hAnsiTheme="majorHAnsi"/>
          <w:sz w:val="22"/>
        </w:rPr>
        <w:t xml:space="preserve"> </w:t>
      </w:r>
      <w:r w:rsidR="00ED45B2" w:rsidRPr="00190CE5">
        <w:rPr>
          <w:rFonts w:asciiTheme="majorHAnsi" w:hAnsiTheme="majorHAnsi"/>
          <w:sz w:val="22"/>
        </w:rPr>
        <w:t>cells</w:t>
      </w:r>
      <w:r w:rsidR="006E7903" w:rsidRPr="00190CE5">
        <w:rPr>
          <w:rFonts w:asciiTheme="majorHAnsi" w:hAnsiTheme="majorHAnsi"/>
          <w:sz w:val="22"/>
        </w:rPr>
        <w:t xml:space="preserve">.  Given the small numbers of cells typically analysed, it cannot be assumed that these are representative samples of the cells under scrutiny.  DEP, on the other hand, analyses </w:t>
      </w:r>
      <w:r w:rsidR="00AA1496" w:rsidRPr="00190CE5">
        <w:rPr>
          <w:rFonts w:asciiTheme="majorHAnsi" w:hAnsiTheme="majorHAnsi"/>
          <w:sz w:val="22"/>
        </w:rPr>
        <w:t xml:space="preserve">much </w:t>
      </w:r>
      <w:r w:rsidR="006E7903" w:rsidRPr="00190CE5">
        <w:rPr>
          <w:rFonts w:asciiTheme="majorHAnsi" w:hAnsiTheme="majorHAnsi"/>
          <w:sz w:val="22"/>
        </w:rPr>
        <w:t xml:space="preserve">larger numbers of cells </w:t>
      </w:r>
      <w:r w:rsidR="0045176D" w:rsidRPr="00190CE5">
        <w:rPr>
          <w:rFonts w:asciiTheme="majorHAnsi" w:hAnsiTheme="majorHAnsi"/>
          <w:sz w:val="22"/>
        </w:rPr>
        <w:t xml:space="preserve">DEP </w:t>
      </w:r>
      <w:r w:rsidR="00F02405" w:rsidRPr="00190CE5">
        <w:rPr>
          <w:rFonts w:asciiTheme="majorHAnsi" w:hAnsiTheme="majorHAnsi"/>
          <w:sz w:val="22"/>
        </w:rPr>
        <w:t>(</w:t>
      </w:r>
      <w:r w:rsidR="0045176D" w:rsidRPr="00190CE5">
        <w:rPr>
          <w:rFonts w:asciiTheme="majorHAnsi" w:hAnsiTheme="majorHAnsi"/>
          <w:sz w:val="22"/>
        </w:rPr>
        <w:t xml:space="preserve">our </w:t>
      </w:r>
      <w:proofErr w:type="spellStart"/>
      <w:r w:rsidR="0045176D" w:rsidRPr="00190CE5">
        <w:rPr>
          <w:rFonts w:asciiTheme="majorHAnsi" w:hAnsiTheme="majorHAnsi"/>
          <w:sz w:val="22"/>
        </w:rPr>
        <w:t>Jurkat</w:t>
      </w:r>
      <w:proofErr w:type="spellEnd"/>
      <w:r w:rsidR="0045176D" w:rsidRPr="00190CE5">
        <w:rPr>
          <w:rFonts w:asciiTheme="majorHAnsi" w:hAnsiTheme="majorHAnsi"/>
          <w:sz w:val="22"/>
        </w:rPr>
        <w:t xml:space="preserve"> data were based on ensemble measurements of </w:t>
      </w:r>
      <w:r w:rsidR="0045176D" w:rsidRPr="00190CE5">
        <w:rPr>
          <w:rFonts w:asciiTheme="majorHAnsi" w:hAnsiTheme="majorHAnsi"/>
          <w:i/>
          <w:sz w:val="22"/>
        </w:rPr>
        <w:t>circa</w:t>
      </w:r>
      <w:r w:rsidR="0045176D" w:rsidRPr="00190CE5">
        <w:rPr>
          <w:rFonts w:asciiTheme="majorHAnsi" w:hAnsiTheme="majorHAnsi"/>
          <w:sz w:val="22"/>
        </w:rPr>
        <w:t xml:space="preserve"> 300,000 cells) </w:t>
      </w:r>
      <w:r w:rsidR="00AA1496" w:rsidRPr="00190CE5">
        <w:rPr>
          <w:rFonts w:asciiTheme="majorHAnsi" w:hAnsiTheme="majorHAnsi"/>
          <w:sz w:val="22"/>
        </w:rPr>
        <w:t xml:space="preserve">and </w:t>
      </w:r>
      <w:r w:rsidR="0045176D" w:rsidRPr="00190CE5">
        <w:rPr>
          <w:rFonts w:asciiTheme="majorHAnsi" w:hAnsiTheme="majorHAnsi"/>
          <w:sz w:val="22"/>
        </w:rPr>
        <w:t xml:space="preserve">measures </w:t>
      </w:r>
      <w:r w:rsidR="00AA1496" w:rsidRPr="00190CE5">
        <w:rPr>
          <w:rFonts w:asciiTheme="majorHAnsi" w:hAnsiTheme="majorHAnsi"/>
          <w:sz w:val="22"/>
        </w:rPr>
        <w:t xml:space="preserve">all </w:t>
      </w:r>
      <w:r w:rsidR="006818AE" w:rsidRPr="00190CE5">
        <w:rPr>
          <w:rFonts w:asciiTheme="majorHAnsi" w:hAnsiTheme="majorHAnsi"/>
          <w:sz w:val="22"/>
        </w:rPr>
        <w:t xml:space="preserve">cells </w:t>
      </w:r>
      <w:r w:rsidR="00AA1496" w:rsidRPr="00190CE5">
        <w:rPr>
          <w:rFonts w:asciiTheme="majorHAnsi" w:hAnsiTheme="majorHAnsi"/>
          <w:sz w:val="22"/>
        </w:rPr>
        <w:t xml:space="preserve">in the </w:t>
      </w:r>
      <w:r w:rsidR="007A1D3E" w:rsidRPr="00190CE5">
        <w:rPr>
          <w:rFonts w:asciiTheme="majorHAnsi" w:hAnsiTheme="majorHAnsi"/>
          <w:sz w:val="22"/>
        </w:rPr>
        <w:t>sample</w:t>
      </w:r>
      <w:r w:rsidR="00AA1496" w:rsidRPr="00190CE5">
        <w:rPr>
          <w:rFonts w:asciiTheme="majorHAnsi" w:hAnsiTheme="majorHAnsi"/>
          <w:sz w:val="22"/>
        </w:rPr>
        <w:t xml:space="preserve">, independent of </w:t>
      </w:r>
      <w:r w:rsidR="006818AE" w:rsidRPr="00190CE5">
        <w:rPr>
          <w:rFonts w:asciiTheme="majorHAnsi" w:hAnsiTheme="majorHAnsi"/>
          <w:sz w:val="22"/>
        </w:rPr>
        <w:t xml:space="preserve">their </w:t>
      </w:r>
      <w:r w:rsidR="006E7903" w:rsidRPr="00190CE5">
        <w:rPr>
          <w:rFonts w:asciiTheme="majorHAnsi" w:hAnsiTheme="majorHAnsi"/>
          <w:sz w:val="22"/>
        </w:rPr>
        <w:t>size</w:t>
      </w:r>
      <w:r w:rsidR="00AA1496" w:rsidRPr="00190CE5">
        <w:rPr>
          <w:rFonts w:asciiTheme="majorHAnsi" w:hAnsiTheme="majorHAnsi"/>
          <w:sz w:val="22"/>
        </w:rPr>
        <w:t>,</w:t>
      </w:r>
      <w:r w:rsidR="006E7903" w:rsidRPr="00190CE5">
        <w:rPr>
          <w:rFonts w:asciiTheme="majorHAnsi" w:hAnsiTheme="majorHAnsi"/>
          <w:sz w:val="22"/>
        </w:rPr>
        <w:t xml:space="preserve"> is thus far less prone to such bias.</w:t>
      </w:r>
      <w:r w:rsidR="006618B1" w:rsidRPr="00190CE5">
        <w:rPr>
          <w:rFonts w:asciiTheme="majorHAnsi" w:hAnsiTheme="majorHAnsi"/>
          <w:sz w:val="22"/>
        </w:rPr>
        <w:t xml:space="preserve">  </w:t>
      </w:r>
    </w:p>
    <w:p w14:paraId="4CCD42A9" w14:textId="77777777" w:rsidR="006E7903" w:rsidRPr="00190CE5" w:rsidRDefault="006E7903" w:rsidP="006E7903">
      <w:pPr>
        <w:spacing w:after="0"/>
        <w:rPr>
          <w:rFonts w:asciiTheme="majorHAnsi" w:hAnsiTheme="majorHAnsi"/>
          <w:sz w:val="22"/>
        </w:rPr>
      </w:pPr>
    </w:p>
    <w:p w14:paraId="0ABA220F" w14:textId="32FA3402" w:rsidR="001F2398" w:rsidRPr="00190CE5" w:rsidRDefault="001F2398" w:rsidP="002824C2">
      <w:pPr>
        <w:pStyle w:val="Body"/>
        <w:tabs>
          <w:tab w:val="left" w:pos="4252"/>
          <w:tab w:val="left" w:pos="4961"/>
          <w:tab w:val="left" w:pos="5669"/>
          <w:tab w:val="left" w:pos="6378"/>
          <w:tab w:val="left" w:pos="7087"/>
          <w:tab w:val="left" w:pos="7795"/>
          <w:tab w:val="left" w:pos="8504"/>
          <w:tab w:val="left" w:pos="9213"/>
        </w:tabs>
        <w:spacing w:before="0" w:after="0" w:line="360" w:lineRule="auto"/>
        <w:rPr>
          <w:rFonts w:asciiTheme="majorHAnsi" w:hAnsiTheme="majorHAnsi"/>
          <w:i/>
          <w:color w:val="auto"/>
          <w:szCs w:val="22"/>
        </w:rPr>
      </w:pPr>
      <w:r w:rsidRPr="00190CE5">
        <w:rPr>
          <w:rFonts w:asciiTheme="majorHAnsi" w:hAnsiTheme="majorHAnsi"/>
          <w:i/>
          <w:color w:val="auto"/>
          <w:szCs w:val="22"/>
        </w:rPr>
        <w:t>4.1.3</w:t>
      </w:r>
      <w:r w:rsidR="00D254C2" w:rsidRPr="00190CE5">
        <w:rPr>
          <w:rFonts w:asciiTheme="majorHAnsi" w:hAnsiTheme="majorHAnsi"/>
          <w:i/>
          <w:color w:val="auto"/>
          <w:szCs w:val="22"/>
        </w:rPr>
        <w:t>.</w:t>
      </w:r>
      <w:r w:rsidRPr="00190CE5">
        <w:rPr>
          <w:rFonts w:asciiTheme="majorHAnsi" w:hAnsiTheme="majorHAnsi"/>
          <w:i/>
          <w:color w:val="auto"/>
          <w:szCs w:val="22"/>
        </w:rPr>
        <w:t xml:space="preserve"> </w:t>
      </w:r>
      <w:r w:rsidR="00D254C2" w:rsidRPr="00190CE5">
        <w:rPr>
          <w:rFonts w:asciiTheme="majorHAnsi" w:hAnsiTheme="majorHAnsi"/>
          <w:i/>
          <w:color w:val="auto"/>
          <w:szCs w:val="22"/>
        </w:rPr>
        <w:t xml:space="preserve">Whole-Cell </w:t>
      </w:r>
      <w:r w:rsidRPr="00190CE5">
        <w:rPr>
          <w:rFonts w:asciiTheme="majorHAnsi" w:hAnsiTheme="majorHAnsi"/>
          <w:i/>
          <w:color w:val="auto"/>
          <w:szCs w:val="22"/>
        </w:rPr>
        <w:t>Membrane Conductance</w:t>
      </w:r>
    </w:p>
    <w:p w14:paraId="79833E15" w14:textId="7C7A75A9" w:rsidR="009C0414" w:rsidRPr="00190CE5" w:rsidRDefault="009C0414" w:rsidP="002824C2">
      <w:pPr>
        <w:pStyle w:val="Body"/>
        <w:tabs>
          <w:tab w:val="left" w:pos="4252"/>
          <w:tab w:val="left" w:pos="4961"/>
          <w:tab w:val="left" w:pos="5669"/>
          <w:tab w:val="left" w:pos="6378"/>
          <w:tab w:val="left" w:pos="7087"/>
          <w:tab w:val="left" w:pos="7795"/>
          <w:tab w:val="left" w:pos="8504"/>
          <w:tab w:val="left" w:pos="9213"/>
        </w:tabs>
        <w:spacing w:before="0" w:after="0" w:line="360" w:lineRule="auto"/>
        <w:rPr>
          <w:rFonts w:asciiTheme="majorHAnsi" w:hAnsiTheme="majorHAnsi"/>
          <w:color w:val="auto"/>
          <w:szCs w:val="22"/>
        </w:rPr>
      </w:pPr>
      <w:r w:rsidRPr="00190CE5">
        <w:rPr>
          <w:rFonts w:asciiTheme="majorHAnsi" w:hAnsiTheme="majorHAnsi"/>
          <w:color w:val="auto"/>
          <w:szCs w:val="22"/>
        </w:rPr>
        <w:t>Whilst the application of DEP for measurement of membrane capacitance is straightforward and accurate, the case for membrane conductance</w:t>
      </w:r>
      <w:r w:rsidRPr="00190CE5">
        <w:rPr>
          <w:rFonts w:asciiTheme="majorHAnsi" w:hAnsiTheme="majorHAnsi"/>
          <w:color w:val="auto"/>
        </w:rPr>
        <w:t xml:space="preserve"> is more complex.  When a membrane potential measurement is made using whole-cell patch clamp, it corresponds to the flow of current passing from the cell interior to the exterior – that is, the transmembrane conductance.  DEP conductance accounts for both this characteristic and a second component of charge movement </w:t>
      </w:r>
      <w:r w:rsidR="007A1D3E" w:rsidRPr="00190CE5">
        <w:rPr>
          <w:rFonts w:asciiTheme="majorHAnsi" w:hAnsiTheme="majorHAnsi"/>
          <w:color w:val="auto"/>
        </w:rPr>
        <w:t xml:space="preserve">tangentially </w:t>
      </w:r>
      <w:r w:rsidRPr="00190CE5">
        <w:rPr>
          <w:rFonts w:asciiTheme="majorHAnsi" w:hAnsiTheme="majorHAnsi"/>
          <w:i/>
          <w:color w:val="auto"/>
        </w:rPr>
        <w:lastRenderedPageBreak/>
        <w:t>across</w:t>
      </w:r>
      <w:r w:rsidRPr="00190CE5">
        <w:rPr>
          <w:rFonts w:asciiTheme="majorHAnsi" w:hAnsiTheme="majorHAnsi"/>
          <w:color w:val="auto"/>
        </w:rPr>
        <w:t xml:space="preserve"> the membrane.   This latter effect has </w:t>
      </w:r>
      <w:r w:rsidR="007A1D3E" w:rsidRPr="00190CE5">
        <w:rPr>
          <w:rFonts w:asciiTheme="majorHAnsi" w:hAnsiTheme="majorHAnsi"/>
          <w:color w:val="auto"/>
        </w:rPr>
        <w:t xml:space="preserve">previously </w:t>
      </w:r>
      <w:r w:rsidRPr="00190CE5">
        <w:rPr>
          <w:rFonts w:asciiTheme="majorHAnsi" w:hAnsiTheme="majorHAnsi"/>
          <w:color w:val="auto"/>
        </w:rPr>
        <w:t xml:space="preserve">been attributed to conduction due to surface charge, specifically charge in the electrical double layer attracted to </w:t>
      </w:r>
      <w:r w:rsidR="00CB14A2" w:rsidRPr="00190CE5">
        <w:rPr>
          <w:rFonts w:asciiTheme="majorHAnsi" w:hAnsiTheme="majorHAnsi"/>
          <w:color w:val="auto"/>
        </w:rPr>
        <w:t>charges on the cell surface</w:t>
      </w:r>
      <w:r w:rsidR="00A05B8D" w:rsidRPr="00190CE5">
        <w:rPr>
          <w:rFonts w:asciiTheme="majorHAnsi" w:hAnsiTheme="majorHAnsi"/>
          <w:color w:val="auto"/>
          <w:vertAlign w:val="superscript"/>
        </w:rPr>
        <w:t>4</w:t>
      </w:r>
      <w:r w:rsidR="00595688" w:rsidRPr="00190CE5">
        <w:rPr>
          <w:rFonts w:asciiTheme="majorHAnsi" w:hAnsiTheme="majorHAnsi"/>
          <w:color w:val="auto"/>
          <w:vertAlign w:val="superscript"/>
        </w:rPr>
        <w:t>2</w:t>
      </w:r>
      <w:r w:rsidRPr="00190CE5">
        <w:rPr>
          <w:rFonts w:asciiTheme="majorHAnsi" w:hAnsiTheme="majorHAnsi"/>
          <w:color w:val="auto"/>
        </w:rPr>
        <w:t xml:space="preserve">.  It has been suggested that this surface component could be significantly larger than the conventional whole-cell parameter, particularly for smaller cells, making it difficult to extract the </w:t>
      </w:r>
      <w:r w:rsidR="007A1D3E" w:rsidRPr="00190CE5">
        <w:rPr>
          <w:rFonts w:asciiTheme="majorHAnsi" w:hAnsiTheme="majorHAnsi"/>
          <w:color w:val="auto"/>
        </w:rPr>
        <w:t xml:space="preserve">membrane </w:t>
      </w:r>
      <w:r w:rsidRPr="00190CE5">
        <w:rPr>
          <w:rFonts w:asciiTheme="majorHAnsi" w:hAnsiTheme="majorHAnsi"/>
          <w:color w:val="auto"/>
        </w:rPr>
        <w:t>conductance parameter.  However, this can still be used as an effective discriminator of cellular properties and has been used t</w:t>
      </w:r>
      <w:r w:rsidR="00CB14A2" w:rsidRPr="00190CE5">
        <w:rPr>
          <w:rFonts w:asciiTheme="majorHAnsi" w:hAnsiTheme="majorHAnsi"/>
          <w:color w:val="auto"/>
        </w:rPr>
        <w:t>o detect changes in RBC membrane properties due to malarial infection</w:t>
      </w:r>
      <w:r w:rsidR="00A05B8D" w:rsidRPr="00190CE5">
        <w:rPr>
          <w:rFonts w:asciiTheme="majorHAnsi" w:hAnsiTheme="majorHAnsi"/>
          <w:color w:val="auto"/>
          <w:vertAlign w:val="superscript"/>
        </w:rPr>
        <w:t>4</w:t>
      </w:r>
      <w:r w:rsidR="00C44167" w:rsidRPr="00190CE5">
        <w:rPr>
          <w:rFonts w:asciiTheme="majorHAnsi" w:hAnsiTheme="majorHAnsi"/>
          <w:color w:val="auto"/>
          <w:vertAlign w:val="superscript"/>
        </w:rPr>
        <w:t>8</w:t>
      </w:r>
      <w:r w:rsidR="000E0FA1" w:rsidRPr="00190CE5">
        <w:rPr>
          <w:rFonts w:asciiTheme="majorHAnsi" w:hAnsiTheme="majorHAnsi"/>
          <w:color w:val="auto"/>
          <w:szCs w:val="22"/>
        </w:rPr>
        <w:t>, as well as identifying circadian rh</w:t>
      </w:r>
      <w:r w:rsidR="0085596D" w:rsidRPr="00190CE5">
        <w:rPr>
          <w:rFonts w:asciiTheme="majorHAnsi" w:hAnsiTheme="majorHAnsi"/>
          <w:color w:val="auto"/>
          <w:szCs w:val="22"/>
        </w:rPr>
        <w:t>ythms in RBC electrophysiology</w:t>
      </w:r>
      <w:r w:rsidR="00A05B8D" w:rsidRPr="00190CE5">
        <w:rPr>
          <w:rFonts w:asciiTheme="majorHAnsi" w:hAnsiTheme="majorHAnsi"/>
          <w:color w:val="auto"/>
          <w:szCs w:val="22"/>
          <w:vertAlign w:val="superscript"/>
        </w:rPr>
        <w:t>2</w:t>
      </w:r>
      <w:r w:rsidR="007D271F" w:rsidRPr="00190CE5">
        <w:rPr>
          <w:rFonts w:asciiTheme="majorHAnsi" w:hAnsiTheme="majorHAnsi"/>
          <w:color w:val="auto"/>
          <w:szCs w:val="22"/>
          <w:vertAlign w:val="superscript"/>
        </w:rPr>
        <w:t>5</w:t>
      </w:r>
      <w:r w:rsidR="00A05B8D" w:rsidRPr="00190CE5">
        <w:rPr>
          <w:rFonts w:asciiTheme="majorHAnsi" w:hAnsiTheme="majorHAnsi"/>
          <w:color w:val="auto"/>
          <w:szCs w:val="22"/>
          <w:vertAlign w:val="superscript"/>
        </w:rPr>
        <w:t>,2</w:t>
      </w:r>
      <w:r w:rsidR="007D271F" w:rsidRPr="00190CE5">
        <w:rPr>
          <w:rFonts w:asciiTheme="majorHAnsi" w:hAnsiTheme="majorHAnsi"/>
          <w:color w:val="auto"/>
          <w:szCs w:val="22"/>
          <w:vertAlign w:val="superscript"/>
        </w:rPr>
        <w:t>6</w:t>
      </w:r>
      <w:r w:rsidRPr="00190CE5">
        <w:rPr>
          <w:rFonts w:asciiTheme="majorHAnsi" w:hAnsiTheme="majorHAnsi"/>
          <w:color w:val="auto"/>
          <w:szCs w:val="22"/>
        </w:rPr>
        <w:t xml:space="preserve">.     </w:t>
      </w:r>
      <w:r w:rsidR="00115F2F" w:rsidRPr="00190CE5">
        <w:rPr>
          <w:rFonts w:asciiTheme="majorHAnsi" w:hAnsiTheme="majorHAnsi"/>
          <w:color w:val="auto"/>
          <w:szCs w:val="22"/>
        </w:rPr>
        <w:t>For</w:t>
      </w:r>
      <w:r w:rsidR="002A0510" w:rsidRPr="00190CE5">
        <w:rPr>
          <w:rFonts w:asciiTheme="majorHAnsi" w:hAnsiTheme="majorHAnsi"/>
          <w:color w:val="auto"/>
          <w:szCs w:val="22"/>
        </w:rPr>
        <w:t xml:space="preserve"> </w:t>
      </w:r>
      <w:proofErr w:type="spellStart"/>
      <w:r w:rsidR="002A0510" w:rsidRPr="00190CE5">
        <w:rPr>
          <w:rFonts w:asciiTheme="majorHAnsi" w:hAnsiTheme="majorHAnsi"/>
          <w:color w:val="auto"/>
          <w:szCs w:val="22"/>
        </w:rPr>
        <w:t>Jurkat</w:t>
      </w:r>
      <w:proofErr w:type="spellEnd"/>
      <w:r w:rsidR="002A0510" w:rsidRPr="00190CE5">
        <w:rPr>
          <w:rFonts w:asciiTheme="majorHAnsi" w:hAnsiTheme="majorHAnsi"/>
          <w:color w:val="auto"/>
          <w:szCs w:val="22"/>
        </w:rPr>
        <w:t xml:space="preserve"> cells </w:t>
      </w:r>
      <w:r w:rsidR="00115F2F" w:rsidRPr="00190CE5">
        <w:rPr>
          <w:rFonts w:asciiTheme="majorHAnsi" w:hAnsiTheme="majorHAnsi"/>
          <w:color w:val="auto"/>
          <w:szCs w:val="22"/>
        </w:rPr>
        <w:t xml:space="preserve">a value </w:t>
      </w:r>
      <w:r w:rsidR="002A0510" w:rsidRPr="00190CE5">
        <w:rPr>
          <w:rFonts w:asciiTheme="majorHAnsi" w:hAnsiTheme="majorHAnsi"/>
          <w:color w:val="auto"/>
          <w:szCs w:val="22"/>
        </w:rPr>
        <w:t>of 11.3</w:t>
      </w:r>
      <w:r w:rsidR="007D5A4F" w:rsidRPr="00190CE5">
        <w:rPr>
          <w:rFonts w:asciiTheme="majorHAnsi" w:hAnsiTheme="majorHAnsi"/>
          <w:color w:val="auto"/>
          <w:szCs w:val="22"/>
        </w:rPr>
        <w:t xml:space="preserve"> </w:t>
      </w:r>
      <w:proofErr w:type="spellStart"/>
      <w:r w:rsidR="002A0510" w:rsidRPr="00190CE5">
        <w:rPr>
          <w:rFonts w:asciiTheme="majorHAnsi" w:hAnsiTheme="majorHAnsi"/>
          <w:color w:val="auto"/>
          <w:szCs w:val="22"/>
        </w:rPr>
        <w:t>nS</w:t>
      </w:r>
      <w:proofErr w:type="spellEnd"/>
      <w:r w:rsidR="00115F2F" w:rsidRPr="00190CE5">
        <w:rPr>
          <w:rFonts w:asciiTheme="majorHAnsi" w:hAnsiTheme="majorHAnsi"/>
          <w:color w:val="auto"/>
          <w:szCs w:val="22"/>
        </w:rPr>
        <w:t xml:space="preserve"> </w:t>
      </w:r>
      <w:r w:rsidR="006818AE" w:rsidRPr="00190CE5">
        <w:rPr>
          <w:rFonts w:asciiTheme="majorHAnsi" w:hAnsiTheme="majorHAnsi"/>
          <w:color w:val="auto"/>
        </w:rPr>
        <w:t>(equivalent to a specific membrane resistance of 0.45 kΩ.cm</w:t>
      </w:r>
      <w:r w:rsidR="006818AE" w:rsidRPr="00190CE5">
        <w:rPr>
          <w:rFonts w:asciiTheme="majorHAnsi" w:hAnsiTheme="majorHAnsi"/>
          <w:color w:val="auto"/>
          <w:vertAlign w:val="superscript"/>
        </w:rPr>
        <w:t>2</w:t>
      </w:r>
      <w:r w:rsidR="006818AE" w:rsidRPr="00190CE5">
        <w:rPr>
          <w:rFonts w:asciiTheme="majorHAnsi" w:hAnsiTheme="majorHAnsi"/>
          <w:color w:val="auto"/>
        </w:rPr>
        <w:t xml:space="preserve">) </w:t>
      </w:r>
      <w:r w:rsidR="00115F2F" w:rsidRPr="00190CE5">
        <w:rPr>
          <w:rFonts w:asciiTheme="majorHAnsi" w:hAnsiTheme="majorHAnsi"/>
          <w:color w:val="auto"/>
          <w:szCs w:val="22"/>
        </w:rPr>
        <w:t>was obtained</w:t>
      </w:r>
      <w:r w:rsidR="002A0510" w:rsidRPr="00190CE5">
        <w:rPr>
          <w:rFonts w:asciiTheme="majorHAnsi" w:hAnsiTheme="majorHAnsi"/>
          <w:color w:val="auto"/>
          <w:szCs w:val="22"/>
        </w:rPr>
        <w:t xml:space="preserve"> </w:t>
      </w:r>
      <w:r w:rsidR="00A367D1" w:rsidRPr="00190CE5">
        <w:rPr>
          <w:rFonts w:asciiTheme="majorHAnsi" w:hAnsiTheme="majorHAnsi"/>
          <w:color w:val="auto"/>
          <w:szCs w:val="22"/>
        </w:rPr>
        <w:t>whi</w:t>
      </w:r>
      <w:r w:rsidR="00D81C92" w:rsidRPr="00190CE5">
        <w:rPr>
          <w:rFonts w:asciiTheme="majorHAnsi" w:hAnsiTheme="majorHAnsi"/>
          <w:color w:val="auto"/>
          <w:szCs w:val="22"/>
        </w:rPr>
        <w:t>ch is larger than</w:t>
      </w:r>
      <w:r w:rsidR="00A367D1" w:rsidRPr="00190CE5">
        <w:rPr>
          <w:rFonts w:asciiTheme="majorHAnsi" w:hAnsiTheme="majorHAnsi"/>
          <w:color w:val="auto"/>
          <w:szCs w:val="22"/>
        </w:rPr>
        <w:t xml:space="preserve"> </w:t>
      </w:r>
      <w:r w:rsidR="00D81C92" w:rsidRPr="00190CE5">
        <w:rPr>
          <w:rFonts w:asciiTheme="majorHAnsi" w:hAnsiTheme="majorHAnsi"/>
          <w:color w:val="auto"/>
          <w:szCs w:val="22"/>
        </w:rPr>
        <w:t xml:space="preserve">common values of whole-cell conductance </w:t>
      </w:r>
      <w:r w:rsidR="00A367D1" w:rsidRPr="00190CE5">
        <w:rPr>
          <w:rFonts w:asciiTheme="majorHAnsi" w:hAnsiTheme="majorHAnsi"/>
          <w:color w:val="auto"/>
          <w:szCs w:val="22"/>
        </w:rPr>
        <w:t xml:space="preserve">reported </w:t>
      </w:r>
      <w:r w:rsidR="00D81C92" w:rsidRPr="00190CE5">
        <w:rPr>
          <w:rFonts w:asciiTheme="majorHAnsi" w:hAnsiTheme="majorHAnsi"/>
          <w:color w:val="auto"/>
          <w:szCs w:val="22"/>
        </w:rPr>
        <w:t xml:space="preserve">for other cell types of similar origin </w:t>
      </w:r>
      <w:r w:rsidR="00A367D1" w:rsidRPr="00190CE5">
        <w:rPr>
          <w:rFonts w:asciiTheme="majorHAnsi" w:hAnsiTheme="majorHAnsi"/>
          <w:color w:val="auto"/>
          <w:szCs w:val="22"/>
        </w:rPr>
        <w:t>by patch</w:t>
      </w:r>
      <w:r w:rsidR="00D81C92" w:rsidRPr="00190CE5">
        <w:rPr>
          <w:rFonts w:asciiTheme="majorHAnsi" w:hAnsiTheme="majorHAnsi"/>
          <w:color w:val="auto"/>
          <w:szCs w:val="22"/>
        </w:rPr>
        <w:t>-</w:t>
      </w:r>
      <w:r w:rsidR="00A367D1" w:rsidRPr="00190CE5">
        <w:rPr>
          <w:rFonts w:asciiTheme="majorHAnsi" w:hAnsiTheme="majorHAnsi"/>
          <w:color w:val="auto"/>
          <w:szCs w:val="22"/>
        </w:rPr>
        <w:t>clamp</w:t>
      </w:r>
      <w:r w:rsidR="00D81C92" w:rsidRPr="00190CE5">
        <w:rPr>
          <w:rFonts w:asciiTheme="majorHAnsi" w:hAnsiTheme="majorHAnsi"/>
          <w:color w:val="auto"/>
          <w:szCs w:val="22"/>
        </w:rPr>
        <w:t>, though by less than an order of magnitude</w:t>
      </w:r>
      <w:r w:rsidR="00A367D1" w:rsidRPr="00190CE5">
        <w:rPr>
          <w:rFonts w:asciiTheme="majorHAnsi" w:hAnsiTheme="majorHAnsi"/>
          <w:color w:val="auto"/>
          <w:szCs w:val="22"/>
        </w:rPr>
        <w:t xml:space="preserve">.  However, </w:t>
      </w:r>
      <w:r w:rsidR="002A0510" w:rsidRPr="00190CE5">
        <w:rPr>
          <w:rFonts w:asciiTheme="majorHAnsi" w:hAnsiTheme="majorHAnsi"/>
          <w:color w:val="auto"/>
          <w:szCs w:val="22"/>
        </w:rPr>
        <w:t>RBC</w:t>
      </w:r>
      <w:r w:rsidR="001F2398" w:rsidRPr="00190CE5">
        <w:rPr>
          <w:rFonts w:asciiTheme="majorHAnsi" w:hAnsiTheme="majorHAnsi"/>
          <w:color w:val="auto"/>
          <w:szCs w:val="22"/>
        </w:rPr>
        <w:t>s</w:t>
      </w:r>
      <w:r w:rsidR="00A367D1" w:rsidRPr="00190CE5">
        <w:rPr>
          <w:rFonts w:asciiTheme="majorHAnsi" w:hAnsiTheme="majorHAnsi"/>
          <w:color w:val="auto"/>
          <w:szCs w:val="22"/>
        </w:rPr>
        <w:t xml:space="preserve"> exhibited</w:t>
      </w:r>
      <w:r w:rsidR="002A0510" w:rsidRPr="00190CE5">
        <w:rPr>
          <w:rFonts w:asciiTheme="majorHAnsi" w:hAnsiTheme="majorHAnsi"/>
          <w:color w:val="auto"/>
          <w:szCs w:val="22"/>
        </w:rPr>
        <w:t xml:space="preserve"> a range </w:t>
      </w:r>
      <w:r w:rsidR="00A367D1" w:rsidRPr="00190CE5">
        <w:rPr>
          <w:rFonts w:asciiTheme="majorHAnsi" w:hAnsiTheme="majorHAnsi"/>
          <w:color w:val="auto"/>
          <w:szCs w:val="22"/>
        </w:rPr>
        <w:t xml:space="preserve">of values </w:t>
      </w:r>
      <w:r w:rsidR="002A0510" w:rsidRPr="00190CE5">
        <w:rPr>
          <w:rFonts w:asciiTheme="majorHAnsi" w:hAnsiTheme="majorHAnsi"/>
          <w:color w:val="auto"/>
          <w:szCs w:val="22"/>
        </w:rPr>
        <w:t>centered on 201</w:t>
      </w:r>
      <w:r w:rsidR="007D5A4F" w:rsidRPr="00190CE5">
        <w:rPr>
          <w:rFonts w:asciiTheme="majorHAnsi" w:hAnsiTheme="majorHAnsi"/>
          <w:color w:val="auto"/>
          <w:szCs w:val="22"/>
        </w:rPr>
        <w:t xml:space="preserve"> </w:t>
      </w:r>
      <w:proofErr w:type="spellStart"/>
      <w:r w:rsidR="002A0510" w:rsidRPr="00190CE5">
        <w:rPr>
          <w:rFonts w:asciiTheme="majorHAnsi" w:hAnsiTheme="majorHAnsi"/>
          <w:color w:val="auto"/>
          <w:szCs w:val="22"/>
        </w:rPr>
        <w:t>nS</w:t>
      </w:r>
      <w:proofErr w:type="spellEnd"/>
      <w:r w:rsidR="002A0510" w:rsidRPr="00190CE5">
        <w:rPr>
          <w:rFonts w:asciiTheme="majorHAnsi" w:hAnsiTheme="majorHAnsi"/>
          <w:color w:val="auto"/>
          <w:szCs w:val="22"/>
        </w:rPr>
        <w:t xml:space="preserve">, approximately </w:t>
      </w:r>
      <w:r w:rsidR="00616277" w:rsidRPr="00190CE5">
        <w:rPr>
          <w:rFonts w:asciiTheme="majorHAnsi" w:hAnsiTheme="majorHAnsi"/>
          <w:color w:val="auto"/>
          <w:szCs w:val="22"/>
        </w:rPr>
        <w:t xml:space="preserve">one thousand-times </w:t>
      </w:r>
      <w:r w:rsidR="002A0510" w:rsidRPr="00190CE5">
        <w:rPr>
          <w:rFonts w:asciiTheme="majorHAnsi" w:hAnsiTheme="majorHAnsi"/>
          <w:color w:val="auto"/>
          <w:szCs w:val="22"/>
        </w:rPr>
        <w:t xml:space="preserve">larger than quoted values such as </w:t>
      </w:r>
      <w:r w:rsidR="00251320" w:rsidRPr="00190CE5">
        <w:rPr>
          <w:rFonts w:asciiTheme="majorHAnsi" w:hAnsiTheme="majorHAnsi"/>
          <w:color w:val="auto"/>
          <w:szCs w:val="22"/>
        </w:rPr>
        <w:t>442</w:t>
      </w:r>
      <w:r w:rsidR="00616277" w:rsidRPr="00190CE5">
        <w:rPr>
          <w:rFonts w:asciiTheme="majorHAnsi" w:hAnsiTheme="majorHAnsi"/>
          <w:color w:val="auto"/>
          <w:szCs w:val="22"/>
        </w:rPr>
        <w:t xml:space="preserve"> </w:t>
      </w:r>
      <w:proofErr w:type="spellStart"/>
      <w:r w:rsidR="002A0510" w:rsidRPr="00190CE5">
        <w:rPr>
          <w:rFonts w:asciiTheme="majorHAnsi" w:hAnsiTheme="majorHAnsi"/>
          <w:color w:val="auto"/>
          <w:szCs w:val="22"/>
        </w:rPr>
        <w:t>pS</w:t>
      </w:r>
      <w:proofErr w:type="spellEnd"/>
      <w:r w:rsidR="002A0510" w:rsidRPr="00190CE5">
        <w:rPr>
          <w:rFonts w:asciiTheme="majorHAnsi" w:hAnsiTheme="majorHAnsi"/>
          <w:color w:val="auto"/>
          <w:szCs w:val="22"/>
        </w:rPr>
        <w:t xml:space="preserve"> by </w:t>
      </w:r>
      <w:proofErr w:type="spellStart"/>
      <w:r w:rsidR="00CB14A2" w:rsidRPr="00190CE5">
        <w:rPr>
          <w:rFonts w:asciiTheme="majorHAnsi" w:hAnsiTheme="majorHAnsi"/>
          <w:color w:val="auto"/>
          <w:szCs w:val="22"/>
        </w:rPr>
        <w:t>Duranton</w:t>
      </w:r>
      <w:proofErr w:type="spellEnd"/>
      <w:r w:rsidR="00CB14A2" w:rsidRPr="00190CE5">
        <w:rPr>
          <w:rFonts w:asciiTheme="majorHAnsi" w:hAnsiTheme="majorHAnsi"/>
          <w:color w:val="auto"/>
          <w:szCs w:val="22"/>
        </w:rPr>
        <w:t xml:space="preserve"> et al.</w:t>
      </w:r>
      <w:r w:rsidR="00595688" w:rsidRPr="00190CE5">
        <w:rPr>
          <w:rFonts w:asciiTheme="majorHAnsi" w:hAnsiTheme="majorHAnsi"/>
          <w:color w:val="auto"/>
          <w:szCs w:val="22"/>
          <w:vertAlign w:val="superscript"/>
        </w:rPr>
        <w:t>4</w:t>
      </w:r>
      <w:r w:rsidR="00810244" w:rsidRPr="00190CE5">
        <w:rPr>
          <w:rFonts w:asciiTheme="majorHAnsi" w:hAnsiTheme="majorHAnsi"/>
          <w:color w:val="auto"/>
          <w:szCs w:val="22"/>
          <w:vertAlign w:val="superscript"/>
        </w:rPr>
        <w:t>9</w:t>
      </w:r>
      <w:r w:rsidR="006818AE" w:rsidRPr="00190CE5">
        <w:rPr>
          <w:rFonts w:asciiTheme="majorHAnsi" w:hAnsiTheme="majorHAnsi"/>
          <w:color w:val="auto"/>
          <w:szCs w:val="22"/>
        </w:rPr>
        <w:t>. The</w:t>
      </w:r>
      <w:r w:rsidR="00A367D1" w:rsidRPr="00190CE5">
        <w:rPr>
          <w:rFonts w:asciiTheme="majorHAnsi" w:hAnsiTheme="majorHAnsi"/>
          <w:color w:val="auto"/>
          <w:szCs w:val="22"/>
        </w:rPr>
        <w:t xml:space="preserve"> size of increase is similar to that reported by other researchers</w:t>
      </w:r>
      <w:r w:rsidR="00A05B8D" w:rsidRPr="00190CE5">
        <w:rPr>
          <w:rFonts w:asciiTheme="majorHAnsi" w:hAnsiTheme="majorHAnsi"/>
          <w:color w:val="auto"/>
          <w:szCs w:val="22"/>
          <w:vertAlign w:val="superscript"/>
        </w:rPr>
        <w:t>4</w:t>
      </w:r>
      <w:r w:rsidR="00595688" w:rsidRPr="00190CE5">
        <w:rPr>
          <w:rFonts w:asciiTheme="majorHAnsi" w:hAnsiTheme="majorHAnsi"/>
          <w:color w:val="auto"/>
          <w:szCs w:val="22"/>
          <w:vertAlign w:val="superscript"/>
        </w:rPr>
        <w:t>2</w:t>
      </w:r>
      <w:r w:rsidR="00A367D1" w:rsidRPr="00190CE5">
        <w:rPr>
          <w:rFonts w:asciiTheme="majorHAnsi" w:hAnsiTheme="majorHAnsi"/>
          <w:color w:val="auto"/>
          <w:szCs w:val="22"/>
        </w:rPr>
        <w:t xml:space="preserve">, indicating that this result is not an instrument-generated artefact. </w:t>
      </w:r>
      <w:r w:rsidR="002A0510" w:rsidRPr="00190CE5">
        <w:rPr>
          <w:rFonts w:asciiTheme="majorHAnsi" w:hAnsiTheme="majorHAnsi"/>
          <w:color w:val="auto"/>
          <w:szCs w:val="22"/>
        </w:rPr>
        <w:t xml:space="preserve">  </w:t>
      </w:r>
      <w:r w:rsidR="00446840" w:rsidRPr="00190CE5">
        <w:rPr>
          <w:rFonts w:asciiTheme="majorHAnsi" w:hAnsiTheme="majorHAnsi"/>
          <w:color w:val="auto"/>
          <w:szCs w:val="22"/>
        </w:rPr>
        <w:t xml:space="preserve">Interestingly, the membrane </w:t>
      </w:r>
      <w:r w:rsidR="006818AE" w:rsidRPr="00190CE5">
        <w:rPr>
          <w:rFonts w:asciiTheme="majorHAnsi" w:hAnsiTheme="majorHAnsi"/>
          <w:color w:val="auto"/>
          <w:szCs w:val="22"/>
        </w:rPr>
        <w:t xml:space="preserve">conductance </w:t>
      </w:r>
      <w:r w:rsidR="00446840" w:rsidRPr="00190CE5">
        <w:rPr>
          <w:rFonts w:asciiTheme="majorHAnsi" w:hAnsiTheme="majorHAnsi"/>
          <w:color w:val="auto"/>
          <w:szCs w:val="22"/>
        </w:rPr>
        <w:t>of platelets was found to be even higher, at 365</w:t>
      </w:r>
      <w:r w:rsidR="00ED1DBB" w:rsidRPr="00190CE5">
        <w:rPr>
          <w:rFonts w:asciiTheme="majorHAnsi" w:hAnsiTheme="majorHAnsi"/>
          <w:color w:val="auto"/>
          <w:szCs w:val="22"/>
        </w:rPr>
        <w:t xml:space="preserve"> </w:t>
      </w:r>
      <w:proofErr w:type="spellStart"/>
      <w:r w:rsidR="00446840" w:rsidRPr="00190CE5">
        <w:rPr>
          <w:rFonts w:asciiTheme="majorHAnsi" w:hAnsiTheme="majorHAnsi"/>
          <w:color w:val="auto"/>
          <w:szCs w:val="22"/>
        </w:rPr>
        <w:t>nS</w:t>
      </w:r>
      <w:proofErr w:type="spellEnd"/>
      <w:r w:rsidR="00446840" w:rsidRPr="00190CE5">
        <w:rPr>
          <w:rFonts w:asciiTheme="majorHAnsi" w:hAnsiTheme="majorHAnsi"/>
          <w:color w:val="auto"/>
          <w:szCs w:val="22"/>
        </w:rPr>
        <w:t>, indicating a size-related conductance similar to that observed in nanoparticles</w:t>
      </w:r>
      <w:r w:rsidR="00810244" w:rsidRPr="00190CE5">
        <w:rPr>
          <w:rFonts w:asciiTheme="majorHAnsi" w:hAnsiTheme="majorHAnsi"/>
          <w:color w:val="auto"/>
          <w:szCs w:val="22"/>
          <w:vertAlign w:val="superscript"/>
        </w:rPr>
        <w:t>50</w:t>
      </w:r>
      <w:r w:rsidR="00446840" w:rsidRPr="00190CE5">
        <w:rPr>
          <w:rFonts w:asciiTheme="majorHAnsi" w:hAnsiTheme="majorHAnsi"/>
          <w:color w:val="auto"/>
          <w:szCs w:val="22"/>
        </w:rPr>
        <w:t xml:space="preserve">.  </w:t>
      </w:r>
      <w:r w:rsidR="00A367D1" w:rsidRPr="00190CE5">
        <w:rPr>
          <w:rFonts w:asciiTheme="majorHAnsi" w:hAnsiTheme="majorHAnsi"/>
          <w:color w:val="auto"/>
          <w:szCs w:val="22"/>
        </w:rPr>
        <w:t xml:space="preserve">Previous work in DEP has indicated the usefulness of DEP-derived membrane conductance as a </w:t>
      </w:r>
      <w:r w:rsidR="00446840" w:rsidRPr="00190CE5">
        <w:rPr>
          <w:rFonts w:asciiTheme="majorHAnsi" w:hAnsiTheme="majorHAnsi"/>
          <w:color w:val="auto"/>
          <w:szCs w:val="22"/>
        </w:rPr>
        <w:t xml:space="preserve">stand-alone </w:t>
      </w:r>
      <w:r w:rsidR="00A367D1" w:rsidRPr="00190CE5">
        <w:rPr>
          <w:rFonts w:asciiTheme="majorHAnsi" w:hAnsiTheme="majorHAnsi"/>
          <w:color w:val="auto"/>
          <w:szCs w:val="22"/>
        </w:rPr>
        <w:t xml:space="preserve">biomarker, but whilst the parameter </w:t>
      </w:r>
      <w:r w:rsidR="002A0510" w:rsidRPr="00190CE5">
        <w:rPr>
          <w:rFonts w:asciiTheme="majorHAnsi" w:hAnsiTheme="majorHAnsi"/>
          <w:color w:val="auto"/>
          <w:szCs w:val="22"/>
        </w:rPr>
        <w:t xml:space="preserve">clearly has significant potential, further exploration </w:t>
      </w:r>
      <w:r w:rsidR="00A367D1" w:rsidRPr="00190CE5">
        <w:rPr>
          <w:rFonts w:asciiTheme="majorHAnsi" w:hAnsiTheme="majorHAnsi"/>
          <w:color w:val="auto"/>
          <w:szCs w:val="22"/>
        </w:rPr>
        <w:t xml:space="preserve">is required </w:t>
      </w:r>
      <w:r w:rsidR="002A0510" w:rsidRPr="00190CE5">
        <w:rPr>
          <w:rFonts w:asciiTheme="majorHAnsi" w:hAnsiTheme="majorHAnsi"/>
          <w:color w:val="auto"/>
          <w:szCs w:val="22"/>
        </w:rPr>
        <w:t>to fully unlock its electrophysiological significance.</w:t>
      </w:r>
    </w:p>
    <w:p w14:paraId="7EC8F03C" w14:textId="77777777" w:rsidR="001666FA" w:rsidRPr="00190CE5" w:rsidRDefault="001666FA" w:rsidP="002824C2">
      <w:pPr>
        <w:pStyle w:val="Body"/>
        <w:tabs>
          <w:tab w:val="left" w:pos="4252"/>
          <w:tab w:val="left" w:pos="4961"/>
          <w:tab w:val="left" w:pos="5669"/>
          <w:tab w:val="left" w:pos="6378"/>
          <w:tab w:val="left" w:pos="7087"/>
          <w:tab w:val="left" w:pos="7795"/>
          <w:tab w:val="left" w:pos="8504"/>
          <w:tab w:val="left" w:pos="9213"/>
        </w:tabs>
        <w:spacing w:before="0" w:after="0" w:line="360" w:lineRule="auto"/>
        <w:rPr>
          <w:rFonts w:asciiTheme="majorHAnsi" w:hAnsiTheme="majorHAnsi"/>
          <w:b/>
          <w:color w:val="auto"/>
          <w:szCs w:val="22"/>
        </w:rPr>
      </w:pPr>
    </w:p>
    <w:p w14:paraId="7ABEB0D5" w14:textId="1DBACC6D" w:rsidR="005559A7" w:rsidRPr="00190CE5" w:rsidRDefault="005559A7" w:rsidP="005559A7">
      <w:pPr>
        <w:rPr>
          <w:rFonts w:asciiTheme="majorHAnsi" w:hAnsiTheme="majorHAnsi"/>
          <w:b/>
          <w:sz w:val="22"/>
        </w:rPr>
      </w:pPr>
      <w:r w:rsidRPr="00190CE5">
        <w:rPr>
          <w:rFonts w:asciiTheme="majorHAnsi" w:hAnsiTheme="majorHAnsi"/>
          <w:b/>
          <w:sz w:val="22"/>
        </w:rPr>
        <w:t>4.3.  Measurement near physiological ionic strength</w:t>
      </w:r>
    </w:p>
    <w:p w14:paraId="0092DC7C" w14:textId="6BD35420" w:rsidR="005559A7" w:rsidRPr="00190CE5" w:rsidRDefault="005559A7" w:rsidP="005559A7">
      <w:pPr>
        <w:rPr>
          <w:rFonts w:asciiTheme="majorHAnsi" w:hAnsiTheme="majorHAnsi"/>
          <w:sz w:val="22"/>
        </w:rPr>
      </w:pPr>
      <w:r w:rsidRPr="00190CE5">
        <w:rPr>
          <w:rFonts w:asciiTheme="majorHAnsi" w:hAnsiTheme="majorHAnsi"/>
          <w:sz w:val="22"/>
        </w:rPr>
        <w:t>A significant limitation of most DEP measurement approaches is that the use of microfabricated planar electrodes precludes the use of high ionic strength media</w:t>
      </w:r>
      <w:r w:rsidR="00A12B4A" w:rsidRPr="00190CE5">
        <w:rPr>
          <w:rFonts w:asciiTheme="majorHAnsi" w:hAnsiTheme="majorHAnsi"/>
          <w:sz w:val="22"/>
        </w:rPr>
        <w:t xml:space="preserve"> (typical physiological media have conductivity ca. 1400 mS</w:t>
      </w:r>
      <w:r w:rsidR="00622347" w:rsidRPr="00190CE5">
        <w:rPr>
          <w:rFonts w:asciiTheme="majorHAnsi" w:hAnsiTheme="majorHAnsi"/>
          <w:sz w:val="22"/>
        </w:rPr>
        <w:t>.</w:t>
      </w:r>
      <w:r w:rsidR="00A12B4A" w:rsidRPr="00190CE5">
        <w:rPr>
          <w:rFonts w:asciiTheme="majorHAnsi" w:hAnsiTheme="majorHAnsi"/>
          <w:sz w:val="22"/>
        </w:rPr>
        <w:t>m</w:t>
      </w:r>
      <w:r w:rsidR="00A12B4A" w:rsidRPr="00190CE5">
        <w:rPr>
          <w:rFonts w:asciiTheme="majorHAnsi" w:hAnsiTheme="majorHAnsi"/>
          <w:sz w:val="22"/>
          <w:vertAlign w:val="superscript"/>
        </w:rPr>
        <w:t>-1</w:t>
      </w:r>
      <w:r w:rsidR="00A12B4A" w:rsidRPr="00190CE5">
        <w:rPr>
          <w:rFonts w:asciiTheme="majorHAnsi" w:hAnsiTheme="majorHAnsi"/>
          <w:sz w:val="22"/>
        </w:rPr>
        <w:t>)</w:t>
      </w:r>
      <w:r w:rsidRPr="00190CE5">
        <w:rPr>
          <w:rFonts w:asciiTheme="majorHAnsi" w:hAnsiTheme="majorHAnsi"/>
          <w:sz w:val="22"/>
        </w:rPr>
        <w:t xml:space="preserve">; the thin gold films used for </w:t>
      </w:r>
      <w:r w:rsidR="0045176D" w:rsidRPr="00190CE5">
        <w:rPr>
          <w:rFonts w:asciiTheme="majorHAnsi" w:hAnsiTheme="majorHAnsi"/>
          <w:sz w:val="22"/>
        </w:rPr>
        <w:t xml:space="preserve">DEP are easily damaged by the current densities caused by the </w:t>
      </w:r>
      <w:r w:rsidRPr="00190CE5">
        <w:rPr>
          <w:rFonts w:asciiTheme="majorHAnsi" w:hAnsiTheme="majorHAnsi"/>
          <w:sz w:val="22"/>
        </w:rPr>
        <w:t>high field</w:t>
      </w:r>
      <w:r w:rsidR="0045176D" w:rsidRPr="00190CE5">
        <w:rPr>
          <w:rFonts w:asciiTheme="majorHAnsi" w:hAnsiTheme="majorHAnsi"/>
          <w:sz w:val="22"/>
        </w:rPr>
        <w:t xml:space="preserve"> </w:t>
      </w:r>
      <w:r w:rsidR="00B8201C" w:rsidRPr="00190CE5">
        <w:rPr>
          <w:rFonts w:asciiTheme="majorHAnsi" w:hAnsiTheme="majorHAnsi"/>
          <w:sz w:val="22"/>
        </w:rPr>
        <w:t xml:space="preserve">strengths, leading to </w:t>
      </w:r>
      <w:r w:rsidRPr="00190CE5">
        <w:rPr>
          <w:rFonts w:asciiTheme="majorHAnsi" w:hAnsiTheme="majorHAnsi"/>
          <w:sz w:val="22"/>
        </w:rPr>
        <w:t xml:space="preserve">electrolysis or “burning” of the electrodes.  As a consequence, </w:t>
      </w:r>
      <w:r w:rsidR="007A1D3E" w:rsidRPr="00190CE5">
        <w:rPr>
          <w:rFonts w:asciiTheme="majorHAnsi" w:hAnsiTheme="majorHAnsi"/>
          <w:sz w:val="22"/>
        </w:rPr>
        <w:t xml:space="preserve">media used in </w:t>
      </w:r>
      <w:r w:rsidRPr="00190CE5">
        <w:rPr>
          <w:rFonts w:asciiTheme="majorHAnsi" w:hAnsiTheme="majorHAnsi"/>
          <w:sz w:val="22"/>
        </w:rPr>
        <w:t>DEP systems are often limited to about 100mSm</w:t>
      </w:r>
      <w:r w:rsidRPr="00190CE5">
        <w:rPr>
          <w:rFonts w:asciiTheme="majorHAnsi" w:hAnsiTheme="majorHAnsi"/>
          <w:sz w:val="22"/>
          <w:vertAlign w:val="superscript"/>
        </w:rPr>
        <w:t>-1</w:t>
      </w:r>
      <w:r w:rsidRPr="00190CE5">
        <w:rPr>
          <w:rFonts w:asciiTheme="majorHAnsi" w:hAnsiTheme="majorHAnsi"/>
          <w:sz w:val="22"/>
        </w:rPr>
        <w:t xml:space="preserve">.  The DEP-Well approach instead uses relatively thick layers of copper, and avoids the high charge concentrations </w:t>
      </w:r>
      <w:r w:rsidR="007A1D3E" w:rsidRPr="00190CE5">
        <w:rPr>
          <w:rFonts w:asciiTheme="majorHAnsi" w:hAnsiTheme="majorHAnsi"/>
          <w:sz w:val="22"/>
        </w:rPr>
        <w:t>associated</w:t>
      </w:r>
      <w:r w:rsidR="00753F24" w:rsidRPr="00190CE5">
        <w:rPr>
          <w:rFonts w:asciiTheme="majorHAnsi" w:hAnsiTheme="majorHAnsi"/>
          <w:sz w:val="22"/>
        </w:rPr>
        <w:t xml:space="preserve"> </w:t>
      </w:r>
      <w:r w:rsidRPr="00190CE5">
        <w:rPr>
          <w:rFonts w:asciiTheme="majorHAnsi" w:hAnsiTheme="majorHAnsi"/>
          <w:sz w:val="22"/>
        </w:rPr>
        <w:t>with thin-film fabrication; as a consequence</w:t>
      </w:r>
      <w:r w:rsidR="00A734B3" w:rsidRPr="00190CE5">
        <w:rPr>
          <w:rFonts w:asciiTheme="majorHAnsi" w:hAnsiTheme="majorHAnsi"/>
          <w:sz w:val="22"/>
        </w:rPr>
        <w:t>,</w:t>
      </w:r>
      <w:r w:rsidRPr="00190CE5">
        <w:rPr>
          <w:rFonts w:asciiTheme="majorHAnsi" w:hAnsiTheme="majorHAnsi"/>
          <w:sz w:val="22"/>
        </w:rPr>
        <w:t xml:space="preserve"> it is possible to </w:t>
      </w:r>
      <w:r w:rsidR="002E1DC4" w:rsidRPr="00190CE5">
        <w:rPr>
          <w:rFonts w:asciiTheme="majorHAnsi" w:hAnsiTheme="majorHAnsi"/>
          <w:sz w:val="22"/>
        </w:rPr>
        <w:t xml:space="preserve">use </w:t>
      </w:r>
      <w:r w:rsidR="007A1D3E" w:rsidRPr="00190CE5">
        <w:rPr>
          <w:rFonts w:asciiTheme="majorHAnsi" w:hAnsiTheme="majorHAnsi"/>
          <w:sz w:val="22"/>
        </w:rPr>
        <w:t xml:space="preserve">media of </w:t>
      </w:r>
      <w:r w:rsidR="002E1DC4" w:rsidRPr="00190CE5">
        <w:rPr>
          <w:rFonts w:asciiTheme="majorHAnsi" w:hAnsiTheme="majorHAnsi"/>
          <w:sz w:val="22"/>
        </w:rPr>
        <w:t xml:space="preserve">considerably higher conductivity.  </w:t>
      </w:r>
      <w:r w:rsidR="006254D6" w:rsidRPr="00190CE5">
        <w:rPr>
          <w:rFonts w:asciiTheme="majorHAnsi" w:hAnsiTheme="majorHAnsi"/>
          <w:sz w:val="22"/>
        </w:rPr>
        <w:t xml:space="preserve">We were able to obtain </w:t>
      </w:r>
      <w:r w:rsidR="00D02A1E" w:rsidRPr="00190CE5">
        <w:rPr>
          <w:rFonts w:asciiTheme="majorHAnsi" w:hAnsiTheme="majorHAnsi"/>
          <w:sz w:val="22"/>
        </w:rPr>
        <w:t xml:space="preserve">robust data </w:t>
      </w:r>
      <w:r w:rsidR="006254D6" w:rsidRPr="00190CE5">
        <w:rPr>
          <w:rFonts w:asciiTheme="majorHAnsi" w:hAnsiTheme="majorHAnsi"/>
          <w:sz w:val="22"/>
        </w:rPr>
        <w:t>at</w:t>
      </w:r>
      <w:r w:rsidR="00ED1DBB" w:rsidRPr="00190CE5">
        <w:rPr>
          <w:rFonts w:asciiTheme="majorHAnsi" w:hAnsiTheme="majorHAnsi"/>
          <w:sz w:val="22"/>
        </w:rPr>
        <w:t xml:space="preserve"> </w:t>
      </w:r>
      <w:r w:rsidR="00D02A1E" w:rsidRPr="00190CE5">
        <w:rPr>
          <w:rFonts w:asciiTheme="majorHAnsi" w:hAnsiTheme="majorHAnsi"/>
          <w:sz w:val="22"/>
        </w:rPr>
        <w:t xml:space="preserve">considerably higher medium conductivities than are conventionally analysed.  For example, the results of DEP analysis of </w:t>
      </w:r>
      <w:r w:rsidR="002E1DC4" w:rsidRPr="00190CE5">
        <w:rPr>
          <w:rFonts w:asciiTheme="majorHAnsi" w:hAnsiTheme="majorHAnsi"/>
          <w:sz w:val="22"/>
        </w:rPr>
        <w:t xml:space="preserve">platelets </w:t>
      </w:r>
      <w:r w:rsidR="00D02A1E" w:rsidRPr="00190CE5">
        <w:rPr>
          <w:rFonts w:asciiTheme="majorHAnsi" w:hAnsiTheme="majorHAnsi"/>
          <w:sz w:val="22"/>
        </w:rPr>
        <w:t xml:space="preserve">suspended </w:t>
      </w:r>
      <w:r w:rsidR="002E1DC4" w:rsidRPr="00190CE5">
        <w:rPr>
          <w:rFonts w:asciiTheme="majorHAnsi" w:hAnsiTheme="majorHAnsi"/>
          <w:sz w:val="22"/>
        </w:rPr>
        <w:t>in 200, 400</w:t>
      </w:r>
      <w:r w:rsidR="00ED1DBB" w:rsidRPr="00190CE5">
        <w:rPr>
          <w:rFonts w:asciiTheme="majorHAnsi" w:hAnsiTheme="majorHAnsi"/>
          <w:sz w:val="22"/>
        </w:rPr>
        <w:t xml:space="preserve"> </w:t>
      </w:r>
      <w:r w:rsidR="002E1DC4" w:rsidRPr="00190CE5">
        <w:rPr>
          <w:rFonts w:asciiTheme="majorHAnsi" w:hAnsiTheme="majorHAnsi"/>
          <w:sz w:val="22"/>
        </w:rPr>
        <w:t>and</w:t>
      </w:r>
      <w:r w:rsidR="002E1DC4" w:rsidRPr="00190CE5">
        <w:rPr>
          <w:rFonts w:asciiTheme="majorHAnsi" w:hAnsiTheme="majorHAnsi"/>
          <w:sz w:val="22"/>
          <w:vertAlign w:val="superscript"/>
        </w:rPr>
        <w:t xml:space="preserve"> </w:t>
      </w:r>
      <w:r w:rsidR="002E1DC4" w:rsidRPr="00190CE5">
        <w:rPr>
          <w:rFonts w:asciiTheme="majorHAnsi" w:hAnsiTheme="majorHAnsi"/>
          <w:sz w:val="22"/>
        </w:rPr>
        <w:t>800</w:t>
      </w:r>
      <w:r w:rsidR="00ED1DBB" w:rsidRPr="00190CE5">
        <w:rPr>
          <w:rFonts w:asciiTheme="majorHAnsi" w:hAnsiTheme="majorHAnsi"/>
          <w:sz w:val="22"/>
        </w:rPr>
        <w:t xml:space="preserve"> </w:t>
      </w:r>
      <w:r w:rsidR="002E1DC4" w:rsidRPr="00190CE5">
        <w:rPr>
          <w:rFonts w:asciiTheme="majorHAnsi" w:hAnsiTheme="majorHAnsi"/>
          <w:sz w:val="22"/>
        </w:rPr>
        <w:t>mSm</w:t>
      </w:r>
      <w:r w:rsidR="002E1DC4" w:rsidRPr="00190CE5">
        <w:rPr>
          <w:rFonts w:asciiTheme="majorHAnsi" w:hAnsiTheme="majorHAnsi"/>
          <w:sz w:val="22"/>
          <w:vertAlign w:val="superscript"/>
        </w:rPr>
        <w:t>-1</w:t>
      </w:r>
      <w:r w:rsidR="002E1DC4" w:rsidRPr="00190CE5">
        <w:rPr>
          <w:rFonts w:asciiTheme="majorHAnsi" w:hAnsiTheme="majorHAnsi"/>
          <w:sz w:val="22"/>
        </w:rPr>
        <w:t xml:space="preserve"> solution</w:t>
      </w:r>
      <w:r w:rsidR="00D02A1E" w:rsidRPr="00190CE5">
        <w:rPr>
          <w:rFonts w:asciiTheme="majorHAnsi" w:hAnsiTheme="majorHAnsi"/>
          <w:sz w:val="22"/>
        </w:rPr>
        <w:t>s are</w:t>
      </w:r>
      <w:r w:rsidR="002E1DC4" w:rsidRPr="00190CE5">
        <w:rPr>
          <w:rFonts w:asciiTheme="majorHAnsi" w:hAnsiTheme="majorHAnsi"/>
          <w:sz w:val="22"/>
        </w:rPr>
        <w:t xml:space="preserve"> shown in </w:t>
      </w:r>
      <w:r w:rsidR="00F566B7" w:rsidRPr="00190CE5">
        <w:rPr>
          <w:rFonts w:asciiTheme="majorHAnsi" w:hAnsiTheme="majorHAnsi"/>
          <w:sz w:val="22"/>
        </w:rPr>
        <w:t>F</w:t>
      </w:r>
      <w:r w:rsidR="002E1DC4" w:rsidRPr="00190CE5">
        <w:rPr>
          <w:rFonts w:asciiTheme="majorHAnsi" w:hAnsiTheme="majorHAnsi"/>
          <w:sz w:val="22"/>
        </w:rPr>
        <w:t xml:space="preserve">igure 6.  </w:t>
      </w:r>
      <w:r w:rsidR="007A1D3E" w:rsidRPr="00190CE5">
        <w:rPr>
          <w:rFonts w:asciiTheme="majorHAnsi" w:hAnsiTheme="majorHAnsi"/>
          <w:sz w:val="22"/>
        </w:rPr>
        <w:t>E</w:t>
      </w:r>
      <w:r w:rsidR="002E1DC4" w:rsidRPr="00190CE5">
        <w:rPr>
          <w:rFonts w:asciiTheme="majorHAnsi" w:hAnsiTheme="majorHAnsi"/>
          <w:sz w:val="22"/>
        </w:rPr>
        <w:t xml:space="preserve">ven at very high medium conductivity it </w:t>
      </w:r>
      <w:r w:rsidR="00B334D6" w:rsidRPr="00190CE5">
        <w:rPr>
          <w:rFonts w:asciiTheme="majorHAnsi" w:hAnsiTheme="majorHAnsi"/>
          <w:sz w:val="22"/>
        </w:rPr>
        <w:t xml:space="preserve">was </w:t>
      </w:r>
      <w:r w:rsidR="002E1DC4" w:rsidRPr="00190CE5">
        <w:rPr>
          <w:rFonts w:asciiTheme="majorHAnsi" w:hAnsiTheme="majorHAnsi"/>
          <w:sz w:val="22"/>
        </w:rPr>
        <w:t>possible to acquire largely noise-free spectra; modelling the data showed steady elevation of cytoplasm conductivity, from 150</w:t>
      </w:r>
      <w:r w:rsidR="00ED1DBB" w:rsidRPr="00190CE5">
        <w:rPr>
          <w:rFonts w:asciiTheme="majorHAnsi" w:hAnsiTheme="majorHAnsi"/>
          <w:sz w:val="22"/>
        </w:rPr>
        <w:t xml:space="preserve"> </w:t>
      </w:r>
      <w:r w:rsidR="002E1DC4" w:rsidRPr="00190CE5">
        <w:rPr>
          <w:rFonts w:asciiTheme="majorHAnsi" w:hAnsiTheme="majorHAnsi"/>
          <w:sz w:val="22"/>
        </w:rPr>
        <w:t>mSm</w:t>
      </w:r>
      <w:r w:rsidR="002E1DC4" w:rsidRPr="00190CE5">
        <w:rPr>
          <w:rFonts w:asciiTheme="majorHAnsi" w:hAnsiTheme="majorHAnsi"/>
          <w:sz w:val="22"/>
          <w:vertAlign w:val="superscript"/>
        </w:rPr>
        <w:t>-1</w:t>
      </w:r>
      <w:r w:rsidR="002E1DC4" w:rsidRPr="00190CE5">
        <w:rPr>
          <w:rFonts w:asciiTheme="majorHAnsi" w:hAnsiTheme="majorHAnsi"/>
          <w:sz w:val="22"/>
        </w:rPr>
        <w:t xml:space="preserve"> </w:t>
      </w:r>
      <w:r w:rsidR="00A734B3" w:rsidRPr="00190CE5">
        <w:rPr>
          <w:rFonts w:asciiTheme="majorHAnsi" w:hAnsiTheme="majorHAnsi"/>
          <w:sz w:val="22"/>
        </w:rPr>
        <w:t xml:space="preserve">in the lowest conductivity </w:t>
      </w:r>
      <w:r w:rsidR="002E1DC4" w:rsidRPr="00190CE5">
        <w:rPr>
          <w:rFonts w:asciiTheme="majorHAnsi" w:hAnsiTheme="majorHAnsi"/>
          <w:sz w:val="22"/>
        </w:rPr>
        <w:t xml:space="preserve">solution to </w:t>
      </w:r>
      <w:r w:rsidR="00A734B3" w:rsidRPr="00190CE5">
        <w:rPr>
          <w:rFonts w:asciiTheme="majorHAnsi" w:hAnsiTheme="majorHAnsi"/>
          <w:sz w:val="22"/>
        </w:rPr>
        <w:t>250</w:t>
      </w:r>
      <w:r w:rsidR="00ED1DBB" w:rsidRPr="00190CE5">
        <w:rPr>
          <w:rFonts w:asciiTheme="majorHAnsi" w:hAnsiTheme="majorHAnsi"/>
          <w:sz w:val="22"/>
        </w:rPr>
        <w:t xml:space="preserve"> </w:t>
      </w:r>
      <w:r w:rsidR="00A734B3" w:rsidRPr="00190CE5">
        <w:rPr>
          <w:rFonts w:asciiTheme="majorHAnsi" w:hAnsiTheme="majorHAnsi"/>
          <w:sz w:val="22"/>
        </w:rPr>
        <w:t>mS</w:t>
      </w:r>
      <w:r w:rsidR="00622347" w:rsidRPr="00190CE5">
        <w:rPr>
          <w:rFonts w:asciiTheme="majorHAnsi" w:hAnsiTheme="majorHAnsi"/>
          <w:sz w:val="22"/>
        </w:rPr>
        <w:t>.</w:t>
      </w:r>
      <w:r w:rsidR="00A734B3" w:rsidRPr="00190CE5">
        <w:rPr>
          <w:rFonts w:asciiTheme="majorHAnsi" w:hAnsiTheme="majorHAnsi"/>
          <w:sz w:val="22"/>
        </w:rPr>
        <w:t>m</w:t>
      </w:r>
      <w:r w:rsidR="00A734B3" w:rsidRPr="00190CE5">
        <w:rPr>
          <w:rFonts w:asciiTheme="majorHAnsi" w:hAnsiTheme="majorHAnsi"/>
          <w:i/>
          <w:sz w:val="22"/>
          <w:vertAlign w:val="superscript"/>
        </w:rPr>
        <w:t>-</w:t>
      </w:r>
      <w:r w:rsidR="00A734B3" w:rsidRPr="00190CE5">
        <w:rPr>
          <w:rFonts w:asciiTheme="majorHAnsi" w:hAnsiTheme="majorHAnsi"/>
          <w:sz w:val="22"/>
          <w:vertAlign w:val="superscript"/>
        </w:rPr>
        <w:t>1</w:t>
      </w:r>
      <w:r w:rsidR="00A734B3" w:rsidRPr="00190CE5">
        <w:rPr>
          <w:rFonts w:asciiTheme="majorHAnsi" w:hAnsiTheme="majorHAnsi"/>
          <w:sz w:val="22"/>
        </w:rPr>
        <w:t xml:space="preserve"> in the intermediate and</w:t>
      </w:r>
      <w:r w:rsidR="00F566B7" w:rsidRPr="00190CE5">
        <w:rPr>
          <w:rFonts w:asciiTheme="majorHAnsi" w:hAnsiTheme="majorHAnsi"/>
          <w:sz w:val="22"/>
        </w:rPr>
        <w:t xml:space="preserve"> </w:t>
      </w:r>
      <w:r w:rsidR="00A734B3" w:rsidRPr="00190CE5">
        <w:rPr>
          <w:rFonts w:asciiTheme="majorHAnsi" w:hAnsiTheme="majorHAnsi"/>
          <w:sz w:val="22"/>
        </w:rPr>
        <w:t>400mS</w:t>
      </w:r>
      <w:r w:rsidR="00622347" w:rsidRPr="00190CE5">
        <w:rPr>
          <w:rFonts w:asciiTheme="majorHAnsi" w:hAnsiTheme="majorHAnsi"/>
          <w:sz w:val="22"/>
        </w:rPr>
        <w:t>.</w:t>
      </w:r>
      <w:r w:rsidR="00A734B3" w:rsidRPr="00190CE5">
        <w:rPr>
          <w:rFonts w:asciiTheme="majorHAnsi" w:hAnsiTheme="majorHAnsi"/>
          <w:sz w:val="22"/>
        </w:rPr>
        <w:t>m</w:t>
      </w:r>
      <w:r w:rsidR="00A734B3" w:rsidRPr="00190CE5">
        <w:rPr>
          <w:rFonts w:asciiTheme="majorHAnsi" w:hAnsiTheme="majorHAnsi"/>
          <w:sz w:val="22"/>
          <w:vertAlign w:val="superscript"/>
        </w:rPr>
        <w:t>-1</w:t>
      </w:r>
      <w:r w:rsidR="00A734B3" w:rsidRPr="00190CE5">
        <w:rPr>
          <w:rFonts w:asciiTheme="majorHAnsi" w:hAnsiTheme="majorHAnsi"/>
          <w:sz w:val="22"/>
        </w:rPr>
        <w:t xml:space="preserve"> in the highest</w:t>
      </w:r>
      <w:r w:rsidR="002E1DC4" w:rsidRPr="00190CE5">
        <w:rPr>
          <w:rFonts w:asciiTheme="majorHAnsi" w:hAnsiTheme="majorHAnsi"/>
          <w:sz w:val="22"/>
        </w:rPr>
        <w:t xml:space="preserve">, suggesting that platelets are </w:t>
      </w:r>
      <w:r w:rsidR="005A07DA" w:rsidRPr="00190CE5">
        <w:rPr>
          <w:rFonts w:asciiTheme="majorHAnsi" w:hAnsiTheme="majorHAnsi"/>
          <w:sz w:val="22"/>
        </w:rPr>
        <w:t xml:space="preserve">susceptible to changes in </w:t>
      </w:r>
      <w:r w:rsidR="002E1DC4" w:rsidRPr="00190CE5">
        <w:rPr>
          <w:rFonts w:asciiTheme="majorHAnsi" w:hAnsiTheme="majorHAnsi"/>
          <w:sz w:val="22"/>
        </w:rPr>
        <w:t>the conductivity of their suspending medium.  However,</w:t>
      </w:r>
      <w:r w:rsidR="00753F24" w:rsidRPr="00190CE5">
        <w:rPr>
          <w:rFonts w:asciiTheme="majorHAnsi" w:hAnsiTheme="majorHAnsi"/>
          <w:sz w:val="22"/>
        </w:rPr>
        <w:t xml:space="preserve"> </w:t>
      </w:r>
      <w:r w:rsidR="00B334D6" w:rsidRPr="00190CE5">
        <w:rPr>
          <w:rFonts w:asciiTheme="majorHAnsi" w:hAnsiTheme="majorHAnsi"/>
          <w:sz w:val="22"/>
        </w:rPr>
        <w:t xml:space="preserve">variation </w:t>
      </w:r>
      <w:r w:rsidR="00B334D6" w:rsidRPr="00190CE5">
        <w:rPr>
          <w:rFonts w:asciiTheme="majorHAnsi" w:hAnsiTheme="majorHAnsi"/>
          <w:sz w:val="22"/>
        </w:rPr>
        <w:lastRenderedPageBreak/>
        <w:t xml:space="preserve">of medium conductivity did not </w:t>
      </w:r>
      <w:r w:rsidR="002E1DC4" w:rsidRPr="00190CE5">
        <w:rPr>
          <w:rFonts w:asciiTheme="majorHAnsi" w:hAnsiTheme="majorHAnsi"/>
          <w:sz w:val="22"/>
        </w:rPr>
        <w:t>affect either the membrane capacitance or conductance, which remained at 7.6</w:t>
      </w:r>
      <w:r w:rsidR="00ED1DBB" w:rsidRPr="00190CE5">
        <w:rPr>
          <w:rFonts w:asciiTheme="majorHAnsi" w:hAnsiTheme="majorHAnsi"/>
          <w:sz w:val="22"/>
        </w:rPr>
        <w:t xml:space="preserve"> </w:t>
      </w:r>
      <w:r w:rsidR="002E1DC4" w:rsidRPr="00190CE5">
        <w:rPr>
          <w:rFonts w:asciiTheme="majorHAnsi" w:hAnsiTheme="majorHAnsi"/>
          <w:sz w:val="22"/>
        </w:rPr>
        <w:t>mF</w:t>
      </w:r>
      <w:r w:rsidR="00ED1DBB" w:rsidRPr="00190CE5">
        <w:rPr>
          <w:rFonts w:asciiTheme="majorHAnsi" w:hAnsiTheme="majorHAnsi"/>
          <w:sz w:val="22"/>
        </w:rPr>
        <w:t>.</w:t>
      </w:r>
      <w:r w:rsidR="002E1DC4" w:rsidRPr="00190CE5">
        <w:rPr>
          <w:rFonts w:asciiTheme="majorHAnsi" w:hAnsiTheme="majorHAnsi"/>
          <w:sz w:val="22"/>
        </w:rPr>
        <w:t>m</w:t>
      </w:r>
      <w:r w:rsidR="002E1DC4" w:rsidRPr="00190CE5">
        <w:rPr>
          <w:rFonts w:asciiTheme="majorHAnsi" w:hAnsiTheme="majorHAnsi"/>
          <w:sz w:val="22"/>
          <w:vertAlign w:val="superscript"/>
        </w:rPr>
        <w:t xml:space="preserve">-2 </w:t>
      </w:r>
      <w:r w:rsidR="002E1DC4" w:rsidRPr="00190CE5">
        <w:rPr>
          <w:rFonts w:asciiTheme="majorHAnsi" w:hAnsiTheme="majorHAnsi"/>
          <w:sz w:val="22"/>
        </w:rPr>
        <w:t>and 35.7</w:t>
      </w:r>
      <w:r w:rsidR="00ED1DBB" w:rsidRPr="00190CE5">
        <w:rPr>
          <w:rFonts w:asciiTheme="majorHAnsi" w:hAnsiTheme="majorHAnsi"/>
          <w:sz w:val="22"/>
        </w:rPr>
        <w:t xml:space="preserve"> </w:t>
      </w:r>
      <w:r w:rsidR="002E1DC4" w:rsidRPr="00190CE5">
        <w:rPr>
          <w:rFonts w:asciiTheme="majorHAnsi" w:hAnsiTheme="majorHAnsi"/>
          <w:sz w:val="22"/>
        </w:rPr>
        <w:t>kS</w:t>
      </w:r>
      <w:r w:rsidR="00ED1DBB" w:rsidRPr="00190CE5">
        <w:rPr>
          <w:rFonts w:asciiTheme="majorHAnsi" w:hAnsiTheme="majorHAnsi"/>
          <w:sz w:val="22"/>
        </w:rPr>
        <w:t>.</w:t>
      </w:r>
      <w:r w:rsidR="002E1DC4" w:rsidRPr="00190CE5">
        <w:rPr>
          <w:rFonts w:asciiTheme="majorHAnsi" w:hAnsiTheme="majorHAnsi"/>
          <w:sz w:val="22"/>
        </w:rPr>
        <w:t>m</w:t>
      </w:r>
      <w:r w:rsidR="002E1DC4" w:rsidRPr="00190CE5">
        <w:rPr>
          <w:rFonts w:asciiTheme="majorHAnsi" w:hAnsiTheme="majorHAnsi"/>
          <w:sz w:val="22"/>
          <w:vertAlign w:val="superscript"/>
        </w:rPr>
        <w:t>-2</w:t>
      </w:r>
      <w:r w:rsidR="002E1DC4" w:rsidRPr="00190CE5">
        <w:rPr>
          <w:rFonts w:asciiTheme="majorHAnsi" w:hAnsiTheme="majorHAnsi"/>
          <w:sz w:val="22"/>
        </w:rPr>
        <w:t xml:space="preserve"> respectively. </w:t>
      </w:r>
    </w:p>
    <w:p w14:paraId="5DBEC5FF" w14:textId="28843756" w:rsidR="005559A7" w:rsidRPr="00190CE5" w:rsidRDefault="005559A7" w:rsidP="001666FA">
      <w:pPr>
        <w:pStyle w:val="Body"/>
        <w:tabs>
          <w:tab w:val="left" w:pos="4252"/>
          <w:tab w:val="left" w:pos="4961"/>
          <w:tab w:val="left" w:pos="5669"/>
          <w:tab w:val="left" w:pos="6378"/>
          <w:tab w:val="left" w:pos="7087"/>
          <w:tab w:val="left" w:pos="7795"/>
          <w:tab w:val="left" w:pos="8504"/>
          <w:tab w:val="left" w:pos="9213"/>
        </w:tabs>
        <w:spacing w:before="0" w:after="0" w:line="360" w:lineRule="auto"/>
        <w:rPr>
          <w:rFonts w:asciiTheme="majorHAnsi" w:hAnsiTheme="majorHAnsi"/>
          <w:color w:val="auto"/>
          <w:szCs w:val="22"/>
        </w:rPr>
      </w:pPr>
    </w:p>
    <w:p w14:paraId="734BA712" w14:textId="50A11B42" w:rsidR="00F512D1" w:rsidRPr="00190CE5" w:rsidRDefault="00F512D1" w:rsidP="001666FA">
      <w:pPr>
        <w:pStyle w:val="Body"/>
        <w:tabs>
          <w:tab w:val="left" w:pos="4252"/>
          <w:tab w:val="left" w:pos="4961"/>
          <w:tab w:val="left" w:pos="5669"/>
          <w:tab w:val="left" w:pos="6378"/>
          <w:tab w:val="left" w:pos="7087"/>
          <w:tab w:val="left" w:pos="7795"/>
          <w:tab w:val="left" w:pos="8504"/>
          <w:tab w:val="left" w:pos="9213"/>
        </w:tabs>
        <w:spacing w:before="0" w:after="0" w:line="360" w:lineRule="auto"/>
        <w:rPr>
          <w:rFonts w:asciiTheme="majorHAnsi" w:hAnsiTheme="majorHAnsi"/>
          <w:b/>
          <w:color w:val="auto"/>
          <w:szCs w:val="22"/>
        </w:rPr>
      </w:pPr>
      <w:r w:rsidRPr="00190CE5">
        <w:rPr>
          <w:rFonts w:asciiTheme="majorHAnsi" w:hAnsiTheme="majorHAnsi"/>
          <w:b/>
          <w:color w:val="auto"/>
          <w:szCs w:val="22"/>
        </w:rPr>
        <w:t>4.4 Rec</w:t>
      </w:r>
      <w:r w:rsidR="00F23ED3" w:rsidRPr="00190CE5">
        <w:rPr>
          <w:rFonts w:asciiTheme="majorHAnsi" w:hAnsiTheme="majorHAnsi"/>
          <w:b/>
          <w:color w:val="auto"/>
          <w:szCs w:val="22"/>
        </w:rPr>
        <w:t>overy and c</w:t>
      </w:r>
      <w:r w:rsidRPr="00190CE5">
        <w:rPr>
          <w:rFonts w:asciiTheme="majorHAnsi" w:hAnsiTheme="majorHAnsi"/>
          <w:b/>
          <w:color w:val="auto"/>
          <w:szCs w:val="22"/>
        </w:rPr>
        <w:t xml:space="preserve">ulturing </w:t>
      </w:r>
      <w:r w:rsidR="00F23ED3" w:rsidRPr="00190CE5">
        <w:rPr>
          <w:rFonts w:asciiTheme="majorHAnsi" w:hAnsiTheme="majorHAnsi"/>
          <w:b/>
          <w:color w:val="auto"/>
          <w:szCs w:val="22"/>
        </w:rPr>
        <w:t xml:space="preserve">of cells </w:t>
      </w:r>
      <w:r w:rsidRPr="00190CE5">
        <w:rPr>
          <w:rFonts w:asciiTheme="majorHAnsi" w:hAnsiTheme="majorHAnsi"/>
          <w:b/>
          <w:color w:val="auto"/>
          <w:szCs w:val="22"/>
        </w:rPr>
        <w:t>after analysis</w:t>
      </w:r>
    </w:p>
    <w:p w14:paraId="21165611" w14:textId="743B3938" w:rsidR="00F512D1" w:rsidRPr="00190CE5" w:rsidRDefault="00F17DC6" w:rsidP="000F38FA">
      <w:pPr>
        <w:spacing w:after="0"/>
        <w:rPr>
          <w:rFonts w:asciiTheme="majorHAnsi" w:hAnsiTheme="majorHAnsi"/>
          <w:sz w:val="22"/>
        </w:rPr>
      </w:pPr>
      <w:r w:rsidRPr="00190CE5">
        <w:rPr>
          <w:rFonts w:asciiTheme="majorHAnsi" w:hAnsiTheme="majorHAnsi"/>
          <w:sz w:val="22"/>
        </w:rPr>
        <w:t xml:space="preserve">An </w:t>
      </w:r>
      <w:r w:rsidR="00F512D1" w:rsidRPr="00190CE5">
        <w:rPr>
          <w:rFonts w:asciiTheme="majorHAnsi" w:hAnsiTheme="majorHAnsi"/>
          <w:sz w:val="22"/>
        </w:rPr>
        <w:t xml:space="preserve">important advantage of DEP over </w:t>
      </w:r>
      <w:r w:rsidR="00F23ED3" w:rsidRPr="00190CE5">
        <w:rPr>
          <w:rFonts w:asciiTheme="majorHAnsi" w:hAnsiTheme="majorHAnsi"/>
          <w:sz w:val="22"/>
        </w:rPr>
        <w:t xml:space="preserve">many </w:t>
      </w:r>
      <w:r w:rsidR="00F512D1" w:rsidRPr="00190CE5">
        <w:rPr>
          <w:rFonts w:asciiTheme="majorHAnsi" w:hAnsiTheme="majorHAnsi"/>
          <w:sz w:val="22"/>
        </w:rPr>
        <w:t xml:space="preserve">other measurement techniques is that cell viability </w:t>
      </w:r>
      <w:r w:rsidRPr="00190CE5">
        <w:rPr>
          <w:rFonts w:asciiTheme="majorHAnsi" w:hAnsiTheme="majorHAnsi"/>
          <w:sz w:val="22"/>
        </w:rPr>
        <w:t xml:space="preserve">is </w:t>
      </w:r>
      <w:r w:rsidR="00F23ED3" w:rsidRPr="00190CE5">
        <w:rPr>
          <w:rFonts w:asciiTheme="majorHAnsi" w:hAnsiTheme="majorHAnsi"/>
          <w:sz w:val="22"/>
        </w:rPr>
        <w:t xml:space="preserve">largely </w:t>
      </w:r>
      <w:r w:rsidRPr="00190CE5">
        <w:rPr>
          <w:rFonts w:asciiTheme="majorHAnsi" w:hAnsiTheme="majorHAnsi"/>
          <w:sz w:val="22"/>
        </w:rPr>
        <w:t xml:space="preserve">unaffected </w:t>
      </w:r>
      <w:r w:rsidR="00F23ED3" w:rsidRPr="00190CE5">
        <w:rPr>
          <w:rFonts w:asciiTheme="majorHAnsi" w:hAnsiTheme="majorHAnsi"/>
          <w:sz w:val="22"/>
        </w:rPr>
        <w:t xml:space="preserve">by </w:t>
      </w:r>
      <w:r w:rsidR="007445C3" w:rsidRPr="00190CE5">
        <w:rPr>
          <w:rFonts w:asciiTheme="majorHAnsi" w:hAnsiTheme="majorHAnsi"/>
          <w:sz w:val="22"/>
        </w:rPr>
        <w:t xml:space="preserve">low </w:t>
      </w:r>
      <w:r w:rsidR="000F38FA" w:rsidRPr="00190CE5">
        <w:rPr>
          <w:rFonts w:asciiTheme="majorHAnsi" w:hAnsiTheme="majorHAnsi"/>
          <w:sz w:val="22"/>
        </w:rPr>
        <w:t>electric field exposure on short timescales</w:t>
      </w:r>
      <w:r w:rsidR="00810244" w:rsidRPr="00190CE5">
        <w:rPr>
          <w:rFonts w:asciiTheme="majorHAnsi" w:hAnsiTheme="majorHAnsi"/>
          <w:sz w:val="22"/>
          <w:vertAlign w:val="superscript"/>
        </w:rPr>
        <w:t>51</w:t>
      </w:r>
      <w:r w:rsidR="00595688" w:rsidRPr="00190CE5">
        <w:rPr>
          <w:rFonts w:asciiTheme="majorHAnsi" w:hAnsiTheme="majorHAnsi"/>
          <w:sz w:val="22"/>
          <w:vertAlign w:val="superscript"/>
        </w:rPr>
        <w:t>-</w:t>
      </w:r>
      <w:r w:rsidR="00810244" w:rsidRPr="00190CE5">
        <w:rPr>
          <w:rFonts w:asciiTheme="majorHAnsi" w:hAnsiTheme="majorHAnsi"/>
          <w:sz w:val="22"/>
          <w:vertAlign w:val="superscript"/>
        </w:rPr>
        <w:t>53</w:t>
      </w:r>
      <w:r w:rsidR="00F512D1" w:rsidRPr="00190CE5">
        <w:rPr>
          <w:rFonts w:asciiTheme="majorHAnsi" w:hAnsiTheme="majorHAnsi"/>
          <w:sz w:val="22"/>
        </w:rPr>
        <w:t xml:space="preserve">. </w:t>
      </w:r>
      <w:r w:rsidR="000F38FA" w:rsidRPr="00190CE5">
        <w:rPr>
          <w:rFonts w:asciiTheme="majorHAnsi" w:hAnsiTheme="majorHAnsi"/>
          <w:sz w:val="22"/>
        </w:rPr>
        <w:t>In order to assess whether we could extract and culture viable cells</w:t>
      </w:r>
      <w:r w:rsidR="00ED1DBB" w:rsidRPr="00190CE5">
        <w:rPr>
          <w:rFonts w:asciiTheme="majorHAnsi" w:hAnsiTheme="majorHAnsi"/>
          <w:sz w:val="22"/>
        </w:rPr>
        <w:t xml:space="preserve"> after analysis</w:t>
      </w:r>
      <w:r w:rsidR="000F38FA" w:rsidRPr="00190CE5">
        <w:rPr>
          <w:rFonts w:asciiTheme="majorHAnsi" w:hAnsiTheme="majorHAnsi"/>
          <w:sz w:val="22"/>
        </w:rPr>
        <w:t>, we</w:t>
      </w:r>
      <w:r w:rsidR="00742F61" w:rsidRPr="00190CE5">
        <w:rPr>
          <w:rFonts w:asciiTheme="majorHAnsi" w:hAnsiTheme="majorHAnsi"/>
          <w:sz w:val="22"/>
        </w:rPr>
        <w:t xml:space="preserve"> performed DEP </w:t>
      </w:r>
      <w:r w:rsidR="00ED1DBB" w:rsidRPr="00190CE5">
        <w:rPr>
          <w:rFonts w:asciiTheme="majorHAnsi" w:hAnsiTheme="majorHAnsi"/>
          <w:sz w:val="22"/>
        </w:rPr>
        <w:t xml:space="preserve">measurements </w:t>
      </w:r>
      <w:r w:rsidR="00742F61" w:rsidRPr="00190CE5">
        <w:rPr>
          <w:rFonts w:asciiTheme="majorHAnsi" w:hAnsiTheme="majorHAnsi"/>
          <w:sz w:val="22"/>
        </w:rPr>
        <w:t xml:space="preserve">on HeLa cells (n=15) in autoclaved chips, </w:t>
      </w:r>
      <w:r w:rsidR="00ED1DBB" w:rsidRPr="00190CE5">
        <w:rPr>
          <w:rFonts w:asciiTheme="majorHAnsi" w:hAnsiTheme="majorHAnsi"/>
          <w:sz w:val="22"/>
        </w:rPr>
        <w:t xml:space="preserve">the </w:t>
      </w:r>
      <w:r w:rsidR="00742F61" w:rsidRPr="00190CE5">
        <w:rPr>
          <w:rFonts w:asciiTheme="majorHAnsi" w:hAnsiTheme="majorHAnsi"/>
          <w:sz w:val="22"/>
        </w:rPr>
        <w:t>spectra of which can be f</w:t>
      </w:r>
      <w:r w:rsidR="0085596D" w:rsidRPr="00190CE5">
        <w:rPr>
          <w:rFonts w:asciiTheme="majorHAnsi" w:hAnsiTheme="majorHAnsi"/>
          <w:sz w:val="22"/>
        </w:rPr>
        <w:t>ound elsewhere</w:t>
      </w:r>
      <w:r w:rsidR="007D271F" w:rsidRPr="00190CE5">
        <w:rPr>
          <w:rFonts w:asciiTheme="majorHAnsi" w:hAnsiTheme="majorHAnsi"/>
          <w:sz w:val="22"/>
          <w:vertAlign w:val="superscript"/>
        </w:rPr>
        <w:t>22</w:t>
      </w:r>
      <w:r w:rsidR="00742F61" w:rsidRPr="00190CE5">
        <w:rPr>
          <w:rFonts w:asciiTheme="majorHAnsi" w:hAnsiTheme="majorHAnsi"/>
          <w:sz w:val="22"/>
        </w:rPr>
        <w:t xml:space="preserve">.  </w:t>
      </w:r>
      <w:r w:rsidR="00ED1DBB" w:rsidRPr="00190CE5">
        <w:rPr>
          <w:rFonts w:asciiTheme="majorHAnsi" w:hAnsiTheme="majorHAnsi"/>
          <w:sz w:val="22"/>
        </w:rPr>
        <w:t xml:space="preserve">We </w:t>
      </w:r>
      <w:r w:rsidR="00742F61" w:rsidRPr="00190CE5">
        <w:rPr>
          <w:rFonts w:asciiTheme="majorHAnsi" w:hAnsiTheme="majorHAnsi"/>
          <w:sz w:val="22"/>
        </w:rPr>
        <w:t xml:space="preserve">then </w:t>
      </w:r>
      <w:r w:rsidR="00F512D1" w:rsidRPr="00190CE5">
        <w:rPr>
          <w:rFonts w:asciiTheme="majorHAnsi" w:hAnsiTheme="majorHAnsi"/>
          <w:sz w:val="22"/>
        </w:rPr>
        <w:t xml:space="preserve">removed </w:t>
      </w:r>
      <w:r w:rsidR="000F38FA" w:rsidRPr="00190CE5">
        <w:rPr>
          <w:rFonts w:asciiTheme="majorHAnsi" w:hAnsiTheme="majorHAnsi"/>
          <w:sz w:val="22"/>
        </w:rPr>
        <w:t xml:space="preserve">cells </w:t>
      </w:r>
      <w:r w:rsidR="00742F61" w:rsidRPr="00190CE5">
        <w:rPr>
          <w:rFonts w:asciiTheme="majorHAnsi" w:hAnsiTheme="majorHAnsi"/>
          <w:sz w:val="22"/>
        </w:rPr>
        <w:t xml:space="preserve">carefully </w:t>
      </w:r>
      <w:r w:rsidR="00F512D1" w:rsidRPr="00190CE5">
        <w:rPr>
          <w:rFonts w:asciiTheme="majorHAnsi" w:hAnsiTheme="majorHAnsi"/>
          <w:sz w:val="22"/>
        </w:rPr>
        <w:t xml:space="preserve">from </w:t>
      </w:r>
      <w:r w:rsidR="00742F61" w:rsidRPr="00190CE5">
        <w:rPr>
          <w:rFonts w:asciiTheme="majorHAnsi" w:hAnsiTheme="majorHAnsi"/>
          <w:sz w:val="22"/>
        </w:rPr>
        <w:t xml:space="preserve">the </w:t>
      </w:r>
      <w:r w:rsidR="00F512D1" w:rsidRPr="00190CE5">
        <w:rPr>
          <w:rFonts w:asciiTheme="majorHAnsi" w:hAnsiTheme="majorHAnsi"/>
          <w:sz w:val="22"/>
        </w:rPr>
        <w:t xml:space="preserve">chips </w:t>
      </w:r>
      <w:r w:rsidR="00BB75E0" w:rsidRPr="00190CE5">
        <w:rPr>
          <w:rFonts w:asciiTheme="majorHAnsi" w:hAnsiTheme="majorHAnsi"/>
          <w:sz w:val="22"/>
        </w:rPr>
        <w:t xml:space="preserve">with a </w:t>
      </w:r>
      <w:r w:rsidR="00F512D1" w:rsidRPr="00190CE5">
        <w:rPr>
          <w:rFonts w:asciiTheme="majorHAnsi" w:hAnsiTheme="majorHAnsi"/>
          <w:sz w:val="22"/>
        </w:rPr>
        <w:t>pipette</w:t>
      </w:r>
      <w:r w:rsidR="000F38FA" w:rsidRPr="00190CE5">
        <w:rPr>
          <w:rFonts w:asciiTheme="majorHAnsi" w:hAnsiTheme="majorHAnsi"/>
          <w:sz w:val="22"/>
        </w:rPr>
        <w:t xml:space="preserve">, </w:t>
      </w:r>
      <w:r w:rsidR="00F512D1" w:rsidRPr="00190CE5">
        <w:rPr>
          <w:rFonts w:asciiTheme="majorHAnsi" w:hAnsiTheme="majorHAnsi"/>
          <w:sz w:val="22"/>
        </w:rPr>
        <w:t xml:space="preserve">and placed </w:t>
      </w:r>
      <w:r w:rsidR="000F38FA" w:rsidRPr="00190CE5">
        <w:rPr>
          <w:rFonts w:asciiTheme="majorHAnsi" w:hAnsiTheme="majorHAnsi"/>
          <w:sz w:val="22"/>
        </w:rPr>
        <w:t xml:space="preserve">them </w:t>
      </w:r>
      <w:r w:rsidR="00F512D1" w:rsidRPr="00190CE5">
        <w:rPr>
          <w:rFonts w:asciiTheme="majorHAnsi" w:hAnsiTheme="majorHAnsi"/>
          <w:sz w:val="22"/>
        </w:rPr>
        <w:t xml:space="preserve">in </w:t>
      </w:r>
      <w:r w:rsidR="000F38FA" w:rsidRPr="00190CE5">
        <w:rPr>
          <w:rFonts w:asciiTheme="majorHAnsi" w:hAnsiTheme="majorHAnsi"/>
          <w:sz w:val="22"/>
        </w:rPr>
        <w:t xml:space="preserve">the </w:t>
      </w:r>
      <w:r w:rsidR="00F512D1" w:rsidRPr="00190CE5">
        <w:rPr>
          <w:rFonts w:asciiTheme="majorHAnsi" w:hAnsiTheme="majorHAnsi"/>
          <w:sz w:val="22"/>
        </w:rPr>
        <w:t xml:space="preserve">well of a </w:t>
      </w:r>
      <w:r w:rsidR="00BB75E0" w:rsidRPr="00190CE5">
        <w:rPr>
          <w:rFonts w:asciiTheme="majorHAnsi" w:hAnsiTheme="majorHAnsi"/>
          <w:sz w:val="22"/>
        </w:rPr>
        <w:t>96-</w:t>
      </w:r>
      <w:r w:rsidR="00F512D1" w:rsidRPr="00190CE5">
        <w:rPr>
          <w:rFonts w:asciiTheme="majorHAnsi" w:hAnsiTheme="majorHAnsi"/>
          <w:sz w:val="22"/>
        </w:rPr>
        <w:t xml:space="preserve">well plate. </w:t>
      </w:r>
      <w:r w:rsidR="000F38FA" w:rsidRPr="00190CE5">
        <w:rPr>
          <w:rFonts w:asciiTheme="majorHAnsi" w:hAnsiTheme="majorHAnsi"/>
          <w:sz w:val="22"/>
        </w:rPr>
        <w:t>T</w:t>
      </w:r>
      <w:r w:rsidR="00F512D1" w:rsidRPr="00190CE5">
        <w:rPr>
          <w:rFonts w:asciiTheme="majorHAnsi" w:hAnsiTheme="majorHAnsi"/>
          <w:sz w:val="22"/>
        </w:rPr>
        <w:t xml:space="preserve">he average volume </w:t>
      </w:r>
      <w:r w:rsidR="00B06CA6" w:rsidRPr="00190CE5">
        <w:rPr>
          <w:rFonts w:asciiTheme="majorHAnsi" w:hAnsiTheme="majorHAnsi"/>
          <w:sz w:val="22"/>
        </w:rPr>
        <w:t xml:space="preserve">recovery </w:t>
      </w:r>
      <w:r w:rsidR="00F512D1" w:rsidRPr="00190CE5">
        <w:rPr>
          <w:rFonts w:asciiTheme="majorHAnsi" w:hAnsiTheme="majorHAnsi"/>
          <w:sz w:val="22"/>
        </w:rPr>
        <w:t xml:space="preserve">of the 75 </w:t>
      </w:r>
      <w:r w:rsidR="00BB75E0" w:rsidRPr="00190CE5">
        <w:rPr>
          <w:rFonts w:asciiTheme="majorHAnsi" w:hAnsiTheme="majorHAnsi" w:cstheme="minorHAnsi"/>
          <w:sz w:val="22"/>
        </w:rPr>
        <w:t>µ</w:t>
      </w:r>
      <w:r w:rsidR="00BB75E0" w:rsidRPr="00190CE5">
        <w:rPr>
          <w:rFonts w:asciiTheme="majorHAnsi" w:hAnsiTheme="majorHAnsi"/>
          <w:sz w:val="22"/>
        </w:rPr>
        <w:t xml:space="preserve">l </w:t>
      </w:r>
      <w:r w:rsidR="00F512D1" w:rsidRPr="00190CE5">
        <w:rPr>
          <w:rFonts w:asciiTheme="majorHAnsi" w:hAnsiTheme="majorHAnsi"/>
          <w:sz w:val="22"/>
        </w:rPr>
        <w:t xml:space="preserve">sample was found to be 58 </w:t>
      </w:r>
      <w:r w:rsidR="00F512D1" w:rsidRPr="00190CE5">
        <w:rPr>
          <w:rFonts w:asciiTheme="majorHAnsi" w:hAnsiTheme="majorHAnsi" w:cstheme="minorHAnsi"/>
          <w:sz w:val="22"/>
        </w:rPr>
        <w:t>±</w:t>
      </w:r>
      <w:r w:rsidR="00F512D1" w:rsidRPr="00190CE5">
        <w:rPr>
          <w:rFonts w:asciiTheme="majorHAnsi" w:hAnsiTheme="majorHAnsi"/>
          <w:sz w:val="22"/>
        </w:rPr>
        <w:t xml:space="preserve"> </w:t>
      </w:r>
      <w:r w:rsidR="00BB75E0" w:rsidRPr="00190CE5">
        <w:rPr>
          <w:rFonts w:asciiTheme="majorHAnsi" w:hAnsiTheme="majorHAnsi"/>
          <w:sz w:val="22"/>
        </w:rPr>
        <w:t>4</w:t>
      </w:r>
      <w:r w:rsidR="00BB75E0" w:rsidRPr="00190CE5">
        <w:rPr>
          <w:rFonts w:asciiTheme="majorHAnsi" w:hAnsiTheme="majorHAnsi" w:cstheme="minorHAnsi"/>
          <w:sz w:val="22"/>
        </w:rPr>
        <w:t>µ</w:t>
      </w:r>
      <w:r w:rsidR="00BB75E0" w:rsidRPr="00190CE5">
        <w:rPr>
          <w:rFonts w:asciiTheme="majorHAnsi" w:hAnsiTheme="majorHAnsi"/>
          <w:sz w:val="22"/>
        </w:rPr>
        <w:t>l</w:t>
      </w:r>
      <w:r w:rsidR="000F38FA" w:rsidRPr="00190CE5">
        <w:rPr>
          <w:rFonts w:asciiTheme="majorHAnsi" w:hAnsiTheme="majorHAnsi"/>
          <w:sz w:val="22"/>
        </w:rPr>
        <w:t>, suggesting a recovery rate of 77% assuming cells remained equally distributed throughout the chip. C</w:t>
      </w:r>
      <w:r w:rsidR="00F512D1" w:rsidRPr="00190CE5">
        <w:rPr>
          <w:rFonts w:asciiTheme="majorHAnsi" w:hAnsiTheme="majorHAnsi"/>
          <w:sz w:val="22"/>
        </w:rPr>
        <w:t>ells were monitored for viability over several days and at least one passage</w:t>
      </w:r>
      <w:r w:rsidR="000F38FA" w:rsidRPr="00190CE5">
        <w:rPr>
          <w:rFonts w:asciiTheme="majorHAnsi" w:hAnsiTheme="majorHAnsi"/>
          <w:sz w:val="22"/>
        </w:rPr>
        <w:t>;</w:t>
      </w:r>
      <w:r w:rsidR="00F512D1" w:rsidRPr="00190CE5">
        <w:rPr>
          <w:rFonts w:asciiTheme="majorHAnsi" w:hAnsiTheme="majorHAnsi"/>
          <w:sz w:val="22"/>
        </w:rPr>
        <w:t xml:space="preserve"> 24 hr </w:t>
      </w:r>
      <w:r w:rsidR="000F38FA" w:rsidRPr="00190CE5">
        <w:rPr>
          <w:rFonts w:asciiTheme="majorHAnsi" w:hAnsiTheme="majorHAnsi"/>
          <w:sz w:val="22"/>
        </w:rPr>
        <w:t>after extraction,</w:t>
      </w:r>
      <w:r w:rsidR="00F512D1" w:rsidRPr="00190CE5">
        <w:rPr>
          <w:rFonts w:asciiTheme="majorHAnsi" w:hAnsiTheme="majorHAnsi"/>
          <w:sz w:val="22"/>
        </w:rPr>
        <w:t xml:space="preserve"> </w:t>
      </w:r>
      <w:r w:rsidR="000F38FA" w:rsidRPr="00190CE5">
        <w:rPr>
          <w:rFonts w:asciiTheme="majorHAnsi" w:hAnsiTheme="majorHAnsi"/>
          <w:sz w:val="22"/>
        </w:rPr>
        <w:t>cell viability</w:t>
      </w:r>
      <w:r w:rsidR="00BB75E0" w:rsidRPr="00190CE5">
        <w:rPr>
          <w:rFonts w:asciiTheme="majorHAnsi" w:hAnsiTheme="majorHAnsi"/>
          <w:sz w:val="22"/>
        </w:rPr>
        <w:t xml:space="preserve"> by Trypan Blue exclusion</w:t>
      </w:r>
      <w:r w:rsidR="000F38FA" w:rsidRPr="00190CE5">
        <w:rPr>
          <w:rFonts w:asciiTheme="majorHAnsi" w:hAnsiTheme="majorHAnsi"/>
          <w:sz w:val="22"/>
        </w:rPr>
        <w:t xml:space="preserve"> was assessed at </w:t>
      </w:r>
      <w:r w:rsidR="00F512D1" w:rsidRPr="00190CE5">
        <w:rPr>
          <w:rFonts w:asciiTheme="majorHAnsi" w:hAnsiTheme="majorHAnsi"/>
          <w:sz w:val="22"/>
        </w:rPr>
        <w:t xml:space="preserve">91 </w:t>
      </w:r>
      <w:r w:rsidR="00F512D1" w:rsidRPr="00190CE5">
        <w:rPr>
          <w:rFonts w:asciiTheme="majorHAnsi" w:hAnsiTheme="majorHAnsi" w:cstheme="minorHAnsi"/>
          <w:sz w:val="22"/>
        </w:rPr>
        <w:t xml:space="preserve">± </w:t>
      </w:r>
      <w:r w:rsidR="00F512D1" w:rsidRPr="00190CE5">
        <w:rPr>
          <w:rFonts w:asciiTheme="majorHAnsi" w:hAnsiTheme="majorHAnsi"/>
          <w:sz w:val="22"/>
        </w:rPr>
        <w:t xml:space="preserve">4%. </w:t>
      </w:r>
      <w:r w:rsidR="000F38FA" w:rsidRPr="00190CE5">
        <w:rPr>
          <w:rFonts w:asciiTheme="majorHAnsi" w:hAnsiTheme="majorHAnsi"/>
          <w:sz w:val="22"/>
        </w:rPr>
        <w:t xml:space="preserve">After </w:t>
      </w:r>
      <w:r w:rsidR="00F512D1" w:rsidRPr="00190CE5">
        <w:rPr>
          <w:rFonts w:asciiTheme="majorHAnsi" w:hAnsiTheme="majorHAnsi"/>
          <w:sz w:val="22"/>
        </w:rPr>
        <w:t>72 hr</w:t>
      </w:r>
      <w:r w:rsidR="000F38FA" w:rsidRPr="00190CE5">
        <w:rPr>
          <w:rFonts w:asciiTheme="majorHAnsi" w:hAnsiTheme="majorHAnsi"/>
          <w:sz w:val="22"/>
        </w:rPr>
        <w:t>s</w:t>
      </w:r>
      <w:r w:rsidR="00F512D1" w:rsidRPr="00190CE5">
        <w:rPr>
          <w:rFonts w:asciiTheme="majorHAnsi" w:hAnsiTheme="majorHAnsi"/>
          <w:sz w:val="22"/>
        </w:rPr>
        <w:t xml:space="preserve"> </w:t>
      </w:r>
      <w:r w:rsidR="000F38FA" w:rsidRPr="00190CE5">
        <w:rPr>
          <w:rFonts w:asciiTheme="majorHAnsi" w:hAnsiTheme="majorHAnsi"/>
          <w:sz w:val="22"/>
        </w:rPr>
        <w:t xml:space="preserve">viability </w:t>
      </w:r>
      <w:r w:rsidR="00F512D1" w:rsidRPr="00190CE5">
        <w:rPr>
          <w:rFonts w:asciiTheme="majorHAnsi" w:hAnsiTheme="majorHAnsi"/>
          <w:sz w:val="22"/>
        </w:rPr>
        <w:t xml:space="preserve">was slightly lower at 88 </w:t>
      </w:r>
      <w:r w:rsidR="00F512D1" w:rsidRPr="00190CE5">
        <w:rPr>
          <w:rFonts w:asciiTheme="majorHAnsi" w:hAnsiTheme="majorHAnsi" w:cstheme="minorHAnsi"/>
          <w:sz w:val="22"/>
        </w:rPr>
        <w:t>±</w:t>
      </w:r>
      <w:r w:rsidR="00F512D1" w:rsidRPr="00190CE5">
        <w:rPr>
          <w:rFonts w:asciiTheme="majorHAnsi" w:hAnsiTheme="majorHAnsi"/>
          <w:sz w:val="22"/>
        </w:rPr>
        <w:t xml:space="preserve"> 5%</w:t>
      </w:r>
      <w:r w:rsidR="000F38FA" w:rsidRPr="00190CE5">
        <w:rPr>
          <w:rFonts w:asciiTheme="majorHAnsi" w:hAnsiTheme="majorHAnsi"/>
          <w:sz w:val="22"/>
        </w:rPr>
        <w:t xml:space="preserve">, </w:t>
      </w:r>
      <w:r w:rsidR="00BB75E0" w:rsidRPr="00190CE5">
        <w:rPr>
          <w:rFonts w:asciiTheme="majorHAnsi" w:hAnsiTheme="majorHAnsi"/>
          <w:sz w:val="22"/>
        </w:rPr>
        <w:t xml:space="preserve">and </w:t>
      </w:r>
      <w:r w:rsidR="00F512D1" w:rsidRPr="00190CE5">
        <w:rPr>
          <w:rFonts w:asciiTheme="majorHAnsi" w:hAnsiTheme="majorHAnsi"/>
          <w:sz w:val="22"/>
        </w:rPr>
        <w:t>post</w:t>
      </w:r>
      <w:r w:rsidR="00B06CA6" w:rsidRPr="00190CE5">
        <w:rPr>
          <w:rFonts w:asciiTheme="majorHAnsi" w:hAnsiTheme="majorHAnsi"/>
          <w:sz w:val="22"/>
        </w:rPr>
        <w:t>-</w:t>
      </w:r>
      <w:r w:rsidR="00F512D1" w:rsidRPr="00190CE5">
        <w:rPr>
          <w:rFonts w:asciiTheme="majorHAnsi" w:hAnsiTheme="majorHAnsi"/>
          <w:sz w:val="22"/>
        </w:rPr>
        <w:t xml:space="preserve">passage remained consistent at 90 </w:t>
      </w:r>
      <w:r w:rsidR="00F512D1" w:rsidRPr="00190CE5">
        <w:rPr>
          <w:rFonts w:asciiTheme="majorHAnsi" w:hAnsiTheme="majorHAnsi" w:cstheme="minorHAnsi"/>
          <w:sz w:val="22"/>
        </w:rPr>
        <w:t>±</w:t>
      </w:r>
      <w:r w:rsidR="00F512D1" w:rsidRPr="00190CE5">
        <w:rPr>
          <w:rFonts w:asciiTheme="majorHAnsi" w:hAnsiTheme="majorHAnsi"/>
          <w:sz w:val="22"/>
        </w:rPr>
        <w:t xml:space="preserve"> 4</w:t>
      </w:r>
      <w:r w:rsidR="000F38FA" w:rsidRPr="00190CE5">
        <w:rPr>
          <w:rFonts w:asciiTheme="majorHAnsi" w:hAnsiTheme="majorHAnsi"/>
          <w:sz w:val="22"/>
        </w:rPr>
        <w:t>%.</w:t>
      </w:r>
    </w:p>
    <w:p w14:paraId="208C4332" w14:textId="77777777" w:rsidR="00F512D1" w:rsidRPr="00190CE5" w:rsidRDefault="00F512D1" w:rsidP="001666FA">
      <w:pPr>
        <w:pStyle w:val="Body"/>
        <w:tabs>
          <w:tab w:val="left" w:pos="4252"/>
          <w:tab w:val="left" w:pos="4961"/>
          <w:tab w:val="left" w:pos="5669"/>
          <w:tab w:val="left" w:pos="6378"/>
          <w:tab w:val="left" w:pos="7087"/>
          <w:tab w:val="left" w:pos="7795"/>
          <w:tab w:val="left" w:pos="8504"/>
          <w:tab w:val="left" w:pos="9213"/>
        </w:tabs>
        <w:spacing w:before="0" w:after="0" w:line="360" w:lineRule="auto"/>
        <w:rPr>
          <w:rFonts w:asciiTheme="majorHAnsi" w:hAnsiTheme="majorHAnsi"/>
          <w:color w:val="auto"/>
          <w:szCs w:val="22"/>
        </w:rPr>
      </w:pPr>
    </w:p>
    <w:p w14:paraId="13228660" w14:textId="23E65CC7" w:rsidR="00FE67D2" w:rsidRPr="00190CE5" w:rsidRDefault="00F512D1" w:rsidP="002824C2">
      <w:pPr>
        <w:pStyle w:val="Body"/>
        <w:tabs>
          <w:tab w:val="left" w:pos="4252"/>
          <w:tab w:val="left" w:pos="4961"/>
          <w:tab w:val="left" w:pos="5669"/>
          <w:tab w:val="left" w:pos="6378"/>
          <w:tab w:val="left" w:pos="7087"/>
          <w:tab w:val="left" w:pos="7795"/>
          <w:tab w:val="left" w:pos="8504"/>
          <w:tab w:val="left" w:pos="9213"/>
        </w:tabs>
        <w:spacing w:before="0" w:after="0" w:line="360" w:lineRule="auto"/>
        <w:rPr>
          <w:rFonts w:asciiTheme="majorHAnsi" w:hAnsiTheme="majorHAnsi"/>
          <w:b/>
          <w:color w:val="auto"/>
          <w:szCs w:val="22"/>
        </w:rPr>
      </w:pPr>
      <w:r w:rsidRPr="00190CE5">
        <w:rPr>
          <w:rFonts w:asciiTheme="majorHAnsi" w:hAnsiTheme="majorHAnsi"/>
          <w:b/>
          <w:color w:val="auto"/>
          <w:szCs w:val="22"/>
        </w:rPr>
        <w:t>4.5</w:t>
      </w:r>
      <w:r w:rsidR="00FE67D2" w:rsidRPr="00190CE5">
        <w:rPr>
          <w:rFonts w:asciiTheme="majorHAnsi" w:hAnsiTheme="majorHAnsi"/>
          <w:b/>
          <w:color w:val="auto"/>
          <w:szCs w:val="22"/>
        </w:rPr>
        <w:t xml:space="preserve"> </w:t>
      </w:r>
      <w:r w:rsidR="00B334D6" w:rsidRPr="00190CE5">
        <w:rPr>
          <w:rFonts w:asciiTheme="majorHAnsi" w:hAnsiTheme="majorHAnsi"/>
          <w:b/>
          <w:color w:val="auto"/>
          <w:szCs w:val="22"/>
        </w:rPr>
        <w:t>Humane detection of ultradian rhythms in vole red blood cell electrophysiology</w:t>
      </w:r>
    </w:p>
    <w:p w14:paraId="60310C8B" w14:textId="09A3B310" w:rsidR="00A234C9" w:rsidRPr="00190CE5" w:rsidRDefault="006563D1" w:rsidP="006563D1">
      <w:pPr>
        <w:rPr>
          <w:rFonts w:ascii="Cambria" w:hAnsi="Cambria"/>
          <w:sz w:val="22"/>
        </w:rPr>
      </w:pPr>
      <w:r w:rsidRPr="00190CE5">
        <w:rPr>
          <w:rFonts w:asciiTheme="majorHAnsi" w:hAnsiTheme="majorHAnsi"/>
          <w:sz w:val="22"/>
        </w:rPr>
        <w:t>The simplicity and rapidity of the measurement system, together with the relatively low cell numbers required</w:t>
      </w:r>
      <w:r w:rsidRPr="00190CE5">
        <w:rPr>
          <w:rFonts w:ascii="Cambria" w:hAnsi="Cambria"/>
          <w:sz w:val="22"/>
        </w:rPr>
        <w:t xml:space="preserve"> for each experiment (a total of ca. 10</w:t>
      </w:r>
      <w:r w:rsidR="0076336B" w:rsidRPr="00190CE5">
        <w:rPr>
          <w:rFonts w:ascii="Cambria" w:hAnsi="Cambria"/>
          <w:sz w:val="22"/>
          <w:vertAlign w:val="superscript"/>
        </w:rPr>
        <w:t>6</w:t>
      </w:r>
      <w:r w:rsidRPr="00190CE5">
        <w:rPr>
          <w:rFonts w:ascii="Cambria" w:hAnsi="Cambria"/>
          <w:sz w:val="22"/>
        </w:rPr>
        <w:t xml:space="preserve"> are required to </w:t>
      </w:r>
      <w:r w:rsidR="00A234C9" w:rsidRPr="00190CE5">
        <w:rPr>
          <w:rFonts w:ascii="Cambria" w:hAnsi="Cambria"/>
          <w:sz w:val="22"/>
        </w:rPr>
        <w:t>fill</w:t>
      </w:r>
      <w:r w:rsidRPr="00190CE5">
        <w:rPr>
          <w:rFonts w:ascii="Cambria" w:hAnsi="Cambria"/>
          <w:sz w:val="22"/>
        </w:rPr>
        <w:t xml:space="preserve"> the chip) </w:t>
      </w:r>
      <w:r w:rsidR="00BB398E" w:rsidRPr="00190CE5">
        <w:rPr>
          <w:rFonts w:ascii="Cambria" w:hAnsi="Cambria"/>
          <w:sz w:val="22"/>
        </w:rPr>
        <w:t xml:space="preserve">allows the observation of phenomena that simply cannot be observed by other methods. One such example is the observation of diurnal rhythms in electrophysiology; recent work by Henslee </w:t>
      </w:r>
      <w:r w:rsidR="00BB398E" w:rsidRPr="00190CE5">
        <w:rPr>
          <w:rFonts w:ascii="Cambria" w:hAnsi="Cambria"/>
          <w:i/>
          <w:sz w:val="22"/>
        </w:rPr>
        <w:t>et al.</w:t>
      </w:r>
      <w:r w:rsidR="0085596D" w:rsidRPr="00190CE5">
        <w:rPr>
          <w:rFonts w:ascii="Cambria" w:hAnsi="Cambria"/>
          <w:sz w:val="22"/>
          <w:vertAlign w:val="superscript"/>
        </w:rPr>
        <w:t>2</w:t>
      </w:r>
      <w:r w:rsidR="007D271F" w:rsidRPr="00190CE5">
        <w:rPr>
          <w:rFonts w:ascii="Cambria" w:hAnsi="Cambria"/>
          <w:sz w:val="22"/>
          <w:vertAlign w:val="superscript"/>
        </w:rPr>
        <w:t>5</w:t>
      </w:r>
      <w:r w:rsidR="00BB398E" w:rsidRPr="00190CE5">
        <w:rPr>
          <w:rFonts w:ascii="Cambria" w:hAnsi="Cambria"/>
          <w:sz w:val="22"/>
        </w:rPr>
        <w:t xml:space="preserve"> </w:t>
      </w:r>
      <w:r w:rsidR="00430B16" w:rsidRPr="00190CE5">
        <w:rPr>
          <w:rFonts w:ascii="Cambria" w:hAnsi="Cambria"/>
          <w:sz w:val="22"/>
        </w:rPr>
        <w:t>s</w:t>
      </w:r>
      <w:r w:rsidR="00C4565B" w:rsidRPr="00190CE5">
        <w:rPr>
          <w:rFonts w:ascii="Cambria" w:hAnsi="Cambria"/>
          <w:sz w:val="22"/>
        </w:rPr>
        <w:t xml:space="preserve">howed that </w:t>
      </w:r>
      <w:r w:rsidR="00A234C9" w:rsidRPr="00190CE5">
        <w:rPr>
          <w:rFonts w:ascii="Cambria" w:hAnsi="Cambria"/>
          <w:sz w:val="22"/>
        </w:rPr>
        <w:t>3DEP analysis can be used to detect circadian rhythms in the electrophysiology of human red bloo</w:t>
      </w:r>
      <w:r w:rsidR="008D681B" w:rsidRPr="00190CE5">
        <w:rPr>
          <w:rFonts w:ascii="Cambria" w:hAnsi="Cambria"/>
          <w:sz w:val="22"/>
        </w:rPr>
        <w:t xml:space="preserve">d cells.  Analysis of the </w:t>
      </w:r>
      <w:r w:rsidR="00B334D6" w:rsidRPr="00190CE5">
        <w:rPr>
          <w:rFonts w:ascii="Cambria" w:hAnsi="Cambria"/>
          <w:sz w:val="22"/>
        </w:rPr>
        <w:t xml:space="preserve">electrophysiological properties </w:t>
      </w:r>
      <w:r w:rsidR="008D681B" w:rsidRPr="00190CE5">
        <w:rPr>
          <w:rFonts w:ascii="Cambria" w:hAnsi="Cambria"/>
          <w:sz w:val="22"/>
        </w:rPr>
        <w:t xml:space="preserve">of cells, when correlated with other techniques (at much lower sampling rates) such as inductively coupled plasma mass spectrometry and flow cytometry </w:t>
      </w:r>
      <w:r w:rsidR="00B8201C" w:rsidRPr="00190CE5">
        <w:rPr>
          <w:rFonts w:ascii="Cambria" w:hAnsi="Cambria"/>
          <w:sz w:val="22"/>
        </w:rPr>
        <w:t xml:space="preserve">suggested that these circadian rhythms are </w:t>
      </w:r>
      <w:r w:rsidR="008D681B" w:rsidRPr="00190CE5">
        <w:rPr>
          <w:rFonts w:ascii="Cambria" w:hAnsi="Cambria"/>
          <w:sz w:val="22"/>
        </w:rPr>
        <w:t xml:space="preserve">associated with </w:t>
      </w:r>
      <w:r w:rsidR="00B334D6" w:rsidRPr="00190CE5">
        <w:rPr>
          <w:rFonts w:ascii="Cambria" w:hAnsi="Cambria"/>
          <w:sz w:val="22"/>
        </w:rPr>
        <w:t xml:space="preserve">transmembrane </w:t>
      </w:r>
      <w:r w:rsidR="008D681B" w:rsidRPr="00190CE5">
        <w:rPr>
          <w:rFonts w:ascii="Cambria" w:hAnsi="Cambria"/>
          <w:sz w:val="22"/>
        </w:rPr>
        <w:t>K</w:t>
      </w:r>
      <w:r w:rsidR="008D681B" w:rsidRPr="00190CE5">
        <w:rPr>
          <w:rFonts w:ascii="Cambria" w:hAnsi="Cambria"/>
          <w:sz w:val="22"/>
          <w:vertAlign w:val="superscript"/>
        </w:rPr>
        <w:t>+</w:t>
      </w:r>
      <w:r w:rsidR="008D681B" w:rsidRPr="00190CE5">
        <w:rPr>
          <w:rFonts w:ascii="Cambria" w:hAnsi="Cambria"/>
          <w:sz w:val="22"/>
        </w:rPr>
        <w:t xml:space="preserve"> transport.</w:t>
      </w:r>
    </w:p>
    <w:p w14:paraId="3257DCBF" w14:textId="4D87C92A" w:rsidR="00C4774E" w:rsidRPr="00190CE5" w:rsidRDefault="00541784" w:rsidP="006563D1">
      <w:pPr>
        <w:rPr>
          <w:rFonts w:ascii="Cambria" w:hAnsi="Cambria"/>
          <w:sz w:val="22"/>
        </w:rPr>
      </w:pPr>
      <w:r w:rsidRPr="00190CE5">
        <w:rPr>
          <w:rFonts w:ascii="Cambria" w:hAnsi="Cambria"/>
          <w:sz w:val="22"/>
        </w:rPr>
        <w:t>An advantage of the 3DEP system is that chip loading is simple, and as cell requirements are relatively small, the system lends itself well to</w:t>
      </w:r>
      <w:r w:rsidR="0076336B" w:rsidRPr="00190CE5">
        <w:rPr>
          <w:rFonts w:ascii="Cambria" w:hAnsi="Cambria"/>
          <w:sz w:val="22"/>
        </w:rPr>
        <w:t xml:space="preserve"> rapid</w:t>
      </w:r>
      <w:r w:rsidRPr="00190CE5">
        <w:rPr>
          <w:rFonts w:ascii="Cambria" w:hAnsi="Cambria"/>
          <w:sz w:val="22"/>
        </w:rPr>
        <w:t xml:space="preserve"> blood testing; 1 µl typically contains &gt;10</w:t>
      </w:r>
      <w:r w:rsidRPr="00190CE5">
        <w:rPr>
          <w:rFonts w:ascii="Cambria" w:hAnsi="Cambria"/>
          <w:sz w:val="22"/>
          <w:vertAlign w:val="superscript"/>
        </w:rPr>
        <w:t>6</w:t>
      </w:r>
      <w:r w:rsidRPr="00190CE5">
        <w:rPr>
          <w:rFonts w:ascii="Cambria" w:hAnsi="Cambria"/>
          <w:sz w:val="22"/>
        </w:rPr>
        <w:t xml:space="preserve"> red blood cells and &gt;10</w:t>
      </w:r>
      <w:r w:rsidRPr="00190CE5">
        <w:rPr>
          <w:rFonts w:ascii="Cambria" w:hAnsi="Cambria"/>
          <w:sz w:val="22"/>
          <w:vertAlign w:val="superscript"/>
        </w:rPr>
        <w:t>3</w:t>
      </w:r>
      <w:r w:rsidRPr="00190CE5">
        <w:rPr>
          <w:rFonts w:ascii="Cambria" w:hAnsi="Cambria"/>
          <w:sz w:val="22"/>
        </w:rPr>
        <w:t xml:space="preserve"> white blood cells.  1</w:t>
      </w:r>
      <w:r w:rsidR="0002263D" w:rsidRPr="00190CE5">
        <w:rPr>
          <w:rFonts w:ascii="Cambria" w:hAnsi="Cambria"/>
          <w:sz w:val="22"/>
        </w:rPr>
        <w:t>0</w:t>
      </w:r>
      <w:r w:rsidRPr="00190CE5">
        <w:rPr>
          <w:rFonts w:ascii="Cambria" w:hAnsi="Cambria"/>
          <w:sz w:val="22"/>
        </w:rPr>
        <w:t xml:space="preserve"> µl diluted into </w:t>
      </w:r>
      <w:r w:rsidR="0076336B" w:rsidRPr="00190CE5">
        <w:rPr>
          <w:rFonts w:ascii="Cambria" w:hAnsi="Cambria"/>
          <w:sz w:val="22"/>
        </w:rPr>
        <w:t>5</w:t>
      </w:r>
      <w:r w:rsidRPr="00190CE5">
        <w:rPr>
          <w:rFonts w:ascii="Cambria" w:hAnsi="Cambria"/>
          <w:sz w:val="22"/>
        </w:rPr>
        <w:t xml:space="preserve">ml of </w:t>
      </w:r>
      <w:r w:rsidR="0076336B" w:rsidRPr="00190CE5">
        <w:rPr>
          <w:rFonts w:ascii="Cambria" w:hAnsi="Cambria"/>
          <w:sz w:val="22"/>
        </w:rPr>
        <w:t>10</w:t>
      </w:r>
      <w:r w:rsidR="00BB75E0" w:rsidRPr="00190CE5">
        <w:rPr>
          <w:rFonts w:ascii="Cambria" w:hAnsi="Cambria"/>
          <w:sz w:val="22"/>
        </w:rPr>
        <w:t xml:space="preserve"> </w:t>
      </w:r>
      <w:r w:rsidR="0076336B" w:rsidRPr="00190CE5">
        <w:rPr>
          <w:rFonts w:ascii="Cambria" w:hAnsi="Cambria"/>
          <w:sz w:val="22"/>
        </w:rPr>
        <w:t>mS</w:t>
      </w:r>
      <w:r w:rsidR="00BB75E0" w:rsidRPr="00190CE5">
        <w:rPr>
          <w:rFonts w:ascii="Cambria" w:hAnsi="Cambria"/>
          <w:sz w:val="22"/>
        </w:rPr>
        <w:t>.</w:t>
      </w:r>
      <w:r w:rsidR="0076336B" w:rsidRPr="00190CE5">
        <w:rPr>
          <w:rFonts w:ascii="Cambria" w:hAnsi="Cambria"/>
          <w:sz w:val="22"/>
        </w:rPr>
        <w:t>m</w:t>
      </w:r>
      <w:r w:rsidR="0076336B" w:rsidRPr="00190CE5">
        <w:rPr>
          <w:rFonts w:ascii="Cambria" w:hAnsi="Cambria"/>
          <w:sz w:val="22"/>
          <w:vertAlign w:val="superscript"/>
        </w:rPr>
        <w:t xml:space="preserve">-1 </w:t>
      </w:r>
      <w:r w:rsidRPr="00190CE5">
        <w:rPr>
          <w:rFonts w:ascii="Cambria" w:hAnsi="Cambria"/>
          <w:sz w:val="22"/>
        </w:rPr>
        <w:t>DEP medium gives sufficient cell density for analysis by 3DEP, with minimal impact on medium conductivity (raising it by ca. 1.5</w:t>
      </w:r>
      <w:r w:rsidR="00BB75E0" w:rsidRPr="00190CE5">
        <w:rPr>
          <w:rFonts w:ascii="Cambria" w:hAnsi="Cambria"/>
          <w:sz w:val="22"/>
        </w:rPr>
        <w:t xml:space="preserve"> </w:t>
      </w:r>
      <w:r w:rsidRPr="00190CE5">
        <w:rPr>
          <w:rFonts w:ascii="Cambria" w:hAnsi="Cambria"/>
          <w:sz w:val="22"/>
        </w:rPr>
        <w:t>mSm</w:t>
      </w:r>
      <w:r w:rsidRPr="00190CE5">
        <w:rPr>
          <w:rFonts w:ascii="Cambria" w:hAnsi="Cambria"/>
          <w:sz w:val="22"/>
          <w:vertAlign w:val="superscript"/>
        </w:rPr>
        <w:t>-1</w:t>
      </w:r>
      <w:r w:rsidRPr="00190CE5">
        <w:rPr>
          <w:rFonts w:ascii="Cambria" w:hAnsi="Cambria"/>
          <w:sz w:val="22"/>
        </w:rPr>
        <w:t>).  This makes i</w:t>
      </w:r>
      <w:r w:rsidR="00C24F5F" w:rsidRPr="00190CE5">
        <w:rPr>
          <w:rFonts w:ascii="Cambria" w:hAnsi="Cambria"/>
          <w:sz w:val="22"/>
        </w:rPr>
        <w:t>t</w:t>
      </w:r>
      <w:r w:rsidRPr="00190CE5">
        <w:rPr>
          <w:rFonts w:ascii="Cambria" w:hAnsi="Cambria"/>
          <w:sz w:val="22"/>
        </w:rPr>
        <w:t xml:space="preserve"> useful for rapid testing of </w:t>
      </w:r>
      <w:r w:rsidR="00B334D6" w:rsidRPr="00190CE5">
        <w:rPr>
          <w:rFonts w:ascii="Cambria" w:hAnsi="Cambria"/>
          <w:sz w:val="22"/>
        </w:rPr>
        <w:t xml:space="preserve">blood samples from </w:t>
      </w:r>
      <w:r w:rsidRPr="00190CE5">
        <w:rPr>
          <w:rFonts w:ascii="Cambria" w:hAnsi="Cambria"/>
          <w:sz w:val="22"/>
        </w:rPr>
        <w:t>humans or animals</w:t>
      </w:r>
      <w:r w:rsidR="00C4774E" w:rsidRPr="00190CE5">
        <w:rPr>
          <w:rFonts w:ascii="Cambria" w:hAnsi="Cambria"/>
          <w:sz w:val="22"/>
        </w:rPr>
        <w:t xml:space="preserve">.  </w:t>
      </w:r>
    </w:p>
    <w:p w14:paraId="31172AFA" w14:textId="4E817D1D" w:rsidR="0002263D" w:rsidRPr="00190CE5" w:rsidRDefault="00C4774E" w:rsidP="00834C8B">
      <w:pPr>
        <w:rPr>
          <w:rFonts w:asciiTheme="majorHAnsi" w:hAnsiTheme="majorHAnsi"/>
          <w:sz w:val="22"/>
        </w:rPr>
      </w:pPr>
      <w:r w:rsidRPr="00190CE5">
        <w:rPr>
          <w:rFonts w:ascii="Cambria" w:hAnsi="Cambria"/>
          <w:sz w:val="22"/>
        </w:rPr>
        <w:t xml:space="preserve">By way of demonstration, we investigated biological rhythms in blood samples taken from voles.  </w:t>
      </w:r>
      <w:r w:rsidR="00A97119" w:rsidRPr="00190CE5">
        <w:rPr>
          <w:rFonts w:ascii="Cambria" w:hAnsi="Cambria"/>
          <w:sz w:val="22"/>
        </w:rPr>
        <w:t xml:space="preserve">Animals such as voles express “ultradian” biological rhythms far faster than human circadian rhythms, typically lasting only 2 hours.  </w:t>
      </w:r>
      <w:r w:rsidR="006563D1" w:rsidRPr="00190CE5">
        <w:rPr>
          <w:rFonts w:ascii="Cambria" w:hAnsi="Cambria"/>
          <w:sz w:val="22"/>
        </w:rPr>
        <w:t>Conventional methods of analysis</w:t>
      </w:r>
      <w:r w:rsidR="00810244" w:rsidRPr="00190CE5">
        <w:rPr>
          <w:rFonts w:ascii="Cambria" w:hAnsi="Cambria"/>
          <w:sz w:val="22"/>
          <w:vertAlign w:val="superscript"/>
        </w:rPr>
        <w:t>33</w:t>
      </w:r>
      <w:r w:rsidR="006563D1" w:rsidRPr="00190CE5">
        <w:rPr>
          <w:rFonts w:ascii="Cambria" w:hAnsi="Cambria"/>
          <w:sz w:val="22"/>
        </w:rPr>
        <w:t xml:space="preserve"> require </w:t>
      </w:r>
      <w:r w:rsidR="000F1A7F" w:rsidRPr="00190CE5">
        <w:rPr>
          <w:rFonts w:ascii="Cambria" w:hAnsi="Cambria"/>
          <w:sz w:val="22"/>
        </w:rPr>
        <w:t xml:space="preserve">at least 1 </w:t>
      </w:r>
      <w:r w:rsidR="006563D1" w:rsidRPr="00190CE5">
        <w:rPr>
          <w:rFonts w:ascii="Cambria" w:hAnsi="Cambria"/>
          <w:sz w:val="22"/>
        </w:rPr>
        <w:t>m</w:t>
      </w:r>
      <w:r w:rsidR="00B334D6" w:rsidRPr="00190CE5">
        <w:rPr>
          <w:rFonts w:ascii="Cambria" w:hAnsi="Cambria"/>
          <w:sz w:val="22"/>
        </w:rPr>
        <w:t>l</w:t>
      </w:r>
      <w:r w:rsidR="006563D1" w:rsidRPr="00190CE5">
        <w:rPr>
          <w:rFonts w:ascii="Cambria" w:hAnsi="Cambria"/>
          <w:sz w:val="22"/>
        </w:rPr>
        <w:t xml:space="preserve"> </w:t>
      </w:r>
      <w:r w:rsidR="006563D1" w:rsidRPr="00190CE5">
        <w:rPr>
          <w:rFonts w:ascii="Cambria" w:hAnsi="Cambria"/>
          <w:sz w:val="22"/>
        </w:rPr>
        <w:lastRenderedPageBreak/>
        <w:t>of blood for analysis</w:t>
      </w:r>
      <w:r w:rsidR="00B334D6" w:rsidRPr="00190CE5">
        <w:rPr>
          <w:rFonts w:ascii="Cambria" w:hAnsi="Cambria"/>
          <w:sz w:val="22"/>
        </w:rPr>
        <w:t>. S</w:t>
      </w:r>
      <w:r w:rsidR="0070589D" w:rsidRPr="00190CE5">
        <w:rPr>
          <w:rFonts w:ascii="Cambria" w:hAnsi="Cambria"/>
          <w:sz w:val="22"/>
        </w:rPr>
        <w:t>ince this represents a sizable fraction of the blood of small rodents, every measurement requires the sacrifice of the animal</w:t>
      </w:r>
      <w:r w:rsidR="0002263D" w:rsidRPr="00190CE5">
        <w:rPr>
          <w:rFonts w:ascii="Cambria" w:hAnsi="Cambria"/>
          <w:sz w:val="22"/>
        </w:rPr>
        <w:t xml:space="preserve">; robust measurement of transient phenomena might require the sacrifice of </w:t>
      </w:r>
      <w:r w:rsidR="00A97119" w:rsidRPr="00190CE5">
        <w:rPr>
          <w:rFonts w:ascii="Cambria" w:hAnsi="Cambria"/>
          <w:sz w:val="22"/>
        </w:rPr>
        <w:t>70-</w:t>
      </w:r>
      <w:r w:rsidR="0002263D" w:rsidRPr="00190CE5">
        <w:rPr>
          <w:rFonts w:ascii="Cambria" w:hAnsi="Cambria"/>
          <w:sz w:val="22"/>
        </w:rPr>
        <w:t>100 animals</w:t>
      </w:r>
      <w:r w:rsidR="00595688" w:rsidRPr="00190CE5">
        <w:rPr>
          <w:rFonts w:ascii="Cambria" w:hAnsi="Cambria"/>
          <w:sz w:val="22"/>
          <w:vertAlign w:val="superscript"/>
        </w:rPr>
        <w:t>38</w:t>
      </w:r>
      <w:r w:rsidR="007D271F" w:rsidRPr="00190CE5">
        <w:rPr>
          <w:rFonts w:ascii="Cambria" w:hAnsi="Cambria"/>
          <w:sz w:val="22"/>
          <w:vertAlign w:val="superscript"/>
        </w:rPr>
        <w:t>,</w:t>
      </w:r>
      <w:r w:rsidR="00810244" w:rsidRPr="00190CE5">
        <w:rPr>
          <w:rFonts w:ascii="Cambria" w:hAnsi="Cambria"/>
          <w:sz w:val="22"/>
          <w:vertAlign w:val="superscript"/>
        </w:rPr>
        <w:t>33</w:t>
      </w:r>
      <w:r w:rsidR="0002263D" w:rsidRPr="00190CE5">
        <w:rPr>
          <w:rFonts w:ascii="Cambria" w:hAnsi="Cambria"/>
          <w:sz w:val="22"/>
        </w:rPr>
        <w:t xml:space="preserve">.  </w:t>
      </w:r>
      <w:r w:rsidR="00496BD6" w:rsidRPr="00190CE5">
        <w:rPr>
          <w:rFonts w:ascii="Cambria" w:hAnsi="Cambria"/>
          <w:sz w:val="22"/>
        </w:rPr>
        <w:t xml:space="preserve">This impacts on the ability to compare systemic rhythmicity in human and </w:t>
      </w:r>
      <w:r w:rsidR="00496BD6" w:rsidRPr="00190CE5">
        <w:rPr>
          <w:rFonts w:asciiTheme="majorHAnsi" w:hAnsiTheme="majorHAnsi"/>
          <w:sz w:val="22"/>
        </w:rPr>
        <w:t xml:space="preserve">rodents, </w:t>
      </w:r>
      <w:r w:rsidR="00B334D6" w:rsidRPr="00190CE5">
        <w:rPr>
          <w:rFonts w:asciiTheme="majorHAnsi" w:hAnsiTheme="majorHAnsi"/>
          <w:sz w:val="22"/>
        </w:rPr>
        <w:t xml:space="preserve">because </w:t>
      </w:r>
      <w:r w:rsidR="00496BD6" w:rsidRPr="00190CE5">
        <w:rPr>
          <w:rFonts w:asciiTheme="majorHAnsi" w:hAnsiTheme="majorHAnsi"/>
          <w:sz w:val="22"/>
        </w:rPr>
        <w:t>unlike human studies, rodent studies do not per</w:t>
      </w:r>
      <w:r w:rsidR="0085596D" w:rsidRPr="00190CE5">
        <w:rPr>
          <w:rFonts w:asciiTheme="majorHAnsi" w:hAnsiTheme="majorHAnsi"/>
          <w:sz w:val="22"/>
        </w:rPr>
        <w:t>mit within-individual analysis</w:t>
      </w:r>
      <w:r w:rsidR="007D271F" w:rsidRPr="00190CE5">
        <w:rPr>
          <w:rFonts w:asciiTheme="majorHAnsi" w:hAnsiTheme="majorHAnsi"/>
          <w:sz w:val="22"/>
          <w:vertAlign w:val="superscript"/>
        </w:rPr>
        <w:t>3</w:t>
      </w:r>
      <w:r w:rsidR="00810244" w:rsidRPr="00190CE5">
        <w:rPr>
          <w:rFonts w:asciiTheme="majorHAnsi" w:hAnsiTheme="majorHAnsi"/>
          <w:sz w:val="22"/>
          <w:vertAlign w:val="superscript"/>
        </w:rPr>
        <w:t>4</w:t>
      </w:r>
      <w:r w:rsidR="000C3434" w:rsidRPr="00190CE5">
        <w:rPr>
          <w:rFonts w:asciiTheme="majorHAnsi" w:hAnsiTheme="majorHAnsi"/>
          <w:sz w:val="22"/>
        </w:rPr>
        <w:t>.</w:t>
      </w:r>
      <w:r w:rsidR="00496BD6" w:rsidRPr="00190CE5">
        <w:rPr>
          <w:rFonts w:asciiTheme="majorHAnsi" w:hAnsiTheme="majorHAnsi"/>
          <w:sz w:val="22"/>
        </w:rPr>
        <w:t xml:space="preserve"> </w:t>
      </w:r>
      <w:r w:rsidR="006563D1" w:rsidRPr="00190CE5">
        <w:rPr>
          <w:rFonts w:asciiTheme="majorHAnsi" w:hAnsiTheme="majorHAnsi"/>
          <w:sz w:val="22"/>
        </w:rPr>
        <w:t xml:space="preserve">Conversely, </w:t>
      </w:r>
      <w:r w:rsidR="00A95B61" w:rsidRPr="00190CE5">
        <w:rPr>
          <w:rFonts w:asciiTheme="majorHAnsi" w:hAnsiTheme="majorHAnsi"/>
          <w:sz w:val="22"/>
        </w:rPr>
        <w:t>1</w:t>
      </w:r>
      <w:r w:rsidR="0002263D" w:rsidRPr="00190CE5">
        <w:rPr>
          <w:rFonts w:asciiTheme="majorHAnsi" w:hAnsiTheme="majorHAnsi"/>
          <w:sz w:val="22"/>
        </w:rPr>
        <w:t>0</w:t>
      </w:r>
      <w:r w:rsidR="00A95B61" w:rsidRPr="00190CE5">
        <w:rPr>
          <w:rFonts w:asciiTheme="majorHAnsi" w:hAnsiTheme="majorHAnsi"/>
          <w:sz w:val="22"/>
        </w:rPr>
        <w:t xml:space="preserve">µl </w:t>
      </w:r>
      <w:r w:rsidR="006563D1" w:rsidRPr="00190CE5">
        <w:rPr>
          <w:rFonts w:asciiTheme="majorHAnsi" w:hAnsiTheme="majorHAnsi"/>
          <w:sz w:val="22"/>
        </w:rPr>
        <w:t xml:space="preserve">can easily be </w:t>
      </w:r>
      <w:r w:rsidR="0002263D" w:rsidRPr="00190CE5">
        <w:rPr>
          <w:rFonts w:asciiTheme="majorHAnsi" w:hAnsiTheme="majorHAnsi"/>
          <w:sz w:val="22"/>
        </w:rPr>
        <w:t>acquired</w:t>
      </w:r>
      <w:r w:rsidR="006563D1" w:rsidRPr="00190CE5">
        <w:rPr>
          <w:rFonts w:asciiTheme="majorHAnsi" w:hAnsiTheme="majorHAnsi"/>
          <w:sz w:val="22"/>
        </w:rPr>
        <w:t xml:space="preserve"> using a pinprick</w:t>
      </w:r>
      <w:r w:rsidR="00D6232A" w:rsidRPr="00190CE5">
        <w:rPr>
          <w:rFonts w:asciiTheme="majorHAnsi" w:hAnsiTheme="majorHAnsi"/>
          <w:sz w:val="22"/>
        </w:rPr>
        <w:t xml:space="preserve"> </w:t>
      </w:r>
      <w:r w:rsidR="00A95B61" w:rsidRPr="00190CE5">
        <w:rPr>
          <w:rFonts w:asciiTheme="majorHAnsi" w:hAnsiTheme="majorHAnsi"/>
          <w:sz w:val="22"/>
        </w:rPr>
        <w:t xml:space="preserve">or small nick </w:t>
      </w:r>
      <w:r w:rsidR="00D6232A" w:rsidRPr="00190CE5">
        <w:rPr>
          <w:rFonts w:asciiTheme="majorHAnsi" w:hAnsiTheme="majorHAnsi"/>
          <w:sz w:val="22"/>
        </w:rPr>
        <w:t>to the tail</w:t>
      </w:r>
      <w:r w:rsidR="0002263D" w:rsidRPr="00190CE5">
        <w:rPr>
          <w:rFonts w:asciiTheme="majorHAnsi" w:hAnsiTheme="majorHAnsi"/>
          <w:sz w:val="22"/>
        </w:rPr>
        <w:t>, and obviates the need to sacrifice the animal</w:t>
      </w:r>
      <w:r w:rsidR="00B334D6" w:rsidRPr="00190CE5">
        <w:rPr>
          <w:rFonts w:asciiTheme="majorHAnsi" w:hAnsiTheme="majorHAnsi"/>
          <w:sz w:val="22"/>
        </w:rPr>
        <w:t>.</w:t>
      </w:r>
      <w:r w:rsidR="0002263D" w:rsidRPr="00190CE5">
        <w:rPr>
          <w:rFonts w:asciiTheme="majorHAnsi" w:hAnsiTheme="majorHAnsi"/>
          <w:sz w:val="22"/>
        </w:rPr>
        <w:t xml:space="preserve"> </w:t>
      </w:r>
      <w:r w:rsidR="00B334D6" w:rsidRPr="00190CE5">
        <w:rPr>
          <w:rFonts w:asciiTheme="majorHAnsi" w:hAnsiTheme="majorHAnsi"/>
          <w:sz w:val="22"/>
        </w:rPr>
        <w:t>Furthermore</w:t>
      </w:r>
      <w:r w:rsidR="0002263D" w:rsidRPr="00190CE5">
        <w:rPr>
          <w:rFonts w:asciiTheme="majorHAnsi" w:hAnsiTheme="majorHAnsi"/>
          <w:sz w:val="22"/>
        </w:rPr>
        <w:t>, the same animal can be used in longitudinal studies</w:t>
      </w:r>
      <w:r w:rsidR="00B334D6" w:rsidRPr="00190CE5">
        <w:rPr>
          <w:rFonts w:asciiTheme="majorHAnsi" w:hAnsiTheme="majorHAnsi"/>
          <w:sz w:val="22"/>
        </w:rPr>
        <w:t>,</w:t>
      </w:r>
      <w:r w:rsidR="0002263D" w:rsidRPr="00190CE5">
        <w:rPr>
          <w:rFonts w:asciiTheme="majorHAnsi" w:hAnsiTheme="majorHAnsi"/>
          <w:sz w:val="22"/>
        </w:rPr>
        <w:t xml:space="preserve"> significantly </w:t>
      </w:r>
      <w:r w:rsidR="00B334D6" w:rsidRPr="00190CE5">
        <w:rPr>
          <w:rFonts w:asciiTheme="majorHAnsi" w:hAnsiTheme="majorHAnsi"/>
          <w:sz w:val="22"/>
        </w:rPr>
        <w:t xml:space="preserve">increasing </w:t>
      </w:r>
      <w:r w:rsidR="006563D1" w:rsidRPr="00190CE5">
        <w:rPr>
          <w:rFonts w:asciiTheme="majorHAnsi" w:hAnsiTheme="majorHAnsi"/>
          <w:sz w:val="22"/>
        </w:rPr>
        <w:t xml:space="preserve">robustness of data </w:t>
      </w:r>
      <w:r w:rsidR="0002263D" w:rsidRPr="00190CE5">
        <w:rPr>
          <w:rFonts w:asciiTheme="majorHAnsi" w:hAnsiTheme="majorHAnsi"/>
          <w:sz w:val="22"/>
        </w:rPr>
        <w:t xml:space="preserve">by allowing multiple </w:t>
      </w:r>
      <w:r w:rsidR="006563D1" w:rsidRPr="00190CE5">
        <w:rPr>
          <w:rFonts w:asciiTheme="majorHAnsi" w:hAnsiTheme="majorHAnsi"/>
          <w:sz w:val="22"/>
        </w:rPr>
        <w:t xml:space="preserve">experiments </w:t>
      </w:r>
      <w:r w:rsidR="0002263D" w:rsidRPr="00190CE5">
        <w:rPr>
          <w:rFonts w:asciiTheme="majorHAnsi" w:hAnsiTheme="majorHAnsi"/>
          <w:sz w:val="22"/>
        </w:rPr>
        <w:t>to be performed on</w:t>
      </w:r>
      <w:r w:rsidR="006563D1" w:rsidRPr="00190CE5">
        <w:rPr>
          <w:rFonts w:asciiTheme="majorHAnsi" w:hAnsiTheme="majorHAnsi"/>
          <w:sz w:val="22"/>
        </w:rPr>
        <w:t xml:space="preserve"> the same animal</w:t>
      </w:r>
      <w:r w:rsidR="0002263D" w:rsidRPr="00190CE5">
        <w:rPr>
          <w:rFonts w:asciiTheme="majorHAnsi" w:hAnsiTheme="majorHAnsi"/>
          <w:sz w:val="22"/>
        </w:rPr>
        <w:t>s.</w:t>
      </w:r>
    </w:p>
    <w:p w14:paraId="524114CC" w14:textId="2ECA0FEC" w:rsidR="0002263D" w:rsidRPr="00190CE5" w:rsidRDefault="0002263D" w:rsidP="00834C8B">
      <w:pPr>
        <w:rPr>
          <w:rFonts w:asciiTheme="majorHAnsi" w:hAnsiTheme="majorHAnsi"/>
          <w:sz w:val="22"/>
        </w:rPr>
      </w:pPr>
      <w:r w:rsidRPr="00190CE5">
        <w:rPr>
          <w:rFonts w:asciiTheme="majorHAnsi" w:hAnsiTheme="majorHAnsi"/>
          <w:sz w:val="22"/>
        </w:rPr>
        <w:t xml:space="preserve">To explore the advantages of this approach, we studied blood samples acquired by tail </w:t>
      </w:r>
      <w:r w:rsidR="00BB75E0" w:rsidRPr="00190CE5">
        <w:rPr>
          <w:rFonts w:asciiTheme="majorHAnsi" w:hAnsiTheme="majorHAnsi"/>
          <w:sz w:val="22"/>
        </w:rPr>
        <w:t xml:space="preserve">nick </w:t>
      </w:r>
      <w:r w:rsidRPr="00190CE5">
        <w:rPr>
          <w:rFonts w:asciiTheme="majorHAnsi" w:hAnsiTheme="majorHAnsi"/>
          <w:sz w:val="22"/>
        </w:rPr>
        <w:t>from four voles (</w:t>
      </w:r>
      <w:r w:rsidRPr="00190CE5">
        <w:rPr>
          <w:rFonts w:asciiTheme="majorHAnsi" w:hAnsiTheme="majorHAnsi" w:cstheme="minorHAnsi"/>
          <w:i/>
          <w:sz w:val="22"/>
        </w:rPr>
        <w:t xml:space="preserve">Microtus </w:t>
      </w:r>
      <w:proofErr w:type="spellStart"/>
      <w:r w:rsidRPr="00190CE5">
        <w:rPr>
          <w:rFonts w:asciiTheme="majorHAnsi" w:hAnsiTheme="majorHAnsi" w:cstheme="minorHAnsi"/>
          <w:i/>
          <w:sz w:val="22"/>
        </w:rPr>
        <w:t>arvalis</w:t>
      </w:r>
      <w:proofErr w:type="spellEnd"/>
      <w:r w:rsidR="00496BD6" w:rsidRPr="00190CE5">
        <w:rPr>
          <w:rFonts w:asciiTheme="majorHAnsi" w:hAnsiTheme="majorHAnsi"/>
          <w:sz w:val="22"/>
        </w:rPr>
        <w:t>)</w:t>
      </w:r>
      <w:r w:rsidRPr="00190CE5">
        <w:rPr>
          <w:rFonts w:asciiTheme="majorHAnsi" w:hAnsiTheme="majorHAnsi"/>
          <w:sz w:val="22"/>
        </w:rPr>
        <w:t xml:space="preserve"> every 30 minutes for 4 hours.  The results can be seen in </w:t>
      </w:r>
      <w:r w:rsidR="0076336B" w:rsidRPr="00190CE5">
        <w:rPr>
          <w:rFonts w:asciiTheme="majorHAnsi" w:hAnsiTheme="majorHAnsi"/>
          <w:sz w:val="22"/>
        </w:rPr>
        <w:t>F</w:t>
      </w:r>
      <w:r w:rsidRPr="00190CE5">
        <w:rPr>
          <w:rFonts w:asciiTheme="majorHAnsi" w:hAnsiTheme="majorHAnsi"/>
          <w:sz w:val="22"/>
        </w:rPr>
        <w:t xml:space="preserve">igure </w:t>
      </w:r>
      <w:r w:rsidR="004A63F1" w:rsidRPr="00190CE5">
        <w:rPr>
          <w:rFonts w:asciiTheme="majorHAnsi" w:hAnsiTheme="majorHAnsi"/>
          <w:sz w:val="22"/>
        </w:rPr>
        <w:t>7</w:t>
      </w:r>
      <w:r w:rsidRPr="00190CE5">
        <w:rPr>
          <w:rFonts w:asciiTheme="majorHAnsi" w:hAnsiTheme="majorHAnsi"/>
          <w:sz w:val="22"/>
        </w:rPr>
        <w:t xml:space="preserve">.  For each sample, cytoplasmic conductivity and </w:t>
      </w:r>
      <w:r w:rsidR="00835F7C" w:rsidRPr="00190CE5">
        <w:rPr>
          <w:rFonts w:asciiTheme="majorHAnsi" w:hAnsiTheme="majorHAnsi"/>
          <w:sz w:val="22"/>
        </w:rPr>
        <w:t xml:space="preserve">specific </w:t>
      </w:r>
      <w:r w:rsidRPr="00190CE5">
        <w:rPr>
          <w:rFonts w:asciiTheme="majorHAnsi" w:hAnsiTheme="majorHAnsi"/>
          <w:sz w:val="22"/>
        </w:rPr>
        <w:t>membrane conductance</w:t>
      </w:r>
      <w:r w:rsidR="006254D6" w:rsidRPr="00190CE5">
        <w:rPr>
          <w:rFonts w:asciiTheme="majorHAnsi" w:hAnsiTheme="majorHAnsi"/>
          <w:sz w:val="22"/>
        </w:rPr>
        <w:t xml:space="preserve"> </w:t>
      </w:r>
      <w:r w:rsidRPr="00190CE5">
        <w:rPr>
          <w:rFonts w:asciiTheme="majorHAnsi" w:hAnsiTheme="majorHAnsi"/>
          <w:sz w:val="22"/>
        </w:rPr>
        <w:t xml:space="preserve">were determined; a </w:t>
      </w:r>
      <w:proofErr w:type="spellStart"/>
      <w:r w:rsidRPr="00190CE5">
        <w:rPr>
          <w:rFonts w:asciiTheme="majorHAnsi" w:hAnsiTheme="majorHAnsi"/>
          <w:sz w:val="22"/>
        </w:rPr>
        <w:t>c</w:t>
      </w:r>
      <w:r w:rsidR="0076336B" w:rsidRPr="00190CE5">
        <w:rPr>
          <w:rFonts w:asciiTheme="majorHAnsi" w:hAnsiTheme="majorHAnsi"/>
          <w:sz w:val="22"/>
        </w:rPr>
        <w:t>osin</w:t>
      </w:r>
      <w:r w:rsidRPr="00190CE5">
        <w:rPr>
          <w:rFonts w:asciiTheme="majorHAnsi" w:hAnsiTheme="majorHAnsi"/>
          <w:sz w:val="22"/>
        </w:rPr>
        <w:t>or</w:t>
      </w:r>
      <w:proofErr w:type="spellEnd"/>
      <w:r w:rsidRPr="00190CE5">
        <w:rPr>
          <w:rFonts w:asciiTheme="majorHAnsi" w:hAnsiTheme="majorHAnsi"/>
          <w:sz w:val="22"/>
        </w:rPr>
        <w:t xml:space="preserve"> was fitted </w:t>
      </w:r>
      <w:r w:rsidR="006254D6" w:rsidRPr="00190CE5">
        <w:rPr>
          <w:rFonts w:asciiTheme="majorHAnsi" w:hAnsiTheme="majorHAnsi"/>
          <w:sz w:val="22"/>
        </w:rPr>
        <w:t xml:space="preserve">all samples </w:t>
      </w:r>
      <w:r w:rsidRPr="00190CE5">
        <w:rPr>
          <w:rFonts w:asciiTheme="majorHAnsi" w:hAnsiTheme="majorHAnsi"/>
          <w:sz w:val="22"/>
        </w:rPr>
        <w:t>to determine if a</w:t>
      </w:r>
      <w:r w:rsidR="00C52BF2" w:rsidRPr="00190CE5">
        <w:rPr>
          <w:rFonts w:asciiTheme="majorHAnsi" w:hAnsiTheme="majorHAnsi"/>
          <w:sz w:val="22"/>
        </w:rPr>
        <w:t xml:space="preserve"> </w:t>
      </w:r>
      <w:r w:rsidRPr="00190CE5">
        <w:rPr>
          <w:rFonts w:asciiTheme="majorHAnsi" w:hAnsiTheme="majorHAnsi"/>
          <w:sz w:val="22"/>
        </w:rPr>
        <w:t xml:space="preserve">diurnal rhythm was present.  </w:t>
      </w:r>
      <w:r w:rsidR="00B334D6" w:rsidRPr="00190CE5">
        <w:rPr>
          <w:rFonts w:asciiTheme="majorHAnsi" w:hAnsiTheme="majorHAnsi"/>
          <w:sz w:val="22"/>
        </w:rPr>
        <w:t>P</w:t>
      </w:r>
      <w:r w:rsidRPr="00190CE5">
        <w:rPr>
          <w:rFonts w:asciiTheme="majorHAnsi" w:hAnsiTheme="majorHAnsi"/>
          <w:sz w:val="22"/>
        </w:rPr>
        <w:t>arameters were fitted with</w:t>
      </w:r>
      <w:r w:rsidR="00691A19" w:rsidRPr="00190CE5">
        <w:rPr>
          <w:rFonts w:asciiTheme="majorHAnsi" w:hAnsiTheme="majorHAnsi"/>
          <w:sz w:val="22"/>
        </w:rPr>
        <w:t xml:space="preserve"> a non-linear</w:t>
      </w:r>
      <w:r w:rsidRPr="00190CE5">
        <w:rPr>
          <w:rFonts w:asciiTheme="majorHAnsi" w:hAnsiTheme="majorHAnsi"/>
          <w:sz w:val="22"/>
        </w:rPr>
        <w:t xml:space="preserve"> </w:t>
      </w:r>
      <w:r w:rsidR="0076336B" w:rsidRPr="00190CE5">
        <w:rPr>
          <w:rFonts w:asciiTheme="majorHAnsi" w:hAnsiTheme="majorHAnsi"/>
          <w:sz w:val="22"/>
        </w:rPr>
        <w:t>r</w:t>
      </w:r>
      <w:r w:rsidRPr="00190CE5">
        <w:rPr>
          <w:rFonts w:asciiTheme="majorHAnsi" w:hAnsiTheme="majorHAnsi"/>
          <w:sz w:val="22"/>
          <w:vertAlign w:val="superscript"/>
        </w:rPr>
        <w:t xml:space="preserve">2 </w:t>
      </w:r>
      <w:r w:rsidRPr="00190CE5">
        <w:rPr>
          <w:rFonts w:asciiTheme="majorHAnsi" w:hAnsiTheme="majorHAnsi"/>
          <w:sz w:val="22"/>
        </w:rPr>
        <w:t>between 0.72-0.88</w:t>
      </w:r>
      <w:r w:rsidR="00BF10EE" w:rsidRPr="00190CE5">
        <w:rPr>
          <w:rFonts w:asciiTheme="majorHAnsi" w:hAnsiTheme="majorHAnsi"/>
          <w:sz w:val="22"/>
        </w:rPr>
        <w:t xml:space="preserve"> in all cases for cytoplasm conductivity and all but one for membrane conductance</w:t>
      </w:r>
      <w:r w:rsidR="00691A19" w:rsidRPr="00190CE5">
        <w:rPr>
          <w:rFonts w:asciiTheme="majorHAnsi" w:hAnsiTheme="majorHAnsi"/>
          <w:sz w:val="22"/>
        </w:rPr>
        <w:t>.</w:t>
      </w:r>
      <w:r w:rsidR="00BF10EE" w:rsidRPr="00190CE5">
        <w:rPr>
          <w:rFonts w:asciiTheme="majorHAnsi" w:hAnsiTheme="majorHAnsi"/>
          <w:sz w:val="22"/>
        </w:rPr>
        <w:t xml:space="preserve"> </w:t>
      </w:r>
      <w:r w:rsidR="00691A19" w:rsidRPr="00190CE5">
        <w:rPr>
          <w:rFonts w:asciiTheme="majorHAnsi" w:hAnsiTheme="majorHAnsi"/>
          <w:sz w:val="22"/>
        </w:rPr>
        <w:t xml:space="preserve">The </w:t>
      </w:r>
      <w:r w:rsidR="00BF10EE" w:rsidRPr="00190CE5">
        <w:rPr>
          <w:rFonts w:asciiTheme="majorHAnsi" w:hAnsiTheme="majorHAnsi"/>
          <w:sz w:val="22"/>
        </w:rPr>
        <w:t xml:space="preserve">periods of </w:t>
      </w:r>
      <w:r w:rsidR="00691A19" w:rsidRPr="00190CE5">
        <w:rPr>
          <w:rFonts w:asciiTheme="majorHAnsi" w:hAnsiTheme="majorHAnsi"/>
          <w:sz w:val="22"/>
        </w:rPr>
        <w:t xml:space="preserve">these </w:t>
      </w:r>
      <w:proofErr w:type="spellStart"/>
      <w:r w:rsidR="00691A19" w:rsidRPr="00190CE5">
        <w:rPr>
          <w:rFonts w:asciiTheme="majorHAnsi" w:hAnsiTheme="majorHAnsi"/>
          <w:sz w:val="22"/>
        </w:rPr>
        <w:t>cosinor</w:t>
      </w:r>
      <w:proofErr w:type="spellEnd"/>
      <w:r w:rsidR="00691A19" w:rsidRPr="00190CE5">
        <w:rPr>
          <w:rFonts w:asciiTheme="majorHAnsi" w:hAnsiTheme="majorHAnsi"/>
          <w:sz w:val="22"/>
        </w:rPr>
        <w:t xml:space="preserve"> fits were fixed to the behavioural ultradian period (1.47 – 1.55 hours)</w:t>
      </w:r>
      <w:r w:rsidR="00BF10EE" w:rsidRPr="00190CE5">
        <w:rPr>
          <w:rFonts w:asciiTheme="majorHAnsi" w:hAnsiTheme="majorHAnsi"/>
          <w:sz w:val="22"/>
        </w:rPr>
        <w:t xml:space="preserve">, </w:t>
      </w:r>
      <w:r w:rsidR="00691A19" w:rsidRPr="00190CE5">
        <w:rPr>
          <w:rFonts w:asciiTheme="majorHAnsi" w:hAnsiTheme="majorHAnsi"/>
          <w:sz w:val="22"/>
        </w:rPr>
        <w:t xml:space="preserve">taken from the </w:t>
      </w:r>
      <w:r w:rsidR="00BF10EE" w:rsidRPr="00190CE5">
        <w:rPr>
          <w:rFonts w:asciiTheme="majorHAnsi" w:hAnsiTheme="majorHAnsi"/>
          <w:sz w:val="22"/>
        </w:rPr>
        <w:t xml:space="preserve">observed behaviour </w:t>
      </w:r>
      <w:r w:rsidR="00691A19" w:rsidRPr="00190CE5">
        <w:rPr>
          <w:rFonts w:asciiTheme="majorHAnsi" w:hAnsiTheme="majorHAnsi"/>
          <w:sz w:val="22"/>
        </w:rPr>
        <w:t xml:space="preserve">activity </w:t>
      </w:r>
      <w:r w:rsidR="00BF10EE" w:rsidRPr="00190CE5">
        <w:rPr>
          <w:rFonts w:asciiTheme="majorHAnsi" w:hAnsiTheme="majorHAnsi"/>
          <w:sz w:val="22"/>
        </w:rPr>
        <w:t>in voles. Interestingly, in the three samples where both membrane conductance and cytoplasm</w:t>
      </w:r>
      <w:r w:rsidR="0076336B" w:rsidRPr="00190CE5">
        <w:rPr>
          <w:rFonts w:asciiTheme="majorHAnsi" w:hAnsiTheme="majorHAnsi"/>
          <w:sz w:val="22"/>
        </w:rPr>
        <w:t>ic</w:t>
      </w:r>
      <w:r w:rsidR="00BF10EE" w:rsidRPr="00190CE5">
        <w:rPr>
          <w:rFonts w:asciiTheme="majorHAnsi" w:hAnsiTheme="majorHAnsi"/>
          <w:sz w:val="22"/>
        </w:rPr>
        <w:t xml:space="preserve"> conductivity were successfully fitted, they showed the same counterphase relationship observed in human</w:t>
      </w:r>
      <w:r w:rsidR="0085596D" w:rsidRPr="00190CE5">
        <w:rPr>
          <w:rFonts w:asciiTheme="majorHAnsi" w:hAnsiTheme="majorHAnsi"/>
          <w:sz w:val="22"/>
        </w:rPr>
        <w:t xml:space="preserve"> blood over the circadian cycle</w:t>
      </w:r>
      <w:r w:rsidR="00F23783" w:rsidRPr="00190CE5">
        <w:rPr>
          <w:rFonts w:asciiTheme="majorHAnsi" w:hAnsiTheme="majorHAnsi"/>
          <w:sz w:val="22"/>
          <w:vertAlign w:val="superscript"/>
        </w:rPr>
        <w:t>2</w:t>
      </w:r>
      <w:r w:rsidR="007D271F" w:rsidRPr="00190CE5">
        <w:rPr>
          <w:rFonts w:asciiTheme="majorHAnsi" w:hAnsiTheme="majorHAnsi"/>
          <w:sz w:val="22"/>
          <w:vertAlign w:val="superscript"/>
        </w:rPr>
        <w:t>5</w:t>
      </w:r>
      <w:r w:rsidR="00BF10EE" w:rsidRPr="00190CE5">
        <w:rPr>
          <w:rFonts w:asciiTheme="majorHAnsi" w:hAnsiTheme="majorHAnsi"/>
          <w:sz w:val="22"/>
        </w:rPr>
        <w:t xml:space="preserve">. </w:t>
      </w:r>
      <w:r w:rsidR="003B4EA1" w:rsidRPr="00190CE5">
        <w:rPr>
          <w:rFonts w:asciiTheme="majorHAnsi" w:hAnsiTheme="majorHAnsi"/>
          <w:sz w:val="22"/>
        </w:rPr>
        <w:t xml:space="preserve"> This is a unique observation given that, in contrast to slow circadian rhythms, no physiological measures exist to track rapid ultradian rhythms in blood.</w:t>
      </w:r>
    </w:p>
    <w:p w14:paraId="656DCFB5" w14:textId="365EE05C" w:rsidR="006563D1" w:rsidRPr="00190CE5" w:rsidRDefault="00BF10EE" w:rsidP="00834C8B">
      <w:pPr>
        <w:rPr>
          <w:rFonts w:asciiTheme="majorHAnsi" w:hAnsiTheme="majorHAnsi"/>
          <w:sz w:val="22"/>
        </w:rPr>
      </w:pPr>
      <w:r w:rsidRPr="00190CE5">
        <w:rPr>
          <w:rFonts w:asciiTheme="majorHAnsi" w:hAnsiTheme="majorHAnsi"/>
          <w:sz w:val="22"/>
        </w:rPr>
        <w:t xml:space="preserve">As well as allowing for rapid, humane electrophysiology, this work has </w:t>
      </w:r>
      <w:r w:rsidR="00B334D6" w:rsidRPr="00190CE5">
        <w:rPr>
          <w:rFonts w:asciiTheme="majorHAnsi" w:hAnsiTheme="majorHAnsi"/>
          <w:sz w:val="22"/>
        </w:rPr>
        <w:t xml:space="preserve">the </w:t>
      </w:r>
      <w:r w:rsidRPr="00190CE5">
        <w:rPr>
          <w:rFonts w:asciiTheme="majorHAnsi" w:hAnsiTheme="majorHAnsi"/>
          <w:sz w:val="22"/>
        </w:rPr>
        <w:t xml:space="preserve">potential to </w:t>
      </w:r>
      <w:r w:rsidR="006563D1" w:rsidRPr="00190CE5">
        <w:rPr>
          <w:rFonts w:asciiTheme="majorHAnsi" w:hAnsiTheme="majorHAnsi"/>
          <w:sz w:val="22"/>
        </w:rPr>
        <w:t xml:space="preserve">be translated to human </w:t>
      </w:r>
      <w:r w:rsidR="00B334D6" w:rsidRPr="00190CE5">
        <w:rPr>
          <w:rFonts w:asciiTheme="majorHAnsi" w:hAnsiTheme="majorHAnsi"/>
          <w:sz w:val="22"/>
        </w:rPr>
        <w:t>studies</w:t>
      </w:r>
      <w:r w:rsidR="006563D1" w:rsidRPr="00190CE5">
        <w:rPr>
          <w:rFonts w:asciiTheme="majorHAnsi" w:hAnsiTheme="majorHAnsi"/>
          <w:sz w:val="22"/>
        </w:rPr>
        <w:t>, with implications in the broader chronobiology field</w:t>
      </w:r>
      <w:r w:rsidR="00ED45B2" w:rsidRPr="00190CE5">
        <w:rPr>
          <w:rFonts w:asciiTheme="majorHAnsi" w:hAnsiTheme="majorHAnsi"/>
          <w:sz w:val="22"/>
        </w:rPr>
        <w:t>, particularly in relation to determining the internal circadian phase of a human subject</w:t>
      </w:r>
      <w:r w:rsidR="006563D1" w:rsidRPr="00190CE5">
        <w:rPr>
          <w:rFonts w:asciiTheme="majorHAnsi" w:hAnsiTheme="majorHAnsi"/>
          <w:sz w:val="22"/>
        </w:rPr>
        <w:t xml:space="preserve">. Unlike melatonin, which is detected by radioimmunoassay, DEP assays </w:t>
      </w:r>
      <w:r w:rsidRPr="00190CE5">
        <w:rPr>
          <w:rFonts w:asciiTheme="majorHAnsi" w:hAnsiTheme="majorHAnsi"/>
          <w:sz w:val="22"/>
        </w:rPr>
        <w:t xml:space="preserve">require only a pinprick of blood (similar to that used in diabetes assays), </w:t>
      </w:r>
      <w:r w:rsidR="006563D1" w:rsidRPr="00190CE5">
        <w:rPr>
          <w:rFonts w:asciiTheme="majorHAnsi" w:hAnsiTheme="majorHAnsi"/>
          <w:sz w:val="22"/>
        </w:rPr>
        <w:t xml:space="preserve">are performed in minutes, and our observations </w:t>
      </w:r>
      <w:r w:rsidR="00ED45B2" w:rsidRPr="00190CE5">
        <w:rPr>
          <w:rFonts w:asciiTheme="majorHAnsi" w:hAnsiTheme="majorHAnsi"/>
          <w:sz w:val="22"/>
        </w:rPr>
        <w:t>here and in Henslee et al</w:t>
      </w:r>
      <w:r w:rsidR="0085596D" w:rsidRPr="00190CE5">
        <w:rPr>
          <w:rFonts w:asciiTheme="majorHAnsi" w:hAnsiTheme="majorHAnsi"/>
          <w:sz w:val="22"/>
        </w:rPr>
        <w:t>.</w:t>
      </w:r>
      <w:r w:rsidR="00ED45B2" w:rsidRPr="00190CE5">
        <w:rPr>
          <w:rFonts w:asciiTheme="majorHAnsi" w:hAnsiTheme="majorHAnsi"/>
          <w:sz w:val="22"/>
          <w:vertAlign w:val="superscript"/>
        </w:rPr>
        <w:t>21</w:t>
      </w:r>
      <w:r w:rsidR="008032B0" w:rsidRPr="00190CE5">
        <w:rPr>
          <w:rFonts w:asciiTheme="majorHAnsi" w:hAnsiTheme="majorHAnsi"/>
          <w:sz w:val="22"/>
        </w:rPr>
        <w:t xml:space="preserve"> s</w:t>
      </w:r>
      <w:r w:rsidR="006563D1" w:rsidRPr="00190CE5">
        <w:rPr>
          <w:rFonts w:asciiTheme="majorHAnsi" w:hAnsiTheme="majorHAnsi"/>
          <w:sz w:val="22"/>
        </w:rPr>
        <w:t xml:space="preserve">uggest it is possible they can be performed </w:t>
      </w:r>
      <w:r w:rsidR="00ED45B2" w:rsidRPr="00190CE5">
        <w:rPr>
          <w:rFonts w:asciiTheme="majorHAnsi" w:hAnsiTheme="majorHAnsi"/>
          <w:sz w:val="22"/>
        </w:rPr>
        <w:t xml:space="preserve">reliably </w:t>
      </w:r>
      <w:r w:rsidR="006563D1" w:rsidRPr="00190CE5">
        <w:rPr>
          <w:rFonts w:asciiTheme="majorHAnsi" w:hAnsiTheme="majorHAnsi"/>
          <w:sz w:val="22"/>
        </w:rPr>
        <w:t>using whole blood sampled from animals and humans.</w:t>
      </w:r>
      <w:r w:rsidR="00835F7C" w:rsidRPr="00190CE5">
        <w:rPr>
          <w:rFonts w:asciiTheme="majorHAnsi" w:hAnsiTheme="majorHAnsi"/>
          <w:sz w:val="22"/>
        </w:rPr>
        <w:t xml:space="preserve"> </w:t>
      </w:r>
      <w:r w:rsidR="00ED45B2" w:rsidRPr="00190CE5">
        <w:rPr>
          <w:rFonts w:asciiTheme="majorHAnsi" w:hAnsiTheme="majorHAnsi"/>
          <w:sz w:val="22"/>
        </w:rPr>
        <w:t>By comparing single-point measurements of membrane conductance and cytoplasmic conductivity with a known standard curve of their circadian variation across a population, it may be possible to rapidly determine and individual’s circadian phase using DEP.</w:t>
      </w:r>
    </w:p>
    <w:p w14:paraId="5C8281EC" w14:textId="77777777" w:rsidR="005559A7" w:rsidRPr="00190CE5" w:rsidRDefault="005559A7" w:rsidP="00834C8B">
      <w:pPr>
        <w:pStyle w:val="Body"/>
        <w:tabs>
          <w:tab w:val="left" w:pos="4252"/>
          <w:tab w:val="left" w:pos="4961"/>
          <w:tab w:val="left" w:pos="5669"/>
          <w:tab w:val="left" w:pos="6378"/>
          <w:tab w:val="left" w:pos="7087"/>
          <w:tab w:val="left" w:pos="7795"/>
          <w:tab w:val="left" w:pos="8504"/>
          <w:tab w:val="left" w:pos="9213"/>
        </w:tabs>
        <w:spacing w:before="0" w:after="0" w:line="360" w:lineRule="auto"/>
        <w:rPr>
          <w:rFonts w:asciiTheme="majorHAnsi" w:hAnsiTheme="majorHAnsi"/>
          <w:b/>
          <w:color w:val="auto"/>
          <w:szCs w:val="22"/>
          <w:lang w:val="en-GB"/>
        </w:rPr>
      </w:pPr>
    </w:p>
    <w:p w14:paraId="76086395" w14:textId="77777777" w:rsidR="006E7903" w:rsidRPr="00190CE5" w:rsidRDefault="00830C0E" w:rsidP="00834C8B">
      <w:pPr>
        <w:pStyle w:val="Body"/>
        <w:tabs>
          <w:tab w:val="left" w:pos="4252"/>
          <w:tab w:val="left" w:pos="4961"/>
          <w:tab w:val="left" w:pos="5669"/>
          <w:tab w:val="left" w:pos="6378"/>
          <w:tab w:val="left" w:pos="7087"/>
          <w:tab w:val="left" w:pos="7795"/>
          <w:tab w:val="left" w:pos="8504"/>
          <w:tab w:val="left" w:pos="9213"/>
        </w:tabs>
        <w:spacing w:before="0" w:after="0" w:line="360" w:lineRule="auto"/>
        <w:rPr>
          <w:rFonts w:asciiTheme="majorHAnsi" w:hAnsiTheme="majorHAnsi"/>
          <w:b/>
          <w:color w:val="auto"/>
          <w:szCs w:val="22"/>
          <w:lang w:val="en-GB"/>
        </w:rPr>
      </w:pPr>
      <w:r w:rsidRPr="00190CE5">
        <w:rPr>
          <w:rFonts w:asciiTheme="majorHAnsi" w:hAnsiTheme="majorHAnsi"/>
          <w:b/>
          <w:color w:val="auto"/>
          <w:szCs w:val="22"/>
          <w:lang w:val="en-GB"/>
        </w:rPr>
        <w:t xml:space="preserve">5. </w:t>
      </w:r>
      <w:r w:rsidR="008A78EC" w:rsidRPr="00190CE5">
        <w:rPr>
          <w:rFonts w:asciiTheme="majorHAnsi" w:hAnsiTheme="majorHAnsi"/>
          <w:b/>
          <w:color w:val="auto"/>
          <w:szCs w:val="22"/>
          <w:lang w:val="en-GB"/>
        </w:rPr>
        <w:t>Conclusion</w:t>
      </w:r>
    </w:p>
    <w:p w14:paraId="3EEE7D5E" w14:textId="1E2EE7FB" w:rsidR="00FB326F" w:rsidRPr="00190CE5" w:rsidRDefault="000142C4" w:rsidP="00834C8B">
      <w:pPr>
        <w:pStyle w:val="Body"/>
        <w:tabs>
          <w:tab w:val="left" w:pos="4252"/>
          <w:tab w:val="left" w:pos="4961"/>
          <w:tab w:val="left" w:pos="5669"/>
          <w:tab w:val="left" w:pos="6378"/>
          <w:tab w:val="left" w:pos="7087"/>
          <w:tab w:val="left" w:pos="7795"/>
          <w:tab w:val="left" w:pos="8504"/>
          <w:tab w:val="left" w:pos="9213"/>
        </w:tabs>
        <w:spacing w:before="0" w:after="0" w:line="360" w:lineRule="auto"/>
        <w:rPr>
          <w:rFonts w:asciiTheme="majorHAnsi" w:hAnsiTheme="majorHAnsi"/>
          <w:color w:val="auto"/>
          <w:szCs w:val="22"/>
          <w:lang w:val="en-GB"/>
        </w:rPr>
      </w:pPr>
      <w:r w:rsidRPr="00190CE5">
        <w:rPr>
          <w:rFonts w:asciiTheme="majorHAnsi" w:hAnsiTheme="majorHAnsi"/>
          <w:color w:val="auto"/>
          <w:szCs w:val="22"/>
          <w:lang w:val="en-GB"/>
        </w:rPr>
        <w:t xml:space="preserve">The </w:t>
      </w:r>
      <w:r w:rsidR="00115F2F" w:rsidRPr="00190CE5">
        <w:rPr>
          <w:rFonts w:asciiTheme="majorHAnsi" w:hAnsiTheme="majorHAnsi"/>
          <w:color w:val="auto"/>
          <w:szCs w:val="22"/>
          <w:lang w:val="en-GB"/>
        </w:rPr>
        <w:t xml:space="preserve">3DEP </w:t>
      </w:r>
      <w:r w:rsidRPr="00190CE5">
        <w:rPr>
          <w:rFonts w:asciiTheme="majorHAnsi" w:hAnsiTheme="majorHAnsi"/>
          <w:color w:val="auto"/>
          <w:szCs w:val="22"/>
          <w:lang w:val="en-GB"/>
        </w:rPr>
        <w:t>system</w:t>
      </w:r>
      <w:r w:rsidR="00115F2F" w:rsidRPr="00190CE5">
        <w:rPr>
          <w:rFonts w:asciiTheme="majorHAnsi" w:hAnsiTheme="majorHAnsi"/>
          <w:color w:val="auto"/>
          <w:szCs w:val="22"/>
          <w:lang w:val="en-GB"/>
        </w:rPr>
        <w:t xml:space="preserve"> delivers significant time savings and higher sample throughput</w:t>
      </w:r>
      <w:r w:rsidR="00C2283B" w:rsidRPr="00190CE5">
        <w:rPr>
          <w:rFonts w:asciiTheme="majorHAnsi" w:hAnsiTheme="majorHAnsi"/>
          <w:color w:val="auto"/>
          <w:szCs w:val="22"/>
          <w:lang w:val="en-GB"/>
        </w:rPr>
        <w:t xml:space="preserve">, whilst </w:t>
      </w:r>
      <w:r w:rsidR="00D353A4" w:rsidRPr="00190CE5">
        <w:rPr>
          <w:rFonts w:asciiTheme="majorHAnsi" w:hAnsiTheme="majorHAnsi"/>
          <w:color w:val="auto"/>
          <w:szCs w:val="22"/>
          <w:lang w:val="en-GB"/>
        </w:rPr>
        <w:t>perform</w:t>
      </w:r>
      <w:r w:rsidR="00C2283B" w:rsidRPr="00190CE5">
        <w:rPr>
          <w:rFonts w:asciiTheme="majorHAnsi" w:hAnsiTheme="majorHAnsi"/>
          <w:color w:val="auto"/>
          <w:szCs w:val="22"/>
          <w:lang w:val="en-GB"/>
        </w:rPr>
        <w:t>ing</w:t>
      </w:r>
      <w:r w:rsidRPr="00190CE5">
        <w:rPr>
          <w:rFonts w:asciiTheme="majorHAnsi" w:hAnsiTheme="majorHAnsi"/>
          <w:color w:val="auto"/>
          <w:szCs w:val="22"/>
          <w:lang w:val="en-GB"/>
        </w:rPr>
        <w:t xml:space="preserve"> </w:t>
      </w:r>
      <w:r w:rsidR="0026653F" w:rsidRPr="00190CE5">
        <w:rPr>
          <w:rFonts w:asciiTheme="majorHAnsi" w:hAnsiTheme="majorHAnsi"/>
          <w:color w:val="auto"/>
          <w:szCs w:val="22"/>
          <w:lang w:val="en-GB"/>
        </w:rPr>
        <w:t>favourably</w:t>
      </w:r>
      <w:r w:rsidRPr="00190CE5">
        <w:rPr>
          <w:rFonts w:asciiTheme="majorHAnsi" w:hAnsiTheme="majorHAnsi"/>
          <w:color w:val="auto"/>
          <w:szCs w:val="22"/>
          <w:lang w:val="en-GB"/>
        </w:rPr>
        <w:t xml:space="preserve"> </w:t>
      </w:r>
      <w:r w:rsidR="00A16E25" w:rsidRPr="00190CE5">
        <w:rPr>
          <w:rFonts w:asciiTheme="majorHAnsi" w:hAnsiTheme="majorHAnsi"/>
          <w:color w:val="auto"/>
          <w:szCs w:val="22"/>
          <w:lang w:val="en-GB"/>
        </w:rPr>
        <w:t xml:space="preserve">when </w:t>
      </w:r>
      <w:r w:rsidRPr="00190CE5">
        <w:rPr>
          <w:rFonts w:asciiTheme="majorHAnsi" w:hAnsiTheme="majorHAnsi"/>
          <w:color w:val="auto"/>
          <w:szCs w:val="22"/>
          <w:lang w:val="en-GB"/>
        </w:rPr>
        <w:t xml:space="preserve">compared </w:t>
      </w:r>
      <w:r w:rsidR="00C2283B" w:rsidRPr="00190CE5">
        <w:rPr>
          <w:rFonts w:asciiTheme="majorHAnsi" w:hAnsiTheme="majorHAnsi"/>
          <w:color w:val="auto"/>
          <w:szCs w:val="22"/>
          <w:lang w:val="en-GB"/>
        </w:rPr>
        <w:t xml:space="preserve">with </w:t>
      </w:r>
      <w:r w:rsidRPr="00190CE5">
        <w:rPr>
          <w:rFonts w:asciiTheme="majorHAnsi" w:hAnsiTheme="majorHAnsi"/>
          <w:color w:val="auto"/>
          <w:szCs w:val="22"/>
          <w:lang w:val="en-GB"/>
        </w:rPr>
        <w:t>other electrophysiological methods</w:t>
      </w:r>
      <w:r w:rsidR="0026653F" w:rsidRPr="00190CE5">
        <w:rPr>
          <w:rFonts w:asciiTheme="majorHAnsi" w:hAnsiTheme="majorHAnsi"/>
          <w:color w:val="auto"/>
          <w:szCs w:val="22"/>
          <w:lang w:val="en-GB"/>
        </w:rPr>
        <w:t xml:space="preserve"> such as</w:t>
      </w:r>
      <w:r w:rsidRPr="00190CE5">
        <w:rPr>
          <w:rFonts w:asciiTheme="majorHAnsi" w:hAnsiTheme="majorHAnsi"/>
          <w:color w:val="auto"/>
          <w:szCs w:val="22"/>
          <w:lang w:val="en-GB"/>
        </w:rPr>
        <w:t xml:space="preserve"> the ‘gold-standard’ patch-clamp method</w:t>
      </w:r>
      <w:r w:rsidR="0026653F" w:rsidRPr="00190CE5">
        <w:rPr>
          <w:rFonts w:asciiTheme="majorHAnsi" w:hAnsiTheme="majorHAnsi"/>
          <w:color w:val="auto"/>
          <w:szCs w:val="22"/>
          <w:lang w:val="en-GB"/>
        </w:rPr>
        <w:t>.</w:t>
      </w:r>
      <w:r w:rsidRPr="00190CE5">
        <w:rPr>
          <w:rFonts w:asciiTheme="majorHAnsi" w:hAnsiTheme="majorHAnsi"/>
          <w:color w:val="auto"/>
          <w:szCs w:val="22"/>
          <w:lang w:val="en-GB"/>
        </w:rPr>
        <w:t xml:space="preserve"> </w:t>
      </w:r>
      <w:r w:rsidR="0026653F" w:rsidRPr="00190CE5">
        <w:rPr>
          <w:rFonts w:asciiTheme="majorHAnsi" w:hAnsiTheme="majorHAnsi"/>
          <w:color w:val="auto"/>
          <w:szCs w:val="22"/>
          <w:lang w:val="en-GB"/>
        </w:rPr>
        <w:t>F</w:t>
      </w:r>
      <w:r w:rsidRPr="00190CE5">
        <w:rPr>
          <w:rFonts w:asciiTheme="majorHAnsi" w:hAnsiTheme="majorHAnsi"/>
          <w:color w:val="auto"/>
          <w:szCs w:val="22"/>
          <w:lang w:val="en-GB"/>
        </w:rPr>
        <w:t>or phenotypically homogeneous cells</w:t>
      </w:r>
      <w:r w:rsidR="00C2283B" w:rsidRPr="00190CE5">
        <w:rPr>
          <w:rFonts w:asciiTheme="majorHAnsi" w:hAnsiTheme="majorHAnsi"/>
          <w:color w:val="auto"/>
          <w:szCs w:val="22"/>
          <w:lang w:val="en-GB"/>
        </w:rPr>
        <w:t xml:space="preserve">, </w:t>
      </w:r>
      <w:r w:rsidRPr="00190CE5">
        <w:rPr>
          <w:rFonts w:asciiTheme="majorHAnsi" w:hAnsiTheme="majorHAnsi"/>
          <w:color w:val="auto"/>
          <w:szCs w:val="22"/>
          <w:lang w:val="en-GB"/>
        </w:rPr>
        <w:t xml:space="preserve">our capacitance </w:t>
      </w:r>
      <w:r w:rsidR="00C2283B" w:rsidRPr="00190CE5">
        <w:rPr>
          <w:rFonts w:asciiTheme="majorHAnsi" w:hAnsiTheme="majorHAnsi"/>
          <w:color w:val="auto"/>
          <w:szCs w:val="22"/>
          <w:lang w:val="en-GB"/>
        </w:rPr>
        <w:lastRenderedPageBreak/>
        <w:t xml:space="preserve">values </w:t>
      </w:r>
      <w:r w:rsidRPr="00190CE5">
        <w:rPr>
          <w:rFonts w:asciiTheme="majorHAnsi" w:hAnsiTheme="majorHAnsi"/>
          <w:color w:val="auto"/>
          <w:szCs w:val="22"/>
          <w:lang w:val="en-GB"/>
        </w:rPr>
        <w:t xml:space="preserve">match exactly with </w:t>
      </w:r>
      <w:r w:rsidR="00A16E25" w:rsidRPr="00190CE5">
        <w:rPr>
          <w:rFonts w:asciiTheme="majorHAnsi" w:hAnsiTheme="majorHAnsi"/>
          <w:color w:val="auto"/>
          <w:szCs w:val="22"/>
          <w:lang w:val="en-GB"/>
        </w:rPr>
        <w:t xml:space="preserve">both </w:t>
      </w:r>
      <w:r w:rsidRPr="00190CE5">
        <w:rPr>
          <w:rFonts w:asciiTheme="majorHAnsi" w:hAnsiTheme="majorHAnsi"/>
          <w:color w:val="auto"/>
          <w:szCs w:val="22"/>
          <w:lang w:val="en-GB"/>
        </w:rPr>
        <w:t xml:space="preserve">published </w:t>
      </w:r>
      <w:r w:rsidR="00A16E25" w:rsidRPr="00190CE5">
        <w:rPr>
          <w:rFonts w:asciiTheme="majorHAnsi" w:hAnsiTheme="majorHAnsi"/>
          <w:color w:val="auto"/>
          <w:szCs w:val="22"/>
          <w:lang w:val="en-GB"/>
        </w:rPr>
        <w:t xml:space="preserve">and theoretical </w:t>
      </w:r>
      <w:r w:rsidRPr="00190CE5">
        <w:rPr>
          <w:rFonts w:asciiTheme="majorHAnsi" w:hAnsiTheme="majorHAnsi"/>
          <w:color w:val="auto"/>
          <w:szCs w:val="22"/>
          <w:lang w:val="en-GB"/>
        </w:rPr>
        <w:t xml:space="preserve">data.  For </w:t>
      </w:r>
      <w:r w:rsidR="00A16E25" w:rsidRPr="00190CE5">
        <w:rPr>
          <w:rFonts w:asciiTheme="majorHAnsi" w:hAnsiTheme="majorHAnsi"/>
          <w:color w:val="auto"/>
          <w:szCs w:val="22"/>
          <w:lang w:val="en-GB"/>
        </w:rPr>
        <w:t xml:space="preserve">more </w:t>
      </w:r>
      <w:r w:rsidR="0026653F" w:rsidRPr="00190CE5">
        <w:rPr>
          <w:rFonts w:asciiTheme="majorHAnsi" w:hAnsiTheme="majorHAnsi"/>
          <w:color w:val="auto"/>
          <w:szCs w:val="22"/>
          <w:lang w:val="en-GB"/>
        </w:rPr>
        <w:t>heterogeneously-</w:t>
      </w:r>
      <w:r w:rsidR="00A16E25" w:rsidRPr="00190CE5">
        <w:rPr>
          <w:rFonts w:asciiTheme="majorHAnsi" w:hAnsiTheme="majorHAnsi"/>
          <w:color w:val="auto"/>
          <w:szCs w:val="22"/>
          <w:lang w:val="en-GB"/>
        </w:rPr>
        <w:t>sized</w:t>
      </w:r>
      <w:r w:rsidRPr="00190CE5">
        <w:rPr>
          <w:rFonts w:asciiTheme="majorHAnsi" w:hAnsiTheme="majorHAnsi"/>
          <w:color w:val="auto"/>
          <w:szCs w:val="22"/>
          <w:lang w:val="en-GB"/>
        </w:rPr>
        <w:t xml:space="preserve"> cells</w:t>
      </w:r>
      <w:r w:rsidR="00C2283B" w:rsidRPr="00190CE5">
        <w:rPr>
          <w:rFonts w:asciiTheme="majorHAnsi" w:hAnsiTheme="majorHAnsi"/>
          <w:color w:val="auto"/>
          <w:szCs w:val="22"/>
          <w:lang w:val="en-GB"/>
        </w:rPr>
        <w:t>,</w:t>
      </w:r>
      <w:r w:rsidRPr="00190CE5">
        <w:rPr>
          <w:rFonts w:asciiTheme="majorHAnsi" w:hAnsiTheme="majorHAnsi"/>
          <w:color w:val="auto"/>
          <w:szCs w:val="22"/>
          <w:lang w:val="en-GB"/>
        </w:rPr>
        <w:t xml:space="preserve"> DEP mean values tend to be slightly lower than published data</w:t>
      </w:r>
      <w:r w:rsidR="00C2283B" w:rsidRPr="00190CE5">
        <w:rPr>
          <w:rFonts w:asciiTheme="majorHAnsi" w:hAnsiTheme="majorHAnsi"/>
          <w:color w:val="auto"/>
          <w:szCs w:val="22"/>
          <w:lang w:val="en-GB"/>
        </w:rPr>
        <w:t xml:space="preserve"> - </w:t>
      </w:r>
      <w:r w:rsidRPr="00190CE5">
        <w:rPr>
          <w:rFonts w:asciiTheme="majorHAnsi" w:hAnsiTheme="majorHAnsi"/>
          <w:color w:val="auto"/>
          <w:szCs w:val="22"/>
          <w:lang w:val="en-GB"/>
        </w:rPr>
        <w:t xml:space="preserve"> most likely because DEP samples a much larger cell population and </w:t>
      </w:r>
      <w:r w:rsidR="00C2283B" w:rsidRPr="00190CE5">
        <w:rPr>
          <w:rFonts w:asciiTheme="majorHAnsi" w:hAnsiTheme="majorHAnsi"/>
          <w:color w:val="auto"/>
          <w:szCs w:val="22"/>
          <w:lang w:val="en-GB"/>
        </w:rPr>
        <w:t xml:space="preserve">is </w:t>
      </w:r>
      <w:r w:rsidRPr="00190CE5">
        <w:rPr>
          <w:rFonts w:asciiTheme="majorHAnsi" w:hAnsiTheme="majorHAnsi"/>
          <w:color w:val="auto"/>
          <w:szCs w:val="22"/>
          <w:lang w:val="en-GB"/>
        </w:rPr>
        <w:t>therefore far less susceptible to type 1 errors result</w:t>
      </w:r>
      <w:r w:rsidR="00337306" w:rsidRPr="00190CE5">
        <w:rPr>
          <w:rFonts w:asciiTheme="majorHAnsi" w:hAnsiTheme="majorHAnsi"/>
          <w:color w:val="auto"/>
          <w:szCs w:val="22"/>
          <w:lang w:val="en-GB"/>
        </w:rPr>
        <w:t>ing</w:t>
      </w:r>
      <w:r w:rsidRPr="00190CE5">
        <w:rPr>
          <w:rFonts w:asciiTheme="majorHAnsi" w:hAnsiTheme="majorHAnsi"/>
          <w:color w:val="auto"/>
          <w:szCs w:val="22"/>
          <w:lang w:val="en-GB"/>
        </w:rPr>
        <w:t xml:space="preserve"> from small sample sizes. </w:t>
      </w:r>
      <w:r w:rsidR="00337306" w:rsidRPr="00190CE5">
        <w:rPr>
          <w:rFonts w:asciiTheme="majorHAnsi" w:hAnsiTheme="majorHAnsi"/>
          <w:color w:val="auto"/>
          <w:szCs w:val="22"/>
          <w:lang w:val="en-GB"/>
        </w:rPr>
        <w:t xml:space="preserve">Our </w:t>
      </w:r>
      <w:r w:rsidR="00BF3C27" w:rsidRPr="00190CE5">
        <w:rPr>
          <w:rFonts w:asciiTheme="majorHAnsi" w:hAnsiTheme="majorHAnsi"/>
          <w:color w:val="auto"/>
          <w:szCs w:val="22"/>
          <w:lang w:val="en-GB"/>
        </w:rPr>
        <w:t>system works well for particles which are difficult to patch due to their small size</w:t>
      </w:r>
      <w:r w:rsidR="005217B0" w:rsidRPr="00190CE5">
        <w:rPr>
          <w:rFonts w:asciiTheme="majorHAnsi" w:hAnsiTheme="majorHAnsi"/>
          <w:color w:val="auto"/>
          <w:szCs w:val="22"/>
          <w:lang w:val="en-GB"/>
        </w:rPr>
        <w:t xml:space="preserve">, whilst </w:t>
      </w:r>
      <w:r w:rsidR="00FB326F" w:rsidRPr="00190CE5">
        <w:rPr>
          <w:rFonts w:asciiTheme="majorHAnsi" w:hAnsiTheme="majorHAnsi"/>
          <w:color w:val="auto"/>
          <w:szCs w:val="22"/>
          <w:lang w:val="en-GB"/>
        </w:rPr>
        <w:t>rapidity of measurement allows time-dependent changes in cell properties to be measured with greater accuracy.</w:t>
      </w:r>
    </w:p>
    <w:p w14:paraId="6C3F99CC" w14:textId="77777777" w:rsidR="001D5247" w:rsidRPr="00190CE5" w:rsidRDefault="001D5247" w:rsidP="00834C8B">
      <w:pPr>
        <w:pStyle w:val="Body"/>
        <w:tabs>
          <w:tab w:val="left" w:pos="4252"/>
          <w:tab w:val="left" w:pos="4961"/>
          <w:tab w:val="left" w:pos="5669"/>
          <w:tab w:val="left" w:pos="6378"/>
          <w:tab w:val="left" w:pos="7087"/>
          <w:tab w:val="left" w:pos="7795"/>
          <w:tab w:val="left" w:pos="8504"/>
          <w:tab w:val="left" w:pos="9213"/>
        </w:tabs>
        <w:spacing w:before="0" w:after="0" w:line="360" w:lineRule="auto"/>
        <w:rPr>
          <w:rFonts w:asciiTheme="majorHAnsi" w:hAnsiTheme="majorHAnsi"/>
          <w:color w:val="auto"/>
          <w:szCs w:val="22"/>
          <w:lang w:val="en-GB"/>
        </w:rPr>
      </w:pPr>
    </w:p>
    <w:p w14:paraId="35903925" w14:textId="77777777" w:rsidR="00BB75E0" w:rsidRPr="00190CE5" w:rsidRDefault="00BB75E0" w:rsidP="00834C8B">
      <w:pPr>
        <w:spacing w:after="0"/>
        <w:rPr>
          <w:rFonts w:asciiTheme="majorHAnsi" w:hAnsiTheme="majorHAnsi"/>
          <w:b/>
          <w:sz w:val="22"/>
        </w:rPr>
      </w:pPr>
    </w:p>
    <w:p w14:paraId="3AC87152" w14:textId="77777777" w:rsidR="00BB75E0" w:rsidRPr="00190CE5" w:rsidRDefault="00BB75E0" w:rsidP="00834C8B">
      <w:pPr>
        <w:spacing w:after="0"/>
        <w:rPr>
          <w:rFonts w:asciiTheme="majorHAnsi" w:hAnsiTheme="majorHAnsi"/>
          <w:b/>
          <w:sz w:val="22"/>
        </w:rPr>
      </w:pPr>
    </w:p>
    <w:p w14:paraId="5EFC26A3" w14:textId="78ED1841" w:rsidR="00E419AC" w:rsidRPr="00190CE5" w:rsidRDefault="00E50CE0" w:rsidP="00834C8B">
      <w:pPr>
        <w:spacing w:after="0"/>
        <w:rPr>
          <w:rFonts w:asciiTheme="majorHAnsi" w:hAnsiTheme="majorHAnsi"/>
          <w:b/>
          <w:sz w:val="22"/>
        </w:rPr>
      </w:pPr>
      <w:r w:rsidRPr="00190CE5">
        <w:rPr>
          <w:rFonts w:asciiTheme="majorHAnsi" w:hAnsiTheme="majorHAnsi"/>
          <w:b/>
          <w:sz w:val="22"/>
        </w:rPr>
        <w:t>Acknowledgements</w:t>
      </w:r>
    </w:p>
    <w:p w14:paraId="0A631B0D" w14:textId="77777777" w:rsidR="007C7941" w:rsidRPr="00190CE5" w:rsidRDefault="007C7941" w:rsidP="00834C8B">
      <w:pPr>
        <w:spacing w:after="0"/>
        <w:rPr>
          <w:rFonts w:asciiTheme="majorHAnsi" w:hAnsiTheme="majorHAnsi"/>
          <w:sz w:val="22"/>
        </w:rPr>
      </w:pPr>
      <w:r w:rsidRPr="00190CE5">
        <w:rPr>
          <w:rFonts w:asciiTheme="majorHAnsi" w:hAnsiTheme="majorHAnsi"/>
          <w:sz w:val="22"/>
        </w:rPr>
        <w:t>Funding for this work was provided from the South East of England Development Agency and Finance South East. A studentship to RMTS was provided by Labtech International.</w:t>
      </w:r>
    </w:p>
    <w:p w14:paraId="1711816A" w14:textId="4DEC380E" w:rsidR="004054D6" w:rsidRPr="00190CE5" w:rsidRDefault="004054D6" w:rsidP="00834C8B">
      <w:pPr>
        <w:spacing w:after="0"/>
        <w:rPr>
          <w:rFonts w:asciiTheme="majorHAnsi" w:eastAsia="Calibri" w:hAnsiTheme="majorHAnsi"/>
          <w:b/>
          <w:sz w:val="22"/>
        </w:rPr>
      </w:pPr>
    </w:p>
    <w:p w14:paraId="7A2F4F91" w14:textId="65FB0B80" w:rsidR="00E50CE0" w:rsidRPr="00190CE5" w:rsidRDefault="00E50CE0" w:rsidP="00834C8B">
      <w:pPr>
        <w:spacing w:after="0"/>
        <w:rPr>
          <w:rFonts w:asciiTheme="majorHAnsi" w:eastAsia="Calibri" w:hAnsiTheme="majorHAnsi"/>
          <w:b/>
          <w:sz w:val="22"/>
        </w:rPr>
      </w:pPr>
      <w:r w:rsidRPr="00190CE5">
        <w:rPr>
          <w:rFonts w:asciiTheme="majorHAnsi" w:eastAsia="Calibri" w:hAnsiTheme="majorHAnsi"/>
          <w:b/>
          <w:sz w:val="22"/>
        </w:rPr>
        <w:t>Author contributions</w:t>
      </w:r>
    </w:p>
    <w:p w14:paraId="5D840506" w14:textId="77777777" w:rsidR="00834C8B" w:rsidRPr="00190CE5" w:rsidRDefault="00E50CE0" w:rsidP="00834C8B">
      <w:pPr>
        <w:spacing w:after="0"/>
        <w:rPr>
          <w:rFonts w:asciiTheme="majorHAnsi" w:hAnsiTheme="majorHAnsi"/>
          <w:sz w:val="22"/>
        </w:rPr>
      </w:pPr>
      <w:r w:rsidRPr="00190CE5">
        <w:rPr>
          <w:rFonts w:asciiTheme="majorHAnsi" w:hAnsiTheme="majorHAnsi"/>
          <w:sz w:val="22"/>
        </w:rPr>
        <w:t>KFH</w:t>
      </w:r>
      <w:r w:rsidR="002F3586" w:rsidRPr="00190CE5">
        <w:rPr>
          <w:rFonts w:asciiTheme="majorHAnsi" w:hAnsiTheme="majorHAnsi"/>
          <w:sz w:val="22"/>
        </w:rPr>
        <w:t xml:space="preserve"> designed the </w:t>
      </w:r>
      <w:r w:rsidR="001D7256" w:rsidRPr="00190CE5">
        <w:rPr>
          <w:rFonts w:asciiTheme="majorHAnsi" w:hAnsiTheme="majorHAnsi"/>
          <w:sz w:val="22"/>
        </w:rPr>
        <w:t xml:space="preserve">3DEP </w:t>
      </w:r>
      <w:r w:rsidR="002F3586" w:rsidRPr="00190CE5">
        <w:rPr>
          <w:rFonts w:asciiTheme="majorHAnsi" w:hAnsiTheme="majorHAnsi"/>
          <w:sz w:val="22"/>
        </w:rPr>
        <w:t>system</w:t>
      </w:r>
      <w:r w:rsidRPr="00190CE5">
        <w:rPr>
          <w:rFonts w:asciiTheme="majorHAnsi" w:hAnsiTheme="majorHAnsi"/>
          <w:sz w:val="22"/>
        </w:rPr>
        <w:t>, EAH</w:t>
      </w:r>
      <w:r w:rsidR="001D7256" w:rsidRPr="00190CE5">
        <w:rPr>
          <w:rFonts w:asciiTheme="majorHAnsi" w:hAnsiTheme="majorHAnsi"/>
          <w:sz w:val="22"/>
        </w:rPr>
        <w:t>, RGA, ADB</w:t>
      </w:r>
      <w:r w:rsidR="002F3586" w:rsidRPr="00190CE5">
        <w:rPr>
          <w:rFonts w:asciiTheme="majorHAnsi" w:hAnsiTheme="majorHAnsi"/>
          <w:sz w:val="22"/>
        </w:rPr>
        <w:t xml:space="preserve"> performed</w:t>
      </w:r>
      <w:r w:rsidR="001D7256" w:rsidRPr="00190CE5">
        <w:rPr>
          <w:rFonts w:asciiTheme="majorHAnsi" w:hAnsiTheme="majorHAnsi"/>
          <w:sz w:val="22"/>
        </w:rPr>
        <w:t xml:space="preserve"> cell experiments</w:t>
      </w:r>
      <w:r w:rsidRPr="00190CE5">
        <w:rPr>
          <w:rFonts w:asciiTheme="majorHAnsi" w:hAnsiTheme="majorHAnsi"/>
          <w:sz w:val="22"/>
        </w:rPr>
        <w:t>, RMTS</w:t>
      </w:r>
      <w:r w:rsidR="002F3586" w:rsidRPr="00190CE5">
        <w:rPr>
          <w:rFonts w:asciiTheme="majorHAnsi" w:hAnsiTheme="majorHAnsi"/>
          <w:sz w:val="22"/>
        </w:rPr>
        <w:t xml:space="preserve"> tested and optimised the system</w:t>
      </w:r>
      <w:r w:rsidRPr="00190CE5">
        <w:rPr>
          <w:rFonts w:asciiTheme="majorHAnsi" w:hAnsiTheme="majorHAnsi"/>
          <w:sz w:val="22"/>
        </w:rPr>
        <w:t xml:space="preserve">, RIJ, AW, </w:t>
      </w:r>
      <w:r w:rsidR="001D7256" w:rsidRPr="00190CE5">
        <w:rPr>
          <w:rFonts w:asciiTheme="majorHAnsi" w:hAnsiTheme="majorHAnsi"/>
          <w:sz w:val="22"/>
        </w:rPr>
        <w:t>PC</w:t>
      </w:r>
      <w:r w:rsidRPr="00190CE5">
        <w:rPr>
          <w:rFonts w:asciiTheme="majorHAnsi" w:hAnsiTheme="majorHAnsi"/>
          <w:sz w:val="22"/>
        </w:rPr>
        <w:t>, CHF</w:t>
      </w:r>
      <w:r w:rsidR="001D7256" w:rsidRPr="00190CE5">
        <w:rPr>
          <w:rFonts w:asciiTheme="majorHAnsi" w:hAnsiTheme="majorHAnsi"/>
          <w:sz w:val="22"/>
        </w:rPr>
        <w:t xml:space="preserve"> provided electrophysiology experience and supervised cell experiments, </w:t>
      </w:r>
      <w:proofErr w:type="spellStart"/>
      <w:r w:rsidRPr="00190CE5">
        <w:rPr>
          <w:rFonts w:asciiTheme="majorHAnsi" w:hAnsiTheme="majorHAnsi"/>
          <w:sz w:val="22"/>
        </w:rPr>
        <w:t>DvdV</w:t>
      </w:r>
      <w:proofErr w:type="spellEnd"/>
      <w:r w:rsidR="002F3586" w:rsidRPr="00190CE5">
        <w:rPr>
          <w:rFonts w:asciiTheme="majorHAnsi" w:hAnsiTheme="majorHAnsi"/>
          <w:sz w:val="22"/>
        </w:rPr>
        <w:t xml:space="preserve"> co-ordinated vole experiments</w:t>
      </w:r>
      <w:r w:rsidRPr="00190CE5">
        <w:rPr>
          <w:rFonts w:asciiTheme="majorHAnsi" w:hAnsiTheme="majorHAnsi"/>
          <w:sz w:val="22"/>
          <w:vertAlign w:val="subscript"/>
        </w:rPr>
        <w:t>,</w:t>
      </w:r>
      <w:r w:rsidRPr="00190CE5">
        <w:rPr>
          <w:rFonts w:asciiTheme="majorHAnsi" w:hAnsiTheme="majorHAnsi"/>
          <w:sz w:val="22"/>
        </w:rPr>
        <w:t xml:space="preserve"> FHL, </w:t>
      </w:r>
      <w:r w:rsidR="001D7256" w:rsidRPr="00190CE5">
        <w:rPr>
          <w:rFonts w:asciiTheme="majorHAnsi" w:hAnsiTheme="majorHAnsi"/>
          <w:sz w:val="22"/>
        </w:rPr>
        <w:t xml:space="preserve">managed </w:t>
      </w:r>
      <w:r w:rsidRPr="00190CE5">
        <w:rPr>
          <w:rFonts w:asciiTheme="majorHAnsi" w:hAnsiTheme="majorHAnsi"/>
          <w:sz w:val="22"/>
        </w:rPr>
        <w:t>MPH</w:t>
      </w:r>
      <w:r w:rsidR="002F3586" w:rsidRPr="00190CE5">
        <w:rPr>
          <w:rFonts w:asciiTheme="majorHAnsi" w:hAnsiTheme="majorHAnsi"/>
          <w:sz w:val="22"/>
        </w:rPr>
        <w:t xml:space="preserve"> managed the project</w:t>
      </w:r>
      <w:r w:rsidR="001D7256" w:rsidRPr="00190CE5">
        <w:rPr>
          <w:rFonts w:asciiTheme="majorHAnsi" w:hAnsiTheme="majorHAnsi"/>
          <w:sz w:val="22"/>
        </w:rPr>
        <w:t xml:space="preserve"> and wrote the paper</w:t>
      </w:r>
    </w:p>
    <w:p w14:paraId="69F11CEB" w14:textId="1EADD866" w:rsidR="00E50CE0" w:rsidRPr="00190CE5" w:rsidRDefault="00E50CE0" w:rsidP="00834C8B">
      <w:pPr>
        <w:spacing w:after="0"/>
        <w:rPr>
          <w:rFonts w:asciiTheme="majorHAnsi" w:hAnsiTheme="majorHAnsi"/>
          <w:sz w:val="22"/>
        </w:rPr>
      </w:pPr>
    </w:p>
    <w:p w14:paraId="5BA4F07B" w14:textId="7AEF6A09" w:rsidR="00E50CE0" w:rsidRPr="00190CE5" w:rsidRDefault="00834C8B" w:rsidP="00834C8B">
      <w:pPr>
        <w:spacing w:after="0"/>
        <w:rPr>
          <w:rFonts w:asciiTheme="majorHAnsi" w:eastAsia="Calibri" w:hAnsiTheme="majorHAnsi"/>
          <w:b/>
          <w:sz w:val="22"/>
        </w:rPr>
      </w:pPr>
      <w:r w:rsidRPr="00190CE5">
        <w:rPr>
          <w:rFonts w:asciiTheme="majorHAnsi" w:eastAsia="Calibri" w:hAnsiTheme="majorHAnsi"/>
          <w:b/>
          <w:sz w:val="22"/>
        </w:rPr>
        <w:t>Data Availability</w:t>
      </w:r>
    </w:p>
    <w:p w14:paraId="017B7E6D" w14:textId="73ECCEBD" w:rsidR="00834C8B" w:rsidRPr="00190CE5" w:rsidRDefault="00834C8B" w:rsidP="00834C8B">
      <w:pPr>
        <w:spacing w:after="0"/>
        <w:rPr>
          <w:rFonts w:asciiTheme="majorHAnsi" w:eastAsia="Calibri" w:hAnsiTheme="majorHAnsi"/>
          <w:b/>
          <w:sz w:val="22"/>
        </w:rPr>
      </w:pPr>
      <w:r w:rsidRPr="00190CE5">
        <w:rPr>
          <w:rFonts w:asciiTheme="majorHAnsi" w:hAnsiTheme="majorHAnsi" w:cs="Times"/>
          <w:sz w:val="22"/>
          <w:shd w:val="clear" w:color="auto" w:fill="FFFFFF"/>
        </w:rPr>
        <w:t>The datasets generated during and/or analysed during the current study are available from the corresponding author on reasonable request.</w:t>
      </w:r>
    </w:p>
    <w:p w14:paraId="4F812BBA" w14:textId="77777777" w:rsidR="00834C8B" w:rsidRPr="00190CE5" w:rsidRDefault="00834C8B" w:rsidP="00834C8B">
      <w:pPr>
        <w:spacing w:after="0"/>
        <w:rPr>
          <w:rFonts w:asciiTheme="majorHAnsi" w:eastAsia="Calibri" w:hAnsiTheme="majorHAnsi"/>
          <w:b/>
          <w:sz w:val="22"/>
        </w:rPr>
      </w:pPr>
    </w:p>
    <w:p w14:paraId="159E821F" w14:textId="7B46358C" w:rsidR="002D7840" w:rsidRPr="00190CE5" w:rsidRDefault="002D7840" w:rsidP="00834C8B">
      <w:pPr>
        <w:spacing w:after="0"/>
        <w:rPr>
          <w:rFonts w:asciiTheme="majorHAnsi" w:eastAsia="Calibri" w:hAnsiTheme="majorHAnsi"/>
          <w:b/>
          <w:sz w:val="22"/>
        </w:rPr>
      </w:pPr>
      <w:r w:rsidRPr="00190CE5">
        <w:rPr>
          <w:rFonts w:asciiTheme="majorHAnsi" w:eastAsia="Calibri" w:hAnsiTheme="majorHAnsi"/>
          <w:b/>
          <w:sz w:val="22"/>
        </w:rPr>
        <w:t>Competing interests</w:t>
      </w:r>
    </w:p>
    <w:p w14:paraId="7CF2A517" w14:textId="3BDA4729" w:rsidR="00B81ED4" w:rsidRPr="00190CE5" w:rsidRDefault="00B81ED4" w:rsidP="00834C8B">
      <w:pPr>
        <w:spacing w:after="0"/>
        <w:rPr>
          <w:rFonts w:asciiTheme="majorHAnsi" w:eastAsia="Calibri" w:hAnsiTheme="majorHAnsi"/>
          <w:sz w:val="22"/>
        </w:rPr>
      </w:pPr>
      <w:r w:rsidRPr="00190CE5">
        <w:rPr>
          <w:rFonts w:asciiTheme="majorHAnsi" w:eastAsia="Calibri" w:hAnsiTheme="majorHAnsi"/>
          <w:sz w:val="22"/>
        </w:rPr>
        <w:t xml:space="preserve">MPH and KFH are directors of </w:t>
      </w:r>
      <w:proofErr w:type="spellStart"/>
      <w:r w:rsidRPr="00190CE5">
        <w:rPr>
          <w:rFonts w:asciiTheme="majorHAnsi" w:eastAsia="Calibri" w:hAnsiTheme="majorHAnsi"/>
          <w:sz w:val="22"/>
        </w:rPr>
        <w:t>DEPtech</w:t>
      </w:r>
      <w:proofErr w:type="spellEnd"/>
      <w:r w:rsidRPr="00190CE5">
        <w:rPr>
          <w:rFonts w:asciiTheme="majorHAnsi" w:eastAsia="Calibri" w:hAnsiTheme="majorHAnsi"/>
          <w:sz w:val="22"/>
        </w:rPr>
        <w:t>, Ltd.</w:t>
      </w:r>
      <w:r w:rsidR="00E50CE0" w:rsidRPr="00190CE5">
        <w:rPr>
          <w:rFonts w:asciiTheme="majorHAnsi" w:eastAsia="Calibri" w:hAnsiTheme="majorHAnsi"/>
          <w:sz w:val="22"/>
        </w:rPr>
        <w:t xml:space="preserve"> The other </w:t>
      </w:r>
      <w:r w:rsidR="00834C8B" w:rsidRPr="00190CE5">
        <w:rPr>
          <w:rFonts w:asciiTheme="majorHAnsi" w:eastAsia="Calibri" w:hAnsiTheme="majorHAnsi"/>
          <w:sz w:val="22"/>
        </w:rPr>
        <w:t>authors</w:t>
      </w:r>
      <w:r w:rsidR="00E50CE0" w:rsidRPr="00190CE5">
        <w:rPr>
          <w:rFonts w:asciiTheme="majorHAnsi" w:eastAsia="Calibri" w:hAnsiTheme="majorHAnsi"/>
          <w:sz w:val="22"/>
        </w:rPr>
        <w:t xml:space="preserve"> declare no conflict of interest.</w:t>
      </w:r>
    </w:p>
    <w:p w14:paraId="2D60C55B" w14:textId="77777777" w:rsidR="00E50CE0" w:rsidRPr="00190CE5" w:rsidRDefault="00E50CE0" w:rsidP="00834C8B">
      <w:pPr>
        <w:spacing w:after="0"/>
        <w:rPr>
          <w:rFonts w:asciiTheme="majorHAnsi" w:eastAsia="Calibri" w:hAnsiTheme="majorHAnsi"/>
          <w:sz w:val="22"/>
        </w:rPr>
      </w:pPr>
    </w:p>
    <w:p w14:paraId="03B46EA7" w14:textId="77777777" w:rsidR="004C106C" w:rsidRPr="00190CE5" w:rsidRDefault="00307E14" w:rsidP="002824C2">
      <w:pPr>
        <w:rPr>
          <w:rFonts w:asciiTheme="majorHAnsi" w:eastAsia="Calibri" w:hAnsiTheme="majorHAnsi"/>
          <w:b/>
          <w:sz w:val="22"/>
          <w:u w:val="single"/>
        </w:rPr>
      </w:pPr>
      <w:r w:rsidRPr="00190CE5">
        <w:rPr>
          <w:rFonts w:asciiTheme="majorHAnsi" w:eastAsia="Calibri" w:hAnsiTheme="majorHAnsi"/>
          <w:b/>
          <w:sz w:val="22"/>
          <w:u w:val="single"/>
        </w:rPr>
        <w:br w:type="page"/>
      </w:r>
    </w:p>
    <w:p w14:paraId="3C05A38E" w14:textId="77777777" w:rsidR="00F961E7" w:rsidRPr="00190CE5" w:rsidRDefault="00F961E7" w:rsidP="002824C2">
      <w:pPr>
        <w:rPr>
          <w:rFonts w:asciiTheme="majorHAnsi" w:eastAsia="Calibri" w:hAnsiTheme="majorHAnsi"/>
          <w:sz w:val="32"/>
          <w:szCs w:val="32"/>
        </w:rPr>
      </w:pPr>
      <w:r w:rsidRPr="00190CE5">
        <w:rPr>
          <w:rFonts w:asciiTheme="majorHAnsi" w:eastAsia="Calibri" w:hAnsiTheme="majorHAnsi"/>
          <w:b/>
          <w:sz w:val="32"/>
          <w:szCs w:val="32"/>
        </w:rPr>
        <w:lastRenderedPageBreak/>
        <w:t>References</w:t>
      </w:r>
      <w:r w:rsidR="00B81ED4" w:rsidRPr="00190CE5">
        <w:rPr>
          <w:rFonts w:asciiTheme="majorHAnsi" w:eastAsia="Calibri" w:hAnsiTheme="majorHAnsi"/>
          <w:b/>
          <w:sz w:val="32"/>
          <w:szCs w:val="32"/>
        </w:rPr>
        <w:t xml:space="preserve"> </w:t>
      </w:r>
    </w:p>
    <w:p w14:paraId="58FDCFFA" w14:textId="0E933C10" w:rsidR="002F2F92" w:rsidRPr="00190CE5" w:rsidRDefault="002F2F92" w:rsidP="00057754">
      <w:pPr>
        <w:pStyle w:val="NoSpacing"/>
        <w:spacing w:after="100" w:afterAutospacing="1" w:line="360" w:lineRule="auto"/>
        <w:ind w:left="851" w:hanging="851"/>
        <w:rPr>
          <w:rFonts w:asciiTheme="majorHAnsi" w:hAnsiTheme="majorHAnsi" w:cs="Calibri"/>
          <w:sz w:val="22"/>
        </w:rPr>
      </w:pPr>
      <w:r w:rsidRPr="00190CE5">
        <w:rPr>
          <w:rFonts w:asciiTheme="majorHAnsi" w:hAnsiTheme="majorHAnsi" w:cs="Calibri"/>
          <w:sz w:val="22"/>
        </w:rPr>
        <w:t>1</w:t>
      </w:r>
      <w:r w:rsidRPr="00190CE5">
        <w:rPr>
          <w:rFonts w:asciiTheme="majorHAnsi" w:hAnsiTheme="majorHAnsi" w:cs="Calibri"/>
          <w:sz w:val="22"/>
        </w:rPr>
        <w:tab/>
        <w:t>Hodgkin AL, Huxley AF</w:t>
      </w:r>
      <w:r w:rsidR="00E4176D" w:rsidRPr="00190CE5">
        <w:rPr>
          <w:rFonts w:asciiTheme="majorHAnsi" w:hAnsiTheme="majorHAnsi" w:cs="Calibri"/>
          <w:sz w:val="22"/>
        </w:rPr>
        <w:t xml:space="preserve"> &amp;</w:t>
      </w:r>
      <w:r w:rsidRPr="00190CE5">
        <w:rPr>
          <w:rFonts w:asciiTheme="majorHAnsi" w:hAnsiTheme="majorHAnsi" w:cs="Calibri"/>
          <w:sz w:val="22"/>
        </w:rPr>
        <w:t xml:space="preserve"> Katz B.</w:t>
      </w:r>
      <w:r w:rsidR="00E4176D" w:rsidRPr="00190CE5">
        <w:rPr>
          <w:rFonts w:asciiTheme="majorHAnsi" w:hAnsiTheme="majorHAnsi" w:cs="Calibri"/>
          <w:sz w:val="22"/>
        </w:rPr>
        <w:t xml:space="preserve"> </w:t>
      </w:r>
      <w:r w:rsidR="00296F9F" w:rsidRPr="00190CE5">
        <w:rPr>
          <w:rFonts w:asciiTheme="majorHAnsi" w:hAnsiTheme="majorHAnsi" w:cs="Calibri"/>
          <w:sz w:val="22"/>
        </w:rPr>
        <w:t>Measurement of current-voltage relations in the membrane of the giant axon of </w:t>
      </w:r>
      <w:proofErr w:type="spellStart"/>
      <w:r w:rsidR="00296F9F" w:rsidRPr="00190CE5">
        <w:rPr>
          <w:rFonts w:asciiTheme="majorHAnsi" w:hAnsiTheme="majorHAnsi" w:cs="Calibri"/>
          <w:i/>
          <w:iCs/>
          <w:sz w:val="22"/>
        </w:rPr>
        <w:t>Loligo</w:t>
      </w:r>
      <w:proofErr w:type="spellEnd"/>
      <w:r w:rsidR="00296F9F" w:rsidRPr="00190CE5">
        <w:rPr>
          <w:rFonts w:asciiTheme="majorHAnsi" w:hAnsiTheme="majorHAnsi" w:cs="Calibri"/>
          <w:i/>
          <w:iCs/>
          <w:sz w:val="22"/>
        </w:rPr>
        <w:t xml:space="preserve">. </w:t>
      </w:r>
      <w:r w:rsidRPr="00190CE5">
        <w:rPr>
          <w:rFonts w:asciiTheme="majorHAnsi" w:hAnsiTheme="majorHAnsi" w:cs="Calibri"/>
          <w:sz w:val="22"/>
        </w:rPr>
        <w:t xml:space="preserve"> </w:t>
      </w:r>
      <w:r w:rsidRPr="00190CE5">
        <w:rPr>
          <w:rFonts w:asciiTheme="majorHAnsi" w:hAnsiTheme="majorHAnsi" w:cs="Calibri"/>
          <w:i/>
          <w:sz w:val="22"/>
        </w:rPr>
        <w:t>J. Physiol.</w:t>
      </w:r>
      <w:r w:rsidRPr="00190CE5">
        <w:rPr>
          <w:rFonts w:asciiTheme="majorHAnsi" w:hAnsiTheme="majorHAnsi" w:cs="Calibri"/>
          <w:sz w:val="22"/>
        </w:rPr>
        <w:t xml:space="preserve"> </w:t>
      </w:r>
      <w:r w:rsidRPr="00190CE5">
        <w:rPr>
          <w:rFonts w:asciiTheme="majorHAnsi" w:hAnsiTheme="majorHAnsi" w:cs="Calibri"/>
          <w:b/>
          <w:sz w:val="22"/>
        </w:rPr>
        <w:t>116</w:t>
      </w:r>
      <w:r w:rsidRPr="00190CE5">
        <w:rPr>
          <w:rFonts w:asciiTheme="majorHAnsi" w:hAnsiTheme="majorHAnsi" w:cs="Calibri"/>
          <w:sz w:val="22"/>
        </w:rPr>
        <w:t>, 424-448</w:t>
      </w:r>
      <w:r w:rsidR="00E4176D" w:rsidRPr="00190CE5">
        <w:rPr>
          <w:rFonts w:asciiTheme="majorHAnsi" w:hAnsiTheme="majorHAnsi" w:cs="Calibri"/>
          <w:sz w:val="22"/>
        </w:rPr>
        <w:t xml:space="preserve"> (1952)</w:t>
      </w:r>
      <w:r w:rsidRPr="00190CE5">
        <w:rPr>
          <w:rFonts w:asciiTheme="majorHAnsi" w:hAnsiTheme="majorHAnsi" w:cs="Calibri"/>
          <w:sz w:val="22"/>
        </w:rPr>
        <w:t>.</w:t>
      </w:r>
    </w:p>
    <w:p w14:paraId="159E0846" w14:textId="488558DD" w:rsidR="002F2F92" w:rsidRPr="00190CE5" w:rsidRDefault="002F2F92" w:rsidP="00057754">
      <w:pPr>
        <w:pStyle w:val="NoSpacing"/>
        <w:spacing w:after="100" w:afterAutospacing="1" w:line="360" w:lineRule="auto"/>
        <w:ind w:left="851" w:hanging="851"/>
        <w:rPr>
          <w:rFonts w:asciiTheme="majorHAnsi" w:hAnsiTheme="majorHAnsi" w:cs="Calibri"/>
          <w:sz w:val="22"/>
        </w:rPr>
      </w:pPr>
      <w:r w:rsidRPr="00190CE5">
        <w:rPr>
          <w:rFonts w:asciiTheme="majorHAnsi" w:hAnsiTheme="majorHAnsi" w:cs="Calibri"/>
          <w:sz w:val="22"/>
        </w:rPr>
        <w:t>2</w:t>
      </w:r>
      <w:r w:rsidRPr="00190CE5">
        <w:rPr>
          <w:rFonts w:asciiTheme="majorHAnsi" w:hAnsiTheme="majorHAnsi" w:cs="Calibri"/>
          <w:sz w:val="22"/>
        </w:rPr>
        <w:tab/>
        <w:t xml:space="preserve">Cole KS. </w:t>
      </w:r>
      <w:r w:rsidRPr="00190CE5">
        <w:rPr>
          <w:rFonts w:asciiTheme="majorHAnsi" w:hAnsiTheme="majorHAnsi" w:cs="Calibri"/>
          <w:i/>
          <w:sz w:val="22"/>
        </w:rPr>
        <w:t>Membranes Ions and Impulses</w:t>
      </w:r>
      <w:r w:rsidR="00386960" w:rsidRPr="00190CE5">
        <w:rPr>
          <w:rFonts w:asciiTheme="majorHAnsi" w:hAnsiTheme="majorHAnsi" w:cs="Calibri"/>
          <w:sz w:val="22"/>
        </w:rPr>
        <w:t xml:space="preserve"> (</w:t>
      </w:r>
      <w:r w:rsidRPr="00190CE5">
        <w:rPr>
          <w:rFonts w:asciiTheme="majorHAnsi" w:hAnsiTheme="majorHAnsi" w:cs="Calibri"/>
          <w:sz w:val="22"/>
        </w:rPr>
        <w:t xml:space="preserve">University of California Press, </w:t>
      </w:r>
      <w:r w:rsidR="00EE658A" w:rsidRPr="00190CE5">
        <w:rPr>
          <w:rFonts w:asciiTheme="majorHAnsi" w:hAnsiTheme="majorHAnsi" w:cs="Calibri"/>
          <w:sz w:val="22"/>
        </w:rPr>
        <w:t>1968)</w:t>
      </w:r>
      <w:r w:rsidRPr="00190CE5">
        <w:rPr>
          <w:rFonts w:asciiTheme="majorHAnsi" w:hAnsiTheme="majorHAnsi" w:cs="Calibri"/>
          <w:sz w:val="22"/>
        </w:rPr>
        <w:t>.</w:t>
      </w:r>
    </w:p>
    <w:p w14:paraId="7BAD2B3C" w14:textId="22D769B2" w:rsidR="002F2F92" w:rsidRPr="00190CE5" w:rsidRDefault="002F2F92" w:rsidP="00057754">
      <w:pPr>
        <w:pStyle w:val="NoSpacing"/>
        <w:spacing w:after="100" w:afterAutospacing="1" w:line="360" w:lineRule="auto"/>
        <w:ind w:left="851" w:hanging="851"/>
        <w:rPr>
          <w:rFonts w:asciiTheme="majorHAnsi" w:hAnsiTheme="majorHAnsi" w:cs="Calibri"/>
          <w:sz w:val="22"/>
        </w:rPr>
      </w:pPr>
      <w:r w:rsidRPr="00190CE5">
        <w:rPr>
          <w:rFonts w:asciiTheme="majorHAnsi" w:hAnsiTheme="majorHAnsi" w:cs="Calibri"/>
          <w:sz w:val="22"/>
        </w:rPr>
        <w:t>3</w:t>
      </w:r>
      <w:r w:rsidRPr="00190CE5">
        <w:rPr>
          <w:rFonts w:asciiTheme="majorHAnsi" w:hAnsiTheme="majorHAnsi" w:cs="Calibri"/>
          <w:sz w:val="22"/>
        </w:rPr>
        <w:tab/>
        <w:t>Yang Y</w:t>
      </w:r>
      <w:r w:rsidR="00E4176D" w:rsidRPr="00190CE5">
        <w:rPr>
          <w:rFonts w:asciiTheme="majorHAnsi" w:hAnsiTheme="majorHAnsi" w:cs="Calibri"/>
          <w:sz w:val="22"/>
        </w:rPr>
        <w:t xml:space="preserve"> &amp;</w:t>
      </w:r>
      <w:r w:rsidRPr="00190CE5">
        <w:rPr>
          <w:rFonts w:asciiTheme="majorHAnsi" w:hAnsiTheme="majorHAnsi" w:cs="Calibri"/>
          <w:sz w:val="22"/>
        </w:rPr>
        <w:t xml:space="preserve"> Brackenbury WJ.</w:t>
      </w:r>
      <w:r w:rsidR="00296F9F" w:rsidRPr="00190CE5">
        <w:rPr>
          <w:rFonts w:asciiTheme="majorHAnsi" w:hAnsiTheme="majorHAnsi" w:cs="Calibri"/>
          <w:sz w:val="22"/>
        </w:rPr>
        <w:t xml:space="preserve"> Membrane potential and cancer progression. </w:t>
      </w:r>
      <w:r w:rsidRPr="00190CE5">
        <w:rPr>
          <w:rFonts w:asciiTheme="majorHAnsi" w:hAnsiTheme="majorHAnsi" w:cs="Calibri"/>
          <w:i/>
          <w:sz w:val="22"/>
        </w:rPr>
        <w:t>Front. Physiol</w:t>
      </w:r>
      <w:r w:rsidRPr="00190CE5">
        <w:rPr>
          <w:rFonts w:asciiTheme="majorHAnsi" w:hAnsiTheme="majorHAnsi" w:cs="Calibri"/>
          <w:sz w:val="22"/>
        </w:rPr>
        <w:t xml:space="preserve">. </w:t>
      </w:r>
      <w:r w:rsidRPr="00190CE5">
        <w:rPr>
          <w:rFonts w:asciiTheme="majorHAnsi" w:hAnsiTheme="majorHAnsi" w:cs="Calibri"/>
          <w:b/>
          <w:sz w:val="22"/>
        </w:rPr>
        <w:t>4</w:t>
      </w:r>
      <w:r w:rsidRPr="00190CE5">
        <w:rPr>
          <w:rFonts w:asciiTheme="majorHAnsi" w:hAnsiTheme="majorHAnsi" w:cs="Calibri"/>
          <w:sz w:val="22"/>
        </w:rPr>
        <w:t>, 185</w:t>
      </w:r>
      <w:r w:rsidR="00EE658A" w:rsidRPr="00190CE5">
        <w:rPr>
          <w:rFonts w:asciiTheme="majorHAnsi" w:hAnsiTheme="majorHAnsi" w:cs="Calibri"/>
          <w:sz w:val="22"/>
        </w:rPr>
        <w:t xml:space="preserve"> (2013)</w:t>
      </w:r>
    </w:p>
    <w:p w14:paraId="12516031" w14:textId="3B0DB54F" w:rsidR="002F2F92" w:rsidRPr="00190CE5" w:rsidRDefault="002F2F92" w:rsidP="00057754">
      <w:pPr>
        <w:pStyle w:val="NoSpacing"/>
        <w:spacing w:after="100" w:afterAutospacing="1" w:line="360" w:lineRule="auto"/>
        <w:ind w:left="851" w:hanging="851"/>
        <w:rPr>
          <w:rFonts w:asciiTheme="majorHAnsi" w:hAnsiTheme="majorHAnsi" w:cs="Calibri"/>
          <w:sz w:val="22"/>
        </w:rPr>
      </w:pPr>
      <w:r w:rsidRPr="00190CE5">
        <w:rPr>
          <w:rFonts w:asciiTheme="majorHAnsi" w:hAnsiTheme="majorHAnsi"/>
          <w:sz w:val="22"/>
        </w:rPr>
        <w:t>4</w:t>
      </w:r>
      <w:r w:rsidRPr="00190CE5">
        <w:rPr>
          <w:rFonts w:asciiTheme="majorHAnsi" w:hAnsiTheme="majorHAnsi"/>
          <w:sz w:val="22"/>
        </w:rPr>
        <w:tab/>
        <w:t>Park I-S</w:t>
      </w:r>
      <w:r w:rsidR="00E4176D" w:rsidRPr="00190CE5">
        <w:rPr>
          <w:rFonts w:asciiTheme="majorHAnsi" w:hAnsiTheme="majorHAnsi"/>
          <w:sz w:val="22"/>
        </w:rPr>
        <w:t xml:space="preserve"> &amp;</w:t>
      </w:r>
      <w:r w:rsidRPr="00190CE5">
        <w:rPr>
          <w:rFonts w:asciiTheme="majorHAnsi" w:hAnsiTheme="majorHAnsi"/>
          <w:sz w:val="22"/>
        </w:rPr>
        <w:t xml:space="preserve"> </w:t>
      </w:r>
      <w:proofErr w:type="spellStart"/>
      <w:r w:rsidRPr="00190CE5">
        <w:rPr>
          <w:rFonts w:asciiTheme="majorHAnsi" w:hAnsiTheme="majorHAnsi"/>
          <w:sz w:val="22"/>
        </w:rPr>
        <w:t>Ja</w:t>
      </w:r>
      <w:proofErr w:type="spellEnd"/>
      <w:r w:rsidRPr="00190CE5">
        <w:rPr>
          <w:rFonts w:asciiTheme="majorHAnsi" w:hAnsiTheme="majorHAnsi"/>
          <w:sz w:val="22"/>
        </w:rPr>
        <w:t xml:space="preserve"> –</w:t>
      </w:r>
      <w:proofErr w:type="spellStart"/>
      <w:r w:rsidRPr="00190CE5">
        <w:rPr>
          <w:rFonts w:asciiTheme="majorHAnsi" w:hAnsiTheme="majorHAnsi"/>
          <w:sz w:val="22"/>
        </w:rPr>
        <w:t>Eun</w:t>
      </w:r>
      <w:proofErr w:type="spellEnd"/>
      <w:r w:rsidRPr="00190CE5">
        <w:rPr>
          <w:rFonts w:asciiTheme="majorHAnsi" w:hAnsiTheme="majorHAnsi"/>
          <w:sz w:val="22"/>
        </w:rPr>
        <w:t xml:space="preserve"> K. J.</w:t>
      </w:r>
      <w:r w:rsidR="00296F9F" w:rsidRPr="00190CE5">
        <w:rPr>
          <w:rFonts w:asciiTheme="majorHAnsi" w:hAnsiTheme="majorHAnsi"/>
          <w:sz w:val="22"/>
        </w:rPr>
        <w:t xml:space="preserve"> Potassium efflux during apoptosis. </w:t>
      </w:r>
      <w:proofErr w:type="spellStart"/>
      <w:r w:rsidRPr="00190CE5">
        <w:rPr>
          <w:rFonts w:asciiTheme="majorHAnsi" w:hAnsiTheme="majorHAnsi"/>
          <w:i/>
          <w:sz w:val="22"/>
        </w:rPr>
        <w:t>Biochem</w:t>
      </w:r>
      <w:proofErr w:type="spellEnd"/>
      <w:r w:rsidRPr="00190CE5">
        <w:rPr>
          <w:rFonts w:asciiTheme="majorHAnsi" w:hAnsiTheme="majorHAnsi"/>
          <w:i/>
          <w:sz w:val="22"/>
        </w:rPr>
        <w:t>. Mol. Biol</w:t>
      </w:r>
      <w:r w:rsidRPr="00190CE5">
        <w:rPr>
          <w:rFonts w:asciiTheme="majorHAnsi" w:hAnsiTheme="majorHAnsi"/>
          <w:sz w:val="22"/>
        </w:rPr>
        <w:t xml:space="preserve">. </w:t>
      </w:r>
      <w:r w:rsidRPr="00190CE5">
        <w:rPr>
          <w:rFonts w:asciiTheme="majorHAnsi" w:hAnsiTheme="majorHAnsi"/>
          <w:b/>
          <w:sz w:val="22"/>
        </w:rPr>
        <w:t>35</w:t>
      </w:r>
      <w:r w:rsidRPr="00190CE5">
        <w:rPr>
          <w:rFonts w:asciiTheme="majorHAnsi" w:hAnsiTheme="majorHAnsi"/>
          <w:sz w:val="22"/>
        </w:rPr>
        <w:t>, 41-46</w:t>
      </w:r>
      <w:r w:rsidR="00EE658A" w:rsidRPr="00190CE5">
        <w:rPr>
          <w:rFonts w:asciiTheme="majorHAnsi" w:hAnsiTheme="majorHAnsi"/>
          <w:sz w:val="22"/>
        </w:rPr>
        <w:t xml:space="preserve"> (2002)</w:t>
      </w:r>
      <w:r w:rsidRPr="00190CE5">
        <w:rPr>
          <w:rFonts w:asciiTheme="majorHAnsi" w:hAnsiTheme="majorHAnsi"/>
          <w:sz w:val="22"/>
        </w:rPr>
        <w:t>.</w:t>
      </w:r>
    </w:p>
    <w:p w14:paraId="4FB69E06" w14:textId="3315563D" w:rsidR="002F2F92" w:rsidRPr="00190CE5" w:rsidRDefault="002F2F92" w:rsidP="00057754">
      <w:pPr>
        <w:pStyle w:val="NoSpacing"/>
        <w:spacing w:after="100" w:afterAutospacing="1" w:line="360" w:lineRule="auto"/>
        <w:ind w:left="851" w:hanging="851"/>
        <w:rPr>
          <w:rFonts w:asciiTheme="majorHAnsi" w:hAnsiTheme="majorHAnsi" w:cs="Calibri"/>
          <w:sz w:val="22"/>
        </w:rPr>
      </w:pPr>
      <w:r w:rsidRPr="00190CE5">
        <w:rPr>
          <w:rFonts w:asciiTheme="majorHAnsi" w:hAnsiTheme="majorHAnsi" w:cs="Calibri"/>
          <w:sz w:val="22"/>
        </w:rPr>
        <w:t>5</w:t>
      </w:r>
      <w:r w:rsidRPr="00190CE5">
        <w:rPr>
          <w:rFonts w:asciiTheme="majorHAnsi" w:hAnsiTheme="majorHAnsi" w:cs="Calibri"/>
          <w:sz w:val="22"/>
        </w:rPr>
        <w:tab/>
        <w:t xml:space="preserve">Labeed FH, Lu JT, </w:t>
      </w:r>
      <w:proofErr w:type="spellStart"/>
      <w:r w:rsidRPr="00190CE5">
        <w:rPr>
          <w:rFonts w:asciiTheme="majorHAnsi" w:hAnsiTheme="majorHAnsi" w:cs="Calibri"/>
          <w:sz w:val="22"/>
        </w:rPr>
        <w:t>Mulhall</w:t>
      </w:r>
      <w:proofErr w:type="spellEnd"/>
      <w:r w:rsidRPr="00190CE5">
        <w:rPr>
          <w:rFonts w:asciiTheme="majorHAnsi" w:hAnsiTheme="majorHAnsi" w:cs="Calibri"/>
          <w:sz w:val="22"/>
        </w:rPr>
        <w:t xml:space="preserve"> HJ, </w:t>
      </w:r>
      <w:proofErr w:type="spellStart"/>
      <w:r w:rsidRPr="00190CE5">
        <w:rPr>
          <w:rFonts w:asciiTheme="majorHAnsi" w:hAnsiTheme="majorHAnsi" w:cs="Calibri"/>
          <w:sz w:val="22"/>
        </w:rPr>
        <w:t>Marachenko</w:t>
      </w:r>
      <w:proofErr w:type="spellEnd"/>
      <w:r w:rsidRPr="00190CE5">
        <w:rPr>
          <w:rFonts w:asciiTheme="majorHAnsi" w:hAnsiTheme="majorHAnsi" w:cs="Calibri"/>
          <w:sz w:val="22"/>
        </w:rPr>
        <w:t xml:space="preserve"> SA, Hoettges KF, Estrada LC, Lee AP, Hughes MP</w:t>
      </w:r>
      <w:r w:rsidR="00E4176D" w:rsidRPr="00190CE5">
        <w:rPr>
          <w:rFonts w:asciiTheme="majorHAnsi" w:hAnsiTheme="majorHAnsi" w:cs="Calibri"/>
          <w:sz w:val="22"/>
        </w:rPr>
        <w:t xml:space="preserve"> &amp;</w:t>
      </w:r>
      <w:r w:rsidRPr="00190CE5">
        <w:rPr>
          <w:rFonts w:asciiTheme="majorHAnsi" w:hAnsiTheme="majorHAnsi" w:cs="Calibri"/>
          <w:sz w:val="22"/>
        </w:rPr>
        <w:t xml:space="preserve"> Flanagan L.</w:t>
      </w:r>
      <w:r w:rsidR="00296F9F" w:rsidRPr="00190CE5">
        <w:rPr>
          <w:rFonts w:asciiTheme="majorHAnsi" w:hAnsiTheme="majorHAnsi" w:cs="Calibri"/>
          <w:sz w:val="22"/>
        </w:rPr>
        <w:t xml:space="preserve"> </w:t>
      </w:r>
      <w:r w:rsidR="00296F9F" w:rsidRPr="00190CE5">
        <w:rPr>
          <w:rFonts w:asciiTheme="majorHAnsi" w:hAnsiTheme="majorHAnsi" w:cs="Calibri"/>
          <w:bCs/>
          <w:sz w:val="22"/>
        </w:rPr>
        <w:t xml:space="preserve">Biophysical Characteristics Reveal Neural Stem Cell Differentiation Potential. </w:t>
      </w:r>
      <w:r w:rsidRPr="00190CE5">
        <w:rPr>
          <w:rFonts w:asciiTheme="majorHAnsi" w:hAnsiTheme="majorHAnsi" w:cs="Calibri"/>
          <w:sz w:val="22"/>
        </w:rPr>
        <w:t xml:space="preserve"> </w:t>
      </w:r>
      <w:proofErr w:type="spellStart"/>
      <w:r w:rsidRPr="00190CE5">
        <w:rPr>
          <w:rFonts w:asciiTheme="majorHAnsi" w:hAnsiTheme="majorHAnsi" w:cs="Calibri"/>
          <w:i/>
          <w:sz w:val="22"/>
        </w:rPr>
        <w:t>PLoS</w:t>
      </w:r>
      <w:proofErr w:type="spellEnd"/>
      <w:r w:rsidRPr="00190CE5">
        <w:rPr>
          <w:rFonts w:asciiTheme="majorHAnsi" w:hAnsiTheme="majorHAnsi" w:cs="Calibri"/>
          <w:i/>
          <w:sz w:val="22"/>
        </w:rPr>
        <w:t xml:space="preserve"> One</w:t>
      </w:r>
      <w:r w:rsidRPr="00190CE5">
        <w:rPr>
          <w:rFonts w:asciiTheme="majorHAnsi" w:hAnsiTheme="majorHAnsi" w:cs="Calibri"/>
          <w:sz w:val="22"/>
        </w:rPr>
        <w:t xml:space="preserve"> </w:t>
      </w:r>
      <w:r w:rsidRPr="00190CE5">
        <w:rPr>
          <w:rFonts w:asciiTheme="majorHAnsi" w:hAnsiTheme="majorHAnsi" w:cs="Calibri"/>
          <w:b/>
          <w:sz w:val="22"/>
        </w:rPr>
        <w:t>6</w:t>
      </w:r>
      <w:r w:rsidRPr="00190CE5">
        <w:rPr>
          <w:rFonts w:asciiTheme="majorHAnsi" w:hAnsiTheme="majorHAnsi" w:cs="Calibri"/>
          <w:sz w:val="22"/>
        </w:rPr>
        <w:t>, 6e25458</w:t>
      </w:r>
      <w:r w:rsidR="00EE658A" w:rsidRPr="00190CE5">
        <w:rPr>
          <w:rFonts w:asciiTheme="majorHAnsi" w:hAnsiTheme="majorHAnsi" w:cs="Calibri"/>
          <w:sz w:val="22"/>
        </w:rPr>
        <w:t xml:space="preserve"> (2011)</w:t>
      </w:r>
      <w:r w:rsidRPr="00190CE5">
        <w:rPr>
          <w:rFonts w:asciiTheme="majorHAnsi" w:hAnsiTheme="majorHAnsi" w:cs="Calibri"/>
          <w:sz w:val="22"/>
        </w:rPr>
        <w:t>.</w:t>
      </w:r>
    </w:p>
    <w:p w14:paraId="37054AFA" w14:textId="71F2DBD4" w:rsidR="00D37332" w:rsidRPr="00190CE5" w:rsidRDefault="002F2F92" w:rsidP="00057754">
      <w:pPr>
        <w:spacing w:after="100" w:afterAutospacing="1"/>
        <w:ind w:left="851" w:hanging="851"/>
        <w:rPr>
          <w:rFonts w:asciiTheme="majorHAnsi" w:eastAsia="Calibri" w:hAnsiTheme="majorHAnsi" w:cs="Times New Roman"/>
          <w:sz w:val="22"/>
        </w:rPr>
      </w:pPr>
      <w:r w:rsidRPr="00190CE5">
        <w:rPr>
          <w:rFonts w:asciiTheme="majorHAnsi" w:hAnsiTheme="majorHAnsi" w:cs="Arial"/>
          <w:sz w:val="22"/>
        </w:rPr>
        <w:t>6</w:t>
      </w:r>
      <w:r w:rsidRPr="00190CE5">
        <w:rPr>
          <w:rFonts w:asciiTheme="majorHAnsi" w:hAnsiTheme="majorHAnsi" w:cs="Arial"/>
          <w:sz w:val="22"/>
        </w:rPr>
        <w:tab/>
      </w:r>
      <w:proofErr w:type="spellStart"/>
      <w:r w:rsidR="00D37332" w:rsidRPr="00190CE5">
        <w:rPr>
          <w:rFonts w:asciiTheme="majorHAnsi" w:hAnsiTheme="majorHAnsi" w:cs="Arial"/>
          <w:sz w:val="22"/>
        </w:rPr>
        <w:t>Chernet</w:t>
      </w:r>
      <w:proofErr w:type="spellEnd"/>
      <w:r w:rsidR="00D37332" w:rsidRPr="00190CE5">
        <w:rPr>
          <w:rFonts w:asciiTheme="majorHAnsi" w:hAnsiTheme="majorHAnsi" w:cs="Arial"/>
          <w:sz w:val="22"/>
        </w:rPr>
        <w:t xml:space="preserve"> BT</w:t>
      </w:r>
      <w:r w:rsidR="00E4176D" w:rsidRPr="00190CE5">
        <w:rPr>
          <w:rFonts w:asciiTheme="majorHAnsi" w:hAnsiTheme="majorHAnsi" w:cs="Arial"/>
          <w:sz w:val="22"/>
        </w:rPr>
        <w:t xml:space="preserve"> &amp;</w:t>
      </w:r>
      <w:r w:rsidR="00D37332" w:rsidRPr="00190CE5">
        <w:rPr>
          <w:rFonts w:asciiTheme="majorHAnsi" w:hAnsiTheme="majorHAnsi" w:cs="Arial"/>
          <w:sz w:val="22"/>
        </w:rPr>
        <w:t xml:space="preserve"> Levin M.</w:t>
      </w:r>
      <w:r w:rsidR="00296F9F" w:rsidRPr="00190CE5">
        <w:t xml:space="preserve"> </w:t>
      </w:r>
      <w:r w:rsidR="00296F9F" w:rsidRPr="00190CE5">
        <w:rPr>
          <w:rFonts w:asciiTheme="majorHAnsi" w:hAnsiTheme="majorHAnsi" w:cs="Arial"/>
          <w:sz w:val="22"/>
        </w:rPr>
        <w:t xml:space="preserve">Transmembrane voltage potential is an essential cellular parameter for the detection and control of </w:t>
      </w:r>
      <w:proofErr w:type="spellStart"/>
      <w:r w:rsidR="00296F9F" w:rsidRPr="00190CE5">
        <w:rPr>
          <w:rFonts w:asciiTheme="majorHAnsi" w:hAnsiTheme="majorHAnsi" w:cs="Arial"/>
          <w:sz w:val="22"/>
        </w:rPr>
        <w:t>tumor</w:t>
      </w:r>
      <w:proofErr w:type="spellEnd"/>
      <w:r w:rsidR="00296F9F" w:rsidRPr="00190CE5">
        <w:rPr>
          <w:rFonts w:asciiTheme="majorHAnsi" w:hAnsiTheme="majorHAnsi" w:cs="Arial"/>
          <w:sz w:val="22"/>
        </w:rPr>
        <w:t xml:space="preserve"> development in a Xenopus model. </w:t>
      </w:r>
      <w:r w:rsidR="00D37332" w:rsidRPr="00190CE5">
        <w:rPr>
          <w:rFonts w:asciiTheme="majorHAnsi" w:hAnsiTheme="majorHAnsi" w:cs="Arial"/>
          <w:sz w:val="22"/>
        </w:rPr>
        <w:t xml:space="preserve"> </w:t>
      </w:r>
      <w:r w:rsidR="00D37332" w:rsidRPr="00190CE5">
        <w:rPr>
          <w:rFonts w:asciiTheme="majorHAnsi" w:hAnsiTheme="majorHAnsi" w:cs="Arial"/>
          <w:i/>
          <w:sz w:val="22"/>
        </w:rPr>
        <w:t>Dis. Model. Mech</w:t>
      </w:r>
      <w:r w:rsidR="00D37332" w:rsidRPr="00190CE5">
        <w:rPr>
          <w:rFonts w:asciiTheme="majorHAnsi" w:hAnsiTheme="majorHAnsi" w:cs="Arial"/>
          <w:sz w:val="22"/>
        </w:rPr>
        <w:t xml:space="preserve">. </w:t>
      </w:r>
      <w:r w:rsidR="00D37332" w:rsidRPr="00190CE5">
        <w:rPr>
          <w:rFonts w:asciiTheme="majorHAnsi" w:hAnsiTheme="majorHAnsi" w:cs="Arial"/>
          <w:b/>
          <w:sz w:val="22"/>
        </w:rPr>
        <w:t>6</w:t>
      </w:r>
      <w:r w:rsidR="00D37332" w:rsidRPr="00190CE5">
        <w:rPr>
          <w:rFonts w:asciiTheme="majorHAnsi" w:hAnsiTheme="majorHAnsi" w:cs="Arial"/>
          <w:sz w:val="22"/>
        </w:rPr>
        <w:t>, 595-607</w:t>
      </w:r>
      <w:r w:rsidR="00EE658A" w:rsidRPr="00190CE5">
        <w:rPr>
          <w:rFonts w:asciiTheme="majorHAnsi" w:hAnsiTheme="majorHAnsi" w:cs="Arial"/>
          <w:sz w:val="22"/>
        </w:rPr>
        <w:t xml:space="preserve"> (2013)</w:t>
      </w:r>
      <w:r w:rsidR="00D37332" w:rsidRPr="00190CE5">
        <w:rPr>
          <w:rFonts w:asciiTheme="majorHAnsi" w:hAnsiTheme="majorHAnsi" w:cs="Arial"/>
          <w:sz w:val="22"/>
        </w:rPr>
        <w:t>.</w:t>
      </w:r>
    </w:p>
    <w:p w14:paraId="35FBB32E" w14:textId="06861112" w:rsidR="002F2F92" w:rsidRPr="00190CE5" w:rsidRDefault="002F2F92" w:rsidP="00057754">
      <w:pPr>
        <w:spacing w:after="100" w:afterAutospacing="1"/>
        <w:ind w:left="851" w:hanging="851"/>
        <w:rPr>
          <w:rFonts w:asciiTheme="majorHAnsi" w:eastAsia="Calibri" w:hAnsiTheme="majorHAnsi" w:cs="Times New Roman"/>
          <w:sz w:val="22"/>
        </w:rPr>
      </w:pPr>
      <w:r w:rsidRPr="00190CE5">
        <w:rPr>
          <w:rFonts w:asciiTheme="majorHAnsi" w:eastAsia="Calibri" w:hAnsiTheme="majorHAnsi" w:cs="Times New Roman"/>
          <w:sz w:val="22"/>
        </w:rPr>
        <w:t>7</w:t>
      </w:r>
      <w:r w:rsidRPr="00190CE5">
        <w:rPr>
          <w:rFonts w:asciiTheme="majorHAnsi" w:eastAsia="Calibri" w:hAnsiTheme="majorHAnsi" w:cs="Times New Roman"/>
          <w:sz w:val="22"/>
        </w:rPr>
        <w:tab/>
        <w:t xml:space="preserve">Hamill OP, Marty A, </w:t>
      </w:r>
      <w:proofErr w:type="spellStart"/>
      <w:r w:rsidRPr="00190CE5">
        <w:rPr>
          <w:rFonts w:asciiTheme="majorHAnsi" w:eastAsia="Calibri" w:hAnsiTheme="majorHAnsi" w:cs="Times New Roman"/>
          <w:sz w:val="22"/>
        </w:rPr>
        <w:t>Neher</w:t>
      </w:r>
      <w:proofErr w:type="spellEnd"/>
      <w:r w:rsidRPr="00190CE5">
        <w:rPr>
          <w:rFonts w:asciiTheme="majorHAnsi" w:eastAsia="Calibri" w:hAnsiTheme="majorHAnsi" w:cs="Times New Roman"/>
          <w:sz w:val="22"/>
        </w:rPr>
        <w:t xml:space="preserve"> E, </w:t>
      </w:r>
      <w:proofErr w:type="spellStart"/>
      <w:r w:rsidRPr="00190CE5">
        <w:rPr>
          <w:rFonts w:asciiTheme="majorHAnsi" w:eastAsia="Calibri" w:hAnsiTheme="majorHAnsi" w:cs="Times New Roman"/>
          <w:sz w:val="22"/>
        </w:rPr>
        <w:t>Sakmann</w:t>
      </w:r>
      <w:proofErr w:type="spellEnd"/>
      <w:r w:rsidRPr="00190CE5">
        <w:rPr>
          <w:rFonts w:asciiTheme="majorHAnsi" w:eastAsia="Calibri" w:hAnsiTheme="majorHAnsi" w:cs="Times New Roman"/>
          <w:sz w:val="22"/>
        </w:rPr>
        <w:t xml:space="preserve"> B</w:t>
      </w:r>
      <w:r w:rsidR="00E4176D" w:rsidRPr="00190CE5">
        <w:rPr>
          <w:rFonts w:asciiTheme="majorHAnsi" w:eastAsia="Calibri" w:hAnsiTheme="majorHAnsi" w:cs="Times New Roman"/>
          <w:sz w:val="22"/>
        </w:rPr>
        <w:t xml:space="preserve"> &amp;</w:t>
      </w:r>
      <w:r w:rsidRPr="00190CE5">
        <w:rPr>
          <w:rFonts w:asciiTheme="majorHAnsi" w:eastAsia="Calibri" w:hAnsiTheme="majorHAnsi" w:cs="Times New Roman"/>
          <w:sz w:val="22"/>
        </w:rPr>
        <w:t xml:space="preserve"> </w:t>
      </w:r>
      <w:proofErr w:type="spellStart"/>
      <w:r w:rsidRPr="00190CE5">
        <w:rPr>
          <w:rFonts w:asciiTheme="majorHAnsi" w:eastAsia="Calibri" w:hAnsiTheme="majorHAnsi" w:cs="Times New Roman"/>
          <w:sz w:val="22"/>
        </w:rPr>
        <w:t>Sigworth</w:t>
      </w:r>
      <w:proofErr w:type="spellEnd"/>
      <w:r w:rsidRPr="00190CE5">
        <w:rPr>
          <w:rFonts w:asciiTheme="majorHAnsi" w:eastAsia="Calibri" w:hAnsiTheme="majorHAnsi" w:cs="Times New Roman"/>
          <w:sz w:val="22"/>
        </w:rPr>
        <w:t>, FJ</w:t>
      </w:r>
      <w:r w:rsidR="00296F9F" w:rsidRPr="00190CE5">
        <w:t xml:space="preserve"> </w:t>
      </w:r>
      <w:r w:rsidR="00296F9F" w:rsidRPr="00190CE5">
        <w:rPr>
          <w:rFonts w:asciiTheme="majorHAnsi" w:eastAsia="Calibri" w:hAnsiTheme="majorHAnsi" w:cs="Times New Roman"/>
          <w:sz w:val="22"/>
        </w:rPr>
        <w:t>Improved patch-clamp techniques for high-resolution current recording from cells and cell-free membrane patches</w:t>
      </w:r>
      <w:r w:rsidRPr="00190CE5">
        <w:rPr>
          <w:rFonts w:asciiTheme="majorHAnsi" w:eastAsia="Calibri" w:hAnsiTheme="majorHAnsi" w:cs="Times New Roman"/>
          <w:sz w:val="22"/>
        </w:rPr>
        <w:t xml:space="preserve">. </w:t>
      </w:r>
      <w:proofErr w:type="spellStart"/>
      <w:r w:rsidRPr="00190CE5">
        <w:rPr>
          <w:rFonts w:asciiTheme="majorHAnsi" w:eastAsia="Calibri" w:hAnsiTheme="majorHAnsi" w:cs="Times New Roman"/>
          <w:i/>
          <w:sz w:val="22"/>
        </w:rPr>
        <w:t>Pflug</w:t>
      </w:r>
      <w:proofErr w:type="spellEnd"/>
      <w:r w:rsidRPr="00190CE5">
        <w:rPr>
          <w:rFonts w:asciiTheme="majorHAnsi" w:eastAsia="Calibri" w:hAnsiTheme="majorHAnsi" w:cs="Times New Roman"/>
          <w:i/>
          <w:sz w:val="22"/>
        </w:rPr>
        <w:t>. Arch.</w:t>
      </w:r>
      <w:r w:rsidRPr="00190CE5">
        <w:rPr>
          <w:rFonts w:asciiTheme="majorHAnsi" w:eastAsia="Calibri" w:hAnsiTheme="majorHAnsi" w:cs="Times New Roman"/>
          <w:sz w:val="22"/>
        </w:rPr>
        <w:t xml:space="preserve"> </w:t>
      </w:r>
      <w:r w:rsidRPr="00190CE5">
        <w:rPr>
          <w:rFonts w:asciiTheme="majorHAnsi" w:eastAsia="Calibri" w:hAnsiTheme="majorHAnsi" w:cs="Times New Roman"/>
          <w:b/>
          <w:sz w:val="22"/>
        </w:rPr>
        <w:t>391</w:t>
      </w:r>
      <w:r w:rsidRPr="00190CE5">
        <w:rPr>
          <w:rFonts w:asciiTheme="majorHAnsi" w:eastAsia="Calibri" w:hAnsiTheme="majorHAnsi" w:cs="Times New Roman"/>
          <w:sz w:val="22"/>
        </w:rPr>
        <w:t>, 85-100</w:t>
      </w:r>
      <w:r w:rsidR="00EE658A" w:rsidRPr="00190CE5">
        <w:rPr>
          <w:rFonts w:asciiTheme="majorHAnsi" w:eastAsia="Calibri" w:hAnsiTheme="majorHAnsi" w:cs="Times New Roman"/>
          <w:sz w:val="22"/>
        </w:rPr>
        <w:t xml:space="preserve"> (1981)</w:t>
      </w:r>
      <w:r w:rsidRPr="00190CE5">
        <w:rPr>
          <w:rFonts w:asciiTheme="majorHAnsi" w:eastAsia="Calibri" w:hAnsiTheme="majorHAnsi" w:cs="Times New Roman"/>
          <w:sz w:val="22"/>
        </w:rPr>
        <w:t>.</w:t>
      </w:r>
    </w:p>
    <w:p w14:paraId="1415BC56" w14:textId="1F784D87" w:rsidR="002F2F92" w:rsidRPr="00190CE5" w:rsidRDefault="002F2F92" w:rsidP="00057754">
      <w:pPr>
        <w:spacing w:after="100" w:afterAutospacing="1"/>
        <w:ind w:left="851" w:hanging="851"/>
        <w:rPr>
          <w:rFonts w:asciiTheme="majorHAnsi" w:eastAsia="Calibri" w:hAnsiTheme="majorHAnsi" w:cs="Times New Roman"/>
          <w:sz w:val="22"/>
        </w:rPr>
      </w:pPr>
      <w:r w:rsidRPr="00190CE5">
        <w:rPr>
          <w:rFonts w:asciiTheme="majorHAnsi" w:eastAsia="Calibri" w:hAnsiTheme="majorHAnsi" w:cs="Times New Roman"/>
          <w:sz w:val="22"/>
        </w:rPr>
        <w:t>8</w:t>
      </w:r>
      <w:r w:rsidRPr="00190CE5">
        <w:rPr>
          <w:rFonts w:asciiTheme="majorHAnsi" w:eastAsia="Calibri" w:hAnsiTheme="majorHAnsi" w:cs="Times New Roman"/>
          <w:sz w:val="22"/>
        </w:rPr>
        <w:tab/>
        <w:t xml:space="preserve">Dunlop J, Bowlby M, </w:t>
      </w:r>
      <w:proofErr w:type="spellStart"/>
      <w:r w:rsidRPr="00190CE5">
        <w:rPr>
          <w:rFonts w:asciiTheme="majorHAnsi" w:eastAsia="Calibri" w:hAnsiTheme="majorHAnsi" w:cs="Times New Roman"/>
          <w:sz w:val="22"/>
        </w:rPr>
        <w:t>Peri</w:t>
      </w:r>
      <w:proofErr w:type="spellEnd"/>
      <w:r w:rsidRPr="00190CE5">
        <w:rPr>
          <w:rFonts w:asciiTheme="majorHAnsi" w:eastAsia="Calibri" w:hAnsiTheme="majorHAnsi" w:cs="Times New Roman"/>
          <w:sz w:val="22"/>
        </w:rPr>
        <w:t xml:space="preserve"> R, </w:t>
      </w:r>
      <w:proofErr w:type="spellStart"/>
      <w:r w:rsidRPr="00190CE5">
        <w:rPr>
          <w:rFonts w:asciiTheme="majorHAnsi" w:eastAsia="Calibri" w:hAnsiTheme="majorHAnsi" w:cs="Times New Roman"/>
          <w:sz w:val="22"/>
        </w:rPr>
        <w:t>Vasilyev</w:t>
      </w:r>
      <w:proofErr w:type="spellEnd"/>
      <w:r w:rsidRPr="00190CE5">
        <w:rPr>
          <w:rFonts w:asciiTheme="majorHAnsi" w:eastAsia="Calibri" w:hAnsiTheme="majorHAnsi" w:cs="Times New Roman"/>
          <w:sz w:val="22"/>
        </w:rPr>
        <w:t>, D</w:t>
      </w:r>
      <w:r w:rsidR="00E4176D" w:rsidRPr="00190CE5">
        <w:rPr>
          <w:rFonts w:asciiTheme="majorHAnsi" w:eastAsia="Calibri" w:hAnsiTheme="majorHAnsi" w:cs="Times New Roman"/>
          <w:sz w:val="22"/>
        </w:rPr>
        <w:t xml:space="preserve"> &amp;</w:t>
      </w:r>
      <w:r w:rsidRPr="00190CE5">
        <w:rPr>
          <w:rFonts w:asciiTheme="majorHAnsi" w:eastAsia="Calibri" w:hAnsiTheme="majorHAnsi" w:cs="Times New Roman"/>
          <w:sz w:val="22"/>
        </w:rPr>
        <w:t xml:space="preserve"> Arias, R.</w:t>
      </w:r>
      <w:r w:rsidR="00296F9F" w:rsidRPr="00190CE5">
        <w:rPr>
          <w:rFonts w:asciiTheme="majorHAnsi" w:eastAsia="Calibri" w:hAnsiTheme="majorHAnsi" w:cs="Times New Roman"/>
          <w:sz w:val="22"/>
        </w:rPr>
        <w:t xml:space="preserve"> High-throughput electrophysiology: an emerging paradigm for ion-channel screening and physiology.</w:t>
      </w:r>
      <w:r w:rsidRPr="00190CE5">
        <w:rPr>
          <w:rFonts w:asciiTheme="majorHAnsi" w:eastAsia="Calibri" w:hAnsiTheme="majorHAnsi" w:cs="Times New Roman"/>
          <w:sz w:val="22"/>
        </w:rPr>
        <w:t xml:space="preserve"> </w:t>
      </w:r>
      <w:r w:rsidRPr="00190CE5">
        <w:rPr>
          <w:rFonts w:asciiTheme="majorHAnsi" w:eastAsia="Calibri" w:hAnsiTheme="majorHAnsi" w:cs="Times New Roman"/>
          <w:i/>
          <w:sz w:val="22"/>
        </w:rPr>
        <w:t xml:space="preserve">Nat. Rev. Drug </w:t>
      </w:r>
      <w:proofErr w:type="spellStart"/>
      <w:r w:rsidRPr="00190CE5">
        <w:rPr>
          <w:rFonts w:asciiTheme="majorHAnsi" w:eastAsia="Calibri" w:hAnsiTheme="majorHAnsi" w:cs="Times New Roman"/>
          <w:i/>
          <w:sz w:val="22"/>
        </w:rPr>
        <w:t>Discov</w:t>
      </w:r>
      <w:proofErr w:type="spellEnd"/>
      <w:r w:rsidRPr="00190CE5">
        <w:rPr>
          <w:rFonts w:asciiTheme="majorHAnsi" w:eastAsia="Calibri" w:hAnsiTheme="majorHAnsi" w:cs="Times New Roman"/>
          <w:sz w:val="22"/>
        </w:rPr>
        <w:t xml:space="preserve">. </w:t>
      </w:r>
      <w:r w:rsidRPr="00190CE5">
        <w:rPr>
          <w:rFonts w:asciiTheme="majorHAnsi" w:eastAsia="Calibri" w:hAnsiTheme="majorHAnsi" w:cs="Times New Roman"/>
          <w:b/>
          <w:sz w:val="22"/>
        </w:rPr>
        <w:t>7</w:t>
      </w:r>
      <w:r w:rsidRPr="00190CE5">
        <w:rPr>
          <w:rFonts w:asciiTheme="majorHAnsi" w:eastAsia="Calibri" w:hAnsiTheme="majorHAnsi" w:cs="Times New Roman"/>
          <w:sz w:val="22"/>
        </w:rPr>
        <w:t>, 358-368</w:t>
      </w:r>
      <w:r w:rsidR="00EE658A" w:rsidRPr="00190CE5">
        <w:rPr>
          <w:rFonts w:asciiTheme="majorHAnsi" w:eastAsia="Calibri" w:hAnsiTheme="majorHAnsi" w:cs="Times New Roman"/>
          <w:sz w:val="22"/>
        </w:rPr>
        <w:t xml:space="preserve"> (2008)</w:t>
      </w:r>
      <w:r w:rsidRPr="00190CE5">
        <w:rPr>
          <w:rFonts w:asciiTheme="majorHAnsi" w:eastAsia="Calibri" w:hAnsiTheme="majorHAnsi" w:cs="Times New Roman"/>
          <w:sz w:val="22"/>
        </w:rPr>
        <w:t>.</w:t>
      </w:r>
    </w:p>
    <w:p w14:paraId="20E6F3CE" w14:textId="1F42595A" w:rsidR="002F2F92" w:rsidRPr="00190CE5" w:rsidRDefault="002F2F92" w:rsidP="00057754">
      <w:pPr>
        <w:spacing w:after="100" w:afterAutospacing="1"/>
        <w:ind w:left="851" w:hanging="851"/>
        <w:rPr>
          <w:rFonts w:asciiTheme="majorHAnsi" w:eastAsia="Calibri" w:hAnsiTheme="majorHAnsi" w:cs="Times New Roman"/>
          <w:sz w:val="22"/>
        </w:rPr>
      </w:pPr>
      <w:r w:rsidRPr="00190CE5">
        <w:rPr>
          <w:rFonts w:asciiTheme="majorHAnsi" w:eastAsia="Calibri" w:hAnsiTheme="majorHAnsi" w:cs="Times New Roman"/>
          <w:sz w:val="22"/>
        </w:rPr>
        <w:t>9</w:t>
      </w:r>
      <w:r w:rsidRPr="00190CE5">
        <w:rPr>
          <w:rFonts w:asciiTheme="majorHAnsi" w:eastAsia="Calibri" w:hAnsiTheme="majorHAnsi" w:cs="Times New Roman"/>
          <w:sz w:val="22"/>
        </w:rPr>
        <w:tab/>
        <w:t xml:space="preserve">Gross E, </w:t>
      </w:r>
      <w:proofErr w:type="spellStart"/>
      <w:r w:rsidRPr="00190CE5">
        <w:rPr>
          <w:rFonts w:asciiTheme="majorHAnsi" w:eastAsia="Calibri" w:hAnsiTheme="majorHAnsi" w:cs="Times New Roman"/>
          <w:sz w:val="22"/>
        </w:rPr>
        <w:t>Bedlack</w:t>
      </w:r>
      <w:proofErr w:type="spellEnd"/>
      <w:r w:rsidRPr="00190CE5">
        <w:rPr>
          <w:rFonts w:asciiTheme="majorHAnsi" w:eastAsia="Calibri" w:hAnsiTheme="majorHAnsi" w:cs="Times New Roman"/>
          <w:sz w:val="22"/>
        </w:rPr>
        <w:t xml:space="preserve"> RS</w:t>
      </w:r>
      <w:r w:rsidR="00E4176D" w:rsidRPr="00190CE5">
        <w:rPr>
          <w:rFonts w:asciiTheme="majorHAnsi" w:eastAsia="Calibri" w:hAnsiTheme="majorHAnsi" w:cs="Times New Roman"/>
          <w:sz w:val="22"/>
        </w:rPr>
        <w:t xml:space="preserve"> &amp;</w:t>
      </w:r>
      <w:r w:rsidRPr="00190CE5">
        <w:rPr>
          <w:rFonts w:asciiTheme="majorHAnsi" w:eastAsia="Calibri" w:hAnsiTheme="majorHAnsi" w:cs="Times New Roman"/>
          <w:sz w:val="22"/>
        </w:rPr>
        <w:t xml:space="preserve"> Loew LM.</w:t>
      </w:r>
      <w:r w:rsidR="00296F9F" w:rsidRPr="00190CE5">
        <w:t xml:space="preserve"> </w:t>
      </w:r>
      <w:r w:rsidR="00296F9F" w:rsidRPr="00190CE5">
        <w:rPr>
          <w:rFonts w:asciiTheme="majorHAnsi" w:eastAsia="Calibri" w:hAnsiTheme="majorHAnsi" w:cs="Times New Roman"/>
          <w:sz w:val="22"/>
        </w:rPr>
        <w:t xml:space="preserve">Dual-wavelength </w:t>
      </w:r>
      <w:proofErr w:type="spellStart"/>
      <w:r w:rsidR="00296F9F" w:rsidRPr="00190CE5">
        <w:rPr>
          <w:rFonts w:asciiTheme="majorHAnsi" w:eastAsia="Calibri" w:hAnsiTheme="majorHAnsi" w:cs="Times New Roman"/>
          <w:sz w:val="22"/>
        </w:rPr>
        <w:t>ratiometric</w:t>
      </w:r>
      <w:proofErr w:type="spellEnd"/>
      <w:r w:rsidR="00296F9F" w:rsidRPr="00190CE5">
        <w:rPr>
          <w:rFonts w:asciiTheme="majorHAnsi" w:eastAsia="Calibri" w:hAnsiTheme="majorHAnsi" w:cs="Times New Roman"/>
          <w:sz w:val="22"/>
        </w:rPr>
        <w:t xml:space="preserve"> fluorescence measurement of the membrane dipole potential.</w:t>
      </w:r>
      <w:r w:rsidRPr="00190CE5">
        <w:rPr>
          <w:rFonts w:asciiTheme="majorHAnsi" w:eastAsia="Calibri" w:hAnsiTheme="majorHAnsi" w:cs="Times New Roman"/>
          <w:sz w:val="22"/>
        </w:rPr>
        <w:t xml:space="preserve"> </w:t>
      </w:r>
      <w:r w:rsidRPr="00190CE5">
        <w:rPr>
          <w:rFonts w:asciiTheme="majorHAnsi" w:eastAsia="Calibri" w:hAnsiTheme="majorHAnsi" w:cs="Times New Roman"/>
          <w:i/>
          <w:sz w:val="22"/>
        </w:rPr>
        <w:t>Biophys. J</w:t>
      </w:r>
      <w:r w:rsidRPr="00190CE5">
        <w:rPr>
          <w:rFonts w:asciiTheme="majorHAnsi" w:eastAsia="Calibri" w:hAnsiTheme="majorHAnsi" w:cs="Times New Roman"/>
          <w:sz w:val="22"/>
        </w:rPr>
        <w:t xml:space="preserve">. </w:t>
      </w:r>
      <w:r w:rsidRPr="00190CE5">
        <w:rPr>
          <w:rFonts w:asciiTheme="majorHAnsi" w:eastAsia="Calibri" w:hAnsiTheme="majorHAnsi" w:cs="Times New Roman"/>
          <w:b/>
          <w:sz w:val="22"/>
        </w:rPr>
        <w:t>77</w:t>
      </w:r>
      <w:r w:rsidRPr="00190CE5">
        <w:rPr>
          <w:rFonts w:asciiTheme="majorHAnsi" w:eastAsia="Calibri" w:hAnsiTheme="majorHAnsi" w:cs="Times New Roman"/>
          <w:sz w:val="22"/>
        </w:rPr>
        <w:t>, 208-216</w:t>
      </w:r>
      <w:r w:rsidR="00EE658A" w:rsidRPr="00190CE5">
        <w:rPr>
          <w:rFonts w:asciiTheme="majorHAnsi" w:eastAsia="Calibri" w:hAnsiTheme="majorHAnsi" w:cs="Times New Roman"/>
          <w:sz w:val="22"/>
        </w:rPr>
        <w:t xml:space="preserve"> (1994)</w:t>
      </w:r>
      <w:r w:rsidRPr="00190CE5">
        <w:rPr>
          <w:rFonts w:asciiTheme="majorHAnsi" w:eastAsia="Calibri" w:hAnsiTheme="majorHAnsi" w:cs="Times New Roman"/>
          <w:sz w:val="22"/>
        </w:rPr>
        <w:t>.</w:t>
      </w:r>
    </w:p>
    <w:p w14:paraId="4AAEB527" w14:textId="77777777" w:rsidR="00F90E39" w:rsidRPr="00190CE5" w:rsidRDefault="00F90E39" w:rsidP="00F90E39">
      <w:pPr>
        <w:spacing w:after="100" w:afterAutospacing="1"/>
        <w:ind w:left="851" w:hanging="851"/>
        <w:rPr>
          <w:rFonts w:asciiTheme="majorHAnsi" w:hAnsiTheme="majorHAnsi" w:cs="Segoe UI"/>
          <w:sz w:val="22"/>
          <w:shd w:val="clear" w:color="auto" w:fill="FFFFFF"/>
        </w:rPr>
      </w:pPr>
      <w:r w:rsidRPr="00190CE5">
        <w:rPr>
          <w:rFonts w:asciiTheme="majorHAnsi" w:hAnsiTheme="majorHAnsi" w:cs="Segoe UI"/>
          <w:sz w:val="22"/>
          <w:shd w:val="clear" w:color="auto" w:fill="FFFFFF"/>
        </w:rPr>
        <w:t xml:space="preserve">10 </w:t>
      </w:r>
      <w:r w:rsidRPr="00190CE5">
        <w:rPr>
          <w:rFonts w:asciiTheme="majorHAnsi" w:hAnsiTheme="majorHAnsi" w:cs="Segoe UI"/>
          <w:sz w:val="22"/>
          <w:shd w:val="clear" w:color="auto" w:fill="FFFFFF"/>
        </w:rPr>
        <w:tab/>
      </w:r>
      <w:proofErr w:type="spellStart"/>
      <w:r w:rsidRPr="00190CE5">
        <w:rPr>
          <w:rFonts w:asciiTheme="majorHAnsi" w:hAnsiTheme="majorHAnsi" w:cs="Segoe UI"/>
          <w:sz w:val="22"/>
          <w:shd w:val="clear" w:color="auto" w:fill="FFFFFF"/>
        </w:rPr>
        <w:t>Gawad</w:t>
      </w:r>
      <w:proofErr w:type="spellEnd"/>
      <w:r w:rsidRPr="00190CE5">
        <w:rPr>
          <w:rFonts w:asciiTheme="majorHAnsi" w:hAnsiTheme="majorHAnsi" w:cs="Segoe UI"/>
          <w:sz w:val="22"/>
          <w:shd w:val="clear" w:color="auto" w:fill="FFFFFF"/>
        </w:rPr>
        <w:t xml:space="preserve"> S, </w:t>
      </w:r>
      <w:proofErr w:type="spellStart"/>
      <w:r w:rsidRPr="00190CE5">
        <w:rPr>
          <w:rFonts w:asciiTheme="majorHAnsi" w:hAnsiTheme="majorHAnsi" w:cs="Segoe UI"/>
          <w:sz w:val="22"/>
          <w:shd w:val="clear" w:color="auto" w:fill="FFFFFF"/>
        </w:rPr>
        <w:t>Schild</w:t>
      </w:r>
      <w:proofErr w:type="spellEnd"/>
      <w:r w:rsidRPr="00190CE5">
        <w:rPr>
          <w:rFonts w:asciiTheme="majorHAnsi" w:hAnsiTheme="majorHAnsi" w:cs="Segoe UI"/>
          <w:sz w:val="22"/>
          <w:shd w:val="clear" w:color="auto" w:fill="FFFFFF"/>
        </w:rPr>
        <w:t xml:space="preserve"> L &amp; Renaud PH. Micromachined impedance spectroscopy flow cytometer for cell analysis and particle sizing. </w:t>
      </w:r>
      <w:r w:rsidRPr="00190CE5">
        <w:rPr>
          <w:rFonts w:asciiTheme="majorHAnsi" w:hAnsiTheme="majorHAnsi" w:cs="Segoe UI"/>
          <w:i/>
          <w:sz w:val="22"/>
          <w:shd w:val="clear" w:color="auto" w:fill="FFFFFF"/>
        </w:rPr>
        <w:t>Lab Chip</w:t>
      </w:r>
      <w:r w:rsidRPr="00190CE5">
        <w:rPr>
          <w:rFonts w:asciiTheme="majorHAnsi" w:hAnsiTheme="majorHAnsi" w:cs="Segoe UI"/>
          <w:sz w:val="22"/>
          <w:shd w:val="clear" w:color="auto" w:fill="FFFFFF"/>
        </w:rPr>
        <w:t xml:space="preserve">. </w:t>
      </w:r>
      <w:r w:rsidRPr="00190CE5">
        <w:rPr>
          <w:rFonts w:asciiTheme="majorHAnsi" w:hAnsiTheme="majorHAnsi" w:cs="Segoe UI"/>
          <w:b/>
          <w:sz w:val="22"/>
          <w:shd w:val="clear" w:color="auto" w:fill="FFFFFF"/>
        </w:rPr>
        <w:t>1,</w:t>
      </w:r>
      <w:r w:rsidRPr="00190CE5">
        <w:rPr>
          <w:rFonts w:asciiTheme="majorHAnsi" w:hAnsiTheme="majorHAnsi" w:cs="Segoe UI"/>
          <w:sz w:val="22"/>
          <w:shd w:val="clear" w:color="auto" w:fill="FFFFFF"/>
        </w:rPr>
        <w:t xml:space="preserve"> 76-82 (2001).</w:t>
      </w:r>
    </w:p>
    <w:p w14:paraId="2B688930" w14:textId="77777777" w:rsidR="00F90E39" w:rsidRPr="00190CE5" w:rsidRDefault="00F90E39" w:rsidP="00F90E39">
      <w:pPr>
        <w:spacing w:after="100" w:afterAutospacing="1"/>
        <w:ind w:left="851" w:hanging="851"/>
        <w:rPr>
          <w:rFonts w:asciiTheme="majorHAnsi" w:hAnsiTheme="majorHAnsi" w:cs="Segoe UI"/>
          <w:sz w:val="22"/>
          <w:shd w:val="clear" w:color="auto" w:fill="FFFFFF"/>
        </w:rPr>
      </w:pPr>
      <w:r w:rsidRPr="00190CE5">
        <w:rPr>
          <w:rFonts w:asciiTheme="majorHAnsi" w:hAnsiTheme="majorHAnsi" w:cs="Segoe UI"/>
          <w:sz w:val="22"/>
          <w:shd w:val="clear" w:color="auto" w:fill="FFFFFF"/>
        </w:rPr>
        <w:t xml:space="preserve">11 </w:t>
      </w:r>
      <w:r w:rsidRPr="00190CE5">
        <w:rPr>
          <w:rFonts w:asciiTheme="majorHAnsi" w:hAnsiTheme="majorHAnsi" w:cs="Segoe UI"/>
          <w:sz w:val="22"/>
          <w:shd w:val="clear" w:color="auto" w:fill="FFFFFF"/>
        </w:rPr>
        <w:tab/>
      </w:r>
      <w:r w:rsidRPr="00190CE5">
        <w:rPr>
          <w:rStyle w:val="articleauthor-link"/>
          <w:rFonts w:asciiTheme="majorHAnsi" w:hAnsiTheme="majorHAnsi" w:cs="Arial"/>
          <w:spacing w:val="-5"/>
          <w:sz w:val="22"/>
          <w:shd w:val="clear" w:color="auto" w:fill="FFFFFF"/>
        </w:rPr>
        <w:t xml:space="preserve">Barat D, Spencer D, </w:t>
      </w:r>
      <w:proofErr w:type="spellStart"/>
      <w:proofErr w:type="gramStart"/>
      <w:r w:rsidRPr="00190CE5">
        <w:rPr>
          <w:rStyle w:val="articleauthor-link"/>
          <w:rFonts w:asciiTheme="majorHAnsi" w:hAnsiTheme="majorHAnsi" w:cs="Arial"/>
          <w:spacing w:val="-5"/>
          <w:sz w:val="22"/>
          <w:shd w:val="clear" w:color="auto" w:fill="FFFFFF"/>
        </w:rPr>
        <w:t>Benazzi,G</w:t>
      </w:r>
      <w:proofErr w:type="spellEnd"/>
      <w:proofErr w:type="gramEnd"/>
      <w:r w:rsidRPr="00190CE5">
        <w:rPr>
          <w:rStyle w:val="articleauthor-link"/>
          <w:rFonts w:asciiTheme="majorHAnsi" w:hAnsiTheme="majorHAnsi" w:cs="Arial"/>
          <w:spacing w:val="-5"/>
          <w:sz w:val="22"/>
          <w:shd w:val="clear" w:color="auto" w:fill="FFFFFF"/>
        </w:rPr>
        <w:t>, Mowlem</w:t>
      </w:r>
      <w:r w:rsidRPr="00190CE5">
        <w:rPr>
          <w:rStyle w:val="articleauthor-link"/>
          <w:rFonts w:asciiTheme="majorHAnsi" w:hAnsiTheme="majorHAnsi" w:cs="Arial"/>
          <w:i/>
          <w:iCs/>
          <w:spacing w:val="-5"/>
          <w:sz w:val="22"/>
          <w:shd w:val="clear" w:color="auto" w:fill="FFFFFF"/>
          <w:vertAlign w:val="superscript"/>
        </w:rPr>
        <w:t xml:space="preserve"> </w:t>
      </w:r>
      <w:r w:rsidRPr="00190CE5">
        <w:rPr>
          <w:rStyle w:val="articleauthor-link"/>
          <w:rFonts w:asciiTheme="majorHAnsi" w:hAnsiTheme="majorHAnsi" w:cs="Arial"/>
          <w:spacing w:val="-5"/>
          <w:sz w:val="22"/>
          <w:shd w:val="clear" w:color="auto" w:fill="FFFFFF"/>
        </w:rPr>
        <w:t xml:space="preserve">MC &amp; Morgan H. </w:t>
      </w:r>
      <w:r w:rsidRPr="00190CE5">
        <w:rPr>
          <w:rFonts w:asciiTheme="majorHAnsi" w:hAnsiTheme="majorHAnsi" w:cs="Segoe UI"/>
          <w:sz w:val="22"/>
          <w:shd w:val="clear" w:color="auto" w:fill="FFFFFF"/>
        </w:rPr>
        <w:t xml:space="preserve">Simultaneous high speed optical and impedance analysis of single particles with a microfluidic cytometer. Lab Chip </w:t>
      </w:r>
      <w:r w:rsidRPr="00190CE5">
        <w:rPr>
          <w:rFonts w:asciiTheme="majorHAnsi" w:hAnsiTheme="majorHAnsi" w:cs="Segoe UI"/>
          <w:b/>
          <w:sz w:val="22"/>
          <w:shd w:val="clear" w:color="auto" w:fill="FFFFFF"/>
        </w:rPr>
        <w:t>12</w:t>
      </w:r>
      <w:r w:rsidRPr="00190CE5">
        <w:rPr>
          <w:rFonts w:asciiTheme="majorHAnsi" w:hAnsiTheme="majorHAnsi" w:cs="Segoe UI"/>
          <w:sz w:val="22"/>
          <w:shd w:val="clear" w:color="auto" w:fill="FFFFFF"/>
        </w:rPr>
        <w:t>, 118-126 (2012).</w:t>
      </w:r>
    </w:p>
    <w:p w14:paraId="6463BF1E" w14:textId="77777777" w:rsidR="00F90E39" w:rsidRPr="00190CE5" w:rsidRDefault="00F90E39" w:rsidP="00F90E39">
      <w:pPr>
        <w:spacing w:after="100" w:afterAutospacing="1"/>
        <w:ind w:left="851" w:hanging="851"/>
        <w:rPr>
          <w:rFonts w:asciiTheme="majorHAnsi" w:hAnsiTheme="majorHAnsi" w:cs="Segoe UI"/>
          <w:sz w:val="22"/>
          <w:shd w:val="clear" w:color="auto" w:fill="FFFFFF"/>
        </w:rPr>
      </w:pPr>
      <w:r w:rsidRPr="00190CE5">
        <w:rPr>
          <w:rFonts w:asciiTheme="majorHAnsi" w:hAnsiTheme="majorHAnsi" w:cs="Segoe UI"/>
          <w:sz w:val="22"/>
          <w:shd w:val="clear" w:color="auto" w:fill="FFFFFF"/>
        </w:rPr>
        <w:lastRenderedPageBreak/>
        <w:t xml:space="preserve">12 </w:t>
      </w:r>
      <w:r w:rsidRPr="00190CE5">
        <w:rPr>
          <w:rFonts w:asciiTheme="majorHAnsi" w:hAnsiTheme="majorHAnsi" w:cs="Segoe UI"/>
          <w:sz w:val="22"/>
          <w:shd w:val="clear" w:color="auto" w:fill="FFFFFF"/>
        </w:rPr>
        <w:tab/>
      </w:r>
      <w:proofErr w:type="spellStart"/>
      <w:r w:rsidRPr="00190CE5">
        <w:rPr>
          <w:rFonts w:asciiTheme="majorHAnsi" w:hAnsiTheme="majorHAnsi" w:cs="Segoe UI"/>
          <w:sz w:val="22"/>
          <w:shd w:val="clear" w:color="auto" w:fill="FFFFFF"/>
        </w:rPr>
        <w:t>Haandbæk</w:t>
      </w:r>
      <w:proofErr w:type="spellEnd"/>
      <w:r w:rsidRPr="00190CE5">
        <w:rPr>
          <w:rFonts w:asciiTheme="majorHAnsi" w:hAnsiTheme="majorHAnsi" w:cs="Segoe UI"/>
          <w:sz w:val="22"/>
          <w:shd w:val="clear" w:color="auto" w:fill="FFFFFF"/>
        </w:rPr>
        <w:t xml:space="preserve"> N, </w:t>
      </w:r>
      <w:proofErr w:type="spellStart"/>
      <w:r w:rsidRPr="00190CE5">
        <w:rPr>
          <w:rFonts w:asciiTheme="majorHAnsi" w:hAnsiTheme="majorHAnsi" w:cs="Segoe UI"/>
          <w:sz w:val="22"/>
          <w:shd w:val="clear" w:color="auto" w:fill="FFFFFF"/>
        </w:rPr>
        <w:t>Bürgel</w:t>
      </w:r>
      <w:proofErr w:type="spellEnd"/>
      <w:r w:rsidRPr="00190CE5">
        <w:rPr>
          <w:rFonts w:asciiTheme="majorHAnsi" w:hAnsiTheme="majorHAnsi" w:cs="Segoe UI"/>
          <w:sz w:val="22"/>
          <w:shd w:val="clear" w:color="auto" w:fill="FFFFFF"/>
        </w:rPr>
        <w:t xml:space="preserve"> SC, </w:t>
      </w:r>
      <w:proofErr w:type="spellStart"/>
      <w:r w:rsidRPr="00190CE5">
        <w:rPr>
          <w:rFonts w:asciiTheme="majorHAnsi" w:hAnsiTheme="majorHAnsi" w:cs="Segoe UI"/>
          <w:sz w:val="22"/>
          <w:shd w:val="clear" w:color="auto" w:fill="FFFFFF"/>
        </w:rPr>
        <w:t>Heer</w:t>
      </w:r>
      <w:proofErr w:type="spellEnd"/>
      <w:r w:rsidRPr="00190CE5">
        <w:rPr>
          <w:rFonts w:asciiTheme="majorHAnsi" w:hAnsiTheme="majorHAnsi" w:cs="Segoe UI"/>
          <w:sz w:val="22"/>
          <w:shd w:val="clear" w:color="auto" w:fill="FFFFFF"/>
        </w:rPr>
        <w:t xml:space="preserve"> F &amp; </w:t>
      </w:r>
      <w:proofErr w:type="spellStart"/>
      <w:r w:rsidRPr="00190CE5">
        <w:rPr>
          <w:rFonts w:asciiTheme="majorHAnsi" w:hAnsiTheme="majorHAnsi" w:cs="Segoe UI"/>
          <w:sz w:val="22"/>
          <w:shd w:val="clear" w:color="auto" w:fill="FFFFFF"/>
        </w:rPr>
        <w:t>Hierlemann</w:t>
      </w:r>
      <w:proofErr w:type="spellEnd"/>
      <w:r w:rsidRPr="00190CE5">
        <w:rPr>
          <w:rFonts w:asciiTheme="majorHAnsi" w:hAnsiTheme="majorHAnsi" w:cs="Segoe UI"/>
          <w:sz w:val="22"/>
          <w:shd w:val="clear" w:color="auto" w:fill="FFFFFF"/>
        </w:rPr>
        <w:t xml:space="preserve"> A. Characterization of subcellular morphology of single yeast cells using high frequency microfluidic impedance cytometer. Lab Chip </w:t>
      </w:r>
      <w:r w:rsidRPr="00190CE5">
        <w:rPr>
          <w:rFonts w:asciiTheme="majorHAnsi" w:hAnsiTheme="majorHAnsi" w:cs="Segoe UI"/>
          <w:b/>
          <w:sz w:val="22"/>
          <w:shd w:val="clear" w:color="auto" w:fill="FFFFFF"/>
        </w:rPr>
        <w:t>14</w:t>
      </w:r>
      <w:r w:rsidRPr="00190CE5">
        <w:rPr>
          <w:rFonts w:asciiTheme="majorHAnsi" w:hAnsiTheme="majorHAnsi" w:cs="Segoe UI"/>
          <w:sz w:val="22"/>
          <w:shd w:val="clear" w:color="auto" w:fill="FFFFFF"/>
        </w:rPr>
        <w:t>, 369-377 (2014).</w:t>
      </w:r>
    </w:p>
    <w:p w14:paraId="61A7C314" w14:textId="77777777" w:rsidR="00F90E39" w:rsidRPr="00190CE5" w:rsidRDefault="00F90E39" w:rsidP="00F90E39">
      <w:pPr>
        <w:spacing w:after="100" w:afterAutospacing="1"/>
        <w:ind w:left="851" w:hanging="851"/>
        <w:rPr>
          <w:rFonts w:asciiTheme="majorHAnsi" w:hAnsiTheme="majorHAnsi" w:cs="Segoe UI"/>
          <w:sz w:val="22"/>
          <w:shd w:val="clear" w:color="auto" w:fill="FFFFFF"/>
        </w:rPr>
      </w:pPr>
      <w:r w:rsidRPr="00190CE5">
        <w:rPr>
          <w:rFonts w:asciiTheme="majorHAnsi" w:hAnsiTheme="majorHAnsi" w:cs="Segoe UI"/>
          <w:sz w:val="22"/>
          <w:shd w:val="clear" w:color="auto" w:fill="FFFFFF"/>
        </w:rPr>
        <w:t xml:space="preserve">13 </w:t>
      </w:r>
      <w:r w:rsidRPr="00190CE5">
        <w:rPr>
          <w:rFonts w:asciiTheme="majorHAnsi" w:hAnsiTheme="majorHAnsi" w:cs="Segoe UI"/>
          <w:sz w:val="22"/>
          <w:shd w:val="clear" w:color="auto" w:fill="FFFFFF"/>
        </w:rPr>
        <w:tab/>
        <w:t xml:space="preserve">Zhao Y, Wang K, Chen D, Fan B, Xu Y, Ye Y, Wang J, Chen J &amp; Huang C.  "Development of microfluidic impedance cytometry enabling the quantification of specific membrane capacitance and cytoplasm conductivity from 100,000 single cells." </w:t>
      </w:r>
      <w:proofErr w:type="spellStart"/>
      <w:r w:rsidRPr="00190CE5">
        <w:rPr>
          <w:rFonts w:asciiTheme="majorHAnsi" w:hAnsiTheme="majorHAnsi" w:cs="Segoe UI"/>
          <w:sz w:val="22"/>
          <w:shd w:val="clear" w:color="auto" w:fill="FFFFFF"/>
        </w:rPr>
        <w:t>Biosens</w:t>
      </w:r>
      <w:proofErr w:type="spellEnd"/>
      <w:r w:rsidRPr="00190CE5">
        <w:rPr>
          <w:rFonts w:asciiTheme="majorHAnsi" w:hAnsiTheme="majorHAnsi" w:cs="Segoe UI"/>
          <w:sz w:val="22"/>
          <w:shd w:val="clear" w:color="auto" w:fill="FFFFFF"/>
        </w:rPr>
        <w:t xml:space="preserve">. </w:t>
      </w:r>
      <w:proofErr w:type="spellStart"/>
      <w:r w:rsidRPr="00190CE5">
        <w:rPr>
          <w:rFonts w:asciiTheme="majorHAnsi" w:hAnsiTheme="majorHAnsi" w:cs="Segoe UI"/>
          <w:sz w:val="22"/>
          <w:shd w:val="clear" w:color="auto" w:fill="FFFFFF"/>
        </w:rPr>
        <w:t>Bioelectron</w:t>
      </w:r>
      <w:proofErr w:type="spellEnd"/>
      <w:r w:rsidRPr="00190CE5">
        <w:rPr>
          <w:rFonts w:asciiTheme="majorHAnsi" w:hAnsiTheme="majorHAnsi" w:cs="Segoe UI"/>
          <w:sz w:val="22"/>
          <w:shd w:val="clear" w:color="auto" w:fill="FFFFFF"/>
        </w:rPr>
        <w:t xml:space="preserve">. </w:t>
      </w:r>
      <w:r w:rsidRPr="00190CE5">
        <w:rPr>
          <w:rFonts w:asciiTheme="majorHAnsi" w:hAnsiTheme="majorHAnsi" w:cs="Segoe UI"/>
          <w:b/>
          <w:sz w:val="22"/>
          <w:shd w:val="clear" w:color="auto" w:fill="FFFFFF"/>
        </w:rPr>
        <w:t>111</w:t>
      </w:r>
      <w:r w:rsidRPr="00190CE5">
        <w:rPr>
          <w:rFonts w:asciiTheme="majorHAnsi" w:hAnsiTheme="majorHAnsi" w:cs="Segoe UI"/>
          <w:sz w:val="22"/>
          <w:shd w:val="clear" w:color="auto" w:fill="FFFFFF"/>
        </w:rPr>
        <w:t>, 138-143 (2018).</w:t>
      </w:r>
    </w:p>
    <w:p w14:paraId="27520B67" w14:textId="42D4D92B" w:rsidR="002F2F92" w:rsidRPr="00190CE5" w:rsidRDefault="00A04CF5" w:rsidP="00D41B4F">
      <w:pPr>
        <w:pStyle w:val="NoSpacing"/>
        <w:tabs>
          <w:tab w:val="left" w:pos="720"/>
          <w:tab w:val="left" w:pos="1440"/>
          <w:tab w:val="left" w:pos="2160"/>
          <w:tab w:val="center" w:pos="4513"/>
        </w:tabs>
        <w:spacing w:after="100" w:afterAutospacing="1" w:line="360" w:lineRule="auto"/>
        <w:ind w:left="851" w:hanging="851"/>
        <w:rPr>
          <w:rFonts w:asciiTheme="majorHAnsi" w:hAnsiTheme="majorHAnsi"/>
          <w:sz w:val="22"/>
        </w:rPr>
      </w:pPr>
      <w:r w:rsidRPr="00190CE5">
        <w:rPr>
          <w:rFonts w:asciiTheme="majorHAnsi" w:hAnsiTheme="majorHAnsi"/>
          <w:sz w:val="22"/>
        </w:rPr>
        <w:t>1</w:t>
      </w:r>
      <w:r w:rsidR="00F90E39" w:rsidRPr="00190CE5">
        <w:rPr>
          <w:rFonts w:asciiTheme="majorHAnsi" w:hAnsiTheme="majorHAnsi"/>
          <w:sz w:val="22"/>
        </w:rPr>
        <w:t>4</w:t>
      </w:r>
      <w:r w:rsidRPr="00190CE5">
        <w:rPr>
          <w:rFonts w:asciiTheme="majorHAnsi" w:hAnsiTheme="majorHAnsi"/>
          <w:sz w:val="22"/>
        </w:rPr>
        <w:tab/>
      </w:r>
      <w:r w:rsidR="00386960" w:rsidRPr="00190CE5">
        <w:rPr>
          <w:rFonts w:asciiTheme="majorHAnsi" w:hAnsiTheme="majorHAnsi"/>
          <w:sz w:val="22"/>
        </w:rPr>
        <w:tab/>
      </w:r>
      <w:proofErr w:type="spellStart"/>
      <w:r w:rsidR="00386960" w:rsidRPr="00190CE5">
        <w:rPr>
          <w:rFonts w:asciiTheme="majorHAnsi" w:hAnsiTheme="majorHAnsi"/>
          <w:sz w:val="22"/>
        </w:rPr>
        <w:t>Pethig</w:t>
      </w:r>
      <w:proofErr w:type="spellEnd"/>
      <w:r w:rsidR="00386960" w:rsidRPr="00190CE5">
        <w:rPr>
          <w:rFonts w:asciiTheme="majorHAnsi" w:hAnsiTheme="majorHAnsi"/>
          <w:sz w:val="22"/>
        </w:rPr>
        <w:t xml:space="preserve"> R. </w:t>
      </w:r>
      <w:r w:rsidR="00386960" w:rsidRPr="00190CE5">
        <w:rPr>
          <w:rFonts w:asciiTheme="majorHAnsi" w:hAnsiTheme="majorHAnsi"/>
          <w:i/>
          <w:sz w:val="22"/>
        </w:rPr>
        <w:t>Dielectrophoresis: Theory, Methodology and Biological Applications</w:t>
      </w:r>
      <w:r w:rsidR="00386960" w:rsidRPr="00190CE5">
        <w:rPr>
          <w:rFonts w:asciiTheme="majorHAnsi" w:hAnsiTheme="majorHAnsi"/>
          <w:sz w:val="22"/>
        </w:rPr>
        <w:t xml:space="preserve"> (Wiley, 2017).</w:t>
      </w:r>
    </w:p>
    <w:p w14:paraId="44F9905C" w14:textId="6CFB100B" w:rsidR="00D37332" w:rsidRPr="00190CE5" w:rsidRDefault="00F90E39" w:rsidP="00057754">
      <w:pPr>
        <w:pStyle w:val="NoSpacing"/>
        <w:spacing w:after="100" w:afterAutospacing="1" w:line="360" w:lineRule="auto"/>
        <w:ind w:left="851" w:hanging="851"/>
        <w:rPr>
          <w:rFonts w:asciiTheme="majorHAnsi" w:hAnsiTheme="majorHAnsi"/>
          <w:sz w:val="22"/>
        </w:rPr>
      </w:pPr>
      <w:r w:rsidRPr="00190CE5">
        <w:rPr>
          <w:rFonts w:asciiTheme="majorHAnsi" w:hAnsiTheme="majorHAnsi"/>
          <w:sz w:val="22"/>
        </w:rPr>
        <w:t>15</w:t>
      </w:r>
      <w:r w:rsidR="00A04CF5" w:rsidRPr="00190CE5">
        <w:rPr>
          <w:rFonts w:asciiTheme="majorHAnsi" w:hAnsiTheme="majorHAnsi"/>
          <w:sz w:val="22"/>
        </w:rPr>
        <w:tab/>
      </w:r>
      <w:r w:rsidR="00D37332" w:rsidRPr="00190CE5">
        <w:rPr>
          <w:rFonts w:asciiTheme="majorHAnsi" w:hAnsiTheme="majorHAnsi"/>
          <w:sz w:val="22"/>
        </w:rPr>
        <w:t>Coley H, Labeed FH, Thomas H</w:t>
      </w:r>
      <w:r w:rsidR="00E4176D" w:rsidRPr="00190CE5">
        <w:rPr>
          <w:rFonts w:asciiTheme="majorHAnsi" w:hAnsiTheme="majorHAnsi"/>
          <w:sz w:val="22"/>
        </w:rPr>
        <w:t xml:space="preserve"> &amp;</w:t>
      </w:r>
      <w:r w:rsidR="00D37332" w:rsidRPr="00190CE5">
        <w:rPr>
          <w:rFonts w:asciiTheme="majorHAnsi" w:hAnsiTheme="majorHAnsi"/>
          <w:sz w:val="22"/>
        </w:rPr>
        <w:t xml:space="preserve"> Hughes MP.</w:t>
      </w:r>
      <w:r w:rsidR="00994EB8" w:rsidRPr="00190CE5">
        <w:t xml:space="preserve"> </w:t>
      </w:r>
      <w:r w:rsidR="00994EB8" w:rsidRPr="00190CE5">
        <w:rPr>
          <w:rFonts w:asciiTheme="majorHAnsi" w:hAnsiTheme="majorHAnsi"/>
          <w:sz w:val="22"/>
        </w:rPr>
        <w:t xml:space="preserve">Biophysical characterization of MDR breast cancer cell lines reveals the cytoplasm is critical in determining drug sensitivity. </w:t>
      </w:r>
      <w:r w:rsidR="00D37332" w:rsidRPr="00190CE5">
        <w:rPr>
          <w:rFonts w:asciiTheme="majorHAnsi" w:hAnsiTheme="majorHAnsi"/>
          <w:sz w:val="22"/>
        </w:rPr>
        <w:t xml:space="preserve"> </w:t>
      </w:r>
      <w:proofErr w:type="spellStart"/>
      <w:r w:rsidR="00D37332" w:rsidRPr="00190CE5">
        <w:rPr>
          <w:rFonts w:asciiTheme="majorHAnsi" w:hAnsiTheme="majorHAnsi"/>
          <w:i/>
          <w:sz w:val="22"/>
        </w:rPr>
        <w:t>Biochim</w:t>
      </w:r>
      <w:proofErr w:type="spellEnd"/>
      <w:r w:rsidR="00D37332" w:rsidRPr="00190CE5">
        <w:rPr>
          <w:rFonts w:asciiTheme="majorHAnsi" w:hAnsiTheme="majorHAnsi"/>
          <w:i/>
          <w:sz w:val="22"/>
        </w:rPr>
        <w:t>. Biophys.</w:t>
      </w:r>
      <w:r w:rsidR="003448D3" w:rsidRPr="00190CE5">
        <w:rPr>
          <w:rFonts w:asciiTheme="majorHAnsi" w:hAnsiTheme="majorHAnsi"/>
          <w:i/>
          <w:sz w:val="22"/>
        </w:rPr>
        <w:t xml:space="preserve"> Acta</w:t>
      </w:r>
      <w:r w:rsidR="003448D3" w:rsidRPr="00190CE5">
        <w:rPr>
          <w:rFonts w:asciiTheme="majorHAnsi" w:hAnsiTheme="majorHAnsi"/>
          <w:sz w:val="22"/>
        </w:rPr>
        <w:t>,</w:t>
      </w:r>
      <w:r w:rsidR="00D37332" w:rsidRPr="00190CE5">
        <w:rPr>
          <w:rFonts w:asciiTheme="majorHAnsi" w:hAnsiTheme="majorHAnsi"/>
          <w:sz w:val="22"/>
        </w:rPr>
        <w:t xml:space="preserve"> </w:t>
      </w:r>
      <w:r w:rsidR="00D37332" w:rsidRPr="00190CE5">
        <w:rPr>
          <w:rFonts w:asciiTheme="majorHAnsi" w:hAnsiTheme="majorHAnsi"/>
          <w:b/>
          <w:sz w:val="22"/>
        </w:rPr>
        <w:t>1770</w:t>
      </w:r>
      <w:r w:rsidR="00D37332" w:rsidRPr="00190CE5">
        <w:rPr>
          <w:rFonts w:asciiTheme="majorHAnsi" w:hAnsiTheme="majorHAnsi"/>
          <w:sz w:val="22"/>
        </w:rPr>
        <w:t>, 601-608</w:t>
      </w:r>
      <w:r w:rsidR="00EE658A" w:rsidRPr="00190CE5">
        <w:rPr>
          <w:rFonts w:asciiTheme="majorHAnsi" w:hAnsiTheme="majorHAnsi"/>
          <w:sz w:val="22"/>
        </w:rPr>
        <w:t xml:space="preserve"> (2007)</w:t>
      </w:r>
      <w:r w:rsidR="00D37332" w:rsidRPr="00190CE5">
        <w:rPr>
          <w:rFonts w:asciiTheme="majorHAnsi" w:hAnsiTheme="majorHAnsi"/>
          <w:sz w:val="22"/>
        </w:rPr>
        <w:t>.</w:t>
      </w:r>
    </w:p>
    <w:p w14:paraId="0B44E871" w14:textId="57CD9D01" w:rsidR="002F2F92" w:rsidRPr="00190CE5" w:rsidRDefault="00F90E39" w:rsidP="00057754">
      <w:pPr>
        <w:pStyle w:val="NoSpacing"/>
        <w:spacing w:after="100" w:afterAutospacing="1" w:line="360" w:lineRule="auto"/>
        <w:ind w:left="851" w:hanging="851"/>
        <w:rPr>
          <w:rFonts w:asciiTheme="majorHAnsi" w:hAnsiTheme="majorHAnsi"/>
          <w:sz w:val="22"/>
        </w:rPr>
      </w:pPr>
      <w:r w:rsidRPr="00190CE5">
        <w:rPr>
          <w:rFonts w:asciiTheme="majorHAnsi" w:hAnsiTheme="majorHAnsi"/>
          <w:sz w:val="22"/>
        </w:rPr>
        <w:t>16</w:t>
      </w:r>
      <w:r w:rsidR="00A04CF5" w:rsidRPr="00190CE5">
        <w:rPr>
          <w:rFonts w:asciiTheme="majorHAnsi" w:hAnsiTheme="majorHAnsi"/>
          <w:sz w:val="22"/>
        </w:rPr>
        <w:tab/>
      </w:r>
      <w:r w:rsidR="002F2F92" w:rsidRPr="00190CE5">
        <w:rPr>
          <w:rFonts w:asciiTheme="majorHAnsi" w:hAnsiTheme="majorHAnsi"/>
          <w:sz w:val="22"/>
        </w:rPr>
        <w:t>Broche LM, Labeed FH</w:t>
      </w:r>
      <w:r w:rsidR="00E4176D" w:rsidRPr="00190CE5">
        <w:rPr>
          <w:rFonts w:asciiTheme="majorHAnsi" w:hAnsiTheme="majorHAnsi"/>
          <w:sz w:val="22"/>
        </w:rPr>
        <w:t xml:space="preserve"> &amp;</w:t>
      </w:r>
      <w:r w:rsidR="002F2F92" w:rsidRPr="00190CE5">
        <w:rPr>
          <w:rFonts w:asciiTheme="majorHAnsi" w:hAnsiTheme="majorHAnsi"/>
          <w:sz w:val="22"/>
        </w:rPr>
        <w:t xml:space="preserve"> Hughes MP.</w:t>
      </w:r>
      <w:r w:rsidR="00994EB8" w:rsidRPr="00190CE5">
        <w:rPr>
          <w:rFonts w:asciiTheme="majorHAnsi" w:hAnsiTheme="majorHAnsi" w:cs="Calibri"/>
          <w:sz w:val="22"/>
        </w:rPr>
        <w:t xml:space="preserve"> Extraction of dielectric properties for multiple populations from dielectrophoretic collection spectrum data.</w:t>
      </w:r>
      <w:r w:rsidR="00994EB8" w:rsidRPr="00190CE5">
        <w:rPr>
          <w:rFonts w:asciiTheme="majorHAnsi" w:hAnsiTheme="majorHAnsi"/>
          <w:i/>
          <w:sz w:val="22"/>
        </w:rPr>
        <w:t xml:space="preserve"> </w:t>
      </w:r>
      <w:r w:rsidR="002F2F92" w:rsidRPr="00190CE5">
        <w:rPr>
          <w:rFonts w:asciiTheme="majorHAnsi" w:hAnsiTheme="majorHAnsi"/>
          <w:i/>
          <w:sz w:val="22"/>
        </w:rPr>
        <w:t>Phys. Med. Biol</w:t>
      </w:r>
      <w:r w:rsidR="002F2F92" w:rsidRPr="00190CE5">
        <w:rPr>
          <w:rFonts w:asciiTheme="majorHAnsi" w:hAnsiTheme="majorHAnsi"/>
          <w:sz w:val="22"/>
        </w:rPr>
        <w:t xml:space="preserve">. </w:t>
      </w:r>
      <w:r w:rsidR="002F2F92" w:rsidRPr="00190CE5">
        <w:rPr>
          <w:rFonts w:asciiTheme="majorHAnsi" w:hAnsiTheme="majorHAnsi"/>
          <w:b/>
          <w:sz w:val="22"/>
        </w:rPr>
        <w:t>50</w:t>
      </w:r>
      <w:r w:rsidR="002F2F92" w:rsidRPr="00190CE5">
        <w:rPr>
          <w:rFonts w:asciiTheme="majorHAnsi" w:hAnsiTheme="majorHAnsi"/>
          <w:sz w:val="22"/>
        </w:rPr>
        <w:t>, 2267-2274</w:t>
      </w:r>
      <w:r w:rsidR="00EE658A" w:rsidRPr="00190CE5">
        <w:rPr>
          <w:rFonts w:asciiTheme="majorHAnsi" w:hAnsiTheme="majorHAnsi"/>
          <w:sz w:val="22"/>
        </w:rPr>
        <w:t xml:space="preserve"> (2005)</w:t>
      </w:r>
      <w:r w:rsidR="002F2F92" w:rsidRPr="00190CE5">
        <w:rPr>
          <w:rFonts w:asciiTheme="majorHAnsi" w:hAnsiTheme="majorHAnsi"/>
          <w:sz w:val="22"/>
        </w:rPr>
        <w:t>.</w:t>
      </w:r>
    </w:p>
    <w:p w14:paraId="758E9FAB" w14:textId="6F7C74D2" w:rsidR="00A04CF5" w:rsidRPr="00190CE5" w:rsidRDefault="00F90E39" w:rsidP="00057754">
      <w:pPr>
        <w:pStyle w:val="NoSpacing"/>
        <w:spacing w:after="100" w:afterAutospacing="1" w:line="360" w:lineRule="auto"/>
        <w:ind w:left="851" w:hanging="851"/>
        <w:rPr>
          <w:rFonts w:asciiTheme="majorHAnsi" w:hAnsiTheme="majorHAnsi" w:cs="Calibri"/>
          <w:sz w:val="22"/>
        </w:rPr>
      </w:pPr>
      <w:r w:rsidRPr="00190CE5">
        <w:rPr>
          <w:rFonts w:asciiTheme="majorHAnsi" w:hAnsiTheme="majorHAnsi" w:cs="Calibri"/>
          <w:sz w:val="22"/>
        </w:rPr>
        <w:t>17</w:t>
      </w:r>
      <w:r w:rsidR="00A04CF5" w:rsidRPr="00190CE5">
        <w:rPr>
          <w:rFonts w:asciiTheme="majorHAnsi" w:hAnsiTheme="majorHAnsi" w:cs="Calibri"/>
          <w:sz w:val="22"/>
        </w:rPr>
        <w:tab/>
        <w:t xml:space="preserve">Hoettges KF, </w:t>
      </w:r>
      <w:proofErr w:type="spellStart"/>
      <w:r w:rsidR="00A04CF5" w:rsidRPr="00190CE5">
        <w:rPr>
          <w:rFonts w:asciiTheme="majorHAnsi" w:hAnsiTheme="majorHAnsi"/>
          <w:sz w:val="22"/>
        </w:rPr>
        <w:t>Hübner</w:t>
      </w:r>
      <w:proofErr w:type="spellEnd"/>
      <w:r w:rsidR="00A04CF5" w:rsidRPr="00190CE5">
        <w:rPr>
          <w:rFonts w:asciiTheme="majorHAnsi" w:hAnsiTheme="majorHAnsi"/>
          <w:sz w:val="22"/>
        </w:rPr>
        <w:t xml:space="preserve"> Y</w:t>
      </w:r>
      <w:r w:rsidR="00A04CF5" w:rsidRPr="00190CE5">
        <w:rPr>
          <w:rFonts w:asciiTheme="majorHAnsi" w:hAnsiTheme="majorHAnsi" w:cs="Calibri"/>
          <w:sz w:val="22"/>
        </w:rPr>
        <w:t xml:space="preserve">, Broche LM, Ogin SL, </w:t>
      </w:r>
      <w:proofErr w:type="spellStart"/>
      <w:r w:rsidR="00A04CF5" w:rsidRPr="00190CE5">
        <w:rPr>
          <w:rFonts w:asciiTheme="majorHAnsi" w:hAnsiTheme="majorHAnsi" w:cs="Calibri"/>
          <w:sz w:val="22"/>
        </w:rPr>
        <w:t>Kass</w:t>
      </w:r>
      <w:proofErr w:type="spellEnd"/>
      <w:r w:rsidR="00A04CF5" w:rsidRPr="00190CE5">
        <w:rPr>
          <w:rFonts w:asciiTheme="majorHAnsi" w:hAnsiTheme="majorHAnsi" w:cs="Calibri"/>
          <w:sz w:val="22"/>
        </w:rPr>
        <w:t xml:space="preserve"> GEN</w:t>
      </w:r>
      <w:r w:rsidR="00E4176D" w:rsidRPr="00190CE5">
        <w:rPr>
          <w:rFonts w:asciiTheme="majorHAnsi" w:hAnsiTheme="majorHAnsi" w:cs="Calibri"/>
          <w:sz w:val="22"/>
        </w:rPr>
        <w:t xml:space="preserve"> &amp;</w:t>
      </w:r>
      <w:r w:rsidR="00A04CF5" w:rsidRPr="00190CE5">
        <w:rPr>
          <w:rFonts w:asciiTheme="majorHAnsi" w:hAnsiTheme="majorHAnsi" w:cs="Calibri"/>
          <w:sz w:val="22"/>
        </w:rPr>
        <w:t xml:space="preserve"> Hughes MP. </w:t>
      </w:r>
      <w:r w:rsidR="00994EB8" w:rsidRPr="00190CE5">
        <w:rPr>
          <w:rFonts w:asciiTheme="majorHAnsi" w:hAnsiTheme="majorHAnsi" w:cs="Calibri"/>
          <w:sz w:val="22"/>
        </w:rPr>
        <w:t xml:space="preserve"> Dielectrophoresis-activated </w:t>
      </w:r>
      <w:proofErr w:type="spellStart"/>
      <w:r w:rsidR="00994EB8" w:rsidRPr="00190CE5">
        <w:rPr>
          <w:rFonts w:asciiTheme="majorHAnsi" w:hAnsiTheme="majorHAnsi" w:cs="Calibri"/>
          <w:sz w:val="22"/>
        </w:rPr>
        <w:t>multiwell</w:t>
      </w:r>
      <w:proofErr w:type="spellEnd"/>
      <w:r w:rsidR="00994EB8" w:rsidRPr="00190CE5">
        <w:rPr>
          <w:rFonts w:asciiTheme="majorHAnsi" w:hAnsiTheme="majorHAnsi" w:cs="Calibri"/>
          <w:sz w:val="22"/>
        </w:rPr>
        <w:t xml:space="preserve"> Plate for label-free high-throughput Drug Assessment</w:t>
      </w:r>
      <w:r w:rsidR="003D3222" w:rsidRPr="00190CE5">
        <w:rPr>
          <w:rFonts w:asciiTheme="majorHAnsi" w:hAnsiTheme="majorHAnsi" w:cs="Calibri"/>
          <w:sz w:val="22"/>
        </w:rPr>
        <w:t xml:space="preserve"> </w:t>
      </w:r>
      <w:r w:rsidR="00A04CF5" w:rsidRPr="00190CE5">
        <w:rPr>
          <w:rFonts w:asciiTheme="majorHAnsi" w:hAnsiTheme="majorHAnsi" w:cs="Calibri"/>
          <w:i/>
          <w:sz w:val="22"/>
        </w:rPr>
        <w:t>Anal. Chem</w:t>
      </w:r>
      <w:r w:rsidR="00A04CF5" w:rsidRPr="00190CE5">
        <w:rPr>
          <w:rFonts w:asciiTheme="majorHAnsi" w:hAnsiTheme="majorHAnsi" w:cs="Calibri"/>
          <w:sz w:val="22"/>
        </w:rPr>
        <w:t xml:space="preserve">. </w:t>
      </w:r>
      <w:r w:rsidR="00A04CF5" w:rsidRPr="00190CE5">
        <w:rPr>
          <w:rFonts w:asciiTheme="majorHAnsi" w:hAnsiTheme="majorHAnsi" w:cs="Calibri"/>
          <w:b/>
          <w:sz w:val="22"/>
        </w:rPr>
        <w:t>80</w:t>
      </w:r>
      <w:r w:rsidR="00A04CF5" w:rsidRPr="00190CE5">
        <w:rPr>
          <w:rFonts w:asciiTheme="majorHAnsi" w:hAnsiTheme="majorHAnsi" w:cs="Calibri"/>
          <w:sz w:val="22"/>
        </w:rPr>
        <w:t>, 2063-2068</w:t>
      </w:r>
      <w:r w:rsidR="00EE658A" w:rsidRPr="00190CE5">
        <w:rPr>
          <w:rFonts w:asciiTheme="majorHAnsi" w:hAnsiTheme="majorHAnsi" w:cs="Calibri"/>
          <w:sz w:val="22"/>
        </w:rPr>
        <w:t xml:space="preserve"> (2008)</w:t>
      </w:r>
      <w:r w:rsidR="00A04CF5" w:rsidRPr="00190CE5">
        <w:rPr>
          <w:rFonts w:asciiTheme="majorHAnsi" w:hAnsiTheme="majorHAnsi" w:cs="Calibri"/>
          <w:sz w:val="22"/>
        </w:rPr>
        <w:t>.</w:t>
      </w:r>
    </w:p>
    <w:p w14:paraId="7A1E2862" w14:textId="61A9D4B1" w:rsidR="00A04CF5" w:rsidRPr="00190CE5" w:rsidRDefault="00F90E39" w:rsidP="00057754">
      <w:pPr>
        <w:spacing w:after="100" w:afterAutospacing="1"/>
        <w:ind w:left="851" w:hanging="851"/>
        <w:rPr>
          <w:rFonts w:asciiTheme="majorHAnsi" w:hAnsiTheme="majorHAnsi" w:cs="Calibri"/>
          <w:sz w:val="22"/>
        </w:rPr>
      </w:pPr>
      <w:r w:rsidRPr="00190CE5">
        <w:rPr>
          <w:rFonts w:asciiTheme="majorHAnsi" w:hAnsiTheme="majorHAnsi" w:cs="Calibri"/>
          <w:sz w:val="22"/>
        </w:rPr>
        <w:t>18</w:t>
      </w:r>
      <w:r w:rsidR="00A04CF5" w:rsidRPr="00190CE5">
        <w:rPr>
          <w:rFonts w:asciiTheme="majorHAnsi" w:hAnsiTheme="majorHAnsi" w:cs="Calibri"/>
          <w:sz w:val="22"/>
        </w:rPr>
        <w:tab/>
        <w:t xml:space="preserve">Fry CH, Salvage SC, </w:t>
      </w:r>
      <w:proofErr w:type="spellStart"/>
      <w:r w:rsidR="00A04CF5" w:rsidRPr="00190CE5">
        <w:rPr>
          <w:rFonts w:asciiTheme="majorHAnsi" w:hAnsiTheme="majorHAnsi" w:cs="Calibri"/>
          <w:sz w:val="22"/>
        </w:rPr>
        <w:t>Manazza</w:t>
      </w:r>
      <w:proofErr w:type="spellEnd"/>
      <w:r w:rsidR="00A04CF5" w:rsidRPr="00190CE5">
        <w:rPr>
          <w:rFonts w:asciiTheme="majorHAnsi" w:hAnsiTheme="majorHAnsi" w:cs="Calibri"/>
          <w:sz w:val="22"/>
        </w:rPr>
        <w:t xml:space="preserve"> A, </w:t>
      </w:r>
      <w:proofErr w:type="spellStart"/>
      <w:r w:rsidR="00A04CF5" w:rsidRPr="00190CE5">
        <w:rPr>
          <w:rFonts w:asciiTheme="majorHAnsi" w:hAnsiTheme="majorHAnsi" w:cs="Calibri"/>
          <w:sz w:val="22"/>
        </w:rPr>
        <w:t>Dupont</w:t>
      </w:r>
      <w:proofErr w:type="spellEnd"/>
      <w:r w:rsidR="00A04CF5" w:rsidRPr="00190CE5">
        <w:rPr>
          <w:rFonts w:asciiTheme="majorHAnsi" w:hAnsiTheme="majorHAnsi" w:cs="Calibri"/>
          <w:sz w:val="22"/>
        </w:rPr>
        <w:t xml:space="preserve"> E, Labeed FH, Hughes MP</w:t>
      </w:r>
      <w:r w:rsidR="00E4176D" w:rsidRPr="00190CE5">
        <w:rPr>
          <w:rFonts w:asciiTheme="majorHAnsi" w:hAnsiTheme="majorHAnsi" w:cs="Calibri"/>
          <w:sz w:val="22"/>
        </w:rPr>
        <w:t xml:space="preserve"> &amp;</w:t>
      </w:r>
      <w:r w:rsidR="00A04CF5" w:rsidRPr="00190CE5">
        <w:rPr>
          <w:rFonts w:asciiTheme="majorHAnsi" w:hAnsiTheme="majorHAnsi" w:cs="Calibri"/>
          <w:sz w:val="22"/>
        </w:rPr>
        <w:t xml:space="preserve"> Jabr RI.</w:t>
      </w:r>
      <w:r w:rsidR="00994EB8" w:rsidRPr="00190CE5">
        <w:rPr>
          <w:rFonts w:asciiTheme="majorHAnsi" w:hAnsiTheme="majorHAnsi"/>
          <w:sz w:val="22"/>
        </w:rPr>
        <w:t xml:space="preserve"> </w:t>
      </w:r>
      <w:r w:rsidR="00994EB8" w:rsidRPr="00190CE5">
        <w:rPr>
          <w:rFonts w:asciiTheme="majorHAnsi" w:hAnsiTheme="majorHAnsi" w:cs="Calibri"/>
          <w:sz w:val="22"/>
        </w:rPr>
        <w:t>Cytoplasm resistivity of mammalian atrial myocardium determined by dielectrophoresis and impedance methods.</w:t>
      </w:r>
      <w:r w:rsidR="00A04CF5" w:rsidRPr="00190CE5">
        <w:rPr>
          <w:rFonts w:asciiTheme="majorHAnsi" w:hAnsiTheme="majorHAnsi" w:cs="Calibri"/>
          <w:sz w:val="22"/>
        </w:rPr>
        <w:t xml:space="preserve"> </w:t>
      </w:r>
      <w:r w:rsidR="00A04CF5" w:rsidRPr="00190CE5">
        <w:rPr>
          <w:rFonts w:asciiTheme="majorHAnsi" w:hAnsiTheme="majorHAnsi" w:cs="Calibri"/>
          <w:i/>
          <w:sz w:val="22"/>
        </w:rPr>
        <w:t>Biophys. J</w:t>
      </w:r>
      <w:r w:rsidR="00A04CF5" w:rsidRPr="00190CE5">
        <w:rPr>
          <w:rFonts w:asciiTheme="majorHAnsi" w:hAnsiTheme="majorHAnsi" w:cs="Calibri"/>
          <w:sz w:val="22"/>
        </w:rPr>
        <w:t xml:space="preserve">. </w:t>
      </w:r>
      <w:r w:rsidR="00A04CF5" w:rsidRPr="00190CE5">
        <w:rPr>
          <w:rFonts w:asciiTheme="majorHAnsi" w:hAnsiTheme="majorHAnsi" w:cs="Calibri"/>
          <w:b/>
          <w:sz w:val="22"/>
        </w:rPr>
        <w:t>103</w:t>
      </w:r>
      <w:r w:rsidR="00A04CF5" w:rsidRPr="00190CE5">
        <w:rPr>
          <w:rFonts w:asciiTheme="majorHAnsi" w:hAnsiTheme="majorHAnsi" w:cs="Calibri"/>
          <w:sz w:val="22"/>
        </w:rPr>
        <w:t>, 2287-2294</w:t>
      </w:r>
      <w:r w:rsidR="00EE658A" w:rsidRPr="00190CE5">
        <w:rPr>
          <w:rFonts w:asciiTheme="majorHAnsi" w:hAnsiTheme="majorHAnsi" w:cs="Calibri"/>
          <w:sz w:val="22"/>
        </w:rPr>
        <w:t xml:space="preserve"> (2012)</w:t>
      </w:r>
      <w:r w:rsidR="00A04CF5" w:rsidRPr="00190CE5">
        <w:rPr>
          <w:rFonts w:asciiTheme="majorHAnsi" w:hAnsiTheme="majorHAnsi" w:cs="Calibri"/>
          <w:sz w:val="22"/>
        </w:rPr>
        <w:t xml:space="preserve">. </w:t>
      </w:r>
    </w:p>
    <w:p w14:paraId="492AD882" w14:textId="5FA6B31A" w:rsidR="00A04CF5" w:rsidRPr="00190CE5" w:rsidRDefault="00F90E39" w:rsidP="00057754">
      <w:pPr>
        <w:spacing w:after="100" w:afterAutospacing="1"/>
        <w:ind w:left="851" w:hanging="851"/>
        <w:rPr>
          <w:rFonts w:asciiTheme="majorHAnsi" w:eastAsia="Calibri" w:hAnsiTheme="majorHAnsi" w:cs="Times New Roman"/>
          <w:sz w:val="22"/>
        </w:rPr>
      </w:pPr>
      <w:r w:rsidRPr="00190CE5">
        <w:rPr>
          <w:rFonts w:asciiTheme="majorHAnsi" w:hAnsiTheme="majorHAnsi" w:cs="Calibri"/>
          <w:sz w:val="22"/>
        </w:rPr>
        <w:t>19</w:t>
      </w:r>
      <w:r w:rsidR="00A04CF5" w:rsidRPr="00190CE5">
        <w:rPr>
          <w:rFonts w:asciiTheme="majorHAnsi" w:hAnsiTheme="majorHAnsi" w:cs="Calibri"/>
          <w:sz w:val="22"/>
        </w:rPr>
        <w:tab/>
      </w:r>
      <w:proofErr w:type="spellStart"/>
      <w:r w:rsidR="00A04CF5" w:rsidRPr="00190CE5">
        <w:rPr>
          <w:rFonts w:asciiTheme="majorHAnsi" w:eastAsia="Calibri" w:hAnsiTheme="majorHAnsi" w:cs="Times New Roman"/>
          <w:sz w:val="22"/>
        </w:rPr>
        <w:t>Vykoukal</w:t>
      </w:r>
      <w:proofErr w:type="spellEnd"/>
      <w:r w:rsidR="00A04CF5" w:rsidRPr="00190CE5">
        <w:rPr>
          <w:rFonts w:asciiTheme="majorHAnsi" w:eastAsia="Calibri" w:hAnsiTheme="majorHAnsi" w:cs="Times New Roman"/>
          <w:sz w:val="22"/>
        </w:rPr>
        <w:t xml:space="preserve"> J, </w:t>
      </w:r>
      <w:proofErr w:type="spellStart"/>
      <w:r w:rsidR="00A04CF5" w:rsidRPr="00190CE5">
        <w:rPr>
          <w:rFonts w:asciiTheme="majorHAnsi" w:eastAsia="Calibri" w:hAnsiTheme="majorHAnsi" w:cs="Times New Roman"/>
          <w:sz w:val="22"/>
        </w:rPr>
        <w:t>Vykoukal</w:t>
      </w:r>
      <w:proofErr w:type="spellEnd"/>
      <w:r w:rsidR="00A04CF5" w:rsidRPr="00190CE5">
        <w:rPr>
          <w:rFonts w:asciiTheme="majorHAnsi" w:eastAsia="Calibri" w:hAnsiTheme="majorHAnsi" w:cs="Times New Roman"/>
          <w:sz w:val="22"/>
        </w:rPr>
        <w:t xml:space="preserve"> DM, Freyberg S, Alt EU</w:t>
      </w:r>
      <w:r w:rsidR="00E4176D" w:rsidRPr="00190CE5">
        <w:rPr>
          <w:rFonts w:asciiTheme="majorHAnsi" w:eastAsia="Calibri" w:hAnsiTheme="majorHAnsi" w:cs="Times New Roman"/>
          <w:sz w:val="22"/>
        </w:rPr>
        <w:t xml:space="preserve"> &amp;</w:t>
      </w:r>
      <w:r w:rsidR="00A04CF5" w:rsidRPr="00190CE5">
        <w:rPr>
          <w:rFonts w:asciiTheme="majorHAnsi" w:eastAsia="Calibri" w:hAnsiTheme="majorHAnsi" w:cs="Times New Roman"/>
          <w:sz w:val="22"/>
        </w:rPr>
        <w:t xml:space="preserve"> Gascoyne PRC. </w:t>
      </w:r>
      <w:r w:rsidR="00994EB8" w:rsidRPr="00190CE5">
        <w:rPr>
          <w:rFonts w:asciiTheme="majorHAnsi" w:eastAsia="Calibri" w:hAnsiTheme="majorHAnsi" w:cs="Times New Roman"/>
          <w:sz w:val="22"/>
        </w:rPr>
        <w:t xml:space="preserve">Enrichment of putative stem cells from adipose tissue using dielectrophoretic field-flow fractionation. </w:t>
      </w:r>
      <w:r w:rsidR="00A04CF5" w:rsidRPr="00190CE5">
        <w:rPr>
          <w:rFonts w:asciiTheme="majorHAnsi" w:hAnsiTheme="majorHAnsi"/>
          <w:i/>
          <w:sz w:val="22"/>
        </w:rPr>
        <w:t>Lab Chip</w:t>
      </w:r>
      <w:r w:rsidR="00A04CF5" w:rsidRPr="00190CE5">
        <w:rPr>
          <w:rFonts w:asciiTheme="majorHAnsi" w:hAnsiTheme="majorHAnsi"/>
          <w:sz w:val="22"/>
        </w:rPr>
        <w:t xml:space="preserve"> </w:t>
      </w:r>
      <w:r w:rsidR="00A04CF5" w:rsidRPr="00190CE5">
        <w:rPr>
          <w:rFonts w:asciiTheme="majorHAnsi" w:hAnsiTheme="majorHAnsi"/>
          <w:b/>
          <w:sz w:val="22"/>
        </w:rPr>
        <w:t>8</w:t>
      </w:r>
      <w:r w:rsidR="00A04CF5" w:rsidRPr="00190CE5">
        <w:rPr>
          <w:rFonts w:asciiTheme="majorHAnsi" w:hAnsiTheme="majorHAnsi"/>
          <w:sz w:val="22"/>
        </w:rPr>
        <w:t>, 1386-1393</w:t>
      </w:r>
      <w:r w:rsidR="00EE658A" w:rsidRPr="00190CE5">
        <w:rPr>
          <w:rFonts w:asciiTheme="majorHAnsi" w:hAnsiTheme="majorHAnsi"/>
          <w:sz w:val="22"/>
        </w:rPr>
        <w:t xml:space="preserve"> (</w:t>
      </w:r>
      <w:r w:rsidR="00994EB8" w:rsidRPr="00190CE5">
        <w:rPr>
          <w:rFonts w:asciiTheme="majorHAnsi" w:eastAsia="Calibri" w:hAnsiTheme="majorHAnsi" w:cs="Times New Roman"/>
          <w:sz w:val="22"/>
        </w:rPr>
        <w:t>2008</w:t>
      </w:r>
      <w:r w:rsidR="00EE658A" w:rsidRPr="00190CE5">
        <w:rPr>
          <w:rFonts w:asciiTheme="majorHAnsi" w:hAnsiTheme="majorHAnsi"/>
          <w:sz w:val="22"/>
        </w:rPr>
        <w:t>)</w:t>
      </w:r>
      <w:r w:rsidR="00A04CF5" w:rsidRPr="00190CE5">
        <w:rPr>
          <w:rFonts w:asciiTheme="majorHAnsi" w:hAnsiTheme="majorHAnsi"/>
          <w:sz w:val="22"/>
        </w:rPr>
        <w:t>.</w:t>
      </w:r>
    </w:p>
    <w:p w14:paraId="05058F6E" w14:textId="644D0E7D" w:rsidR="00A04CF5" w:rsidRPr="00190CE5" w:rsidRDefault="00F90E39" w:rsidP="00057754">
      <w:pPr>
        <w:pStyle w:val="NoSpacing"/>
        <w:spacing w:after="100" w:afterAutospacing="1" w:line="360" w:lineRule="auto"/>
        <w:ind w:left="851" w:hanging="851"/>
        <w:rPr>
          <w:rFonts w:asciiTheme="majorHAnsi" w:eastAsia="Calibri" w:hAnsiTheme="majorHAnsi" w:cs="Times New Roman"/>
          <w:sz w:val="22"/>
        </w:rPr>
      </w:pPr>
      <w:r w:rsidRPr="00190CE5">
        <w:rPr>
          <w:rFonts w:asciiTheme="majorHAnsi" w:hAnsiTheme="majorHAnsi" w:cs="Calibri"/>
          <w:sz w:val="22"/>
        </w:rPr>
        <w:t>20</w:t>
      </w:r>
      <w:r w:rsidR="00A04CF5" w:rsidRPr="00190CE5">
        <w:rPr>
          <w:rFonts w:asciiTheme="majorHAnsi" w:hAnsiTheme="majorHAnsi" w:cs="Calibri"/>
          <w:sz w:val="22"/>
        </w:rPr>
        <w:tab/>
      </w:r>
      <w:r w:rsidR="00A04CF5" w:rsidRPr="00190CE5">
        <w:rPr>
          <w:rFonts w:asciiTheme="majorHAnsi" w:eastAsia="Calibri" w:hAnsiTheme="majorHAnsi" w:cs="Times New Roman"/>
          <w:sz w:val="22"/>
        </w:rPr>
        <w:t xml:space="preserve">Burt JP, </w:t>
      </w:r>
      <w:proofErr w:type="spellStart"/>
      <w:r w:rsidR="00A04CF5" w:rsidRPr="00190CE5">
        <w:rPr>
          <w:rFonts w:asciiTheme="majorHAnsi" w:eastAsia="Calibri" w:hAnsiTheme="majorHAnsi" w:cs="Times New Roman"/>
          <w:sz w:val="22"/>
        </w:rPr>
        <w:t>Pethig</w:t>
      </w:r>
      <w:proofErr w:type="spellEnd"/>
      <w:r w:rsidR="00A04CF5" w:rsidRPr="00190CE5">
        <w:rPr>
          <w:rFonts w:asciiTheme="majorHAnsi" w:eastAsia="Calibri" w:hAnsiTheme="majorHAnsi" w:cs="Times New Roman"/>
          <w:sz w:val="22"/>
        </w:rPr>
        <w:t xml:space="preserve"> R, Gascoyne PR</w:t>
      </w:r>
      <w:r w:rsidR="00E4176D" w:rsidRPr="00190CE5">
        <w:rPr>
          <w:rFonts w:asciiTheme="majorHAnsi" w:eastAsia="Calibri" w:hAnsiTheme="majorHAnsi" w:cs="Times New Roman"/>
          <w:sz w:val="22"/>
        </w:rPr>
        <w:t xml:space="preserve"> &amp;</w:t>
      </w:r>
      <w:r w:rsidR="00A04CF5" w:rsidRPr="00190CE5">
        <w:rPr>
          <w:rFonts w:asciiTheme="majorHAnsi" w:eastAsia="Calibri" w:hAnsiTheme="majorHAnsi" w:cs="Times New Roman"/>
          <w:sz w:val="22"/>
        </w:rPr>
        <w:t xml:space="preserve"> Becker FF.</w:t>
      </w:r>
      <w:r w:rsidR="00994EB8" w:rsidRPr="00190CE5">
        <w:t xml:space="preserve"> </w:t>
      </w:r>
      <w:r w:rsidR="00994EB8" w:rsidRPr="00190CE5">
        <w:rPr>
          <w:rFonts w:asciiTheme="majorHAnsi" w:eastAsia="Calibri" w:hAnsiTheme="majorHAnsi" w:cs="Times New Roman"/>
          <w:sz w:val="22"/>
        </w:rPr>
        <w:t xml:space="preserve">Dielectrophoretic characterisation of Friend murine </w:t>
      </w:r>
      <w:proofErr w:type="spellStart"/>
      <w:r w:rsidR="00994EB8" w:rsidRPr="00190CE5">
        <w:rPr>
          <w:rFonts w:asciiTheme="majorHAnsi" w:eastAsia="Calibri" w:hAnsiTheme="majorHAnsi" w:cs="Times New Roman"/>
          <w:sz w:val="22"/>
        </w:rPr>
        <w:t>erythroleukaemic</w:t>
      </w:r>
      <w:proofErr w:type="spellEnd"/>
      <w:r w:rsidR="00994EB8" w:rsidRPr="00190CE5">
        <w:rPr>
          <w:rFonts w:asciiTheme="majorHAnsi" w:eastAsia="Calibri" w:hAnsiTheme="majorHAnsi" w:cs="Times New Roman"/>
          <w:sz w:val="22"/>
        </w:rPr>
        <w:t xml:space="preserve"> cells as a measure of induced differentiation.</w:t>
      </w:r>
      <w:r w:rsidR="00A04CF5" w:rsidRPr="00190CE5">
        <w:rPr>
          <w:rFonts w:asciiTheme="majorHAnsi" w:eastAsia="Calibri" w:hAnsiTheme="majorHAnsi" w:cs="Times New Roman"/>
          <w:sz w:val="22"/>
        </w:rPr>
        <w:t xml:space="preserve"> </w:t>
      </w:r>
      <w:proofErr w:type="spellStart"/>
      <w:r w:rsidR="00A04CF5" w:rsidRPr="00190CE5">
        <w:rPr>
          <w:rFonts w:asciiTheme="majorHAnsi" w:eastAsia="Calibri" w:hAnsiTheme="majorHAnsi" w:cs="Times New Roman"/>
          <w:i/>
          <w:sz w:val="22"/>
        </w:rPr>
        <w:t>Biochim</w:t>
      </w:r>
      <w:proofErr w:type="spellEnd"/>
      <w:r w:rsidR="00A04CF5" w:rsidRPr="00190CE5">
        <w:rPr>
          <w:rFonts w:asciiTheme="majorHAnsi" w:eastAsia="Calibri" w:hAnsiTheme="majorHAnsi" w:cs="Times New Roman"/>
          <w:i/>
          <w:sz w:val="22"/>
        </w:rPr>
        <w:t>. Biophys. Acta</w:t>
      </w:r>
      <w:r w:rsidR="00A04CF5" w:rsidRPr="00190CE5">
        <w:rPr>
          <w:rFonts w:asciiTheme="majorHAnsi" w:eastAsia="Calibri" w:hAnsiTheme="majorHAnsi" w:cs="Times New Roman"/>
          <w:sz w:val="22"/>
        </w:rPr>
        <w:t xml:space="preserve"> </w:t>
      </w:r>
      <w:r w:rsidR="00A04CF5" w:rsidRPr="00190CE5">
        <w:rPr>
          <w:rFonts w:asciiTheme="majorHAnsi" w:eastAsia="Calibri" w:hAnsiTheme="majorHAnsi" w:cs="Times New Roman"/>
          <w:b/>
          <w:sz w:val="22"/>
        </w:rPr>
        <w:t>1034</w:t>
      </w:r>
      <w:r w:rsidR="00A04CF5" w:rsidRPr="00190CE5">
        <w:rPr>
          <w:rFonts w:asciiTheme="majorHAnsi" w:eastAsia="Calibri" w:hAnsiTheme="majorHAnsi" w:cs="Times New Roman"/>
          <w:sz w:val="22"/>
        </w:rPr>
        <w:t>, 93-101</w:t>
      </w:r>
      <w:r w:rsidR="00EE658A" w:rsidRPr="00190CE5">
        <w:rPr>
          <w:rFonts w:asciiTheme="majorHAnsi" w:eastAsia="Calibri" w:hAnsiTheme="majorHAnsi" w:cs="Times New Roman"/>
          <w:sz w:val="22"/>
        </w:rPr>
        <w:t xml:space="preserve"> (1990)</w:t>
      </w:r>
      <w:r w:rsidR="00A04CF5" w:rsidRPr="00190CE5">
        <w:rPr>
          <w:rFonts w:asciiTheme="majorHAnsi" w:eastAsia="Calibri" w:hAnsiTheme="majorHAnsi" w:cs="Times New Roman"/>
          <w:sz w:val="22"/>
        </w:rPr>
        <w:t>.</w:t>
      </w:r>
    </w:p>
    <w:p w14:paraId="6C03EC71" w14:textId="1424F00F" w:rsidR="00A04CF5" w:rsidRPr="00190CE5" w:rsidRDefault="00F90E39" w:rsidP="00994EB8">
      <w:pPr>
        <w:pStyle w:val="NoSpacing"/>
        <w:spacing w:after="100" w:afterAutospacing="1" w:line="360" w:lineRule="auto"/>
        <w:ind w:left="851" w:hanging="851"/>
        <w:rPr>
          <w:rFonts w:asciiTheme="majorHAnsi" w:hAnsiTheme="majorHAnsi"/>
          <w:bCs/>
          <w:sz w:val="22"/>
        </w:rPr>
      </w:pPr>
      <w:r w:rsidRPr="00190CE5">
        <w:rPr>
          <w:rFonts w:asciiTheme="majorHAnsi" w:hAnsiTheme="majorHAnsi" w:cs="Calibri"/>
          <w:sz w:val="22"/>
        </w:rPr>
        <w:lastRenderedPageBreak/>
        <w:t>21</w:t>
      </w:r>
      <w:r w:rsidR="00A04CF5" w:rsidRPr="00190CE5">
        <w:rPr>
          <w:rFonts w:asciiTheme="majorHAnsi" w:hAnsiTheme="majorHAnsi" w:cs="Calibri"/>
          <w:sz w:val="22"/>
        </w:rPr>
        <w:tab/>
      </w:r>
      <w:r w:rsidR="00A04CF5" w:rsidRPr="00190CE5">
        <w:rPr>
          <w:rFonts w:asciiTheme="majorHAnsi" w:hAnsiTheme="majorHAnsi"/>
          <w:sz w:val="22"/>
        </w:rPr>
        <w:t>Liang X,</w:t>
      </w:r>
      <w:r w:rsidR="00A04CF5" w:rsidRPr="00190CE5">
        <w:rPr>
          <w:rFonts w:asciiTheme="majorHAnsi" w:eastAsia="SimSun" w:hAnsiTheme="majorHAnsi"/>
          <w:sz w:val="22"/>
          <w:lang w:eastAsia="zh-CN"/>
        </w:rPr>
        <w:t xml:space="preserve"> Graham KA</w:t>
      </w:r>
      <w:r w:rsidR="00A04CF5" w:rsidRPr="00190CE5">
        <w:rPr>
          <w:rFonts w:asciiTheme="majorHAnsi" w:hAnsiTheme="majorHAnsi"/>
          <w:sz w:val="22"/>
        </w:rPr>
        <w:t xml:space="preserve">, </w:t>
      </w:r>
      <w:proofErr w:type="spellStart"/>
      <w:r w:rsidR="00A04CF5" w:rsidRPr="00190CE5">
        <w:rPr>
          <w:rFonts w:asciiTheme="majorHAnsi" w:hAnsiTheme="majorHAnsi"/>
          <w:sz w:val="22"/>
        </w:rPr>
        <w:t>Johannessen</w:t>
      </w:r>
      <w:proofErr w:type="spellEnd"/>
      <w:r w:rsidR="00A04CF5" w:rsidRPr="00190CE5">
        <w:rPr>
          <w:rFonts w:asciiTheme="majorHAnsi" w:hAnsiTheme="majorHAnsi"/>
          <w:sz w:val="22"/>
        </w:rPr>
        <w:t xml:space="preserve"> AC, </w:t>
      </w:r>
      <w:proofErr w:type="spellStart"/>
      <w:r w:rsidR="00A04CF5" w:rsidRPr="00190CE5">
        <w:rPr>
          <w:rFonts w:asciiTheme="majorHAnsi" w:hAnsiTheme="majorHAnsi"/>
          <w:sz w:val="22"/>
        </w:rPr>
        <w:t>Costea</w:t>
      </w:r>
      <w:proofErr w:type="spellEnd"/>
      <w:r w:rsidR="00A04CF5" w:rsidRPr="00190CE5">
        <w:rPr>
          <w:rFonts w:asciiTheme="majorHAnsi" w:hAnsiTheme="majorHAnsi"/>
          <w:sz w:val="22"/>
        </w:rPr>
        <w:t xml:space="preserve"> DE</w:t>
      </w:r>
      <w:r w:rsidR="00E4176D" w:rsidRPr="00190CE5">
        <w:rPr>
          <w:rFonts w:asciiTheme="majorHAnsi" w:eastAsia="SimSun" w:hAnsiTheme="majorHAnsi"/>
          <w:sz w:val="22"/>
          <w:vertAlign w:val="superscript"/>
          <w:lang w:eastAsia="zh-CN"/>
        </w:rPr>
        <w:t xml:space="preserve"> </w:t>
      </w:r>
      <w:r w:rsidR="00E4176D" w:rsidRPr="00190CE5">
        <w:rPr>
          <w:rFonts w:asciiTheme="majorHAnsi" w:eastAsia="SimSun" w:hAnsiTheme="majorHAnsi"/>
          <w:sz w:val="22"/>
          <w:lang w:eastAsia="zh-CN"/>
        </w:rPr>
        <w:t>&amp;</w:t>
      </w:r>
      <w:r w:rsidR="00A04CF5" w:rsidRPr="00190CE5">
        <w:rPr>
          <w:rFonts w:asciiTheme="majorHAnsi" w:eastAsia="SimSun" w:hAnsiTheme="majorHAnsi"/>
          <w:sz w:val="22"/>
          <w:vertAlign w:val="superscript"/>
          <w:lang w:eastAsia="zh-CN"/>
        </w:rPr>
        <w:t xml:space="preserve"> </w:t>
      </w:r>
      <w:r w:rsidR="00A04CF5" w:rsidRPr="00190CE5">
        <w:rPr>
          <w:rFonts w:asciiTheme="majorHAnsi" w:hAnsiTheme="majorHAnsi"/>
          <w:sz w:val="22"/>
        </w:rPr>
        <w:t>Labeed FH.</w:t>
      </w:r>
      <w:r w:rsidR="00994EB8" w:rsidRPr="00190CE5">
        <w:rPr>
          <w:rFonts w:asciiTheme="majorHAnsi" w:hAnsiTheme="majorHAnsi"/>
          <w:sz w:val="22"/>
        </w:rPr>
        <w:t xml:space="preserve"> Human oral cancer cells with increasing tumorigenic abilities exhibit higher effective membrane capacitance</w:t>
      </w:r>
      <w:r w:rsidR="00A04CF5" w:rsidRPr="00190CE5">
        <w:rPr>
          <w:rFonts w:asciiTheme="majorHAnsi" w:hAnsiTheme="majorHAnsi"/>
          <w:sz w:val="22"/>
        </w:rPr>
        <w:t xml:space="preserve">.  </w:t>
      </w:r>
      <w:r w:rsidR="00A04CF5" w:rsidRPr="00190CE5">
        <w:rPr>
          <w:rFonts w:asciiTheme="majorHAnsi" w:hAnsiTheme="majorHAnsi"/>
          <w:i/>
          <w:sz w:val="22"/>
        </w:rPr>
        <w:t xml:space="preserve">Integrative Biology </w:t>
      </w:r>
      <w:r w:rsidR="00A04CF5" w:rsidRPr="00190CE5">
        <w:rPr>
          <w:rFonts w:asciiTheme="majorHAnsi" w:hAnsiTheme="majorHAnsi"/>
          <w:b/>
          <w:bCs/>
          <w:sz w:val="22"/>
        </w:rPr>
        <w:t>6</w:t>
      </w:r>
      <w:r w:rsidR="00A04CF5" w:rsidRPr="00190CE5">
        <w:rPr>
          <w:rFonts w:asciiTheme="majorHAnsi" w:hAnsiTheme="majorHAnsi"/>
          <w:bCs/>
          <w:sz w:val="22"/>
        </w:rPr>
        <w:t>, 545-554</w:t>
      </w:r>
      <w:r w:rsidR="00994EB8" w:rsidRPr="00190CE5">
        <w:rPr>
          <w:rFonts w:asciiTheme="majorHAnsi" w:hAnsiTheme="majorHAnsi"/>
          <w:bCs/>
          <w:sz w:val="22"/>
        </w:rPr>
        <w:t xml:space="preserve"> (</w:t>
      </w:r>
      <w:r w:rsidR="00994EB8" w:rsidRPr="00190CE5">
        <w:rPr>
          <w:rFonts w:asciiTheme="majorHAnsi" w:hAnsiTheme="majorHAnsi"/>
          <w:sz w:val="22"/>
        </w:rPr>
        <w:t>2014</w:t>
      </w:r>
      <w:r w:rsidR="00994EB8" w:rsidRPr="00190CE5">
        <w:rPr>
          <w:rFonts w:asciiTheme="majorHAnsi" w:hAnsiTheme="majorHAnsi"/>
          <w:bCs/>
          <w:sz w:val="22"/>
        </w:rPr>
        <w:t>)</w:t>
      </w:r>
    </w:p>
    <w:p w14:paraId="172F910D" w14:textId="6294F295" w:rsidR="00A04CF5" w:rsidRPr="00190CE5" w:rsidRDefault="00F90E39" w:rsidP="00994EB8">
      <w:pPr>
        <w:spacing w:after="100" w:afterAutospacing="1"/>
        <w:ind w:left="851" w:hanging="851"/>
        <w:rPr>
          <w:rFonts w:asciiTheme="majorHAnsi" w:hAnsiTheme="majorHAnsi"/>
          <w:sz w:val="22"/>
        </w:rPr>
      </w:pPr>
      <w:r w:rsidRPr="00190CE5">
        <w:rPr>
          <w:rFonts w:asciiTheme="majorHAnsi" w:hAnsiTheme="majorHAnsi"/>
          <w:bCs/>
          <w:sz w:val="22"/>
        </w:rPr>
        <w:t>22</w:t>
      </w:r>
      <w:r w:rsidR="00A04CF5" w:rsidRPr="00190CE5">
        <w:rPr>
          <w:rFonts w:asciiTheme="majorHAnsi" w:hAnsiTheme="majorHAnsi"/>
          <w:bCs/>
          <w:sz w:val="22"/>
        </w:rPr>
        <w:tab/>
      </w:r>
      <w:r w:rsidR="00A04CF5" w:rsidRPr="00190CE5">
        <w:rPr>
          <w:rFonts w:asciiTheme="majorHAnsi" w:hAnsiTheme="majorHAnsi"/>
          <w:sz w:val="22"/>
        </w:rPr>
        <w:t xml:space="preserve">Henslee EA, </w:t>
      </w:r>
      <w:proofErr w:type="spellStart"/>
      <w:r w:rsidR="00A04CF5" w:rsidRPr="00190CE5">
        <w:rPr>
          <w:rFonts w:asciiTheme="majorHAnsi" w:hAnsiTheme="majorHAnsi"/>
          <w:sz w:val="22"/>
        </w:rPr>
        <w:t>Torcal</w:t>
      </w:r>
      <w:proofErr w:type="spellEnd"/>
      <w:r w:rsidR="00A04CF5" w:rsidRPr="00190CE5">
        <w:rPr>
          <w:rFonts w:asciiTheme="majorHAnsi" w:hAnsiTheme="majorHAnsi"/>
          <w:sz w:val="22"/>
        </w:rPr>
        <w:t xml:space="preserve"> Serrano RM, Labeed FH, Jabr RI, Fry CH, Hughes MP </w:t>
      </w:r>
      <w:r w:rsidR="00E4176D" w:rsidRPr="00190CE5">
        <w:rPr>
          <w:rFonts w:asciiTheme="majorHAnsi" w:hAnsiTheme="majorHAnsi"/>
          <w:sz w:val="22"/>
        </w:rPr>
        <w:t xml:space="preserve">&amp; </w:t>
      </w:r>
      <w:r w:rsidR="00A04CF5" w:rsidRPr="00190CE5">
        <w:rPr>
          <w:rFonts w:asciiTheme="majorHAnsi" w:hAnsiTheme="majorHAnsi"/>
          <w:sz w:val="22"/>
        </w:rPr>
        <w:t>Hoettges KF</w:t>
      </w:r>
      <w:proofErr w:type="gramStart"/>
      <w:r w:rsidR="00A04CF5" w:rsidRPr="00190CE5">
        <w:rPr>
          <w:rFonts w:asciiTheme="majorHAnsi" w:hAnsiTheme="majorHAnsi"/>
          <w:sz w:val="22"/>
        </w:rPr>
        <w:t xml:space="preserve">. </w:t>
      </w:r>
      <w:r w:rsidR="00994EB8" w:rsidRPr="00190CE5">
        <w:rPr>
          <w:rFonts w:asciiTheme="majorHAnsi" w:hAnsiTheme="majorHAnsi"/>
          <w:sz w:val="22"/>
        </w:rPr>
        <w:t>.</w:t>
      </w:r>
      <w:proofErr w:type="gramEnd"/>
      <w:r w:rsidR="00994EB8" w:rsidRPr="00190CE5">
        <w:rPr>
          <w:rFonts w:asciiTheme="majorHAnsi" w:hAnsiTheme="majorHAnsi"/>
          <w:sz w:val="22"/>
        </w:rPr>
        <w:t xml:space="preserve"> Accurate quantification of apoptosis progression and toxicity using a dielectrophoretic approach </w:t>
      </w:r>
      <w:r w:rsidR="00A04CF5" w:rsidRPr="00190CE5">
        <w:rPr>
          <w:rFonts w:asciiTheme="majorHAnsi" w:hAnsiTheme="majorHAnsi"/>
          <w:i/>
          <w:sz w:val="22"/>
        </w:rPr>
        <w:t>Analyst</w:t>
      </w:r>
      <w:r w:rsidR="00A04CF5" w:rsidRPr="00190CE5">
        <w:rPr>
          <w:rFonts w:asciiTheme="majorHAnsi" w:hAnsiTheme="majorHAnsi"/>
          <w:sz w:val="22"/>
        </w:rPr>
        <w:t xml:space="preserve"> </w:t>
      </w:r>
      <w:r w:rsidR="00A04CF5" w:rsidRPr="00190CE5">
        <w:rPr>
          <w:rFonts w:asciiTheme="majorHAnsi" w:hAnsiTheme="majorHAnsi"/>
          <w:b/>
          <w:sz w:val="22"/>
        </w:rPr>
        <w:t>141</w:t>
      </w:r>
      <w:r w:rsidR="00A04CF5" w:rsidRPr="00190CE5">
        <w:rPr>
          <w:rFonts w:asciiTheme="majorHAnsi" w:hAnsiTheme="majorHAnsi"/>
          <w:sz w:val="22"/>
        </w:rPr>
        <w:t>, 4608-4615</w:t>
      </w:r>
      <w:r w:rsidR="00EE658A" w:rsidRPr="00190CE5">
        <w:rPr>
          <w:rFonts w:asciiTheme="majorHAnsi" w:hAnsiTheme="majorHAnsi"/>
          <w:sz w:val="22"/>
        </w:rPr>
        <w:t xml:space="preserve"> (2016)</w:t>
      </w:r>
      <w:r w:rsidR="00A04CF5" w:rsidRPr="00190CE5">
        <w:rPr>
          <w:rFonts w:asciiTheme="majorHAnsi" w:hAnsiTheme="majorHAnsi"/>
          <w:sz w:val="22"/>
        </w:rPr>
        <w:t>.</w:t>
      </w:r>
    </w:p>
    <w:p w14:paraId="30DBB36B" w14:textId="58DE0636" w:rsidR="00A04CF5" w:rsidRPr="00190CE5" w:rsidRDefault="00F90E39" w:rsidP="00994EB8">
      <w:pPr>
        <w:pStyle w:val="NoSpacing"/>
        <w:spacing w:after="100" w:afterAutospacing="1" w:line="360" w:lineRule="auto"/>
        <w:ind w:left="851" w:hanging="851"/>
        <w:rPr>
          <w:rFonts w:asciiTheme="majorHAnsi" w:eastAsia="Calibri" w:hAnsiTheme="majorHAnsi" w:cs="Times New Roman"/>
          <w:sz w:val="22"/>
        </w:rPr>
      </w:pPr>
      <w:r w:rsidRPr="00190CE5">
        <w:rPr>
          <w:rFonts w:asciiTheme="majorHAnsi" w:hAnsiTheme="majorHAnsi" w:cs="Calibri"/>
          <w:sz w:val="22"/>
        </w:rPr>
        <w:t>23</w:t>
      </w:r>
      <w:r w:rsidR="00A04CF5" w:rsidRPr="00190CE5">
        <w:rPr>
          <w:rFonts w:asciiTheme="majorHAnsi" w:hAnsiTheme="majorHAnsi" w:cs="Calibri"/>
          <w:sz w:val="22"/>
        </w:rPr>
        <w:tab/>
      </w:r>
      <w:proofErr w:type="spellStart"/>
      <w:r w:rsidR="00A04CF5" w:rsidRPr="00190CE5">
        <w:rPr>
          <w:rFonts w:asciiTheme="majorHAnsi" w:eastAsia="Calibri" w:hAnsiTheme="majorHAnsi" w:cs="Times New Roman"/>
          <w:sz w:val="22"/>
        </w:rPr>
        <w:t>Ratanachoo</w:t>
      </w:r>
      <w:proofErr w:type="spellEnd"/>
      <w:r w:rsidR="00A04CF5" w:rsidRPr="00190CE5">
        <w:rPr>
          <w:rFonts w:asciiTheme="majorHAnsi" w:eastAsia="Calibri" w:hAnsiTheme="majorHAnsi" w:cs="Times New Roman"/>
          <w:sz w:val="22"/>
        </w:rPr>
        <w:t xml:space="preserve"> K, Gascoyne PRC</w:t>
      </w:r>
      <w:r w:rsidR="00E4176D" w:rsidRPr="00190CE5">
        <w:rPr>
          <w:rFonts w:asciiTheme="majorHAnsi" w:eastAsia="Calibri" w:hAnsiTheme="majorHAnsi" w:cs="Times New Roman"/>
          <w:sz w:val="22"/>
        </w:rPr>
        <w:t xml:space="preserve"> &amp;</w:t>
      </w:r>
      <w:r w:rsidR="00A04CF5" w:rsidRPr="00190CE5">
        <w:rPr>
          <w:rFonts w:asciiTheme="majorHAnsi" w:eastAsia="Calibri" w:hAnsiTheme="majorHAnsi" w:cs="Times New Roman"/>
          <w:sz w:val="22"/>
        </w:rPr>
        <w:t xml:space="preserve"> </w:t>
      </w:r>
      <w:proofErr w:type="spellStart"/>
      <w:r w:rsidR="00A04CF5" w:rsidRPr="00190CE5">
        <w:rPr>
          <w:rFonts w:asciiTheme="majorHAnsi" w:eastAsia="Calibri" w:hAnsiTheme="majorHAnsi" w:cs="Times New Roman"/>
          <w:sz w:val="22"/>
        </w:rPr>
        <w:t>Ruchirawat</w:t>
      </w:r>
      <w:proofErr w:type="spellEnd"/>
      <w:r w:rsidR="00A04CF5" w:rsidRPr="00190CE5">
        <w:rPr>
          <w:rFonts w:asciiTheme="majorHAnsi" w:eastAsia="Calibri" w:hAnsiTheme="majorHAnsi" w:cs="Times New Roman"/>
          <w:sz w:val="22"/>
        </w:rPr>
        <w:t xml:space="preserve"> M. </w:t>
      </w:r>
      <w:r w:rsidR="00994EB8" w:rsidRPr="00190CE5">
        <w:rPr>
          <w:rFonts w:asciiTheme="majorHAnsi" w:eastAsia="Calibri" w:hAnsiTheme="majorHAnsi" w:cs="Times New Roman"/>
          <w:sz w:val="22"/>
        </w:rPr>
        <w:t xml:space="preserve">Detection of cellular responses to toxicants by dielectrophoresis. </w:t>
      </w:r>
      <w:proofErr w:type="spellStart"/>
      <w:r w:rsidR="00A04CF5" w:rsidRPr="00190CE5">
        <w:rPr>
          <w:rFonts w:asciiTheme="majorHAnsi" w:eastAsia="Calibri" w:hAnsiTheme="majorHAnsi" w:cs="Times New Roman"/>
          <w:i/>
          <w:sz w:val="22"/>
        </w:rPr>
        <w:t>Biochim</w:t>
      </w:r>
      <w:proofErr w:type="spellEnd"/>
      <w:r w:rsidR="00A04CF5" w:rsidRPr="00190CE5">
        <w:rPr>
          <w:rFonts w:asciiTheme="majorHAnsi" w:eastAsia="Calibri" w:hAnsiTheme="majorHAnsi" w:cs="Times New Roman"/>
          <w:i/>
          <w:sz w:val="22"/>
        </w:rPr>
        <w:t>. Biophys. Acta</w:t>
      </w:r>
      <w:r w:rsidR="00A04CF5" w:rsidRPr="00190CE5">
        <w:rPr>
          <w:rFonts w:asciiTheme="majorHAnsi" w:eastAsia="Calibri" w:hAnsiTheme="majorHAnsi" w:cs="Times New Roman"/>
          <w:sz w:val="22"/>
        </w:rPr>
        <w:t xml:space="preserve"> </w:t>
      </w:r>
      <w:r w:rsidR="00A04CF5" w:rsidRPr="00190CE5">
        <w:rPr>
          <w:rFonts w:asciiTheme="majorHAnsi" w:eastAsia="Calibri" w:hAnsiTheme="majorHAnsi" w:cs="Times New Roman"/>
          <w:b/>
          <w:sz w:val="22"/>
        </w:rPr>
        <w:t>1564</w:t>
      </w:r>
      <w:r w:rsidR="00A04CF5" w:rsidRPr="00190CE5">
        <w:rPr>
          <w:rFonts w:asciiTheme="majorHAnsi" w:eastAsia="Calibri" w:hAnsiTheme="majorHAnsi" w:cs="Times New Roman"/>
          <w:sz w:val="22"/>
        </w:rPr>
        <w:t>, 449-458</w:t>
      </w:r>
      <w:r w:rsidR="00EE658A" w:rsidRPr="00190CE5">
        <w:rPr>
          <w:rFonts w:asciiTheme="majorHAnsi" w:eastAsia="Calibri" w:hAnsiTheme="majorHAnsi" w:cs="Times New Roman"/>
          <w:sz w:val="22"/>
        </w:rPr>
        <w:t xml:space="preserve"> (2002)</w:t>
      </w:r>
      <w:r w:rsidR="00A04CF5" w:rsidRPr="00190CE5">
        <w:rPr>
          <w:rFonts w:asciiTheme="majorHAnsi" w:eastAsia="Calibri" w:hAnsiTheme="majorHAnsi" w:cs="Times New Roman"/>
          <w:sz w:val="22"/>
        </w:rPr>
        <w:t>.</w:t>
      </w:r>
    </w:p>
    <w:p w14:paraId="054ED6B6" w14:textId="3D51B45A" w:rsidR="00E70271" w:rsidRPr="00190CE5" w:rsidRDefault="00F90E39" w:rsidP="00994EB8">
      <w:pPr>
        <w:pStyle w:val="NoSpacing"/>
        <w:spacing w:after="100" w:afterAutospacing="1" w:line="360" w:lineRule="auto"/>
        <w:ind w:left="851" w:hanging="851"/>
        <w:rPr>
          <w:rFonts w:asciiTheme="majorHAnsi" w:hAnsiTheme="majorHAnsi"/>
          <w:sz w:val="22"/>
        </w:rPr>
      </w:pPr>
      <w:r w:rsidRPr="00190CE5">
        <w:rPr>
          <w:rFonts w:asciiTheme="majorHAnsi" w:hAnsiTheme="majorHAnsi" w:cs="Calibri"/>
          <w:sz w:val="22"/>
        </w:rPr>
        <w:t>24</w:t>
      </w:r>
      <w:r w:rsidR="00E70271" w:rsidRPr="00190CE5">
        <w:rPr>
          <w:rFonts w:asciiTheme="majorHAnsi" w:hAnsiTheme="majorHAnsi" w:cs="Calibri"/>
          <w:sz w:val="22"/>
        </w:rPr>
        <w:tab/>
      </w:r>
      <w:r w:rsidR="00E70271" w:rsidRPr="00190CE5">
        <w:rPr>
          <w:rFonts w:asciiTheme="majorHAnsi" w:hAnsiTheme="majorHAnsi"/>
          <w:sz w:val="22"/>
        </w:rPr>
        <w:t xml:space="preserve">Duncan L, Shelmerdine H, Hughes MP, Coley HM, </w:t>
      </w:r>
      <w:proofErr w:type="spellStart"/>
      <w:r w:rsidR="00E70271" w:rsidRPr="00190CE5">
        <w:rPr>
          <w:rFonts w:asciiTheme="majorHAnsi" w:hAnsiTheme="majorHAnsi"/>
          <w:sz w:val="22"/>
        </w:rPr>
        <w:t>Hübner</w:t>
      </w:r>
      <w:proofErr w:type="spellEnd"/>
      <w:r w:rsidR="00E70271" w:rsidRPr="00190CE5">
        <w:rPr>
          <w:rFonts w:asciiTheme="majorHAnsi" w:hAnsiTheme="majorHAnsi"/>
          <w:sz w:val="22"/>
        </w:rPr>
        <w:t xml:space="preserve"> Y</w:t>
      </w:r>
      <w:r w:rsidR="00E4176D" w:rsidRPr="00190CE5">
        <w:rPr>
          <w:rFonts w:asciiTheme="majorHAnsi" w:hAnsiTheme="majorHAnsi"/>
          <w:sz w:val="22"/>
        </w:rPr>
        <w:t xml:space="preserve"> &amp;</w:t>
      </w:r>
      <w:r w:rsidR="00E70271" w:rsidRPr="00190CE5">
        <w:rPr>
          <w:rFonts w:asciiTheme="majorHAnsi" w:hAnsiTheme="majorHAnsi"/>
          <w:sz w:val="22"/>
        </w:rPr>
        <w:t xml:space="preserve"> Labeed FH. </w:t>
      </w:r>
      <w:r w:rsidR="00994EB8" w:rsidRPr="00190CE5">
        <w:rPr>
          <w:rFonts w:asciiTheme="majorHAnsi" w:hAnsiTheme="majorHAnsi" w:cs="Calibri"/>
          <w:sz w:val="22"/>
        </w:rPr>
        <w:t xml:space="preserve">Dielectrophoretic analysis of changes in cytoplasmic ion levels due to ion channel blocker action reveals underlying differences between drug-sensitive and multidrug-resistance </w:t>
      </w:r>
      <w:proofErr w:type="spellStart"/>
      <w:r w:rsidR="00994EB8" w:rsidRPr="00190CE5">
        <w:rPr>
          <w:rFonts w:asciiTheme="majorHAnsi" w:hAnsiTheme="majorHAnsi" w:cs="Calibri"/>
          <w:sz w:val="22"/>
        </w:rPr>
        <w:t>leukaemic</w:t>
      </w:r>
      <w:proofErr w:type="spellEnd"/>
      <w:r w:rsidR="00994EB8" w:rsidRPr="00190CE5">
        <w:rPr>
          <w:rFonts w:asciiTheme="majorHAnsi" w:hAnsiTheme="majorHAnsi" w:cs="Calibri"/>
          <w:sz w:val="22"/>
        </w:rPr>
        <w:t xml:space="preserve"> cells. </w:t>
      </w:r>
      <w:r w:rsidR="00E70271" w:rsidRPr="00190CE5">
        <w:rPr>
          <w:rFonts w:asciiTheme="majorHAnsi" w:hAnsiTheme="majorHAnsi"/>
          <w:i/>
          <w:sz w:val="22"/>
        </w:rPr>
        <w:t>Phys. Med. Biol</w:t>
      </w:r>
      <w:r w:rsidR="00E70271" w:rsidRPr="00190CE5">
        <w:rPr>
          <w:rFonts w:asciiTheme="majorHAnsi" w:hAnsiTheme="majorHAnsi"/>
          <w:sz w:val="22"/>
        </w:rPr>
        <w:t xml:space="preserve">. </w:t>
      </w:r>
      <w:r w:rsidR="00E70271" w:rsidRPr="00190CE5">
        <w:rPr>
          <w:rFonts w:asciiTheme="majorHAnsi" w:hAnsiTheme="majorHAnsi"/>
          <w:b/>
          <w:sz w:val="22"/>
        </w:rPr>
        <w:t>53</w:t>
      </w:r>
      <w:r w:rsidR="00E70271" w:rsidRPr="00190CE5">
        <w:rPr>
          <w:rFonts w:asciiTheme="majorHAnsi" w:hAnsiTheme="majorHAnsi"/>
          <w:sz w:val="22"/>
        </w:rPr>
        <w:t>, N1-N7</w:t>
      </w:r>
      <w:r w:rsidR="00EE658A" w:rsidRPr="00190CE5">
        <w:rPr>
          <w:rFonts w:asciiTheme="majorHAnsi" w:hAnsiTheme="majorHAnsi"/>
          <w:sz w:val="22"/>
        </w:rPr>
        <w:t xml:space="preserve"> (2008)</w:t>
      </w:r>
    </w:p>
    <w:p w14:paraId="4CE71705" w14:textId="31F414BA" w:rsidR="00E70271" w:rsidRPr="00190CE5" w:rsidRDefault="00F90E39" w:rsidP="00994EB8">
      <w:pPr>
        <w:spacing w:after="100" w:afterAutospacing="1"/>
        <w:ind w:left="851" w:hanging="851"/>
        <w:rPr>
          <w:rStyle w:val="pl6"/>
          <w:rFonts w:asciiTheme="majorHAnsi" w:hAnsiTheme="majorHAnsi" w:cs="Helvetica"/>
          <w:spacing w:val="3"/>
          <w:sz w:val="22"/>
          <w:shd w:val="clear" w:color="auto" w:fill="FFFFFF"/>
        </w:rPr>
      </w:pPr>
      <w:r w:rsidRPr="00190CE5">
        <w:rPr>
          <w:rFonts w:asciiTheme="majorHAnsi" w:hAnsiTheme="majorHAnsi" w:cs="Calibri"/>
          <w:sz w:val="22"/>
        </w:rPr>
        <w:t>25</w:t>
      </w:r>
      <w:r w:rsidR="00E70271" w:rsidRPr="00190CE5">
        <w:rPr>
          <w:rFonts w:asciiTheme="majorHAnsi" w:hAnsiTheme="majorHAnsi" w:cs="Calibri"/>
          <w:sz w:val="22"/>
        </w:rPr>
        <w:tab/>
      </w:r>
      <w:r w:rsidR="00E70271" w:rsidRPr="00190CE5">
        <w:rPr>
          <w:rFonts w:asciiTheme="majorHAnsi" w:hAnsiTheme="majorHAnsi"/>
          <w:sz w:val="22"/>
        </w:rPr>
        <w:t xml:space="preserve">Henslee EA, Crosby P, </w:t>
      </w:r>
      <w:proofErr w:type="spellStart"/>
      <w:r w:rsidR="00E70271" w:rsidRPr="00190CE5">
        <w:rPr>
          <w:rFonts w:asciiTheme="majorHAnsi" w:hAnsiTheme="majorHAnsi"/>
          <w:sz w:val="22"/>
        </w:rPr>
        <w:t>Kitcatt</w:t>
      </w:r>
      <w:proofErr w:type="spellEnd"/>
      <w:r w:rsidR="00E70271" w:rsidRPr="00190CE5">
        <w:rPr>
          <w:rFonts w:asciiTheme="majorHAnsi" w:hAnsiTheme="majorHAnsi"/>
          <w:sz w:val="22"/>
        </w:rPr>
        <w:t xml:space="preserve"> SJ, Parry JSW, </w:t>
      </w:r>
      <w:proofErr w:type="spellStart"/>
      <w:r w:rsidR="00E70271" w:rsidRPr="00190CE5">
        <w:rPr>
          <w:rFonts w:asciiTheme="majorHAnsi" w:hAnsiTheme="majorHAnsi"/>
          <w:sz w:val="22"/>
        </w:rPr>
        <w:t>Bernardini</w:t>
      </w:r>
      <w:proofErr w:type="spellEnd"/>
      <w:r w:rsidR="00E70271" w:rsidRPr="00190CE5">
        <w:rPr>
          <w:rFonts w:asciiTheme="majorHAnsi" w:hAnsiTheme="majorHAnsi"/>
          <w:sz w:val="22"/>
        </w:rPr>
        <w:t xml:space="preserve"> A, Abdallat RG, Braun G, Fatoyinbo HO, Harrison EJ, Edgar RS, Hoettges KF, Reddy AB, Jabr RI, von Schantz M, O’Neill JS</w:t>
      </w:r>
      <w:r w:rsidR="00E4176D" w:rsidRPr="00190CE5">
        <w:rPr>
          <w:rFonts w:asciiTheme="majorHAnsi" w:hAnsiTheme="majorHAnsi"/>
          <w:sz w:val="22"/>
        </w:rPr>
        <w:t xml:space="preserve"> &amp;</w:t>
      </w:r>
      <w:r w:rsidR="00E70271" w:rsidRPr="00190CE5">
        <w:rPr>
          <w:rFonts w:asciiTheme="majorHAnsi" w:hAnsiTheme="majorHAnsi"/>
          <w:sz w:val="22"/>
        </w:rPr>
        <w:t xml:space="preserve"> Labeed FH. </w:t>
      </w:r>
      <w:r w:rsidR="00994EB8" w:rsidRPr="00190CE5">
        <w:rPr>
          <w:rFonts w:asciiTheme="majorHAnsi" w:hAnsiTheme="majorHAnsi"/>
          <w:sz w:val="22"/>
        </w:rPr>
        <w:t>Rhythmic potassium transport regulates the circadian clock in human red blood cells.</w:t>
      </w:r>
      <w:r w:rsidR="00E70271" w:rsidRPr="00190CE5">
        <w:rPr>
          <w:rFonts w:asciiTheme="majorHAnsi" w:hAnsiTheme="majorHAnsi"/>
          <w:sz w:val="22"/>
        </w:rPr>
        <w:t xml:space="preserve"> </w:t>
      </w:r>
      <w:r w:rsidR="00E70271" w:rsidRPr="00190CE5">
        <w:rPr>
          <w:rFonts w:asciiTheme="majorHAnsi" w:hAnsiTheme="majorHAnsi" w:cs="Helvetica"/>
          <w:i/>
          <w:iCs/>
          <w:spacing w:val="3"/>
          <w:sz w:val="22"/>
          <w:shd w:val="clear" w:color="auto" w:fill="FFFFFF"/>
        </w:rPr>
        <w:t xml:space="preserve">Nat. </w:t>
      </w:r>
      <w:proofErr w:type="spellStart"/>
      <w:r w:rsidR="00E70271" w:rsidRPr="00190CE5">
        <w:rPr>
          <w:rFonts w:asciiTheme="majorHAnsi" w:hAnsiTheme="majorHAnsi" w:cs="Helvetica"/>
          <w:i/>
          <w:iCs/>
          <w:spacing w:val="3"/>
          <w:sz w:val="22"/>
          <w:shd w:val="clear" w:color="auto" w:fill="FFFFFF"/>
        </w:rPr>
        <w:t>Commun</w:t>
      </w:r>
      <w:proofErr w:type="spellEnd"/>
      <w:r w:rsidR="00E70271" w:rsidRPr="00190CE5">
        <w:rPr>
          <w:rFonts w:asciiTheme="majorHAnsi" w:hAnsiTheme="majorHAnsi" w:cs="Helvetica"/>
          <w:iCs/>
          <w:spacing w:val="3"/>
          <w:sz w:val="22"/>
          <w:shd w:val="clear" w:color="auto" w:fill="FFFFFF"/>
        </w:rPr>
        <w:t>.</w:t>
      </w:r>
      <w:r w:rsidR="00E70271" w:rsidRPr="00190CE5">
        <w:rPr>
          <w:rFonts w:asciiTheme="majorHAnsi" w:hAnsiTheme="majorHAnsi" w:cs="Helvetica"/>
          <w:i/>
          <w:iCs/>
          <w:spacing w:val="3"/>
          <w:sz w:val="22"/>
          <w:shd w:val="clear" w:color="auto" w:fill="FFFFFF"/>
        </w:rPr>
        <w:t xml:space="preserve"> </w:t>
      </w:r>
      <w:r w:rsidR="00E70271" w:rsidRPr="00190CE5">
        <w:rPr>
          <w:rFonts w:asciiTheme="majorHAnsi" w:hAnsiTheme="majorHAnsi" w:cs="Helvetica"/>
          <w:b/>
          <w:bCs/>
          <w:spacing w:val="3"/>
          <w:sz w:val="22"/>
          <w:shd w:val="clear" w:color="auto" w:fill="FFFFFF"/>
        </w:rPr>
        <w:t>8</w:t>
      </w:r>
      <w:r w:rsidR="00E70271" w:rsidRPr="00190CE5">
        <w:rPr>
          <w:rFonts w:asciiTheme="majorHAnsi" w:hAnsiTheme="majorHAnsi" w:cs="Helvetica"/>
          <w:spacing w:val="3"/>
          <w:sz w:val="22"/>
          <w:shd w:val="clear" w:color="auto" w:fill="FFFFFF"/>
        </w:rPr>
        <w:t>, 1978</w:t>
      </w:r>
      <w:r w:rsidR="00EE658A" w:rsidRPr="00190CE5">
        <w:rPr>
          <w:rFonts w:asciiTheme="majorHAnsi" w:hAnsiTheme="majorHAnsi" w:cs="Helvetica"/>
          <w:spacing w:val="3"/>
          <w:sz w:val="22"/>
          <w:shd w:val="clear" w:color="auto" w:fill="FFFFFF"/>
        </w:rPr>
        <w:t xml:space="preserve"> (</w:t>
      </w:r>
      <w:r w:rsidR="00EE658A" w:rsidRPr="00190CE5">
        <w:rPr>
          <w:rFonts w:asciiTheme="majorHAnsi" w:hAnsiTheme="majorHAnsi"/>
          <w:sz w:val="22"/>
        </w:rPr>
        <w:t>2017</w:t>
      </w:r>
      <w:r w:rsidR="00EE658A" w:rsidRPr="00190CE5">
        <w:rPr>
          <w:rFonts w:asciiTheme="majorHAnsi" w:hAnsiTheme="majorHAnsi" w:cs="Helvetica"/>
          <w:spacing w:val="3"/>
          <w:sz w:val="22"/>
          <w:shd w:val="clear" w:color="auto" w:fill="FFFFFF"/>
        </w:rPr>
        <w:t>)</w:t>
      </w:r>
      <w:r w:rsidR="00E70271" w:rsidRPr="00190CE5">
        <w:rPr>
          <w:rFonts w:asciiTheme="majorHAnsi" w:hAnsiTheme="majorHAnsi" w:cs="Helvetica"/>
          <w:spacing w:val="3"/>
          <w:sz w:val="22"/>
          <w:shd w:val="clear" w:color="auto" w:fill="FFFFFF"/>
        </w:rPr>
        <w:t>. </w:t>
      </w:r>
      <w:r w:rsidR="00E70271" w:rsidRPr="00190CE5">
        <w:rPr>
          <w:rStyle w:val="pl6"/>
          <w:rFonts w:asciiTheme="majorHAnsi" w:hAnsiTheme="majorHAnsi" w:cs="Helvetica"/>
          <w:spacing w:val="3"/>
          <w:sz w:val="22"/>
          <w:shd w:val="clear" w:color="auto" w:fill="FFFFFF"/>
        </w:rPr>
        <w:t xml:space="preserve"> </w:t>
      </w:r>
    </w:p>
    <w:p w14:paraId="083044B8" w14:textId="11A511DF" w:rsidR="00E70271" w:rsidRPr="00190CE5" w:rsidRDefault="00F90E39" w:rsidP="00D45DBE">
      <w:pPr>
        <w:spacing w:after="100" w:afterAutospacing="1"/>
        <w:ind w:left="851" w:hanging="851"/>
        <w:rPr>
          <w:rFonts w:asciiTheme="majorHAnsi" w:hAnsiTheme="majorHAnsi"/>
          <w:sz w:val="22"/>
        </w:rPr>
      </w:pPr>
      <w:r w:rsidRPr="00190CE5">
        <w:rPr>
          <w:rFonts w:asciiTheme="majorHAnsi" w:hAnsiTheme="majorHAnsi" w:cs="Calibri"/>
          <w:sz w:val="22"/>
        </w:rPr>
        <w:t>26</w:t>
      </w:r>
      <w:r w:rsidR="00E70271" w:rsidRPr="00190CE5">
        <w:rPr>
          <w:rFonts w:asciiTheme="majorHAnsi" w:hAnsiTheme="majorHAnsi"/>
          <w:sz w:val="22"/>
        </w:rPr>
        <w:t xml:space="preserve"> </w:t>
      </w:r>
      <w:r w:rsidR="00E70271" w:rsidRPr="00190CE5">
        <w:rPr>
          <w:rFonts w:asciiTheme="majorHAnsi" w:hAnsiTheme="majorHAnsi"/>
          <w:sz w:val="22"/>
        </w:rPr>
        <w:tab/>
        <w:t xml:space="preserve">Beale AD, Kruchek EJ, </w:t>
      </w:r>
      <w:proofErr w:type="spellStart"/>
      <w:r w:rsidR="00E70271" w:rsidRPr="00190CE5">
        <w:rPr>
          <w:rFonts w:asciiTheme="majorHAnsi" w:hAnsiTheme="majorHAnsi"/>
          <w:sz w:val="22"/>
        </w:rPr>
        <w:t>Kitcatt</w:t>
      </w:r>
      <w:proofErr w:type="spellEnd"/>
      <w:r w:rsidR="00E70271" w:rsidRPr="00190CE5">
        <w:rPr>
          <w:rFonts w:asciiTheme="majorHAnsi" w:hAnsiTheme="majorHAnsi"/>
          <w:sz w:val="22"/>
        </w:rPr>
        <w:t xml:space="preserve"> SJ, Henslee EA, Parry JSW, Braun G, Jabr RI, von Schantz M, O’Neill JS</w:t>
      </w:r>
      <w:r w:rsidR="00E4176D" w:rsidRPr="00190CE5">
        <w:rPr>
          <w:rFonts w:asciiTheme="majorHAnsi" w:hAnsiTheme="majorHAnsi"/>
          <w:sz w:val="22"/>
        </w:rPr>
        <w:t xml:space="preserve"> &amp;</w:t>
      </w:r>
      <w:r w:rsidR="00E70271" w:rsidRPr="00190CE5">
        <w:rPr>
          <w:rFonts w:asciiTheme="majorHAnsi" w:hAnsiTheme="majorHAnsi"/>
          <w:sz w:val="22"/>
        </w:rPr>
        <w:t xml:space="preserve"> Labeed FH.</w:t>
      </w:r>
      <w:r w:rsidR="00D45DBE" w:rsidRPr="00190CE5">
        <w:t xml:space="preserve"> </w:t>
      </w:r>
      <w:r w:rsidR="00D45DBE" w:rsidRPr="00190CE5">
        <w:rPr>
          <w:rFonts w:asciiTheme="majorHAnsi" w:hAnsiTheme="majorHAnsi"/>
          <w:sz w:val="22"/>
        </w:rPr>
        <w:t>Casein Kinase 1 Underlies Temperature Compensation of Circadian Rhythms in Human Red Blood Cells.</w:t>
      </w:r>
      <w:r w:rsidR="00E70271" w:rsidRPr="00190CE5">
        <w:rPr>
          <w:rFonts w:asciiTheme="majorHAnsi" w:hAnsiTheme="majorHAnsi"/>
          <w:sz w:val="22"/>
        </w:rPr>
        <w:t xml:space="preserve"> </w:t>
      </w:r>
      <w:r w:rsidR="00E70271" w:rsidRPr="00190CE5">
        <w:rPr>
          <w:rFonts w:asciiTheme="majorHAnsi" w:hAnsiTheme="majorHAnsi"/>
          <w:i/>
          <w:sz w:val="22"/>
        </w:rPr>
        <w:t>J Biol. R</w:t>
      </w:r>
      <w:r w:rsidR="00296F9F" w:rsidRPr="00190CE5">
        <w:rPr>
          <w:rFonts w:asciiTheme="majorHAnsi" w:hAnsiTheme="majorHAnsi"/>
          <w:i/>
          <w:sz w:val="22"/>
        </w:rPr>
        <w:t>h</w:t>
      </w:r>
      <w:r w:rsidR="00E70271" w:rsidRPr="00190CE5">
        <w:rPr>
          <w:rFonts w:asciiTheme="majorHAnsi" w:hAnsiTheme="majorHAnsi"/>
          <w:i/>
          <w:sz w:val="22"/>
        </w:rPr>
        <w:t>ythms</w:t>
      </w:r>
      <w:r w:rsidR="00E70271" w:rsidRPr="00190CE5">
        <w:rPr>
          <w:rFonts w:asciiTheme="majorHAnsi" w:hAnsiTheme="majorHAnsi"/>
          <w:sz w:val="22"/>
        </w:rPr>
        <w:t xml:space="preserve">, </w:t>
      </w:r>
      <w:r w:rsidR="00E70271" w:rsidRPr="00190CE5">
        <w:rPr>
          <w:rFonts w:asciiTheme="majorHAnsi" w:hAnsiTheme="majorHAnsi"/>
          <w:b/>
          <w:sz w:val="22"/>
        </w:rPr>
        <w:t>34</w:t>
      </w:r>
      <w:r w:rsidR="00E70271" w:rsidRPr="00190CE5">
        <w:rPr>
          <w:rFonts w:asciiTheme="majorHAnsi" w:hAnsiTheme="majorHAnsi"/>
          <w:sz w:val="22"/>
        </w:rPr>
        <w:t>, 144-153</w:t>
      </w:r>
      <w:r w:rsidR="00EE658A" w:rsidRPr="00190CE5">
        <w:rPr>
          <w:rFonts w:asciiTheme="majorHAnsi" w:hAnsiTheme="majorHAnsi"/>
          <w:sz w:val="22"/>
        </w:rPr>
        <w:t xml:space="preserve"> (2019)</w:t>
      </w:r>
      <w:r w:rsidR="00E70271" w:rsidRPr="00190CE5">
        <w:rPr>
          <w:rFonts w:asciiTheme="majorHAnsi" w:hAnsiTheme="majorHAnsi"/>
          <w:sz w:val="22"/>
        </w:rPr>
        <w:t>.</w:t>
      </w:r>
    </w:p>
    <w:p w14:paraId="3B7BC0DF" w14:textId="42B3BAB6" w:rsidR="00E70271" w:rsidRPr="00190CE5" w:rsidRDefault="00F90E39" w:rsidP="00D45DBE">
      <w:pPr>
        <w:spacing w:after="100" w:afterAutospacing="1"/>
        <w:ind w:left="851" w:hanging="851"/>
        <w:rPr>
          <w:rFonts w:asciiTheme="majorHAnsi" w:eastAsia="Calibri" w:hAnsiTheme="majorHAnsi" w:cs="Times New Roman"/>
          <w:sz w:val="22"/>
        </w:rPr>
      </w:pPr>
      <w:r w:rsidRPr="00190CE5">
        <w:rPr>
          <w:rFonts w:asciiTheme="majorHAnsi" w:hAnsiTheme="majorHAnsi" w:cs="Calibri"/>
          <w:sz w:val="22"/>
        </w:rPr>
        <w:t>27</w:t>
      </w:r>
      <w:r w:rsidR="00E70271" w:rsidRPr="00190CE5">
        <w:rPr>
          <w:rFonts w:asciiTheme="majorHAnsi" w:hAnsiTheme="majorHAnsi" w:cs="Calibri"/>
          <w:sz w:val="22"/>
        </w:rPr>
        <w:tab/>
      </w:r>
      <w:r w:rsidR="00E70271" w:rsidRPr="00190CE5">
        <w:rPr>
          <w:rFonts w:asciiTheme="majorHAnsi" w:eastAsia="Calibri" w:hAnsiTheme="majorHAnsi" w:cs="Times New Roman"/>
          <w:sz w:val="22"/>
        </w:rPr>
        <w:t xml:space="preserve">Jones TB. </w:t>
      </w:r>
      <w:r w:rsidR="00E70271" w:rsidRPr="00190CE5">
        <w:rPr>
          <w:rFonts w:asciiTheme="majorHAnsi" w:eastAsia="Calibri" w:hAnsiTheme="majorHAnsi" w:cs="Times New Roman"/>
          <w:i/>
          <w:sz w:val="22"/>
        </w:rPr>
        <w:t>Electromechanics of Particles</w:t>
      </w:r>
      <w:r w:rsidR="00386960" w:rsidRPr="00190CE5">
        <w:rPr>
          <w:rFonts w:asciiTheme="majorHAnsi" w:eastAsia="Calibri" w:hAnsiTheme="majorHAnsi" w:cs="Times New Roman"/>
          <w:sz w:val="22"/>
        </w:rPr>
        <w:t xml:space="preserve"> (</w:t>
      </w:r>
      <w:r w:rsidR="00E70271" w:rsidRPr="00190CE5">
        <w:rPr>
          <w:rFonts w:asciiTheme="majorHAnsi" w:eastAsia="Calibri" w:hAnsiTheme="majorHAnsi" w:cs="Times New Roman"/>
          <w:sz w:val="22"/>
        </w:rPr>
        <w:t xml:space="preserve">Cambridge University Press, </w:t>
      </w:r>
      <w:r w:rsidR="00EE658A" w:rsidRPr="00190CE5">
        <w:rPr>
          <w:rFonts w:asciiTheme="majorHAnsi" w:eastAsia="Calibri" w:hAnsiTheme="majorHAnsi" w:cs="Times New Roman"/>
          <w:sz w:val="22"/>
        </w:rPr>
        <w:t>1995)</w:t>
      </w:r>
      <w:r w:rsidR="00E70271" w:rsidRPr="00190CE5">
        <w:rPr>
          <w:rFonts w:asciiTheme="majorHAnsi" w:eastAsia="Calibri" w:hAnsiTheme="majorHAnsi" w:cs="Times New Roman"/>
          <w:sz w:val="22"/>
        </w:rPr>
        <w:t>.</w:t>
      </w:r>
    </w:p>
    <w:p w14:paraId="731E8549" w14:textId="01FF50CC" w:rsidR="00E70271" w:rsidRPr="00190CE5" w:rsidRDefault="00F90E39" w:rsidP="00D45DBE">
      <w:pPr>
        <w:pStyle w:val="CommentText"/>
        <w:spacing w:after="100" w:afterAutospacing="1" w:line="360" w:lineRule="auto"/>
        <w:ind w:left="851" w:hanging="851"/>
        <w:rPr>
          <w:rFonts w:asciiTheme="majorHAnsi" w:hAnsiTheme="majorHAnsi"/>
          <w:sz w:val="22"/>
          <w:szCs w:val="22"/>
        </w:rPr>
      </w:pPr>
      <w:r w:rsidRPr="00190CE5">
        <w:rPr>
          <w:rFonts w:asciiTheme="majorHAnsi" w:hAnsiTheme="majorHAnsi" w:cs="Calibri"/>
          <w:sz w:val="22"/>
        </w:rPr>
        <w:t>28</w:t>
      </w:r>
      <w:r w:rsidR="00E70271" w:rsidRPr="00190CE5">
        <w:rPr>
          <w:rFonts w:asciiTheme="majorHAnsi" w:hAnsiTheme="majorHAnsi" w:cs="Calibri"/>
          <w:sz w:val="22"/>
        </w:rPr>
        <w:tab/>
      </w:r>
      <w:r w:rsidR="00E70271" w:rsidRPr="00190CE5">
        <w:rPr>
          <w:rFonts w:asciiTheme="majorHAnsi" w:hAnsiTheme="majorHAnsi"/>
          <w:sz w:val="22"/>
          <w:szCs w:val="22"/>
        </w:rPr>
        <w:t>Marquardt, DW.</w:t>
      </w:r>
      <w:r w:rsidR="00D45DBE" w:rsidRPr="00190CE5">
        <w:rPr>
          <w:rFonts w:asciiTheme="majorHAnsi" w:hAnsiTheme="majorHAnsi"/>
          <w:sz w:val="22"/>
          <w:szCs w:val="22"/>
        </w:rPr>
        <w:t xml:space="preserve"> An Algorithm for Least-Squares Estimation of Nonlinear Parameters.</w:t>
      </w:r>
      <w:r w:rsidR="00E70271" w:rsidRPr="00190CE5">
        <w:rPr>
          <w:rFonts w:asciiTheme="majorHAnsi" w:hAnsiTheme="majorHAnsi"/>
          <w:sz w:val="22"/>
          <w:szCs w:val="22"/>
        </w:rPr>
        <w:t xml:space="preserve">  </w:t>
      </w:r>
      <w:r w:rsidR="00E70271" w:rsidRPr="00190CE5">
        <w:rPr>
          <w:rFonts w:asciiTheme="majorHAnsi" w:hAnsiTheme="majorHAnsi"/>
          <w:i/>
          <w:iCs/>
          <w:sz w:val="22"/>
          <w:szCs w:val="22"/>
        </w:rPr>
        <w:t xml:space="preserve">J. Soc. Ind. Appl. Math. </w:t>
      </w:r>
      <w:r w:rsidR="00E70271" w:rsidRPr="00190CE5">
        <w:rPr>
          <w:rFonts w:asciiTheme="majorHAnsi" w:hAnsiTheme="majorHAnsi"/>
          <w:b/>
          <w:sz w:val="22"/>
          <w:szCs w:val="22"/>
        </w:rPr>
        <w:t>11</w:t>
      </w:r>
      <w:r w:rsidR="00E70271" w:rsidRPr="00190CE5">
        <w:rPr>
          <w:rFonts w:asciiTheme="majorHAnsi" w:hAnsiTheme="majorHAnsi"/>
          <w:sz w:val="22"/>
          <w:szCs w:val="22"/>
        </w:rPr>
        <w:t>, 431-441</w:t>
      </w:r>
      <w:r w:rsidR="00EE658A" w:rsidRPr="00190CE5">
        <w:rPr>
          <w:rFonts w:asciiTheme="majorHAnsi" w:hAnsiTheme="majorHAnsi"/>
          <w:sz w:val="22"/>
          <w:szCs w:val="22"/>
        </w:rPr>
        <w:t xml:space="preserve"> (1963)</w:t>
      </w:r>
      <w:r w:rsidR="00E70271" w:rsidRPr="00190CE5">
        <w:rPr>
          <w:rFonts w:asciiTheme="majorHAnsi" w:hAnsiTheme="majorHAnsi"/>
          <w:sz w:val="22"/>
          <w:szCs w:val="22"/>
        </w:rPr>
        <w:t>.</w:t>
      </w:r>
    </w:p>
    <w:p w14:paraId="15F5F5CB" w14:textId="4D49ECDB" w:rsidR="00A04CF5" w:rsidRPr="00190CE5" w:rsidRDefault="00F90E39" w:rsidP="00D45DBE">
      <w:pPr>
        <w:spacing w:after="100" w:afterAutospacing="1"/>
        <w:ind w:left="851" w:hanging="851"/>
        <w:rPr>
          <w:rFonts w:asciiTheme="majorHAnsi" w:hAnsiTheme="majorHAnsi"/>
          <w:sz w:val="22"/>
        </w:rPr>
      </w:pPr>
      <w:r w:rsidRPr="00190CE5">
        <w:rPr>
          <w:rFonts w:asciiTheme="majorHAnsi" w:hAnsiTheme="majorHAnsi" w:cs="Calibri"/>
          <w:sz w:val="22"/>
        </w:rPr>
        <w:t>29</w:t>
      </w:r>
      <w:r w:rsidR="00E70271" w:rsidRPr="00190CE5">
        <w:rPr>
          <w:rFonts w:asciiTheme="majorHAnsi" w:hAnsiTheme="majorHAnsi"/>
          <w:sz w:val="22"/>
        </w:rPr>
        <w:t xml:space="preserve"> </w:t>
      </w:r>
      <w:r w:rsidR="00E70271" w:rsidRPr="00190CE5">
        <w:rPr>
          <w:rFonts w:asciiTheme="majorHAnsi" w:hAnsiTheme="majorHAnsi"/>
          <w:sz w:val="22"/>
        </w:rPr>
        <w:tab/>
        <w:t>Mahabadi S, Labeed FH</w:t>
      </w:r>
      <w:r w:rsidR="00E4176D" w:rsidRPr="00190CE5">
        <w:rPr>
          <w:rFonts w:asciiTheme="majorHAnsi" w:hAnsiTheme="majorHAnsi"/>
          <w:sz w:val="22"/>
        </w:rPr>
        <w:t xml:space="preserve"> &amp;</w:t>
      </w:r>
      <w:r w:rsidR="00E70271" w:rsidRPr="00190CE5">
        <w:rPr>
          <w:rFonts w:asciiTheme="majorHAnsi" w:hAnsiTheme="majorHAnsi"/>
          <w:sz w:val="22"/>
        </w:rPr>
        <w:t xml:space="preserve"> Hughes MP.</w:t>
      </w:r>
      <w:r w:rsidR="00D45DBE" w:rsidRPr="00190CE5">
        <w:t xml:space="preserve"> </w:t>
      </w:r>
      <w:r w:rsidR="00D45DBE" w:rsidRPr="00190CE5">
        <w:rPr>
          <w:rFonts w:asciiTheme="majorHAnsi" w:hAnsiTheme="majorHAnsi"/>
          <w:sz w:val="22"/>
        </w:rPr>
        <w:t>Effects of cell detachment methods on the dielectric properties of adherent and suspension cells.</w:t>
      </w:r>
      <w:r w:rsidR="00E70271" w:rsidRPr="00190CE5">
        <w:rPr>
          <w:rFonts w:asciiTheme="majorHAnsi" w:hAnsiTheme="majorHAnsi"/>
          <w:sz w:val="22"/>
        </w:rPr>
        <w:t xml:space="preserve"> </w:t>
      </w:r>
      <w:r w:rsidR="00E70271" w:rsidRPr="00190CE5">
        <w:rPr>
          <w:rFonts w:asciiTheme="majorHAnsi" w:hAnsiTheme="majorHAnsi"/>
          <w:i/>
          <w:sz w:val="22"/>
        </w:rPr>
        <w:t>Electrophoresis</w:t>
      </w:r>
      <w:r w:rsidR="00E70271" w:rsidRPr="00190CE5">
        <w:rPr>
          <w:rFonts w:asciiTheme="majorHAnsi" w:hAnsiTheme="majorHAnsi"/>
          <w:sz w:val="22"/>
        </w:rPr>
        <w:t xml:space="preserve"> </w:t>
      </w:r>
      <w:r w:rsidR="00E70271" w:rsidRPr="00190CE5">
        <w:rPr>
          <w:rFonts w:asciiTheme="majorHAnsi" w:hAnsiTheme="majorHAnsi"/>
          <w:b/>
          <w:sz w:val="22"/>
        </w:rPr>
        <w:t>36</w:t>
      </w:r>
      <w:r w:rsidR="00E70271" w:rsidRPr="00190CE5">
        <w:rPr>
          <w:rFonts w:asciiTheme="majorHAnsi" w:hAnsiTheme="majorHAnsi"/>
          <w:sz w:val="22"/>
        </w:rPr>
        <w:t>, 1493-1498</w:t>
      </w:r>
      <w:r w:rsidR="00EE658A" w:rsidRPr="00190CE5">
        <w:rPr>
          <w:rFonts w:asciiTheme="majorHAnsi" w:hAnsiTheme="majorHAnsi"/>
          <w:sz w:val="22"/>
        </w:rPr>
        <w:t xml:space="preserve"> (2015)</w:t>
      </w:r>
      <w:r w:rsidR="00E70271" w:rsidRPr="00190CE5">
        <w:rPr>
          <w:rFonts w:asciiTheme="majorHAnsi" w:hAnsiTheme="majorHAnsi"/>
          <w:sz w:val="22"/>
        </w:rPr>
        <w:t xml:space="preserve">. </w:t>
      </w:r>
    </w:p>
    <w:p w14:paraId="71B50892" w14:textId="29006BC0" w:rsidR="00E70271" w:rsidRPr="00190CE5" w:rsidRDefault="00F90E39" w:rsidP="00D45DBE">
      <w:pPr>
        <w:pStyle w:val="NoSpacing"/>
        <w:spacing w:after="100" w:afterAutospacing="1" w:line="360" w:lineRule="auto"/>
        <w:ind w:left="851" w:hanging="851"/>
        <w:rPr>
          <w:rFonts w:asciiTheme="majorHAnsi" w:hAnsiTheme="majorHAnsi" w:cs="Calibri"/>
          <w:sz w:val="22"/>
        </w:rPr>
      </w:pPr>
      <w:r w:rsidRPr="00190CE5">
        <w:rPr>
          <w:rFonts w:asciiTheme="majorHAnsi" w:hAnsiTheme="majorHAnsi" w:cs="Calibri"/>
          <w:sz w:val="22"/>
        </w:rPr>
        <w:t>30</w:t>
      </w:r>
      <w:r w:rsidR="00E70271" w:rsidRPr="00190CE5">
        <w:rPr>
          <w:rFonts w:asciiTheme="majorHAnsi" w:hAnsiTheme="majorHAnsi" w:cs="Calibri"/>
          <w:sz w:val="22"/>
        </w:rPr>
        <w:tab/>
        <w:t xml:space="preserve">Broche LM, Hoettges KF, Ogin SL, </w:t>
      </w:r>
      <w:proofErr w:type="spellStart"/>
      <w:r w:rsidR="00E70271" w:rsidRPr="00190CE5">
        <w:rPr>
          <w:rFonts w:asciiTheme="majorHAnsi" w:hAnsiTheme="majorHAnsi" w:cs="Calibri"/>
          <w:sz w:val="22"/>
        </w:rPr>
        <w:t>Kass</w:t>
      </w:r>
      <w:proofErr w:type="spellEnd"/>
      <w:r w:rsidR="00E70271" w:rsidRPr="00190CE5">
        <w:rPr>
          <w:rFonts w:asciiTheme="majorHAnsi" w:hAnsiTheme="majorHAnsi" w:cs="Calibri"/>
          <w:sz w:val="22"/>
        </w:rPr>
        <w:t xml:space="preserve"> GEN</w:t>
      </w:r>
      <w:r w:rsidR="00E4176D" w:rsidRPr="00190CE5">
        <w:rPr>
          <w:rFonts w:asciiTheme="majorHAnsi" w:hAnsiTheme="majorHAnsi" w:cs="Calibri"/>
          <w:sz w:val="22"/>
        </w:rPr>
        <w:t xml:space="preserve"> &amp;</w:t>
      </w:r>
      <w:r w:rsidR="00E70271" w:rsidRPr="00190CE5">
        <w:rPr>
          <w:rFonts w:asciiTheme="majorHAnsi" w:hAnsiTheme="majorHAnsi" w:cs="Calibri"/>
          <w:sz w:val="22"/>
        </w:rPr>
        <w:t xml:space="preserve"> Hughes MP.</w:t>
      </w:r>
      <w:r w:rsidR="00D45DBE" w:rsidRPr="00190CE5">
        <w:rPr>
          <w:rFonts w:asciiTheme="majorHAnsi" w:hAnsiTheme="majorHAnsi" w:cs="Calibri"/>
          <w:sz w:val="22"/>
        </w:rPr>
        <w:t xml:space="preserve"> Rapid, automated measurement of dielectrophoretic forces using DEP-activated microwells.</w:t>
      </w:r>
      <w:r w:rsidR="00E70271" w:rsidRPr="00190CE5">
        <w:rPr>
          <w:rFonts w:asciiTheme="majorHAnsi" w:hAnsiTheme="majorHAnsi" w:cs="Calibri"/>
          <w:sz w:val="22"/>
        </w:rPr>
        <w:t xml:space="preserve"> </w:t>
      </w:r>
      <w:r w:rsidR="00E70271" w:rsidRPr="00190CE5">
        <w:rPr>
          <w:rFonts w:asciiTheme="majorHAnsi" w:hAnsiTheme="majorHAnsi" w:cs="Calibri"/>
          <w:i/>
          <w:sz w:val="22"/>
        </w:rPr>
        <w:t>Electrophoresis</w:t>
      </w:r>
      <w:r w:rsidR="00E70271" w:rsidRPr="00190CE5">
        <w:rPr>
          <w:rFonts w:asciiTheme="majorHAnsi" w:hAnsiTheme="majorHAnsi" w:cs="Calibri"/>
          <w:sz w:val="22"/>
        </w:rPr>
        <w:t xml:space="preserve"> </w:t>
      </w:r>
      <w:r w:rsidR="00E70271" w:rsidRPr="00190CE5">
        <w:rPr>
          <w:rFonts w:asciiTheme="majorHAnsi" w:hAnsiTheme="majorHAnsi" w:cs="Calibri"/>
          <w:b/>
          <w:sz w:val="22"/>
        </w:rPr>
        <w:t>32</w:t>
      </w:r>
      <w:r w:rsidR="00E70271" w:rsidRPr="00190CE5">
        <w:rPr>
          <w:rFonts w:asciiTheme="majorHAnsi" w:hAnsiTheme="majorHAnsi" w:cs="Calibri"/>
          <w:sz w:val="22"/>
        </w:rPr>
        <w:t>, 2393-2399</w:t>
      </w:r>
      <w:r w:rsidR="00EE658A" w:rsidRPr="00190CE5">
        <w:rPr>
          <w:rFonts w:asciiTheme="majorHAnsi" w:hAnsiTheme="majorHAnsi" w:cs="Calibri"/>
          <w:sz w:val="22"/>
        </w:rPr>
        <w:t xml:space="preserve"> (2011)</w:t>
      </w:r>
      <w:r w:rsidR="00E70271" w:rsidRPr="00190CE5">
        <w:rPr>
          <w:rFonts w:asciiTheme="majorHAnsi" w:hAnsiTheme="majorHAnsi" w:cs="Calibri"/>
          <w:sz w:val="22"/>
        </w:rPr>
        <w:t>.</w:t>
      </w:r>
    </w:p>
    <w:p w14:paraId="11014E90" w14:textId="4E9F2127" w:rsidR="00E70271" w:rsidRPr="00190CE5" w:rsidRDefault="00F90E39" w:rsidP="00D45DBE">
      <w:pPr>
        <w:pStyle w:val="NoSpacing"/>
        <w:spacing w:after="100" w:afterAutospacing="1" w:line="360" w:lineRule="auto"/>
        <w:ind w:left="851" w:hanging="851"/>
        <w:rPr>
          <w:rFonts w:asciiTheme="majorHAnsi" w:hAnsiTheme="majorHAnsi"/>
          <w:sz w:val="22"/>
        </w:rPr>
      </w:pPr>
      <w:r w:rsidRPr="00190CE5">
        <w:rPr>
          <w:rFonts w:asciiTheme="majorHAnsi" w:hAnsiTheme="majorHAnsi" w:cs="Calibri"/>
          <w:sz w:val="22"/>
        </w:rPr>
        <w:lastRenderedPageBreak/>
        <w:t>31</w:t>
      </w:r>
      <w:r w:rsidR="00E70271" w:rsidRPr="00190CE5">
        <w:rPr>
          <w:rFonts w:asciiTheme="majorHAnsi" w:hAnsiTheme="majorHAnsi" w:cs="Calibri"/>
          <w:sz w:val="22"/>
        </w:rPr>
        <w:tab/>
      </w:r>
      <w:proofErr w:type="spellStart"/>
      <w:r w:rsidR="00E70271" w:rsidRPr="00190CE5">
        <w:rPr>
          <w:rFonts w:asciiTheme="majorHAnsi" w:hAnsiTheme="majorHAnsi"/>
          <w:sz w:val="22"/>
        </w:rPr>
        <w:t>Hübner</w:t>
      </w:r>
      <w:proofErr w:type="spellEnd"/>
      <w:r w:rsidR="00E70271" w:rsidRPr="00190CE5">
        <w:rPr>
          <w:rFonts w:asciiTheme="majorHAnsi" w:hAnsiTheme="majorHAnsi"/>
          <w:sz w:val="22"/>
        </w:rPr>
        <w:t xml:space="preserve"> Y, Hoettges KF, </w:t>
      </w:r>
      <w:proofErr w:type="spellStart"/>
      <w:r w:rsidR="00E70271" w:rsidRPr="00190CE5">
        <w:rPr>
          <w:rFonts w:asciiTheme="majorHAnsi" w:hAnsiTheme="majorHAnsi"/>
          <w:sz w:val="22"/>
        </w:rPr>
        <w:t>Kass</w:t>
      </w:r>
      <w:proofErr w:type="spellEnd"/>
      <w:r w:rsidR="00E70271" w:rsidRPr="00190CE5">
        <w:rPr>
          <w:rFonts w:asciiTheme="majorHAnsi" w:hAnsiTheme="majorHAnsi"/>
          <w:sz w:val="22"/>
        </w:rPr>
        <w:t xml:space="preserve"> GEN, Ogin SL</w:t>
      </w:r>
      <w:r w:rsidR="00E4176D" w:rsidRPr="00190CE5">
        <w:rPr>
          <w:rFonts w:asciiTheme="majorHAnsi" w:hAnsiTheme="majorHAnsi"/>
          <w:sz w:val="22"/>
        </w:rPr>
        <w:t xml:space="preserve"> &amp;</w:t>
      </w:r>
      <w:r w:rsidR="00E70271" w:rsidRPr="00190CE5">
        <w:rPr>
          <w:rFonts w:asciiTheme="majorHAnsi" w:hAnsiTheme="majorHAnsi"/>
          <w:sz w:val="22"/>
        </w:rPr>
        <w:t xml:space="preserve"> Hughes MP. </w:t>
      </w:r>
      <w:r w:rsidR="00D45DBE" w:rsidRPr="00190CE5">
        <w:rPr>
          <w:rFonts w:asciiTheme="majorHAnsi" w:hAnsiTheme="majorHAnsi"/>
          <w:sz w:val="22"/>
        </w:rPr>
        <w:t xml:space="preserve">Parallel measurements of drug actions on Erythrocytes by dielectrophoresis, using a three-dimensional electrode design. </w:t>
      </w:r>
      <w:r w:rsidR="00E70271" w:rsidRPr="00190CE5">
        <w:rPr>
          <w:rFonts w:asciiTheme="majorHAnsi" w:hAnsiTheme="majorHAnsi"/>
          <w:i/>
          <w:sz w:val="22"/>
        </w:rPr>
        <w:t xml:space="preserve">IEE Proc. </w:t>
      </w:r>
      <w:proofErr w:type="spellStart"/>
      <w:r w:rsidR="00E70271" w:rsidRPr="00190CE5">
        <w:rPr>
          <w:rFonts w:asciiTheme="majorHAnsi" w:hAnsiTheme="majorHAnsi"/>
          <w:i/>
          <w:sz w:val="22"/>
        </w:rPr>
        <w:t>Bionanotechnol</w:t>
      </w:r>
      <w:proofErr w:type="spellEnd"/>
      <w:r w:rsidR="00E70271" w:rsidRPr="00190CE5">
        <w:rPr>
          <w:rFonts w:asciiTheme="majorHAnsi" w:hAnsiTheme="majorHAnsi"/>
          <w:sz w:val="22"/>
        </w:rPr>
        <w:t xml:space="preserve">. </w:t>
      </w:r>
      <w:r w:rsidR="00E70271" w:rsidRPr="00190CE5">
        <w:rPr>
          <w:rFonts w:asciiTheme="majorHAnsi" w:hAnsiTheme="majorHAnsi"/>
          <w:b/>
          <w:sz w:val="22"/>
        </w:rPr>
        <w:t>4</w:t>
      </w:r>
      <w:r w:rsidR="00E70271" w:rsidRPr="00190CE5">
        <w:rPr>
          <w:rFonts w:asciiTheme="majorHAnsi" w:hAnsiTheme="majorHAnsi"/>
          <w:sz w:val="22"/>
        </w:rPr>
        <w:t>, 21-25</w:t>
      </w:r>
      <w:r w:rsidR="00EE658A" w:rsidRPr="00190CE5">
        <w:rPr>
          <w:rFonts w:asciiTheme="majorHAnsi" w:hAnsiTheme="majorHAnsi"/>
          <w:sz w:val="22"/>
        </w:rPr>
        <w:t xml:space="preserve"> (2005)</w:t>
      </w:r>
      <w:r w:rsidR="00E70271" w:rsidRPr="00190CE5">
        <w:rPr>
          <w:rFonts w:asciiTheme="majorHAnsi" w:hAnsiTheme="majorHAnsi"/>
          <w:sz w:val="22"/>
        </w:rPr>
        <w:t>.</w:t>
      </w:r>
    </w:p>
    <w:p w14:paraId="7F7F41F7" w14:textId="29AE846E" w:rsidR="00E70271" w:rsidRPr="00190CE5" w:rsidRDefault="00F90E39" w:rsidP="00D45DBE">
      <w:pPr>
        <w:pStyle w:val="NoSpacing"/>
        <w:spacing w:after="100" w:afterAutospacing="1" w:line="360" w:lineRule="auto"/>
        <w:ind w:left="851" w:hanging="851"/>
        <w:rPr>
          <w:rFonts w:asciiTheme="majorHAnsi" w:hAnsiTheme="majorHAnsi" w:cs="Calibri"/>
          <w:sz w:val="22"/>
        </w:rPr>
      </w:pPr>
      <w:r w:rsidRPr="00190CE5">
        <w:rPr>
          <w:rFonts w:asciiTheme="majorHAnsi" w:hAnsiTheme="majorHAnsi" w:cs="Calibri"/>
          <w:sz w:val="22"/>
        </w:rPr>
        <w:t>32</w:t>
      </w:r>
      <w:r w:rsidR="00E70271" w:rsidRPr="00190CE5">
        <w:rPr>
          <w:rFonts w:asciiTheme="majorHAnsi" w:hAnsiTheme="majorHAnsi" w:cs="Calibri"/>
          <w:sz w:val="22"/>
        </w:rPr>
        <w:tab/>
      </w:r>
      <w:r w:rsidR="00CE23E6" w:rsidRPr="00190CE5">
        <w:rPr>
          <w:rFonts w:asciiTheme="majorHAnsi" w:hAnsiTheme="majorHAnsi" w:cs="Calibri"/>
          <w:sz w:val="22"/>
        </w:rPr>
        <w:t xml:space="preserve">Fatoyinbo </w:t>
      </w:r>
      <w:r w:rsidR="00F23783" w:rsidRPr="00190CE5">
        <w:rPr>
          <w:rFonts w:asciiTheme="majorHAnsi" w:hAnsiTheme="majorHAnsi" w:cs="Calibri"/>
          <w:sz w:val="22"/>
        </w:rPr>
        <w:t xml:space="preserve">FH, </w:t>
      </w:r>
      <w:proofErr w:type="spellStart"/>
      <w:r w:rsidR="00F23783" w:rsidRPr="00190CE5">
        <w:rPr>
          <w:rFonts w:asciiTheme="majorHAnsi" w:hAnsiTheme="majorHAnsi" w:cs="Calibri"/>
          <w:sz w:val="22"/>
        </w:rPr>
        <w:t>Kamchis</w:t>
      </w:r>
      <w:proofErr w:type="spellEnd"/>
      <w:r w:rsidR="00F23783" w:rsidRPr="00190CE5">
        <w:rPr>
          <w:rFonts w:asciiTheme="majorHAnsi" w:hAnsiTheme="majorHAnsi" w:cs="Calibri"/>
          <w:sz w:val="22"/>
        </w:rPr>
        <w:t xml:space="preserve"> D, </w:t>
      </w:r>
      <w:proofErr w:type="spellStart"/>
      <w:r w:rsidR="00F23783" w:rsidRPr="00190CE5">
        <w:rPr>
          <w:rFonts w:asciiTheme="majorHAnsi" w:hAnsiTheme="majorHAnsi" w:cs="Calibri"/>
          <w:sz w:val="22"/>
        </w:rPr>
        <w:t>Wattingham</w:t>
      </w:r>
      <w:proofErr w:type="spellEnd"/>
      <w:r w:rsidR="00F23783" w:rsidRPr="00190CE5">
        <w:rPr>
          <w:rFonts w:asciiTheme="majorHAnsi" w:hAnsiTheme="majorHAnsi" w:cs="Calibri"/>
          <w:sz w:val="22"/>
        </w:rPr>
        <w:t xml:space="preserve"> R, Ogin SL</w:t>
      </w:r>
      <w:r w:rsidR="00E4176D" w:rsidRPr="00190CE5">
        <w:rPr>
          <w:rFonts w:asciiTheme="majorHAnsi" w:hAnsiTheme="majorHAnsi" w:cs="Calibri"/>
          <w:sz w:val="22"/>
        </w:rPr>
        <w:t xml:space="preserve"> &amp;</w:t>
      </w:r>
      <w:r w:rsidR="00F23783" w:rsidRPr="00190CE5">
        <w:rPr>
          <w:rFonts w:asciiTheme="majorHAnsi" w:hAnsiTheme="majorHAnsi" w:cs="Calibri"/>
          <w:sz w:val="22"/>
        </w:rPr>
        <w:t xml:space="preserve"> Hughes MP. </w:t>
      </w:r>
      <w:r w:rsidR="00D45DBE" w:rsidRPr="00190CE5">
        <w:rPr>
          <w:rFonts w:asciiTheme="majorHAnsi" w:hAnsiTheme="majorHAnsi" w:cs="Calibri"/>
          <w:sz w:val="22"/>
        </w:rPr>
        <w:t xml:space="preserve">A high-throughput 3D composite dielectrophoretic separator. </w:t>
      </w:r>
      <w:r w:rsidR="00F23783" w:rsidRPr="00190CE5">
        <w:rPr>
          <w:rFonts w:asciiTheme="majorHAnsi" w:hAnsiTheme="majorHAnsi" w:cs="Calibri"/>
          <w:i/>
          <w:sz w:val="22"/>
        </w:rPr>
        <w:t>IEEE Trans. Biomed. Eng</w:t>
      </w:r>
      <w:r w:rsidR="00F23783" w:rsidRPr="00190CE5">
        <w:rPr>
          <w:rFonts w:asciiTheme="majorHAnsi" w:hAnsiTheme="majorHAnsi" w:cs="Calibri"/>
          <w:sz w:val="22"/>
        </w:rPr>
        <w:t xml:space="preserve">. </w:t>
      </w:r>
      <w:r w:rsidR="00F23783" w:rsidRPr="00190CE5">
        <w:rPr>
          <w:rFonts w:asciiTheme="majorHAnsi" w:hAnsiTheme="majorHAnsi" w:cs="Calibri"/>
          <w:b/>
          <w:sz w:val="22"/>
        </w:rPr>
        <w:t>52</w:t>
      </w:r>
      <w:r w:rsidR="00F23783" w:rsidRPr="00190CE5">
        <w:rPr>
          <w:rFonts w:asciiTheme="majorHAnsi" w:hAnsiTheme="majorHAnsi" w:cs="Calibri"/>
          <w:sz w:val="22"/>
        </w:rPr>
        <w:t>, 1347-</w:t>
      </w:r>
      <w:r w:rsidR="00057754" w:rsidRPr="00190CE5">
        <w:rPr>
          <w:rFonts w:asciiTheme="majorHAnsi" w:hAnsiTheme="majorHAnsi" w:cs="Calibri"/>
          <w:sz w:val="22"/>
        </w:rPr>
        <w:t>1349</w:t>
      </w:r>
      <w:r w:rsidR="00EE658A" w:rsidRPr="00190CE5">
        <w:rPr>
          <w:rFonts w:asciiTheme="majorHAnsi" w:hAnsiTheme="majorHAnsi" w:cs="Calibri"/>
          <w:sz w:val="22"/>
        </w:rPr>
        <w:t xml:space="preserve"> (2005).</w:t>
      </w:r>
    </w:p>
    <w:p w14:paraId="0DF42646" w14:textId="52EDF928" w:rsidR="00C44167" w:rsidRPr="00190CE5" w:rsidRDefault="00F90E39" w:rsidP="00C44167">
      <w:pPr>
        <w:spacing w:after="100" w:afterAutospacing="1"/>
        <w:ind w:left="851" w:hanging="851"/>
        <w:rPr>
          <w:rFonts w:asciiTheme="majorHAnsi" w:eastAsia="Calibri" w:hAnsiTheme="majorHAnsi"/>
          <w:sz w:val="22"/>
        </w:rPr>
      </w:pPr>
      <w:r w:rsidRPr="00190CE5">
        <w:rPr>
          <w:rFonts w:asciiTheme="majorHAnsi" w:hAnsiTheme="majorHAnsi" w:cs="Calibri"/>
          <w:sz w:val="22"/>
        </w:rPr>
        <w:t>33</w:t>
      </w:r>
      <w:r w:rsidR="00C44167" w:rsidRPr="00190CE5">
        <w:rPr>
          <w:rFonts w:asciiTheme="majorHAnsi" w:hAnsiTheme="majorHAnsi" w:cs="Calibri"/>
          <w:sz w:val="22"/>
        </w:rPr>
        <w:tab/>
      </w:r>
      <w:r w:rsidR="00C44167" w:rsidRPr="00190CE5">
        <w:rPr>
          <w:rFonts w:asciiTheme="majorHAnsi" w:hAnsiTheme="majorHAnsi" w:cs="Segoe UI"/>
          <w:sz w:val="22"/>
          <w:shd w:val="clear" w:color="auto" w:fill="FFFFFF"/>
        </w:rPr>
        <w:t xml:space="preserve">van der Veen DR, Le Minh N, </w:t>
      </w:r>
      <w:proofErr w:type="spellStart"/>
      <w:r w:rsidR="00C44167" w:rsidRPr="00190CE5">
        <w:rPr>
          <w:rFonts w:asciiTheme="majorHAnsi" w:hAnsiTheme="majorHAnsi" w:cs="Segoe UI"/>
          <w:sz w:val="22"/>
          <w:shd w:val="clear" w:color="auto" w:fill="FFFFFF"/>
        </w:rPr>
        <w:t>Gos</w:t>
      </w:r>
      <w:proofErr w:type="spellEnd"/>
      <w:r w:rsidR="00C44167" w:rsidRPr="00190CE5">
        <w:rPr>
          <w:rFonts w:asciiTheme="majorHAnsi" w:hAnsiTheme="majorHAnsi" w:cs="Segoe UI"/>
          <w:sz w:val="22"/>
          <w:shd w:val="clear" w:color="auto" w:fill="FFFFFF"/>
        </w:rPr>
        <w:t xml:space="preserve"> P, </w:t>
      </w:r>
      <w:proofErr w:type="spellStart"/>
      <w:r w:rsidR="00C44167" w:rsidRPr="00190CE5">
        <w:rPr>
          <w:rFonts w:asciiTheme="majorHAnsi" w:hAnsiTheme="majorHAnsi" w:cs="Segoe UI"/>
          <w:sz w:val="22"/>
          <w:shd w:val="clear" w:color="auto" w:fill="FFFFFF"/>
        </w:rPr>
        <w:t>Arneric</w:t>
      </w:r>
      <w:proofErr w:type="spellEnd"/>
      <w:r w:rsidR="00C44167" w:rsidRPr="00190CE5">
        <w:rPr>
          <w:rFonts w:asciiTheme="majorHAnsi" w:hAnsiTheme="majorHAnsi" w:cs="Segoe UI"/>
          <w:sz w:val="22"/>
          <w:shd w:val="clear" w:color="auto" w:fill="FFFFFF"/>
        </w:rPr>
        <w:t xml:space="preserve"> M, </w:t>
      </w:r>
      <w:proofErr w:type="spellStart"/>
      <w:r w:rsidR="00C44167" w:rsidRPr="00190CE5">
        <w:rPr>
          <w:rFonts w:asciiTheme="majorHAnsi" w:hAnsiTheme="majorHAnsi" w:cs="Segoe UI"/>
          <w:sz w:val="22"/>
          <w:shd w:val="clear" w:color="auto" w:fill="FFFFFF"/>
        </w:rPr>
        <w:t>Gerkema</w:t>
      </w:r>
      <w:proofErr w:type="spellEnd"/>
      <w:r w:rsidR="00C44167" w:rsidRPr="00190CE5">
        <w:rPr>
          <w:rFonts w:asciiTheme="majorHAnsi" w:hAnsiTheme="majorHAnsi" w:cs="Segoe UI"/>
          <w:sz w:val="22"/>
          <w:shd w:val="clear" w:color="auto" w:fill="FFFFFF"/>
        </w:rPr>
        <w:t xml:space="preserve"> MP &amp; </w:t>
      </w:r>
      <w:proofErr w:type="spellStart"/>
      <w:r w:rsidR="00C44167" w:rsidRPr="00190CE5">
        <w:rPr>
          <w:rFonts w:asciiTheme="majorHAnsi" w:hAnsiTheme="majorHAnsi" w:cs="Segoe UI"/>
          <w:sz w:val="22"/>
          <w:shd w:val="clear" w:color="auto" w:fill="FFFFFF"/>
        </w:rPr>
        <w:t>Schibler</w:t>
      </w:r>
      <w:proofErr w:type="spellEnd"/>
      <w:r w:rsidR="00C44167" w:rsidRPr="00190CE5">
        <w:rPr>
          <w:rFonts w:asciiTheme="majorHAnsi" w:hAnsiTheme="majorHAnsi" w:cs="Segoe UI"/>
          <w:sz w:val="22"/>
          <w:shd w:val="clear" w:color="auto" w:fill="FFFFFF"/>
        </w:rPr>
        <w:t xml:space="preserve"> U. Impact of </w:t>
      </w:r>
      <w:proofErr w:type="spellStart"/>
      <w:r w:rsidR="00C44167" w:rsidRPr="00190CE5">
        <w:rPr>
          <w:rFonts w:asciiTheme="majorHAnsi" w:hAnsiTheme="majorHAnsi" w:cs="Segoe UI"/>
          <w:sz w:val="22"/>
          <w:shd w:val="clear" w:color="auto" w:fill="FFFFFF"/>
        </w:rPr>
        <w:t>behavior</w:t>
      </w:r>
      <w:proofErr w:type="spellEnd"/>
      <w:r w:rsidR="00C44167" w:rsidRPr="00190CE5">
        <w:rPr>
          <w:rFonts w:asciiTheme="majorHAnsi" w:hAnsiTheme="majorHAnsi" w:cs="Segoe UI"/>
          <w:sz w:val="22"/>
          <w:shd w:val="clear" w:color="auto" w:fill="FFFFFF"/>
        </w:rPr>
        <w:t xml:space="preserve"> on central and peripheral circadian clocks in the common vole Microtus </w:t>
      </w:r>
      <w:proofErr w:type="spellStart"/>
      <w:r w:rsidR="00C44167" w:rsidRPr="00190CE5">
        <w:rPr>
          <w:rFonts w:asciiTheme="majorHAnsi" w:hAnsiTheme="majorHAnsi" w:cs="Segoe UI"/>
          <w:sz w:val="22"/>
          <w:shd w:val="clear" w:color="auto" w:fill="FFFFFF"/>
        </w:rPr>
        <w:t>arvalis</w:t>
      </w:r>
      <w:proofErr w:type="spellEnd"/>
      <w:r w:rsidR="00C44167" w:rsidRPr="00190CE5">
        <w:rPr>
          <w:rFonts w:asciiTheme="majorHAnsi" w:hAnsiTheme="majorHAnsi" w:cs="Segoe UI"/>
          <w:sz w:val="22"/>
          <w:shd w:val="clear" w:color="auto" w:fill="FFFFFF"/>
        </w:rPr>
        <w:t>, a mammal with ultradian rhythms. </w:t>
      </w:r>
      <w:r w:rsidR="00C44167" w:rsidRPr="00190CE5">
        <w:rPr>
          <w:rStyle w:val="font-italic"/>
          <w:rFonts w:asciiTheme="majorHAnsi" w:hAnsiTheme="majorHAnsi" w:cs="Segoe UI"/>
          <w:i/>
          <w:sz w:val="22"/>
          <w:shd w:val="clear" w:color="auto" w:fill="FFFFFF"/>
        </w:rPr>
        <w:t>Proc. Nat. Acad. Sci</w:t>
      </w:r>
      <w:r w:rsidR="00C44167" w:rsidRPr="00190CE5">
        <w:rPr>
          <w:rStyle w:val="font-italic"/>
          <w:rFonts w:asciiTheme="majorHAnsi" w:hAnsiTheme="majorHAnsi" w:cs="Segoe UI"/>
          <w:sz w:val="22"/>
          <w:shd w:val="clear" w:color="auto" w:fill="FFFFFF"/>
        </w:rPr>
        <w:t>. USA,</w:t>
      </w:r>
      <w:r w:rsidR="00C44167" w:rsidRPr="00190CE5">
        <w:rPr>
          <w:rFonts w:asciiTheme="majorHAnsi" w:hAnsiTheme="majorHAnsi" w:cs="Segoe UI"/>
          <w:sz w:val="22"/>
          <w:shd w:val="clear" w:color="auto" w:fill="FFFFFF"/>
        </w:rPr>
        <w:t> </w:t>
      </w:r>
      <w:r w:rsidR="00C44167" w:rsidRPr="00190CE5">
        <w:rPr>
          <w:rFonts w:asciiTheme="majorHAnsi" w:hAnsiTheme="majorHAnsi" w:cs="Segoe UI"/>
          <w:b/>
          <w:sz w:val="22"/>
          <w:shd w:val="clear" w:color="auto" w:fill="FFFFFF"/>
        </w:rPr>
        <w:t>103</w:t>
      </w:r>
      <w:r w:rsidR="00C44167" w:rsidRPr="00190CE5">
        <w:rPr>
          <w:rFonts w:asciiTheme="majorHAnsi" w:hAnsiTheme="majorHAnsi" w:cs="Segoe UI"/>
          <w:sz w:val="22"/>
          <w:shd w:val="clear" w:color="auto" w:fill="FFFFFF"/>
        </w:rPr>
        <w:t>, 3393-3398 (2006).</w:t>
      </w:r>
    </w:p>
    <w:p w14:paraId="6A6CFBFB" w14:textId="7426CDF2" w:rsidR="00C44167" w:rsidRPr="00190CE5" w:rsidRDefault="00C44167" w:rsidP="00C44167">
      <w:pPr>
        <w:spacing w:after="100" w:afterAutospacing="1"/>
        <w:ind w:left="851" w:hanging="851"/>
        <w:rPr>
          <w:rFonts w:asciiTheme="majorHAnsi" w:hAnsiTheme="majorHAnsi" w:cs="Segoe UI"/>
          <w:sz w:val="22"/>
          <w:shd w:val="clear" w:color="auto" w:fill="FFFFFF"/>
        </w:rPr>
      </w:pPr>
      <w:r w:rsidRPr="00190CE5">
        <w:rPr>
          <w:rFonts w:asciiTheme="majorHAnsi" w:hAnsiTheme="majorHAnsi" w:cs="Segoe UI"/>
          <w:sz w:val="22"/>
          <w:shd w:val="clear" w:color="auto" w:fill="FFFFFF"/>
        </w:rPr>
        <w:t>34</w:t>
      </w:r>
      <w:r w:rsidRPr="00190CE5">
        <w:rPr>
          <w:rFonts w:asciiTheme="majorHAnsi" w:hAnsiTheme="majorHAnsi" w:cs="Segoe UI"/>
          <w:sz w:val="22"/>
          <w:shd w:val="clear" w:color="auto" w:fill="FFFFFF"/>
        </w:rPr>
        <w:tab/>
        <w:t xml:space="preserve">van der Veen DR, </w:t>
      </w:r>
      <w:proofErr w:type="spellStart"/>
      <w:r w:rsidRPr="00190CE5">
        <w:rPr>
          <w:rFonts w:asciiTheme="majorHAnsi" w:hAnsiTheme="majorHAnsi" w:cs="Segoe UI"/>
          <w:sz w:val="22"/>
          <w:shd w:val="clear" w:color="auto" w:fill="FFFFFF"/>
        </w:rPr>
        <w:t>Saaltink</w:t>
      </w:r>
      <w:proofErr w:type="spellEnd"/>
      <w:r w:rsidRPr="00190CE5">
        <w:rPr>
          <w:rFonts w:asciiTheme="majorHAnsi" w:hAnsiTheme="majorHAnsi" w:cs="Segoe UI"/>
          <w:sz w:val="22"/>
          <w:shd w:val="clear" w:color="auto" w:fill="FFFFFF"/>
        </w:rPr>
        <w:t xml:space="preserve"> DJ &amp; </w:t>
      </w:r>
      <w:proofErr w:type="spellStart"/>
      <w:r w:rsidRPr="00190CE5">
        <w:rPr>
          <w:rFonts w:asciiTheme="majorHAnsi" w:hAnsiTheme="majorHAnsi" w:cs="Segoe UI"/>
          <w:sz w:val="22"/>
          <w:shd w:val="clear" w:color="auto" w:fill="FFFFFF"/>
        </w:rPr>
        <w:t>Gerkema</w:t>
      </w:r>
      <w:proofErr w:type="spellEnd"/>
      <w:r w:rsidRPr="00190CE5">
        <w:rPr>
          <w:rFonts w:asciiTheme="majorHAnsi" w:hAnsiTheme="majorHAnsi" w:cs="Segoe UI"/>
          <w:sz w:val="22"/>
          <w:shd w:val="clear" w:color="auto" w:fill="FFFFFF"/>
        </w:rPr>
        <w:t xml:space="preserve"> MP. </w:t>
      </w:r>
      <w:proofErr w:type="spellStart"/>
      <w:r w:rsidRPr="00190CE5">
        <w:rPr>
          <w:rFonts w:asciiTheme="majorHAnsi" w:hAnsiTheme="majorHAnsi" w:cs="Segoe UI"/>
          <w:sz w:val="22"/>
          <w:shd w:val="clear" w:color="auto" w:fill="FFFFFF"/>
        </w:rPr>
        <w:t>Behavioral</w:t>
      </w:r>
      <w:proofErr w:type="spellEnd"/>
      <w:r w:rsidRPr="00190CE5">
        <w:rPr>
          <w:rFonts w:asciiTheme="majorHAnsi" w:hAnsiTheme="majorHAnsi" w:cs="Segoe UI"/>
          <w:sz w:val="22"/>
          <w:shd w:val="clear" w:color="auto" w:fill="FFFFFF"/>
        </w:rPr>
        <w:t xml:space="preserve"> Responses to Combinations of Timed Light, Food Availability, and Ultradian Rhythms in the Common Vole (Microtus </w:t>
      </w:r>
      <w:proofErr w:type="spellStart"/>
      <w:r w:rsidRPr="00190CE5">
        <w:rPr>
          <w:rFonts w:asciiTheme="majorHAnsi" w:hAnsiTheme="majorHAnsi" w:cs="Segoe UI"/>
          <w:sz w:val="22"/>
          <w:shd w:val="clear" w:color="auto" w:fill="FFFFFF"/>
        </w:rPr>
        <w:t>arvalis</w:t>
      </w:r>
      <w:proofErr w:type="spellEnd"/>
      <w:r w:rsidRPr="00190CE5">
        <w:rPr>
          <w:rFonts w:asciiTheme="majorHAnsi" w:hAnsiTheme="majorHAnsi" w:cs="Segoe UI"/>
          <w:sz w:val="22"/>
          <w:shd w:val="clear" w:color="auto" w:fill="FFFFFF"/>
        </w:rPr>
        <w:t xml:space="preserve">) </w:t>
      </w:r>
      <w:proofErr w:type="spellStart"/>
      <w:r w:rsidRPr="00190CE5">
        <w:rPr>
          <w:rFonts w:asciiTheme="majorHAnsi" w:hAnsiTheme="majorHAnsi" w:cs="Segoe UI"/>
          <w:i/>
          <w:sz w:val="22"/>
          <w:shd w:val="clear" w:color="auto" w:fill="FFFFFF"/>
        </w:rPr>
        <w:t>Chronobiol</w:t>
      </w:r>
      <w:proofErr w:type="spellEnd"/>
      <w:r w:rsidRPr="00190CE5">
        <w:rPr>
          <w:rFonts w:asciiTheme="majorHAnsi" w:hAnsiTheme="majorHAnsi" w:cs="Segoe UI"/>
          <w:i/>
          <w:sz w:val="22"/>
          <w:shd w:val="clear" w:color="auto" w:fill="FFFFFF"/>
        </w:rPr>
        <w:t>. Int.</w:t>
      </w:r>
      <w:r w:rsidRPr="00190CE5">
        <w:rPr>
          <w:rFonts w:asciiTheme="majorHAnsi" w:hAnsiTheme="majorHAnsi" w:cs="Segoe UI"/>
          <w:sz w:val="22"/>
          <w:shd w:val="clear" w:color="auto" w:fill="FFFFFF"/>
        </w:rPr>
        <w:t> </w:t>
      </w:r>
      <w:r w:rsidRPr="00190CE5">
        <w:rPr>
          <w:rFonts w:asciiTheme="majorHAnsi" w:hAnsiTheme="majorHAnsi" w:cs="Segoe UI"/>
          <w:b/>
          <w:sz w:val="22"/>
          <w:shd w:val="clear" w:color="auto" w:fill="FFFFFF"/>
        </w:rPr>
        <w:t>28</w:t>
      </w:r>
      <w:r w:rsidRPr="00190CE5">
        <w:rPr>
          <w:rFonts w:asciiTheme="majorHAnsi" w:hAnsiTheme="majorHAnsi" w:cs="Segoe UI"/>
          <w:sz w:val="22"/>
          <w:shd w:val="clear" w:color="auto" w:fill="FFFFFF"/>
        </w:rPr>
        <w:t>, 563-571 (2011).</w:t>
      </w:r>
    </w:p>
    <w:p w14:paraId="379C8BB8" w14:textId="488FDE27" w:rsidR="00CE23E6" w:rsidRPr="00190CE5" w:rsidRDefault="00C44167" w:rsidP="00057754">
      <w:pPr>
        <w:shd w:val="clear" w:color="auto" w:fill="FFFFFF"/>
        <w:spacing w:after="100" w:afterAutospacing="1"/>
        <w:ind w:left="851" w:hanging="851"/>
        <w:rPr>
          <w:rFonts w:asciiTheme="majorHAnsi" w:eastAsia="Calibri" w:hAnsiTheme="majorHAnsi" w:cs="Calibri"/>
          <w:noProof/>
          <w:sz w:val="22"/>
        </w:rPr>
      </w:pPr>
      <w:r w:rsidRPr="00190CE5">
        <w:rPr>
          <w:rFonts w:asciiTheme="majorHAnsi" w:hAnsiTheme="majorHAnsi" w:cs="Calibri"/>
          <w:sz w:val="22"/>
        </w:rPr>
        <w:t>35</w:t>
      </w:r>
      <w:r w:rsidRPr="00190CE5">
        <w:rPr>
          <w:rFonts w:asciiTheme="majorHAnsi" w:hAnsiTheme="majorHAnsi" w:cs="Calibri"/>
          <w:sz w:val="22"/>
        </w:rPr>
        <w:tab/>
      </w:r>
      <w:r w:rsidR="00CE23E6" w:rsidRPr="00190CE5">
        <w:rPr>
          <w:rFonts w:asciiTheme="majorHAnsi" w:eastAsia="Calibri" w:hAnsiTheme="majorHAnsi" w:cs="Calibri"/>
          <w:noProof/>
          <w:sz w:val="22"/>
        </w:rPr>
        <w:t>Pethig, R</w:t>
      </w:r>
      <w:r w:rsidR="00E4176D" w:rsidRPr="00190CE5">
        <w:rPr>
          <w:rFonts w:asciiTheme="majorHAnsi" w:eastAsia="Calibri" w:hAnsiTheme="majorHAnsi" w:cs="Calibri"/>
          <w:noProof/>
          <w:sz w:val="22"/>
        </w:rPr>
        <w:t xml:space="preserve"> &amp;</w:t>
      </w:r>
      <w:r w:rsidR="00CE23E6" w:rsidRPr="00190CE5">
        <w:rPr>
          <w:rFonts w:asciiTheme="majorHAnsi" w:eastAsia="Calibri" w:hAnsiTheme="majorHAnsi" w:cs="Calibri"/>
          <w:noProof/>
          <w:sz w:val="22"/>
        </w:rPr>
        <w:t xml:space="preserve"> Talary MS. </w:t>
      </w:r>
      <w:r w:rsidR="00D45DBE" w:rsidRPr="00190CE5">
        <w:rPr>
          <w:rFonts w:asciiTheme="majorHAnsi" w:eastAsia="Calibri" w:hAnsiTheme="majorHAnsi" w:cs="Calibri"/>
          <w:noProof/>
          <w:sz w:val="22"/>
        </w:rPr>
        <w:t xml:space="preserve">Dielectrophoretic Detection of Membrane Morphology Changes in Jurkat T-Cells Undergoing Etoposide-Induced Apoptosis. </w:t>
      </w:r>
      <w:r w:rsidR="00CE23E6" w:rsidRPr="00190CE5">
        <w:rPr>
          <w:rFonts w:asciiTheme="majorHAnsi" w:eastAsia="Calibri" w:hAnsiTheme="majorHAnsi" w:cs="Calibri"/>
          <w:i/>
          <w:noProof/>
          <w:sz w:val="22"/>
        </w:rPr>
        <w:t>IET Nanobiotechnol</w:t>
      </w:r>
      <w:r w:rsidR="00CE23E6" w:rsidRPr="00190CE5">
        <w:rPr>
          <w:rFonts w:asciiTheme="majorHAnsi" w:eastAsia="Calibri" w:hAnsiTheme="majorHAnsi" w:cs="Calibri"/>
          <w:noProof/>
          <w:sz w:val="22"/>
        </w:rPr>
        <w:t xml:space="preserve">. </w:t>
      </w:r>
      <w:r w:rsidR="00CE23E6" w:rsidRPr="00190CE5">
        <w:rPr>
          <w:rFonts w:asciiTheme="majorHAnsi" w:eastAsia="Calibri" w:hAnsiTheme="majorHAnsi" w:cs="Calibri"/>
          <w:b/>
          <w:noProof/>
          <w:sz w:val="22"/>
        </w:rPr>
        <w:t>1</w:t>
      </w:r>
      <w:r w:rsidR="00CE23E6" w:rsidRPr="00190CE5">
        <w:rPr>
          <w:rFonts w:asciiTheme="majorHAnsi" w:eastAsia="Calibri" w:hAnsiTheme="majorHAnsi" w:cs="Calibri"/>
          <w:noProof/>
          <w:sz w:val="22"/>
        </w:rPr>
        <w:t>, 2-9</w:t>
      </w:r>
      <w:r w:rsidR="00EE658A" w:rsidRPr="00190CE5">
        <w:rPr>
          <w:rFonts w:asciiTheme="majorHAnsi" w:eastAsia="Calibri" w:hAnsiTheme="majorHAnsi" w:cs="Calibri"/>
          <w:noProof/>
          <w:sz w:val="22"/>
        </w:rPr>
        <w:t xml:space="preserve"> (2007)</w:t>
      </w:r>
      <w:r w:rsidR="00CE23E6" w:rsidRPr="00190CE5">
        <w:rPr>
          <w:rFonts w:asciiTheme="majorHAnsi" w:eastAsia="Calibri" w:hAnsiTheme="majorHAnsi" w:cs="Calibri"/>
          <w:noProof/>
          <w:sz w:val="22"/>
        </w:rPr>
        <w:t>.</w:t>
      </w:r>
    </w:p>
    <w:p w14:paraId="53BE7639" w14:textId="0537493E" w:rsidR="00CE23E6" w:rsidRPr="00190CE5" w:rsidRDefault="00C44167" w:rsidP="00057754">
      <w:pPr>
        <w:spacing w:after="100" w:afterAutospacing="1"/>
        <w:ind w:left="851" w:hanging="851"/>
        <w:rPr>
          <w:rFonts w:asciiTheme="majorHAnsi" w:eastAsia="Calibri" w:hAnsiTheme="majorHAnsi" w:cs="Times New Roman"/>
          <w:sz w:val="22"/>
        </w:rPr>
      </w:pPr>
      <w:r w:rsidRPr="00190CE5">
        <w:rPr>
          <w:rFonts w:asciiTheme="majorHAnsi" w:hAnsiTheme="majorHAnsi"/>
          <w:sz w:val="22"/>
        </w:rPr>
        <w:t>36</w:t>
      </w:r>
      <w:r w:rsidR="00CE23E6" w:rsidRPr="00190CE5">
        <w:rPr>
          <w:rFonts w:asciiTheme="majorHAnsi" w:hAnsiTheme="majorHAnsi"/>
          <w:sz w:val="22"/>
        </w:rPr>
        <w:tab/>
      </w:r>
      <w:hyperlink w:anchor="_ENREF_24" w:tooltip="Kiesel, 2006 #389" w:history="1">
        <w:r w:rsidR="00CE23E6" w:rsidRPr="00190CE5">
          <w:rPr>
            <w:rFonts w:asciiTheme="majorHAnsi" w:hAnsiTheme="majorHAnsi"/>
            <w:noProof/>
            <w:sz w:val="22"/>
          </w:rPr>
          <w:t>Kiesel M, Reuss R, Endter J, Zimmermann D, Zimmermann H, Shirak</w:t>
        </w:r>
        <w:r w:rsidR="00E4176D" w:rsidRPr="00190CE5">
          <w:rPr>
            <w:rFonts w:asciiTheme="majorHAnsi" w:hAnsiTheme="majorHAnsi"/>
            <w:noProof/>
            <w:sz w:val="22"/>
          </w:rPr>
          <w:t>ashi R, Bamberg E, Zimmermann U &amp;</w:t>
        </w:r>
        <w:r w:rsidR="00CE23E6" w:rsidRPr="00190CE5">
          <w:rPr>
            <w:rFonts w:asciiTheme="majorHAnsi" w:hAnsiTheme="majorHAnsi"/>
            <w:noProof/>
            <w:sz w:val="22"/>
          </w:rPr>
          <w:t xml:space="preserve"> Sukhorukov VL.</w:t>
        </w:r>
        <w:r w:rsidR="00D45DBE" w:rsidRPr="00190CE5">
          <w:rPr>
            <w:rFonts w:asciiTheme="majorHAnsi" w:hAnsiTheme="majorHAnsi"/>
            <w:sz w:val="22"/>
          </w:rPr>
          <w:t xml:space="preserve"> </w:t>
        </w:r>
        <w:r w:rsidR="00D45DBE" w:rsidRPr="00190CE5">
          <w:rPr>
            <w:rFonts w:asciiTheme="majorHAnsi" w:hAnsiTheme="majorHAnsi"/>
            <w:noProof/>
            <w:sz w:val="22"/>
          </w:rPr>
          <w:t xml:space="preserve">Swelling-Activated Pathways in Human T-Lymphocytes Studied by Cell Volumetry and Electrorotation. </w:t>
        </w:r>
        <w:r w:rsidR="00CE23E6" w:rsidRPr="00190CE5">
          <w:rPr>
            <w:rFonts w:asciiTheme="majorHAnsi" w:hAnsiTheme="majorHAnsi"/>
            <w:noProof/>
            <w:sz w:val="22"/>
          </w:rPr>
          <w:t xml:space="preserve"> </w:t>
        </w:r>
        <w:r w:rsidR="00CE23E6" w:rsidRPr="00190CE5">
          <w:rPr>
            <w:rFonts w:asciiTheme="majorHAnsi" w:hAnsiTheme="majorHAnsi"/>
            <w:i/>
            <w:noProof/>
            <w:sz w:val="22"/>
          </w:rPr>
          <w:t>Biophys. J</w:t>
        </w:r>
        <w:r w:rsidR="00CE23E6" w:rsidRPr="00190CE5">
          <w:rPr>
            <w:rFonts w:asciiTheme="majorHAnsi" w:hAnsiTheme="majorHAnsi"/>
            <w:noProof/>
            <w:sz w:val="22"/>
          </w:rPr>
          <w:t xml:space="preserve">. </w:t>
        </w:r>
        <w:r w:rsidR="00CE23E6" w:rsidRPr="00190CE5">
          <w:rPr>
            <w:rFonts w:asciiTheme="majorHAnsi" w:hAnsiTheme="majorHAnsi"/>
            <w:b/>
            <w:noProof/>
            <w:sz w:val="22"/>
          </w:rPr>
          <w:t>90</w:t>
        </w:r>
        <w:r w:rsidR="00CE23E6" w:rsidRPr="00190CE5">
          <w:rPr>
            <w:rFonts w:asciiTheme="majorHAnsi" w:hAnsiTheme="majorHAnsi"/>
            <w:noProof/>
            <w:sz w:val="22"/>
          </w:rPr>
          <w:t>, 4720-4729</w:t>
        </w:r>
      </w:hyperlink>
      <w:r w:rsidR="00EE658A" w:rsidRPr="00190CE5">
        <w:rPr>
          <w:rFonts w:asciiTheme="majorHAnsi" w:hAnsiTheme="majorHAnsi"/>
          <w:noProof/>
          <w:sz w:val="22"/>
        </w:rPr>
        <w:t xml:space="preserve"> (2006).</w:t>
      </w:r>
    </w:p>
    <w:p w14:paraId="549AA8D5" w14:textId="28863798" w:rsidR="00CE23E6" w:rsidRPr="00190CE5" w:rsidRDefault="00C44167" w:rsidP="00057754">
      <w:pPr>
        <w:spacing w:after="100" w:afterAutospacing="1"/>
        <w:ind w:left="851" w:hanging="851"/>
        <w:rPr>
          <w:rFonts w:asciiTheme="majorHAnsi" w:hAnsiTheme="majorHAnsi"/>
          <w:sz w:val="22"/>
        </w:rPr>
      </w:pPr>
      <w:r w:rsidRPr="00190CE5">
        <w:rPr>
          <w:rFonts w:asciiTheme="majorHAnsi" w:eastAsia="Calibri" w:hAnsiTheme="majorHAnsi" w:cs="Calibri"/>
          <w:noProof/>
          <w:sz w:val="22"/>
        </w:rPr>
        <w:t>37</w:t>
      </w:r>
      <w:r w:rsidR="00CE23E6" w:rsidRPr="00190CE5">
        <w:rPr>
          <w:rFonts w:asciiTheme="majorHAnsi" w:eastAsia="Calibri" w:hAnsiTheme="majorHAnsi" w:cs="Calibri"/>
          <w:noProof/>
          <w:sz w:val="22"/>
        </w:rPr>
        <w:tab/>
      </w:r>
      <w:r w:rsidR="00CE23E6" w:rsidRPr="00190CE5">
        <w:rPr>
          <w:rFonts w:asciiTheme="majorHAnsi" w:hAnsiTheme="majorHAnsi"/>
          <w:sz w:val="22"/>
        </w:rPr>
        <w:fldChar w:fldCharType="begin"/>
      </w:r>
      <w:r w:rsidR="00CE23E6" w:rsidRPr="00190CE5">
        <w:rPr>
          <w:rFonts w:asciiTheme="majorHAnsi" w:hAnsiTheme="majorHAnsi"/>
          <w:sz w:val="22"/>
        </w:rPr>
        <w:instrText xml:space="preserve"> ADDIN EN.CITE &lt;EndNote&gt;&lt;Cite&gt;&lt;Author&gt;Sukhorukov&lt;/Author&gt;&lt;Year&gt;2001&lt;/Year&gt;&lt;RecNum&gt;391&lt;/RecNum&gt;&lt;DisplayText&gt;(Sukhorukov, Kürschner et al. 2001)&lt;/DisplayText&gt;&lt;record&gt;&lt;rec-number&gt;391&lt;/rec-number&gt;&lt;foreign-keys&gt;&lt;key app="EN" db-id="wx5rzdwe8aass0ev9aqvtztcwsprpxrszwfd"&gt;391&lt;/key&gt;&lt;/foreign-keys&gt;&lt;ref-type name="Journal Article"&gt;17&lt;/ref-type&gt;&lt;contributors&gt;&lt;authors&gt;&lt;author&gt;Sukhorukov, Vladimir L.&lt;/author&gt;&lt;author&gt;Kürschner, Markus&lt;/author&gt;&lt;author&gt;Dilsky, Stefan&lt;/author&gt;&lt;author&gt;Lisec, Thomas&lt;/author&gt;&lt;author&gt;Wagner, Bernd&lt;/author&gt;&lt;author&gt;Schenk, Wolfdieter A.&lt;/author&gt;&lt;author&gt;Benz, Roland&lt;/author&gt;&lt;author&gt;Zimmermann, Ulrich&lt;/author&gt;&lt;/authors&gt;&lt;/contributors&gt;&lt;titles&gt;&lt;title&gt;Phloretin-Induced Changes of Lipophilic Ion Transport across the Plasma Membrane of Mammalian Cells&lt;/title&gt;&lt;secondary-title&gt;Biophysical Journal&lt;/secondary-title&gt;&lt;/titles&gt;&lt;periodical&gt;&lt;full-title&gt;Biophysical Journal&lt;/full-title&gt;&lt;/periodical&gt;&lt;pages&gt;1006-1013&lt;/pages&gt;&lt;volume&gt;81&lt;/volume&gt;&lt;number&gt;2&lt;/number&gt;&lt;dates&gt;&lt;year&gt;2001&lt;/year&gt;&lt;/dates&gt;&lt;publisher&gt;Cell Press&lt;/publisher&gt;&lt;isbn&gt;0006-3495&lt;/isbn&gt;&lt;urls&gt;&lt;related-urls&gt;&lt;url&gt;http://linkinghub.elsevier.com/retrieve/pii/S000634950175758X&lt;/url&gt;&lt;/related-urls&gt;&lt;/urls&gt;&lt;/record&gt;&lt;/Cite&gt;&lt;/EndNote&gt;</w:instrText>
      </w:r>
      <w:r w:rsidR="00CE23E6" w:rsidRPr="00190CE5">
        <w:rPr>
          <w:rFonts w:asciiTheme="majorHAnsi" w:hAnsiTheme="majorHAnsi"/>
          <w:sz w:val="22"/>
        </w:rPr>
        <w:fldChar w:fldCharType="separate"/>
      </w:r>
      <w:hyperlink w:anchor="_ENREF_37" w:tooltip="Sukhorukov, 2001 #391" w:history="1">
        <w:r w:rsidR="00CE23E6" w:rsidRPr="00190CE5">
          <w:rPr>
            <w:rFonts w:asciiTheme="majorHAnsi" w:hAnsiTheme="majorHAnsi"/>
            <w:sz w:val="22"/>
            <w:shd w:val="clear" w:color="auto" w:fill="FFFFFF"/>
          </w:rPr>
          <w:t xml:space="preserve">Sukhorukov VL, Kürschner M, Dilsky S, Lisec </w:t>
        </w:r>
        <w:r w:rsidR="00E4176D" w:rsidRPr="00190CE5">
          <w:rPr>
            <w:rFonts w:asciiTheme="majorHAnsi" w:hAnsiTheme="majorHAnsi"/>
            <w:sz w:val="22"/>
            <w:shd w:val="clear" w:color="auto" w:fill="FFFFFF"/>
          </w:rPr>
          <w:t xml:space="preserve">T, Wagner B, Schenk WA, Benz R &amp; </w:t>
        </w:r>
        <w:r w:rsidR="00CE23E6" w:rsidRPr="00190CE5">
          <w:rPr>
            <w:rFonts w:asciiTheme="majorHAnsi" w:hAnsiTheme="majorHAnsi"/>
            <w:sz w:val="22"/>
            <w:shd w:val="clear" w:color="auto" w:fill="FFFFFF"/>
          </w:rPr>
          <w:t>Zimmermann U.</w:t>
        </w:r>
        <w:r w:rsidR="00CE23E6" w:rsidRPr="00190CE5">
          <w:rPr>
            <w:rFonts w:asciiTheme="majorHAnsi" w:hAnsiTheme="majorHAnsi"/>
            <w:noProof/>
            <w:sz w:val="22"/>
          </w:rPr>
          <w:t xml:space="preserve"> </w:t>
        </w:r>
        <w:r w:rsidR="00D45DBE" w:rsidRPr="00190CE5">
          <w:rPr>
            <w:rFonts w:asciiTheme="majorHAnsi" w:hAnsiTheme="majorHAnsi"/>
            <w:noProof/>
            <w:sz w:val="22"/>
          </w:rPr>
          <w:t xml:space="preserve">Phloretin-induced changes of lipophilic ion transport across the plasma membrane of mammalian cells. </w:t>
        </w:r>
        <w:r w:rsidR="00CE23E6" w:rsidRPr="00190CE5">
          <w:rPr>
            <w:rFonts w:asciiTheme="majorHAnsi" w:hAnsiTheme="majorHAnsi"/>
            <w:i/>
            <w:noProof/>
            <w:sz w:val="22"/>
          </w:rPr>
          <w:t>Biophys. J.</w:t>
        </w:r>
        <w:r w:rsidR="00CE23E6" w:rsidRPr="00190CE5">
          <w:rPr>
            <w:rFonts w:asciiTheme="majorHAnsi" w:hAnsiTheme="majorHAnsi"/>
            <w:noProof/>
            <w:sz w:val="22"/>
          </w:rPr>
          <w:t xml:space="preserve"> </w:t>
        </w:r>
        <w:r w:rsidR="00CE23E6" w:rsidRPr="00190CE5">
          <w:rPr>
            <w:rFonts w:asciiTheme="majorHAnsi" w:hAnsiTheme="majorHAnsi"/>
            <w:b/>
            <w:noProof/>
            <w:sz w:val="22"/>
          </w:rPr>
          <w:t>81</w:t>
        </w:r>
        <w:r w:rsidR="00CE23E6" w:rsidRPr="00190CE5">
          <w:rPr>
            <w:rFonts w:asciiTheme="majorHAnsi" w:hAnsiTheme="majorHAnsi"/>
            <w:noProof/>
            <w:sz w:val="22"/>
          </w:rPr>
          <w:t>, 1006-1013</w:t>
        </w:r>
      </w:hyperlink>
      <w:r w:rsidR="00CE23E6" w:rsidRPr="00190CE5">
        <w:rPr>
          <w:rFonts w:asciiTheme="majorHAnsi" w:hAnsiTheme="majorHAnsi"/>
          <w:sz w:val="22"/>
        </w:rPr>
        <w:fldChar w:fldCharType="end"/>
      </w:r>
      <w:r w:rsidR="00EE658A" w:rsidRPr="00190CE5">
        <w:rPr>
          <w:rFonts w:asciiTheme="majorHAnsi" w:hAnsiTheme="majorHAnsi"/>
          <w:sz w:val="22"/>
        </w:rPr>
        <w:t xml:space="preserve"> (2001)</w:t>
      </w:r>
      <w:r w:rsidR="00CE23E6" w:rsidRPr="00190CE5">
        <w:rPr>
          <w:rFonts w:asciiTheme="majorHAnsi" w:hAnsiTheme="majorHAnsi"/>
          <w:sz w:val="22"/>
        </w:rPr>
        <w:t>.</w:t>
      </w:r>
    </w:p>
    <w:p w14:paraId="351EF8B9" w14:textId="48552227" w:rsidR="00CE23E6" w:rsidRPr="00190CE5" w:rsidRDefault="00CE23E6" w:rsidP="00057754">
      <w:pPr>
        <w:shd w:val="clear" w:color="auto" w:fill="FFFFFF"/>
        <w:spacing w:after="100" w:afterAutospacing="1"/>
        <w:ind w:left="851" w:hanging="851"/>
        <w:rPr>
          <w:rFonts w:asciiTheme="majorHAnsi" w:eastAsia="Calibri" w:hAnsiTheme="majorHAnsi" w:cs="Calibri"/>
          <w:noProof/>
          <w:sz w:val="22"/>
        </w:rPr>
      </w:pPr>
      <w:r w:rsidRPr="00190CE5">
        <w:rPr>
          <w:rFonts w:asciiTheme="majorHAnsi" w:eastAsia="Calibri" w:hAnsiTheme="majorHAnsi" w:cs="Calibri"/>
          <w:noProof/>
          <w:sz w:val="22"/>
        </w:rPr>
        <w:t>3</w:t>
      </w:r>
      <w:r w:rsidR="00C44167" w:rsidRPr="00190CE5">
        <w:rPr>
          <w:rFonts w:asciiTheme="majorHAnsi" w:eastAsia="Calibri" w:hAnsiTheme="majorHAnsi" w:cs="Calibri"/>
          <w:noProof/>
          <w:sz w:val="22"/>
        </w:rPr>
        <w:t>8</w:t>
      </w:r>
      <w:r w:rsidRPr="00190CE5">
        <w:rPr>
          <w:rFonts w:asciiTheme="majorHAnsi" w:eastAsia="Calibri" w:hAnsiTheme="majorHAnsi" w:cs="Calibri"/>
          <w:noProof/>
          <w:sz w:val="22"/>
        </w:rPr>
        <w:tab/>
      </w:r>
      <w:hyperlink w:anchor="_ENREF_10" w:tooltip="Garner, 2007 #105" w:history="1">
        <w:r w:rsidRPr="00190CE5">
          <w:rPr>
            <w:rFonts w:asciiTheme="majorHAnsi" w:hAnsiTheme="majorHAnsi"/>
            <w:noProof/>
            <w:sz w:val="22"/>
          </w:rPr>
          <w:t>Garner AL, Chen G, Chen N, Sridhara V, Kolb JF, Swanson RJ, Beebe SJ, Joshi RP</w:t>
        </w:r>
        <w:r w:rsidR="00E4176D" w:rsidRPr="00190CE5">
          <w:rPr>
            <w:rFonts w:asciiTheme="majorHAnsi" w:hAnsiTheme="majorHAnsi"/>
            <w:noProof/>
            <w:sz w:val="22"/>
          </w:rPr>
          <w:t xml:space="preserve"> &amp;</w:t>
        </w:r>
        <w:r w:rsidRPr="00190CE5">
          <w:rPr>
            <w:rFonts w:asciiTheme="majorHAnsi" w:hAnsiTheme="majorHAnsi"/>
            <w:noProof/>
            <w:sz w:val="22"/>
          </w:rPr>
          <w:t xml:space="preserve"> Schoenbach KH. </w:t>
        </w:r>
        <w:r w:rsidR="00D45DBE" w:rsidRPr="00190CE5">
          <w:rPr>
            <w:rFonts w:asciiTheme="majorHAnsi" w:hAnsiTheme="majorHAnsi"/>
            <w:noProof/>
            <w:sz w:val="22"/>
          </w:rPr>
          <w:t xml:space="preserve">Ultrashort electric pulse induced changes in cellular dielectric properties. </w:t>
        </w:r>
        <w:r w:rsidRPr="00190CE5">
          <w:rPr>
            <w:rFonts w:asciiTheme="majorHAnsi" w:hAnsiTheme="majorHAnsi"/>
            <w:i/>
            <w:noProof/>
            <w:sz w:val="22"/>
          </w:rPr>
          <w:t>Biochem. Biophys. Res. Comm</w:t>
        </w:r>
        <w:r w:rsidRPr="00190CE5">
          <w:rPr>
            <w:rFonts w:asciiTheme="majorHAnsi" w:hAnsiTheme="majorHAnsi"/>
            <w:noProof/>
            <w:sz w:val="22"/>
          </w:rPr>
          <w:t xml:space="preserve">. </w:t>
        </w:r>
        <w:r w:rsidRPr="00190CE5">
          <w:rPr>
            <w:rFonts w:asciiTheme="majorHAnsi" w:hAnsiTheme="majorHAnsi"/>
            <w:b/>
            <w:noProof/>
            <w:sz w:val="22"/>
          </w:rPr>
          <w:t>362</w:t>
        </w:r>
        <w:r w:rsidRPr="00190CE5">
          <w:rPr>
            <w:rFonts w:asciiTheme="majorHAnsi" w:hAnsiTheme="majorHAnsi"/>
            <w:noProof/>
            <w:sz w:val="22"/>
          </w:rPr>
          <w:t>, 139-144</w:t>
        </w:r>
      </w:hyperlink>
      <w:r w:rsidR="00EE658A" w:rsidRPr="00190CE5">
        <w:rPr>
          <w:rFonts w:asciiTheme="majorHAnsi" w:hAnsiTheme="majorHAnsi"/>
          <w:noProof/>
          <w:sz w:val="22"/>
        </w:rPr>
        <w:t xml:space="preserve"> (2007).</w:t>
      </w:r>
    </w:p>
    <w:p w14:paraId="04767FC8" w14:textId="22ABB82C" w:rsidR="00CE23E6" w:rsidRPr="00190CE5" w:rsidRDefault="00C44167" w:rsidP="00057754">
      <w:pPr>
        <w:spacing w:after="100" w:afterAutospacing="1"/>
        <w:ind w:left="851" w:hanging="851"/>
        <w:rPr>
          <w:rFonts w:asciiTheme="majorHAnsi" w:hAnsiTheme="majorHAnsi"/>
          <w:sz w:val="22"/>
        </w:rPr>
      </w:pPr>
      <w:r w:rsidRPr="00190CE5">
        <w:rPr>
          <w:rFonts w:asciiTheme="majorHAnsi" w:eastAsia="Calibri" w:hAnsiTheme="majorHAnsi" w:cs="Calibri"/>
          <w:noProof/>
          <w:sz w:val="22"/>
        </w:rPr>
        <w:t>39</w:t>
      </w:r>
      <w:r w:rsidR="00CE23E6" w:rsidRPr="00190CE5">
        <w:rPr>
          <w:rFonts w:asciiTheme="majorHAnsi" w:eastAsia="Calibri" w:hAnsiTheme="majorHAnsi" w:cs="Calibri"/>
          <w:noProof/>
          <w:sz w:val="22"/>
        </w:rPr>
        <w:tab/>
      </w:r>
      <w:proofErr w:type="spellStart"/>
      <w:r w:rsidR="00CE23E6" w:rsidRPr="00190CE5">
        <w:rPr>
          <w:rFonts w:asciiTheme="majorHAnsi" w:hAnsiTheme="majorHAnsi"/>
          <w:sz w:val="22"/>
        </w:rPr>
        <w:t>Reuss</w:t>
      </w:r>
      <w:proofErr w:type="spellEnd"/>
      <w:r w:rsidR="00CE23E6" w:rsidRPr="00190CE5">
        <w:rPr>
          <w:rFonts w:asciiTheme="majorHAnsi" w:hAnsiTheme="majorHAnsi"/>
          <w:sz w:val="22"/>
        </w:rPr>
        <w:t xml:space="preserve"> R, </w:t>
      </w:r>
      <w:proofErr w:type="spellStart"/>
      <w:r w:rsidR="00CE23E6" w:rsidRPr="00190CE5">
        <w:rPr>
          <w:rFonts w:asciiTheme="majorHAnsi" w:hAnsiTheme="majorHAnsi"/>
          <w:sz w:val="22"/>
        </w:rPr>
        <w:t>Horbaschek</w:t>
      </w:r>
      <w:proofErr w:type="spellEnd"/>
      <w:r w:rsidR="00CE23E6" w:rsidRPr="00190CE5">
        <w:rPr>
          <w:rFonts w:asciiTheme="majorHAnsi" w:hAnsiTheme="majorHAnsi"/>
          <w:sz w:val="22"/>
        </w:rPr>
        <w:t xml:space="preserve">, </w:t>
      </w:r>
      <w:proofErr w:type="spellStart"/>
      <w:r w:rsidR="00CE23E6" w:rsidRPr="00190CE5">
        <w:rPr>
          <w:rFonts w:asciiTheme="majorHAnsi" w:hAnsiTheme="majorHAnsi"/>
          <w:sz w:val="22"/>
        </w:rPr>
        <w:t>Endter</w:t>
      </w:r>
      <w:proofErr w:type="spellEnd"/>
      <w:r w:rsidR="00CE23E6" w:rsidRPr="00190CE5">
        <w:rPr>
          <w:rFonts w:asciiTheme="majorHAnsi" w:hAnsiTheme="majorHAnsi"/>
          <w:sz w:val="22"/>
        </w:rPr>
        <w:t xml:space="preserve"> JM, Zimmermann U</w:t>
      </w:r>
      <w:r w:rsidR="00E4176D" w:rsidRPr="00190CE5">
        <w:rPr>
          <w:rFonts w:asciiTheme="majorHAnsi" w:hAnsiTheme="majorHAnsi"/>
          <w:sz w:val="22"/>
        </w:rPr>
        <w:t xml:space="preserve"> &amp;</w:t>
      </w:r>
      <w:r w:rsidR="00CE23E6" w:rsidRPr="00190CE5">
        <w:rPr>
          <w:rFonts w:asciiTheme="majorHAnsi" w:hAnsiTheme="majorHAnsi"/>
          <w:sz w:val="22"/>
        </w:rPr>
        <w:t xml:space="preserve"> </w:t>
      </w:r>
      <w:proofErr w:type="spellStart"/>
      <w:r w:rsidR="00CE23E6" w:rsidRPr="00190CE5">
        <w:rPr>
          <w:rFonts w:asciiTheme="majorHAnsi" w:hAnsiTheme="majorHAnsi"/>
          <w:sz w:val="22"/>
        </w:rPr>
        <w:t>Sukhorukov</w:t>
      </w:r>
      <w:proofErr w:type="spellEnd"/>
      <w:r w:rsidR="00CE23E6" w:rsidRPr="00190CE5">
        <w:rPr>
          <w:rFonts w:asciiTheme="majorHAnsi" w:hAnsiTheme="majorHAnsi"/>
          <w:sz w:val="22"/>
        </w:rPr>
        <w:t xml:space="preserve"> VL.</w:t>
      </w:r>
      <w:r w:rsidR="00386960" w:rsidRPr="00190CE5">
        <w:t xml:space="preserve"> </w:t>
      </w:r>
      <w:r w:rsidR="00386960" w:rsidRPr="00190CE5">
        <w:rPr>
          <w:rFonts w:asciiTheme="majorHAnsi" w:hAnsiTheme="majorHAnsi"/>
          <w:sz w:val="22"/>
        </w:rPr>
        <w:t>The effect of disaccharides on the transport of lipophilic ions in cell membranes studied by electrorotation</w:t>
      </w:r>
      <w:r w:rsidR="00E50CE0" w:rsidRPr="00190CE5">
        <w:rPr>
          <w:rFonts w:asciiTheme="majorHAnsi" w:hAnsiTheme="majorHAnsi"/>
          <w:sz w:val="22"/>
        </w:rPr>
        <w:t xml:space="preserve">. </w:t>
      </w:r>
      <w:r w:rsidR="00CE23E6" w:rsidRPr="00190CE5">
        <w:rPr>
          <w:rFonts w:asciiTheme="majorHAnsi" w:hAnsiTheme="majorHAnsi"/>
          <w:sz w:val="22"/>
        </w:rPr>
        <w:t xml:space="preserve"> </w:t>
      </w:r>
      <w:r w:rsidR="00CE23E6" w:rsidRPr="00190CE5">
        <w:rPr>
          <w:rFonts w:asciiTheme="majorHAnsi" w:hAnsiTheme="majorHAnsi"/>
          <w:i/>
          <w:sz w:val="22"/>
        </w:rPr>
        <w:t>Inst Phys. Conf. Ser</w:t>
      </w:r>
      <w:r w:rsidR="00CE23E6" w:rsidRPr="00190CE5">
        <w:rPr>
          <w:rFonts w:asciiTheme="majorHAnsi" w:hAnsiTheme="majorHAnsi"/>
          <w:sz w:val="22"/>
        </w:rPr>
        <w:t xml:space="preserve">. </w:t>
      </w:r>
      <w:r w:rsidR="00CE23E6" w:rsidRPr="00190CE5">
        <w:rPr>
          <w:rFonts w:asciiTheme="majorHAnsi" w:hAnsiTheme="majorHAnsi"/>
          <w:b/>
          <w:sz w:val="22"/>
        </w:rPr>
        <w:t>178</w:t>
      </w:r>
      <w:r w:rsidR="00CE23E6" w:rsidRPr="00190CE5">
        <w:rPr>
          <w:rFonts w:asciiTheme="majorHAnsi" w:hAnsiTheme="majorHAnsi"/>
          <w:sz w:val="22"/>
        </w:rPr>
        <w:t>, 101-106</w:t>
      </w:r>
      <w:r w:rsidR="00EE658A" w:rsidRPr="00190CE5">
        <w:rPr>
          <w:rFonts w:asciiTheme="majorHAnsi" w:hAnsiTheme="majorHAnsi"/>
          <w:sz w:val="22"/>
        </w:rPr>
        <w:t xml:space="preserve"> (2004).</w:t>
      </w:r>
    </w:p>
    <w:p w14:paraId="0E62C069" w14:textId="5BDD6325" w:rsidR="00CE23E6" w:rsidRPr="00190CE5" w:rsidRDefault="00C44167" w:rsidP="00057754">
      <w:pPr>
        <w:spacing w:after="100" w:afterAutospacing="1"/>
        <w:ind w:left="851" w:hanging="851"/>
        <w:rPr>
          <w:rFonts w:asciiTheme="majorHAnsi" w:eastAsia="Calibri" w:hAnsiTheme="majorHAnsi" w:cs="Calibri"/>
          <w:noProof/>
          <w:sz w:val="22"/>
        </w:rPr>
      </w:pPr>
      <w:r w:rsidRPr="00190CE5">
        <w:rPr>
          <w:rFonts w:asciiTheme="majorHAnsi" w:eastAsia="Calibri" w:hAnsiTheme="majorHAnsi" w:cs="Calibri"/>
          <w:noProof/>
          <w:sz w:val="22"/>
        </w:rPr>
        <w:lastRenderedPageBreak/>
        <w:t>40</w:t>
      </w:r>
      <w:r w:rsidR="00CE23E6" w:rsidRPr="00190CE5">
        <w:rPr>
          <w:rFonts w:asciiTheme="majorHAnsi" w:eastAsia="Calibri" w:hAnsiTheme="majorHAnsi" w:cs="Calibri"/>
          <w:noProof/>
          <w:sz w:val="22"/>
        </w:rPr>
        <w:tab/>
        <w:t>Zhang R, Lahens NF, Balance HI, Hughes ME</w:t>
      </w:r>
      <w:r w:rsidR="00E4176D" w:rsidRPr="00190CE5">
        <w:rPr>
          <w:rFonts w:asciiTheme="majorHAnsi" w:eastAsia="Calibri" w:hAnsiTheme="majorHAnsi" w:cs="Calibri"/>
          <w:noProof/>
          <w:sz w:val="22"/>
        </w:rPr>
        <w:t xml:space="preserve"> &amp;</w:t>
      </w:r>
      <w:r w:rsidR="00CE23E6" w:rsidRPr="00190CE5">
        <w:rPr>
          <w:rFonts w:asciiTheme="majorHAnsi" w:eastAsia="Calibri" w:hAnsiTheme="majorHAnsi" w:cs="Calibri"/>
          <w:noProof/>
          <w:sz w:val="22"/>
        </w:rPr>
        <w:t xml:space="preserve"> Hogenesch JB.. </w:t>
      </w:r>
      <w:r w:rsidR="00D45DBE" w:rsidRPr="00190CE5">
        <w:rPr>
          <w:rFonts w:asciiTheme="majorHAnsi" w:eastAsia="Calibri" w:hAnsiTheme="majorHAnsi" w:cs="Calibri"/>
          <w:noProof/>
          <w:sz w:val="22"/>
        </w:rPr>
        <w:t xml:space="preserve">A circadian gene expression atlas in mammals: implications for biology and medicine. </w:t>
      </w:r>
      <w:r w:rsidR="00CE23E6" w:rsidRPr="00190CE5">
        <w:rPr>
          <w:rFonts w:asciiTheme="majorHAnsi" w:eastAsia="Calibri" w:hAnsiTheme="majorHAnsi" w:cs="Calibri"/>
          <w:i/>
          <w:noProof/>
          <w:sz w:val="22"/>
        </w:rPr>
        <w:t>Proc. Nat. Acad. Sci.USA.</w:t>
      </w:r>
      <w:r w:rsidR="00CE23E6" w:rsidRPr="00190CE5">
        <w:rPr>
          <w:rFonts w:asciiTheme="majorHAnsi" w:eastAsia="Calibri" w:hAnsiTheme="majorHAnsi" w:cs="Calibri"/>
          <w:noProof/>
          <w:sz w:val="22"/>
        </w:rPr>
        <w:t xml:space="preserve"> </w:t>
      </w:r>
      <w:r w:rsidR="00CE23E6" w:rsidRPr="00190CE5">
        <w:rPr>
          <w:rFonts w:asciiTheme="majorHAnsi" w:eastAsia="Calibri" w:hAnsiTheme="majorHAnsi" w:cs="Calibri"/>
          <w:b/>
          <w:noProof/>
          <w:sz w:val="22"/>
        </w:rPr>
        <w:t>111</w:t>
      </w:r>
      <w:r w:rsidR="00CE23E6" w:rsidRPr="00190CE5">
        <w:rPr>
          <w:rFonts w:asciiTheme="majorHAnsi" w:eastAsia="Calibri" w:hAnsiTheme="majorHAnsi" w:cs="Calibri"/>
          <w:noProof/>
          <w:sz w:val="22"/>
        </w:rPr>
        <w:t>, 16219-16224</w:t>
      </w:r>
      <w:r w:rsidR="00EE658A" w:rsidRPr="00190CE5">
        <w:rPr>
          <w:rFonts w:asciiTheme="majorHAnsi" w:eastAsia="Calibri" w:hAnsiTheme="majorHAnsi" w:cs="Calibri"/>
          <w:noProof/>
          <w:sz w:val="22"/>
        </w:rPr>
        <w:t xml:space="preserve"> (2014)</w:t>
      </w:r>
      <w:r w:rsidR="00CE23E6" w:rsidRPr="00190CE5">
        <w:rPr>
          <w:rFonts w:asciiTheme="majorHAnsi" w:eastAsia="Calibri" w:hAnsiTheme="majorHAnsi" w:cs="Calibri"/>
          <w:noProof/>
          <w:sz w:val="22"/>
        </w:rPr>
        <w:t>.</w:t>
      </w:r>
    </w:p>
    <w:p w14:paraId="4A417719" w14:textId="59500B59" w:rsidR="00A05B8D" w:rsidRPr="00190CE5" w:rsidRDefault="00C44167" w:rsidP="00057754">
      <w:pPr>
        <w:spacing w:after="100" w:afterAutospacing="1"/>
        <w:ind w:left="851" w:hanging="851"/>
        <w:rPr>
          <w:rFonts w:asciiTheme="majorHAnsi" w:eastAsia="Calibri" w:hAnsiTheme="majorHAnsi"/>
          <w:sz w:val="22"/>
        </w:rPr>
      </w:pPr>
      <w:r w:rsidRPr="00190CE5">
        <w:rPr>
          <w:rFonts w:asciiTheme="majorHAnsi" w:eastAsia="Calibri" w:hAnsiTheme="majorHAnsi" w:cs="Calibri"/>
          <w:noProof/>
          <w:sz w:val="22"/>
        </w:rPr>
        <w:t>41</w:t>
      </w:r>
      <w:r w:rsidR="00A05B8D" w:rsidRPr="00190CE5">
        <w:rPr>
          <w:rFonts w:asciiTheme="majorHAnsi" w:eastAsia="Calibri" w:hAnsiTheme="majorHAnsi" w:cs="Calibri"/>
          <w:noProof/>
          <w:sz w:val="22"/>
        </w:rPr>
        <w:tab/>
      </w:r>
      <w:proofErr w:type="spellStart"/>
      <w:r w:rsidR="00A05B8D" w:rsidRPr="00190CE5">
        <w:rPr>
          <w:rFonts w:asciiTheme="majorHAnsi" w:eastAsia="Calibri" w:hAnsiTheme="majorHAnsi"/>
          <w:sz w:val="22"/>
        </w:rPr>
        <w:t>Rodighiero</w:t>
      </w:r>
      <w:proofErr w:type="spellEnd"/>
      <w:r w:rsidR="00A05B8D" w:rsidRPr="00190CE5">
        <w:rPr>
          <w:rFonts w:asciiTheme="majorHAnsi" w:eastAsia="Calibri" w:hAnsiTheme="majorHAnsi"/>
          <w:sz w:val="22"/>
        </w:rPr>
        <w:t xml:space="preserve"> S, De </w:t>
      </w:r>
      <w:proofErr w:type="spellStart"/>
      <w:r w:rsidR="00A05B8D" w:rsidRPr="00190CE5">
        <w:rPr>
          <w:rFonts w:asciiTheme="majorHAnsi" w:eastAsia="Calibri" w:hAnsiTheme="majorHAnsi"/>
          <w:sz w:val="22"/>
        </w:rPr>
        <w:t>Simoni</w:t>
      </w:r>
      <w:proofErr w:type="spellEnd"/>
      <w:r w:rsidR="00A05B8D" w:rsidRPr="00190CE5">
        <w:rPr>
          <w:rFonts w:asciiTheme="majorHAnsi" w:eastAsia="Calibri" w:hAnsiTheme="majorHAnsi"/>
          <w:sz w:val="22"/>
        </w:rPr>
        <w:t xml:space="preserve"> A</w:t>
      </w:r>
      <w:r w:rsidR="00E4176D" w:rsidRPr="00190CE5">
        <w:rPr>
          <w:rFonts w:asciiTheme="majorHAnsi" w:eastAsia="Calibri" w:hAnsiTheme="majorHAnsi"/>
          <w:sz w:val="22"/>
        </w:rPr>
        <w:t xml:space="preserve"> &amp;</w:t>
      </w:r>
      <w:r w:rsidR="00A05B8D" w:rsidRPr="00190CE5">
        <w:rPr>
          <w:rFonts w:asciiTheme="majorHAnsi" w:eastAsia="Calibri" w:hAnsiTheme="majorHAnsi"/>
          <w:sz w:val="22"/>
        </w:rPr>
        <w:t xml:space="preserve"> </w:t>
      </w:r>
      <w:proofErr w:type="spellStart"/>
      <w:r w:rsidR="00A05B8D" w:rsidRPr="00190CE5">
        <w:rPr>
          <w:rFonts w:asciiTheme="majorHAnsi" w:eastAsia="Calibri" w:hAnsiTheme="majorHAnsi"/>
          <w:sz w:val="22"/>
        </w:rPr>
        <w:t>Formenti</w:t>
      </w:r>
      <w:proofErr w:type="spellEnd"/>
      <w:r w:rsidR="00A05B8D" w:rsidRPr="00190CE5">
        <w:rPr>
          <w:rFonts w:asciiTheme="majorHAnsi" w:eastAsia="Calibri" w:hAnsiTheme="majorHAnsi"/>
          <w:sz w:val="22"/>
        </w:rPr>
        <w:t xml:space="preserve"> A. </w:t>
      </w:r>
      <w:r w:rsidR="00D45DBE" w:rsidRPr="00190CE5">
        <w:rPr>
          <w:rFonts w:asciiTheme="majorHAnsi" w:eastAsia="Calibri" w:hAnsiTheme="majorHAnsi"/>
          <w:sz w:val="22"/>
        </w:rPr>
        <w:t xml:space="preserve">The voltage-dependent nonselective cation current in human red blood cells studied by means of whole-cell and nystatin-perforated patch-clamp techniques. </w:t>
      </w:r>
      <w:proofErr w:type="spellStart"/>
      <w:r w:rsidR="00A05B8D" w:rsidRPr="00190CE5">
        <w:rPr>
          <w:rFonts w:asciiTheme="majorHAnsi" w:eastAsia="Calibri" w:hAnsiTheme="majorHAnsi"/>
          <w:i/>
          <w:sz w:val="22"/>
        </w:rPr>
        <w:t>Biochim</w:t>
      </w:r>
      <w:proofErr w:type="spellEnd"/>
      <w:r w:rsidR="00A05B8D" w:rsidRPr="00190CE5">
        <w:rPr>
          <w:rFonts w:asciiTheme="majorHAnsi" w:eastAsia="Calibri" w:hAnsiTheme="majorHAnsi"/>
          <w:i/>
          <w:sz w:val="22"/>
        </w:rPr>
        <w:t>. Biophys. Acta</w:t>
      </w:r>
      <w:r w:rsidR="00A05B8D" w:rsidRPr="00190CE5">
        <w:rPr>
          <w:rFonts w:asciiTheme="majorHAnsi" w:eastAsia="Calibri" w:hAnsiTheme="majorHAnsi"/>
          <w:sz w:val="22"/>
        </w:rPr>
        <w:t xml:space="preserve"> </w:t>
      </w:r>
      <w:r w:rsidR="00A05B8D" w:rsidRPr="00190CE5">
        <w:rPr>
          <w:rFonts w:asciiTheme="majorHAnsi" w:eastAsia="Calibri" w:hAnsiTheme="majorHAnsi"/>
          <w:b/>
          <w:sz w:val="22"/>
        </w:rPr>
        <w:t>1660</w:t>
      </w:r>
      <w:r w:rsidR="00A05B8D" w:rsidRPr="00190CE5">
        <w:rPr>
          <w:rFonts w:asciiTheme="majorHAnsi" w:eastAsia="Calibri" w:hAnsiTheme="majorHAnsi"/>
          <w:sz w:val="22"/>
        </w:rPr>
        <w:t>, 164-170</w:t>
      </w:r>
      <w:r w:rsidR="00EE658A" w:rsidRPr="00190CE5">
        <w:rPr>
          <w:rFonts w:asciiTheme="majorHAnsi" w:eastAsia="Calibri" w:hAnsiTheme="majorHAnsi"/>
          <w:sz w:val="22"/>
        </w:rPr>
        <w:t xml:space="preserve"> (2004)</w:t>
      </w:r>
      <w:r w:rsidR="00A05B8D" w:rsidRPr="00190CE5">
        <w:rPr>
          <w:rFonts w:asciiTheme="majorHAnsi" w:eastAsia="Calibri" w:hAnsiTheme="majorHAnsi"/>
          <w:sz w:val="22"/>
        </w:rPr>
        <w:t>.</w:t>
      </w:r>
    </w:p>
    <w:p w14:paraId="2EC74909" w14:textId="36ECD14E" w:rsidR="00A05B8D" w:rsidRPr="00190CE5" w:rsidRDefault="00F90E39" w:rsidP="00057754">
      <w:pPr>
        <w:spacing w:after="100" w:afterAutospacing="1"/>
        <w:ind w:left="851" w:hanging="851"/>
        <w:rPr>
          <w:rFonts w:asciiTheme="majorHAnsi" w:eastAsia="Calibri" w:hAnsiTheme="majorHAnsi"/>
          <w:sz w:val="22"/>
          <w:vertAlign w:val="subscript"/>
        </w:rPr>
      </w:pPr>
      <w:r w:rsidRPr="00190CE5">
        <w:rPr>
          <w:rFonts w:asciiTheme="majorHAnsi" w:eastAsia="Calibri" w:hAnsiTheme="majorHAnsi" w:cs="Calibri"/>
          <w:noProof/>
          <w:sz w:val="22"/>
        </w:rPr>
        <w:t>4</w:t>
      </w:r>
      <w:r w:rsidR="00C44167" w:rsidRPr="00190CE5">
        <w:rPr>
          <w:rFonts w:asciiTheme="majorHAnsi" w:eastAsia="Calibri" w:hAnsiTheme="majorHAnsi" w:cs="Calibri"/>
          <w:noProof/>
          <w:sz w:val="22"/>
        </w:rPr>
        <w:t>2</w:t>
      </w:r>
      <w:r w:rsidR="00A05B8D" w:rsidRPr="00190CE5">
        <w:rPr>
          <w:rFonts w:asciiTheme="majorHAnsi" w:eastAsia="Calibri" w:hAnsiTheme="majorHAnsi" w:cs="Calibri"/>
          <w:noProof/>
          <w:sz w:val="22"/>
        </w:rPr>
        <w:tab/>
      </w:r>
      <w:r w:rsidR="00A05B8D" w:rsidRPr="00190CE5">
        <w:rPr>
          <w:rFonts w:asciiTheme="majorHAnsi" w:eastAsia="Calibri" w:hAnsiTheme="majorHAnsi"/>
          <w:sz w:val="22"/>
        </w:rPr>
        <w:t xml:space="preserve">Browning JA, Staines HM, Robinson HC, Powell T, </w:t>
      </w:r>
      <w:proofErr w:type="spellStart"/>
      <w:r w:rsidR="00A05B8D" w:rsidRPr="00190CE5">
        <w:rPr>
          <w:rFonts w:asciiTheme="majorHAnsi" w:eastAsia="Calibri" w:hAnsiTheme="majorHAnsi"/>
          <w:sz w:val="22"/>
        </w:rPr>
        <w:t>Ellory</w:t>
      </w:r>
      <w:proofErr w:type="spellEnd"/>
      <w:r w:rsidR="00A05B8D" w:rsidRPr="00190CE5">
        <w:rPr>
          <w:rFonts w:asciiTheme="majorHAnsi" w:eastAsia="Calibri" w:hAnsiTheme="majorHAnsi"/>
          <w:sz w:val="22"/>
        </w:rPr>
        <w:t xml:space="preserve"> JC</w:t>
      </w:r>
      <w:r w:rsidR="00E4176D" w:rsidRPr="00190CE5">
        <w:rPr>
          <w:rFonts w:asciiTheme="majorHAnsi" w:eastAsia="Calibri" w:hAnsiTheme="majorHAnsi"/>
          <w:sz w:val="22"/>
        </w:rPr>
        <w:t xml:space="preserve"> &amp;</w:t>
      </w:r>
      <w:r w:rsidR="00EE658A" w:rsidRPr="00190CE5">
        <w:rPr>
          <w:rFonts w:asciiTheme="majorHAnsi" w:eastAsia="Calibri" w:hAnsiTheme="majorHAnsi"/>
          <w:sz w:val="22"/>
        </w:rPr>
        <w:t xml:space="preserve"> Gibson JS</w:t>
      </w:r>
      <w:r w:rsidR="00A05B8D" w:rsidRPr="00190CE5">
        <w:rPr>
          <w:rFonts w:asciiTheme="majorHAnsi" w:hAnsiTheme="majorHAnsi"/>
          <w:sz w:val="22"/>
          <w:shd w:val="clear" w:color="auto" w:fill="FFFFFF"/>
        </w:rPr>
        <w:t xml:space="preserve">. </w:t>
      </w:r>
      <w:r w:rsidR="00D45DBE" w:rsidRPr="00190CE5">
        <w:rPr>
          <w:rFonts w:asciiTheme="majorHAnsi" w:hAnsiTheme="majorHAnsi"/>
          <w:sz w:val="22"/>
          <w:shd w:val="clear" w:color="auto" w:fill="FFFFFF"/>
        </w:rPr>
        <w:t xml:space="preserve">The effect of deoxygenation on whole-cell conductance of red blood cells from healthy individuals and patients with sickle cell disease. </w:t>
      </w:r>
      <w:r w:rsidR="00A05B8D" w:rsidRPr="00190CE5">
        <w:rPr>
          <w:rFonts w:asciiTheme="majorHAnsi" w:hAnsiTheme="majorHAnsi"/>
          <w:i/>
          <w:sz w:val="22"/>
          <w:shd w:val="clear" w:color="auto" w:fill="FFFFFF"/>
        </w:rPr>
        <w:t>Blood</w:t>
      </w:r>
      <w:r w:rsidR="00A05B8D" w:rsidRPr="00190CE5">
        <w:rPr>
          <w:rFonts w:asciiTheme="majorHAnsi" w:hAnsiTheme="majorHAnsi"/>
          <w:sz w:val="22"/>
          <w:shd w:val="clear" w:color="auto" w:fill="FFFFFF"/>
        </w:rPr>
        <w:t xml:space="preserve"> </w:t>
      </w:r>
      <w:r w:rsidR="00A05B8D" w:rsidRPr="00190CE5">
        <w:rPr>
          <w:rFonts w:asciiTheme="majorHAnsi" w:hAnsiTheme="majorHAnsi"/>
          <w:b/>
          <w:sz w:val="22"/>
          <w:shd w:val="clear" w:color="auto" w:fill="FFFFFF"/>
        </w:rPr>
        <w:t>109</w:t>
      </w:r>
      <w:r w:rsidR="00A05B8D" w:rsidRPr="00190CE5">
        <w:rPr>
          <w:rFonts w:asciiTheme="majorHAnsi" w:hAnsiTheme="majorHAnsi"/>
          <w:sz w:val="22"/>
          <w:shd w:val="clear" w:color="auto" w:fill="FFFFFF"/>
        </w:rPr>
        <w:t>, 2622-2629</w:t>
      </w:r>
      <w:r w:rsidR="00EE658A" w:rsidRPr="00190CE5">
        <w:rPr>
          <w:rFonts w:asciiTheme="majorHAnsi" w:hAnsiTheme="majorHAnsi"/>
          <w:sz w:val="22"/>
          <w:shd w:val="clear" w:color="auto" w:fill="FFFFFF"/>
        </w:rPr>
        <w:t xml:space="preserve"> (2007)</w:t>
      </w:r>
      <w:r w:rsidR="00A05B8D" w:rsidRPr="00190CE5">
        <w:rPr>
          <w:rFonts w:asciiTheme="majorHAnsi" w:hAnsiTheme="majorHAnsi"/>
          <w:sz w:val="22"/>
          <w:shd w:val="clear" w:color="auto" w:fill="FFFFFF"/>
        </w:rPr>
        <w:t>.</w:t>
      </w:r>
    </w:p>
    <w:p w14:paraId="714EEBA9" w14:textId="3625928A" w:rsidR="00A05B8D" w:rsidRPr="00190CE5" w:rsidRDefault="00C44167" w:rsidP="00057754">
      <w:pPr>
        <w:spacing w:after="100" w:afterAutospacing="1"/>
        <w:ind w:left="851" w:hanging="851"/>
        <w:rPr>
          <w:rFonts w:asciiTheme="majorHAnsi" w:eastAsia="Calibri" w:hAnsiTheme="majorHAnsi"/>
          <w:sz w:val="22"/>
        </w:rPr>
      </w:pPr>
      <w:r w:rsidRPr="00190CE5">
        <w:rPr>
          <w:rFonts w:asciiTheme="majorHAnsi" w:eastAsia="Calibri" w:hAnsiTheme="majorHAnsi" w:cs="Calibri"/>
          <w:noProof/>
          <w:sz w:val="22"/>
        </w:rPr>
        <w:t>43</w:t>
      </w:r>
      <w:r w:rsidR="00A05B8D" w:rsidRPr="00190CE5">
        <w:rPr>
          <w:rFonts w:asciiTheme="majorHAnsi" w:eastAsia="Calibri" w:hAnsiTheme="majorHAnsi" w:cs="Calibri"/>
          <w:noProof/>
          <w:sz w:val="22"/>
        </w:rPr>
        <w:tab/>
      </w:r>
      <w:r w:rsidR="00A05B8D" w:rsidRPr="00190CE5">
        <w:rPr>
          <w:rFonts w:asciiTheme="majorHAnsi" w:eastAsia="Calibri" w:hAnsiTheme="majorHAnsi"/>
          <w:sz w:val="22"/>
        </w:rPr>
        <w:t>Maruyama Y</w:t>
      </w:r>
      <w:r w:rsidR="00D41B4F" w:rsidRPr="00190CE5">
        <w:rPr>
          <w:rFonts w:asciiTheme="majorHAnsi" w:eastAsia="Calibri" w:hAnsiTheme="majorHAnsi"/>
          <w:sz w:val="22"/>
        </w:rPr>
        <w:t>. A patch‐clamp study of mammalian platelets and their voltage‐gated potassium current.</w:t>
      </w:r>
      <w:r w:rsidR="00A05B8D" w:rsidRPr="00190CE5">
        <w:rPr>
          <w:rFonts w:asciiTheme="majorHAnsi" w:eastAsia="Calibri" w:hAnsiTheme="majorHAnsi"/>
          <w:sz w:val="22"/>
        </w:rPr>
        <w:t xml:space="preserve"> </w:t>
      </w:r>
      <w:r w:rsidR="00A05B8D" w:rsidRPr="00190CE5">
        <w:rPr>
          <w:rFonts w:asciiTheme="majorHAnsi" w:eastAsia="Calibri" w:hAnsiTheme="majorHAnsi"/>
          <w:i/>
          <w:sz w:val="22"/>
        </w:rPr>
        <w:t>J Physiol</w:t>
      </w:r>
      <w:r w:rsidR="00A05B8D" w:rsidRPr="00190CE5">
        <w:rPr>
          <w:rFonts w:asciiTheme="majorHAnsi" w:eastAsia="Calibri" w:hAnsiTheme="majorHAnsi"/>
          <w:sz w:val="22"/>
        </w:rPr>
        <w:t xml:space="preserve">. </w:t>
      </w:r>
      <w:r w:rsidR="00A05B8D" w:rsidRPr="00190CE5">
        <w:rPr>
          <w:rFonts w:asciiTheme="majorHAnsi" w:eastAsia="Calibri" w:hAnsiTheme="majorHAnsi"/>
          <w:b/>
          <w:sz w:val="22"/>
        </w:rPr>
        <w:t>391</w:t>
      </w:r>
      <w:r w:rsidR="00A05B8D" w:rsidRPr="00190CE5">
        <w:rPr>
          <w:rFonts w:asciiTheme="majorHAnsi" w:eastAsia="Calibri" w:hAnsiTheme="majorHAnsi"/>
          <w:sz w:val="22"/>
        </w:rPr>
        <w:t>, 467–485</w:t>
      </w:r>
      <w:r w:rsidR="00EE658A" w:rsidRPr="00190CE5">
        <w:rPr>
          <w:rFonts w:asciiTheme="majorHAnsi" w:eastAsia="Calibri" w:hAnsiTheme="majorHAnsi"/>
          <w:sz w:val="22"/>
        </w:rPr>
        <w:t xml:space="preserve"> (1987)</w:t>
      </w:r>
      <w:r w:rsidR="00A05B8D" w:rsidRPr="00190CE5">
        <w:rPr>
          <w:rFonts w:asciiTheme="majorHAnsi" w:eastAsia="Calibri" w:hAnsiTheme="majorHAnsi"/>
          <w:sz w:val="22"/>
        </w:rPr>
        <w:t>.</w:t>
      </w:r>
    </w:p>
    <w:p w14:paraId="68455109" w14:textId="454CB425" w:rsidR="00A05B8D" w:rsidRPr="00190CE5" w:rsidRDefault="00C44167" w:rsidP="00057754">
      <w:pPr>
        <w:spacing w:after="100" w:afterAutospacing="1"/>
        <w:ind w:left="851" w:hanging="851"/>
        <w:rPr>
          <w:rFonts w:asciiTheme="majorHAnsi" w:eastAsia="Calibri" w:hAnsiTheme="majorHAnsi"/>
          <w:sz w:val="22"/>
        </w:rPr>
      </w:pPr>
      <w:r w:rsidRPr="00190CE5">
        <w:rPr>
          <w:rFonts w:asciiTheme="majorHAnsi" w:eastAsia="Calibri" w:hAnsiTheme="majorHAnsi" w:cs="Calibri"/>
          <w:noProof/>
          <w:sz w:val="22"/>
        </w:rPr>
        <w:t>44</w:t>
      </w:r>
      <w:r w:rsidR="00A05B8D" w:rsidRPr="00190CE5">
        <w:rPr>
          <w:rFonts w:asciiTheme="majorHAnsi" w:eastAsia="Calibri" w:hAnsiTheme="majorHAnsi" w:cs="Calibri"/>
          <w:noProof/>
          <w:sz w:val="22"/>
        </w:rPr>
        <w:tab/>
      </w:r>
      <w:proofErr w:type="spellStart"/>
      <w:r w:rsidR="00A05B8D" w:rsidRPr="00190CE5">
        <w:rPr>
          <w:rFonts w:asciiTheme="majorHAnsi" w:eastAsia="Calibri" w:hAnsiTheme="majorHAnsi"/>
          <w:sz w:val="22"/>
        </w:rPr>
        <w:t>Tolhurst</w:t>
      </w:r>
      <w:proofErr w:type="spellEnd"/>
      <w:r w:rsidR="00A05B8D" w:rsidRPr="00190CE5">
        <w:rPr>
          <w:rFonts w:asciiTheme="majorHAnsi" w:eastAsia="Calibri" w:hAnsiTheme="majorHAnsi"/>
          <w:sz w:val="22"/>
        </w:rPr>
        <w:t xml:space="preserve"> G, Carter RN, </w:t>
      </w:r>
      <w:proofErr w:type="spellStart"/>
      <w:r w:rsidR="00A05B8D" w:rsidRPr="00190CE5">
        <w:rPr>
          <w:rFonts w:asciiTheme="majorHAnsi" w:eastAsia="Calibri" w:hAnsiTheme="majorHAnsi"/>
          <w:sz w:val="22"/>
        </w:rPr>
        <w:t>Amisten</w:t>
      </w:r>
      <w:proofErr w:type="spellEnd"/>
      <w:r w:rsidR="00A05B8D" w:rsidRPr="00190CE5">
        <w:rPr>
          <w:rFonts w:asciiTheme="majorHAnsi" w:eastAsia="Calibri" w:hAnsiTheme="majorHAnsi"/>
          <w:sz w:val="22"/>
        </w:rPr>
        <w:t xml:space="preserve"> S, </w:t>
      </w:r>
      <w:proofErr w:type="spellStart"/>
      <w:r w:rsidR="00A05B8D" w:rsidRPr="00190CE5">
        <w:rPr>
          <w:rFonts w:asciiTheme="majorHAnsi" w:eastAsia="Calibri" w:hAnsiTheme="majorHAnsi"/>
          <w:sz w:val="22"/>
        </w:rPr>
        <w:t>Holdich</w:t>
      </w:r>
      <w:proofErr w:type="spellEnd"/>
      <w:r w:rsidR="00A05B8D" w:rsidRPr="00190CE5">
        <w:rPr>
          <w:rFonts w:asciiTheme="majorHAnsi" w:eastAsia="Calibri" w:hAnsiTheme="majorHAnsi"/>
          <w:sz w:val="22"/>
        </w:rPr>
        <w:t xml:space="preserve"> JP, </w:t>
      </w:r>
      <w:proofErr w:type="spellStart"/>
      <w:r w:rsidR="00A05B8D" w:rsidRPr="00190CE5">
        <w:rPr>
          <w:rFonts w:asciiTheme="majorHAnsi" w:eastAsia="Calibri" w:hAnsiTheme="majorHAnsi"/>
          <w:sz w:val="22"/>
        </w:rPr>
        <w:t>Erlinge</w:t>
      </w:r>
      <w:proofErr w:type="spellEnd"/>
      <w:r w:rsidR="00A05B8D" w:rsidRPr="00190CE5">
        <w:rPr>
          <w:rFonts w:asciiTheme="majorHAnsi" w:eastAsia="Calibri" w:hAnsiTheme="majorHAnsi"/>
          <w:sz w:val="22"/>
        </w:rPr>
        <w:t xml:space="preserve"> D</w:t>
      </w:r>
      <w:r w:rsidR="00E4176D" w:rsidRPr="00190CE5">
        <w:rPr>
          <w:rFonts w:asciiTheme="majorHAnsi" w:eastAsia="Calibri" w:hAnsiTheme="majorHAnsi"/>
          <w:sz w:val="22"/>
        </w:rPr>
        <w:t xml:space="preserve"> &amp;</w:t>
      </w:r>
      <w:r w:rsidR="00A05B8D" w:rsidRPr="00190CE5">
        <w:rPr>
          <w:rFonts w:asciiTheme="majorHAnsi" w:eastAsia="Calibri" w:hAnsiTheme="majorHAnsi"/>
          <w:sz w:val="22"/>
        </w:rPr>
        <w:t xml:space="preserve"> </w:t>
      </w:r>
      <w:proofErr w:type="spellStart"/>
      <w:r w:rsidR="00A05B8D" w:rsidRPr="00190CE5">
        <w:rPr>
          <w:rFonts w:asciiTheme="majorHAnsi" w:eastAsia="Calibri" w:hAnsiTheme="majorHAnsi"/>
          <w:sz w:val="22"/>
        </w:rPr>
        <w:t>Mahaut</w:t>
      </w:r>
      <w:proofErr w:type="spellEnd"/>
      <w:r w:rsidR="00A05B8D" w:rsidRPr="00190CE5">
        <w:rPr>
          <w:rFonts w:asciiTheme="majorHAnsi" w:eastAsia="Calibri" w:hAnsiTheme="majorHAnsi"/>
          <w:sz w:val="22"/>
        </w:rPr>
        <w:t>-Smith MP</w:t>
      </w:r>
      <w:r w:rsidR="00010396" w:rsidRPr="00190CE5">
        <w:rPr>
          <w:rFonts w:asciiTheme="majorHAnsi" w:eastAsia="Calibri" w:hAnsiTheme="majorHAnsi"/>
          <w:sz w:val="22"/>
        </w:rPr>
        <w:t>.</w:t>
      </w:r>
      <w:r w:rsidR="00010396" w:rsidRPr="00190CE5">
        <w:t xml:space="preserve"> </w:t>
      </w:r>
      <w:r w:rsidR="00010396" w:rsidRPr="00190CE5">
        <w:rPr>
          <w:rFonts w:asciiTheme="majorHAnsi" w:eastAsia="Calibri" w:hAnsiTheme="majorHAnsi"/>
          <w:sz w:val="22"/>
        </w:rPr>
        <w:t>Expression profiling and electrophysiological studies suggest a major role for Orai1 in the store-operated Ca2+ influx pathway of platelets and megakaryocytes</w:t>
      </w:r>
      <w:r w:rsidR="00A05B8D" w:rsidRPr="00190CE5">
        <w:rPr>
          <w:rFonts w:asciiTheme="majorHAnsi" w:eastAsia="Calibri" w:hAnsiTheme="majorHAnsi"/>
          <w:sz w:val="22"/>
        </w:rPr>
        <w:t xml:space="preserve">. </w:t>
      </w:r>
      <w:r w:rsidR="00A05B8D" w:rsidRPr="00190CE5">
        <w:rPr>
          <w:rFonts w:asciiTheme="majorHAnsi" w:eastAsia="Calibri" w:hAnsiTheme="majorHAnsi"/>
          <w:i/>
          <w:sz w:val="22"/>
        </w:rPr>
        <w:t>Platelets</w:t>
      </w:r>
      <w:r w:rsidR="00A05B8D" w:rsidRPr="00190CE5">
        <w:rPr>
          <w:rFonts w:asciiTheme="majorHAnsi" w:eastAsia="Calibri" w:hAnsiTheme="majorHAnsi"/>
          <w:sz w:val="22"/>
        </w:rPr>
        <w:t xml:space="preserve">. </w:t>
      </w:r>
      <w:r w:rsidR="00A05B8D" w:rsidRPr="00190CE5">
        <w:rPr>
          <w:rFonts w:asciiTheme="majorHAnsi" w:eastAsia="Calibri" w:hAnsiTheme="majorHAnsi"/>
          <w:b/>
          <w:sz w:val="22"/>
        </w:rPr>
        <w:t>19</w:t>
      </w:r>
      <w:r w:rsidR="00A05B8D" w:rsidRPr="00190CE5">
        <w:rPr>
          <w:rFonts w:asciiTheme="majorHAnsi" w:eastAsia="Calibri" w:hAnsiTheme="majorHAnsi"/>
          <w:sz w:val="22"/>
        </w:rPr>
        <w:t>, 308–313</w:t>
      </w:r>
      <w:r w:rsidR="00EE658A" w:rsidRPr="00190CE5">
        <w:rPr>
          <w:rFonts w:asciiTheme="majorHAnsi" w:eastAsia="Calibri" w:hAnsiTheme="majorHAnsi"/>
          <w:sz w:val="22"/>
        </w:rPr>
        <w:t xml:space="preserve"> (2008)</w:t>
      </w:r>
      <w:r w:rsidR="00A05B8D" w:rsidRPr="00190CE5">
        <w:rPr>
          <w:rFonts w:asciiTheme="majorHAnsi" w:eastAsia="Calibri" w:hAnsiTheme="majorHAnsi"/>
          <w:sz w:val="22"/>
        </w:rPr>
        <w:t>.</w:t>
      </w:r>
    </w:p>
    <w:p w14:paraId="0E840AAD" w14:textId="5C73D026" w:rsidR="00A05B8D" w:rsidRPr="00190CE5" w:rsidRDefault="00F90E39" w:rsidP="00057754">
      <w:pPr>
        <w:spacing w:after="100" w:afterAutospacing="1"/>
        <w:ind w:left="851" w:hanging="851"/>
        <w:rPr>
          <w:rStyle w:val="apple-converted-space"/>
        </w:rPr>
      </w:pPr>
      <w:r w:rsidRPr="00190CE5">
        <w:rPr>
          <w:rFonts w:asciiTheme="majorHAnsi" w:eastAsia="Calibri" w:hAnsiTheme="majorHAnsi" w:cs="Calibri"/>
          <w:noProof/>
          <w:sz w:val="22"/>
        </w:rPr>
        <w:t>4</w:t>
      </w:r>
      <w:r w:rsidR="00C44167" w:rsidRPr="00190CE5">
        <w:rPr>
          <w:rFonts w:asciiTheme="majorHAnsi" w:eastAsia="Calibri" w:hAnsiTheme="majorHAnsi" w:cs="Calibri"/>
          <w:noProof/>
          <w:sz w:val="22"/>
        </w:rPr>
        <w:t>5</w:t>
      </w:r>
      <w:r w:rsidR="00A05B8D" w:rsidRPr="00190CE5">
        <w:rPr>
          <w:rFonts w:asciiTheme="majorHAnsi" w:eastAsia="Calibri" w:hAnsiTheme="majorHAnsi" w:cs="Calibri"/>
          <w:noProof/>
          <w:sz w:val="22"/>
        </w:rPr>
        <w:tab/>
      </w:r>
      <w:r w:rsidR="00A05B8D" w:rsidRPr="00190CE5">
        <w:rPr>
          <w:rFonts w:asciiTheme="majorHAnsi" w:eastAsia="Calibri" w:hAnsiTheme="majorHAnsi"/>
          <w:sz w:val="22"/>
        </w:rPr>
        <w:t>Ross PE, Garber SS</w:t>
      </w:r>
      <w:r w:rsidR="00E4176D" w:rsidRPr="00190CE5">
        <w:rPr>
          <w:rFonts w:asciiTheme="majorHAnsi" w:eastAsia="Calibri" w:hAnsiTheme="majorHAnsi"/>
          <w:sz w:val="22"/>
        </w:rPr>
        <w:t xml:space="preserve"> &amp;</w:t>
      </w:r>
      <w:r w:rsidR="00EE658A" w:rsidRPr="00190CE5">
        <w:rPr>
          <w:rFonts w:asciiTheme="majorHAnsi" w:eastAsia="Calibri" w:hAnsiTheme="majorHAnsi"/>
          <w:sz w:val="22"/>
        </w:rPr>
        <w:t xml:space="preserve"> </w:t>
      </w:r>
      <w:proofErr w:type="spellStart"/>
      <w:r w:rsidR="00EE658A" w:rsidRPr="00190CE5">
        <w:rPr>
          <w:rFonts w:asciiTheme="majorHAnsi" w:eastAsia="Calibri" w:hAnsiTheme="majorHAnsi"/>
          <w:sz w:val="22"/>
        </w:rPr>
        <w:t>Chalan</w:t>
      </w:r>
      <w:proofErr w:type="spellEnd"/>
      <w:r w:rsidR="00EE658A" w:rsidRPr="00190CE5">
        <w:rPr>
          <w:rFonts w:asciiTheme="majorHAnsi" w:eastAsia="Calibri" w:hAnsiTheme="majorHAnsi"/>
          <w:sz w:val="22"/>
        </w:rPr>
        <w:t xml:space="preserve"> MD</w:t>
      </w:r>
      <w:r w:rsidR="00A05B8D" w:rsidRPr="00190CE5">
        <w:rPr>
          <w:rFonts w:asciiTheme="majorHAnsi" w:eastAsia="Calibri" w:hAnsiTheme="majorHAnsi"/>
          <w:sz w:val="22"/>
        </w:rPr>
        <w:t xml:space="preserve">. </w:t>
      </w:r>
      <w:r w:rsidR="00D41B4F" w:rsidRPr="00190CE5">
        <w:rPr>
          <w:rFonts w:asciiTheme="majorHAnsi" w:eastAsia="Calibri" w:hAnsiTheme="majorHAnsi"/>
          <w:sz w:val="22"/>
        </w:rPr>
        <w:t xml:space="preserve">Membrane chloride conductance and capacitance in </w:t>
      </w:r>
      <w:proofErr w:type="spellStart"/>
      <w:r w:rsidR="00D41B4F" w:rsidRPr="00190CE5">
        <w:rPr>
          <w:rFonts w:asciiTheme="majorHAnsi" w:eastAsia="Calibri" w:hAnsiTheme="majorHAnsi"/>
          <w:sz w:val="22"/>
        </w:rPr>
        <w:t>Jurkat</w:t>
      </w:r>
      <w:proofErr w:type="spellEnd"/>
      <w:r w:rsidR="00D41B4F" w:rsidRPr="00190CE5">
        <w:rPr>
          <w:rFonts w:asciiTheme="majorHAnsi" w:eastAsia="Calibri" w:hAnsiTheme="majorHAnsi"/>
          <w:sz w:val="22"/>
        </w:rPr>
        <w:t xml:space="preserve"> T lymphocytes during osmotic swelling. </w:t>
      </w:r>
      <w:r w:rsidR="00A05B8D" w:rsidRPr="00190CE5">
        <w:rPr>
          <w:rFonts w:asciiTheme="majorHAnsi" w:hAnsiTheme="majorHAnsi" w:cs="Arial"/>
          <w:i/>
          <w:sz w:val="22"/>
          <w:shd w:val="clear" w:color="auto" w:fill="FFFFFF"/>
        </w:rPr>
        <w:t>Biophys J</w:t>
      </w:r>
      <w:r w:rsidR="00A05B8D" w:rsidRPr="00190CE5">
        <w:rPr>
          <w:rFonts w:asciiTheme="majorHAnsi" w:hAnsiTheme="majorHAnsi" w:cs="Arial"/>
          <w:sz w:val="22"/>
          <w:shd w:val="clear" w:color="auto" w:fill="FFFFFF"/>
        </w:rPr>
        <w:t>.</w:t>
      </w:r>
      <w:r w:rsidR="00A05B8D" w:rsidRPr="00190CE5">
        <w:rPr>
          <w:rStyle w:val="apple-converted-space"/>
          <w:rFonts w:asciiTheme="majorHAnsi" w:hAnsiTheme="majorHAnsi" w:cs="Arial"/>
          <w:sz w:val="22"/>
          <w:shd w:val="clear" w:color="auto" w:fill="FFFFFF"/>
        </w:rPr>
        <w:t> </w:t>
      </w:r>
      <w:r w:rsidR="00A05B8D" w:rsidRPr="00190CE5">
        <w:rPr>
          <w:rFonts w:asciiTheme="majorHAnsi" w:hAnsiTheme="majorHAnsi" w:cs="Arial"/>
          <w:sz w:val="22"/>
          <w:shd w:val="clear" w:color="auto" w:fill="FFFFFF"/>
        </w:rPr>
        <w:t xml:space="preserve"> </w:t>
      </w:r>
      <w:r w:rsidR="00A05B8D" w:rsidRPr="00190CE5">
        <w:rPr>
          <w:rFonts w:asciiTheme="majorHAnsi" w:hAnsiTheme="majorHAnsi" w:cs="Arial"/>
          <w:b/>
          <w:sz w:val="22"/>
          <w:shd w:val="clear" w:color="auto" w:fill="FFFFFF"/>
        </w:rPr>
        <w:t>66</w:t>
      </w:r>
      <w:r w:rsidR="00A05B8D" w:rsidRPr="00190CE5">
        <w:rPr>
          <w:rFonts w:asciiTheme="majorHAnsi" w:hAnsiTheme="majorHAnsi" w:cs="Arial"/>
          <w:sz w:val="22"/>
          <w:shd w:val="clear" w:color="auto" w:fill="FFFFFF"/>
        </w:rPr>
        <w:t>, 169-78</w:t>
      </w:r>
      <w:r w:rsidR="00EE658A" w:rsidRPr="00190CE5">
        <w:rPr>
          <w:rFonts w:asciiTheme="majorHAnsi" w:hAnsiTheme="majorHAnsi" w:cs="Arial"/>
          <w:sz w:val="22"/>
          <w:shd w:val="clear" w:color="auto" w:fill="FFFFFF"/>
        </w:rPr>
        <w:t xml:space="preserve"> (</w:t>
      </w:r>
      <w:r w:rsidR="00EE658A" w:rsidRPr="00190CE5">
        <w:rPr>
          <w:rFonts w:asciiTheme="majorHAnsi" w:eastAsia="Calibri" w:hAnsiTheme="majorHAnsi"/>
          <w:sz w:val="22"/>
        </w:rPr>
        <w:t>1994</w:t>
      </w:r>
      <w:r w:rsidR="00EE658A" w:rsidRPr="00190CE5">
        <w:rPr>
          <w:rFonts w:asciiTheme="majorHAnsi" w:hAnsiTheme="majorHAnsi" w:cs="Arial"/>
          <w:sz w:val="22"/>
          <w:shd w:val="clear" w:color="auto" w:fill="FFFFFF"/>
        </w:rPr>
        <w:t>)</w:t>
      </w:r>
      <w:r w:rsidR="00A05B8D" w:rsidRPr="00190CE5">
        <w:rPr>
          <w:rStyle w:val="apple-converted-space"/>
          <w:rFonts w:asciiTheme="majorHAnsi" w:hAnsiTheme="majorHAnsi" w:cs="Arial"/>
          <w:sz w:val="22"/>
          <w:shd w:val="clear" w:color="auto" w:fill="FFFFFF"/>
        </w:rPr>
        <w:t>.</w:t>
      </w:r>
    </w:p>
    <w:p w14:paraId="068A684E" w14:textId="40C5DB1A" w:rsidR="00A05B8D" w:rsidRPr="00190CE5" w:rsidRDefault="00595688" w:rsidP="00057754">
      <w:pPr>
        <w:spacing w:after="100" w:afterAutospacing="1"/>
        <w:ind w:left="851" w:hanging="851"/>
        <w:rPr>
          <w:rFonts w:asciiTheme="majorHAnsi" w:eastAsia="Calibri" w:hAnsiTheme="majorHAnsi"/>
          <w:sz w:val="22"/>
        </w:rPr>
      </w:pPr>
      <w:r w:rsidRPr="00190CE5">
        <w:rPr>
          <w:rFonts w:asciiTheme="majorHAnsi" w:eastAsia="Calibri" w:hAnsiTheme="majorHAnsi" w:cs="Calibri"/>
          <w:noProof/>
          <w:sz w:val="22"/>
        </w:rPr>
        <w:t>4</w:t>
      </w:r>
      <w:r w:rsidR="00C44167" w:rsidRPr="00190CE5">
        <w:rPr>
          <w:rFonts w:asciiTheme="majorHAnsi" w:eastAsia="Calibri" w:hAnsiTheme="majorHAnsi" w:cs="Calibri"/>
          <w:noProof/>
          <w:sz w:val="22"/>
        </w:rPr>
        <w:t>6</w:t>
      </w:r>
      <w:r w:rsidR="00A05B8D" w:rsidRPr="00190CE5">
        <w:rPr>
          <w:rFonts w:asciiTheme="majorHAnsi" w:eastAsia="Calibri" w:hAnsiTheme="majorHAnsi" w:cs="Calibri"/>
          <w:noProof/>
          <w:sz w:val="22"/>
        </w:rPr>
        <w:tab/>
      </w:r>
      <w:r w:rsidR="00A05B8D" w:rsidRPr="00190CE5">
        <w:rPr>
          <w:rFonts w:asciiTheme="majorHAnsi" w:eastAsia="Calibri" w:hAnsiTheme="majorHAnsi"/>
          <w:sz w:val="22"/>
        </w:rPr>
        <w:t>Hansen JP, Chen R-S, Larsen JK, Chu P-J, Janes DM, Weis KE</w:t>
      </w:r>
      <w:r w:rsidR="00E4176D" w:rsidRPr="00190CE5">
        <w:rPr>
          <w:rFonts w:asciiTheme="majorHAnsi" w:eastAsia="Calibri" w:hAnsiTheme="majorHAnsi"/>
          <w:sz w:val="22"/>
        </w:rPr>
        <w:t xml:space="preserve"> &amp;</w:t>
      </w:r>
      <w:r w:rsidR="00A05B8D" w:rsidRPr="00190CE5">
        <w:rPr>
          <w:rFonts w:asciiTheme="majorHAnsi" w:eastAsia="Calibri" w:hAnsiTheme="majorHAnsi"/>
          <w:sz w:val="22"/>
        </w:rPr>
        <w:t xml:space="preserve"> Best PM</w:t>
      </w:r>
      <w:r w:rsidR="00D41B4F" w:rsidRPr="00190CE5">
        <w:rPr>
          <w:rFonts w:asciiTheme="majorHAnsi" w:eastAsia="Calibri" w:hAnsiTheme="majorHAnsi"/>
          <w:sz w:val="22"/>
        </w:rPr>
        <w:t>.</w:t>
      </w:r>
      <w:r w:rsidR="00D41B4F" w:rsidRPr="00190CE5">
        <w:t xml:space="preserve"> </w:t>
      </w:r>
      <w:r w:rsidR="00D41B4F" w:rsidRPr="00190CE5">
        <w:rPr>
          <w:rFonts w:asciiTheme="majorHAnsi" w:eastAsia="Calibri" w:hAnsiTheme="majorHAnsi"/>
          <w:sz w:val="22"/>
        </w:rPr>
        <w:t>Calcium channel γ6 subunits are unique modulators of low voltage-activated (Cav3.1) calcium current</w:t>
      </w:r>
      <w:r w:rsidR="00A05B8D" w:rsidRPr="00190CE5">
        <w:rPr>
          <w:rFonts w:asciiTheme="majorHAnsi" w:eastAsia="Calibri" w:hAnsiTheme="majorHAnsi"/>
          <w:sz w:val="22"/>
        </w:rPr>
        <w:t xml:space="preserve">. </w:t>
      </w:r>
      <w:r w:rsidR="00A05B8D" w:rsidRPr="00190CE5">
        <w:rPr>
          <w:rFonts w:asciiTheme="majorHAnsi" w:eastAsia="Calibri" w:hAnsiTheme="majorHAnsi"/>
          <w:i/>
          <w:sz w:val="22"/>
        </w:rPr>
        <w:t xml:space="preserve">J. Mol. Cell. </w:t>
      </w:r>
      <w:proofErr w:type="spellStart"/>
      <w:r w:rsidR="00A05B8D" w:rsidRPr="00190CE5">
        <w:rPr>
          <w:rFonts w:asciiTheme="majorHAnsi" w:eastAsia="Calibri" w:hAnsiTheme="majorHAnsi"/>
          <w:i/>
          <w:sz w:val="22"/>
        </w:rPr>
        <w:t>Cardiol</w:t>
      </w:r>
      <w:proofErr w:type="spellEnd"/>
      <w:r w:rsidR="00A05B8D" w:rsidRPr="00190CE5">
        <w:rPr>
          <w:rFonts w:asciiTheme="majorHAnsi" w:eastAsia="Calibri" w:hAnsiTheme="majorHAnsi"/>
          <w:i/>
          <w:sz w:val="22"/>
        </w:rPr>
        <w:t>.</w:t>
      </w:r>
      <w:r w:rsidR="00A05B8D" w:rsidRPr="00190CE5">
        <w:rPr>
          <w:rFonts w:asciiTheme="majorHAnsi" w:eastAsia="Calibri" w:hAnsiTheme="majorHAnsi"/>
          <w:sz w:val="22"/>
        </w:rPr>
        <w:t xml:space="preserve"> </w:t>
      </w:r>
      <w:r w:rsidR="00A05B8D" w:rsidRPr="00190CE5">
        <w:rPr>
          <w:rFonts w:asciiTheme="majorHAnsi" w:eastAsia="Calibri" w:hAnsiTheme="majorHAnsi"/>
          <w:b/>
          <w:sz w:val="22"/>
        </w:rPr>
        <w:t>37</w:t>
      </w:r>
      <w:r w:rsidR="00A05B8D" w:rsidRPr="00190CE5">
        <w:rPr>
          <w:rFonts w:asciiTheme="majorHAnsi" w:eastAsia="Calibri" w:hAnsiTheme="majorHAnsi"/>
          <w:sz w:val="22"/>
        </w:rPr>
        <w:t>, 1147-1158</w:t>
      </w:r>
      <w:r w:rsidR="00EE658A" w:rsidRPr="00190CE5">
        <w:rPr>
          <w:rFonts w:asciiTheme="majorHAnsi" w:eastAsia="Calibri" w:hAnsiTheme="majorHAnsi"/>
          <w:sz w:val="22"/>
        </w:rPr>
        <w:t xml:space="preserve"> (2004).</w:t>
      </w:r>
    </w:p>
    <w:p w14:paraId="0EE853AD" w14:textId="1FE2CDE3" w:rsidR="00A05B8D" w:rsidRPr="00190CE5" w:rsidRDefault="00A05B8D" w:rsidP="00057754">
      <w:pPr>
        <w:spacing w:after="100" w:afterAutospacing="1"/>
        <w:ind w:left="851" w:hanging="851"/>
        <w:rPr>
          <w:rFonts w:asciiTheme="majorHAnsi" w:eastAsia="Calibri" w:hAnsiTheme="majorHAnsi"/>
          <w:sz w:val="22"/>
        </w:rPr>
      </w:pPr>
      <w:r w:rsidRPr="00190CE5">
        <w:rPr>
          <w:rFonts w:asciiTheme="majorHAnsi" w:eastAsia="Calibri" w:hAnsiTheme="majorHAnsi" w:cs="Calibri"/>
          <w:noProof/>
          <w:sz w:val="22"/>
        </w:rPr>
        <w:t>4</w:t>
      </w:r>
      <w:r w:rsidR="00C44167" w:rsidRPr="00190CE5">
        <w:rPr>
          <w:rFonts w:asciiTheme="majorHAnsi" w:eastAsia="Calibri" w:hAnsiTheme="majorHAnsi" w:cs="Calibri"/>
          <w:noProof/>
          <w:sz w:val="22"/>
        </w:rPr>
        <w:t>7</w:t>
      </w:r>
      <w:r w:rsidRPr="00190CE5">
        <w:rPr>
          <w:rFonts w:asciiTheme="majorHAnsi" w:eastAsia="Calibri" w:hAnsiTheme="majorHAnsi" w:cs="Calibri"/>
          <w:noProof/>
          <w:sz w:val="22"/>
        </w:rPr>
        <w:tab/>
      </w:r>
      <w:r w:rsidRPr="00190CE5">
        <w:rPr>
          <w:rFonts w:asciiTheme="majorHAnsi" w:eastAsia="Calibri" w:hAnsiTheme="majorHAnsi"/>
          <w:sz w:val="22"/>
        </w:rPr>
        <w:t>Smith GA</w:t>
      </w:r>
      <w:r w:rsidR="00D41B4F" w:rsidRPr="00190CE5">
        <w:rPr>
          <w:rFonts w:asciiTheme="majorHAnsi" w:eastAsia="Calibri" w:hAnsiTheme="majorHAnsi"/>
          <w:sz w:val="22"/>
        </w:rPr>
        <w:t>M</w:t>
      </w:r>
      <w:r w:rsidRPr="00190CE5">
        <w:rPr>
          <w:rFonts w:asciiTheme="majorHAnsi" w:eastAsia="Calibri" w:hAnsiTheme="majorHAnsi"/>
          <w:sz w:val="22"/>
        </w:rPr>
        <w:t xml:space="preserve">, </w:t>
      </w:r>
      <w:proofErr w:type="spellStart"/>
      <w:r w:rsidRPr="00190CE5">
        <w:rPr>
          <w:rFonts w:asciiTheme="majorHAnsi" w:eastAsia="Calibri" w:hAnsiTheme="majorHAnsi"/>
          <w:sz w:val="22"/>
        </w:rPr>
        <w:t>Tsui</w:t>
      </w:r>
      <w:proofErr w:type="spellEnd"/>
      <w:r w:rsidRPr="00190CE5">
        <w:rPr>
          <w:rFonts w:asciiTheme="majorHAnsi" w:eastAsia="Calibri" w:hAnsiTheme="majorHAnsi"/>
          <w:sz w:val="22"/>
        </w:rPr>
        <w:t xml:space="preserve"> H-W, Newell EW, Jiang X, Zhu X-P, </w:t>
      </w:r>
      <w:proofErr w:type="spellStart"/>
      <w:r w:rsidRPr="00190CE5">
        <w:rPr>
          <w:rFonts w:asciiTheme="majorHAnsi" w:eastAsia="Calibri" w:hAnsiTheme="majorHAnsi"/>
          <w:sz w:val="22"/>
        </w:rPr>
        <w:t>Tsui</w:t>
      </w:r>
      <w:proofErr w:type="spellEnd"/>
      <w:r w:rsidRPr="00190CE5">
        <w:rPr>
          <w:rFonts w:asciiTheme="majorHAnsi" w:eastAsia="Calibri" w:hAnsiTheme="majorHAnsi"/>
          <w:sz w:val="22"/>
        </w:rPr>
        <w:t xml:space="preserve"> FWL</w:t>
      </w:r>
      <w:r w:rsidR="00E4176D" w:rsidRPr="00190CE5">
        <w:rPr>
          <w:rFonts w:asciiTheme="majorHAnsi" w:eastAsia="Calibri" w:hAnsiTheme="majorHAnsi"/>
          <w:sz w:val="22"/>
        </w:rPr>
        <w:t xml:space="preserve"> &amp;</w:t>
      </w:r>
      <w:r w:rsidRPr="00190CE5">
        <w:rPr>
          <w:rFonts w:asciiTheme="majorHAnsi" w:eastAsia="Calibri" w:hAnsiTheme="majorHAnsi"/>
          <w:sz w:val="22"/>
        </w:rPr>
        <w:t xml:space="preserve"> </w:t>
      </w:r>
      <w:proofErr w:type="spellStart"/>
      <w:r w:rsidRPr="00190CE5">
        <w:rPr>
          <w:rFonts w:asciiTheme="majorHAnsi" w:eastAsia="Calibri" w:hAnsiTheme="majorHAnsi"/>
          <w:sz w:val="22"/>
        </w:rPr>
        <w:t>Schlichter</w:t>
      </w:r>
      <w:proofErr w:type="spellEnd"/>
      <w:r w:rsidRPr="00190CE5">
        <w:rPr>
          <w:rFonts w:asciiTheme="majorHAnsi" w:eastAsia="Calibri" w:hAnsiTheme="majorHAnsi"/>
          <w:sz w:val="22"/>
        </w:rPr>
        <w:t xml:space="preserve"> LC. </w:t>
      </w:r>
      <w:r w:rsidR="00D41B4F" w:rsidRPr="00190CE5">
        <w:rPr>
          <w:rFonts w:asciiTheme="majorHAnsi" w:eastAsia="Calibri" w:hAnsiTheme="majorHAnsi"/>
          <w:sz w:val="22"/>
        </w:rPr>
        <w:t xml:space="preserve">Functional Up-regulation of HERG K+ Channels in Neoplastic Hematopoietic Cells. </w:t>
      </w:r>
      <w:r w:rsidRPr="00190CE5">
        <w:rPr>
          <w:rFonts w:asciiTheme="majorHAnsi" w:eastAsia="Calibri" w:hAnsiTheme="majorHAnsi"/>
          <w:i/>
          <w:sz w:val="22"/>
        </w:rPr>
        <w:t>J. Biol. Chem</w:t>
      </w:r>
      <w:r w:rsidRPr="00190CE5">
        <w:rPr>
          <w:rFonts w:asciiTheme="majorHAnsi" w:eastAsia="Calibri" w:hAnsiTheme="majorHAnsi"/>
          <w:sz w:val="22"/>
        </w:rPr>
        <w:t xml:space="preserve">. </w:t>
      </w:r>
      <w:r w:rsidRPr="00190CE5">
        <w:rPr>
          <w:rFonts w:asciiTheme="majorHAnsi" w:eastAsia="Calibri" w:hAnsiTheme="majorHAnsi"/>
          <w:b/>
          <w:sz w:val="22"/>
        </w:rPr>
        <w:t>277</w:t>
      </w:r>
      <w:r w:rsidRPr="00190CE5">
        <w:rPr>
          <w:rFonts w:asciiTheme="majorHAnsi" w:eastAsia="Calibri" w:hAnsiTheme="majorHAnsi"/>
          <w:sz w:val="22"/>
        </w:rPr>
        <w:t>, 18528-18534</w:t>
      </w:r>
      <w:r w:rsidR="00EE658A" w:rsidRPr="00190CE5">
        <w:rPr>
          <w:rFonts w:asciiTheme="majorHAnsi" w:eastAsia="Calibri" w:hAnsiTheme="majorHAnsi"/>
          <w:sz w:val="22"/>
        </w:rPr>
        <w:t xml:space="preserve"> (2002)</w:t>
      </w:r>
      <w:r w:rsidRPr="00190CE5">
        <w:rPr>
          <w:rFonts w:asciiTheme="majorHAnsi" w:eastAsia="Calibri" w:hAnsiTheme="majorHAnsi"/>
          <w:sz w:val="22"/>
        </w:rPr>
        <w:t xml:space="preserve">. </w:t>
      </w:r>
    </w:p>
    <w:p w14:paraId="795F27BE" w14:textId="1392E14B" w:rsidR="00A05B8D" w:rsidRPr="00190CE5" w:rsidRDefault="00A05B8D" w:rsidP="00057754">
      <w:pPr>
        <w:spacing w:after="100" w:afterAutospacing="1"/>
        <w:ind w:left="851" w:hanging="851"/>
        <w:rPr>
          <w:rFonts w:asciiTheme="majorHAnsi" w:eastAsia="Calibri" w:hAnsiTheme="majorHAnsi"/>
          <w:sz w:val="22"/>
        </w:rPr>
      </w:pPr>
      <w:r w:rsidRPr="00190CE5">
        <w:rPr>
          <w:rFonts w:asciiTheme="majorHAnsi" w:eastAsia="Calibri" w:hAnsiTheme="majorHAnsi" w:cs="Calibri"/>
          <w:noProof/>
          <w:sz w:val="22"/>
        </w:rPr>
        <w:t>4</w:t>
      </w:r>
      <w:r w:rsidR="00C44167" w:rsidRPr="00190CE5">
        <w:rPr>
          <w:rFonts w:asciiTheme="majorHAnsi" w:eastAsia="Calibri" w:hAnsiTheme="majorHAnsi" w:cs="Calibri"/>
          <w:noProof/>
          <w:sz w:val="22"/>
        </w:rPr>
        <w:t>8</w:t>
      </w:r>
      <w:r w:rsidRPr="00190CE5">
        <w:rPr>
          <w:rFonts w:asciiTheme="majorHAnsi" w:eastAsia="Calibri" w:hAnsiTheme="majorHAnsi"/>
          <w:sz w:val="22"/>
        </w:rPr>
        <w:t xml:space="preserve"> </w:t>
      </w:r>
      <w:r w:rsidRPr="00190CE5">
        <w:rPr>
          <w:rFonts w:asciiTheme="majorHAnsi" w:eastAsia="Calibri" w:hAnsiTheme="majorHAnsi"/>
          <w:sz w:val="22"/>
        </w:rPr>
        <w:tab/>
        <w:t xml:space="preserve">Gascoyne P, </w:t>
      </w:r>
      <w:proofErr w:type="spellStart"/>
      <w:r w:rsidRPr="00190CE5">
        <w:rPr>
          <w:rFonts w:asciiTheme="majorHAnsi" w:eastAsia="Calibri" w:hAnsiTheme="majorHAnsi"/>
          <w:sz w:val="22"/>
        </w:rPr>
        <w:t>Pethig</w:t>
      </w:r>
      <w:proofErr w:type="spellEnd"/>
      <w:r w:rsidRPr="00190CE5">
        <w:rPr>
          <w:rFonts w:asciiTheme="majorHAnsi" w:eastAsia="Calibri" w:hAnsiTheme="majorHAnsi"/>
          <w:sz w:val="22"/>
        </w:rPr>
        <w:t xml:space="preserve"> R, </w:t>
      </w:r>
      <w:proofErr w:type="spellStart"/>
      <w:r w:rsidRPr="00190CE5">
        <w:rPr>
          <w:rFonts w:asciiTheme="majorHAnsi" w:eastAsia="Calibri" w:hAnsiTheme="majorHAnsi"/>
          <w:sz w:val="22"/>
        </w:rPr>
        <w:t>Satayavivad</w:t>
      </w:r>
      <w:proofErr w:type="spellEnd"/>
      <w:r w:rsidRPr="00190CE5">
        <w:rPr>
          <w:rFonts w:asciiTheme="majorHAnsi" w:eastAsia="Calibri" w:hAnsiTheme="majorHAnsi"/>
          <w:sz w:val="22"/>
        </w:rPr>
        <w:t xml:space="preserve"> J, Becker FF</w:t>
      </w:r>
      <w:r w:rsidR="00E4176D" w:rsidRPr="00190CE5">
        <w:rPr>
          <w:rFonts w:asciiTheme="majorHAnsi" w:eastAsia="Calibri" w:hAnsiTheme="majorHAnsi"/>
          <w:sz w:val="22"/>
        </w:rPr>
        <w:t xml:space="preserve"> &amp;</w:t>
      </w:r>
      <w:r w:rsidRPr="00190CE5">
        <w:rPr>
          <w:rFonts w:asciiTheme="majorHAnsi" w:eastAsia="Calibri" w:hAnsiTheme="majorHAnsi"/>
          <w:sz w:val="22"/>
        </w:rPr>
        <w:t xml:space="preserve"> </w:t>
      </w:r>
      <w:proofErr w:type="spellStart"/>
      <w:r w:rsidRPr="00190CE5">
        <w:rPr>
          <w:rFonts w:asciiTheme="majorHAnsi" w:eastAsia="Calibri" w:hAnsiTheme="majorHAnsi"/>
          <w:sz w:val="22"/>
        </w:rPr>
        <w:t>Ruchirawat</w:t>
      </w:r>
      <w:proofErr w:type="spellEnd"/>
      <w:r w:rsidRPr="00190CE5">
        <w:rPr>
          <w:rFonts w:asciiTheme="majorHAnsi" w:eastAsia="Calibri" w:hAnsiTheme="majorHAnsi"/>
          <w:sz w:val="22"/>
        </w:rPr>
        <w:t xml:space="preserve"> M. </w:t>
      </w:r>
      <w:r w:rsidR="00010396" w:rsidRPr="00190CE5">
        <w:rPr>
          <w:rFonts w:asciiTheme="majorHAnsi" w:eastAsia="Calibri" w:hAnsiTheme="majorHAnsi"/>
          <w:sz w:val="22"/>
        </w:rPr>
        <w:t>Dielectrophoretic detection of changes in erythrocyte membranes following malarial infection.</w:t>
      </w:r>
      <w:r w:rsidRPr="00190CE5">
        <w:rPr>
          <w:rFonts w:asciiTheme="majorHAnsi" w:eastAsia="Calibri" w:hAnsiTheme="majorHAnsi"/>
          <w:sz w:val="22"/>
        </w:rPr>
        <w:t xml:space="preserve">  </w:t>
      </w:r>
      <w:proofErr w:type="spellStart"/>
      <w:r w:rsidRPr="00190CE5">
        <w:rPr>
          <w:rFonts w:asciiTheme="majorHAnsi" w:eastAsia="Calibri" w:hAnsiTheme="majorHAnsi"/>
          <w:i/>
          <w:sz w:val="22"/>
        </w:rPr>
        <w:t>Biochim</w:t>
      </w:r>
      <w:proofErr w:type="spellEnd"/>
      <w:r w:rsidRPr="00190CE5">
        <w:rPr>
          <w:rFonts w:asciiTheme="majorHAnsi" w:eastAsia="Calibri" w:hAnsiTheme="majorHAnsi"/>
          <w:i/>
          <w:sz w:val="22"/>
        </w:rPr>
        <w:t>. Biophys. Acta</w:t>
      </w:r>
      <w:r w:rsidRPr="00190CE5">
        <w:rPr>
          <w:rFonts w:asciiTheme="majorHAnsi" w:eastAsia="Calibri" w:hAnsiTheme="majorHAnsi"/>
          <w:sz w:val="22"/>
        </w:rPr>
        <w:t xml:space="preserve"> </w:t>
      </w:r>
      <w:r w:rsidRPr="00190CE5">
        <w:rPr>
          <w:rFonts w:asciiTheme="majorHAnsi" w:eastAsia="Calibri" w:hAnsiTheme="majorHAnsi"/>
          <w:b/>
          <w:sz w:val="22"/>
        </w:rPr>
        <w:t>1323</w:t>
      </w:r>
      <w:r w:rsidRPr="00190CE5">
        <w:rPr>
          <w:rFonts w:asciiTheme="majorHAnsi" w:eastAsia="Calibri" w:hAnsiTheme="majorHAnsi"/>
          <w:sz w:val="22"/>
        </w:rPr>
        <w:t>, 240-252</w:t>
      </w:r>
      <w:r w:rsidR="00EE658A" w:rsidRPr="00190CE5">
        <w:rPr>
          <w:rFonts w:asciiTheme="majorHAnsi" w:eastAsia="Calibri" w:hAnsiTheme="majorHAnsi"/>
          <w:sz w:val="22"/>
        </w:rPr>
        <w:t xml:space="preserve"> (1997)</w:t>
      </w:r>
      <w:r w:rsidRPr="00190CE5">
        <w:rPr>
          <w:rFonts w:asciiTheme="majorHAnsi" w:eastAsia="Calibri" w:hAnsiTheme="majorHAnsi"/>
          <w:sz w:val="22"/>
        </w:rPr>
        <w:t>.</w:t>
      </w:r>
    </w:p>
    <w:p w14:paraId="22F1FEB2" w14:textId="5C73D296" w:rsidR="00A05B8D" w:rsidRPr="00190CE5" w:rsidRDefault="00C44167" w:rsidP="00057754">
      <w:pPr>
        <w:spacing w:after="100" w:afterAutospacing="1"/>
        <w:ind w:left="851" w:hanging="851"/>
        <w:rPr>
          <w:rFonts w:asciiTheme="majorHAnsi" w:hAnsiTheme="majorHAnsi" w:cs="Arial"/>
          <w:sz w:val="22"/>
          <w:shd w:val="clear" w:color="auto" w:fill="FFFFFF"/>
        </w:rPr>
      </w:pPr>
      <w:r w:rsidRPr="00190CE5">
        <w:rPr>
          <w:rFonts w:asciiTheme="majorHAnsi" w:eastAsia="Calibri" w:hAnsiTheme="majorHAnsi"/>
          <w:sz w:val="22"/>
        </w:rPr>
        <w:t>49</w:t>
      </w:r>
      <w:r w:rsidR="00A05B8D" w:rsidRPr="00190CE5">
        <w:rPr>
          <w:rFonts w:asciiTheme="majorHAnsi" w:eastAsia="Calibri" w:hAnsiTheme="majorHAnsi"/>
          <w:sz w:val="22"/>
        </w:rPr>
        <w:tab/>
      </w:r>
      <w:proofErr w:type="spellStart"/>
      <w:r w:rsidR="00A05B8D" w:rsidRPr="00190CE5">
        <w:rPr>
          <w:rFonts w:asciiTheme="majorHAnsi" w:hAnsiTheme="majorHAnsi" w:cs="Arial"/>
          <w:sz w:val="22"/>
          <w:shd w:val="clear" w:color="auto" w:fill="FFFFFF"/>
        </w:rPr>
        <w:t>Duranton</w:t>
      </w:r>
      <w:proofErr w:type="spellEnd"/>
      <w:r w:rsidR="00A05B8D" w:rsidRPr="00190CE5">
        <w:rPr>
          <w:rFonts w:asciiTheme="majorHAnsi" w:hAnsiTheme="majorHAnsi" w:cs="Arial"/>
          <w:sz w:val="22"/>
          <w:shd w:val="clear" w:color="auto" w:fill="FFFFFF"/>
        </w:rPr>
        <w:t xml:space="preserve"> C, Huber SM</w:t>
      </w:r>
      <w:r w:rsidR="00E4176D" w:rsidRPr="00190CE5">
        <w:rPr>
          <w:rFonts w:asciiTheme="majorHAnsi" w:hAnsiTheme="majorHAnsi" w:cs="Arial"/>
          <w:sz w:val="22"/>
          <w:shd w:val="clear" w:color="auto" w:fill="FFFFFF"/>
        </w:rPr>
        <w:t xml:space="preserve"> &amp;</w:t>
      </w:r>
      <w:r w:rsidR="00A05B8D" w:rsidRPr="00190CE5">
        <w:rPr>
          <w:rFonts w:asciiTheme="majorHAnsi" w:hAnsiTheme="majorHAnsi" w:cs="Arial"/>
          <w:sz w:val="22"/>
          <w:shd w:val="clear" w:color="auto" w:fill="FFFFFF"/>
        </w:rPr>
        <w:t xml:space="preserve"> Lang</w:t>
      </w:r>
      <w:r w:rsidR="00A05B8D" w:rsidRPr="00190CE5">
        <w:rPr>
          <w:rFonts w:asciiTheme="majorHAnsi" w:eastAsia="Calibri" w:hAnsiTheme="majorHAnsi" w:cs="Times New Roman"/>
          <w:sz w:val="22"/>
        </w:rPr>
        <w:t xml:space="preserve"> F.</w:t>
      </w:r>
      <w:r w:rsidR="00010396" w:rsidRPr="00190CE5">
        <w:rPr>
          <w:rFonts w:asciiTheme="majorHAnsi" w:eastAsia="Calibri" w:hAnsiTheme="majorHAnsi" w:cs="Times New Roman"/>
          <w:sz w:val="22"/>
        </w:rPr>
        <w:t xml:space="preserve"> Oxidation induces a Cl−-dependent cation conductance in human red blood cells.</w:t>
      </w:r>
      <w:r w:rsidR="00A05B8D" w:rsidRPr="00190CE5">
        <w:rPr>
          <w:rFonts w:asciiTheme="majorHAnsi" w:eastAsia="Calibri" w:hAnsiTheme="majorHAnsi" w:cs="Times New Roman"/>
          <w:sz w:val="22"/>
        </w:rPr>
        <w:t xml:space="preserve"> </w:t>
      </w:r>
      <w:r w:rsidR="009D241D" w:rsidRPr="00190CE5">
        <w:rPr>
          <w:rFonts w:asciiTheme="majorHAnsi" w:hAnsiTheme="majorHAnsi" w:cs="Arial"/>
          <w:i/>
          <w:sz w:val="22"/>
          <w:shd w:val="clear" w:color="auto" w:fill="FFFFFF"/>
        </w:rPr>
        <w:t>J Physiol.</w:t>
      </w:r>
      <w:r w:rsidR="009D241D" w:rsidRPr="00190CE5">
        <w:rPr>
          <w:rFonts w:asciiTheme="majorHAnsi" w:hAnsiTheme="majorHAnsi" w:cs="Arial"/>
          <w:sz w:val="22"/>
          <w:shd w:val="clear" w:color="auto" w:fill="FFFFFF"/>
        </w:rPr>
        <w:t xml:space="preserve"> </w:t>
      </w:r>
      <w:r w:rsidR="009D241D" w:rsidRPr="00190CE5">
        <w:rPr>
          <w:rFonts w:asciiTheme="majorHAnsi" w:hAnsiTheme="majorHAnsi" w:cs="Arial"/>
          <w:b/>
          <w:sz w:val="22"/>
          <w:shd w:val="clear" w:color="auto" w:fill="FFFFFF"/>
        </w:rPr>
        <w:t>539</w:t>
      </w:r>
      <w:r w:rsidR="009D241D" w:rsidRPr="00190CE5">
        <w:rPr>
          <w:rFonts w:asciiTheme="majorHAnsi" w:hAnsiTheme="majorHAnsi" w:cs="Arial"/>
          <w:sz w:val="22"/>
          <w:shd w:val="clear" w:color="auto" w:fill="FFFFFF"/>
        </w:rPr>
        <w:t>,</w:t>
      </w:r>
      <w:r w:rsidR="00A05B8D" w:rsidRPr="00190CE5">
        <w:rPr>
          <w:rFonts w:asciiTheme="majorHAnsi" w:hAnsiTheme="majorHAnsi" w:cs="Arial"/>
          <w:sz w:val="22"/>
          <w:shd w:val="clear" w:color="auto" w:fill="FFFFFF"/>
        </w:rPr>
        <w:t xml:space="preserve"> 847–855</w:t>
      </w:r>
      <w:r w:rsidR="00EE658A" w:rsidRPr="00190CE5">
        <w:rPr>
          <w:rFonts w:asciiTheme="majorHAnsi" w:hAnsiTheme="majorHAnsi" w:cs="Arial"/>
          <w:sz w:val="22"/>
          <w:shd w:val="clear" w:color="auto" w:fill="FFFFFF"/>
        </w:rPr>
        <w:t xml:space="preserve"> (</w:t>
      </w:r>
      <w:r w:rsidR="00EE658A" w:rsidRPr="00190CE5">
        <w:rPr>
          <w:rFonts w:asciiTheme="majorHAnsi" w:hAnsiTheme="majorHAnsi" w:cs="Arial"/>
          <w:sz w:val="22"/>
        </w:rPr>
        <w:t>2002)</w:t>
      </w:r>
      <w:r w:rsidR="00A05B8D" w:rsidRPr="00190CE5">
        <w:rPr>
          <w:rFonts w:asciiTheme="majorHAnsi" w:hAnsiTheme="majorHAnsi" w:cs="Arial"/>
          <w:sz w:val="22"/>
          <w:shd w:val="clear" w:color="auto" w:fill="FFFFFF"/>
        </w:rPr>
        <w:t>.</w:t>
      </w:r>
    </w:p>
    <w:p w14:paraId="437D5AAA" w14:textId="2913137F" w:rsidR="00A05B8D" w:rsidRPr="00190CE5" w:rsidRDefault="00C44167" w:rsidP="00057754">
      <w:pPr>
        <w:pStyle w:val="NoSpacing"/>
        <w:spacing w:after="100" w:afterAutospacing="1" w:line="360" w:lineRule="auto"/>
        <w:ind w:left="851" w:hanging="851"/>
        <w:rPr>
          <w:rFonts w:asciiTheme="majorHAnsi" w:hAnsiTheme="majorHAnsi"/>
          <w:sz w:val="22"/>
        </w:rPr>
      </w:pPr>
      <w:r w:rsidRPr="00190CE5">
        <w:rPr>
          <w:rFonts w:asciiTheme="majorHAnsi" w:eastAsia="Calibri" w:hAnsiTheme="majorHAnsi"/>
          <w:sz w:val="22"/>
        </w:rPr>
        <w:lastRenderedPageBreak/>
        <w:t>50</w:t>
      </w:r>
      <w:r w:rsidR="00A05B8D" w:rsidRPr="00190CE5">
        <w:rPr>
          <w:rFonts w:asciiTheme="majorHAnsi" w:hAnsiTheme="majorHAnsi"/>
          <w:sz w:val="22"/>
        </w:rPr>
        <w:t xml:space="preserve"> </w:t>
      </w:r>
      <w:r w:rsidR="00A05B8D" w:rsidRPr="00190CE5">
        <w:rPr>
          <w:rFonts w:asciiTheme="majorHAnsi" w:hAnsiTheme="majorHAnsi"/>
          <w:sz w:val="22"/>
        </w:rPr>
        <w:tab/>
        <w:t xml:space="preserve">Hughes MP. </w:t>
      </w:r>
      <w:proofErr w:type="spellStart"/>
      <w:r w:rsidR="00010396" w:rsidRPr="00190CE5">
        <w:rPr>
          <w:rFonts w:asciiTheme="majorHAnsi" w:hAnsiTheme="majorHAnsi"/>
          <w:sz w:val="22"/>
        </w:rPr>
        <w:t>Dielectrophoretic</w:t>
      </w:r>
      <w:proofErr w:type="spellEnd"/>
      <w:r w:rsidR="00010396" w:rsidRPr="00190CE5">
        <w:rPr>
          <w:rFonts w:asciiTheme="majorHAnsi" w:hAnsiTheme="majorHAnsi"/>
          <w:sz w:val="22"/>
        </w:rPr>
        <w:t xml:space="preserve"> </w:t>
      </w:r>
      <w:proofErr w:type="spellStart"/>
      <w:r w:rsidR="00010396" w:rsidRPr="00190CE5">
        <w:rPr>
          <w:rFonts w:asciiTheme="majorHAnsi" w:hAnsiTheme="majorHAnsi"/>
          <w:sz w:val="22"/>
        </w:rPr>
        <w:t>Behavior</w:t>
      </w:r>
      <w:proofErr w:type="spellEnd"/>
      <w:r w:rsidR="00010396" w:rsidRPr="00190CE5">
        <w:rPr>
          <w:rFonts w:asciiTheme="majorHAnsi" w:hAnsiTheme="majorHAnsi"/>
          <w:sz w:val="22"/>
        </w:rPr>
        <w:t xml:space="preserve"> of Latex </w:t>
      </w:r>
      <w:proofErr w:type="spellStart"/>
      <w:r w:rsidR="00010396" w:rsidRPr="00190CE5">
        <w:rPr>
          <w:rFonts w:asciiTheme="majorHAnsi" w:hAnsiTheme="majorHAnsi"/>
          <w:sz w:val="22"/>
        </w:rPr>
        <w:t>Nanospheres</w:t>
      </w:r>
      <w:proofErr w:type="spellEnd"/>
      <w:r w:rsidR="00010396" w:rsidRPr="00190CE5">
        <w:rPr>
          <w:rFonts w:asciiTheme="majorHAnsi" w:hAnsiTheme="majorHAnsi"/>
          <w:sz w:val="22"/>
        </w:rPr>
        <w:t xml:space="preserve">: Low-Frequency Dispersion. </w:t>
      </w:r>
      <w:r w:rsidR="00A05B8D" w:rsidRPr="00190CE5">
        <w:rPr>
          <w:rFonts w:asciiTheme="majorHAnsi" w:hAnsiTheme="majorHAnsi"/>
          <w:i/>
          <w:sz w:val="22"/>
        </w:rPr>
        <w:t>J. Coll. Int. Sci.</w:t>
      </w:r>
      <w:r w:rsidR="00A05B8D" w:rsidRPr="00190CE5">
        <w:rPr>
          <w:rFonts w:asciiTheme="majorHAnsi" w:hAnsiTheme="majorHAnsi"/>
          <w:sz w:val="22"/>
        </w:rPr>
        <w:t xml:space="preserve"> </w:t>
      </w:r>
      <w:r w:rsidR="00A05B8D" w:rsidRPr="00190CE5">
        <w:rPr>
          <w:rFonts w:asciiTheme="majorHAnsi" w:hAnsiTheme="majorHAnsi"/>
          <w:b/>
          <w:sz w:val="22"/>
        </w:rPr>
        <w:t>250</w:t>
      </w:r>
      <w:r w:rsidR="00A05B8D" w:rsidRPr="00190CE5">
        <w:rPr>
          <w:rFonts w:asciiTheme="majorHAnsi" w:hAnsiTheme="majorHAnsi"/>
          <w:sz w:val="22"/>
        </w:rPr>
        <w:t>, 291-294</w:t>
      </w:r>
      <w:r w:rsidR="00EE658A" w:rsidRPr="00190CE5">
        <w:rPr>
          <w:rFonts w:asciiTheme="majorHAnsi" w:hAnsiTheme="majorHAnsi"/>
          <w:sz w:val="22"/>
        </w:rPr>
        <w:t xml:space="preserve"> (2002).</w:t>
      </w:r>
    </w:p>
    <w:p w14:paraId="08EDEC47" w14:textId="353A203C" w:rsidR="00A05B8D" w:rsidRPr="00190CE5" w:rsidRDefault="00C44167" w:rsidP="00057754">
      <w:pPr>
        <w:spacing w:after="100" w:afterAutospacing="1"/>
        <w:ind w:left="851" w:hanging="851"/>
        <w:rPr>
          <w:rFonts w:asciiTheme="majorHAnsi" w:eastAsia="Calibri" w:hAnsiTheme="majorHAnsi"/>
          <w:sz w:val="22"/>
        </w:rPr>
      </w:pPr>
      <w:r w:rsidRPr="00190CE5">
        <w:rPr>
          <w:rFonts w:asciiTheme="majorHAnsi" w:eastAsia="Calibri" w:hAnsiTheme="majorHAnsi"/>
          <w:sz w:val="22"/>
        </w:rPr>
        <w:t>51</w:t>
      </w:r>
      <w:r w:rsidR="00A05B8D" w:rsidRPr="00190CE5">
        <w:rPr>
          <w:rFonts w:asciiTheme="majorHAnsi" w:eastAsia="Calibri" w:hAnsiTheme="majorHAnsi"/>
          <w:sz w:val="22"/>
        </w:rPr>
        <w:tab/>
      </w:r>
      <w:proofErr w:type="spellStart"/>
      <w:r w:rsidR="00EE658A" w:rsidRPr="00190CE5">
        <w:rPr>
          <w:rFonts w:asciiTheme="majorHAnsi" w:eastAsia="Calibri" w:hAnsiTheme="majorHAnsi"/>
          <w:sz w:val="22"/>
        </w:rPr>
        <w:t>Heida</w:t>
      </w:r>
      <w:proofErr w:type="spellEnd"/>
      <w:r w:rsidR="00EE658A" w:rsidRPr="00190CE5">
        <w:rPr>
          <w:rFonts w:asciiTheme="majorHAnsi" w:eastAsia="Calibri" w:hAnsiTheme="majorHAnsi"/>
          <w:sz w:val="22"/>
        </w:rPr>
        <w:t xml:space="preserve"> T</w:t>
      </w:r>
      <w:r w:rsidR="007445C3" w:rsidRPr="00190CE5">
        <w:rPr>
          <w:rFonts w:asciiTheme="majorHAnsi" w:eastAsia="Calibri" w:hAnsiTheme="majorHAnsi"/>
          <w:sz w:val="22"/>
        </w:rPr>
        <w:t xml:space="preserve">. </w:t>
      </w:r>
      <w:r w:rsidR="00010396" w:rsidRPr="00190CE5">
        <w:rPr>
          <w:rFonts w:asciiTheme="majorHAnsi" w:eastAsia="Calibri" w:hAnsiTheme="majorHAnsi"/>
          <w:sz w:val="22"/>
        </w:rPr>
        <w:t xml:space="preserve">Electric field-induced effects on neuronal cell biology accompanying dielectrophoretic trapping. </w:t>
      </w:r>
      <w:proofErr w:type="spellStart"/>
      <w:r w:rsidR="007445C3" w:rsidRPr="00190CE5">
        <w:rPr>
          <w:rFonts w:asciiTheme="majorHAnsi" w:eastAsia="Calibri" w:hAnsiTheme="majorHAnsi"/>
          <w:i/>
          <w:sz w:val="22"/>
        </w:rPr>
        <w:t>Adv</w:t>
      </w:r>
      <w:proofErr w:type="spellEnd"/>
      <w:r w:rsidR="007445C3" w:rsidRPr="00190CE5">
        <w:rPr>
          <w:rFonts w:asciiTheme="majorHAnsi" w:eastAsia="Calibri" w:hAnsiTheme="majorHAnsi"/>
          <w:i/>
          <w:sz w:val="22"/>
        </w:rPr>
        <w:t xml:space="preserve"> </w:t>
      </w:r>
      <w:proofErr w:type="spellStart"/>
      <w:r w:rsidR="007445C3" w:rsidRPr="00190CE5">
        <w:rPr>
          <w:rFonts w:asciiTheme="majorHAnsi" w:eastAsia="Calibri" w:hAnsiTheme="majorHAnsi"/>
          <w:i/>
          <w:sz w:val="22"/>
        </w:rPr>
        <w:t>Anat</w:t>
      </w:r>
      <w:proofErr w:type="spellEnd"/>
      <w:r w:rsidR="007445C3" w:rsidRPr="00190CE5">
        <w:rPr>
          <w:rFonts w:asciiTheme="majorHAnsi" w:eastAsia="Calibri" w:hAnsiTheme="majorHAnsi"/>
          <w:i/>
          <w:sz w:val="22"/>
        </w:rPr>
        <w:t xml:space="preserve"> </w:t>
      </w:r>
      <w:proofErr w:type="spellStart"/>
      <w:r w:rsidR="007445C3" w:rsidRPr="00190CE5">
        <w:rPr>
          <w:rFonts w:asciiTheme="majorHAnsi" w:eastAsia="Calibri" w:hAnsiTheme="majorHAnsi"/>
          <w:i/>
          <w:sz w:val="22"/>
        </w:rPr>
        <w:t>Embr</w:t>
      </w:r>
      <w:r w:rsidR="00EE658A" w:rsidRPr="00190CE5">
        <w:rPr>
          <w:rFonts w:asciiTheme="majorHAnsi" w:eastAsia="Calibri" w:hAnsiTheme="majorHAnsi"/>
          <w:i/>
          <w:sz w:val="22"/>
        </w:rPr>
        <w:t>yol</w:t>
      </w:r>
      <w:proofErr w:type="spellEnd"/>
      <w:r w:rsidR="00EE658A" w:rsidRPr="00190CE5">
        <w:rPr>
          <w:rFonts w:asciiTheme="majorHAnsi" w:eastAsia="Calibri" w:hAnsiTheme="majorHAnsi"/>
          <w:i/>
          <w:sz w:val="22"/>
        </w:rPr>
        <w:t xml:space="preserve"> Cell Biol</w:t>
      </w:r>
      <w:r w:rsidR="00EE658A" w:rsidRPr="00190CE5">
        <w:rPr>
          <w:rFonts w:asciiTheme="majorHAnsi" w:eastAsia="Calibri" w:hAnsiTheme="majorHAnsi"/>
          <w:sz w:val="22"/>
        </w:rPr>
        <w:t xml:space="preserve">. </w:t>
      </w:r>
      <w:r w:rsidR="00EE658A" w:rsidRPr="00190CE5">
        <w:rPr>
          <w:rFonts w:asciiTheme="majorHAnsi" w:eastAsia="Calibri" w:hAnsiTheme="majorHAnsi"/>
          <w:b/>
          <w:sz w:val="22"/>
        </w:rPr>
        <w:t>173</w:t>
      </w:r>
      <w:r w:rsidR="00EE658A" w:rsidRPr="00190CE5">
        <w:rPr>
          <w:rFonts w:asciiTheme="majorHAnsi" w:eastAsia="Calibri" w:hAnsiTheme="majorHAnsi"/>
          <w:sz w:val="22"/>
        </w:rPr>
        <w:t>, 1-77 (2003)</w:t>
      </w:r>
    </w:p>
    <w:p w14:paraId="67A64854" w14:textId="19CEFA44" w:rsidR="00F23783" w:rsidRPr="00190CE5" w:rsidRDefault="00C44167" w:rsidP="00057754">
      <w:pPr>
        <w:spacing w:after="100" w:afterAutospacing="1"/>
        <w:ind w:left="851" w:hanging="851"/>
        <w:rPr>
          <w:rFonts w:asciiTheme="majorHAnsi" w:eastAsia="Calibri" w:hAnsiTheme="majorHAnsi"/>
          <w:sz w:val="22"/>
        </w:rPr>
      </w:pPr>
      <w:r w:rsidRPr="00190CE5">
        <w:rPr>
          <w:rFonts w:asciiTheme="majorHAnsi" w:eastAsia="Calibri" w:hAnsiTheme="majorHAnsi"/>
          <w:sz w:val="22"/>
        </w:rPr>
        <w:t>52</w:t>
      </w:r>
      <w:r w:rsidR="007445C3" w:rsidRPr="00190CE5">
        <w:rPr>
          <w:rFonts w:asciiTheme="majorHAnsi" w:eastAsia="Calibri" w:hAnsiTheme="majorHAnsi"/>
          <w:sz w:val="22"/>
        </w:rPr>
        <w:tab/>
        <w:t>LaLonde A, Romero‐Creel MF</w:t>
      </w:r>
      <w:r w:rsidR="00E4176D" w:rsidRPr="00190CE5">
        <w:rPr>
          <w:rFonts w:asciiTheme="majorHAnsi" w:eastAsia="Calibri" w:hAnsiTheme="majorHAnsi"/>
          <w:sz w:val="22"/>
        </w:rPr>
        <w:t xml:space="preserve"> &amp;</w:t>
      </w:r>
      <w:r w:rsidR="007445C3" w:rsidRPr="00190CE5">
        <w:rPr>
          <w:rFonts w:asciiTheme="majorHAnsi" w:eastAsia="Calibri" w:hAnsiTheme="majorHAnsi"/>
          <w:sz w:val="22"/>
        </w:rPr>
        <w:t xml:space="preserve"> </w:t>
      </w:r>
      <w:proofErr w:type="spellStart"/>
      <w:r w:rsidR="007445C3" w:rsidRPr="00190CE5">
        <w:rPr>
          <w:rFonts w:asciiTheme="majorHAnsi" w:eastAsia="Calibri" w:hAnsiTheme="majorHAnsi"/>
          <w:sz w:val="22"/>
        </w:rPr>
        <w:t>Lapizco</w:t>
      </w:r>
      <w:proofErr w:type="spellEnd"/>
      <w:r w:rsidR="007445C3" w:rsidRPr="00190CE5">
        <w:rPr>
          <w:rFonts w:asciiTheme="majorHAnsi" w:eastAsia="Calibri" w:hAnsiTheme="majorHAnsi"/>
          <w:sz w:val="22"/>
        </w:rPr>
        <w:t xml:space="preserve">‐Encinas BH. </w:t>
      </w:r>
      <w:r w:rsidR="00010396" w:rsidRPr="00190CE5">
        <w:rPr>
          <w:rFonts w:asciiTheme="majorHAnsi" w:eastAsia="Calibri" w:hAnsiTheme="majorHAnsi"/>
          <w:sz w:val="22"/>
        </w:rPr>
        <w:t xml:space="preserve">Assessment of Cell Viability after Manipulation with Insulator-based Dielectrophoresis. </w:t>
      </w:r>
      <w:r w:rsidR="007445C3" w:rsidRPr="00190CE5">
        <w:rPr>
          <w:rFonts w:asciiTheme="majorHAnsi" w:eastAsia="Calibri" w:hAnsiTheme="majorHAnsi"/>
          <w:i/>
          <w:sz w:val="22"/>
        </w:rPr>
        <w:t>Electrophoresis</w:t>
      </w:r>
      <w:r w:rsidR="007445C3" w:rsidRPr="00190CE5">
        <w:rPr>
          <w:rFonts w:asciiTheme="majorHAnsi" w:eastAsia="Calibri" w:hAnsiTheme="majorHAnsi"/>
          <w:sz w:val="22"/>
        </w:rPr>
        <w:t xml:space="preserve"> </w:t>
      </w:r>
      <w:r w:rsidR="007445C3" w:rsidRPr="00190CE5">
        <w:rPr>
          <w:rFonts w:asciiTheme="majorHAnsi" w:eastAsia="Calibri" w:hAnsiTheme="majorHAnsi"/>
          <w:b/>
          <w:sz w:val="22"/>
        </w:rPr>
        <w:t>36</w:t>
      </w:r>
      <w:r w:rsidR="00EE658A" w:rsidRPr="00190CE5">
        <w:rPr>
          <w:rFonts w:asciiTheme="majorHAnsi" w:eastAsia="Calibri" w:hAnsiTheme="majorHAnsi"/>
          <w:sz w:val="22"/>
        </w:rPr>
        <w:t>,</w:t>
      </w:r>
      <w:r w:rsidR="007445C3" w:rsidRPr="00190CE5">
        <w:rPr>
          <w:rFonts w:asciiTheme="majorHAnsi" w:eastAsia="Calibri" w:hAnsiTheme="majorHAnsi"/>
          <w:sz w:val="22"/>
        </w:rPr>
        <w:t xml:space="preserve"> 1479-1484</w:t>
      </w:r>
      <w:r w:rsidR="00EE658A" w:rsidRPr="00190CE5">
        <w:rPr>
          <w:rFonts w:asciiTheme="majorHAnsi" w:eastAsia="Calibri" w:hAnsiTheme="majorHAnsi"/>
          <w:sz w:val="22"/>
        </w:rPr>
        <w:t xml:space="preserve"> (2014)</w:t>
      </w:r>
      <w:r w:rsidR="007445C3" w:rsidRPr="00190CE5">
        <w:rPr>
          <w:rFonts w:asciiTheme="majorHAnsi" w:eastAsia="Calibri" w:hAnsiTheme="majorHAnsi"/>
          <w:sz w:val="22"/>
        </w:rPr>
        <w:t>.</w:t>
      </w:r>
    </w:p>
    <w:p w14:paraId="15CA3764" w14:textId="6BBEB4F2" w:rsidR="00F23783" w:rsidRPr="00190CE5" w:rsidRDefault="00C44167" w:rsidP="00057754">
      <w:pPr>
        <w:spacing w:after="100" w:afterAutospacing="1"/>
        <w:ind w:left="851" w:hanging="851"/>
        <w:rPr>
          <w:rFonts w:asciiTheme="majorHAnsi" w:eastAsia="Calibri" w:hAnsiTheme="majorHAnsi"/>
          <w:sz w:val="22"/>
        </w:rPr>
      </w:pPr>
      <w:r w:rsidRPr="00190CE5">
        <w:rPr>
          <w:rFonts w:asciiTheme="majorHAnsi" w:eastAsia="Calibri" w:hAnsiTheme="majorHAnsi"/>
          <w:sz w:val="22"/>
        </w:rPr>
        <w:t>53</w:t>
      </w:r>
      <w:r w:rsidR="007445C3" w:rsidRPr="00190CE5">
        <w:rPr>
          <w:rFonts w:asciiTheme="majorHAnsi" w:eastAsia="Calibri" w:hAnsiTheme="majorHAnsi"/>
          <w:sz w:val="22"/>
        </w:rPr>
        <w:tab/>
        <w:t xml:space="preserve">Yang L, </w:t>
      </w:r>
      <w:proofErr w:type="spellStart"/>
      <w:r w:rsidR="007445C3" w:rsidRPr="00190CE5">
        <w:rPr>
          <w:rFonts w:asciiTheme="majorHAnsi" w:eastAsia="Calibri" w:hAnsiTheme="majorHAnsi"/>
          <w:sz w:val="22"/>
        </w:rPr>
        <w:t>Banada</w:t>
      </w:r>
      <w:proofErr w:type="spellEnd"/>
      <w:r w:rsidR="007445C3" w:rsidRPr="00190CE5">
        <w:rPr>
          <w:rFonts w:asciiTheme="majorHAnsi" w:eastAsia="Calibri" w:hAnsiTheme="majorHAnsi"/>
          <w:sz w:val="22"/>
        </w:rPr>
        <w:t xml:space="preserve"> </w:t>
      </w:r>
      <w:proofErr w:type="gramStart"/>
      <w:r w:rsidR="007445C3" w:rsidRPr="00190CE5">
        <w:rPr>
          <w:rFonts w:asciiTheme="majorHAnsi" w:eastAsia="Calibri" w:hAnsiTheme="majorHAnsi"/>
          <w:sz w:val="22"/>
        </w:rPr>
        <w:t xml:space="preserve">PP,  </w:t>
      </w:r>
      <w:proofErr w:type="spellStart"/>
      <w:r w:rsidR="007445C3" w:rsidRPr="00190CE5">
        <w:rPr>
          <w:rFonts w:asciiTheme="majorHAnsi" w:eastAsia="Calibri" w:hAnsiTheme="majorHAnsi"/>
          <w:sz w:val="22"/>
        </w:rPr>
        <w:t>Bhunia</w:t>
      </w:r>
      <w:proofErr w:type="spellEnd"/>
      <w:proofErr w:type="gramEnd"/>
      <w:r w:rsidR="007445C3" w:rsidRPr="00190CE5">
        <w:rPr>
          <w:rFonts w:asciiTheme="majorHAnsi" w:eastAsia="Calibri" w:hAnsiTheme="majorHAnsi"/>
          <w:sz w:val="22"/>
        </w:rPr>
        <w:t xml:space="preserve"> AK</w:t>
      </w:r>
      <w:r w:rsidR="00E4176D" w:rsidRPr="00190CE5">
        <w:rPr>
          <w:rFonts w:asciiTheme="majorHAnsi" w:eastAsia="Calibri" w:hAnsiTheme="majorHAnsi"/>
          <w:sz w:val="22"/>
        </w:rPr>
        <w:t xml:space="preserve"> &amp;</w:t>
      </w:r>
      <w:r w:rsidR="007445C3" w:rsidRPr="00190CE5">
        <w:rPr>
          <w:rFonts w:asciiTheme="majorHAnsi" w:eastAsia="Calibri" w:hAnsiTheme="majorHAnsi"/>
          <w:sz w:val="22"/>
        </w:rPr>
        <w:t xml:space="preserve"> Bashir</w:t>
      </w:r>
      <w:r w:rsidR="007445C3" w:rsidRPr="00190CE5">
        <w:rPr>
          <w:rFonts w:asciiTheme="majorHAnsi" w:eastAsia="Calibri" w:hAnsiTheme="majorHAnsi"/>
          <w:sz w:val="22"/>
          <w:vertAlign w:val="superscript"/>
        </w:rPr>
        <w:t xml:space="preserve"> </w:t>
      </w:r>
      <w:r w:rsidR="007445C3" w:rsidRPr="00190CE5">
        <w:rPr>
          <w:rFonts w:asciiTheme="majorHAnsi" w:eastAsia="Calibri" w:hAnsiTheme="majorHAnsi"/>
          <w:sz w:val="22"/>
        </w:rPr>
        <w:t>R.</w:t>
      </w:r>
      <w:r w:rsidR="00010396" w:rsidRPr="00190CE5">
        <w:t xml:space="preserve"> </w:t>
      </w:r>
      <w:r w:rsidR="00010396" w:rsidRPr="00190CE5">
        <w:rPr>
          <w:rFonts w:asciiTheme="majorHAnsi" w:eastAsia="Calibri" w:hAnsiTheme="majorHAnsi"/>
          <w:sz w:val="22"/>
        </w:rPr>
        <w:t>Effects of Dielectrophoresis on Growth, Viability and Immuno-reactivity of Listeria monocytogenes.</w:t>
      </w:r>
      <w:r w:rsidR="007445C3" w:rsidRPr="00190CE5">
        <w:rPr>
          <w:rFonts w:asciiTheme="majorHAnsi" w:eastAsia="Calibri" w:hAnsiTheme="majorHAnsi"/>
          <w:sz w:val="22"/>
        </w:rPr>
        <w:t xml:space="preserve">  </w:t>
      </w:r>
      <w:r w:rsidR="007445C3" w:rsidRPr="00190CE5">
        <w:rPr>
          <w:rFonts w:asciiTheme="majorHAnsi" w:eastAsia="Calibri" w:hAnsiTheme="majorHAnsi"/>
          <w:i/>
          <w:sz w:val="22"/>
        </w:rPr>
        <w:t xml:space="preserve">J </w:t>
      </w:r>
      <w:proofErr w:type="spellStart"/>
      <w:r w:rsidR="007445C3" w:rsidRPr="00190CE5">
        <w:rPr>
          <w:rFonts w:asciiTheme="majorHAnsi" w:eastAsia="Calibri" w:hAnsiTheme="majorHAnsi"/>
          <w:i/>
          <w:sz w:val="22"/>
        </w:rPr>
        <w:t>Biol</w:t>
      </w:r>
      <w:proofErr w:type="spellEnd"/>
      <w:r w:rsidR="007445C3" w:rsidRPr="00190CE5">
        <w:rPr>
          <w:rFonts w:asciiTheme="majorHAnsi" w:eastAsia="Calibri" w:hAnsiTheme="majorHAnsi"/>
          <w:i/>
          <w:sz w:val="22"/>
        </w:rPr>
        <w:t xml:space="preserve"> Eng</w:t>
      </w:r>
      <w:r w:rsidR="007445C3" w:rsidRPr="00190CE5">
        <w:rPr>
          <w:rFonts w:asciiTheme="majorHAnsi" w:eastAsia="Calibri" w:hAnsiTheme="majorHAnsi"/>
          <w:sz w:val="22"/>
        </w:rPr>
        <w:t xml:space="preserve">. </w:t>
      </w:r>
      <w:r w:rsidR="007445C3" w:rsidRPr="00190CE5">
        <w:rPr>
          <w:rFonts w:asciiTheme="majorHAnsi" w:eastAsia="Calibri" w:hAnsiTheme="majorHAnsi"/>
          <w:b/>
          <w:sz w:val="22"/>
        </w:rPr>
        <w:t>2</w:t>
      </w:r>
      <w:r w:rsidR="009D241D" w:rsidRPr="00190CE5">
        <w:rPr>
          <w:rFonts w:asciiTheme="majorHAnsi" w:eastAsia="Calibri" w:hAnsiTheme="majorHAnsi"/>
          <w:b/>
          <w:sz w:val="22"/>
        </w:rPr>
        <w:t>,</w:t>
      </w:r>
      <w:r w:rsidR="007445C3" w:rsidRPr="00190CE5">
        <w:rPr>
          <w:rFonts w:asciiTheme="majorHAnsi" w:eastAsia="Calibri" w:hAnsiTheme="majorHAnsi"/>
          <w:sz w:val="22"/>
        </w:rPr>
        <w:t xml:space="preserve"> 6</w:t>
      </w:r>
      <w:r w:rsidR="00E4176D" w:rsidRPr="00190CE5">
        <w:rPr>
          <w:rFonts w:asciiTheme="majorHAnsi" w:eastAsia="Calibri" w:hAnsiTheme="majorHAnsi"/>
          <w:sz w:val="22"/>
        </w:rPr>
        <w:t xml:space="preserve"> (2008)</w:t>
      </w:r>
      <w:r w:rsidR="007445C3" w:rsidRPr="00190CE5">
        <w:rPr>
          <w:rFonts w:asciiTheme="majorHAnsi" w:eastAsia="Calibri" w:hAnsiTheme="majorHAnsi"/>
          <w:sz w:val="22"/>
        </w:rPr>
        <w:t>.</w:t>
      </w:r>
    </w:p>
    <w:p w14:paraId="62E98BBA" w14:textId="369D5EA6" w:rsidR="00A05B8D" w:rsidRPr="00190CE5" w:rsidRDefault="00C44167" w:rsidP="00057754">
      <w:pPr>
        <w:pStyle w:val="NoSpacing"/>
        <w:spacing w:after="100" w:afterAutospacing="1" w:line="360" w:lineRule="auto"/>
        <w:ind w:left="851" w:hanging="851"/>
        <w:rPr>
          <w:rFonts w:asciiTheme="majorHAnsi" w:hAnsiTheme="majorHAnsi" w:cs="Calibri"/>
          <w:sz w:val="22"/>
        </w:rPr>
      </w:pPr>
      <w:r w:rsidRPr="00190CE5">
        <w:rPr>
          <w:rFonts w:asciiTheme="majorHAnsi" w:eastAsia="Calibri" w:hAnsiTheme="majorHAnsi" w:cs="Calibri"/>
          <w:noProof/>
          <w:sz w:val="22"/>
        </w:rPr>
        <w:t>54</w:t>
      </w:r>
      <w:r w:rsidR="00A05B8D" w:rsidRPr="00190CE5">
        <w:rPr>
          <w:rFonts w:asciiTheme="majorHAnsi" w:eastAsia="Calibri" w:hAnsiTheme="majorHAnsi" w:cs="Calibri"/>
          <w:noProof/>
          <w:sz w:val="22"/>
        </w:rPr>
        <w:tab/>
      </w:r>
      <w:r w:rsidR="00A05B8D" w:rsidRPr="00190CE5">
        <w:rPr>
          <w:rFonts w:asciiTheme="majorHAnsi" w:hAnsiTheme="majorHAnsi" w:cs="Calibri"/>
          <w:sz w:val="22"/>
        </w:rPr>
        <w:t>Kramer KM</w:t>
      </w:r>
      <w:r w:rsidR="00E4176D" w:rsidRPr="00190CE5">
        <w:rPr>
          <w:rFonts w:asciiTheme="majorHAnsi" w:hAnsiTheme="majorHAnsi" w:cs="Calibri"/>
          <w:sz w:val="22"/>
        </w:rPr>
        <w:t xml:space="preserve"> &amp;</w:t>
      </w:r>
      <w:r w:rsidR="00A05B8D" w:rsidRPr="00190CE5">
        <w:rPr>
          <w:rFonts w:asciiTheme="majorHAnsi" w:hAnsiTheme="majorHAnsi" w:cs="Calibri"/>
          <w:sz w:val="22"/>
        </w:rPr>
        <w:t xml:space="preserve"> Sothern RB.</w:t>
      </w:r>
      <w:r w:rsidR="00010396" w:rsidRPr="00190CE5">
        <w:rPr>
          <w:rFonts w:asciiTheme="majorHAnsi" w:hAnsiTheme="majorHAnsi" w:cs="Calibri"/>
          <w:sz w:val="22"/>
        </w:rPr>
        <w:t xml:space="preserve"> Circadian characteristics of corticosterone secretion in </w:t>
      </w:r>
      <w:proofErr w:type="spellStart"/>
      <w:r w:rsidR="00010396" w:rsidRPr="00190CE5">
        <w:rPr>
          <w:rFonts w:asciiTheme="majorHAnsi" w:hAnsiTheme="majorHAnsi" w:cs="Calibri"/>
          <w:sz w:val="22"/>
        </w:rPr>
        <w:t>redbacked</w:t>
      </w:r>
      <w:proofErr w:type="spellEnd"/>
      <w:r w:rsidR="00010396" w:rsidRPr="00190CE5">
        <w:rPr>
          <w:rFonts w:asciiTheme="majorHAnsi" w:hAnsiTheme="majorHAnsi" w:cs="Calibri"/>
          <w:sz w:val="22"/>
        </w:rPr>
        <w:t xml:space="preserve"> voles (</w:t>
      </w:r>
      <w:proofErr w:type="spellStart"/>
      <w:r w:rsidR="00010396" w:rsidRPr="00190CE5">
        <w:rPr>
          <w:rFonts w:asciiTheme="majorHAnsi" w:hAnsiTheme="majorHAnsi" w:cs="Calibri"/>
          <w:sz w:val="22"/>
        </w:rPr>
        <w:t>Clethrionomys</w:t>
      </w:r>
      <w:proofErr w:type="spellEnd"/>
      <w:r w:rsidR="00010396" w:rsidRPr="00190CE5">
        <w:rPr>
          <w:rFonts w:asciiTheme="majorHAnsi" w:hAnsiTheme="majorHAnsi" w:cs="Calibri"/>
          <w:sz w:val="22"/>
        </w:rPr>
        <w:t xml:space="preserve"> </w:t>
      </w:r>
      <w:proofErr w:type="spellStart"/>
      <w:r w:rsidR="00010396" w:rsidRPr="00190CE5">
        <w:rPr>
          <w:rFonts w:asciiTheme="majorHAnsi" w:hAnsiTheme="majorHAnsi" w:cs="Calibri"/>
          <w:sz w:val="22"/>
        </w:rPr>
        <w:t>gapperi</w:t>
      </w:r>
      <w:proofErr w:type="spellEnd"/>
      <w:r w:rsidR="00010396" w:rsidRPr="00190CE5">
        <w:rPr>
          <w:rFonts w:asciiTheme="majorHAnsi" w:hAnsiTheme="majorHAnsi" w:cs="Calibri"/>
          <w:sz w:val="22"/>
        </w:rPr>
        <w:t>).</w:t>
      </w:r>
      <w:r w:rsidR="00E4176D" w:rsidRPr="00190CE5">
        <w:rPr>
          <w:rFonts w:asciiTheme="majorHAnsi" w:hAnsiTheme="majorHAnsi" w:cs="Calibri"/>
          <w:sz w:val="22"/>
        </w:rPr>
        <w:t xml:space="preserve"> </w:t>
      </w:r>
      <w:proofErr w:type="spellStart"/>
      <w:r w:rsidR="00A05B8D" w:rsidRPr="00190CE5">
        <w:rPr>
          <w:rFonts w:asciiTheme="majorHAnsi" w:hAnsiTheme="majorHAnsi" w:cs="Calibri"/>
          <w:i/>
          <w:sz w:val="22"/>
        </w:rPr>
        <w:t>Chronobiol</w:t>
      </w:r>
      <w:proofErr w:type="spellEnd"/>
      <w:r w:rsidR="00A05B8D" w:rsidRPr="00190CE5">
        <w:rPr>
          <w:rFonts w:asciiTheme="majorHAnsi" w:hAnsiTheme="majorHAnsi" w:cs="Calibri"/>
          <w:i/>
          <w:sz w:val="22"/>
        </w:rPr>
        <w:t>. Int</w:t>
      </w:r>
      <w:r w:rsidR="00A05B8D" w:rsidRPr="00190CE5">
        <w:rPr>
          <w:rFonts w:asciiTheme="majorHAnsi" w:hAnsiTheme="majorHAnsi" w:cs="Calibri"/>
          <w:sz w:val="22"/>
        </w:rPr>
        <w:t xml:space="preserve">. </w:t>
      </w:r>
      <w:r w:rsidR="00A05B8D" w:rsidRPr="00190CE5">
        <w:rPr>
          <w:rFonts w:asciiTheme="majorHAnsi" w:hAnsiTheme="majorHAnsi" w:cs="Calibri"/>
          <w:b/>
          <w:sz w:val="22"/>
        </w:rPr>
        <w:t>18</w:t>
      </w:r>
      <w:r w:rsidR="00A05B8D" w:rsidRPr="00190CE5">
        <w:rPr>
          <w:rFonts w:asciiTheme="majorHAnsi" w:hAnsiTheme="majorHAnsi" w:cs="Calibri"/>
          <w:sz w:val="22"/>
        </w:rPr>
        <w:t>, 933-945</w:t>
      </w:r>
      <w:r w:rsidR="00E4176D" w:rsidRPr="00190CE5">
        <w:rPr>
          <w:rFonts w:asciiTheme="majorHAnsi" w:hAnsiTheme="majorHAnsi" w:cs="Calibri"/>
          <w:sz w:val="22"/>
        </w:rPr>
        <w:t xml:space="preserve"> (2001)</w:t>
      </w:r>
      <w:r w:rsidR="00A05B8D" w:rsidRPr="00190CE5">
        <w:rPr>
          <w:rFonts w:asciiTheme="majorHAnsi" w:hAnsiTheme="majorHAnsi" w:cs="Calibri"/>
          <w:sz w:val="22"/>
        </w:rPr>
        <w:t xml:space="preserve">. </w:t>
      </w:r>
    </w:p>
    <w:p w14:paraId="1DC09803" w14:textId="4C9C086B" w:rsidR="00F23783" w:rsidRPr="00190CE5" w:rsidRDefault="00C44167" w:rsidP="00057754">
      <w:pPr>
        <w:spacing w:after="100" w:afterAutospacing="1"/>
        <w:ind w:left="851" w:hanging="851"/>
        <w:rPr>
          <w:rFonts w:asciiTheme="majorHAnsi" w:eastAsia="Calibri" w:hAnsiTheme="majorHAnsi" w:cs="Times New Roman"/>
          <w:sz w:val="22"/>
        </w:rPr>
      </w:pPr>
      <w:r w:rsidRPr="00190CE5">
        <w:rPr>
          <w:rFonts w:asciiTheme="majorHAnsi" w:eastAsia="Calibri" w:hAnsiTheme="majorHAnsi" w:cs="Calibri"/>
          <w:noProof/>
          <w:sz w:val="22"/>
        </w:rPr>
        <w:t>55</w:t>
      </w:r>
      <w:r w:rsidR="00F23783" w:rsidRPr="00190CE5">
        <w:rPr>
          <w:rFonts w:asciiTheme="majorHAnsi" w:eastAsia="Calibri" w:hAnsiTheme="majorHAnsi" w:cs="Calibri"/>
          <w:noProof/>
          <w:sz w:val="22"/>
        </w:rPr>
        <w:tab/>
      </w:r>
      <w:r w:rsidR="00F23783" w:rsidRPr="00190CE5">
        <w:rPr>
          <w:rFonts w:asciiTheme="majorHAnsi" w:eastAsia="Calibri" w:hAnsiTheme="majorHAnsi" w:cs="Times New Roman"/>
          <w:sz w:val="22"/>
        </w:rPr>
        <w:t xml:space="preserve">Hughey JJ </w:t>
      </w:r>
      <w:r w:rsidR="00E4176D" w:rsidRPr="00190CE5">
        <w:rPr>
          <w:rFonts w:asciiTheme="majorHAnsi" w:eastAsia="Calibri" w:hAnsiTheme="majorHAnsi" w:cs="Times New Roman"/>
          <w:sz w:val="22"/>
        </w:rPr>
        <w:t>&amp;</w:t>
      </w:r>
      <w:r w:rsidR="00F23783" w:rsidRPr="00190CE5">
        <w:rPr>
          <w:rFonts w:asciiTheme="majorHAnsi" w:eastAsia="Calibri" w:hAnsiTheme="majorHAnsi" w:cs="Times New Roman"/>
          <w:sz w:val="22"/>
        </w:rPr>
        <w:t>Butte AJ.</w:t>
      </w:r>
      <w:r w:rsidR="00010396" w:rsidRPr="00190CE5">
        <w:t xml:space="preserve"> </w:t>
      </w:r>
      <w:r w:rsidR="00010396" w:rsidRPr="00190CE5">
        <w:rPr>
          <w:rFonts w:asciiTheme="majorHAnsi" w:eastAsia="Calibri" w:hAnsiTheme="majorHAnsi" w:cs="Times New Roman"/>
          <w:sz w:val="22"/>
        </w:rPr>
        <w:t>Differential Phasing between Circadian Clocks in the Brain and Peripheral Organs in Humans.</w:t>
      </w:r>
      <w:r w:rsidR="00F23783" w:rsidRPr="00190CE5">
        <w:rPr>
          <w:rFonts w:asciiTheme="majorHAnsi" w:eastAsia="Calibri" w:hAnsiTheme="majorHAnsi" w:cs="Times New Roman"/>
          <w:sz w:val="22"/>
        </w:rPr>
        <w:t xml:space="preserve"> </w:t>
      </w:r>
      <w:r w:rsidR="00F23783" w:rsidRPr="00190CE5">
        <w:rPr>
          <w:rFonts w:asciiTheme="majorHAnsi" w:eastAsia="Calibri" w:hAnsiTheme="majorHAnsi" w:cs="Times New Roman"/>
          <w:i/>
          <w:sz w:val="22"/>
        </w:rPr>
        <w:t>J. Biol. Rhythm</w:t>
      </w:r>
      <w:r w:rsidR="00F23783" w:rsidRPr="00190CE5">
        <w:rPr>
          <w:rFonts w:asciiTheme="majorHAnsi" w:eastAsia="Calibri" w:hAnsiTheme="majorHAnsi" w:cs="Times New Roman"/>
          <w:sz w:val="22"/>
        </w:rPr>
        <w:t xml:space="preserve">. </w:t>
      </w:r>
      <w:r w:rsidR="00F23783" w:rsidRPr="00190CE5">
        <w:rPr>
          <w:rFonts w:asciiTheme="majorHAnsi" w:eastAsia="Calibri" w:hAnsiTheme="majorHAnsi" w:cs="Times New Roman"/>
          <w:b/>
          <w:sz w:val="22"/>
        </w:rPr>
        <w:t>31</w:t>
      </w:r>
      <w:r w:rsidR="00F23783" w:rsidRPr="00190CE5">
        <w:rPr>
          <w:rFonts w:asciiTheme="majorHAnsi" w:eastAsia="Calibri" w:hAnsiTheme="majorHAnsi" w:cs="Times New Roman"/>
          <w:sz w:val="22"/>
        </w:rPr>
        <w:t>, 588-597</w:t>
      </w:r>
      <w:r w:rsidR="00E4176D" w:rsidRPr="00190CE5">
        <w:rPr>
          <w:rFonts w:asciiTheme="majorHAnsi" w:eastAsia="Calibri" w:hAnsiTheme="majorHAnsi" w:cs="Times New Roman"/>
          <w:sz w:val="22"/>
        </w:rPr>
        <w:t xml:space="preserve"> (2016)</w:t>
      </w:r>
      <w:r w:rsidR="00F23783" w:rsidRPr="00190CE5">
        <w:rPr>
          <w:rFonts w:asciiTheme="majorHAnsi" w:eastAsia="Calibri" w:hAnsiTheme="majorHAnsi" w:cs="Times New Roman"/>
          <w:sz w:val="22"/>
        </w:rPr>
        <w:t>.</w:t>
      </w:r>
    </w:p>
    <w:p w14:paraId="6699E39B" w14:textId="600DDB81" w:rsidR="00595688" w:rsidRPr="00190CE5" w:rsidRDefault="00C44167" w:rsidP="00595688">
      <w:pPr>
        <w:shd w:val="clear" w:color="auto" w:fill="FFFFFF"/>
        <w:spacing w:after="100" w:afterAutospacing="1"/>
        <w:ind w:left="851" w:hanging="851"/>
        <w:rPr>
          <w:rFonts w:asciiTheme="majorHAnsi" w:hAnsiTheme="majorHAnsi" w:cs="Arial"/>
          <w:sz w:val="22"/>
          <w:shd w:val="clear" w:color="auto" w:fill="FFFFFF"/>
        </w:rPr>
      </w:pPr>
      <w:r w:rsidRPr="00190CE5">
        <w:rPr>
          <w:rFonts w:asciiTheme="majorHAnsi" w:hAnsiTheme="majorHAnsi"/>
          <w:sz w:val="22"/>
        </w:rPr>
        <w:t>56</w:t>
      </w:r>
      <w:r w:rsidR="00595688" w:rsidRPr="00190CE5">
        <w:rPr>
          <w:rFonts w:asciiTheme="majorHAnsi" w:hAnsiTheme="majorHAnsi"/>
          <w:sz w:val="22"/>
        </w:rPr>
        <w:tab/>
        <w:t xml:space="preserve">O'Neill JS &amp; Reddy AB. Circadian clocks in human red blood cells. </w:t>
      </w:r>
      <w:r w:rsidR="00595688" w:rsidRPr="00190CE5">
        <w:rPr>
          <w:rFonts w:asciiTheme="majorHAnsi" w:hAnsiTheme="majorHAnsi"/>
          <w:i/>
          <w:sz w:val="22"/>
        </w:rPr>
        <w:t>Nature</w:t>
      </w:r>
      <w:r w:rsidR="00595688" w:rsidRPr="00190CE5">
        <w:rPr>
          <w:rFonts w:asciiTheme="majorHAnsi" w:hAnsiTheme="majorHAnsi"/>
          <w:sz w:val="22"/>
        </w:rPr>
        <w:t xml:space="preserve"> </w:t>
      </w:r>
      <w:r w:rsidR="00595688" w:rsidRPr="00190CE5">
        <w:rPr>
          <w:rFonts w:asciiTheme="majorHAnsi" w:hAnsiTheme="majorHAnsi" w:cs="Arial"/>
          <w:b/>
          <w:sz w:val="22"/>
          <w:shd w:val="clear" w:color="auto" w:fill="FFFFFF"/>
        </w:rPr>
        <w:t>469</w:t>
      </w:r>
      <w:r w:rsidR="00595688" w:rsidRPr="00190CE5">
        <w:rPr>
          <w:rFonts w:asciiTheme="majorHAnsi" w:hAnsiTheme="majorHAnsi" w:cs="Arial"/>
          <w:sz w:val="22"/>
          <w:shd w:val="clear" w:color="auto" w:fill="FFFFFF"/>
        </w:rPr>
        <w:t>, 498-50 (</w:t>
      </w:r>
      <w:r w:rsidR="00595688" w:rsidRPr="00190CE5">
        <w:rPr>
          <w:rFonts w:asciiTheme="majorHAnsi" w:hAnsiTheme="majorHAnsi"/>
          <w:sz w:val="22"/>
        </w:rPr>
        <w:t>2011</w:t>
      </w:r>
      <w:r w:rsidR="00595688" w:rsidRPr="00190CE5">
        <w:rPr>
          <w:rFonts w:asciiTheme="majorHAnsi" w:hAnsiTheme="majorHAnsi" w:cs="Arial"/>
          <w:sz w:val="22"/>
          <w:shd w:val="clear" w:color="auto" w:fill="FFFFFF"/>
        </w:rPr>
        <w:t>).</w:t>
      </w:r>
    </w:p>
    <w:p w14:paraId="03A86254" w14:textId="57D92B40" w:rsidR="008813FE" w:rsidRPr="00190CE5" w:rsidRDefault="008813FE" w:rsidP="00595688">
      <w:pPr>
        <w:spacing w:after="100" w:afterAutospacing="1"/>
        <w:ind w:left="851" w:hanging="851"/>
        <w:rPr>
          <w:rFonts w:asciiTheme="majorHAnsi" w:hAnsiTheme="majorHAnsi" w:cs="Segoe UI"/>
          <w:sz w:val="22"/>
          <w:shd w:val="clear" w:color="auto" w:fill="FFFFFF"/>
        </w:rPr>
      </w:pPr>
    </w:p>
    <w:p w14:paraId="25B3603B" w14:textId="77777777" w:rsidR="00595688" w:rsidRPr="00190CE5" w:rsidRDefault="00595688" w:rsidP="00057754">
      <w:pPr>
        <w:spacing w:after="100" w:afterAutospacing="1"/>
        <w:ind w:left="851" w:hanging="851"/>
        <w:rPr>
          <w:rFonts w:asciiTheme="majorHAnsi" w:eastAsia="Calibri" w:hAnsiTheme="majorHAnsi" w:cs="Times New Roman"/>
          <w:sz w:val="22"/>
        </w:rPr>
      </w:pPr>
    </w:p>
    <w:p w14:paraId="49D0EB47" w14:textId="77777777" w:rsidR="00F645EF" w:rsidRPr="00190CE5" w:rsidRDefault="00F645EF">
      <w:pPr>
        <w:spacing w:line="276" w:lineRule="auto"/>
        <w:jc w:val="left"/>
        <w:rPr>
          <w:rFonts w:asciiTheme="majorHAnsi" w:hAnsiTheme="majorHAnsi"/>
          <w:b/>
          <w:sz w:val="22"/>
        </w:rPr>
      </w:pPr>
      <w:bookmarkStart w:id="2" w:name="_Ref355783305"/>
      <w:r w:rsidRPr="00190CE5">
        <w:rPr>
          <w:rFonts w:asciiTheme="majorHAnsi" w:hAnsiTheme="majorHAnsi"/>
          <w:b/>
          <w:sz w:val="22"/>
        </w:rPr>
        <w:br w:type="page"/>
      </w:r>
    </w:p>
    <w:p w14:paraId="4DBD6088" w14:textId="1AA25393" w:rsidR="00EC3C4D" w:rsidRPr="00190CE5" w:rsidRDefault="00EC3C4D" w:rsidP="00702123">
      <w:pPr>
        <w:rPr>
          <w:rFonts w:asciiTheme="majorHAnsi" w:hAnsiTheme="majorHAnsi"/>
          <w:b/>
          <w:sz w:val="32"/>
          <w:szCs w:val="32"/>
        </w:rPr>
      </w:pPr>
      <w:r w:rsidRPr="00190CE5">
        <w:rPr>
          <w:rFonts w:asciiTheme="majorHAnsi" w:hAnsiTheme="majorHAnsi"/>
          <w:b/>
          <w:sz w:val="32"/>
          <w:szCs w:val="32"/>
        </w:rPr>
        <w:lastRenderedPageBreak/>
        <w:t>FIGURE AND TABLE LEGENDS</w:t>
      </w:r>
    </w:p>
    <w:p w14:paraId="606CF6DB" w14:textId="1ECD4214" w:rsidR="00EC3C4D" w:rsidRPr="00190CE5" w:rsidRDefault="00EC3C4D" w:rsidP="00702123">
      <w:pPr>
        <w:rPr>
          <w:rFonts w:asciiTheme="majorHAnsi" w:hAnsiTheme="majorHAnsi"/>
          <w:b/>
          <w:sz w:val="22"/>
        </w:rPr>
      </w:pPr>
      <w:r w:rsidRPr="00190CE5">
        <w:rPr>
          <w:rFonts w:asciiTheme="majorHAnsi" w:hAnsiTheme="majorHAnsi"/>
          <w:b/>
          <w:sz w:val="22"/>
        </w:rPr>
        <w:t>FIGURE LEGENDS</w:t>
      </w:r>
    </w:p>
    <w:p w14:paraId="084E4835" w14:textId="0036B4A9" w:rsidR="00B71F88" w:rsidRPr="00190CE5" w:rsidRDefault="00086C5B" w:rsidP="00702123">
      <w:pPr>
        <w:rPr>
          <w:rFonts w:asciiTheme="majorHAnsi" w:hAnsiTheme="majorHAnsi"/>
          <w:sz w:val="22"/>
        </w:rPr>
      </w:pPr>
      <w:r w:rsidRPr="00190CE5">
        <w:rPr>
          <w:rFonts w:asciiTheme="majorHAnsi" w:hAnsiTheme="majorHAnsi"/>
          <w:b/>
          <w:sz w:val="22"/>
        </w:rPr>
        <w:t>Figure 1</w:t>
      </w:r>
      <w:r w:rsidRPr="00190CE5">
        <w:rPr>
          <w:rFonts w:asciiTheme="majorHAnsi" w:hAnsiTheme="majorHAnsi"/>
          <w:sz w:val="22"/>
        </w:rPr>
        <w:t xml:space="preserve">. </w:t>
      </w:r>
      <w:r w:rsidR="007D7E12" w:rsidRPr="00190CE5">
        <w:rPr>
          <w:rFonts w:asciiTheme="majorHAnsi" w:hAnsiTheme="majorHAnsi"/>
          <w:sz w:val="22"/>
        </w:rPr>
        <w:t xml:space="preserve">The 3DEP system </w:t>
      </w:r>
      <w:r w:rsidR="000F2E12" w:rsidRPr="00190CE5">
        <w:rPr>
          <w:rFonts w:asciiTheme="majorHAnsi" w:hAnsiTheme="majorHAnsi"/>
          <w:sz w:val="22"/>
        </w:rPr>
        <w:t>comprises two components, a chi</w:t>
      </w:r>
      <w:r w:rsidR="005211D1" w:rsidRPr="00190CE5">
        <w:rPr>
          <w:rFonts w:asciiTheme="majorHAnsi" w:hAnsiTheme="majorHAnsi"/>
          <w:sz w:val="22"/>
        </w:rPr>
        <w:t>p</w:t>
      </w:r>
      <w:r w:rsidR="000F2E12" w:rsidRPr="00190CE5">
        <w:rPr>
          <w:rFonts w:asciiTheme="majorHAnsi" w:hAnsiTheme="majorHAnsi"/>
          <w:sz w:val="22"/>
        </w:rPr>
        <w:t xml:space="preserve"> (a) </w:t>
      </w:r>
      <w:r w:rsidR="00274C96" w:rsidRPr="00190CE5">
        <w:rPr>
          <w:rFonts w:asciiTheme="majorHAnsi" w:hAnsiTheme="majorHAnsi"/>
          <w:sz w:val="22"/>
        </w:rPr>
        <w:t>which</w:t>
      </w:r>
      <w:r w:rsidR="00FB326F" w:rsidRPr="00190CE5">
        <w:rPr>
          <w:rFonts w:asciiTheme="majorHAnsi" w:hAnsiTheme="majorHAnsi"/>
          <w:sz w:val="22"/>
        </w:rPr>
        <w:t xml:space="preserve"> is</w:t>
      </w:r>
      <w:r w:rsidR="00274C96" w:rsidRPr="00190CE5">
        <w:rPr>
          <w:rFonts w:asciiTheme="majorHAnsi" w:hAnsiTheme="majorHAnsi"/>
          <w:sz w:val="22"/>
        </w:rPr>
        <w:t xml:space="preserve"> inserted into an </w:t>
      </w:r>
      <w:r w:rsidR="00064538" w:rsidRPr="00190CE5">
        <w:rPr>
          <w:rFonts w:asciiTheme="majorHAnsi" w:hAnsiTheme="majorHAnsi"/>
          <w:sz w:val="22"/>
        </w:rPr>
        <w:t xml:space="preserve">instrument </w:t>
      </w:r>
      <w:r w:rsidR="000F2E12" w:rsidRPr="00190CE5">
        <w:rPr>
          <w:rFonts w:asciiTheme="majorHAnsi" w:hAnsiTheme="majorHAnsi"/>
          <w:sz w:val="22"/>
        </w:rPr>
        <w:t>unit</w:t>
      </w:r>
      <w:r w:rsidR="007D0ABE" w:rsidRPr="00190CE5">
        <w:rPr>
          <w:rFonts w:asciiTheme="majorHAnsi" w:hAnsiTheme="majorHAnsi"/>
          <w:sz w:val="22"/>
        </w:rPr>
        <w:t>. The chip measures approximately 20x30</w:t>
      </w:r>
      <w:r w:rsidR="00DD7D93" w:rsidRPr="00190CE5">
        <w:rPr>
          <w:rFonts w:asciiTheme="majorHAnsi" w:hAnsiTheme="majorHAnsi"/>
          <w:sz w:val="22"/>
        </w:rPr>
        <w:t xml:space="preserve"> </w:t>
      </w:r>
      <w:r w:rsidR="007D0ABE" w:rsidRPr="00190CE5">
        <w:rPr>
          <w:rFonts w:asciiTheme="majorHAnsi" w:hAnsiTheme="majorHAnsi"/>
          <w:sz w:val="22"/>
        </w:rPr>
        <w:t>mm.</w:t>
      </w:r>
      <w:r w:rsidR="000F2E12" w:rsidRPr="00190CE5">
        <w:rPr>
          <w:rFonts w:asciiTheme="majorHAnsi" w:hAnsiTheme="majorHAnsi"/>
          <w:sz w:val="22"/>
        </w:rPr>
        <w:t xml:space="preserve"> </w:t>
      </w:r>
      <w:r w:rsidR="00B71F88" w:rsidRPr="00190CE5">
        <w:rPr>
          <w:rFonts w:asciiTheme="majorHAnsi" w:hAnsiTheme="majorHAnsi"/>
          <w:sz w:val="22"/>
        </w:rPr>
        <w:t>(b)</w:t>
      </w:r>
      <w:r w:rsidR="00274C96" w:rsidRPr="00190CE5">
        <w:rPr>
          <w:rFonts w:asciiTheme="majorHAnsi" w:hAnsiTheme="majorHAnsi"/>
          <w:sz w:val="22"/>
        </w:rPr>
        <w:t>, shown here with door closed (left) and open to show the optical path and chip (right)</w:t>
      </w:r>
      <w:r w:rsidR="000F2E12" w:rsidRPr="00190CE5">
        <w:rPr>
          <w:rFonts w:asciiTheme="majorHAnsi" w:hAnsiTheme="majorHAnsi"/>
          <w:sz w:val="22"/>
        </w:rPr>
        <w:t>. The chip contains 20 well</w:t>
      </w:r>
      <w:r w:rsidR="00050848" w:rsidRPr="00190CE5">
        <w:rPr>
          <w:rFonts w:asciiTheme="majorHAnsi" w:hAnsiTheme="majorHAnsi"/>
          <w:sz w:val="22"/>
        </w:rPr>
        <w:t>s, transparent along their central axis</w:t>
      </w:r>
      <w:r w:rsidR="000F2E12" w:rsidRPr="00190CE5">
        <w:rPr>
          <w:rFonts w:asciiTheme="majorHAnsi" w:hAnsiTheme="majorHAnsi"/>
          <w:sz w:val="22"/>
        </w:rPr>
        <w:t xml:space="preserve"> </w:t>
      </w:r>
      <w:r w:rsidR="00050848" w:rsidRPr="00190CE5">
        <w:rPr>
          <w:rFonts w:asciiTheme="majorHAnsi" w:hAnsiTheme="majorHAnsi"/>
          <w:sz w:val="22"/>
        </w:rPr>
        <w:t>and</w:t>
      </w:r>
      <w:r w:rsidR="00497F3B" w:rsidRPr="00190CE5">
        <w:rPr>
          <w:rFonts w:asciiTheme="majorHAnsi" w:hAnsiTheme="majorHAnsi"/>
          <w:sz w:val="22"/>
        </w:rPr>
        <w:t xml:space="preserve"> </w:t>
      </w:r>
      <w:r w:rsidR="000F2E12" w:rsidRPr="00190CE5">
        <w:rPr>
          <w:rFonts w:asciiTheme="majorHAnsi" w:hAnsiTheme="majorHAnsi"/>
          <w:sz w:val="22"/>
        </w:rPr>
        <w:t xml:space="preserve">joined by a gasket on the underside to allow all 20 wells to be filled simultaneously.  </w:t>
      </w:r>
      <w:r w:rsidR="00B71F88" w:rsidRPr="00190CE5">
        <w:rPr>
          <w:rFonts w:asciiTheme="majorHAnsi" w:hAnsiTheme="majorHAnsi"/>
          <w:sz w:val="22"/>
        </w:rPr>
        <w:t>When inserted in the instrument, e</w:t>
      </w:r>
      <w:r w:rsidR="000F2E12" w:rsidRPr="00190CE5">
        <w:rPr>
          <w:rFonts w:asciiTheme="majorHAnsi" w:hAnsiTheme="majorHAnsi"/>
          <w:sz w:val="22"/>
        </w:rPr>
        <w:t xml:space="preserve">ach </w:t>
      </w:r>
      <w:r w:rsidR="005211D1" w:rsidRPr="00190CE5">
        <w:rPr>
          <w:rFonts w:asciiTheme="majorHAnsi" w:hAnsiTheme="majorHAnsi"/>
          <w:sz w:val="22"/>
        </w:rPr>
        <w:t xml:space="preserve">well is </w:t>
      </w:r>
      <w:r w:rsidR="00345732" w:rsidRPr="00190CE5">
        <w:rPr>
          <w:rFonts w:asciiTheme="majorHAnsi" w:hAnsiTheme="majorHAnsi"/>
          <w:sz w:val="22"/>
        </w:rPr>
        <w:t>connected to a signal generator providing up to 20</w:t>
      </w:r>
      <w:r w:rsidR="008E17FC" w:rsidRPr="00190CE5">
        <w:rPr>
          <w:rFonts w:asciiTheme="majorHAnsi" w:hAnsiTheme="majorHAnsi"/>
          <w:sz w:val="22"/>
        </w:rPr>
        <w:t xml:space="preserve"> </w:t>
      </w:r>
      <w:proofErr w:type="spellStart"/>
      <w:r w:rsidR="00345732" w:rsidRPr="00190CE5">
        <w:rPr>
          <w:rFonts w:asciiTheme="majorHAnsi" w:hAnsiTheme="majorHAnsi"/>
          <w:sz w:val="22"/>
        </w:rPr>
        <w:t>V</w:t>
      </w:r>
      <w:r w:rsidR="00345732" w:rsidRPr="00190CE5">
        <w:rPr>
          <w:rFonts w:asciiTheme="majorHAnsi" w:hAnsiTheme="majorHAnsi"/>
          <w:sz w:val="22"/>
          <w:vertAlign w:val="subscript"/>
        </w:rPr>
        <w:t>pp</w:t>
      </w:r>
      <w:proofErr w:type="spellEnd"/>
      <w:r w:rsidR="00345732" w:rsidRPr="00190CE5">
        <w:rPr>
          <w:rFonts w:asciiTheme="majorHAnsi" w:hAnsiTheme="majorHAnsi"/>
          <w:sz w:val="22"/>
        </w:rPr>
        <w:t xml:space="preserve"> and </w:t>
      </w:r>
      <w:r w:rsidR="00DD7D93" w:rsidRPr="00190CE5">
        <w:rPr>
          <w:rFonts w:asciiTheme="majorHAnsi" w:hAnsiTheme="majorHAnsi"/>
          <w:sz w:val="22"/>
        </w:rPr>
        <w:t xml:space="preserve">as high as </w:t>
      </w:r>
      <w:r w:rsidR="00345732" w:rsidRPr="00190CE5">
        <w:rPr>
          <w:rFonts w:asciiTheme="majorHAnsi" w:hAnsiTheme="majorHAnsi"/>
          <w:sz w:val="22"/>
        </w:rPr>
        <w:t>45</w:t>
      </w:r>
      <w:r w:rsidR="008E17FC" w:rsidRPr="00190CE5">
        <w:rPr>
          <w:rFonts w:asciiTheme="majorHAnsi" w:hAnsiTheme="majorHAnsi"/>
          <w:sz w:val="22"/>
        </w:rPr>
        <w:t xml:space="preserve"> </w:t>
      </w:r>
      <w:r w:rsidR="00345732" w:rsidRPr="00190CE5">
        <w:rPr>
          <w:rFonts w:asciiTheme="majorHAnsi" w:hAnsiTheme="majorHAnsi"/>
          <w:sz w:val="22"/>
        </w:rPr>
        <w:t>MHz; with all 20 wells energised with different frequencies a spectrum can be obtained in ten seconds</w:t>
      </w:r>
      <w:r w:rsidR="00B71F88" w:rsidRPr="00190CE5">
        <w:rPr>
          <w:rFonts w:asciiTheme="majorHAnsi" w:hAnsiTheme="majorHAnsi"/>
          <w:sz w:val="22"/>
        </w:rPr>
        <w:t>.  The instrument also contains control circuitry and an optical system for data acquisition.</w:t>
      </w:r>
    </w:p>
    <w:p w14:paraId="55158316" w14:textId="29BFB909" w:rsidR="00D55638" w:rsidRPr="00190CE5" w:rsidRDefault="00B71F88" w:rsidP="002824C2">
      <w:pPr>
        <w:rPr>
          <w:rFonts w:asciiTheme="majorHAnsi" w:hAnsiTheme="majorHAnsi"/>
          <w:sz w:val="22"/>
        </w:rPr>
      </w:pPr>
      <w:r w:rsidRPr="00190CE5">
        <w:rPr>
          <w:rFonts w:asciiTheme="majorHAnsi" w:hAnsiTheme="majorHAnsi"/>
          <w:b/>
          <w:sz w:val="22"/>
        </w:rPr>
        <w:t>Figure 2</w:t>
      </w:r>
      <w:r w:rsidRPr="00190CE5">
        <w:rPr>
          <w:rFonts w:asciiTheme="majorHAnsi" w:hAnsiTheme="majorHAnsi"/>
          <w:sz w:val="22"/>
        </w:rPr>
        <w:t xml:space="preserve">. Data acquisition sequence.  An image of the chip </w:t>
      </w:r>
      <w:r w:rsidR="009A2B6B" w:rsidRPr="00190CE5">
        <w:rPr>
          <w:rFonts w:asciiTheme="majorHAnsi" w:hAnsiTheme="majorHAnsi"/>
          <w:sz w:val="22"/>
        </w:rPr>
        <w:t xml:space="preserve">is taken </w:t>
      </w:r>
      <w:r w:rsidRPr="00190CE5">
        <w:rPr>
          <w:rFonts w:asciiTheme="majorHAnsi" w:hAnsiTheme="majorHAnsi"/>
          <w:sz w:val="22"/>
        </w:rPr>
        <w:t>every second, beginning the instant before the chip is energised.  Image (a) shows a chip loaded with red blood cells, 10 seconds after the field is applied</w:t>
      </w:r>
      <w:r w:rsidR="002F6B20" w:rsidRPr="00190CE5">
        <w:rPr>
          <w:rFonts w:asciiTheme="majorHAnsi" w:hAnsiTheme="majorHAnsi"/>
          <w:sz w:val="22"/>
        </w:rPr>
        <w:t>; frequency increases left-to-right along each row, and from top row to bottom row</w:t>
      </w:r>
      <w:r w:rsidRPr="00190CE5">
        <w:rPr>
          <w:rFonts w:asciiTheme="majorHAnsi" w:hAnsiTheme="majorHAnsi"/>
          <w:sz w:val="22"/>
        </w:rPr>
        <w:t>.  C</w:t>
      </w:r>
      <w:r w:rsidR="00345732" w:rsidRPr="00190CE5">
        <w:rPr>
          <w:rFonts w:asciiTheme="majorHAnsi" w:hAnsiTheme="majorHAnsi"/>
          <w:sz w:val="22"/>
        </w:rPr>
        <w:t xml:space="preserve">ells move towards or away from </w:t>
      </w:r>
      <w:r w:rsidR="005211D1" w:rsidRPr="00190CE5">
        <w:rPr>
          <w:rFonts w:asciiTheme="majorHAnsi" w:hAnsiTheme="majorHAnsi"/>
          <w:sz w:val="22"/>
        </w:rPr>
        <w:t xml:space="preserve">the electrodes at the </w:t>
      </w:r>
      <w:r w:rsidR="00345732" w:rsidRPr="00190CE5">
        <w:rPr>
          <w:rFonts w:asciiTheme="majorHAnsi" w:hAnsiTheme="majorHAnsi"/>
          <w:sz w:val="22"/>
        </w:rPr>
        <w:t xml:space="preserve">well </w:t>
      </w:r>
      <w:r w:rsidR="005211D1" w:rsidRPr="00190CE5">
        <w:rPr>
          <w:rFonts w:asciiTheme="majorHAnsi" w:hAnsiTheme="majorHAnsi"/>
          <w:sz w:val="22"/>
        </w:rPr>
        <w:t>wall</w:t>
      </w:r>
      <w:r w:rsidR="00345732" w:rsidRPr="00190CE5">
        <w:rPr>
          <w:rFonts w:asciiTheme="majorHAnsi" w:hAnsiTheme="majorHAnsi"/>
          <w:sz w:val="22"/>
        </w:rPr>
        <w:t>s</w:t>
      </w:r>
      <w:r w:rsidR="005211D1" w:rsidRPr="00190CE5">
        <w:rPr>
          <w:rFonts w:asciiTheme="majorHAnsi" w:hAnsiTheme="majorHAnsi"/>
          <w:sz w:val="22"/>
        </w:rPr>
        <w:t>, termed positive</w:t>
      </w:r>
      <w:r w:rsidRPr="00190CE5">
        <w:rPr>
          <w:rFonts w:asciiTheme="majorHAnsi" w:hAnsiTheme="majorHAnsi"/>
          <w:sz w:val="22"/>
        </w:rPr>
        <w:t xml:space="preserve"> and negative DEP respectively, as </w:t>
      </w:r>
      <w:r w:rsidR="002F6B20" w:rsidRPr="00190CE5">
        <w:rPr>
          <w:rFonts w:asciiTheme="majorHAnsi" w:hAnsiTheme="majorHAnsi"/>
          <w:sz w:val="22"/>
        </w:rPr>
        <w:t xml:space="preserve">seen in the </w:t>
      </w:r>
      <w:r w:rsidR="00B74FA7" w:rsidRPr="00190CE5">
        <w:rPr>
          <w:rFonts w:asciiTheme="majorHAnsi" w:hAnsiTheme="majorHAnsi"/>
          <w:sz w:val="22"/>
        </w:rPr>
        <w:t xml:space="preserve">left </w:t>
      </w:r>
      <w:r w:rsidR="002F6B20" w:rsidRPr="00190CE5">
        <w:rPr>
          <w:rFonts w:asciiTheme="majorHAnsi" w:hAnsiTheme="majorHAnsi"/>
          <w:sz w:val="22"/>
        </w:rPr>
        <w:t xml:space="preserve">and </w:t>
      </w:r>
      <w:r w:rsidR="00B74FA7" w:rsidRPr="00190CE5">
        <w:rPr>
          <w:rFonts w:asciiTheme="majorHAnsi" w:hAnsiTheme="majorHAnsi"/>
          <w:sz w:val="22"/>
        </w:rPr>
        <w:t>right</w:t>
      </w:r>
      <w:r w:rsidR="002F6B20" w:rsidRPr="00190CE5">
        <w:rPr>
          <w:rFonts w:asciiTheme="majorHAnsi" w:hAnsiTheme="majorHAnsi"/>
          <w:sz w:val="22"/>
        </w:rPr>
        <w:t xml:space="preserve"> circled wells in (a) and shown schematically </w:t>
      </w:r>
      <w:r w:rsidRPr="00190CE5">
        <w:rPr>
          <w:rFonts w:asciiTheme="majorHAnsi" w:hAnsiTheme="majorHAnsi"/>
          <w:sz w:val="22"/>
        </w:rPr>
        <w:t xml:space="preserve">in (b). </w:t>
      </w:r>
      <w:r w:rsidR="00345732" w:rsidRPr="00190CE5">
        <w:rPr>
          <w:rFonts w:asciiTheme="majorHAnsi" w:hAnsiTheme="majorHAnsi"/>
          <w:sz w:val="22"/>
        </w:rPr>
        <w:t xml:space="preserve">Analysis of the </w:t>
      </w:r>
      <w:r w:rsidRPr="00190CE5">
        <w:rPr>
          <w:rFonts w:asciiTheme="majorHAnsi" w:hAnsiTheme="majorHAnsi"/>
          <w:sz w:val="22"/>
        </w:rPr>
        <w:t xml:space="preserve">DEP behaviour at different frequencies </w:t>
      </w:r>
      <w:r w:rsidR="00345732" w:rsidRPr="00190CE5">
        <w:rPr>
          <w:rFonts w:asciiTheme="majorHAnsi" w:hAnsiTheme="majorHAnsi"/>
          <w:sz w:val="22"/>
        </w:rPr>
        <w:t xml:space="preserve">allows determination of the membrane </w:t>
      </w:r>
      <w:r w:rsidR="00FB326F" w:rsidRPr="00190CE5">
        <w:rPr>
          <w:rFonts w:asciiTheme="majorHAnsi" w:hAnsiTheme="majorHAnsi"/>
          <w:sz w:val="22"/>
        </w:rPr>
        <w:t xml:space="preserve">conductance </w:t>
      </w:r>
      <w:r w:rsidR="00345732" w:rsidRPr="00190CE5">
        <w:rPr>
          <w:rFonts w:asciiTheme="majorHAnsi" w:hAnsiTheme="majorHAnsi"/>
          <w:sz w:val="22"/>
        </w:rPr>
        <w:t xml:space="preserve">and capacitance, and cytoplasmic </w:t>
      </w:r>
      <w:r w:rsidR="00D55638" w:rsidRPr="00190CE5">
        <w:rPr>
          <w:rFonts w:asciiTheme="majorHAnsi" w:hAnsiTheme="majorHAnsi"/>
          <w:sz w:val="22"/>
        </w:rPr>
        <w:t>c</w:t>
      </w:r>
      <w:r w:rsidR="00345732" w:rsidRPr="00190CE5">
        <w:rPr>
          <w:rFonts w:asciiTheme="majorHAnsi" w:hAnsiTheme="majorHAnsi"/>
          <w:sz w:val="22"/>
        </w:rPr>
        <w:t>onductance</w:t>
      </w:r>
      <w:r w:rsidRPr="00190CE5">
        <w:rPr>
          <w:rFonts w:asciiTheme="majorHAnsi" w:hAnsiTheme="majorHAnsi"/>
          <w:sz w:val="22"/>
        </w:rPr>
        <w:t>; the spectrum show</w:t>
      </w:r>
      <w:r w:rsidR="002F6B20" w:rsidRPr="00190CE5">
        <w:rPr>
          <w:rFonts w:asciiTheme="majorHAnsi" w:hAnsiTheme="majorHAnsi"/>
          <w:sz w:val="22"/>
        </w:rPr>
        <w:t>n</w:t>
      </w:r>
      <w:r w:rsidRPr="00190CE5">
        <w:rPr>
          <w:rFonts w:asciiTheme="majorHAnsi" w:hAnsiTheme="majorHAnsi"/>
          <w:sz w:val="22"/>
        </w:rPr>
        <w:t xml:space="preserve"> in (c) is that taken from the chip image in (a), with the </w:t>
      </w:r>
      <w:r w:rsidR="00B74FA7" w:rsidRPr="00190CE5">
        <w:rPr>
          <w:rFonts w:asciiTheme="majorHAnsi" w:hAnsiTheme="majorHAnsi"/>
          <w:sz w:val="22"/>
        </w:rPr>
        <w:t>left</w:t>
      </w:r>
      <w:r w:rsidRPr="00190CE5">
        <w:rPr>
          <w:rFonts w:asciiTheme="majorHAnsi" w:hAnsiTheme="majorHAnsi"/>
          <w:sz w:val="22"/>
        </w:rPr>
        <w:t xml:space="preserve"> and </w:t>
      </w:r>
      <w:r w:rsidR="00B74FA7" w:rsidRPr="00190CE5">
        <w:rPr>
          <w:rFonts w:asciiTheme="majorHAnsi" w:hAnsiTheme="majorHAnsi"/>
          <w:sz w:val="22"/>
        </w:rPr>
        <w:t>right</w:t>
      </w:r>
      <w:r w:rsidRPr="00190CE5">
        <w:rPr>
          <w:rFonts w:asciiTheme="majorHAnsi" w:hAnsiTheme="majorHAnsi"/>
          <w:sz w:val="22"/>
        </w:rPr>
        <w:t xml:space="preserve"> </w:t>
      </w:r>
      <w:r w:rsidR="00B74FA7" w:rsidRPr="00190CE5">
        <w:rPr>
          <w:rFonts w:asciiTheme="majorHAnsi" w:hAnsiTheme="majorHAnsi"/>
          <w:sz w:val="22"/>
        </w:rPr>
        <w:t xml:space="preserve">highlighted </w:t>
      </w:r>
      <w:r w:rsidRPr="00190CE5">
        <w:rPr>
          <w:rFonts w:asciiTheme="majorHAnsi" w:hAnsiTheme="majorHAnsi"/>
          <w:sz w:val="22"/>
        </w:rPr>
        <w:t xml:space="preserve">dots in (c) corresponding to the </w:t>
      </w:r>
      <w:r w:rsidR="00B74FA7" w:rsidRPr="00190CE5">
        <w:rPr>
          <w:rFonts w:asciiTheme="majorHAnsi" w:hAnsiTheme="majorHAnsi"/>
          <w:sz w:val="22"/>
        </w:rPr>
        <w:t>highlighted</w:t>
      </w:r>
      <w:r w:rsidRPr="00190CE5">
        <w:rPr>
          <w:rFonts w:asciiTheme="majorHAnsi" w:hAnsiTheme="majorHAnsi"/>
          <w:sz w:val="22"/>
        </w:rPr>
        <w:t xml:space="preserve"> wells in image (a)</w:t>
      </w:r>
      <w:r w:rsidR="00345732" w:rsidRPr="00190CE5">
        <w:rPr>
          <w:rFonts w:asciiTheme="majorHAnsi" w:hAnsiTheme="majorHAnsi"/>
          <w:sz w:val="22"/>
        </w:rPr>
        <w:t>.</w:t>
      </w:r>
      <w:r w:rsidR="00F420F1" w:rsidRPr="00190CE5">
        <w:rPr>
          <w:rFonts w:asciiTheme="majorHAnsi" w:hAnsiTheme="majorHAnsi"/>
          <w:sz w:val="22"/>
        </w:rPr>
        <w:t xml:space="preserve">  The </w:t>
      </w:r>
      <w:r w:rsidR="00B74FA7" w:rsidRPr="00190CE5">
        <w:rPr>
          <w:rFonts w:asciiTheme="majorHAnsi" w:hAnsiTheme="majorHAnsi"/>
          <w:sz w:val="22"/>
        </w:rPr>
        <w:t xml:space="preserve">Clausius-Mossotti </w:t>
      </w:r>
      <w:r w:rsidR="00F420F1" w:rsidRPr="00190CE5">
        <w:rPr>
          <w:rFonts w:asciiTheme="majorHAnsi" w:hAnsiTheme="majorHAnsi"/>
          <w:sz w:val="22"/>
        </w:rPr>
        <w:t xml:space="preserve">model </w:t>
      </w:r>
      <w:r w:rsidR="00274C96" w:rsidRPr="00190CE5">
        <w:rPr>
          <w:rFonts w:asciiTheme="majorHAnsi" w:hAnsiTheme="majorHAnsi"/>
          <w:sz w:val="22"/>
        </w:rPr>
        <w:t xml:space="preserve">(line) </w:t>
      </w:r>
      <w:r w:rsidR="00F420F1" w:rsidRPr="00190CE5">
        <w:rPr>
          <w:rFonts w:asciiTheme="majorHAnsi" w:hAnsiTheme="majorHAnsi"/>
          <w:sz w:val="22"/>
        </w:rPr>
        <w:t xml:space="preserve">fitted to the data </w:t>
      </w:r>
      <w:r w:rsidR="00274C96" w:rsidRPr="00190CE5">
        <w:rPr>
          <w:rFonts w:asciiTheme="majorHAnsi" w:hAnsiTheme="majorHAnsi"/>
          <w:sz w:val="22"/>
        </w:rPr>
        <w:t>points</w:t>
      </w:r>
      <w:r w:rsidR="00F420F1" w:rsidRPr="00190CE5">
        <w:rPr>
          <w:rFonts w:asciiTheme="majorHAnsi" w:hAnsiTheme="majorHAnsi"/>
          <w:sz w:val="22"/>
        </w:rPr>
        <w:t xml:space="preserve"> has an </w:t>
      </w:r>
      <w:r w:rsidR="009A2B6B" w:rsidRPr="00190CE5">
        <w:rPr>
          <w:rFonts w:asciiTheme="majorHAnsi" w:hAnsiTheme="majorHAnsi"/>
          <w:sz w:val="22"/>
        </w:rPr>
        <w:t>r</w:t>
      </w:r>
      <w:r w:rsidR="009A2B6B" w:rsidRPr="00190CE5">
        <w:rPr>
          <w:rFonts w:asciiTheme="majorHAnsi" w:hAnsiTheme="majorHAnsi"/>
          <w:sz w:val="22"/>
          <w:vertAlign w:val="superscript"/>
        </w:rPr>
        <w:t>2</w:t>
      </w:r>
      <w:r w:rsidR="009A2B6B" w:rsidRPr="00190CE5">
        <w:rPr>
          <w:rFonts w:asciiTheme="majorHAnsi" w:hAnsiTheme="majorHAnsi"/>
          <w:sz w:val="22"/>
        </w:rPr>
        <w:t xml:space="preserve"> </w:t>
      </w:r>
      <w:r w:rsidR="00F420F1" w:rsidRPr="00190CE5">
        <w:rPr>
          <w:rFonts w:asciiTheme="majorHAnsi" w:hAnsiTheme="majorHAnsi"/>
          <w:sz w:val="22"/>
        </w:rPr>
        <w:t xml:space="preserve">correlation of </w:t>
      </w:r>
      <w:r w:rsidR="00B74FA7" w:rsidRPr="00190CE5">
        <w:rPr>
          <w:rFonts w:asciiTheme="majorHAnsi" w:hAnsiTheme="majorHAnsi"/>
          <w:sz w:val="22"/>
        </w:rPr>
        <w:t>0.995.</w:t>
      </w:r>
    </w:p>
    <w:p w14:paraId="0233CEC3" w14:textId="77777777" w:rsidR="00D55638" w:rsidRPr="00190CE5" w:rsidRDefault="00274C96" w:rsidP="002824C2">
      <w:pPr>
        <w:jc w:val="left"/>
        <w:rPr>
          <w:rFonts w:asciiTheme="majorHAnsi" w:hAnsiTheme="majorHAnsi"/>
          <w:sz w:val="22"/>
        </w:rPr>
      </w:pPr>
      <w:r w:rsidRPr="00190CE5">
        <w:rPr>
          <w:rFonts w:asciiTheme="majorHAnsi" w:hAnsiTheme="majorHAnsi"/>
          <w:b/>
          <w:sz w:val="22"/>
        </w:rPr>
        <w:t>F</w:t>
      </w:r>
      <w:r w:rsidR="00F420F1" w:rsidRPr="00190CE5">
        <w:rPr>
          <w:rFonts w:asciiTheme="majorHAnsi" w:hAnsiTheme="majorHAnsi"/>
          <w:b/>
          <w:sz w:val="22"/>
        </w:rPr>
        <w:t>igure 3</w:t>
      </w:r>
      <w:r w:rsidR="00EB6B58" w:rsidRPr="00190CE5">
        <w:rPr>
          <w:rFonts w:asciiTheme="majorHAnsi" w:hAnsiTheme="majorHAnsi"/>
          <w:sz w:val="22"/>
        </w:rPr>
        <w:t xml:space="preserve">. Schematic of the 3DEP reader platform.  A chip containing 20 </w:t>
      </w:r>
      <w:r w:rsidR="00C41D35" w:rsidRPr="00190CE5">
        <w:rPr>
          <w:rFonts w:asciiTheme="majorHAnsi" w:hAnsiTheme="majorHAnsi"/>
          <w:sz w:val="22"/>
        </w:rPr>
        <w:t>wells (right hand side of image</w:t>
      </w:r>
      <w:r w:rsidR="00EB6B58" w:rsidRPr="00190CE5">
        <w:rPr>
          <w:rFonts w:asciiTheme="majorHAnsi" w:hAnsiTheme="majorHAnsi"/>
          <w:sz w:val="22"/>
        </w:rPr>
        <w:t>) is connected via an interface to 20 independent signal generators capable of 45</w:t>
      </w:r>
      <w:r w:rsidR="009A2B6B" w:rsidRPr="00190CE5">
        <w:rPr>
          <w:rFonts w:asciiTheme="majorHAnsi" w:hAnsiTheme="majorHAnsi"/>
          <w:sz w:val="22"/>
        </w:rPr>
        <w:t xml:space="preserve"> </w:t>
      </w:r>
      <w:r w:rsidR="00EB6B58" w:rsidRPr="00190CE5">
        <w:rPr>
          <w:rFonts w:asciiTheme="majorHAnsi" w:hAnsiTheme="majorHAnsi"/>
          <w:sz w:val="22"/>
        </w:rPr>
        <w:t>MHz at 20</w:t>
      </w:r>
      <w:r w:rsidR="009A2B6B" w:rsidRPr="00190CE5">
        <w:rPr>
          <w:rFonts w:asciiTheme="majorHAnsi" w:hAnsiTheme="majorHAnsi"/>
          <w:sz w:val="22"/>
        </w:rPr>
        <w:t xml:space="preserve"> </w:t>
      </w:r>
      <w:proofErr w:type="spellStart"/>
      <w:r w:rsidR="009A2B6B" w:rsidRPr="00190CE5">
        <w:rPr>
          <w:rFonts w:asciiTheme="majorHAnsi" w:hAnsiTheme="majorHAnsi"/>
          <w:sz w:val="22"/>
        </w:rPr>
        <w:t>V</w:t>
      </w:r>
      <w:r w:rsidR="009A2B6B" w:rsidRPr="00190CE5">
        <w:rPr>
          <w:rFonts w:asciiTheme="majorHAnsi" w:hAnsiTheme="majorHAnsi"/>
          <w:sz w:val="22"/>
          <w:vertAlign w:val="subscript"/>
        </w:rPr>
        <w:t>pp</w:t>
      </w:r>
      <w:proofErr w:type="spellEnd"/>
      <w:r w:rsidR="00EB6B58" w:rsidRPr="00190CE5">
        <w:rPr>
          <w:rFonts w:asciiTheme="majorHAnsi" w:hAnsiTheme="majorHAnsi"/>
          <w:sz w:val="22"/>
        </w:rPr>
        <w:t>. A control board in the instrument controls the generators and light source and also acquires instrument status information.   Camera signals are acquired via a bi-telecentric lens and sent via the unit to a computer, where the analysis is performed.</w:t>
      </w:r>
      <w:r w:rsidR="00D55638" w:rsidRPr="00190CE5">
        <w:rPr>
          <w:rFonts w:asciiTheme="majorHAnsi" w:hAnsiTheme="majorHAnsi"/>
          <w:sz w:val="22"/>
        </w:rPr>
        <w:t xml:space="preserve"> </w:t>
      </w:r>
    </w:p>
    <w:p w14:paraId="608AD1A0" w14:textId="2EDB3AE3" w:rsidR="00D52C44" w:rsidRPr="00190CE5" w:rsidRDefault="00F420F1" w:rsidP="002824C2">
      <w:pPr>
        <w:spacing w:after="0"/>
        <w:rPr>
          <w:rFonts w:asciiTheme="majorHAnsi" w:hAnsiTheme="majorHAnsi"/>
          <w:sz w:val="22"/>
        </w:rPr>
      </w:pPr>
      <w:r w:rsidRPr="00190CE5">
        <w:rPr>
          <w:rFonts w:asciiTheme="majorHAnsi" w:hAnsiTheme="majorHAnsi"/>
          <w:b/>
          <w:sz w:val="22"/>
        </w:rPr>
        <w:t>Figure 4</w:t>
      </w:r>
      <w:r w:rsidR="00D52C44" w:rsidRPr="00190CE5">
        <w:rPr>
          <w:rFonts w:asciiTheme="majorHAnsi" w:hAnsiTheme="majorHAnsi"/>
          <w:sz w:val="22"/>
        </w:rPr>
        <w:t xml:space="preserve">. Averaged DEP spectra of </w:t>
      </w:r>
      <w:proofErr w:type="spellStart"/>
      <w:r w:rsidR="00D52C44" w:rsidRPr="00190CE5">
        <w:rPr>
          <w:rFonts w:asciiTheme="majorHAnsi" w:hAnsiTheme="majorHAnsi"/>
          <w:sz w:val="22"/>
        </w:rPr>
        <w:t>Jurkat</w:t>
      </w:r>
      <w:proofErr w:type="spellEnd"/>
      <w:r w:rsidR="00D52C44" w:rsidRPr="00190CE5">
        <w:rPr>
          <w:rFonts w:asciiTheme="majorHAnsi" w:hAnsiTheme="majorHAnsi"/>
          <w:sz w:val="22"/>
        </w:rPr>
        <w:t xml:space="preserve"> cells based on </w:t>
      </w:r>
      <w:r w:rsidR="00E3179E" w:rsidRPr="00190CE5">
        <w:rPr>
          <w:rFonts w:asciiTheme="majorHAnsi" w:hAnsiTheme="majorHAnsi"/>
          <w:sz w:val="22"/>
        </w:rPr>
        <w:t xml:space="preserve">fifteen </w:t>
      </w:r>
      <w:r w:rsidR="00D52C44" w:rsidRPr="00190CE5">
        <w:rPr>
          <w:rFonts w:asciiTheme="majorHAnsi" w:hAnsiTheme="majorHAnsi"/>
          <w:sz w:val="22"/>
        </w:rPr>
        <w:t xml:space="preserve">10-second measurements. Points indicate </w:t>
      </w:r>
      <w:r w:rsidR="004F1557" w:rsidRPr="00190CE5">
        <w:rPr>
          <w:rFonts w:asciiTheme="majorHAnsi" w:hAnsiTheme="majorHAnsi"/>
          <w:sz w:val="22"/>
        </w:rPr>
        <w:t xml:space="preserve">mean </w:t>
      </w:r>
      <w:r w:rsidR="00D52C44" w:rsidRPr="00190CE5">
        <w:rPr>
          <w:rFonts w:asciiTheme="majorHAnsi" w:hAnsiTheme="majorHAnsi"/>
          <w:sz w:val="22"/>
        </w:rPr>
        <w:t xml:space="preserve">measurements of change in light intensity passing through the wells after 10 seconds, scaled to a best-fit curve (line) indicating the best-fit Clausius-Mossotti factor for two populations (see text).  </w:t>
      </w:r>
      <w:r w:rsidR="00210D05" w:rsidRPr="00190CE5">
        <w:rPr>
          <w:rFonts w:asciiTheme="majorHAnsi" w:hAnsiTheme="majorHAnsi"/>
          <w:sz w:val="22"/>
        </w:rPr>
        <w:t xml:space="preserve">The correlation </w:t>
      </w:r>
      <w:r w:rsidR="00D52C44" w:rsidRPr="00190CE5">
        <w:rPr>
          <w:rFonts w:asciiTheme="majorHAnsi" w:hAnsiTheme="majorHAnsi"/>
          <w:sz w:val="22"/>
        </w:rPr>
        <w:t xml:space="preserve">coefficient between </w:t>
      </w:r>
      <w:r w:rsidR="00210D05" w:rsidRPr="00190CE5">
        <w:rPr>
          <w:rFonts w:asciiTheme="majorHAnsi" w:hAnsiTheme="majorHAnsi"/>
          <w:sz w:val="22"/>
        </w:rPr>
        <w:t xml:space="preserve">mean </w:t>
      </w:r>
      <w:r w:rsidR="00D52C44" w:rsidRPr="00190CE5">
        <w:rPr>
          <w:rFonts w:asciiTheme="majorHAnsi" w:hAnsiTheme="majorHAnsi"/>
          <w:sz w:val="22"/>
        </w:rPr>
        <w:t xml:space="preserve">data and best-fit curve was </w:t>
      </w:r>
      <w:r w:rsidR="00702123" w:rsidRPr="00190CE5">
        <w:rPr>
          <w:rFonts w:asciiTheme="majorHAnsi" w:hAnsiTheme="majorHAnsi"/>
          <w:sz w:val="22"/>
        </w:rPr>
        <w:t>r</w:t>
      </w:r>
      <w:r w:rsidR="00702123" w:rsidRPr="00190CE5">
        <w:rPr>
          <w:rFonts w:asciiTheme="majorHAnsi" w:hAnsiTheme="majorHAnsi"/>
          <w:sz w:val="22"/>
          <w:vertAlign w:val="superscript"/>
        </w:rPr>
        <w:t>2</w:t>
      </w:r>
      <w:r w:rsidR="00702123" w:rsidRPr="00190CE5">
        <w:rPr>
          <w:rFonts w:asciiTheme="majorHAnsi" w:hAnsiTheme="majorHAnsi"/>
          <w:sz w:val="22"/>
        </w:rPr>
        <w:t>=</w:t>
      </w:r>
      <w:r w:rsidR="00D52C44" w:rsidRPr="00190CE5">
        <w:rPr>
          <w:rFonts w:asciiTheme="majorHAnsi" w:hAnsiTheme="majorHAnsi"/>
          <w:sz w:val="22"/>
        </w:rPr>
        <w:t>0.998.</w:t>
      </w:r>
    </w:p>
    <w:p w14:paraId="2B6ED16F" w14:textId="57A764E6" w:rsidR="00EC3C4D" w:rsidRPr="00190CE5" w:rsidRDefault="00EC3C4D" w:rsidP="002824C2">
      <w:pPr>
        <w:spacing w:after="0"/>
        <w:rPr>
          <w:rFonts w:asciiTheme="majorHAnsi" w:hAnsiTheme="majorHAnsi"/>
          <w:sz w:val="22"/>
        </w:rPr>
      </w:pPr>
    </w:p>
    <w:p w14:paraId="4BD6A9D0" w14:textId="77777777" w:rsidR="00EC3C4D" w:rsidRPr="00190CE5" w:rsidRDefault="00EC3C4D" w:rsidP="002824C2">
      <w:pPr>
        <w:spacing w:after="0"/>
        <w:rPr>
          <w:rFonts w:asciiTheme="majorHAnsi" w:hAnsiTheme="majorHAnsi"/>
          <w:sz w:val="22"/>
        </w:rPr>
      </w:pPr>
    </w:p>
    <w:p w14:paraId="3BA8D922" w14:textId="255B41D0" w:rsidR="006B078D" w:rsidRPr="00190CE5" w:rsidRDefault="00F420F1" w:rsidP="002824C2">
      <w:pPr>
        <w:rPr>
          <w:rFonts w:asciiTheme="majorHAnsi" w:hAnsiTheme="majorHAnsi"/>
          <w:sz w:val="22"/>
        </w:rPr>
      </w:pPr>
      <w:r w:rsidRPr="00190CE5">
        <w:rPr>
          <w:rFonts w:asciiTheme="majorHAnsi" w:hAnsiTheme="majorHAnsi"/>
          <w:b/>
          <w:sz w:val="22"/>
        </w:rPr>
        <w:lastRenderedPageBreak/>
        <w:t>Figure 5</w:t>
      </w:r>
      <w:r w:rsidR="00D52C44" w:rsidRPr="00190CE5">
        <w:rPr>
          <w:rFonts w:asciiTheme="majorHAnsi" w:hAnsiTheme="majorHAnsi"/>
          <w:sz w:val="22"/>
        </w:rPr>
        <w:t xml:space="preserve">. </w:t>
      </w:r>
      <w:r w:rsidR="006B078D" w:rsidRPr="00190CE5">
        <w:rPr>
          <w:rFonts w:asciiTheme="majorHAnsi" w:hAnsiTheme="majorHAnsi"/>
          <w:sz w:val="22"/>
        </w:rPr>
        <w:t xml:space="preserve">In order to provide ultra-high-resolution (100-point) DEP spectra, K452 cells were analysed </w:t>
      </w:r>
      <w:r w:rsidR="00210D05" w:rsidRPr="00190CE5">
        <w:rPr>
          <w:rFonts w:asciiTheme="majorHAnsi" w:hAnsiTheme="majorHAnsi"/>
          <w:sz w:val="22"/>
        </w:rPr>
        <w:t xml:space="preserve">by </w:t>
      </w:r>
      <w:r w:rsidR="006B078D" w:rsidRPr="00190CE5">
        <w:rPr>
          <w:rFonts w:asciiTheme="majorHAnsi" w:hAnsiTheme="majorHAnsi"/>
          <w:sz w:val="22"/>
        </w:rPr>
        <w:t xml:space="preserve">20-point spectra (top row) that, when combined, provided a single spectrum with 100 equally-spaced points (shown here as Combined run 1).  Three more 100-point spectra (Combined runs 2-4) were performed separately; these were then combined into a single 400-point spectrum (main </w:t>
      </w:r>
      <w:r w:rsidR="00CA6553" w:rsidRPr="00190CE5">
        <w:rPr>
          <w:rFonts w:asciiTheme="majorHAnsi" w:hAnsiTheme="majorHAnsi"/>
          <w:sz w:val="22"/>
        </w:rPr>
        <w:t>panel</w:t>
      </w:r>
      <w:r w:rsidR="006B078D" w:rsidRPr="00190CE5">
        <w:rPr>
          <w:rFonts w:asciiTheme="majorHAnsi" w:hAnsiTheme="majorHAnsi"/>
          <w:sz w:val="22"/>
        </w:rPr>
        <w:t xml:space="preserve">).  Best-fit models were generated for the 400-point spectrum (shown) and compared to best-fit models for 100-point and 20-point spectra in order to determine </w:t>
      </w:r>
      <w:r w:rsidR="00CA6553" w:rsidRPr="00190CE5">
        <w:rPr>
          <w:rFonts w:asciiTheme="majorHAnsi" w:hAnsiTheme="majorHAnsi"/>
          <w:sz w:val="22"/>
        </w:rPr>
        <w:t xml:space="preserve">whether 20 points is as accurate as higher-resolution spectra for robust data extraction. </w:t>
      </w:r>
      <w:r w:rsidR="006B078D" w:rsidRPr="00190CE5">
        <w:rPr>
          <w:rFonts w:asciiTheme="majorHAnsi" w:hAnsiTheme="majorHAnsi"/>
          <w:sz w:val="22"/>
        </w:rPr>
        <w:t xml:space="preserve"> </w:t>
      </w:r>
    </w:p>
    <w:p w14:paraId="2597A41E" w14:textId="6F964119" w:rsidR="005A07DA" w:rsidRPr="00190CE5" w:rsidRDefault="007E0D4B">
      <w:pPr>
        <w:spacing w:line="276" w:lineRule="auto"/>
        <w:jc w:val="left"/>
        <w:rPr>
          <w:rFonts w:asciiTheme="majorHAnsi" w:hAnsiTheme="majorHAnsi"/>
          <w:sz w:val="22"/>
        </w:rPr>
      </w:pPr>
      <w:r w:rsidRPr="00190CE5">
        <w:rPr>
          <w:rFonts w:asciiTheme="majorHAnsi" w:hAnsiTheme="majorHAnsi"/>
          <w:b/>
          <w:sz w:val="22"/>
        </w:rPr>
        <w:t>F</w:t>
      </w:r>
      <w:r w:rsidR="005A07DA" w:rsidRPr="00190CE5">
        <w:rPr>
          <w:rFonts w:asciiTheme="majorHAnsi" w:hAnsiTheme="majorHAnsi"/>
          <w:b/>
          <w:sz w:val="22"/>
        </w:rPr>
        <w:t xml:space="preserve">igure 6.  Platelets in high-conductivity media.  </w:t>
      </w:r>
      <w:r w:rsidR="005A07DA" w:rsidRPr="00190CE5">
        <w:rPr>
          <w:rFonts w:asciiTheme="majorHAnsi" w:hAnsiTheme="majorHAnsi"/>
          <w:sz w:val="22"/>
        </w:rPr>
        <w:t>DEP spectra of human platelets in high-conductivity media, ranging from 200</w:t>
      </w:r>
      <w:r w:rsidR="00210D05" w:rsidRPr="00190CE5">
        <w:rPr>
          <w:rFonts w:asciiTheme="majorHAnsi" w:hAnsiTheme="majorHAnsi"/>
          <w:sz w:val="22"/>
        </w:rPr>
        <w:t xml:space="preserve"> </w:t>
      </w:r>
      <w:r w:rsidR="005A07DA" w:rsidRPr="00190CE5">
        <w:rPr>
          <w:rFonts w:asciiTheme="majorHAnsi" w:hAnsiTheme="majorHAnsi"/>
          <w:sz w:val="22"/>
        </w:rPr>
        <w:t>mS</w:t>
      </w:r>
      <w:r w:rsidR="00210D05" w:rsidRPr="00190CE5">
        <w:rPr>
          <w:rFonts w:asciiTheme="majorHAnsi" w:hAnsiTheme="majorHAnsi"/>
          <w:sz w:val="22"/>
        </w:rPr>
        <w:t>.</w:t>
      </w:r>
      <w:r w:rsidR="005A07DA" w:rsidRPr="00190CE5">
        <w:rPr>
          <w:rFonts w:asciiTheme="majorHAnsi" w:hAnsiTheme="majorHAnsi"/>
          <w:sz w:val="22"/>
        </w:rPr>
        <w:t>m</w:t>
      </w:r>
      <w:r w:rsidR="005A07DA" w:rsidRPr="00190CE5">
        <w:rPr>
          <w:rFonts w:asciiTheme="majorHAnsi" w:hAnsiTheme="majorHAnsi"/>
          <w:sz w:val="22"/>
          <w:vertAlign w:val="superscript"/>
        </w:rPr>
        <w:t>-1</w:t>
      </w:r>
      <w:r w:rsidR="005A07DA" w:rsidRPr="00190CE5">
        <w:rPr>
          <w:rFonts w:asciiTheme="majorHAnsi" w:hAnsiTheme="majorHAnsi"/>
          <w:sz w:val="22"/>
        </w:rPr>
        <w:t xml:space="preserve"> to 800</w:t>
      </w:r>
      <w:r w:rsidR="00210D05" w:rsidRPr="00190CE5">
        <w:rPr>
          <w:rFonts w:asciiTheme="majorHAnsi" w:hAnsiTheme="majorHAnsi"/>
          <w:sz w:val="22"/>
        </w:rPr>
        <w:t xml:space="preserve"> </w:t>
      </w:r>
      <w:r w:rsidR="005A07DA" w:rsidRPr="00190CE5">
        <w:rPr>
          <w:rFonts w:asciiTheme="majorHAnsi" w:hAnsiTheme="majorHAnsi"/>
          <w:sz w:val="22"/>
        </w:rPr>
        <w:t>mS</w:t>
      </w:r>
      <w:r w:rsidR="00210D05" w:rsidRPr="00190CE5">
        <w:rPr>
          <w:rFonts w:asciiTheme="majorHAnsi" w:hAnsiTheme="majorHAnsi"/>
          <w:sz w:val="22"/>
        </w:rPr>
        <w:t>.</w:t>
      </w:r>
      <w:r w:rsidR="005A07DA" w:rsidRPr="00190CE5">
        <w:rPr>
          <w:rFonts w:asciiTheme="majorHAnsi" w:hAnsiTheme="majorHAnsi"/>
          <w:sz w:val="22"/>
        </w:rPr>
        <w:t>m</w:t>
      </w:r>
      <w:r w:rsidR="005A07DA" w:rsidRPr="00190CE5">
        <w:rPr>
          <w:rFonts w:asciiTheme="majorHAnsi" w:hAnsiTheme="majorHAnsi"/>
          <w:sz w:val="22"/>
          <w:vertAlign w:val="superscript"/>
        </w:rPr>
        <w:t>-1.</w:t>
      </w:r>
      <w:r w:rsidR="005A07DA" w:rsidRPr="00190CE5">
        <w:rPr>
          <w:rFonts w:asciiTheme="majorHAnsi" w:hAnsiTheme="majorHAnsi"/>
          <w:sz w:val="22"/>
        </w:rPr>
        <w:t xml:space="preserve">   </w:t>
      </w:r>
    </w:p>
    <w:p w14:paraId="615933BA" w14:textId="2BAE87D7" w:rsidR="009862F0" w:rsidRPr="00190CE5" w:rsidRDefault="009862F0" w:rsidP="009862F0">
      <w:pPr>
        <w:rPr>
          <w:rFonts w:asciiTheme="majorHAnsi" w:hAnsiTheme="majorHAnsi"/>
          <w:sz w:val="22"/>
        </w:rPr>
      </w:pPr>
      <w:r w:rsidRPr="00190CE5">
        <w:rPr>
          <w:rFonts w:asciiTheme="majorHAnsi" w:hAnsiTheme="majorHAnsi"/>
          <w:b/>
          <w:sz w:val="22"/>
        </w:rPr>
        <w:t xml:space="preserve">Figure </w:t>
      </w:r>
      <w:r w:rsidR="005A07DA" w:rsidRPr="00190CE5">
        <w:rPr>
          <w:rFonts w:asciiTheme="majorHAnsi" w:hAnsiTheme="majorHAnsi"/>
          <w:b/>
          <w:sz w:val="22"/>
        </w:rPr>
        <w:t>7</w:t>
      </w:r>
      <w:r w:rsidRPr="00190CE5">
        <w:rPr>
          <w:rFonts w:asciiTheme="majorHAnsi" w:hAnsiTheme="majorHAnsi"/>
          <w:b/>
          <w:sz w:val="22"/>
        </w:rPr>
        <w:t>. Whole blood assay</w:t>
      </w:r>
      <w:r w:rsidRPr="00190CE5">
        <w:rPr>
          <w:rFonts w:asciiTheme="majorHAnsi" w:hAnsiTheme="majorHAnsi"/>
          <w:sz w:val="22"/>
        </w:rPr>
        <w:t xml:space="preserve">: (A) In nature and the laboratory, the common vole expresses short (ultradian) feeding-fasting and sleep-wake cycles, whilst being under a circadian light-dark cycle. (B) DEP measures of cytoplasmic conductivity fits to a series of consecutive vole blood sample for 4 voles, fitted with a </w:t>
      </w:r>
      <w:proofErr w:type="spellStart"/>
      <w:r w:rsidRPr="00190CE5">
        <w:rPr>
          <w:rFonts w:asciiTheme="majorHAnsi" w:hAnsiTheme="majorHAnsi"/>
          <w:sz w:val="22"/>
        </w:rPr>
        <w:t>cosinor</w:t>
      </w:r>
      <w:proofErr w:type="spellEnd"/>
      <w:r w:rsidRPr="00190CE5">
        <w:rPr>
          <w:rFonts w:asciiTheme="majorHAnsi" w:hAnsiTheme="majorHAnsi"/>
          <w:sz w:val="22"/>
        </w:rPr>
        <w:t xml:space="preserve"> curve. Data points (black circles) are mean parameters determined by at least n=3 spectra fits at each time point. R</w:t>
      </w:r>
      <w:r w:rsidRPr="00190CE5">
        <w:rPr>
          <w:rFonts w:asciiTheme="majorHAnsi" w:hAnsiTheme="majorHAnsi"/>
          <w:sz w:val="22"/>
          <w:vertAlign w:val="superscript"/>
        </w:rPr>
        <w:t>2</w:t>
      </w:r>
      <w:r w:rsidRPr="00190CE5">
        <w:rPr>
          <w:rFonts w:asciiTheme="majorHAnsi" w:hAnsiTheme="majorHAnsi"/>
          <w:sz w:val="22"/>
        </w:rPr>
        <w:t xml:space="preserve"> values indicate the goodness of fit to the </w:t>
      </w:r>
      <w:proofErr w:type="spellStart"/>
      <w:r w:rsidRPr="00190CE5">
        <w:rPr>
          <w:rFonts w:asciiTheme="majorHAnsi" w:hAnsiTheme="majorHAnsi"/>
          <w:sz w:val="22"/>
        </w:rPr>
        <w:t>cosinor</w:t>
      </w:r>
      <w:proofErr w:type="spellEnd"/>
      <w:r w:rsidRPr="00190CE5">
        <w:rPr>
          <w:rFonts w:asciiTheme="majorHAnsi" w:hAnsiTheme="majorHAnsi"/>
          <w:sz w:val="22"/>
        </w:rPr>
        <w:t xml:space="preserve"> curve determined by the phase of </w:t>
      </w:r>
      <w:r w:rsidR="00F06070" w:rsidRPr="00190CE5">
        <w:rPr>
          <w:rFonts w:asciiTheme="majorHAnsi" w:hAnsiTheme="majorHAnsi"/>
          <w:sz w:val="22"/>
        </w:rPr>
        <w:t xml:space="preserve">observed activity (actogram) </w:t>
      </w:r>
      <w:r w:rsidRPr="00190CE5">
        <w:rPr>
          <w:rFonts w:asciiTheme="majorHAnsi" w:hAnsiTheme="majorHAnsi"/>
          <w:sz w:val="22"/>
        </w:rPr>
        <w:t xml:space="preserve">and fitted amplitude and </w:t>
      </w:r>
      <w:proofErr w:type="spellStart"/>
      <w:r w:rsidRPr="00190CE5">
        <w:rPr>
          <w:rFonts w:asciiTheme="majorHAnsi" w:hAnsiTheme="majorHAnsi"/>
          <w:sz w:val="22"/>
        </w:rPr>
        <w:t>mesor</w:t>
      </w:r>
      <w:proofErr w:type="spellEnd"/>
      <w:r w:rsidRPr="00190CE5">
        <w:rPr>
          <w:rFonts w:asciiTheme="majorHAnsi" w:hAnsiTheme="majorHAnsi"/>
          <w:sz w:val="22"/>
        </w:rPr>
        <w:t xml:space="preserve"> </w:t>
      </w:r>
      <w:r w:rsidR="00F06070" w:rsidRPr="00190CE5">
        <w:rPr>
          <w:rFonts w:asciiTheme="majorHAnsi" w:hAnsiTheme="majorHAnsi"/>
          <w:sz w:val="22"/>
        </w:rPr>
        <w:t xml:space="preserve">(mean estimating </w:t>
      </w:r>
      <w:r w:rsidR="00595688" w:rsidRPr="00190CE5">
        <w:rPr>
          <w:rFonts w:asciiTheme="majorHAnsi" w:hAnsiTheme="majorHAnsi"/>
          <w:sz w:val="22"/>
        </w:rPr>
        <w:t>statistic</w:t>
      </w:r>
      <w:r w:rsidR="00F06070" w:rsidRPr="00190CE5">
        <w:rPr>
          <w:rFonts w:asciiTheme="majorHAnsi" w:hAnsiTheme="majorHAnsi"/>
          <w:sz w:val="22"/>
        </w:rPr>
        <w:t xml:space="preserve"> of rhythm) </w:t>
      </w:r>
      <w:r w:rsidRPr="00190CE5">
        <w:rPr>
          <w:rFonts w:asciiTheme="majorHAnsi" w:hAnsiTheme="majorHAnsi"/>
          <w:sz w:val="22"/>
        </w:rPr>
        <w:t xml:space="preserve">to DEP data (red line). (C) DEP measures of effective membrane conductivity fits to a series of consecutive vole blood sample for 4 voles, fitted with a </w:t>
      </w:r>
      <w:proofErr w:type="spellStart"/>
      <w:r w:rsidRPr="00190CE5">
        <w:rPr>
          <w:rFonts w:asciiTheme="majorHAnsi" w:hAnsiTheme="majorHAnsi"/>
          <w:sz w:val="22"/>
        </w:rPr>
        <w:t>cosinor</w:t>
      </w:r>
      <w:proofErr w:type="spellEnd"/>
      <w:r w:rsidRPr="00190CE5">
        <w:rPr>
          <w:rFonts w:asciiTheme="majorHAnsi" w:hAnsiTheme="majorHAnsi"/>
          <w:sz w:val="22"/>
        </w:rPr>
        <w:t xml:space="preserve"> curve. Data points (black circles) are mean parameters determined by at least n=3 spectra fits at each time points. </w:t>
      </w:r>
      <w:r w:rsidR="00FB326F" w:rsidRPr="00190CE5">
        <w:rPr>
          <w:rFonts w:asciiTheme="majorHAnsi" w:hAnsiTheme="majorHAnsi"/>
          <w:sz w:val="22"/>
        </w:rPr>
        <w:t>r</w:t>
      </w:r>
      <w:r w:rsidRPr="00190CE5">
        <w:rPr>
          <w:rFonts w:asciiTheme="majorHAnsi" w:hAnsiTheme="majorHAnsi"/>
          <w:sz w:val="22"/>
          <w:vertAlign w:val="superscript"/>
        </w:rPr>
        <w:t>2</w:t>
      </w:r>
      <w:r w:rsidRPr="00190CE5">
        <w:rPr>
          <w:rFonts w:asciiTheme="majorHAnsi" w:hAnsiTheme="majorHAnsi"/>
          <w:sz w:val="22"/>
        </w:rPr>
        <w:t xml:space="preserve"> values indicate the </w:t>
      </w:r>
      <w:r w:rsidR="00FB326F" w:rsidRPr="00190CE5">
        <w:rPr>
          <w:rFonts w:asciiTheme="majorHAnsi" w:hAnsiTheme="majorHAnsi"/>
          <w:sz w:val="22"/>
        </w:rPr>
        <w:t>goodness-of-</w:t>
      </w:r>
      <w:r w:rsidRPr="00190CE5">
        <w:rPr>
          <w:rFonts w:asciiTheme="majorHAnsi" w:hAnsiTheme="majorHAnsi"/>
          <w:sz w:val="22"/>
        </w:rPr>
        <w:t xml:space="preserve">fit to the </w:t>
      </w:r>
      <w:proofErr w:type="spellStart"/>
      <w:r w:rsidRPr="00190CE5">
        <w:rPr>
          <w:rFonts w:asciiTheme="majorHAnsi" w:hAnsiTheme="majorHAnsi"/>
          <w:sz w:val="22"/>
        </w:rPr>
        <w:t>cosinor</w:t>
      </w:r>
      <w:proofErr w:type="spellEnd"/>
      <w:r w:rsidRPr="00190CE5">
        <w:rPr>
          <w:rFonts w:asciiTheme="majorHAnsi" w:hAnsiTheme="majorHAnsi"/>
          <w:sz w:val="22"/>
        </w:rPr>
        <w:t xml:space="preserve"> curve determined by the phase of the actogram and fitted amplitude and </w:t>
      </w:r>
      <w:proofErr w:type="spellStart"/>
      <w:r w:rsidRPr="00190CE5">
        <w:rPr>
          <w:rFonts w:asciiTheme="majorHAnsi" w:hAnsiTheme="majorHAnsi"/>
          <w:sz w:val="22"/>
        </w:rPr>
        <w:t>mesor</w:t>
      </w:r>
      <w:proofErr w:type="spellEnd"/>
      <w:r w:rsidRPr="00190CE5">
        <w:rPr>
          <w:rFonts w:asciiTheme="majorHAnsi" w:hAnsiTheme="majorHAnsi"/>
          <w:sz w:val="22"/>
        </w:rPr>
        <w:t xml:space="preserve"> to DEP data (red line).</w:t>
      </w:r>
    </w:p>
    <w:p w14:paraId="4F808FBF" w14:textId="34637525" w:rsidR="00EC3C4D" w:rsidRPr="00190CE5" w:rsidRDefault="00EC3C4D" w:rsidP="002824C2">
      <w:pPr>
        <w:rPr>
          <w:rFonts w:asciiTheme="majorHAnsi" w:hAnsiTheme="majorHAnsi"/>
          <w:b/>
          <w:sz w:val="22"/>
        </w:rPr>
      </w:pPr>
      <w:r w:rsidRPr="00190CE5">
        <w:rPr>
          <w:rFonts w:asciiTheme="majorHAnsi" w:hAnsiTheme="majorHAnsi"/>
          <w:b/>
          <w:sz w:val="22"/>
        </w:rPr>
        <w:t>TABLE LEGENDS</w:t>
      </w:r>
    </w:p>
    <w:p w14:paraId="41C37BDE" w14:textId="70BAD21E" w:rsidR="00EC3C4D" w:rsidRPr="00190CE5" w:rsidRDefault="00EC3C4D" w:rsidP="00EC3C4D">
      <w:pPr>
        <w:keepNext/>
        <w:spacing w:after="0"/>
        <w:rPr>
          <w:rFonts w:asciiTheme="majorHAnsi" w:eastAsia="Calibri" w:hAnsiTheme="majorHAnsi" w:cs="Times New Roman"/>
          <w:bCs/>
          <w:sz w:val="22"/>
        </w:rPr>
      </w:pPr>
      <w:r w:rsidRPr="00190CE5">
        <w:rPr>
          <w:rFonts w:asciiTheme="majorHAnsi" w:eastAsia="Calibri" w:hAnsiTheme="majorHAnsi" w:cs="Times New Roman"/>
          <w:b/>
          <w:bCs/>
          <w:sz w:val="22"/>
        </w:rPr>
        <w:t>Table 1.</w:t>
      </w:r>
      <w:r w:rsidRPr="00190CE5">
        <w:rPr>
          <w:rFonts w:asciiTheme="majorHAnsi" w:eastAsia="Calibri" w:hAnsiTheme="majorHAnsi" w:cs="Times New Roman"/>
          <w:bCs/>
          <w:sz w:val="22"/>
        </w:rPr>
        <w:t xml:space="preserve"> Best-fit dielectric properties of </w:t>
      </w:r>
      <w:proofErr w:type="spellStart"/>
      <w:r w:rsidRPr="00190CE5">
        <w:rPr>
          <w:rFonts w:asciiTheme="majorHAnsi" w:eastAsia="Calibri" w:hAnsiTheme="majorHAnsi" w:cs="Times New Roman"/>
          <w:bCs/>
          <w:sz w:val="22"/>
        </w:rPr>
        <w:t>Jurkat</w:t>
      </w:r>
      <w:proofErr w:type="spellEnd"/>
      <w:r w:rsidRPr="00190CE5">
        <w:rPr>
          <w:rFonts w:asciiTheme="majorHAnsi" w:eastAsia="Calibri" w:hAnsiTheme="majorHAnsi" w:cs="Times New Roman"/>
          <w:bCs/>
          <w:sz w:val="22"/>
        </w:rPr>
        <w:t xml:space="preserve"> cells determined by the DEP well system, compared to published values.  Relative permittivity is the ratio of the permittivity of a substance to the permittivity of free space or vacuum. Sources: </w:t>
      </w:r>
      <w:proofErr w:type="spellStart"/>
      <w:r w:rsidRPr="00190CE5">
        <w:rPr>
          <w:rFonts w:asciiTheme="majorHAnsi" w:hAnsiTheme="majorHAnsi"/>
          <w:sz w:val="22"/>
          <w:vertAlign w:val="superscript"/>
        </w:rPr>
        <w:t>A</w:t>
      </w:r>
      <w:r w:rsidRPr="00190CE5">
        <w:rPr>
          <w:rFonts w:asciiTheme="majorHAnsi" w:hAnsiTheme="majorHAnsi"/>
          <w:sz w:val="22"/>
        </w:rPr>
        <w:t>Pethig</w:t>
      </w:r>
      <w:proofErr w:type="spellEnd"/>
      <w:r w:rsidRPr="00190CE5">
        <w:rPr>
          <w:rFonts w:asciiTheme="majorHAnsi" w:hAnsiTheme="majorHAnsi"/>
          <w:sz w:val="22"/>
        </w:rPr>
        <w:t xml:space="preserve"> and Talary</w:t>
      </w:r>
      <w:r w:rsidRPr="00190CE5">
        <w:rPr>
          <w:rFonts w:asciiTheme="majorHAnsi" w:hAnsiTheme="majorHAnsi"/>
          <w:sz w:val="22"/>
          <w:vertAlign w:val="superscript"/>
        </w:rPr>
        <w:t>3</w:t>
      </w:r>
      <w:r w:rsidR="00810244" w:rsidRPr="00190CE5">
        <w:rPr>
          <w:rFonts w:asciiTheme="majorHAnsi" w:hAnsiTheme="majorHAnsi"/>
          <w:sz w:val="22"/>
          <w:vertAlign w:val="superscript"/>
        </w:rPr>
        <w:t>5</w:t>
      </w:r>
      <w:r w:rsidRPr="00190CE5">
        <w:rPr>
          <w:rFonts w:asciiTheme="majorHAnsi" w:hAnsiTheme="majorHAnsi"/>
          <w:sz w:val="22"/>
        </w:rPr>
        <w:t xml:space="preserve">; </w:t>
      </w:r>
      <w:proofErr w:type="spellStart"/>
      <w:r w:rsidRPr="00190CE5">
        <w:rPr>
          <w:rFonts w:asciiTheme="majorHAnsi" w:hAnsiTheme="majorHAnsi"/>
          <w:sz w:val="22"/>
          <w:vertAlign w:val="superscript"/>
        </w:rPr>
        <w:t>B</w:t>
      </w:r>
      <w:r w:rsidRPr="00190CE5">
        <w:rPr>
          <w:rFonts w:asciiTheme="majorHAnsi" w:hAnsiTheme="majorHAnsi"/>
          <w:sz w:val="22"/>
        </w:rPr>
        <w:t>Kiesel</w:t>
      </w:r>
      <w:proofErr w:type="spellEnd"/>
      <w:r w:rsidRPr="00190CE5">
        <w:rPr>
          <w:rFonts w:asciiTheme="majorHAnsi" w:hAnsiTheme="majorHAnsi"/>
          <w:sz w:val="22"/>
        </w:rPr>
        <w:t xml:space="preserve"> et al.</w:t>
      </w:r>
      <w:r w:rsidRPr="00190CE5">
        <w:rPr>
          <w:rFonts w:asciiTheme="majorHAnsi" w:hAnsiTheme="majorHAnsi"/>
          <w:sz w:val="22"/>
          <w:vertAlign w:val="superscript"/>
        </w:rPr>
        <w:t>3</w:t>
      </w:r>
      <w:r w:rsidR="00810244" w:rsidRPr="00190CE5">
        <w:rPr>
          <w:rFonts w:asciiTheme="majorHAnsi" w:hAnsiTheme="majorHAnsi"/>
          <w:sz w:val="22"/>
          <w:vertAlign w:val="superscript"/>
        </w:rPr>
        <w:t>6</w:t>
      </w:r>
      <w:r w:rsidRPr="00190CE5">
        <w:rPr>
          <w:rFonts w:asciiTheme="majorHAnsi" w:hAnsiTheme="majorHAnsi"/>
          <w:sz w:val="22"/>
        </w:rPr>
        <w:t xml:space="preserve">; </w:t>
      </w:r>
      <w:proofErr w:type="spellStart"/>
      <w:r w:rsidRPr="00190CE5">
        <w:rPr>
          <w:rFonts w:asciiTheme="majorHAnsi" w:hAnsiTheme="majorHAnsi"/>
          <w:sz w:val="22"/>
        </w:rPr>
        <w:t>Sukhorukov</w:t>
      </w:r>
      <w:proofErr w:type="spellEnd"/>
      <w:r w:rsidRPr="00190CE5">
        <w:rPr>
          <w:rFonts w:asciiTheme="majorHAnsi" w:hAnsiTheme="majorHAnsi"/>
          <w:sz w:val="22"/>
        </w:rPr>
        <w:t xml:space="preserve"> et al.</w:t>
      </w:r>
      <w:r w:rsidRPr="00190CE5">
        <w:rPr>
          <w:rFonts w:asciiTheme="majorHAnsi" w:hAnsiTheme="majorHAnsi"/>
          <w:sz w:val="22"/>
          <w:vertAlign w:val="superscript"/>
        </w:rPr>
        <w:t>3</w:t>
      </w:r>
      <w:r w:rsidR="00810244" w:rsidRPr="00190CE5">
        <w:rPr>
          <w:rFonts w:asciiTheme="majorHAnsi" w:hAnsiTheme="majorHAnsi"/>
          <w:sz w:val="22"/>
          <w:vertAlign w:val="superscript"/>
        </w:rPr>
        <w:t>7</w:t>
      </w:r>
      <w:r w:rsidRPr="00190CE5">
        <w:rPr>
          <w:rFonts w:asciiTheme="majorHAnsi" w:hAnsiTheme="majorHAnsi"/>
          <w:sz w:val="22"/>
        </w:rPr>
        <w:t xml:space="preserve">; </w:t>
      </w:r>
      <w:proofErr w:type="spellStart"/>
      <w:r w:rsidRPr="00190CE5">
        <w:rPr>
          <w:rFonts w:asciiTheme="majorHAnsi" w:hAnsiTheme="majorHAnsi"/>
          <w:sz w:val="22"/>
          <w:vertAlign w:val="superscript"/>
        </w:rPr>
        <w:t>D</w:t>
      </w:r>
      <w:r w:rsidRPr="00190CE5">
        <w:rPr>
          <w:rFonts w:asciiTheme="majorHAnsi" w:hAnsiTheme="majorHAnsi"/>
          <w:sz w:val="22"/>
        </w:rPr>
        <w:t>Garner</w:t>
      </w:r>
      <w:proofErr w:type="spellEnd"/>
      <w:r w:rsidRPr="00190CE5">
        <w:rPr>
          <w:rFonts w:asciiTheme="majorHAnsi" w:hAnsiTheme="majorHAnsi"/>
          <w:sz w:val="22"/>
        </w:rPr>
        <w:t xml:space="preserve"> et al.</w:t>
      </w:r>
      <w:r w:rsidRPr="00190CE5">
        <w:rPr>
          <w:rFonts w:asciiTheme="majorHAnsi" w:hAnsiTheme="majorHAnsi"/>
          <w:sz w:val="22"/>
          <w:vertAlign w:val="superscript"/>
        </w:rPr>
        <w:t>3</w:t>
      </w:r>
      <w:r w:rsidR="00810244" w:rsidRPr="00190CE5">
        <w:rPr>
          <w:rFonts w:asciiTheme="majorHAnsi" w:hAnsiTheme="majorHAnsi"/>
          <w:sz w:val="22"/>
          <w:vertAlign w:val="superscript"/>
        </w:rPr>
        <w:t>8</w:t>
      </w:r>
      <w:r w:rsidRPr="00190CE5">
        <w:rPr>
          <w:rFonts w:asciiTheme="majorHAnsi" w:hAnsiTheme="majorHAnsi"/>
          <w:sz w:val="22"/>
        </w:rPr>
        <w:t xml:space="preserve">; </w:t>
      </w:r>
      <w:proofErr w:type="spellStart"/>
      <w:r w:rsidRPr="00190CE5">
        <w:rPr>
          <w:rFonts w:asciiTheme="majorHAnsi" w:hAnsiTheme="majorHAnsi"/>
          <w:sz w:val="22"/>
          <w:vertAlign w:val="superscript"/>
        </w:rPr>
        <w:t>E</w:t>
      </w:r>
      <w:r w:rsidRPr="00190CE5">
        <w:rPr>
          <w:rFonts w:asciiTheme="majorHAnsi" w:hAnsiTheme="majorHAnsi"/>
          <w:sz w:val="22"/>
        </w:rPr>
        <w:t>Reuss</w:t>
      </w:r>
      <w:proofErr w:type="spellEnd"/>
      <w:r w:rsidRPr="00190CE5">
        <w:rPr>
          <w:rFonts w:asciiTheme="majorHAnsi" w:hAnsiTheme="majorHAnsi"/>
          <w:sz w:val="22"/>
        </w:rPr>
        <w:t xml:space="preserve"> et al.</w:t>
      </w:r>
      <w:r w:rsidRPr="00190CE5">
        <w:rPr>
          <w:rFonts w:asciiTheme="majorHAnsi" w:hAnsiTheme="majorHAnsi"/>
          <w:sz w:val="22"/>
          <w:vertAlign w:val="superscript"/>
        </w:rPr>
        <w:t>3</w:t>
      </w:r>
      <w:r w:rsidR="00810244" w:rsidRPr="00190CE5">
        <w:rPr>
          <w:rFonts w:asciiTheme="majorHAnsi" w:hAnsiTheme="majorHAnsi"/>
          <w:sz w:val="22"/>
          <w:vertAlign w:val="superscript"/>
        </w:rPr>
        <w:t>9</w:t>
      </w:r>
      <w:r w:rsidRPr="00190CE5">
        <w:rPr>
          <w:rFonts w:asciiTheme="majorHAnsi" w:hAnsiTheme="majorHAnsi"/>
          <w:sz w:val="22"/>
        </w:rPr>
        <w:t xml:space="preserve">; </w:t>
      </w:r>
      <w:proofErr w:type="spellStart"/>
      <w:r w:rsidRPr="00190CE5">
        <w:rPr>
          <w:rFonts w:asciiTheme="majorHAnsi" w:hAnsiTheme="majorHAnsi"/>
          <w:sz w:val="22"/>
          <w:vertAlign w:val="superscript"/>
        </w:rPr>
        <w:t>F</w:t>
      </w:r>
      <w:r w:rsidRPr="00190CE5">
        <w:rPr>
          <w:rFonts w:asciiTheme="majorHAnsi" w:hAnsiTheme="majorHAnsi"/>
          <w:sz w:val="22"/>
        </w:rPr>
        <w:t>Zhang</w:t>
      </w:r>
      <w:proofErr w:type="spellEnd"/>
      <w:r w:rsidRPr="00190CE5">
        <w:rPr>
          <w:rFonts w:asciiTheme="majorHAnsi" w:hAnsiTheme="majorHAnsi"/>
          <w:sz w:val="22"/>
        </w:rPr>
        <w:t xml:space="preserve"> et al.</w:t>
      </w:r>
      <w:r w:rsidR="00810244" w:rsidRPr="00190CE5">
        <w:rPr>
          <w:rFonts w:asciiTheme="majorHAnsi" w:hAnsiTheme="majorHAnsi"/>
          <w:sz w:val="22"/>
          <w:vertAlign w:val="superscript"/>
        </w:rPr>
        <w:t>40</w:t>
      </w:r>
      <w:r w:rsidRPr="00190CE5">
        <w:rPr>
          <w:rFonts w:asciiTheme="majorHAnsi" w:hAnsiTheme="majorHAnsi"/>
          <w:sz w:val="22"/>
        </w:rPr>
        <w:t>.</w:t>
      </w:r>
    </w:p>
    <w:p w14:paraId="684FFA1A" w14:textId="77777777" w:rsidR="00EC3C4D" w:rsidRPr="00190CE5" w:rsidRDefault="00EC3C4D" w:rsidP="00EC3C4D">
      <w:pPr>
        <w:spacing w:line="276" w:lineRule="auto"/>
        <w:jc w:val="left"/>
        <w:rPr>
          <w:rFonts w:asciiTheme="majorHAnsi" w:eastAsia="Calibri" w:hAnsiTheme="majorHAnsi" w:cs="Times New Roman"/>
          <w:b/>
          <w:bCs/>
          <w:sz w:val="22"/>
        </w:rPr>
      </w:pPr>
    </w:p>
    <w:p w14:paraId="2B6DBA42" w14:textId="3D9A3D67" w:rsidR="00CF2E77" w:rsidRPr="00190CE5" w:rsidRDefault="00EC3C4D" w:rsidP="00EC3C4D">
      <w:pPr>
        <w:spacing w:after="0"/>
        <w:rPr>
          <w:rFonts w:asciiTheme="majorHAnsi" w:eastAsia="Calibri" w:hAnsiTheme="majorHAnsi" w:cs="Times New Roman"/>
          <w:bCs/>
          <w:sz w:val="22"/>
        </w:rPr>
      </w:pPr>
      <w:r w:rsidRPr="00190CE5">
        <w:rPr>
          <w:rFonts w:asciiTheme="majorHAnsi" w:eastAsia="Calibri" w:hAnsiTheme="majorHAnsi" w:cs="Times New Roman"/>
          <w:b/>
          <w:bCs/>
          <w:sz w:val="22"/>
        </w:rPr>
        <w:t xml:space="preserve">Table 2.  </w:t>
      </w:r>
      <w:r w:rsidRPr="00190CE5">
        <w:rPr>
          <w:rFonts w:asciiTheme="majorHAnsi" w:eastAsia="Calibri" w:hAnsiTheme="majorHAnsi" w:cs="Times New Roman"/>
          <w:bCs/>
          <w:sz w:val="22"/>
        </w:rPr>
        <w:t xml:space="preserve">Best-fit values of whole-cell capacitance from DEP data, compared to published data derived from patch clamp studies. Sources: </w:t>
      </w:r>
      <w:proofErr w:type="spellStart"/>
      <w:r w:rsidRPr="00190CE5">
        <w:rPr>
          <w:rFonts w:asciiTheme="majorHAnsi" w:eastAsia="Calibri" w:hAnsiTheme="majorHAnsi" w:cs="Times New Roman"/>
          <w:bCs/>
          <w:sz w:val="22"/>
          <w:vertAlign w:val="superscript"/>
        </w:rPr>
        <w:t>A</w:t>
      </w:r>
      <w:r w:rsidRPr="00190CE5">
        <w:rPr>
          <w:rFonts w:asciiTheme="majorHAnsi" w:eastAsia="Calibri" w:hAnsiTheme="majorHAnsi" w:cs="Times New Roman"/>
          <w:bCs/>
          <w:sz w:val="22"/>
        </w:rPr>
        <w:t>Rodighiero</w:t>
      </w:r>
      <w:proofErr w:type="spellEnd"/>
      <w:r w:rsidRPr="00190CE5">
        <w:rPr>
          <w:rFonts w:asciiTheme="majorHAnsi" w:eastAsia="Calibri" w:hAnsiTheme="majorHAnsi" w:cs="Times New Roman"/>
          <w:bCs/>
          <w:sz w:val="22"/>
        </w:rPr>
        <w:t xml:space="preserve"> et al.</w:t>
      </w:r>
      <w:r w:rsidR="00810244" w:rsidRPr="00190CE5">
        <w:rPr>
          <w:rFonts w:asciiTheme="majorHAnsi" w:eastAsia="Calibri" w:hAnsiTheme="majorHAnsi" w:cs="Times New Roman"/>
          <w:bCs/>
          <w:sz w:val="22"/>
          <w:vertAlign w:val="superscript"/>
        </w:rPr>
        <w:t>41</w:t>
      </w:r>
      <w:r w:rsidRPr="00190CE5">
        <w:rPr>
          <w:rFonts w:asciiTheme="majorHAnsi" w:eastAsia="Calibri" w:hAnsiTheme="majorHAnsi" w:cs="Times New Roman"/>
          <w:bCs/>
          <w:sz w:val="22"/>
        </w:rPr>
        <w:t xml:space="preserve">; </w:t>
      </w:r>
      <w:proofErr w:type="spellStart"/>
      <w:r w:rsidRPr="00190CE5">
        <w:rPr>
          <w:rFonts w:asciiTheme="majorHAnsi" w:eastAsia="Calibri" w:hAnsiTheme="majorHAnsi" w:cs="Times New Roman"/>
          <w:bCs/>
          <w:sz w:val="22"/>
          <w:vertAlign w:val="superscript"/>
        </w:rPr>
        <w:t>B</w:t>
      </w:r>
      <w:r w:rsidRPr="00190CE5">
        <w:rPr>
          <w:rFonts w:asciiTheme="majorHAnsi" w:eastAsia="Calibri" w:hAnsiTheme="majorHAnsi" w:cs="Times New Roman"/>
          <w:bCs/>
          <w:sz w:val="22"/>
        </w:rPr>
        <w:t>Browning</w:t>
      </w:r>
      <w:proofErr w:type="spellEnd"/>
      <w:r w:rsidRPr="00190CE5">
        <w:rPr>
          <w:rFonts w:asciiTheme="majorHAnsi" w:eastAsia="Calibri" w:hAnsiTheme="majorHAnsi" w:cs="Times New Roman"/>
          <w:bCs/>
          <w:sz w:val="22"/>
        </w:rPr>
        <w:t xml:space="preserve"> et al.</w:t>
      </w:r>
      <w:r w:rsidR="00810244" w:rsidRPr="00190CE5">
        <w:rPr>
          <w:rFonts w:asciiTheme="majorHAnsi" w:eastAsia="Calibri" w:hAnsiTheme="majorHAnsi" w:cs="Times New Roman"/>
          <w:bCs/>
          <w:sz w:val="22"/>
          <w:vertAlign w:val="superscript"/>
        </w:rPr>
        <w:t>42</w:t>
      </w:r>
      <w:r w:rsidRPr="00190CE5">
        <w:rPr>
          <w:rFonts w:asciiTheme="majorHAnsi" w:eastAsia="Calibri" w:hAnsiTheme="majorHAnsi" w:cs="Times New Roman"/>
          <w:bCs/>
          <w:sz w:val="22"/>
        </w:rPr>
        <w:t xml:space="preserve">; </w:t>
      </w:r>
      <w:proofErr w:type="spellStart"/>
      <w:r w:rsidRPr="00190CE5">
        <w:rPr>
          <w:rFonts w:asciiTheme="majorHAnsi" w:eastAsia="Calibri" w:hAnsiTheme="majorHAnsi" w:cs="Times New Roman"/>
          <w:bCs/>
          <w:sz w:val="22"/>
          <w:vertAlign w:val="superscript"/>
        </w:rPr>
        <w:t>C</w:t>
      </w:r>
      <w:r w:rsidRPr="00190CE5">
        <w:rPr>
          <w:rFonts w:asciiTheme="majorHAnsi" w:eastAsia="Calibri" w:hAnsiTheme="majorHAnsi" w:cs="Times New Roman"/>
          <w:bCs/>
          <w:sz w:val="22"/>
        </w:rPr>
        <w:t>Maruyama</w:t>
      </w:r>
      <w:proofErr w:type="spellEnd"/>
      <w:r w:rsidRPr="00190CE5">
        <w:rPr>
          <w:rFonts w:asciiTheme="majorHAnsi" w:eastAsia="Calibri" w:hAnsiTheme="majorHAnsi" w:cs="Times New Roman"/>
          <w:bCs/>
          <w:sz w:val="22"/>
        </w:rPr>
        <w:t xml:space="preserve"> et al.</w:t>
      </w:r>
      <w:proofErr w:type="gramStart"/>
      <w:r w:rsidR="00810244" w:rsidRPr="00190CE5">
        <w:rPr>
          <w:rFonts w:asciiTheme="majorHAnsi" w:eastAsia="Calibri" w:hAnsiTheme="majorHAnsi" w:cs="Times New Roman"/>
          <w:bCs/>
          <w:sz w:val="22"/>
          <w:vertAlign w:val="superscript"/>
        </w:rPr>
        <w:t>43</w:t>
      </w:r>
      <w:r w:rsidRPr="00190CE5">
        <w:rPr>
          <w:rFonts w:asciiTheme="majorHAnsi" w:eastAsia="Calibri" w:hAnsiTheme="majorHAnsi" w:cs="Times New Roman"/>
          <w:bCs/>
          <w:sz w:val="22"/>
        </w:rPr>
        <w:t xml:space="preserve">;  </w:t>
      </w:r>
      <w:proofErr w:type="spellStart"/>
      <w:r w:rsidRPr="00190CE5">
        <w:rPr>
          <w:rFonts w:asciiTheme="majorHAnsi" w:eastAsia="Calibri" w:hAnsiTheme="majorHAnsi" w:cs="Times New Roman"/>
          <w:bCs/>
          <w:sz w:val="22"/>
          <w:vertAlign w:val="superscript"/>
        </w:rPr>
        <w:t>D</w:t>
      </w:r>
      <w:r w:rsidRPr="00190CE5">
        <w:rPr>
          <w:rFonts w:asciiTheme="majorHAnsi" w:eastAsia="Calibri" w:hAnsiTheme="majorHAnsi" w:cs="Times New Roman"/>
          <w:bCs/>
          <w:sz w:val="22"/>
        </w:rPr>
        <w:t>Tolhurst</w:t>
      </w:r>
      <w:proofErr w:type="spellEnd"/>
      <w:proofErr w:type="gramEnd"/>
      <w:r w:rsidRPr="00190CE5">
        <w:rPr>
          <w:rFonts w:asciiTheme="majorHAnsi" w:eastAsia="Calibri" w:hAnsiTheme="majorHAnsi" w:cs="Times New Roman"/>
          <w:bCs/>
          <w:sz w:val="22"/>
        </w:rPr>
        <w:t xml:space="preserve"> et al.</w:t>
      </w:r>
      <w:r w:rsidR="00810244" w:rsidRPr="00190CE5">
        <w:rPr>
          <w:rFonts w:asciiTheme="majorHAnsi" w:eastAsia="Calibri" w:hAnsiTheme="majorHAnsi" w:cs="Times New Roman"/>
          <w:bCs/>
          <w:sz w:val="22"/>
          <w:vertAlign w:val="superscript"/>
        </w:rPr>
        <w:t>44</w:t>
      </w:r>
      <w:r w:rsidRPr="00190CE5">
        <w:rPr>
          <w:rFonts w:asciiTheme="majorHAnsi" w:eastAsia="Calibri" w:hAnsiTheme="majorHAnsi" w:cs="Times New Roman"/>
          <w:bCs/>
          <w:sz w:val="22"/>
        </w:rPr>
        <w:t xml:space="preserve">; </w:t>
      </w:r>
      <w:proofErr w:type="spellStart"/>
      <w:r w:rsidRPr="00190CE5">
        <w:rPr>
          <w:rFonts w:asciiTheme="majorHAnsi" w:eastAsia="Calibri" w:hAnsiTheme="majorHAnsi" w:cs="Times New Roman"/>
          <w:bCs/>
          <w:sz w:val="22"/>
          <w:vertAlign w:val="superscript"/>
        </w:rPr>
        <w:t>E</w:t>
      </w:r>
      <w:r w:rsidRPr="00190CE5">
        <w:rPr>
          <w:rFonts w:asciiTheme="majorHAnsi" w:eastAsia="Calibri" w:hAnsiTheme="majorHAnsi" w:cs="Times New Roman"/>
          <w:bCs/>
          <w:sz w:val="22"/>
        </w:rPr>
        <w:t>Ross</w:t>
      </w:r>
      <w:proofErr w:type="spellEnd"/>
      <w:r w:rsidRPr="00190CE5">
        <w:rPr>
          <w:rFonts w:asciiTheme="majorHAnsi" w:eastAsia="Calibri" w:hAnsiTheme="majorHAnsi" w:cs="Times New Roman"/>
          <w:bCs/>
          <w:sz w:val="22"/>
        </w:rPr>
        <w:t xml:space="preserve"> et al.</w:t>
      </w:r>
      <w:r w:rsidR="00810244" w:rsidRPr="00190CE5">
        <w:rPr>
          <w:rFonts w:asciiTheme="majorHAnsi" w:eastAsia="Calibri" w:hAnsiTheme="majorHAnsi" w:cs="Times New Roman"/>
          <w:bCs/>
          <w:sz w:val="22"/>
          <w:vertAlign w:val="superscript"/>
        </w:rPr>
        <w:t>45</w:t>
      </w:r>
      <w:r w:rsidRPr="00190CE5">
        <w:rPr>
          <w:rFonts w:asciiTheme="majorHAnsi" w:eastAsia="Calibri" w:hAnsiTheme="majorHAnsi" w:cs="Times New Roman"/>
          <w:bCs/>
          <w:sz w:val="22"/>
        </w:rPr>
        <w:t xml:space="preserve">; </w:t>
      </w:r>
      <w:proofErr w:type="spellStart"/>
      <w:r w:rsidRPr="00190CE5">
        <w:rPr>
          <w:rFonts w:asciiTheme="majorHAnsi" w:eastAsia="Calibri" w:hAnsiTheme="majorHAnsi" w:cs="Times New Roman"/>
          <w:bCs/>
          <w:sz w:val="22"/>
          <w:vertAlign w:val="superscript"/>
        </w:rPr>
        <w:t>F</w:t>
      </w:r>
      <w:r w:rsidRPr="00190CE5">
        <w:rPr>
          <w:rFonts w:asciiTheme="majorHAnsi" w:eastAsia="Calibri" w:hAnsiTheme="majorHAnsi" w:cs="Times New Roman"/>
          <w:bCs/>
          <w:sz w:val="22"/>
        </w:rPr>
        <w:t>Hansen</w:t>
      </w:r>
      <w:proofErr w:type="spellEnd"/>
      <w:r w:rsidRPr="00190CE5">
        <w:rPr>
          <w:rFonts w:asciiTheme="majorHAnsi" w:eastAsia="Calibri" w:hAnsiTheme="majorHAnsi" w:cs="Times New Roman"/>
          <w:bCs/>
          <w:sz w:val="22"/>
        </w:rPr>
        <w:t xml:space="preserve"> et al.</w:t>
      </w:r>
      <w:r w:rsidR="00810244" w:rsidRPr="00190CE5">
        <w:rPr>
          <w:rFonts w:asciiTheme="majorHAnsi" w:eastAsia="Calibri" w:hAnsiTheme="majorHAnsi" w:cs="Times New Roman"/>
          <w:bCs/>
          <w:sz w:val="22"/>
          <w:vertAlign w:val="superscript"/>
        </w:rPr>
        <w:t>46</w:t>
      </w:r>
      <w:r w:rsidRPr="00190CE5">
        <w:rPr>
          <w:rFonts w:asciiTheme="majorHAnsi" w:eastAsia="Calibri" w:hAnsiTheme="majorHAnsi" w:cs="Times New Roman"/>
          <w:bCs/>
          <w:sz w:val="22"/>
        </w:rPr>
        <w:t xml:space="preserve">; </w:t>
      </w:r>
      <w:proofErr w:type="spellStart"/>
      <w:r w:rsidRPr="00190CE5">
        <w:rPr>
          <w:rFonts w:asciiTheme="majorHAnsi" w:eastAsia="Calibri" w:hAnsiTheme="majorHAnsi" w:cs="Times New Roman"/>
          <w:bCs/>
          <w:sz w:val="22"/>
          <w:vertAlign w:val="superscript"/>
        </w:rPr>
        <w:t>G</w:t>
      </w:r>
      <w:r w:rsidRPr="00190CE5">
        <w:rPr>
          <w:rFonts w:asciiTheme="majorHAnsi" w:eastAsia="Calibri" w:hAnsiTheme="majorHAnsi" w:cs="Times New Roman"/>
          <w:bCs/>
          <w:sz w:val="22"/>
        </w:rPr>
        <w:t>Smith</w:t>
      </w:r>
      <w:proofErr w:type="spellEnd"/>
      <w:r w:rsidRPr="00190CE5">
        <w:rPr>
          <w:rFonts w:asciiTheme="majorHAnsi" w:eastAsia="Calibri" w:hAnsiTheme="majorHAnsi" w:cs="Times New Roman"/>
          <w:bCs/>
          <w:sz w:val="22"/>
        </w:rPr>
        <w:t xml:space="preserve"> et al.</w:t>
      </w:r>
      <w:r w:rsidR="00810244" w:rsidRPr="00190CE5">
        <w:rPr>
          <w:rFonts w:asciiTheme="majorHAnsi" w:eastAsia="Calibri" w:hAnsiTheme="majorHAnsi" w:cs="Times New Roman"/>
          <w:bCs/>
          <w:sz w:val="22"/>
          <w:vertAlign w:val="superscript"/>
        </w:rPr>
        <w:t>47</w:t>
      </w:r>
      <w:r w:rsidRPr="00190CE5">
        <w:rPr>
          <w:rFonts w:asciiTheme="majorHAnsi" w:eastAsia="Calibri" w:hAnsiTheme="majorHAnsi" w:cs="Times New Roman"/>
          <w:bCs/>
          <w:sz w:val="22"/>
        </w:rPr>
        <w:t xml:space="preserve">. </w:t>
      </w:r>
      <w:bookmarkEnd w:id="2"/>
    </w:p>
    <w:p w14:paraId="55AE6EBD" w14:textId="77777777" w:rsidR="00CF2E77" w:rsidRPr="00190CE5" w:rsidRDefault="00CF2E77">
      <w:pPr>
        <w:spacing w:line="276" w:lineRule="auto"/>
        <w:jc w:val="left"/>
        <w:rPr>
          <w:rFonts w:asciiTheme="majorHAnsi" w:eastAsia="Calibri" w:hAnsiTheme="majorHAnsi" w:cs="Times New Roman"/>
          <w:bCs/>
          <w:sz w:val="22"/>
        </w:rPr>
      </w:pPr>
      <w:r w:rsidRPr="00190CE5">
        <w:rPr>
          <w:rFonts w:asciiTheme="majorHAnsi" w:eastAsia="Calibri" w:hAnsiTheme="majorHAnsi" w:cs="Times New Roman"/>
          <w:bCs/>
          <w:sz w:val="22"/>
        </w:rPr>
        <w:br w:type="page"/>
      </w:r>
    </w:p>
    <w:p w14:paraId="1D0EC126" w14:textId="26D257C5" w:rsidR="00CF2E77" w:rsidRPr="00190CE5" w:rsidRDefault="00CF2E77" w:rsidP="00CF2E77">
      <w:pPr>
        <w:spacing w:after="0"/>
        <w:rPr>
          <w:rFonts w:ascii="Cambria" w:hAnsi="Cambria"/>
          <w:sz w:val="22"/>
        </w:rPr>
      </w:pPr>
      <w:r w:rsidRPr="00190CE5">
        <w:rPr>
          <w:rFonts w:ascii="Cambria" w:hAnsi="Cambria"/>
          <w:sz w:val="22"/>
        </w:rPr>
        <w:lastRenderedPageBreak/>
        <w:t>Table 1.</w:t>
      </w:r>
    </w:p>
    <w:p w14:paraId="5A1483B4" w14:textId="77777777" w:rsidR="00CF2E77" w:rsidRPr="00190CE5" w:rsidRDefault="00CF2E77" w:rsidP="00CF2E77">
      <w:pPr>
        <w:keepNext/>
        <w:spacing w:after="0"/>
        <w:rPr>
          <w:rFonts w:ascii="Cambria" w:eastAsia="Calibri" w:hAnsi="Cambria" w:cs="Times New Roman"/>
          <w:b/>
          <w:bCs/>
          <w:sz w:val="22"/>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992"/>
        <w:gridCol w:w="3793"/>
      </w:tblGrid>
      <w:tr w:rsidR="00190CE5" w:rsidRPr="00190CE5" w14:paraId="166D9F91" w14:textId="77777777" w:rsidTr="00F2650D">
        <w:tc>
          <w:tcPr>
            <w:tcW w:w="3828" w:type="dxa"/>
            <w:tcBorders>
              <w:top w:val="nil"/>
              <w:left w:val="nil"/>
            </w:tcBorders>
          </w:tcPr>
          <w:p w14:paraId="600D735F" w14:textId="77777777" w:rsidR="00CF2E77" w:rsidRPr="00190CE5" w:rsidRDefault="00CF2E77" w:rsidP="00F2650D">
            <w:pPr>
              <w:spacing w:after="0"/>
              <w:rPr>
                <w:rFonts w:ascii="Cambria" w:hAnsi="Cambria"/>
              </w:rPr>
            </w:pPr>
          </w:p>
        </w:tc>
        <w:tc>
          <w:tcPr>
            <w:tcW w:w="992" w:type="dxa"/>
            <w:shd w:val="clear" w:color="auto" w:fill="F2F2F2" w:themeFill="background1" w:themeFillShade="F2"/>
          </w:tcPr>
          <w:p w14:paraId="7F0FDB53" w14:textId="77777777" w:rsidR="00CF2E77" w:rsidRPr="00190CE5" w:rsidRDefault="00CF2E77" w:rsidP="00F2650D">
            <w:pPr>
              <w:spacing w:after="0"/>
              <w:rPr>
                <w:rFonts w:ascii="Cambria" w:hAnsi="Cambria"/>
                <w:b/>
              </w:rPr>
            </w:pPr>
            <w:r w:rsidRPr="00190CE5">
              <w:rPr>
                <w:rFonts w:ascii="Cambria" w:hAnsi="Cambria"/>
                <w:b/>
                <w:sz w:val="22"/>
              </w:rPr>
              <w:t xml:space="preserve">3DEP </w:t>
            </w:r>
          </w:p>
        </w:tc>
        <w:tc>
          <w:tcPr>
            <w:tcW w:w="3793" w:type="dxa"/>
            <w:shd w:val="clear" w:color="auto" w:fill="F2F2F2" w:themeFill="background1" w:themeFillShade="F2"/>
          </w:tcPr>
          <w:p w14:paraId="1E5DFADD" w14:textId="77777777" w:rsidR="00CF2E77" w:rsidRPr="00190CE5" w:rsidRDefault="00CF2E77" w:rsidP="00F2650D">
            <w:pPr>
              <w:spacing w:after="0"/>
              <w:rPr>
                <w:rFonts w:ascii="Cambria" w:hAnsi="Cambria"/>
                <w:b/>
              </w:rPr>
            </w:pPr>
            <w:r w:rsidRPr="00190CE5">
              <w:rPr>
                <w:rFonts w:ascii="Cambria" w:hAnsi="Cambria"/>
                <w:b/>
                <w:sz w:val="22"/>
              </w:rPr>
              <w:t>Literature</w:t>
            </w:r>
          </w:p>
        </w:tc>
      </w:tr>
      <w:tr w:rsidR="00190CE5" w:rsidRPr="00190CE5" w14:paraId="3B6B593C" w14:textId="77777777" w:rsidTr="00F2650D">
        <w:tc>
          <w:tcPr>
            <w:tcW w:w="3828" w:type="dxa"/>
            <w:shd w:val="clear" w:color="auto" w:fill="F2F2F2" w:themeFill="background1" w:themeFillShade="F2"/>
          </w:tcPr>
          <w:p w14:paraId="068F48C2" w14:textId="77777777" w:rsidR="00CF2E77" w:rsidRPr="00190CE5" w:rsidRDefault="00CF2E77" w:rsidP="00F2650D">
            <w:pPr>
              <w:spacing w:after="0"/>
              <w:rPr>
                <w:rFonts w:ascii="Cambria" w:hAnsi="Cambria"/>
                <w:b/>
              </w:rPr>
            </w:pPr>
            <w:r w:rsidRPr="00190CE5">
              <w:rPr>
                <w:rFonts w:ascii="Cambria" w:hAnsi="Cambria"/>
                <w:b/>
                <w:sz w:val="22"/>
              </w:rPr>
              <w:t>Membrane capacitance (mF/m</w:t>
            </w:r>
            <w:r w:rsidRPr="00190CE5">
              <w:rPr>
                <w:rFonts w:ascii="Cambria" w:hAnsi="Cambria"/>
                <w:b/>
                <w:sz w:val="22"/>
                <w:vertAlign w:val="superscript"/>
              </w:rPr>
              <w:t>2</w:t>
            </w:r>
            <w:r w:rsidRPr="00190CE5">
              <w:rPr>
                <w:rFonts w:ascii="Cambria" w:hAnsi="Cambria"/>
                <w:b/>
                <w:sz w:val="22"/>
              </w:rPr>
              <w:t>)</w:t>
            </w:r>
          </w:p>
        </w:tc>
        <w:tc>
          <w:tcPr>
            <w:tcW w:w="992" w:type="dxa"/>
          </w:tcPr>
          <w:p w14:paraId="41E6EE1A" w14:textId="77777777" w:rsidR="00CF2E77" w:rsidRPr="00190CE5" w:rsidRDefault="00CF2E77" w:rsidP="00F2650D">
            <w:pPr>
              <w:spacing w:after="0"/>
              <w:rPr>
                <w:rFonts w:ascii="Cambria" w:hAnsi="Cambria"/>
              </w:rPr>
            </w:pPr>
            <w:r w:rsidRPr="00190CE5">
              <w:rPr>
                <w:rFonts w:ascii="Cambria" w:hAnsi="Cambria"/>
                <w:sz w:val="22"/>
              </w:rPr>
              <w:t>9.96</w:t>
            </w:r>
          </w:p>
        </w:tc>
        <w:tc>
          <w:tcPr>
            <w:tcW w:w="3793" w:type="dxa"/>
          </w:tcPr>
          <w:p w14:paraId="53493B0E" w14:textId="77777777" w:rsidR="00CF2E77" w:rsidRPr="00190CE5" w:rsidRDefault="00CF2E77" w:rsidP="00F2650D">
            <w:pPr>
              <w:spacing w:after="0"/>
              <w:rPr>
                <w:rFonts w:ascii="Cambria" w:hAnsi="Cambria"/>
              </w:rPr>
            </w:pPr>
            <w:r w:rsidRPr="00190CE5">
              <w:rPr>
                <w:rFonts w:ascii="Cambria" w:hAnsi="Cambria"/>
                <w:sz w:val="22"/>
              </w:rPr>
              <w:t xml:space="preserve">13.24 </w:t>
            </w:r>
            <w:r w:rsidRPr="00190CE5">
              <w:rPr>
                <w:rFonts w:ascii="Cambria" w:hAnsi="Cambria"/>
                <w:sz w:val="22"/>
                <w:vertAlign w:val="superscript"/>
              </w:rPr>
              <w:t>A</w:t>
            </w:r>
            <w:r w:rsidRPr="00190CE5">
              <w:rPr>
                <w:rFonts w:ascii="Cambria" w:hAnsi="Cambria"/>
                <w:sz w:val="22"/>
              </w:rPr>
              <w:t xml:space="preserve">; 13.5-14 </w:t>
            </w:r>
            <w:r w:rsidRPr="00190CE5">
              <w:rPr>
                <w:rFonts w:ascii="Cambria" w:hAnsi="Cambria"/>
                <w:sz w:val="22"/>
                <w:vertAlign w:val="superscript"/>
              </w:rPr>
              <w:t>B</w:t>
            </w:r>
            <w:r w:rsidRPr="00190CE5">
              <w:rPr>
                <w:rFonts w:ascii="Cambria" w:hAnsi="Cambria"/>
                <w:sz w:val="22"/>
              </w:rPr>
              <w:t xml:space="preserve">; 7.1 </w:t>
            </w:r>
            <w:r w:rsidRPr="00190CE5">
              <w:rPr>
                <w:rFonts w:ascii="Cambria" w:hAnsi="Cambria"/>
                <w:sz w:val="22"/>
                <w:vertAlign w:val="superscript"/>
              </w:rPr>
              <w:t>C</w:t>
            </w:r>
            <w:r w:rsidRPr="00190CE5">
              <w:rPr>
                <w:rFonts w:ascii="Cambria" w:hAnsi="Cambria"/>
                <w:sz w:val="22"/>
              </w:rPr>
              <w:t xml:space="preserve">; 7.6-10 </w:t>
            </w:r>
            <w:r w:rsidRPr="00190CE5">
              <w:rPr>
                <w:rFonts w:ascii="Cambria" w:hAnsi="Cambria"/>
                <w:sz w:val="22"/>
                <w:vertAlign w:val="superscript"/>
              </w:rPr>
              <w:t>D</w:t>
            </w:r>
            <w:r w:rsidRPr="00190CE5">
              <w:rPr>
                <w:rFonts w:ascii="Cambria" w:hAnsi="Cambria"/>
                <w:sz w:val="22"/>
              </w:rPr>
              <w:t xml:space="preserve">, 8.3 </w:t>
            </w:r>
            <w:r w:rsidRPr="00190CE5">
              <w:rPr>
                <w:rFonts w:ascii="Cambria" w:hAnsi="Cambria"/>
                <w:sz w:val="22"/>
                <w:vertAlign w:val="superscript"/>
              </w:rPr>
              <w:t>E</w:t>
            </w:r>
          </w:p>
        </w:tc>
      </w:tr>
      <w:tr w:rsidR="00190CE5" w:rsidRPr="00190CE5" w14:paraId="42A40562" w14:textId="77777777" w:rsidTr="00F2650D">
        <w:tc>
          <w:tcPr>
            <w:tcW w:w="3828" w:type="dxa"/>
            <w:shd w:val="clear" w:color="auto" w:fill="F2F2F2" w:themeFill="background1" w:themeFillShade="F2"/>
          </w:tcPr>
          <w:p w14:paraId="204B21C6" w14:textId="77777777" w:rsidR="00CF2E77" w:rsidRPr="00190CE5" w:rsidRDefault="00CF2E77" w:rsidP="00F2650D">
            <w:pPr>
              <w:spacing w:after="0"/>
              <w:rPr>
                <w:rFonts w:ascii="Cambria" w:hAnsi="Cambria"/>
                <w:b/>
              </w:rPr>
            </w:pPr>
            <w:r w:rsidRPr="00190CE5">
              <w:rPr>
                <w:rFonts w:ascii="Cambria" w:hAnsi="Cambria"/>
                <w:b/>
                <w:sz w:val="22"/>
              </w:rPr>
              <w:t>Membrane conductance (S/m</w:t>
            </w:r>
            <w:r w:rsidRPr="00190CE5">
              <w:rPr>
                <w:rFonts w:ascii="Cambria" w:hAnsi="Cambria"/>
                <w:b/>
                <w:sz w:val="22"/>
                <w:vertAlign w:val="superscript"/>
              </w:rPr>
              <w:t>2</w:t>
            </w:r>
            <w:r w:rsidRPr="00190CE5">
              <w:rPr>
                <w:rFonts w:ascii="Cambria" w:hAnsi="Cambria"/>
                <w:b/>
                <w:sz w:val="22"/>
              </w:rPr>
              <w:t>)</w:t>
            </w:r>
          </w:p>
        </w:tc>
        <w:tc>
          <w:tcPr>
            <w:tcW w:w="992" w:type="dxa"/>
          </w:tcPr>
          <w:p w14:paraId="7D5B6DA3" w14:textId="77777777" w:rsidR="00CF2E77" w:rsidRPr="00190CE5" w:rsidRDefault="00CF2E77" w:rsidP="00F2650D">
            <w:pPr>
              <w:spacing w:after="0"/>
              <w:rPr>
                <w:rFonts w:ascii="Cambria" w:hAnsi="Cambria"/>
              </w:rPr>
            </w:pPr>
            <w:r w:rsidRPr="00190CE5">
              <w:rPr>
                <w:rFonts w:ascii="Cambria" w:hAnsi="Cambria"/>
                <w:sz w:val="22"/>
              </w:rPr>
              <w:t>25</w:t>
            </w:r>
          </w:p>
        </w:tc>
        <w:tc>
          <w:tcPr>
            <w:tcW w:w="3793" w:type="dxa"/>
          </w:tcPr>
          <w:p w14:paraId="3789F5B5" w14:textId="77777777" w:rsidR="00CF2E77" w:rsidRPr="00190CE5" w:rsidRDefault="00CF2E77" w:rsidP="00F2650D">
            <w:pPr>
              <w:spacing w:after="0"/>
              <w:rPr>
                <w:rFonts w:ascii="Cambria" w:hAnsi="Cambria"/>
              </w:rPr>
            </w:pPr>
            <w:r w:rsidRPr="00190CE5">
              <w:rPr>
                <w:rFonts w:ascii="Cambria" w:hAnsi="Cambria"/>
                <w:sz w:val="22"/>
              </w:rPr>
              <w:t xml:space="preserve">35 -82 </w:t>
            </w:r>
            <w:r w:rsidRPr="00190CE5">
              <w:rPr>
                <w:rFonts w:ascii="Cambria" w:hAnsi="Cambria"/>
                <w:sz w:val="22"/>
                <w:vertAlign w:val="superscript"/>
              </w:rPr>
              <w:t>A</w:t>
            </w:r>
            <w:r w:rsidRPr="00190CE5">
              <w:rPr>
                <w:rFonts w:ascii="Cambria" w:hAnsi="Cambria"/>
                <w:sz w:val="22"/>
              </w:rPr>
              <w:t xml:space="preserve">; 137 </w:t>
            </w:r>
            <w:r w:rsidRPr="00190CE5">
              <w:rPr>
                <w:rFonts w:ascii="Cambria" w:hAnsi="Cambria"/>
                <w:sz w:val="22"/>
                <w:vertAlign w:val="superscript"/>
              </w:rPr>
              <w:t>C</w:t>
            </w:r>
            <w:r w:rsidRPr="00190CE5">
              <w:rPr>
                <w:rFonts w:ascii="Cambria" w:hAnsi="Cambria"/>
                <w:sz w:val="22"/>
              </w:rPr>
              <w:t xml:space="preserve">; 75 </w:t>
            </w:r>
            <w:r w:rsidRPr="00190CE5">
              <w:rPr>
                <w:rFonts w:ascii="Cambria" w:hAnsi="Cambria"/>
                <w:sz w:val="22"/>
                <w:vertAlign w:val="superscript"/>
              </w:rPr>
              <w:t>E</w:t>
            </w:r>
          </w:p>
        </w:tc>
      </w:tr>
      <w:tr w:rsidR="00190CE5" w:rsidRPr="00190CE5" w14:paraId="1B8031EE" w14:textId="77777777" w:rsidTr="00F2650D">
        <w:tc>
          <w:tcPr>
            <w:tcW w:w="3828" w:type="dxa"/>
            <w:shd w:val="clear" w:color="auto" w:fill="F2F2F2" w:themeFill="background1" w:themeFillShade="F2"/>
          </w:tcPr>
          <w:p w14:paraId="296F5845" w14:textId="77777777" w:rsidR="00CF2E77" w:rsidRPr="00190CE5" w:rsidRDefault="00CF2E77" w:rsidP="00F2650D">
            <w:pPr>
              <w:spacing w:after="0"/>
              <w:rPr>
                <w:rFonts w:ascii="Cambria" w:hAnsi="Cambria"/>
                <w:b/>
              </w:rPr>
            </w:pPr>
            <w:r w:rsidRPr="00190CE5">
              <w:rPr>
                <w:rFonts w:ascii="Cambria" w:hAnsi="Cambria"/>
                <w:b/>
                <w:sz w:val="22"/>
              </w:rPr>
              <w:t>Radius (</w:t>
            </w:r>
            <w:r w:rsidRPr="00190CE5">
              <w:rPr>
                <w:rFonts w:ascii="Cambria" w:eastAsia="Calibri" w:hAnsi="Cambria" w:cs="Times New Roman"/>
                <w:b/>
                <w:bCs/>
                <w:sz w:val="22"/>
              </w:rPr>
              <w:t xml:space="preserve">measured </w:t>
            </w:r>
            <w:proofErr w:type="spellStart"/>
            <w:r w:rsidRPr="00190CE5">
              <w:rPr>
                <w:rFonts w:ascii="Cambria" w:eastAsia="Calibri" w:hAnsi="Cambria" w:cs="Times New Roman"/>
                <w:b/>
                <w:bCs/>
                <w:sz w:val="22"/>
              </w:rPr>
              <w:t>optically,</w:t>
            </w:r>
            <w:r w:rsidRPr="00190CE5">
              <w:rPr>
                <w:rFonts w:ascii="Cambria" w:hAnsi="Cambria"/>
                <w:b/>
                <w:sz w:val="22"/>
              </w:rPr>
              <w:t>µm</w:t>
            </w:r>
            <w:proofErr w:type="spellEnd"/>
            <w:r w:rsidRPr="00190CE5">
              <w:rPr>
                <w:rFonts w:ascii="Cambria" w:hAnsi="Cambria"/>
                <w:b/>
                <w:sz w:val="22"/>
              </w:rPr>
              <w:t>)</w:t>
            </w:r>
          </w:p>
        </w:tc>
        <w:tc>
          <w:tcPr>
            <w:tcW w:w="992" w:type="dxa"/>
          </w:tcPr>
          <w:p w14:paraId="2F9A1679" w14:textId="77777777" w:rsidR="00CF2E77" w:rsidRPr="00190CE5" w:rsidRDefault="00CF2E77" w:rsidP="00F2650D">
            <w:pPr>
              <w:spacing w:after="0"/>
              <w:rPr>
                <w:rFonts w:ascii="Cambria" w:hAnsi="Cambria"/>
              </w:rPr>
            </w:pPr>
            <w:r w:rsidRPr="00190CE5">
              <w:rPr>
                <w:rFonts w:ascii="Cambria" w:hAnsi="Cambria"/>
                <w:sz w:val="22"/>
              </w:rPr>
              <w:t>6.5±0.9</w:t>
            </w:r>
          </w:p>
        </w:tc>
        <w:tc>
          <w:tcPr>
            <w:tcW w:w="3793" w:type="dxa"/>
          </w:tcPr>
          <w:p w14:paraId="455CFDC4" w14:textId="77777777" w:rsidR="00CF2E77" w:rsidRPr="00190CE5" w:rsidRDefault="00CF2E77" w:rsidP="00F2650D">
            <w:pPr>
              <w:spacing w:after="0"/>
              <w:rPr>
                <w:rFonts w:ascii="Cambria" w:hAnsi="Cambria"/>
              </w:rPr>
            </w:pPr>
            <w:r w:rsidRPr="00190CE5">
              <w:rPr>
                <w:rFonts w:ascii="Cambria" w:hAnsi="Cambria"/>
                <w:sz w:val="22"/>
              </w:rPr>
              <w:t xml:space="preserve">5.25 </w:t>
            </w:r>
            <w:r w:rsidRPr="00190CE5">
              <w:rPr>
                <w:rFonts w:ascii="Cambria" w:hAnsi="Cambria"/>
                <w:sz w:val="22"/>
                <w:vertAlign w:val="superscript"/>
              </w:rPr>
              <w:t>A</w:t>
            </w:r>
            <w:r w:rsidRPr="00190CE5">
              <w:rPr>
                <w:rFonts w:ascii="Cambria" w:hAnsi="Cambria"/>
                <w:sz w:val="22"/>
              </w:rPr>
              <w:t xml:space="preserve">; 7.4 </w:t>
            </w:r>
            <w:r w:rsidRPr="00190CE5">
              <w:rPr>
                <w:rFonts w:ascii="Cambria" w:hAnsi="Cambria"/>
                <w:sz w:val="22"/>
                <w:vertAlign w:val="superscript"/>
              </w:rPr>
              <w:t>B</w:t>
            </w:r>
            <w:r w:rsidRPr="00190CE5">
              <w:rPr>
                <w:rFonts w:ascii="Cambria" w:hAnsi="Cambria"/>
                <w:sz w:val="22"/>
              </w:rPr>
              <w:t xml:space="preserve">; 7.6 </w:t>
            </w:r>
            <w:r w:rsidRPr="00190CE5">
              <w:rPr>
                <w:rFonts w:ascii="Cambria" w:hAnsi="Cambria"/>
                <w:sz w:val="22"/>
                <w:vertAlign w:val="superscript"/>
              </w:rPr>
              <w:t>C</w:t>
            </w:r>
            <w:r w:rsidRPr="00190CE5">
              <w:rPr>
                <w:rFonts w:ascii="Cambria" w:hAnsi="Cambria"/>
                <w:sz w:val="22"/>
              </w:rPr>
              <w:t xml:space="preserve">; 5.18 </w:t>
            </w:r>
            <w:r w:rsidRPr="00190CE5">
              <w:rPr>
                <w:rFonts w:ascii="Cambria" w:hAnsi="Cambria"/>
                <w:sz w:val="22"/>
                <w:vertAlign w:val="superscript"/>
              </w:rPr>
              <w:t>D</w:t>
            </w:r>
            <w:r w:rsidRPr="00190CE5">
              <w:rPr>
                <w:rFonts w:ascii="Cambria" w:hAnsi="Cambria"/>
                <w:sz w:val="22"/>
              </w:rPr>
              <w:t xml:space="preserve">; 7.4 </w:t>
            </w:r>
            <w:r w:rsidRPr="00190CE5">
              <w:rPr>
                <w:rFonts w:ascii="Cambria" w:hAnsi="Cambria"/>
                <w:sz w:val="22"/>
                <w:vertAlign w:val="superscript"/>
              </w:rPr>
              <w:t>E</w:t>
            </w:r>
            <w:r w:rsidRPr="00190CE5">
              <w:rPr>
                <w:rFonts w:ascii="Cambria" w:hAnsi="Cambria"/>
                <w:sz w:val="22"/>
              </w:rPr>
              <w:t xml:space="preserve">; 5.5 </w:t>
            </w:r>
            <w:r w:rsidRPr="00190CE5">
              <w:rPr>
                <w:rFonts w:ascii="Cambria" w:hAnsi="Cambria"/>
                <w:sz w:val="22"/>
                <w:vertAlign w:val="superscript"/>
              </w:rPr>
              <w:t>F</w:t>
            </w:r>
          </w:p>
        </w:tc>
      </w:tr>
      <w:tr w:rsidR="00190CE5" w:rsidRPr="00190CE5" w14:paraId="6DB4E0E7" w14:textId="77777777" w:rsidTr="00F2650D">
        <w:tc>
          <w:tcPr>
            <w:tcW w:w="3828" w:type="dxa"/>
            <w:shd w:val="clear" w:color="auto" w:fill="F2F2F2" w:themeFill="background1" w:themeFillShade="F2"/>
          </w:tcPr>
          <w:p w14:paraId="20083641" w14:textId="77777777" w:rsidR="00CF2E77" w:rsidRPr="00190CE5" w:rsidRDefault="00CF2E77" w:rsidP="00F2650D">
            <w:pPr>
              <w:spacing w:after="0"/>
              <w:rPr>
                <w:rFonts w:ascii="Cambria" w:hAnsi="Cambria"/>
                <w:b/>
              </w:rPr>
            </w:pPr>
            <w:r w:rsidRPr="00190CE5">
              <w:rPr>
                <w:rFonts w:ascii="Cambria" w:hAnsi="Cambria"/>
                <w:b/>
                <w:sz w:val="22"/>
              </w:rPr>
              <w:t>Cytoplasm relative  permittivity</w:t>
            </w:r>
          </w:p>
        </w:tc>
        <w:tc>
          <w:tcPr>
            <w:tcW w:w="992" w:type="dxa"/>
          </w:tcPr>
          <w:p w14:paraId="76161754" w14:textId="77777777" w:rsidR="00CF2E77" w:rsidRPr="00190CE5" w:rsidRDefault="00CF2E77" w:rsidP="00F2650D">
            <w:pPr>
              <w:spacing w:after="0"/>
              <w:rPr>
                <w:rFonts w:ascii="Cambria" w:hAnsi="Cambria"/>
              </w:rPr>
            </w:pPr>
            <w:r w:rsidRPr="00190CE5">
              <w:rPr>
                <w:rFonts w:ascii="Cambria" w:hAnsi="Cambria"/>
                <w:sz w:val="22"/>
              </w:rPr>
              <w:t>60</w:t>
            </w:r>
          </w:p>
        </w:tc>
        <w:tc>
          <w:tcPr>
            <w:tcW w:w="3793" w:type="dxa"/>
          </w:tcPr>
          <w:p w14:paraId="4889E8CD" w14:textId="77777777" w:rsidR="00CF2E77" w:rsidRPr="00190CE5" w:rsidRDefault="00CF2E77" w:rsidP="00F2650D">
            <w:pPr>
              <w:spacing w:after="0"/>
              <w:rPr>
                <w:rFonts w:ascii="Cambria" w:hAnsi="Cambria"/>
              </w:rPr>
            </w:pPr>
            <w:r w:rsidRPr="00190CE5">
              <w:rPr>
                <w:rFonts w:ascii="Cambria" w:hAnsi="Cambria"/>
                <w:sz w:val="22"/>
              </w:rPr>
              <w:t xml:space="preserve">90 </w:t>
            </w:r>
            <w:r w:rsidRPr="00190CE5">
              <w:rPr>
                <w:rFonts w:ascii="Cambria" w:hAnsi="Cambria"/>
                <w:sz w:val="22"/>
                <w:vertAlign w:val="superscript"/>
              </w:rPr>
              <w:t>A</w:t>
            </w:r>
            <w:r w:rsidRPr="00190CE5">
              <w:rPr>
                <w:rFonts w:ascii="Cambria" w:hAnsi="Cambria"/>
                <w:sz w:val="22"/>
              </w:rPr>
              <w:t xml:space="preserve">; 80 </w:t>
            </w:r>
            <w:r w:rsidRPr="00190CE5">
              <w:rPr>
                <w:rFonts w:ascii="Cambria" w:hAnsi="Cambria"/>
                <w:sz w:val="22"/>
                <w:vertAlign w:val="superscript"/>
              </w:rPr>
              <w:t>E</w:t>
            </w:r>
            <w:r w:rsidRPr="00190CE5">
              <w:rPr>
                <w:rFonts w:ascii="Cambria" w:hAnsi="Cambria"/>
                <w:sz w:val="22"/>
              </w:rPr>
              <w:t xml:space="preserve">; 60 </w:t>
            </w:r>
            <w:r w:rsidRPr="00190CE5">
              <w:rPr>
                <w:rFonts w:ascii="Cambria" w:hAnsi="Cambria"/>
                <w:sz w:val="22"/>
                <w:vertAlign w:val="superscript"/>
              </w:rPr>
              <w:t>F</w:t>
            </w:r>
          </w:p>
        </w:tc>
      </w:tr>
      <w:tr w:rsidR="00190CE5" w:rsidRPr="00190CE5" w14:paraId="0AA79644" w14:textId="77777777" w:rsidTr="00F2650D">
        <w:tc>
          <w:tcPr>
            <w:tcW w:w="3828" w:type="dxa"/>
            <w:shd w:val="clear" w:color="auto" w:fill="F2F2F2" w:themeFill="background1" w:themeFillShade="F2"/>
          </w:tcPr>
          <w:p w14:paraId="4F24F55A" w14:textId="77777777" w:rsidR="00CF2E77" w:rsidRPr="00190CE5" w:rsidRDefault="00CF2E77" w:rsidP="00F2650D">
            <w:pPr>
              <w:spacing w:after="0"/>
              <w:rPr>
                <w:rFonts w:ascii="Cambria" w:hAnsi="Cambria"/>
                <w:b/>
              </w:rPr>
            </w:pPr>
            <w:r w:rsidRPr="00190CE5">
              <w:rPr>
                <w:rFonts w:ascii="Cambria" w:hAnsi="Cambria"/>
                <w:b/>
                <w:sz w:val="22"/>
              </w:rPr>
              <w:t>Cytoplasm conductivity (S/m)</w:t>
            </w:r>
          </w:p>
        </w:tc>
        <w:tc>
          <w:tcPr>
            <w:tcW w:w="992" w:type="dxa"/>
          </w:tcPr>
          <w:p w14:paraId="57E56C37" w14:textId="77777777" w:rsidR="00CF2E77" w:rsidRPr="00190CE5" w:rsidRDefault="00CF2E77" w:rsidP="00F2650D">
            <w:pPr>
              <w:spacing w:after="0"/>
              <w:rPr>
                <w:rFonts w:ascii="Cambria" w:hAnsi="Cambria"/>
              </w:rPr>
            </w:pPr>
            <w:r w:rsidRPr="00190CE5">
              <w:rPr>
                <w:rFonts w:ascii="Cambria" w:hAnsi="Cambria"/>
                <w:sz w:val="22"/>
              </w:rPr>
              <w:t>0.48</w:t>
            </w:r>
          </w:p>
        </w:tc>
        <w:tc>
          <w:tcPr>
            <w:tcW w:w="3793" w:type="dxa"/>
          </w:tcPr>
          <w:p w14:paraId="177550C0" w14:textId="77777777" w:rsidR="00CF2E77" w:rsidRPr="00190CE5" w:rsidRDefault="00CF2E77" w:rsidP="00F2650D">
            <w:pPr>
              <w:spacing w:after="0"/>
              <w:rPr>
                <w:rFonts w:ascii="Cambria" w:hAnsi="Cambria"/>
              </w:rPr>
            </w:pPr>
            <w:r w:rsidRPr="00190CE5">
              <w:rPr>
                <w:rFonts w:ascii="Cambria" w:hAnsi="Cambria"/>
                <w:sz w:val="22"/>
              </w:rPr>
              <w:t xml:space="preserve">0.7 </w:t>
            </w:r>
            <w:r w:rsidRPr="00190CE5">
              <w:rPr>
                <w:rFonts w:ascii="Cambria" w:hAnsi="Cambria"/>
                <w:sz w:val="22"/>
                <w:vertAlign w:val="superscript"/>
              </w:rPr>
              <w:t>A</w:t>
            </w:r>
            <w:r w:rsidRPr="00190CE5">
              <w:rPr>
                <w:rFonts w:ascii="Cambria" w:hAnsi="Cambria"/>
                <w:sz w:val="22"/>
              </w:rPr>
              <w:t xml:space="preserve">; 0.84-1.1 </w:t>
            </w:r>
            <w:r w:rsidRPr="00190CE5">
              <w:rPr>
                <w:rFonts w:ascii="Cambria" w:hAnsi="Cambria"/>
                <w:sz w:val="22"/>
                <w:vertAlign w:val="superscript"/>
              </w:rPr>
              <w:t>B</w:t>
            </w:r>
            <w:r w:rsidRPr="00190CE5">
              <w:rPr>
                <w:rFonts w:ascii="Cambria" w:hAnsi="Cambria"/>
                <w:sz w:val="22"/>
              </w:rPr>
              <w:t xml:space="preserve">; 0.25 </w:t>
            </w:r>
            <w:r w:rsidRPr="00190CE5">
              <w:rPr>
                <w:rFonts w:ascii="Cambria" w:hAnsi="Cambria"/>
                <w:sz w:val="22"/>
                <w:vertAlign w:val="superscript"/>
              </w:rPr>
              <w:t>D</w:t>
            </w:r>
            <w:r w:rsidRPr="00190CE5">
              <w:rPr>
                <w:rFonts w:ascii="Cambria" w:hAnsi="Cambria"/>
                <w:sz w:val="22"/>
              </w:rPr>
              <w:t xml:space="preserve">; 0.15 </w:t>
            </w:r>
            <w:r w:rsidRPr="00190CE5">
              <w:rPr>
                <w:rFonts w:ascii="Cambria" w:hAnsi="Cambria"/>
                <w:sz w:val="22"/>
                <w:vertAlign w:val="superscript"/>
              </w:rPr>
              <w:t>E</w:t>
            </w:r>
            <w:r w:rsidRPr="00190CE5">
              <w:rPr>
                <w:rFonts w:ascii="Cambria" w:hAnsi="Cambria"/>
                <w:sz w:val="22"/>
              </w:rPr>
              <w:t xml:space="preserve">; 0.3 </w:t>
            </w:r>
            <w:r w:rsidRPr="00190CE5">
              <w:rPr>
                <w:rFonts w:ascii="Cambria" w:hAnsi="Cambria"/>
                <w:sz w:val="22"/>
                <w:vertAlign w:val="superscript"/>
              </w:rPr>
              <w:t>F</w:t>
            </w:r>
          </w:p>
        </w:tc>
      </w:tr>
    </w:tbl>
    <w:p w14:paraId="5A3C713D" w14:textId="77777777" w:rsidR="00CF2E77" w:rsidRPr="00190CE5" w:rsidRDefault="00CF2E77" w:rsidP="00CF2E77">
      <w:pPr>
        <w:spacing w:after="0"/>
        <w:rPr>
          <w:rFonts w:ascii="Cambria" w:eastAsia="Calibri" w:hAnsi="Cambria" w:cs="Times New Roman"/>
          <w:b/>
          <w:bCs/>
          <w:sz w:val="22"/>
        </w:rPr>
      </w:pPr>
    </w:p>
    <w:p w14:paraId="36EC687A" w14:textId="594F032D" w:rsidR="00CF2E77" w:rsidRPr="00190CE5" w:rsidRDefault="00CF2E77">
      <w:pPr>
        <w:spacing w:line="276" w:lineRule="auto"/>
        <w:jc w:val="left"/>
        <w:rPr>
          <w:rFonts w:asciiTheme="majorHAnsi" w:eastAsia="Calibri" w:hAnsiTheme="majorHAnsi" w:cs="Times New Roman"/>
          <w:bCs/>
          <w:sz w:val="22"/>
        </w:rPr>
      </w:pPr>
      <w:r w:rsidRPr="00190CE5">
        <w:rPr>
          <w:rFonts w:asciiTheme="majorHAnsi" w:eastAsia="Calibri" w:hAnsiTheme="majorHAnsi" w:cs="Times New Roman"/>
          <w:bCs/>
          <w:sz w:val="22"/>
        </w:rPr>
        <w:br w:type="page"/>
      </w:r>
    </w:p>
    <w:p w14:paraId="4739BD59" w14:textId="40806F72" w:rsidR="00A876A6" w:rsidRPr="00190CE5" w:rsidRDefault="00CF2E77" w:rsidP="00EC3C4D">
      <w:pPr>
        <w:spacing w:after="0"/>
        <w:rPr>
          <w:rFonts w:asciiTheme="majorHAnsi" w:eastAsia="Calibri" w:hAnsiTheme="majorHAnsi" w:cs="Times New Roman"/>
          <w:bCs/>
          <w:sz w:val="22"/>
        </w:rPr>
      </w:pPr>
      <w:r w:rsidRPr="00190CE5">
        <w:rPr>
          <w:rFonts w:asciiTheme="majorHAnsi" w:eastAsia="Calibri" w:hAnsiTheme="majorHAnsi" w:cs="Times New Roman"/>
          <w:bCs/>
          <w:sz w:val="22"/>
        </w:rPr>
        <w:lastRenderedPageBreak/>
        <w:t>Table 2.</w:t>
      </w:r>
    </w:p>
    <w:p w14:paraId="25774F2C" w14:textId="77777777" w:rsidR="00CF2E77" w:rsidRPr="00190CE5" w:rsidRDefault="00CF2E77" w:rsidP="00CF2E77">
      <w:pPr>
        <w:spacing w:after="0"/>
        <w:rPr>
          <w:rFonts w:ascii="Cambria" w:eastAsia="Calibri" w:hAnsi="Cambria" w:cs="Times New Roman"/>
          <w:bCs/>
          <w:sz w:val="22"/>
        </w:rPr>
      </w:pPr>
    </w:p>
    <w:tbl>
      <w:tblPr>
        <w:tblW w:w="8354" w:type="dxa"/>
        <w:tblCellMar>
          <w:left w:w="0" w:type="dxa"/>
          <w:right w:w="0" w:type="dxa"/>
        </w:tblCellMar>
        <w:tblLook w:val="0420" w:firstRow="1" w:lastRow="0" w:firstColumn="0" w:lastColumn="0" w:noHBand="0" w:noVBand="1"/>
      </w:tblPr>
      <w:tblGrid>
        <w:gridCol w:w="1320"/>
        <w:gridCol w:w="2077"/>
        <w:gridCol w:w="4957"/>
      </w:tblGrid>
      <w:tr w:rsidR="00190CE5" w:rsidRPr="00190CE5" w14:paraId="3AC00463" w14:textId="77777777" w:rsidTr="00F2650D">
        <w:trPr>
          <w:trHeight w:val="242"/>
        </w:trPr>
        <w:tc>
          <w:tcPr>
            <w:tcW w:w="13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72" w:type="dxa"/>
              <w:left w:w="144" w:type="dxa"/>
              <w:bottom w:w="72" w:type="dxa"/>
              <w:right w:w="144" w:type="dxa"/>
            </w:tcMar>
            <w:hideMark/>
          </w:tcPr>
          <w:p w14:paraId="6D251649" w14:textId="77777777" w:rsidR="00CF2E77" w:rsidRPr="00190CE5" w:rsidRDefault="00CF2E77" w:rsidP="00F2650D">
            <w:pPr>
              <w:spacing w:after="0" w:line="240" w:lineRule="auto"/>
              <w:rPr>
                <w:rFonts w:ascii="Cambria" w:eastAsia="Calibri" w:hAnsi="Cambria" w:cs="Times New Roman"/>
                <w:b/>
                <w:bCs/>
                <w:sz w:val="22"/>
              </w:rPr>
            </w:pPr>
            <w:r w:rsidRPr="00190CE5">
              <w:rPr>
                <w:rFonts w:ascii="Cambria" w:eastAsia="Calibri" w:hAnsi="Cambria" w:cs="Times New Roman"/>
                <w:b/>
                <w:bCs/>
                <w:sz w:val="22"/>
              </w:rPr>
              <w:t>Cell type</w:t>
            </w:r>
          </w:p>
        </w:tc>
        <w:tc>
          <w:tcPr>
            <w:tcW w:w="20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72" w:type="dxa"/>
              <w:left w:w="144" w:type="dxa"/>
              <w:bottom w:w="72" w:type="dxa"/>
              <w:right w:w="144" w:type="dxa"/>
            </w:tcMar>
            <w:hideMark/>
          </w:tcPr>
          <w:p w14:paraId="42D4DD6A" w14:textId="77777777" w:rsidR="00CF2E77" w:rsidRPr="00190CE5" w:rsidRDefault="00CF2E77" w:rsidP="00F2650D">
            <w:pPr>
              <w:spacing w:after="0" w:line="240" w:lineRule="auto"/>
              <w:rPr>
                <w:rFonts w:ascii="Cambria" w:eastAsia="Calibri" w:hAnsi="Cambria" w:cs="Times New Roman"/>
                <w:b/>
                <w:bCs/>
                <w:sz w:val="22"/>
              </w:rPr>
            </w:pPr>
            <w:r w:rsidRPr="00190CE5">
              <w:rPr>
                <w:rFonts w:ascii="Cambria" w:eastAsia="Calibri" w:hAnsi="Cambria" w:cs="Times New Roman"/>
                <w:b/>
                <w:bCs/>
                <w:sz w:val="22"/>
              </w:rPr>
              <w:t>DEP (pF)</w:t>
            </w:r>
          </w:p>
        </w:tc>
        <w:tc>
          <w:tcPr>
            <w:tcW w:w="495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72" w:type="dxa"/>
              <w:left w:w="144" w:type="dxa"/>
              <w:bottom w:w="72" w:type="dxa"/>
              <w:right w:w="144" w:type="dxa"/>
            </w:tcMar>
            <w:hideMark/>
          </w:tcPr>
          <w:p w14:paraId="7B3EFEC0" w14:textId="77777777" w:rsidR="00CF2E77" w:rsidRPr="00190CE5" w:rsidRDefault="00CF2E77" w:rsidP="00F2650D">
            <w:pPr>
              <w:spacing w:after="0" w:line="240" w:lineRule="auto"/>
              <w:rPr>
                <w:rFonts w:ascii="Cambria" w:eastAsia="Calibri" w:hAnsi="Cambria" w:cs="Times New Roman"/>
                <w:b/>
                <w:bCs/>
                <w:sz w:val="22"/>
              </w:rPr>
            </w:pPr>
            <w:r w:rsidRPr="00190CE5">
              <w:rPr>
                <w:rFonts w:ascii="Cambria" w:eastAsia="Calibri" w:hAnsi="Cambria" w:cs="Times New Roman"/>
                <w:b/>
                <w:bCs/>
                <w:sz w:val="22"/>
              </w:rPr>
              <w:t>Literature  (pF)</w:t>
            </w:r>
          </w:p>
        </w:tc>
      </w:tr>
      <w:tr w:rsidR="00190CE5" w:rsidRPr="00190CE5" w14:paraId="1D96A4DB" w14:textId="77777777" w:rsidTr="00F2650D">
        <w:trPr>
          <w:trHeight w:val="263"/>
        </w:trPr>
        <w:tc>
          <w:tcPr>
            <w:tcW w:w="13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72" w:type="dxa"/>
              <w:left w:w="144" w:type="dxa"/>
              <w:bottom w:w="72" w:type="dxa"/>
              <w:right w:w="144" w:type="dxa"/>
            </w:tcMar>
            <w:hideMark/>
          </w:tcPr>
          <w:p w14:paraId="73750E85" w14:textId="77777777" w:rsidR="00CF2E77" w:rsidRPr="00190CE5" w:rsidRDefault="00CF2E77" w:rsidP="00F2650D">
            <w:pPr>
              <w:spacing w:after="0" w:line="240" w:lineRule="auto"/>
              <w:rPr>
                <w:rFonts w:ascii="Cambria" w:eastAsia="Calibri" w:hAnsi="Cambria" w:cs="Times New Roman"/>
                <w:b/>
                <w:bCs/>
                <w:sz w:val="22"/>
              </w:rPr>
            </w:pPr>
            <w:r w:rsidRPr="00190CE5">
              <w:rPr>
                <w:rFonts w:ascii="Cambria" w:eastAsia="Calibri" w:hAnsi="Cambria" w:cs="Times New Roman"/>
                <w:b/>
                <w:bCs/>
                <w:sz w:val="22"/>
              </w:rPr>
              <w:t>RBC</w:t>
            </w:r>
          </w:p>
        </w:tc>
        <w:tc>
          <w:tcPr>
            <w:tcW w:w="2077" w:type="dxa"/>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14:paraId="6CBB0C3C" w14:textId="77777777" w:rsidR="00CF2E77" w:rsidRPr="00190CE5" w:rsidRDefault="00CF2E77" w:rsidP="00F2650D">
            <w:pPr>
              <w:spacing w:after="0" w:line="240" w:lineRule="auto"/>
              <w:rPr>
                <w:rFonts w:ascii="Cambria" w:eastAsia="Calibri" w:hAnsi="Cambria" w:cs="Times New Roman"/>
                <w:bCs/>
                <w:sz w:val="22"/>
              </w:rPr>
            </w:pPr>
            <w:r w:rsidRPr="00190CE5">
              <w:rPr>
                <w:rFonts w:ascii="Cambria" w:eastAsia="Calibri" w:hAnsi="Cambria" w:cs="Times New Roman"/>
                <w:bCs/>
                <w:sz w:val="22"/>
              </w:rPr>
              <w:t xml:space="preserve">1.32 ± 0.02 </w:t>
            </w:r>
          </w:p>
        </w:tc>
        <w:tc>
          <w:tcPr>
            <w:tcW w:w="4957" w:type="dxa"/>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14:paraId="5ED146D1" w14:textId="77777777" w:rsidR="00CF2E77" w:rsidRPr="00190CE5" w:rsidRDefault="00CF2E77" w:rsidP="00F2650D">
            <w:pPr>
              <w:spacing w:after="0" w:line="240" w:lineRule="auto"/>
              <w:rPr>
                <w:rFonts w:ascii="Cambria" w:eastAsia="Calibri" w:hAnsi="Cambria" w:cs="Times New Roman"/>
                <w:bCs/>
                <w:sz w:val="22"/>
              </w:rPr>
            </w:pPr>
            <w:r w:rsidRPr="00190CE5">
              <w:rPr>
                <w:rFonts w:ascii="Cambria" w:eastAsia="Calibri" w:hAnsi="Cambria" w:cs="Times New Roman"/>
                <w:bCs/>
                <w:sz w:val="22"/>
              </w:rPr>
              <w:t xml:space="preserve">1.3-1.6 </w:t>
            </w:r>
            <w:r w:rsidRPr="00190CE5">
              <w:rPr>
                <w:rFonts w:ascii="Cambria" w:eastAsia="Calibri" w:hAnsi="Cambria" w:cs="Times New Roman"/>
                <w:bCs/>
                <w:sz w:val="22"/>
                <w:vertAlign w:val="superscript"/>
              </w:rPr>
              <w:t>A,B</w:t>
            </w:r>
          </w:p>
        </w:tc>
      </w:tr>
      <w:tr w:rsidR="00190CE5" w:rsidRPr="00190CE5" w14:paraId="2FA23653" w14:textId="77777777" w:rsidTr="00F2650D">
        <w:trPr>
          <w:trHeight w:val="269"/>
        </w:trPr>
        <w:tc>
          <w:tcPr>
            <w:tcW w:w="13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72" w:type="dxa"/>
              <w:left w:w="144" w:type="dxa"/>
              <w:bottom w:w="72" w:type="dxa"/>
              <w:right w:w="144" w:type="dxa"/>
            </w:tcMar>
            <w:hideMark/>
          </w:tcPr>
          <w:p w14:paraId="373F32BC" w14:textId="77777777" w:rsidR="00CF2E77" w:rsidRPr="00190CE5" w:rsidRDefault="00CF2E77" w:rsidP="00F2650D">
            <w:pPr>
              <w:spacing w:after="0" w:line="240" w:lineRule="auto"/>
              <w:rPr>
                <w:rFonts w:ascii="Cambria" w:eastAsia="Calibri" w:hAnsi="Cambria" w:cs="Times New Roman"/>
                <w:b/>
                <w:bCs/>
                <w:sz w:val="22"/>
              </w:rPr>
            </w:pPr>
            <w:r w:rsidRPr="00190CE5">
              <w:rPr>
                <w:rFonts w:ascii="Cambria" w:eastAsia="Calibri" w:hAnsi="Cambria" w:cs="Times New Roman"/>
                <w:b/>
                <w:bCs/>
                <w:sz w:val="22"/>
              </w:rPr>
              <w:t>Platelets</w:t>
            </w:r>
          </w:p>
        </w:tc>
        <w:tc>
          <w:tcPr>
            <w:tcW w:w="2077" w:type="dxa"/>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14:paraId="0E8A3396" w14:textId="77777777" w:rsidR="00CF2E77" w:rsidRPr="00190CE5" w:rsidRDefault="00CF2E77" w:rsidP="00F2650D">
            <w:pPr>
              <w:spacing w:after="0" w:line="240" w:lineRule="auto"/>
              <w:rPr>
                <w:rFonts w:ascii="Cambria" w:eastAsia="Calibri" w:hAnsi="Cambria" w:cs="Times New Roman"/>
                <w:bCs/>
                <w:sz w:val="22"/>
              </w:rPr>
            </w:pPr>
            <w:r w:rsidRPr="00190CE5">
              <w:rPr>
                <w:rFonts w:ascii="Cambria" w:eastAsia="Calibri" w:hAnsi="Cambria" w:cs="Times New Roman"/>
                <w:bCs/>
                <w:sz w:val="22"/>
              </w:rPr>
              <w:t xml:space="preserve">0.121 ± 0.007 </w:t>
            </w:r>
          </w:p>
        </w:tc>
        <w:tc>
          <w:tcPr>
            <w:tcW w:w="4957" w:type="dxa"/>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14:paraId="66E9BA70" w14:textId="77777777" w:rsidR="00CF2E77" w:rsidRPr="00190CE5" w:rsidRDefault="00CF2E77" w:rsidP="00F2650D">
            <w:pPr>
              <w:spacing w:after="0" w:line="240" w:lineRule="auto"/>
              <w:rPr>
                <w:rFonts w:ascii="Cambria" w:eastAsia="Calibri" w:hAnsi="Cambria" w:cs="Times New Roman"/>
                <w:bCs/>
                <w:sz w:val="22"/>
              </w:rPr>
            </w:pPr>
            <w:r w:rsidRPr="00190CE5">
              <w:rPr>
                <w:rFonts w:ascii="Cambria" w:eastAsia="Calibri" w:hAnsi="Cambria" w:cs="Times New Roman"/>
                <w:bCs/>
                <w:sz w:val="22"/>
              </w:rPr>
              <w:t xml:space="preserve">0.128 ± 0.008 </w:t>
            </w:r>
            <w:r w:rsidRPr="00190CE5">
              <w:rPr>
                <w:rFonts w:ascii="Cambria" w:eastAsia="Calibri" w:hAnsi="Cambria" w:cs="Times New Roman"/>
                <w:bCs/>
                <w:sz w:val="22"/>
                <w:vertAlign w:val="superscript"/>
              </w:rPr>
              <w:t>C, D</w:t>
            </w:r>
          </w:p>
        </w:tc>
      </w:tr>
      <w:tr w:rsidR="00190CE5" w:rsidRPr="00190CE5" w14:paraId="625A92A3" w14:textId="77777777" w:rsidTr="00F2650D">
        <w:trPr>
          <w:trHeight w:val="275"/>
        </w:trPr>
        <w:tc>
          <w:tcPr>
            <w:tcW w:w="13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72" w:type="dxa"/>
              <w:left w:w="144" w:type="dxa"/>
              <w:bottom w:w="72" w:type="dxa"/>
              <w:right w:w="144" w:type="dxa"/>
            </w:tcMar>
            <w:hideMark/>
          </w:tcPr>
          <w:p w14:paraId="7D0AED9C" w14:textId="77777777" w:rsidR="00CF2E77" w:rsidRPr="00190CE5" w:rsidRDefault="00CF2E77" w:rsidP="00F2650D">
            <w:pPr>
              <w:spacing w:after="0" w:line="240" w:lineRule="auto"/>
              <w:rPr>
                <w:rFonts w:ascii="Cambria" w:eastAsia="Calibri" w:hAnsi="Cambria" w:cs="Times New Roman"/>
                <w:b/>
                <w:bCs/>
                <w:sz w:val="22"/>
              </w:rPr>
            </w:pPr>
            <w:proofErr w:type="spellStart"/>
            <w:r w:rsidRPr="00190CE5">
              <w:rPr>
                <w:rFonts w:ascii="Cambria" w:eastAsia="Calibri" w:hAnsi="Cambria" w:cs="Times New Roman"/>
                <w:b/>
                <w:bCs/>
                <w:sz w:val="22"/>
              </w:rPr>
              <w:t>Jurkats</w:t>
            </w:r>
            <w:proofErr w:type="spellEnd"/>
          </w:p>
        </w:tc>
        <w:tc>
          <w:tcPr>
            <w:tcW w:w="2077" w:type="dxa"/>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14:paraId="274A633F" w14:textId="77777777" w:rsidR="00CF2E77" w:rsidRPr="00190CE5" w:rsidRDefault="00CF2E77" w:rsidP="00F2650D">
            <w:pPr>
              <w:spacing w:after="0" w:line="240" w:lineRule="auto"/>
              <w:rPr>
                <w:rFonts w:ascii="Cambria" w:eastAsia="Calibri" w:hAnsi="Cambria" w:cs="Times New Roman"/>
                <w:bCs/>
                <w:sz w:val="22"/>
              </w:rPr>
            </w:pPr>
            <w:r w:rsidRPr="00190CE5">
              <w:rPr>
                <w:rFonts w:ascii="Cambria" w:eastAsia="Calibri" w:hAnsi="Cambria" w:cs="Times New Roman"/>
                <w:bCs/>
                <w:sz w:val="22"/>
              </w:rPr>
              <w:t xml:space="preserve">5.3 ± 1.4  </w:t>
            </w:r>
          </w:p>
        </w:tc>
        <w:tc>
          <w:tcPr>
            <w:tcW w:w="4957" w:type="dxa"/>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14:paraId="6BCE3F2D" w14:textId="77777777" w:rsidR="00CF2E77" w:rsidRPr="00190CE5" w:rsidRDefault="00CF2E77" w:rsidP="00F2650D">
            <w:pPr>
              <w:spacing w:after="0" w:line="240" w:lineRule="auto"/>
              <w:rPr>
                <w:rFonts w:ascii="Cambria" w:eastAsia="Calibri" w:hAnsi="Cambria" w:cs="Times New Roman"/>
                <w:bCs/>
                <w:sz w:val="22"/>
              </w:rPr>
            </w:pPr>
            <w:r w:rsidRPr="00190CE5">
              <w:rPr>
                <w:rFonts w:ascii="Cambria" w:eastAsia="Calibri" w:hAnsi="Cambria" w:cs="Times New Roman"/>
                <w:bCs/>
                <w:sz w:val="22"/>
              </w:rPr>
              <w:t xml:space="preserve">7.5 ± 0.8 </w:t>
            </w:r>
            <w:r w:rsidRPr="00190CE5">
              <w:rPr>
                <w:rFonts w:ascii="Cambria" w:eastAsia="Calibri" w:hAnsi="Cambria" w:cs="Times New Roman"/>
                <w:bCs/>
                <w:sz w:val="22"/>
                <w:vertAlign w:val="superscript"/>
              </w:rPr>
              <w:t>E</w:t>
            </w:r>
          </w:p>
        </w:tc>
      </w:tr>
      <w:tr w:rsidR="00190CE5" w:rsidRPr="00190CE5" w14:paraId="6C6A8361" w14:textId="77777777" w:rsidTr="00F2650D">
        <w:trPr>
          <w:trHeight w:val="267"/>
        </w:trPr>
        <w:tc>
          <w:tcPr>
            <w:tcW w:w="13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72" w:type="dxa"/>
              <w:left w:w="144" w:type="dxa"/>
              <w:bottom w:w="72" w:type="dxa"/>
              <w:right w:w="144" w:type="dxa"/>
            </w:tcMar>
            <w:hideMark/>
          </w:tcPr>
          <w:p w14:paraId="47B869A1" w14:textId="77777777" w:rsidR="00CF2E77" w:rsidRPr="00190CE5" w:rsidRDefault="00CF2E77" w:rsidP="00F2650D">
            <w:pPr>
              <w:spacing w:after="0" w:line="240" w:lineRule="auto"/>
              <w:rPr>
                <w:rFonts w:ascii="Cambria" w:eastAsia="Calibri" w:hAnsi="Cambria" w:cs="Times New Roman"/>
                <w:b/>
                <w:bCs/>
                <w:sz w:val="22"/>
              </w:rPr>
            </w:pPr>
            <w:r w:rsidRPr="00190CE5">
              <w:rPr>
                <w:rFonts w:ascii="Cambria" w:eastAsia="Calibri" w:hAnsi="Cambria" w:cs="Times New Roman"/>
                <w:b/>
                <w:bCs/>
                <w:sz w:val="22"/>
              </w:rPr>
              <w:t>HL-1</w:t>
            </w:r>
          </w:p>
        </w:tc>
        <w:tc>
          <w:tcPr>
            <w:tcW w:w="2077" w:type="dxa"/>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14:paraId="08B92D58" w14:textId="77777777" w:rsidR="00CF2E77" w:rsidRPr="00190CE5" w:rsidRDefault="00CF2E77" w:rsidP="00F2650D">
            <w:pPr>
              <w:spacing w:after="0" w:line="240" w:lineRule="auto"/>
              <w:rPr>
                <w:rFonts w:ascii="Cambria" w:eastAsia="Calibri" w:hAnsi="Cambria" w:cs="Times New Roman"/>
                <w:bCs/>
                <w:sz w:val="22"/>
              </w:rPr>
            </w:pPr>
            <w:r w:rsidRPr="00190CE5">
              <w:rPr>
                <w:rFonts w:ascii="Cambria" w:eastAsia="Calibri" w:hAnsi="Cambria" w:cs="Times New Roman"/>
                <w:bCs/>
                <w:sz w:val="22"/>
              </w:rPr>
              <w:t>7.9 ± 1.4</w:t>
            </w:r>
          </w:p>
        </w:tc>
        <w:tc>
          <w:tcPr>
            <w:tcW w:w="4957" w:type="dxa"/>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14:paraId="430D3301" w14:textId="77777777" w:rsidR="00CF2E77" w:rsidRPr="00190CE5" w:rsidRDefault="00CF2E77" w:rsidP="00F2650D">
            <w:pPr>
              <w:spacing w:after="0" w:line="240" w:lineRule="auto"/>
              <w:rPr>
                <w:rFonts w:ascii="Cambria" w:eastAsia="Calibri" w:hAnsi="Cambria" w:cs="Times New Roman"/>
                <w:bCs/>
                <w:sz w:val="22"/>
              </w:rPr>
            </w:pPr>
            <w:r w:rsidRPr="00190CE5">
              <w:rPr>
                <w:rFonts w:ascii="Cambria" w:eastAsia="Calibri" w:hAnsi="Cambria" w:cs="Times New Roman"/>
                <w:bCs/>
                <w:sz w:val="22"/>
              </w:rPr>
              <w:t xml:space="preserve">9.9 ± 0.9 </w:t>
            </w:r>
            <w:r w:rsidRPr="00190CE5">
              <w:rPr>
                <w:rFonts w:ascii="Cambria" w:eastAsia="Calibri" w:hAnsi="Cambria" w:cs="Times New Roman"/>
                <w:bCs/>
                <w:sz w:val="22"/>
                <w:vertAlign w:val="superscript"/>
              </w:rPr>
              <w:t>F</w:t>
            </w:r>
          </w:p>
        </w:tc>
      </w:tr>
      <w:tr w:rsidR="00190CE5" w:rsidRPr="00190CE5" w14:paraId="7C6E1E38" w14:textId="77777777" w:rsidTr="00F2650D">
        <w:trPr>
          <w:trHeight w:val="273"/>
        </w:trPr>
        <w:tc>
          <w:tcPr>
            <w:tcW w:w="13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72" w:type="dxa"/>
              <w:left w:w="144" w:type="dxa"/>
              <w:bottom w:w="72" w:type="dxa"/>
              <w:right w:w="144" w:type="dxa"/>
            </w:tcMar>
            <w:hideMark/>
          </w:tcPr>
          <w:p w14:paraId="4D3F0E28" w14:textId="77777777" w:rsidR="00CF2E77" w:rsidRPr="00190CE5" w:rsidRDefault="00CF2E77" w:rsidP="00F2650D">
            <w:pPr>
              <w:spacing w:after="0" w:line="240" w:lineRule="auto"/>
              <w:rPr>
                <w:rFonts w:ascii="Cambria" w:eastAsia="Calibri" w:hAnsi="Cambria" w:cs="Times New Roman"/>
                <w:b/>
                <w:bCs/>
                <w:sz w:val="22"/>
              </w:rPr>
            </w:pPr>
            <w:r w:rsidRPr="00190CE5">
              <w:rPr>
                <w:rFonts w:ascii="Cambria" w:eastAsia="Calibri" w:hAnsi="Cambria" w:cs="Times New Roman"/>
                <w:b/>
                <w:bCs/>
                <w:sz w:val="22"/>
              </w:rPr>
              <w:t>K562</w:t>
            </w:r>
          </w:p>
        </w:tc>
        <w:tc>
          <w:tcPr>
            <w:tcW w:w="2077" w:type="dxa"/>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14:paraId="070F005B" w14:textId="77777777" w:rsidR="00CF2E77" w:rsidRPr="00190CE5" w:rsidRDefault="00CF2E77" w:rsidP="00F2650D">
            <w:pPr>
              <w:spacing w:after="0" w:line="240" w:lineRule="auto"/>
              <w:rPr>
                <w:rFonts w:ascii="Cambria" w:eastAsia="Calibri" w:hAnsi="Cambria" w:cs="Times New Roman"/>
                <w:bCs/>
                <w:sz w:val="22"/>
              </w:rPr>
            </w:pPr>
            <w:r w:rsidRPr="00190CE5">
              <w:rPr>
                <w:rFonts w:ascii="Cambria" w:eastAsia="Calibri" w:hAnsi="Cambria" w:cs="Times New Roman"/>
                <w:bCs/>
                <w:sz w:val="22"/>
              </w:rPr>
              <w:t xml:space="preserve">4 ± 0.5 </w:t>
            </w:r>
          </w:p>
        </w:tc>
        <w:tc>
          <w:tcPr>
            <w:tcW w:w="4957" w:type="dxa"/>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14:paraId="658D6525" w14:textId="77777777" w:rsidR="00CF2E77" w:rsidRPr="00190CE5" w:rsidRDefault="00CF2E77" w:rsidP="00F2650D">
            <w:pPr>
              <w:spacing w:after="0" w:line="240" w:lineRule="auto"/>
              <w:rPr>
                <w:rFonts w:ascii="Cambria" w:eastAsia="Calibri" w:hAnsi="Cambria" w:cs="Times New Roman"/>
                <w:bCs/>
                <w:sz w:val="22"/>
              </w:rPr>
            </w:pPr>
            <w:r w:rsidRPr="00190CE5">
              <w:rPr>
                <w:rFonts w:ascii="Cambria" w:eastAsia="Calibri" w:hAnsi="Cambria" w:cs="Times New Roman"/>
                <w:bCs/>
                <w:sz w:val="22"/>
              </w:rPr>
              <w:t xml:space="preserve">4-7 </w:t>
            </w:r>
            <w:r w:rsidRPr="00190CE5">
              <w:rPr>
                <w:rFonts w:ascii="Cambria" w:eastAsia="Calibri" w:hAnsi="Cambria" w:cs="Times New Roman"/>
                <w:bCs/>
                <w:sz w:val="22"/>
                <w:vertAlign w:val="superscript"/>
              </w:rPr>
              <w:t>G</w:t>
            </w:r>
          </w:p>
        </w:tc>
      </w:tr>
    </w:tbl>
    <w:p w14:paraId="278A4C1F" w14:textId="77777777" w:rsidR="00CF2E77" w:rsidRPr="00190CE5" w:rsidRDefault="00CF2E77" w:rsidP="00CF2E77">
      <w:pPr>
        <w:spacing w:after="0"/>
        <w:rPr>
          <w:rFonts w:ascii="Cambria" w:eastAsia="Calibri" w:hAnsi="Cambria" w:cs="Times New Roman"/>
          <w:b/>
          <w:bCs/>
          <w:sz w:val="22"/>
        </w:rPr>
      </w:pPr>
    </w:p>
    <w:p w14:paraId="7F970BD0" w14:textId="77777777" w:rsidR="00CF2E77" w:rsidRPr="00190CE5" w:rsidRDefault="00CF2E77" w:rsidP="00CF2E77">
      <w:pPr>
        <w:spacing w:after="0"/>
        <w:rPr>
          <w:rFonts w:ascii="Cambria" w:hAnsi="Cambria"/>
          <w:sz w:val="22"/>
        </w:rPr>
      </w:pPr>
    </w:p>
    <w:p w14:paraId="60AD207F" w14:textId="77777777" w:rsidR="00CF2E77" w:rsidRPr="00190CE5" w:rsidRDefault="00CF2E77" w:rsidP="00CF2E77">
      <w:pPr>
        <w:spacing w:after="0"/>
        <w:rPr>
          <w:rFonts w:ascii="Cambria" w:hAnsi="Cambria"/>
          <w:sz w:val="22"/>
        </w:rPr>
      </w:pPr>
    </w:p>
    <w:p w14:paraId="6CC4A4BD" w14:textId="77777777" w:rsidR="00CF2E77" w:rsidRPr="00190CE5" w:rsidRDefault="00CF2E77" w:rsidP="00CF2E77">
      <w:pPr>
        <w:spacing w:line="276" w:lineRule="auto"/>
        <w:jc w:val="left"/>
        <w:rPr>
          <w:rFonts w:ascii="Cambria" w:hAnsi="Cambria"/>
          <w:sz w:val="22"/>
        </w:rPr>
      </w:pPr>
    </w:p>
    <w:p w14:paraId="4EF0E97C" w14:textId="77777777" w:rsidR="00CF2E77" w:rsidRPr="00190CE5" w:rsidRDefault="00CF2E77" w:rsidP="00CF2E77">
      <w:pPr>
        <w:rPr>
          <w:rFonts w:ascii="Cambria" w:hAnsi="Cambria"/>
        </w:rPr>
      </w:pPr>
    </w:p>
    <w:p w14:paraId="79F175AA" w14:textId="77777777" w:rsidR="00CF2E77" w:rsidRPr="00190CE5" w:rsidRDefault="00CF2E77" w:rsidP="00EC3C4D">
      <w:pPr>
        <w:spacing w:after="0"/>
        <w:rPr>
          <w:rFonts w:asciiTheme="majorHAnsi" w:eastAsia="Calibri" w:hAnsiTheme="majorHAnsi" w:cs="Times New Roman"/>
          <w:bCs/>
          <w:sz w:val="22"/>
        </w:rPr>
      </w:pPr>
    </w:p>
    <w:sectPr w:rsidR="00CF2E77" w:rsidRPr="00190CE5" w:rsidSect="00361227">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781F32" w14:textId="77777777" w:rsidR="00D9556C" w:rsidRDefault="00D9556C">
      <w:pPr>
        <w:spacing w:after="0" w:line="240" w:lineRule="auto"/>
      </w:pPr>
      <w:r>
        <w:separator/>
      </w:r>
    </w:p>
  </w:endnote>
  <w:endnote w:type="continuationSeparator" w:id="0">
    <w:p w14:paraId="4267AF96" w14:textId="77777777" w:rsidR="00D9556C" w:rsidRDefault="00D9556C">
      <w:pPr>
        <w:spacing w:after="0" w:line="240" w:lineRule="auto"/>
      </w:pPr>
      <w:r>
        <w:continuationSeparator/>
      </w:r>
    </w:p>
  </w:endnote>
  <w:endnote w:type="continuationNotice" w:id="1">
    <w:p w14:paraId="777548DD" w14:textId="77777777" w:rsidR="00D9556C" w:rsidRDefault="00D9556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ヒラギノ角ゴ Pro W3">
    <w:charset w:val="4E"/>
    <w:family w:val="auto"/>
    <w:pitch w:val="variable"/>
    <w:sig w:usb0="E00002FF" w:usb1="7AC7FFFF" w:usb2="00000012" w:usb3="00000000" w:csb0="0002000D"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AFF" w:usb1="C0007841"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93357"/>
      <w:docPartObj>
        <w:docPartGallery w:val="Page Numbers (Bottom of Page)"/>
        <w:docPartUnique/>
      </w:docPartObj>
    </w:sdtPr>
    <w:sdtEndPr/>
    <w:sdtContent>
      <w:p w14:paraId="3440818C" w14:textId="55B5EC09" w:rsidR="00622347" w:rsidRDefault="00622347">
        <w:pPr>
          <w:pStyle w:val="Footer"/>
          <w:jc w:val="center"/>
        </w:pPr>
        <w:r>
          <w:fldChar w:fldCharType="begin"/>
        </w:r>
        <w:r>
          <w:instrText xml:space="preserve"> PAGE   \* MERGEFORMAT </w:instrText>
        </w:r>
        <w:r>
          <w:fldChar w:fldCharType="separate"/>
        </w:r>
        <w:r w:rsidR="002355CF">
          <w:rPr>
            <w:noProof/>
          </w:rPr>
          <w:t>22</w:t>
        </w:r>
        <w:r>
          <w:rPr>
            <w:noProof/>
          </w:rPr>
          <w:fldChar w:fldCharType="end"/>
        </w:r>
      </w:p>
    </w:sdtContent>
  </w:sdt>
  <w:p w14:paraId="29B6A783" w14:textId="77777777" w:rsidR="00622347" w:rsidRDefault="0062234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1E56C7" w14:textId="77777777" w:rsidR="00D9556C" w:rsidRDefault="00D9556C">
      <w:pPr>
        <w:spacing w:after="0" w:line="240" w:lineRule="auto"/>
      </w:pPr>
      <w:r>
        <w:separator/>
      </w:r>
    </w:p>
  </w:footnote>
  <w:footnote w:type="continuationSeparator" w:id="0">
    <w:p w14:paraId="1391A7B0" w14:textId="77777777" w:rsidR="00D9556C" w:rsidRDefault="00D9556C">
      <w:pPr>
        <w:spacing w:after="0" w:line="240" w:lineRule="auto"/>
      </w:pPr>
      <w:r>
        <w:continuationSeparator/>
      </w:r>
    </w:p>
  </w:footnote>
  <w:footnote w:type="continuationNotice" w:id="1">
    <w:p w14:paraId="42A5673E" w14:textId="77777777" w:rsidR="00D9556C" w:rsidRDefault="00D9556C">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0D279B" w14:textId="77777777" w:rsidR="00622347" w:rsidRDefault="0062234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832E9"/>
    <w:multiLevelType w:val="hybridMultilevel"/>
    <w:tmpl w:val="C02872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111A30"/>
    <w:multiLevelType w:val="hybridMultilevel"/>
    <w:tmpl w:val="8F2AC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FD75B8"/>
    <w:multiLevelType w:val="multilevel"/>
    <w:tmpl w:val="61C67FE6"/>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BC8247D"/>
    <w:multiLevelType w:val="multilevel"/>
    <w:tmpl w:val="28CA3F64"/>
    <w:lvl w:ilvl="0">
      <w:start w:val="4"/>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69B5A60"/>
    <w:multiLevelType w:val="hybridMultilevel"/>
    <w:tmpl w:val="E0E41334"/>
    <w:lvl w:ilvl="0" w:tplc="3044E71E">
      <w:start w:val="1"/>
      <w:numFmt w:val="decimal"/>
      <w:lvlText w:val="5.%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A3879EB"/>
    <w:multiLevelType w:val="multilevel"/>
    <w:tmpl w:val="CF8E1860"/>
    <w:lvl w:ilvl="0">
      <w:start w:val="4"/>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225308F8"/>
    <w:multiLevelType w:val="hybridMultilevel"/>
    <w:tmpl w:val="76761A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19558CF"/>
    <w:multiLevelType w:val="multilevel"/>
    <w:tmpl w:val="38B8752C"/>
    <w:lvl w:ilvl="0">
      <w:start w:val="5"/>
      <w:numFmt w:val="decimal"/>
      <w:lvlText w:val="%1."/>
      <w:lvlJc w:val="left"/>
      <w:pPr>
        <w:ind w:left="420" w:hanging="420"/>
      </w:pPr>
      <w:rPr>
        <w:rFonts w:hint="default"/>
      </w:rPr>
    </w:lvl>
    <w:lvl w:ilvl="1">
      <w:start w:val="1"/>
      <w:numFmt w:val="decimal"/>
      <w:pStyle w:val="Heading2"/>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333F3674"/>
    <w:multiLevelType w:val="multilevel"/>
    <w:tmpl w:val="64D2678E"/>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4EB5F7F"/>
    <w:multiLevelType w:val="hybridMultilevel"/>
    <w:tmpl w:val="897CE8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7893B02"/>
    <w:multiLevelType w:val="hybridMultilevel"/>
    <w:tmpl w:val="28E68E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3113357"/>
    <w:multiLevelType w:val="hybridMultilevel"/>
    <w:tmpl w:val="E83CCC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70E23C5"/>
    <w:multiLevelType w:val="hybridMultilevel"/>
    <w:tmpl w:val="C994D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7F3000A"/>
    <w:multiLevelType w:val="hybridMultilevel"/>
    <w:tmpl w:val="70D4E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F7B72DE"/>
    <w:multiLevelType w:val="hybridMultilevel"/>
    <w:tmpl w:val="E2543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8D23CE9"/>
    <w:multiLevelType w:val="multilevel"/>
    <w:tmpl w:val="0520FBAA"/>
    <w:lvl w:ilvl="0">
      <w:start w:val="4"/>
      <w:numFmt w:val="decimal"/>
      <w:lvlText w:val="%1."/>
      <w:lvlJc w:val="left"/>
      <w:pPr>
        <w:ind w:left="420" w:hanging="4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15:restartNumberingAfterBreak="0">
    <w:nsid w:val="5F517E4D"/>
    <w:multiLevelType w:val="hybridMultilevel"/>
    <w:tmpl w:val="68202052"/>
    <w:lvl w:ilvl="0" w:tplc="E2B4AB7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51F3288"/>
    <w:multiLevelType w:val="hybridMultilevel"/>
    <w:tmpl w:val="820C742E"/>
    <w:lvl w:ilvl="0" w:tplc="62EAFF2A">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8" w15:restartNumberingAfterBreak="0">
    <w:nsid w:val="72A616F0"/>
    <w:multiLevelType w:val="hybridMultilevel"/>
    <w:tmpl w:val="5380E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65C7406"/>
    <w:multiLevelType w:val="hybridMultilevel"/>
    <w:tmpl w:val="18F272EC"/>
    <w:lvl w:ilvl="0" w:tplc="E7181E7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A347688"/>
    <w:multiLevelType w:val="hybridMultilevel"/>
    <w:tmpl w:val="95765774"/>
    <w:lvl w:ilvl="0" w:tplc="B2305E92">
      <w:start w:val="1"/>
      <w:numFmt w:val="decimal"/>
      <w:lvlText w:val="%1."/>
      <w:lvlJc w:val="left"/>
      <w:pPr>
        <w:ind w:left="720" w:hanging="360"/>
      </w:pPr>
      <w:rPr>
        <w:rFonts w:eastAsia="Calibri"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4"/>
  </w:num>
  <w:num w:numId="3">
    <w:abstractNumId w:val="0"/>
  </w:num>
  <w:num w:numId="4">
    <w:abstractNumId w:val="17"/>
  </w:num>
  <w:num w:numId="5">
    <w:abstractNumId w:val="7"/>
  </w:num>
  <w:num w:numId="6">
    <w:abstractNumId w:val="15"/>
  </w:num>
  <w:num w:numId="7">
    <w:abstractNumId w:val="5"/>
  </w:num>
  <w:num w:numId="8">
    <w:abstractNumId w:val="14"/>
  </w:num>
  <w:num w:numId="9">
    <w:abstractNumId w:val="13"/>
  </w:num>
  <w:num w:numId="10">
    <w:abstractNumId w:val="9"/>
  </w:num>
  <w:num w:numId="11">
    <w:abstractNumId w:val="18"/>
  </w:num>
  <w:num w:numId="12">
    <w:abstractNumId w:val="8"/>
  </w:num>
  <w:num w:numId="13">
    <w:abstractNumId w:val="3"/>
  </w:num>
  <w:num w:numId="14">
    <w:abstractNumId w:val="1"/>
  </w:num>
  <w:num w:numId="15">
    <w:abstractNumId w:val="12"/>
  </w:num>
  <w:num w:numId="16">
    <w:abstractNumId w:val="10"/>
  </w:num>
  <w:num w:numId="17">
    <w:abstractNumId w:val="11"/>
  </w:num>
  <w:num w:numId="18">
    <w:abstractNumId w:val="19"/>
  </w:num>
  <w:num w:numId="19">
    <w:abstractNumId w:val="20"/>
  </w:num>
  <w:num w:numId="20">
    <w:abstractNumId w:val="2"/>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1E7"/>
    <w:rsid w:val="000035FB"/>
    <w:rsid w:val="00003E19"/>
    <w:rsid w:val="00010396"/>
    <w:rsid w:val="000109A6"/>
    <w:rsid w:val="000118FC"/>
    <w:rsid w:val="000142C4"/>
    <w:rsid w:val="000209FA"/>
    <w:rsid w:val="0002263D"/>
    <w:rsid w:val="0003111B"/>
    <w:rsid w:val="000363D6"/>
    <w:rsid w:val="000373E7"/>
    <w:rsid w:val="00047DCF"/>
    <w:rsid w:val="00050848"/>
    <w:rsid w:val="00053592"/>
    <w:rsid w:val="00053DF5"/>
    <w:rsid w:val="00055993"/>
    <w:rsid w:val="00057754"/>
    <w:rsid w:val="00064538"/>
    <w:rsid w:val="000645A1"/>
    <w:rsid w:val="00064BB7"/>
    <w:rsid w:val="0007094E"/>
    <w:rsid w:val="00070962"/>
    <w:rsid w:val="00073C8F"/>
    <w:rsid w:val="00086C5B"/>
    <w:rsid w:val="000A3E79"/>
    <w:rsid w:val="000A5934"/>
    <w:rsid w:val="000A759C"/>
    <w:rsid w:val="000A7BFD"/>
    <w:rsid w:val="000B6A1E"/>
    <w:rsid w:val="000C0587"/>
    <w:rsid w:val="000C0A81"/>
    <w:rsid w:val="000C1E11"/>
    <w:rsid w:val="000C2E5B"/>
    <w:rsid w:val="000C3434"/>
    <w:rsid w:val="000D452E"/>
    <w:rsid w:val="000D4C78"/>
    <w:rsid w:val="000E0FA1"/>
    <w:rsid w:val="000E3F69"/>
    <w:rsid w:val="000E5C4B"/>
    <w:rsid w:val="000E6507"/>
    <w:rsid w:val="000F1A7F"/>
    <w:rsid w:val="000F2E12"/>
    <w:rsid w:val="000F38FA"/>
    <w:rsid w:val="000F66B2"/>
    <w:rsid w:val="0010517A"/>
    <w:rsid w:val="00105B21"/>
    <w:rsid w:val="00107986"/>
    <w:rsid w:val="001105A5"/>
    <w:rsid w:val="00111C55"/>
    <w:rsid w:val="00113E65"/>
    <w:rsid w:val="00114549"/>
    <w:rsid w:val="00115F2F"/>
    <w:rsid w:val="00116104"/>
    <w:rsid w:val="00116470"/>
    <w:rsid w:val="00116D1C"/>
    <w:rsid w:val="00120EF8"/>
    <w:rsid w:val="001212A7"/>
    <w:rsid w:val="001222FC"/>
    <w:rsid w:val="00126D7A"/>
    <w:rsid w:val="0013263F"/>
    <w:rsid w:val="00133563"/>
    <w:rsid w:val="00135CAC"/>
    <w:rsid w:val="00136BF8"/>
    <w:rsid w:val="001408AA"/>
    <w:rsid w:val="0014216F"/>
    <w:rsid w:val="00143AE2"/>
    <w:rsid w:val="00144FBD"/>
    <w:rsid w:val="001507F3"/>
    <w:rsid w:val="001548DC"/>
    <w:rsid w:val="00156DA6"/>
    <w:rsid w:val="00156F4F"/>
    <w:rsid w:val="00157940"/>
    <w:rsid w:val="00157E81"/>
    <w:rsid w:val="0016088E"/>
    <w:rsid w:val="001666FA"/>
    <w:rsid w:val="00171AF1"/>
    <w:rsid w:val="00176979"/>
    <w:rsid w:val="001811A2"/>
    <w:rsid w:val="001822DB"/>
    <w:rsid w:val="0018569D"/>
    <w:rsid w:val="00190CE5"/>
    <w:rsid w:val="001951CC"/>
    <w:rsid w:val="00197A5D"/>
    <w:rsid w:val="001A360B"/>
    <w:rsid w:val="001A7CF0"/>
    <w:rsid w:val="001B1AD6"/>
    <w:rsid w:val="001B1ADC"/>
    <w:rsid w:val="001B4A24"/>
    <w:rsid w:val="001B57C8"/>
    <w:rsid w:val="001B7A8D"/>
    <w:rsid w:val="001C0CB1"/>
    <w:rsid w:val="001C6FE0"/>
    <w:rsid w:val="001D2E91"/>
    <w:rsid w:val="001D3215"/>
    <w:rsid w:val="001D5247"/>
    <w:rsid w:val="001D7256"/>
    <w:rsid w:val="001E0AFA"/>
    <w:rsid w:val="001E2741"/>
    <w:rsid w:val="001E4C81"/>
    <w:rsid w:val="001E4D50"/>
    <w:rsid w:val="001F2398"/>
    <w:rsid w:val="001F2B7E"/>
    <w:rsid w:val="001F2F82"/>
    <w:rsid w:val="001F72DB"/>
    <w:rsid w:val="002004B0"/>
    <w:rsid w:val="00203D02"/>
    <w:rsid w:val="00204BF0"/>
    <w:rsid w:val="00210D05"/>
    <w:rsid w:val="00223CD1"/>
    <w:rsid w:val="00223D9B"/>
    <w:rsid w:val="0022550E"/>
    <w:rsid w:val="002276D9"/>
    <w:rsid w:val="002309CB"/>
    <w:rsid w:val="00232596"/>
    <w:rsid w:val="002355CF"/>
    <w:rsid w:val="00235689"/>
    <w:rsid w:val="00240522"/>
    <w:rsid w:val="002474E6"/>
    <w:rsid w:val="0025003A"/>
    <w:rsid w:val="00250D8B"/>
    <w:rsid w:val="00251320"/>
    <w:rsid w:val="0026250B"/>
    <w:rsid w:val="0026653F"/>
    <w:rsid w:val="00273468"/>
    <w:rsid w:val="00274C96"/>
    <w:rsid w:val="00274FF9"/>
    <w:rsid w:val="00281199"/>
    <w:rsid w:val="002820AA"/>
    <w:rsid w:val="002824C2"/>
    <w:rsid w:val="00282BEA"/>
    <w:rsid w:val="00291A5B"/>
    <w:rsid w:val="00292CEA"/>
    <w:rsid w:val="00293C82"/>
    <w:rsid w:val="00296F9F"/>
    <w:rsid w:val="002A0510"/>
    <w:rsid w:val="002A0FC6"/>
    <w:rsid w:val="002A5413"/>
    <w:rsid w:val="002B266E"/>
    <w:rsid w:val="002B4BF2"/>
    <w:rsid w:val="002B62B3"/>
    <w:rsid w:val="002C244C"/>
    <w:rsid w:val="002C7E2A"/>
    <w:rsid w:val="002D03A9"/>
    <w:rsid w:val="002D2A41"/>
    <w:rsid w:val="002D7840"/>
    <w:rsid w:val="002E1DC4"/>
    <w:rsid w:val="002E59FE"/>
    <w:rsid w:val="002E6DE5"/>
    <w:rsid w:val="002E7614"/>
    <w:rsid w:val="002E7B39"/>
    <w:rsid w:val="002F0115"/>
    <w:rsid w:val="002F29C9"/>
    <w:rsid w:val="002F2F92"/>
    <w:rsid w:val="002F3586"/>
    <w:rsid w:val="002F6B20"/>
    <w:rsid w:val="00300A7D"/>
    <w:rsid w:val="0030622E"/>
    <w:rsid w:val="00307E14"/>
    <w:rsid w:val="00314D23"/>
    <w:rsid w:val="003160B1"/>
    <w:rsid w:val="00316880"/>
    <w:rsid w:val="00325CFD"/>
    <w:rsid w:val="00331300"/>
    <w:rsid w:val="00332A20"/>
    <w:rsid w:val="00335D7D"/>
    <w:rsid w:val="00337306"/>
    <w:rsid w:val="00340E5C"/>
    <w:rsid w:val="00342E86"/>
    <w:rsid w:val="003448D3"/>
    <w:rsid w:val="00345732"/>
    <w:rsid w:val="00347AE7"/>
    <w:rsid w:val="003531FB"/>
    <w:rsid w:val="00353761"/>
    <w:rsid w:val="003552B6"/>
    <w:rsid w:val="003562B1"/>
    <w:rsid w:val="00356383"/>
    <w:rsid w:val="00361227"/>
    <w:rsid w:val="00366F7D"/>
    <w:rsid w:val="0037011A"/>
    <w:rsid w:val="00371AF0"/>
    <w:rsid w:val="003727CC"/>
    <w:rsid w:val="00372AD9"/>
    <w:rsid w:val="00372C3C"/>
    <w:rsid w:val="00374846"/>
    <w:rsid w:val="00381AE2"/>
    <w:rsid w:val="00382A3E"/>
    <w:rsid w:val="00386960"/>
    <w:rsid w:val="00396F0F"/>
    <w:rsid w:val="00396FD2"/>
    <w:rsid w:val="003A25C3"/>
    <w:rsid w:val="003B086B"/>
    <w:rsid w:val="003B2C4C"/>
    <w:rsid w:val="003B2FB4"/>
    <w:rsid w:val="003B4EA1"/>
    <w:rsid w:val="003D252B"/>
    <w:rsid w:val="003D3222"/>
    <w:rsid w:val="003D4BEA"/>
    <w:rsid w:val="003D68E1"/>
    <w:rsid w:val="003E105A"/>
    <w:rsid w:val="003E4F6B"/>
    <w:rsid w:val="003E67DB"/>
    <w:rsid w:val="003F0413"/>
    <w:rsid w:val="003F53CC"/>
    <w:rsid w:val="003F6452"/>
    <w:rsid w:val="00401968"/>
    <w:rsid w:val="00403EA9"/>
    <w:rsid w:val="004054D6"/>
    <w:rsid w:val="0041038D"/>
    <w:rsid w:val="00410532"/>
    <w:rsid w:val="004130EC"/>
    <w:rsid w:val="0042067A"/>
    <w:rsid w:val="00421274"/>
    <w:rsid w:val="00422036"/>
    <w:rsid w:val="00430B16"/>
    <w:rsid w:val="00431C70"/>
    <w:rsid w:val="00431FE8"/>
    <w:rsid w:val="00433CB1"/>
    <w:rsid w:val="004400E7"/>
    <w:rsid w:val="00446840"/>
    <w:rsid w:val="00446EB8"/>
    <w:rsid w:val="0045176D"/>
    <w:rsid w:val="004551CD"/>
    <w:rsid w:val="004631E4"/>
    <w:rsid w:val="004733EF"/>
    <w:rsid w:val="00476038"/>
    <w:rsid w:val="004777D1"/>
    <w:rsid w:val="00485366"/>
    <w:rsid w:val="0049631D"/>
    <w:rsid w:val="00496BD6"/>
    <w:rsid w:val="00497F3B"/>
    <w:rsid w:val="004A63F1"/>
    <w:rsid w:val="004A7683"/>
    <w:rsid w:val="004A7EF6"/>
    <w:rsid w:val="004B6EB1"/>
    <w:rsid w:val="004C106C"/>
    <w:rsid w:val="004C1CD7"/>
    <w:rsid w:val="004D01AF"/>
    <w:rsid w:val="004D1E5B"/>
    <w:rsid w:val="004D1F42"/>
    <w:rsid w:val="004D3A74"/>
    <w:rsid w:val="004D5BB0"/>
    <w:rsid w:val="004D68A1"/>
    <w:rsid w:val="004E1BE3"/>
    <w:rsid w:val="004E3705"/>
    <w:rsid w:val="004E3A62"/>
    <w:rsid w:val="004F1557"/>
    <w:rsid w:val="004F2904"/>
    <w:rsid w:val="004F3060"/>
    <w:rsid w:val="004F5740"/>
    <w:rsid w:val="00501BFA"/>
    <w:rsid w:val="00502FA2"/>
    <w:rsid w:val="00503B2B"/>
    <w:rsid w:val="00503BD6"/>
    <w:rsid w:val="00503C5B"/>
    <w:rsid w:val="00504552"/>
    <w:rsid w:val="00517EF3"/>
    <w:rsid w:val="005211D1"/>
    <w:rsid w:val="00521353"/>
    <w:rsid w:val="005217B0"/>
    <w:rsid w:val="00521A96"/>
    <w:rsid w:val="005225F8"/>
    <w:rsid w:val="0053096F"/>
    <w:rsid w:val="00532710"/>
    <w:rsid w:val="00532872"/>
    <w:rsid w:val="00541784"/>
    <w:rsid w:val="00543E54"/>
    <w:rsid w:val="005464BA"/>
    <w:rsid w:val="005467D0"/>
    <w:rsid w:val="00551FCB"/>
    <w:rsid w:val="00554958"/>
    <w:rsid w:val="005559A7"/>
    <w:rsid w:val="0055679A"/>
    <w:rsid w:val="00560582"/>
    <w:rsid w:val="00562C9F"/>
    <w:rsid w:val="00566A4C"/>
    <w:rsid w:val="00570CE1"/>
    <w:rsid w:val="0057119A"/>
    <w:rsid w:val="005740FB"/>
    <w:rsid w:val="00574BF6"/>
    <w:rsid w:val="00576B5C"/>
    <w:rsid w:val="00576B6D"/>
    <w:rsid w:val="00580732"/>
    <w:rsid w:val="00581B32"/>
    <w:rsid w:val="00582127"/>
    <w:rsid w:val="00585B45"/>
    <w:rsid w:val="0058626A"/>
    <w:rsid w:val="00595688"/>
    <w:rsid w:val="00595A59"/>
    <w:rsid w:val="005A07DA"/>
    <w:rsid w:val="005A48F6"/>
    <w:rsid w:val="005B0A7E"/>
    <w:rsid w:val="005B487A"/>
    <w:rsid w:val="005C007D"/>
    <w:rsid w:val="005C1582"/>
    <w:rsid w:val="005C51EF"/>
    <w:rsid w:val="005E0C34"/>
    <w:rsid w:val="005E4982"/>
    <w:rsid w:val="005E56AF"/>
    <w:rsid w:val="005F034C"/>
    <w:rsid w:val="005F0911"/>
    <w:rsid w:val="005F21D2"/>
    <w:rsid w:val="005F3A5F"/>
    <w:rsid w:val="005F5F94"/>
    <w:rsid w:val="005F6E98"/>
    <w:rsid w:val="00612393"/>
    <w:rsid w:val="00616277"/>
    <w:rsid w:val="00617D66"/>
    <w:rsid w:val="00620F15"/>
    <w:rsid w:val="00622347"/>
    <w:rsid w:val="0062531B"/>
    <w:rsid w:val="006254D6"/>
    <w:rsid w:val="006303F6"/>
    <w:rsid w:val="00644534"/>
    <w:rsid w:val="00647AD7"/>
    <w:rsid w:val="00647C1D"/>
    <w:rsid w:val="00651485"/>
    <w:rsid w:val="00651C47"/>
    <w:rsid w:val="006536EC"/>
    <w:rsid w:val="006562B9"/>
    <w:rsid w:val="006563D1"/>
    <w:rsid w:val="006608C5"/>
    <w:rsid w:val="006618B1"/>
    <w:rsid w:val="00663ED2"/>
    <w:rsid w:val="00664B29"/>
    <w:rsid w:val="00677A59"/>
    <w:rsid w:val="006817B1"/>
    <w:rsid w:val="006818AE"/>
    <w:rsid w:val="00681934"/>
    <w:rsid w:val="006836FA"/>
    <w:rsid w:val="00691A19"/>
    <w:rsid w:val="00693DE5"/>
    <w:rsid w:val="00695B4A"/>
    <w:rsid w:val="00695D17"/>
    <w:rsid w:val="006A0474"/>
    <w:rsid w:val="006A217D"/>
    <w:rsid w:val="006A57FE"/>
    <w:rsid w:val="006B04F9"/>
    <w:rsid w:val="006B078D"/>
    <w:rsid w:val="006B1F8D"/>
    <w:rsid w:val="006B3006"/>
    <w:rsid w:val="006B3AD8"/>
    <w:rsid w:val="006B3B74"/>
    <w:rsid w:val="006C19B7"/>
    <w:rsid w:val="006C41BF"/>
    <w:rsid w:val="006C4305"/>
    <w:rsid w:val="006E5EB1"/>
    <w:rsid w:val="006E7903"/>
    <w:rsid w:val="00702123"/>
    <w:rsid w:val="00703210"/>
    <w:rsid w:val="0070589D"/>
    <w:rsid w:val="00706054"/>
    <w:rsid w:val="00715F60"/>
    <w:rsid w:val="00716097"/>
    <w:rsid w:val="00721490"/>
    <w:rsid w:val="00726C3D"/>
    <w:rsid w:val="007273A5"/>
    <w:rsid w:val="0073169D"/>
    <w:rsid w:val="00731A37"/>
    <w:rsid w:val="00733651"/>
    <w:rsid w:val="007365D0"/>
    <w:rsid w:val="007404B1"/>
    <w:rsid w:val="00740CEE"/>
    <w:rsid w:val="00742F61"/>
    <w:rsid w:val="007445C3"/>
    <w:rsid w:val="00745237"/>
    <w:rsid w:val="0074664C"/>
    <w:rsid w:val="00753F24"/>
    <w:rsid w:val="0075474A"/>
    <w:rsid w:val="00757D17"/>
    <w:rsid w:val="00762585"/>
    <w:rsid w:val="007627A4"/>
    <w:rsid w:val="0076336B"/>
    <w:rsid w:val="007641C6"/>
    <w:rsid w:val="00764CF5"/>
    <w:rsid w:val="00770967"/>
    <w:rsid w:val="00771A05"/>
    <w:rsid w:val="00773019"/>
    <w:rsid w:val="007751AE"/>
    <w:rsid w:val="007910F9"/>
    <w:rsid w:val="00797949"/>
    <w:rsid w:val="007A00C5"/>
    <w:rsid w:val="007A03B7"/>
    <w:rsid w:val="007A0E04"/>
    <w:rsid w:val="007A1D3E"/>
    <w:rsid w:val="007A2FDB"/>
    <w:rsid w:val="007A43B8"/>
    <w:rsid w:val="007A4CE1"/>
    <w:rsid w:val="007B4549"/>
    <w:rsid w:val="007B4DE3"/>
    <w:rsid w:val="007C2977"/>
    <w:rsid w:val="007C456E"/>
    <w:rsid w:val="007C66A2"/>
    <w:rsid w:val="007C7941"/>
    <w:rsid w:val="007D0ABE"/>
    <w:rsid w:val="007D271F"/>
    <w:rsid w:val="007D2C9F"/>
    <w:rsid w:val="007D5A4F"/>
    <w:rsid w:val="007D7E12"/>
    <w:rsid w:val="007E0D4B"/>
    <w:rsid w:val="007E7DB2"/>
    <w:rsid w:val="007F66B8"/>
    <w:rsid w:val="008032B0"/>
    <w:rsid w:val="00806727"/>
    <w:rsid w:val="0080673B"/>
    <w:rsid w:val="008068E9"/>
    <w:rsid w:val="008074D5"/>
    <w:rsid w:val="00810244"/>
    <w:rsid w:val="00813E66"/>
    <w:rsid w:val="008141D5"/>
    <w:rsid w:val="0081707D"/>
    <w:rsid w:val="0082246B"/>
    <w:rsid w:val="00830C0E"/>
    <w:rsid w:val="00831705"/>
    <w:rsid w:val="00831C7A"/>
    <w:rsid w:val="00834A5E"/>
    <w:rsid w:val="00834C8B"/>
    <w:rsid w:val="00835F7C"/>
    <w:rsid w:val="00840F49"/>
    <w:rsid w:val="00844C0D"/>
    <w:rsid w:val="0085596D"/>
    <w:rsid w:val="00855EFD"/>
    <w:rsid w:val="00856D16"/>
    <w:rsid w:val="0086126B"/>
    <w:rsid w:val="00863260"/>
    <w:rsid w:val="008640BF"/>
    <w:rsid w:val="008668DF"/>
    <w:rsid w:val="00870E0C"/>
    <w:rsid w:val="008715CD"/>
    <w:rsid w:val="00877FFE"/>
    <w:rsid w:val="008813FE"/>
    <w:rsid w:val="00885FF9"/>
    <w:rsid w:val="008905FB"/>
    <w:rsid w:val="00892798"/>
    <w:rsid w:val="008A13FF"/>
    <w:rsid w:val="008A29FD"/>
    <w:rsid w:val="008A5B6B"/>
    <w:rsid w:val="008A78EC"/>
    <w:rsid w:val="008B275E"/>
    <w:rsid w:val="008B6E7B"/>
    <w:rsid w:val="008C15CC"/>
    <w:rsid w:val="008C6283"/>
    <w:rsid w:val="008C661D"/>
    <w:rsid w:val="008D3501"/>
    <w:rsid w:val="008D681B"/>
    <w:rsid w:val="008D77E2"/>
    <w:rsid w:val="008E1739"/>
    <w:rsid w:val="008E17FC"/>
    <w:rsid w:val="008F2591"/>
    <w:rsid w:val="008F4FC6"/>
    <w:rsid w:val="008F54B5"/>
    <w:rsid w:val="009022D4"/>
    <w:rsid w:val="009022E6"/>
    <w:rsid w:val="0090549F"/>
    <w:rsid w:val="009061A7"/>
    <w:rsid w:val="009103CB"/>
    <w:rsid w:val="00924F25"/>
    <w:rsid w:val="00925BFF"/>
    <w:rsid w:val="00930FFE"/>
    <w:rsid w:val="00937514"/>
    <w:rsid w:val="0094444D"/>
    <w:rsid w:val="00946850"/>
    <w:rsid w:val="00947C4B"/>
    <w:rsid w:val="00950428"/>
    <w:rsid w:val="00954440"/>
    <w:rsid w:val="00954C37"/>
    <w:rsid w:val="009551DD"/>
    <w:rsid w:val="00957604"/>
    <w:rsid w:val="00957C60"/>
    <w:rsid w:val="0096171F"/>
    <w:rsid w:val="0096624C"/>
    <w:rsid w:val="009671D4"/>
    <w:rsid w:val="00971BC5"/>
    <w:rsid w:val="00972D9A"/>
    <w:rsid w:val="009764F0"/>
    <w:rsid w:val="009816E8"/>
    <w:rsid w:val="009862F0"/>
    <w:rsid w:val="0098766B"/>
    <w:rsid w:val="00994EB8"/>
    <w:rsid w:val="009A2B6B"/>
    <w:rsid w:val="009A41DF"/>
    <w:rsid w:val="009B03DB"/>
    <w:rsid w:val="009B11B1"/>
    <w:rsid w:val="009B25F4"/>
    <w:rsid w:val="009B3E2C"/>
    <w:rsid w:val="009B60ED"/>
    <w:rsid w:val="009B639E"/>
    <w:rsid w:val="009B6DE4"/>
    <w:rsid w:val="009B74C6"/>
    <w:rsid w:val="009B77D7"/>
    <w:rsid w:val="009C0414"/>
    <w:rsid w:val="009C45A1"/>
    <w:rsid w:val="009C471A"/>
    <w:rsid w:val="009C4862"/>
    <w:rsid w:val="009C6285"/>
    <w:rsid w:val="009D0F58"/>
    <w:rsid w:val="009D144C"/>
    <w:rsid w:val="009D241D"/>
    <w:rsid w:val="009E32A4"/>
    <w:rsid w:val="009F580A"/>
    <w:rsid w:val="009F5899"/>
    <w:rsid w:val="00A01C2E"/>
    <w:rsid w:val="00A02AC0"/>
    <w:rsid w:val="00A04CF5"/>
    <w:rsid w:val="00A058C4"/>
    <w:rsid w:val="00A05B8D"/>
    <w:rsid w:val="00A06296"/>
    <w:rsid w:val="00A06B70"/>
    <w:rsid w:val="00A12B4A"/>
    <w:rsid w:val="00A16E25"/>
    <w:rsid w:val="00A2150A"/>
    <w:rsid w:val="00A234C9"/>
    <w:rsid w:val="00A26894"/>
    <w:rsid w:val="00A33D21"/>
    <w:rsid w:val="00A33F07"/>
    <w:rsid w:val="00A367D1"/>
    <w:rsid w:val="00A37D74"/>
    <w:rsid w:val="00A40B1F"/>
    <w:rsid w:val="00A424AA"/>
    <w:rsid w:val="00A43403"/>
    <w:rsid w:val="00A52E77"/>
    <w:rsid w:val="00A60377"/>
    <w:rsid w:val="00A61D43"/>
    <w:rsid w:val="00A62F4B"/>
    <w:rsid w:val="00A654E8"/>
    <w:rsid w:val="00A67F95"/>
    <w:rsid w:val="00A715B2"/>
    <w:rsid w:val="00A734B3"/>
    <w:rsid w:val="00A74F0B"/>
    <w:rsid w:val="00A75FF4"/>
    <w:rsid w:val="00A764AD"/>
    <w:rsid w:val="00A77221"/>
    <w:rsid w:val="00A80FAA"/>
    <w:rsid w:val="00A876A6"/>
    <w:rsid w:val="00A9139C"/>
    <w:rsid w:val="00A923DF"/>
    <w:rsid w:val="00A94CD8"/>
    <w:rsid w:val="00A95B61"/>
    <w:rsid w:val="00A97119"/>
    <w:rsid w:val="00AA0598"/>
    <w:rsid w:val="00AA1054"/>
    <w:rsid w:val="00AA1496"/>
    <w:rsid w:val="00AA1CE6"/>
    <w:rsid w:val="00AA38B0"/>
    <w:rsid w:val="00AA5F08"/>
    <w:rsid w:val="00AA6266"/>
    <w:rsid w:val="00AA67F5"/>
    <w:rsid w:val="00AA785C"/>
    <w:rsid w:val="00AB2A41"/>
    <w:rsid w:val="00AB654A"/>
    <w:rsid w:val="00AC7D58"/>
    <w:rsid w:val="00AD0D37"/>
    <w:rsid w:val="00AD0E94"/>
    <w:rsid w:val="00AE6C3D"/>
    <w:rsid w:val="00AF38A1"/>
    <w:rsid w:val="00AF57C5"/>
    <w:rsid w:val="00AF7DE5"/>
    <w:rsid w:val="00B009DF"/>
    <w:rsid w:val="00B044BF"/>
    <w:rsid w:val="00B06CA6"/>
    <w:rsid w:val="00B06D72"/>
    <w:rsid w:val="00B1011A"/>
    <w:rsid w:val="00B1458A"/>
    <w:rsid w:val="00B148FB"/>
    <w:rsid w:val="00B14B8B"/>
    <w:rsid w:val="00B203A3"/>
    <w:rsid w:val="00B25222"/>
    <w:rsid w:val="00B334D6"/>
    <w:rsid w:val="00B339CE"/>
    <w:rsid w:val="00B3490F"/>
    <w:rsid w:val="00B355FC"/>
    <w:rsid w:val="00B42117"/>
    <w:rsid w:val="00B42B49"/>
    <w:rsid w:val="00B43F44"/>
    <w:rsid w:val="00B53286"/>
    <w:rsid w:val="00B53BB3"/>
    <w:rsid w:val="00B53D88"/>
    <w:rsid w:val="00B54BF0"/>
    <w:rsid w:val="00B57303"/>
    <w:rsid w:val="00B576CF"/>
    <w:rsid w:val="00B62679"/>
    <w:rsid w:val="00B63903"/>
    <w:rsid w:val="00B71F88"/>
    <w:rsid w:val="00B74FA7"/>
    <w:rsid w:val="00B77032"/>
    <w:rsid w:val="00B778D2"/>
    <w:rsid w:val="00B81ED4"/>
    <w:rsid w:val="00B8201C"/>
    <w:rsid w:val="00B90EAB"/>
    <w:rsid w:val="00B9614E"/>
    <w:rsid w:val="00B96AB8"/>
    <w:rsid w:val="00BA0FB5"/>
    <w:rsid w:val="00BA1EFB"/>
    <w:rsid w:val="00BA4136"/>
    <w:rsid w:val="00BB063E"/>
    <w:rsid w:val="00BB224F"/>
    <w:rsid w:val="00BB2BB2"/>
    <w:rsid w:val="00BB398E"/>
    <w:rsid w:val="00BB688B"/>
    <w:rsid w:val="00BB75E0"/>
    <w:rsid w:val="00BB7743"/>
    <w:rsid w:val="00BC09A6"/>
    <w:rsid w:val="00BC20E2"/>
    <w:rsid w:val="00BC56C2"/>
    <w:rsid w:val="00BC6FE5"/>
    <w:rsid w:val="00BD18FC"/>
    <w:rsid w:val="00BD5640"/>
    <w:rsid w:val="00BD5A9A"/>
    <w:rsid w:val="00BD6828"/>
    <w:rsid w:val="00BE349B"/>
    <w:rsid w:val="00BE43E4"/>
    <w:rsid w:val="00BF10EE"/>
    <w:rsid w:val="00BF39D7"/>
    <w:rsid w:val="00BF3C27"/>
    <w:rsid w:val="00BF4648"/>
    <w:rsid w:val="00BF5D0D"/>
    <w:rsid w:val="00BF6F60"/>
    <w:rsid w:val="00C103B6"/>
    <w:rsid w:val="00C12BC5"/>
    <w:rsid w:val="00C158B1"/>
    <w:rsid w:val="00C2020B"/>
    <w:rsid w:val="00C2283B"/>
    <w:rsid w:val="00C23E45"/>
    <w:rsid w:val="00C24F5F"/>
    <w:rsid w:val="00C267B4"/>
    <w:rsid w:val="00C31EC7"/>
    <w:rsid w:val="00C40797"/>
    <w:rsid w:val="00C41D35"/>
    <w:rsid w:val="00C44167"/>
    <w:rsid w:val="00C451AB"/>
    <w:rsid w:val="00C4565B"/>
    <w:rsid w:val="00C4774E"/>
    <w:rsid w:val="00C5191D"/>
    <w:rsid w:val="00C52BF2"/>
    <w:rsid w:val="00C5301E"/>
    <w:rsid w:val="00C532A2"/>
    <w:rsid w:val="00C54C72"/>
    <w:rsid w:val="00C60BB2"/>
    <w:rsid w:val="00C62388"/>
    <w:rsid w:val="00C62CAE"/>
    <w:rsid w:val="00C64978"/>
    <w:rsid w:val="00C65D18"/>
    <w:rsid w:val="00C72C29"/>
    <w:rsid w:val="00C85930"/>
    <w:rsid w:val="00C92DB5"/>
    <w:rsid w:val="00C94D66"/>
    <w:rsid w:val="00C95782"/>
    <w:rsid w:val="00CA6383"/>
    <w:rsid w:val="00CA6553"/>
    <w:rsid w:val="00CB0DB7"/>
    <w:rsid w:val="00CB14A2"/>
    <w:rsid w:val="00CB5BAC"/>
    <w:rsid w:val="00CC1573"/>
    <w:rsid w:val="00CC7955"/>
    <w:rsid w:val="00CD3DC1"/>
    <w:rsid w:val="00CD63F2"/>
    <w:rsid w:val="00CD6FF2"/>
    <w:rsid w:val="00CE1610"/>
    <w:rsid w:val="00CE23E6"/>
    <w:rsid w:val="00CE5084"/>
    <w:rsid w:val="00CF061F"/>
    <w:rsid w:val="00CF2E77"/>
    <w:rsid w:val="00CF3198"/>
    <w:rsid w:val="00D02886"/>
    <w:rsid w:val="00D02A1E"/>
    <w:rsid w:val="00D02ED6"/>
    <w:rsid w:val="00D1034F"/>
    <w:rsid w:val="00D10B75"/>
    <w:rsid w:val="00D1402A"/>
    <w:rsid w:val="00D140D3"/>
    <w:rsid w:val="00D16408"/>
    <w:rsid w:val="00D22654"/>
    <w:rsid w:val="00D25130"/>
    <w:rsid w:val="00D254C2"/>
    <w:rsid w:val="00D353A4"/>
    <w:rsid w:val="00D37238"/>
    <w:rsid w:val="00D37332"/>
    <w:rsid w:val="00D41B4F"/>
    <w:rsid w:val="00D44290"/>
    <w:rsid w:val="00D45DBE"/>
    <w:rsid w:val="00D52C44"/>
    <w:rsid w:val="00D55638"/>
    <w:rsid w:val="00D57B6F"/>
    <w:rsid w:val="00D6232A"/>
    <w:rsid w:val="00D64175"/>
    <w:rsid w:val="00D65957"/>
    <w:rsid w:val="00D670CF"/>
    <w:rsid w:val="00D67308"/>
    <w:rsid w:val="00D773B4"/>
    <w:rsid w:val="00D81C92"/>
    <w:rsid w:val="00D85E14"/>
    <w:rsid w:val="00D9556C"/>
    <w:rsid w:val="00D95B22"/>
    <w:rsid w:val="00D963F2"/>
    <w:rsid w:val="00DA12DC"/>
    <w:rsid w:val="00DA3842"/>
    <w:rsid w:val="00DB49E4"/>
    <w:rsid w:val="00DB5E66"/>
    <w:rsid w:val="00DB74E1"/>
    <w:rsid w:val="00DC0A5A"/>
    <w:rsid w:val="00DC10F9"/>
    <w:rsid w:val="00DC29D6"/>
    <w:rsid w:val="00DC5533"/>
    <w:rsid w:val="00DC6266"/>
    <w:rsid w:val="00DD44F9"/>
    <w:rsid w:val="00DD7D93"/>
    <w:rsid w:val="00DE7D86"/>
    <w:rsid w:val="00DF3E01"/>
    <w:rsid w:val="00DF471D"/>
    <w:rsid w:val="00E103E3"/>
    <w:rsid w:val="00E10771"/>
    <w:rsid w:val="00E12B2D"/>
    <w:rsid w:val="00E20E58"/>
    <w:rsid w:val="00E2476C"/>
    <w:rsid w:val="00E26FB7"/>
    <w:rsid w:val="00E3179E"/>
    <w:rsid w:val="00E4176D"/>
    <w:rsid w:val="00E419AC"/>
    <w:rsid w:val="00E41ABF"/>
    <w:rsid w:val="00E423D2"/>
    <w:rsid w:val="00E46884"/>
    <w:rsid w:val="00E470F2"/>
    <w:rsid w:val="00E50CE0"/>
    <w:rsid w:val="00E564B2"/>
    <w:rsid w:val="00E56E7B"/>
    <w:rsid w:val="00E63404"/>
    <w:rsid w:val="00E70271"/>
    <w:rsid w:val="00E71407"/>
    <w:rsid w:val="00E82BA7"/>
    <w:rsid w:val="00E85BBE"/>
    <w:rsid w:val="00E93C71"/>
    <w:rsid w:val="00EA3337"/>
    <w:rsid w:val="00EA4C93"/>
    <w:rsid w:val="00EA504C"/>
    <w:rsid w:val="00EA6468"/>
    <w:rsid w:val="00EA6918"/>
    <w:rsid w:val="00EA77E8"/>
    <w:rsid w:val="00EB0BF9"/>
    <w:rsid w:val="00EB22B3"/>
    <w:rsid w:val="00EB6B58"/>
    <w:rsid w:val="00EC0670"/>
    <w:rsid w:val="00EC0B38"/>
    <w:rsid w:val="00EC3C4D"/>
    <w:rsid w:val="00ED1DBB"/>
    <w:rsid w:val="00ED45B2"/>
    <w:rsid w:val="00EE658A"/>
    <w:rsid w:val="00EE75E5"/>
    <w:rsid w:val="00EF1C93"/>
    <w:rsid w:val="00EF477F"/>
    <w:rsid w:val="00EF4963"/>
    <w:rsid w:val="00F02405"/>
    <w:rsid w:val="00F049CA"/>
    <w:rsid w:val="00F04C0D"/>
    <w:rsid w:val="00F04E3C"/>
    <w:rsid w:val="00F06070"/>
    <w:rsid w:val="00F11B91"/>
    <w:rsid w:val="00F139FE"/>
    <w:rsid w:val="00F144E9"/>
    <w:rsid w:val="00F17DC6"/>
    <w:rsid w:val="00F23783"/>
    <w:rsid w:val="00F23ED3"/>
    <w:rsid w:val="00F251B3"/>
    <w:rsid w:val="00F32186"/>
    <w:rsid w:val="00F344DA"/>
    <w:rsid w:val="00F34651"/>
    <w:rsid w:val="00F359F4"/>
    <w:rsid w:val="00F420F1"/>
    <w:rsid w:val="00F43028"/>
    <w:rsid w:val="00F47607"/>
    <w:rsid w:val="00F50A96"/>
    <w:rsid w:val="00F50C73"/>
    <w:rsid w:val="00F50E43"/>
    <w:rsid w:val="00F512D1"/>
    <w:rsid w:val="00F53A9D"/>
    <w:rsid w:val="00F54709"/>
    <w:rsid w:val="00F566B7"/>
    <w:rsid w:val="00F56DC0"/>
    <w:rsid w:val="00F602B2"/>
    <w:rsid w:val="00F63C3C"/>
    <w:rsid w:val="00F645EF"/>
    <w:rsid w:val="00F6757E"/>
    <w:rsid w:val="00F76312"/>
    <w:rsid w:val="00F80B0E"/>
    <w:rsid w:val="00F826E8"/>
    <w:rsid w:val="00F86060"/>
    <w:rsid w:val="00F8626C"/>
    <w:rsid w:val="00F90E39"/>
    <w:rsid w:val="00F91F27"/>
    <w:rsid w:val="00F961E7"/>
    <w:rsid w:val="00F97425"/>
    <w:rsid w:val="00FA277E"/>
    <w:rsid w:val="00FB326F"/>
    <w:rsid w:val="00FB3F77"/>
    <w:rsid w:val="00FB73BF"/>
    <w:rsid w:val="00FB76A3"/>
    <w:rsid w:val="00FC1473"/>
    <w:rsid w:val="00FC4744"/>
    <w:rsid w:val="00FC6913"/>
    <w:rsid w:val="00FE153D"/>
    <w:rsid w:val="00FE51D4"/>
    <w:rsid w:val="00FE67D2"/>
    <w:rsid w:val="00FF7CE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7F6D0"/>
  <w15:docId w15:val="{BB0C45E3-A57D-4F84-8448-E08F5EC32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0" w:defSemiHidden="0" w:defUnhideWhenUsed="0" w:defQFormat="0" w:count="371">
    <w:lsdException w:name="heading 3" w:uiPriority="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2596"/>
    <w:pPr>
      <w:spacing w:line="360" w:lineRule="auto"/>
      <w:jc w:val="both"/>
    </w:pPr>
    <w:rPr>
      <w:rFonts w:ascii="Calibri" w:hAnsi="Calibri"/>
      <w:sz w:val="24"/>
    </w:rPr>
  </w:style>
  <w:style w:type="paragraph" w:styleId="Heading1">
    <w:name w:val="heading 1"/>
    <w:basedOn w:val="Normal"/>
    <w:next w:val="Normal"/>
    <w:link w:val="Heading1Char"/>
    <w:uiPriority w:val="9"/>
    <w:qFormat/>
    <w:rsid w:val="00F961E7"/>
    <w:pPr>
      <w:keepNext/>
      <w:keepLines/>
      <w:spacing w:before="480" w:after="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961E7"/>
    <w:pPr>
      <w:keepNext/>
      <w:keepLines/>
      <w:numPr>
        <w:ilvl w:val="1"/>
        <w:numId w:val="5"/>
      </w:numPr>
      <w:spacing w:before="200" w:after="0"/>
      <w:outlineLvl w:val="1"/>
    </w:pPr>
    <w:rPr>
      <w:rFonts w:eastAsia="Calibri" w:cstheme="majorBidi"/>
      <w:b/>
      <w:bCs/>
      <w:color w:val="4F81BD" w:themeColor="accent1"/>
      <w:sz w:val="26"/>
      <w:szCs w:val="26"/>
    </w:rPr>
  </w:style>
  <w:style w:type="paragraph" w:styleId="Heading3">
    <w:name w:val="heading 3"/>
    <w:basedOn w:val="Normal"/>
    <w:next w:val="Normal"/>
    <w:link w:val="Heading3Char"/>
    <w:autoRedefine/>
    <w:uiPriority w:val="9"/>
    <w:unhideWhenUsed/>
    <w:qFormat/>
    <w:rsid w:val="004631E4"/>
    <w:pPr>
      <w:keepNext/>
      <w:keepLines/>
      <w:spacing w:after="0"/>
      <w:outlineLvl w:val="2"/>
    </w:pPr>
    <w:rPr>
      <w:rFonts w:asciiTheme="majorHAnsi" w:eastAsiaTheme="majorEastAsia" w:hAnsiTheme="majorHAnsi" w:cstheme="majorBidi"/>
      <w:b/>
      <w:bCs/>
      <w:sz w:val="32"/>
      <w:szCs w:val="32"/>
    </w:rPr>
  </w:style>
  <w:style w:type="paragraph" w:styleId="Heading4">
    <w:name w:val="heading 4"/>
    <w:basedOn w:val="Normal"/>
    <w:next w:val="Normal"/>
    <w:link w:val="Heading4Char"/>
    <w:autoRedefine/>
    <w:uiPriority w:val="9"/>
    <w:unhideWhenUsed/>
    <w:qFormat/>
    <w:rsid w:val="00B77032"/>
    <w:pPr>
      <w:keepNext/>
      <w:keepLines/>
      <w:spacing w:after="0"/>
      <w:outlineLvl w:val="3"/>
    </w:pPr>
    <w:rPr>
      <w:rFonts w:asciiTheme="majorHAnsi" w:eastAsia="Times New Roman" w:hAnsiTheme="majorHAnsi" w:cstheme="majorBidi"/>
      <w:b/>
      <w:bCs/>
      <w:iCs/>
      <w:color w:val="4F81BD" w:themeColor="accent1"/>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61E7"/>
    <w:rPr>
      <w:rFonts w:ascii="Calibri" w:eastAsiaTheme="majorEastAsia" w:hAnsi="Calibr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961E7"/>
    <w:rPr>
      <w:rFonts w:ascii="Calibri" w:eastAsia="Calibri" w:hAnsi="Calibri" w:cstheme="majorBidi"/>
      <w:b/>
      <w:bCs/>
      <w:color w:val="4F81BD" w:themeColor="accent1"/>
      <w:sz w:val="26"/>
      <w:szCs w:val="26"/>
    </w:rPr>
  </w:style>
  <w:style w:type="character" w:customStyle="1" w:styleId="Heading3Char">
    <w:name w:val="Heading 3 Char"/>
    <w:basedOn w:val="DefaultParagraphFont"/>
    <w:link w:val="Heading3"/>
    <w:uiPriority w:val="9"/>
    <w:rsid w:val="004631E4"/>
    <w:rPr>
      <w:rFonts w:asciiTheme="majorHAnsi" w:eastAsiaTheme="majorEastAsia" w:hAnsiTheme="majorHAnsi" w:cstheme="majorBidi"/>
      <w:b/>
      <w:bCs/>
      <w:sz w:val="32"/>
      <w:szCs w:val="32"/>
    </w:rPr>
  </w:style>
  <w:style w:type="character" w:customStyle="1" w:styleId="Heading4Char">
    <w:name w:val="Heading 4 Char"/>
    <w:basedOn w:val="DefaultParagraphFont"/>
    <w:link w:val="Heading4"/>
    <w:uiPriority w:val="9"/>
    <w:rsid w:val="00B77032"/>
    <w:rPr>
      <w:rFonts w:asciiTheme="majorHAnsi" w:eastAsia="Times New Roman" w:hAnsiTheme="majorHAnsi" w:cstheme="majorBidi"/>
      <w:b/>
      <w:bCs/>
      <w:iCs/>
      <w:color w:val="4F81BD" w:themeColor="accent1"/>
    </w:rPr>
  </w:style>
  <w:style w:type="numbering" w:customStyle="1" w:styleId="NoList1">
    <w:name w:val="No List1"/>
    <w:next w:val="NoList"/>
    <w:uiPriority w:val="99"/>
    <w:semiHidden/>
    <w:unhideWhenUsed/>
    <w:rsid w:val="00F961E7"/>
  </w:style>
  <w:style w:type="character" w:styleId="Hyperlink">
    <w:name w:val="Hyperlink"/>
    <w:basedOn w:val="DefaultParagraphFont"/>
    <w:uiPriority w:val="99"/>
    <w:unhideWhenUsed/>
    <w:rsid w:val="00F961E7"/>
    <w:rPr>
      <w:color w:val="0000FF"/>
      <w:u w:val="single"/>
    </w:rPr>
  </w:style>
  <w:style w:type="paragraph" w:styleId="NormalWeb">
    <w:name w:val="Normal (Web)"/>
    <w:basedOn w:val="Normal"/>
    <w:uiPriority w:val="99"/>
    <w:unhideWhenUsed/>
    <w:rsid w:val="00F961E7"/>
    <w:pPr>
      <w:spacing w:before="100" w:beforeAutospacing="1" w:after="100" w:afterAutospacing="1" w:line="240" w:lineRule="auto"/>
    </w:pPr>
    <w:rPr>
      <w:rFonts w:ascii="Times New Roman" w:eastAsia="Times New Roman" w:hAnsi="Times New Roman" w:cs="Times New Roman"/>
      <w:szCs w:val="24"/>
      <w:lang w:eastAsia="en-GB"/>
    </w:rPr>
  </w:style>
  <w:style w:type="character" w:styleId="Strong">
    <w:name w:val="Strong"/>
    <w:basedOn w:val="DefaultParagraphFont"/>
    <w:uiPriority w:val="22"/>
    <w:qFormat/>
    <w:rsid w:val="00F961E7"/>
    <w:rPr>
      <w:b/>
      <w:bCs/>
    </w:rPr>
  </w:style>
  <w:style w:type="paragraph" w:styleId="BalloonText">
    <w:name w:val="Balloon Text"/>
    <w:basedOn w:val="Normal"/>
    <w:link w:val="BalloonTextChar"/>
    <w:uiPriority w:val="99"/>
    <w:semiHidden/>
    <w:unhideWhenUsed/>
    <w:rsid w:val="00F961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61E7"/>
    <w:rPr>
      <w:rFonts w:ascii="Tahoma" w:hAnsi="Tahoma" w:cs="Tahoma"/>
      <w:sz w:val="16"/>
      <w:szCs w:val="16"/>
    </w:rPr>
  </w:style>
  <w:style w:type="paragraph" w:styleId="DocumentMap">
    <w:name w:val="Document Map"/>
    <w:basedOn w:val="Normal"/>
    <w:link w:val="DocumentMapChar"/>
    <w:uiPriority w:val="99"/>
    <w:semiHidden/>
    <w:unhideWhenUsed/>
    <w:rsid w:val="00F961E7"/>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F961E7"/>
    <w:rPr>
      <w:rFonts w:ascii="Tahoma" w:hAnsi="Tahoma" w:cs="Tahoma"/>
      <w:sz w:val="16"/>
      <w:szCs w:val="16"/>
    </w:rPr>
  </w:style>
  <w:style w:type="paragraph" w:styleId="ListParagraph">
    <w:name w:val="List Paragraph"/>
    <w:basedOn w:val="Normal"/>
    <w:uiPriority w:val="34"/>
    <w:qFormat/>
    <w:rsid w:val="00F961E7"/>
    <w:pPr>
      <w:ind w:left="720"/>
      <w:contextualSpacing/>
    </w:pPr>
    <w:rPr>
      <w:rFonts w:asciiTheme="minorHAnsi" w:hAnsiTheme="minorHAnsi"/>
    </w:rPr>
  </w:style>
  <w:style w:type="paragraph" w:styleId="Caption">
    <w:name w:val="caption"/>
    <w:basedOn w:val="Normal"/>
    <w:next w:val="Normal"/>
    <w:link w:val="CaptionChar"/>
    <w:uiPriority w:val="35"/>
    <w:unhideWhenUsed/>
    <w:qFormat/>
    <w:rsid w:val="00F961E7"/>
    <w:pPr>
      <w:spacing w:line="240" w:lineRule="auto"/>
    </w:pPr>
    <w:rPr>
      <w:rFonts w:asciiTheme="minorHAnsi" w:hAnsiTheme="minorHAnsi"/>
      <w:b/>
      <w:bCs/>
      <w:color w:val="4F81BD" w:themeColor="accent1"/>
      <w:sz w:val="22"/>
      <w:szCs w:val="18"/>
    </w:rPr>
  </w:style>
  <w:style w:type="table" w:styleId="TableGrid">
    <w:name w:val="Table Grid"/>
    <w:basedOn w:val="TableNormal"/>
    <w:uiPriority w:val="59"/>
    <w:rsid w:val="00F961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961E7"/>
    <w:pPr>
      <w:tabs>
        <w:tab w:val="center" w:pos="4513"/>
        <w:tab w:val="right" w:pos="9026"/>
      </w:tabs>
      <w:spacing w:after="0" w:line="240" w:lineRule="auto"/>
    </w:pPr>
    <w:rPr>
      <w:rFonts w:asciiTheme="minorHAnsi" w:hAnsiTheme="minorHAnsi"/>
    </w:rPr>
  </w:style>
  <w:style w:type="character" w:customStyle="1" w:styleId="HeaderChar">
    <w:name w:val="Header Char"/>
    <w:basedOn w:val="DefaultParagraphFont"/>
    <w:link w:val="Header"/>
    <w:uiPriority w:val="99"/>
    <w:rsid w:val="00F961E7"/>
    <w:rPr>
      <w:sz w:val="24"/>
    </w:rPr>
  </w:style>
  <w:style w:type="paragraph" w:styleId="Footer">
    <w:name w:val="footer"/>
    <w:basedOn w:val="Normal"/>
    <w:link w:val="FooterChar"/>
    <w:uiPriority w:val="99"/>
    <w:unhideWhenUsed/>
    <w:rsid w:val="00F961E7"/>
    <w:pPr>
      <w:tabs>
        <w:tab w:val="center" w:pos="4513"/>
        <w:tab w:val="right" w:pos="9026"/>
      </w:tabs>
      <w:spacing w:after="0" w:line="240" w:lineRule="auto"/>
    </w:pPr>
    <w:rPr>
      <w:rFonts w:asciiTheme="minorHAnsi" w:hAnsiTheme="minorHAnsi"/>
    </w:rPr>
  </w:style>
  <w:style w:type="character" w:customStyle="1" w:styleId="FooterChar">
    <w:name w:val="Footer Char"/>
    <w:basedOn w:val="DefaultParagraphFont"/>
    <w:link w:val="Footer"/>
    <w:uiPriority w:val="99"/>
    <w:rsid w:val="00F961E7"/>
    <w:rPr>
      <w:sz w:val="24"/>
    </w:rPr>
  </w:style>
  <w:style w:type="character" w:styleId="PlaceholderText">
    <w:name w:val="Placeholder Text"/>
    <w:basedOn w:val="DefaultParagraphFont"/>
    <w:uiPriority w:val="99"/>
    <w:semiHidden/>
    <w:rsid w:val="00F961E7"/>
    <w:rPr>
      <w:color w:val="808080"/>
    </w:rPr>
  </w:style>
  <w:style w:type="character" w:customStyle="1" w:styleId="CaptionChar">
    <w:name w:val="Caption Char"/>
    <w:basedOn w:val="DefaultParagraphFont"/>
    <w:link w:val="Caption"/>
    <w:uiPriority w:val="35"/>
    <w:rsid w:val="00F961E7"/>
    <w:rPr>
      <w:b/>
      <w:bCs/>
      <w:color w:val="4F81BD" w:themeColor="accent1"/>
      <w:szCs w:val="18"/>
    </w:rPr>
  </w:style>
  <w:style w:type="paragraph" w:styleId="NoSpacing">
    <w:name w:val="No Spacing"/>
    <w:aliases w:val="Captions"/>
    <w:link w:val="NoSpacingChar"/>
    <w:uiPriority w:val="1"/>
    <w:qFormat/>
    <w:rsid w:val="00F961E7"/>
    <w:pPr>
      <w:spacing w:after="0" w:line="240" w:lineRule="auto"/>
      <w:jc w:val="both"/>
    </w:pPr>
    <w:rPr>
      <w:rFonts w:ascii="Calibri" w:hAnsi="Calibri"/>
      <w:sz w:val="24"/>
    </w:rPr>
  </w:style>
  <w:style w:type="paragraph" w:customStyle="1" w:styleId="Body">
    <w:name w:val="Body"/>
    <w:rsid w:val="00476038"/>
    <w:pPr>
      <w:tabs>
        <w:tab w:val="left" w:pos="3969"/>
      </w:tabs>
      <w:spacing w:before="60" w:after="100" w:line="288" w:lineRule="auto"/>
      <w:jc w:val="both"/>
    </w:pPr>
    <w:rPr>
      <w:rFonts w:ascii="Arial" w:eastAsia="ヒラギノ角ゴ Pro W3" w:hAnsi="Arial" w:cs="Times New Roman"/>
      <w:color w:val="3B3D3C"/>
      <w:szCs w:val="20"/>
      <w:lang w:val="en-US" w:eastAsia="en-GB"/>
    </w:rPr>
  </w:style>
  <w:style w:type="character" w:customStyle="1" w:styleId="apple-converted-space">
    <w:name w:val="apple-converted-space"/>
    <w:basedOn w:val="DefaultParagraphFont"/>
    <w:rsid w:val="00AB654A"/>
  </w:style>
  <w:style w:type="paragraph" w:customStyle="1" w:styleId="frfield">
    <w:name w:val="fr_field"/>
    <w:basedOn w:val="Normal"/>
    <w:rsid w:val="001B57C8"/>
    <w:pPr>
      <w:spacing w:before="100" w:beforeAutospacing="1" w:after="100" w:afterAutospacing="1" w:line="240" w:lineRule="auto"/>
      <w:jc w:val="left"/>
    </w:pPr>
    <w:rPr>
      <w:rFonts w:ascii="Times New Roman" w:eastAsia="Times New Roman" w:hAnsi="Times New Roman" w:cs="Times New Roman"/>
      <w:szCs w:val="24"/>
      <w:lang w:eastAsia="en-GB"/>
    </w:rPr>
  </w:style>
  <w:style w:type="character" w:customStyle="1" w:styleId="frlabel">
    <w:name w:val="fr_label"/>
    <w:basedOn w:val="DefaultParagraphFont"/>
    <w:rsid w:val="001B57C8"/>
  </w:style>
  <w:style w:type="character" w:customStyle="1" w:styleId="hithilite">
    <w:name w:val="hithilite"/>
    <w:basedOn w:val="DefaultParagraphFont"/>
    <w:rsid w:val="001B57C8"/>
  </w:style>
  <w:style w:type="paragraph" w:customStyle="1" w:styleId="sourcetitle">
    <w:name w:val="sourcetitle"/>
    <w:basedOn w:val="Normal"/>
    <w:rsid w:val="001B57C8"/>
    <w:pPr>
      <w:spacing w:before="100" w:beforeAutospacing="1" w:after="100" w:afterAutospacing="1" w:line="240" w:lineRule="auto"/>
      <w:jc w:val="left"/>
    </w:pPr>
    <w:rPr>
      <w:rFonts w:ascii="Times New Roman" w:eastAsia="Times New Roman" w:hAnsi="Times New Roman" w:cs="Times New Roman"/>
      <w:szCs w:val="24"/>
      <w:lang w:eastAsia="en-GB"/>
    </w:rPr>
  </w:style>
  <w:style w:type="paragraph" w:customStyle="1" w:styleId="frlabel1">
    <w:name w:val="fr_label1"/>
    <w:basedOn w:val="Normal"/>
    <w:rsid w:val="001B57C8"/>
    <w:pPr>
      <w:spacing w:before="100" w:beforeAutospacing="1" w:after="100" w:afterAutospacing="1" w:line="240" w:lineRule="auto"/>
      <w:jc w:val="left"/>
    </w:pPr>
    <w:rPr>
      <w:rFonts w:ascii="Times New Roman" w:eastAsia="Times New Roman" w:hAnsi="Times New Roman" w:cs="Times New Roman"/>
      <w:szCs w:val="24"/>
      <w:lang w:eastAsia="en-GB"/>
    </w:rPr>
  </w:style>
  <w:style w:type="character" w:styleId="CommentReference">
    <w:name w:val="annotation reference"/>
    <w:basedOn w:val="DefaultParagraphFont"/>
    <w:uiPriority w:val="99"/>
    <w:semiHidden/>
    <w:unhideWhenUsed/>
    <w:rsid w:val="00047DCF"/>
    <w:rPr>
      <w:sz w:val="16"/>
      <w:szCs w:val="16"/>
    </w:rPr>
  </w:style>
  <w:style w:type="paragraph" w:styleId="CommentText">
    <w:name w:val="annotation text"/>
    <w:basedOn w:val="Normal"/>
    <w:link w:val="CommentTextChar"/>
    <w:uiPriority w:val="99"/>
    <w:unhideWhenUsed/>
    <w:rsid w:val="00047DCF"/>
    <w:pPr>
      <w:spacing w:line="240" w:lineRule="auto"/>
    </w:pPr>
    <w:rPr>
      <w:sz w:val="20"/>
      <w:szCs w:val="20"/>
    </w:rPr>
  </w:style>
  <w:style w:type="character" w:customStyle="1" w:styleId="CommentTextChar">
    <w:name w:val="Comment Text Char"/>
    <w:basedOn w:val="DefaultParagraphFont"/>
    <w:link w:val="CommentText"/>
    <w:uiPriority w:val="99"/>
    <w:rsid w:val="00047DCF"/>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047DCF"/>
    <w:rPr>
      <w:b/>
      <w:bCs/>
    </w:rPr>
  </w:style>
  <w:style w:type="character" w:customStyle="1" w:styleId="CommentSubjectChar">
    <w:name w:val="Comment Subject Char"/>
    <w:basedOn w:val="CommentTextChar"/>
    <w:link w:val="CommentSubject"/>
    <w:uiPriority w:val="99"/>
    <w:semiHidden/>
    <w:rsid w:val="00047DCF"/>
    <w:rPr>
      <w:rFonts w:ascii="Calibri" w:hAnsi="Calibri"/>
      <w:b/>
      <w:bCs/>
      <w:sz w:val="20"/>
      <w:szCs w:val="20"/>
    </w:rPr>
  </w:style>
  <w:style w:type="paragraph" w:styleId="Revision">
    <w:name w:val="Revision"/>
    <w:hidden/>
    <w:uiPriority w:val="99"/>
    <w:semiHidden/>
    <w:rsid w:val="004777D1"/>
    <w:pPr>
      <w:spacing w:after="0" w:line="240" w:lineRule="auto"/>
    </w:pPr>
    <w:rPr>
      <w:rFonts w:ascii="Calibri" w:hAnsi="Calibri"/>
      <w:sz w:val="24"/>
    </w:rPr>
  </w:style>
  <w:style w:type="character" w:customStyle="1" w:styleId="street-address">
    <w:name w:val="street-address"/>
    <w:basedOn w:val="DefaultParagraphFont"/>
    <w:rsid w:val="007365D0"/>
  </w:style>
  <w:style w:type="character" w:customStyle="1" w:styleId="locality">
    <w:name w:val="locality"/>
    <w:basedOn w:val="DefaultParagraphFont"/>
    <w:rsid w:val="007365D0"/>
  </w:style>
  <w:style w:type="character" w:customStyle="1" w:styleId="postal-code">
    <w:name w:val="postal-code"/>
    <w:basedOn w:val="DefaultParagraphFont"/>
    <w:rsid w:val="007365D0"/>
  </w:style>
  <w:style w:type="character" w:customStyle="1" w:styleId="NoSpacingChar">
    <w:name w:val="No Spacing Char"/>
    <w:aliases w:val="Captions Char"/>
    <w:basedOn w:val="DefaultParagraphFont"/>
    <w:link w:val="NoSpacing"/>
    <w:uiPriority w:val="1"/>
    <w:rsid w:val="004D5BB0"/>
    <w:rPr>
      <w:rFonts w:ascii="Calibri" w:hAnsi="Calibri"/>
      <w:sz w:val="24"/>
    </w:rPr>
  </w:style>
  <w:style w:type="character" w:customStyle="1" w:styleId="binomial">
    <w:name w:val="binomial"/>
    <w:basedOn w:val="DefaultParagraphFont"/>
    <w:rsid w:val="006563D1"/>
  </w:style>
  <w:style w:type="character" w:customStyle="1" w:styleId="pl6">
    <w:name w:val="pl6"/>
    <w:basedOn w:val="DefaultParagraphFont"/>
    <w:rsid w:val="00E470F2"/>
  </w:style>
  <w:style w:type="character" w:customStyle="1" w:styleId="font-italic">
    <w:name w:val="font-italic"/>
    <w:basedOn w:val="DefaultParagraphFont"/>
    <w:rsid w:val="00C4565B"/>
  </w:style>
  <w:style w:type="paragraph" w:customStyle="1" w:styleId="RSCB01ARTAbstract">
    <w:name w:val="RSC B01 ART Abstract"/>
    <w:basedOn w:val="Normal"/>
    <w:link w:val="RSCB01ARTAbstractChar"/>
    <w:qFormat/>
    <w:rsid w:val="00A01C2E"/>
    <w:pPr>
      <w:spacing w:line="240" w:lineRule="exact"/>
    </w:pPr>
    <w:rPr>
      <w:rFonts w:eastAsia="MS Mincho" w:cs="Times New Roman"/>
      <w:noProof/>
      <w:sz w:val="16"/>
      <w:lang w:eastAsia="en-GB"/>
    </w:rPr>
  </w:style>
  <w:style w:type="character" w:customStyle="1" w:styleId="RSCB01ARTAbstractChar">
    <w:name w:val="RSC B01 ART Abstract Char"/>
    <w:link w:val="RSCB01ARTAbstract"/>
    <w:rsid w:val="00A01C2E"/>
    <w:rPr>
      <w:rFonts w:ascii="Calibri" w:eastAsia="MS Mincho" w:hAnsi="Calibri" w:cs="Times New Roman"/>
      <w:noProof/>
      <w:sz w:val="16"/>
      <w:lang w:eastAsia="en-GB"/>
    </w:rPr>
  </w:style>
  <w:style w:type="character" w:customStyle="1" w:styleId="articleauthor-link">
    <w:name w:val="article__author-link"/>
    <w:basedOn w:val="DefaultParagraphFont"/>
    <w:rsid w:val="00F645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92974">
      <w:bodyDiv w:val="1"/>
      <w:marLeft w:val="0"/>
      <w:marRight w:val="0"/>
      <w:marTop w:val="0"/>
      <w:marBottom w:val="0"/>
      <w:divBdr>
        <w:top w:val="none" w:sz="0" w:space="0" w:color="auto"/>
        <w:left w:val="none" w:sz="0" w:space="0" w:color="auto"/>
        <w:bottom w:val="none" w:sz="0" w:space="0" w:color="auto"/>
        <w:right w:val="none" w:sz="0" w:space="0" w:color="auto"/>
      </w:divBdr>
    </w:div>
    <w:div w:id="53550299">
      <w:bodyDiv w:val="1"/>
      <w:marLeft w:val="0"/>
      <w:marRight w:val="0"/>
      <w:marTop w:val="0"/>
      <w:marBottom w:val="0"/>
      <w:divBdr>
        <w:top w:val="none" w:sz="0" w:space="0" w:color="auto"/>
        <w:left w:val="none" w:sz="0" w:space="0" w:color="auto"/>
        <w:bottom w:val="none" w:sz="0" w:space="0" w:color="auto"/>
        <w:right w:val="none" w:sz="0" w:space="0" w:color="auto"/>
      </w:divBdr>
      <w:divsChild>
        <w:div w:id="46342492">
          <w:marLeft w:val="368"/>
          <w:marRight w:val="368"/>
          <w:marTop w:val="33"/>
          <w:marBottom w:val="201"/>
          <w:divBdr>
            <w:top w:val="none" w:sz="0" w:space="0" w:color="auto"/>
            <w:left w:val="none" w:sz="0" w:space="0" w:color="auto"/>
            <w:bottom w:val="none" w:sz="0" w:space="0" w:color="auto"/>
            <w:right w:val="none" w:sz="0" w:space="0" w:color="auto"/>
          </w:divBdr>
        </w:div>
        <w:div w:id="1552301141">
          <w:marLeft w:val="368"/>
          <w:marRight w:val="368"/>
          <w:marTop w:val="0"/>
          <w:marBottom w:val="368"/>
          <w:divBdr>
            <w:top w:val="none" w:sz="0" w:space="0" w:color="auto"/>
            <w:left w:val="none" w:sz="0" w:space="0" w:color="auto"/>
            <w:bottom w:val="none" w:sz="0" w:space="0" w:color="auto"/>
            <w:right w:val="none" w:sz="0" w:space="0" w:color="auto"/>
          </w:divBdr>
        </w:div>
        <w:div w:id="1820803797">
          <w:marLeft w:val="368"/>
          <w:marRight w:val="368"/>
          <w:marTop w:val="0"/>
          <w:marBottom w:val="368"/>
          <w:divBdr>
            <w:top w:val="none" w:sz="0" w:space="0" w:color="auto"/>
            <w:left w:val="none" w:sz="0" w:space="0" w:color="auto"/>
            <w:bottom w:val="none" w:sz="0" w:space="0" w:color="auto"/>
            <w:right w:val="none" w:sz="0" w:space="0" w:color="auto"/>
          </w:divBdr>
          <w:divsChild>
            <w:div w:id="32737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71606">
      <w:bodyDiv w:val="1"/>
      <w:marLeft w:val="0"/>
      <w:marRight w:val="0"/>
      <w:marTop w:val="0"/>
      <w:marBottom w:val="0"/>
      <w:divBdr>
        <w:top w:val="none" w:sz="0" w:space="0" w:color="auto"/>
        <w:left w:val="none" w:sz="0" w:space="0" w:color="auto"/>
        <w:bottom w:val="none" w:sz="0" w:space="0" w:color="auto"/>
        <w:right w:val="none" w:sz="0" w:space="0" w:color="auto"/>
      </w:divBdr>
    </w:div>
    <w:div w:id="238712625">
      <w:bodyDiv w:val="1"/>
      <w:marLeft w:val="0"/>
      <w:marRight w:val="0"/>
      <w:marTop w:val="0"/>
      <w:marBottom w:val="0"/>
      <w:divBdr>
        <w:top w:val="none" w:sz="0" w:space="0" w:color="auto"/>
        <w:left w:val="none" w:sz="0" w:space="0" w:color="auto"/>
        <w:bottom w:val="none" w:sz="0" w:space="0" w:color="auto"/>
        <w:right w:val="none" w:sz="0" w:space="0" w:color="auto"/>
      </w:divBdr>
    </w:div>
    <w:div w:id="250891451">
      <w:bodyDiv w:val="1"/>
      <w:marLeft w:val="0"/>
      <w:marRight w:val="0"/>
      <w:marTop w:val="0"/>
      <w:marBottom w:val="0"/>
      <w:divBdr>
        <w:top w:val="none" w:sz="0" w:space="0" w:color="auto"/>
        <w:left w:val="none" w:sz="0" w:space="0" w:color="auto"/>
        <w:bottom w:val="none" w:sz="0" w:space="0" w:color="auto"/>
        <w:right w:val="none" w:sz="0" w:space="0" w:color="auto"/>
      </w:divBdr>
    </w:div>
    <w:div w:id="293340040">
      <w:bodyDiv w:val="1"/>
      <w:marLeft w:val="0"/>
      <w:marRight w:val="0"/>
      <w:marTop w:val="0"/>
      <w:marBottom w:val="0"/>
      <w:divBdr>
        <w:top w:val="none" w:sz="0" w:space="0" w:color="auto"/>
        <w:left w:val="none" w:sz="0" w:space="0" w:color="auto"/>
        <w:bottom w:val="none" w:sz="0" w:space="0" w:color="auto"/>
        <w:right w:val="none" w:sz="0" w:space="0" w:color="auto"/>
      </w:divBdr>
    </w:div>
    <w:div w:id="352002190">
      <w:bodyDiv w:val="1"/>
      <w:marLeft w:val="0"/>
      <w:marRight w:val="0"/>
      <w:marTop w:val="0"/>
      <w:marBottom w:val="0"/>
      <w:divBdr>
        <w:top w:val="none" w:sz="0" w:space="0" w:color="auto"/>
        <w:left w:val="none" w:sz="0" w:space="0" w:color="auto"/>
        <w:bottom w:val="none" w:sz="0" w:space="0" w:color="auto"/>
        <w:right w:val="none" w:sz="0" w:space="0" w:color="auto"/>
      </w:divBdr>
      <w:divsChild>
        <w:div w:id="180356752">
          <w:marLeft w:val="368"/>
          <w:marRight w:val="368"/>
          <w:marTop w:val="33"/>
          <w:marBottom w:val="201"/>
          <w:divBdr>
            <w:top w:val="none" w:sz="0" w:space="0" w:color="auto"/>
            <w:left w:val="none" w:sz="0" w:space="0" w:color="auto"/>
            <w:bottom w:val="none" w:sz="0" w:space="0" w:color="auto"/>
            <w:right w:val="none" w:sz="0" w:space="0" w:color="auto"/>
          </w:divBdr>
        </w:div>
        <w:div w:id="654919669">
          <w:marLeft w:val="368"/>
          <w:marRight w:val="368"/>
          <w:marTop w:val="0"/>
          <w:marBottom w:val="368"/>
          <w:divBdr>
            <w:top w:val="none" w:sz="0" w:space="0" w:color="auto"/>
            <w:left w:val="none" w:sz="0" w:space="0" w:color="auto"/>
            <w:bottom w:val="none" w:sz="0" w:space="0" w:color="auto"/>
            <w:right w:val="none" w:sz="0" w:space="0" w:color="auto"/>
          </w:divBdr>
          <w:divsChild>
            <w:div w:id="1200778866">
              <w:marLeft w:val="0"/>
              <w:marRight w:val="0"/>
              <w:marTop w:val="0"/>
              <w:marBottom w:val="0"/>
              <w:divBdr>
                <w:top w:val="none" w:sz="0" w:space="0" w:color="auto"/>
                <w:left w:val="none" w:sz="0" w:space="0" w:color="auto"/>
                <w:bottom w:val="none" w:sz="0" w:space="0" w:color="auto"/>
                <w:right w:val="none" w:sz="0" w:space="0" w:color="auto"/>
              </w:divBdr>
            </w:div>
          </w:divsChild>
        </w:div>
        <w:div w:id="979263663">
          <w:marLeft w:val="368"/>
          <w:marRight w:val="368"/>
          <w:marTop w:val="0"/>
          <w:marBottom w:val="368"/>
          <w:divBdr>
            <w:top w:val="none" w:sz="0" w:space="0" w:color="auto"/>
            <w:left w:val="none" w:sz="0" w:space="0" w:color="auto"/>
            <w:bottom w:val="none" w:sz="0" w:space="0" w:color="auto"/>
            <w:right w:val="none" w:sz="0" w:space="0" w:color="auto"/>
          </w:divBdr>
        </w:div>
      </w:divsChild>
    </w:div>
    <w:div w:id="436877521">
      <w:bodyDiv w:val="1"/>
      <w:marLeft w:val="0"/>
      <w:marRight w:val="0"/>
      <w:marTop w:val="0"/>
      <w:marBottom w:val="0"/>
      <w:divBdr>
        <w:top w:val="none" w:sz="0" w:space="0" w:color="auto"/>
        <w:left w:val="none" w:sz="0" w:space="0" w:color="auto"/>
        <w:bottom w:val="none" w:sz="0" w:space="0" w:color="auto"/>
        <w:right w:val="none" w:sz="0" w:space="0" w:color="auto"/>
      </w:divBdr>
    </w:div>
    <w:div w:id="853497308">
      <w:bodyDiv w:val="1"/>
      <w:marLeft w:val="0"/>
      <w:marRight w:val="0"/>
      <w:marTop w:val="0"/>
      <w:marBottom w:val="0"/>
      <w:divBdr>
        <w:top w:val="none" w:sz="0" w:space="0" w:color="auto"/>
        <w:left w:val="none" w:sz="0" w:space="0" w:color="auto"/>
        <w:bottom w:val="none" w:sz="0" w:space="0" w:color="auto"/>
        <w:right w:val="none" w:sz="0" w:space="0" w:color="auto"/>
      </w:divBdr>
    </w:div>
    <w:div w:id="863135500">
      <w:bodyDiv w:val="1"/>
      <w:marLeft w:val="0"/>
      <w:marRight w:val="0"/>
      <w:marTop w:val="0"/>
      <w:marBottom w:val="0"/>
      <w:divBdr>
        <w:top w:val="none" w:sz="0" w:space="0" w:color="auto"/>
        <w:left w:val="none" w:sz="0" w:space="0" w:color="auto"/>
        <w:bottom w:val="none" w:sz="0" w:space="0" w:color="auto"/>
        <w:right w:val="none" w:sz="0" w:space="0" w:color="auto"/>
      </w:divBdr>
    </w:div>
    <w:div w:id="924921015">
      <w:bodyDiv w:val="1"/>
      <w:marLeft w:val="0"/>
      <w:marRight w:val="0"/>
      <w:marTop w:val="0"/>
      <w:marBottom w:val="0"/>
      <w:divBdr>
        <w:top w:val="none" w:sz="0" w:space="0" w:color="auto"/>
        <w:left w:val="none" w:sz="0" w:space="0" w:color="auto"/>
        <w:bottom w:val="none" w:sz="0" w:space="0" w:color="auto"/>
        <w:right w:val="none" w:sz="0" w:space="0" w:color="auto"/>
      </w:divBdr>
      <w:divsChild>
        <w:div w:id="278992659">
          <w:marLeft w:val="368"/>
          <w:marRight w:val="368"/>
          <w:marTop w:val="0"/>
          <w:marBottom w:val="368"/>
          <w:divBdr>
            <w:top w:val="none" w:sz="0" w:space="0" w:color="auto"/>
            <w:left w:val="none" w:sz="0" w:space="0" w:color="auto"/>
            <w:bottom w:val="none" w:sz="0" w:space="0" w:color="auto"/>
            <w:right w:val="none" w:sz="0" w:space="0" w:color="auto"/>
          </w:divBdr>
        </w:div>
        <w:div w:id="1302270028">
          <w:marLeft w:val="368"/>
          <w:marRight w:val="368"/>
          <w:marTop w:val="0"/>
          <w:marBottom w:val="368"/>
          <w:divBdr>
            <w:top w:val="none" w:sz="0" w:space="0" w:color="auto"/>
            <w:left w:val="none" w:sz="0" w:space="0" w:color="auto"/>
            <w:bottom w:val="none" w:sz="0" w:space="0" w:color="auto"/>
            <w:right w:val="none" w:sz="0" w:space="0" w:color="auto"/>
          </w:divBdr>
          <w:divsChild>
            <w:div w:id="870149897">
              <w:marLeft w:val="0"/>
              <w:marRight w:val="0"/>
              <w:marTop w:val="0"/>
              <w:marBottom w:val="0"/>
              <w:divBdr>
                <w:top w:val="none" w:sz="0" w:space="0" w:color="auto"/>
                <w:left w:val="none" w:sz="0" w:space="0" w:color="auto"/>
                <w:bottom w:val="none" w:sz="0" w:space="0" w:color="auto"/>
                <w:right w:val="none" w:sz="0" w:space="0" w:color="auto"/>
              </w:divBdr>
            </w:div>
          </w:divsChild>
        </w:div>
        <w:div w:id="1394889521">
          <w:marLeft w:val="368"/>
          <w:marRight w:val="368"/>
          <w:marTop w:val="33"/>
          <w:marBottom w:val="201"/>
          <w:divBdr>
            <w:top w:val="none" w:sz="0" w:space="0" w:color="auto"/>
            <w:left w:val="none" w:sz="0" w:space="0" w:color="auto"/>
            <w:bottom w:val="none" w:sz="0" w:space="0" w:color="auto"/>
            <w:right w:val="none" w:sz="0" w:space="0" w:color="auto"/>
          </w:divBdr>
        </w:div>
      </w:divsChild>
    </w:div>
    <w:div w:id="1004626032">
      <w:bodyDiv w:val="1"/>
      <w:marLeft w:val="0"/>
      <w:marRight w:val="0"/>
      <w:marTop w:val="0"/>
      <w:marBottom w:val="0"/>
      <w:divBdr>
        <w:top w:val="none" w:sz="0" w:space="0" w:color="auto"/>
        <w:left w:val="none" w:sz="0" w:space="0" w:color="auto"/>
        <w:bottom w:val="none" w:sz="0" w:space="0" w:color="auto"/>
        <w:right w:val="none" w:sz="0" w:space="0" w:color="auto"/>
      </w:divBdr>
    </w:div>
    <w:div w:id="1102143894">
      <w:bodyDiv w:val="1"/>
      <w:marLeft w:val="0"/>
      <w:marRight w:val="0"/>
      <w:marTop w:val="0"/>
      <w:marBottom w:val="0"/>
      <w:divBdr>
        <w:top w:val="none" w:sz="0" w:space="0" w:color="auto"/>
        <w:left w:val="none" w:sz="0" w:space="0" w:color="auto"/>
        <w:bottom w:val="none" w:sz="0" w:space="0" w:color="auto"/>
        <w:right w:val="none" w:sz="0" w:space="0" w:color="auto"/>
      </w:divBdr>
      <w:divsChild>
        <w:div w:id="362487626">
          <w:marLeft w:val="368"/>
          <w:marRight w:val="368"/>
          <w:marTop w:val="0"/>
          <w:marBottom w:val="368"/>
          <w:divBdr>
            <w:top w:val="none" w:sz="0" w:space="0" w:color="auto"/>
            <w:left w:val="none" w:sz="0" w:space="0" w:color="auto"/>
            <w:bottom w:val="none" w:sz="0" w:space="0" w:color="auto"/>
            <w:right w:val="none" w:sz="0" w:space="0" w:color="auto"/>
          </w:divBdr>
        </w:div>
        <w:div w:id="395201009">
          <w:marLeft w:val="368"/>
          <w:marRight w:val="368"/>
          <w:marTop w:val="0"/>
          <w:marBottom w:val="368"/>
          <w:divBdr>
            <w:top w:val="none" w:sz="0" w:space="0" w:color="auto"/>
            <w:left w:val="none" w:sz="0" w:space="0" w:color="auto"/>
            <w:bottom w:val="none" w:sz="0" w:space="0" w:color="auto"/>
            <w:right w:val="none" w:sz="0" w:space="0" w:color="auto"/>
          </w:divBdr>
          <w:divsChild>
            <w:div w:id="1656031176">
              <w:marLeft w:val="0"/>
              <w:marRight w:val="0"/>
              <w:marTop w:val="0"/>
              <w:marBottom w:val="0"/>
              <w:divBdr>
                <w:top w:val="none" w:sz="0" w:space="0" w:color="auto"/>
                <w:left w:val="none" w:sz="0" w:space="0" w:color="auto"/>
                <w:bottom w:val="none" w:sz="0" w:space="0" w:color="auto"/>
                <w:right w:val="none" w:sz="0" w:space="0" w:color="auto"/>
              </w:divBdr>
            </w:div>
          </w:divsChild>
        </w:div>
        <w:div w:id="1397243268">
          <w:marLeft w:val="368"/>
          <w:marRight w:val="368"/>
          <w:marTop w:val="33"/>
          <w:marBottom w:val="201"/>
          <w:divBdr>
            <w:top w:val="none" w:sz="0" w:space="0" w:color="auto"/>
            <w:left w:val="none" w:sz="0" w:space="0" w:color="auto"/>
            <w:bottom w:val="none" w:sz="0" w:space="0" w:color="auto"/>
            <w:right w:val="none" w:sz="0" w:space="0" w:color="auto"/>
          </w:divBdr>
        </w:div>
      </w:divsChild>
    </w:div>
    <w:div w:id="1169633602">
      <w:bodyDiv w:val="1"/>
      <w:marLeft w:val="0"/>
      <w:marRight w:val="0"/>
      <w:marTop w:val="0"/>
      <w:marBottom w:val="0"/>
      <w:divBdr>
        <w:top w:val="none" w:sz="0" w:space="0" w:color="auto"/>
        <w:left w:val="none" w:sz="0" w:space="0" w:color="auto"/>
        <w:bottom w:val="none" w:sz="0" w:space="0" w:color="auto"/>
        <w:right w:val="none" w:sz="0" w:space="0" w:color="auto"/>
      </w:divBdr>
    </w:div>
    <w:div w:id="1230311843">
      <w:bodyDiv w:val="1"/>
      <w:marLeft w:val="0"/>
      <w:marRight w:val="0"/>
      <w:marTop w:val="0"/>
      <w:marBottom w:val="0"/>
      <w:divBdr>
        <w:top w:val="none" w:sz="0" w:space="0" w:color="auto"/>
        <w:left w:val="none" w:sz="0" w:space="0" w:color="auto"/>
        <w:bottom w:val="none" w:sz="0" w:space="0" w:color="auto"/>
        <w:right w:val="none" w:sz="0" w:space="0" w:color="auto"/>
      </w:divBdr>
    </w:div>
    <w:div w:id="1247307479">
      <w:bodyDiv w:val="1"/>
      <w:marLeft w:val="0"/>
      <w:marRight w:val="0"/>
      <w:marTop w:val="0"/>
      <w:marBottom w:val="0"/>
      <w:divBdr>
        <w:top w:val="none" w:sz="0" w:space="0" w:color="auto"/>
        <w:left w:val="none" w:sz="0" w:space="0" w:color="auto"/>
        <w:bottom w:val="none" w:sz="0" w:space="0" w:color="auto"/>
        <w:right w:val="none" w:sz="0" w:space="0" w:color="auto"/>
      </w:divBdr>
    </w:div>
    <w:div w:id="1277785223">
      <w:bodyDiv w:val="1"/>
      <w:marLeft w:val="0"/>
      <w:marRight w:val="0"/>
      <w:marTop w:val="0"/>
      <w:marBottom w:val="0"/>
      <w:divBdr>
        <w:top w:val="none" w:sz="0" w:space="0" w:color="auto"/>
        <w:left w:val="none" w:sz="0" w:space="0" w:color="auto"/>
        <w:bottom w:val="none" w:sz="0" w:space="0" w:color="auto"/>
        <w:right w:val="none" w:sz="0" w:space="0" w:color="auto"/>
      </w:divBdr>
    </w:div>
    <w:div w:id="1407221740">
      <w:bodyDiv w:val="1"/>
      <w:marLeft w:val="0"/>
      <w:marRight w:val="0"/>
      <w:marTop w:val="0"/>
      <w:marBottom w:val="0"/>
      <w:divBdr>
        <w:top w:val="none" w:sz="0" w:space="0" w:color="auto"/>
        <w:left w:val="none" w:sz="0" w:space="0" w:color="auto"/>
        <w:bottom w:val="none" w:sz="0" w:space="0" w:color="auto"/>
        <w:right w:val="none" w:sz="0" w:space="0" w:color="auto"/>
      </w:divBdr>
    </w:div>
    <w:div w:id="1425223214">
      <w:bodyDiv w:val="1"/>
      <w:marLeft w:val="0"/>
      <w:marRight w:val="0"/>
      <w:marTop w:val="0"/>
      <w:marBottom w:val="0"/>
      <w:divBdr>
        <w:top w:val="none" w:sz="0" w:space="0" w:color="auto"/>
        <w:left w:val="none" w:sz="0" w:space="0" w:color="auto"/>
        <w:bottom w:val="none" w:sz="0" w:space="0" w:color="auto"/>
        <w:right w:val="none" w:sz="0" w:space="0" w:color="auto"/>
      </w:divBdr>
    </w:div>
    <w:div w:id="1494565360">
      <w:bodyDiv w:val="1"/>
      <w:marLeft w:val="0"/>
      <w:marRight w:val="0"/>
      <w:marTop w:val="0"/>
      <w:marBottom w:val="0"/>
      <w:divBdr>
        <w:top w:val="none" w:sz="0" w:space="0" w:color="auto"/>
        <w:left w:val="none" w:sz="0" w:space="0" w:color="auto"/>
        <w:bottom w:val="none" w:sz="0" w:space="0" w:color="auto"/>
        <w:right w:val="none" w:sz="0" w:space="0" w:color="auto"/>
      </w:divBdr>
    </w:div>
    <w:div w:id="1600143748">
      <w:bodyDiv w:val="1"/>
      <w:marLeft w:val="0"/>
      <w:marRight w:val="0"/>
      <w:marTop w:val="0"/>
      <w:marBottom w:val="0"/>
      <w:divBdr>
        <w:top w:val="none" w:sz="0" w:space="0" w:color="auto"/>
        <w:left w:val="none" w:sz="0" w:space="0" w:color="auto"/>
        <w:bottom w:val="none" w:sz="0" w:space="0" w:color="auto"/>
        <w:right w:val="none" w:sz="0" w:space="0" w:color="auto"/>
      </w:divBdr>
    </w:div>
    <w:div w:id="1625698651">
      <w:bodyDiv w:val="1"/>
      <w:marLeft w:val="0"/>
      <w:marRight w:val="0"/>
      <w:marTop w:val="0"/>
      <w:marBottom w:val="0"/>
      <w:divBdr>
        <w:top w:val="none" w:sz="0" w:space="0" w:color="auto"/>
        <w:left w:val="none" w:sz="0" w:space="0" w:color="auto"/>
        <w:bottom w:val="none" w:sz="0" w:space="0" w:color="auto"/>
        <w:right w:val="none" w:sz="0" w:space="0" w:color="auto"/>
      </w:divBdr>
    </w:div>
    <w:div w:id="1626809065">
      <w:bodyDiv w:val="1"/>
      <w:marLeft w:val="0"/>
      <w:marRight w:val="0"/>
      <w:marTop w:val="0"/>
      <w:marBottom w:val="0"/>
      <w:divBdr>
        <w:top w:val="none" w:sz="0" w:space="0" w:color="auto"/>
        <w:left w:val="none" w:sz="0" w:space="0" w:color="auto"/>
        <w:bottom w:val="none" w:sz="0" w:space="0" w:color="auto"/>
        <w:right w:val="none" w:sz="0" w:space="0" w:color="auto"/>
      </w:divBdr>
    </w:div>
    <w:div w:id="1732582679">
      <w:bodyDiv w:val="1"/>
      <w:marLeft w:val="0"/>
      <w:marRight w:val="0"/>
      <w:marTop w:val="0"/>
      <w:marBottom w:val="0"/>
      <w:divBdr>
        <w:top w:val="none" w:sz="0" w:space="0" w:color="auto"/>
        <w:left w:val="none" w:sz="0" w:space="0" w:color="auto"/>
        <w:bottom w:val="none" w:sz="0" w:space="0" w:color="auto"/>
        <w:right w:val="none" w:sz="0" w:space="0" w:color="auto"/>
      </w:divBdr>
    </w:div>
    <w:div w:id="1824009705">
      <w:bodyDiv w:val="1"/>
      <w:marLeft w:val="0"/>
      <w:marRight w:val="0"/>
      <w:marTop w:val="0"/>
      <w:marBottom w:val="0"/>
      <w:divBdr>
        <w:top w:val="none" w:sz="0" w:space="0" w:color="auto"/>
        <w:left w:val="none" w:sz="0" w:space="0" w:color="auto"/>
        <w:bottom w:val="none" w:sz="0" w:space="0" w:color="auto"/>
        <w:right w:val="none" w:sz="0" w:space="0" w:color="auto"/>
      </w:divBdr>
    </w:div>
    <w:div w:id="2054189851">
      <w:bodyDiv w:val="1"/>
      <w:marLeft w:val="0"/>
      <w:marRight w:val="0"/>
      <w:marTop w:val="0"/>
      <w:marBottom w:val="0"/>
      <w:divBdr>
        <w:top w:val="none" w:sz="0" w:space="0" w:color="auto"/>
        <w:left w:val="none" w:sz="0" w:space="0" w:color="auto"/>
        <w:bottom w:val="none" w:sz="0" w:space="0" w:color="auto"/>
        <w:right w:val="none" w:sz="0" w:space="0" w:color="auto"/>
      </w:divBdr>
      <w:divsChild>
        <w:div w:id="1988432688">
          <w:marLeft w:val="0"/>
          <w:marRight w:val="0"/>
          <w:marTop w:val="0"/>
          <w:marBottom w:val="0"/>
          <w:divBdr>
            <w:top w:val="none" w:sz="0" w:space="0" w:color="auto"/>
            <w:left w:val="none" w:sz="0" w:space="0" w:color="auto"/>
            <w:bottom w:val="none" w:sz="0" w:space="0" w:color="auto"/>
            <w:right w:val="none" w:sz="0" w:space="0" w:color="auto"/>
          </w:divBdr>
        </w:div>
        <w:div w:id="502858378">
          <w:marLeft w:val="0"/>
          <w:marRight w:val="0"/>
          <w:marTop w:val="0"/>
          <w:marBottom w:val="0"/>
          <w:divBdr>
            <w:top w:val="none" w:sz="0" w:space="0" w:color="auto"/>
            <w:left w:val="none" w:sz="0" w:space="0" w:color="auto"/>
            <w:bottom w:val="none" w:sz="0" w:space="0" w:color="auto"/>
            <w:right w:val="none" w:sz="0" w:space="0" w:color="auto"/>
          </w:divBdr>
        </w:div>
        <w:div w:id="1727100392">
          <w:marLeft w:val="0"/>
          <w:marRight w:val="0"/>
          <w:marTop w:val="0"/>
          <w:marBottom w:val="0"/>
          <w:divBdr>
            <w:top w:val="none" w:sz="0" w:space="0" w:color="auto"/>
            <w:left w:val="none" w:sz="0" w:space="0" w:color="auto"/>
            <w:bottom w:val="none" w:sz="0" w:space="0" w:color="auto"/>
            <w:right w:val="none" w:sz="0" w:space="0" w:color="auto"/>
          </w:divBdr>
        </w:div>
      </w:divsChild>
    </w:div>
    <w:div w:id="2063753548">
      <w:bodyDiv w:val="1"/>
      <w:marLeft w:val="0"/>
      <w:marRight w:val="0"/>
      <w:marTop w:val="0"/>
      <w:marBottom w:val="0"/>
      <w:divBdr>
        <w:top w:val="none" w:sz="0" w:space="0" w:color="auto"/>
        <w:left w:val="none" w:sz="0" w:space="0" w:color="auto"/>
        <w:bottom w:val="none" w:sz="0" w:space="0" w:color="auto"/>
        <w:right w:val="none" w:sz="0" w:space="0" w:color="auto"/>
      </w:divBdr>
      <w:divsChild>
        <w:div w:id="2092924275">
          <w:marLeft w:val="0"/>
          <w:marRight w:val="0"/>
          <w:marTop w:val="0"/>
          <w:marBottom w:val="0"/>
          <w:divBdr>
            <w:top w:val="none" w:sz="0" w:space="0" w:color="auto"/>
            <w:left w:val="none" w:sz="0" w:space="0" w:color="auto"/>
            <w:bottom w:val="none" w:sz="0" w:space="0" w:color="auto"/>
            <w:right w:val="none" w:sz="0" w:space="0" w:color="auto"/>
          </w:divBdr>
        </w:div>
        <w:div w:id="1160081882">
          <w:marLeft w:val="0"/>
          <w:marRight w:val="0"/>
          <w:marTop w:val="0"/>
          <w:marBottom w:val="0"/>
          <w:divBdr>
            <w:top w:val="none" w:sz="0" w:space="0" w:color="auto"/>
            <w:left w:val="none" w:sz="0" w:space="0" w:color="auto"/>
            <w:bottom w:val="none" w:sz="0" w:space="0" w:color="auto"/>
            <w:right w:val="none" w:sz="0" w:space="0" w:color="auto"/>
          </w:divBdr>
        </w:div>
        <w:div w:id="16590736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labeed@surrey.ac.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hughes@surrey.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356A4B-2BA5-4D2E-9833-AD7537DED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26</Pages>
  <Words>8839</Words>
  <Characters>50388</Characters>
  <Application>Microsoft Office Word</Application>
  <DocSecurity>0</DocSecurity>
  <Lines>419</Lines>
  <Paragraphs>118</Paragraphs>
  <ScaleCrop>false</ScaleCrop>
  <HeadingPairs>
    <vt:vector size="2" baseType="variant">
      <vt:variant>
        <vt:lpstr>Title</vt:lpstr>
      </vt:variant>
      <vt:variant>
        <vt:i4>1</vt:i4>
      </vt:variant>
    </vt:vector>
  </HeadingPairs>
  <TitlesOfParts>
    <vt:vector size="1" baseType="lpstr">
      <vt:lpstr/>
    </vt:vector>
  </TitlesOfParts>
  <Company>University of Surrey</Company>
  <LinksUpToDate>false</LinksUpToDate>
  <CharactersWithSpaces>59109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Hughes MP Prof (Mech, Med &amp; Aero Eng)</dc:creator>
  <cp:lastModifiedBy>Michael Hughes</cp:lastModifiedBy>
  <cp:revision>5</cp:revision>
  <cp:lastPrinted>2019-10-22T14:32:00Z</cp:lastPrinted>
  <dcterms:created xsi:type="dcterms:W3CDTF">2019-10-23T11:33:00Z</dcterms:created>
  <dcterms:modified xsi:type="dcterms:W3CDTF">2019-11-18T11:03:00Z</dcterms:modified>
</cp:coreProperties>
</file>