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D82B1" w14:textId="15611EE1" w:rsidR="003C0396" w:rsidRPr="009C0B84" w:rsidRDefault="001C6F7F" w:rsidP="00616B71">
      <w:pPr>
        <w:spacing w:before="100" w:beforeAutospacing="1" w:after="100" w:afterAutospacing="1" w:line="360" w:lineRule="auto"/>
        <w:jc w:val="center"/>
        <w:rPr>
          <w:rFonts w:asciiTheme="majorBidi" w:eastAsia="Times New Roman" w:hAnsiTheme="majorBidi" w:cstheme="majorBidi"/>
          <w:b/>
          <w:bCs/>
          <w:color w:val="333333"/>
        </w:rPr>
      </w:pPr>
      <w:r w:rsidRPr="009C0B84">
        <w:rPr>
          <w:rFonts w:asciiTheme="majorBidi" w:eastAsia="Times New Roman" w:hAnsiTheme="majorBidi" w:cstheme="majorBidi"/>
          <w:b/>
          <w:bCs/>
          <w:color w:val="333333"/>
        </w:rPr>
        <w:t xml:space="preserve">Efficacy </w:t>
      </w:r>
      <w:r w:rsidR="003C0396" w:rsidRPr="009C0B84">
        <w:rPr>
          <w:rFonts w:asciiTheme="majorBidi" w:eastAsia="Times New Roman" w:hAnsiTheme="majorBidi" w:cstheme="majorBidi"/>
          <w:b/>
          <w:bCs/>
          <w:color w:val="333333"/>
        </w:rPr>
        <w:t xml:space="preserve">and </w:t>
      </w:r>
      <w:r w:rsidRPr="009C0B84">
        <w:rPr>
          <w:rFonts w:asciiTheme="majorBidi" w:eastAsia="Times New Roman" w:hAnsiTheme="majorBidi" w:cstheme="majorBidi"/>
          <w:b/>
          <w:bCs/>
          <w:color w:val="333333"/>
        </w:rPr>
        <w:t xml:space="preserve">safety </w:t>
      </w:r>
      <w:r w:rsidR="003C0396" w:rsidRPr="009C0B84">
        <w:rPr>
          <w:rFonts w:asciiTheme="majorBidi" w:eastAsia="Times New Roman" w:hAnsiTheme="majorBidi" w:cstheme="majorBidi"/>
          <w:b/>
          <w:bCs/>
          <w:color w:val="333333"/>
        </w:rPr>
        <w:t xml:space="preserve">of dapagliflozin in the elderly - </w:t>
      </w:r>
      <w:r w:rsidR="00037791" w:rsidRPr="009C0B84">
        <w:rPr>
          <w:rFonts w:asciiTheme="majorBidi" w:eastAsia="Times New Roman" w:hAnsiTheme="majorBidi" w:cstheme="majorBidi"/>
          <w:b/>
          <w:bCs/>
          <w:color w:val="333333"/>
        </w:rPr>
        <w:br/>
      </w:r>
      <w:r w:rsidR="003C0396" w:rsidRPr="009C0B84">
        <w:rPr>
          <w:rFonts w:asciiTheme="majorBidi" w:eastAsia="Times New Roman" w:hAnsiTheme="majorBidi" w:cstheme="majorBidi"/>
          <w:b/>
          <w:bCs/>
          <w:color w:val="333333"/>
        </w:rPr>
        <w:t xml:space="preserve">analysis from the </w:t>
      </w:r>
      <w:r w:rsidR="00F37A5E" w:rsidRPr="009C0B84">
        <w:rPr>
          <w:rFonts w:asciiTheme="majorBidi" w:eastAsia="Times New Roman" w:hAnsiTheme="majorBidi" w:cstheme="majorBidi"/>
          <w:b/>
          <w:bCs/>
          <w:color w:val="333333"/>
        </w:rPr>
        <w:t>DECLARE TIMI-</w:t>
      </w:r>
      <w:r w:rsidR="003C0396" w:rsidRPr="009C0B84">
        <w:rPr>
          <w:rFonts w:asciiTheme="majorBidi" w:eastAsia="Times New Roman" w:hAnsiTheme="majorBidi" w:cstheme="majorBidi"/>
          <w:b/>
          <w:bCs/>
          <w:color w:val="333333"/>
        </w:rPr>
        <w:t>58 study</w:t>
      </w:r>
    </w:p>
    <w:p w14:paraId="0B86305B" w14:textId="4E98E8BC" w:rsidR="00AB363C" w:rsidRPr="009C0B84" w:rsidRDefault="00AB363C" w:rsidP="00616B71">
      <w:pPr>
        <w:spacing w:before="100" w:beforeAutospacing="1" w:after="100" w:afterAutospacing="1" w:line="360" w:lineRule="auto"/>
        <w:rPr>
          <w:rFonts w:asciiTheme="majorBidi" w:eastAsia="Times New Roman" w:hAnsiTheme="majorBidi" w:cstheme="majorBidi"/>
          <w:b/>
          <w:bCs/>
          <w:color w:val="333333"/>
        </w:rPr>
      </w:pPr>
    </w:p>
    <w:p w14:paraId="5B254225" w14:textId="7B1A29EF" w:rsidR="00172523" w:rsidRPr="009C0B84" w:rsidRDefault="00172523" w:rsidP="009421DE">
      <w:pPr>
        <w:spacing w:after="100" w:afterAutospacing="1" w:line="336" w:lineRule="auto"/>
        <w:contextualSpacing/>
        <w:rPr>
          <w:rFonts w:asciiTheme="majorBidi" w:eastAsia="Times New Roman" w:hAnsiTheme="majorBidi" w:cstheme="majorBidi"/>
          <w:color w:val="333333"/>
        </w:rPr>
      </w:pPr>
      <w:r w:rsidRPr="009C0B84">
        <w:rPr>
          <w:rFonts w:asciiTheme="majorBidi" w:eastAsia="Times New Roman" w:hAnsiTheme="majorBidi" w:cstheme="majorBidi"/>
          <w:color w:val="333333"/>
        </w:rPr>
        <w:t>Running title: Efficacy and safety of dapagliflozin in the elderly</w:t>
      </w:r>
    </w:p>
    <w:p w14:paraId="36E6337A" w14:textId="77777777" w:rsidR="00172523" w:rsidRPr="009C0B84" w:rsidRDefault="00172523" w:rsidP="009421DE">
      <w:pPr>
        <w:spacing w:after="100" w:afterAutospacing="1" w:line="336" w:lineRule="auto"/>
        <w:contextualSpacing/>
        <w:rPr>
          <w:rFonts w:asciiTheme="majorBidi" w:eastAsia="Times New Roman" w:hAnsiTheme="majorBidi" w:cstheme="majorBidi"/>
          <w:b/>
          <w:bCs/>
          <w:color w:val="333333"/>
        </w:rPr>
      </w:pPr>
    </w:p>
    <w:p w14:paraId="6655474A" w14:textId="6FED1700" w:rsidR="00AB363C" w:rsidRDefault="00AB363C" w:rsidP="009421DE">
      <w:pPr>
        <w:spacing w:after="100" w:afterAutospacing="1" w:line="336" w:lineRule="auto"/>
        <w:contextualSpacing/>
        <w:rPr>
          <w:rFonts w:asciiTheme="majorBidi" w:hAnsiTheme="majorBidi" w:cstheme="majorBidi"/>
          <w:vertAlign w:val="superscript"/>
          <w:rtl/>
        </w:rPr>
      </w:pPr>
      <w:r w:rsidRPr="009C0B84">
        <w:rPr>
          <w:rFonts w:asciiTheme="majorBidi" w:hAnsiTheme="majorBidi" w:cstheme="majorBidi"/>
        </w:rPr>
        <w:t>Avivit Cahn</w:t>
      </w:r>
      <w:r w:rsidR="00627C8C" w:rsidRPr="009C0B84">
        <w:rPr>
          <w:rFonts w:asciiTheme="majorBidi" w:hAnsiTheme="majorBidi" w:cstheme="majorBidi"/>
        </w:rPr>
        <w:t xml:space="preserve">, MD </w:t>
      </w:r>
      <w:r w:rsidRPr="009C0B84">
        <w:rPr>
          <w:rFonts w:asciiTheme="majorBidi" w:hAnsiTheme="majorBidi" w:cstheme="majorBidi"/>
          <w:vertAlign w:val="superscript"/>
        </w:rPr>
        <w:t>1</w:t>
      </w:r>
      <w:r w:rsidRPr="009C0B84">
        <w:rPr>
          <w:rFonts w:asciiTheme="majorBidi" w:hAnsiTheme="majorBidi" w:cstheme="majorBidi"/>
        </w:rPr>
        <w:t>, Ofri Mosenzon</w:t>
      </w:r>
      <w:r w:rsidR="00627C8C" w:rsidRPr="009C0B84">
        <w:rPr>
          <w:rFonts w:asciiTheme="majorBidi" w:hAnsiTheme="majorBidi" w:cstheme="majorBidi"/>
        </w:rPr>
        <w:t xml:space="preserve">, MD, MSc </w:t>
      </w:r>
      <w:r w:rsidRPr="009C0B84">
        <w:rPr>
          <w:rFonts w:asciiTheme="majorBidi" w:hAnsiTheme="majorBidi" w:cstheme="majorBidi"/>
          <w:vertAlign w:val="superscript"/>
        </w:rPr>
        <w:t>1</w:t>
      </w:r>
      <w:r w:rsidRPr="009C0B84">
        <w:rPr>
          <w:rFonts w:asciiTheme="majorBidi" w:hAnsiTheme="majorBidi" w:cstheme="majorBidi"/>
        </w:rPr>
        <w:t>, Stephen D. Wiviott</w:t>
      </w:r>
      <w:r w:rsidR="00627C8C" w:rsidRPr="009C0B84">
        <w:rPr>
          <w:rFonts w:asciiTheme="majorBidi" w:hAnsiTheme="majorBidi" w:cstheme="majorBidi"/>
        </w:rPr>
        <w:t xml:space="preserve"> MD </w:t>
      </w:r>
      <w:r w:rsidRPr="009C0B84">
        <w:rPr>
          <w:rFonts w:asciiTheme="majorBidi" w:hAnsiTheme="majorBidi" w:cstheme="majorBidi"/>
          <w:vertAlign w:val="superscript"/>
        </w:rPr>
        <w:t>2</w:t>
      </w:r>
      <w:r w:rsidRPr="009C0B84">
        <w:rPr>
          <w:rFonts w:asciiTheme="majorBidi" w:hAnsiTheme="majorBidi" w:cstheme="majorBidi"/>
        </w:rPr>
        <w:t>, Aliza Rozenberg</w:t>
      </w:r>
      <w:r w:rsidR="00057C7B" w:rsidRPr="009C0B84">
        <w:rPr>
          <w:rFonts w:asciiTheme="majorBidi" w:hAnsiTheme="majorBidi" w:cstheme="majorBidi"/>
        </w:rPr>
        <w:t>, MA</w:t>
      </w:r>
      <w:r w:rsidRPr="009C0B84">
        <w:rPr>
          <w:rFonts w:asciiTheme="majorBidi" w:hAnsiTheme="majorBidi" w:cstheme="majorBidi"/>
          <w:vertAlign w:val="superscript"/>
        </w:rPr>
        <w:t>1</w:t>
      </w:r>
      <w:r w:rsidRPr="009C0B84">
        <w:rPr>
          <w:rFonts w:asciiTheme="majorBidi" w:hAnsiTheme="majorBidi" w:cstheme="majorBidi"/>
        </w:rPr>
        <w:t xml:space="preserve">, Ilan </w:t>
      </w:r>
      <w:proofErr w:type="spellStart"/>
      <w:r w:rsidRPr="009C0B84">
        <w:rPr>
          <w:rFonts w:asciiTheme="majorBidi" w:hAnsiTheme="majorBidi" w:cstheme="majorBidi"/>
        </w:rPr>
        <w:t>Yanuv</w:t>
      </w:r>
      <w:proofErr w:type="spellEnd"/>
      <w:r w:rsidR="00057C7B" w:rsidRPr="009C0B84">
        <w:rPr>
          <w:rFonts w:asciiTheme="majorBidi" w:hAnsiTheme="majorBidi" w:cstheme="majorBidi"/>
        </w:rPr>
        <w:t xml:space="preserve"> MSc </w:t>
      </w:r>
      <w:r w:rsidRPr="009C0B84">
        <w:rPr>
          <w:rFonts w:asciiTheme="majorBidi" w:hAnsiTheme="majorBidi" w:cstheme="majorBidi"/>
          <w:vertAlign w:val="superscript"/>
        </w:rPr>
        <w:t>1</w:t>
      </w:r>
      <w:r w:rsidRPr="009C0B84">
        <w:rPr>
          <w:rFonts w:asciiTheme="majorBidi" w:hAnsiTheme="majorBidi" w:cstheme="majorBidi"/>
        </w:rPr>
        <w:t>, Erica L. Goodrich</w:t>
      </w:r>
      <w:r w:rsidR="00057C7B" w:rsidRPr="009C0B84">
        <w:rPr>
          <w:rFonts w:asciiTheme="majorBidi" w:hAnsiTheme="majorBidi" w:cstheme="majorBidi"/>
        </w:rPr>
        <w:t xml:space="preserve"> MS</w:t>
      </w:r>
      <w:r w:rsidRPr="009C0B84">
        <w:rPr>
          <w:rFonts w:asciiTheme="majorBidi" w:hAnsiTheme="majorBidi" w:cstheme="majorBidi"/>
          <w:vertAlign w:val="superscript"/>
        </w:rPr>
        <w:t>2</w:t>
      </w:r>
      <w:r w:rsidRPr="009C0B84">
        <w:rPr>
          <w:rFonts w:asciiTheme="majorBidi" w:hAnsiTheme="majorBidi" w:cstheme="majorBidi"/>
        </w:rPr>
        <w:t>, Sabina</w:t>
      </w:r>
      <w:r w:rsidRPr="009C0B84">
        <w:rPr>
          <w:rFonts w:asciiTheme="majorBidi" w:hAnsiTheme="majorBidi" w:cstheme="majorBidi"/>
          <w:lang w:val="en-GB"/>
        </w:rPr>
        <w:t xml:space="preserve"> A. Murphy</w:t>
      </w:r>
      <w:r w:rsidR="00627C8C" w:rsidRPr="009C0B84">
        <w:rPr>
          <w:rFonts w:asciiTheme="majorBidi" w:hAnsiTheme="majorBidi" w:cstheme="majorBidi"/>
          <w:lang w:val="en-GB"/>
        </w:rPr>
        <w:t xml:space="preserve">, MPH </w:t>
      </w:r>
      <w:r w:rsidRPr="009C0B84">
        <w:rPr>
          <w:rFonts w:asciiTheme="majorBidi" w:hAnsiTheme="majorBidi" w:cstheme="majorBidi"/>
          <w:vertAlign w:val="superscript"/>
        </w:rPr>
        <w:t>2</w:t>
      </w:r>
      <w:r w:rsidRPr="009C0B84">
        <w:rPr>
          <w:rFonts w:asciiTheme="majorBidi" w:hAnsiTheme="majorBidi" w:cstheme="majorBidi"/>
        </w:rPr>
        <w:t>, Deepak L. Bhatt</w:t>
      </w:r>
      <w:r w:rsidR="00627C8C" w:rsidRPr="009C0B84">
        <w:rPr>
          <w:rFonts w:asciiTheme="majorBidi" w:hAnsiTheme="majorBidi" w:cstheme="majorBidi"/>
        </w:rPr>
        <w:t xml:space="preserve">, MD, MPH </w:t>
      </w:r>
      <w:r w:rsidRPr="009C0B84">
        <w:rPr>
          <w:rFonts w:asciiTheme="majorBidi" w:hAnsiTheme="majorBidi" w:cstheme="majorBidi"/>
          <w:vertAlign w:val="superscript"/>
        </w:rPr>
        <w:t>2</w:t>
      </w:r>
      <w:r w:rsidRPr="009C0B84">
        <w:rPr>
          <w:rFonts w:asciiTheme="majorBidi" w:hAnsiTheme="majorBidi" w:cstheme="majorBidi"/>
        </w:rPr>
        <w:t>, Lawrence A. Leiter</w:t>
      </w:r>
      <w:r w:rsidR="00627C8C" w:rsidRPr="009C0B84">
        <w:rPr>
          <w:rFonts w:asciiTheme="majorBidi" w:hAnsiTheme="majorBidi" w:cstheme="majorBidi"/>
        </w:rPr>
        <w:t xml:space="preserve">, MD </w:t>
      </w:r>
      <w:r w:rsidRPr="009C0B84">
        <w:rPr>
          <w:rFonts w:asciiTheme="majorBidi" w:hAnsiTheme="majorBidi" w:cstheme="majorBidi"/>
          <w:vertAlign w:val="superscript"/>
        </w:rPr>
        <w:t>3</w:t>
      </w:r>
      <w:r w:rsidRPr="009C0B84">
        <w:rPr>
          <w:rFonts w:asciiTheme="majorBidi" w:hAnsiTheme="majorBidi" w:cstheme="majorBidi"/>
        </w:rPr>
        <w:t>, Darren K. McGuire</w:t>
      </w:r>
      <w:r w:rsidR="00627C8C" w:rsidRPr="009C0B84">
        <w:rPr>
          <w:rFonts w:asciiTheme="majorBidi" w:hAnsiTheme="majorBidi" w:cstheme="majorBidi"/>
        </w:rPr>
        <w:t xml:space="preserve">, MD, </w:t>
      </w:r>
      <w:proofErr w:type="spellStart"/>
      <w:r w:rsidR="00627C8C" w:rsidRPr="009C0B84">
        <w:rPr>
          <w:rFonts w:asciiTheme="majorBidi" w:hAnsiTheme="majorBidi" w:cstheme="majorBidi"/>
        </w:rPr>
        <w:t>MHSc</w:t>
      </w:r>
      <w:proofErr w:type="spellEnd"/>
      <w:r w:rsidR="00627C8C" w:rsidRPr="009C0B84">
        <w:rPr>
          <w:rFonts w:asciiTheme="majorBidi" w:hAnsiTheme="majorBidi" w:cstheme="majorBidi"/>
        </w:rPr>
        <w:t xml:space="preserve"> </w:t>
      </w:r>
      <w:r w:rsidRPr="009C0B84">
        <w:rPr>
          <w:rFonts w:asciiTheme="majorBidi" w:hAnsiTheme="majorBidi" w:cstheme="majorBidi"/>
          <w:vertAlign w:val="superscript"/>
        </w:rPr>
        <w:t>4</w:t>
      </w:r>
      <w:r w:rsidRPr="009C0B84">
        <w:rPr>
          <w:rFonts w:asciiTheme="majorBidi" w:hAnsiTheme="majorBidi" w:cstheme="majorBidi"/>
        </w:rPr>
        <w:t>, John P.H. Wilding</w:t>
      </w:r>
      <w:r w:rsidR="00627C8C" w:rsidRPr="009C0B84">
        <w:rPr>
          <w:rFonts w:asciiTheme="majorBidi" w:hAnsiTheme="majorBidi" w:cstheme="majorBidi"/>
        </w:rPr>
        <w:t xml:space="preserve">, MD </w:t>
      </w:r>
      <w:r w:rsidRPr="009C0B84">
        <w:rPr>
          <w:rFonts w:asciiTheme="majorBidi" w:hAnsiTheme="majorBidi" w:cstheme="majorBidi"/>
          <w:vertAlign w:val="superscript"/>
        </w:rPr>
        <w:t>5</w:t>
      </w:r>
      <w:r w:rsidRPr="009C0B84">
        <w:rPr>
          <w:rFonts w:asciiTheme="majorBidi" w:hAnsiTheme="majorBidi" w:cstheme="majorBidi"/>
        </w:rPr>
        <w:t>, Ingrid A. M. Gause- Nilsson</w:t>
      </w:r>
      <w:r w:rsidR="00627C8C" w:rsidRPr="009C0B84">
        <w:rPr>
          <w:rFonts w:asciiTheme="majorBidi" w:hAnsiTheme="majorBidi" w:cstheme="majorBidi"/>
        </w:rPr>
        <w:t xml:space="preserve">, MD, PhD </w:t>
      </w:r>
      <w:r w:rsidRPr="009C0B84">
        <w:rPr>
          <w:rFonts w:asciiTheme="majorBidi" w:hAnsiTheme="majorBidi" w:cstheme="majorBidi"/>
          <w:vertAlign w:val="superscript"/>
        </w:rPr>
        <w:t>6</w:t>
      </w:r>
      <w:r w:rsidRPr="009C0B84">
        <w:rPr>
          <w:rFonts w:asciiTheme="majorBidi" w:hAnsiTheme="majorBidi" w:cstheme="majorBidi"/>
        </w:rPr>
        <w:t xml:space="preserve">, Martin </w:t>
      </w:r>
      <w:proofErr w:type="spellStart"/>
      <w:r w:rsidRPr="009C0B84">
        <w:rPr>
          <w:rFonts w:asciiTheme="majorBidi" w:hAnsiTheme="majorBidi" w:cstheme="majorBidi"/>
        </w:rPr>
        <w:t>Fredriksson</w:t>
      </w:r>
      <w:proofErr w:type="spellEnd"/>
      <w:r w:rsidR="00057C7B" w:rsidRPr="009C0B84">
        <w:rPr>
          <w:rFonts w:asciiTheme="majorBidi" w:hAnsiTheme="majorBidi" w:cstheme="majorBidi"/>
        </w:rPr>
        <w:t xml:space="preserve">, MD </w:t>
      </w:r>
      <w:r w:rsidRPr="009C0B84">
        <w:rPr>
          <w:rFonts w:asciiTheme="majorBidi" w:hAnsiTheme="majorBidi" w:cstheme="majorBidi"/>
          <w:vertAlign w:val="superscript"/>
        </w:rPr>
        <w:t>6</w:t>
      </w:r>
      <w:r w:rsidRPr="009C0B84">
        <w:rPr>
          <w:rFonts w:asciiTheme="majorBidi" w:hAnsiTheme="majorBidi" w:cstheme="majorBidi"/>
        </w:rPr>
        <w:t>, Peter A. Johansson</w:t>
      </w:r>
      <w:r w:rsidR="00627C8C" w:rsidRPr="009C0B84">
        <w:rPr>
          <w:rFonts w:asciiTheme="majorBidi" w:hAnsiTheme="majorBidi" w:cstheme="majorBidi"/>
        </w:rPr>
        <w:t xml:space="preserve">, MSc </w:t>
      </w:r>
      <w:r w:rsidRPr="009C0B84">
        <w:rPr>
          <w:rFonts w:asciiTheme="majorBidi" w:hAnsiTheme="majorBidi" w:cstheme="majorBidi"/>
          <w:vertAlign w:val="superscript"/>
        </w:rPr>
        <w:t>6</w:t>
      </w:r>
      <w:r w:rsidRPr="009C0B84">
        <w:rPr>
          <w:rFonts w:asciiTheme="majorBidi" w:hAnsiTheme="majorBidi" w:cstheme="majorBidi"/>
        </w:rPr>
        <w:t>, Anna Maria Langkilde</w:t>
      </w:r>
      <w:r w:rsidR="00627C8C" w:rsidRPr="009C0B84">
        <w:rPr>
          <w:rFonts w:asciiTheme="majorBidi" w:hAnsiTheme="majorBidi" w:cstheme="majorBidi"/>
        </w:rPr>
        <w:t>, MD, PhD</w:t>
      </w:r>
      <w:r w:rsidRPr="009C0B84">
        <w:rPr>
          <w:rFonts w:asciiTheme="majorBidi" w:hAnsiTheme="majorBidi" w:cstheme="majorBidi"/>
          <w:vertAlign w:val="superscript"/>
        </w:rPr>
        <w:t>6</w:t>
      </w:r>
      <w:r w:rsidRPr="009C0B84">
        <w:rPr>
          <w:rFonts w:asciiTheme="majorBidi" w:hAnsiTheme="majorBidi" w:cstheme="majorBidi"/>
        </w:rPr>
        <w:t>, Marc S. Sabatine</w:t>
      </w:r>
      <w:r w:rsidR="00627C8C" w:rsidRPr="009C0B84">
        <w:rPr>
          <w:rFonts w:asciiTheme="majorBidi" w:hAnsiTheme="majorBidi" w:cstheme="majorBidi"/>
        </w:rPr>
        <w:t xml:space="preserve">, MD, MPH </w:t>
      </w:r>
      <w:r w:rsidRPr="009C0B84">
        <w:rPr>
          <w:rFonts w:asciiTheme="majorBidi" w:hAnsiTheme="majorBidi" w:cstheme="majorBidi"/>
          <w:vertAlign w:val="superscript"/>
        </w:rPr>
        <w:t>2</w:t>
      </w:r>
      <w:r w:rsidRPr="009C0B84">
        <w:rPr>
          <w:rFonts w:asciiTheme="majorBidi" w:hAnsiTheme="majorBidi" w:cstheme="majorBidi"/>
        </w:rPr>
        <w:t>, Itamar Raz</w:t>
      </w:r>
      <w:r w:rsidR="00627C8C" w:rsidRPr="009C0B84">
        <w:rPr>
          <w:rFonts w:asciiTheme="majorBidi" w:hAnsiTheme="majorBidi" w:cstheme="majorBidi"/>
        </w:rPr>
        <w:t>, MD</w:t>
      </w:r>
      <w:r w:rsidRPr="009C0B84">
        <w:rPr>
          <w:rFonts w:asciiTheme="majorBidi" w:hAnsiTheme="majorBidi" w:cstheme="majorBidi"/>
          <w:vertAlign w:val="superscript"/>
        </w:rPr>
        <w:t>1</w:t>
      </w:r>
    </w:p>
    <w:p w14:paraId="75985C9F" w14:textId="77777777" w:rsidR="00E93CE1" w:rsidRPr="009C0B84" w:rsidRDefault="00E93CE1" w:rsidP="009421DE">
      <w:pPr>
        <w:spacing w:after="100" w:afterAutospacing="1" w:line="336" w:lineRule="auto"/>
        <w:contextualSpacing/>
        <w:rPr>
          <w:rFonts w:asciiTheme="majorBidi" w:hAnsiTheme="majorBidi" w:cstheme="majorBidi"/>
        </w:rPr>
      </w:pPr>
    </w:p>
    <w:p w14:paraId="5BE17F0C" w14:textId="77777777" w:rsidR="00AB363C" w:rsidRPr="009C0B84" w:rsidRDefault="00AB363C" w:rsidP="009421DE">
      <w:pPr>
        <w:spacing w:after="100" w:afterAutospacing="1" w:line="336" w:lineRule="auto"/>
        <w:contextualSpacing/>
        <w:rPr>
          <w:rFonts w:asciiTheme="majorBidi" w:hAnsiTheme="majorBidi" w:cstheme="majorBidi"/>
        </w:rPr>
      </w:pPr>
      <w:r w:rsidRPr="009C0B84">
        <w:rPr>
          <w:rFonts w:asciiTheme="majorBidi" w:hAnsiTheme="majorBidi" w:cstheme="majorBidi"/>
          <w:vertAlign w:val="superscript"/>
        </w:rPr>
        <w:t>1</w:t>
      </w:r>
      <w:r w:rsidRPr="009C0B84">
        <w:rPr>
          <w:rFonts w:asciiTheme="majorBidi" w:hAnsiTheme="majorBidi" w:cstheme="majorBidi"/>
        </w:rPr>
        <w:t xml:space="preserve"> Hadassah Hebrew University Hospital, Jerusalem, Israel</w:t>
      </w:r>
    </w:p>
    <w:p w14:paraId="74D3DE1A" w14:textId="514DD998" w:rsidR="00AB363C" w:rsidRDefault="00AB363C" w:rsidP="009421DE">
      <w:pPr>
        <w:spacing w:after="100" w:afterAutospacing="1" w:line="336" w:lineRule="auto"/>
        <w:contextualSpacing/>
        <w:rPr>
          <w:rFonts w:asciiTheme="majorBidi" w:hAnsiTheme="majorBidi" w:cstheme="majorBidi"/>
          <w:color w:val="212121"/>
        </w:rPr>
      </w:pPr>
      <w:r w:rsidRPr="009C0B84">
        <w:rPr>
          <w:rFonts w:asciiTheme="majorBidi" w:hAnsiTheme="majorBidi" w:cstheme="majorBidi"/>
          <w:vertAlign w:val="superscript"/>
        </w:rPr>
        <w:t>2</w:t>
      </w:r>
      <w:r w:rsidRPr="009C0B84">
        <w:rPr>
          <w:rFonts w:asciiTheme="majorBidi" w:hAnsiTheme="majorBidi" w:cstheme="majorBidi"/>
        </w:rPr>
        <w:t xml:space="preserve"> </w:t>
      </w:r>
      <w:r w:rsidR="005912C3" w:rsidRPr="009C0B84">
        <w:rPr>
          <w:rFonts w:asciiTheme="majorBidi" w:hAnsiTheme="majorBidi" w:cstheme="majorBidi"/>
          <w:color w:val="212121"/>
        </w:rPr>
        <w:t>TIMI Study Group, Division of Cardiovascular Medicine, Brigham and Women's Hospital and Harvard Medical School, Boston, MA USA</w:t>
      </w:r>
    </w:p>
    <w:p w14:paraId="32A1868B" w14:textId="5F5A5106" w:rsidR="00E93CE1" w:rsidRPr="009C0B84" w:rsidRDefault="00E93CE1" w:rsidP="009421DE">
      <w:pPr>
        <w:spacing w:after="100" w:afterAutospacing="1" w:line="336" w:lineRule="auto"/>
        <w:contextualSpacing/>
        <w:rPr>
          <w:rFonts w:asciiTheme="majorBidi" w:hAnsiTheme="majorBidi" w:cstheme="majorBidi"/>
        </w:rPr>
      </w:pPr>
      <w:r>
        <w:rPr>
          <w:rFonts w:asciiTheme="majorBidi" w:hAnsiTheme="majorBidi" w:cstheme="majorBidi"/>
          <w:color w:val="212121"/>
          <w:vertAlign w:val="superscript"/>
        </w:rPr>
        <w:t xml:space="preserve">3 </w:t>
      </w:r>
      <w:r>
        <w:rPr>
          <w:rFonts w:asciiTheme="majorBidi" w:hAnsiTheme="majorBidi" w:cstheme="majorBidi"/>
          <w:color w:val="212121"/>
        </w:rPr>
        <w:t xml:space="preserve">Li </w:t>
      </w:r>
      <w:proofErr w:type="spellStart"/>
      <w:r>
        <w:rPr>
          <w:rFonts w:asciiTheme="majorBidi" w:hAnsiTheme="majorBidi" w:cstheme="majorBidi"/>
          <w:color w:val="212121"/>
        </w:rPr>
        <w:t>Ka</w:t>
      </w:r>
      <w:proofErr w:type="spellEnd"/>
      <w:r>
        <w:rPr>
          <w:rFonts w:asciiTheme="majorBidi" w:hAnsiTheme="majorBidi" w:cstheme="majorBidi"/>
          <w:color w:val="212121"/>
        </w:rPr>
        <w:t xml:space="preserve"> </w:t>
      </w:r>
      <w:proofErr w:type="spellStart"/>
      <w:r>
        <w:rPr>
          <w:rFonts w:asciiTheme="majorBidi" w:hAnsiTheme="majorBidi" w:cstheme="majorBidi"/>
          <w:color w:val="212121"/>
        </w:rPr>
        <w:t>Shing</w:t>
      </w:r>
      <w:proofErr w:type="spellEnd"/>
      <w:r>
        <w:rPr>
          <w:rFonts w:asciiTheme="majorBidi" w:hAnsiTheme="majorBidi" w:cstheme="majorBidi"/>
          <w:color w:val="212121"/>
        </w:rPr>
        <w:t xml:space="preserve"> Knowledge Institute, St. Michael’s Hospital, University of Toronto, Toronto, Canada</w:t>
      </w:r>
    </w:p>
    <w:p w14:paraId="3672947D" w14:textId="77777777" w:rsidR="00AB363C" w:rsidRPr="009C0B84" w:rsidRDefault="00AB363C" w:rsidP="009421DE">
      <w:pPr>
        <w:spacing w:after="100" w:afterAutospacing="1" w:line="336" w:lineRule="auto"/>
        <w:contextualSpacing/>
        <w:rPr>
          <w:rFonts w:asciiTheme="majorBidi" w:hAnsiTheme="majorBidi" w:cstheme="majorBidi"/>
        </w:rPr>
      </w:pPr>
      <w:r w:rsidRPr="009C0B84">
        <w:rPr>
          <w:rFonts w:asciiTheme="majorBidi" w:hAnsiTheme="majorBidi" w:cstheme="majorBidi"/>
          <w:vertAlign w:val="superscript"/>
        </w:rPr>
        <w:t>4</w:t>
      </w:r>
      <w:r w:rsidRPr="009C0B84">
        <w:rPr>
          <w:rFonts w:asciiTheme="majorBidi" w:hAnsiTheme="majorBidi" w:cstheme="majorBidi"/>
        </w:rPr>
        <w:t xml:space="preserve"> University of Texas Southwestern Medical Center, Dallas, Texas USA</w:t>
      </w:r>
    </w:p>
    <w:p w14:paraId="64B74A1D" w14:textId="77777777" w:rsidR="00AB363C" w:rsidRPr="009C0B84" w:rsidRDefault="00AB363C" w:rsidP="009421DE">
      <w:pPr>
        <w:shd w:val="clear" w:color="auto" w:fill="FFFFFF"/>
        <w:spacing w:after="100" w:afterAutospacing="1" w:line="336" w:lineRule="auto"/>
        <w:contextualSpacing/>
        <w:rPr>
          <w:rFonts w:asciiTheme="majorBidi" w:hAnsiTheme="majorBidi" w:cstheme="majorBidi"/>
        </w:rPr>
      </w:pPr>
      <w:r w:rsidRPr="009C0B84">
        <w:rPr>
          <w:rFonts w:asciiTheme="majorBidi" w:hAnsiTheme="majorBidi" w:cstheme="majorBidi"/>
          <w:vertAlign w:val="superscript"/>
        </w:rPr>
        <w:t>5</w:t>
      </w:r>
      <w:r w:rsidRPr="009C0B84">
        <w:rPr>
          <w:rFonts w:asciiTheme="majorBidi" w:hAnsiTheme="majorBidi" w:cstheme="majorBidi"/>
        </w:rPr>
        <w:t xml:space="preserve"> </w:t>
      </w:r>
      <w:r w:rsidRPr="009C0B84">
        <w:rPr>
          <w:rFonts w:asciiTheme="majorBidi" w:eastAsia="Times New Roman" w:hAnsiTheme="majorBidi" w:cstheme="majorBidi"/>
        </w:rPr>
        <w:t>Institute of Ageing and Chronic Disease, University of Liverpool, Liverpool, UK</w:t>
      </w:r>
    </w:p>
    <w:p w14:paraId="66A3180B" w14:textId="77777777" w:rsidR="00AB363C" w:rsidRPr="009C0B84" w:rsidRDefault="00AB363C" w:rsidP="009421DE">
      <w:pPr>
        <w:spacing w:after="100" w:afterAutospacing="1" w:line="336" w:lineRule="auto"/>
        <w:contextualSpacing/>
        <w:rPr>
          <w:rFonts w:asciiTheme="majorBidi" w:hAnsiTheme="majorBidi" w:cstheme="majorBidi"/>
        </w:rPr>
      </w:pPr>
      <w:r w:rsidRPr="009C0B84">
        <w:rPr>
          <w:rFonts w:asciiTheme="majorBidi" w:hAnsiTheme="majorBidi" w:cstheme="majorBidi"/>
          <w:vertAlign w:val="superscript"/>
        </w:rPr>
        <w:t>6</w:t>
      </w:r>
      <w:r w:rsidRPr="009C0B84">
        <w:rPr>
          <w:rFonts w:asciiTheme="majorBidi" w:hAnsiTheme="majorBidi" w:cstheme="majorBidi"/>
        </w:rPr>
        <w:t xml:space="preserve"> AstraZeneca, </w:t>
      </w:r>
      <w:proofErr w:type="spellStart"/>
      <w:r w:rsidRPr="009C0B84">
        <w:rPr>
          <w:rFonts w:asciiTheme="majorBidi" w:hAnsiTheme="majorBidi" w:cstheme="majorBidi"/>
        </w:rPr>
        <w:t>Molndal</w:t>
      </w:r>
      <w:proofErr w:type="spellEnd"/>
      <w:r w:rsidRPr="009C0B84">
        <w:rPr>
          <w:rFonts w:asciiTheme="majorBidi" w:hAnsiTheme="majorBidi" w:cstheme="majorBidi"/>
        </w:rPr>
        <w:t xml:space="preserve"> Sweden</w:t>
      </w:r>
    </w:p>
    <w:p w14:paraId="19DE5236" w14:textId="77777777" w:rsidR="00AB363C" w:rsidRPr="009C0B84" w:rsidRDefault="00AB363C" w:rsidP="009421DE">
      <w:pPr>
        <w:pStyle w:val="ListParagraph"/>
        <w:spacing w:after="100" w:afterAutospacing="1" w:line="336" w:lineRule="auto"/>
        <w:rPr>
          <w:rFonts w:asciiTheme="majorBidi" w:hAnsiTheme="majorBidi" w:cstheme="majorBidi"/>
        </w:rPr>
      </w:pPr>
    </w:p>
    <w:p w14:paraId="68DA1B00" w14:textId="77777777" w:rsidR="009421DE" w:rsidRDefault="009421DE" w:rsidP="009421DE">
      <w:pPr>
        <w:spacing w:after="100" w:afterAutospacing="1" w:line="336" w:lineRule="auto"/>
        <w:contextualSpacing/>
        <w:rPr>
          <w:rFonts w:asciiTheme="majorBidi" w:hAnsiTheme="majorBidi" w:cstheme="majorBidi"/>
          <w:bCs/>
        </w:rPr>
      </w:pPr>
      <w:r>
        <w:rPr>
          <w:rFonts w:asciiTheme="majorBidi" w:hAnsiTheme="majorBidi" w:cstheme="majorBidi"/>
          <w:bCs/>
        </w:rPr>
        <w:t>Corresponding author:</w:t>
      </w:r>
    </w:p>
    <w:p w14:paraId="124AD127" w14:textId="77777777" w:rsidR="009421DE" w:rsidRDefault="009421DE" w:rsidP="009421DE">
      <w:pPr>
        <w:pStyle w:val="NormalWeb"/>
        <w:spacing w:line="336" w:lineRule="auto"/>
        <w:contextualSpacing/>
        <w:rPr>
          <w:rFonts w:asciiTheme="majorBidi" w:eastAsiaTheme="minorHAnsi" w:hAnsiTheme="majorBidi" w:cstheme="majorBidi"/>
          <w:bCs/>
          <w:sz w:val="22"/>
          <w:szCs w:val="22"/>
        </w:rPr>
      </w:pPr>
      <w:r>
        <w:rPr>
          <w:rFonts w:asciiTheme="majorBidi" w:eastAsiaTheme="minorHAnsi" w:hAnsiTheme="majorBidi" w:cstheme="majorBidi"/>
          <w:bCs/>
          <w:sz w:val="22"/>
          <w:szCs w:val="22"/>
        </w:rPr>
        <w:t>Dr. Avivit Cahn</w:t>
      </w:r>
    </w:p>
    <w:p w14:paraId="5B468C33" w14:textId="77777777" w:rsidR="009421DE" w:rsidRDefault="009421DE" w:rsidP="009421DE">
      <w:pPr>
        <w:pStyle w:val="NormalWeb"/>
        <w:spacing w:line="336" w:lineRule="auto"/>
        <w:contextualSpacing/>
        <w:rPr>
          <w:rFonts w:asciiTheme="majorBidi" w:eastAsiaTheme="minorHAnsi" w:hAnsiTheme="majorBidi" w:cstheme="majorBidi"/>
          <w:bCs/>
          <w:sz w:val="22"/>
          <w:szCs w:val="22"/>
        </w:rPr>
      </w:pPr>
      <w:r>
        <w:rPr>
          <w:rFonts w:asciiTheme="majorBidi" w:eastAsiaTheme="minorHAnsi" w:hAnsiTheme="majorBidi" w:cstheme="majorBidi"/>
          <w:bCs/>
          <w:sz w:val="22"/>
          <w:szCs w:val="22"/>
        </w:rPr>
        <w:t>Diabetes Unit, Endocrinology and Metabolism Unit</w:t>
      </w:r>
    </w:p>
    <w:p w14:paraId="3C7D61DC" w14:textId="77777777" w:rsidR="009421DE" w:rsidRDefault="009421DE" w:rsidP="009421DE">
      <w:pPr>
        <w:pStyle w:val="NormalWeb"/>
        <w:spacing w:line="336" w:lineRule="auto"/>
        <w:contextualSpacing/>
        <w:rPr>
          <w:rFonts w:asciiTheme="majorBidi" w:eastAsiaTheme="minorHAnsi" w:hAnsiTheme="majorBidi" w:cstheme="majorBidi"/>
          <w:bCs/>
          <w:sz w:val="22"/>
          <w:szCs w:val="22"/>
        </w:rPr>
      </w:pPr>
      <w:r>
        <w:rPr>
          <w:rFonts w:asciiTheme="majorBidi" w:eastAsiaTheme="minorHAnsi" w:hAnsiTheme="majorBidi" w:cstheme="majorBidi"/>
          <w:bCs/>
          <w:sz w:val="22"/>
          <w:szCs w:val="22"/>
        </w:rPr>
        <w:t>Hadassah Hebrew University Hospital, PO Box 12000</w:t>
      </w:r>
    </w:p>
    <w:p w14:paraId="31200CE4" w14:textId="77777777" w:rsidR="009421DE" w:rsidRDefault="009421DE" w:rsidP="009421DE">
      <w:pPr>
        <w:pStyle w:val="NormalWeb"/>
        <w:spacing w:line="336" w:lineRule="auto"/>
        <w:contextualSpacing/>
        <w:rPr>
          <w:rFonts w:asciiTheme="majorBidi" w:eastAsiaTheme="minorHAnsi" w:hAnsiTheme="majorBidi" w:cstheme="majorBidi"/>
          <w:bCs/>
          <w:sz w:val="22"/>
          <w:szCs w:val="22"/>
        </w:rPr>
      </w:pPr>
      <w:r>
        <w:rPr>
          <w:rFonts w:asciiTheme="majorBidi" w:eastAsiaTheme="minorHAnsi" w:hAnsiTheme="majorBidi" w:cstheme="majorBidi"/>
          <w:bCs/>
          <w:sz w:val="22"/>
          <w:szCs w:val="22"/>
        </w:rPr>
        <w:t>Jerusalem, Israel 91120</w:t>
      </w:r>
    </w:p>
    <w:p w14:paraId="359B43BF" w14:textId="77777777" w:rsidR="009421DE" w:rsidRDefault="009421DE" w:rsidP="009421DE">
      <w:pPr>
        <w:pStyle w:val="NormalWeb"/>
        <w:spacing w:line="336" w:lineRule="auto"/>
        <w:contextualSpacing/>
        <w:rPr>
          <w:rFonts w:asciiTheme="majorBidi" w:eastAsiaTheme="minorHAnsi" w:hAnsiTheme="majorBidi" w:cstheme="majorBidi"/>
          <w:bCs/>
          <w:sz w:val="22"/>
          <w:szCs w:val="22"/>
        </w:rPr>
      </w:pPr>
      <w:r>
        <w:rPr>
          <w:rFonts w:asciiTheme="majorBidi" w:eastAsiaTheme="minorHAnsi" w:hAnsiTheme="majorBidi" w:cstheme="majorBidi"/>
          <w:bCs/>
          <w:sz w:val="22"/>
          <w:szCs w:val="22"/>
        </w:rPr>
        <w:t xml:space="preserve">Tel: 97226776498 </w:t>
      </w:r>
    </w:p>
    <w:p w14:paraId="2082C3B7" w14:textId="77777777" w:rsidR="009421DE" w:rsidRDefault="009421DE" w:rsidP="009421DE">
      <w:pPr>
        <w:pStyle w:val="NormalWeb"/>
        <w:spacing w:line="336" w:lineRule="auto"/>
        <w:contextualSpacing/>
        <w:rPr>
          <w:rFonts w:asciiTheme="majorBidi" w:eastAsiaTheme="minorHAnsi" w:hAnsiTheme="majorBidi" w:cstheme="majorBidi"/>
          <w:bCs/>
          <w:sz w:val="22"/>
          <w:szCs w:val="22"/>
        </w:rPr>
      </w:pPr>
      <w:r>
        <w:rPr>
          <w:rFonts w:asciiTheme="majorBidi" w:eastAsiaTheme="minorHAnsi" w:hAnsiTheme="majorBidi" w:cstheme="majorBidi"/>
          <w:bCs/>
          <w:sz w:val="22"/>
          <w:szCs w:val="22"/>
        </w:rPr>
        <w:t xml:space="preserve">Fax: 97226437940 </w:t>
      </w:r>
    </w:p>
    <w:p w14:paraId="539B0857" w14:textId="3CF0BB42" w:rsidR="009421DE" w:rsidRDefault="009421DE" w:rsidP="009421DE">
      <w:pPr>
        <w:pStyle w:val="NormalWeb"/>
        <w:spacing w:line="336" w:lineRule="auto"/>
        <w:contextualSpacing/>
        <w:rPr>
          <w:rFonts w:asciiTheme="majorBidi" w:eastAsiaTheme="minorHAnsi" w:hAnsiTheme="majorBidi" w:cstheme="majorBidi"/>
          <w:bCs/>
          <w:sz w:val="22"/>
          <w:szCs w:val="22"/>
        </w:rPr>
      </w:pPr>
      <w:r>
        <w:rPr>
          <w:rFonts w:asciiTheme="majorBidi" w:eastAsiaTheme="minorHAnsi" w:hAnsiTheme="majorBidi" w:cstheme="majorBidi"/>
          <w:bCs/>
          <w:sz w:val="22"/>
          <w:szCs w:val="22"/>
        </w:rPr>
        <w:t xml:space="preserve">Email: </w:t>
      </w:r>
      <w:r w:rsidRPr="00C37364">
        <w:rPr>
          <w:rFonts w:asciiTheme="majorBidi" w:eastAsiaTheme="minorHAnsi" w:hAnsiTheme="majorBidi" w:cstheme="majorBidi"/>
          <w:bCs/>
          <w:sz w:val="22"/>
          <w:szCs w:val="22"/>
        </w:rPr>
        <w:t>avivit@hadassah.org.il</w:t>
      </w:r>
    </w:p>
    <w:p w14:paraId="7CE1C43B" w14:textId="56625425" w:rsidR="009421DE" w:rsidRDefault="009421DE" w:rsidP="009421DE">
      <w:pPr>
        <w:spacing w:after="100" w:afterAutospacing="1" w:line="336" w:lineRule="auto"/>
        <w:contextualSpacing/>
        <w:rPr>
          <w:rFonts w:asciiTheme="majorBidi" w:hAnsiTheme="majorBidi" w:cstheme="majorBidi"/>
          <w:rtl/>
        </w:rPr>
      </w:pPr>
    </w:p>
    <w:p w14:paraId="2C02FB6A" w14:textId="7A533DCC" w:rsidR="00AB363C" w:rsidRPr="009C0B84" w:rsidRDefault="00AB363C" w:rsidP="009421DE">
      <w:pPr>
        <w:spacing w:after="100" w:afterAutospacing="1" w:line="336" w:lineRule="auto"/>
        <w:contextualSpacing/>
        <w:rPr>
          <w:rFonts w:asciiTheme="majorBidi" w:hAnsiTheme="majorBidi" w:cstheme="majorBidi"/>
        </w:rPr>
      </w:pPr>
      <w:r w:rsidRPr="009C0B84">
        <w:rPr>
          <w:rFonts w:asciiTheme="majorBidi" w:hAnsiTheme="majorBidi" w:cstheme="majorBidi"/>
        </w:rPr>
        <w:t xml:space="preserve">Word Counts:  </w:t>
      </w:r>
      <w:r w:rsidR="003676D8">
        <w:rPr>
          <w:rFonts w:asciiTheme="majorBidi" w:hAnsiTheme="majorBidi" w:cstheme="majorBidi"/>
        </w:rPr>
        <w:t>3110</w:t>
      </w:r>
    </w:p>
    <w:p w14:paraId="4D094193" w14:textId="7EEA830B" w:rsidR="00172523" w:rsidRPr="009C0B84" w:rsidRDefault="00172523" w:rsidP="009421DE">
      <w:pPr>
        <w:spacing w:after="100" w:afterAutospacing="1" w:line="336" w:lineRule="auto"/>
        <w:contextualSpacing/>
        <w:rPr>
          <w:rFonts w:asciiTheme="majorBidi" w:hAnsiTheme="majorBidi" w:cstheme="majorBidi"/>
        </w:rPr>
      </w:pPr>
      <w:r w:rsidRPr="009C0B84">
        <w:rPr>
          <w:rFonts w:asciiTheme="majorBidi" w:hAnsiTheme="majorBidi" w:cstheme="majorBidi"/>
        </w:rPr>
        <w:t>Tables: 0</w:t>
      </w:r>
    </w:p>
    <w:p w14:paraId="05B22F44" w14:textId="4B2803A0" w:rsidR="00172523" w:rsidRPr="009C0B84" w:rsidRDefault="00172523" w:rsidP="009421DE">
      <w:pPr>
        <w:spacing w:after="100" w:afterAutospacing="1" w:line="336" w:lineRule="auto"/>
        <w:contextualSpacing/>
        <w:rPr>
          <w:rFonts w:asciiTheme="majorBidi" w:hAnsiTheme="majorBidi" w:cstheme="majorBidi"/>
        </w:rPr>
      </w:pPr>
      <w:r w:rsidRPr="009C0B84">
        <w:rPr>
          <w:rFonts w:asciiTheme="majorBidi" w:hAnsiTheme="majorBidi" w:cstheme="majorBidi"/>
        </w:rPr>
        <w:t>Figures: 4</w:t>
      </w:r>
    </w:p>
    <w:p w14:paraId="191BA1C9" w14:textId="3BB2C679" w:rsidR="003C0396" w:rsidRPr="009C0B84" w:rsidRDefault="003C0396" w:rsidP="009421DE">
      <w:pPr>
        <w:spacing w:after="0" w:line="336" w:lineRule="auto"/>
        <w:rPr>
          <w:rFonts w:asciiTheme="majorBidi" w:eastAsia="Times New Roman" w:hAnsiTheme="majorBidi" w:cstheme="majorBidi"/>
          <w:b/>
          <w:bCs/>
          <w:color w:val="333333"/>
        </w:rPr>
      </w:pPr>
      <w:r w:rsidRPr="009C0B84">
        <w:rPr>
          <w:rFonts w:asciiTheme="majorBidi" w:eastAsia="Times New Roman" w:hAnsiTheme="majorBidi" w:cstheme="majorBidi"/>
          <w:b/>
          <w:bCs/>
          <w:color w:val="333333"/>
        </w:rPr>
        <w:lastRenderedPageBreak/>
        <w:t>Abstract</w:t>
      </w:r>
      <w:r w:rsidR="00E25535" w:rsidRPr="009C0B84">
        <w:rPr>
          <w:rFonts w:asciiTheme="majorBidi" w:eastAsia="Times New Roman" w:hAnsiTheme="majorBidi" w:cstheme="majorBidi"/>
          <w:b/>
          <w:bCs/>
          <w:color w:val="333333"/>
        </w:rPr>
        <w:t xml:space="preserve"> </w:t>
      </w:r>
    </w:p>
    <w:p w14:paraId="541A5B8F" w14:textId="73D443FC" w:rsidR="00D1081D" w:rsidRPr="009C0B84" w:rsidRDefault="00FF38DA" w:rsidP="001525B4">
      <w:pPr>
        <w:spacing w:before="100" w:beforeAutospacing="1" w:after="100" w:afterAutospacing="1" w:line="480" w:lineRule="auto"/>
        <w:rPr>
          <w:rFonts w:asciiTheme="majorBidi" w:eastAsia="Times New Roman" w:hAnsiTheme="majorBidi" w:cstheme="majorBidi"/>
          <w:color w:val="333333"/>
        </w:rPr>
      </w:pPr>
      <w:r w:rsidRPr="009C0B84">
        <w:rPr>
          <w:rFonts w:asciiTheme="majorBidi" w:eastAsia="Times New Roman" w:hAnsiTheme="majorBidi" w:cstheme="majorBidi"/>
          <w:b/>
          <w:bCs/>
          <w:i/>
          <w:iCs/>
          <w:color w:val="333333"/>
        </w:rPr>
        <w:t>Objective</w:t>
      </w:r>
      <w:r w:rsidR="00E91137" w:rsidRPr="009C0B84">
        <w:rPr>
          <w:rFonts w:asciiTheme="majorBidi" w:eastAsia="Times New Roman" w:hAnsiTheme="majorBidi" w:cstheme="majorBidi"/>
          <w:b/>
          <w:bCs/>
          <w:i/>
          <w:iCs/>
          <w:color w:val="333333"/>
        </w:rPr>
        <w:t>:</w:t>
      </w:r>
      <w:r w:rsidR="00E91137" w:rsidRPr="009C0B84">
        <w:rPr>
          <w:rFonts w:asciiTheme="majorBidi" w:eastAsia="Times New Roman" w:hAnsiTheme="majorBidi" w:cstheme="majorBidi"/>
          <w:b/>
          <w:bCs/>
          <w:color w:val="333333"/>
        </w:rPr>
        <w:t xml:space="preserve"> </w:t>
      </w:r>
      <w:r w:rsidR="00E91137" w:rsidRPr="009C0B84">
        <w:rPr>
          <w:rFonts w:asciiTheme="majorBidi" w:eastAsia="Times New Roman" w:hAnsiTheme="majorBidi" w:cstheme="majorBidi"/>
          <w:color w:val="333333"/>
        </w:rPr>
        <w:t xml:space="preserve">Data regarding </w:t>
      </w:r>
      <w:r w:rsidR="00B00575" w:rsidRPr="009C0B84">
        <w:rPr>
          <w:rFonts w:asciiTheme="majorBidi" w:eastAsia="Times New Roman" w:hAnsiTheme="majorBidi" w:cstheme="majorBidi"/>
          <w:color w:val="333333"/>
        </w:rPr>
        <w:t>effects</w:t>
      </w:r>
      <w:r w:rsidR="00E91137" w:rsidRPr="009C0B84">
        <w:rPr>
          <w:rFonts w:asciiTheme="majorBidi" w:eastAsia="Times New Roman" w:hAnsiTheme="majorBidi" w:cstheme="majorBidi"/>
          <w:color w:val="333333"/>
        </w:rPr>
        <w:t xml:space="preserve"> </w:t>
      </w:r>
      <w:r w:rsidR="00DF32B8" w:rsidRPr="009C0B84">
        <w:rPr>
          <w:rFonts w:asciiTheme="majorBidi" w:eastAsia="Times New Roman" w:hAnsiTheme="majorBidi" w:cstheme="majorBidi"/>
          <w:color w:val="333333"/>
        </w:rPr>
        <w:t>of sodium-glucose-cotransporter-</w:t>
      </w:r>
      <w:r w:rsidR="00FF151D" w:rsidRPr="009C0B84">
        <w:rPr>
          <w:rFonts w:asciiTheme="majorBidi" w:eastAsia="Times New Roman" w:hAnsiTheme="majorBidi" w:cstheme="majorBidi"/>
          <w:color w:val="333333"/>
        </w:rPr>
        <w:t xml:space="preserve">2 inhibitors </w:t>
      </w:r>
      <w:r w:rsidR="00E91137" w:rsidRPr="009C0B84">
        <w:rPr>
          <w:rFonts w:asciiTheme="majorBidi" w:eastAsia="Times New Roman" w:hAnsiTheme="majorBidi" w:cstheme="majorBidi"/>
          <w:color w:val="333333"/>
        </w:rPr>
        <w:t xml:space="preserve">in the elderly </w:t>
      </w:r>
      <w:r w:rsidR="000D0657" w:rsidRPr="009C0B84">
        <w:rPr>
          <w:rFonts w:asciiTheme="majorBidi" w:eastAsia="Times New Roman" w:hAnsiTheme="majorBidi" w:cstheme="majorBidi"/>
          <w:color w:val="333333"/>
        </w:rPr>
        <w:t>(age</w:t>
      </w:r>
      <w:r w:rsidR="00B358AE" w:rsidRPr="009C0B84">
        <w:rPr>
          <w:rFonts w:asciiTheme="majorBidi" w:eastAsia="Times New Roman" w:hAnsiTheme="majorBidi" w:cstheme="majorBidi"/>
          <w:color w:val="333333"/>
        </w:rPr>
        <w:t>≥</w:t>
      </w:r>
      <w:r w:rsidR="000D0657" w:rsidRPr="009C0B84">
        <w:rPr>
          <w:rFonts w:asciiTheme="majorBidi" w:eastAsia="Times New Roman" w:hAnsiTheme="majorBidi" w:cstheme="majorBidi"/>
          <w:color w:val="333333"/>
        </w:rPr>
        <w:t>65) and very elderly (age</w:t>
      </w:r>
      <w:r w:rsidR="00B358AE" w:rsidRPr="009C0B84">
        <w:rPr>
          <w:rFonts w:asciiTheme="majorBidi" w:eastAsia="Times New Roman" w:hAnsiTheme="majorBidi" w:cstheme="majorBidi"/>
          <w:color w:val="333333"/>
        </w:rPr>
        <w:t>≥</w:t>
      </w:r>
      <w:r w:rsidR="000D0657" w:rsidRPr="009C0B84">
        <w:rPr>
          <w:rFonts w:asciiTheme="majorBidi" w:eastAsia="Times New Roman" w:hAnsiTheme="majorBidi" w:cstheme="majorBidi"/>
          <w:color w:val="333333"/>
        </w:rPr>
        <w:t xml:space="preserve">75) </w:t>
      </w:r>
      <w:r w:rsidR="00B00575" w:rsidRPr="009C0B84">
        <w:rPr>
          <w:rFonts w:asciiTheme="majorBidi" w:eastAsia="Times New Roman" w:hAnsiTheme="majorBidi" w:cstheme="majorBidi"/>
          <w:color w:val="333333"/>
        </w:rPr>
        <w:t>are</w:t>
      </w:r>
      <w:r w:rsidR="00E91137" w:rsidRPr="009C0B84">
        <w:rPr>
          <w:rFonts w:asciiTheme="majorBidi" w:eastAsia="Times New Roman" w:hAnsiTheme="majorBidi" w:cstheme="majorBidi"/>
          <w:color w:val="333333"/>
        </w:rPr>
        <w:t xml:space="preserve"> limited.</w:t>
      </w:r>
      <w:r w:rsidR="00FF151D" w:rsidRPr="009C0B84">
        <w:rPr>
          <w:rFonts w:asciiTheme="majorBidi" w:eastAsia="Times New Roman" w:hAnsiTheme="majorBidi" w:cstheme="majorBidi"/>
          <w:color w:val="333333"/>
        </w:rPr>
        <w:t xml:space="preserve"> </w:t>
      </w:r>
    </w:p>
    <w:p w14:paraId="123757FD" w14:textId="3DC017A8" w:rsidR="00D1081D" w:rsidRPr="009C0B84" w:rsidRDefault="00D1081D" w:rsidP="001525B4">
      <w:pPr>
        <w:spacing w:before="100" w:beforeAutospacing="1" w:after="100" w:afterAutospacing="1" w:line="480" w:lineRule="auto"/>
        <w:rPr>
          <w:rFonts w:asciiTheme="majorBidi" w:eastAsia="Times New Roman" w:hAnsiTheme="majorBidi" w:cstheme="majorBidi"/>
          <w:color w:val="333333"/>
        </w:rPr>
      </w:pPr>
      <w:r w:rsidRPr="009C0B84">
        <w:rPr>
          <w:rFonts w:asciiTheme="majorBidi" w:eastAsia="Times New Roman" w:hAnsiTheme="majorBidi" w:cstheme="majorBidi"/>
          <w:b/>
          <w:bCs/>
          <w:i/>
          <w:iCs/>
          <w:color w:val="333333"/>
        </w:rPr>
        <w:t>Methods</w:t>
      </w:r>
      <w:r w:rsidR="00FF151D" w:rsidRPr="009C0B84">
        <w:rPr>
          <w:rFonts w:asciiTheme="majorBidi" w:eastAsia="Times New Roman" w:hAnsiTheme="majorBidi" w:cstheme="majorBidi"/>
          <w:color w:val="333333"/>
        </w:rPr>
        <w:t xml:space="preserve">: </w:t>
      </w:r>
      <w:r w:rsidR="00076B90" w:rsidRPr="009C0B84">
        <w:rPr>
          <w:rFonts w:asciiTheme="majorBidi" w:eastAsia="Times New Roman" w:hAnsiTheme="majorBidi" w:cstheme="majorBidi"/>
          <w:color w:val="333333"/>
        </w:rPr>
        <w:t xml:space="preserve">DECLARE-TIMI-58 </w:t>
      </w:r>
      <w:r w:rsidR="00DF32B8" w:rsidRPr="009C0B84">
        <w:rPr>
          <w:rFonts w:asciiTheme="majorBidi" w:eastAsia="Times New Roman" w:hAnsiTheme="majorBidi" w:cstheme="majorBidi"/>
          <w:color w:val="333333"/>
        </w:rPr>
        <w:t xml:space="preserve">assessed </w:t>
      </w:r>
      <w:r w:rsidR="005166B5" w:rsidRPr="009C0B84">
        <w:rPr>
          <w:rFonts w:asciiTheme="majorBidi" w:eastAsia="Times New Roman" w:hAnsiTheme="majorBidi" w:cstheme="majorBidi"/>
          <w:color w:val="333333"/>
        </w:rPr>
        <w:t xml:space="preserve">cardiac and renal </w:t>
      </w:r>
      <w:r w:rsidR="00076B90" w:rsidRPr="009C0B84">
        <w:rPr>
          <w:rFonts w:asciiTheme="majorBidi" w:eastAsia="Times New Roman" w:hAnsiTheme="majorBidi" w:cstheme="majorBidi"/>
          <w:color w:val="333333"/>
        </w:rPr>
        <w:t xml:space="preserve">outcomes of dapagliflozin vs. placebo in </w:t>
      </w:r>
      <w:r w:rsidR="00AF0D86" w:rsidRPr="009C0B84">
        <w:rPr>
          <w:rFonts w:asciiTheme="majorBidi" w:eastAsia="Times New Roman" w:hAnsiTheme="majorBidi" w:cstheme="majorBidi"/>
          <w:color w:val="333333"/>
        </w:rPr>
        <w:t>patients with type</w:t>
      </w:r>
      <w:r w:rsidR="001C6F7F" w:rsidRPr="009C0B84">
        <w:rPr>
          <w:rFonts w:asciiTheme="majorBidi" w:eastAsia="Times New Roman" w:hAnsiTheme="majorBidi" w:cstheme="majorBidi"/>
          <w:color w:val="333333"/>
        </w:rPr>
        <w:t xml:space="preserve"> </w:t>
      </w:r>
      <w:r w:rsidR="00AF0D86" w:rsidRPr="009C0B84">
        <w:rPr>
          <w:rFonts w:asciiTheme="majorBidi" w:eastAsia="Times New Roman" w:hAnsiTheme="majorBidi" w:cstheme="majorBidi"/>
          <w:color w:val="333333"/>
        </w:rPr>
        <w:t>2 diabetes. E</w:t>
      </w:r>
      <w:r w:rsidR="00FF151D" w:rsidRPr="009C0B84">
        <w:rPr>
          <w:rFonts w:asciiTheme="majorBidi" w:eastAsia="Times New Roman" w:hAnsiTheme="majorBidi" w:cstheme="majorBidi"/>
          <w:color w:val="333333"/>
        </w:rPr>
        <w:t>fficacy</w:t>
      </w:r>
      <w:r w:rsidR="009E0BE5" w:rsidRPr="009C0B84">
        <w:rPr>
          <w:rFonts w:asciiTheme="majorBidi" w:eastAsia="Times New Roman" w:hAnsiTheme="majorBidi" w:cstheme="majorBidi"/>
          <w:color w:val="333333"/>
        </w:rPr>
        <w:t xml:space="preserve"> and safety outcomes</w:t>
      </w:r>
      <w:r w:rsidR="00FF151D" w:rsidRPr="009C0B84">
        <w:rPr>
          <w:rFonts w:asciiTheme="majorBidi" w:eastAsia="Times New Roman" w:hAnsiTheme="majorBidi" w:cstheme="majorBidi"/>
          <w:color w:val="333333"/>
        </w:rPr>
        <w:t xml:space="preserve"> were </w:t>
      </w:r>
      <w:r w:rsidR="00071C88" w:rsidRPr="009C0B84">
        <w:rPr>
          <w:rFonts w:asciiTheme="majorBidi" w:eastAsia="Times New Roman" w:hAnsiTheme="majorBidi" w:cstheme="majorBidi"/>
          <w:color w:val="333333"/>
        </w:rPr>
        <w:t>studied</w:t>
      </w:r>
      <w:r w:rsidR="00CD657D" w:rsidRPr="009C0B84">
        <w:rPr>
          <w:rFonts w:asciiTheme="majorBidi" w:eastAsia="Times New Roman" w:hAnsiTheme="majorBidi" w:cstheme="majorBidi"/>
          <w:color w:val="333333"/>
        </w:rPr>
        <w:t xml:space="preserve"> within</w:t>
      </w:r>
      <w:r w:rsidR="00FF151D" w:rsidRPr="009C0B84">
        <w:rPr>
          <w:rFonts w:asciiTheme="majorBidi" w:eastAsia="Times New Roman" w:hAnsiTheme="majorBidi" w:cstheme="majorBidi"/>
          <w:color w:val="333333"/>
        </w:rPr>
        <w:t xml:space="preserve"> </w:t>
      </w:r>
      <w:r w:rsidR="00407820" w:rsidRPr="009C0B84">
        <w:rPr>
          <w:rFonts w:asciiTheme="majorBidi" w:eastAsia="Times New Roman" w:hAnsiTheme="majorBidi" w:cstheme="majorBidi"/>
          <w:color w:val="333333"/>
        </w:rPr>
        <w:t>age</w:t>
      </w:r>
      <w:r w:rsidR="00FF151D" w:rsidRPr="009C0B84">
        <w:rPr>
          <w:rFonts w:asciiTheme="majorBidi" w:eastAsia="Times New Roman" w:hAnsiTheme="majorBidi" w:cstheme="majorBidi"/>
          <w:color w:val="333333"/>
        </w:rPr>
        <w:t xml:space="preserve"> </w:t>
      </w:r>
      <w:r w:rsidR="00076B90" w:rsidRPr="009C0B84">
        <w:rPr>
          <w:rFonts w:asciiTheme="majorBidi" w:eastAsia="Times New Roman" w:hAnsiTheme="majorBidi" w:cstheme="majorBidi"/>
          <w:color w:val="333333"/>
        </w:rPr>
        <w:t>sub-</w:t>
      </w:r>
      <w:r w:rsidR="00F4083A" w:rsidRPr="009C0B84">
        <w:rPr>
          <w:rFonts w:asciiTheme="majorBidi" w:eastAsia="Times New Roman" w:hAnsiTheme="majorBidi" w:cstheme="majorBidi"/>
          <w:color w:val="333333"/>
        </w:rPr>
        <w:t>g</w:t>
      </w:r>
      <w:r w:rsidR="00FF151D" w:rsidRPr="009C0B84">
        <w:rPr>
          <w:rFonts w:asciiTheme="majorBidi" w:eastAsia="Times New Roman" w:hAnsiTheme="majorBidi" w:cstheme="majorBidi"/>
          <w:color w:val="333333"/>
        </w:rPr>
        <w:t xml:space="preserve">roups </w:t>
      </w:r>
      <w:r w:rsidR="0056569F" w:rsidRPr="009C0B84">
        <w:rPr>
          <w:rFonts w:asciiTheme="majorBidi" w:eastAsia="Times New Roman" w:hAnsiTheme="majorBidi" w:cstheme="majorBidi"/>
          <w:color w:val="333333"/>
        </w:rPr>
        <w:t>for treatment effect and age-based treatment interaction.</w:t>
      </w:r>
    </w:p>
    <w:p w14:paraId="703752FC" w14:textId="1B4CF454" w:rsidR="0056569F" w:rsidRPr="009C0B84" w:rsidRDefault="00FF38DA" w:rsidP="001525B4">
      <w:pPr>
        <w:autoSpaceDE w:val="0"/>
        <w:autoSpaceDN w:val="0"/>
        <w:adjustRightInd w:val="0"/>
        <w:spacing w:before="100" w:beforeAutospacing="1" w:after="100" w:afterAutospacing="1" w:line="480" w:lineRule="auto"/>
        <w:rPr>
          <w:rFonts w:asciiTheme="majorBidi" w:eastAsia="Times New Roman" w:hAnsiTheme="majorBidi" w:cstheme="majorBidi"/>
          <w:color w:val="333333"/>
        </w:rPr>
      </w:pPr>
      <w:r w:rsidRPr="009C0B84">
        <w:rPr>
          <w:rFonts w:asciiTheme="majorBidi" w:eastAsia="Times New Roman" w:hAnsiTheme="majorBidi" w:cstheme="majorBidi"/>
          <w:b/>
          <w:bCs/>
          <w:i/>
          <w:iCs/>
          <w:color w:val="333333"/>
        </w:rPr>
        <w:t>Results</w:t>
      </w:r>
      <w:r w:rsidR="00FF151D" w:rsidRPr="009C0B84">
        <w:rPr>
          <w:rFonts w:asciiTheme="majorBidi" w:eastAsia="Times New Roman" w:hAnsiTheme="majorBidi" w:cstheme="majorBidi"/>
          <w:b/>
          <w:bCs/>
          <w:i/>
          <w:iCs/>
          <w:color w:val="333333"/>
        </w:rPr>
        <w:t xml:space="preserve">: </w:t>
      </w:r>
      <w:r w:rsidR="00FF151D" w:rsidRPr="009C0B84">
        <w:rPr>
          <w:rFonts w:asciiTheme="majorBidi" w:eastAsia="Times New Roman" w:hAnsiTheme="majorBidi" w:cstheme="majorBidi"/>
          <w:color w:val="333333"/>
        </w:rPr>
        <w:t>O</w:t>
      </w:r>
      <w:r w:rsidR="007440EB" w:rsidRPr="009C0B84">
        <w:rPr>
          <w:rFonts w:asciiTheme="majorBidi" w:eastAsia="Times New Roman" w:hAnsiTheme="majorBidi" w:cstheme="majorBidi"/>
          <w:color w:val="333333"/>
        </w:rPr>
        <w:t xml:space="preserve">f the </w:t>
      </w:r>
      <w:r w:rsidR="00FF151D" w:rsidRPr="009C0B84">
        <w:rPr>
          <w:rFonts w:asciiTheme="majorBidi" w:eastAsia="Times New Roman" w:hAnsiTheme="majorBidi" w:cstheme="majorBidi"/>
          <w:color w:val="333333"/>
        </w:rPr>
        <w:t>17</w:t>
      </w:r>
      <w:r w:rsidR="007440EB" w:rsidRPr="009C0B84">
        <w:rPr>
          <w:rFonts w:asciiTheme="majorBidi" w:eastAsia="Times New Roman" w:hAnsiTheme="majorBidi" w:cstheme="majorBidi"/>
          <w:color w:val="333333"/>
        </w:rPr>
        <w:t>,</w:t>
      </w:r>
      <w:r w:rsidR="00FF151D" w:rsidRPr="009C0B84">
        <w:rPr>
          <w:rFonts w:asciiTheme="majorBidi" w:eastAsia="Times New Roman" w:hAnsiTheme="majorBidi" w:cstheme="majorBidi"/>
          <w:color w:val="333333"/>
        </w:rPr>
        <w:t>160 patients</w:t>
      </w:r>
      <w:r w:rsidR="007440EB" w:rsidRPr="009C0B84">
        <w:rPr>
          <w:rFonts w:asciiTheme="majorBidi" w:eastAsia="Times New Roman" w:hAnsiTheme="majorBidi" w:cstheme="majorBidi"/>
          <w:color w:val="333333"/>
        </w:rPr>
        <w:t>,</w:t>
      </w:r>
      <w:r w:rsidR="0056569F" w:rsidRPr="009C0B84">
        <w:rPr>
          <w:rFonts w:asciiTheme="majorBidi" w:eastAsia="Times New Roman" w:hAnsiTheme="majorBidi" w:cstheme="majorBidi"/>
          <w:color w:val="333333"/>
        </w:rPr>
        <w:t xml:space="preserve"> 9253</w:t>
      </w:r>
      <w:r w:rsidR="00F37A5E" w:rsidRPr="009C0B84">
        <w:rPr>
          <w:rFonts w:asciiTheme="majorBidi" w:eastAsia="Times New Roman" w:hAnsiTheme="majorBidi" w:cstheme="majorBidi"/>
          <w:color w:val="333333"/>
        </w:rPr>
        <w:t xml:space="preserve"> </w:t>
      </w:r>
      <w:r w:rsidR="007440EB" w:rsidRPr="009C0B84">
        <w:rPr>
          <w:rFonts w:asciiTheme="majorBidi" w:eastAsia="Times New Roman" w:hAnsiTheme="majorBidi" w:cstheme="majorBidi"/>
          <w:color w:val="333333"/>
        </w:rPr>
        <w:t xml:space="preserve">were </w:t>
      </w:r>
      <w:r w:rsidR="0056569F" w:rsidRPr="009C0B84">
        <w:rPr>
          <w:rFonts w:asciiTheme="majorBidi" w:eastAsia="Times New Roman" w:hAnsiTheme="majorBidi" w:cstheme="majorBidi"/>
          <w:color w:val="333333"/>
        </w:rPr>
        <w:t>&lt;65</w:t>
      </w:r>
      <w:r w:rsidR="007440EB" w:rsidRPr="009C0B84">
        <w:rPr>
          <w:rFonts w:asciiTheme="majorBidi" w:eastAsia="Times New Roman" w:hAnsiTheme="majorBidi" w:cstheme="majorBidi"/>
          <w:color w:val="333333"/>
        </w:rPr>
        <w:t xml:space="preserve"> years of age</w:t>
      </w:r>
      <w:r w:rsidR="0056569F" w:rsidRPr="009C0B84">
        <w:rPr>
          <w:rFonts w:asciiTheme="majorBidi" w:eastAsia="Times New Roman" w:hAnsiTheme="majorBidi" w:cstheme="majorBidi"/>
          <w:color w:val="333333"/>
        </w:rPr>
        <w:t>, 6811 ≥65-</w:t>
      </w:r>
      <w:r w:rsidR="00D37838" w:rsidRPr="009C0B84">
        <w:rPr>
          <w:rFonts w:asciiTheme="majorBidi" w:eastAsia="Times New Roman" w:hAnsiTheme="majorBidi" w:cstheme="majorBidi"/>
          <w:color w:val="333333"/>
        </w:rPr>
        <w:t>&lt;</w:t>
      </w:r>
      <w:r w:rsidR="0056569F" w:rsidRPr="009C0B84">
        <w:rPr>
          <w:rFonts w:asciiTheme="majorBidi" w:eastAsia="Times New Roman" w:hAnsiTheme="majorBidi" w:cstheme="majorBidi"/>
          <w:color w:val="333333"/>
        </w:rPr>
        <w:t xml:space="preserve">75 </w:t>
      </w:r>
      <w:r w:rsidR="007440EB" w:rsidRPr="009C0B84">
        <w:rPr>
          <w:rFonts w:asciiTheme="majorBidi" w:eastAsia="Times New Roman" w:hAnsiTheme="majorBidi" w:cstheme="majorBidi"/>
          <w:color w:val="333333"/>
        </w:rPr>
        <w:t xml:space="preserve">years </w:t>
      </w:r>
      <w:r w:rsidR="0056569F" w:rsidRPr="009C0B84">
        <w:rPr>
          <w:rFonts w:asciiTheme="majorBidi" w:eastAsia="Times New Roman" w:hAnsiTheme="majorBidi" w:cstheme="majorBidi"/>
          <w:color w:val="333333"/>
        </w:rPr>
        <w:t xml:space="preserve">and 1096 ≥75 years. </w:t>
      </w:r>
      <w:r w:rsidR="00524D17" w:rsidRPr="009C0B84">
        <w:rPr>
          <w:rFonts w:asciiTheme="majorBidi" w:eastAsia="Times New Roman" w:hAnsiTheme="majorBidi" w:cstheme="majorBidi"/>
          <w:color w:val="333333"/>
        </w:rPr>
        <w:t>D</w:t>
      </w:r>
      <w:r w:rsidR="0056569F" w:rsidRPr="009C0B84">
        <w:rPr>
          <w:rFonts w:asciiTheme="majorBidi" w:eastAsia="Times New Roman" w:hAnsiTheme="majorBidi" w:cstheme="majorBidi"/>
          <w:color w:val="333333"/>
        </w:rPr>
        <w:t xml:space="preserve">apagliflozin reduced </w:t>
      </w:r>
      <w:r w:rsidR="00210331" w:rsidRPr="009C0B84">
        <w:rPr>
          <w:rFonts w:asciiTheme="majorBidi" w:eastAsia="Times New Roman" w:hAnsiTheme="majorBidi" w:cstheme="majorBidi"/>
          <w:color w:val="333333"/>
        </w:rPr>
        <w:t xml:space="preserve">the composite of cardiovascular </w:t>
      </w:r>
      <w:r w:rsidR="0056569F" w:rsidRPr="009C0B84">
        <w:rPr>
          <w:rFonts w:asciiTheme="majorBidi" w:eastAsia="Times New Roman" w:hAnsiTheme="majorBidi" w:cstheme="majorBidi"/>
          <w:color w:val="333333"/>
        </w:rPr>
        <w:t>death</w:t>
      </w:r>
      <w:r w:rsidR="00725FC1" w:rsidRPr="009C0B84">
        <w:rPr>
          <w:rFonts w:asciiTheme="majorBidi" w:eastAsia="Times New Roman" w:hAnsiTheme="majorBidi" w:cstheme="majorBidi"/>
          <w:color w:val="333333"/>
        </w:rPr>
        <w:t xml:space="preserve"> </w:t>
      </w:r>
      <w:r w:rsidR="00BF498E" w:rsidRPr="009C0B84">
        <w:rPr>
          <w:rFonts w:asciiTheme="majorBidi" w:eastAsia="Times New Roman" w:hAnsiTheme="majorBidi" w:cstheme="majorBidi"/>
          <w:color w:val="333333"/>
        </w:rPr>
        <w:t xml:space="preserve">or </w:t>
      </w:r>
      <w:r w:rsidR="00F4083A" w:rsidRPr="009C0B84">
        <w:rPr>
          <w:rFonts w:asciiTheme="majorBidi" w:eastAsia="Times New Roman" w:hAnsiTheme="majorBidi" w:cstheme="majorBidi"/>
          <w:color w:val="333333"/>
        </w:rPr>
        <w:t>hospitaliza</w:t>
      </w:r>
      <w:r w:rsidR="00210331" w:rsidRPr="009C0B84">
        <w:rPr>
          <w:rFonts w:asciiTheme="majorBidi" w:eastAsia="Times New Roman" w:hAnsiTheme="majorBidi" w:cstheme="majorBidi"/>
          <w:color w:val="333333"/>
        </w:rPr>
        <w:t xml:space="preserve">tion for heart </w:t>
      </w:r>
      <w:r w:rsidR="0056569F" w:rsidRPr="009C0B84">
        <w:rPr>
          <w:rFonts w:asciiTheme="majorBidi" w:eastAsia="Times New Roman" w:hAnsiTheme="majorBidi" w:cstheme="majorBidi"/>
          <w:color w:val="333333"/>
        </w:rPr>
        <w:t xml:space="preserve">failure </w:t>
      </w:r>
      <w:r w:rsidR="007440EB" w:rsidRPr="009C0B84">
        <w:rPr>
          <w:rFonts w:asciiTheme="majorBidi" w:eastAsia="Times New Roman" w:hAnsiTheme="majorBidi" w:cstheme="majorBidi"/>
          <w:color w:val="333333"/>
        </w:rPr>
        <w:t xml:space="preserve">consistently with </w:t>
      </w:r>
      <w:r w:rsidR="000D0657" w:rsidRPr="009C0B84">
        <w:rPr>
          <w:rFonts w:asciiTheme="majorBidi" w:eastAsia="Times New Roman" w:hAnsiTheme="majorBidi" w:cstheme="majorBidi"/>
          <w:color w:val="333333"/>
        </w:rPr>
        <w:t>HR</w:t>
      </w:r>
      <w:r w:rsidR="0056569F" w:rsidRPr="009C0B84">
        <w:rPr>
          <w:rFonts w:asciiTheme="majorBidi" w:eastAsia="Times New Roman" w:hAnsiTheme="majorBidi" w:cstheme="majorBidi"/>
          <w:color w:val="333333"/>
        </w:rPr>
        <w:t xml:space="preserve">(95%CI) </w:t>
      </w:r>
      <w:r w:rsidR="007440EB" w:rsidRPr="009C0B84">
        <w:rPr>
          <w:rFonts w:asciiTheme="majorBidi" w:eastAsia="Times New Roman" w:hAnsiTheme="majorBidi" w:cstheme="majorBidi"/>
          <w:color w:val="333333"/>
        </w:rPr>
        <w:t xml:space="preserve">of </w:t>
      </w:r>
      <w:r w:rsidR="0056569F" w:rsidRPr="009C0B84">
        <w:rPr>
          <w:rFonts w:asciiTheme="majorBidi" w:eastAsia="Times New Roman" w:hAnsiTheme="majorBidi" w:cstheme="majorBidi"/>
          <w:color w:val="333333"/>
        </w:rPr>
        <w:t>0.88(0.</w:t>
      </w:r>
      <w:r w:rsidR="005F7C78" w:rsidRPr="009C0B84">
        <w:rPr>
          <w:rFonts w:asciiTheme="majorBidi" w:eastAsia="Times New Roman" w:hAnsiTheme="majorBidi" w:cstheme="majorBidi"/>
          <w:color w:val="333333"/>
          <w:rtl/>
        </w:rPr>
        <w:t>72</w:t>
      </w:r>
      <w:r w:rsidR="0056569F" w:rsidRPr="009C0B84">
        <w:rPr>
          <w:rFonts w:asciiTheme="majorBidi" w:eastAsia="Times New Roman" w:hAnsiTheme="majorBidi" w:cstheme="majorBidi"/>
          <w:color w:val="333333"/>
        </w:rPr>
        <w:t>,1.</w:t>
      </w:r>
      <w:r w:rsidR="005F7C78" w:rsidRPr="009C0B84">
        <w:rPr>
          <w:rFonts w:asciiTheme="majorBidi" w:eastAsia="Times New Roman" w:hAnsiTheme="majorBidi" w:cstheme="majorBidi"/>
          <w:color w:val="333333"/>
          <w:rtl/>
        </w:rPr>
        <w:t>07</w:t>
      </w:r>
      <w:r w:rsidR="0056569F" w:rsidRPr="009C0B84">
        <w:rPr>
          <w:rFonts w:asciiTheme="majorBidi" w:eastAsia="Times New Roman" w:hAnsiTheme="majorBidi" w:cstheme="majorBidi"/>
          <w:color w:val="333333"/>
        </w:rPr>
        <w:t>)</w:t>
      </w:r>
      <w:r w:rsidR="000D0657" w:rsidRPr="009C0B84">
        <w:rPr>
          <w:rFonts w:asciiTheme="majorBidi" w:eastAsia="Times New Roman" w:hAnsiTheme="majorBidi" w:cstheme="majorBidi"/>
          <w:color w:val="333333"/>
        </w:rPr>
        <w:t>, 0.</w:t>
      </w:r>
      <w:r w:rsidR="005F7C78" w:rsidRPr="009C0B84">
        <w:rPr>
          <w:rFonts w:asciiTheme="majorBidi" w:eastAsia="Times New Roman" w:hAnsiTheme="majorBidi" w:cstheme="majorBidi"/>
          <w:color w:val="333333"/>
        </w:rPr>
        <w:t>77(</w:t>
      </w:r>
      <w:r w:rsidR="000D0657" w:rsidRPr="009C0B84">
        <w:rPr>
          <w:rFonts w:asciiTheme="majorBidi" w:eastAsia="Times New Roman" w:hAnsiTheme="majorBidi" w:cstheme="majorBidi"/>
          <w:color w:val="333333"/>
        </w:rPr>
        <w:t>0.</w:t>
      </w:r>
      <w:r w:rsidR="005F7C78" w:rsidRPr="009C0B84">
        <w:rPr>
          <w:rFonts w:asciiTheme="majorBidi" w:eastAsia="Times New Roman" w:hAnsiTheme="majorBidi" w:cstheme="majorBidi"/>
          <w:color w:val="333333"/>
        </w:rPr>
        <w:t>63</w:t>
      </w:r>
      <w:r w:rsidR="000D0657" w:rsidRPr="009C0B84">
        <w:rPr>
          <w:rFonts w:asciiTheme="majorBidi" w:eastAsia="Times New Roman" w:hAnsiTheme="majorBidi" w:cstheme="majorBidi"/>
          <w:color w:val="333333"/>
        </w:rPr>
        <w:t>,0.</w:t>
      </w:r>
      <w:r w:rsidR="005F7C78" w:rsidRPr="009C0B84">
        <w:rPr>
          <w:rFonts w:asciiTheme="majorBidi" w:eastAsia="Times New Roman" w:hAnsiTheme="majorBidi" w:cstheme="majorBidi"/>
          <w:color w:val="333333"/>
        </w:rPr>
        <w:t>94</w:t>
      </w:r>
      <w:r w:rsidR="000D0657" w:rsidRPr="009C0B84">
        <w:rPr>
          <w:rFonts w:asciiTheme="majorBidi" w:eastAsia="Times New Roman" w:hAnsiTheme="majorBidi" w:cstheme="majorBidi"/>
          <w:color w:val="333333"/>
        </w:rPr>
        <w:t xml:space="preserve">), </w:t>
      </w:r>
      <w:r w:rsidR="007440EB" w:rsidRPr="009C0B84">
        <w:rPr>
          <w:rFonts w:asciiTheme="majorBidi" w:eastAsia="Times New Roman" w:hAnsiTheme="majorBidi" w:cstheme="majorBidi"/>
          <w:color w:val="333333"/>
        </w:rPr>
        <w:t xml:space="preserve">and </w:t>
      </w:r>
      <w:r w:rsidR="005F7C78" w:rsidRPr="009C0B84">
        <w:rPr>
          <w:rFonts w:asciiTheme="majorBidi" w:eastAsia="Times New Roman" w:hAnsiTheme="majorBidi" w:cstheme="majorBidi"/>
          <w:color w:val="333333"/>
        </w:rPr>
        <w:t>0.94</w:t>
      </w:r>
      <w:r w:rsidR="00F37A5E" w:rsidRPr="009C0B84">
        <w:rPr>
          <w:rFonts w:asciiTheme="majorBidi" w:eastAsia="Times New Roman" w:hAnsiTheme="majorBidi" w:cstheme="majorBidi"/>
          <w:color w:val="333333"/>
        </w:rPr>
        <w:t>(0.</w:t>
      </w:r>
      <w:r w:rsidR="005F7C78" w:rsidRPr="009C0B84">
        <w:rPr>
          <w:rFonts w:asciiTheme="majorBidi" w:eastAsia="Times New Roman" w:hAnsiTheme="majorBidi" w:cstheme="majorBidi"/>
          <w:color w:val="333333"/>
        </w:rPr>
        <w:t>65</w:t>
      </w:r>
      <w:r w:rsidR="00F37A5E" w:rsidRPr="009C0B84">
        <w:rPr>
          <w:rFonts w:asciiTheme="majorBidi" w:eastAsia="Times New Roman" w:hAnsiTheme="majorBidi" w:cstheme="majorBidi"/>
          <w:color w:val="333333"/>
        </w:rPr>
        <w:t>,</w:t>
      </w:r>
      <w:r w:rsidR="0056569F" w:rsidRPr="009C0B84">
        <w:rPr>
          <w:rFonts w:asciiTheme="majorBidi" w:eastAsia="Times New Roman" w:hAnsiTheme="majorBidi" w:cstheme="majorBidi"/>
          <w:color w:val="333333"/>
        </w:rPr>
        <w:t>1.3</w:t>
      </w:r>
      <w:r w:rsidR="005F7C78" w:rsidRPr="009C0B84">
        <w:rPr>
          <w:rFonts w:asciiTheme="majorBidi" w:eastAsia="Times New Roman" w:hAnsiTheme="majorBidi" w:cstheme="majorBidi"/>
          <w:color w:val="333333"/>
        </w:rPr>
        <w:t>6</w:t>
      </w:r>
      <w:r w:rsidR="0056569F" w:rsidRPr="009C0B84">
        <w:rPr>
          <w:rFonts w:asciiTheme="majorBidi" w:eastAsia="Times New Roman" w:hAnsiTheme="majorBidi" w:cstheme="majorBidi"/>
          <w:color w:val="333333"/>
        </w:rPr>
        <w:t>) in age groups &lt;65, ≥65-</w:t>
      </w:r>
      <w:r w:rsidR="00D37838" w:rsidRPr="009C0B84">
        <w:rPr>
          <w:rFonts w:asciiTheme="majorBidi" w:eastAsia="Times New Roman" w:hAnsiTheme="majorBidi" w:cstheme="majorBidi"/>
          <w:color w:val="333333"/>
        </w:rPr>
        <w:t>&lt;</w:t>
      </w:r>
      <w:r w:rsidR="0056569F" w:rsidRPr="009C0B84">
        <w:rPr>
          <w:rFonts w:asciiTheme="majorBidi" w:eastAsia="Times New Roman" w:hAnsiTheme="majorBidi" w:cstheme="majorBidi"/>
          <w:color w:val="333333"/>
        </w:rPr>
        <w:t xml:space="preserve">75 and </w:t>
      </w:r>
      <w:r w:rsidR="00D37838" w:rsidRPr="009C0B84">
        <w:rPr>
          <w:rFonts w:asciiTheme="majorBidi" w:eastAsia="Times New Roman" w:hAnsiTheme="majorBidi" w:cstheme="majorBidi"/>
          <w:color w:val="333333"/>
        </w:rPr>
        <w:t>≥</w:t>
      </w:r>
      <w:r w:rsidR="0056569F" w:rsidRPr="009C0B84">
        <w:rPr>
          <w:rFonts w:asciiTheme="majorBidi" w:eastAsia="Times New Roman" w:hAnsiTheme="majorBidi" w:cstheme="majorBidi"/>
          <w:color w:val="333333"/>
        </w:rPr>
        <w:t>75 respectively</w:t>
      </w:r>
      <w:r w:rsidR="00F37A5E" w:rsidRPr="009C0B84">
        <w:rPr>
          <w:rFonts w:asciiTheme="majorBidi" w:eastAsia="Times New Roman" w:hAnsiTheme="majorBidi" w:cstheme="majorBidi"/>
          <w:color w:val="333333"/>
        </w:rPr>
        <w:t xml:space="preserve"> (interaction p-</w:t>
      </w:r>
      <w:r w:rsidR="005F7C78" w:rsidRPr="009C0B84">
        <w:rPr>
          <w:rFonts w:asciiTheme="majorBidi" w:eastAsia="Times New Roman" w:hAnsiTheme="majorBidi" w:cstheme="majorBidi"/>
          <w:color w:val="333333"/>
        </w:rPr>
        <w:t>value 0.5277</w:t>
      </w:r>
      <w:r w:rsidR="0056569F" w:rsidRPr="009C0B84">
        <w:rPr>
          <w:rFonts w:asciiTheme="majorBidi" w:eastAsia="Times New Roman" w:hAnsiTheme="majorBidi" w:cstheme="majorBidi"/>
          <w:color w:val="333333"/>
        </w:rPr>
        <w:t>).</w:t>
      </w:r>
      <w:r w:rsidR="00DF32B8" w:rsidRPr="009C0B84">
        <w:rPr>
          <w:rFonts w:asciiTheme="majorBidi" w:eastAsia="Times New Roman" w:hAnsiTheme="majorBidi" w:cstheme="majorBidi"/>
          <w:color w:val="333333"/>
        </w:rPr>
        <w:t xml:space="preserve"> </w:t>
      </w:r>
      <w:r w:rsidR="00210331" w:rsidRPr="009C0B84">
        <w:rPr>
          <w:rFonts w:asciiTheme="majorBidi" w:eastAsia="Times New Roman" w:hAnsiTheme="majorBidi" w:cstheme="majorBidi"/>
          <w:color w:val="333333"/>
        </w:rPr>
        <w:t>Overall, dapagliflozin did not significantly decrease rates of majo</w:t>
      </w:r>
      <w:r w:rsidR="005F7C78" w:rsidRPr="009C0B84">
        <w:rPr>
          <w:rFonts w:asciiTheme="majorBidi" w:eastAsia="Times New Roman" w:hAnsiTheme="majorBidi" w:cstheme="majorBidi"/>
          <w:color w:val="333333"/>
        </w:rPr>
        <w:t>r adverse cardiovascular events with HR(95%CI) of 0.93(0.81,1.</w:t>
      </w:r>
      <w:r w:rsidR="005F7C78" w:rsidRPr="009C0B84">
        <w:rPr>
          <w:rFonts w:asciiTheme="majorBidi" w:eastAsia="Times New Roman" w:hAnsiTheme="majorBidi" w:cstheme="majorBidi"/>
          <w:color w:val="333333"/>
          <w:rtl/>
        </w:rPr>
        <w:t>0</w:t>
      </w:r>
      <w:r w:rsidR="005F7C78" w:rsidRPr="009C0B84">
        <w:rPr>
          <w:rFonts w:asciiTheme="majorBidi" w:eastAsia="Times New Roman" w:hAnsiTheme="majorBidi" w:cstheme="majorBidi"/>
          <w:color w:val="333333"/>
        </w:rPr>
        <w:t>8), 0.97(0.83,1.13), and 0.84(0.61,1.15) in age groups &lt;65, ≥65-&lt;75 and ≥75 respectively (interaction p-</w:t>
      </w:r>
      <w:r w:rsidR="00680CF7" w:rsidRPr="009C0B84">
        <w:rPr>
          <w:rFonts w:asciiTheme="majorBidi" w:eastAsia="Times New Roman" w:hAnsiTheme="majorBidi" w:cstheme="majorBidi"/>
          <w:color w:val="333333"/>
        </w:rPr>
        <w:t>v</w:t>
      </w:r>
      <w:r w:rsidR="005F7C78" w:rsidRPr="009C0B84">
        <w:rPr>
          <w:rFonts w:asciiTheme="majorBidi" w:eastAsia="Times New Roman" w:hAnsiTheme="majorBidi" w:cstheme="majorBidi"/>
          <w:color w:val="333333"/>
        </w:rPr>
        <w:t>alue 0.7352)</w:t>
      </w:r>
      <w:r w:rsidR="008D5B61" w:rsidRPr="009C0B84">
        <w:rPr>
          <w:rFonts w:asciiTheme="majorBidi" w:eastAsia="Times New Roman" w:hAnsiTheme="majorBidi" w:cstheme="majorBidi"/>
          <w:color w:val="333333"/>
        </w:rPr>
        <w:t xml:space="preserve">. </w:t>
      </w:r>
      <w:r w:rsidR="001C6F7F" w:rsidRPr="009C0B84">
        <w:rPr>
          <w:rFonts w:asciiTheme="majorBidi" w:eastAsia="Times New Roman" w:hAnsiTheme="majorBidi" w:cstheme="majorBidi"/>
          <w:color w:val="333333"/>
        </w:rPr>
        <w:t>The relative risk reduction for the secondary</w:t>
      </w:r>
      <w:r w:rsidR="00A76C3B" w:rsidRPr="009C0B84">
        <w:rPr>
          <w:rFonts w:asciiTheme="majorBidi" w:eastAsia="Times New Roman" w:hAnsiTheme="majorBidi" w:cstheme="majorBidi"/>
          <w:color w:val="333333"/>
        </w:rPr>
        <w:t xml:space="preserve"> </w:t>
      </w:r>
      <w:r w:rsidR="00E913E8" w:rsidRPr="009C0B84">
        <w:rPr>
          <w:rFonts w:asciiTheme="majorBidi" w:eastAsia="Times New Roman" w:hAnsiTheme="majorBidi" w:cstheme="majorBidi"/>
          <w:color w:val="333333"/>
        </w:rPr>
        <w:t xml:space="preserve">prespecified </w:t>
      </w:r>
      <w:proofErr w:type="spellStart"/>
      <w:r w:rsidR="00A76C3B" w:rsidRPr="009C0B84">
        <w:rPr>
          <w:rFonts w:asciiTheme="majorBidi" w:eastAsia="Times New Roman" w:hAnsiTheme="majorBidi" w:cstheme="majorBidi"/>
          <w:color w:val="333333"/>
        </w:rPr>
        <w:t>cardio</w:t>
      </w:r>
      <w:r w:rsidR="00A3704F" w:rsidRPr="009C0B84">
        <w:rPr>
          <w:rFonts w:asciiTheme="majorBidi" w:eastAsia="Times New Roman" w:hAnsiTheme="majorBidi" w:cstheme="majorBidi"/>
          <w:color w:val="333333"/>
        </w:rPr>
        <w:t>renal</w:t>
      </w:r>
      <w:proofErr w:type="spellEnd"/>
      <w:r w:rsidR="00A3704F" w:rsidRPr="009C0B84">
        <w:rPr>
          <w:rFonts w:asciiTheme="majorBidi" w:eastAsia="Times New Roman" w:hAnsiTheme="majorBidi" w:cstheme="majorBidi"/>
          <w:color w:val="333333"/>
        </w:rPr>
        <w:t xml:space="preserve"> composite outcome </w:t>
      </w:r>
      <w:r w:rsidR="001C6F7F" w:rsidRPr="009C0B84">
        <w:rPr>
          <w:rFonts w:asciiTheme="majorBidi" w:eastAsia="Times New Roman" w:hAnsiTheme="majorBidi" w:cstheme="majorBidi"/>
          <w:color w:val="333333"/>
        </w:rPr>
        <w:t>ranged from 18-28% in the different age groups with no heterogeneity</w:t>
      </w:r>
      <w:r w:rsidR="00A3704F" w:rsidRPr="009C0B84">
        <w:rPr>
          <w:rFonts w:asciiTheme="majorBidi" w:eastAsia="Times New Roman" w:hAnsiTheme="majorBidi" w:cstheme="majorBidi"/>
          <w:color w:val="333333"/>
        </w:rPr>
        <w:t xml:space="preserve">. </w:t>
      </w:r>
      <w:r w:rsidR="0056569F" w:rsidRPr="009C0B84">
        <w:rPr>
          <w:rFonts w:asciiTheme="majorBidi" w:eastAsia="Times New Roman" w:hAnsiTheme="majorBidi" w:cstheme="majorBidi"/>
          <w:color w:val="333333"/>
        </w:rPr>
        <w:t xml:space="preserve">Major hypoglycemia </w:t>
      </w:r>
      <w:r w:rsidR="00F37A5E" w:rsidRPr="009C0B84">
        <w:rPr>
          <w:rFonts w:asciiTheme="majorBidi" w:eastAsia="Times New Roman" w:hAnsiTheme="majorBidi" w:cstheme="majorBidi"/>
          <w:color w:val="333333"/>
        </w:rPr>
        <w:t>was</w:t>
      </w:r>
      <w:r w:rsidR="0056569F" w:rsidRPr="009C0B84">
        <w:rPr>
          <w:rFonts w:asciiTheme="majorBidi" w:eastAsia="Times New Roman" w:hAnsiTheme="majorBidi" w:cstheme="majorBidi"/>
          <w:color w:val="333333"/>
        </w:rPr>
        <w:t xml:space="preserve"> less frequent </w:t>
      </w:r>
      <w:r w:rsidR="00F37A5E" w:rsidRPr="009C0B84">
        <w:rPr>
          <w:rFonts w:asciiTheme="majorBidi" w:eastAsia="Times New Roman" w:hAnsiTheme="majorBidi" w:cstheme="majorBidi"/>
          <w:color w:val="333333"/>
        </w:rPr>
        <w:t>with</w:t>
      </w:r>
      <w:r w:rsidR="0056569F" w:rsidRPr="009C0B84">
        <w:rPr>
          <w:rFonts w:asciiTheme="majorBidi" w:eastAsia="Times New Roman" w:hAnsiTheme="majorBidi" w:cstheme="majorBidi"/>
          <w:color w:val="333333"/>
        </w:rPr>
        <w:t xml:space="preserve"> dapagliflozin </w:t>
      </w:r>
      <w:r w:rsidR="00F37A5E" w:rsidRPr="009C0B84">
        <w:rPr>
          <w:rFonts w:asciiTheme="majorBidi" w:eastAsia="Times New Roman" w:hAnsiTheme="majorBidi" w:cstheme="majorBidi"/>
          <w:color w:val="333333"/>
        </w:rPr>
        <w:t xml:space="preserve">vs. </w:t>
      </w:r>
      <w:r w:rsidR="0056569F" w:rsidRPr="009C0B84">
        <w:rPr>
          <w:rFonts w:asciiTheme="majorBidi" w:eastAsia="Times New Roman" w:hAnsiTheme="majorBidi" w:cstheme="majorBidi"/>
          <w:color w:val="333333"/>
        </w:rPr>
        <w:t>placebo</w:t>
      </w:r>
      <w:r w:rsidR="003555C0" w:rsidRPr="009C0B84">
        <w:rPr>
          <w:rFonts w:asciiTheme="majorBidi" w:eastAsia="Times New Roman" w:hAnsiTheme="majorBidi" w:cstheme="majorBidi"/>
          <w:color w:val="333333"/>
        </w:rPr>
        <w:t xml:space="preserve"> with</w:t>
      </w:r>
      <w:r w:rsidR="0056569F" w:rsidRPr="009C0B84">
        <w:rPr>
          <w:rFonts w:asciiTheme="majorBidi" w:eastAsia="Times New Roman" w:hAnsiTheme="majorBidi" w:cstheme="majorBidi"/>
          <w:color w:val="333333"/>
        </w:rPr>
        <w:t xml:space="preserve"> </w:t>
      </w:r>
      <w:r w:rsidR="00F37A5E" w:rsidRPr="009C0B84">
        <w:rPr>
          <w:rFonts w:asciiTheme="majorBidi" w:eastAsia="Times New Roman" w:hAnsiTheme="majorBidi" w:cstheme="majorBidi"/>
          <w:color w:val="333333"/>
        </w:rPr>
        <w:t>HR(95%CI) 0.97(0.58,1.64), 0.5</w:t>
      </w:r>
      <w:r w:rsidR="00FC4247" w:rsidRPr="009C0B84">
        <w:rPr>
          <w:rFonts w:asciiTheme="majorBidi" w:eastAsia="Times New Roman" w:hAnsiTheme="majorBidi" w:cstheme="majorBidi"/>
          <w:color w:val="333333"/>
        </w:rPr>
        <w:t>0</w:t>
      </w:r>
      <w:r w:rsidR="00F37A5E" w:rsidRPr="009C0B84">
        <w:rPr>
          <w:rFonts w:asciiTheme="majorBidi" w:eastAsia="Times New Roman" w:hAnsiTheme="majorBidi" w:cstheme="majorBidi"/>
          <w:color w:val="333333"/>
        </w:rPr>
        <w:t>(0.29,0.84), 0.68(0.29,1.57) in age groups &lt;65, ≥65-</w:t>
      </w:r>
      <w:r w:rsidR="00D37838" w:rsidRPr="009C0B84">
        <w:rPr>
          <w:rFonts w:asciiTheme="majorBidi" w:eastAsia="Times New Roman" w:hAnsiTheme="majorBidi" w:cstheme="majorBidi"/>
          <w:color w:val="333333"/>
        </w:rPr>
        <w:t>&lt;</w:t>
      </w:r>
      <w:r w:rsidR="00F37A5E" w:rsidRPr="009C0B84">
        <w:rPr>
          <w:rFonts w:asciiTheme="majorBidi" w:eastAsia="Times New Roman" w:hAnsiTheme="majorBidi" w:cstheme="majorBidi"/>
          <w:color w:val="333333"/>
        </w:rPr>
        <w:t xml:space="preserve">75 and </w:t>
      </w:r>
      <w:r w:rsidR="00D37838" w:rsidRPr="009C0B84">
        <w:rPr>
          <w:rFonts w:asciiTheme="majorBidi" w:eastAsia="Times New Roman" w:hAnsiTheme="majorBidi" w:cstheme="majorBidi"/>
          <w:color w:val="333333"/>
        </w:rPr>
        <w:t>≥</w:t>
      </w:r>
      <w:r w:rsidR="00F37A5E" w:rsidRPr="009C0B84">
        <w:rPr>
          <w:rFonts w:asciiTheme="majorBidi" w:eastAsia="Times New Roman" w:hAnsiTheme="majorBidi" w:cstheme="majorBidi"/>
          <w:color w:val="333333"/>
        </w:rPr>
        <w:t>75 respectively (interaction p-value 0.21</w:t>
      </w:r>
      <w:r w:rsidR="00FC4247" w:rsidRPr="009C0B84">
        <w:rPr>
          <w:rFonts w:asciiTheme="majorBidi" w:eastAsia="Times New Roman" w:hAnsiTheme="majorBidi" w:cstheme="majorBidi"/>
          <w:color w:val="333333"/>
        </w:rPr>
        <w:t>07</w:t>
      </w:r>
      <w:r w:rsidR="00F37A5E" w:rsidRPr="009C0B84">
        <w:rPr>
          <w:rFonts w:asciiTheme="majorBidi" w:eastAsia="Times New Roman" w:hAnsiTheme="majorBidi" w:cstheme="majorBidi"/>
          <w:color w:val="333333"/>
        </w:rPr>
        <w:t>)</w:t>
      </w:r>
      <w:r w:rsidR="0056569F" w:rsidRPr="009C0B84">
        <w:rPr>
          <w:rFonts w:asciiTheme="majorBidi" w:eastAsia="Times New Roman" w:hAnsiTheme="majorBidi" w:cstheme="majorBidi"/>
          <w:color w:val="333333"/>
        </w:rPr>
        <w:t xml:space="preserve">. </w:t>
      </w:r>
      <w:r w:rsidR="00D6465E" w:rsidRPr="009C0B84">
        <w:rPr>
          <w:rFonts w:asciiTheme="majorBidi" w:eastAsia="Times New Roman" w:hAnsiTheme="majorBidi" w:cstheme="majorBidi"/>
          <w:color w:val="333333"/>
        </w:rPr>
        <w:t xml:space="preserve">Safety outcomes including fractures, volume depletion, </w:t>
      </w:r>
      <w:r w:rsidR="00076B90" w:rsidRPr="009C0B84">
        <w:rPr>
          <w:rFonts w:asciiTheme="majorBidi" w:eastAsia="Times New Roman" w:hAnsiTheme="majorBidi" w:cstheme="majorBidi"/>
          <w:color w:val="333333"/>
        </w:rPr>
        <w:t>cancer</w:t>
      </w:r>
      <w:r w:rsidR="00D6465E" w:rsidRPr="009C0B84">
        <w:rPr>
          <w:rFonts w:asciiTheme="majorBidi" w:eastAsia="Times New Roman" w:hAnsiTheme="majorBidi" w:cstheme="majorBidi"/>
          <w:color w:val="333333"/>
        </w:rPr>
        <w:t xml:space="preserve">, urinary tract </w:t>
      </w:r>
      <w:r w:rsidR="00966DB7" w:rsidRPr="009C0B84">
        <w:rPr>
          <w:rFonts w:asciiTheme="majorBidi" w:eastAsia="Times New Roman" w:hAnsiTheme="majorBidi" w:cstheme="majorBidi"/>
          <w:color w:val="333333"/>
        </w:rPr>
        <w:t>infection</w:t>
      </w:r>
      <w:r w:rsidR="00076B90" w:rsidRPr="009C0B84">
        <w:rPr>
          <w:rFonts w:asciiTheme="majorBidi" w:eastAsia="Times New Roman" w:hAnsiTheme="majorBidi" w:cstheme="majorBidi"/>
          <w:color w:val="333333"/>
        </w:rPr>
        <w:t>s</w:t>
      </w:r>
      <w:r w:rsidR="00966DB7" w:rsidRPr="009C0B84">
        <w:rPr>
          <w:rFonts w:asciiTheme="majorBidi" w:eastAsia="Times New Roman" w:hAnsiTheme="majorBidi" w:cstheme="majorBidi"/>
          <w:color w:val="333333"/>
        </w:rPr>
        <w:t xml:space="preserve"> and amputations were balanced with dapagliflozin vs. placebo</w:t>
      </w:r>
      <w:r w:rsidR="003555C0" w:rsidRPr="009C0B84">
        <w:rPr>
          <w:rFonts w:asciiTheme="majorBidi" w:eastAsia="Times New Roman" w:hAnsiTheme="majorBidi" w:cstheme="majorBidi"/>
          <w:color w:val="333333"/>
        </w:rPr>
        <w:t>, and acute kidney injury was reduced, all</w:t>
      </w:r>
      <w:r w:rsidR="00966DB7" w:rsidRPr="009C0B84">
        <w:rPr>
          <w:rFonts w:asciiTheme="majorBidi" w:eastAsia="Times New Roman" w:hAnsiTheme="majorBidi" w:cstheme="majorBidi"/>
          <w:color w:val="333333"/>
        </w:rPr>
        <w:t xml:space="preserve"> regardless of age.</w:t>
      </w:r>
      <w:r w:rsidR="0056569F" w:rsidRPr="009C0B84">
        <w:rPr>
          <w:rFonts w:asciiTheme="majorBidi" w:eastAsia="Times New Roman" w:hAnsiTheme="majorBidi" w:cstheme="majorBidi"/>
          <w:color w:val="333333"/>
        </w:rPr>
        <w:t xml:space="preserve"> </w:t>
      </w:r>
      <w:r w:rsidR="00892B39" w:rsidRPr="009C0B84">
        <w:rPr>
          <w:rFonts w:asciiTheme="majorBidi" w:eastAsia="Times New Roman" w:hAnsiTheme="majorBidi" w:cstheme="majorBidi"/>
          <w:color w:val="333333"/>
        </w:rPr>
        <w:t>G</w:t>
      </w:r>
      <w:r w:rsidR="0023410B" w:rsidRPr="009C0B84">
        <w:rPr>
          <w:rFonts w:asciiTheme="majorBidi" w:eastAsia="Times New Roman" w:hAnsiTheme="majorBidi" w:cstheme="majorBidi"/>
          <w:color w:val="333333"/>
        </w:rPr>
        <w:t xml:space="preserve">enital infections that </w:t>
      </w:r>
      <w:r w:rsidR="001C6F7F" w:rsidRPr="009C0B84">
        <w:rPr>
          <w:rFonts w:asciiTheme="majorBidi" w:eastAsia="Times New Roman" w:hAnsiTheme="majorBidi" w:cstheme="majorBidi"/>
          <w:color w:val="333333"/>
        </w:rPr>
        <w:t xml:space="preserve">were serious or </w:t>
      </w:r>
      <w:r w:rsidR="0023410B" w:rsidRPr="009C0B84">
        <w:rPr>
          <w:rFonts w:asciiTheme="majorBidi" w:eastAsia="Times New Roman" w:hAnsiTheme="majorBidi" w:cstheme="majorBidi"/>
          <w:color w:val="333333"/>
        </w:rPr>
        <w:t>led to discontinuation of study drug</w:t>
      </w:r>
      <w:r w:rsidR="00892B39" w:rsidRPr="009C0B84">
        <w:rPr>
          <w:rFonts w:asciiTheme="majorBidi" w:eastAsia="Times New Roman" w:hAnsiTheme="majorBidi" w:cstheme="majorBidi"/>
          <w:color w:val="333333"/>
        </w:rPr>
        <w:t xml:space="preserve"> and diabetic ketoacidosis</w:t>
      </w:r>
      <w:r w:rsidR="0023410B" w:rsidRPr="009C0B84">
        <w:rPr>
          <w:rFonts w:asciiTheme="majorBidi" w:eastAsia="Times New Roman" w:hAnsiTheme="majorBidi" w:cstheme="majorBidi"/>
          <w:color w:val="333333"/>
        </w:rPr>
        <w:t xml:space="preserve"> </w:t>
      </w:r>
      <w:r w:rsidR="008E26A8" w:rsidRPr="009C0B84">
        <w:rPr>
          <w:rFonts w:asciiTheme="majorBidi" w:eastAsia="Times New Roman" w:hAnsiTheme="majorBidi" w:cstheme="majorBidi"/>
          <w:color w:val="333333"/>
        </w:rPr>
        <w:t>were uncommon, yet</w:t>
      </w:r>
      <w:r w:rsidR="00185E7C" w:rsidRPr="009C0B84">
        <w:rPr>
          <w:rFonts w:asciiTheme="majorBidi" w:eastAsia="Times New Roman" w:hAnsiTheme="majorBidi" w:cstheme="majorBidi"/>
          <w:color w:val="333333"/>
        </w:rPr>
        <w:t xml:space="preserve"> more frequent with dapagliflozin vs. placebo</w:t>
      </w:r>
      <w:r w:rsidR="008E26A8" w:rsidRPr="009C0B84">
        <w:rPr>
          <w:rFonts w:asciiTheme="majorBidi" w:eastAsia="Times New Roman" w:hAnsiTheme="majorBidi" w:cstheme="majorBidi"/>
          <w:color w:val="333333"/>
        </w:rPr>
        <w:t>,</w:t>
      </w:r>
      <w:r w:rsidR="0023410B" w:rsidRPr="009C0B84">
        <w:rPr>
          <w:rFonts w:asciiTheme="majorBidi" w:eastAsia="Times New Roman" w:hAnsiTheme="majorBidi" w:cstheme="majorBidi"/>
          <w:color w:val="333333"/>
        </w:rPr>
        <w:t xml:space="preserve"> without </w:t>
      </w:r>
      <w:r w:rsidR="00791FB9" w:rsidRPr="009C0B84">
        <w:rPr>
          <w:rFonts w:asciiTheme="majorBidi" w:eastAsia="Times New Roman" w:hAnsiTheme="majorBidi" w:cstheme="majorBidi"/>
          <w:color w:val="333333"/>
        </w:rPr>
        <w:t>heterogeneity</w:t>
      </w:r>
      <w:r w:rsidR="0023410B" w:rsidRPr="009C0B84">
        <w:rPr>
          <w:rFonts w:asciiTheme="majorBidi" w:eastAsia="Times New Roman" w:hAnsiTheme="majorBidi" w:cstheme="majorBidi"/>
          <w:color w:val="333333"/>
        </w:rPr>
        <w:t xml:space="preserve"> (interaction p-values </w:t>
      </w:r>
      <w:r w:rsidR="00C7643F" w:rsidRPr="009C0B84">
        <w:rPr>
          <w:rFonts w:asciiTheme="majorBidi" w:eastAsia="Times New Roman" w:hAnsiTheme="majorBidi" w:cstheme="majorBidi"/>
          <w:color w:val="333333"/>
        </w:rPr>
        <w:t xml:space="preserve">0.1058 and </w:t>
      </w:r>
      <w:r w:rsidR="0023410B" w:rsidRPr="009C0B84">
        <w:rPr>
          <w:rFonts w:asciiTheme="majorBidi" w:eastAsia="Times New Roman" w:hAnsiTheme="majorBidi" w:cstheme="majorBidi"/>
          <w:color w:val="333333"/>
        </w:rPr>
        <w:t xml:space="preserve">0.8433 respectively). </w:t>
      </w:r>
      <w:r w:rsidR="00185E7C" w:rsidRPr="009C0B84">
        <w:rPr>
          <w:rFonts w:asciiTheme="majorBidi" w:eastAsia="Times New Roman" w:hAnsiTheme="majorBidi" w:cstheme="majorBidi"/>
          <w:color w:val="333333"/>
        </w:rPr>
        <w:t xml:space="preserve"> </w:t>
      </w:r>
    </w:p>
    <w:p w14:paraId="157771BB" w14:textId="2310EA04" w:rsidR="00D1081D" w:rsidRPr="009C0B84" w:rsidRDefault="00FF38DA" w:rsidP="001525B4">
      <w:pPr>
        <w:spacing w:before="100" w:beforeAutospacing="1" w:after="100" w:afterAutospacing="1" w:line="480" w:lineRule="auto"/>
        <w:rPr>
          <w:rFonts w:asciiTheme="majorBidi" w:eastAsia="Times New Roman" w:hAnsiTheme="majorBidi" w:cstheme="majorBidi"/>
          <w:color w:val="333333"/>
        </w:rPr>
      </w:pPr>
      <w:r w:rsidRPr="009C0B84">
        <w:rPr>
          <w:rFonts w:asciiTheme="majorBidi" w:eastAsia="Times New Roman" w:hAnsiTheme="majorBidi" w:cstheme="majorBidi"/>
          <w:b/>
          <w:bCs/>
          <w:i/>
          <w:iCs/>
          <w:color w:val="333333"/>
        </w:rPr>
        <w:t>Conclusions</w:t>
      </w:r>
      <w:r w:rsidR="00F37A5E" w:rsidRPr="009C0B84">
        <w:rPr>
          <w:rFonts w:asciiTheme="majorBidi" w:eastAsia="Times New Roman" w:hAnsiTheme="majorBidi" w:cstheme="majorBidi"/>
          <w:b/>
          <w:bCs/>
          <w:i/>
          <w:iCs/>
          <w:color w:val="333333"/>
        </w:rPr>
        <w:t xml:space="preserve">: </w:t>
      </w:r>
      <w:r w:rsidR="00BD2684" w:rsidRPr="009C0B84">
        <w:rPr>
          <w:rFonts w:asciiTheme="majorBidi" w:eastAsia="Times New Roman" w:hAnsiTheme="majorBidi" w:cstheme="majorBidi"/>
          <w:color w:val="333333"/>
        </w:rPr>
        <w:t>O</w:t>
      </w:r>
      <w:r w:rsidR="00F37A5E" w:rsidRPr="009C0B84">
        <w:rPr>
          <w:rFonts w:asciiTheme="majorBidi" w:eastAsia="Times New Roman" w:hAnsiTheme="majorBidi" w:cstheme="majorBidi"/>
          <w:color w:val="333333"/>
        </w:rPr>
        <w:t xml:space="preserve">verall efficacy </w:t>
      </w:r>
      <w:r w:rsidR="00AF0D86" w:rsidRPr="009C0B84">
        <w:rPr>
          <w:rFonts w:asciiTheme="majorBidi" w:eastAsia="Times New Roman" w:hAnsiTheme="majorBidi" w:cstheme="majorBidi"/>
          <w:color w:val="333333"/>
        </w:rPr>
        <w:t xml:space="preserve">and safety </w:t>
      </w:r>
      <w:r w:rsidR="00F37A5E" w:rsidRPr="009C0B84">
        <w:rPr>
          <w:rFonts w:asciiTheme="majorBidi" w:eastAsia="Times New Roman" w:hAnsiTheme="majorBidi" w:cstheme="majorBidi"/>
          <w:color w:val="333333"/>
        </w:rPr>
        <w:t xml:space="preserve">of dapagliflozin </w:t>
      </w:r>
      <w:r w:rsidR="00C51F5D" w:rsidRPr="009C0B84">
        <w:rPr>
          <w:rFonts w:asciiTheme="majorBidi" w:eastAsia="Times New Roman" w:hAnsiTheme="majorBidi" w:cstheme="majorBidi"/>
          <w:color w:val="333333"/>
        </w:rPr>
        <w:t>are</w:t>
      </w:r>
      <w:r w:rsidR="00F37A5E" w:rsidRPr="009C0B84">
        <w:rPr>
          <w:rFonts w:asciiTheme="majorBidi" w:eastAsia="Times New Roman" w:hAnsiTheme="majorBidi" w:cstheme="majorBidi"/>
          <w:color w:val="333333"/>
        </w:rPr>
        <w:t xml:space="preserve"> consistent regardless of age.</w:t>
      </w:r>
    </w:p>
    <w:p w14:paraId="5BBDC563" w14:textId="77777777" w:rsidR="00D1081D" w:rsidRPr="009C0B84" w:rsidRDefault="00D1081D" w:rsidP="001525B4">
      <w:pPr>
        <w:spacing w:before="100" w:beforeAutospacing="1" w:after="100" w:afterAutospacing="1" w:line="480" w:lineRule="auto"/>
        <w:rPr>
          <w:rFonts w:asciiTheme="majorBidi" w:eastAsia="Times New Roman" w:hAnsiTheme="majorBidi" w:cstheme="majorBidi"/>
          <w:color w:val="333333"/>
        </w:rPr>
      </w:pPr>
    </w:p>
    <w:p w14:paraId="67F9703B" w14:textId="1308B9A2" w:rsidR="009934A0" w:rsidRPr="009C0B84" w:rsidRDefault="003C0396" w:rsidP="00616B71">
      <w:pPr>
        <w:spacing w:before="100" w:beforeAutospacing="1" w:after="100" w:afterAutospacing="1" w:line="480" w:lineRule="auto"/>
        <w:rPr>
          <w:rFonts w:asciiTheme="majorBidi" w:eastAsia="Times New Roman" w:hAnsiTheme="majorBidi" w:cstheme="majorBidi"/>
          <w:color w:val="333333"/>
        </w:rPr>
      </w:pPr>
      <w:r w:rsidRPr="009C0B84">
        <w:rPr>
          <w:rFonts w:asciiTheme="majorBidi" w:eastAsia="Times New Roman" w:hAnsiTheme="majorBidi" w:cstheme="majorBidi"/>
          <w:b/>
          <w:bCs/>
          <w:color w:val="333333"/>
        </w:rPr>
        <w:br w:type="page"/>
      </w:r>
      <w:r w:rsidR="00136747" w:rsidRPr="009C0B84">
        <w:rPr>
          <w:rFonts w:asciiTheme="majorBidi" w:eastAsia="Times New Roman" w:hAnsiTheme="majorBidi" w:cstheme="majorBidi"/>
          <w:color w:val="333333"/>
        </w:rPr>
        <w:lastRenderedPageBreak/>
        <w:t xml:space="preserve">Type 2 Diabetes Mellitus (T2DM) </w:t>
      </w:r>
      <w:r w:rsidR="009934A0" w:rsidRPr="009C0B84">
        <w:rPr>
          <w:rFonts w:asciiTheme="majorBidi" w:eastAsia="Times New Roman" w:hAnsiTheme="majorBidi" w:cstheme="majorBidi"/>
          <w:color w:val="333333"/>
        </w:rPr>
        <w:t xml:space="preserve">is </w:t>
      </w:r>
      <w:r w:rsidR="00D26C07" w:rsidRPr="009C0B84">
        <w:rPr>
          <w:rFonts w:asciiTheme="majorBidi" w:eastAsia="Times New Roman" w:hAnsiTheme="majorBidi" w:cstheme="majorBidi"/>
          <w:color w:val="333333"/>
        </w:rPr>
        <w:t>a prevalent disorder in the</w:t>
      </w:r>
      <w:r w:rsidR="00EE426F" w:rsidRPr="009C0B84">
        <w:rPr>
          <w:rFonts w:asciiTheme="majorBidi" w:eastAsia="Times New Roman" w:hAnsiTheme="majorBidi" w:cstheme="majorBidi"/>
          <w:color w:val="333333"/>
        </w:rPr>
        <w:t xml:space="preserve"> elderly with approximately one quarter of people </w:t>
      </w:r>
      <w:r w:rsidR="009934A0" w:rsidRPr="009C0B84">
        <w:rPr>
          <w:rFonts w:asciiTheme="majorBidi" w:eastAsia="Times New Roman" w:hAnsiTheme="majorBidi" w:cstheme="majorBidi"/>
          <w:color w:val="333333"/>
        </w:rPr>
        <w:t xml:space="preserve">age &gt;65 </w:t>
      </w:r>
      <w:r w:rsidR="00235690" w:rsidRPr="009C0B84">
        <w:rPr>
          <w:rFonts w:asciiTheme="majorBidi" w:eastAsia="Times New Roman" w:hAnsiTheme="majorBidi" w:cstheme="majorBidi"/>
          <w:color w:val="333333"/>
        </w:rPr>
        <w:t xml:space="preserve">with </w:t>
      </w:r>
      <w:r w:rsidR="009934A0" w:rsidRPr="009C0B84">
        <w:rPr>
          <w:rFonts w:asciiTheme="majorBidi" w:eastAsia="Times New Roman" w:hAnsiTheme="majorBidi" w:cstheme="majorBidi"/>
          <w:color w:val="333333"/>
        </w:rPr>
        <w:t>diabetes</w:t>
      </w:r>
      <w:r w:rsidR="009C1265" w:rsidRPr="009C0B84">
        <w:rPr>
          <w:rFonts w:asciiTheme="majorBidi" w:eastAsia="Times New Roman" w:hAnsiTheme="majorBidi" w:cstheme="majorBidi"/>
          <w:color w:val="333333"/>
        </w:rPr>
        <w:t xml:space="preserve">, </w:t>
      </w:r>
      <w:r w:rsidR="00FF3EE0" w:rsidRPr="009C0B84">
        <w:rPr>
          <w:rFonts w:asciiTheme="majorBidi" w:eastAsia="Times New Roman" w:hAnsiTheme="majorBidi" w:cstheme="majorBidi"/>
          <w:color w:val="333333"/>
        </w:rPr>
        <w:t>and</w:t>
      </w:r>
      <w:r w:rsidR="009C1265" w:rsidRPr="009C0B84">
        <w:rPr>
          <w:rFonts w:asciiTheme="majorBidi" w:eastAsia="Times New Roman" w:hAnsiTheme="majorBidi" w:cstheme="majorBidi"/>
          <w:color w:val="333333"/>
        </w:rPr>
        <w:t xml:space="preserve"> an expected increase in rates of diabetes in the upcoming years</w:t>
      </w:r>
      <w:r w:rsidR="00197D4A" w:rsidRPr="009C0B84">
        <w:rPr>
          <w:rFonts w:asciiTheme="majorBidi" w:eastAsia="Times New Roman" w:hAnsiTheme="majorBidi" w:cstheme="majorBidi"/>
          <w:color w:val="333333"/>
        </w:rPr>
        <w:t xml:space="preserve"> (1)</w:t>
      </w:r>
      <w:r w:rsidR="009934A0" w:rsidRPr="009C0B84">
        <w:rPr>
          <w:rFonts w:asciiTheme="majorBidi" w:eastAsia="Times New Roman" w:hAnsiTheme="majorBidi" w:cstheme="majorBidi"/>
          <w:color w:val="333333"/>
        </w:rPr>
        <w:t>.</w:t>
      </w:r>
      <w:r w:rsidR="00EE426F" w:rsidRPr="009C0B84">
        <w:rPr>
          <w:rFonts w:asciiTheme="majorBidi" w:eastAsia="Times New Roman" w:hAnsiTheme="majorBidi" w:cstheme="majorBidi"/>
          <w:color w:val="333333"/>
        </w:rPr>
        <w:t xml:space="preserve"> Diabetes care in the elderly </w:t>
      </w:r>
      <w:r w:rsidR="00D26C07" w:rsidRPr="009C0B84">
        <w:rPr>
          <w:rFonts w:asciiTheme="majorBidi" w:eastAsia="Times New Roman" w:hAnsiTheme="majorBidi" w:cstheme="majorBidi"/>
          <w:color w:val="333333"/>
        </w:rPr>
        <w:t xml:space="preserve">is challenging due to </w:t>
      </w:r>
      <w:r w:rsidR="00450365" w:rsidRPr="009C0B84">
        <w:rPr>
          <w:rFonts w:asciiTheme="majorBidi" w:eastAsia="Times New Roman" w:hAnsiTheme="majorBidi" w:cstheme="majorBidi"/>
          <w:color w:val="333333"/>
        </w:rPr>
        <w:t>high</w:t>
      </w:r>
      <w:r w:rsidR="00EE426F" w:rsidRPr="009C0B84">
        <w:rPr>
          <w:rFonts w:asciiTheme="majorBidi" w:eastAsia="Times New Roman" w:hAnsiTheme="majorBidi" w:cstheme="majorBidi"/>
          <w:color w:val="333333"/>
        </w:rPr>
        <w:t xml:space="preserve"> rates of </w:t>
      </w:r>
      <w:r w:rsidR="009934A0" w:rsidRPr="009C0B84">
        <w:rPr>
          <w:rFonts w:asciiTheme="majorBidi" w:eastAsia="Times New Roman" w:hAnsiTheme="majorBidi" w:cstheme="majorBidi"/>
          <w:color w:val="333333"/>
        </w:rPr>
        <w:t xml:space="preserve">concomitant </w:t>
      </w:r>
      <w:r w:rsidR="00235690" w:rsidRPr="009C0B84">
        <w:rPr>
          <w:rFonts w:asciiTheme="majorBidi" w:eastAsia="Times New Roman" w:hAnsiTheme="majorBidi" w:cstheme="majorBidi"/>
          <w:color w:val="333333"/>
        </w:rPr>
        <w:t>comorbidities</w:t>
      </w:r>
      <w:r w:rsidR="00EE426F" w:rsidRPr="009C0B84">
        <w:rPr>
          <w:rFonts w:asciiTheme="majorBidi" w:eastAsia="Times New Roman" w:hAnsiTheme="majorBidi" w:cstheme="majorBidi"/>
          <w:color w:val="333333"/>
        </w:rPr>
        <w:t>, functional disability, frailty, cognitive impairment and polypharma</w:t>
      </w:r>
      <w:r w:rsidR="009934A0" w:rsidRPr="009C0B84">
        <w:rPr>
          <w:rFonts w:asciiTheme="majorBidi" w:eastAsia="Times New Roman" w:hAnsiTheme="majorBidi" w:cstheme="majorBidi"/>
          <w:color w:val="333333"/>
        </w:rPr>
        <w:t>cy.</w:t>
      </w:r>
      <w:r w:rsidR="00325AD0" w:rsidRPr="009C0B84">
        <w:rPr>
          <w:rFonts w:asciiTheme="majorBidi" w:eastAsia="Times New Roman" w:hAnsiTheme="majorBidi" w:cstheme="majorBidi"/>
          <w:color w:val="333333"/>
        </w:rPr>
        <w:t xml:space="preserve"> </w:t>
      </w:r>
      <w:r w:rsidR="009C1265" w:rsidRPr="009C0B84">
        <w:rPr>
          <w:rFonts w:asciiTheme="majorBidi" w:eastAsia="Times New Roman" w:hAnsiTheme="majorBidi" w:cstheme="majorBidi"/>
          <w:color w:val="333333"/>
        </w:rPr>
        <w:t>C</w:t>
      </w:r>
      <w:r w:rsidR="009934A0" w:rsidRPr="009C0B84">
        <w:rPr>
          <w:rFonts w:asciiTheme="majorBidi" w:eastAsia="Times New Roman" w:hAnsiTheme="majorBidi" w:cstheme="majorBidi"/>
          <w:color w:val="333333"/>
        </w:rPr>
        <w:t>omplexity of treatment</w:t>
      </w:r>
      <w:r w:rsidR="009C1265" w:rsidRPr="009C0B84">
        <w:rPr>
          <w:rFonts w:asciiTheme="majorBidi" w:eastAsia="Times New Roman" w:hAnsiTheme="majorBidi" w:cstheme="majorBidi"/>
          <w:color w:val="333333"/>
        </w:rPr>
        <w:t>,</w:t>
      </w:r>
      <w:r w:rsidR="009934A0" w:rsidRPr="009C0B84">
        <w:rPr>
          <w:rFonts w:asciiTheme="majorBidi" w:eastAsia="Times New Roman" w:hAnsiTheme="majorBidi" w:cstheme="majorBidi"/>
          <w:color w:val="333333"/>
        </w:rPr>
        <w:t xml:space="preserve"> </w:t>
      </w:r>
      <w:r w:rsidR="009C1265" w:rsidRPr="009C0B84">
        <w:rPr>
          <w:rFonts w:asciiTheme="majorBidi" w:eastAsia="Times New Roman" w:hAnsiTheme="majorBidi" w:cstheme="majorBidi"/>
          <w:color w:val="333333"/>
        </w:rPr>
        <w:t xml:space="preserve">side effects, </w:t>
      </w:r>
      <w:r w:rsidR="009934A0" w:rsidRPr="009C0B84">
        <w:rPr>
          <w:rFonts w:asciiTheme="majorBidi" w:eastAsia="Times New Roman" w:hAnsiTheme="majorBidi" w:cstheme="majorBidi"/>
          <w:color w:val="333333"/>
        </w:rPr>
        <w:t xml:space="preserve">and drug interactions are important </w:t>
      </w:r>
      <w:r w:rsidR="00EE426F" w:rsidRPr="009C0B84">
        <w:rPr>
          <w:rFonts w:asciiTheme="majorBidi" w:eastAsia="Times New Roman" w:hAnsiTheme="majorBidi" w:cstheme="majorBidi"/>
          <w:color w:val="333333"/>
        </w:rPr>
        <w:t>considerations</w:t>
      </w:r>
      <w:r w:rsidR="009C1265" w:rsidRPr="009C0B84">
        <w:rPr>
          <w:rFonts w:asciiTheme="majorBidi" w:eastAsia="Times New Roman" w:hAnsiTheme="majorBidi" w:cstheme="majorBidi"/>
          <w:color w:val="333333"/>
        </w:rPr>
        <w:t xml:space="preserve"> when choosing the appropriate </w:t>
      </w:r>
      <w:r w:rsidR="00AF0D86" w:rsidRPr="009C0B84">
        <w:rPr>
          <w:rFonts w:asciiTheme="majorBidi" w:eastAsia="Times New Roman" w:hAnsiTheme="majorBidi" w:cstheme="majorBidi"/>
          <w:color w:val="333333"/>
        </w:rPr>
        <w:t xml:space="preserve">glucose lowering </w:t>
      </w:r>
      <w:r w:rsidR="009C1265" w:rsidRPr="009C0B84">
        <w:rPr>
          <w:rFonts w:asciiTheme="majorBidi" w:eastAsia="Times New Roman" w:hAnsiTheme="majorBidi" w:cstheme="majorBidi"/>
          <w:color w:val="333333"/>
        </w:rPr>
        <w:t>pharmacotherapy for older patients with diabetes</w:t>
      </w:r>
      <w:r w:rsidR="00197D4A" w:rsidRPr="009C0B84">
        <w:rPr>
          <w:rFonts w:asciiTheme="majorBidi" w:eastAsia="Times New Roman" w:hAnsiTheme="majorBidi" w:cstheme="majorBidi"/>
          <w:color w:val="333333"/>
        </w:rPr>
        <w:t xml:space="preserve"> (1,2)</w:t>
      </w:r>
      <w:r w:rsidR="009934A0" w:rsidRPr="009C0B84">
        <w:rPr>
          <w:rFonts w:asciiTheme="majorBidi" w:eastAsia="Times New Roman" w:hAnsiTheme="majorBidi" w:cstheme="majorBidi"/>
          <w:color w:val="333333"/>
        </w:rPr>
        <w:t>.</w:t>
      </w:r>
      <w:r w:rsidR="009C1265" w:rsidRPr="009C0B84">
        <w:rPr>
          <w:rFonts w:asciiTheme="majorBidi" w:eastAsia="Times New Roman" w:hAnsiTheme="majorBidi" w:cstheme="majorBidi"/>
          <w:color w:val="333333"/>
        </w:rPr>
        <w:t xml:space="preserve"> However, data regarding the efficacy and safety of glucose lowering agents is often lacking, particularly in </w:t>
      </w:r>
      <w:r w:rsidR="008E431E" w:rsidRPr="009C0B84">
        <w:rPr>
          <w:rFonts w:asciiTheme="majorBidi" w:eastAsia="Times New Roman" w:hAnsiTheme="majorBidi" w:cstheme="majorBidi"/>
          <w:color w:val="333333"/>
        </w:rPr>
        <w:t>the very elderly,</w:t>
      </w:r>
      <w:r w:rsidR="009C1265" w:rsidRPr="009C0B84">
        <w:rPr>
          <w:rFonts w:asciiTheme="majorBidi" w:eastAsia="Times New Roman" w:hAnsiTheme="majorBidi" w:cstheme="majorBidi"/>
          <w:color w:val="333333"/>
        </w:rPr>
        <w:t xml:space="preserve"> age </w:t>
      </w:r>
      <w:r w:rsidR="00B358AE" w:rsidRPr="009C0B84">
        <w:rPr>
          <w:rFonts w:asciiTheme="majorBidi" w:eastAsia="Times New Roman" w:hAnsiTheme="majorBidi" w:cstheme="majorBidi"/>
          <w:color w:val="333333"/>
        </w:rPr>
        <w:t>≥</w:t>
      </w:r>
      <w:r w:rsidR="009C1265" w:rsidRPr="009C0B84">
        <w:rPr>
          <w:rFonts w:asciiTheme="majorBidi" w:eastAsia="Times New Roman" w:hAnsiTheme="majorBidi" w:cstheme="majorBidi"/>
          <w:color w:val="333333"/>
        </w:rPr>
        <w:t xml:space="preserve">75. The US Food and Drug Administration as well as the European Medicines Agency </w:t>
      </w:r>
      <w:r w:rsidR="008E431E" w:rsidRPr="009C0B84">
        <w:rPr>
          <w:rFonts w:asciiTheme="majorBidi" w:eastAsia="Times New Roman" w:hAnsiTheme="majorBidi" w:cstheme="majorBidi"/>
          <w:color w:val="333333"/>
        </w:rPr>
        <w:t>r</w:t>
      </w:r>
      <w:r w:rsidR="009C1265" w:rsidRPr="009C0B84">
        <w:rPr>
          <w:rFonts w:asciiTheme="majorBidi" w:eastAsia="Times New Roman" w:hAnsiTheme="majorBidi" w:cstheme="majorBidi"/>
          <w:color w:val="333333"/>
        </w:rPr>
        <w:t>ecommend</w:t>
      </w:r>
      <w:r w:rsidR="00235690" w:rsidRPr="009C0B84">
        <w:rPr>
          <w:rFonts w:asciiTheme="majorBidi" w:eastAsia="Times New Roman" w:hAnsiTheme="majorBidi" w:cstheme="majorBidi"/>
          <w:color w:val="333333"/>
        </w:rPr>
        <w:t>ed</w:t>
      </w:r>
      <w:r w:rsidR="009C1265" w:rsidRPr="009C0B84">
        <w:rPr>
          <w:rFonts w:asciiTheme="majorBidi" w:eastAsia="Times New Roman" w:hAnsiTheme="majorBidi" w:cstheme="majorBidi"/>
          <w:color w:val="333333"/>
        </w:rPr>
        <w:t xml:space="preserve"> collecting comprehensive data </w:t>
      </w:r>
      <w:r w:rsidR="003A5AC0" w:rsidRPr="009C0B84">
        <w:rPr>
          <w:rFonts w:asciiTheme="majorBidi" w:eastAsia="Times New Roman" w:hAnsiTheme="majorBidi" w:cstheme="majorBidi"/>
          <w:color w:val="333333"/>
        </w:rPr>
        <w:t>especially in</w:t>
      </w:r>
      <w:r w:rsidR="00197D4A" w:rsidRPr="009C0B84">
        <w:rPr>
          <w:rFonts w:asciiTheme="majorBidi" w:eastAsia="Times New Roman" w:hAnsiTheme="majorBidi" w:cstheme="majorBidi"/>
          <w:color w:val="333333"/>
        </w:rPr>
        <w:t xml:space="preserve"> very</w:t>
      </w:r>
      <w:r w:rsidR="009C1265" w:rsidRPr="009C0B84">
        <w:rPr>
          <w:rFonts w:asciiTheme="majorBidi" w:eastAsia="Times New Roman" w:hAnsiTheme="majorBidi" w:cstheme="majorBidi"/>
          <w:color w:val="333333"/>
        </w:rPr>
        <w:t xml:space="preserve"> elderly patient</w:t>
      </w:r>
      <w:r w:rsidR="00197D4A" w:rsidRPr="009C0B84">
        <w:rPr>
          <w:rFonts w:asciiTheme="majorBidi" w:eastAsia="Times New Roman" w:hAnsiTheme="majorBidi" w:cstheme="majorBidi"/>
          <w:color w:val="333333"/>
        </w:rPr>
        <w:t>s with diabetes to enable appropriate assessment of their drug responses (2,3).</w:t>
      </w:r>
    </w:p>
    <w:p w14:paraId="67537174" w14:textId="3FE831DA" w:rsidR="009939A1" w:rsidRPr="009C0B84" w:rsidRDefault="00396FEC" w:rsidP="001525B4">
      <w:pPr>
        <w:spacing w:before="100" w:beforeAutospacing="1" w:after="100" w:afterAutospacing="1" w:line="480" w:lineRule="auto"/>
        <w:rPr>
          <w:rFonts w:asciiTheme="majorBidi" w:eastAsia="Times New Roman" w:hAnsiTheme="majorBidi" w:cstheme="majorBidi"/>
          <w:color w:val="333333"/>
        </w:rPr>
      </w:pPr>
      <w:r w:rsidRPr="009C0B84">
        <w:rPr>
          <w:rFonts w:asciiTheme="majorBidi" w:eastAsia="Times New Roman" w:hAnsiTheme="majorBidi" w:cstheme="majorBidi"/>
          <w:color w:val="333333"/>
        </w:rPr>
        <w:t>Sodium glucose cotransporter (</w:t>
      </w:r>
      <w:r w:rsidR="009934A0" w:rsidRPr="009C0B84">
        <w:rPr>
          <w:rFonts w:asciiTheme="majorBidi" w:eastAsia="Times New Roman" w:hAnsiTheme="majorBidi" w:cstheme="majorBidi"/>
          <w:color w:val="333333"/>
        </w:rPr>
        <w:t>SGLT</w:t>
      </w:r>
      <w:r w:rsidRPr="009C0B84">
        <w:rPr>
          <w:rFonts w:asciiTheme="majorBidi" w:eastAsia="Times New Roman" w:hAnsiTheme="majorBidi" w:cstheme="majorBidi"/>
          <w:color w:val="333333"/>
        </w:rPr>
        <w:t xml:space="preserve">) </w:t>
      </w:r>
      <w:r w:rsidR="009934A0" w:rsidRPr="009C0B84">
        <w:rPr>
          <w:rFonts w:asciiTheme="majorBidi" w:eastAsia="Times New Roman" w:hAnsiTheme="majorBidi" w:cstheme="majorBidi"/>
          <w:color w:val="333333"/>
        </w:rPr>
        <w:t xml:space="preserve">2 inhibitors have been available for the treatment of diabetes </w:t>
      </w:r>
      <w:r w:rsidR="00136747" w:rsidRPr="009C0B84">
        <w:rPr>
          <w:rFonts w:asciiTheme="majorBidi" w:eastAsia="Times New Roman" w:hAnsiTheme="majorBidi" w:cstheme="majorBidi"/>
          <w:color w:val="333333"/>
        </w:rPr>
        <w:t>since 2012</w:t>
      </w:r>
      <w:r w:rsidR="009934A0" w:rsidRPr="009C0B84">
        <w:rPr>
          <w:rFonts w:asciiTheme="majorBidi" w:eastAsia="Times New Roman" w:hAnsiTheme="majorBidi" w:cstheme="majorBidi"/>
          <w:color w:val="333333"/>
        </w:rPr>
        <w:t xml:space="preserve">. </w:t>
      </w:r>
      <w:r w:rsidR="00103C00" w:rsidRPr="009C0B84">
        <w:rPr>
          <w:rFonts w:asciiTheme="majorBidi" w:eastAsia="Times New Roman" w:hAnsiTheme="majorBidi" w:cstheme="majorBidi"/>
          <w:color w:val="333333"/>
        </w:rPr>
        <w:t xml:space="preserve">Multiple clinical benefits beyond </w:t>
      </w:r>
      <w:r w:rsidR="004D05F2" w:rsidRPr="009C0B84">
        <w:rPr>
          <w:rFonts w:asciiTheme="majorBidi" w:eastAsia="Times New Roman" w:hAnsiTheme="majorBidi" w:cstheme="majorBidi"/>
          <w:color w:val="333333"/>
        </w:rPr>
        <w:t>glucose lowering</w:t>
      </w:r>
      <w:r w:rsidR="00103C00" w:rsidRPr="009C0B84">
        <w:rPr>
          <w:rFonts w:asciiTheme="majorBidi" w:eastAsia="Times New Roman" w:hAnsiTheme="majorBidi" w:cstheme="majorBidi"/>
          <w:color w:val="333333"/>
        </w:rPr>
        <w:t xml:space="preserve"> have been established with this drug class. These include reduced hospitalizations for heart failure, renal protection and improvement</w:t>
      </w:r>
      <w:r w:rsidR="004D05F2" w:rsidRPr="009C0B84">
        <w:rPr>
          <w:rFonts w:asciiTheme="majorBidi" w:eastAsia="Times New Roman" w:hAnsiTheme="majorBidi" w:cstheme="majorBidi"/>
          <w:color w:val="333333"/>
        </w:rPr>
        <w:t>s</w:t>
      </w:r>
      <w:r w:rsidR="00103C00" w:rsidRPr="009C0B84">
        <w:rPr>
          <w:rFonts w:asciiTheme="majorBidi" w:eastAsia="Times New Roman" w:hAnsiTheme="majorBidi" w:cstheme="majorBidi"/>
          <w:color w:val="333333"/>
        </w:rPr>
        <w:t xml:space="preserve"> in weight and blood pressure​. </w:t>
      </w:r>
      <w:r w:rsidR="00712044" w:rsidRPr="009C0B84">
        <w:rPr>
          <w:rFonts w:asciiTheme="majorBidi" w:eastAsia="Times New Roman" w:hAnsiTheme="majorBidi" w:cstheme="majorBidi"/>
          <w:color w:val="333333"/>
        </w:rPr>
        <w:t>(4-8)</w:t>
      </w:r>
      <w:r w:rsidR="009934A0" w:rsidRPr="009C0B84">
        <w:rPr>
          <w:rFonts w:asciiTheme="majorBidi" w:eastAsia="Times New Roman" w:hAnsiTheme="majorBidi" w:cstheme="majorBidi"/>
          <w:color w:val="333333"/>
        </w:rPr>
        <w:t xml:space="preserve">. </w:t>
      </w:r>
      <w:r w:rsidR="003F1A9F" w:rsidRPr="009C0B84">
        <w:rPr>
          <w:rFonts w:asciiTheme="majorBidi" w:eastAsia="Times New Roman" w:hAnsiTheme="majorBidi" w:cstheme="majorBidi"/>
          <w:color w:val="333333"/>
        </w:rPr>
        <w:t xml:space="preserve">Furthermore, the drugs are taken orally, at any time of the day and have no </w:t>
      </w:r>
      <w:r w:rsidR="00AF0D86" w:rsidRPr="009C0B84">
        <w:rPr>
          <w:rFonts w:asciiTheme="majorBidi" w:eastAsia="Times New Roman" w:hAnsiTheme="majorBidi" w:cstheme="majorBidi"/>
          <w:color w:val="333333"/>
        </w:rPr>
        <w:t xml:space="preserve">known </w:t>
      </w:r>
      <w:r w:rsidR="003F1A9F" w:rsidRPr="009C0B84">
        <w:rPr>
          <w:rFonts w:asciiTheme="majorBidi" w:eastAsia="Times New Roman" w:hAnsiTheme="majorBidi" w:cstheme="majorBidi"/>
          <w:color w:val="333333"/>
        </w:rPr>
        <w:t>significant drug interactions</w:t>
      </w:r>
      <w:r w:rsidRPr="009C0B84">
        <w:rPr>
          <w:rFonts w:asciiTheme="majorBidi" w:eastAsia="Times New Roman" w:hAnsiTheme="majorBidi" w:cstheme="majorBidi"/>
          <w:color w:val="333333"/>
        </w:rPr>
        <w:t xml:space="preserve"> (8)</w:t>
      </w:r>
      <w:r w:rsidR="003F1A9F" w:rsidRPr="009C0B84">
        <w:rPr>
          <w:rFonts w:asciiTheme="majorBidi" w:eastAsia="Times New Roman" w:hAnsiTheme="majorBidi" w:cstheme="majorBidi"/>
          <w:color w:val="333333"/>
        </w:rPr>
        <w:t xml:space="preserve">. </w:t>
      </w:r>
      <w:r w:rsidR="00E95DF1" w:rsidRPr="009C0B84">
        <w:rPr>
          <w:rFonts w:asciiTheme="majorBidi" w:eastAsia="Times New Roman" w:hAnsiTheme="majorBidi" w:cstheme="majorBidi"/>
          <w:color w:val="333333"/>
        </w:rPr>
        <w:t xml:space="preserve">Considering </w:t>
      </w:r>
      <w:r w:rsidR="00EE426F" w:rsidRPr="009C0B84">
        <w:rPr>
          <w:rFonts w:asciiTheme="majorBidi" w:eastAsia="Times New Roman" w:hAnsiTheme="majorBidi" w:cstheme="majorBidi"/>
          <w:color w:val="333333"/>
        </w:rPr>
        <w:t xml:space="preserve">their </w:t>
      </w:r>
      <w:r w:rsidR="00235690" w:rsidRPr="009C0B84">
        <w:rPr>
          <w:rFonts w:asciiTheme="majorBidi" w:eastAsia="Times New Roman" w:hAnsiTheme="majorBidi" w:cstheme="majorBidi"/>
          <w:color w:val="333333"/>
        </w:rPr>
        <w:t>multiple favorable</w:t>
      </w:r>
      <w:r w:rsidR="00325AD0" w:rsidRPr="009C0B84">
        <w:rPr>
          <w:rFonts w:asciiTheme="majorBidi" w:eastAsia="Times New Roman" w:hAnsiTheme="majorBidi" w:cstheme="majorBidi"/>
          <w:color w:val="333333"/>
        </w:rPr>
        <w:t xml:space="preserve"> </w:t>
      </w:r>
      <w:r w:rsidR="00EE426F" w:rsidRPr="009C0B84">
        <w:rPr>
          <w:rFonts w:asciiTheme="majorBidi" w:eastAsia="Times New Roman" w:hAnsiTheme="majorBidi" w:cstheme="majorBidi"/>
          <w:color w:val="333333"/>
        </w:rPr>
        <w:t>effects</w:t>
      </w:r>
      <w:r w:rsidR="00AF0D86" w:rsidRPr="009C0B84">
        <w:rPr>
          <w:rFonts w:asciiTheme="majorBidi" w:eastAsia="Times New Roman" w:hAnsiTheme="majorBidi" w:cstheme="majorBidi"/>
          <w:color w:val="333333"/>
        </w:rPr>
        <w:t>,</w:t>
      </w:r>
      <w:r w:rsidR="00EE426F" w:rsidRPr="009C0B84">
        <w:rPr>
          <w:rFonts w:asciiTheme="majorBidi" w:eastAsia="Times New Roman" w:hAnsiTheme="majorBidi" w:cstheme="majorBidi"/>
          <w:color w:val="333333"/>
        </w:rPr>
        <w:t xml:space="preserve"> </w:t>
      </w:r>
      <w:r w:rsidR="00AF0D86" w:rsidRPr="009C0B84">
        <w:rPr>
          <w:rFonts w:asciiTheme="majorBidi" w:eastAsia="Times New Roman" w:hAnsiTheme="majorBidi" w:cstheme="majorBidi"/>
          <w:color w:val="333333"/>
        </w:rPr>
        <w:t xml:space="preserve">minimal incremental risk for hypoglycemia </w:t>
      </w:r>
      <w:r w:rsidR="00EE426F" w:rsidRPr="009C0B84">
        <w:rPr>
          <w:rFonts w:asciiTheme="majorBidi" w:eastAsia="Times New Roman" w:hAnsiTheme="majorBidi" w:cstheme="majorBidi"/>
          <w:color w:val="333333"/>
        </w:rPr>
        <w:t xml:space="preserve">and simplicity of </w:t>
      </w:r>
      <w:r w:rsidR="00AF0D86" w:rsidRPr="009C0B84">
        <w:rPr>
          <w:rFonts w:asciiTheme="majorBidi" w:eastAsia="Times New Roman" w:hAnsiTheme="majorBidi" w:cstheme="majorBidi"/>
          <w:color w:val="333333"/>
        </w:rPr>
        <w:t>administration,</w:t>
      </w:r>
      <w:r w:rsidR="00EE426F" w:rsidRPr="009C0B84">
        <w:rPr>
          <w:rFonts w:asciiTheme="majorBidi" w:eastAsia="Times New Roman" w:hAnsiTheme="majorBidi" w:cstheme="majorBidi"/>
          <w:color w:val="333333"/>
        </w:rPr>
        <w:t xml:space="preserve"> </w:t>
      </w:r>
      <w:r w:rsidR="00E95DF1" w:rsidRPr="009C0B84">
        <w:rPr>
          <w:rFonts w:asciiTheme="majorBidi" w:eastAsia="Times New Roman" w:hAnsiTheme="majorBidi" w:cstheme="majorBidi"/>
          <w:color w:val="333333"/>
        </w:rPr>
        <w:t xml:space="preserve">they appear to </w:t>
      </w:r>
      <w:r w:rsidR="00BF498E" w:rsidRPr="009C0B84">
        <w:rPr>
          <w:rFonts w:asciiTheme="majorBidi" w:eastAsia="Times New Roman" w:hAnsiTheme="majorBidi" w:cstheme="majorBidi"/>
          <w:color w:val="333333"/>
        </w:rPr>
        <w:t xml:space="preserve">be an </w:t>
      </w:r>
      <w:r w:rsidR="00C52B6E" w:rsidRPr="009C0B84">
        <w:rPr>
          <w:rFonts w:asciiTheme="majorBidi" w:eastAsia="Times New Roman" w:hAnsiTheme="majorBidi" w:cstheme="majorBidi"/>
          <w:color w:val="333333"/>
        </w:rPr>
        <w:t xml:space="preserve">attractive </w:t>
      </w:r>
      <w:r w:rsidR="00BF498E" w:rsidRPr="009C0B84">
        <w:rPr>
          <w:rFonts w:asciiTheme="majorBidi" w:eastAsia="Times New Roman" w:hAnsiTheme="majorBidi" w:cstheme="majorBidi"/>
          <w:color w:val="333333"/>
        </w:rPr>
        <w:t>therapeutic option</w:t>
      </w:r>
      <w:r w:rsidR="00E95DF1" w:rsidRPr="009C0B84">
        <w:rPr>
          <w:rFonts w:asciiTheme="majorBidi" w:eastAsia="Times New Roman" w:hAnsiTheme="majorBidi" w:cstheme="majorBidi"/>
          <w:color w:val="333333"/>
        </w:rPr>
        <w:t xml:space="preserve"> for older adults addressing </w:t>
      </w:r>
      <w:r w:rsidR="00815BA0" w:rsidRPr="009C0B84">
        <w:rPr>
          <w:rFonts w:asciiTheme="majorBidi" w:eastAsia="Times New Roman" w:hAnsiTheme="majorBidi" w:cstheme="majorBidi"/>
          <w:color w:val="333333"/>
        </w:rPr>
        <w:t xml:space="preserve">the </w:t>
      </w:r>
      <w:r w:rsidR="004A0829" w:rsidRPr="009C0B84">
        <w:rPr>
          <w:rFonts w:asciiTheme="majorBidi" w:eastAsia="Times New Roman" w:hAnsiTheme="majorBidi" w:cstheme="majorBidi"/>
          <w:color w:val="333333"/>
        </w:rPr>
        <w:t>many</w:t>
      </w:r>
      <w:r w:rsidR="00E95DF1" w:rsidRPr="009C0B84">
        <w:rPr>
          <w:rFonts w:asciiTheme="majorBidi" w:eastAsia="Times New Roman" w:hAnsiTheme="majorBidi" w:cstheme="majorBidi"/>
          <w:color w:val="333333"/>
        </w:rPr>
        <w:t xml:space="preserve"> comorbidities more prevalent in </w:t>
      </w:r>
      <w:r w:rsidR="00E70DE3" w:rsidRPr="009C0B84">
        <w:rPr>
          <w:rFonts w:asciiTheme="majorBidi" w:eastAsia="Times New Roman" w:hAnsiTheme="majorBidi" w:cstheme="majorBidi"/>
          <w:color w:val="333333"/>
        </w:rPr>
        <w:t>this population</w:t>
      </w:r>
      <w:r w:rsidR="00E95DF1" w:rsidRPr="009C0B84">
        <w:rPr>
          <w:rFonts w:asciiTheme="majorBidi" w:eastAsia="Times New Roman" w:hAnsiTheme="majorBidi" w:cstheme="majorBidi"/>
          <w:color w:val="333333"/>
        </w:rPr>
        <w:t xml:space="preserve">. </w:t>
      </w:r>
      <w:r w:rsidR="003F1A9F" w:rsidRPr="009C0B84">
        <w:rPr>
          <w:rFonts w:asciiTheme="majorBidi" w:eastAsia="Times New Roman" w:hAnsiTheme="majorBidi" w:cstheme="majorBidi"/>
          <w:color w:val="333333"/>
        </w:rPr>
        <w:t>Nevertheless,</w:t>
      </w:r>
      <w:r w:rsidR="00E95DF1" w:rsidRPr="009C0B84">
        <w:rPr>
          <w:rFonts w:asciiTheme="majorBidi" w:eastAsia="Times New Roman" w:hAnsiTheme="majorBidi" w:cstheme="majorBidi"/>
          <w:color w:val="333333"/>
        </w:rPr>
        <w:t xml:space="preserve"> </w:t>
      </w:r>
      <w:r w:rsidR="003F1A9F" w:rsidRPr="009C0B84">
        <w:rPr>
          <w:rFonts w:asciiTheme="majorBidi" w:eastAsia="Times New Roman" w:hAnsiTheme="majorBidi" w:cstheme="majorBidi"/>
          <w:color w:val="333333"/>
        </w:rPr>
        <w:t xml:space="preserve">there has been some hesitance </w:t>
      </w:r>
      <w:r w:rsidR="00E95DF1" w:rsidRPr="009C0B84">
        <w:rPr>
          <w:rFonts w:asciiTheme="majorBidi" w:eastAsia="Times New Roman" w:hAnsiTheme="majorBidi" w:cstheme="majorBidi"/>
          <w:color w:val="333333"/>
        </w:rPr>
        <w:t xml:space="preserve">in clinical practice </w:t>
      </w:r>
      <w:r w:rsidR="00840728" w:rsidRPr="009C0B84">
        <w:rPr>
          <w:rFonts w:asciiTheme="majorBidi" w:eastAsia="Times New Roman" w:hAnsiTheme="majorBidi" w:cstheme="majorBidi"/>
          <w:color w:val="333333"/>
        </w:rPr>
        <w:t>prescribing</w:t>
      </w:r>
      <w:r w:rsidR="00E95DF1" w:rsidRPr="009C0B84">
        <w:rPr>
          <w:rFonts w:asciiTheme="majorBidi" w:eastAsia="Times New Roman" w:hAnsiTheme="majorBidi" w:cstheme="majorBidi"/>
          <w:color w:val="333333"/>
        </w:rPr>
        <w:t xml:space="preserve"> these </w:t>
      </w:r>
      <w:r w:rsidR="003F1A9F" w:rsidRPr="009C0B84">
        <w:rPr>
          <w:rFonts w:asciiTheme="majorBidi" w:eastAsia="Times New Roman" w:hAnsiTheme="majorBidi" w:cstheme="majorBidi"/>
          <w:color w:val="333333"/>
        </w:rPr>
        <w:t>agents</w:t>
      </w:r>
      <w:r w:rsidR="00E95DF1" w:rsidRPr="009C0B84">
        <w:rPr>
          <w:rFonts w:asciiTheme="majorBidi" w:eastAsia="Times New Roman" w:hAnsiTheme="majorBidi" w:cstheme="majorBidi"/>
          <w:color w:val="333333"/>
        </w:rPr>
        <w:t xml:space="preserve"> </w:t>
      </w:r>
      <w:r w:rsidR="00815BA0" w:rsidRPr="009C0B84">
        <w:rPr>
          <w:rFonts w:asciiTheme="majorBidi" w:eastAsia="Times New Roman" w:hAnsiTheme="majorBidi" w:cstheme="majorBidi"/>
          <w:color w:val="333333"/>
        </w:rPr>
        <w:t xml:space="preserve">to the elderly, mostly </w:t>
      </w:r>
      <w:r w:rsidR="00E95DF1" w:rsidRPr="009C0B84">
        <w:rPr>
          <w:rFonts w:asciiTheme="majorBidi" w:eastAsia="Times New Roman" w:hAnsiTheme="majorBidi" w:cstheme="majorBidi"/>
          <w:color w:val="333333"/>
        </w:rPr>
        <w:t xml:space="preserve">due to insufficient </w:t>
      </w:r>
      <w:r w:rsidR="008E26A8" w:rsidRPr="009C0B84">
        <w:rPr>
          <w:rFonts w:asciiTheme="majorBidi" w:eastAsia="Times New Roman" w:hAnsiTheme="majorBidi" w:cstheme="majorBidi"/>
          <w:color w:val="333333"/>
        </w:rPr>
        <w:t xml:space="preserve">long-term </w:t>
      </w:r>
      <w:r w:rsidR="00840728" w:rsidRPr="009C0B84">
        <w:rPr>
          <w:rFonts w:asciiTheme="majorBidi" w:eastAsia="Times New Roman" w:hAnsiTheme="majorBidi" w:cstheme="majorBidi"/>
          <w:color w:val="333333"/>
        </w:rPr>
        <w:t>safety data</w:t>
      </w:r>
      <w:r w:rsidR="00E95DF1" w:rsidRPr="009C0B84">
        <w:rPr>
          <w:rFonts w:asciiTheme="majorBidi" w:eastAsia="Times New Roman" w:hAnsiTheme="majorBidi" w:cstheme="majorBidi"/>
          <w:color w:val="333333"/>
        </w:rPr>
        <w:t xml:space="preserve"> </w:t>
      </w:r>
      <w:r w:rsidR="008E26A8" w:rsidRPr="009C0B84">
        <w:rPr>
          <w:rFonts w:asciiTheme="majorBidi" w:eastAsia="Times New Roman" w:hAnsiTheme="majorBidi" w:cstheme="majorBidi"/>
          <w:color w:val="333333"/>
        </w:rPr>
        <w:t>(1)</w:t>
      </w:r>
      <w:r w:rsidR="00E95DF1" w:rsidRPr="009C0B84">
        <w:rPr>
          <w:rFonts w:asciiTheme="majorBidi" w:eastAsia="Times New Roman" w:hAnsiTheme="majorBidi" w:cstheme="majorBidi"/>
          <w:color w:val="333333"/>
        </w:rPr>
        <w:t>.</w:t>
      </w:r>
      <w:r w:rsidR="009939A1" w:rsidRPr="009C0B84">
        <w:rPr>
          <w:rFonts w:asciiTheme="majorBidi" w:eastAsia="Times New Roman" w:hAnsiTheme="majorBidi" w:cstheme="majorBidi"/>
          <w:color w:val="333333"/>
        </w:rPr>
        <w:t xml:space="preserve"> </w:t>
      </w:r>
      <w:r w:rsidR="008E747A" w:rsidRPr="009C0B84">
        <w:rPr>
          <w:rFonts w:asciiTheme="majorBidi" w:eastAsia="Times New Roman" w:hAnsiTheme="majorBidi" w:cstheme="majorBidi"/>
          <w:color w:val="333333"/>
        </w:rPr>
        <w:t xml:space="preserve">Older patients are more prone to the development of fractures and acute kidney injury, and safety alerts regarding these potential risks with some SGLT2 inhibitors have been issued (9).  </w:t>
      </w:r>
      <w:r w:rsidR="00A652B4" w:rsidRPr="009C0B84">
        <w:rPr>
          <w:rFonts w:asciiTheme="majorBidi" w:eastAsia="Times New Roman" w:hAnsiTheme="majorBidi" w:cstheme="majorBidi"/>
          <w:color w:val="333333"/>
        </w:rPr>
        <w:t xml:space="preserve">Moreover, </w:t>
      </w:r>
      <w:r w:rsidR="009939A1" w:rsidRPr="009C0B84">
        <w:rPr>
          <w:rFonts w:asciiTheme="majorBidi" w:eastAsia="Times New Roman" w:hAnsiTheme="majorBidi" w:cstheme="majorBidi"/>
          <w:color w:val="333333"/>
        </w:rPr>
        <w:t>due to the limited therapeutic experience in patients</w:t>
      </w:r>
      <w:r w:rsidR="00E34441" w:rsidRPr="009C0B84">
        <w:rPr>
          <w:rFonts w:asciiTheme="majorBidi" w:eastAsia="Times New Roman" w:hAnsiTheme="majorBidi" w:cstheme="majorBidi"/>
          <w:color w:val="333333"/>
        </w:rPr>
        <w:t xml:space="preserve"> age</w:t>
      </w:r>
      <w:r w:rsidR="009939A1" w:rsidRPr="009C0B84">
        <w:rPr>
          <w:rFonts w:asciiTheme="majorBidi" w:eastAsia="Times New Roman" w:hAnsiTheme="majorBidi" w:cstheme="majorBidi"/>
          <w:color w:val="333333"/>
        </w:rPr>
        <w:t xml:space="preserve"> 75 years and older, initiation of </w:t>
      </w:r>
      <w:r w:rsidR="008E747A" w:rsidRPr="009C0B84">
        <w:rPr>
          <w:rFonts w:asciiTheme="majorBidi" w:eastAsia="Times New Roman" w:hAnsiTheme="majorBidi" w:cstheme="majorBidi"/>
          <w:color w:val="333333"/>
        </w:rPr>
        <w:t>SGLT2 inhibitor</w:t>
      </w:r>
      <w:r w:rsidR="009939A1" w:rsidRPr="009C0B84">
        <w:rPr>
          <w:rFonts w:asciiTheme="majorBidi" w:eastAsia="Times New Roman" w:hAnsiTheme="majorBidi" w:cstheme="majorBidi"/>
          <w:color w:val="333333"/>
        </w:rPr>
        <w:t xml:space="preserve"> therapy </w:t>
      </w:r>
      <w:r w:rsidR="00EC1CCA" w:rsidRPr="009C0B84">
        <w:rPr>
          <w:rFonts w:asciiTheme="majorBidi" w:eastAsia="Times New Roman" w:hAnsiTheme="majorBidi" w:cstheme="majorBidi"/>
          <w:color w:val="333333"/>
        </w:rPr>
        <w:t xml:space="preserve">at this age </w:t>
      </w:r>
      <w:r w:rsidR="00A652B4" w:rsidRPr="009C0B84">
        <w:rPr>
          <w:rFonts w:asciiTheme="majorBidi" w:eastAsia="Times New Roman" w:hAnsiTheme="majorBidi" w:cstheme="majorBidi"/>
          <w:color w:val="333333"/>
        </w:rPr>
        <w:t xml:space="preserve">has </w:t>
      </w:r>
      <w:r w:rsidR="001C6F7F" w:rsidRPr="009C0B84">
        <w:rPr>
          <w:rFonts w:asciiTheme="majorBidi" w:eastAsia="Times New Roman" w:hAnsiTheme="majorBidi" w:cstheme="majorBidi"/>
          <w:color w:val="333333"/>
        </w:rPr>
        <w:t xml:space="preserve">so far </w:t>
      </w:r>
      <w:r w:rsidR="00A652B4" w:rsidRPr="009C0B84">
        <w:rPr>
          <w:rFonts w:asciiTheme="majorBidi" w:eastAsia="Times New Roman" w:hAnsiTheme="majorBidi" w:cstheme="majorBidi"/>
          <w:color w:val="333333"/>
        </w:rPr>
        <w:t>not been</w:t>
      </w:r>
      <w:r w:rsidR="008E747A" w:rsidRPr="009C0B84">
        <w:rPr>
          <w:rFonts w:asciiTheme="majorBidi" w:eastAsia="Times New Roman" w:hAnsiTheme="majorBidi" w:cstheme="majorBidi"/>
          <w:color w:val="333333"/>
        </w:rPr>
        <w:t xml:space="preserve"> recommended</w:t>
      </w:r>
      <w:r w:rsidR="00493213" w:rsidRPr="009C0B84">
        <w:rPr>
          <w:rFonts w:asciiTheme="majorBidi" w:eastAsia="Times New Roman" w:hAnsiTheme="majorBidi" w:cstheme="majorBidi"/>
          <w:color w:val="333333"/>
        </w:rPr>
        <w:t xml:space="preserve"> </w:t>
      </w:r>
      <w:r w:rsidR="008E747A" w:rsidRPr="009C0B84">
        <w:rPr>
          <w:rFonts w:asciiTheme="majorBidi" w:eastAsia="Times New Roman" w:hAnsiTheme="majorBidi" w:cstheme="majorBidi"/>
          <w:color w:val="333333"/>
        </w:rPr>
        <w:t xml:space="preserve">by some authorities </w:t>
      </w:r>
      <w:r w:rsidR="00493213" w:rsidRPr="009C0B84">
        <w:rPr>
          <w:rFonts w:asciiTheme="majorBidi" w:eastAsia="Times New Roman" w:hAnsiTheme="majorBidi" w:cstheme="majorBidi"/>
          <w:color w:val="333333"/>
        </w:rPr>
        <w:t>(</w:t>
      </w:r>
      <w:r w:rsidR="00552FC5" w:rsidRPr="009C0B84">
        <w:rPr>
          <w:rFonts w:asciiTheme="majorBidi" w:eastAsia="Times New Roman" w:hAnsiTheme="majorBidi" w:cstheme="majorBidi"/>
          <w:color w:val="333333"/>
        </w:rPr>
        <w:t>10</w:t>
      </w:r>
      <w:r w:rsidR="00493213" w:rsidRPr="009C0B84">
        <w:rPr>
          <w:rFonts w:asciiTheme="majorBidi" w:eastAsia="Times New Roman" w:hAnsiTheme="majorBidi" w:cstheme="majorBidi"/>
          <w:color w:val="333333"/>
        </w:rPr>
        <w:t>)</w:t>
      </w:r>
      <w:r w:rsidR="009939A1" w:rsidRPr="009C0B84">
        <w:rPr>
          <w:rFonts w:asciiTheme="majorBidi" w:eastAsia="Times New Roman" w:hAnsiTheme="majorBidi" w:cstheme="majorBidi"/>
          <w:color w:val="333333"/>
        </w:rPr>
        <w:t xml:space="preserve">. </w:t>
      </w:r>
    </w:p>
    <w:p w14:paraId="0734702C" w14:textId="6075A20C" w:rsidR="00E95DF1" w:rsidRDefault="003F1A9F" w:rsidP="001525B4">
      <w:pPr>
        <w:spacing w:before="100" w:beforeAutospacing="1" w:after="100" w:afterAutospacing="1" w:line="480" w:lineRule="auto"/>
        <w:rPr>
          <w:rFonts w:asciiTheme="majorBidi" w:eastAsia="Times New Roman" w:hAnsiTheme="majorBidi" w:cstheme="majorBidi"/>
          <w:color w:val="333333"/>
        </w:rPr>
      </w:pPr>
      <w:r w:rsidRPr="009C0B84">
        <w:rPr>
          <w:rFonts w:asciiTheme="majorBidi" w:eastAsia="Times New Roman" w:hAnsiTheme="majorBidi" w:cstheme="majorBidi"/>
          <w:color w:val="333333"/>
        </w:rPr>
        <w:t>The</w:t>
      </w:r>
      <w:r w:rsidR="00E95DF1" w:rsidRPr="009C0B84">
        <w:rPr>
          <w:rFonts w:asciiTheme="majorBidi" w:eastAsia="Times New Roman" w:hAnsiTheme="majorBidi" w:cstheme="majorBidi"/>
          <w:color w:val="333333"/>
        </w:rPr>
        <w:t xml:space="preserve"> </w:t>
      </w:r>
      <w:r w:rsidR="00FF151D" w:rsidRPr="009C0B84">
        <w:rPr>
          <w:rFonts w:asciiTheme="majorBidi" w:eastAsia="Times New Roman" w:hAnsiTheme="majorBidi" w:cstheme="majorBidi"/>
          <w:color w:val="333333"/>
        </w:rPr>
        <w:t>Dapagliflozin Effect on Cardiovascular Events (DECLARE)</w:t>
      </w:r>
      <w:r w:rsidR="00235690" w:rsidRPr="009C0B84">
        <w:rPr>
          <w:rFonts w:asciiTheme="majorBidi" w:eastAsia="Times New Roman" w:hAnsiTheme="majorBidi" w:cstheme="majorBidi"/>
          <w:color w:val="333333"/>
        </w:rPr>
        <w:t xml:space="preserve"> </w:t>
      </w:r>
      <w:r w:rsidR="005912C3" w:rsidRPr="009C0B84">
        <w:rPr>
          <w:rFonts w:asciiTheme="majorBidi" w:eastAsia="Times New Roman" w:hAnsiTheme="majorBidi" w:cstheme="majorBidi"/>
          <w:color w:val="333333"/>
        </w:rPr>
        <w:t>–</w:t>
      </w:r>
      <w:r w:rsidR="00FF151D" w:rsidRPr="009C0B84">
        <w:rPr>
          <w:rFonts w:asciiTheme="majorBidi" w:eastAsia="Times New Roman" w:hAnsiTheme="majorBidi" w:cstheme="majorBidi"/>
          <w:color w:val="333333"/>
        </w:rPr>
        <w:t xml:space="preserve"> TIMI</w:t>
      </w:r>
      <w:r w:rsidR="005912C3" w:rsidRPr="009C0B84">
        <w:rPr>
          <w:rFonts w:asciiTheme="majorBidi" w:eastAsia="Times New Roman" w:hAnsiTheme="majorBidi" w:cstheme="majorBidi"/>
          <w:color w:val="333333"/>
          <w:rtl/>
        </w:rPr>
        <w:t>-</w:t>
      </w:r>
      <w:r w:rsidR="00FF151D" w:rsidRPr="009C0B84">
        <w:rPr>
          <w:rFonts w:asciiTheme="majorBidi" w:eastAsia="Times New Roman" w:hAnsiTheme="majorBidi" w:cstheme="majorBidi"/>
          <w:color w:val="333333"/>
        </w:rPr>
        <w:t xml:space="preserve">58 </w:t>
      </w:r>
      <w:r w:rsidR="00E95DF1" w:rsidRPr="009C0B84">
        <w:rPr>
          <w:rFonts w:asciiTheme="majorBidi" w:eastAsia="Times New Roman" w:hAnsiTheme="majorBidi" w:cstheme="majorBidi"/>
          <w:color w:val="333333"/>
        </w:rPr>
        <w:t xml:space="preserve">study </w:t>
      </w:r>
      <w:r w:rsidRPr="009C0B84">
        <w:rPr>
          <w:rFonts w:asciiTheme="majorBidi" w:eastAsia="Times New Roman" w:hAnsiTheme="majorBidi" w:cstheme="majorBidi"/>
          <w:color w:val="333333"/>
        </w:rPr>
        <w:t xml:space="preserve">is a cardiovascular outcome study which ascertained </w:t>
      </w:r>
      <w:r w:rsidR="00741B8E" w:rsidRPr="009C0B84">
        <w:rPr>
          <w:rFonts w:asciiTheme="majorBidi" w:eastAsia="Times New Roman" w:hAnsiTheme="majorBidi" w:cstheme="majorBidi"/>
          <w:color w:val="333333"/>
        </w:rPr>
        <w:t xml:space="preserve">the CV and </w:t>
      </w:r>
      <w:r w:rsidR="00E95DF1" w:rsidRPr="009C0B84">
        <w:rPr>
          <w:rFonts w:asciiTheme="majorBidi" w:eastAsia="Times New Roman" w:hAnsiTheme="majorBidi" w:cstheme="majorBidi"/>
          <w:color w:val="333333"/>
        </w:rPr>
        <w:t xml:space="preserve">renal effects of dapagliflozin on a large patient population </w:t>
      </w:r>
      <w:r w:rsidR="00136747" w:rsidRPr="009C0B84">
        <w:rPr>
          <w:rFonts w:asciiTheme="majorBidi" w:hAnsiTheme="majorBidi" w:cstheme="majorBidi"/>
        </w:rPr>
        <w:t>both with and without established cardiovascular disease</w:t>
      </w:r>
      <w:r w:rsidR="00EC1CCA" w:rsidRPr="009C0B84">
        <w:rPr>
          <w:rFonts w:asciiTheme="majorBidi" w:hAnsiTheme="majorBidi" w:cstheme="majorBidi"/>
        </w:rPr>
        <w:t>,</w:t>
      </w:r>
      <w:r w:rsidR="00136747" w:rsidRPr="009C0B84">
        <w:rPr>
          <w:rFonts w:asciiTheme="majorBidi" w:hAnsiTheme="majorBidi" w:cstheme="majorBidi"/>
        </w:rPr>
        <w:t xml:space="preserve"> </w:t>
      </w:r>
      <w:r w:rsidR="00E95DF1" w:rsidRPr="009C0B84">
        <w:rPr>
          <w:rFonts w:asciiTheme="majorBidi" w:eastAsia="Times New Roman" w:hAnsiTheme="majorBidi" w:cstheme="majorBidi"/>
          <w:color w:val="333333"/>
        </w:rPr>
        <w:t xml:space="preserve">including </w:t>
      </w:r>
      <w:r w:rsidRPr="009C0B84">
        <w:rPr>
          <w:rFonts w:asciiTheme="majorBidi" w:eastAsia="Times New Roman" w:hAnsiTheme="majorBidi" w:cstheme="majorBidi"/>
          <w:color w:val="333333"/>
        </w:rPr>
        <w:t>a large cohort of</w:t>
      </w:r>
      <w:r w:rsidR="00E95DF1" w:rsidRPr="009C0B84">
        <w:rPr>
          <w:rFonts w:asciiTheme="majorBidi" w:eastAsia="Times New Roman" w:hAnsiTheme="majorBidi" w:cstheme="majorBidi"/>
          <w:color w:val="333333"/>
        </w:rPr>
        <w:t xml:space="preserve"> elderly</w:t>
      </w:r>
      <w:r w:rsidRPr="009C0B84">
        <w:rPr>
          <w:rFonts w:asciiTheme="majorBidi" w:eastAsia="Times New Roman" w:hAnsiTheme="majorBidi" w:cstheme="majorBidi"/>
          <w:color w:val="333333"/>
        </w:rPr>
        <w:t xml:space="preserve"> </w:t>
      </w:r>
      <w:r w:rsidR="003A5AC0" w:rsidRPr="009C0B84">
        <w:rPr>
          <w:rFonts w:asciiTheme="majorBidi" w:eastAsia="Times New Roman" w:hAnsiTheme="majorBidi" w:cstheme="majorBidi"/>
          <w:color w:val="333333"/>
        </w:rPr>
        <w:t xml:space="preserve">and very </w:t>
      </w:r>
      <w:r w:rsidR="003A5AC0" w:rsidRPr="009C0B84">
        <w:rPr>
          <w:rFonts w:asciiTheme="majorBidi" w:eastAsia="Times New Roman" w:hAnsiTheme="majorBidi" w:cstheme="majorBidi"/>
          <w:color w:val="333333"/>
        </w:rPr>
        <w:lastRenderedPageBreak/>
        <w:t xml:space="preserve">elderly </w:t>
      </w:r>
      <w:r w:rsidR="00E95DF1" w:rsidRPr="009C0B84">
        <w:rPr>
          <w:rFonts w:asciiTheme="majorBidi" w:eastAsia="Times New Roman" w:hAnsiTheme="majorBidi" w:cstheme="majorBidi"/>
          <w:color w:val="333333"/>
        </w:rPr>
        <w:t>patients</w:t>
      </w:r>
      <w:r w:rsidR="009939A1" w:rsidRPr="009C0B84">
        <w:rPr>
          <w:rFonts w:asciiTheme="majorBidi" w:eastAsia="Times New Roman" w:hAnsiTheme="majorBidi" w:cstheme="majorBidi"/>
          <w:color w:val="333333"/>
        </w:rPr>
        <w:t xml:space="preserve"> (4)</w:t>
      </w:r>
      <w:r w:rsidR="00E95DF1" w:rsidRPr="009C0B84">
        <w:rPr>
          <w:rFonts w:asciiTheme="majorBidi" w:eastAsia="Times New Roman" w:hAnsiTheme="majorBidi" w:cstheme="majorBidi"/>
          <w:color w:val="333333"/>
        </w:rPr>
        <w:t xml:space="preserve">. </w:t>
      </w:r>
      <w:r w:rsidR="006155CA" w:rsidRPr="009C0B84">
        <w:rPr>
          <w:rFonts w:asciiTheme="majorBidi" w:eastAsia="Times New Roman" w:hAnsiTheme="majorBidi" w:cstheme="majorBidi"/>
          <w:color w:val="333333"/>
        </w:rPr>
        <w:t>In the present an</w:t>
      </w:r>
      <w:r w:rsidR="000B3C19" w:rsidRPr="009C0B84">
        <w:rPr>
          <w:rFonts w:asciiTheme="majorBidi" w:eastAsia="Times New Roman" w:hAnsiTheme="majorBidi" w:cstheme="majorBidi"/>
          <w:color w:val="333333"/>
        </w:rPr>
        <w:t xml:space="preserve">alysis we studied the efficacy and safety </w:t>
      </w:r>
      <w:r w:rsidR="006155CA" w:rsidRPr="009C0B84">
        <w:rPr>
          <w:rFonts w:asciiTheme="majorBidi" w:eastAsia="Times New Roman" w:hAnsiTheme="majorBidi" w:cstheme="majorBidi"/>
          <w:color w:val="333333"/>
        </w:rPr>
        <w:t xml:space="preserve">of dapagliflozin </w:t>
      </w:r>
      <w:r w:rsidR="00741B8E" w:rsidRPr="009C0B84">
        <w:rPr>
          <w:rFonts w:asciiTheme="majorBidi" w:eastAsia="Times New Roman" w:hAnsiTheme="majorBidi" w:cstheme="majorBidi"/>
          <w:color w:val="333333"/>
        </w:rPr>
        <w:t>stratified by age</w:t>
      </w:r>
      <w:r w:rsidR="006155CA" w:rsidRPr="009C0B84">
        <w:rPr>
          <w:rFonts w:asciiTheme="majorBidi" w:eastAsia="Times New Roman" w:hAnsiTheme="majorBidi" w:cstheme="majorBidi"/>
          <w:color w:val="333333"/>
        </w:rPr>
        <w:t xml:space="preserve">. </w:t>
      </w:r>
    </w:p>
    <w:p w14:paraId="1BD68D3D" w14:textId="73159A30" w:rsidR="009C0B84" w:rsidRDefault="009C0B84" w:rsidP="001525B4">
      <w:pPr>
        <w:spacing w:before="100" w:beforeAutospacing="1" w:after="100" w:afterAutospacing="1" w:line="480" w:lineRule="auto"/>
        <w:rPr>
          <w:rFonts w:asciiTheme="majorBidi" w:eastAsia="Times New Roman" w:hAnsiTheme="majorBidi" w:cstheme="majorBidi"/>
          <w:color w:val="333333"/>
        </w:rPr>
      </w:pPr>
    </w:p>
    <w:p w14:paraId="3BE27DC4" w14:textId="01B55846" w:rsidR="00E95DF1" w:rsidRPr="009C0B84" w:rsidRDefault="00A75B33" w:rsidP="001525B4">
      <w:pPr>
        <w:spacing w:before="100" w:beforeAutospacing="1" w:after="100" w:afterAutospacing="1" w:line="480" w:lineRule="auto"/>
        <w:rPr>
          <w:rFonts w:asciiTheme="majorBidi" w:eastAsia="Times New Roman" w:hAnsiTheme="majorBidi" w:cstheme="majorBidi"/>
          <w:b/>
          <w:bCs/>
          <w:color w:val="333333"/>
        </w:rPr>
      </w:pPr>
      <w:r w:rsidRPr="009C0B84">
        <w:rPr>
          <w:rFonts w:asciiTheme="majorBidi" w:eastAsia="Times New Roman" w:hAnsiTheme="majorBidi" w:cstheme="majorBidi"/>
          <w:b/>
          <w:bCs/>
          <w:color w:val="333333"/>
        </w:rPr>
        <w:t>Research Design and Methods</w:t>
      </w:r>
    </w:p>
    <w:p w14:paraId="7AFF9A8C" w14:textId="77777777" w:rsidR="00E95DF1" w:rsidRPr="009C0B84" w:rsidRDefault="00E95DF1" w:rsidP="001525B4">
      <w:pPr>
        <w:spacing w:before="100" w:beforeAutospacing="1" w:after="100" w:afterAutospacing="1" w:line="480" w:lineRule="auto"/>
        <w:rPr>
          <w:rFonts w:asciiTheme="majorBidi" w:eastAsia="Times New Roman" w:hAnsiTheme="majorBidi" w:cstheme="majorBidi"/>
          <w:b/>
          <w:bCs/>
          <w:i/>
          <w:iCs/>
          <w:color w:val="333333"/>
        </w:rPr>
      </w:pPr>
      <w:r w:rsidRPr="009C0B84">
        <w:rPr>
          <w:rFonts w:asciiTheme="majorBidi" w:eastAsia="Times New Roman" w:hAnsiTheme="majorBidi" w:cstheme="majorBidi"/>
          <w:b/>
          <w:bCs/>
          <w:i/>
          <w:iCs/>
          <w:color w:val="333333"/>
        </w:rPr>
        <w:t>Study overview</w:t>
      </w:r>
    </w:p>
    <w:p w14:paraId="3AD8F59B" w14:textId="21664035" w:rsidR="00E95DF1" w:rsidRPr="009C0B84" w:rsidRDefault="00E95DF1" w:rsidP="001525B4">
      <w:pPr>
        <w:spacing w:before="100" w:beforeAutospacing="1" w:after="100" w:afterAutospacing="1" w:line="480" w:lineRule="auto"/>
        <w:rPr>
          <w:rFonts w:asciiTheme="majorBidi" w:eastAsia="Times New Roman" w:hAnsiTheme="majorBidi" w:cstheme="majorBidi"/>
          <w:color w:val="333333"/>
        </w:rPr>
      </w:pPr>
      <w:r w:rsidRPr="009C0B84">
        <w:rPr>
          <w:rFonts w:asciiTheme="majorBidi" w:eastAsia="Times New Roman" w:hAnsiTheme="majorBidi" w:cstheme="majorBidi"/>
          <w:color w:val="333333"/>
        </w:rPr>
        <w:t>In the DECLARE</w:t>
      </w:r>
      <w:r w:rsidR="00235690" w:rsidRPr="009C0B84">
        <w:rPr>
          <w:rFonts w:asciiTheme="majorBidi" w:eastAsia="Times New Roman" w:hAnsiTheme="majorBidi" w:cstheme="majorBidi"/>
          <w:color w:val="333333"/>
        </w:rPr>
        <w:t xml:space="preserve"> -</w:t>
      </w:r>
      <w:r w:rsidRPr="009C0B84">
        <w:rPr>
          <w:rFonts w:asciiTheme="majorBidi" w:eastAsia="Times New Roman" w:hAnsiTheme="majorBidi" w:cstheme="majorBidi"/>
          <w:color w:val="333333"/>
        </w:rPr>
        <w:t xml:space="preserve"> TIMI 58 trial, a total of 17,160</w:t>
      </w:r>
      <w:r w:rsidR="00FA51BC" w:rsidRPr="009C0B84">
        <w:rPr>
          <w:rFonts w:asciiTheme="majorBidi" w:eastAsia="Times New Roman" w:hAnsiTheme="majorBidi" w:cstheme="majorBidi"/>
          <w:color w:val="333333"/>
        </w:rPr>
        <w:t xml:space="preserve"> patients</w:t>
      </w:r>
      <w:r w:rsidRPr="009C0B84">
        <w:rPr>
          <w:rFonts w:asciiTheme="majorBidi" w:eastAsia="Times New Roman" w:hAnsiTheme="majorBidi" w:cstheme="majorBidi"/>
          <w:color w:val="333333"/>
        </w:rPr>
        <w:t xml:space="preserve">, including </w:t>
      </w:r>
      <w:r w:rsidR="00D26C07" w:rsidRPr="009C0B84">
        <w:rPr>
          <w:rFonts w:asciiTheme="majorBidi" w:eastAsia="Times New Roman" w:hAnsiTheme="majorBidi" w:cstheme="majorBidi"/>
          <w:color w:val="333333"/>
        </w:rPr>
        <w:t xml:space="preserve">7907 </w:t>
      </w:r>
      <w:r w:rsidRPr="009C0B84">
        <w:rPr>
          <w:rFonts w:asciiTheme="majorBidi" w:eastAsia="Times New Roman" w:hAnsiTheme="majorBidi" w:cstheme="majorBidi"/>
          <w:color w:val="333333"/>
        </w:rPr>
        <w:t xml:space="preserve">age </w:t>
      </w:r>
      <w:r w:rsidR="00D26C07" w:rsidRPr="009C0B84">
        <w:rPr>
          <w:rFonts w:asciiTheme="majorBidi" w:eastAsia="Times New Roman" w:hAnsiTheme="majorBidi" w:cstheme="majorBidi"/>
          <w:color w:val="333333"/>
        </w:rPr>
        <w:t>≥</w:t>
      </w:r>
      <w:r w:rsidR="00235690" w:rsidRPr="009C0B84">
        <w:rPr>
          <w:rFonts w:asciiTheme="majorBidi" w:eastAsia="Times New Roman" w:hAnsiTheme="majorBidi" w:cstheme="majorBidi"/>
          <w:color w:val="333333"/>
        </w:rPr>
        <w:t xml:space="preserve"> </w:t>
      </w:r>
      <w:r w:rsidRPr="009C0B84">
        <w:rPr>
          <w:rFonts w:asciiTheme="majorBidi" w:eastAsia="Times New Roman" w:hAnsiTheme="majorBidi" w:cstheme="majorBidi"/>
          <w:color w:val="333333"/>
        </w:rPr>
        <w:t xml:space="preserve">65 and </w:t>
      </w:r>
      <w:r w:rsidR="00D26C07" w:rsidRPr="009C0B84">
        <w:rPr>
          <w:rFonts w:asciiTheme="majorBidi" w:eastAsia="Times New Roman" w:hAnsiTheme="majorBidi" w:cstheme="majorBidi"/>
          <w:color w:val="333333"/>
        </w:rPr>
        <w:t>1096</w:t>
      </w:r>
      <w:r w:rsidRPr="009C0B84">
        <w:rPr>
          <w:rFonts w:asciiTheme="majorBidi" w:eastAsia="Times New Roman" w:hAnsiTheme="majorBidi" w:cstheme="majorBidi"/>
          <w:color w:val="333333"/>
        </w:rPr>
        <w:t xml:space="preserve"> age </w:t>
      </w:r>
      <w:r w:rsidR="00D26C07" w:rsidRPr="009C0B84">
        <w:rPr>
          <w:rFonts w:asciiTheme="majorBidi" w:eastAsia="Times New Roman" w:hAnsiTheme="majorBidi" w:cstheme="majorBidi"/>
          <w:color w:val="333333"/>
        </w:rPr>
        <w:t>≥</w:t>
      </w:r>
      <w:r w:rsidR="00235690" w:rsidRPr="009C0B84">
        <w:rPr>
          <w:rFonts w:asciiTheme="majorBidi" w:eastAsia="Times New Roman" w:hAnsiTheme="majorBidi" w:cstheme="majorBidi"/>
          <w:color w:val="333333"/>
        </w:rPr>
        <w:t xml:space="preserve"> </w:t>
      </w:r>
      <w:r w:rsidRPr="009C0B84">
        <w:rPr>
          <w:rFonts w:asciiTheme="majorBidi" w:eastAsia="Times New Roman" w:hAnsiTheme="majorBidi" w:cstheme="majorBidi"/>
          <w:color w:val="333333"/>
        </w:rPr>
        <w:t xml:space="preserve">75, with T2DM and established atherosclerotic cardiovascular disease (ASCVD) </w:t>
      </w:r>
      <w:r w:rsidR="00136747" w:rsidRPr="009C0B84">
        <w:rPr>
          <w:rFonts w:asciiTheme="majorBidi" w:eastAsia="Times New Roman" w:hAnsiTheme="majorBidi" w:cstheme="majorBidi"/>
          <w:color w:val="333333"/>
        </w:rPr>
        <w:t xml:space="preserve">or risk factors, 41% and 59% respectively, </w:t>
      </w:r>
      <w:r w:rsidRPr="009C0B84">
        <w:rPr>
          <w:rFonts w:asciiTheme="majorBidi" w:eastAsia="Times New Roman" w:hAnsiTheme="majorBidi" w:cstheme="majorBidi"/>
          <w:color w:val="333333"/>
        </w:rPr>
        <w:t>were randomly assigned to receive dapagliflozin or placebo and followed for a median period of 4.2 years. The study enrolled patients at least 40 years old, with</w:t>
      </w:r>
      <w:r w:rsidR="0025045D" w:rsidRPr="009C0B84">
        <w:rPr>
          <w:rFonts w:asciiTheme="majorBidi" w:eastAsia="Times New Roman" w:hAnsiTheme="majorBidi" w:cstheme="majorBidi"/>
          <w:color w:val="333333"/>
          <w:rtl/>
        </w:rPr>
        <w:t xml:space="preserve"> </w:t>
      </w:r>
      <w:r w:rsidRPr="009C0B84">
        <w:rPr>
          <w:rFonts w:asciiTheme="majorBidi" w:eastAsia="Times New Roman" w:hAnsiTheme="majorBidi" w:cstheme="majorBidi"/>
          <w:color w:val="333333"/>
        </w:rPr>
        <w:t>HbA1c of 6.5% -1</w:t>
      </w:r>
      <w:r w:rsidR="001C6F7F" w:rsidRPr="009C0B84">
        <w:rPr>
          <w:rFonts w:asciiTheme="majorBidi" w:eastAsia="Times New Roman" w:hAnsiTheme="majorBidi" w:cstheme="majorBidi"/>
          <w:color w:val="333333"/>
        </w:rPr>
        <w:t>2.0% and creatinine clearance &gt;</w:t>
      </w:r>
      <w:r w:rsidRPr="009C0B84">
        <w:rPr>
          <w:rFonts w:asciiTheme="majorBidi" w:eastAsia="Times New Roman" w:hAnsiTheme="majorBidi" w:cstheme="majorBidi"/>
          <w:color w:val="333333"/>
        </w:rPr>
        <w:t>60 mL/min. Patients who rem</w:t>
      </w:r>
      <w:r w:rsidR="00FF74F3" w:rsidRPr="009C0B84">
        <w:rPr>
          <w:rFonts w:asciiTheme="majorBidi" w:eastAsia="Times New Roman" w:hAnsiTheme="majorBidi" w:cstheme="majorBidi"/>
          <w:color w:val="333333"/>
        </w:rPr>
        <w:t>ained eligible after a 4-</w:t>
      </w:r>
      <w:r w:rsidR="009A6714" w:rsidRPr="009C0B84">
        <w:rPr>
          <w:rFonts w:asciiTheme="majorBidi" w:eastAsia="Times New Roman" w:hAnsiTheme="majorBidi" w:cstheme="majorBidi"/>
          <w:color w:val="333333"/>
        </w:rPr>
        <w:t>8 weeks</w:t>
      </w:r>
      <w:r w:rsidRPr="009C0B84">
        <w:rPr>
          <w:rFonts w:asciiTheme="majorBidi" w:eastAsia="Times New Roman" w:hAnsiTheme="majorBidi" w:cstheme="majorBidi"/>
          <w:color w:val="333333"/>
        </w:rPr>
        <w:t xml:space="preserve"> placebo run-in period were randomized in a 1:1 double-blind fashion to dapagliflozin 10 mg daily or matched placebo.</w:t>
      </w:r>
      <w:r w:rsidR="00325AD0" w:rsidRPr="009C0B84">
        <w:rPr>
          <w:rFonts w:asciiTheme="majorBidi" w:eastAsia="Times New Roman" w:hAnsiTheme="majorBidi" w:cstheme="majorBidi"/>
          <w:color w:val="333333"/>
        </w:rPr>
        <w:t xml:space="preserve"> </w:t>
      </w:r>
      <w:r w:rsidRPr="009C0B84">
        <w:rPr>
          <w:rFonts w:asciiTheme="majorBidi" w:eastAsia="Times New Roman" w:hAnsiTheme="majorBidi" w:cstheme="majorBidi"/>
          <w:color w:val="333333"/>
        </w:rPr>
        <w:t>The design, baseline characteristics and principal results of this study have been published</w:t>
      </w:r>
      <w:r w:rsidR="00493213" w:rsidRPr="009C0B84">
        <w:rPr>
          <w:rFonts w:asciiTheme="majorBidi" w:eastAsia="Times New Roman" w:hAnsiTheme="majorBidi" w:cstheme="majorBidi"/>
          <w:color w:val="333333"/>
        </w:rPr>
        <w:t xml:space="preserve"> (4, 1</w:t>
      </w:r>
      <w:r w:rsidR="00CD2E43" w:rsidRPr="009C0B84">
        <w:rPr>
          <w:rFonts w:asciiTheme="majorBidi" w:eastAsia="Times New Roman" w:hAnsiTheme="majorBidi" w:cstheme="majorBidi"/>
          <w:color w:val="333333"/>
        </w:rPr>
        <w:t>1</w:t>
      </w:r>
      <w:r w:rsidR="00493213" w:rsidRPr="009C0B84">
        <w:rPr>
          <w:rFonts w:asciiTheme="majorBidi" w:eastAsia="Times New Roman" w:hAnsiTheme="majorBidi" w:cstheme="majorBidi"/>
          <w:color w:val="333333"/>
        </w:rPr>
        <w:t>, 1</w:t>
      </w:r>
      <w:r w:rsidR="00CD2E43" w:rsidRPr="009C0B84">
        <w:rPr>
          <w:rFonts w:asciiTheme="majorBidi" w:eastAsia="Times New Roman" w:hAnsiTheme="majorBidi" w:cstheme="majorBidi"/>
          <w:color w:val="333333"/>
        </w:rPr>
        <w:t>2</w:t>
      </w:r>
      <w:r w:rsidR="00493213" w:rsidRPr="009C0B84">
        <w:rPr>
          <w:rFonts w:asciiTheme="majorBidi" w:eastAsia="Times New Roman" w:hAnsiTheme="majorBidi" w:cstheme="majorBidi"/>
          <w:color w:val="333333"/>
        </w:rPr>
        <w:t>)</w:t>
      </w:r>
      <w:r w:rsidRPr="009C0B84">
        <w:rPr>
          <w:rFonts w:asciiTheme="majorBidi" w:eastAsia="Times New Roman" w:hAnsiTheme="majorBidi" w:cstheme="majorBidi"/>
          <w:color w:val="333333"/>
        </w:rPr>
        <w:t xml:space="preserve">.  </w:t>
      </w:r>
    </w:p>
    <w:p w14:paraId="305301D1" w14:textId="77777777" w:rsidR="000A345C" w:rsidRPr="009C0B84" w:rsidRDefault="000A345C" w:rsidP="001525B4">
      <w:pPr>
        <w:spacing w:before="100" w:beforeAutospacing="1" w:after="100" w:afterAutospacing="1" w:line="480" w:lineRule="auto"/>
        <w:rPr>
          <w:rFonts w:asciiTheme="majorBidi" w:eastAsia="Times New Roman" w:hAnsiTheme="majorBidi" w:cstheme="majorBidi"/>
          <w:b/>
          <w:bCs/>
          <w:i/>
          <w:iCs/>
          <w:color w:val="333333"/>
        </w:rPr>
      </w:pPr>
    </w:p>
    <w:p w14:paraId="1B54AF65" w14:textId="77777777" w:rsidR="009939A1" w:rsidRPr="009C0B84" w:rsidRDefault="009939A1" w:rsidP="001525B4">
      <w:pPr>
        <w:spacing w:before="100" w:beforeAutospacing="1" w:after="100" w:afterAutospacing="1" w:line="480" w:lineRule="auto"/>
        <w:rPr>
          <w:rFonts w:asciiTheme="majorBidi" w:eastAsia="Times New Roman" w:hAnsiTheme="majorBidi" w:cstheme="majorBidi"/>
          <w:b/>
          <w:bCs/>
          <w:i/>
          <w:iCs/>
          <w:color w:val="333333"/>
        </w:rPr>
      </w:pPr>
      <w:r w:rsidRPr="009C0B84">
        <w:rPr>
          <w:rFonts w:asciiTheme="majorBidi" w:eastAsia="Times New Roman" w:hAnsiTheme="majorBidi" w:cstheme="majorBidi"/>
          <w:b/>
          <w:bCs/>
          <w:i/>
          <w:iCs/>
          <w:color w:val="333333"/>
        </w:rPr>
        <w:t>Assessment of outcomes</w:t>
      </w:r>
    </w:p>
    <w:p w14:paraId="244B81B9" w14:textId="25CE4D49" w:rsidR="00F52704" w:rsidRPr="009C0B84" w:rsidRDefault="00F52704" w:rsidP="001525B4">
      <w:pPr>
        <w:spacing w:before="100" w:beforeAutospacing="1" w:after="100" w:afterAutospacing="1" w:line="480" w:lineRule="auto"/>
        <w:rPr>
          <w:rFonts w:asciiTheme="majorBidi" w:eastAsia="Times New Roman" w:hAnsiTheme="majorBidi" w:cstheme="majorBidi"/>
          <w:color w:val="333333"/>
        </w:rPr>
      </w:pPr>
      <w:r w:rsidRPr="009C0B84">
        <w:rPr>
          <w:rFonts w:asciiTheme="majorBidi" w:eastAsia="Times New Roman" w:hAnsiTheme="majorBidi" w:cstheme="majorBidi"/>
          <w:color w:val="333333"/>
        </w:rPr>
        <w:t xml:space="preserve">The </w:t>
      </w:r>
      <w:r w:rsidR="00984B2D" w:rsidRPr="009C0B84">
        <w:rPr>
          <w:rFonts w:asciiTheme="majorBidi" w:eastAsia="Times New Roman" w:hAnsiTheme="majorBidi" w:cstheme="majorBidi"/>
          <w:color w:val="333333"/>
        </w:rPr>
        <w:t xml:space="preserve">dual </w:t>
      </w:r>
      <w:r w:rsidRPr="009C0B84">
        <w:rPr>
          <w:rFonts w:asciiTheme="majorBidi" w:eastAsia="Times New Roman" w:hAnsiTheme="majorBidi" w:cstheme="majorBidi"/>
          <w:color w:val="333333"/>
        </w:rPr>
        <w:t>primary composite</w:t>
      </w:r>
      <w:r w:rsidR="00E7039C" w:rsidRPr="009C0B84">
        <w:rPr>
          <w:rFonts w:asciiTheme="majorBidi" w:eastAsia="Times New Roman" w:hAnsiTheme="majorBidi" w:cstheme="majorBidi"/>
          <w:color w:val="333333"/>
        </w:rPr>
        <w:t xml:space="preserve"> efficacy</w:t>
      </w:r>
      <w:r w:rsidRPr="009C0B84">
        <w:rPr>
          <w:rFonts w:asciiTheme="majorBidi" w:eastAsia="Times New Roman" w:hAnsiTheme="majorBidi" w:cstheme="majorBidi"/>
          <w:color w:val="333333"/>
        </w:rPr>
        <w:t xml:space="preserve"> endpoints were cardiovascular death </w:t>
      </w:r>
      <w:r w:rsidR="000E2057" w:rsidRPr="009C0B84">
        <w:rPr>
          <w:rFonts w:asciiTheme="majorBidi" w:eastAsia="Times New Roman" w:hAnsiTheme="majorBidi" w:cstheme="majorBidi"/>
          <w:color w:val="333333"/>
        </w:rPr>
        <w:t>or</w:t>
      </w:r>
      <w:r w:rsidRPr="009C0B84">
        <w:rPr>
          <w:rFonts w:asciiTheme="majorBidi" w:eastAsia="Times New Roman" w:hAnsiTheme="majorBidi" w:cstheme="majorBidi"/>
          <w:color w:val="333333"/>
        </w:rPr>
        <w:t xml:space="preserve"> hospitalization for heart failure (CVD/HHF) and major adverse cardiovascular events</w:t>
      </w:r>
      <w:r w:rsidRPr="009C0B84">
        <w:rPr>
          <w:rFonts w:asciiTheme="majorBidi" w:eastAsia="Times New Roman" w:hAnsiTheme="majorBidi" w:cstheme="majorBidi"/>
          <w:color w:val="333333"/>
          <w:rtl/>
        </w:rPr>
        <w:t xml:space="preserve"> </w:t>
      </w:r>
      <w:r w:rsidRPr="009C0B84">
        <w:rPr>
          <w:rFonts w:asciiTheme="majorBidi" w:hAnsiTheme="majorBidi" w:cstheme="majorBidi"/>
        </w:rPr>
        <w:t>(MACE; the composite of CV death, MI or ischemic stroke</w:t>
      </w:r>
      <w:r w:rsidR="00885C54" w:rsidRPr="009C0B84">
        <w:rPr>
          <w:rFonts w:asciiTheme="majorBidi" w:hAnsiTheme="majorBidi" w:cstheme="majorBidi"/>
        </w:rPr>
        <w:t>)</w:t>
      </w:r>
      <w:r w:rsidR="00BF498E" w:rsidRPr="009C0B84">
        <w:rPr>
          <w:rFonts w:asciiTheme="majorBidi" w:hAnsiTheme="majorBidi" w:cstheme="majorBidi"/>
        </w:rPr>
        <w:t xml:space="preserve">. </w:t>
      </w:r>
      <w:r w:rsidR="00E7039C" w:rsidRPr="009C0B84">
        <w:rPr>
          <w:rFonts w:asciiTheme="majorBidi" w:eastAsia="Times New Roman" w:hAnsiTheme="majorBidi" w:cstheme="majorBidi"/>
          <w:color w:val="333333"/>
        </w:rPr>
        <w:t>A</w:t>
      </w:r>
      <w:r w:rsidRPr="009C0B84">
        <w:rPr>
          <w:rFonts w:asciiTheme="majorBidi" w:eastAsia="Times New Roman" w:hAnsiTheme="majorBidi" w:cstheme="majorBidi"/>
          <w:color w:val="333333"/>
        </w:rPr>
        <w:t xml:space="preserve"> </w:t>
      </w:r>
      <w:r w:rsidR="00BF498E" w:rsidRPr="009C0B84">
        <w:rPr>
          <w:rFonts w:asciiTheme="majorBidi" w:eastAsia="Times New Roman" w:hAnsiTheme="majorBidi" w:cstheme="majorBidi"/>
          <w:color w:val="333333"/>
        </w:rPr>
        <w:t xml:space="preserve">secondary </w:t>
      </w:r>
      <w:r w:rsidR="004D05F2" w:rsidRPr="009C0B84">
        <w:rPr>
          <w:rFonts w:asciiTheme="majorBidi" w:eastAsia="Times New Roman" w:hAnsiTheme="majorBidi" w:cstheme="majorBidi"/>
          <w:color w:val="333333"/>
        </w:rPr>
        <w:t xml:space="preserve">prespecified </w:t>
      </w:r>
      <w:proofErr w:type="spellStart"/>
      <w:r w:rsidR="00E7039C" w:rsidRPr="009C0B84">
        <w:rPr>
          <w:rFonts w:asciiTheme="majorBidi" w:eastAsia="Times New Roman" w:hAnsiTheme="majorBidi" w:cstheme="majorBidi"/>
          <w:color w:val="333333"/>
        </w:rPr>
        <w:t>cardiorenal</w:t>
      </w:r>
      <w:proofErr w:type="spellEnd"/>
      <w:r w:rsidR="00E7039C" w:rsidRPr="009C0B84">
        <w:rPr>
          <w:rFonts w:asciiTheme="majorBidi" w:eastAsia="Times New Roman" w:hAnsiTheme="majorBidi" w:cstheme="majorBidi"/>
          <w:color w:val="333333"/>
        </w:rPr>
        <w:t xml:space="preserve"> </w:t>
      </w:r>
      <w:r w:rsidR="00BF498E" w:rsidRPr="009C0B84">
        <w:rPr>
          <w:rFonts w:asciiTheme="majorBidi" w:eastAsia="Times New Roman" w:hAnsiTheme="majorBidi" w:cstheme="majorBidi"/>
          <w:color w:val="333333"/>
        </w:rPr>
        <w:t>composite outcome</w:t>
      </w:r>
      <w:r w:rsidRPr="009C0B84">
        <w:rPr>
          <w:rFonts w:asciiTheme="majorBidi" w:eastAsia="Times New Roman" w:hAnsiTheme="majorBidi" w:cstheme="majorBidi"/>
          <w:color w:val="333333"/>
        </w:rPr>
        <w:t xml:space="preserve"> was sustained decrease of 40% or more in estimated GFR </w:t>
      </w:r>
      <w:r w:rsidR="003A5AC0" w:rsidRPr="009C0B84">
        <w:rPr>
          <w:rFonts w:asciiTheme="majorBidi" w:eastAsia="Times New Roman" w:hAnsiTheme="majorBidi" w:cstheme="majorBidi"/>
          <w:color w:val="333333"/>
        </w:rPr>
        <w:t xml:space="preserve">(eGFR) </w:t>
      </w:r>
      <w:r w:rsidRPr="009C0B84">
        <w:rPr>
          <w:rFonts w:asciiTheme="majorBidi" w:eastAsia="Times New Roman" w:hAnsiTheme="majorBidi" w:cstheme="majorBidi"/>
          <w:color w:val="333333"/>
        </w:rPr>
        <w:t>to less than 60 ml/min/1.73m</w:t>
      </w:r>
      <w:r w:rsidRPr="009C0B84">
        <w:rPr>
          <w:rFonts w:asciiTheme="majorBidi" w:eastAsia="Times New Roman" w:hAnsiTheme="majorBidi" w:cstheme="majorBidi"/>
          <w:color w:val="333333"/>
          <w:vertAlign w:val="superscript"/>
        </w:rPr>
        <w:t>2</w:t>
      </w:r>
      <w:r w:rsidRPr="009C0B84">
        <w:rPr>
          <w:rFonts w:asciiTheme="majorBidi" w:eastAsia="Times New Roman" w:hAnsiTheme="majorBidi" w:cstheme="majorBidi"/>
          <w:color w:val="333333"/>
        </w:rPr>
        <w:t>, new end-stage renal disease (ESRD), or death from renal or CV causes</w:t>
      </w:r>
      <w:r w:rsidR="00146920" w:rsidRPr="009C0B84">
        <w:rPr>
          <w:rFonts w:asciiTheme="majorBidi" w:eastAsia="Times New Roman" w:hAnsiTheme="majorBidi" w:cstheme="majorBidi"/>
          <w:color w:val="333333"/>
        </w:rPr>
        <w:t xml:space="preserve">. </w:t>
      </w:r>
      <w:r w:rsidR="00E7039C" w:rsidRPr="009C0B84">
        <w:rPr>
          <w:rFonts w:asciiTheme="majorBidi" w:eastAsia="Times New Roman" w:hAnsiTheme="majorBidi" w:cstheme="majorBidi"/>
          <w:color w:val="333333"/>
        </w:rPr>
        <w:t>A</w:t>
      </w:r>
      <w:r w:rsidR="00146920" w:rsidRPr="009C0B84">
        <w:rPr>
          <w:rFonts w:asciiTheme="majorBidi" w:eastAsia="Times New Roman" w:hAnsiTheme="majorBidi" w:cstheme="majorBidi"/>
          <w:color w:val="333333"/>
        </w:rPr>
        <w:t xml:space="preserve"> </w:t>
      </w:r>
      <w:r w:rsidRPr="009C0B84">
        <w:rPr>
          <w:rFonts w:asciiTheme="majorBidi" w:eastAsia="Times New Roman" w:hAnsiTheme="majorBidi" w:cstheme="majorBidi"/>
          <w:color w:val="333333"/>
        </w:rPr>
        <w:t>renal</w:t>
      </w:r>
      <w:r w:rsidR="00BF498E" w:rsidRPr="009C0B84">
        <w:rPr>
          <w:rFonts w:asciiTheme="majorBidi" w:eastAsia="Times New Roman" w:hAnsiTheme="majorBidi" w:cstheme="majorBidi"/>
          <w:color w:val="333333"/>
        </w:rPr>
        <w:t>-specific composite outcome</w:t>
      </w:r>
      <w:r w:rsidRPr="009C0B84">
        <w:rPr>
          <w:rFonts w:asciiTheme="majorBidi" w:eastAsia="Times New Roman" w:hAnsiTheme="majorBidi" w:cstheme="majorBidi"/>
          <w:color w:val="333333"/>
        </w:rPr>
        <w:t xml:space="preserve"> included 40% decrease in eGFR to &lt;60 ml/min/1.73 m</w:t>
      </w:r>
      <w:r w:rsidRPr="009C0B84">
        <w:rPr>
          <w:rFonts w:asciiTheme="majorBidi" w:eastAsia="Times New Roman" w:hAnsiTheme="majorBidi" w:cstheme="majorBidi"/>
          <w:color w:val="333333"/>
          <w:vertAlign w:val="superscript"/>
        </w:rPr>
        <w:t>2</w:t>
      </w:r>
      <w:r w:rsidRPr="009C0B84">
        <w:rPr>
          <w:rFonts w:asciiTheme="majorBidi" w:eastAsia="Times New Roman" w:hAnsiTheme="majorBidi" w:cstheme="majorBidi"/>
          <w:color w:val="333333"/>
        </w:rPr>
        <w:t xml:space="preserve">, ESRD or death from renal cause. </w:t>
      </w:r>
    </w:p>
    <w:p w14:paraId="1A1F39E5" w14:textId="7AF4026D" w:rsidR="007479E4" w:rsidRPr="009C0B84" w:rsidRDefault="006746A5" w:rsidP="001525B4">
      <w:pPr>
        <w:spacing w:before="100" w:beforeAutospacing="1" w:after="100" w:afterAutospacing="1" w:line="480" w:lineRule="auto"/>
        <w:rPr>
          <w:rFonts w:asciiTheme="majorBidi" w:eastAsia="Times New Roman" w:hAnsiTheme="majorBidi" w:cstheme="majorBidi"/>
          <w:color w:val="333333"/>
        </w:rPr>
      </w:pPr>
      <w:r w:rsidRPr="009C0B84">
        <w:rPr>
          <w:rFonts w:asciiTheme="majorBidi" w:eastAsia="Times New Roman" w:hAnsiTheme="majorBidi" w:cstheme="majorBidi"/>
          <w:color w:val="333333"/>
        </w:rPr>
        <w:t xml:space="preserve"> Safety endpoints were assessed in all patients who received at least one dose of study drug. For amputations, fractures and malignancies – all outcomes from that time </w:t>
      </w:r>
      <w:r w:rsidR="00074A23" w:rsidRPr="009C0B84">
        <w:rPr>
          <w:rFonts w:asciiTheme="majorBidi" w:eastAsia="Times New Roman" w:hAnsiTheme="majorBidi" w:cstheme="majorBidi"/>
          <w:color w:val="333333"/>
        </w:rPr>
        <w:t xml:space="preserve">until the </w:t>
      </w:r>
      <w:r w:rsidRPr="009C0B84">
        <w:rPr>
          <w:rFonts w:asciiTheme="majorBidi" w:eastAsia="Times New Roman" w:hAnsiTheme="majorBidi" w:cstheme="majorBidi"/>
          <w:color w:val="333333"/>
        </w:rPr>
        <w:t>end of trial. The remaining safety outcomes were assessed on-treatment, which included all events that occurred after the first dose of study drug to the earlier of 30 (for serious AE) or 7 (for non-serious AE) days after last dose of study drug or closing visit</w:t>
      </w:r>
      <w:r w:rsidR="00E70DE3" w:rsidRPr="009C0B84">
        <w:rPr>
          <w:rFonts w:asciiTheme="majorBidi" w:eastAsia="Times New Roman" w:hAnsiTheme="majorBidi" w:cstheme="majorBidi"/>
          <w:color w:val="333333"/>
        </w:rPr>
        <w:t xml:space="preserve">. </w:t>
      </w:r>
      <w:r w:rsidR="00743247" w:rsidRPr="009C0B84">
        <w:rPr>
          <w:rFonts w:asciiTheme="majorBidi" w:eastAsia="Times New Roman" w:hAnsiTheme="majorBidi" w:cstheme="majorBidi"/>
          <w:color w:val="333333"/>
        </w:rPr>
        <w:t xml:space="preserve">Major hypoglycemia </w:t>
      </w:r>
      <w:r w:rsidRPr="009C0B84">
        <w:rPr>
          <w:rFonts w:asciiTheme="majorBidi" w:eastAsia="Times New Roman" w:hAnsiTheme="majorBidi" w:cstheme="majorBidi"/>
          <w:color w:val="333333"/>
        </w:rPr>
        <w:t xml:space="preserve">was </w:t>
      </w:r>
      <w:r w:rsidR="00743247" w:rsidRPr="009C0B84">
        <w:rPr>
          <w:rFonts w:asciiTheme="majorBidi" w:eastAsia="Times New Roman" w:hAnsiTheme="majorBidi" w:cstheme="majorBidi"/>
          <w:color w:val="333333"/>
        </w:rPr>
        <w:t>defined as symptomatic events requiring external assistance due to</w:t>
      </w:r>
      <w:r w:rsidR="007C5697" w:rsidRPr="009C0B84">
        <w:rPr>
          <w:rFonts w:asciiTheme="majorBidi" w:eastAsia="Times New Roman" w:hAnsiTheme="majorBidi" w:cstheme="majorBidi"/>
          <w:color w:val="333333"/>
        </w:rPr>
        <w:t xml:space="preserve"> </w:t>
      </w:r>
      <w:r w:rsidR="00743247" w:rsidRPr="009C0B84">
        <w:rPr>
          <w:rFonts w:asciiTheme="majorBidi" w:eastAsia="Times New Roman" w:hAnsiTheme="majorBidi" w:cstheme="majorBidi"/>
          <w:color w:val="333333"/>
        </w:rPr>
        <w:t xml:space="preserve">severe impairment of </w:t>
      </w:r>
      <w:r w:rsidRPr="009C0B84">
        <w:rPr>
          <w:rFonts w:asciiTheme="majorBidi" w:eastAsia="Times New Roman" w:hAnsiTheme="majorBidi" w:cstheme="majorBidi"/>
          <w:color w:val="333333"/>
        </w:rPr>
        <w:t>consciousness</w:t>
      </w:r>
      <w:r w:rsidR="00743247" w:rsidRPr="009C0B84">
        <w:rPr>
          <w:rFonts w:asciiTheme="majorBidi" w:eastAsia="Times New Roman" w:hAnsiTheme="majorBidi" w:cstheme="majorBidi"/>
          <w:color w:val="333333"/>
        </w:rPr>
        <w:t xml:space="preserve"> with prompt recovery after glucose or glucagon</w:t>
      </w:r>
      <w:r w:rsidR="007C5697" w:rsidRPr="009C0B84">
        <w:rPr>
          <w:rFonts w:asciiTheme="majorBidi" w:eastAsia="Times New Roman" w:hAnsiTheme="majorBidi" w:cstheme="majorBidi"/>
          <w:color w:val="333333"/>
        </w:rPr>
        <w:t xml:space="preserve"> </w:t>
      </w:r>
      <w:r w:rsidR="00743247" w:rsidRPr="009C0B84">
        <w:rPr>
          <w:rFonts w:asciiTheme="majorBidi" w:eastAsia="Times New Roman" w:hAnsiTheme="majorBidi" w:cstheme="majorBidi"/>
          <w:color w:val="333333"/>
        </w:rPr>
        <w:t>administration</w:t>
      </w:r>
      <w:r w:rsidR="007C5697" w:rsidRPr="009C0B84">
        <w:rPr>
          <w:rFonts w:asciiTheme="majorBidi" w:eastAsia="Times New Roman" w:hAnsiTheme="majorBidi" w:cstheme="majorBidi"/>
          <w:color w:val="333333"/>
        </w:rPr>
        <w:t>. Urinary tract and genital infections collected were</w:t>
      </w:r>
      <w:r w:rsidRPr="009C0B84">
        <w:rPr>
          <w:rFonts w:asciiTheme="majorBidi" w:eastAsia="Times New Roman" w:hAnsiTheme="majorBidi" w:cstheme="majorBidi"/>
          <w:color w:val="333333"/>
        </w:rPr>
        <w:t xml:space="preserve"> only</w:t>
      </w:r>
      <w:r w:rsidR="007C5697" w:rsidRPr="009C0B84">
        <w:rPr>
          <w:rFonts w:asciiTheme="majorBidi" w:eastAsia="Times New Roman" w:hAnsiTheme="majorBidi" w:cstheme="majorBidi"/>
          <w:color w:val="333333"/>
        </w:rPr>
        <w:t xml:space="preserve"> those which were </w:t>
      </w:r>
      <w:r w:rsidRPr="009C0B84">
        <w:rPr>
          <w:rFonts w:asciiTheme="majorBidi" w:eastAsia="Times New Roman" w:hAnsiTheme="majorBidi" w:cstheme="majorBidi"/>
          <w:color w:val="333333"/>
        </w:rPr>
        <w:t xml:space="preserve">either </w:t>
      </w:r>
      <w:r w:rsidR="007C5697" w:rsidRPr="009C0B84">
        <w:rPr>
          <w:rFonts w:asciiTheme="majorBidi" w:eastAsia="Times New Roman" w:hAnsiTheme="majorBidi" w:cstheme="majorBidi"/>
          <w:color w:val="333333"/>
        </w:rPr>
        <w:t>serious or led to discontinuation of study drug.</w:t>
      </w:r>
    </w:p>
    <w:p w14:paraId="54008482" w14:textId="77777777" w:rsidR="002E2E83" w:rsidRPr="009C0B84" w:rsidRDefault="002E2E83" w:rsidP="001525B4">
      <w:pPr>
        <w:spacing w:before="100" w:beforeAutospacing="1" w:after="100" w:afterAutospacing="1" w:line="480" w:lineRule="auto"/>
        <w:rPr>
          <w:rFonts w:asciiTheme="majorBidi" w:eastAsia="Times New Roman" w:hAnsiTheme="majorBidi" w:cstheme="majorBidi"/>
          <w:b/>
          <w:bCs/>
          <w:i/>
          <w:iCs/>
          <w:color w:val="333333"/>
        </w:rPr>
      </w:pPr>
    </w:p>
    <w:p w14:paraId="051F24C2" w14:textId="4C758873" w:rsidR="00E95DF1" w:rsidRPr="009C0B84" w:rsidRDefault="00E95DF1" w:rsidP="001525B4">
      <w:pPr>
        <w:spacing w:before="100" w:beforeAutospacing="1" w:after="100" w:afterAutospacing="1" w:line="480" w:lineRule="auto"/>
        <w:rPr>
          <w:rFonts w:asciiTheme="majorBidi" w:eastAsia="Times New Roman" w:hAnsiTheme="majorBidi" w:cstheme="majorBidi"/>
          <w:b/>
          <w:bCs/>
          <w:i/>
          <w:iCs/>
          <w:color w:val="333333"/>
        </w:rPr>
      </w:pPr>
      <w:r w:rsidRPr="009C0B84">
        <w:rPr>
          <w:rFonts w:asciiTheme="majorBidi" w:eastAsia="Times New Roman" w:hAnsiTheme="majorBidi" w:cstheme="majorBidi"/>
          <w:b/>
          <w:bCs/>
          <w:i/>
          <w:iCs/>
          <w:color w:val="333333"/>
        </w:rPr>
        <w:t>Statistical analysis</w:t>
      </w:r>
    </w:p>
    <w:p w14:paraId="16D1CE91" w14:textId="16ED3A86" w:rsidR="003A5AC0" w:rsidRPr="009C0B84" w:rsidRDefault="00493213" w:rsidP="001525B4">
      <w:pPr>
        <w:spacing w:before="100" w:beforeAutospacing="1" w:after="100" w:afterAutospacing="1" w:line="480" w:lineRule="auto"/>
        <w:rPr>
          <w:rFonts w:asciiTheme="majorBidi" w:eastAsia="Times New Roman" w:hAnsiTheme="majorBidi" w:cstheme="majorBidi"/>
          <w:color w:val="333333"/>
        </w:rPr>
      </w:pPr>
      <w:r w:rsidRPr="009C0B84">
        <w:rPr>
          <w:rFonts w:asciiTheme="majorBidi" w:eastAsia="Times New Roman" w:hAnsiTheme="majorBidi" w:cstheme="majorBidi"/>
          <w:color w:val="333333"/>
        </w:rPr>
        <w:t xml:space="preserve">Pre-specified age groups were &lt;65, ≥65 and &lt;75, ≥75. Data presented in the main paper is for three </w:t>
      </w:r>
      <w:r w:rsidR="00B1420C" w:rsidRPr="009C0B84">
        <w:rPr>
          <w:rFonts w:asciiTheme="majorBidi" w:eastAsia="Times New Roman" w:hAnsiTheme="majorBidi" w:cstheme="majorBidi"/>
          <w:color w:val="333333"/>
        </w:rPr>
        <w:t>age</w:t>
      </w:r>
      <w:r w:rsidR="00FF74F3" w:rsidRPr="009C0B84">
        <w:rPr>
          <w:rFonts w:asciiTheme="majorBidi" w:eastAsia="Times New Roman" w:hAnsiTheme="majorBidi" w:cstheme="majorBidi"/>
          <w:color w:val="333333"/>
        </w:rPr>
        <w:t xml:space="preserve"> groups</w:t>
      </w:r>
      <w:r w:rsidR="00B1420C" w:rsidRPr="009C0B84">
        <w:rPr>
          <w:rFonts w:asciiTheme="majorBidi" w:eastAsia="Times New Roman" w:hAnsiTheme="majorBidi" w:cstheme="majorBidi"/>
          <w:color w:val="333333"/>
        </w:rPr>
        <w:t xml:space="preserve"> &lt;65, ≥65- &lt;75 and ≥75</w:t>
      </w:r>
      <w:r w:rsidRPr="009C0B84">
        <w:rPr>
          <w:rFonts w:asciiTheme="majorBidi" w:eastAsia="Times New Roman" w:hAnsiTheme="majorBidi" w:cstheme="majorBidi"/>
          <w:color w:val="333333"/>
        </w:rPr>
        <w:t xml:space="preserve"> to </w:t>
      </w:r>
      <w:r w:rsidR="004E5F16" w:rsidRPr="009C0B84">
        <w:rPr>
          <w:rFonts w:asciiTheme="majorBidi" w:eastAsia="Times New Roman" w:hAnsiTheme="majorBidi" w:cstheme="majorBidi"/>
          <w:color w:val="333333"/>
        </w:rPr>
        <w:t xml:space="preserve">enable description of data from </w:t>
      </w:r>
      <w:r w:rsidR="00235690" w:rsidRPr="009C0B84">
        <w:rPr>
          <w:rFonts w:asciiTheme="majorBidi" w:eastAsia="Times New Roman" w:hAnsiTheme="majorBidi" w:cstheme="majorBidi"/>
          <w:color w:val="333333"/>
        </w:rPr>
        <w:t>all</w:t>
      </w:r>
      <w:r w:rsidRPr="009C0B84">
        <w:rPr>
          <w:rFonts w:asciiTheme="majorBidi" w:eastAsia="Times New Roman" w:hAnsiTheme="majorBidi" w:cstheme="majorBidi"/>
          <w:color w:val="333333"/>
        </w:rPr>
        <w:t xml:space="preserve"> </w:t>
      </w:r>
      <w:r w:rsidR="00E07F29" w:rsidRPr="009C0B84">
        <w:rPr>
          <w:rFonts w:asciiTheme="majorBidi" w:eastAsia="Times New Roman" w:hAnsiTheme="majorBidi" w:cstheme="majorBidi"/>
          <w:color w:val="333333"/>
        </w:rPr>
        <w:t xml:space="preserve">age </w:t>
      </w:r>
      <w:r w:rsidRPr="009C0B84">
        <w:rPr>
          <w:rFonts w:asciiTheme="majorBidi" w:eastAsia="Times New Roman" w:hAnsiTheme="majorBidi" w:cstheme="majorBidi"/>
          <w:color w:val="333333"/>
        </w:rPr>
        <w:t>subgroup</w:t>
      </w:r>
      <w:r w:rsidR="00235690" w:rsidRPr="009C0B84">
        <w:rPr>
          <w:rFonts w:asciiTheme="majorBidi" w:eastAsia="Times New Roman" w:hAnsiTheme="majorBidi" w:cstheme="majorBidi"/>
          <w:color w:val="333333"/>
        </w:rPr>
        <w:t>s including 65-</w:t>
      </w:r>
      <w:r w:rsidR="00AF4BA3" w:rsidRPr="009C0B84">
        <w:rPr>
          <w:rFonts w:asciiTheme="majorBidi" w:eastAsia="Times New Roman" w:hAnsiTheme="majorBidi" w:cstheme="majorBidi"/>
          <w:color w:val="333333"/>
        </w:rPr>
        <w:t>&lt;</w:t>
      </w:r>
      <w:r w:rsidR="00235690" w:rsidRPr="009C0B84">
        <w:rPr>
          <w:rFonts w:asciiTheme="majorBidi" w:eastAsia="Times New Roman" w:hAnsiTheme="majorBidi" w:cstheme="majorBidi"/>
          <w:color w:val="333333"/>
        </w:rPr>
        <w:t>75</w:t>
      </w:r>
      <w:r w:rsidR="00E07F29" w:rsidRPr="009C0B84">
        <w:rPr>
          <w:rFonts w:asciiTheme="majorBidi" w:eastAsia="Times New Roman" w:hAnsiTheme="majorBidi" w:cstheme="majorBidi"/>
          <w:color w:val="333333"/>
        </w:rPr>
        <w:t xml:space="preserve"> which </w:t>
      </w:r>
      <w:r w:rsidR="008E431E" w:rsidRPr="009C0B84">
        <w:rPr>
          <w:rFonts w:asciiTheme="majorBidi" w:eastAsia="Times New Roman" w:hAnsiTheme="majorBidi" w:cstheme="majorBidi"/>
          <w:color w:val="333333"/>
        </w:rPr>
        <w:t>comprised</w:t>
      </w:r>
      <w:r w:rsidR="00E07F29" w:rsidRPr="009C0B84">
        <w:rPr>
          <w:rFonts w:asciiTheme="majorBidi" w:eastAsia="Times New Roman" w:hAnsiTheme="majorBidi" w:cstheme="majorBidi"/>
          <w:color w:val="333333"/>
        </w:rPr>
        <w:t xml:space="preserve"> 39.7% of the study population</w:t>
      </w:r>
      <w:r w:rsidR="00B1420C" w:rsidRPr="009C0B84">
        <w:rPr>
          <w:rFonts w:asciiTheme="majorBidi" w:eastAsia="Times New Roman" w:hAnsiTheme="majorBidi" w:cstheme="majorBidi"/>
          <w:color w:val="333333"/>
        </w:rPr>
        <w:t xml:space="preserve">. </w:t>
      </w:r>
      <w:r w:rsidRPr="009C0B84">
        <w:rPr>
          <w:rFonts w:asciiTheme="majorBidi" w:eastAsia="Times New Roman" w:hAnsiTheme="majorBidi" w:cstheme="majorBidi"/>
          <w:color w:val="333333"/>
        </w:rPr>
        <w:t xml:space="preserve">Efficacy and safety data </w:t>
      </w:r>
      <w:r w:rsidR="00235690" w:rsidRPr="009C0B84">
        <w:rPr>
          <w:rFonts w:asciiTheme="majorBidi" w:eastAsia="Times New Roman" w:hAnsiTheme="majorBidi" w:cstheme="majorBidi"/>
          <w:color w:val="333333"/>
        </w:rPr>
        <w:t xml:space="preserve">limited to </w:t>
      </w:r>
      <w:r w:rsidRPr="009C0B84">
        <w:rPr>
          <w:rFonts w:asciiTheme="majorBidi" w:eastAsia="Times New Roman" w:hAnsiTheme="majorBidi" w:cstheme="majorBidi"/>
          <w:color w:val="333333"/>
        </w:rPr>
        <w:t xml:space="preserve">the pre-specified age groups </w:t>
      </w:r>
      <w:r w:rsidR="00396FEC" w:rsidRPr="009C0B84">
        <w:rPr>
          <w:rFonts w:asciiTheme="majorBidi" w:eastAsia="Times New Roman" w:hAnsiTheme="majorBidi" w:cstheme="majorBidi"/>
          <w:color w:val="333333"/>
        </w:rPr>
        <w:t>are</w:t>
      </w:r>
      <w:r w:rsidRPr="009C0B84">
        <w:rPr>
          <w:rFonts w:asciiTheme="majorBidi" w:eastAsia="Times New Roman" w:hAnsiTheme="majorBidi" w:cstheme="majorBidi"/>
          <w:color w:val="333333"/>
        </w:rPr>
        <w:t xml:space="preserve"> included in the supplementary material. </w:t>
      </w:r>
    </w:p>
    <w:p w14:paraId="09EE4AF9" w14:textId="07C16256" w:rsidR="002C41D2" w:rsidRPr="009C0B84" w:rsidRDefault="00B1420C" w:rsidP="001525B4">
      <w:pPr>
        <w:spacing w:before="100" w:beforeAutospacing="1" w:after="100" w:afterAutospacing="1" w:line="480" w:lineRule="auto"/>
        <w:rPr>
          <w:rFonts w:asciiTheme="majorBidi" w:eastAsia="Times New Roman" w:hAnsiTheme="majorBidi" w:cstheme="majorBidi"/>
          <w:color w:val="333333"/>
        </w:rPr>
      </w:pPr>
      <w:r w:rsidRPr="009C0B84">
        <w:rPr>
          <w:rFonts w:asciiTheme="majorBidi" w:eastAsia="Times New Roman" w:hAnsiTheme="majorBidi" w:cstheme="majorBidi"/>
          <w:color w:val="333333"/>
        </w:rPr>
        <w:t xml:space="preserve">Baseline characteristics </w:t>
      </w:r>
      <w:r w:rsidR="00AF4BA3" w:rsidRPr="009C0B84">
        <w:rPr>
          <w:rFonts w:asciiTheme="majorBidi" w:eastAsia="Times New Roman" w:hAnsiTheme="majorBidi" w:cstheme="majorBidi"/>
          <w:color w:val="333333"/>
        </w:rPr>
        <w:t>are</w:t>
      </w:r>
      <w:r w:rsidRPr="009C0B84">
        <w:rPr>
          <w:rFonts w:asciiTheme="majorBidi" w:hAnsiTheme="majorBidi" w:cstheme="majorBidi"/>
          <w:color w:val="000000" w:themeColor="text1"/>
        </w:rPr>
        <w:t xml:space="preserve"> reported as </w:t>
      </w:r>
      <w:r w:rsidRPr="009C0B84">
        <w:rPr>
          <w:rFonts w:asciiTheme="majorBidi" w:hAnsiTheme="majorBidi" w:cstheme="majorBidi"/>
        </w:rPr>
        <w:t xml:space="preserve">frequencies and percentages for categorical variables and as </w:t>
      </w:r>
      <w:r w:rsidR="00CA21A3" w:rsidRPr="009C0B84">
        <w:rPr>
          <w:rFonts w:asciiTheme="majorBidi" w:hAnsiTheme="majorBidi" w:cstheme="majorBidi"/>
        </w:rPr>
        <w:t xml:space="preserve">median and IQR </w:t>
      </w:r>
      <w:r w:rsidRPr="009C0B84">
        <w:rPr>
          <w:rFonts w:asciiTheme="majorBidi" w:hAnsiTheme="majorBidi" w:cstheme="majorBidi"/>
        </w:rPr>
        <w:t>for continuous variables</w:t>
      </w:r>
      <w:r w:rsidR="007F0594" w:rsidRPr="009C0B84">
        <w:rPr>
          <w:rFonts w:asciiTheme="majorBidi" w:hAnsiTheme="majorBidi" w:cstheme="majorBidi"/>
        </w:rPr>
        <w:t>.</w:t>
      </w:r>
      <w:r w:rsidR="00E015A6" w:rsidRPr="009C0B84">
        <w:rPr>
          <w:rFonts w:asciiTheme="majorBidi" w:eastAsia="Times New Roman" w:hAnsiTheme="majorBidi" w:cstheme="majorBidi"/>
          <w:color w:val="333333"/>
        </w:rPr>
        <w:t xml:space="preserve"> Incidence rates and Log-Rank test for trend p-values in efficacy and safety endpoints are reported for the three age groups.</w:t>
      </w:r>
    </w:p>
    <w:p w14:paraId="15BEF213" w14:textId="4CB49C53" w:rsidR="002C41D2" w:rsidRPr="009C0B84" w:rsidRDefault="002C41D2" w:rsidP="001525B4">
      <w:pPr>
        <w:spacing w:before="100" w:beforeAutospacing="1" w:after="100" w:afterAutospacing="1" w:line="480" w:lineRule="auto"/>
        <w:rPr>
          <w:rFonts w:asciiTheme="majorBidi" w:eastAsia="Times New Roman" w:hAnsiTheme="majorBidi" w:cstheme="majorBidi"/>
          <w:color w:val="333333"/>
        </w:rPr>
      </w:pPr>
      <w:r w:rsidRPr="009C0B84">
        <w:rPr>
          <w:rFonts w:asciiTheme="majorBidi" w:eastAsia="Times New Roman" w:hAnsiTheme="majorBidi" w:cstheme="majorBidi"/>
          <w:color w:val="333333"/>
        </w:rPr>
        <w:t xml:space="preserve">Analyses were performed </w:t>
      </w:r>
      <w:r w:rsidR="00FF74F3" w:rsidRPr="009C0B84">
        <w:rPr>
          <w:rFonts w:asciiTheme="majorBidi" w:eastAsia="Times New Roman" w:hAnsiTheme="majorBidi" w:cstheme="majorBidi"/>
          <w:color w:val="333333"/>
        </w:rPr>
        <w:t xml:space="preserve">on an intention-to-treat basis. </w:t>
      </w:r>
      <w:r w:rsidRPr="009C0B84">
        <w:rPr>
          <w:rFonts w:asciiTheme="majorBidi" w:eastAsia="Times New Roman" w:hAnsiTheme="majorBidi" w:cstheme="majorBidi"/>
          <w:color w:val="333333"/>
        </w:rPr>
        <w:t xml:space="preserve">Hazard ratios (HRs) and 95% confidence intervals (CIs) were determined from Cox regression models </w:t>
      </w:r>
      <w:r w:rsidR="00FF74F3" w:rsidRPr="009C0B84">
        <w:rPr>
          <w:rFonts w:asciiTheme="majorBidi" w:eastAsia="Times New Roman" w:hAnsiTheme="majorBidi" w:cstheme="majorBidi"/>
          <w:color w:val="333333"/>
        </w:rPr>
        <w:t>with stratification factor (ASCVD</w:t>
      </w:r>
      <w:r w:rsidR="00B1420C" w:rsidRPr="009C0B84">
        <w:rPr>
          <w:rFonts w:asciiTheme="majorBidi" w:eastAsia="Times New Roman" w:hAnsiTheme="majorBidi" w:cstheme="majorBidi"/>
          <w:color w:val="333333"/>
        </w:rPr>
        <w:t xml:space="preserve"> or </w:t>
      </w:r>
      <w:r w:rsidR="001C6F7F" w:rsidRPr="009C0B84">
        <w:rPr>
          <w:rFonts w:asciiTheme="majorBidi" w:eastAsia="Times New Roman" w:hAnsiTheme="majorBidi" w:cstheme="majorBidi"/>
          <w:color w:val="333333"/>
        </w:rPr>
        <w:t>multiple CV risk factors</w:t>
      </w:r>
      <w:r w:rsidR="00B1420C" w:rsidRPr="009C0B84">
        <w:rPr>
          <w:rFonts w:asciiTheme="majorBidi" w:eastAsia="Times New Roman" w:hAnsiTheme="majorBidi" w:cstheme="majorBidi"/>
          <w:color w:val="333333"/>
        </w:rPr>
        <w:t xml:space="preserve"> and hematuria status</w:t>
      </w:r>
      <w:r w:rsidR="00FF74F3" w:rsidRPr="009C0B84">
        <w:rPr>
          <w:rFonts w:asciiTheme="majorBidi" w:eastAsia="Times New Roman" w:hAnsiTheme="majorBidi" w:cstheme="majorBidi"/>
          <w:color w:val="333333"/>
        </w:rPr>
        <w:t>)</w:t>
      </w:r>
      <w:r w:rsidR="00B1420C" w:rsidRPr="009C0B84">
        <w:rPr>
          <w:rFonts w:asciiTheme="majorBidi" w:eastAsia="Times New Roman" w:hAnsiTheme="majorBidi" w:cstheme="majorBidi"/>
          <w:color w:val="333333"/>
        </w:rPr>
        <w:t xml:space="preserve"> as strata</w:t>
      </w:r>
      <w:r w:rsidR="00E015A6" w:rsidRPr="009C0B84">
        <w:rPr>
          <w:rFonts w:asciiTheme="majorBidi" w:eastAsia="Times New Roman" w:hAnsiTheme="majorBidi" w:cstheme="majorBidi"/>
          <w:color w:val="333333"/>
        </w:rPr>
        <w:t xml:space="preserve"> in models comparing treatment in age groups</w:t>
      </w:r>
      <w:r w:rsidR="00B1420C" w:rsidRPr="009C0B84">
        <w:rPr>
          <w:rFonts w:asciiTheme="majorBidi" w:eastAsia="Times New Roman" w:hAnsiTheme="majorBidi" w:cstheme="majorBidi"/>
          <w:color w:val="333333"/>
        </w:rPr>
        <w:t xml:space="preserve">. </w:t>
      </w:r>
    </w:p>
    <w:p w14:paraId="71900DB0" w14:textId="42F1B69A" w:rsidR="00CA21A3" w:rsidRPr="009C0B84" w:rsidRDefault="00A20A20" w:rsidP="001525B4">
      <w:pPr>
        <w:spacing w:before="100" w:beforeAutospacing="1" w:after="100" w:afterAutospacing="1" w:line="480" w:lineRule="auto"/>
        <w:rPr>
          <w:rFonts w:asciiTheme="majorBidi" w:eastAsia="Times New Roman" w:hAnsiTheme="majorBidi" w:cstheme="majorBidi"/>
          <w:color w:val="333333"/>
        </w:rPr>
      </w:pPr>
      <w:r w:rsidRPr="009C0B84">
        <w:rPr>
          <w:rFonts w:asciiTheme="majorBidi" w:eastAsia="Times New Roman" w:hAnsiTheme="majorBidi" w:cstheme="majorBidi"/>
          <w:color w:val="333333"/>
        </w:rPr>
        <w:t>Mixed models for</w:t>
      </w:r>
      <w:r w:rsidR="00E015A6" w:rsidRPr="009C0B84">
        <w:rPr>
          <w:rFonts w:asciiTheme="majorBidi" w:eastAsia="Times New Roman" w:hAnsiTheme="majorBidi" w:cstheme="majorBidi"/>
          <w:color w:val="333333"/>
        </w:rPr>
        <w:t xml:space="preserve"> repeated measures in</w:t>
      </w:r>
      <w:r w:rsidRPr="009C0B84">
        <w:rPr>
          <w:rFonts w:asciiTheme="majorBidi" w:eastAsia="Times New Roman" w:hAnsiTheme="majorBidi" w:cstheme="majorBidi"/>
          <w:color w:val="333333"/>
        </w:rPr>
        <w:t xml:space="preserve"> HbA1c, weight, systolic blood pressure and diastolic blood pressure</w:t>
      </w:r>
      <w:r w:rsidR="00E015A6" w:rsidRPr="009C0B84">
        <w:rPr>
          <w:rFonts w:asciiTheme="majorBidi" w:eastAsia="Times New Roman" w:hAnsiTheme="majorBidi" w:cstheme="majorBidi"/>
          <w:color w:val="333333"/>
        </w:rPr>
        <w:t xml:space="preserve"> were analyzed to produce least-squares mean estimates and 95% CIs </w:t>
      </w:r>
      <w:r w:rsidR="007F0594" w:rsidRPr="009C0B84">
        <w:rPr>
          <w:rFonts w:asciiTheme="majorBidi" w:eastAsia="Times New Roman" w:hAnsiTheme="majorBidi" w:cstheme="majorBidi"/>
          <w:color w:val="333333"/>
        </w:rPr>
        <w:t xml:space="preserve">in each treatment and age group. </w:t>
      </w:r>
      <w:r w:rsidR="00A53617" w:rsidRPr="009C0B84">
        <w:rPr>
          <w:rFonts w:asciiTheme="majorBidi" w:eastAsia="Times New Roman" w:hAnsiTheme="majorBidi" w:cstheme="majorBidi"/>
          <w:color w:val="333333"/>
        </w:rPr>
        <w:t xml:space="preserve">Attainment of glycemic and weight targets was compared between groups using logistic regression models. </w:t>
      </w:r>
      <w:r w:rsidR="003A5AC0" w:rsidRPr="009C0B84">
        <w:rPr>
          <w:rFonts w:asciiTheme="majorBidi" w:eastAsia="Times New Roman" w:hAnsiTheme="majorBidi" w:cstheme="majorBidi"/>
          <w:color w:val="333333"/>
        </w:rPr>
        <w:t>P</w:t>
      </w:r>
      <w:r w:rsidR="00A53617" w:rsidRPr="009C0B84">
        <w:rPr>
          <w:rFonts w:asciiTheme="majorBidi" w:eastAsia="Times New Roman" w:hAnsiTheme="majorBidi" w:cstheme="majorBidi"/>
          <w:color w:val="333333"/>
        </w:rPr>
        <w:t xml:space="preserve">-values for the covariate of interest </w:t>
      </w:r>
      <w:r w:rsidR="000042BE" w:rsidRPr="009C0B84">
        <w:rPr>
          <w:rFonts w:asciiTheme="majorBidi" w:eastAsia="Times New Roman" w:hAnsiTheme="majorBidi" w:cstheme="majorBidi"/>
          <w:color w:val="333333"/>
        </w:rPr>
        <w:t>were</w:t>
      </w:r>
      <w:r w:rsidR="00A53617" w:rsidRPr="009C0B84">
        <w:rPr>
          <w:rFonts w:asciiTheme="majorBidi" w:eastAsia="Times New Roman" w:hAnsiTheme="majorBidi" w:cstheme="majorBidi"/>
          <w:color w:val="333333"/>
        </w:rPr>
        <w:t xml:space="preserve"> adjusted for baseline HbA1c or weight accordingly. </w:t>
      </w:r>
    </w:p>
    <w:p w14:paraId="59588AD0" w14:textId="77777777" w:rsidR="002C41D2" w:rsidRPr="009C0B84" w:rsidRDefault="00A53617" w:rsidP="001525B4">
      <w:pPr>
        <w:spacing w:before="100" w:beforeAutospacing="1" w:after="100" w:afterAutospacing="1" w:line="480" w:lineRule="auto"/>
        <w:rPr>
          <w:rFonts w:asciiTheme="majorBidi" w:eastAsia="Times New Roman" w:hAnsiTheme="majorBidi" w:cstheme="majorBidi"/>
          <w:color w:val="333333"/>
        </w:rPr>
      </w:pPr>
      <w:r w:rsidRPr="009C0B84">
        <w:rPr>
          <w:rFonts w:asciiTheme="majorBidi" w:eastAsia="Times New Roman" w:hAnsiTheme="majorBidi" w:cstheme="majorBidi"/>
          <w:color w:val="333333"/>
        </w:rPr>
        <w:t>There was no statistical adjustment for multiple comparisons.</w:t>
      </w:r>
    </w:p>
    <w:p w14:paraId="0000F47D" w14:textId="77777777" w:rsidR="001F6B71" w:rsidRDefault="002C41D2" w:rsidP="001F6B71">
      <w:pPr>
        <w:spacing w:before="100" w:beforeAutospacing="1" w:after="100" w:afterAutospacing="1" w:line="480" w:lineRule="auto"/>
        <w:rPr>
          <w:rFonts w:asciiTheme="majorBidi" w:eastAsia="Times New Roman" w:hAnsiTheme="majorBidi" w:cstheme="majorBidi"/>
          <w:color w:val="333333"/>
        </w:rPr>
      </w:pPr>
      <w:r w:rsidRPr="009C0B84">
        <w:rPr>
          <w:rFonts w:asciiTheme="majorBidi" w:eastAsia="Times New Roman" w:hAnsiTheme="majorBidi" w:cstheme="majorBidi"/>
          <w:color w:val="333333"/>
        </w:rPr>
        <w:t>All analyses were performed using SAS software, version 9.</w:t>
      </w:r>
      <w:r w:rsidR="00213EB7" w:rsidRPr="009C0B84">
        <w:rPr>
          <w:rFonts w:asciiTheme="majorBidi" w:eastAsia="Times New Roman" w:hAnsiTheme="majorBidi" w:cstheme="majorBidi"/>
          <w:color w:val="333333"/>
        </w:rPr>
        <w:t xml:space="preserve">4 </w:t>
      </w:r>
      <w:r w:rsidRPr="009C0B84">
        <w:rPr>
          <w:rFonts w:asciiTheme="majorBidi" w:eastAsia="Times New Roman" w:hAnsiTheme="majorBidi" w:cstheme="majorBidi"/>
          <w:color w:val="333333"/>
        </w:rPr>
        <w:t xml:space="preserve">(SAS Institute Inc., Cary, NC, USA) and Stata version 14.2 (College Station, </w:t>
      </w:r>
      <w:proofErr w:type="spellStart"/>
      <w:r w:rsidRPr="009C0B84">
        <w:rPr>
          <w:rFonts w:asciiTheme="majorBidi" w:eastAsia="Times New Roman" w:hAnsiTheme="majorBidi" w:cstheme="majorBidi"/>
          <w:color w:val="333333"/>
        </w:rPr>
        <w:t>Tx</w:t>
      </w:r>
      <w:proofErr w:type="spellEnd"/>
      <w:r w:rsidRPr="009C0B84">
        <w:rPr>
          <w:rFonts w:asciiTheme="majorBidi" w:eastAsia="Times New Roman" w:hAnsiTheme="majorBidi" w:cstheme="majorBidi"/>
          <w:color w:val="333333"/>
        </w:rPr>
        <w:t xml:space="preserve">, USA). </w:t>
      </w:r>
    </w:p>
    <w:p w14:paraId="160A0D83" w14:textId="77777777" w:rsidR="001F6B71" w:rsidRDefault="001F6B71" w:rsidP="001F6B71">
      <w:pPr>
        <w:spacing w:before="100" w:beforeAutospacing="1" w:after="100" w:afterAutospacing="1" w:line="480" w:lineRule="auto"/>
        <w:rPr>
          <w:rFonts w:asciiTheme="majorBidi" w:eastAsia="Times New Roman" w:hAnsiTheme="majorBidi" w:cstheme="majorBidi"/>
          <w:color w:val="333333"/>
        </w:rPr>
      </w:pPr>
    </w:p>
    <w:p w14:paraId="78FE52D9" w14:textId="6069CE11" w:rsidR="00E95DF1" w:rsidRPr="009C0B84" w:rsidRDefault="00E95DF1" w:rsidP="001F6B71">
      <w:pPr>
        <w:spacing w:before="100" w:beforeAutospacing="1" w:after="100" w:afterAutospacing="1" w:line="480" w:lineRule="auto"/>
        <w:rPr>
          <w:rFonts w:asciiTheme="majorBidi" w:eastAsia="Times New Roman" w:hAnsiTheme="majorBidi" w:cstheme="majorBidi"/>
          <w:b/>
          <w:bCs/>
          <w:color w:val="333333"/>
        </w:rPr>
      </w:pPr>
      <w:r w:rsidRPr="009C0B84">
        <w:rPr>
          <w:rFonts w:asciiTheme="majorBidi" w:eastAsia="Times New Roman" w:hAnsiTheme="majorBidi" w:cstheme="majorBidi"/>
          <w:b/>
          <w:bCs/>
          <w:color w:val="333333"/>
        </w:rPr>
        <w:t>Results</w:t>
      </w:r>
    </w:p>
    <w:p w14:paraId="4FBD5148" w14:textId="77777777" w:rsidR="00E95DF1" w:rsidRPr="009C0B84" w:rsidRDefault="00E95DF1" w:rsidP="001525B4">
      <w:pPr>
        <w:spacing w:before="100" w:beforeAutospacing="1" w:after="100" w:afterAutospacing="1" w:line="480" w:lineRule="auto"/>
        <w:rPr>
          <w:rFonts w:asciiTheme="majorBidi" w:eastAsia="Times New Roman" w:hAnsiTheme="majorBidi" w:cstheme="majorBidi"/>
          <w:b/>
          <w:bCs/>
          <w:i/>
          <w:iCs/>
          <w:color w:val="333333"/>
          <w:rtl/>
        </w:rPr>
      </w:pPr>
      <w:r w:rsidRPr="009C0B84">
        <w:rPr>
          <w:rFonts w:asciiTheme="majorBidi" w:eastAsia="Times New Roman" w:hAnsiTheme="majorBidi" w:cstheme="majorBidi"/>
          <w:b/>
          <w:bCs/>
          <w:i/>
          <w:iCs/>
          <w:color w:val="333333"/>
        </w:rPr>
        <w:t xml:space="preserve">Baseline </w:t>
      </w:r>
      <w:r w:rsidR="004F17E6" w:rsidRPr="009C0B84">
        <w:rPr>
          <w:rFonts w:asciiTheme="majorBidi" w:eastAsia="Times New Roman" w:hAnsiTheme="majorBidi" w:cstheme="majorBidi"/>
          <w:b/>
          <w:bCs/>
          <w:i/>
          <w:iCs/>
          <w:color w:val="333333"/>
        </w:rPr>
        <w:t xml:space="preserve">characteristics </w:t>
      </w:r>
    </w:p>
    <w:p w14:paraId="2CE41A23" w14:textId="04F4D042" w:rsidR="00E95DF1" w:rsidRPr="009C0B84" w:rsidRDefault="00E95DF1" w:rsidP="001525B4">
      <w:pPr>
        <w:spacing w:before="100" w:beforeAutospacing="1" w:after="100" w:afterAutospacing="1" w:line="480" w:lineRule="auto"/>
        <w:rPr>
          <w:rFonts w:asciiTheme="majorBidi" w:eastAsia="Times New Roman" w:hAnsiTheme="majorBidi" w:cstheme="majorBidi"/>
          <w:color w:val="333333"/>
        </w:rPr>
      </w:pPr>
      <w:r w:rsidRPr="009C0B84">
        <w:rPr>
          <w:rFonts w:asciiTheme="majorBidi" w:eastAsia="Times New Roman" w:hAnsiTheme="majorBidi" w:cstheme="majorBidi"/>
          <w:color w:val="333333"/>
        </w:rPr>
        <w:t xml:space="preserve">The study included </w:t>
      </w:r>
      <w:r w:rsidR="00363D2A" w:rsidRPr="009C0B84">
        <w:rPr>
          <w:rFonts w:asciiTheme="majorBidi" w:eastAsia="Times New Roman" w:hAnsiTheme="majorBidi" w:cstheme="majorBidi"/>
          <w:color w:val="333333"/>
        </w:rPr>
        <w:t>9253</w:t>
      </w:r>
      <w:r w:rsidRPr="009C0B84">
        <w:rPr>
          <w:rFonts w:asciiTheme="majorBidi" w:eastAsia="Times New Roman" w:hAnsiTheme="majorBidi" w:cstheme="majorBidi"/>
          <w:color w:val="333333"/>
        </w:rPr>
        <w:t xml:space="preserve"> patients age </w:t>
      </w:r>
      <w:r w:rsidR="00363D2A" w:rsidRPr="009C0B84">
        <w:rPr>
          <w:rFonts w:asciiTheme="majorBidi" w:eastAsia="Times New Roman" w:hAnsiTheme="majorBidi" w:cstheme="majorBidi"/>
          <w:color w:val="333333"/>
        </w:rPr>
        <w:t>&lt;</w:t>
      </w:r>
      <w:r w:rsidRPr="009C0B84">
        <w:rPr>
          <w:rFonts w:asciiTheme="majorBidi" w:eastAsia="Times New Roman" w:hAnsiTheme="majorBidi" w:cstheme="majorBidi"/>
          <w:color w:val="333333"/>
        </w:rPr>
        <w:t>65</w:t>
      </w:r>
      <w:r w:rsidR="00FC538C" w:rsidRPr="009C0B84">
        <w:rPr>
          <w:rFonts w:asciiTheme="majorBidi" w:eastAsia="Times New Roman" w:hAnsiTheme="majorBidi" w:cstheme="majorBidi"/>
          <w:color w:val="333333"/>
        </w:rPr>
        <w:t>, 6811 patients age ≥65-</w:t>
      </w:r>
      <w:r w:rsidR="00410E38" w:rsidRPr="009C0B84">
        <w:rPr>
          <w:rFonts w:asciiTheme="majorBidi" w:eastAsia="Times New Roman" w:hAnsiTheme="majorBidi" w:cstheme="majorBidi"/>
          <w:color w:val="333333"/>
        </w:rPr>
        <w:t>&lt;</w:t>
      </w:r>
      <w:r w:rsidR="00363D2A" w:rsidRPr="009C0B84">
        <w:rPr>
          <w:rFonts w:asciiTheme="majorBidi" w:eastAsia="Times New Roman" w:hAnsiTheme="majorBidi" w:cstheme="majorBidi"/>
          <w:color w:val="333333"/>
        </w:rPr>
        <w:t>75 and 1096 patients</w:t>
      </w:r>
      <w:r w:rsidR="009312D1" w:rsidRPr="009C0B84">
        <w:rPr>
          <w:rFonts w:asciiTheme="majorBidi" w:eastAsia="Times New Roman" w:hAnsiTheme="majorBidi" w:cstheme="majorBidi"/>
          <w:color w:val="333333"/>
        </w:rPr>
        <w:t xml:space="preserve"> age</w:t>
      </w:r>
      <w:r w:rsidR="00363D2A" w:rsidRPr="009C0B84">
        <w:rPr>
          <w:rFonts w:asciiTheme="majorBidi" w:eastAsia="Times New Roman" w:hAnsiTheme="majorBidi" w:cstheme="majorBidi"/>
          <w:color w:val="333333"/>
        </w:rPr>
        <w:t xml:space="preserve"> ≥75 years</w:t>
      </w:r>
      <w:r w:rsidR="00FF74F3" w:rsidRPr="009C0B84">
        <w:rPr>
          <w:rFonts w:asciiTheme="majorBidi" w:eastAsia="Times New Roman" w:hAnsiTheme="majorBidi" w:cstheme="majorBidi"/>
          <w:color w:val="333333"/>
        </w:rPr>
        <w:t xml:space="preserve">, their baseline characteristics are shown in </w:t>
      </w:r>
      <w:r w:rsidR="005F6485">
        <w:rPr>
          <w:rFonts w:asciiTheme="majorBidi" w:eastAsia="Times New Roman" w:hAnsiTheme="majorBidi" w:cstheme="majorBidi"/>
          <w:color w:val="333333"/>
        </w:rPr>
        <w:t xml:space="preserve">supplementary </w:t>
      </w:r>
      <w:r w:rsidR="00FF74F3" w:rsidRPr="009C0B84">
        <w:rPr>
          <w:rFonts w:asciiTheme="majorBidi" w:eastAsia="Times New Roman" w:hAnsiTheme="majorBidi" w:cstheme="majorBidi"/>
          <w:color w:val="333333"/>
        </w:rPr>
        <w:t>table 1</w:t>
      </w:r>
      <w:r w:rsidR="00363D2A" w:rsidRPr="009C0B84">
        <w:rPr>
          <w:rFonts w:asciiTheme="majorBidi" w:eastAsia="Times New Roman" w:hAnsiTheme="majorBidi" w:cstheme="majorBidi"/>
          <w:color w:val="333333"/>
        </w:rPr>
        <w:t xml:space="preserve">. </w:t>
      </w:r>
      <w:r w:rsidR="002C5E80" w:rsidRPr="009C0B84">
        <w:rPr>
          <w:rFonts w:asciiTheme="majorBidi" w:eastAsia="Times New Roman" w:hAnsiTheme="majorBidi" w:cstheme="majorBidi"/>
          <w:color w:val="333333"/>
        </w:rPr>
        <w:t xml:space="preserve">Chronic kidney disease </w:t>
      </w:r>
      <w:r w:rsidR="0038406F">
        <w:rPr>
          <w:rFonts w:asciiTheme="majorBidi" w:eastAsia="Times New Roman" w:hAnsiTheme="majorBidi" w:cstheme="majorBidi"/>
          <w:color w:val="333333"/>
        </w:rPr>
        <w:t xml:space="preserve">(CKD) </w:t>
      </w:r>
      <w:r w:rsidR="002C5E80" w:rsidRPr="009C0B84">
        <w:rPr>
          <w:rFonts w:asciiTheme="majorBidi" w:eastAsia="Times New Roman" w:hAnsiTheme="majorBidi" w:cstheme="majorBidi"/>
          <w:color w:val="333333"/>
        </w:rPr>
        <w:t>and history of heart failure were more prevalent with increasing age as was use of</w:t>
      </w:r>
      <w:r w:rsidR="00363D2A" w:rsidRPr="009C0B84">
        <w:rPr>
          <w:rFonts w:asciiTheme="majorBidi" w:eastAsia="Times New Roman" w:hAnsiTheme="majorBidi" w:cstheme="majorBidi"/>
          <w:color w:val="333333"/>
        </w:rPr>
        <w:t xml:space="preserve"> AC</w:t>
      </w:r>
      <w:r w:rsidR="00FC538C" w:rsidRPr="009C0B84">
        <w:rPr>
          <w:rFonts w:asciiTheme="majorBidi" w:eastAsia="Times New Roman" w:hAnsiTheme="majorBidi" w:cstheme="majorBidi"/>
          <w:color w:val="333333"/>
        </w:rPr>
        <w:t>E</w:t>
      </w:r>
      <w:r w:rsidR="00363D2A" w:rsidRPr="009C0B84">
        <w:rPr>
          <w:rFonts w:asciiTheme="majorBidi" w:eastAsia="Times New Roman" w:hAnsiTheme="majorBidi" w:cstheme="majorBidi"/>
          <w:color w:val="333333"/>
        </w:rPr>
        <w:t xml:space="preserve"> inhibitors or ARB, diuretics</w:t>
      </w:r>
      <w:r w:rsidR="00FF74F3" w:rsidRPr="009C0B84">
        <w:rPr>
          <w:rFonts w:asciiTheme="majorBidi" w:eastAsia="Times New Roman" w:hAnsiTheme="majorBidi" w:cstheme="majorBidi"/>
          <w:color w:val="333333"/>
        </w:rPr>
        <w:t>, loop diuretics</w:t>
      </w:r>
      <w:r w:rsidR="00363D2A" w:rsidRPr="009C0B84">
        <w:rPr>
          <w:rFonts w:asciiTheme="majorBidi" w:eastAsia="Times New Roman" w:hAnsiTheme="majorBidi" w:cstheme="majorBidi"/>
          <w:color w:val="333333"/>
        </w:rPr>
        <w:t xml:space="preserve"> and antiplatelet therapy</w:t>
      </w:r>
      <w:r w:rsidRPr="009C0B84">
        <w:rPr>
          <w:rFonts w:asciiTheme="majorBidi" w:eastAsia="Times New Roman" w:hAnsiTheme="majorBidi" w:cstheme="majorBidi"/>
          <w:color w:val="333333"/>
        </w:rPr>
        <w:t>.</w:t>
      </w:r>
      <w:r w:rsidR="007A5025" w:rsidRPr="009C0B84">
        <w:rPr>
          <w:rFonts w:asciiTheme="majorBidi" w:eastAsia="Times New Roman" w:hAnsiTheme="majorBidi" w:cstheme="majorBidi"/>
          <w:color w:val="333333"/>
        </w:rPr>
        <w:t xml:space="preserve"> </w:t>
      </w:r>
    </w:p>
    <w:p w14:paraId="45CB8888" w14:textId="77777777" w:rsidR="00FC538C" w:rsidRPr="009C0B84" w:rsidRDefault="00FC538C" w:rsidP="001525B4">
      <w:pPr>
        <w:spacing w:before="100" w:beforeAutospacing="1" w:after="100" w:afterAutospacing="1" w:line="480" w:lineRule="auto"/>
        <w:rPr>
          <w:rFonts w:asciiTheme="majorBidi" w:eastAsia="Times New Roman" w:hAnsiTheme="majorBidi" w:cstheme="majorBidi"/>
          <w:color w:val="000000"/>
        </w:rPr>
      </w:pPr>
    </w:p>
    <w:p w14:paraId="2C419EC0" w14:textId="77777777" w:rsidR="00E95DF1" w:rsidRPr="009C0B84" w:rsidRDefault="00E95DF1" w:rsidP="001525B4">
      <w:pPr>
        <w:spacing w:before="100" w:beforeAutospacing="1" w:after="100" w:afterAutospacing="1" w:line="480" w:lineRule="auto"/>
        <w:rPr>
          <w:rFonts w:asciiTheme="majorBidi" w:eastAsia="Times New Roman" w:hAnsiTheme="majorBidi" w:cstheme="majorBidi"/>
          <w:b/>
          <w:bCs/>
          <w:i/>
          <w:iCs/>
          <w:color w:val="333333"/>
        </w:rPr>
      </w:pPr>
      <w:r w:rsidRPr="009C0B84">
        <w:rPr>
          <w:rFonts w:asciiTheme="majorBidi" w:eastAsia="Times New Roman" w:hAnsiTheme="majorBidi" w:cstheme="majorBidi"/>
          <w:b/>
          <w:bCs/>
          <w:i/>
          <w:iCs/>
          <w:color w:val="333333"/>
        </w:rPr>
        <w:t>Efficacy</w:t>
      </w:r>
    </w:p>
    <w:p w14:paraId="6C740151" w14:textId="456035E8" w:rsidR="00CB2341" w:rsidRPr="009C0B84" w:rsidRDefault="006702C2" w:rsidP="006702C2">
      <w:pPr>
        <w:autoSpaceDE w:val="0"/>
        <w:autoSpaceDN w:val="0"/>
        <w:adjustRightInd w:val="0"/>
        <w:spacing w:before="100" w:beforeAutospacing="1" w:after="100" w:afterAutospacing="1" w:line="480" w:lineRule="auto"/>
        <w:rPr>
          <w:rFonts w:asciiTheme="majorBidi" w:eastAsia="Times New Roman" w:hAnsiTheme="majorBidi" w:cstheme="majorBidi"/>
          <w:color w:val="333333"/>
        </w:rPr>
      </w:pPr>
      <w:r>
        <w:rPr>
          <w:rFonts w:asciiTheme="majorBidi" w:eastAsia="Times New Roman" w:hAnsiTheme="majorBidi" w:cstheme="majorBidi"/>
          <w:color w:val="333333"/>
        </w:rPr>
        <w:t>Overall i</w:t>
      </w:r>
      <w:r w:rsidR="003934EE" w:rsidRPr="009C0B84">
        <w:rPr>
          <w:rFonts w:asciiTheme="majorBidi" w:eastAsia="Times New Roman" w:hAnsiTheme="majorBidi" w:cstheme="majorBidi"/>
          <w:color w:val="333333"/>
        </w:rPr>
        <w:t xml:space="preserve">ncidence rates of the </w:t>
      </w:r>
      <w:r w:rsidR="002C5E80" w:rsidRPr="009C0B84">
        <w:rPr>
          <w:rFonts w:asciiTheme="majorBidi" w:eastAsia="Times New Roman" w:hAnsiTheme="majorBidi" w:cstheme="majorBidi"/>
          <w:color w:val="333333"/>
        </w:rPr>
        <w:t xml:space="preserve">dual </w:t>
      </w:r>
      <w:r w:rsidR="003934EE" w:rsidRPr="009C0B84">
        <w:rPr>
          <w:rFonts w:asciiTheme="majorBidi" w:eastAsia="Times New Roman" w:hAnsiTheme="majorBidi" w:cstheme="majorBidi"/>
          <w:color w:val="333333"/>
        </w:rPr>
        <w:t xml:space="preserve">primary composite </w:t>
      </w:r>
      <w:r w:rsidR="002C5E80" w:rsidRPr="009C0B84">
        <w:rPr>
          <w:rFonts w:asciiTheme="majorBidi" w:eastAsia="Times New Roman" w:hAnsiTheme="majorBidi" w:cstheme="majorBidi"/>
          <w:color w:val="333333"/>
        </w:rPr>
        <w:t xml:space="preserve">efficacy </w:t>
      </w:r>
      <w:r w:rsidR="003934EE" w:rsidRPr="009C0B84">
        <w:rPr>
          <w:rFonts w:asciiTheme="majorBidi" w:eastAsia="Times New Roman" w:hAnsiTheme="majorBidi" w:cstheme="majorBidi"/>
          <w:color w:val="333333"/>
        </w:rPr>
        <w:t xml:space="preserve">endpoints </w:t>
      </w:r>
      <w:r w:rsidR="003934EE" w:rsidRPr="009C0B84">
        <w:rPr>
          <w:rFonts w:asciiTheme="majorBidi" w:hAnsiTheme="majorBidi" w:cstheme="majorBidi"/>
        </w:rPr>
        <w:t xml:space="preserve">and of their individual components </w:t>
      </w:r>
      <w:r w:rsidR="00235690" w:rsidRPr="009C0B84">
        <w:rPr>
          <w:rFonts w:asciiTheme="majorBidi" w:eastAsia="Times New Roman" w:hAnsiTheme="majorBidi" w:cstheme="majorBidi"/>
          <w:color w:val="333333"/>
        </w:rPr>
        <w:t xml:space="preserve">were higher </w:t>
      </w:r>
      <w:r w:rsidR="003934EE" w:rsidRPr="009C0B84">
        <w:rPr>
          <w:rFonts w:asciiTheme="majorBidi" w:eastAsia="Times New Roman" w:hAnsiTheme="majorBidi" w:cstheme="majorBidi"/>
          <w:color w:val="333333"/>
        </w:rPr>
        <w:t xml:space="preserve">with increasing age. </w:t>
      </w:r>
      <w:r w:rsidR="00396FEC" w:rsidRPr="009C0B84">
        <w:rPr>
          <w:rFonts w:asciiTheme="majorBidi" w:eastAsia="Times New Roman" w:hAnsiTheme="majorBidi" w:cstheme="majorBidi"/>
          <w:color w:val="333333"/>
        </w:rPr>
        <w:t xml:space="preserve">Incidence rates of CVD/HHF were </w:t>
      </w:r>
      <w:r w:rsidR="006107A8" w:rsidRPr="009C0B84">
        <w:rPr>
          <w:rFonts w:asciiTheme="majorBidi" w:eastAsia="Times New Roman" w:hAnsiTheme="majorBidi" w:cstheme="majorBidi"/>
          <w:color w:val="333333"/>
        </w:rPr>
        <w:t>10.9</w:t>
      </w:r>
      <w:r w:rsidR="00E07F29" w:rsidRPr="009C0B84">
        <w:rPr>
          <w:rFonts w:asciiTheme="majorBidi" w:eastAsia="Times New Roman" w:hAnsiTheme="majorBidi" w:cstheme="majorBidi"/>
          <w:color w:val="333333"/>
        </w:rPr>
        <w:t xml:space="preserve">, </w:t>
      </w:r>
      <w:r w:rsidR="006107A8" w:rsidRPr="009C0B84">
        <w:rPr>
          <w:rFonts w:asciiTheme="majorBidi" w:eastAsia="Times New Roman" w:hAnsiTheme="majorBidi" w:cstheme="majorBidi"/>
          <w:color w:val="333333"/>
        </w:rPr>
        <w:t>14.8</w:t>
      </w:r>
      <w:r w:rsidR="00E07F29" w:rsidRPr="009C0B84">
        <w:rPr>
          <w:rFonts w:asciiTheme="majorBidi" w:eastAsia="Times New Roman" w:hAnsiTheme="majorBidi" w:cstheme="majorBidi"/>
          <w:color w:val="333333"/>
        </w:rPr>
        <w:t xml:space="preserve"> and </w:t>
      </w:r>
      <w:r w:rsidR="006107A8" w:rsidRPr="009C0B84">
        <w:rPr>
          <w:rFonts w:asciiTheme="majorBidi" w:eastAsia="Times New Roman" w:hAnsiTheme="majorBidi" w:cstheme="majorBidi"/>
          <w:color w:val="333333"/>
        </w:rPr>
        <w:t>26.7</w:t>
      </w:r>
      <w:r w:rsidR="00E07F29" w:rsidRPr="009C0B84">
        <w:rPr>
          <w:rFonts w:asciiTheme="majorBidi" w:eastAsia="Times New Roman" w:hAnsiTheme="majorBidi" w:cstheme="majorBidi"/>
          <w:color w:val="333333"/>
        </w:rPr>
        <w:t xml:space="preserve"> </w:t>
      </w:r>
      <w:r w:rsidR="006107A8" w:rsidRPr="009C0B84">
        <w:rPr>
          <w:rFonts w:asciiTheme="majorBidi" w:eastAsia="Times New Roman" w:hAnsiTheme="majorBidi" w:cstheme="majorBidi"/>
          <w:color w:val="333333"/>
        </w:rPr>
        <w:t>(p &lt;0.0001</w:t>
      </w:r>
      <w:r w:rsidR="00494611" w:rsidRPr="009C0B84">
        <w:rPr>
          <w:rFonts w:asciiTheme="majorBidi" w:eastAsia="Times New Roman" w:hAnsiTheme="majorBidi" w:cstheme="majorBidi"/>
          <w:color w:val="333333"/>
        </w:rPr>
        <w:t xml:space="preserve">) </w:t>
      </w:r>
      <w:r w:rsidR="00E07F29" w:rsidRPr="009C0B84">
        <w:rPr>
          <w:rFonts w:asciiTheme="majorBidi" w:eastAsia="Times New Roman" w:hAnsiTheme="majorBidi" w:cstheme="majorBidi"/>
          <w:color w:val="333333"/>
        </w:rPr>
        <w:t xml:space="preserve">and those of MACE were </w:t>
      </w:r>
      <w:r w:rsidR="006107A8" w:rsidRPr="009C0B84">
        <w:rPr>
          <w:rFonts w:asciiTheme="majorBidi" w:eastAsia="Times New Roman" w:hAnsiTheme="majorBidi" w:cstheme="majorBidi"/>
          <w:color w:val="333333"/>
        </w:rPr>
        <w:t>20.9</w:t>
      </w:r>
      <w:r w:rsidR="00E07F29" w:rsidRPr="009C0B84">
        <w:rPr>
          <w:rFonts w:asciiTheme="majorBidi" w:eastAsia="Times New Roman" w:hAnsiTheme="majorBidi" w:cstheme="majorBidi"/>
          <w:color w:val="333333"/>
        </w:rPr>
        <w:t xml:space="preserve">, </w:t>
      </w:r>
      <w:r w:rsidR="006107A8" w:rsidRPr="009C0B84">
        <w:rPr>
          <w:rFonts w:asciiTheme="majorBidi" w:eastAsia="Times New Roman" w:hAnsiTheme="majorBidi" w:cstheme="majorBidi"/>
          <w:color w:val="333333"/>
        </w:rPr>
        <w:t>24.7</w:t>
      </w:r>
      <w:r w:rsidR="00E07F29" w:rsidRPr="009C0B84">
        <w:rPr>
          <w:rFonts w:asciiTheme="majorBidi" w:eastAsia="Times New Roman" w:hAnsiTheme="majorBidi" w:cstheme="majorBidi"/>
          <w:color w:val="333333"/>
        </w:rPr>
        <w:t xml:space="preserve"> and </w:t>
      </w:r>
      <w:r w:rsidR="006107A8" w:rsidRPr="009C0B84">
        <w:rPr>
          <w:rFonts w:asciiTheme="majorBidi" w:eastAsia="Times New Roman" w:hAnsiTheme="majorBidi" w:cstheme="majorBidi"/>
          <w:color w:val="333333"/>
        </w:rPr>
        <w:t>37.4</w:t>
      </w:r>
      <w:r w:rsidR="00E07F29" w:rsidRPr="009C0B84">
        <w:rPr>
          <w:rFonts w:asciiTheme="majorBidi" w:eastAsia="Times New Roman" w:hAnsiTheme="majorBidi" w:cstheme="majorBidi"/>
          <w:color w:val="333333"/>
        </w:rPr>
        <w:t xml:space="preserve"> cases per 1000 person years in age group</w:t>
      </w:r>
      <w:r w:rsidR="00CB2341" w:rsidRPr="009C0B84">
        <w:rPr>
          <w:rFonts w:asciiTheme="majorBidi" w:eastAsia="Times New Roman" w:hAnsiTheme="majorBidi" w:cstheme="majorBidi"/>
          <w:color w:val="333333"/>
        </w:rPr>
        <w:t>s</w:t>
      </w:r>
      <w:r w:rsidR="00E07F29" w:rsidRPr="009C0B84">
        <w:rPr>
          <w:rFonts w:asciiTheme="majorBidi" w:eastAsia="Times New Roman" w:hAnsiTheme="majorBidi" w:cstheme="majorBidi"/>
          <w:color w:val="333333"/>
        </w:rPr>
        <w:t xml:space="preserve"> &lt;65, ≥65-</w:t>
      </w:r>
      <w:r w:rsidR="00410E38" w:rsidRPr="009C0B84">
        <w:rPr>
          <w:rFonts w:asciiTheme="majorBidi" w:eastAsia="Times New Roman" w:hAnsiTheme="majorBidi" w:cstheme="majorBidi"/>
          <w:color w:val="333333"/>
        </w:rPr>
        <w:t>&lt;</w:t>
      </w:r>
      <w:r w:rsidR="00E07F29" w:rsidRPr="009C0B84">
        <w:rPr>
          <w:rFonts w:asciiTheme="majorBidi" w:eastAsia="Times New Roman" w:hAnsiTheme="majorBidi" w:cstheme="majorBidi"/>
          <w:color w:val="333333"/>
        </w:rPr>
        <w:t xml:space="preserve">75 and </w:t>
      </w:r>
      <w:r w:rsidR="00410E38" w:rsidRPr="009C0B84">
        <w:rPr>
          <w:rFonts w:asciiTheme="majorBidi" w:eastAsia="Times New Roman" w:hAnsiTheme="majorBidi" w:cstheme="majorBidi"/>
          <w:color w:val="333333"/>
        </w:rPr>
        <w:t>≥</w:t>
      </w:r>
      <w:r w:rsidR="00E07F29" w:rsidRPr="009C0B84">
        <w:rPr>
          <w:rFonts w:asciiTheme="majorBidi" w:eastAsia="Times New Roman" w:hAnsiTheme="majorBidi" w:cstheme="majorBidi"/>
          <w:color w:val="333333"/>
        </w:rPr>
        <w:t>75 respectively</w:t>
      </w:r>
      <w:r w:rsidR="00FF151D" w:rsidRPr="009C0B84">
        <w:rPr>
          <w:rFonts w:asciiTheme="majorBidi" w:eastAsia="Times New Roman" w:hAnsiTheme="majorBidi" w:cstheme="majorBidi"/>
          <w:color w:val="333333"/>
          <w:rtl/>
        </w:rPr>
        <w:t xml:space="preserve"> </w:t>
      </w:r>
      <w:r w:rsidR="00494611" w:rsidRPr="009C0B84">
        <w:rPr>
          <w:rFonts w:asciiTheme="majorBidi" w:eastAsia="Times New Roman" w:hAnsiTheme="majorBidi" w:cstheme="majorBidi"/>
          <w:color w:val="333333"/>
        </w:rPr>
        <w:t>(p</w:t>
      </w:r>
      <w:r w:rsidR="006107A8" w:rsidRPr="009C0B84">
        <w:rPr>
          <w:rFonts w:asciiTheme="majorBidi" w:eastAsia="Times New Roman" w:hAnsiTheme="majorBidi" w:cstheme="majorBidi"/>
          <w:color w:val="333333"/>
        </w:rPr>
        <w:t>&lt;0.0001</w:t>
      </w:r>
      <w:r w:rsidR="00494611" w:rsidRPr="009C0B84">
        <w:rPr>
          <w:rFonts w:asciiTheme="majorBidi" w:eastAsia="Times New Roman" w:hAnsiTheme="majorBidi" w:cstheme="majorBidi"/>
          <w:color w:val="333333"/>
        </w:rPr>
        <w:t>)</w:t>
      </w:r>
      <w:r w:rsidR="00E07F29" w:rsidRPr="009C0B84">
        <w:rPr>
          <w:rFonts w:asciiTheme="majorBidi" w:eastAsia="Times New Roman" w:hAnsiTheme="majorBidi" w:cstheme="majorBidi"/>
          <w:color w:val="333333"/>
        </w:rPr>
        <w:t xml:space="preserve">. </w:t>
      </w:r>
    </w:p>
    <w:p w14:paraId="39636AE6" w14:textId="717182B1" w:rsidR="00CB2341" w:rsidRPr="009C0B84" w:rsidRDefault="00142BC1" w:rsidP="001525B4">
      <w:pPr>
        <w:autoSpaceDE w:val="0"/>
        <w:autoSpaceDN w:val="0"/>
        <w:adjustRightInd w:val="0"/>
        <w:spacing w:before="100" w:beforeAutospacing="1" w:after="100" w:afterAutospacing="1" w:line="480" w:lineRule="auto"/>
        <w:rPr>
          <w:rFonts w:asciiTheme="majorBidi" w:eastAsia="Times New Roman" w:hAnsiTheme="majorBidi" w:cstheme="majorBidi"/>
          <w:color w:val="333333"/>
        </w:rPr>
      </w:pPr>
      <w:r w:rsidRPr="009C0B84">
        <w:rPr>
          <w:rFonts w:asciiTheme="majorBidi" w:eastAsia="Times New Roman" w:hAnsiTheme="majorBidi" w:cstheme="majorBidi"/>
          <w:color w:val="333333"/>
        </w:rPr>
        <w:t>Dapagliflozin reduced the composite CVD/HHF consistently with HR</w:t>
      </w:r>
      <w:r w:rsidR="00BD00FA" w:rsidRPr="009C0B84">
        <w:rPr>
          <w:rFonts w:asciiTheme="majorBidi" w:eastAsia="Times New Roman" w:hAnsiTheme="majorBidi" w:cstheme="majorBidi"/>
          <w:color w:val="333333"/>
        </w:rPr>
        <w:t xml:space="preserve"> </w:t>
      </w:r>
      <w:r w:rsidRPr="009C0B84">
        <w:rPr>
          <w:rFonts w:asciiTheme="majorBidi" w:eastAsia="Times New Roman" w:hAnsiTheme="majorBidi" w:cstheme="majorBidi"/>
          <w:color w:val="333333"/>
        </w:rPr>
        <w:t>(95%CI) of 0.88</w:t>
      </w:r>
      <w:r w:rsidR="00BD00FA" w:rsidRPr="009C0B84">
        <w:rPr>
          <w:rFonts w:asciiTheme="majorBidi" w:eastAsia="Times New Roman" w:hAnsiTheme="majorBidi" w:cstheme="majorBidi"/>
          <w:color w:val="333333"/>
        </w:rPr>
        <w:t xml:space="preserve"> </w:t>
      </w:r>
      <w:r w:rsidRPr="009C0B84">
        <w:rPr>
          <w:rFonts w:asciiTheme="majorBidi" w:eastAsia="Times New Roman" w:hAnsiTheme="majorBidi" w:cstheme="majorBidi"/>
          <w:color w:val="333333"/>
        </w:rPr>
        <w:t>(0.</w:t>
      </w:r>
      <w:r w:rsidRPr="009C0B84">
        <w:rPr>
          <w:rFonts w:asciiTheme="majorBidi" w:eastAsia="Times New Roman" w:hAnsiTheme="majorBidi" w:cstheme="majorBidi"/>
          <w:color w:val="333333"/>
          <w:rtl/>
        </w:rPr>
        <w:t>72</w:t>
      </w:r>
      <w:r w:rsidRPr="009C0B84">
        <w:rPr>
          <w:rFonts w:asciiTheme="majorBidi" w:eastAsia="Times New Roman" w:hAnsiTheme="majorBidi" w:cstheme="majorBidi"/>
          <w:color w:val="333333"/>
        </w:rPr>
        <w:t>,1.</w:t>
      </w:r>
      <w:r w:rsidRPr="009C0B84">
        <w:rPr>
          <w:rFonts w:asciiTheme="majorBidi" w:eastAsia="Times New Roman" w:hAnsiTheme="majorBidi" w:cstheme="majorBidi"/>
          <w:color w:val="333333"/>
          <w:rtl/>
        </w:rPr>
        <w:t>07</w:t>
      </w:r>
      <w:r w:rsidRPr="009C0B84">
        <w:rPr>
          <w:rFonts w:asciiTheme="majorBidi" w:eastAsia="Times New Roman" w:hAnsiTheme="majorBidi" w:cstheme="majorBidi"/>
          <w:color w:val="333333"/>
        </w:rPr>
        <w:t>), 0.77</w:t>
      </w:r>
      <w:r w:rsidR="00BD00FA" w:rsidRPr="009C0B84">
        <w:rPr>
          <w:rFonts w:asciiTheme="majorBidi" w:eastAsia="Times New Roman" w:hAnsiTheme="majorBidi" w:cstheme="majorBidi"/>
          <w:color w:val="333333"/>
        </w:rPr>
        <w:t xml:space="preserve"> </w:t>
      </w:r>
      <w:r w:rsidRPr="009C0B84">
        <w:rPr>
          <w:rFonts w:asciiTheme="majorBidi" w:eastAsia="Times New Roman" w:hAnsiTheme="majorBidi" w:cstheme="majorBidi"/>
          <w:color w:val="333333"/>
        </w:rPr>
        <w:t>(0.63,0.94), and 0.94</w:t>
      </w:r>
      <w:r w:rsidR="00BD00FA" w:rsidRPr="009C0B84">
        <w:rPr>
          <w:rFonts w:asciiTheme="majorBidi" w:eastAsia="Times New Roman" w:hAnsiTheme="majorBidi" w:cstheme="majorBidi"/>
          <w:color w:val="333333"/>
        </w:rPr>
        <w:t xml:space="preserve"> </w:t>
      </w:r>
      <w:r w:rsidRPr="009C0B84">
        <w:rPr>
          <w:rFonts w:asciiTheme="majorBidi" w:eastAsia="Times New Roman" w:hAnsiTheme="majorBidi" w:cstheme="majorBidi"/>
          <w:color w:val="333333"/>
        </w:rPr>
        <w:t xml:space="preserve">(0.65,1.36) in age groups &lt;65, ≥65-&lt;75 and ≥75 respectively (interaction p-value 0.5277). </w:t>
      </w:r>
      <w:r w:rsidR="00630317" w:rsidRPr="009C0B84">
        <w:rPr>
          <w:rFonts w:asciiTheme="majorBidi" w:eastAsia="Times New Roman" w:hAnsiTheme="majorBidi" w:cstheme="majorBidi"/>
          <w:color w:val="333333"/>
        </w:rPr>
        <w:t>The HR</w:t>
      </w:r>
      <w:r w:rsidR="00BD00FA" w:rsidRPr="009C0B84">
        <w:rPr>
          <w:rFonts w:asciiTheme="majorBidi" w:eastAsia="Times New Roman" w:hAnsiTheme="majorBidi" w:cstheme="majorBidi"/>
          <w:color w:val="333333"/>
        </w:rPr>
        <w:t xml:space="preserve"> </w:t>
      </w:r>
      <w:r w:rsidR="00630317" w:rsidRPr="009C0B84">
        <w:rPr>
          <w:rFonts w:asciiTheme="majorBidi" w:eastAsia="Times New Roman" w:hAnsiTheme="majorBidi" w:cstheme="majorBidi"/>
          <w:color w:val="333333"/>
        </w:rPr>
        <w:t xml:space="preserve">(95%CI) for dapagliflozin for major adverse cardiovascular events were </w:t>
      </w:r>
      <w:r w:rsidRPr="009C0B84">
        <w:rPr>
          <w:rFonts w:asciiTheme="majorBidi" w:eastAsia="Times New Roman" w:hAnsiTheme="majorBidi" w:cstheme="majorBidi"/>
          <w:color w:val="333333"/>
        </w:rPr>
        <w:t>0.93</w:t>
      </w:r>
      <w:r w:rsidR="00BD00FA" w:rsidRPr="009C0B84">
        <w:rPr>
          <w:rFonts w:asciiTheme="majorBidi" w:eastAsia="Times New Roman" w:hAnsiTheme="majorBidi" w:cstheme="majorBidi"/>
          <w:color w:val="333333"/>
        </w:rPr>
        <w:t xml:space="preserve"> </w:t>
      </w:r>
      <w:r w:rsidRPr="009C0B84">
        <w:rPr>
          <w:rFonts w:asciiTheme="majorBidi" w:eastAsia="Times New Roman" w:hAnsiTheme="majorBidi" w:cstheme="majorBidi"/>
          <w:color w:val="333333"/>
        </w:rPr>
        <w:t>(0.81,1.</w:t>
      </w:r>
      <w:r w:rsidRPr="009C0B84">
        <w:rPr>
          <w:rFonts w:asciiTheme="majorBidi" w:eastAsia="Times New Roman" w:hAnsiTheme="majorBidi" w:cstheme="majorBidi"/>
          <w:color w:val="333333"/>
          <w:rtl/>
        </w:rPr>
        <w:t>0</w:t>
      </w:r>
      <w:r w:rsidRPr="009C0B84">
        <w:rPr>
          <w:rFonts w:asciiTheme="majorBidi" w:eastAsia="Times New Roman" w:hAnsiTheme="majorBidi" w:cstheme="majorBidi"/>
          <w:color w:val="333333"/>
        </w:rPr>
        <w:t>8), 0.97</w:t>
      </w:r>
      <w:r w:rsidR="00BD00FA" w:rsidRPr="009C0B84">
        <w:rPr>
          <w:rFonts w:asciiTheme="majorBidi" w:eastAsia="Times New Roman" w:hAnsiTheme="majorBidi" w:cstheme="majorBidi"/>
          <w:color w:val="333333"/>
        </w:rPr>
        <w:t xml:space="preserve"> </w:t>
      </w:r>
      <w:r w:rsidRPr="009C0B84">
        <w:rPr>
          <w:rFonts w:asciiTheme="majorBidi" w:eastAsia="Times New Roman" w:hAnsiTheme="majorBidi" w:cstheme="majorBidi"/>
          <w:color w:val="333333"/>
        </w:rPr>
        <w:t>(0.83,1.13), and 0.84</w:t>
      </w:r>
      <w:r w:rsidR="00BD00FA" w:rsidRPr="009C0B84">
        <w:rPr>
          <w:rFonts w:asciiTheme="majorBidi" w:eastAsia="Times New Roman" w:hAnsiTheme="majorBidi" w:cstheme="majorBidi"/>
          <w:color w:val="333333"/>
        </w:rPr>
        <w:t xml:space="preserve"> </w:t>
      </w:r>
      <w:r w:rsidRPr="009C0B84">
        <w:rPr>
          <w:rFonts w:asciiTheme="majorBidi" w:eastAsia="Times New Roman" w:hAnsiTheme="majorBidi" w:cstheme="majorBidi"/>
          <w:color w:val="333333"/>
        </w:rPr>
        <w:t xml:space="preserve">(0.61,1.15) in age groups &lt;65, ≥65-&lt;75 and ≥75 respectively (interaction p-value 0.7352). Rates of HHF were reduced with </w:t>
      </w:r>
      <w:r w:rsidR="00E7639D" w:rsidRPr="009C0B84">
        <w:rPr>
          <w:rFonts w:asciiTheme="majorBidi" w:eastAsia="Times New Roman" w:hAnsiTheme="majorBidi" w:cstheme="majorBidi"/>
          <w:color w:val="333333"/>
        </w:rPr>
        <w:t xml:space="preserve">dapagliflozin with </w:t>
      </w:r>
      <w:r w:rsidRPr="009C0B84">
        <w:rPr>
          <w:rFonts w:asciiTheme="majorBidi" w:eastAsia="Times New Roman" w:hAnsiTheme="majorBidi" w:cstheme="majorBidi"/>
          <w:color w:val="333333"/>
        </w:rPr>
        <w:t>HR</w:t>
      </w:r>
      <w:r w:rsidR="00E70DE3" w:rsidRPr="009C0B84">
        <w:rPr>
          <w:rFonts w:asciiTheme="majorBidi" w:eastAsia="Times New Roman" w:hAnsiTheme="majorBidi" w:cstheme="majorBidi"/>
          <w:color w:val="333333"/>
        </w:rPr>
        <w:t xml:space="preserve"> </w:t>
      </w:r>
      <w:r w:rsidRPr="009C0B84">
        <w:rPr>
          <w:rFonts w:asciiTheme="majorBidi" w:eastAsia="Times New Roman" w:hAnsiTheme="majorBidi" w:cstheme="majorBidi"/>
          <w:color w:val="333333"/>
        </w:rPr>
        <w:t xml:space="preserve">(95% CI) </w:t>
      </w:r>
      <w:r w:rsidR="00E7639D" w:rsidRPr="009C0B84">
        <w:rPr>
          <w:rFonts w:asciiTheme="majorBidi" w:eastAsia="Times New Roman" w:hAnsiTheme="majorBidi" w:cstheme="majorBidi"/>
          <w:color w:val="333333"/>
        </w:rPr>
        <w:t xml:space="preserve">of 0.88 (0.68, 1.15), 0.60 (0.46, 0.79) and 0.81 (0.50, 1.30) respectively </w:t>
      </w:r>
      <w:r w:rsidR="002125EE" w:rsidRPr="009C0B84">
        <w:rPr>
          <w:rFonts w:asciiTheme="majorBidi" w:eastAsia="Times New Roman" w:hAnsiTheme="majorBidi" w:cstheme="majorBidi"/>
          <w:color w:val="333333"/>
        </w:rPr>
        <w:t xml:space="preserve">in age groups &lt;65, ≥65-&lt;75 and ≥75 </w:t>
      </w:r>
      <w:r w:rsidR="00E7639D" w:rsidRPr="009C0B84">
        <w:rPr>
          <w:rFonts w:asciiTheme="majorBidi" w:eastAsia="Times New Roman" w:hAnsiTheme="majorBidi" w:cstheme="majorBidi"/>
          <w:color w:val="333333"/>
        </w:rPr>
        <w:t xml:space="preserve">(interaction p-value 0.1402). </w:t>
      </w:r>
      <w:r w:rsidR="00CB2341" w:rsidRPr="009C0B84">
        <w:rPr>
          <w:rFonts w:asciiTheme="majorBidi" w:eastAsia="Times New Roman" w:hAnsiTheme="majorBidi" w:cstheme="majorBidi"/>
          <w:color w:val="333333"/>
        </w:rPr>
        <w:t>T</w:t>
      </w:r>
      <w:r w:rsidR="001355F6" w:rsidRPr="009C0B84">
        <w:rPr>
          <w:rFonts w:asciiTheme="majorBidi" w:eastAsia="Times New Roman" w:hAnsiTheme="majorBidi" w:cstheme="majorBidi"/>
          <w:color w:val="333333"/>
        </w:rPr>
        <w:t xml:space="preserve">he other components of the primary endpoints as well as all-cause mortality were unchanged, </w:t>
      </w:r>
      <w:r w:rsidR="00475C7E" w:rsidRPr="009C0B84">
        <w:rPr>
          <w:rFonts w:asciiTheme="majorBidi" w:eastAsia="Times New Roman" w:hAnsiTheme="majorBidi" w:cstheme="majorBidi"/>
          <w:color w:val="333333"/>
        </w:rPr>
        <w:t xml:space="preserve">with </w:t>
      </w:r>
      <w:r w:rsidR="001355F6" w:rsidRPr="009C0B84">
        <w:rPr>
          <w:rFonts w:asciiTheme="majorBidi" w:eastAsia="Times New Roman" w:hAnsiTheme="majorBidi" w:cstheme="majorBidi"/>
          <w:color w:val="333333"/>
        </w:rPr>
        <w:t>effects consistent across all age groups</w:t>
      </w:r>
      <w:r w:rsidR="00E70DE3" w:rsidRPr="009C0B84">
        <w:rPr>
          <w:rFonts w:asciiTheme="majorBidi" w:eastAsia="Times New Roman" w:hAnsiTheme="majorBidi" w:cstheme="majorBidi"/>
          <w:color w:val="333333"/>
        </w:rPr>
        <w:t xml:space="preserve"> (figure 1)</w:t>
      </w:r>
      <w:r w:rsidR="001355F6" w:rsidRPr="009C0B84">
        <w:rPr>
          <w:rFonts w:asciiTheme="majorBidi" w:eastAsia="Times New Roman" w:hAnsiTheme="majorBidi" w:cstheme="majorBidi"/>
          <w:color w:val="333333"/>
        </w:rPr>
        <w:t xml:space="preserve">. </w:t>
      </w:r>
    </w:p>
    <w:p w14:paraId="3608D7BE" w14:textId="106B952B" w:rsidR="003934EE" w:rsidRPr="009C0B84" w:rsidRDefault="008F6FC5" w:rsidP="001525B4">
      <w:pPr>
        <w:autoSpaceDE w:val="0"/>
        <w:autoSpaceDN w:val="0"/>
        <w:adjustRightInd w:val="0"/>
        <w:spacing w:before="100" w:beforeAutospacing="1" w:after="100" w:afterAutospacing="1" w:line="480" w:lineRule="auto"/>
        <w:rPr>
          <w:rFonts w:asciiTheme="majorBidi" w:eastAsia="Times New Roman" w:hAnsiTheme="majorBidi" w:cstheme="majorBidi"/>
          <w:color w:val="333333"/>
          <w:rtl/>
        </w:rPr>
      </w:pPr>
      <w:r w:rsidRPr="009C0B84">
        <w:rPr>
          <w:rFonts w:asciiTheme="majorBidi" w:eastAsia="Times New Roman" w:hAnsiTheme="majorBidi" w:cstheme="majorBidi"/>
          <w:color w:val="333333"/>
        </w:rPr>
        <w:t>T</w:t>
      </w:r>
      <w:r w:rsidR="003934EE" w:rsidRPr="009C0B84">
        <w:rPr>
          <w:rFonts w:asciiTheme="majorBidi" w:eastAsia="Times New Roman" w:hAnsiTheme="majorBidi" w:cstheme="majorBidi"/>
          <w:color w:val="333333"/>
        </w:rPr>
        <w:t xml:space="preserve">he </w:t>
      </w:r>
      <w:proofErr w:type="spellStart"/>
      <w:r w:rsidR="006107A8" w:rsidRPr="009C0B84">
        <w:rPr>
          <w:rFonts w:asciiTheme="majorBidi" w:eastAsia="Times New Roman" w:hAnsiTheme="majorBidi" w:cstheme="majorBidi"/>
          <w:color w:val="333333"/>
        </w:rPr>
        <w:t>cardiorenal</w:t>
      </w:r>
      <w:proofErr w:type="spellEnd"/>
      <w:r w:rsidR="006107A8" w:rsidRPr="009C0B84">
        <w:rPr>
          <w:rFonts w:asciiTheme="majorBidi" w:eastAsia="Times New Roman" w:hAnsiTheme="majorBidi" w:cstheme="majorBidi"/>
          <w:color w:val="333333"/>
        </w:rPr>
        <w:t xml:space="preserve"> secondary composite outcome</w:t>
      </w:r>
      <w:r w:rsidR="003934EE" w:rsidRPr="009C0B84">
        <w:rPr>
          <w:rFonts w:asciiTheme="majorBidi" w:eastAsia="Times New Roman" w:hAnsiTheme="majorBidi" w:cstheme="majorBidi"/>
          <w:color w:val="333333"/>
        </w:rPr>
        <w:t xml:space="preserve"> </w:t>
      </w:r>
      <w:r w:rsidR="006D19F1" w:rsidRPr="009C0B84">
        <w:rPr>
          <w:rFonts w:asciiTheme="majorBidi" w:eastAsia="Times New Roman" w:hAnsiTheme="majorBidi" w:cstheme="majorBidi"/>
          <w:color w:val="333333"/>
        </w:rPr>
        <w:t>(sustained decrease of 40% or more in eGFR to less than 60 ml/min/1.73m</w:t>
      </w:r>
      <w:r w:rsidR="006D19F1" w:rsidRPr="009C0B84">
        <w:rPr>
          <w:rFonts w:asciiTheme="majorBidi" w:eastAsia="Times New Roman" w:hAnsiTheme="majorBidi" w:cstheme="majorBidi"/>
          <w:color w:val="333333"/>
          <w:vertAlign w:val="superscript"/>
        </w:rPr>
        <w:t>2</w:t>
      </w:r>
      <w:r w:rsidR="002125EE" w:rsidRPr="009C0B84">
        <w:rPr>
          <w:rFonts w:asciiTheme="majorBidi" w:eastAsia="Times New Roman" w:hAnsiTheme="majorBidi" w:cstheme="majorBidi"/>
          <w:color w:val="333333"/>
        </w:rPr>
        <w:t>, new ESRD</w:t>
      </w:r>
      <w:r w:rsidR="006D19F1" w:rsidRPr="009C0B84">
        <w:rPr>
          <w:rFonts w:asciiTheme="majorBidi" w:eastAsia="Times New Roman" w:hAnsiTheme="majorBidi" w:cstheme="majorBidi"/>
          <w:color w:val="333333"/>
        </w:rPr>
        <w:t xml:space="preserve">, or death from renal or CV causes) </w:t>
      </w:r>
      <w:r w:rsidRPr="009C0B84">
        <w:rPr>
          <w:rFonts w:asciiTheme="majorBidi" w:eastAsia="Times New Roman" w:hAnsiTheme="majorBidi" w:cstheme="majorBidi"/>
          <w:color w:val="333333"/>
        </w:rPr>
        <w:t>was reduced with dapagliflozin vs. placebo</w:t>
      </w:r>
      <w:r w:rsidR="002125EE" w:rsidRPr="009C0B84">
        <w:rPr>
          <w:rFonts w:asciiTheme="majorBidi" w:eastAsia="Times New Roman" w:hAnsiTheme="majorBidi" w:cstheme="majorBidi"/>
          <w:color w:val="333333"/>
        </w:rPr>
        <w:t xml:space="preserve"> with HR</w:t>
      </w:r>
      <w:r w:rsidR="00BD00FA" w:rsidRPr="009C0B84">
        <w:rPr>
          <w:rFonts w:asciiTheme="majorBidi" w:eastAsia="Times New Roman" w:hAnsiTheme="majorBidi" w:cstheme="majorBidi"/>
          <w:color w:val="333333"/>
        </w:rPr>
        <w:t xml:space="preserve"> </w:t>
      </w:r>
      <w:r w:rsidR="002125EE" w:rsidRPr="009C0B84">
        <w:rPr>
          <w:rFonts w:asciiTheme="majorBidi" w:eastAsia="Times New Roman" w:hAnsiTheme="majorBidi" w:cstheme="majorBidi"/>
          <w:color w:val="333333"/>
        </w:rPr>
        <w:t>(95% CI) 0.72</w:t>
      </w:r>
      <w:r w:rsidR="00BD00FA" w:rsidRPr="009C0B84">
        <w:rPr>
          <w:rFonts w:asciiTheme="majorBidi" w:eastAsia="Times New Roman" w:hAnsiTheme="majorBidi" w:cstheme="majorBidi"/>
          <w:color w:val="333333"/>
        </w:rPr>
        <w:t xml:space="preserve"> </w:t>
      </w:r>
      <w:r w:rsidR="002125EE" w:rsidRPr="009C0B84">
        <w:rPr>
          <w:rFonts w:asciiTheme="majorBidi" w:eastAsia="Times New Roman" w:hAnsiTheme="majorBidi" w:cstheme="majorBidi"/>
          <w:color w:val="333333"/>
        </w:rPr>
        <w:t>(0.59, 0.88), 0.80 (0.65, 0.98) and 0.82</w:t>
      </w:r>
      <w:r w:rsidR="00BD00FA" w:rsidRPr="009C0B84">
        <w:rPr>
          <w:rFonts w:asciiTheme="majorBidi" w:eastAsia="Times New Roman" w:hAnsiTheme="majorBidi" w:cstheme="majorBidi"/>
          <w:color w:val="333333"/>
        </w:rPr>
        <w:t xml:space="preserve"> </w:t>
      </w:r>
      <w:r w:rsidR="002125EE" w:rsidRPr="009C0B84">
        <w:rPr>
          <w:rFonts w:asciiTheme="majorBidi" w:eastAsia="Times New Roman" w:hAnsiTheme="majorBidi" w:cstheme="majorBidi"/>
          <w:color w:val="333333"/>
        </w:rPr>
        <w:t>(0.52, 1.29) in age groups &lt;65, ≥65-&lt;75 and ≥75 respectively (interaction p-value 0.7299)</w:t>
      </w:r>
      <w:r w:rsidR="0037073D" w:rsidRPr="009C0B84">
        <w:rPr>
          <w:rFonts w:asciiTheme="majorBidi" w:eastAsia="Times New Roman" w:hAnsiTheme="majorBidi" w:cstheme="majorBidi"/>
          <w:color w:val="333333"/>
        </w:rPr>
        <w:t>.</w:t>
      </w:r>
      <w:r w:rsidRPr="009C0B84">
        <w:rPr>
          <w:rFonts w:asciiTheme="majorBidi" w:eastAsia="Times New Roman" w:hAnsiTheme="majorBidi" w:cstheme="majorBidi"/>
          <w:color w:val="333333"/>
        </w:rPr>
        <w:t xml:space="preserve"> </w:t>
      </w:r>
      <w:r w:rsidR="001355F6" w:rsidRPr="009C0B84">
        <w:rPr>
          <w:rFonts w:asciiTheme="majorBidi" w:eastAsia="Times New Roman" w:hAnsiTheme="majorBidi" w:cstheme="majorBidi"/>
          <w:color w:val="333333"/>
        </w:rPr>
        <w:t xml:space="preserve">Similar results were </w:t>
      </w:r>
      <w:r w:rsidR="009312D1" w:rsidRPr="009C0B84">
        <w:rPr>
          <w:rFonts w:asciiTheme="majorBidi" w:eastAsia="Times New Roman" w:hAnsiTheme="majorBidi" w:cstheme="majorBidi"/>
          <w:color w:val="333333"/>
        </w:rPr>
        <w:t>observed</w:t>
      </w:r>
      <w:r w:rsidR="00146920" w:rsidRPr="009C0B84">
        <w:rPr>
          <w:rFonts w:asciiTheme="majorBidi" w:eastAsia="Times New Roman" w:hAnsiTheme="majorBidi" w:cstheme="majorBidi"/>
          <w:color w:val="333333"/>
        </w:rPr>
        <w:t xml:space="preserve"> for </w:t>
      </w:r>
      <w:r w:rsidR="00487253" w:rsidRPr="009C0B84">
        <w:rPr>
          <w:rFonts w:asciiTheme="majorBidi" w:eastAsia="Times New Roman" w:hAnsiTheme="majorBidi" w:cstheme="majorBidi"/>
          <w:color w:val="333333"/>
        </w:rPr>
        <w:t xml:space="preserve">the </w:t>
      </w:r>
      <w:r w:rsidR="006107A8" w:rsidRPr="009C0B84">
        <w:rPr>
          <w:rFonts w:asciiTheme="majorBidi" w:eastAsia="Times New Roman" w:hAnsiTheme="majorBidi" w:cstheme="majorBidi"/>
          <w:color w:val="333333"/>
        </w:rPr>
        <w:t>renal-specific composite outcome</w:t>
      </w:r>
      <w:r w:rsidR="001355F6" w:rsidRPr="009C0B84">
        <w:rPr>
          <w:rFonts w:asciiTheme="majorBidi" w:eastAsia="Times New Roman" w:hAnsiTheme="majorBidi" w:cstheme="majorBidi"/>
          <w:color w:val="333333"/>
        </w:rPr>
        <w:t xml:space="preserve"> </w:t>
      </w:r>
      <w:r w:rsidR="001D33A5" w:rsidRPr="009C0B84">
        <w:rPr>
          <w:rFonts w:asciiTheme="majorBidi" w:eastAsia="Times New Roman" w:hAnsiTheme="majorBidi" w:cstheme="majorBidi"/>
          <w:color w:val="333333"/>
        </w:rPr>
        <w:t>(figure 1)</w:t>
      </w:r>
      <w:r w:rsidR="001355F6" w:rsidRPr="009C0B84">
        <w:rPr>
          <w:rFonts w:asciiTheme="majorBidi" w:eastAsia="Times New Roman" w:hAnsiTheme="majorBidi" w:cstheme="majorBidi"/>
          <w:color w:val="333333"/>
        </w:rPr>
        <w:t>.</w:t>
      </w:r>
    </w:p>
    <w:p w14:paraId="32BF9517" w14:textId="77777777" w:rsidR="00522007" w:rsidRDefault="00285F14" w:rsidP="001525B4">
      <w:pPr>
        <w:autoSpaceDE w:val="0"/>
        <w:autoSpaceDN w:val="0"/>
        <w:adjustRightInd w:val="0"/>
        <w:spacing w:before="100" w:beforeAutospacing="1" w:after="100" w:afterAutospacing="1" w:line="480" w:lineRule="auto"/>
        <w:rPr>
          <w:rFonts w:asciiTheme="majorBidi" w:eastAsia="Times New Roman" w:hAnsiTheme="majorBidi" w:cstheme="majorBidi"/>
          <w:color w:val="333333"/>
        </w:rPr>
      </w:pPr>
      <w:r w:rsidRPr="009C0B84">
        <w:rPr>
          <w:rFonts w:asciiTheme="majorBidi" w:eastAsia="Times New Roman" w:hAnsiTheme="majorBidi" w:cstheme="majorBidi"/>
          <w:color w:val="333333"/>
        </w:rPr>
        <w:t xml:space="preserve">Efficacy endpoints by </w:t>
      </w:r>
      <w:r w:rsidR="00475C7E" w:rsidRPr="009C0B84">
        <w:rPr>
          <w:rFonts w:asciiTheme="majorBidi" w:eastAsia="Times New Roman" w:hAnsiTheme="majorBidi" w:cstheme="majorBidi"/>
          <w:color w:val="333333"/>
        </w:rPr>
        <w:t xml:space="preserve">dichotomous </w:t>
      </w:r>
      <w:r w:rsidRPr="009C0B84">
        <w:rPr>
          <w:rFonts w:asciiTheme="majorBidi" w:eastAsia="Times New Roman" w:hAnsiTheme="majorBidi" w:cstheme="majorBidi"/>
          <w:color w:val="333333"/>
        </w:rPr>
        <w:t xml:space="preserve">age groups showed </w:t>
      </w:r>
      <w:r w:rsidR="00886725" w:rsidRPr="009C0B84">
        <w:rPr>
          <w:rFonts w:asciiTheme="majorBidi" w:eastAsia="Times New Roman" w:hAnsiTheme="majorBidi" w:cstheme="majorBidi"/>
          <w:color w:val="333333"/>
        </w:rPr>
        <w:t>similar</w:t>
      </w:r>
      <w:r w:rsidRPr="009C0B84">
        <w:rPr>
          <w:rFonts w:asciiTheme="majorBidi" w:eastAsia="Times New Roman" w:hAnsiTheme="majorBidi" w:cstheme="majorBidi"/>
          <w:color w:val="333333"/>
        </w:rPr>
        <w:t xml:space="preserve"> results</w:t>
      </w:r>
      <w:r w:rsidR="006D19F1" w:rsidRPr="009C0B84">
        <w:rPr>
          <w:rFonts w:asciiTheme="majorBidi" w:eastAsia="Times New Roman" w:hAnsiTheme="majorBidi" w:cstheme="majorBidi"/>
          <w:color w:val="333333"/>
        </w:rPr>
        <w:t xml:space="preserve"> with no age</w:t>
      </w:r>
      <w:r w:rsidR="00FD3000" w:rsidRPr="009C0B84">
        <w:rPr>
          <w:rFonts w:asciiTheme="majorBidi" w:eastAsia="Times New Roman" w:hAnsiTheme="majorBidi" w:cstheme="majorBidi"/>
          <w:color w:val="333333"/>
        </w:rPr>
        <w:t>-</w:t>
      </w:r>
      <w:r w:rsidR="006D19F1" w:rsidRPr="009C0B84">
        <w:rPr>
          <w:rFonts w:asciiTheme="majorBidi" w:eastAsia="Times New Roman" w:hAnsiTheme="majorBidi" w:cstheme="majorBidi"/>
          <w:color w:val="333333"/>
        </w:rPr>
        <w:t>based treatment interactions</w:t>
      </w:r>
      <w:r w:rsidRPr="009C0B84">
        <w:rPr>
          <w:rFonts w:asciiTheme="majorBidi" w:eastAsia="Times New Roman" w:hAnsiTheme="majorBidi" w:cstheme="majorBidi"/>
          <w:color w:val="333333"/>
        </w:rPr>
        <w:t xml:space="preserve"> (supplementary figure 1)</w:t>
      </w:r>
      <w:r w:rsidR="006D19F1" w:rsidRPr="009C0B84">
        <w:rPr>
          <w:rFonts w:asciiTheme="majorBidi" w:eastAsia="Times New Roman" w:hAnsiTheme="majorBidi" w:cstheme="majorBidi"/>
          <w:color w:val="333333"/>
        </w:rPr>
        <w:t>.</w:t>
      </w:r>
    </w:p>
    <w:p w14:paraId="705FBBD7" w14:textId="77777777" w:rsidR="00522007" w:rsidRDefault="00522007" w:rsidP="001525B4">
      <w:pPr>
        <w:autoSpaceDE w:val="0"/>
        <w:autoSpaceDN w:val="0"/>
        <w:adjustRightInd w:val="0"/>
        <w:spacing w:before="100" w:beforeAutospacing="1" w:after="100" w:afterAutospacing="1" w:line="480" w:lineRule="auto"/>
        <w:rPr>
          <w:rFonts w:asciiTheme="majorBidi" w:eastAsia="Times New Roman" w:hAnsiTheme="majorBidi" w:cstheme="majorBidi"/>
          <w:color w:val="333333"/>
        </w:rPr>
      </w:pPr>
    </w:p>
    <w:p w14:paraId="3D373EBE" w14:textId="503084B4" w:rsidR="000E2057" w:rsidRPr="009C0B84" w:rsidRDefault="000E2057" w:rsidP="001525B4">
      <w:pPr>
        <w:autoSpaceDE w:val="0"/>
        <w:autoSpaceDN w:val="0"/>
        <w:adjustRightInd w:val="0"/>
        <w:spacing w:before="100" w:beforeAutospacing="1" w:after="100" w:afterAutospacing="1" w:line="480" w:lineRule="auto"/>
        <w:rPr>
          <w:rFonts w:asciiTheme="majorBidi" w:eastAsia="Times New Roman" w:hAnsiTheme="majorBidi" w:cstheme="majorBidi"/>
          <w:b/>
          <w:bCs/>
          <w:i/>
          <w:iCs/>
          <w:color w:val="333333"/>
        </w:rPr>
      </w:pPr>
      <w:r w:rsidRPr="009C0B84">
        <w:rPr>
          <w:rFonts w:asciiTheme="majorBidi" w:eastAsia="Times New Roman" w:hAnsiTheme="majorBidi" w:cstheme="majorBidi"/>
          <w:b/>
          <w:bCs/>
          <w:i/>
          <w:iCs/>
          <w:color w:val="333333"/>
        </w:rPr>
        <w:t>Metabolic outcomes</w:t>
      </w:r>
    </w:p>
    <w:p w14:paraId="0B6EE0A9" w14:textId="5FD30CA8" w:rsidR="000E2057" w:rsidRPr="009C0B84" w:rsidRDefault="000E2057" w:rsidP="001E5F9C">
      <w:pPr>
        <w:spacing w:before="100" w:beforeAutospacing="1" w:after="100" w:afterAutospacing="1" w:line="480" w:lineRule="auto"/>
        <w:rPr>
          <w:rFonts w:asciiTheme="majorBidi" w:eastAsia="Times New Roman" w:hAnsiTheme="majorBidi" w:cstheme="majorBidi"/>
          <w:color w:val="333333"/>
        </w:rPr>
      </w:pPr>
      <w:r w:rsidRPr="009C0B84">
        <w:rPr>
          <w:rFonts w:asciiTheme="majorBidi" w:eastAsia="Times New Roman" w:hAnsiTheme="majorBidi" w:cstheme="majorBidi"/>
          <w:color w:val="333333"/>
        </w:rPr>
        <w:t>Changes in HbA1c, weight and blood pressure by age subgroups and treatment allocation are shown in figure 2.</w:t>
      </w:r>
      <w:r w:rsidRPr="009C0B84">
        <w:rPr>
          <w:rFonts w:asciiTheme="majorBidi" w:eastAsia="Times New Roman" w:hAnsiTheme="majorBidi" w:cstheme="majorBidi"/>
          <w:color w:val="333333"/>
          <w:rtl/>
        </w:rPr>
        <w:t xml:space="preserve"> </w:t>
      </w:r>
      <w:r w:rsidRPr="009C0B84">
        <w:rPr>
          <w:rFonts w:asciiTheme="majorBidi" w:eastAsia="Times New Roman" w:hAnsiTheme="majorBidi" w:cstheme="majorBidi"/>
          <w:color w:val="333333"/>
        </w:rPr>
        <w:t xml:space="preserve"> Baseline HbA1c in the elderly and very elderly was lower compared to the younger population (</w:t>
      </w:r>
      <w:r w:rsidR="0085235C" w:rsidRPr="009C0B84">
        <w:rPr>
          <w:rFonts w:asciiTheme="majorBidi" w:eastAsia="Times New Roman" w:hAnsiTheme="majorBidi" w:cstheme="majorBidi"/>
          <w:color w:val="333333"/>
        </w:rPr>
        <w:t>median (IQR) lev</w:t>
      </w:r>
      <w:r w:rsidRPr="009C0B84">
        <w:rPr>
          <w:rFonts w:asciiTheme="majorBidi" w:eastAsia="Times New Roman" w:hAnsiTheme="majorBidi" w:cstheme="majorBidi"/>
          <w:color w:val="333333"/>
        </w:rPr>
        <w:t xml:space="preserve">els </w:t>
      </w:r>
      <w:r w:rsidR="0085235C" w:rsidRPr="009C0B84">
        <w:rPr>
          <w:rFonts w:asciiTheme="majorBidi" w:eastAsia="Times New Roman" w:hAnsiTheme="majorBidi" w:cstheme="majorBidi"/>
          <w:color w:val="333333"/>
        </w:rPr>
        <w:t>8.2 (7.5, 9.3), 7.9 (7.3, 8.7) and 7.8 (7.2, 8.5)</w:t>
      </w:r>
      <w:r w:rsidRPr="009C0B84">
        <w:rPr>
          <w:rFonts w:asciiTheme="majorBidi" w:eastAsia="Times New Roman" w:hAnsiTheme="majorBidi" w:cstheme="majorBidi"/>
          <w:color w:val="333333"/>
        </w:rPr>
        <w:t xml:space="preserve"> in age groups &lt;65, ≥65-</w:t>
      </w:r>
      <w:r w:rsidR="00410E38" w:rsidRPr="009C0B84">
        <w:rPr>
          <w:rFonts w:asciiTheme="majorBidi" w:eastAsia="Times New Roman" w:hAnsiTheme="majorBidi" w:cstheme="majorBidi"/>
          <w:color w:val="333333"/>
        </w:rPr>
        <w:t>&lt;</w:t>
      </w:r>
      <w:r w:rsidRPr="009C0B84">
        <w:rPr>
          <w:rFonts w:asciiTheme="majorBidi" w:eastAsia="Times New Roman" w:hAnsiTheme="majorBidi" w:cstheme="majorBidi"/>
          <w:color w:val="333333"/>
        </w:rPr>
        <w:t xml:space="preserve">75 and </w:t>
      </w:r>
      <w:r w:rsidR="00410E38" w:rsidRPr="009C0B84">
        <w:rPr>
          <w:rFonts w:asciiTheme="majorBidi" w:eastAsia="Times New Roman" w:hAnsiTheme="majorBidi" w:cstheme="majorBidi"/>
          <w:color w:val="333333"/>
        </w:rPr>
        <w:t>≥</w:t>
      </w:r>
      <w:r w:rsidRPr="009C0B84">
        <w:rPr>
          <w:rFonts w:asciiTheme="majorBidi" w:eastAsia="Times New Roman" w:hAnsiTheme="majorBidi" w:cstheme="majorBidi"/>
          <w:color w:val="333333"/>
        </w:rPr>
        <w:t>75 respectively (p</w:t>
      </w:r>
      <w:r w:rsidR="00410E38" w:rsidRPr="009C0B84">
        <w:rPr>
          <w:rFonts w:asciiTheme="majorBidi" w:eastAsia="Times New Roman" w:hAnsiTheme="majorBidi" w:cstheme="majorBidi"/>
          <w:color w:val="333333"/>
        </w:rPr>
        <w:t>-trend</w:t>
      </w:r>
      <w:r w:rsidRPr="009C0B84">
        <w:rPr>
          <w:rFonts w:asciiTheme="majorBidi" w:eastAsia="Times New Roman" w:hAnsiTheme="majorBidi" w:cstheme="majorBidi"/>
          <w:color w:val="333333"/>
        </w:rPr>
        <w:t>&lt;0.0001)). Nevertheless, significant</w:t>
      </w:r>
      <w:r w:rsidR="00675B42" w:rsidRPr="009C0B84">
        <w:rPr>
          <w:rFonts w:asciiTheme="majorBidi" w:eastAsia="Times New Roman" w:hAnsiTheme="majorBidi" w:cstheme="majorBidi"/>
          <w:color w:val="333333"/>
        </w:rPr>
        <w:t xml:space="preserve"> and similar</w:t>
      </w:r>
      <w:r w:rsidRPr="009C0B84">
        <w:rPr>
          <w:rFonts w:asciiTheme="majorBidi" w:eastAsia="Times New Roman" w:hAnsiTheme="majorBidi" w:cstheme="majorBidi"/>
          <w:color w:val="333333"/>
        </w:rPr>
        <w:t xml:space="preserve"> decline</w:t>
      </w:r>
      <w:r w:rsidR="00675B42" w:rsidRPr="009C0B84">
        <w:rPr>
          <w:rFonts w:asciiTheme="majorBidi" w:eastAsia="Times New Roman" w:hAnsiTheme="majorBidi" w:cstheme="majorBidi"/>
          <w:color w:val="333333"/>
        </w:rPr>
        <w:t>s</w:t>
      </w:r>
      <w:r w:rsidRPr="009C0B84">
        <w:rPr>
          <w:rFonts w:asciiTheme="majorBidi" w:eastAsia="Times New Roman" w:hAnsiTheme="majorBidi" w:cstheme="majorBidi"/>
          <w:color w:val="333333"/>
        </w:rPr>
        <w:t xml:space="preserve"> in HbA1c with dapagliflozin </w:t>
      </w:r>
      <w:r w:rsidR="00630F51" w:rsidRPr="009C0B84">
        <w:rPr>
          <w:rFonts w:asciiTheme="majorBidi" w:eastAsia="Times New Roman" w:hAnsiTheme="majorBidi" w:cstheme="majorBidi"/>
          <w:color w:val="333333"/>
        </w:rPr>
        <w:t xml:space="preserve">vs. placebo </w:t>
      </w:r>
      <w:r w:rsidRPr="009C0B84">
        <w:rPr>
          <w:rFonts w:asciiTheme="majorBidi" w:eastAsia="Times New Roman" w:hAnsiTheme="majorBidi" w:cstheme="majorBidi"/>
          <w:color w:val="333333"/>
        </w:rPr>
        <w:t>w</w:t>
      </w:r>
      <w:r w:rsidR="00675B42" w:rsidRPr="009C0B84">
        <w:rPr>
          <w:rFonts w:asciiTheme="majorBidi" w:eastAsia="Times New Roman" w:hAnsiTheme="majorBidi" w:cstheme="majorBidi"/>
          <w:color w:val="333333"/>
        </w:rPr>
        <w:t>ere</w:t>
      </w:r>
      <w:r w:rsidRPr="009C0B84">
        <w:rPr>
          <w:rFonts w:asciiTheme="majorBidi" w:eastAsia="Times New Roman" w:hAnsiTheme="majorBidi" w:cstheme="majorBidi"/>
          <w:color w:val="333333"/>
        </w:rPr>
        <w:t xml:space="preserve"> observed </w:t>
      </w:r>
      <w:r w:rsidR="00675B42" w:rsidRPr="009C0B84">
        <w:rPr>
          <w:rFonts w:asciiTheme="majorBidi" w:eastAsia="Times New Roman" w:hAnsiTheme="majorBidi" w:cstheme="majorBidi"/>
          <w:color w:val="333333"/>
        </w:rPr>
        <w:t>for</w:t>
      </w:r>
      <w:r w:rsidRPr="009C0B84">
        <w:rPr>
          <w:rFonts w:asciiTheme="majorBidi" w:eastAsia="Times New Roman" w:hAnsiTheme="majorBidi" w:cstheme="majorBidi"/>
          <w:color w:val="333333"/>
        </w:rPr>
        <w:t xml:space="preserve"> all </w:t>
      </w:r>
      <w:r w:rsidR="00A3181F" w:rsidRPr="009C0B84">
        <w:rPr>
          <w:rFonts w:asciiTheme="majorBidi" w:eastAsia="Times New Roman" w:hAnsiTheme="majorBidi" w:cstheme="majorBidi"/>
          <w:color w:val="333333"/>
        </w:rPr>
        <w:t>age groups</w:t>
      </w:r>
      <w:r w:rsidR="002125EE" w:rsidRPr="009C0B84">
        <w:rPr>
          <w:rFonts w:asciiTheme="majorBidi" w:eastAsia="Times New Roman" w:hAnsiTheme="majorBidi" w:cstheme="majorBidi"/>
          <w:color w:val="333333"/>
        </w:rPr>
        <w:t xml:space="preserve"> </w:t>
      </w:r>
      <w:r w:rsidR="00630F51" w:rsidRPr="009C0B84">
        <w:rPr>
          <w:rFonts w:asciiTheme="majorBidi" w:eastAsia="Times New Roman" w:hAnsiTheme="majorBidi" w:cstheme="majorBidi"/>
          <w:color w:val="333333"/>
        </w:rPr>
        <w:t>(figure 2)</w:t>
      </w:r>
      <w:r w:rsidR="00B16920" w:rsidRPr="009C0B84">
        <w:rPr>
          <w:rFonts w:asciiTheme="majorBidi" w:eastAsia="Times New Roman" w:hAnsiTheme="majorBidi" w:cstheme="majorBidi"/>
          <w:color w:val="333333"/>
        </w:rPr>
        <w:t>. A</w:t>
      </w:r>
      <w:r w:rsidR="00A3181F" w:rsidRPr="009C0B84">
        <w:rPr>
          <w:rFonts w:asciiTheme="majorBidi" w:eastAsia="Times New Roman" w:hAnsiTheme="majorBidi" w:cstheme="majorBidi"/>
          <w:color w:val="333333"/>
        </w:rPr>
        <w:t>t 1 year</w:t>
      </w:r>
      <w:r w:rsidR="00675B42" w:rsidRPr="009C0B84">
        <w:rPr>
          <w:rFonts w:asciiTheme="majorBidi" w:eastAsia="Times New Roman" w:hAnsiTheme="majorBidi" w:cstheme="majorBidi"/>
          <w:color w:val="333333"/>
        </w:rPr>
        <w:t>,</w:t>
      </w:r>
      <w:r w:rsidR="00A3181F" w:rsidRPr="009C0B84">
        <w:rPr>
          <w:rFonts w:asciiTheme="majorBidi" w:eastAsia="Times New Roman" w:hAnsiTheme="majorBidi" w:cstheme="majorBidi"/>
          <w:color w:val="333333"/>
        </w:rPr>
        <w:t xml:space="preserve"> le</w:t>
      </w:r>
      <w:r w:rsidR="004D05F2" w:rsidRPr="009C0B84">
        <w:rPr>
          <w:rFonts w:asciiTheme="majorBidi" w:eastAsia="Times New Roman" w:hAnsiTheme="majorBidi" w:cstheme="majorBidi"/>
          <w:color w:val="333333"/>
        </w:rPr>
        <w:t>ast-squares mean difference</w:t>
      </w:r>
      <w:r w:rsidR="00A3181F" w:rsidRPr="009C0B84">
        <w:rPr>
          <w:rFonts w:asciiTheme="majorBidi" w:eastAsia="Times New Roman" w:hAnsiTheme="majorBidi" w:cstheme="majorBidi"/>
          <w:color w:val="333333"/>
        </w:rPr>
        <w:t xml:space="preserve"> (95% CI)</w:t>
      </w:r>
      <w:r w:rsidR="004D05F2" w:rsidRPr="009C0B84">
        <w:rPr>
          <w:rFonts w:asciiTheme="majorBidi" w:eastAsia="Times New Roman" w:hAnsiTheme="majorBidi" w:cstheme="majorBidi"/>
          <w:color w:val="333333"/>
        </w:rPr>
        <w:t xml:space="preserve"> between the </w:t>
      </w:r>
      <w:r w:rsidR="005E1FC8">
        <w:rPr>
          <w:rFonts w:asciiTheme="majorBidi" w:eastAsia="Times New Roman" w:hAnsiTheme="majorBidi" w:cstheme="majorBidi"/>
          <w:color w:val="333333"/>
        </w:rPr>
        <w:t xml:space="preserve">treatment </w:t>
      </w:r>
      <w:r w:rsidR="004D05F2" w:rsidRPr="009C0B84">
        <w:rPr>
          <w:rFonts w:asciiTheme="majorBidi" w:eastAsia="Times New Roman" w:hAnsiTheme="majorBidi" w:cstheme="majorBidi"/>
          <w:color w:val="333333"/>
        </w:rPr>
        <w:t xml:space="preserve">groups </w:t>
      </w:r>
      <w:r w:rsidR="00A3181F" w:rsidRPr="009C0B84">
        <w:rPr>
          <w:rFonts w:asciiTheme="majorBidi" w:eastAsia="Times New Roman" w:hAnsiTheme="majorBidi" w:cstheme="majorBidi"/>
          <w:color w:val="333333"/>
        </w:rPr>
        <w:t>was -0.58 (-0.63, -0.53),</w:t>
      </w:r>
      <w:r w:rsidR="00C6391C" w:rsidRPr="009C0B84">
        <w:rPr>
          <w:rFonts w:asciiTheme="majorBidi" w:eastAsia="Times New Roman" w:hAnsiTheme="majorBidi" w:cstheme="majorBidi"/>
          <w:color w:val="333333"/>
        </w:rPr>
        <w:t xml:space="preserve"> </w:t>
      </w:r>
      <w:r w:rsidR="00A3181F" w:rsidRPr="009C0B84">
        <w:rPr>
          <w:rFonts w:asciiTheme="majorBidi" w:eastAsia="Times New Roman" w:hAnsiTheme="majorBidi" w:cstheme="majorBidi"/>
          <w:color w:val="333333"/>
        </w:rPr>
        <w:t>-0.46 (-</w:t>
      </w:r>
      <w:r w:rsidR="00C6391C" w:rsidRPr="009C0B84">
        <w:rPr>
          <w:rFonts w:asciiTheme="majorBidi" w:eastAsia="Times New Roman" w:hAnsiTheme="majorBidi" w:cstheme="majorBidi"/>
          <w:color w:val="333333"/>
        </w:rPr>
        <w:t xml:space="preserve">0.51, -0.41) and -0.51 </w:t>
      </w:r>
      <w:r w:rsidR="00C6391C" w:rsidRPr="009C0B84">
        <w:rPr>
          <w:rFonts w:asciiTheme="majorBidi" w:eastAsia="Times New Roman" w:hAnsiTheme="majorBidi" w:cstheme="majorBidi"/>
          <w:color w:val="333333"/>
        </w:rPr>
        <w:br/>
        <w:t>(-0.63, -</w:t>
      </w:r>
      <w:r w:rsidR="00A3181F" w:rsidRPr="009C0B84">
        <w:rPr>
          <w:rFonts w:asciiTheme="majorBidi" w:eastAsia="Times New Roman" w:hAnsiTheme="majorBidi" w:cstheme="majorBidi"/>
          <w:color w:val="333333"/>
        </w:rPr>
        <w:t>0.4</w:t>
      </w:r>
      <w:r w:rsidR="00E015A6" w:rsidRPr="009C0B84">
        <w:rPr>
          <w:rFonts w:asciiTheme="majorBidi" w:eastAsia="Times New Roman" w:hAnsiTheme="majorBidi" w:cstheme="majorBidi"/>
          <w:color w:val="333333"/>
        </w:rPr>
        <w:t>0</w:t>
      </w:r>
      <w:r w:rsidR="00A3181F" w:rsidRPr="009C0B84">
        <w:rPr>
          <w:rFonts w:asciiTheme="majorBidi" w:eastAsia="Times New Roman" w:hAnsiTheme="majorBidi" w:cstheme="majorBidi"/>
          <w:color w:val="333333"/>
        </w:rPr>
        <w:t>) in age groups &lt;65, ≥65-&lt;75 and ≥75 respectively</w:t>
      </w:r>
      <w:r w:rsidR="00684F98" w:rsidRPr="009C0B84">
        <w:rPr>
          <w:rFonts w:asciiTheme="majorBidi" w:eastAsia="Times New Roman" w:hAnsiTheme="majorBidi" w:cstheme="majorBidi"/>
          <w:color w:val="333333"/>
        </w:rPr>
        <w:t xml:space="preserve"> </w:t>
      </w:r>
      <w:r w:rsidR="00630F51" w:rsidRPr="009C0B84">
        <w:rPr>
          <w:rFonts w:asciiTheme="majorBidi" w:eastAsia="Times New Roman" w:hAnsiTheme="majorBidi" w:cstheme="majorBidi"/>
          <w:color w:val="333333"/>
        </w:rPr>
        <w:t>(</w:t>
      </w:r>
      <w:r w:rsidR="00684F98" w:rsidRPr="009C0B84">
        <w:rPr>
          <w:rFonts w:asciiTheme="majorBidi" w:eastAsia="Times New Roman" w:hAnsiTheme="majorBidi" w:cstheme="majorBidi"/>
          <w:color w:val="333333"/>
        </w:rPr>
        <w:t>all p&lt;0.0001</w:t>
      </w:r>
      <w:r w:rsidR="00A3181F" w:rsidRPr="009C0B84">
        <w:rPr>
          <w:rFonts w:asciiTheme="majorBidi" w:eastAsia="Times New Roman" w:hAnsiTheme="majorBidi" w:cstheme="majorBidi"/>
          <w:color w:val="333333"/>
        </w:rPr>
        <w:t>)</w:t>
      </w:r>
      <w:r w:rsidRPr="009C0B84">
        <w:rPr>
          <w:rFonts w:asciiTheme="majorBidi" w:eastAsia="Times New Roman" w:hAnsiTheme="majorBidi" w:cstheme="majorBidi"/>
          <w:color w:val="333333"/>
        </w:rPr>
        <w:t>. At 1, 2 and 3 years, patients allocated to dapagliflozin vs. placebo</w:t>
      </w:r>
      <w:r w:rsidR="007C7451" w:rsidRPr="009C0B84">
        <w:rPr>
          <w:rFonts w:asciiTheme="majorBidi" w:eastAsia="Times New Roman" w:hAnsiTheme="majorBidi" w:cstheme="majorBidi"/>
          <w:color w:val="333333"/>
        </w:rPr>
        <w:t>,</w:t>
      </w:r>
      <w:r w:rsidRPr="009C0B84">
        <w:rPr>
          <w:rFonts w:asciiTheme="majorBidi" w:eastAsia="Times New Roman" w:hAnsiTheme="majorBidi" w:cstheme="majorBidi"/>
          <w:color w:val="333333"/>
        </w:rPr>
        <w:t xml:space="preserve"> </w:t>
      </w:r>
      <w:r w:rsidR="007C7451" w:rsidRPr="009C0B84">
        <w:rPr>
          <w:rFonts w:asciiTheme="majorBidi" w:eastAsia="Times New Roman" w:hAnsiTheme="majorBidi" w:cstheme="majorBidi"/>
          <w:color w:val="333333"/>
        </w:rPr>
        <w:t>at all</w:t>
      </w:r>
      <w:r w:rsidR="008D4CCE" w:rsidRPr="009C0B84">
        <w:rPr>
          <w:rFonts w:asciiTheme="majorBidi" w:eastAsia="Times New Roman" w:hAnsiTheme="majorBidi" w:cstheme="majorBidi"/>
          <w:color w:val="333333"/>
        </w:rPr>
        <w:t xml:space="preserve"> age </w:t>
      </w:r>
      <w:r w:rsidR="007C7451" w:rsidRPr="009C0B84">
        <w:rPr>
          <w:rFonts w:asciiTheme="majorBidi" w:eastAsia="Times New Roman" w:hAnsiTheme="majorBidi" w:cstheme="majorBidi"/>
          <w:color w:val="333333"/>
        </w:rPr>
        <w:t>sub-</w:t>
      </w:r>
      <w:r w:rsidR="008D4CCE" w:rsidRPr="009C0B84">
        <w:rPr>
          <w:rFonts w:asciiTheme="majorBidi" w:eastAsia="Times New Roman" w:hAnsiTheme="majorBidi" w:cstheme="majorBidi"/>
          <w:color w:val="333333"/>
        </w:rPr>
        <w:t>groups</w:t>
      </w:r>
      <w:r w:rsidR="007C7451" w:rsidRPr="009C0B84">
        <w:rPr>
          <w:rFonts w:asciiTheme="majorBidi" w:eastAsia="Times New Roman" w:hAnsiTheme="majorBidi" w:cstheme="majorBidi"/>
          <w:color w:val="333333"/>
        </w:rPr>
        <w:t>,</w:t>
      </w:r>
      <w:r w:rsidR="008D4CCE" w:rsidRPr="009C0B84">
        <w:rPr>
          <w:rFonts w:asciiTheme="majorBidi" w:eastAsia="Times New Roman" w:hAnsiTheme="majorBidi" w:cstheme="majorBidi"/>
          <w:color w:val="333333"/>
        </w:rPr>
        <w:t xml:space="preserve"> </w:t>
      </w:r>
      <w:r w:rsidRPr="009C0B84">
        <w:rPr>
          <w:rFonts w:asciiTheme="majorBidi" w:eastAsia="Times New Roman" w:hAnsiTheme="majorBidi" w:cstheme="majorBidi"/>
          <w:color w:val="333333"/>
        </w:rPr>
        <w:t xml:space="preserve">were </w:t>
      </w:r>
      <w:r w:rsidR="0085235C" w:rsidRPr="009C0B84">
        <w:rPr>
          <w:rFonts w:asciiTheme="majorBidi" w:eastAsia="Times New Roman" w:hAnsiTheme="majorBidi" w:cstheme="majorBidi"/>
          <w:color w:val="333333"/>
        </w:rPr>
        <w:t xml:space="preserve">statistically </w:t>
      </w:r>
      <w:r w:rsidRPr="009C0B84">
        <w:rPr>
          <w:rFonts w:asciiTheme="majorBidi" w:eastAsia="Times New Roman" w:hAnsiTheme="majorBidi" w:cstheme="majorBidi"/>
          <w:color w:val="333333"/>
        </w:rPr>
        <w:t xml:space="preserve">more likely to attain a HbA1c of &lt;7.0% </w:t>
      </w:r>
      <w:r w:rsidR="008D4CCE" w:rsidRPr="009C0B84">
        <w:rPr>
          <w:rFonts w:asciiTheme="majorBidi" w:eastAsia="Times New Roman" w:hAnsiTheme="majorBidi" w:cstheme="majorBidi"/>
          <w:color w:val="333333"/>
        </w:rPr>
        <w:t xml:space="preserve">(excluding age ≥75 at year 3) </w:t>
      </w:r>
      <w:r w:rsidRPr="009C0B84">
        <w:rPr>
          <w:rFonts w:asciiTheme="majorBidi" w:eastAsia="Times New Roman" w:hAnsiTheme="majorBidi" w:cstheme="majorBidi"/>
          <w:color w:val="333333"/>
        </w:rPr>
        <w:t>or &lt;8.0% or to reduce their HbA1c by ≥0.5</w:t>
      </w:r>
      <w:r w:rsidR="00CD4A38" w:rsidRPr="009C0B84">
        <w:rPr>
          <w:rFonts w:asciiTheme="majorBidi" w:eastAsia="Times New Roman" w:hAnsiTheme="majorBidi" w:cstheme="majorBidi"/>
          <w:color w:val="333333"/>
        </w:rPr>
        <w:t>%</w:t>
      </w:r>
      <w:r w:rsidR="0085235C" w:rsidRPr="009C0B84">
        <w:rPr>
          <w:rFonts w:asciiTheme="majorBidi" w:eastAsia="Times New Roman" w:hAnsiTheme="majorBidi" w:cstheme="majorBidi"/>
          <w:color w:val="333333"/>
        </w:rPr>
        <w:t xml:space="preserve"> </w:t>
      </w:r>
      <w:r w:rsidR="00C6391C" w:rsidRPr="009C0B84">
        <w:rPr>
          <w:rFonts w:asciiTheme="majorBidi" w:eastAsia="Times New Roman" w:hAnsiTheme="majorBidi" w:cstheme="majorBidi"/>
          <w:color w:val="333333"/>
        </w:rPr>
        <w:br/>
      </w:r>
      <w:r w:rsidR="008D4CCE" w:rsidRPr="009C0B84">
        <w:rPr>
          <w:rFonts w:asciiTheme="majorBidi" w:eastAsia="Times New Roman" w:hAnsiTheme="majorBidi" w:cstheme="majorBidi"/>
          <w:color w:val="333333"/>
        </w:rPr>
        <w:t>(figure 3).</w:t>
      </w:r>
      <w:r w:rsidR="001E5F9C">
        <w:rPr>
          <w:rFonts w:asciiTheme="majorBidi" w:eastAsia="Times New Roman" w:hAnsiTheme="majorBidi" w:cstheme="majorBidi"/>
          <w:color w:val="333333"/>
        </w:rPr>
        <w:t xml:space="preserve"> The effect was </w:t>
      </w:r>
      <w:r w:rsidR="005E1FC8">
        <w:rPr>
          <w:rFonts w:asciiTheme="majorBidi" w:eastAsia="Times New Roman" w:hAnsiTheme="majorBidi" w:cstheme="majorBidi"/>
          <w:color w:val="333333"/>
        </w:rPr>
        <w:t xml:space="preserve">somewhat </w:t>
      </w:r>
      <w:r w:rsidR="001E5F9C">
        <w:rPr>
          <w:rFonts w:asciiTheme="majorBidi" w:eastAsia="Times New Roman" w:hAnsiTheme="majorBidi" w:cstheme="majorBidi"/>
          <w:color w:val="333333"/>
        </w:rPr>
        <w:t xml:space="preserve">attenuated at year 4, particularly in the very elderly. </w:t>
      </w:r>
      <w:r w:rsidRPr="009C0B84">
        <w:rPr>
          <w:rFonts w:asciiTheme="majorBidi" w:eastAsia="Times New Roman" w:hAnsiTheme="majorBidi" w:cstheme="majorBidi"/>
          <w:color w:val="333333"/>
        </w:rPr>
        <w:t xml:space="preserve"> </w:t>
      </w:r>
    </w:p>
    <w:p w14:paraId="37AD5A82" w14:textId="59AC3FE3" w:rsidR="000E2057" w:rsidRPr="009C0B84" w:rsidRDefault="000E2057" w:rsidP="001525B4">
      <w:pPr>
        <w:spacing w:before="100" w:beforeAutospacing="1" w:after="100" w:afterAutospacing="1" w:line="480" w:lineRule="auto"/>
        <w:rPr>
          <w:rFonts w:asciiTheme="majorBidi" w:eastAsia="Times New Roman" w:hAnsiTheme="majorBidi" w:cstheme="majorBidi"/>
          <w:color w:val="333333"/>
        </w:rPr>
      </w:pPr>
      <w:r w:rsidRPr="009C0B84">
        <w:rPr>
          <w:rFonts w:asciiTheme="majorBidi" w:eastAsia="Times New Roman" w:hAnsiTheme="majorBidi" w:cstheme="majorBidi"/>
          <w:color w:val="333333"/>
        </w:rPr>
        <w:t>Dapagliflozin yield</w:t>
      </w:r>
      <w:r w:rsidR="00684F98" w:rsidRPr="009C0B84">
        <w:rPr>
          <w:rFonts w:asciiTheme="majorBidi" w:eastAsia="Times New Roman" w:hAnsiTheme="majorBidi" w:cstheme="majorBidi"/>
          <w:color w:val="333333"/>
        </w:rPr>
        <w:t xml:space="preserve">ed greater reduction in weight versus placebo, and this was maintained </w:t>
      </w:r>
      <w:r w:rsidR="002125EE" w:rsidRPr="009C0B84">
        <w:rPr>
          <w:rFonts w:asciiTheme="majorBidi" w:eastAsia="Times New Roman" w:hAnsiTheme="majorBidi" w:cstheme="majorBidi"/>
          <w:color w:val="333333"/>
        </w:rPr>
        <w:t>in</w:t>
      </w:r>
      <w:r w:rsidR="00684F98" w:rsidRPr="009C0B84">
        <w:rPr>
          <w:rFonts w:asciiTheme="majorBidi" w:eastAsia="Times New Roman" w:hAnsiTheme="majorBidi" w:cstheme="majorBidi"/>
          <w:color w:val="333333"/>
        </w:rPr>
        <w:t xml:space="preserve"> all age groups </w:t>
      </w:r>
      <w:r w:rsidR="00630F51" w:rsidRPr="009C0B84">
        <w:rPr>
          <w:rFonts w:asciiTheme="majorBidi" w:eastAsia="Times New Roman" w:hAnsiTheme="majorBidi" w:cstheme="majorBidi"/>
          <w:color w:val="333333"/>
        </w:rPr>
        <w:t>during the entire study period</w:t>
      </w:r>
      <w:r w:rsidR="00F93E78" w:rsidRPr="009C0B84">
        <w:rPr>
          <w:rFonts w:asciiTheme="majorBidi" w:eastAsia="Times New Roman" w:hAnsiTheme="majorBidi" w:cstheme="majorBidi"/>
          <w:color w:val="333333"/>
        </w:rPr>
        <w:t xml:space="preserve"> (all p&lt;0.0001)</w:t>
      </w:r>
      <w:r w:rsidR="00630F51" w:rsidRPr="009C0B84">
        <w:rPr>
          <w:rFonts w:asciiTheme="majorBidi" w:eastAsia="Times New Roman" w:hAnsiTheme="majorBidi" w:cstheme="majorBidi"/>
          <w:color w:val="333333"/>
        </w:rPr>
        <w:t xml:space="preserve"> </w:t>
      </w:r>
      <w:r w:rsidRPr="009C0B84">
        <w:rPr>
          <w:rFonts w:asciiTheme="majorBidi" w:eastAsia="Times New Roman" w:hAnsiTheme="majorBidi" w:cstheme="majorBidi"/>
          <w:color w:val="333333"/>
        </w:rPr>
        <w:t>(figure 2). Patients allocated to dapagliflozin vs. placebo were more like</w:t>
      </w:r>
      <w:r w:rsidR="003D06D7" w:rsidRPr="009C0B84">
        <w:rPr>
          <w:rFonts w:asciiTheme="majorBidi" w:eastAsia="Times New Roman" w:hAnsiTheme="majorBidi" w:cstheme="majorBidi"/>
          <w:color w:val="333333"/>
        </w:rPr>
        <w:t xml:space="preserve">ly to attain a 5% weight loss at all age groups </w:t>
      </w:r>
      <w:r w:rsidR="009F7D04" w:rsidRPr="009C0B84">
        <w:rPr>
          <w:rFonts w:asciiTheme="majorBidi" w:eastAsia="Times New Roman" w:hAnsiTheme="majorBidi" w:cstheme="majorBidi"/>
          <w:color w:val="333333"/>
        </w:rPr>
        <w:t xml:space="preserve">which was sustained throughout the study </w:t>
      </w:r>
      <w:r w:rsidRPr="009C0B84">
        <w:rPr>
          <w:rFonts w:asciiTheme="majorBidi" w:eastAsia="Times New Roman" w:hAnsiTheme="majorBidi" w:cstheme="majorBidi"/>
          <w:color w:val="333333"/>
        </w:rPr>
        <w:t>(figure 3).</w:t>
      </w:r>
      <w:r w:rsidR="00F93E78" w:rsidRPr="009C0B84">
        <w:rPr>
          <w:rFonts w:asciiTheme="majorBidi" w:eastAsia="Times New Roman" w:hAnsiTheme="majorBidi" w:cstheme="majorBidi"/>
          <w:color w:val="333333"/>
        </w:rPr>
        <w:t xml:space="preserve"> </w:t>
      </w:r>
      <w:r w:rsidR="007C7451" w:rsidRPr="009C0B84">
        <w:rPr>
          <w:rFonts w:asciiTheme="majorBidi" w:eastAsia="Times New Roman" w:hAnsiTheme="majorBidi" w:cstheme="majorBidi"/>
          <w:color w:val="333333"/>
        </w:rPr>
        <w:t>In</w:t>
      </w:r>
      <w:r w:rsidR="00F93E78" w:rsidRPr="009C0B84">
        <w:rPr>
          <w:rFonts w:asciiTheme="majorBidi" w:eastAsia="Times New Roman" w:hAnsiTheme="majorBidi" w:cstheme="majorBidi"/>
          <w:color w:val="333333"/>
        </w:rPr>
        <w:t xml:space="preserve"> the fourth year, a 5% weight reduction was observed in 37.0% vs. 23.2%, 40.5</w:t>
      </w:r>
      <w:r w:rsidR="00E015A6" w:rsidRPr="009C0B84">
        <w:rPr>
          <w:rFonts w:asciiTheme="majorBidi" w:eastAsia="Times New Roman" w:hAnsiTheme="majorBidi" w:cstheme="majorBidi"/>
          <w:color w:val="333333"/>
        </w:rPr>
        <w:t>%</w:t>
      </w:r>
      <w:r w:rsidR="00F93E78" w:rsidRPr="009C0B84">
        <w:rPr>
          <w:rFonts w:asciiTheme="majorBidi" w:eastAsia="Times New Roman" w:hAnsiTheme="majorBidi" w:cstheme="majorBidi"/>
          <w:color w:val="333333"/>
        </w:rPr>
        <w:t xml:space="preserve"> vs. 24.6%, and 52.9% vs. 31.2% with dapagliflozin vs. placebo in age groups &lt;65, ≥65-&lt;75 and ≥75 respectively (all p&lt;0.0001).</w:t>
      </w:r>
    </w:p>
    <w:p w14:paraId="6EA26E68" w14:textId="77777777" w:rsidR="000E2057" w:rsidRPr="009C0B84" w:rsidRDefault="000E2057" w:rsidP="001525B4">
      <w:pPr>
        <w:spacing w:before="100" w:beforeAutospacing="1" w:after="100" w:afterAutospacing="1" w:line="480" w:lineRule="auto"/>
        <w:rPr>
          <w:rFonts w:asciiTheme="majorBidi" w:eastAsia="Times New Roman" w:hAnsiTheme="majorBidi" w:cstheme="majorBidi"/>
          <w:b/>
          <w:bCs/>
          <w:i/>
          <w:iCs/>
          <w:color w:val="333333"/>
        </w:rPr>
      </w:pPr>
    </w:p>
    <w:p w14:paraId="01097056" w14:textId="6DCD0E17" w:rsidR="00840728" w:rsidRPr="009C0B84" w:rsidRDefault="00840728" w:rsidP="001525B4">
      <w:pPr>
        <w:spacing w:before="100" w:beforeAutospacing="1" w:after="100" w:afterAutospacing="1" w:line="480" w:lineRule="auto"/>
        <w:rPr>
          <w:rFonts w:asciiTheme="majorBidi" w:eastAsia="Times New Roman" w:hAnsiTheme="majorBidi" w:cstheme="majorBidi"/>
          <w:b/>
          <w:bCs/>
          <w:i/>
          <w:iCs/>
          <w:color w:val="333333"/>
        </w:rPr>
      </w:pPr>
      <w:r w:rsidRPr="009C0B84">
        <w:rPr>
          <w:rFonts w:asciiTheme="majorBidi" w:eastAsia="Times New Roman" w:hAnsiTheme="majorBidi" w:cstheme="majorBidi"/>
          <w:b/>
          <w:bCs/>
          <w:i/>
          <w:iCs/>
          <w:color w:val="333333"/>
        </w:rPr>
        <w:t>Safety</w:t>
      </w:r>
    </w:p>
    <w:p w14:paraId="622752B4" w14:textId="61AF76BF" w:rsidR="007865BD" w:rsidRPr="009C0B84" w:rsidRDefault="007865BD" w:rsidP="001E5F9C">
      <w:pPr>
        <w:spacing w:before="100" w:beforeAutospacing="1" w:after="100" w:afterAutospacing="1" w:line="480" w:lineRule="auto"/>
        <w:rPr>
          <w:rFonts w:asciiTheme="majorBidi" w:eastAsia="Times New Roman" w:hAnsiTheme="majorBidi" w:cstheme="majorBidi"/>
          <w:color w:val="333333"/>
        </w:rPr>
      </w:pPr>
      <w:r w:rsidRPr="009C0B84">
        <w:rPr>
          <w:rFonts w:asciiTheme="majorBidi" w:eastAsia="Times New Roman" w:hAnsiTheme="majorBidi" w:cstheme="majorBidi"/>
          <w:color w:val="333333"/>
        </w:rPr>
        <w:t xml:space="preserve">Serious adverse events (SAE’s) </w:t>
      </w:r>
      <w:r w:rsidR="001E5F9C">
        <w:rPr>
          <w:rFonts w:asciiTheme="majorBidi" w:eastAsia="Times New Roman" w:hAnsiTheme="majorBidi" w:cstheme="majorBidi"/>
          <w:color w:val="333333"/>
        </w:rPr>
        <w:t xml:space="preserve">in the overall study population </w:t>
      </w:r>
      <w:r w:rsidR="009312D1" w:rsidRPr="009C0B84">
        <w:rPr>
          <w:rFonts w:asciiTheme="majorBidi" w:eastAsia="Times New Roman" w:hAnsiTheme="majorBidi" w:cstheme="majorBidi"/>
          <w:color w:val="333333"/>
        </w:rPr>
        <w:t xml:space="preserve">were more common in the elderly </w:t>
      </w:r>
      <w:r w:rsidR="009F7D04" w:rsidRPr="009C0B84">
        <w:rPr>
          <w:rFonts w:asciiTheme="majorBidi" w:eastAsia="Times New Roman" w:hAnsiTheme="majorBidi" w:cstheme="majorBidi"/>
          <w:color w:val="333333"/>
        </w:rPr>
        <w:t xml:space="preserve">and very elderly </w:t>
      </w:r>
      <w:r w:rsidR="001C6F7F" w:rsidRPr="009C0B84">
        <w:rPr>
          <w:rFonts w:asciiTheme="majorBidi" w:eastAsia="Times New Roman" w:hAnsiTheme="majorBidi" w:cstheme="majorBidi"/>
          <w:color w:val="333333"/>
        </w:rPr>
        <w:t xml:space="preserve">compared to the younger patients </w:t>
      </w:r>
      <w:r w:rsidR="00432469" w:rsidRPr="009C0B84">
        <w:rPr>
          <w:rFonts w:asciiTheme="majorBidi" w:eastAsia="Times New Roman" w:hAnsiTheme="majorBidi" w:cstheme="majorBidi"/>
          <w:color w:val="333333"/>
        </w:rPr>
        <w:t xml:space="preserve">with incidence rates of </w:t>
      </w:r>
      <w:r w:rsidR="006107A8" w:rsidRPr="009C0B84">
        <w:rPr>
          <w:rFonts w:asciiTheme="majorBidi" w:eastAsia="Times New Roman" w:hAnsiTheme="majorBidi" w:cstheme="majorBidi"/>
          <w:color w:val="333333"/>
        </w:rPr>
        <w:t>107.3, 131.2</w:t>
      </w:r>
      <w:r w:rsidR="00432469" w:rsidRPr="009C0B84">
        <w:rPr>
          <w:rFonts w:asciiTheme="majorBidi" w:eastAsia="Times New Roman" w:hAnsiTheme="majorBidi" w:cstheme="majorBidi"/>
          <w:color w:val="333333"/>
        </w:rPr>
        <w:t xml:space="preserve"> and </w:t>
      </w:r>
      <w:r w:rsidR="006107A8" w:rsidRPr="009C0B84">
        <w:rPr>
          <w:rFonts w:asciiTheme="majorBidi" w:eastAsia="Times New Roman" w:hAnsiTheme="majorBidi" w:cstheme="majorBidi"/>
          <w:color w:val="333333"/>
        </w:rPr>
        <w:t>191.1</w:t>
      </w:r>
      <w:r w:rsidR="00432469" w:rsidRPr="009C0B84">
        <w:rPr>
          <w:rFonts w:asciiTheme="majorBidi" w:eastAsia="Times New Roman" w:hAnsiTheme="majorBidi" w:cstheme="majorBidi"/>
          <w:color w:val="333333"/>
        </w:rPr>
        <w:t xml:space="preserve"> cases per 1000 person years in age groups &lt;65, ≥65-</w:t>
      </w:r>
      <w:r w:rsidR="00410E38" w:rsidRPr="009C0B84">
        <w:rPr>
          <w:rFonts w:asciiTheme="majorBidi" w:eastAsia="Times New Roman" w:hAnsiTheme="majorBidi" w:cstheme="majorBidi"/>
          <w:color w:val="333333"/>
        </w:rPr>
        <w:t>&lt;</w:t>
      </w:r>
      <w:r w:rsidR="00432469" w:rsidRPr="009C0B84">
        <w:rPr>
          <w:rFonts w:asciiTheme="majorBidi" w:eastAsia="Times New Roman" w:hAnsiTheme="majorBidi" w:cstheme="majorBidi"/>
          <w:color w:val="333333"/>
        </w:rPr>
        <w:t xml:space="preserve">75 and </w:t>
      </w:r>
      <w:r w:rsidR="00410E38" w:rsidRPr="009C0B84">
        <w:rPr>
          <w:rFonts w:asciiTheme="majorBidi" w:eastAsia="Times New Roman" w:hAnsiTheme="majorBidi" w:cstheme="majorBidi"/>
          <w:color w:val="333333"/>
        </w:rPr>
        <w:t>≥</w:t>
      </w:r>
      <w:r w:rsidR="00432469" w:rsidRPr="009C0B84">
        <w:rPr>
          <w:rFonts w:asciiTheme="majorBidi" w:eastAsia="Times New Roman" w:hAnsiTheme="majorBidi" w:cstheme="majorBidi"/>
          <w:color w:val="333333"/>
        </w:rPr>
        <w:t>75 respectively</w:t>
      </w:r>
      <w:r w:rsidR="00886725" w:rsidRPr="009C0B84">
        <w:rPr>
          <w:rFonts w:asciiTheme="majorBidi" w:eastAsia="Times New Roman" w:hAnsiTheme="majorBidi" w:cstheme="majorBidi"/>
          <w:color w:val="333333"/>
        </w:rPr>
        <w:t xml:space="preserve"> (p</w:t>
      </w:r>
      <w:r w:rsidR="006107A8" w:rsidRPr="009C0B84">
        <w:rPr>
          <w:rFonts w:asciiTheme="majorBidi" w:eastAsia="Times New Roman" w:hAnsiTheme="majorBidi" w:cstheme="majorBidi"/>
          <w:color w:val="333333"/>
        </w:rPr>
        <w:t>&lt;0.0001</w:t>
      </w:r>
      <w:r w:rsidR="00886725" w:rsidRPr="009C0B84">
        <w:rPr>
          <w:rFonts w:asciiTheme="majorBidi" w:eastAsia="Times New Roman" w:hAnsiTheme="majorBidi" w:cstheme="majorBidi"/>
          <w:color w:val="333333"/>
        </w:rPr>
        <w:t>)</w:t>
      </w:r>
      <w:r w:rsidR="00725C66" w:rsidRPr="009C0B84">
        <w:rPr>
          <w:rFonts w:asciiTheme="majorBidi" w:eastAsia="Times New Roman" w:hAnsiTheme="majorBidi" w:cstheme="majorBidi"/>
          <w:color w:val="333333"/>
        </w:rPr>
        <w:t xml:space="preserve">. The incidence of SAE’s was lower </w:t>
      </w:r>
      <w:r w:rsidR="009312D1" w:rsidRPr="009C0B84">
        <w:rPr>
          <w:rFonts w:asciiTheme="majorBidi" w:eastAsia="Times New Roman" w:hAnsiTheme="majorBidi" w:cstheme="majorBidi"/>
          <w:color w:val="333333"/>
        </w:rPr>
        <w:t>with dapagliflozin vs. placebo</w:t>
      </w:r>
      <w:r w:rsidR="00675B42" w:rsidRPr="009C0B84">
        <w:rPr>
          <w:rFonts w:asciiTheme="majorBidi" w:eastAsia="Times New Roman" w:hAnsiTheme="majorBidi" w:cstheme="majorBidi"/>
          <w:color w:val="333333"/>
        </w:rPr>
        <w:t xml:space="preserve"> overall in the trial, and this pattern was consistent regardless of age</w:t>
      </w:r>
      <w:r w:rsidR="009312D1" w:rsidRPr="009C0B84">
        <w:rPr>
          <w:rFonts w:asciiTheme="majorBidi" w:eastAsia="Times New Roman" w:hAnsiTheme="majorBidi" w:cstheme="majorBidi"/>
          <w:color w:val="333333"/>
        </w:rPr>
        <w:t xml:space="preserve"> </w:t>
      </w:r>
      <w:r w:rsidR="009F7D04" w:rsidRPr="009C0B84">
        <w:rPr>
          <w:rFonts w:asciiTheme="majorBidi" w:eastAsia="Times New Roman" w:hAnsiTheme="majorBidi" w:cstheme="majorBidi"/>
          <w:color w:val="333333"/>
        </w:rPr>
        <w:t>with HR (95% CI)</w:t>
      </w:r>
      <w:r w:rsidR="00675B42" w:rsidRPr="009C0B84">
        <w:rPr>
          <w:rFonts w:asciiTheme="majorBidi" w:eastAsia="Times New Roman" w:hAnsiTheme="majorBidi" w:cstheme="majorBidi"/>
          <w:color w:val="333333"/>
        </w:rPr>
        <w:t xml:space="preserve"> of</w:t>
      </w:r>
      <w:r w:rsidR="009F7D04" w:rsidRPr="009C0B84">
        <w:rPr>
          <w:rFonts w:asciiTheme="majorBidi" w:eastAsia="Times New Roman" w:hAnsiTheme="majorBidi" w:cstheme="majorBidi"/>
          <w:color w:val="333333"/>
        </w:rPr>
        <w:t xml:space="preserve"> 0.93 (0.86, 1.00), 0.88 (0.81, 0.95) and 1.02 (0.85, 1.21) in age groups &lt;65, ≥65-&lt;75 and ≥75 respectively, with no age based treatment interaction (interaction p value 0.2667) </w:t>
      </w:r>
      <w:r w:rsidR="00A01259" w:rsidRPr="009C0B84">
        <w:rPr>
          <w:rFonts w:asciiTheme="majorBidi" w:eastAsia="Times New Roman" w:hAnsiTheme="majorBidi" w:cstheme="majorBidi"/>
          <w:color w:val="333333"/>
        </w:rPr>
        <w:t xml:space="preserve">(figure </w:t>
      </w:r>
      <w:r w:rsidR="000E2057" w:rsidRPr="009C0B84">
        <w:rPr>
          <w:rFonts w:asciiTheme="majorBidi" w:eastAsia="Times New Roman" w:hAnsiTheme="majorBidi" w:cstheme="majorBidi"/>
          <w:color w:val="333333"/>
        </w:rPr>
        <w:t>4</w:t>
      </w:r>
      <w:r w:rsidR="00A01259" w:rsidRPr="009C0B84">
        <w:rPr>
          <w:rFonts w:asciiTheme="majorBidi" w:eastAsia="Times New Roman" w:hAnsiTheme="majorBidi" w:cstheme="majorBidi"/>
          <w:color w:val="333333"/>
        </w:rPr>
        <w:t>)</w:t>
      </w:r>
      <w:r w:rsidR="009312D1" w:rsidRPr="009C0B84">
        <w:rPr>
          <w:rFonts w:asciiTheme="majorBidi" w:eastAsia="Times New Roman" w:hAnsiTheme="majorBidi" w:cstheme="majorBidi"/>
          <w:color w:val="333333"/>
        </w:rPr>
        <w:t xml:space="preserve">. </w:t>
      </w:r>
      <w:r w:rsidR="00EA751A" w:rsidRPr="009C0B84">
        <w:rPr>
          <w:rFonts w:asciiTheme="majorBidi" w:eastAsia="Times New Roman" w:hAnsiTheme="majorBidi" w:cstheme="majorBidi"/>
          <w:color w:val="333333"/>
        </w:rPr>
        <w:t>Moreover, no heterogeneity across age groups was observed for any of</w:t>
      </w:r>
      <w:r w:rsidR="005356BD" w:rsidRPr="009C0B84">
        <w:rPr>
          <w:rFonts w:asciiTheme="majorBidi" w:eastAsia="Times New Roman" w:hAnsiTheme="majorBidi" w:cstheme="majorBidi"/>
          <w:color w:val="333333"/>
        </w:rPr>
        <w:t xml:space="preserve"> the outcomes assessed, although the number of</w:t>
      </w:r>
      <w:r w:rsidR="00EA751A" w:rsidRPr="009C0B84">
        <w:rPr>
          <w:rFonts w:asciiTheme="majorBidi" w:eastAsia="Times New Roman" w:hAnsiTheme="majorBidi" w:cstheme="majorBidi"/>
          <w:color w:val="333333"/>
        </w:rPr>
        <w:t xml:space="preserve"> events in the </w:t>
      </w:r>
      <w:r w:rsidR="002125EE" w:rsidRPr="009C0B84">
        <w:rPr>
          <w:rFonts w:asciiTheme="majorBidi" w:eastAsia="Times New Roman" w:hAnsiTheme="majorBidi" w:cstheme="majorBidi"/>
          <w:color w:val="333333"/>
        </w:rPr>
        <w:t xml:space="preserve">very elderly </w:t>
      </w:r>
      <w:r w:rsidR="005356BD" w:rsidRPr="009C0B84">
        <w:rPr>
          <w:rFonts w:asciiTheme="majorBidi" w:eastAsia="Times New Roman" w:hAnsiTheme="majorBidi" w:cstheme="majorBidi"/>
          <w:color w:val="333333"/>
        </w:rPr>
        <w:t xml:space="preserve">was often quite small </w:t>
      </w:r>
      <w:r w:rsidR="002125EE" w:rsidRPr="009C0B84">
        <w:rPr>
          <w:rFonts w:asciiTheme="majorBidi" w:eastAsia="Times New Roman" w:hAnsiTheme="majorBidi" w:cstheme="majorBidi"/>
          <w:color w:val="333333"/>
        </w:rPr>
        <w:t>yielding wide confidence intervals in this age category.</w:t>
      </w:r>
    </w:p>
    <w:p w14:paraId="199CBDD4" w14:textId="177C79F0" w:rsidR="00627853" w:rsidRPr="009C0B84" w:rsidRDefault="00627853" w:rsidP="001E5F9C">
      <w:pPr>
        <w:spacing w:before="100" w:beforeAutospacing="1" w:after="100" w:afterAutospacing="1" w:line="480" w:lineRule="auto"/>
        <w:rPr>
          <w:rFonts w:asciiTheme="majorBidi" w:eastAsia="Times New Roman" w:hAnsiTheme="majorBidi" w:cstheme="majorBidi"/>
          <w:color w:val="333333"/>
        </w:rPr>
      </w:pPr>
      <w:r w:rsidRPr="009C0B84">
        <w:rPr>
          <w:rFonts w:asciiTheme="majorBidi" w:eastAsia="Times New Roman" w:hAnsiTheme="majorBidi" w:cstheme="majorBidi"/>
          <w:color w:val="333333"/>
        </w:rPr>
        <w:t xml:space="preserve">Major hypoglycemia events </w:t>
      </w:r>
      <w:r w:rsidR="009F7D04" w:rsidRPr="009C0B84">
        <w:rPr>
          <w:rFonts w:asciiTheme="majorBidi" w:eastAsia="Times New Roman" w:hAnsiTheme="majorBidi" w:cstheme="majorBidi"/>
          <w:color w:val="333333"/>
        </w:rPr>
        <w:t xml:space="preserve">increased with increasing age </w:t>
      </w:r>
      <w:r w:rsidR="001E5F9C">
        <w:rPr>
          <w:rFonts w:asciiTheme="majorBidi" w:eastAsia="Times New Roman" w:hAnsiTheme="majorBidi" w:cstheme="majorBidi"/>
          <w:color w:val="333333"/>
        </w:rPr>
        <w:t xml:space="preserve">in the overall study population </w:t>
      </w:r>
      <w:r w:rsidR="009F7D04" w:rsidRPr="009C0B84">
        <w:rPr>
          <w:rFonts w:asciiTheme="majorBidi" w:eastAsia="Times New Roman" w:hAnsiTheme="majorBidi" w:cstheme="majorBidi"/>
          <w:color w:val="333333"/>
        </w:rPr>
        <w:t xml:space="preserve">with incidence rates </w:t>
      </w:r>
      <w:r w:rsidR="00432469" w:rsidRPr="009C0B84">
        <w:rPr>
          <w:rFonts w:asciiTheme="majorBidi" w:eastAsia="Times New Roman" w:hAnsiTheme="majorBidi" w:cstheme="majorBidi"/>
          <w:color w:val="333333"/>
        </w:rPr>
        <w:t xml:space="preserve">of </w:t>
      </w:r>
      <w:r w:rsidR="006107A8" w:rsidRPr="009C0B84">
        <w:rPr>
          <w:rFonts w:asciiTheme="majorBidi" w:eastAsia="Times New Roman" w:hAnsiTheme="majorBidi" w:cstheme="majorBidi"/>
          <w:color w:val="333333"/>
        </w:rPr>
        <w:t xml:space="preserve">1.7, 2.6 and 6.5 </w:t>
      </w:r>
      <w:r w:rsidR="00432469" w:rsidRPr="009C0B84">
        <w:rPr>
          <w:rFonts w:asciiTheme="majorBidi" w:eastAsia="Times New Roman" w:hAnsiTheme="majorBidi" w:cstheme="majorBidi"/>
          <w:color w:val="333333"/>
        </w:rPr>
        <w:t>cases per 1000 person years in age groups &lt;65, ≥65-</w:t>
      </w:r>
      <w:r w:rsidR="00410E38" w:rsidRPr="009C0B84">
        <w:rPr>
          <w:rFonts w:asciiTheme="majorBidi" w:eastAsia="Times New Roman" w:hAnsiTheme="majorBidi" w:cstheme="majorBidi"/>
          <w:color w:val="333333"/>
        </w:rPr>
        <w:t>&lt;</w:t>
      </w:r>
      <w:r w:rsidR="00432469" w:rsidRPr="009C0B84">
        <w:rPr>
          <w:rFonts w:asciiTheme="majorBidi" w:eastAsia="Times New Roman" w:hAnsiTheme="majorBidi" w:cstheme="majorBidi"/>
          <w:color w:val="333333"/>
        </w:rPr>
        <w:t xml:space="preserve">75 and </w:t>
      </w:r>
      <w:r w:rsidR="00410E38" w:rsidRPr="009C0B84">
        <w:rPr>
          <w:rFonts w:asciiTheme="majorBidi" w:eastAsia="Times New Roman" w:hAnsiTheme="majorBidi" w:cstheme="majorBidi"/>
          <w:color w:val="333333"/>
        </w:rPr>
        <w:t>≥</w:t>
      </w:r>
      <w:r w:rsidR="00432469" w:rsidRPr="009C0B84">
        <w:rPr>
          <w:rFonts w:asciiTheme="majorBidi" w:eastAsia="Times New Roman" w:hAnsiTheme="majorBidi" w:cstheme="majorBidi"/>
          <w:color w:val="333333"/>
        </w:rPr>
        <w:t>75 respectively</w:t>
      </w:r>
      <w:r w:rsidR="00494611" w:rsidRPr="009C0B84">
        <w:rPr>
          <w:rFonts w:asciiTheme="majorBidi" w:eastAsia="Times New Roman" w:hAnsiTheme="majorBidi" w:cstheme="majorBidi"/>
          <w:color w:val="333333"/>
        </w:rPr>
        <w:t xml:space="preserve"> (p</w:t>
      </w:r>
      <w:r w:rsidR="006107A8" w:rsidRPr="009C0B84">
        <w:rPr>
          <w:rFonts w:asciiTheme="majorBidi" w:eastAsia="Times New Roman" w:hAnsiTheme="majorBidi" w:cstheme="majorBidi"/>
          <w:color w:val="333333"/>
        </w:rPr>
        <w:t>&lt;0.0001</w:t>
      </w:r>
      <w:r w:rsidR="00494611" w:rsidRPr="009C0B84">
        <w:rPr>
          <w:rFonts w:asciiTheme="majorBidi" w:eastAsia="Times New Roman" w:hAnsiTheme="majorBidi" w:cstheme="majorBidi"/>
          <w:color w:val="333333"/>
        </w:rPr>
        <w:t>)</w:t>
      </w:r>
      <w:r w:rsidR="00432469" w:rsidRPr="009C0B84">
        <w:rPr>
          <w:rFonts w:asciiTheme="majorBidi" w:eastAsia="Times New Roman" w:hAnsiTheme="majorBidi" w:cstheme="majorBidi"/>
          <w:color w:val="333333"/>
        </w:rPr>
        <w:t xml:space="preserve">. Major hypoglycemia was </w:t>
      </w:r>
      <w:r w:rsidRPr="009C0B84">
        <w:rPr>
          <w:rFonts w:asciiTheme="majorBidi" w:eastAsia="Times New Roman" w:hAnsiTheme="majorBidi" w:cstheme="majorBidi"/>
          <w:color w:val="333333"/>
        </w:rPr>
        <w:t xml:space="preserve">less frequent </w:t>
      </w:r>
      <w:r w:rsidR="009F7D04" w:rsidRPr="009C0B84">
        <w:rPr>
          <w:rFonts w:asciiTheme="majorBidi" w:eastAsia="Times New Roman" w:hAnsiTheme="majorBidi" w:cstheme="majorBidi"/>
          <w:color w:val="333333"/>
        </w:rPr>
        <w:t>with</w:t>
      </w:r>
      <w:r w:rsidRPr="009C0B84">
        <w:rPr>
          <w:rFonts w:asciiTheme="majorBidi" w:eastAsia="Times New Roman" w:hAnsiTheme="majorBidi" w:cstheme="majorBidi"/>
          <w:color w:val="333333"/>
        </w:rPr>
        <w:t xml:space="preserve"> dapagliflozin </w:t>
      </w:r>
      <w:r w:rsidR="009F7D04" w:rsidRPr="009C0B84">
        <w:rPr>
          <w:rFonts w:asciiTheme="majorBidi" w:eastAsia="Times New Roman" w:hAnsiTheme="majorBidi" w:cstheme="majorBidi"/>
          <w:color w:val="333333"/>
        </w:rPr>
        <w:t>vs.</w:t>
      </w:r>
      <w:r w:rsidRPr="009C0B84">
        <w:rPr>
          <w:rFonts w:asciiTheme="majorBidi" w:eastAsia="Times New Roman" w:hAnsiTheme="majorBidi" w:cstheme="majorBidi"/>
          <w:color w:val="333333"/>
        </w:rPr>
        <w:t xml:space="preserve"> placebo, with the effect </w:t>
      </w:r>
      <w:r w:rsidR="00A01259" w:rsidRPr="009C0B84">
        <w:rPr>
          <w:rFonts w:asciiTheme="majorBidi" w:eastAsia="Times New Roman" w:hAnsiTheme="majorBidi" w:cstheme="majorBidi"/>
          <w:color w:val="333333"/>
        </w:rPr>
        <w:t xml:space="preserve">more </w:t>
      </w:r>
      <w:r w:rsidR="00955222" w:rsidRPr="009C0B84">
        <w:rPr>
          <w:rFonts w:asciiTheme="majorBidi" w:eastAsia="Times New Roman" w:hAnsiTheme="majorBidi" w:cstheme="majorBidi"/>
          <w:color w:val="333333"/>
        </w:rPr>
        <w:t>pre</w:t>
      </w:r>
      <w:r w:rsidR="00A01259" w:rsidRPr="009C0B84">
        <w:rPr>
          <w:rFonts w:asciiTheme="majorBidi" w:eastAsia="Times New Roman" w:hAnsiTheme="majorBidi" w:cstheme="majorBidi"/>
          <w:color w:val="333333"/>
        </w:rPr>
        <w:t>dominantly observed in</w:t>
      </w:r>
      <w:r w:rsidRPr="009C0B84">
        <w:rPr>
          <w:rFonts w:asciiTheme="majorBidi" w:eastAsia="Times New Roman" w:hAnsiTheme="majorBidi" w:cstheme="majorBidi"/>
          <w:color w:val="333333"/>
        </w:rPr>
        <w:t xml:space="preserve"> </w:t>
      </w:r>
      <w:r w:rsidR="00886725" w:rsidRPr="009C0B84">
        <w:rPr>
          <w:rFonts w:asciiTheme="majorBidi" w:eastAsia="Times New Roman" w:hAnsiTheme="majorBidi" w:cstheme="majorBidi"/>
          <w:color w:val="333333"/>
        </w:rPr>
        <w:t>age group of</w:t>
      </w:r>
      <w:r w:rsidR="00DD5DAF" w:rsidRPr="009C0B84">
        <w:rPr>
          <w:rFonts w:asciiTheme="majorBidi" w:eastAsia="Times New Roman" w:hAnsiTheme="majorBidi" w:cstheme="majorBidi"/>
          <w:color w:val="333333"/>
        </w:rPr>
        <w:t xml:space="preserve"> </w:t>
      </w:r>
      <w:r w:rsidR="00002F50" w:rsidRPr="009C0B84">
        <w:rPr>
          <w:rFonts w:asciiTheme="majorBidi" w:eastAsia="Times New Roman" w:hAnsiTheme="majorBidi" w:cstheme="majorBidi"/>
          <w:color w:val="333333"/>
        </w:rPr>
        <w:t>≥</w:t>
      </w:r>
      <w:r w:rsidR="00886725" w:rsidRPr="009C0B84">
        <w:rPr>
          <w:rFonts w:asciiTheme="majorBidi" w:eastAsia="Times New Roman" w:hAnsiTheme="majorBidi" w:cstheme="majorBidi"/>
          <w:color w:val="333333"/>
        </w:rPr>
        <w:t>65</w:t>
      </w:r>
      <w:r w:rsidR="005356BD" w:rsidRPr="009C0B84">
        <w:rPr>
          <w:rFonts w:asciiTheme="majorBidi" w:eastAsia="Times New Roman" w:hAnsiTheme="majorBidi" w:cstheme="majorBidi"/>
          <w:color w:val="333333"/>
        </w:rPr>
        <w:t xml:space="preserve"> vs. &lt;65 (HR</w:t>
      </w:r>
      <w:r w:rsidR="00BD00FA" w:rsidRPr="009C0B84">
        <w:rPr>
          <w:rFonts w:asciiTheme="majorBidi" w:eastAsia="Times New Roman" w:hAnsiTheme="majorBidi" w:cstheme="majorBidi"/>
          <w:color w:val="333333"/>
        </w:rPr>
        <w:t xml:space="preserve"> </w:t>
      </w:r>
      <w:r w:rsidR="005356BD" w:rsidRPr="009C0B84">
        <w:rPr>
          <w:rFonts w:asciiTheme="majorBidi" w:eastAsia="Times New Roman" w:hAnsiTheme="majorBidi" w:cstheme="majorBidi"/>
          <w:color w:val="333333"/>
        </w:rPr>
        <w:t xml:space="preserve">(95% CI) </w:t>
      </w:r>
      <w:r w:rsidR="0082435D" w:rsidRPr="009C0B84">
        <w:rPr>
          <w:rFonts w:asciiTheme="majorBidi" w:eastAsia="Times New Roman" w:hAnsiTheme="majorBidi" w:cstheme="majorBidi"/>
          <w:color w:val="333333"/>
        </w:rPr>
        <w:t>0.53 (0.34, 0.83)</w:t>
      </w:r>
      <w:r w:rsidR="005356BD" w:rsidRPr="009C0B84">
        <w:rPr>
          <w:rFonts w:asciiTheme="majorBidi" w:eastAsia="Times New Roman" w:hAnsiTheme="majorBidi" w:cstheme="majorBidi"/>
          <w:color w:val="333333"/>
        </w:rPr>
        <w:t xml:space="preserve"> vs. </w:t>
      </w:r>
      <w:r w:rsidR="0082435D" w:rsidRPr="009C0B84">
        <w:rPr>
          <w:rFonts w:asciiTheme="majorBidi" w:eastAsia="Times New Roman" w:hAnsiTheme="majorBidi" w:cstheme="majorBidi"/>
          <w:color w:val="333333"/>
        </w:rPr>
        <w:t xml:space="preserve">0.97 (0.58, 1.64) </w:t>
      </w:r>
      <w:r w:rsidR="005356BD" w:rsidRPr="009C0B84">
        <w:rPr>
          <w:rFonts w:asciiTheme="majorBidi" w:eastAsia="Times New Roman" w:hAnsiTheme="majorBidi" w:cstheme="majorBidi"/>
          <w:color w:val="333333"/>
        </w:rPr>
        <w:t>respectively, interaction p value 0.0896)</w:t>
      </w:r>
      <w:r w:rsidRPr="009C0B84">
        <w:rPr>
          <w:rFonts w:asciiTheme="majorBidi" w:eastAsia="Times New Roman" w:hAnsiTheme="majorBidi" w:cstheme="majorBidi"/>
          <w:color w:val="333333"/>
        </w:rPr>
        <w:t xml:space="preserve">. </w:t>
      </w:r>
      <w:r w:rsidR="001E5F9C">
        <w:rPr>
          <w:rFonts w:asciiTheme="majorBidi" w:eastAsia="Times New Roman" w:hAnsiTheme="majorBidi" w:cstheme="majorBidi"/>
          <w:color w:val="333333"/>
        </w:rPr>
        <w:t>Overall f</w:t>
      </w:r>
      <w:r w:rsidRPr="009C0B84">
        <w:rPr>
          <w:rFonts w:asciiTheme="majorBidi" w:eastAsia="Times New Roman" w:hAnsiTheme="majorBidi" w:cstheme="majorBidi"/>
          <w:color w:val="333333"/>
        </w:rPr>
        <w:t>ractures were more common in the elderly</w:t>
      </w:r>
      <w:r w:rsidR="00725C66" w:rsidRPr="009C0B84">
        <w:rPr>
          <w:rFonts w:asciiTheme="majorBidi" w:eastAsia="Times New Roman" w:hAnsiTheme="majorBidi" w:cstheme="majorBidi"/>
          <w:color w:val="333333"/>
        </w:rPr>
        <w:t xml:space="preserve"> </w:t>
      </w:r>
      <w:r w:rsidR="00604634" w:rsidRPr="009C0B84">
        <w:rPr>
          <w:rFonts w:asciiTheme="majorBidi" w:eastAsia="Times New Roman" w:hAnsiTheme="majorBidi" w:cstheme="majorBidi"/>
          <w:color w:val="333333"/>
        </w:rPr>
        <w:t xml:space="preserve">and very elderly </w:t>
      </w:r>
      <w:r w:rsidR="00725C66" w:rsidRPr="009C0B84">
        <w:rPr>
          <w:rFonts w:asciiTheme="majorBidi" w:eastAsia="Times New Roman" w:hAnsiTheme="majorBidi" w:cstheme="majorBidi"/>
          <w:color w:val="333333"/>
        </w:rPr>
        <w:t xml:space="preserve">with incidence rates of </w:t>
      </w:r>
      <w:r w:rsidR="006107A8" w:rsidRPr="009C0B84">
        <w:rPr>
          <w:rFonts w:asciiTheme="majorBidi" w:eastAsia="Times New Roman" w:hAnsiTheme="majorBidi" w:cstheme="majorBidi"/>
          <w:color w:val="333333"/>
        </w:rPr>
        <w:t xml:space="preserve">11.2, 15.8 and 17.4 </w:t>
      </w:r>
      <w:r w:rsidR="00725C66" w:rsidRPr="009C0B84">
        <w:rPr>
          <w:rFonts w:asciiTheme="majorBidi" w:eastAsia="Times New Roman" w:hAnsiTheme="majorBidi" w:cstheme="majorBidi"/>
          <w:color w:val="333333"/>
        </w:rPr>
        <w:t>cases per 1000 person years in age groups &lt;65, ≥65-</w:t>
      </w:r>
      <w:r w:rsidR="00002F50" w:rsidRPr="009C0B84">
        <w:rPr>
          <w:rFonts w:asciiTheme="majorBidi" w:eastAsia="Times New Roman" w:hAnsiTheme="majorBidi" w:cstheme="majorBidi"/>
          <w:color w:val="333333"/>
        </w:rPr>
        <w:t>&lt;</w:t>
      </w:r>
      <w:r w:rsidR="00725C66" w:rsidRPr="009C0B84">
        <w:rPr>
          <w:rFonts w:asciiTheme="majorBidi" w:eastAsia="Times New Roman" w:hAnsiTheme="majorBidi" w:cstheme="majorBidi"/>
          <w:color w:val="333333"/>
        </w:rPr>
        <w:t xml:space="preserve">75 and </w:t>
      </w:r>
      <w:r w:rsidR="00002F50" w:rsidRPr="009C0B84">
        <w:rPr>
          <w:rFonts w:asciiTheme="majorBidi" w:eastAsia="Times New Roman" w:hAnsiTheme="majorBidi" w:cstheme="majorBidi"/>
          <w:color w:val="333333"/>
        </w:rPr>
        <w:t>≥</w:t>
      </w:r>
      <w:r w:rsidR="00725C66" w:rsidRPr="009C0B84">
        <w:rPr>
          <w:rFonts w:asciiTheme="majorBidi" w:eastAsia="Times New Roman" w:hAnsiTheme="majorBidi" w:cstheme="majorBidi"/>
          <w:color w:val="333333"/>
        </w:rPr>
        <w:t>75 respectively</w:t>
      </w:r>
      <w:r w:rsidR="00494611" w:rsidRPr="009C0B84">
        <w:rPr>
          <w:rFonts w:asciiTheme="majorBidi" w:eastAsia="Times New Roman" w:hAnsiTheme="majorBidi" w:cstheme="majorBidi"/>
          <w:color w:val="333333"/>
        </w:rPr>
        <w:t xml:space="preserve"> (p</w:t>
      </w:r>
      <w:r w:rsidR="005356BD" w:rsidRPr="009C0B84">
        <w:rPr>
          <w:rFonts w:asciiTheme="majorBidi" w:eastAsia="Times New Roman" w:hAnsiTheme="majorBidi" w:cstheme="majorBidi"/>
          <w:color w:val="333333"/>
        </w:rPr>
        <w:t>&lt;0.0001</w:t>
      </w:r>
      <w:r w:rsidR="00494611" w:rsidRPr="009C0B84">
        <w:rPr>
          <w:rFonts w:asciiTheme="majorBidi" w:eastAsia="Times New Roman" w:hAnsiTheme="majorBidi" w:cstheme="majorBidi"/>
          <w:color w:val="333333"/>
        </w:rPr>
        <w:t>)</w:t>
      </w:r>
      <w:r w:rsidR="00604634" w:rsidRPr="009C0B84">
        <w:rPr>
          <w:rFonts w:asciiTheme="majorBidi" w:eastAsia="Times New Roman" w:hAnsiTheme="majorBidi" w:cstheme="majorBidi"/>
          <w:color w:val="333333"/>
        </w:rPr>
        <w:t>, yet events were balanced between the dapagliflozin and placebo groups at all age subgroups studied</w:t>
      </w:r>
      <w:r w:rsidR="009F7D04" w:rsidRPr="009C0B84">
        <w:rPr>
          <w:rFonts w:asciiTheme="majorBidi" w:eastAsia="Times New Roman" w:hAnsiTheme="majorBidi" w:cstheme="majorBidi"/>
          <w:color w:val="333333"/>
        </w:rPr>
        <w:t>, with no heterogeneity</w:t>
      </w:r>
      <w:r w:rsidR="00604634" w:rsidRPr="009C0B84">
        <w:rPr>
          <w:rFonts w:asciiTheme="majorBidi" w:eastAsia="Times New Roman" w:hAnsiTheme="majorBidi" w:cstheme="majorBidi"/>
          <w:color w:val="333333"/>
        </w:rPr>
        <w:t>.</w:t>
      </w:r>
      <w:r w:rsidRPr="009C0B84">
        <w:rPr>
          <w:rFonts w:asciiTheme="majorBidi" w:eastAsia="Times New Roman" w:hAnsiTheme="majorBidi" w:cstheme="majorBidi"/>
          <w:color w:val="333333"/>
        </w:rPr>
        <w:t xml:space="preserve"> </w:t>
      </w:r>
      <w:r w:rsidR="00725C66" w:rsidRPr="009C0B84">
        <w:rPr>
          <w:rFonts w:asciiTheme="majorBidi" w:eastAsia="Times New Roman" w:hAnsiTheme="majorBidi" w:cstheme="majorBidi"/>
          <w:color w:val="333333"/>
        </w:rPr>
        <w:t>Events of volume depletion</w:t>
      </w:r>
      <w:r w:rsidR="001E5F9C">
        <w:rPr>
          <w:rFonts w:asciiTheme="majorBidi" w:eastAsia="Times New Roman" w:hAnsiTheme="majorBidi" w:cstheme="majorBidi"/>
          <w:color w:val="333333"/>
        </w:rPr>
        <w:t xml:space="preserve"> in the general study population</w:t>
      </w:r>
      <w:r w:rsidR="00725C66" w:rsidRPr="009C0B84">
        <w:rPr>
          <w:rFonts w:asciiTheme="majorBidi" w:eastAsia="Times New Roman" w:hAnsiTheme="majorBidi" w:cstheme="majorBidi"/>
          <w:color w:val="333333"/>
        </w:rPr>
        <w:t xml:space="preserve"> </w:t>
      </w:r>
      <w:r w:rsidR="00604634" w:rsidRPr="009C0B84">
        <w:rPr>
          <w:rFonts w:asciiTheme="majorBidi" w:eastAsia="Times New Roman" w:hAnsiTheme="majorBidi" w:cstheme="majorBidi"/>
          <w:color w:val="333333"/>
        </w:rPr>
        <w:t>increased with increasing age</w:t>
      </w:r>
      <w:r w:rsidR="00886725" w:rsidRPr="009C0B84">
        <w:rPr>
          <w:rFonts w:asciiTheme="majorBidi" w:eastAsia="Times New Roman" w:hAnsiTheme="majorBidi" w:cstheme="majorBidi"/>
          <w:color w:val="333333"/>
        </w:rPr>
        <w:t xml:space="preserve"> </w:t>
      </w:r>
      <w:r w:rsidR="00725C66" w:rsidRPr="009C0B84">
        <w:rPr>
          <w:rFonts w:asciiTheme="majorBidi" w:eastAsia="Times New Roman" w:hAnsiTheme="majorBidi" w:cstheme="majorBidi"/>
          <w:color w:val="333333"/>
        </w:rPr>
        <w:t xml:space="preserve">with incidence rates of </w:t>
      </w:r>
      <w:r w:rsidR="006107A8" w:rsidRPr="009C0B84">
        <w:rPr>
          <w:rFonts w:asciiTheme="majorBidi" w:eastAsia="Times New Roman" w:hAnsiTheme="majorBidi" w:cstheme="majorBidi"/>
          <w:color w:val="333333"/>
        </w:rPr>
        <w:t xml:space="preserve">5.6, 7.8 and 14.9 </w:t>
      </w:r>
      <w:r w:rsidR="00725C66" w:rsidRPr="009C0B84">
        <w:rPr>
          <w:rFonts w:asciiTheme="majorBidi" w:eastAsia="Times New Roman" w:hAnsiTheme="majorBidi" w:cstheme="majorBidi"/>
          <w:color w:val="333333"/>
        </w:rPr>
        <w:t>cases per 1000 person years in age groups &lt;65, ≥65-</w:t>
      </w:r>
      <w:r w:rsidR="00002F50" w:rsidRPr="009C0B84">
        <w:rPr>
          <w:rFonts w:asciiTheme="majorBidi" w:eastAsia="Times New Roman" w:hAnsiTheme="majorBidi" w:cstheme="majorBidi"/>
          <w:color w:val="333333"/>
        </w:rPr>
        <w:t>&lt;</w:t>
      </w:r>
      <w:r w:rsidR="00725C66" w:rsidRPr="009C0B84">
        <w:rPr>
          <w:rFonts w:asciiTheme="majorBidi" w:eastAsia="Times New Roman" w:hAnsiTheme="majorBidi" w:cstheme="majorBidi"/>
          <w:color w:val="333333"/>
        </w:rPr>
        <w:t xml:space="preserve">75 and </w:t>
      </w:r>
      <w:r w:rsidR="00002F50" w:rsidRPr="009C0B84">
        <w:rPr>
          <w:rFonts w:asciiTheme="majorBidi" w:eastAsia="Times New Roman" w:hAnsiTheme="majorBidi" w:cstheme="majorBidi"/>
          <w:color w:val="333333"/>
        </w:rPr>
        <w:t>≥</w:t>
      </w:r>
      <w:r w:rsidR="00725C66" w:rsidRPr="009C0B84">
        <w:rPr>
          <w:rFonts w:asciiTheme="majorBidi" w:eastAsia="Times New Roman" w:hAnsiTheme="majorBidi" w:cstheme="majorBidi"/>
          <w:color w:val="333333"/>
        </w:rPr>
        <w:t>75 respectively</w:t>
      </w:r>
      <w:r w:rsidR="00494611" w:rsidRPr="009C0B84">
        <w:rPr>
          <w:rFonts w:asciiTheme="majorBidi" w:eastAsia="Times New Roman" w:hAnsiTheme="majorBidi" w:cstheme="majorBidi"/>
          <w:color w:val="333333"/>
        </w:rPr>
        <w:t xml:space="preserve"> (p</w:t>
      </w:r>
      <w:r w:rsidR="006107A8" w:rsidRPr="009C0B84">
        <w:rPr>
          <w:rFonts w:asciiTheme="majorBidi" w:eastAsia="Times New Roman" w:hAnsiTheme="majorBidi" w:cstheme="majorBidi"/>
          <w:color w:val="333333"/>
        </w:rPr>
        <w:t>&lt;0.0001</w:t>
      </w:r>
      <w:r w:rsidR="00494611" w:rsidRPr="009C0B84">
        <w:rPr>
          <w:rFonts w:asciiTheme="majorBidi" w:eastAsia="Times New Roman" w:hAnsiTheme="majorBidi" w:cstheme="majorBidi"/>
          <w:color w:val="333333"/>
        </w:rPr>
        <w:t>)</w:t>
      </w:r>
      <w:r w:rsidR="00725C66" w:rsidRPr="009C0B84">
        <w:rPr>
          <w:rFonts w:asciiTheme="majorBidi" w:eastAsia="Times New Roman" w:hAnsiTheme="majorBidi" w:cstheme="majorBidi"/>
          <w:color w:val="333333"/>
        </w:rPr>
        <w:t xml:space="preserve">. </w:t>
      </w:r>
      <w:r w:rsidR="00604634" w:rsidRPr="009C0B84">
        <w:rPr>
          <w:rFonts w:asciiTheme="majorBidi" w:eastAsia="Times New Roman" w:hAnsiTheme="majorBidi" w:cstheme="majorBidi"/>
          <w:color w:val="333333"/>
        </w:rPr>
        <w:t xml:space="preserve">Similarly, acute kidney injury (AKI) was reported </w:t>
      </w:r>
      <w:r w:rsidR="001E5F9C">
        <w:rPr>
          <w:rFonts w:asciiTheme="majorBidi" w:eastAsia="Times New Roman" w:hAnsiTheme="majorBidi" w:cstheme="majorBidi"/>
          <w:color w:val="333333"/>
        </w:rPr>
        <w:t xml:space="preserve">overall </w:t>
      </w:r>
      <w:r w:rsidR="00604634" w:rsidRPr="009C0B84">
        <w:rPr>
          <w:rFonts w:asciiTheme="majorBidi" w:eastAsia="Times New Roman" w:hAnsiTheme="majorBidi" w:cstheme="majorBidi"/>
          <w:color w:val="333333"/>
        </w:rPr>
        <w:t>at higher rates with increasing age</w:t>
      </w:r>
      <w:r w:rsidR="001E5F9C">
        <w:rPr>
          <w:rFonts w:asciiTheme="majorBidi" w:eastAsia="Times New Roman" w:hAnsiTheme="majorBidi" w:cstheme="majorBidi"/>
          <w:color w:val="333333"/>
        </w:rPr>
        <w:t xml:space="preserve">, </w:t>
      </w:r>
      <w:r w:rsidR="00604634" w:rsidRPr="009C0B84">
        <w:rPr>
          <w:rFonts w:asciiTheme="majorBidi" w:eastAsia="Times New Roman" w:hAnsiTheme="majorBidi" w:cstheme="majorBidi"/>
          <w:color w:val="333333"/>
        </w:rPr>
        <w:t xml:space="preserve">with incidence rates of </w:t>
      </w:r>
      <w:r w:rsidR="00963241" w:rsidRPr="009C0B84">
        <w:rPr>
          <w:rFonts w:asciiTheme="majorBidi" w:eastAsia="Times New Roman" w:hAnsiTheme="majorBidi" w:cstheme="majorBidi"/>
          <w:color w:val="333333"/>
        </w:rPr>
        <w:t>4.2, 5.4 and 9.3</w:t>
      </w:r>
      <w:r w:rsidR="00604634" w:rsidRPr="009C0B84">
        <w:rPr>
          <w:rFonts w:asciiTheme="majorBidi" w:eastAsia="Times New Roman" w:hAnsiTheme="majorBidi" w:cstheme="majorBidi"/>
          <w:color w:val="333333"/>
        </w:rPr>
        <w:t xml:space="preserve"> cases per 1000 person years in age groups &lt;65, ≥65-&lt;75 and ≥75 respectively (p</w:t>
      </w:r>
      <w:r w:rsidR="00963241" w:rsidRPr="009C0B84">
        <w:rPr>
          <w:rFonts w:asciiTheme="majorBidi" w:eastAsia="Times New Roman" w:hAnsiTheme="majorBidi" w:cstheme="majorBidi"/>
          <w:color w:val="333333"/>
        </w:rPr>
        <w:t>=</w:t>
      </w:r>
      <w:r w:rsidR="00604634" w:rsidRPr="009C0B84">
        <w:rPr>
          <w:rFonts w:asciiTheme="majorBidi" w:eastAsia="Times New Roman" w:hAnsiTheme="majorBidi" w:cstheme="majorBidi"/>
          <w:color w:val="333333"/>
        </w:rPr>
        <w:t xml:space="preserve">0.0001). </w:t>
      </w:r>
      <w:r w:rsidR="009F7D04" w:rsidRPr="009C0B84">
        <w:rPr>
          <w:rFonts w:asciiTheme="majorBidi" w:eastAsia="Times New Roman" w:hAnsiTheme="majorBidi" w:cstheme="majorBidi"/>
          <w:color w:val="333333"/>
        </w:rPr>
        <w:t>V</w:t>
      </w:r>
      <w:r w:rsidR="00725C66" w:rsidRPr="009C0B84">
        <w:rPr>
          <w:rFonts w:asciiTheme="majorBidi" w:eastAsia="Times New Roman" w:hAnsiTheme="majorBidi" w:cstheme="majorBidi"/>
          <w:color w:val="333333"/>
        </w:rPr>
        <w:t>olume depletion events were balanced between the dapagliflozin and placebo groups</w:t>
      </w:r>
      <w:r w:rsidR="00A76F2F" w:rsidRPr="009C0B84">
        <w:rPr>
          <w:rFonts w:asciiTheme="majorBidi" w:eastAsia="Times New Roman" w:hAnsiTheme="majorBidi" w:cstheme="majorBidi"/>
          <w:color w:val="333333"/>
        </w:rPr>
        <w:t xml:space="preserve">, and AKI events were </w:t>
      </w:r>
      <w:r w:rsidR="0085235C" w:rsidRPr="009C0B84">
        <w:rPr>
          <w:rFonts w:asciiTheme="majorBidi" w:eastAsia="Times New Roman" w:hAnsiTheme="majorBidi" w:cstheme="majorBidi"/>
          <w:color w:val="333333"/>
        </w:rPr>
        <w:t xml:space="preserve">overall </w:t>
      </w:r>
      <w:r w:rsidR="00A76F2F" w:rsidRPr="009C0B84">
        <w:rPr>
          <w:rFonts w:asciiTheme="majorBidi" w:eastAsia="Times New Roman" w:hAnsiTheme="majorBidi" w:cstheme="majorBidi"/>
          <w:color w:val="333333"/>
        </w:rPr>
        <w:t>reduced with dapagliflozin vs. placebo, with no age</w:t>
      </w:r>
      <w:r w:rsidR="00955222" w:rsidRPr="009C0B84">
        <w:rPr>
          <w:rFonts w:asciiTheme="majorBidi" w:eastAsia="Times New Roman" w:hAnsiTheme="majorBidi" w:cstheme="majorBidi"/>
          <w:color w:val="333333"/>
        </w:rPr>
        <w:t>-</w:t>
      </w:r>
      <w:r w:rsidR="00A76F2F" w:rsidRPr="009C0B84">
        <w:rPr>
          <w:rFonts w:asciiTheme="majorBidi" w:eastAsia="Times New Roman" w:hAnsiTheme="majorBidi" w:cstheme="majorBidi"/>
          <w:color w:val="333333"/>
        </w:rPr>
        <w:t>based treatment interaction.</w:t>
      </w:r>
      <w:r w:rsidR="00725C66" w:rsidRPr="009C0B84">
        <w:rPr>
          <w:rFonts w:asciiTheme="majorBidi" w:eastAsia="Times New Roman" w:hAnsiTheme="majorBidi" w:cstheme="majorBidi"/>
          <w:color w:val="333333"/>
        </w:rPr>
        <w:t xml:space="preserve"> </w:t>
      </w:r>
      <w:r w:rsidR="00A76F2F" w:rsidRPr="009C0B84">
        <w:rPr>
          <w:rFonts w:asciiTheme="majorBidi" w:eastAsia="Times New Roman" w:hAnsiTheme="majorBidi" w:cstheme="majorBidi"/>
          <w:color w:val="333333"/>
        </w:rPr>
        <w:t>Amputations rate did not differ by age</w:t>
      </w:r>
      <w:r w:rsidR="0037073D" w:rsidRPr="009C0B84">
        <w:rPr>
          <w:rFonts w:asciiTheme="majorBidi" w:eastAsia="Times New Roman" w:hAnsiTheme="majorBidi" w:cstheme="majorBidi"/>
          <w:color w:val="333333"/>
        </w:rPr>
        <w:t xml:space="preserve"> </w:t>
      </w:r>
      <w:r w:rsidR="005356BD" w:rsidRPr="009C0B84">
        <w:rPr>
          <w:rFonts w:asciiTheme="majorBidi" w:eastAsia="Times New Roman" w:hAnsiTheme="majorBidi" w:cstheme="majorBidi"/>
          <w:color w:val="333333"/>
        </w:rPr>
        <w:t xml:space="preserve">(p=0.3201) </w:t>
      </w:r>
      <w:r w:rsidR="0037073D" w:rsidRPr="009C0B84">
        <w:rPr>
          <w:rFonts w:asciiTheme="majorBidi" w:eastAsia="Times New Roman" w:hAnsiTheme="majorBidi" w:cstheme="majorBidi"/>
          <w:color w:val="333333"/>
        </w:rPr>
        <w:t xml:space="preserve">and </w:t>
      </w:r>
      <w:r w:rsidR="00A76F2F" w:rsidRPr="009C0B84">
        <w:rPr>
          <w:rFonts w:asciiTheme="majorBidi" w:eastAsia="Times New Roman" w:hAnsiTheme="majorBidi" w:cstheme="majorBidi"/>
          <w:color w:val="333333"/>
        </w:rPr>
        <w:t>was</w:t>
      </w:r>
      <w:r w:rsidR="0037073D" w:rsidRPr="009C0B84">
        <w:rPr>
          <w:rFonts w:asciiTheme="majorBidi" w:eastAsia="Times New Roman" w:hAnsiTheme="majorBidi" w:cstheme="majorBidi"/>
          <w:color w:val="333333"/>
        </w:rPr>
        <w:t xml:space="preserve"> balanced between dapagliflozin and placebo with no age</w:t>
      </w:r>
      <w:r w:rsidR="005D173D" w:rsidRPr="009C0B84">
        <w:rPr>
          <w:rFonts w:asciiTheme="majorBidi" w:eastAsia="Times New Roman" w:hAnsiTheme="majorBidi" w:cstheme="majorBidi"/>
          <w:color w:val="333333"/>
        </w:rPr>
        <w:t>-</w:t>
      </w:r>
      <w:r w:rsidR="0037073D" w:rsidRPr="009C0B84">
        <w:rPr>
          <w:rFonts w:asciiTheme="majorBidi" w:eastAsia="Times New Roman" w:hAnsiTheme="majorBidi" w:cstheme="majorBidi"/>
          <w:color w:val="333333"/>
        </w:rPr>
        <w:t xml:space="preserve">based treatment interaction. </w:t>
      </w:r>
      <w:r w:rsidRPr="009C0B84">
        <w:rPr>
          <w:rFonts w:asciiTheme="majorBidi" w:eastAsia="Times New Roman" w:hAnsiTheme="majorBidi" w:cstheme="majorBidi"/>
          <w:color w:val="333333"/>
        </w:rPr>
        <w:t xml:space="preserve">Diabetic ketoacidosis was rare, but more events were observed </w:t>
      </w:r>
      <w:r w:rsidR="002C6F54" w:rsidRPr="009C0B84">
        <w:rPr>
          <w:rFonts w:asciiTheme="majorBidi" w:eastAsia="Times New Roman" w:hAnsiTheme="majorBidi" w:cstheme="majorBidi"/>
          <w:color w:val="333333"/>
        </w:rPr>
        <w:t>with</w:t>
      </w:r>
      <w:r w:rsidRPr="009C0B84">
        <w:rPr>
          <w:rFonts w:asciiTheme="majorBidi" w:eastAsia="Times New Roman" w:hAnsiTheme="majorBidi" w:cstheme="majorBidi"/>
          <w:color w:val="333333"/>
        </w:rPr>
        <w:t xml:space="preserve"> dapagliflozin </w:t>
      </w:r>
      <w:r w:rsidR="002C6F54" w:rsidRPr="009C0B84">
        <w:rPr>
          <w:rFonts w:asciiTheme="majorBidi" w:eastAsia="Times New Roman" w:hAnsiTheme="majorBidi" w:cstheme="majorBidi"/>
          <w:color w:val="333333"/>
        </w:rPr>
        <w:t>vs. placebo,</w:t>
      </w:r>
      <w:r w:rsidR="0085235C" w:rsidRPr="009C0B84">
        <w:rPr>
          <w:rFonts w:asciiTheme="majorBidi" w:eastAsia="Times New Roman" w:hAnsiTheme="majorBidi" w:cstheme="majorBidi"/>
          <w:color w:val="333333"/>
        </w:rPr>
        <w:t xml:space="preserve"> consistently across age groups</w:t>
      </w:r>
      <w:r w:rsidR="00725C66" w:rsidRPr="009C0B84">
        <w:rPr>
          <w:rFonts w:asciiTheme="majorBidi" w:eastAsia="Times New Roman" w:hAnsiTheme="majorBidi" w:cstheme="majorBidi"/>
          <w:color w:val="333333"/>
        </w:rPr>
        <w:t>.</w:t>
      </w:r>
      <w:r w:rsidRPr="009C0B84">
        <w:rPr>
          <w:rFonts w:asciiTheme="majorBidi" w:eastAsia="Times New Roman" w:hAnsiTheme="majorBidi" w:cstheme="majorBidi"/>
          <w:color w:val="333333"/>
        </w:rPr>
        <w:t xml:space="preserve"> Genital infections</w:t>
      </w:r>
      <w:r w:rsidR="00675B42" w:rsidRPr="009C0B84">
        <w:rPr>
          <w:rFonts w:asciiTheme="majorBidi" w:eastAsia="Times New Roman" w:hAnsiTheme="majorBidi" w:cstheme="majorBidi"/>
          <w:color w:val="333333"/>
        </w:rPr>
        <w:t xml:space="preserve"> that</w:t>
      </w:r>
      <w:r w:rsidR="003B6736" w:rsidRPr="009C0B84">
        <w:rPr>
          <w:rFonts w:asciiTheme="majorBidi" w:eastAsia="Times New Roman" w:hAnsiTheme="majorBidi" w:cstheme="majorBidi"/>
          <w:color w:val="333333"/>
        </w:rPr>
        <w:t xml:space="preserve"> </w:t>
      </w:r>
      <w:r w:rsidR="001C6F7F" w:rsidRPr="009C0B84">
        <w:rPr>
          <w:rFonts w:asciiTheme="majorBidi" w:eastAsia="Times New Roman" w:hAnsiTheme="majorBidi" w:cstheme="majorBidi"/>
          <w:color w:val="333333"/>
        </w:rPr>
        <w:t>were serious (two events in each arm</w:t>
      </w:r>
      <w:r w:rsidR="005912C3" w:rsidRPr="009C0B84">
        <w:rPr>
          <w:rFonts w:asciiTheme="majorBidi" w:eastAsia="Times New Roman" w:hAnsiTheme="majorBidi" w:cstheme="majorBidi"/>
          <w:color w:val="333333"/>
        </w:rPr>
        <w:t>) o</w:t>
      </w:r>
      <w:r w:rsidR="001C6F7F" w:rsidRPr="009C0B84">
        <w:rPr>
          <w:rFonts w:asciiTheme="majorBidi" w:eastAsia="Times New Roman" w:hAnsiTheme="majorBidi" w:cstheme="majorBidi"/>
          <w:color w:val="333333"/>
        </w:rPr>
        <w:t xml:space="preserve">r </w:t>
      </w:r>
      <w:r w:rsidR="003B6736" w:rsidRPr="009C0B84">
        <w:rPr>
          <w:rFonts w:asciiTheme="majorBidi" w:eastAsia="Times New Roman" w:hAnsiTheme="majorBidi" w:cstheme="majorBidi"/>
          <w:color w:val="333333"/>
        </w:rPr>
        <w:t>led</w:t>
      </w:r>
      <w:r w:rsidRPr="009C0B84">
        <w:rPr>
          <w:rFonts w:asciiTheme="majorBidi" w:eastAsia="Times New Roman" w:hAnsiTheme="majorBidi" w:cstheme="majorBidi"/>
          <w:color w:val="333333"/>
        </w:rPr>
        <w:t xml:space="preserve"> to discontinuation of study drug</w:t>
      </w:r>
      <w:r w:rsidR="002C6F54" w:rsidRPr="009C0B84">
        <w:rPr>
          <w:rFonts w:asciiTheme="majorBidi" w:eastAsia="Times New Roman" w:hAnsiTheme="majorBidi" w:cstheme="majorBidi"/>
          <w:color w:val="333333"/>
        </w:rPr>
        <w:t>,</w:t>
      </w:r>
      <w:r w:rsidRPr="009C0B84">
        <w:rPr>
          <w:rFonts w:asciiTheme="majorBidi" w:eastAsia="Times New Roman" w:hAnsiTheme="majorBidi" w:cstheme="majorBidi"/>
          <w:color w:val="333333"/>
        </w:rPr>
        <w:t xml:space="preserve"> were more common with dapagliflozin vs. placebo </w:t>
      </w:r>
      <w:r w:rsidR="004834B7" w:rsidRPr="009C0B84">
        <w:rPr>
          <w:rFonts w:asciiTheme="majorBidi" w:eastAsia="Times New Roman" w:hAnsiTheme="majorBidi" w:cstheme="majorBidi"/>
          <w:color w:val="333333"/>
        </w:rPr>
        <w:t>with no heterogeneity</w:t>
      </w:r>
      <w:r w:rsidRPr="009C0B84">
        <w:rPr>
          <w:rFonts w:asciiTheme="majorBidi" w:eastAsia="Times New Roman" w:hAnsiTheme="majorBidi" w:cstheme="majorBidi"/>
          <w:color w:val="333333"/>
        </w:rPr>
        <w:t>. There was no</w:t>
      </w:r>
      <w:r w:rsidR="0084075E" w:rsidRPr="009C0B84">
        <w:rPr>
          <w:rFonts w:asciiTheme="majorBidi" w:eastAsia="Times New Roman" w:hAnsiTheme="majorBidi" w:cstheme="majorBidi"/>
          <w:color w:val="333333"/>
        </w:rPr>
        <w:t xml:space="preserve"> statistically significant</w:t>
      </w:r>
      <w:r w:rsidRPr="009C0B84">
        <w:rPr>
          <w:rFonts w:asciiTheme="majorBidi" w:eastAsia="Times New Roman" w:hAnsiTheme="majorBidi" w:cstheme="majorBidi"/>
          <w:color w:val="333333"/>
        </w:rPr>
        <w:t xml:space="preserve"> increase in urinary tract infections </w:t>
      </w:r>
      <w:r w:rsidR="004834B7" w:rsidRPr="009C0B84">
        <w:rPr>
          <w:rFonts w:asciiTheme="majorBidi" w:eastAsia="Times New Roman" w:hAnsiTheme="majorBidi" w:cstheme="majorBidi"/>
          <w:color w:val="333333"/>
        </w:rPr>
        <w:t xml:space="preserve">(serious or leading to drug discontinuation) </w:t>
      </w:r>
      <w:r w:rsidR="00432469" w:rsidRPr="009C0B84">
        <w:rPr>
          <w:rFonts w:asciiTheme="majorBidi" w:eastAsia="Times New Roman" w:hAnsiTheme="majorBidi" w:cstheme="majorBidi"/>
          <w:color w:val="333333"/>
        </w:rPr>
        <w:t xml:space="preserve">with dapagliflozin vs. placebo </w:t>
      </w:r>
      <w:r w:rsidRPr="009C0B84">
        <w:rPr>
          <w:rFonts w:asciiTheme="majorBidi" w:eastAsia="Times New Roman" w:hAnsiTheme="majorBidi" w:cstheme="majorBidi"/>
          <w:color w:val="333333"/>
        </w:rPr>
        <w:t xml:space="preserve">in the overall population </w:t>
      </w:r>
      <w:r w:rsidR="005356BD" w:rsidRPr="009C0B84">
        <w:rPr>
          <w:rFonts w:asciiTheme="majorBidi" w:eastAsia="Times New Roman" w:hAnsiTheme="majorBidi" w:cstheme="majorBidi"/>
          <w:color w:val="333333"/>
        </w:rPr>
        <w:t>or in any of the</w:t>
      </w:r>
      <w:r w:rsidR="00AF5177" w:rsidRPr="009C0B84">
        <w:rPr>
          <w:rFonts w:asciiTheme="majorBidi" w:eastAsia="Times New Roman" w:hAnsiTheme="majorBidi" w:cstheme="majorBidi"/>
          <w:color w:val="333333"/>
        </w:rPr>
        <w:t xml:space="preserve"> age groups</w:t>
      </w:r>
      <w:r w:rsidR="00BA074D" w:rsidRPr="009C0B84">
        <w:rPr>
          <w:rFonts w:asciiTheme="majorBidi" w:eastAsia="Times New Roman" w:hAnsiTheme="majorBidi" w:cstheme="majorBidi"/>
          <w:color w:val="333333"/>
        </w:rPr>
        <w:t>. Overall malignancies were balanced between treatment arms across all age groups</w:t>
      </w:r>
      <w:r w:rsidRPr="009C0B84">
        <w:rPr>
          <w:rFonts w:asciiTheme="majorBidi" w:eastAsia="Times New Roman" w:hAnsiTheme="majorBidi" w:cstheme="majorBidi"/>
          <w:color w:val="333333"/>
        </w:rPr>
        <w:t xml:space="preserve"> (figure </w:t>
      </w:r>
      <w:r w:rsidR="000E2057" w:rsidRPr="009C0B84">
        <w:rPr>
          <w:rFonts w:asciiTheme="majorBidi" w:eastAsia="Times New Roman" w:hAnsiTheme="majorBidi" w:cstheme="majorBidi"/>
          <w:color w:val="333333"/>
        </w:rPr>
        <w:t>4</w:t>
      </w:r>
      <w:r w:rsidRPr="009C0B84">
        <w:rPr>
          <w:rFonts w:asciiTheme="majorBidi" w:eastAsia="Times New Roman" w:hAnsiTheme="majorBidi" w:cstheme="majorBidi"/>
          <w:color w:val="333333"/>
        </w:rPr>
        <w:t>).</w:t>
      </w:r>
    </w:p>
    <w:p w14:paraId="08E5D2E3" w14:textId="4A01BB14" w:rsidR="00285F14" w:rsidRPr="009C0B84" w:rsidRDefault="00285F14" w:rsidP="001525B4">
      <w:pPr>
        <w:autoSpaceDE w:val="0"/>
        <w:autoSpaceDN w:val="0"/>
        <w:adjustRightInd w:val="0"/>
        <w:spacing w:before="100" w:beforeAutospacing="1" w:after="100" w:afterAutospacing="1" w:line="480" w:lineRule="auto"/>
        <w:rPr>
          <w:rFonts w:asciiTheme="majorBidi" w:eastAsia="Times New Roman" w:hAnsiTheme="majorBidi" w:cstheme="majorBidi"/>
          <w:color w:val="333333"/>
        </w:rPr>
      </w:pPr>
      <w:r w:rsidRPr="009C0B84">
        <w:rPr>
          <w:rFonts w:asciiTheme="majorBidi" w:eastAsia="Times New Roman" w:hAnsiTheme="majorBidi" w:cstheme="majorBidi"/>
          <w:color w:val="333333"/>
        </w:rPr>
        <w:t xml:space="preserve">Safety endpoints by </w:t>
      </w:r>
      <w:r w:rsidR="004834B7" w:rsidRPr="009C0B84">
        <w:rPr>
          <w:rFonts w:asciiTheme="majorBidi" w:eastAsia="Times New Roman" w:hAnsiTheme="majorBidi" w:cstheme="majorBidi"/>
          <w:color w:val="333333"/>
        </w:rPr>
        <w:t xml:space="preserve">dichotomous </w:t>
      </w:r>
      <w:r w:rsidRPr="009C0B84">
        <w:rPr>
          <w:rFonts w:asciiTheme="majorBidi" w:eastAsia="Times New Roman" w:hAnsiTheme="majorBidi" w:cstheme="majorBidi"/>
          <w:color w:val="333333"/>
        </w:rPr>
        <w:t xml:space="preserve">age groups </w:t>
      </w:r>
      <w:r w:rsidR="00A76F2F" w:rsidRPr="009C0B84">
        <w:rPr>
          <w:rFonts w:asciiTheme="majorBidi" w:eastAsia="Times New Roman" w:hAnsiTheme="majorBidi" w:cstheme="majorBidi"/>
          <w:color w:val="333333"/>
        </w:rPr>
        <w:t xml:space="preserve">revealed </w:t>
      </w:r>
      <w:r w:rsidR="004834B7" w:rsidRPr="009C0B84">
        <w:rPr>
          <w:rFonts w:asciiTheme="majorBidi" w:eastAsia="Times New Roman" w:hAnsiTheme="majorBidi" w:cstheme="majorBidi"/>
          <w:color w:val="333333"/>
        </w:rPr>
        <w:t xml:space="preserve">consistent </w:t>
      </w:r>
      <w:r w:rsidR="00A76F2F" w:rsidRPr="009C0B84">
        <w:rPr>
          <w:rFonts w:asciiTheme="majorBidi" w:eastAsia="Times New Roman" w:hAnsiTheme="majorBidi" w:cstheme="majorBidi"/>
          <w:color w:val="333333"/>
        </w:rPr>
        <w:t>results</w:t>
      </w:r>
      <w:r w:rsidR="004834B7" w:rsidRPr="009C0B84">
        <w:rPr>
          <w:rFonts w:asciiTheme="majorBidi" w:eastAsia="Times New Roman" w:hAnsiTheme="majorBidi" w:cstheme="majorBidi"/>
          <w:color w:val="333333"/>
        </w:rPr>
        <w:t xml:space="preserve"> with no age</w:t>
      </w:r>
      <w:r w:rsidR="00452680" w:rsidRPr="009C0B84">
        <w:rPr>
          <w:rFonts w:asciiTheme="majorBidi" w:eastAsia="Times New Roman" w:hAnsiTheme="majorBidi" w:cstheme="majorBidi"/>
          <w:color w:val="333333"/>
        </w:rPr>
        <w:t>-</w:t>
      </w:r>
      <w:r w:rsidR="004834B7" w:rsidRPr="009C0B84">
        <w:rPr>
          <w:rFonts w:asciiTheme="majorBidi" w:eastAsia="Times New Roman" w:hAnsiTheme="majorBidi" w:cstheme="majorBidi"/>
          <w:color w:val="333333"/>
        </w:rPr>
        <w:t>based treatment interaction</w:t>
      </w:r>
      <w:r w:rsidRPr="009C0B84">
        <w:rPr>
          <w:rFonts w:asciiTheme="majorBidi" w:eastAsia="Times New Roman" w:hAnsiTheme="majorBidi" w:cstheme="majorBidi"/>
          <w:color w:val="333333"/>
        </w:rPr>
        <w:t xml:space="preserve"> </w:t>
      </w:r>
      <w:r w:rsidR="00ED433F" w:rsidRPr="009C0B84">
        <w:rPr>
          <w:rFonts w:asciiTheme="majorBidi" w:eastAsia="Times New Roman" w:hAnsiTheme="majorBidi" w:cstheme="majorBidi"/>
          <w:color w:val="333333"/>
        </w:rPr>
        <w:t xml:space="preserve">for any of the outcomes </w:t>
      </w:r>
      <w:r w:rsidRPr="009C0B84">
        <w:rPr>
          <w:rFonts w:asciiTheme="majorBidi" w:eastAsia="Times New Roman" w:hAnsiTheme="majorBidi" w:cstheme="majorBidi"/>
          <w:color w:val="333333"/>
        </w:rPr>
        <w:t>(supplementary figure 2)</w:t>
      </w:r>
      <w:r w:rsidR="004834B7" w:rsidRPr="009C0B84">
        <w:rPr>
          <w:rFonts w:asciiTheme="majorBidi" w:eastAsia="Times New Roman" w:hAnsiTheme="majorBidi" w:cstheme="majorBidi"/>
          <w:color w:val="333333"/>
        </w:rPr>
        <w:t>.</w:t>
      </w:r>
    </w:p>
    <w:p w14:paraId="75202E3A" w14:textId="77777777" w:rsidR="005356BD" w:rsidRPr="009C0B84" w:rsidRDefault="005356BD" w:rsidP="001525B4">
      <w:pPr>
        <w:spacing w:before="100" w:beforeAutospacing="1" w:after="100" w:afterAutospacing="1" w:line="480" w:lineRule="auto"/>
        <w:rPr>
          <w:rFonts w:asciiTheme="majorBidi" w:eastAsia="Times New Roman" w:hAnsiTheme="majorBidi" w:cstheme="majorBidi"/>
          <w:b/>
          <w:bCs/>
          <w:color w:val="333333"/>
        </w:rPr>
      </w:pPr>
    </w:p>
    <w:p w14:paraId="65E18F50" w14:textId="77777777" w:rsidR="001F6B71" w:rsidRDefault="001F6B71">
      <w:pPr>
        <w:spacing w:line="259" w:lineRule="auto"/>
        <w:rPr>
          <w:rFonts w:asciiTheme="majorBidi" w:eastAsia="Times New Roman" w:hAnsiTheme="majorBidi" w:cstheme="majorBidi"/>
          <w:b/>
          <w:bCs/>
          <w:color w:val="333333"/>
        </w:rPr>
      </w:pPr>
      <w:r>
        <w:rPr>
          <w:rFonts w:asciiTheme="majorBidi" w:eastAsia="Times New Roman" w:hAnsiTheme="majorBidi" w:cstheme="majorBidi"/>
          <w:b/>
          <w:bCs/>
          <w:color w:val="333333"/>
        </w:rPr>
        <w:br w:type="page"/>
      </w:r>
    </w:p>
    <w:p w14:paraId="73D7F580" w14:textId="45804B9D" w:rsidR="005419F2" w:rsidRPr="009C0B84" w:rsidRDefault="00A75B33" w:rsidP="001525B4">
      <w:pPr>
        <w:spacing w:before="100" w:beforeAutospacing="1" w:after="100" w:afterAutospacing="1" w:line="480" w:lineRule="auto"/>
        <w:rPr>
          <w:rFonts w:asciiTheme="majorBidi" w:eastAsia="Times New Roman" w:hAnsiTheme="majorBidi" w:cstheme="majorBidi"/>
          <w:b/>
          <w:bCs/>
          <w:color w:val="333333"/>
        </w:rPr>
      </w:pPr>
      <w:r w:rsidRPr="009C0B84">
        <w:rPr>
          <w:rFonts w:asciiTheme="majorBidi" w:eastAsia="Times New Roman" w:hAnsiTheme="majorBidi" w:cstheme="majorBidi"/>
          <w:b/>
          <w:bCs/>
          <w:color w:val="333333"/>
        </w:rPr>
        <w:t>Conclusions</w:t>
      </w:r>
    </w:p>
    <w:p w14:paraId="3EF221B1" w14:textId="79DB3375" w:rsidR="008A578B" w:rsidRPr="009C0B84" w:rsidRDefault="00235690" w:rsidP="001525B4">
      <w:pPr>
        <w:spacing w:before="100" w:beforeAutospacing="1" w:after="100" w:afterAutospacing="1" w:line="480" w:lineRule="auto"/>
        <w:rPr>
          <w:rFonts w:asciiTheme="majorBidi" w:eastAsia="Times New Roman" w:hAnsiTheme="majorBidi" w:cstheme="majorBidi"/>
          <w:color w:val="333333"/>
        </w:rPr>
      </w:pPr>
      <w:r w:rsidRPr="009C0B84">
        <w:rPr>
          <w:rFonts w:asciiTheme="majorBidi" w:eastAsia="Times New Roman" w:hAnsiTheme="majorBidi" w:cstheme="majorBidi"/>
          <w:color w:val="333333"/>
        </w:rPr>
        <w:t>In this manuscript, w</w:t>
      </w:r>
      <w:r w:rsidR="00886725" w:rsidRPr="009C0B84">
        <w:rPr>
          <w:rFonts w:asciiTheme="majorBidi" w:eastAsia="Times New Roman" w:hAnsiTheme="majorBidi" w:cstheme="majorBidi"/>
          <w:color w:val="333333"/>
        </w:rPr>
        <w:t>e present</w:t>
      </w:r>
      <w:r w:rsidR="008A578B" w:rsidRPr="009C0B84">
        <w:rPr>
          <w:rFonts w:asciiTheme="majorBidi" w:eastAsia="Times New Roman" w:hAnsiTheme="majorBidi" w:cstheme="majorBidi"/>
          <w:color w:val="333333"/>
        </w:rPr>
        <w:t xml:space="preserve"> analyses of data from the DECLARE TIMI</w:t>
      </w:r>
      <w:r w:rsidR="005912C3" w:rsidRPr="009C0B84">
        <w:rPr>
          <w:rFonts w:asciiTheme="majorBidi" w:eastAsia="Times New Roman" w:hAnsiTheme="majorBidi" w:cstheme="majorBidi"/>
          <w:color w:val="333333"/>
        </w:rPr>
        <w:t>-</w:t>
      </w:r>
      <w:r w:rsidR="008A578B" w:rsidRPr="009C0B84">
        <w:rPr>
          <w:rFonts w:asciiTheme="majorBidi" w:eastAsia="Times New Roman" w:hAnsiTheme="majorBidi" w:cstheme="majorBidi"/>
          <w:color w:val="333333"/>
        </w:rPr>
        <w:t xml:space="preserve">58 study </w:t>
      </w:r>
      <w:r w:rsidR="000042BE" w:rsidRPr="009C0B84">
        <w:rPr>
          <w:rFonts w:asciiTheme="majorBidi" w:eastAsia="Times New Roman" w:hAnsiTheme="majorBidi" w:cstheme="majorBidi"/>
          <w:color w:val="333333"/>
        </w:rPr>
        <w:t>that</w:t>
      </w:r>
      <w:r w:rsidR="00A95F96" w:rsidRPr="009C0B84">
        <w:rPr>
          <w:rFonts w:asciiTheme="majorBidi" w:eastAsia="Times New Roman" w:hAnsiTheme="majorBidi" w:cstheme="majorBidi"/>
          <w:color w:val="333333"/>
        </w:rPr>
        <w:t xml:space="preserve"> establish</w:t>
      </w:r>
      <w:r w:rsidR="008A578B" w:rsidRPr="009C0B84">
        <w:rPr>
          <w:rFonts w:asciiTheme="majorBidi" w:eastAsia="Times New Roman" w:hAnsiTheme="majorBidi" w:cstheme="majorBidi"/>
          <w:color w:val="333333"/>
        </w:rPr>
        <w:t xml:space="preserve"> the beneficial CV and renal effects of dapagliflozin in a robust number of elderly</w:t>
      </w:r>
      <w:r w:rsidRPr="009C0B84">
        <w:rPr>
          <w:rFonts w:asciiTheme="majorBidi" w:eastAsia="Times New Roman" w:hAnsiTheme="majorBidi" w:cstheme="majorBidi"/>
          <w:color w:val="333333"/>
        </w:rPr>
        <w:t xml:space="preserve"> and very elderly</w:t>
      </w:r>
      <w:r w:rsidR="008A578B" w:rsidRPr="009C0B84">
        <w:rPr>
          <w:rFonts w:asciiTheme="majorBidi" w:eastAsia="Times New Roman" w:hAnsiTheme="majorBidi" w:cstheme="majorBidi"/>
          <w:color w:val="333333"/>
        </w:rPr>
        <w:t xml:space="preserve"> participants. The overall </w:t>
      </w:r>
      <w:r w:rsidRPr="009C0B84">
        <w:rPr>
          <w:rFonts w:asciiTheme="majorBidi" w:eastAsia="Times New Roman" w:hAnsiTheme="majorBidi" w:cstheme="majorBidi"/>
          <w:color w:val="333333"/>
        </w:rPr>
        <w:t xml:space="preserve">pattern of </w:t>
      </w:r>
      <w:r w:rsidR="000042BE" w:rsidRPr="009C0B84">
        <w:rPr>
          <w:rFonts w:asciiTheme="majorBidi" w:eastAsia="Times New Roman" w:hAnsiTheme="majorBidi" w:cstheme="majorBidi"/>
          <w:color w:val="333333"/>
        </w:rPr>
        <w:t xml:space="preserve">efficacy and </w:t>
      </w:r>
      <w:r w:rsidR="008A578B" w:rsidRPr="009C0B84">
        <w:rPr>
          <w:rFonts w:asciiTheme="majorBidi" w:eastAsia="Times New Roman" w:hAnsiTheme="majorBidi" w:cstheme="majorBidi"/>
          <w:color w:val="333333"/>
        </w:rPr>
        <w:t>safety of dapagliflozin was consistent regardless of age.</w:t>
      </w:r>
    </w:p>
    <w:p w14:paraId="6A03563F" w14:textId="36A1AD94" w:rsidR="007B17F2" w:rsidRPr="009C0B84" w:rsidRDefault="00A95F96" w:rsidP="000029C2">
      <w:pPr>
        <w:spacing w:before="100" w:beforeAutospacing="1" w:after="100" w:afterAutospacing="1" w:line="480" w:lineRule="auto"/>
        <w:rPr>
          <w:rFonts w:asciiTheme="majorBidi" w:hAnsiTheme="majorBidi" w:cstheme="majorBidi"/>
        </w:rPr>
      </w:pPr>
      <w:r w:rsidRPr="009C0B84">
        <w:rPr>
          <w:rFonts w:asciiTheme="majorBidi" w:eastAsia="Times New Roman" w:hAnsiTheme="majorBidi" w:cstheme="majorBidi"/>
          <w:color w:val="333333"/>
        </w:rPr>
        <w:t xml:space="preserve">Care of </w:t>
      </w:r>
      <w:r w:rsidR="00955222" w:rsidRPr="009C0B84">
        <w:rPr>
          <w:rFonts w:asciiTheme="majorBidi" w:eastAsia="Times New Roman" w:hAnsiTheme="majorBidi" w:cstheme="majorBidi"/>
          <w:color w:val="333333"/>
        </w:rPr>
        <w:t>older patients</w:t>
      </w:r>
      <w:r w:rsidRPr="009C0B84">
        <w:rPr>
          <w:rFonts w:asciiTheme="majorBidi" w:eastAsia="Times New Roman" w:hAnsiTheme="majorBidi" w:cstheme="majorBidi"/>
          <w:color w:val="333333"/>
        </w:rPr>
        <w:t xml:space="preserve"> with diabetes represents an ongoing challenge. Rates of </w:t>
      </w:r>
      <w:r w:rsidR="0041095A" w:rsidRPr="009C0B84">
        <w:rPr>
          <w:rFonts w:asciiTheme="majorBidi" w:eastAsia="Times New Roman" w:hAnsiTheme="majorBidi" w:cstheme="majorBidi"/>
          <w:color w:val="333333"/>
        </w:rPr>
        <w:t xml:space="preserve">HHF, CVD </w:t>
      </w:r>
      <w:r w:rsidR="00B91571" w:rsidRPr="009C0B84">
        <w:rPr>
          <w:rFonts w:asciiTheme="majorBidi" w:eastAsia="Times New Roman" w:hAnsiTheme="majorBidi" w:cstheme="majorBidi"/>
          <w:color w:val="333333"/>
        </w:rPr>
        <w:t xml:space="preserve">and MI are increased in those age ≥65 and are markedly increased </w:t>
      </w:r>
      <w:r w:rsidR="00235690" w:rsidRPr="009C0B84">
        <w:rPr>
          <w:rFonts w:asciiTheme="majorBidi" w:eastAsia="Times New Roman" w:hAnsiTheme="majorBidi" w:cstheme="majorBidi"/>
          <w:color w:val="333333"/>
        </w:rPr>
        <w:t>in patients</w:t>
      </w:r>
      <w:r w:rsidR="00B91571" w:rsidRPr="009C0B84">
        <w:rPr>
          <w:rFonts w:asciiTheme="majorBidi" w:eastAsia="Times New Roman" w:hAnsiTheme="majorBidi" w:cstheme="majorBidi"/>
          <w:color w:val="333333"/>
        </w:rPr>
        <w:t xml:space="preserve"> </w:t>
      </w:r>
      <w:r w:rsidR="00235690" w:rsidRPr="009C0B84">
        <w:rPr>
          <w:rFonts w:asciiTheme="majorBidi" w:eastAsia="Times New Roman" w:hAnsiTheme="majorBidi" w:cstheme="majorBidi"/>
          <w:color w:val="333333"/>
        </w:rPr>
        <w:t xml:space="preserve">with </w:t>
      </w:r>
      <w:r w:rsidR="00B91571" w:rsidRPr="009C0B84">
        <w:rPr>
          <w:rFonts w:asciiTheme="majorBidi" w:eastAsia="Times New Roman" w:hAnsiTheme="majorBidi" w:cstheme="majorBidi"/>
          <w:color w:val="333333"/>
        </w:rPr>
        <w:t xml:space="preserve">age ≥75. </w:t>
      </w:r>
      <w:r w:rsidRPr="009C0B84">
        <w:rPr>
          <w:rFonts w:asciiTheme="majorBidi" w:eastAsia="Times New Roman" w:hAnsiTheme="majorBidi" w:cstheme="majorBidi"/>
          <w:color w:val="333333"/>
        </w:rPr>
        <w:t xml:space="preserve"> </w:t>
      </w:r>
      <w:r w:rsidR="007B17F2" w:rsidRPr="009C0B84">
        <w:rPr>
          <w:rFonts w:asciiTheme="majorBidi" w:eastAsia="Times New Roman" w:hAnsiTheme="majorBidi" w:cstheme="majorBidi"/>
          <w:color w:val="333333"/>
        </w:rPr>
        <w:t>The robust reduction in HHF observed with dapagliflozin, is thus of great clinical significance, particularly when viewed in light of the fact that many of these patients were al</w:t>
      </w:r>
      <w:r w:rsidR="007B17F2" w:rsidRPr="009C0B84">
        <w:rPr>
          <w:rFonts w:asciiTheme="majorBidi" w:hAnsiTheme="majorBidi" w:cstheme="majorBidi"/>
        </w:rPr>
        <w:t xml:space="preserve">ready treated with </w:t>
      </w:r>
      <w:r w:rsidR="0041095A" w:rsidRPr="009C0B84">
        <w:rPr>
          <w:rFonts w:asciiTheme="majorBidi" w:hAnsiTheme="majorBidi" w:cstheme="majorBidi"/>
        </w:rPr>
        <w:t xml:space="preserve">standard of care including </w:t>
      </w:r>
      <w:r w:rsidR="007B17F2" w:rsidRPr="009C0B84">
        <w:rPr>
          <w:rFonts w:asciiTheme="majorBidi" w:hAnsiTheme="majorBidi" w:cstheme="majorBidi"/>
        </w:rPr>
        <w:t>ACE inhibitors, ARBs, beta-blockers, and diuretics. Although</w:t>
      </w:r>
      <w:r w:rsidR="007C491F" w:rsidRPr="009C0B84">
        <w:rPr>
          <w:rFonts w:asciiTheme="majorBidi" w:hAnsiTheme="majorBidi" w:cstheme="majorBidi"/>
        </w:rPr>
        <w:t xml:space="preserve"> fewer events of MACE where observed in patients treated with</w:t>
      </w:r>
      <w:r w:rsidR="007B17F2" w:rsidRPr="009C0B84">
        <w:rPr>
          <w:rFonts w:asciiTheme="majorBidi" w:hAnsiTheme="majorBidi" w:cstheme="majorBidi"/>
        </w:rPr>
        <w:t xml:space="preserve"> dapagliflozin</w:t>
      </w:r>
      <w:r w:rsidR="007C491F" w:rsidRPr="009C0B84">
        <w:rPr>
          <w:rFonts w:asciiTheme="majorBidi" w:hAnsiTheme="majorBidi" w:cstheme="majorBidi"/>
        </w:rPr>
        <w:t>, it</w:t>
      </w:r>
      <w:r w:rsidR="007B17F2" w:rsidRPr="009C0B84">
        <w:rPr>
          <w:rFonts w:asciiTheme="majorBidi" w:hAnsiTheme="majorBidi" w:cstheme="majorBidi"/>
        </w:rPr>
        <w:t xml:space="preserve"> did not result in a </w:t>
      </w:r>
      <w:r w:rsidR="00444350" w:rsidRPr="009C0B84">
        <w:rPr>
          <w:rFonts w:asciiTheme="majorBidi" w:hAnsiTheme="majorBidi" w:cstheme="majorBidi"/>
        </w:rPr>
        <w:t xml:space="preserve">significant </w:t>
      </w:r>
      <w:r w:rsidR="007B17F2" w:rsidRPr="009C0B84">
        <w:rPr>
          <w:rFonts w:asciiTheme="majorBidi" w:hAnsiTheme="majorBidi" w:cstheme="majorBidi"/>
        </w:rPr>
        <w:t>reduction in the incidence of MACE</w:t>
      </w:r>
      <w:r w:rsidR="007C491F" w:rsidRPr="009C0B84">
        <w:rPr>
          <w:rFonts w:asciiTheme="majorBidi" w:hAnsiTheme="majorBidi" w:cstheme="majorBidi"/>
        </w:rPr>
        <w:t>.</w:t>
      </w:r>
      <w:r w:rsidR="007B17F2" w:rsidRPr="009C0B84">
        <w:rPr>
          <w:rFonts w:asciiTheme="majorBidi" w:hAnsiTheme="majorBidi" w:cstheme="majorBidi"/>
        </w:rPr>
        <w:t xml:space="preserve"> </w:t>
      </w:r>
      <w:r w:rsidR="007C491F" w:rsidRPr="009C0B84">
        <w:rPr>
          <w:rFonts w:asciiTheme="majorBidi" w:hAnsiTheme="majorBidi" w:cstheme="majorBidi"/>
        </w:rPr>
        <w:t>T</w:t>
      </w:r>
      <w:r w:rsidR="007B17F2" w:rsidRPr="009C0B84">
        <w:rPr>
          <w:rFonts w:asciiTheme="majorBidi" w:hAnsiTheme="majorBidi" w:cstheme="majorBidi"/>
        </w:rPr>
        <w:t>he study met its primary safety non-inferiority endpoint</w:t>
      </w:r>
      <w:r w:rsidR="00ED638A" w:rsidRPr="009C0B84">
        <w:rPr>
          <w:rFonts w:asciiTheme="majorBidi" w:hAnsiTheme="majorBidi" w:cstheme="majorBidi"/>
        </w:rPr>
        <w:t xml:space="preserve"> for MACE</w:t>
      </w:r>
      <w:r w:rsidR="007B17F2" w:rsidRPr="009C0B84">
        <w:rPr>
          <w:rFonts w:asciiTheme="majorBidi" w:hAnsiTheme="majorBidi" w:cstheme="majorBidi"/>
        </w:rPr>
        <w:t xml:space="preserve"> across all </w:t>
      </w:r>
      <w:r w:rsidR="00791FB9" w:rsidRPr="009C0B84">
        <w:rPr>
          <w:rFonts w:asciiTheme="majorBidi" w:hAnsiTheme="majorBidi" w:cstheme="majorBidi"/>
        </w:rPr>
        <w:t>studied age groups</w:t>
      </w:r>
      <w:r w:rsidR="007B17F2" w:rsidRPr="009C0B84">
        <w:rPr>
          <w:rFonts w:asciiTheme="majorBidi" w:hAnsiTheme="majorBidi" w:cstheme="majorBidi"/>
        </w:rPr>
        <w:t>.</w:t>
      </w:r>
    </w:p>
    <w:p w14:paraId="1D108BA7" w14:textId="12FCE0BD" w:rsidR="008A578B" w:rsidRDefault="000A18D7" w:rsidP="001525B4">
      <w:pPr>
        <w:spacing w:before="100" w:beforeAutospacing="1" w:after="100" w:afterAutospacing="1" w:line="480" w:lineRule="auto"/>
        <w:rPr>
          <w:rFonts w:asciiTheme="majorBidi" w:eastAsia="Times New Roman" w:hAnsiTheme="majorBidi" w:cstheme="majorBidi"/>
          <w:color w:val="333333"/>
        </w:rPr>
      </w:pPr>
      <w:r w:rsidRPr="009C0B84">
        <w:rPr>
          <w:rFonts w:asciiTheme="majorBidi" w:eastAsia="Times New Roman" w:hAnsiTheme="majorBidi" w:cstheme="majorBidi"/>
          <w:color w:val="333333"/>
        </w:rPr>
        <w:t>S</w:t>
      </w:r>
      <w:r w:rsidR="00D23184" w:rsidRPr="009C0B84">
        <w:rPr>
          <w:rFonts w:asciiTheme="majorBidi" w:eastAsia="Times New Roman" w:hAnsiTheme="majorBidi" w:cstheme="majorBidi"/>
          <w:color w:val="333333"/>
        </w:rPr>
        <w:t xml:space="preserve">AE’s, though generally more frequent in older vs. younger individuals were not increased in the elderly </w:t>
      </w:r>
      <w:r w:rsidR="00444350" w:rsidRPr="009C0B84">
        <w:rPr>
          <w:rFonts w:asciiTheme="majorBidi" w:eastAsia="Times New Roman" w:hAnsiTheme="majorBidi" w:cstheme="majorBidi"/>
          <w:color w:val="333333"/>
        </w:rPr>
        <w:t xml:space="preserve">or the very elderly </w:t>
      </w:r>
      <w:r w:rsidR="00D23184" w:rsidRPr="009C0B84">
        <w:rPr>
          <w:rFonts w:asciiTheme="majorBidi" w:eastAsia="Times New Roman" w:hAnsiTheme="majorBidi" w:cstheme="majorBidi"/>
          <w:color w:val="333333"/>
        </w:rPr>
        <w:t>with dapagliflozin vs. placebo, and there was no age</w:t>
      </w:r>
      <w:r w:rsidR="00235690" w:rsidRPr="009C0B84">
        <w:rPr>
          <w:rFonts w:asciiTheme="majorBidi" w:eastAsia="Times New Roman" w:hAnsiTheme="majorBidi" w:cstheme="majorBidi"/>
          <w:color w:val="333333"/>
        </w:rPr>
        <w:t>-</w:t>
      </w:r>
      <w:r w:rsidR="00D23184" w:rsidRPr="009C0B84">
        <w:rPr>
          <w:rFonts w:asciiTheme="majorBidi" w:eastAsia="Times New Roman" w:hAnsiTheme="majorBidi" w:cstheme="majorBidi"/>
          <w:color w:val="333333"/>
        </w:rPr>
        <w:t xml:space="preserve">based treatment interaction for any of the safety outcomes assessed. </w:t>
      </w:r>
      <w:r w:rsidR="00956CC7" w:rsidRPr="009C0B84">
        <w:rPr>
          <w:rFonts w:asciiTheme="majorBidi" w:eastAsia="Times New Roman" w:hAnsiTheme="majorBidi" w:cstheme="majorBidi"/>
          <w:color w:val="333333"/>
        </w:rPr>
        <w:t xml:space="preserve">Several adverse outcomes are of particular concern in </w:t>
      </w:r>
      <w:r w:rsidR="00444350" w:rsidRPr="009C0B84">
        <w:rPr>
          <w:rFonts w:asciiTheme="majorBidi" w:eastAsia="Times New Roman" w:hAnsiTheme="majorBidi" w:cstheme="majorBidi"/>
          <w:color w:val="333333"/>
        </w:rPr>
        <w:t>older patients with diabetes</w:t>
      </w:r>
      <w:r w:rsidR="00956CC7" w:rsidRPr="009C0B84">
        <w:rPr>
          <w:rFonts w:asciiTheme="majorBidi" w:eastAsia="Times New Roman" w:hAnsiTheme="majorBidi" w:cstheme="majorBidi"/>
          <w:color w:val="333333"/>
        </w:rPr>
        <w:t xml:space="preserve">. </w:t>
      </w:r>
      <w:r w:rsidR="00444350" w:rsidRPr="009C0B84">
        <w:rPr>
          <w:rFonts w:asciiTheme="majorBidi" w:eastAsia="Times New Roman" w:hAnsiTheme="majorBidi" w:cstheme="majorBidi"/>
          <w:color w:val="333333"/>
        </w:rPr>
        <w:t>Events of v</w:t>
      </w:r>
      <w:r w:rsidR="00956CC7" w:rsidRPr="009C0B84">
        <w:rPr>
          <w:rFonts w:asciiTheme="majorBidi" w:eastAsia="Times New Roman" w:hAnsiTheme="majorBidi" w:cstheme="majorBidi"/>
          <w:color w:val="333333"/>
        </w:rPr>
        <w:t xml:space="preserve">olume depletion </w:t>
      </w:r>
      <w:r w:rsidR="00444350" w:rsidRPr="009C0B84">
        <w:rPr>
          <w:rFonts w:asciiTheme="majorBidi" w:eastAsia="Times New Roman" w:hAnsiTheme="majorBidi" w:cstheme="majorBidi"/>
          <w:color w:val="333333"/>
        </w:rPr>
        <w:t xml:space="preserve">increase with increasing age and </w:t>
      </w:r>
      <w:r w:rsidR="00956CC7" w:rsidRPr="009C0B84">
        <w:rPr>
          <w:rFonts w:asciiTheme="majorBidi" w:eastAsia="Times New Roman" w:hAnsiTheme="majorBidi" w:cstheme="majorBidi"/>
          <w:color w:val="333333"/>
        </w:rPr>
        <w:t>there is greater concern related to possible adverse consequences of volume depletion</w:t>
      </w:r>
      <w:r w:rsidR="009A2CAD" w:rsidRPr="009C0B84">
        <w:rPr>
          <w:rFonts w:asciiTheme="majorBidi" w:eastAsia="Times New Roman" w:hAnsiTheme="majorBidi" w:cstheme="majorBidi"/>
          <w:color w:val="333333"/>
        </w:rPr>
        <w:t xml:space="preserve"> in </w:t>
      </w:r>
      <w:r w:rsidR="00444350" w:rsidRPr="009C0B84">
        <w:rPr>
          <w:rFonts w:asciiTheme="majorBidi" w:eastAsia="Times New Roman" w:hAnsiTheme="majorBidi" w:cstheme="majorBidi"/>
          <w:color w:val="333333"/>
        </w:rPr>
        <w:t>older patients</w:t>
      </w:r>
      <w:r w:rsidR="00956CC7" w:rsidRPr="009C0B84">
        <w:rPr>
          <w:rFonts w:asciiTheme="majorBidi" w:eastAsia="Times New Roman" w:hAnsiTheme="majorBidi" w:cstheme="majorBidi"/>
          <w:color w:val="333333"/>
        </w:rPr>
        <w:t xml:space="preserve"> including falls, and kidney injury. In that respect, the observed reduction in HHF and renal benefit </w:t>
      </w:r>
      <w:r w:rsidR="00830EB0" w:rsidRPr="009C0B84">
        <w:rPr>
          <w:rFonts w:asciiTheme="majorBidi" w:eastAsia="Times New Roman" w:hAnsiTheme="majorBidi" w:cstheme="majorBidi"/>
          <w:color w:val="333333"/>
        </w:rPr>
        <w:t xml:space="preserve">with dapagliflozin </w:t>
      </w:r>
      <w:r w:rsidR="00956CC7" w:rsidRPr="009C0B84">
        <w:rPr>
          <w:rFonts w:asciiTheme="majorBidi" w:eastAsia="Times New Roman" w:hAnsiTheme="majorBidi" w:cstheme="majorBidi"/>
          <w:color w:val="333333"/>
        </w:rPr>
        <w:t xml:space="preserve">with no excess risk of volume depletion </w:t>
      </w:r>
      <w:r w:rsidR="00865F18" w:rsidRPr="009C0B84">
        <w:rPr>
          <w:rFonts w:asciiTheme="majorBidi" w:eastAsia="Times New Roman" w:hAnsiTheme="majorBidi" w:cstheme="majorBidi"/>
          <w:color w:val="333333"/>
        </w:rPr>
        <w:t xml:space="preserve">and reduced rate of AKI </w:t>
      </w:r>
      <w:r w:rsidR="00235690" w:rsidRPr="009C0B84">
        <w:rPr>
          <w:rFonts w:asciiTheme="majorBidi" w:eastAsia="Times New Roman" w:hAnsiTheme="majorBidi" w:cstheme="majorBidi"/>
          <w:color w:val="333333"/>
        </w:rPr>
        <w:t>is</w:t>
      </w:r>
      <w:r w:rsidR="00956CC7" w:rsidRPr="009C0B84">
        <w:rPr>
          <w:rFonts w:asciiTheme="majorBidi" w:eastAsia="Times New Roman" w:hAnsiTheme="majorBidi" w:cstheme="majorBidi"/>
          <w:color w:val="333333"/>
        </w:rPr>
        <w:t xml:space="preserve"> reassuring.  </w:t>
      </w:r>
      <w:r w:rsidR="00C977E6" w:rsidRPr="009C0B84">
        <w:rPr>
          <w:rFonts w:asciiTheme="majorBidi" w:eastAsia="Times New Roman" w:hAnsiTheme="majorBidi" w:cstheme="majorBidi"/>
          <w:color w:val="333333"/>
        </w:rPr>
        <w:t xml:space="preserve">Older adults are at higher risk of hypoglycemia </w:t>
      </w:r>
      <w:r w:rsidR="009D2617">
        <w:rPr>
          <w:rFonts w:asciiTheme="majorBidi" w:eastAsia="Times New Roman" w:hAnsiTheme="majorBidi" w:cstheme="majorBidi"/>
          <w:color w:val="333333"/>
        </w:rPr>
        <w:t xml:space="preserve">from both insulin and sulfonylurea treatment </w:t>
      </w:r>
      <w:r w:rsidR="00235690" w:rsidRPr="009C0B84">
        <w:rPr>
          <w:rFonts w:asciiTheme="majorBidi" w:eastAsia="Times New Roman" w:hAnsiTheme="majorBidi" w:cstheme="majorBidi"/>
          <w:color w:val="333333"/>
        </w:rPr>
        <w:t>as a result of</w:t>
      </w:r>
      <w:r w:rsidR="00C977E6" w:rsidRPr="009C0B84">
        <w:rPr>
          <w:rFonts w:asciiTheme="majorBidi" w:eastAsia="Times New Roman" w:hAnsiTheme="majorBidi" w:cstheme="majorBidi"/>
          <w:color w:val="333333"/>
        </w:rPr>
        <w:t xml:space="preserve"> insulin deficiency, progressive renal insufficiency and higher rates of cognitive deficits which may cause difficulty in disease management i.e. glucose monitoring and adjustment of insulin dosing</w:t>
      </w:r>
      <w:r w:rsidR="00103C00" w:rsidRPr="009C0B84">
        <w:rPr>
          <w:rFonts w:asciiTheme="majorBidi" w:eastAsia="Times New Roman" w:hAnsiTheme="majorBidi" w:cstheme="majorBidi"/>
          <w:color w:val="333333"/>
        </w:rPr>
        <w:t xml:space="preserve"> (</w:t>
      </w:r>
      <w:r w:rsidR="00656383" w:rsidRPr="009C0B84">
        <w:rPr>
          <w:rFonts w:asciiTheme="majorBidi" w:eastAsia="Times New Roman" w:hAnsiTheme="majorBidi" w:cstheme="majorBidi"/>
          <w:color w:val="333333"/>
          <w:rtl/>
        </w:rPr>
        <w:t>1</w:t>
      </w:r>
      <w:r w:rsidR="00103C00" w:rsidRPr="009C0B84">
        <w:rPr>
          <w:rFonts w:asciiTheme="majorBidi" w:eastAsia="Times New Roman" w:hAnsiTheme="majorBidi" w:cstheme="majorBidi"/>
          <w:color w:val="333333"/>
        </w:rPr>
        <w:t>)</w:t>
      </w:r>
      <w:r w:rsidR="00C977E6" w:rsidRPr="009C0B84">
        <w:rPr>
          <w:rFonts w:asciiTheme="majorBidi" w:eastAsia="Times New Roman" w:hAnsiTheme="majorBidi" w:cstheme="majorBidi"/>
          <w:color w:val="333333"/>
        </w:rPr>
        <w:t xml:space="preserve">. </w:t>
      </w:r>
      <w:r w:rsidR="00074A23" w:rsidRPr="009C0B84">
        <w:rPr>
          <w:rFonts w:asciiTheme="majorBidi" w:eastAsia="Times New Roman" w:hAnsiTheme="majorBidi" w:cstheme="majorBidi"/>
          <w:color w:val="333333"/>
        </w:rPr>
        <w:t>H</w:t>
      </w:r>
      <w:r w:rsidR="00C977E6" w:rsidRPr="009C0B84">
        <w:rPr>
          <w:rFonts w:asciiTheme="majorBidi" w:eastAsia="Times New Roman" w:hAnsiTheme="majorBidi" w:cstheme="majorBidi"/>
          <w:color w:val="333333"/>
        </w:rPr>
        <w:t xml:space="preserve">ypoglycemia should be particularly avoided in </w:t>
      </w:r>
      <w:r w:rsidR="00444350" w:rsidRPr="009C0B84">
        <w:rPr>
          <w:rFonts w:asciiTheme="majorBidi" w:eastAsia="Times New Roman" w:hAnsiTheme="majorBidi" w:cstheme="majorBidi"/>
          <w:color w:val="333333"/>
        </w:rPr>
        <w:t>older patients</w:t>
      </w:r>
      <w:r w:rsidR="00C977E6" w:rsidRPr="009C0B84">
        <w:rPr>
          <w:rFonts w:asciiTheme="majorBidi" w:eastAsia="Times New Roman" w:hAnsiTheme="majorBidi" w:cstheme="majorBidi"/>
          <w:color w:val="333333"/>
        </w:rPr>
        <w:t xml:space="preserve"> due to their greater risk of other major adverse outcomes secondary to hypoglycemia such as falls or fractures</w:t>
      </w:r>
      <w:r w:rsidR="00103C00" w:rsidRPr="009C0B84">
        <w:rPr>
          <w:rFonts w:asciiTheme="majorBidi" w:eastAsia="Times New Roman" w:hAnsiTheme="majorBidi" w:cstheme="majorBidi"/>
          <w:color w:val="333333"/>
        </w:rPr>
        <w:t xml:space="preserve"> (</w:t>
      </w:r>
      <w:r w:rsidR="00553158" w:rsidRPr="009C0B84">
        <w:rPr>
          <w:rFonts w:asciiTheme="majorBidi" w:eastAsia="Times New Roman" w:hAnsiTheme="majorBidi" w:cstheme="majorBidi"/>
          <w:color w:val="333333"/>
          <w:rtl/>
        </w:rPr>
        <w:t>1</w:t>
      </w:r>
      <w:r w:rsidR="00103C00" w:rsidRPr="009C0B84">
        <w:rPr>
          <w:rFonts w:asciiTheme="majorBidi" w:eastAsia="Times New Roman" w:hAnsiTheme="majorBidi" w:cstheme="majorBidi"/>
          <w:color w:val="333333"/>
        </w:rPr>
        <w:t>)</w:t>
      </w:r>
      <w:r w:rsidR="00C977E6" w:rsidRPr="009C0B84">
        <w:rPr>
          <w:rFonts w:asciiTheme="majorBidi" w:eastAsia="Times New Roman" w:hAnsiTheme="majorBidi" w:cstheme="majorBidi"/>
          <w:color w:val="333333"/>
        </w:rPr>
        <w:t xml:space="preserve">. Patients randomized to dapagliflozin vs. placebo </w:t>
      </w:r>
      <w:r w:rsidR="00444350" w:rsidRPr="009C0B84">
        <w:rPr>
          <w:rFonts w:asciiTheme="majorBidi" w:eastAsia="Times New Roman" w:hAnsiTheme="majorBidi" w:cstheme="majorBidi"/>
          <w:color w:val="333333"/>
        </w:rPr>
        <w:t xml:space="preserve">in addition to standard of care </w:t>
      </w:r>
      <w:r w:rsidR="00C977E6" w:rsidRPr="009C0B84">
        <w:rPr>
          <w:rFonts w:asciiTheme="majorBidi" w:eastAsia="Times New Roman" w:hAnsiTheme="majorBidi" w:cstheme="majorBidi"/>
          <w:color w:val="333333"/>
        </w:rPr>
        <w:t>attained superior glycemic control with lower rates of hypoglycemia</w:t>
      </w:r>
      <w:r w:rsidR="00444350" w:rsidRPr="009C0B84">
        <w:rPr>
          <w:rFonts w:asciiTheme="majorBidi" w:eastAsia="Times New Roman" w:hAnsiTheme="majorBidi" w:cstheme="majorBidi"/>
          <w:color w:val="333333"/>
        </w:rPr>
        <w:t>, irrespective of age, highlighting the benefit of the drug.</w:t>
      </w:r>
      <w:r w:rsidR="00C977E6" w:rsidRPr="009C0B84">
        <w:rPr>
          <w:rFonts w:asciiTheme="majorBidi" w:eastAsia="Times New Roman" w:hAnsiTheme="majorBidi" w:cstheme="majorBidi"/>
          <w:color w:val="333333"/>
        </w:rPr>
        <w:t xml:space="preserve"> </w:t>
      </w:r>
    </w:p>
    <w:p w14:paraId="1ECA3433" w14:textId="1D5E9F37" w:rsidR="000A18D7" w:rsidRPr="009C0B84" w:rsidRDefault="000029C2" w:rsidP="000029C2">
      <w:pPr>
        <w:spacing w:before="100" w:beforeAutospacing="1" w:after="100" w:afterAutospacing="1" w:line="480" w:lineRule="auto"/>
        <w:rPr>
          <w:rFonts w:asciiTheme="majorBidi" w:eastAsia="Times New Roman" w:hAnsiTheme="majorBidi" w:cstheme="majorBidi"/>
          <w:color w:val="333333"/>
        </w:rPr>
      </w:pPr>
      <w:r>
        <w:rPr>
          <w:rFonts w:asciiTheme="majorBidi" w:hAnsiTheme="majorBidi" w:cstheme="majorBidi"/>
        </w:rPr>
        <w:t>The greater morbidity of the elderly and very elderly population in our study, as reflected by higher rates of baseline HF and CKD</w:t>
      </w:r>
      <w:r w:rsidR="003E664F">
        <w:rPr>
          <w:rFonts w:asciiTheme="majorBidi" w:hAnsiTheme="majorBidi" w:cstheme="majorBidi"/>
        </w:rPr>
        <w:t>,</w:t>
      </w:r>
      <w:r>
        <w:rPr>
          <w:rFonts w:asciiTheme="majorBidi" w:hAnsiTheme="majorBidi" w:cstheme="majorBidi"/>
        </w:rPr>
        <w:t xml:space="preserve"> strengthen the clinical impact of our results </w:t>
      </w:r>
      <w:r w:rsidR="003E664F">
        <w:rPr>
          <w:rFonts w:asciiTheme="majorBidi" w:hAnsiTheme="majorBidi" w:cstheme="majorBidi"/>
        </w:rPr>
        <w:t>which demonstrate</w:t>
      </w:r>
      <w:r>
        <w:rPr>
          <w:rFonts w:asciiTheme="majorBidi" w:hAnsiTheme="majorBidi" w:cstheme="majorBidi"/>
        </w:rPr>
        <w:t xml:space="preserve"> consisten</w:t>
      </w:r>
      <w:r w:rsidR="003E664F">
        <w:rPr>
          <w:rFonts w:asciiTheme="majorBidi" w:hAnsiTheme="majorBidi" w:cstheme="majorBidi"/>
        </w:rPr>
        <w:t>t</w:t>
      </w:r>
      <w:r>
        <w:rPr>
          <w:rFonts w:asciiTheme="majorBidi" w:hAnsiTheme="majorBidi" w:cstheme="majorBidi"/>
        </w:rPr>
        <w:t xml:space="preserve"> efficacy and safety </w:t>
      </w:r>
      <w:r w:rsidR="003E664F">
        <w:rPr>
          <w:rFonts w:asciiTheme="majorBidi" w:hAnsiTheme="majorBidi" w:cstheme="majorBidi"/>
        </w:rPr>
        <w:t xml:space="preserve">of dapagliflozin </w:t>
      </w:r>
      <w:r>
        <w:rPr>
          <w:rFonts w:asciiTheme="majorBidi" w:hAnsiTheme="majorBidi" w:cstheme="majorBidi"/>
        </w:rPr>
        <w:t xml:space="preserve">extending across all age groups. </w:t>
      </w:r>
      <w:r w:rsidR="000A18D7" w:rsidRPr="009C0B84">
        <w:rPr>
          <w:rFonts w:asciiTheme="majorBidi" w:eastAsia="Times New Roman" w:hAnsiTheme="majorBidi" w:cstheme="majorBidi"/>
          <w:color w:val="333333"/>
        </w:rPr>
        <w:t xml:space="preserve">The </w:t>
      </w:r>
      <w:r w:rsidR="00235690" w:rsidRPr="009C0B84">
        <w:rPr>
          <w:rFonts w:asciiTheme="majorBidi" w:eastAsia="Times New Roman" w:hAnsiTheme="majorBidi" w:cstheme="majorBidi"/>
          <w:color w:val="333333"/>
        </w:rPr>
        <w:t xml:space="preserve">paradigm of </w:t>
      </w:r>
      <w:r w:rsidR="000A18D7" w:rsidRPr="009C0B84">
        <w:rPr>
          <w:rFonts w:asciiTheme="majorBidi" w:eastAsia="Times New Roman" w:hAnsiTheme="majorBidi" w:cstheme="majorBidi"/>
          <w:color w:val="333333"/>
        </w:rPr>
        <w:t>diabetes</w:t>
      </w:r>
      <w:r w:rsidR="00235690" w:rsidRPr="009C0B84">
        <w:rPr>
          <w:rFonts w:asciiTheme="majorBidi" w:eastAsia="Times New Roman" w:hAnsiTheme="majorBidi" w:cstheme="majorBidi"/>
          <w:color w:val="333333"/>
        </w:rPr>
        <w:t xml:space="preserve"> treatment</w:t>
      </w:r>
      <w:r w:rsidR="000A18D7" w:rsidRPr="009C0B84">
        <w:rPr>
          <w:rFonts w:asciiTheme="majorBidi" w:eastAsia="Times New Roman" w:hAnsiTheme="majorBidi" w:cstheme="majorBidi"/>
          <w:color w:val="333333"/>
        </w:rPr>
        <w:t xml:space="preserve"> has shifted from</w:t>
      </w:r>
      <w:r w:rsidR="0084075E" w:rsidRPr="009C0B84">
        <w:rPr>
          <w:rFonts w:asciiTheme="majorBidi" w:eastAsia="Times New Roman" w:hAnsiTheme="majorBidi" w:cstheme="majorBidi"/>
          <w:color w:val="333333"/>
        </w:rPr>
        <w:t xml:space="preserve"> a </w:t>
      </w:r>
      <w:proofErr w:type="gramStart"/>
      <w:r w:rsidR="0084075E" w:rsidRPr="009C0B84">
        <w:rPr>
          <w:rFonts w:asciiTheme="majorBidi" w:eastAsia="Times New Roman" w:hAnsiTheme="majorBidi" w:cstheme="majorBidi"/>
          <w:color w:val="333333"/>
        </w:rPr>
        <w:t>glucose focused</w:t>
      </w:r>
      <w:proofErr w:type="gramEnd"/>
      <w:r w:rsidR="0084075E" w:rsidRPr="009C0B84">
        <w:rPr>
          <w:rFonts w:asciiTheme="majorBidi" w:eastAsia="Times New Roman" w:hAnsiTheme="majorBidi" w:cstheme="majorBidi"/>
          <w:color w:val="333333"/>
        </w:rPr>
        <w:t xml:space="preserve"> approach </w:t>
      </w:r>
      <w:r w:rsidR="000A18D7" w:rsidRPr="009C0B84">
        <w:rPr>
          <w:rFonts w:asciiTheme="majorBidi" w:eastAsia="Times New Roman" w:hAnsiTheme="majorBidi" w:cstheme="majorBidi"/>
          <w:color w:val="333333"/>
        </w:rPr>
        <w:t xml:space="preserve">to </w:t>
      </w:r>
      <w:r w:rsidR="00865F18" w:rsidRPr="009C0B84">
        <w:rPr>
          <w:rFonts w:asciiTheme="majorBidi" w:eastAsia="Times New Roman" w:hAnsiTheme="majorBidi" w:cstheme="majorBidi"/>
          <w:color w:val="333333"/>
        </w:rPr>
        <w:t>the pursuit of</w:t>
      </w:r>
      <w:r w:rsidR="000A18D7" w:rsidRPr="009C0B84">
        <w:rPr>
          <w:rFonts w:asciiTheme="majorBidi" w:eastAsia="Times New Roman" w:hAnsiTheme="majorBidi" w:cstheme="majorBidi"/>
          <w:color w:val="333333"/>
        </w:rPr>
        <w:t xml:space="preserve"> a therapeutic regimen </w:t>
      </w:r>
      <w:r w:rsidR="00721F5F" w:rsidRPr="009C0B84">
        <w:rPr>
          <w:rFonts w:asciiTheme="majorBidi" w:eastAsia="Times New Roman" w:hAnsiTheme="majorBidi" w:cstheme="majorBidi"/>
          <w:color w:val="333333"/>
        </w:rPr>
        <w:t>that</w:t>
      </w:r>
      <w:r w:rsidR="000A18D7" w:rsidRPr="009C0B84">
        <w:rPr>
          <w:rFonts w:asciiTheme="majorBidi" w:eastAsia="Times New Roman" w:hAnsiTheme="majorBidi" w:cstheme="majorBidi"/>
          <w:color w:val="333333"/>
        </w:rPr>
        <w:t xml:space="preserve"> will yield </w:t>
      </w:r>
      <w:r w:rsidR="00235690" w:rsidRPr="009C0B84">
        <w:rPr>
          <w:rFonts w:asciiTheme="majorBidi" w:eastAsia="Times New Roman" w:hAnsiTheme="majorBidi" w:cstheme="majorBidi"/>
          <w:color w:val="333333"/>
        </w:rPr>
        <w:t>a</w:t>
      </w:r>
      <w:r w:rsidR="000A18D7" w:rsidRPr="009C0B84">
        <w:rPr>
          <w:rFonts w:asciiTheme="majorBidi" w:eastAsia="Times New Roman" w:hAnsiTheme="majorBidi" w:cstheme="majorBidi"/>
          <w:color w:val="333333"/>
        </w:rPr>
        <w:t xml:space="preserve"> reduction in morbidity and mortality. This is </w:t>
      </w:r>
      <w:r w:rsidR="00235690" w:rsidRPr="009C0B84">
        <w:rPr>
          <w:rFonts w:asciiTheme="majorBidi" w:eastAsia="Times New Roman" w:hAnsiTheme="majorBidi" w:cstheme="majorBidi"/>
          <w:color w:val="333333"/>
        </w:rPr>
        <w:t>particularly</w:t>
      </w:r>
      <w:r w:rsidR="000A18D7" w:rsidRPr="009C0B84">
        <w:rPr>
          <w:rFonts w:asciiTheme="majorBidi" w:eastAsia="Times New Roman" w:hAnsiTheme="majorBidi" w:cstheme="majorBidi"/>
          <w:color w:val="333333"/>
        </w:rPr>
        <w:t xml:space="preserve"> true in the elderly whose life expectancy </w:t>
      </w:r>
      <w:r w:rsidR="00235690" w:rsidRPr="009C0B84">
        <w:rPr>
          <w:rFonts w:asciiTheme="majorBidi" w:eastAsia="Times New Roman" w:hAnsiTheme="majorBidi" w:cstheme="majorBidi"/>
          <w:color w:val="333333"/>
        </w:rPr>
        <w:t>is shorter and for whom event rates are higher</w:t>
      </w:r>
      <w:r w:rsidR="002C76D5" w:rsidRPr="009C0B84">
        <w:rPr>
          <w:rFonts w:asciiTheme="majorBidi" w:eastAsia="Times New Roman" w:hAnsiTheme="majorBidi" w:cstheme="majorBidi"/>
          <w:color w:val="333333"/>
        </w:rPr>
        <w:t xml:space="preserve"> (1</w:t>
      </w:r>
      <w:r w:rsidR="00CD2E43" w:rsidRPr="009C0B84">
        <w:rPr>
          <w:rFonts w:asciiTheme="majorBidi" w:eastAsia="Times New Roman" w:hAnsiTheme="majorBidi" w:cstheme="majorBidi"/>
          <w:color w:val="333333"/>
        </w:rPr>
        <w:t>3</w:t>
      </w:r>
      <w:r w:rsidR="002C76D5" w:rsidRPr="009C0B84">
        <w:rPr>
          <w:rFonts w:asciiTheme="majorBidi" w:eastAsia="Times New Roman" w:hAnsiTheme="majorBidi" w:cstheme="majorBidi"/>
          <w:color w:val="333333"/>
        </w:rPr>
        <w:t>)</w:t>
      </w:r>
      <w:r w:rsidR="000A18D7" w:rsidRPr="009C0B84">
        <w:rPr>
          <w:rFonts w:asciiTheme="majorBidi" w:eastAsia="Times New Roman" w:hAnsiTheme="majorBidi" w:cstheme="majorBidi"/>
          <w:color w:val="333333"/>
        </w:rPr>
        <w:t>.</w:t>
      </w:r>
      <w:r w:rsidR="007C6908" w:rsidRPr="009C0B84">
        <w:rPr>
          <w:rFonts w:asciiTheme="majorBidi" w:eastAsia="Times New Roman" w:hAnsiTheme="majorBidi" w:cstheme="majorBidi"/>
          <w:color w:val="333333"/>
        </w:rPr>
        <w:t xml:space="preserve"> </w:t>
      </w:r>
    </w:p>
    <w:p w14:paraId="4E415AA6" w14:textId="4E51F710" w:rsidR="00C977E6" w:rsidRPr="009C0B84" w:rsidRDefault="00C977E6" w:rsidP="001525B4">
      <w:pPr>
        <w:spacing w:before="100" w:beforeAutospacing="1" w:after="100" w:afterAutospacing="1" w:line="480" w:lineRule="auto"/>
        <w:rPr>
          <w:rFonts w:asciiTheme="majorBidi" w:eastAsia="Times New Roman" w:hAnsiTheme="majorBidi" w:cstheme="majorBidi"/>
          <w:color w:val="333333"/>
        </w:rPr>
      </w:pPr>
      <w:r w:rsidRPr="009C0B84">
        <w:rPr>
          <w:rFonts w:asciiTheme="majorBidi" w:eastAsia="Times New Roman" w:hAnsiTheme="majorBidi" w:cstheme="majorBidi"/>
          <w:color w:val="333333"/>
        </w:rPr>
        <w:t xml:space="preserve">Treatment goals </w:t>
      </w:r>
      <w:r w:rsidR="00444350" w:rsidRPr="009C0B84">
        <w:rPr>
          <w:rFonts w:asciiTheme="majorBidi" w:eastAsia="Times New Roman" w:hAnsiTheme="majorBidi" w:cstheme="majorBidi"/>
          <w:color w:val="333333"/>
        </w:rPr>
        <w:t xml:space="preserve">for T2DM </w:t>
      </w:r>
      <w:r w:rsidRPr="009C0B84">
        <w:rPr>
          <w:rFonts w:asciiTheme="majorBidi" w:eastAsia="Times New Roman" w:hAnsiTheme="majorBidi" w:cstheme="majorBidi"/>
          <w:color w:val="333333"/>
        </w:rPr>
        <w:t>in the elderly</w:t>
      </w:r>
      <w:r w:rsidR="00830EB0" w:rsidRPr="009C0B84">
        <w:rPr>
          <w:rFonts w:asciiTheme="majorBidi" w:eastAsia="Times New Roman" w:hAnsiTheme="majorBidi" w:cstheme="majorBidi"/>
          <w:color w:val="333333"/>
        </w:rPr>
        <w:t xml:space="preserve"> should be individualized, thus, in </w:t>
      </w:r>
      <w:r w:rsidR="00A94546" w:rsidRPr="009C0B84">
        <w:rPr>
          <w:rFonts w:asciiTheme="majorBidi" w:eastAsia="Times New Roman" w:hAnsiTheme="majorBidi" w:cstheme="majorBidi"/>
          <w:color w:val="333333"/>
        </w:rPr>
        <w:t>h</w:t>
      </w:r>
      <w:r w:rsidRPr="009C0B84">
        <w:rPr>
          <w:rFonts w:asciiTheme="majorBidi" w:eastAsia="Times New Roman" w:hAnsiTheme="majorBidi" w:cstheme="majorBidi"/>
          <w:color w:val="333333"/>
        </w:rPr>
        <w:t xml:space="preserve">ealthy patients with good functional </w:t>
      </w:r>
      <w:r w:rsidR="00A94546" w:rsidRPr="009C0B84">
        <w:rPr>
          <w:rFonts w:asciiTheme="majorBidi" w:eastAsia="Times New Roman" w:hAnsiTheme="majorBidi" w:cstheme="majorBidi"/>
          <w:color w:val="333333"/>
        </w:rPr>
        <w:t xml:space="preserve">status, few comorbidities and intact cognitive function </w:t>
      </w:r>
      <w:r w:rsidR="00830EB0" w:rsidRPr="009C0B84">
        <w:rPr>
          <w:rFonts w:asciiTheme="majorBidi" w:eastAsia="Times New Roman" w:hAnsiTheme="majorBidi" w:cstheme="majorBidi"/>
          <w:color w:val="333333"/>
        </w:rPr>
        <w:t xml:space="preserve">goals </w:t>
      </w:r>
      <w:r w:rsidRPr="009C0B84">
        <w:rPr>
          <w:rFonts w:asciiTheme="majorBidi" w:eastAsia="Times New Roman" w:hAnsiTheme="majorBidi" w:cstheme="majorBidi"/>
          <w:color w:val="333333"/>
        </w:rPr>
        <w:t xml:space="preserve">may be similar to those of </w:t>
      </w:r>
      <w:r w:rsidR="00A94546" w:rsidRPr="009C0B84">
        <w:rPr>
          <w:rFonts w:asciiTheme="majorBidi" w:eastAsia="Times New Roman" w:hAnsiTheme="majorBidi" w:cstheme="majorBidi"/>
          <w:color w:val="333333"/>
        </w:rPr>
        <w:t xml:space="preserve">younger adults. However, in patients with intermediate remaining life expectancy </w:t>
      </w:r>
      <w:r w:rsidR="00705253" w:rsidRPr="009C0B84">
        <w:rPr>
          <w:rFonts w:asciiTheme="majorBidi" w:eastAsia="Times New Roman" w:hAnsiTheme="majorBidi" w:cstheme="majorBidi"/>
          <w:color w:val="333333"/>
        </w:rPr>
        <w:t>targets</w:t>
      </w:r>
      <w:r w:rsidR="00830EB0" w:rsidRPr="009C0B84">
        <w:rPr>
          <w:rFonts w:asciiTheme="majorBidi" w:eastAsia="Times New Roman" w:hAnsiTheme="majorBidi" w:cstheme="majorBidi"/>
          <w:color w:val="333333"/>
        </w:rPr>
        <w:t xml:space="preserve"> </w:t>
      </w:r>
      <w:r w:rsidR="00705253" w:rsidRPr="009C0B84">
        <w:rPr>
          <w:rFonts w:asciiTheme="majorBidi" w:eastAsia="Times New Roman" w:hAnsiTheme="majorBidi" w:cstheme="majorBidi"/>
          <w:color w:val="333333"/>
        </w:rPr>
        <w:t xml:space="preserve">should be </w:t>
      </w:r>
      <w:r w:rsidR="00444350" w:rsidRPr="009C0B84">
        <w:rPr>
          <w:rFonts w:asciiTheme="majorBidi" w:eastAsia="Times New Roman" w:hAnsiTheme="majorBidi" w:cstheme="majorBidi"/>
          <w:color w:val="333333"/>
        </w:rPr>
        <w:t>less stringent</w:t>
      </w:r>
      <w:r w:rsidR="00705253" w:rsidRPr="009C0B84">
        <w:rPr>
          <w:rFonts w:asciiTheme="majorBidi" w:eastAsia="Times New Roman" w:hAnsiTheme="majorBidi" w:cstheme="majorBidi"/>
          <w:color w:val="333333"/>
        </w:rPr>
        <w:t xml:space="preserve"> as part of individualized care </w:t>
      </w:r>
      <w:r w:rsidR="00830EB0" w:rsidRPr="009C0B84">
        <w:rPr>
          <w:rFonts w:asciiTheme="majorBidi" w:eastAsia="Times New Roman" w:hAnsiTheme="majorBidi" w:cstheme="majorBidi"/>
          <w:color w:val="333333"/>
        </w:rPr>
        <w:t>and</w:t>
      </w:r>
      <w:r w:rsidR="00705253" w:rsidRPr="009C0B84">
        <w:rPr>
          <w:rFonts w:asciiTheme="majorBidi" w:eastAsia="Times New Roman" w:hAnsiTheme="majorBidi" w:cstheme="majorBidi"/>
          <w:color w:val="333333"/>
        </w:rPr>
        <w:t xml:space="preserve"> a target</w:t>
      </w:r>
      <w:r w:rsidR="00830EB0" w:rsidRPr="009C0B84">
        <w:rPr>
          <w:rFonts w:asciiTheme="majorBidi" w:eastAsia="Times New Roman" w:hAnsiTheme="majorBidi" w:cstheme="majorBidi"/>
          <w:color w:val="333333"/>
        </w:rPr>
        <w:t xml:space="preserve"> HbA1c</w:t>
      </w:r>
      <w:r w:rsidR="001C6F7F" w:rsidRPr="009C0B84">
        <w:rPr>
          <w:rFonts w:asciiTheme="majorBidi" w:eastAsia="Times New Roman" w:hAnsiTheme="majorBidi" w:cstheme="majorBidi"/>
          <w:color w:val="333333"/>
        </w:rPr>
        <w:t xml:space="preserve"> </w:t>
      </w:r>
      <w:r w:rsidR="00830EB0" w:rsidRPr="009C0B84">
        <w:rPr>
          <w:rFonts w:asciiTheme="majorBidi" w:eastAsia="Times New Roman" w:hAnsiTheme="majorBidi" w:cstheme="majorBidi"/>
          <w:color w:val="333333"/>
        </w:rPr>
        <w:t>&lt;8.0% may be acceptable</w:t>
      </w:r>
      <w:r w:rsidR="002C76D5" w:rsidRPr="009C0B84">
        <w:rPr>
          <w:rFonts w:asciiTheme="majorBidi" w:eastAsia="Times New Roman" w:hAnsiTheme="majorBidi" w:cstheme="majorBidi"/>
          <w:color w:val="333333"/>
        </w:rPr>
        <w:t xml:space="preserve"> (1</w:t>
      </w:r>
      <w:r w:rsidR="00CD2E43" w:rsidRPr="009C0B84">
        <w:rPr>
          <w:rFonts w:asciiTheme="majorBidi" w:eastAsia="Times New Roman" w:hAnsiTheme="majorBidi" w:cstheme="majorBidi"/>
          <w:color w:val="333333"/>
        </w:rPr>
        <w:t>3</w:t>
      </w:r>
      <w:r w:rsidR="002C76D5" w:rsidRPr="009C0B84">
        <w:rPr>
          <w:rFonts w:asciiTheme="majorBidi" w:eastAsia="Times New Roman" w:hAnsiTheme="majorBidi" w:cstheme="majorBidi"/>
          <w:color w:val="333333"/>
        </w:rPr>
        <w:t>)</w:t>
      </w:r>
      <w:r w:rsidR="00830EB0" w:rsidRPr="009C0B84">
        <w:rPr>
          <w:rFonts w:asciiTheme="majorBidi" w:eastAsia="Times New Roman" w:hAnsiTheme="majorBidi" w:cstheme="majorBidi"/>
          <w:color w:val="333333"/>
        </w:rPr>
        <w:t xml:space="preserve">. </w:t>
      </w:r>
      <w:r w:rsidR="00A54D45" w:rsidRPr="009C0B84">
        <w:rPr>
          <w:rFonts w:asciiTheme="majorBidi" w:eastAsia="Times New Roman" w:hAnsiTheme="majorBidi" w:cstheme="majorBidi"/>
          <w:color w:val="333333"/>
        </w:rPr>
        <w:t>Dapagliflozin</w:t>
      </w:r>
      <w:r w:rsidR="007C6908" w:rsidRPr="009C0B84">
        <w:rPr>
          <w:rFonts w:asciiTheme="majorBidi" w:eastAsia="Times New Roman" w:hAnsiTheme="majorBidi" w:cstheme="majorBidi"/>
          <w:color w:val="333333"/>
        </w:rPr>
        <w:t xml:space="preserve"> enabled more patients to attain</w:t>
      </w:r>
      <w:r w:rsidR="00553158" w:rsidRPr="009C0B84">
        <w:rPr>
          <w:rFonts w:asciiTheme="majorBidi" w:eastAsia="Times New Roman" w:hAnsiTheme="majorBidi" w:cstheme="majorBidi"/>
          <w:color w:val="333333"/>
        </w:rPr>
        <w:t xml:space="preserve"> a </w:t>
      </w:r>
      <w:r w:rsidR="007C6908" w:rsidRPr="009C0B84">
        <w:rPr>
          <w:rFonts w:asciiTheme="majorBidi" w:eastAsia="Times New Roman" w:hAnsiTheme="majorBidi" w:cstheme="majorBidi"/>
          <w:color w:val="333333"/>
        </w:rPr>
        <w:t>clinically significant HbA1c reduction</w:t>
      </w:r>
      <w:r w:rsidR="00A54D45" w:rsidRPr="009C0B84">
        <w:rPr>
          <w:rFonts w:asciiTheme="majorBidi" w:eastAsia="Times New Roman" w:hAnsiTheme="majorBidi" w:cstheme="majorBidi"/>
          <w:color w:val="333333"/>
        </w:rPr>
        <w:t>, whether striving for the standard or less stringent target</w:t>
      </w:r>
      <w:r w:rsidR="007C6908" w:rsidRPr="009C0B84">
        <w:rPr>
          <w:rFonts w:asciiTheme="majorBidi" w:eastAsia="Times New Roman" w:hAnsiTheme="majorBidi" w:cstheme="majorBidi"/>
          <w:color w:val="333333"/>
        </w:rPr>
        <w:t>.</w:t>
      </w:r>
    </w:p>
    <w:p w14:paraId="3C3F6F24" w14:textId="36956107" w:rsidR="0041095A" w:rsidRPr="009C0B84" w:rsidRDefault="0041095A" w:rsidP="001525B4">
      <w:pPr>
        <w:spacing w:before="100" w:beforeAutospacing="1" w:after="100" w:afterAutospacing="1" w:line="480" w:lineRule="auto"/>
        <w:rPr>
          <w:rFonts w:asciiTheme="majorBidi" w:eastAsia="Times New Roman" w:hAnsiTheme="majorBidi" w:cstheme="majorBidi"/>
          <w:color w:val="333333"/>
        </w:rPr>
      </w:pPr>
      <w:r w:rsidRPr="009C0B84">
        <w:rPr>
          <w:rFonts w:asciiTheme="majorBidi" w:eastAsia="Times New Roman" w:hAnsiTheme="majorBidi" w:cstheme="majorBidi"/>
          <w:color w:val="333333"/>
        </w:rPr>
        <w:t xml:space="preserve">Weight loss is generally not </w:t>
      </w:r>
      <w:r w:rsidR="005D54D2" w:rsidRPr="009C0B84">
        <w:rPr>
          <w:rFonts w:asciiTheme="majorBidi" w:eastAsia="Times New Roman" w:hAnsiTheme="majorBidi" w:cstheme="majorBidi"/>
          <w:color w:val="333333"/>
        </w:rPr>
        <w:t xml:space="preserve">a treatment goal </w:t>
      </w:r>
      <w:r w:rsidR="00886725" w:rsidRPr="009C0B84">
        <w:rPr>
          <w:rFonts w:asciiTheme="majorBidi" w:eastAsia="Times New Roman" w:hAnsiTheme="majorBidi" w:cstheme="majorBidi"/>
          <w:color w:val="333333"/>
        </w:rPr>
        <w:t>in the very elderly population</w:t>
      </w:r>
      <w:r w:rsidRPr="009C0B84">
        <w:rPr>
          <w:rFonts w:asciiTheme="majorBidi" w:eastAsia="Times New Roman" w:hAnsiTheme="majorBidi" w:cstheme="majorBidi"/>
          <w:color w:val="333333"/>
        </w:rPr>
        <w:t xml:space="preserve">, </w:t>
      </w:r>
      <w:r w:rsidR="00886725" w:rsidRPr="009C0B84">
        <w:rPr>
          <w:rFonts w:asciiTheme="majorBidi" w:eastAsia="Times New Roman" w:hAnsiTheme="majorBidi" w:cstheme="majorBidi"/>
          <w:color w:val="333333"/>
        </w:rPr>
        <w:t xml:space="preserve">nevertheless, </w:t>
      </w:r>
      <w:r w:rsidRPr="009C0B84">
        <w:rPr>
          <w:rFonts w:asciiTheme="majorBidi" w:eastAsia="Times New Roman" w:hAnsiTheme="majorBidi" w:cstheme="majorBidi"/>
          <w:color w:val="333333"/>
        </w:rPr>
        <w:t xml:space="preserve">in our analysis we observed </w:t>
      </w:r>
      <w:r w:rsidR="00865F18" w:rsidRPr="009C0B84">
        <w:rPr>
          <w:rFonts w:asciiTheme="majorBidi" w:eastAsia="Times New Roman" w:hAnsiTheme="majorBidi" w:cstheme="majorBidi"/>
          <w:color w:val="333333"/>
        </w:rPr>
        <w:t xml:space="preserve">sustained </w:t>
      </w:r>
      <w:r w:rsidRPr="009C0B84">
        <w:rPr>
          <w:rFonts w:asciiTheme="majorBidi" w:eastAsia="Times New Roman" w:hAnsiTheme="majorBidi" w:cstheme="majorBidi"/>
          <w:color w:val="333333"/>
        </w:rPr>
        <w:t>weight loss across all age groups. This did not appear to lead to any untoward effects in the elderly during the timeframe of the study.</w:t>
      </w:r>
      <w:r w:rsidR="00176004" w:rsidRPr="009C0B84">
        <w:rPr>
          <w:rFonts w:asciiTheme="majorBidi" w:eastAsia="Times New Roman" w:hAnsiTheme="majorBidi" w:cstheme="majorBidi"/>
          <w:color w:val="333333"/>
        </w:rPr>
        <w:t xml:space="preserve"> SGLT</w:t>
      </w:r>
      <w:r w:rsidR="00235690" w:rsidRPr="009C0B84">
        <w:rPr>
          <w:rFonts w:asciiTheme="majorBidi" w:eastAsia="Times New Roman" w:hAnsiTheme="majorBidi" w:cstheme="majorBidi"/>
          <w:color w:val="333333"/>
        </w:rPr>
        <w:t xml:space="preserve"> </w:t>
      </w:r>
      <w:r w:rsidR="00176004" w:rsidRPr="009C0B84">
        <w:rPr>
          <w:rFonts w:asciiTheme="majorBidi" w:eastAsia="Times New Roman" w:hAnsiTheme="majorBidi" w:cstheme="majorBidi"/>
          <w:color w:val="333333"/>
        </w:rPr>
        <w:t>2 inhibitors have been shown to reduce adipose tissue mass while maintaining lean body mass</w:t>
      </w:r>
      <w:r w:rsidR="00201684" w:rsidRPr="009C0B84">
        <w:rPr>
          <w:rFonts w:asciiTheme="majorBidi" w:eastAsia="Times New Roman" w:hAnsiTheme="majorBidi" w:cstheme="majorBidi"/>
          <w:color w:val="333333"/>
        </w:rPr>
        <w:t xml:space="preserve"> (1</w:t>
      </w:r>
      <w:r w:rsidR="00CD2E43" w:rsidRPr="009C0B84">
        <w:rPr>
          <w:rFonts w:asciiTheme="majorBidi" w:eastAsia="Times New Roman" w:hAnsiTheme="majorBidi" w:cstheme="majorBidi"/>
          <w:color w:val="333333"/>
        </w:rPr>
        <w:t>4</w:t>
      </w:r>
      <w:r w:rsidR="00201684" w:rsidRPr="009C0B84">
        <w:rPr>
          <w:rFonts w:asciiTheme="majorBidi" w:eastAsia="Times New Roman" w:hAnsiTheme="majorBidi" w:cstheme="majorBidi"/>
          <w:color w:val="333333"/>
        </w:rPr>
        <w:t xml:space="preserve">), changes which are probably beneficial at all ages. </w:t>
      </w:r>
    </w:p>
    <w:p w14:paraId="689793F0" w14:textId="051E91E4" w:rsidR="0041095A" w:rsidRPr="009C0B84" w:rsidRDefault="0054488C" w:rsidP="001525B4">
      <w:pPr>
        <w:spacing w:before="100" w:beforeAutospacing="1" w:after="100" w:afterAutospacing="1" w:line="480" w:lineRule="auto"/>
        <w:rPr>
          <w:rFonts w:asciiTheme="majorBidi" w:eastAsia="Times New Roman" w:hAnsiTheme="majorBidi" w:cstheme="majorBidi"/>
          <w:color w:val="333333"/>
        </w:rPr>
      </w:pPr>
      <w:r w:rsidRPr="009C0B84">
        <w:rPr>
          <w:rFonts w:asciiTheme="majorBidi" w:eastAsia="Times New Roman" w:hAnsiTheme="majorBidi" w:cstheme="majorBidi"/>
          <w:color w:val="333333"/>
        </w:rPr>
        <w:t>Few studies have been published to date on the use of SGLT</w:t>
      </w:r>
      <w:r w:rsidR="00235690" w:rsidRPr="009C0B84">
        <w:rPr>
          <w:rFonts w:asciiTheme="majorBidi" w:eastAsia="Times New Roman" w:hAnsiTheme="majorBidi" w:cstheme="majorBidi"/>
          <w:color w:val="333333"/>
        </w:rPr>
        <w:t xml:space="preserve"> </w:t>
      </w:r>
      <w:r w:rsidRPr="009C0B84">
        <w:rPr>
          <w:rFonts w:asciiTheme="majorBidi" w:eastAsia="Times New Roman" w:hAnsiTheme="majorBidi" w:cstheme="majorBidi"/>
          <w:color w:val="333333"/>
        </w:rPr>
        <w:t xml:space="preserve">2 inhibitors in the elderly. </w:t>
      </w:r>
      <w:r w:rsidR="00F66873" w:rsidRPr="009C0B84">
        <w:rPr>
          <w:rFonts w:asciiTheme="majorBidi" w:eastAsia="Times New Roman" w:hAnsiTheme="majorBidi" w:cstheme="majorBidi"/>
          <w:color w:val="333333"/>
        </w:rPr>
        <w:t xml:space="preserve">A randomized </w:t>
      </w:r>
      <w:r w:rsidR="00F83DDF" w:rsidRPr="009C0B84">
        <w:rPr>
          <w:rFonts w:asciiTheme="majorBidi" w:eastAsia="Times New Roman" w:hAnsiTheme="majorBidi" w:cstheme="majorBidi"/>
          <w:color w:val="333333"/>
        </w:rPr>
        <w:t xml:space="preserve">double blind, age-stratified trial of dapagliflozin vs. placebo demonstrated a beneficial effect of dapagliflozin on glucose, weight and blood pressure across in all age groups studied, with no outstanding safety issues in the elderly or very elderly, although </w:t>
      </w:r>
      <w:r w:rsidR="001A0970" w:rsidRPr="009C0B84">
        <w:rPr>
          <w:rFonts w:asciiTheme="majorBidi" w:eastAsia="Times New Roman" w:hAnsiTheme="majorBidi" w:cstheme="majorBidi"/>
          <w:color w:val="333333"/>
        </w:rPr>
        <w:t>not many</w:t>
      </w:r>
      <w:r w:rsidR="00386439" w:rsidRPr="009C0B84">
        <w:rPr>
          <w:rFonts w:asciiTheme="majorBidi" w:eastAsia="Times New Roman" w:hAnsiTheme="majorBidi" w:cstheme="majorBidi"/>
          <w:color w:val="333333"/>
        </w:rPr>
        <w:t xml:space="preserve"> very elderly patients</w:t>
      </w:r>
      <w:r w:rsidR="001A0970" w:rsidRPr="009C0B84">
        <w:rPr>
          <w:rFonts w:asciiTheme="majorBidi" w:eastAsia="Times New Roman" w:hAnsiTheme="majorBidi" w:cstheme="majorBidi"/>
          <w:color w:val="333333"/>
        </w:rPr>
        <w:t xml:space="preserve"> were</w:t>
      </w:r>
      <w:r w:rsidR="00386439" w:rsidRPr="009C0B84">
        <w:rPr>
          <w:rFonts w:asciiTheme="majorBidi" w:eastAsia="Times New Roman" w:hAnsiTheme="majorBidi" w:cstheme="majorBidi"/>
          <w:color w:val="333333"/>
        </w:rPr>
        <w:t xml:space="preserve"> included</w:t>
      </w:r>
      <w:r w:rsidR="00F83DDF" w:rsidRPr="009C0B84">
        <w:rPr>
          <w:rFonts w:asciiTheme="majorBidi" w:eastAsia="Times New Roman" w:hAnsiTheme="majorBidi" w:cstheme="majorBidi"/>
          <w:color w:val="333333"/>
        </w:rPr>
        <w:t xml:space="preserve"> </w:t>
      </w:r>
      <w:r w:rsidR="00F66873" w:rsidRPr="009C0B84">
        <w:rPr>
          <w:rFonts w:asciiTheme="majorBidi" w:eastAsia="Times New Roman" w:hAnsiTheme="majorBidi" w:cstheme="majorBidi"/>
          <w:color w:val="333333"/>
        </w:rPr>
        <w:t>(1</w:t>
      </w:r>
      <w:r w:rsidR="00CD2E43" w:rsidRPr="009C0B84">
        <w:rPr>
          <w:rFonts w:asciiTheme="majorBidi" w:eastAsia="Times New Roman" w:hAnsiTheme="majorBidi" w:cstheme="majorBidi"/>
          <w:color w:val="333333"/>
        </w:rPr>
        <w:t>5</w:t>
      </w:r>
      <w:r w:rsidR="00F66873" w:rsidRPr="009C0B84">
        <w:rPr>
          <w:rFonts w:asciiTheme="majorBidi" w:eastAsia="Times New Roman" w:hAnsiTheme="majorBidi" w:cstheme="majorBidi"/>
          <w:color w:val="333333"/>
        </w:rPr>
        <w:t xml:space="preserve">). </w:t>
      </w:r>
      <w:r w:rsidRPr="009C0B84">
        <w:rPr>
          <w:rFonts w:asciiTheme="majorBidi" w:eastAsia="Times New Roman" w:hAnsiTheme="majorBidi" w:cstheme="majorBidi"/>
          <w:color w:val="333333"/>
        </w:rPr>
        <w:t xml:space="preserve">Post-marketing reports from Japan reported no </w:t>
      </w:r>
      <w:r w:rsidR="00721F5F" w:rsidRPr="009C0B84">
        <w:rPr>
          <w:rFonts w:asciiTheme="majorBidi" w:eastAsia="Times New Roman" w:hAnsiTheme="majorBidi" w:cstheme="majorBidi"/>
          <w:color w:val="333333"/>
        </w:rPr>
        <w:t xml:space="preserve">age-related </w:t>
      </w:r>
      <w:r w:rsidRPr="009C0B84">
        <w:rPr>
          <w:rFonts w:asciiTheme="majorBidi" w:eastAsia="Times New Roman" w:hAnsiTheme="majorBidi" w:cstheme="majorBidi"/>
          <w:color w:val="333333"/>
        </w:rPr>
        <w:t xml:space="preserve">safety issues with </w:t>
      </w:r>
      <w:proofErr w:type="spellStart"/>
      <w:r w:rsidR="00601DDB" w:rsidRPr="009C0B84">
        <w:rPr>
          <w:rFonts w:asciiTheme="majorBidi" w:eastAsia="Times New Roman" w:hAnsiTheme="majorBidi" w:cstheme="majorBidi"/>
          <w:color w:val="333333"/>
        </w:rPr>
        <w:t>tofogliflozin</w:t>
      </w:r>
      <w:proofErr w:type="spellEnd"/>
      <w:r w:rsidR="007C6157" w:rsidRPr="009C0B84">
        <w:rPr>
          <w:rFonts w:asciiTheme="majorBidi" w:eastAsia="Times New Roman" w:hAnsiTheme="majorBidi" w:cstheme="majorBidi"/>
          <w:color w:val="333333"/>
        </w:rPr>
        <w:t xml:space="preserve">, ipragliflozin and canagliflozin, yet these studies are limited by the lack of </w:t>
      </w:r>
      <w:r w:rsidR="0041095A" w:rsidRPr="009C0B84">
        <w:rPr>
          <w:rFonts w:asciiTheme="majorBidi" w:eastAsia="Times New Roman" w:hAnsiTheme="majorBidi" w:cstheme="majorBidi"/>
          <w:color w:val="333333"/>
        </w:rPr>
        <w:t>comparator</w:t>
      </w:r>
      <w:r w:rsidR="007C6157" w:rsidRPr="009C0B84">
        <w:rPr>
          <w:rFonts w:asciiTheme="majorBidi" w:eastAsia="Times New Roman" w:hAnsiTheme="majorBidi" w:cstheme="majorBidi"/>
          <w:color w:val="333333"/>
        </w:rPr>
        <w:t xml:space="preserve"> and dependence upon </w:t>
      </w:r>
      <w:r w:rsidR="0041095A" w:rsidRPr="009C0B84">
        <w:rPr>
          <w:rFonts w:asciiTheme="majorBidi" w:eastAsia="Times New Roman" w:hAnsiTheme="majorBidi" w:cstheme="majorBidi"/>
          <w:color w:val="333333"/>
        </w:rPr>
        <w:t xml:space="preserve">physician </w:t>
      </w:r>
      <w:r w:rsidR="007C6157" w:rsidRPr="009C0B84">
        <w:rPr>
          <w:rFonts w:asciiTheme="majorBidi" w:eastAsia="Times New Roman" w:hAnsiTheme="majorBidi" w:cstheme="majorBidi"/>
          <w:color w:val="333333"/>
        </w:rPr>
        <w:t>report</w:t>
      </w:r>
      <w:r w:rsidR="0041095A" w:rsidRPr="009C0B84">
        <w:rPr>
          <w:rFonts w:asciiTheme="majorBidi" w:eastAsia="Times New Roman" w:hAnsiTheme="majorBidi" w:cstheme="majorBidi"/>
          <w:color w:val="333333"/>
        </w:rPr>
        <w:t>ing</w:t>
      </w:r>
      <w:r w:rsidR="007C6157" w:rsidRPr="009C0B84">
        <w:rPr>
          <w:rFonts w:asciiTheme="majorBidi" w:eastAsia="Times New Roman" w:hAnsiTheme="majorBidi" w:cstheme="majorBidi"/>
          <w:color w:val="333333"/>
        </w:rPr>
        <w:t xml:space="preserve"> of adverse events</w:t>
      </w:r>
      <w:r w:rsidR="00201684" w:rsidRPr="009C0B84">
        <w:rPr>
          <w:rFonts w:asciiTheme="majorBidi" w:eastAsia="Times New Roman" w:hAnsiTheme="majorBidi" w:cstheme="majorBidi"/>
          <w:color w:val="333333"/>
        </w:rPr>
        <w:t xml:space="preserve"> (1</w:t>
      </w:r>
      <w:r w:rsidR="00CD2E43" w:rsidRPr="009C0B84">
        <w:rPr>
          <w:rFonts w:asciiTheme="majorBidi" w:eastAsia="Times New Roman" w:hAnsiTheme="majorBidi" w:cstheme="majorBidi"/>
          <w:color w:val="333333"/>
        </w:rPr>
        <w:t>6</w:t>
      </w:r>
      <w:r w:rsidR="002C76D5" w:rsidRPr="009C0B84">
        <w:rPr>
          <w:rFonts w:asciiTheme="majorBidi" w:eastAsia="Times New Roman" w:hAnsiTheme="majorBidi" w:cstheme="majorBidi"/>
          <w:color w:val="333333"/>
        </w:rPr>
        <w:t>-1</w:t>
      </w:r>
      <w:r w:rsidR="00CD2E43" w:rsidRPr="009C0B84">
        <w:rPr>
          <w:rFonts w:asciiTheme="majorBidi" w:eastAsia="Times New Roman" w:hAnsiTheme="majorBidi" w:cstheme="majorBidi"/>
          <w:color w:val="333333"/>
        </w:rPr>
        <w:t>8</w:t>
      </w:r>
      <w:r w:rsidR="00F66873" w:rsidRPr="009C0B84">
        <w:rPr>
          <w:rFonts w:asciiTheme="majorBidi" w:eastAsia="Times New Roman" w:hAnsiTheme="majorBidi" w:cstheme="majorBidi"/>
          <w:color w:val="333333"/>
        </w:rPr>
        <w:t>)</w:t>
      </w:r>
      <w:r w:rsidR="007C6157" w:rsidRPr="009C0B84">
        <w:rPr>
          <w:rFonts w:asciiTheme="majorBidi" w:eastAsia="Times New Roman" w:hAnsiTheme="majorBidi" w:cstheme="majorBidi"/>
          <w:color w:val="333333"/>
        </w:rPr>
        <w:t xml:space="preserve">. </w:t>
      </w:r>
    </w:p>
    <w:p w14:paraId="7252C86E" w14:textId="19EE4081" w:rsidR="002B79D1" w:rsidRPr="009C0B84" w:rsidRDefault="002B79D1" w:rsidP="001525B4">
      <w:pPr>
        <w:spacing w:before="100" w:beforeAutospacing="1" w:after="100" w:afterAutospacing="1" w:line="480" w:lineRule="auto"/>
        <w:rPr>
          <w:rFonts w:asciiTheme="majorBidi" w:eastAsia="Times New Roman" w:hAnsiTheme="majorBidi" w:cstheme="majorBidi"/>
          <w:color w:val="333333"/>
        </w:rPr>
      </w:pPr>
      <w:r w:rsidRPr="009C0B84">
        <w:rPr>
          <w:rFonts w:asciiTheme="majorBidi" w:eastAsia="Times New Roman" w:hAnsiTheme="majorBidi" w:cstheme="majorBidi"/>
          <w:color w:val="333333"/>
        </w:rPr>
        <w:t xml:space="preserve">The efficacy and safety of other glucose lowering agents in the elderly has been studied. </w:t>
      </w:r>
      <w:r w:rsidR="006107A8" w:rsidRPr="009C0B84">
        <w:rPr>
          <w:rFonts w:asciiTheme="majorBidi" w:eastAsia="Times New Roman" w:hAnsiTheme="majorBidi" w:cstheme="majorBidi"/>
          <w:color w:val="333333"/>
        </w:rPr>
        <w:t xml:space="preserve">DPP-4 inhibitors showed no CV benefit in any age group studied, and </w:t>
      </w:r>
      <w:r w:rsidRPr="009C0B84">
        <w:rPr>
          <w:rFonts w:asciiTheme="majorBidi" w:eastAsia="Times New Roman" w:hAnsiTheme="majorBidi" w:cstheme="majorBidi"/>
          <w:color w:val="333333"/>
        </w:rPr>
        <w:t>safety outcomes of DPP</w:t>
      </w:r>
      <w:r w:rsidR="001C6F7F" w:rsidRPr="009C0B84">
        <w:rPr>
          <w:rFonts w:asciiTheme="majorBidi" w:eastAsia="Times New Roman" w:hAnsiTheme="majorBidi" w:cstheme="majorBidi"/>
          <w:color w:val="333333"/>
        </w:rPr>
        <w:t>-</w:t>
      </w:r>
      <w:r w:rsidRPr="009C0B84">
        <w:rPr>
          <w:rFonts w:asciiTheme="majorBidi" w:eastAsia="Times New Roman" w:hAnsiTheme="majorBidi" w:cstheme="majorBidi"/>
          <w:color w:val="333333"/>
        </w:rPr>
        <w:t xml:space="preserve">4 inhibitors were shown to be similar in </w:t>
      </w:r>
      <w:r w:rsidR="00886725" w:rsidRPr="009C0B84">
        <w:rPr>
          <w:rFonts w:asciiTheme="majorBidi" w:eastAsia="Times New Roman" w:hAnsiTheme="majorBidi" w:cstheme="majorBidi"/>
          <w:color w:val="333333"/>
        </w:rPr>
        <w:t>older</w:t>
      </w:r>
      <w:r w:rsidRPr="009C0B84">
        <w:rPr>
          <w:rFonts w:asciiTheme="majorBidi" w:eastAsia="Times New Roman" w:hAnsiTheme="majorBidi" w:cstheme="majorBidi"/>
          <w:color w:val="333333"/>
        </w:rPr>
        <w:t xml:space="preserve"> vs. youn</w:t>
      </w:r>
      <w:r w:rsidR="00CD0B13" w:rsidRPr="009C0B84">
        <w:rPr>
          <w:rFonts w:asciiTheme="majorBidi" w:eastAsia="Times New Roman" w:hAnsiTheme="majorBidi" w:cstheme="majorBidi"/>
          <w:color w:val="333333"/>
        </w:rPr>
        <w:t>ger patients</w:t>
      </w:r>
      <w:r w:rsidR="002C76D5" w:rsidRPr="009C0B84">
        <w:rPr>
          <w:rFonts w:asciiTheme="majorBidi" w:eastAsia="Times New Roman" w:hAnsiTheme="majorBidi" w:cstheme="majorBidi"/>
          <w:color w:val="333333"/>
        </w:rPr>
        <w:t xml:space="preserve"> (1</w:t>
      </w:r>
      <w:r w:rsidR="00CD2E43" w:rsidRPr="009C0B84">
        <w:rPr>
          <w:rFonts w:asciiTheme="majorBidi" w:eastAsia="Times New Roman" w:hAnsiTheme="majorBidi" w:cstheme="majorBidi"/>
          <w:color w:val="333333"/>
        </w:rPr>
        <w:t>9, 20</w:t>
      </w:r>
      <w:r w:rsidR="002C76D5" w:rsidRPr="009C0B84">
        <w:rPr>
          <w:rFonts w:asciiTheme="majorBidi" w:eastAsia="Times New Roman" w:hAnsiTheme="majorBidi" w:cstheme="majorBidi"/>
          <w:color w:val="333333"/>
        </w:rPr>
        <w:t>)</w:t>
      </w:r>
      <w:r w:rsidRPr="009C0B84">
        <w:rPr>
          <w:rFonts w:asciiTheme="majorBidi" w:eastAsia="Times New Roman" w:hAnsiTheme="majorBidi" w:cstheme="majorBidi"/>
          <w:color w:val="333333"/>
        </w:rPr>
        <w:t>. GLP-1 receptor agonists have also shown efficacy and safety in the elderly which is comparable to that of younger patients, and post-hoc analysis of the LEADER trial proposed greater benefit in the elderly</w:t>
      </w:r>
      <w:r w:rsidR="002C76D5" w:rsidRPr="009C0B84">
        <w:rPr>
          <w:rFonts w:asciiTheme="majorBidi" w:eastAsia="Times New Roman" w:hAnsiTheme="majorBidi" w:cstheme="majorBidi"/>
          <w:color w:val="333333"/>
        </w:rPr>
        <w:t xml:space="preserve"> (2</w:t>
      </w:r>
      <w:r w:rsidR="00CD2E43" w:rsidRPr="009C0B84">
        <w:rPr>
          <w:rFonts w:asciiTheme="majorBidi" w:eastAsia="Times New Roman" w:hAnsiTheme="majorBidi" w:cstheme="majorBidi"/>
          <w:color w:val="333333"/>
        </w:rPr>
        <w:t>1</w:t>
      </w:r>
      <w:r w:rsidR="002C76D5" w:rsidRPr="009C0B84">
        <w:rPr>
          <w:rFonts w:asciiTheme="majorBidi" w:eastAsia="Times New Roman" w:hAnsiTheme="majorBidi" w:cstheme="majorBidi"/>
          <w:color w:val="333333"/>
        </w:rPr>
        <w:t>)</w:t>
      </w:r>
      <w:r w:rsidRPr="009C0B84">
        <w:rPr>
          <w:rFonts w:asciiTheme="majorBidi" w:eastAsia="Times New Roman" w:hAnsiTheme="majorBidi" w:cstheme="majorBidi"/>
          <w:color w:val="333333"/>
        </w:rPr>
        <w:t xml:space="preserve">. Our study is the first to substantiate the </w:t>
      </w:r>
      <w:r w:rsidR="001C6F7F" w:rsidRPr="009C0B84">
        <w:rPr>
          <w:rFonts w:asciiTheme="majorBidi" w:eastAsia="Times New Roman" w:hAnsiTheme="majorBidi" w:cstheme="majorBidi"/>
          <w:color w:val="333333"/>
        </w:rPr>
        <w:t xml:space="preserve">efficacy and safety </w:t>
      </w:r>
      <w:r w:rsidRPr="009C0B84">
        <w:rPr>
          <w:rFonts w:asciiTheme="majorBidi" w:eastAsia="Times New Roman" w:hAnsiTheme="majorBidi" w:cstheme="majorBidi"/>
          <w:color w:val="333333"/>
        </w:rPr>
        <w:t>of an SGLT2 inhibitor in the elderly and very elderly</w:t>
      </w:r>
      <w:r w:rsidR="008D123E" w:rsidRPr="009C0B84">
        <w:rPr>
          <w:rFonts w:asciiTheme="majorBidi" w:eastAsia="Times New Roman" w:hAnsiTheme="majorBidi" w:cstheme="majorBidi"/>
          <w:color w:val="333333"/>
        </w:rPr>
        <w:t xml:space="preserve"> and may pave the way for relaxing the warning placed on this drug in the geriatric population – although individualization of therapy </w:t>
      </w:r>
      <w:r w:rsidR="00886725" w:rsidRPr="009C0B84">
        <w:rPr>
          <w:rFonts w:asciiTheme="majorBidi" w:eastAsia="Times New Roman" w:hAnsiTheme="majorBidi" w:cstheme="majorBidi"/>
          <w:color w:val="333333"/>
        </w:rPr>
        <w:t>is pivotal</w:t>
      </w:r>
      <w:r w:rsidR="0041095A" w:rsidRPr="009C0B84">
        <w:rPr>
          <w:rFonts w:asciiTheme="majorBidi" w:eastAsia="Times New Roman" w:hAnsiTheme="majorBidi" w:cstheme="majorBidi"/>
          <w:color w:val="333333"/>
        </w:rPr>
        <w:t>, particularly in this vulnerable population</w:t>
      </w:r>
      <w:r w:rsidRPr="009C0B84">
        <w:rPr>
          <w:rFonts w:asciiTheme="majorBidi" w:eastAsia="Times New Roman" w:hAnsiTheme="majorBidi" w:cstheme="majorBidi"/>
          <w:color w:val="333333"/>
        </w:rPr>
        <w:t xml:space="preserve">. </w:t>
      </w:r>
    </w:p>
    <w:p w14:paraId="6CE022AA" w14:textId="531748B4" w:rsidR="00815BA0" w:rsidRPr="009C0B84" w:rsidRDefault="00235690" w:rsidP="005E1FC8">
      <w:pPr>
        <w:spacing w:before="100" w:beforeAutospacing="1" w:after="100" w:afterAutospacing="1" w:line="480" w:lineRule="auto"/>
        <w:rPr>
          <w:rFonts w:asciiTheme="majorBidi" w:eastAsia="Times New Roman" w:hAnsiTheme="majorBidi" w:cstheme="majorBidi"/>
          <w:color w:val="333333"/>
        </w:rPr>
      </w:pPr>
      <w:r w:rsidRPr="009C0B84">
        <w:rPr>
          <w:rFonts w:asciiTheme="majorBidi" w:eastAsia="Times New Roman" w:hAnsiTheme="majorBidi" w:cstheme="majorBidi"/>
          <w:color w:val="333333"/>
        </w:rPr>
        <w:t xml:space="preserve">Some </w:t>
      </w:r>
      <w:r w:rsidR="000A18D7" w:rsidRPr="009C0B84">
        <w:rPr>
          <w:rFonts w:asciiTheme="majorBidi" w:eastAsia="Times New Roman" w:hAnsiTheme="majorBidi" w:cstheme="majorBidi"/>
          <w:color w:val="333333"/>
        </w:rPr>
        <w:t xml:space="preserve">limitations of our study should be noted. </w:t>
      </w:r>
      <w:r w:rsidR="009D2617">
        <w:rPr>
          <w:rFonts w:asciiTheme="majorBidi" w:eastAsia="Times New Roman" w:hAnsiTheme="majorBidi" w:cstheme="majorBidi"/>
          <w:color w:val="333333"/>
        </w:rPr>
        <w:t xml:space="preserve">Creatinine clearance </w:t>
      </w:r>
      <w:r w:rsidR="00454F35">
        <w:rPr>
          <w:rFonts w:asciiTheme="majorBidi" w:eastAsia="Times New Roman" w:hAnsiTheme="majorBidi" w:cstheme="majorBidi"/>
          <w:color w:val="333333"/>
        </w:rPr>
        <w:t>&lt;</w:t>
      </w:r>
      <w:r w:rsidR="009D2617">
        <w:rPr>
          <w:rFonts w:asciiTheme="majorBidi" w:eastAsia="Times New Roman" w:hAnsiTheme="majorBidi" w:cstheme="majorBidi"/>
          <w:color w:val="333333"/>
        </w:rPr>
        <w:t xml:space="preserve">60 ml/min was </w:t>
      </w:r>
      <w:r w:rsidR="00454F35">
        <w:rPr>
          <w:rFonts w:asciiTheme="majorBidi" w:eastAsia="Times New Roman" w:hAnsiTheme="majorBidi" w:cstheme="majorBidi"/>
          <w:color w:val="333333"/>
        </w:rPr>
        <w:t>an exclusion criterion</w:t>
      </w:r>
      <w:r w:rsidR="009D2617">
        <w:rPr>
          <w:rFonts w:asciiTheme="majorBidi" w:eastAsia="Times New Roman" w:hAnsiTheme="majorBidi" w:cstheme="majorBidi"/>
          <w:color w:val="333333"/>
        </w:rPr>
        <w:t xml:space="preserve"> </w:t>
      </w:r>
      <w:r w:rsidR="00454F35">
        <w:rPr>
          <w:rFonts w:asciiTheme="majorBidi" w:eastAsia="Times New Roman" w:hAnsiTheme="majorBidi" w:cstheme="majorBidi"/>
          <w:color w:val="333333"/>
        </w:rPr>
        <w:t>in</w:t>
      </w:r>
      <w:r w:rsidR="009D2617">
        <w:rPr>
          <w:rFonts w:asciiTheme="majorBidi" w:eastAsia="Times New Roman" w:hAnsiTheme="majorBidi" w:cstheme="majorBidi"/>
          <w:color w:val="333333"/>
        </w:rPr>
        <w:t xml:space="preserve"> the study,</w:t>
      </w:r>
      <w:r w:rsidR="00454F35">
        <w:rPr>
          <w:rFonts w:asciiTheme="majorBidi" w:eastAsia="Times New Roman" w:hAnsiTheme="majorBidi" w:cstheme="majorBidi"/>
          <w:color w:val="333333"/>
        </w:rPr>
        <w:t xml:space="preserve"> and this may have led to exclusion of the frailer elderly patients which are more prone to volume depletion, AKI, fractures and other adverse outcomes. Moreover, t</w:t>
      </w:r>
      <w:r w:rsidR="001911BF" w:rsidRPr="009C0B84">
        <w:rPr>
          <w:rFonts w:asciiTheme="majorBidi" w:eastAsia="Times New Roman" w:hAnsiTheme="majorBidi" w:cstheme="majorBidi"/>
          <w:color w:val="333333"/>
        </w:rPr>
        <w:t xml:space="preserve">here were no assessments of cognitive function, functional capacity </w:t>
      </w:r>
      <w:r w:rsidR="001D48C7" w:rsidRPr="009C0B84">
        <w:rPr>
          <w:rFonts w:asciiTheme="majorBidi" w:eastAsia="Times New Roman" w:hAnsiTheme="majorBidi" w:cstheme="majorBidi"/>
          <w:color w:val="333333"/>
        </w:rPr>
        <w:t>or frailty at baseline</w:t>
      </w:r>
      <w:r w:rsidR="00553158" w:rsidRPr="009C0B84">
        <w:rPr>
          <w:rFonts w:asciiTheme="majorBidi" w:eastAsia="Times New Roman" w:hAnsiTheme="majorBidi" w:cstheme="majorBidi"/>
          <w:color w:val="333333"/>
        </w:rPr>
        <w:t xml:space="preserve"> or at any time during the study</w:t>
      </w:r>
      <w:r w:rsidR="0084075E" w:rsidRPr="009C0B84">
        <w:rPr>
          <w:rFonts w:asciiTheme="majorBidi" w:eastAsia="Times New Roman" w:hAnsiTheme="majorBidi" w:cstheme="majorBidi"/>
          <w:color w:val="333333"/>
        </w:rPr>
        <w:t>. A</w:t>
      </w:r>
      <w:r w:rsidRPr="009C0B84">
        <w:rPr>
          <w:rFonts w:asciiTheme="majorBidi" w:eastAsia="Times New Roman" w:hAnsiTheme="majorBidi" w:cstheme="majorBidi"/>
          <w:color w:val="333333"/>
        </w:rPr>
        <w:t>s a randomized trial, one would expect these unmeasured features would be balanced between groups</w:t>
      </w:r>
      <w:r w:rsidR="00E7556E" w:rsidRPr="009C0B84">
        <w:rPr>
          <w:rFonts w:asciiTheme="majorBidi" w:eastAsia="Times New Roman" w:hAnsiTheme="majorBidi" w:cstheme="majorBidi"/>
          <w:color w:val="333333"/>
        </w:rPr>
        <w:t>. Additionally</w:t>
      </w:r>
      <w:proofErr w:type="gramStart"/>
      <w:r w:rsidR="00E7556E" w:rsidRPr="009C0B84">
        <w:rPr>
          <w:rFonts w:asciiTheme="majorBidi" w:eastAsia="Times New Roman" w:hAnsiTheme="majorBidi" w:cstheme="majorBidi"/>
          <w:color w:val="333333"/>
        </w:rPr>
        <w:t xml:space="preserve">, </w:t>
      </w:r>
      <w:r w:rsidR="004F1387" w:rsidRPr="009C0B84">
        <w:rPr>
          <w:rFonts w:asciiTheme="majorBidi" w:eastAsia="Times New Roman" w:hAnsiTheme="majorBidi" w:cstheme="majorBidi"/>
          <w:color w:val="333333"/>
        </w:rPr>
        <w:t xml:space="preserve"> the</w:t>
      </w:r>
      <w:proofErr w:type="gramEnd"/>
      <w:r w:rsidR="004F1387" w:rsidRPr="009C0B84">
        <w:rPr>
          <w:rFonts w:asciiTheme="majorBidi" w:eastAsia="Times New Roman" w:hAnsiTheme="majorBidi" w:cstheme="majorBidi"/>
          <w:color w:val="333333"/>
        </w:rPr>
        <w:t xml:space="preserve"> very elderly subgroup consisted of a small subset (6.4%) of the total population of 17160, </w:t>
      </w:r>
      <w:r w:rsidR="005E1FC8">
        <w:rPr>
          <w:rFonts w:asciiTheme="majorBidi" w:eastAsia="Times New Roman" w:hAnsiTheme="majorBidi" w:cstheme="majorBidi"/>
          <w:color w:val="333333"/>
        </w:rPr>
        <w:t xml:space="preserve">and the number of events </w:t>
      </w:r>
      <w:r w:rsidR="0038406F">
        <w:rPr>
          <w:rFonts w:asciiTheme="majorBidi" w:eastAsia="Times New Roman" w:hAnsiTheme="majorBidi" w:cstheme="majorBidi"/>
          <w:color w:val="333333"/>
        </w:rPr>
        <w:t xml:space="preserve">were small, yet, </w:t>
      </w:r>
      <w:r w:rsidR="004F1387" w:rsidRPr="009C0B84">
        <w:rPr>
          <w:rFonts w:asciiTheme="majorBidi" w:eastAsia="Times New Roman" w:hAnsiTheme="majorBidi" w:cstheme="majorBidi"/>
          <w:color w:val="333333"/>
        </w:rPr>
        <w:t xml:space="preserve">it still accounted for 1096 participants. </w:t>
      </w:r>
      <w:r w:rsidR="00723D37" w:rsidRPr="009C0B84">
        <w:rPr>
          <w:rFonts w:asciiTheme="majorBidi" w:eastAsia="Times New Roman" w:hAnsiTheme="majorBidi" w:cstheme="majorBidi"/>
          <w:color w:val="333333"/>
        </w:rPr>
        <w:t>Finally, analyses of metabolic outcomes are post-hoc and should be considered exploratory.</w:t>
      </w:r>
    </w:p>
    <w:p w14:paraId="6D9EB397" w14:textId="0398B4FA" w:rsidR="00B51251" w:rsidRPr="009C0B84" w:rsidRDefault="001D48C7" w:rsidP="001525B4">
      <w:pPr>
        <w:spacing w:before="100" w:beforeAutospacing="1" w:after="100" w:afterAutospacing="1" w:line="480" w:lineRule="auto"/>
        <w:rPr>
          <w:rFonts w:asciiTheme="majorBidi" w:eastAsia="Times New Roman" w:hAnsiTheme="majorBidi" w:cstheme="majorBidi"/>
          <w:color w:val="333333"/>
        </w:rPr>
      </w:pPr>
      <w:r w:rsidRPr="009C0B84">
        <w:rPr>
          <w:rFonts w:asciiTheme="majorBidi" w:eastAsia="Times New Roman" w:hAnsiTheme="majorBidi" w:cstheme="majorBidi"/>
          <w:color w:val="333333"/>
        </w:rPr>
        <w:t xml:space="preserve">In conclusion, </w:t>
      </w:r>
      <w:r w:rsidR="00723D37" w:rsidRPr="009C0B84">
        <w:rPr>
          <w:rFonts w:asciiTheme="majorBidi" w:eastAsia="Times New Roman" w:hAnsiTheme="majorBidi" w:cstheme="majorBidi"/>
          <w:color w:val="333333"/>
        </w:rPr>
        <w:t xml:space="preserve">our study establishes the CV and renal benefits of dapagliflozin in the elderly and very elderly. The overall </w:t>
      </w:r>
      <w:r w:rsidR="001C6F7F" w:rsidRPr="009C0B84">
        <w:rPr>
          <w:rFonts w:asciiTheme="majorBidi" w:eastAsia="Times New Roman" w:hAnsiTheme="majorBidi" w:cstheme="majorBidi"/>
          <w:color w:val="333333"/>
        </w:rPr>
        <w:t xml:space="preserve">efficacy and safety </w:t>
      </w:r>
      <w:r w:rsidR="00723D37" w:rsidRPr="009C0B84">
        <w:rPr>
          <w:rFonts w:asciiTheme="majorBidi" w:eastAsia="Times New Roman" w:hAnsiTheme="majorBidi" w:cstheme="majorBidi"/>
          <w:color w:val="333333"/>
        </w:rPr>
        <w:t>of dapagliflozin was consistent regardless of age</w:t>
      </w:r>
      <w:r w:rsidR="002C76D5" w:rsidRPr="009C0B84">
        <w:rPr>
          <w:rFonts w:asciiTheme="majorBidi" w:eastAsia="Times New Roman" w:hAnsiTheme="majorBidi" w:cstheme="majorBidi"/>
          <w:color w:val="333333"/>
        </w:rPr>
        <w:t xml:space="preserve">, thus this drug may be considered a </w:t>
      </w:r>
      <w:r w:rsidR="005D1A23" w:rsidRPr="009C0B84">
        <w:rPr>
          <w:rFonts w:asciiTheme="majorBidi" w:eastAsia="Times New Roman" w:hAnsiTheme="majorBidi" w:cstheme="majorBidi"/>
          <w:color w:val="333333"/>
        </w:rPr>
        <w:t>valuable</w:t>
      </w:r>
      <w:r w:rsidR="002C76D5" w:rsidRPr="009C0B84">
        <w:rPr>
          <w:rFonts w:asciiTheme="majorBidi" w:eastAsia="Times New Roman" w:hAnsiTheme="majorBidi" w:cstheme="majorBidi"/>
          <w:color w:val="333333"/>
        </w:rPr>
        <w:t xml:space="preserve"> glucose lowering agent regardless of age</w:t>
      </w:r>
      <w:r w:rsidR="00723D37" w:rsidRPr="009C0B84">
        <w:rPr>
          <w:rFonts w:asciiTheme="majorBidi" w:eastAsia="Times New Roman" w:hAnsiTheme="majorBidi" w:cstheme="majorBidi"/>
          <w:color w:val="333333"/>
        </w:rPr>
        <w:t>.</w:t>
      </w:r>
    </w:p>
    <w:p w14:paraId="5D8DAC9D" w14:textId="77777777" w:rsidR="00D22E27" w:rsidRPr="009C0B84" w:rsidRDefault="00D22E27" w:rsidP="001525B4">
      <w:pPr>
        <w:spacing w:before="100" w:beforeAutospacing="1" w:after="100" w:afterAutospacing="1" w:line="480" w:lineRule="auto"/>
        <w:rPr>
          <w:rFonts w:asciiTheme="majorBidi" w:eastAsia="Times New Roman" w:hAnsiTheme="majorBidi" w:cstheme="majorBidi"/>
          <w:b/>
          <w:bCs/>
          <w:color w:val="333333"/>
        </w:rPr>
      </w:pPr>
    </w:p>
    <w:p w14:paraId="1FF0373E" w14:textId="7958BCC5" w:rsidR="00FF38DA" w:rsidRPr="009C0B84" w:rsidRDefault="00522007" w:rsidP="00A02B5B">
      <w:pPr>
        <w:spacing w:before="100" w:beforeAutospacing="1" w:after="100" w:afterAutospacing="1" w:line="480" w:lineRule="auto"/>
        <w:rPr>
          <w:rFonts w:asciiTheme="majorBidi" w:hAnsiTheme="majorBidi" w:cstheme="majorBidi"/>
          <w:b/>
          <w:bCs/>
          <w:color w:val="000000"/>
          <w:shd w:val="clear" w:color="auto" w:fill="FFFFFF"/>
        </w:rPr>
      </w:pPr>
      <w:r>
        <w:rPr>
          <w:rFonts w:asciiTheme="majorBidi" w:hAnsiTheme="majorBidi" w:cstheme="majorBidi"/>
          <w:b/>
          <w:bCs/>
          <w:color w:val="000000"/>
          <w:shd w:val="clear" w:color="auto" w:fill="FFFFFF"/>
        </w:rPr>
        <w:br w:type="page"/>
      </w:r>
      <w:r w:rsidR="00FF38DA" w:rsidRPr="009C0B84">
        <w:rPr>
          <w:rFonts w:asciiTheme="majorBidi" w:hAnsiTheme="majorBidi" w:cstheme="majorBidi"/>
          <w:b/>
          <w:bCs/>
          <w:color w:val="000000"/>
          <w:shd w:val="clear" w:color="auto" w:fill="FFFFFF"/>
        </w:rPr>
        <w:t>Acknowledgments </w:t>
      </w:r>
    </w:p>
    <w:p w14:paraId="3BD524A8" w14:textId="77777777" w:rsidR="00522007" w:rsidRPr="009C0B84" w:rsidRDefault="00522007" w:rsidP="001F6B71">
      <w:pPr>
        <w:spacing w:before="100" w:beforeAutospacing="1" w:after="100" w:afterAutospacing="1" w:line="360" w:lineRule="auto"/>
        <w:rPr>
          <w:rFonts w:asciiTheme="majorBidi" w:eastAsia="Times New Roman" w:hAnsiTheme="majorBidi" w:cstheme="majorBidi"/>
          <w:b/>
          <w:bCs/>
          <w:color w:val="333333"/>
        </w:rPr>
      </w:pPr>
      <w:r w:rsidRPr="009C0B84">
        <w:rPr>
          <w:rFonts w:asciiTheme="majorBidi" w:eastAsia="Times New Roman" w:hAnsiTheme="majorBidi" w:cstheme="majorBidi"/>
          <w:b/>
          <w:bCs/>
          <w:color w:val="333333"/>
        </w:rPr>
        <w:t>Author contribution</w:t>
      </w:r>
    </w:p>
    <w:p w14:paraId="3505E746" w14:textId="03E8548A" w:rsidR="001525B4" w:rsidRDefault="00522007" w:rsidP="005F6485">
      <w:pPr>
        <w:autoSpaceDE w:val="0"/>
        <w:autoSpaceDN w:val="0"/>
        <w:adjustRightInd w:val="0"/>
        <w:spacing w:before="100" w:beforeAutospacing="1" w:after="100" w:afterAutospacing="1" w:line="360" w:lineRule="auto"/>
        <w:rPr>
          <w:rFonts w:asciiTheme="majorBidi" w:eastAsia="Times New Roman" w:hAnsiTheme="majorBidi" w:cstheme="majorBidi"/>
          <w:color w:val="333333"/>
        </w:rPr>
      </w:pPr>
      <w:r w:rsidRPr="009C0B84">
        <w:rPr>
          <w:rFonts w:asciiTheme="majorBidi" w:eastAsia="Times New Roman" w:hAnsiTheme="majorBidi" w:cstheme="majorBidi"/>
          <w:color w:val="333333"/>
        </w:rPr>
        <w:t xml:space="preserve">AC, SDW, IAMG-N, MF, AML, MSS, and IR contributed to the study design. AC, SDW, IAMG-N, AML, MSS, and IR did the literature search. AC, SDW, AR, IY, ELG, SAM, IAMG-N, AML, MSS, and IR designed the figures. AC, SDW, IAMG-N, MF, AML, MSS, and IR contributed to data collection and AC, OM, SDW, AR, IY, ELG, SAM, DLB, LAL, DKM, JPHW, IAMG-N, MF, PAJ, AML, MSS, and IR contributed to data analysis. AC, OM, SDW, AR, IY, HJLH, TAZ, DLB, LAL, DKM, JPHW, ETK, IAMG-N, MF, AML, MSS, and IR contributed to data interpretation. AC, OM, SDW, AR, IY, ELG, SAM, DLB, LAL, DKM, JPHW, IAMG-N, MF, PAJ, AML, MSS, and IR contributed to the writing of the report and approved the final submitted version. </w:t>
      </w:r>
      <w:r>
        <w:rPr>
          <w:rFonts w:asciiTheme="majorBidi" w:eastAsia="Times New Roman" w:hAnsiTheme="majorBidi" w:cstheme="majorBidi"/>
          <w:color w:val="333333"/>
        </w:rPr>
        <w:t xml:space="preserve">  </w:t>
      </w:r>
      <w:r w:rsidR="001525B4">
        <w:rPr>
          <w:rFonts w:asciiTheme="majorBidi" w:eastAsia="Times New Roman" w:hAnsiTheme="majorBidi" w:cstheme="majorBidi"/>
          <w:color w:val="333333"/>
        </w:rPr>
        <w:t xml:space="preserve">AC, IR, SDW, ELG, SAM and SDW </w:t>
      </w:r>
      <w:r w:rsidRPr="001525B4">
        <w:rPr>
          <w:rFonts w:asciiTheme="majorBidi" w:eastAsia="Times New Roman" w:hAnsiTheme="majorBidi" w:cstheme="majorBidi"/>
          <w:color w:val="333333"/>
        </w:rPr>
        <w:t>are the guarantors</w:t>
      </w:r>
      <w:r w:rsidR="001525B4" w:rsidRPr="001525B4">
        <w:rPr>
          <w:rFonts w:asciiTheme="majorBidi" w:eastAsia="Times New Roman" w:hAnsiTheme="majorBidi" w:cstheme="majorBidi"/>
          <w:color w:val="333333"/>
        </w:rPr>
        <w:t xml:space="preserve"> </w:t>
      </w:r>
      <w:r w:rsidRPr="001525B4">
        <w:rPr>
          <w:rFonts w:asciiTheme="majorBidi" w:eastAsia="Times New Roman" w:hAnsiTheme="majorBidi" w:cstheme="majorBidi"/>
          <w:color w:val="333333"/>
        </w:rPr>
        <w:t>of this work and, as such, had full access</w:t>
      </w:r>
      <w:r w:rsidR="001525B4" w:rsidRPr="001525B4">
        <w:rPr>
          <w:rFonts w:asciiTheme="majorBidi" w:eastAsia="Times New Roman" w:hAnsiTheme="majorBidi" w:cstheme="majorBidi"/>
          <w:color w:val="333333"/>
        </w:rPr>
        <w:t xml:space="preserve"> </w:t>
      </w:r>
      <w:r w:rsidRPr="001525B4">
        <w:rPr>
          <w:rFonts w:asciiTheme="majorBidi" w:eastAsia="Times New Roman" w:hAnsiTheme="majorBidi" w:cstheme="majorBidi"/>
          <w:color w:val="333333"/>
        </w:rPr>
        <w:t>to all the data in the study and take responsibility</w:t>
      </w:r>
      <w:r w:rsidR="001525B4">
        <w:rPr>
          <w:rFonts w:asciiTheme="majorBidi" w:eastAsia="Times New Roman" w:hAnsiTheme="majorBidi" w:cstheme="majorBidi"/>
          <w:color w:val="333333"/>
        </w:rPr>
        <w:t xml:space="preserve"> </w:t>
      </w:r>
      <w:r w:rsidRPr="001525B4">
        <w:rPr>
          <w:rFonts w:asciiTheme="majorBidi" w:eastAsia="Times New Roman" w:hAnsiTheme="majorBidi" w:cstheme="majorBidi"/>
          <w:color w:val="333333"/>
        </w:rPr>
        <w:t>for the integrity of the data and the</w:t>
      </w:r>
      <w:r w:rsidR="001525B4" w:rsidRPr="001525B4">
        <w:rPr>
          <w:rFonts w:asciiTheme="majorBidi" w:eastAsia="Times New Roman" w:hAnsiTheme="majorBidi" w:cstheme="majorBidi"/>
          <w:color w:val="333333"/>
        </w:rPr>
        <w:t xml:space="preserve"> </w:t>
      </w:r>
      <w:r w:rsidRPr="001525B4">
        <w:rPr>
          <w:rFonts w:asciiTheme="majorBidi" w:eastAsia="Times New Roman" w:hAnsiTheme="majorBidi" w:cstheme="majorBidi"/>
          <w:color w:val="333333"/>
        </w:rPr>
        <w:t>accuracy of the data analysis.</w:t>
      </w:r>
    </w:p>
    <w:p w14:paraId="0DA90B4F" w14:textId="235E85C4" w:rsidR="001525B4" w:rsidRDefault="001525B4" w:rsidP="001F6B71">
      <w:pPr>
        <w:autoSpaceDE w:val="0"/>
        <w:autoSpaceDN w:val="0"/>
        <w:adjustRightInd w:val="0"/>
        <w:spacing w:before="100" w:beforeAutospacing="1" w:after="100" w:afterAutospacing="1" w:line="360" w:lineRule="auto"/>
        <w:rPr>
          <w:rFonts w:asciiTheme="majorBidi" w:eastAsia="Times New Roman" w:hAnsiTheme="majorBidi" w:cstheme="majorBidi"/>
          <w:b/>
          <w:bCs/>
          <w:color w:val="333333"/>
        </w:rPr>
      </w:pPr>
      <w:r>
        <w:rPr>
          <w:rFonts w:asciiTheme="majorBidi" w:eastAsia="Times New Roman" w:hAnsiTheme="majorBidi" w:cstheme="majorBidi"/>
          <w:b/>
          <w:bCs/>
          <w:color w:val="333333"/>
        </w:rPr>
        <w:t>Funding</w:t>
      </w:r>
    </w:p>
    <w:p w14:paraId="7C3E6B51" w14:textId="70C5791D" w:rsidR="001525B4" w:rsidRDefault="001525B4" w:rsidP="001F6B71">
      <w:pPr>
        <w:autoSpaceDE w:val="0"/>
        <w:autoSpaceDN w:val="0"/>
        <w:adjustRightInd w:val="0"/>
        <w:spacing w:before="100" w:beforeAutospacing="1" w:after="100" w:afterAutospacing="1" w:line="360" w:lineRule="auto"/>
        <w:rPr>
          <w:rFonts w:ascii="Times New Roman" w:eastAsia="Times New Roman" w:hAnsi="Times New Roman" w:cs="Times New Roman"/>
          <w:color w:val="333333"/>
        </w:rPr>
      </w:pPr>
      <w:r w:rsidRPr="006D4F8E">
        <w:rPr>
          <w:rFonts w:ascii="Times New Roman" w:eastAsia="Times New Roman" w:hAnsi="Times New Roman" w:cs="Times New Roman"/>
          <w:color w:val="333333"/>
        </w:rPr>
        <w:t>The sponsor of the DECLARE</w:t>
      </w:r>
      <w:r>
        <w:rPr>
          <w:rFonts w:ascii="Times New Roman" w:eastAsia="Times New Roman" w:hAnsi="Times New Roman" w:cs="Times New Roman"/>
          <w:color w:val="333333"/>
        </w:rPr>
        <w:t xml:space="preserve"> -</w:t>
      </w:r>
      <w:r w:rsidRPr="006D4F8E">
        <w:rPr>
          <w:rFonts w:ascii="Times New Roman" w:eastAsia="Times New Roman" w:hAnsi="Times New Roman" w:cs="Times New Roman"/>
          <w:color w:val="333333"/>
        </w:rPr>
        <w:t xml:space="preserve"> TIMI 58 study was initially AstraZeneca and Bristol-Myers Squibb and AstraZeneca later became the sole sponsor of the study</w:t>
      </w:r>
      <w:r>
        <w:rPr>
          <w:rFonts w:ascii="Times New Roman" w:eastAsia="Times New Roman" w:hAnsi="Times New Roman" w:cs="Times New Roman"/>
          <w:color w:val="333333"/>
        </w:rPr>
        <w:t xml:space="preserve">. </w:t>
      </w:r>
      <w:r w:rsidRPr="00E7039C">
        <w:rPr>
          <w:rFonts w:ascii="Times New Roman" w:eastAsia="Times New Roman" w:hAnsi="Times New Roman" w:cs="Times New Roman"/>
          <w:color w:val="333333"/>
        </w:rPr>
        <w:t>The DECLARE–TIMI 58 trial was a collaboration</w:t>
      </w:r>
      <w:r>
        <w:rPr>
          <w:rFonts w:ascii="Times New Roman" w:eastAsia="Times New Roman" w:hAnsi="Times New Roman" w:cs="Times New Roman"/>
          <w:color w:val="333333"/>
        </w:rPr>
        <w:t xml:space="preserve"> </w:t>
      </w:r>
      <w:r w:rsidRPr="00E7039C">
        <w:rPr>
          <w:rFonts w:ascii="Times New Roman" w:eastAsia="Times New Roman" w:hAnsi="Times New Roman" w:cs="Times New Roman"/>
          <w:color w:val="333333"/>
        </w:rPr>
        <w:t xml:space="preserve">between the funder and two academic research organizations (TIMI Study Group and Hadassah Medical Organization). The funder was involved in the study design, data collection, data analysis, interpretation, and writing of this report. IAMG-N, MF, PAJ, AML are employed by the study funder. Data analyses were done by the </w:t>
      </w:r>
      <w:r>
        <w:rPr>
          <w:rFonts w:ascii="Times New Roman" w:eastAsia="Times New Roman" w:hAnsi="Times New Roman" w:cs="Times New Roman"/>
          <w:color w:val="333333"/>
        </w:rPr>
        <w:t xml:space="preserve">academic </w:t>
      </w:r>
      <w:r w:rsidRPr="00E7039C">
        <w:rPr>
          <w:rFonts w:ascii="Times New Roman" w:eastAsia="Times New Roman" w:hAnsi="Times New Roman" w:cs="Times New Roman"/>
          <w:color w:val="333333"/>
        </w:rPr>
        <w:t>TIMI Study Group, which has access to the complete study database, allowing independent analyses of the results; any discrepancies were resolved by discussion. The DECLARE–TIMI 58 publication committee made the decision to submit for publication.</w:t>
      </w:r>
    </w:p>
    <w:p w14:paraId="58D8BE52" w14:textId="641841A6" w:rsidR="00FF38DA" w:rsidRPr="009C0B84" w:rsidRDefault="00FF38DA" w:rsidP="001F6B71">
      <w:pPr>
        <w:autoSpaceDE w:val="0"/>
        <w:autoSpaceDN w:val="0"/>
        <w:adjustRightInd w:val="0"/>
        <w:spacing w:before="100" w:beforeAutospacing="1" w:after="100" w:afterAutospacing="1" w:line="360" w:lineRule="auto"/>
        <w:rPr>
          <w:rFonts w:asciiTheme="majorBidi" w:hAnsiTheme="majorBidi" w:cstheme="majorBidi"/>
          <w:b/>
          <w:bCs/>
          <w:color w:val="000000"/>
          <w:shd w:val="clear" w:color="auto" w:fill="FFFFFF"/>
        </w:rPr>
      </w:pPr>
      <w:r w:rsidRPr="009C0B84">
        <w:rPr>
          <w:rFonts w:asciiTheme="majorBidi" w:hAnsiTheme="majorBidi" w:cstheme="majorBidi"/>
          <w:b/>
          <w:bCs/>
          <w:color w:val="000000"/>
          <w:shd w:val="clear" w:color="auto" w:fill="FFFFFF"/>
        </w:rPr>
        <w:t>Conflicts of interest</w:t>
      </w:r>
    </w:p>
    <w:p w14:paraId="4E8B32CA" w14:textId="3FFD7AE6" w:rsidR="00FF38DA" w:rsidRPr="009C0B84" w:rsidRDefault="00057C7B" w:rsidP="00CC58F8">
      <w:pPr>
        <w:spacing w:before="100" w:beforeAutospacing="1" w:after="100" w:afterAutospacing="1" w:line="360" w:lineRule="auto"/>
        <w:rPr>
          <w:rFonts w:asciiTheme="majorBidi" w:eastAsia="Times New Roman" w:hAnsiTheme="majorBidi" w:cstheme="majorBidi"/>
          <w:color w:val="333333"/>
        </w:rPr>
      </w:pPr>
      <w:r w:rsidRPr="009C0B84">
        <w:rPr>
          <w:rFonts w:asciiTheme="majorBidi" w:eastAsia="Times New Roman" w:hAnsiTheme="majorBidi" w:cstheme="majorBidi"/>
          <w:color w:val="333333"/>
        </w:rPr>
        <w:t xml:space="preserve">AC reports grants and personal fees from AstraZeneca and </w:t>
      </w:r>
      <w:r w:rsidR="00CC58F8">
        <w:rPr>
          <w:rFonts w:asciiTheme="majorBidi" w:eastAsia="Times New Roman" w:hAnsiTheme="majorBidi" w:cstheme="majorBidi"/>
          <w:color w:val="333333"/>
        </w:rPr>
        <w:t xml:space="preserve">Novo Nordisk and </w:t>
      </w:r>
      <w:r w:rsidRPr="009C0B84">
        <w:rPr>
          <w:rFonts w:asciiTheme="majorBidi" w:eastAsia="Times New Roman" w:hAnsiTheme="majorBidi" w:cstheme="majorBidi"/>
          <w:color w:val="333333"/>
        </w:rPr>
        <w:t xml:space="preserve">personal fees </w:t>
      </w:r>
      <w:proofErr w:type="spellStart"/>
      <w:r w:rsidRPr="009C0B84">
        <w:rPr>
          <w:rFonts w:asciiTheme="majorBidi" w:eastAsia="Times New Roman" w:hAnsiTheme="majorBidi" w:cstheme="majorBidi"/>
          <w:color w:val="333333"/>
        </w:rPr>
        <w:t>from</w:t>
      </w:r>
      <w:r w:rsidR="00CC58F8">
        <w:rPr>
          <w:rFonts w:asciiTheme="majorBidi" w:eastAsia="Times New Roman" w:hAnsiTheme="majorBidi" w:cstheme="majorBidi"/>
          <w:color w:val="333333"/>
        </w:rPr>
        <w:t>Abbott</w:t>
      </w:r>
      <w:proofErr w:type="spellEnd"/>
      <w:r w:rsidRPr="009C0B84">
        <w:rPr>
          <w:rFonts w:asciiTheme="majorBidi" w:eastAsia="Times New Roman" w:hAnsiTheme="majorBidi" w:cstheme="majorBidi"/>
          <w:color w:val="333333"/>
        </w:rPr>
        <w:t xml:space="preserve">, Eli Lilly, Sanofi, </w:t>
      </w:r>
      <w:proofErr w:type="spellStart"/>
      <w:r w:rsidRPr="009C0B84">
        <w:rPr>
          <w:rFonts w:asciiTheme="majorBidi" w:eastAsia="Times New Roman" w:hAnsiTheme="majorBidi" w:cstheme="majorBidi"/>
          <w:color w:val="333333"/>
        </w:rPr>
        <w:t>Boehringer</w:t>
      </w:r>
      <w:proofErr w:type="spellEnd"/>
      <w:r w:rsidRPr="009C0B84">
        <w:rPr>
          <w:rFonts w:asciiTheme="majorBidi" w:eastAsia="Times New Roman" w:hAnsiTheme="majorBidi" w:cstheme="majorBidi"/>
          <w:color w:val="333333"/>
        </w:rPr>
        <w:t xml:space="preserve"> </w:t>
      </w:r>
      <w:proofErr w:type="spellStart"/>
      <w:r w:rsidRPr="009C0B84">
        <w:rPr>
          <w:rFonts w:asciiTheme="majorBidi" w:eastAsia="Times New Roman" w:hAnsiTheme="majorBidi" w:cstheme="majorBidi"/>
          <w:color w:val="333333"/>
        </w:rPr>
        <w:t>Ingelheim</w:t>
      </w:r>
      <w:proofErr w:type="spellEnd"/>
      <w:r w:rsidRPr="009C0B84">
        <w:rPr>
          <w:rFonts w:asciiTheme="majorBidi" w:eastAsia="Times New Roman" w:hAnsiTheme="majorBidi" w:cstheme="majorBidi"/>
          <w:color w:val="333333"/>
        </w:rPr>
        <w:t xml:space="preserve">, Merck Sharp &amp; </w:t>
      </w:r>
      <w:proofErr w:type="spellStart"/>
      <w:r w:rsidRPr="009C0B84">
        <w:rPr>
          <w:rFonts w:asciiTheme="majorBidi" w:eastAsia="Times New Roman" w:hAnsiTheme="majorBidi" w:cstheme="majorBidi"/>
          <w:color w:val="333333"/>
        </w:rPr>
        <w:t>Dohme</w:t>
      </w:r>
      <w:proofErr w:type="spellEnd"/>
      <w:r w:rsidRPr="009C0B84">
        <w:rPr>
          <w:rFonts w:asciiTheme="majorBidi" w:eastAsia="Times New Roman" w:hAnsiTheme="majorBidi" w:cstheme="majorBidi"/>
          <w:color w:val="333333"/>
        </w:rPr>
        <w:t xml:space="preserve">, </w:t>
      </w:r>
      <w:r w:rsidR="00CC58F8">
        <w:rPr>
          <w:rFonts w:asciiTheme="majorBidi" w:eastAsia="Times New Roman" w:hAnsiTheme="majorBidi" w:cstheme="majorBidi"/>
          <w:color w:val="333333"/>
        </w:rPr>
        <w:t xml:space="preserve">Medial Early-Sign </w:t>
      </w:r>
      <w:r w:rsidRPr="009C0B84">
        <w:rPr>
          <w:rFonts w:asciiTheme="majorBidi" w:eastAsia="Times New Roman" w:hAnsiTheme="majorBidi" w:cstheme="majorBidi"/>
          <w:color w:val="333333"/>
        </w:rPr>
        <w:t xml:space="preserve">and </w:t>
      </w:r>
      <w:proofErr w:type="spellStart"/>
      <w:r w:rsidRPr="009C0B84">
        <w:rPr>
          <w:rFonts w:asciiTheme="majorBidi" w:eastAsia="Times New Roman" w:hAnsiTheme="majorBidi" w:cstheme="majorBidi"/>
          <w:color w:val="333333"/>
        </w:rPr>
        <w:t>GlucoMe</w:t>
      </w:r>
      <w:proofErr w:type="spellEnd"/>
      <w:r w:rsidRPr="009C0B84">
        <w:rPr>
          <w:rFonts w:asciiTheme="majorBidi" w:eastAsia="Times New Roman" w:hAnsiTheme="majorBidi" w:cstheme="majorBidi"/>
          <w:color w:val="333333"/>
        </w:rPr>
        <w:t>. OM reports grants and personal fees from AstraZeneca, Bristol-Myers Squibb, and Novo Nordisk and personal fees from Eli Lilly, Sanofi,</w:t>
      </w:r>
      <w:r w:rsidR="004F3091" w:rsidRPr="009C0B84">
        <w:rPr>
          <w:rFonts w:asciiTheme="majorBidi" w:eastAsia="Times New Roman" w:hAnsiTheme="majorBidi" w:cstheme="majorBidi"/>
          <w:color w:val="333333"/>
        </w:rPr>
        <w:t xml:space="preserve"> </w:t>
      </w:r>
      <w:r w:rsidRPr="009C0B84">
        <w:rPr>
          <w:rFonts w:asciiTheme="majorBidi" w:eastAsia="Times New Roman" w:hAnsiTheme="majorBidi" w:cstheme="majorBidi"/>
          <w:color w:val="333333"/>
        </w:rPr>
        <w:t xml:space="preserve">Merck Sharp &amp; </w:t>
      </w:r>
      <w:proofErr w:type="spellStart"/>
      <w:r w:rsidRPr="009C0B84">
        <w:rPr>
          <w:rFonts w:asciiTheme="majorBidi" w:eastAsia="Times New Roman" w:hAnsiTheme="majorBidi" w:cstheme="majorBidi"/>
          <w:color w:val="333333"/>
        </w:rPr>
        <w:t>Dohme</w:t>
      </w:r>
      <w:proofErr w:type="spellEnd"/>
      <w:r w:rsidRPr="009C0B84">
        <w:rPr>
          <w:rFonts w:asciiTheme="majorBidi" w:eastAsia="Times New Roman" w:hAnsiTheme="majorBidi" w:cstheme="majorBidi"/>
          <w:color w:val="333333"/>
        </w:rPr>
        <w:t xml:space="preserve">, </w:t>
      </w:r>
      <w:proofErr w:type="spellStart"/>
      <w:r w:rsidRPr="009C0B84">
        <w:rPr>
          <w:rFonts w:asciiTheme="majorBidi" w:eastAsia="Times New Roman" w:hAnsiTheme="majorBidi" w:cstheme="majorBidi"/>
          <w:color w:val="333333"/>
        </w:rPr>
        <w:t>Boehringer</w:t>
      </w:r>
      <w:proofErr w:type="spellEnd"/>
      <w:r w:rsidRPr="009C0B84">
        <w:rPr>
          <w:rFonts w:asciiTheme="majorBidi" w:eastAsia="Times New Roman" w:hAnsiTheme="majorBidi" w:cstheme="majorBidi"/>
          <w:color w:val="333333"/>
        </w:rPr>
        <w:t xml:space="preserve"> </w:t>
      </w:r>
      <w:proofErr w:type="spellStart"/>
      <w:r w:rsidRPr="009C0B84">
        <w:rPr>
          <w:rFonts w:asciiTheme="majorBidi" w:eastAsia="Times New Roman" w:hAnsiTheme="majorBidi" w:cstheme="majorBidi"/>
          <w:color w:val="333333"/>
        </w:rPr>
        <w:t>Ingelheim</w:t>
      </w:r>
      <w:proofErr w:type="spellEnd"/>
      <w:r w:rsidRPr="009C0B84">
        <w:rPr>
          <w:rFonts w:asciiTheme="majorBidi" w:eastAsia="Times New Roman" w:hAnsiTheme="majorBidi" w:cstheme="majorBidi"/>
          <w:color w:val="333333"/>
        </w:rPr>
        <w:t>, Johnson &amp; Johnson, and</w:t>
      </w:r>
      <w:r w:rsidR="004F3091" w:rsidRPr="009C0B84">
        <w:rPr>
          <w:rFonts w:asciiTheme="majorBidi" w:eastAsia="Times New Roman" w:hAnsiTheme="majorBidi" w:cstheme="majorBidi"/>
          <w:color w:val="333333"/>
        </w:rPr>
        <w:t xml:space="preserve"> </w:t>
      </w:r>
      <w:r w:rsidRPr="009C0B84">
        <w:rPr>
          <w:rFonts w:asciiTheme="majorBidi" w:eastAsia="Times New Roman" w:hAnsiTheme="majorBidi" w:cstheme="majorBidi"/>
          <w:color w:val="333333"/>
        </w:rPr>
        <w:t>Novartis. SDW reports grants from AstraZeneca, Bristol-Myers Squibb, Sanofi Aventis, and Amgen; grants and personal fees from Arena, Daiichi Sankyo, Eisai, Eli Lilly, and Janssen; grants and consulting fees</w:t>
      </w:r>
      <w:r w:rsidR="004F3091" w:rsidRPr="009C0B84">
        <w:rPr>
          <w:rFonts w:asciiTheme="majorBidi" w:eastAsia="Times New Roman" w:hAnsiTheme="majorBidi" w:cstheme="majorBidi"/>
          <w:color w:val="333333"/>
        </w:rPr>
        <w:t xml:space="preserve"> </w:t>
      </w:r>
      <w:r w:rsidRPr="009C0B84">
        <w:rPr>
          <w:rFonts w:asciiTheme="majorBidi" w:eastAsia="Times New Roman" w:hAnsiTheme="majorBidi" w:cstheme="majorBidi"/>
          <w:color w:val="333333"/>
        </w:rPr>
        <w:t xml:space="preserve">from Merck (additionally his spouse is employed by Merck); and personal fees from </w:t>
      </w:r>
      <w:proofErr w:type="spellStart"/>
      <w:r w:rsidRPr="009C0B84">
        <w:rPr>
          <w:rFonts w:asciiTheme="majorBidi" w:eastAsia="Times New Roman" w:hAnsiTheme="majorBidi" w:cstheme="majorBidi"/>
          <w:color w:val="333333"/>
        </w:rPr>
        <w:t>Aegerion</w:t>
      </w:r>
      <w:proofErr w:type="spellEnd"/>
      <w:r w:rsidRPr="009C0B84">
        <w:rPr>
          <w:rFonts w:asciiTheme="majorBidi" w:eastAsia="Times New Roman" w:hAnsiTheme="majorBidi" w:cstheme="majorBidi"/>
          <w:color w:val="333333"/>
        </w:rPr>
        <w:t xml:space="preserve">, Allergan, </w:t>
      </w:r>
      <w:proofErr w:type="spellStart"/>
      <w:r w:rsidRPr="009C0B84">
        <w:rPr>
          <w:rFonts w:asciiTheme="majorBidi" w:eastAsia="Times New Roman" w:hAnsiTheme="majorBidi" w:cstheme="majorBidi"/>
          <w:color w:val="333333"/>
        </w:rPr>
        <w:t>AngelMed</w:t>
      </w:r>
      <w:proofErr w:type="spellEnd"/>
      <w:r w:rsidRPr="009C0B84">
        <w:rPr>
          <w:rFonts w:asciiTheme="majorBidi" w:eastAsia="Times New Roman" w:hAnsiTheme="majorBidi" w:cstheme="majorBidi"/>
          <w:color w:val="333333"/>
        </w:rPr>
        <w:t xml:space="preserve">, </w:t>
      </w:r>
      <w:proofErr w:type="spellStart"/>
      <w:r w:rsidRPr="009C0B84">
        <w:rPr>
          <w:rFonts w:asciiTheme="majorBidi" w:eastAsia="Times New Roman" w:hAnsiTheme="majorBidi" w:cstheme="majorBidi"/>
          <w:color w:val="333333"/>
        </w:rPr>
        <w:t>Boehringer</w:t>
      </w:r>
      <w:proofErr w:type="spellEnd"/>
      <w:r w:rsidRPr="009C0B84">
        <w:rPr>
          <w:rFonts w:asciiTheme="majorBidi" w:eastAsia="Times New Roman" w:hAnsiTheme="majorBidi" w:cstheme="majorBidi"/>
          <w:color w:val="333333"/>
        </w:rPr>
        <w:t xml:space="preserve"> </w:t>
      </w:r>
      <w:proofErr w:type="spellStart"/>
      <w:r w:rsidRPr="009C0B84">
        <w:rPr>
          <w:rFonts w:asciiTheme="majorBidi" w:eastAsia="Times New Roman" w:hAnsiTheme="majorBidi" w:cstheme="majorBidi"/>
          <w:color w:val="333333"/>
        </w:rPr>
        <w:t>Ingelheim</w:t>
      </w:r>
      <w:proofErr w:type="spellEnd"/>
      <w:r w:rsidRPr="009C0B84">
        <w:rPr>
          <w:rFonts w:asciiTheme="majorBidi" w:eastAsia="Times New Roman" w:hAnsiTheme="majorBidi" w:cstheme="majorBidi"/>
          <w:color w:val="333333"/>
        </w:rPr>
        <w:t xml:space="preserve">, Boston Clinical Research Institute, Icon Clinical, Lexicon, St Jude Medical, </w:t>
      </w:r>
      <w:proofErr w:type="spellStart"/>
      <w:r w:rsidRPr="009C0B84">
        <w:rPr>
          <w:rFonts w:asciiTheme="majorBidi" w:eastAsia="Times New Roman" w:hAnsiTheme="majorBidi" w:cstheme="majorBidi"/>
          <w:color w:val="333333"/>
        </w:rPr>
        <w:t>Xoma</w:t>
      </w:r>
      <w:proofErr w:type="spellEnd"/>
      <w:r w:rsidRPr="009C0B84">
        <w:rPr>
          <w:rFonts w:asciiTheme="majorBidi" w:eastAsia="Times New Roman" w:hAnsiTheme="majorBidi" w:cstheme="majorBidi"/>
          <w:color w:val="333333"/>
        </w:rPr>
        <w:t>,</w:t>
      </w:r>
      <w:r w:rsidR="004F3091" w:rsidRPr="009C0B84">
        <w:rPr>
          <w:rFonts w:asciiTheme="majorBidi" w:eastAsia="Times New Roman" w:hAnsiTheme="majorBidi" w:cstheme="majorBidi"/>
          <w:color w:val="333333"/>
        </w:rPr>
        <w:t xml:space="preserve"> </w:t>
      </w:r>
      <w:proofErr w:type="spellStart"/>
      <w:r w:rsidRPr="009C0B84">
        <w:rPr>
          <w:rFonts w:asciiTheme="majorBidi" w:eastAsia="Times New Roman" w:hAnsiTheme="majorBidi" w:cstheme="majorBidi"/>
          <w:color w:val="333333"/>
        </w:rPr>
        <w:t>Servier</w:t>
      </w:r>
      <w:proofErr w:type="spellEnd"/>
      <w:r w:rsidRPr="009C0B84">
        <w:rPr>
          <w:rFonts w:asciiTheme="majorBidi" w:eastAsia="Times New Roman" w:hAnsiTheme="majorBidi" w:cstheme="majorBidi"/>
          <w:color w:val="333333"/>
        </w:rPr>
        <w:t xml:space="preserve">, AstraZeneca, and Bristol-Myers Squibb. ELG and SAM report research grant support through Brigham and Women’s Hospital from Abbott Laboratories, Amgen, AstraZeneca, Critical Diagnostics, Daiichi-Sankyo, Eisai, Genzyme, Gilead, GlaxoSmithKline, </w:t>
      </w:r>
      <w:proofErr w:type="spellStart"/>
      <w:r w:rsidRPr="009C0B84">
        <w:rPr>
          <w:rFonts w:asciiTheme="majorBidi" w:eastAsia="Times New Roman" w:hAnsiTheme="majorBidi" w:cstheme="majorBidi"/>
          <w:color w:val="333333"/>
        </w:rPr>
        <w:t>Intarcia</w:t>
      </w:r>
      <w:proofErr w:type="spellEnd"/>
      <w:r w:rsidRPr="009C0B84">
        <w:rPr>
          <w:rFonts w:asciiTheme="majorBidi" w:eastAsia="Times New Roman" w:hAnsiTheme="majorBidi" w:cstheme="majorBidi"/>
          <w:color w:val="333333"/>
        </w:rPr>
        <w:t xml:space="preserve">, Janssen Research and Development, The Medicines Company, </w:t>
      </w:r>
      <w:proofErr w:type="spellStart"/>
      <w:r w:rsidRPr="009C0B84">
        <w:rPr>
          <w:rFonts w:asciiTheme="majorBidi" w:eastAsia="Times New Roman" w:hAnsiTheme="majorBidi" w:cstheme="majorBidi"/>
          <w:color w:val="333333"/>
        </w:rPr>
        <w:t>MedImmune</w:t>
      </w:r>
      <w:proofErr w:type="spellEnd"/>
      <w:r w:rsidRPr="009C0B84">
        <w:rPr>
          <w:rFonts w:asciiTheme="majorBidi" w:eastAsia="Times New Roman" w:hAnsiTheme="majorBidi" w:cstheme="majorBidi"/>
          <w:color w:val="333333"/>
        </w:rPr>
        <w:t xml:space="preserve">, Merck, Novartis, </w:t>
      </w:r>
      <w:proofErr w:type="spellStart"/>
      <w:r w:rsidRPr="009C0B84">
        <w:rPr>
          <w:rFonts w:asciiTheme="majorBidi" w:eastAsia="Times New Roman" w:hAnsiTheme="majorBidi" w:cstheme="majorBidi"/>
          <w:color w:val="333333"/>
        </w:rPr>
        <w:t>Poxel</w:t>
      </w:r>
      <w:proofErr w:type="spellEnd"/>
      <w:r w:rsidRPr="009C0B84">
        <w:rPr>
          <w:rFonts w:asciiTheme="majorBidi" w:eastAsia="Times New Roman" w:hAnsiTheme="majorBidi" w:cstheme="majorBidi"/>
          <w:color w:val="333333"/>
        </w:rPr>
        <w:t>, Pfizer, Roche</w:t>
      </w:r>
      <w:r w:rsidR="004F3091" w:rsidRPr="009C0B84">
        <w:rPr>
          <w:rFonts w:asciiTheme="majorBidi" w:eastAsia="Times New Roman" w:hAnsiTheme="majorBidi" w:cstheme="majorBidi"/>
          <w:color w:val="333333"/>
        </w:rPr>
        <w:t xml:space="preserve"> D</w:t>
      </w:r>
      <w:r w:rsidRPr="009C0B84">
        <w:rPr>
          <w:rFonts w:asciiTheme="majorBidi" w:eastAsia="Times New Roman" w:hAnsiTheme="majorBidi" w:cstheme="majorBidi"/>
          <w:color w:val="333333"/>
        </w:rPr>
        <w:t xml:space="preserve">iagnostics, and Takeda. </w:t>
      </w:r>
      <w:r w:rsidR="004F3091" w:rsidRPr="009C0B84">
        <w:rPr>
          <w:rFonts w:asciiTheme="majorBidi" w:eastAsia="Times New Roman" w:hAnsiTheme="majorBidi" w:cstheme="majorBidi"/>
          <w:color w:val="333333"/>
        </w:rPr>
        <w:t xml:space="preserve">DLB discloses the following </w:t>
      </w:r>
      <w:proofErr w:type="spellStart"/>
      <w:r w:rsidR="004F3091" w:rsidRPr="009C0B84">
        <w:rPr>
          <w:rFonts w:asciiTheme="majorBidi" w:eastAsia="Times New Roman" w:hAnsiTheme="majorBidi" w:cstheme="majorBidi"/>
          <w:color w:val="333333"/>
        </w:rPr>
        <w:t>relationshis</w:t>
      </w:r>
      <w:proofErr w:type="spellEnd"/>
      <w:r w:rsidR="004F3091" w:rsidRPr="009C0B84">
        <w:rPr>
          <w:rFonts w:asciiTheme="majorBidi" w:eastAsia="Times New Roman" w:hAnsiTheme="majorBidi" w:cstheme="majorBidi"/>
          <w:color w:val="333333"/>
        </w:rPr>
        <w:t xml:space="preserve"> - Advisory Board: </w:t>
      </w:r>
      <w:proofErr w:type="spellStart"/>
      <w:r w:rsidR="004F3091" w:rsidRPr="009C0B84">
        <w:rPr>
          <w:rFonts w:asciiTheme="majorBidi" w:eastAsia="Times New Roman" w:hAnsiTheme="majorBidi" w:cstheme="majorBidi"/>
          <w:color w:val="333333"/>
        </w:rPr>
        <w:t>Cardax</w:t>
      </w:r>
      <w:proofErr w:type="spellEnd"/>
      <w:r w:rsidR="004F3091" w:rsidRPr="009C0B84">
        <w:rPr>
          <w:rFonts w:asciiTheme="majorBidi" w:eastAsia="Times New Roman" w:hAnsiTheme="majorBidi" w:cstheme="majorBidi"/>
          <w:color w:val="333333"/>
        </w:rPr>
        <w:t xml:space="preserve">, </w:t>
      </w:r>
      <w:proofErr w:type="spellStart"/>
      <w:r w:rsidR="004F3091" w:rsidRPr="009C0B84">
        <w:rPr>
          <w:rFonts w:asciiTheme="majorBidi" w:eastAsia="Times New Roman" w:hAnsiTheme="majorBidi" w:cstheme="majorBidi"/>
          <w:color w:val="333333"/>
        </w:rPr>
        <w:t>Cereno</w:t>
      </w:r>
      <w:proofErr w:type="spellEnd"/>
      <w:r w:rsidR="004F3091" w:rsidRPr="009C0B84">
        <w:rPr>
          <w:rFonts w:asciiTheme="majorBidi" w:eastAsia="Times New Roman" w:hAnsiTheme="majorBidi" w:cstheme="majorBidi"/>
          <w:color w:val="333333"/>
        </w:rPr>
        <w:t xml:space="preserve"> Scientific, Elsevier Practice Update Cardiology, Medscape Cardiology, </w:t>
      </w:r>
      <w:proofErr w:type="spellStart"/>
      <w:r w:rsidR="004F3091" w:rsidRPr="009C0B84">
        <w:rPr>
          <w:rFonts w:asciiTheme="majorBidi" w:eastAsia="Times New Roman" w:hAnsiTheme="majorBidi" w:cstheme="majorBidi"/>
          <w:color w:val="333333"/>
        </w:rPr>
        <w:t>PhaseBio</w:t>
      </w:r>
      <w:proofErr w:type="spellEnd"/>
      <w:r w:rsidR="004F3091" w:rsidRPr="009C0B84">
        <w:rPr>
          <w:rFonts w:asciiTheme="majorBidi" w:eastAsia="Times New Roman" w:hAnsiTheme="majorBidi" w:cstheme="majorBidi"/>
          <w:color w:val="333333"/>
        </w:rPr>
        <w:t xml:space="preserve">, </w:t>
      </w:r>
      <w:proofErr w:type="spellStart"/>
      <w:r w:rsidR="004F3091" w:rsidRPr="009C0B84">
        <w:rPr>
          <w:rFonts w:asciiTheme="majorBidi" w:eastAsia="Times New Roman" w:hAnsiTheme="majorBidi" w:cstheme="majorBidi"/>
          <w:color w:val="333333"/>
        </w:rPr>
        <w:t>Regado</w:t>
      </w:r>
      <w:proofErr w:type="spellEnd"/>
      <w:r w:rsidR="004F3091" w:rsidRPr="009C0B84">
        <w:rPr>
          <w:rFonts w:asciiTheme="majorBidi" w:eastAsia="Times New Roman" w:hAnsiTheme="majorBidi" w:cstheme="majorBidi"/>
          <w:color w:val="333333"/>
        </w:rPr>
        <w:t xml:space="preserve"> Biosciences; Board of Directors: Boston VA Research Institute, Society of Cardiovascular Patient Care, </w:t>
      </w:r>
      <w:proofErr w:type="spellStart"/>
      <w:r w:rsidR="004F3091" w:rsidRPr="009C0B84">
        <w:rPr>
          <w:rFonts w:asciiTheme="majorBidi" w:eastAsia="Times New Roman" w:hAnsiTheme="majorBidi" w:cstheme="majorBidi"/>
          <w:color w:val="333333"/>
        </w:rPr>
        <w:t>TobeSoft</w:t>
      </w:r>
      <w:proofErr w:type="spellEnd"/>
      <w:r w:rsidR="004F3091" w:rsidRPr="009C0B84">
        <w:rPr>
          <w:rFonts w:asciiTheme="majorBidi" w:eastAsia="Times New Roman" w:hAnsiTheme="majorBidi" w:cstheme="majorBidi"/>
          <w:color w:val="333333"/>
        </w:rPr>
        <w:t xml:space="preserve">; Chair: American Heart Association Quality Oversight Committee; Data Monitoring Committees: </w:t>
      </w:r>
      <w:proofErr w:type="spellStart"/>
      <w:r w:rsidR="004F3091" w:rsidRPr="009C0B84">
        <w:rPr>
          <w:rFonts w:asciiTheme="majorBidi" w:eastAsia="Times New Roman" w:hAnsiTheme="majorBidi" w:cstheme="majorBidi"/>
          <w:color w:val="333333"/>
        </w:rPr>
        <w:t>Baim</w:t>
      </w:r>
      <w:proofErr w:type="spellEnd"/>
      <w:r w:rsidR="004F3091" w:rsidRPr="009C0B84">
        <w:rPr>
          <w:rFonts w:asciiTheme="majorBidi" w:eastAsia="Times New Roman" w:hAnsiTheme="majorBidi" w:cstheme="majorBidi"/>
          <w:color w:val="333333"/>
        </w:rPr>
        <w:t xml:space="preserve"> Institute for Clinical Research (formerly Harvard Clinical Research Institute, for the PORTICO trial, funded by St. Jude Medical, now Abbott), Cleveland Clinic (including for the </w:t>
      </w:r>
      <w:proofErr w:type="spellStart"/>
      <w:r w:rsidR="004F3091" w:rsidRPr="009C0B84">
        <w:rPr>
          <w:rFonts w:asciiTheme="majorBidi" w:eastAsia="Times New Roman" w:hAnsiTheme="majorBidi" w:cstheme="majorBidi"/>
          <w:color w:val="333333"/>
        </w:rPr>
        <w:t>ExCEED</w:t>
      </w:r>
      <w:proofErr w:type="spellEnd"/>
      <w:r w:rsidR="004F3091" w:rsidRPr="009C0B84">
        <w:rPr>
          <w:rFonts w:asciiTheme="majorBidi" w:eastAsia="Times New Roman" w:hAnsiTheme="majorBidi" w:cstheme="majorBidi"/>
          <w:color w:val="333333"/>
        </w:rPr>
        <w:t xml:space="preserve"> trial, funded by Edwards), Duke Clinical Research Institute, Mayo Clinic, Mount Sinai School of Medicine (for the ENVISAGE trial, funded by Daiichi Sankyo), Population Health Research Institute; Honoraria: American College of Cardiology (Senior Associate Editor, Clinical Trials and News, ACC.org; Vice-Chair, ACC Accreditation Committee), </w:t>
      </w:r>
      <w:proofErr w:type="spellStart"/>
      <w:r w:rsidR="004F3091" w:rsidRPr="009C0B84">
        <w:rPr>
          <w:rFonts w:asciiTheme="majorBidi" w:eastAsia="Times New Roman" w:hAnsiTheme="majorBidi" w:cstheme="majorBidi"/>
          <w:color w:val="333333"/>
        </w:rPr>
        <w:t>Baim</w:t>
      </w:r>
      <w:proofErr w:type="spellEnd"/>
      <w:r w:rsidR="004F3091" w:rsidRPr="009C0B84">
        <w:rPr>
          <w:rFonts w:asciiTheme="majorBidi" w:eastAsia="Times New Roman" w:hAnsiTheme="majorBidi" w:cstheme="majorBidi"/>
          <w:color w:val="333333"/>
        </w:rPr>
        <w:t xml:space="preserve"> Institute for Clinical Research (formerly Harvard Clinical Research Institute; RE-DUAL PCI clinical trial steering committee funded by </w:t>
      </w:r>
      <w:proofErr w:type="spellStart"/>
      <w:r w:rsidR="004F3091" w:rsidRPr="009C0B84">
        <w:rPr>
          <w:rFonts w:asciiTheme="majorBidi" w:eastAsia="Times New Roman" w:hAnsiTheme="majorBidi" w:cstheme="majorBidi"/>
          <w:color w:val="333333"/>
        </w:rPr>
        <w:t>Boehringer</w:t>
      </w:r>
      <w:proofErr w:type="spellEnd"/>
      <w:r w:rsidR="004F3091" w:rsidRPr="009C0B84">
        <w:rPr>
          <w:rFonts w:asciiTheme="majorBidi" w:eastAsia="Times New Roman" w:hAnsiTheme="majorBidi" w:cstheme="majorBidi"/>
          <w:color w:val="333333"/>
        </w:rPr>
        <w:t xml:space="preserve"> </w:t>
      </w:r>
      <w:proofErr w:type="spellStart"/>
      <w:r w:rsidR="004F3091" w:rsidRPr="009C0B84">
        <w:rPr>
          <w:rFonts w:asciiTheme="majorBidi" w:eastAsia="Times New Roman" w:hAnsiTheme="majorBidi" w:cstheme="majorBidi"/>
          <w:color w:val="333333"/>
        </w:rPr>
        <w:t>Ingelheim</w:t>
      </w:r>
      <w:proofErr w:type="spellEnd"/>
      <w:r w:rsidR="004F3091" w:rsidRPr="009C0B84">
        <w:rPr>
          <w:rFonts w:asciiTheme="majorBidi" w:eastAsia="Times New Roman" w:hAnsiTheme="majorBidi" w:cstheme="majorBidi"/>
          <w:color w:val="333333"/>
        </w:rPr>
        <w:t xml:space="preserve">; AEGIS-II executive committee funded by CSL Behring), Belvoir Publications (Editor in Chief, Harvard Heart Letter), Duke Clinical Research Institute (clinical trial steering committees), HMP Global (Editor in Chief, Journal of Invasive Cardiology), Journal of the American College of Cardiology (Guest Editor; Associate Editor), </w:t>
      </w:r>
      <w:proofErr w:type="spellStart"/>
      <w:r w:rsidR="004F3091" w:rsidRPr="009C0B84">
        <w:rPr>
          <w:rFonts w:asciiTheme="majorBidi" w:eastAsia="Times New Roman" w:hAnsiTheme="majorBidi" w:cstheme="majorBidi"/>
          <w:color w:val="333333"/>
        </w:rPr>
        <w:t>Medtelligence</w:t>
      </w:r>
      <w:proofErr w:type="spellEnd"/>
      <w:r w:rsidR="004F3091" w:rsidRPr="009C0B84">
        <w:rPr>
          <w:rFonts w:asciiTheme="majorBidi" w:eastAsia="Times New Roman" w:hAnsiTheme="majorBidi" w:cstheme="majorBidi"/>
          <w:color w:val="333333"/>
        </w:rPr>
        <w:t>/</w:t>
      </w:r>
      <w:proofErr w:type="spellStart"/>
      <w:r w:rsidR="004F3091" w:rsidRPr="009C0B84">
        <w:rPr>
          <w:rFonts w:asciiTheme="majorBidi" w:eastAsia="Times New Roman" w:hAnsiTheme="majorBidi" w:cstheme="majorBidi"/>
          <w:color w:val="333333"/>
        </w:rPr>
        <w:t>ReachMD</w:t>
      </w:r>
      <w:proofErr w:type="spellEnd"/>
      <w:r w:rsidR="004F3091" w:rsidRPr="009C0B84">
        <w:rPr>
          <w:rFonts w:asciiTheme="majorBidi" w:eastAsia="Times New Roman" w:hAnsiTheme="majorBidi" w:cstheme="majorBidi"/>
          <w:color w:val="333333"/>
        </w:rPr>
        <w:t xml:space="preserve"> (CME steering committees), Population Health Research Institute (for the COMPASS operations committee, publications committee, steering committee, and USA national co-leader, funded by Bayer), Slack Publications (Chief Medical Editor, Cardiology Today’s Intervention), Society of Cardiovascular Patient Care (Secretary/Treasurer), WebMD (CME steering committees); Other: Clinical Cardiology (Deputy Editor), NCDR-ACTION Registry Steering Committee (Chair), VA CART Research and Publications Committee (Chair); Research Funding: Abbott, </w:t>
      </w:r>
      <w:proofErr w:type="spellStart"/>
      <w:r w:rsidR="004F3091" w:rsidRPr="009C0B84">
        <w:rPr>
          <w:rFonts w:asciiTheme="majorBidi" w:eastAsia="Times New Roman" w:hAnsiTheme="majorBidi" w:cstheme="majorBidi"/>
          <w:color w:val="333333"/>
        </w:rPr>
        <w:t>Amarin</w:t>
      </w:r>
      <w:proofErr w:type="spellEnd"/>
      <w:r w:rsidR="004F3091" w:rsidRPr="009C0B84">
        <w:rPr>
          <w:rFonts w:asciiTheme="majorBidi" w:eastAsia="Times New Roman" w:hAnsiTheme="majorBidi" w:cstheme="majorBidi"/>
          <w:color w:val="333333"/>
        </w:rPr>
        <w:t xml:space="preserve">, Amgen, AstraZeneca, Bayer, </w:t>
      </w:r>
      <w:proofErr w:type="spellStart"/>
      <w:r w:rsidR="004F3091" w:rsidRPr="009C0B84">
        <w:rPr>
          <w:rFonts w:asciiTheme="majorBidi" w:eastAsia="Times New Roman" w:hAnsiTheme="majorBidi" w:cstheme="majorBidi"/>
          <w:color w:val="333333"/>
        </w:rPr>
        <w:t>Boehringer</w:t>
      </w:r>
      <w:proofErr w:type="spellEnd"/>
      <w:r w:rsidR="004F3091" w:rsidRPr="009C0B84">
        <w:rPr>
          <w:rFonts w:asciiTheme="majorBidi" w:eastAsia="Times New Roman" w:hAnsiTheme="majorBidi" w:cstheme="majorBidi"/>
          <w:color w:val="333333"/>
        </w:rPr>
        <w:t xml:space="preserve"> </w:t>
      </w:r>
      <w:proofErr w:type="spellStart"/>
      <w:r w:rsidR="004F3091" w:rsidRPr="009C0B84">
        <w:rPr>
          <w:rFonts w:asciiTheme="majorBidi" w:eastAsia="Times New Roman" w:hAnsiTheme="majorBidi" w:cstheme="majorBidi"/>
          <w:color w:val="333333"/>
        </w:rPr>
        <w:t>Ingelheim</w:t>
      </w:r>
      <w:proofErr w:type="spellEnd"/>
      <w:r w:rsidR="004F3091" w:rsidRPr="009C0B84">
        <w:rPr>
          <w:rFonts w:asciiTheme="majorBidi" w:eastAsia="Times New Roman" w:hAnsiTheme="majorBidi" w:cstheme="majorBidi"/>
          <w:color w:val="333333"/>
        </w:rPr>
        <w:t xml:space="preserve">, Bristol-Myers Squibb, </w:t>
      </w:r>
      <w:proofErr w:type="spellStart"/>
      <w:r w:rsidR="004F3091" w:rsidRPr="009C0B84">
        <w:rPr>
          <w:rFonts w:asciiTheme="majorBidi" w:eastAsia="Times New Roman" w:hAnsiTheme="majorBidi" w:cstheme="majorBidi"/>
          <w:color w:val="333333"/>
        </w:rPr>
        <w:t>Chiesi</w:t>
      </w:r>
      <w:proofErr w:type="spellEnd"/>
      <w:r w:rsidR="004F3091" w:rsidRPr="009C0B84">
        <w:rPr>
          <w:rFonts w:asciiTheme="majorBidi" w:eastAsia="Times New Roman" w:hAnsiTheme="majorBidi" w:cstheme="majorBidi"/>
          <w:color w:val="333333"/>
        </w:rPr>
        <w:t xml:space="preserve">, CSL Behring, Eisai, Ethicon, </w:t>
      </w:r>
      <w:proofErr w:type="spellStart"/>
      <w:r w:rsidR="004F3091" w:rsidRPr="009C0B84">
        <w:rPr>
          <w:rFonts w:asciiTheme="majorBidi" w:eastAsia="Times New Roman" w:hAnsiTheme="majorBidi" w:cstheme="majorBidi"/>
          <w:color w:val="333333"/>
        </w:rPr>
        <w:t>Ferring</w:t>
      </w:r>
      <w:proofErr w:type="spellEnd"/>
      <w:r w:rsidR="004F3091" w:rsidRPr="009C0B84">
        <w:rPr>
          <w:rFonts w:asciiTheme="majorBidi" w:eastAsia="Times New Roman" w:hAnsiTheme="majorBidi" w:cstheme="majorBidi"/>
          <w:color w:val="333333"/>
        </w:rPr>
        <w:t xml:space="preserve"> Pharmaceuticals, Forest Laboratories, </w:t>
      </w:r>
      <w:proofErr w:type="spellStart"/>
      <w:r w:rsidR="004F3091" w:rsidRPr="009C0B84">
        <w:rPr>
          <w:rFonts w:asciiTheme="majorBidi" w:eastAsia="Times New Roman" w:hAnsiTheme="majorBidi" w:cstheme="majorBidi"/>
          <w:color w:val="333333"/>
        </w:rPr>
        <w:t>Idorsia</w:t>
      </w:r>
      <w:proofErr w:type="spellEnd"/>
      <w:r w:rsidR="004F3091" w:rsidRPr="009C0B84">
        <w:rPr>
          <w:rFonts w:asciiTheme="majorBidi" w:eastAsia="Times New Roman" w:hAnsiTheme="majorBidi" w:cstheme="majorBidi"/>
          <w:color w:val="333333"/>
        </w:rPr>
        <w:t xml:space="preserve">, Ironwood, </w:t>
      </w:r>
      <w:proofErr w:type="spellStart"/>
      <w:r w:rsidR="004F3091" w:rsidRPr="009C0B84">
        <w:rPr>
          <w:rFonts w:asciiTheme="majorBidi" w:eastAsia="Times New Roman" w:hAnsiTheme="majorBidi" w:cstheme="majorBidi"/>
          <w:color w:val="333333"/>
        </w:rPr>
        <w:t>Ischemix</w:t>
      </w:r>
      <w:proofErr w:type="spellEnd"/>
      <w:r w:rsidR="004F3091" w:rsidRPr="009C0B84">
        <w:rPr>
          <w:rFonts w:asciiTheme="majorBidi" w:eastAsia="Times New Roman" w:hAnsiTheme="majorBidi" w:cstheme="majorBidi"/>
          <w:color w:val="333333"/>
        </w:rPr>
        <w:t xml:space="preserve">, Lilly, Medtronic, </w:t>
      </w:r>
      <w:proofErr w:type="spellStart"/>
      <w:r w:rsidR="004F3091" w:rsidRPr="009C0B84">
        <w:rPr>
          <w:rFonts w:asciiTheme="majorBidi" w:eastAsia="Times New Roman" w:hAnsiTheme="majorBidi" w:cstheme="majorBidi"/>
          <w:color w:val="333333"/>
        </w:rPr>
        <w:t>PhaseBio</w:t>
      </w:r>
      <w:proofErr w:type="spellEnd"/>
      <w:r w:rsidR="004F3091" w:rsidRPr="009C0B84">
        <w:rPr>
          <w:rFonts w:asciiTheme="majorBidi" w:eastAsia="Times New Roman" w:hAnsiTheme="majorBidi" w:cstheme="majorBidi"/>
          <w:color w:val="333333"/>
        </w:rPr>
        <w:t xml:space="preserve">, Pfizer, Regeneron, Roche, Sanofi Aventis, Synaptic, The Medicines Company; Royalties: Elsevier (Editor, Cardiovascular Intervention: A Companion to </w:t>
      </w:r>
      <w:proofErr w:type="spellStart"/>
      <w:r w:rsidR="004F3091" w:rsidRPr="009C0B84">
        <w:rPr>
          <w:rFonts w:asciiTheme="majorBidi" w:eastAsia="Times New Roman" w:hAnsiTheme="majorBidi" w:cstheme="majorBidi"/>
          <w:color w:val="333333"/>
        </w:rPr>
        <w:t>Braunwald’s</w:t>
      </w:r>
      <w:proofErr w:type="spellEnd"/>
      <w:r w:rsidR="004F3091" w:rsidRPr="009C0B84">
        <w:rPr>
          <w:rFonts w:asciiTheme="majorBidi" w:eastAsia="Times New Roman" w:hAnsiTheme="majorBidi" w:cstheme="majorBidi"/>
          <w:color w:val="333333"/>
        </w:rPr>
        <w:t xml:space="preserve"> Heart Disease); Site Co-Investigator: </w:t>
      </w:r>
      <w:proofErr w:type="spellStart"/>
      <w:r w:rsidR="004F3091" w:rsidRPr="009C0B84">
        <w:rPr>
          <w:rFonts w:asciiTheme="majorBidi" w:eastAsia="Times New Roman" w:hAnsiTheme="majorBidi" w:cstheme="majorBidi"/>
          <w:color w:val="333333"/>
        </w:rPr>
        <w:t>Biotronik</w:t>
      </w:r>
      <w:proofErr w:type="spellEnd"/>
      <w:r w:rsidR="004F3091" w:rsidRPr="009C0B84">
        <w:rPr>
          <w:rFonts w:asciiTheme="majorBidi" w:eastAsia="Times New Roman" w:hAnsiTheme="majorBidi" w:cstheme="majorBidi"/>
          <w:color w:val="333333"/>
        </w:rPr>
        <w:t xml:space="preserve">, Boston Scientific, St. Jude Medical (now Abbott), Svelte; Trustee: American College of Cardiology; Unfunded Research: </w:t>
      </w:r>
      <w:proofErr w:type="spellStart"/>
      <w:r w:rsidR="004F3091" w:rsidRPr="009C0B84">
        <w:rPr>
          <w:rFonts w:asciiTheme="majorBidi" w:eastAsia="Times New Roman" w:hAnsiTheme="majorBidi" w:cstheme="majorBidi"/>
          <w:color w:val="333333"/>
        </w:rPr>
        <w:t>FlowCo</w:t>
      </w:r>
      <w:proofErr w:type="spellEnd"/>
      <w:r w:rsidR="004F3091" w:rsidRPr="009C0B84">
        <w:rPr>
          <w:rFonts w:asciiTheme="majorBidi" w:eastAsia="Times New Roman" w:hAnsiTheme="majorBidi" w:cstheme="majorBidi"/>
          <w:color w:val="333333"/>
        </w:rPr>
        <w:t xml:space="preserve">, </w:t>
      </w:r>
      <w:proofErr w:type="spellStart"/>
      <w:r w:rsidR="004F3091" w:rsidRPr="009C0B84">
        <w:rPr>
          <w:rFonts w:asciiTheme="majorBidi" w:eastAsia="Times New Roman" w:hAnsiTheme="majorBidi" w:cstheme="majorBidi"/>
          <w:color w:val="333333"/>
        </w:rPr>
        <w:t>Fractyl</w:t>
      </w:r>
      <w:proofErr w:type="spellEnd"/>
      <w:r w:rsidR="004F3091" w:rsidRPr="009C0B84">
        <w:rPr>
          <w:rFonts w:asciiTheme="majorBidi" w:eastAsia="Times New Roman" w:hAnsiTheme="majorBidi" w:cstheme="majorBidi"/>
          <w:color w:val="333333"/>
        </w:rPr>
        <w:t xml:space="preserve">, Merck, Novo Nordisk, </w:t>
      </w:r>
      <w:proofErr w:type="spellStart"/>
      <w:r w:rsidR="004F3091" w:rsidRPr="009C0B84">
        <w:rPr>
          <w:rFonts w:asciiTheme="majorBidi" w:eastAsia="Times New Roman" w:hAnsiTheme="majorBidi" w:cstheme="majorBidi"/>
          <w:color w:val="333333"/>
        </w:rPr>
        <w:t>PLx</w:t>
      </w:r>
      <w:proofErr w:type="spellEnd"/>
      <w:r w:rsidR="004F3091" w:rsidRPr="009C0B84">
        <w:rPr>
          <w:rFonts w:asciiTheme="majorBidi" w:eastAsia="Times New Roman" w:hAnsiTheme="majorBidi" w:cstheme="majorBidi"/>
          <w:color w:val="333333"/>
        </w:rPr>
        <w:t xml:space="preserve"> Pharma, Takeda. </w:t>
      </w:r>
      <w:r w:rsidRPr="009C0B84">
        <w:rPr>
          <w:rFonts w:asciiTheme="majorBidi" w:eastAsia="Times New Roman" w:hAnsiTheme="majorBidi" w:cstheme="majorBidi"/>
          <w:color w:val="333333"/>
        </w:rPr>
        <w:t xml:space="preserve">LAL reports </w:t>
      </w:r>
      <w:r w:rsidR="004F3091" w:rsidRPr="009C0B84">
        <w:rPr>
          <w:rFonts w:asciiTheme="majorBidi" w:eastAsia="Times New Roman" w:hAnsiTheme="majorBidi" w:cstheme="majorBidi"/>
          <w:color w:val="333333"/>
        </w:rPr>
        <w:t xml:space="preserve">grants and personal fees from AstraZeneca, </w:t>
      </w:r>
      <w:proofErr w:type="spellStart"/>
      <w:r w:rsidR="004F3091" w:rsidRPr="009C0B84">
        <w:rPr>
          <w:rFonts w:asciiTheme="majorBidi" w:eastAsia="Times New Roman" w:hAnsiTheme="majorBidi" w:cstheme="majorBidi"/>
          <w:color w:val="333333"/>
        </w:rPr>
        <w:t>Boehringer</w:t>
      </w:r>
      <w:proofErr w:type="spellEnd"/>
      <w:r w:rsidR="00E72C04" w:rsidRPr="009C0B84">
        <w:rPr>
          <w:rFonts w:asciiTheme="majorBidi" w:eastAsia="Times New Roman" w:hAnsiTheme="majorBidi" w:cstheme="majorBidi"/>
          <w:color w:val="333333"/>
        </w:rPr>
        <w:t xml:space="preserve"> </w:t>
      </w:r>
      <w:proofErr w:type="spellStart"/>
      <w:r w:rsidR="004F3091" w:rsidRPr="009C0B84">
        <w:rPr>
          <w:rFonts w:asciiTheme="majorBidi" w:eastAsia="Times New Roman" w:hAnsiTheme="majorBidi" w:cstheme="majorBidi"/>
          <w:color w:val="333333"/>
        </w:rPr>
        <w:t>Ingelheim</w:t>
      </w:r>
      <w:proofErr w:type="spellEnd"/>
      <w:r w:rsidR="004F3091" w:rsidRPr="009C0B84">
        <w:rPr>
          <w:rFonts w:asciiTheme="majorBidi" w:eastAsia="Times New Roman" w:hAnsiTheme="majorBidi" w:cstheme="majorBidi"/>
          <w:color w:val="333333"/>
        </w:rPr>
        <w:t>, Eli Lilly, Janssen, Novo Nordisk, and Sanofi; personal</w:t>
      </w:r>
      <w:r w:rsidR="00E72C04" w:rsidRPr="009C0B84">
        <w:rPr>
          <w:rFonts w:asciiTheme="majorBidi" w:eastAsia="Times New Roman" w:hAnsiTheme="majorBidi" w:cstheme="majorBidi"/>
          <w:color w:val="333333"/>
        </w:rPr>
        <w:t xml:space="preserve"> </w:t>
      </w:r>
      <w:r w:rsidR="004F3091" w:rsidRPr="009C0B84">
        <w:rPr>
          <w:rFonts w:asciiTheme="majorBidi" w:eastAsia="Times New Roman" w:hAnsiTheme="majorBidi" w:cstheme="majorBidi"/>
          <w:color w:val="333333"/>
        </w:rPr>
        <w:t xml:space="preserve">fees from Merck and </w:t>
      </w:r>
      <w:proofErr w:type="spellStart"/>
      <w:r w:rsidR="004F3091" w:rsidRPr="009C0B84">
        <w:rPr>
          <w:rFonts w:asciiTheme="majorBidi" w:eastAsia="Times New Roman" w:hAnsiTheme="majorBidi" w:cstheme="majorBidi"/>
          <w:color w:val="333333"/>
        </w:rPr>
        <w:t>Servier</w:t>
      </w:r>
      <w:proofErr w:type="spellEnd"/>
      <w:r w:rsidR="004F3091" w:rsidRPr="009C0B84">
        <w:rPr>
          <w:rFonts w:asciiTheme="majorBidi" w:eastAsia="Times New Roman" w:hAnsiTheme="majorBidi" w:cstheme="majorBidi"/>
          <w:color w:val="333333"/>
        </w:rPr>
        <w:t>; and grants from GlaxoSmithKline</w:t>
      </w:r>
      <w:r w:rsidRPr="009C0B84">
        <w:rPr>
          <w:rFonts w:asciiTheme="majorBidi" w:eastAsia="Times New Roman" w:hAnsiTheme="majorBidi" w:cstheme="majorBidi"/>
          <w:color w:val="333333"/>
        </w:rPr>
        <w:t xml:space="preserve">. DKM </w:t>
      </w:r>
      <w:r w:rsidR="004F3091" w:rsidRPr="009C0B84">
        <w:rPr>
          <w:rFonts w:asciiTheme="majorBidi" w:eastAsia="Times New Roman" w:hAnsiTheme="majorBidi" w:cstheme="majorBidi"/>
          <w:color w:val="333333"/>
        </w:rPr>
        <w:t xml:space="preserve">discloses the following relationships: personal fees for clinical trial leadership from GlaxoSmithKline, Janssen, Lexicon AstraZeneca, Sanofi Aventis, </w:t>
      </w:r>
      <w:proofErr w:type="spellStart"/>
      <w:r w:rsidR="004F3091" w:rsidRPr="009C0B84">
        <w:rPr>
          <w:rFonts w:asciiTheme="majorBidi" w:eastAsia="Times New Roman" w:hAnsiTheme="majorBidi" w:cstheme="majorBidi"/>
          <w:color w:val="333333"/>
        </w:rPr>
        <w:t>Boehringer</w:t>
      </w:r>
      <w:proofErr w:type="spellEnd"/>
      <w:r w:rsidR="004F3091" w:rsidRPr="009C0B84">
        <w:rPr>
          <w:rFonts w:asciiTheme="majorBidi" w:eastAsia="Times New Roman" w:hAnsiTheme="majorBidi" w:cstheme="majorBidi"/>
          <w:color w:val="333333"/>
        </w:rPr>
        <w:t xml:space="preserve"> </w:t>
      </w:r>
      <w:proofErr w:type="spellStart"/>
      <w:r w:rsidR="004F3091" w:rsidRPr="009C0B84">
        <w:rPr>
          <w:rFonts w:asciiTheme="majorBidi" w:eastAsia="Times New Roman" w:hAnsiTheme="majorBidi" w:cstheme="majorBidi"/>
          <w:color w:val="333333"/>
        </w:rPr>
        <w:t>Ingelheim</w:t>
      </w:r>
      <w:proofErr w:type="spellEnd"/>
      <w:r w:rsidR="004F3091" w:rsidRPr="009C0B84">
        <w:rPr>
          <w:rFonts w:asciiTheme="majorBidi" w:eastAsia="Times New Roman" w:hAnsiTheme="majorBidi" w:cstheme="majorBidi"/>
          <w:color w:val="333333"/>
        </w:rPr>
        <w:t xml:space="preserve">, Merck &amp; Co, Pfizer, Novo Nordisk, Eisai Inc., </w:t>
      </w:r>
      <w:proofErr w:type="spellStart"/>
      <w:r w:rsidR="004F3091" w:rsidRPr="009C0B84">
        <w:rPr>
          <w:rFonts w:asciiTheme="majorBidi" w:eastAsia="Times New Roman" w:hAnsiTheme="majorBidi" w:cstheme="majorBidi"/>
          <w:color w:val="333333"/>
        </w:rPr>
        <w:t>Esperion</w:t>
      </w:r>
      <w:proofErr w:type="spellEnd"/>
      <w:r w:rsidR="004F3091" w:rsidRPr="009C0B84">
        <w:rPr>
          <w:rFonts w:asciiTheme="majorBidi" w:eastAsia="Times New Roman" w:hAnsiTheme="majorBidi" w:cstheme="majorBidi"/>
          <w:color w:val="333333"/>
        </w:rPr>
        <w:t xml:space="preserve">, Lilly USA; and personal fees for consultancy from AstraZeneca, Lilly USA, </w:t>
      </w:r>
      <w:proofErr w:type="spellStart"/>
      <w:r w:rsidR="004F3091" w:rsidRPr="009C0B84">
        <w:rPr>
          <w:rFonts w:asciiTheme="majorBidi" w:eastAsia="Times New Roman" w:hAnsiTheme="majorBidi" w:cstheme="majorBidi"/>
          <w:color w:val="333333"/>
        </w:rPr>
        <w:t>Boehringer</w:t>
      </w:r>
      <w:proofErr w:type="spellEnd"/>
      <w:r w:rsidR="004F3091" w:rsidRPr="009C0B84">
        <w:rPr>
          <w:rFonts w:asciiTheme="majorBidi" w:eastAsia="Times New Roman" w:hAnsiTheme="majorBidi" w:cstheme="majorBidi"/>
          <w:color w:val="333333"/>
        </w:rPr>
        <w:t xml:space="preserve"> </w:t>
      </w:r>
      <w:proofErr w:type="spellStart"/>
      <w:r w:rsidR="004F3091" w:rsidRPr="009C0B84">
        <w:rPr>
          <w:rFonts w:asciiTheme="majorBidi" w:eastAsia="Times New Roman" w:hAnsiTheme="majorBidi" w:cstheme="majorBidi"/>
          <w:color w:val="333333"/>
        </w:rPr>
        <w:t>Ingelheim</w:t>
      </w:r>
      <w:proofErr w:type="spellEnd"/>
      <w:r w:rsidR="004F3091" w:rsidRPr="009C0B84">
        <w:rPr>
          <w:rFonts w:asciiTheme="majorBidi" w:eastAsia="Times New Roman" w:hAnsiTheme="majorBidi" w:cstheme="majorBidi"/>
          <w:color w:val="333333"/>
        </w:rPr>
        <w:t xml:space="preserve">, Merck &amp; Co, Novo Nordisk, </w:t>
      </w:r>
      <w:proofErr w:type="spellStart"/>
      <w:r w:rsidR="004F3091" w:rsidRPr="009C0B84">
        <w:rPr>
          <w:rFonts w:asciiTheme="majorBidi" w:eastAsia="Times New Roman" w:hAnsiTheme="majorBidi" w:cstheme="majorBidi"/>
          <w:color w:val="333333"/>
        </w:rPr>
        <w:t>Metavant</w:t>
      </w:r>
      <w:proofErr w:type="spellEnd"/>
      <w:r w:rsidR="004F3091" w:rsidRPr="009C0B84">
        <w:rPr>
          <w:rFonts w:asciiTheme="majorBidi" w:eastAsia="Times New Roman" w:hAnsiTheme="majorBidi" w:cstheme="majorBidi"/>
          <w:color w:val="333333"/>
        </w:rPr>
        <w:t xml:space="preserve">, Applied Therapeutics, Sanofi Aventis, </w:t>
      </w:r>
      <w:proofErr w:type="spellStart"/>
      <w:r w:rsidR="004F3091" w:rsidRPr="009C0B84">
        <w:rPr>
          <w:rFonts w:asciiTheme="majorBidi" w:eastAsia="Times New Roman" w:hAnsiTheme="majorBidi" w:cstheme="majorBidi"/>
          <w:color w:val="333333"/>
        </w:rPr>
        <w:t>Afimmune</w:t>
      </w:r>
      <w:proofErr w:type="spellEnd"/>
      <w:r w:rsidR="004F3091" w:rsidRPr="009C0B84">
        <w:rPr>
          <w:rFonts w:asciiTheme="majorBidi" w:eastAsia="Times New Roman" w:hAnsiTheme="majorBidi" w:cstheme="majorBidi"/>
          <w:color w:val="333333"/>
        </w:rPr>
        <w:t>.</w:t>
      </w:r>
      <w:r w:rsidRPr="009C0B84">
        <w:rPr>
          <w:rFonts w:asciiTheme="majorBidi" w:eastAsia="Times New Roman" w:hAnsiTheme="majorBidi" w:cstheme="majorBidi"/>
          <w:color w:val="333333"/>
        </w:rPr>
        <w:t xml:space="preserve"> </w:t>
      </w:r>
      <w:r w:rsidR="004F3091" w:rsidRPr="009C0B84">
        <w:rPr>
          <w:rFonts w:asciiTheme="majorBidi" w:eastAsia="Times New Roman" w:hAnsiTheme="majorBidi" w:cstheme="majorBidi"/>
          <w:color w:val="333333"/>
        </w:rPr>
        <w:t xml:space="preserve">JPHW, outside the submitted work, has grants, personal fees for lectures and consultancy fees (paid to his institution) from AstraZeneca and Novo Nordisk; personal fees for lectures and consultancy fees (paid to his institution) from </w:t>
      </w:r>
      <w:proofErr w:type="spellStart"/>
      <w:r w:rsidR="004F3091" w:rsidRPr="009C0B84">
        <w:rPr>
          <w:rFonts w:asciiTheme="majorBidi" w:eastAsia="Times New Roman" w:hAnsiTheme="majorBidi" w:cstheme="majorBidi"/>
          <w:color w:val="333333"/>
        </w:rPr>
        <w:t>Boehringer</w:t>
      </w:r>
      <w:proofErr w:type="spellEnd"/>
      <w:r w:rsidR="004F3091" w:rsidRPr="009C0B84">
        <w:rPr>
          <w:rFonts w:asciiTheme="majorBidi" w:eastAsia="Times New Roman" w:hAnsiTheme="majorBidi" w:cstheme="majorBidi"/>
          <w:color w:val="333333"/>
        </w:rPr>
        <w:t xml:space="preserve"> </w:t>
      </w:r>
      <w:proofErr w:type="spellStart"/>
      <w:r w:rsidR="004F3091" w:rsidRPr="009C0B84">
        <w:rPr>
          <w:rFonts w:asciiTheme="majorBidi" w:eastAsia="Times New Roman" w:hAnsiTheme="majorBidi" w:cstheme="majorBidi"/>
          <w:color w:val="333333"/>
        </w:rPr>
        <w:t>Ingelheim</w:t>
      </w:r>
      <w:proofErr w:type="spellEnd"/>
      <w:r w:rsidR="004F3091" w:rsidRPr="009C0B84">
        <w:rPr>
          <w:rFonts w:asciiTheme="majorBidi" w:eastAsia="Times New Roman" w:hAnsiTheme="majorBidi" w:cstheme="majorBidi"/>
          <w:color w:val="333333"/>
        </w:rPr>
        <w:t xml:space="preserve">, Janssen, Lilly, Mundipharma, Napp, Sanofi and Takeda; and consultancy fees (paid to his institution) from Wilmington Healthcare. </w:t>
      </w:r>
      <w:r w:rsidRPr="009C0B84">
        <w:rPr>
          <w:rFonts w:asciiTheme="majorBidi" w:eastAsia="Times New Roman" w:hAnsiTheme="majorBidi" w:cstheme="majorBidi"/>
          <w:color w:val="333333"/>
        </w:rPr>
        <w:t xml:space="preserve">MSS reports research grant support through  Brigham and Women’s Hospital from Abbott Laboratories, Amgen,  AstraZeneca, Bayer, Daiichi-Sankyo, Eisai, Gilead, GlaxoSmithKline,  </w:t>
      </w:r>
      <w:proofErr w:type="spellStart"/>
      <w:r w:rsidRPr="009C0B84">
        <w:rPr>
          <w:rFonts w:asciiTheme="majorBidi" w:eastAsia="Times New Roman" w:hAnsiTheme="majorBidi" w:cstheme="majorBidi"/>
          <w:color w:val="333333"/>
        </w:rPr>
        <w:t>Intarcia</w:t>
      </w:r>
      <w:proofErr w:type="spellEnd"/>
      <w:r w:rsidRPr="009C0B84">
        <w:rPr>
          <w:rFonts w:asciiTheme="majorBidi" w:eastAsia="Times New Roman" w:hAnsiTheme="majorBidi" w:cstheme="majorBidi"/>
          <w:color w:val="333333"/>
        </w:rPr>
        <w:t xml:space="preserve">, Janssen Research and Development, The Medicines Company,  </w:t>
      </w:r>
      <w:proofErr w:type="spellStart"/>
      <w:r w:rsidRPr="009C0B84">
        <w:rPr>
          <w:rFonts w:asciiTheme="majorBidi" w:eastAsia="Times New Roman" w:hAnsiTheme="majorBidi" w:cstheme="majorBidi"/>
          <w:color w:val="333333"/>
        </w:rPr>
        <w:t>MedImmune</w:t>
      </w:r>
      <w:proofErr w:type="spellEnd"/>
      <w:r w:rsidRPr="009C0B84">
        <w:rPr>
          <w:rFonts w:asciiTheme="majorBidi" w:eastAsia="Times New Roman" w:hAnsiTheme="majorBidi" w:cstheme="majorBidi"/>
          <w:color w:val="333333"/>
        </w:rPr>
        <w:t xml:space="preserve">, Merck, Novartis, </w:t>
      </w:r>
      <w:proofErr w:type="spellStart"/>
      <w:r w:rsidRPr="009C0B84">
        <w:rPr>
          <w:rFonts w:asciiTheme="majorBidi" w:eastAsia="Times New Roman" w:hAnsiTheme="majorBidi" w:cstheme="majorBidi"/>
          <w:color w:val="333333"/>
        </w:rPr>
        <w:t>Poxel</w:t>
      </w:r>
      <w:proofErr w:type="spellEnd"/>
      <w:r w:rsidRPr="009C0B84">
        <w:rPr>
          <w:rFonts w:asciiTheme="majorBidi" w:eastAsia="Times New Roman" w:hAnsiTheme="majorBidi" w:cstheme="majorBidi"/>
          <w:color w:val="333333"/>
        </w:rPr>
        <w:t xml:space="preserve">, Pfizer, Quark, Roche Diagnostics,  and Takeda and consulting fees from </w:t>
      </w:r>
      <w:proofErr w:type="spellStart"/>
      <w:r w:rsidRPr="009C0B84">
        <w:rPr>
          <w:rFonts w:asciiTheme="majorBidi" w:eastAsia="Times New Roman" w:hAnsiTheme="majorBidi" w:cstheme="majorBidi"/>
          <w:color w:val="333333"/>
        </w:rPr>
        <w:t>Alnylam</w:t>
      </w:r>
      <w:proofErr w:type="spellEnd"/>
      <w:r w:rsidRPr="009C0B84">
        <w:rPr>
          <w:rFonts w:asciiTheme="majorBidi" w:eastAsia="Times New Roman" w:hAnsiTheme="majorBidi" w:cstheme="majorBidi"/>
          <w:color w:val="333333"/>
        </w:rPr>
        <w:t>, Amgen, AstraZeneca,</w:t>
      </w:r>
      <w:r w:rsidR="00E72C04" w:rsidRPr="009C0B84">
        <w:rPr>
          <w:rFonts w:asciiTheme="majorBidi" w:eastAsia="Times New Roman" w:hAnsiTheme="majorBidi" w:cstheme="majorBidi"/>
          <w:color w:val="333333"/>
        </w:rPr>
        <w:t xml:space="preserve"> </w:t>
      </w:r>
      <w:r w:rsidRPr="009C0B84">
        <w:rPr>
          <w:rFonts w:asciiTheme="majorBidi" w:eastAsia="Times New Roman" w:hAnsiTheme="majorBidi" w:cstheme="majorBidi"/>
          <w:color w:val="333333"/>
        </w:rPr>
        <w:t xml:space="preserve">Bristol-Myers Squibb, CVS Caremark, </w:t>
      </w:r>
      <w:proofErr w:type="spellStart"/>
      <w:r w:rsidRPr="009C0B84">
        <w:rPr>
          <w:rFonts w:asciiTheme="majorBidi" w:eastAsia="Times New Roman" w:hAnsiTheme="majorBidi" w:cstheme="majorBidi"/>
          <w:color w:val="333333"/>
        </w:rPr>
        <w:t>Dyrnamix</w:t>
      </w:r>
      <w:proofErr w:type="spellEnd"/>
      <w:r w:rsidRPr="009C0B84">
        <w:rPr>
          <w:rFonts w:asciiTheme="majorBidi" w:eastAsia="Times New Roman" w:hAnsiTheme="majorBidi" w:cstheme="majorBidi"/>
          <w:color w:val="333333"/>
        </w:rPr>
        <w:t xml:space="preserve">, </w:t>
      </w:r>
      <w:proofErr w:type="spellStart"/>
      <w:r w:rsidRPr="009C0B84">
        <w:rPr>
          <w:rFonts w:asciiTheme="majorBidi" w:eastAsia="Times New Roman" w:hAnsiTheme="majorBidi" w:cstheme="majorBidi"/>
          <w:color w:val="333333"/>
        </w:rPr>
        <w:t>Esperion</w:t>
      </w:r>
      <w:proofErr w:type="spellEnd"/>
      <w:r w:rsidRPr="009C0B84">
        <w:rPr>
          <w:rFonts w:asciiTheme="majorBidi" w:eastAsia="Times New Roman" w:hAnsiTheme="majorBidi" w:cstheme="majorBidi"/>
          <w:color w:val="333333"/>
        </w:rPr>
        <w:t xml:space="preserve">, IFM  Therapeutics, </w:t>
      </w:r>
      <w:proofErr w:type="spellStart"/>
      <w:r w:rsidRPr="009C0B84">
        <w:rPr>
          <w:rFonts w:asciiTheme="majorBidi" w:eastAsia="Times New Roman" w:hAnsiTheme="majorBidi" w:cstheme="majorBidi"/>
          <w:color w:val="333333"/>
        </w:rPr>
        <w:t>Intarcia</w:t>
      </w:r>
      <w:proofErr w:type="spellEnd"/>
      <w:r w:rsidRPr="009C0B84">
        <w:rPr>
          <w:rFonts w:asciiTheme="majorBidi" w:eastAsia="Times New Roman" w:hAnsiTheme="majorBidi" w:cstheme="majorBidi"/>
          <w:color w:val="333333"/>
        </w:rPr>
        <w:t xml:space="preserve">, </w:t>
      </w:r>
      <w:proofErr w:type="spellStart"/>
      <w:r w:rsidRPr="009C0B84">
        <w:rPr>
          <w:rFonts w:asciiTheme="majorBidi" w:eastAsia="Times New Roman" w:hAnsiTheme="majorBidi" w:cstheme="majorBidi"/>
          <w:color w:val="333333"/>
        </w:rPr>
        <w:t>Ionis</w:t>
      </w:r>
      <w:proofErr w:type="spellEnd"/>
      <w:r w:rsidRPr="009C0B84">
        <w:rPr>
          <w:rFonts w:asciiTheme="majorBidi" w:eastAsia="Times New Roman" w:hAnsiTheme="majorBidi" w:cstheme="majorBidi"/>
          <w:color w:val="333333"/>
        </w:rPr>
        <w:t xml:space="preserve">, Janssen Research and Development,  The Medicines Company, </w:t>
      </w:r>
      <w:proofErr w:type="spellStart"/>
      <w:r w:rsidRPr="009C0B84">
        <w:rPr>
          <w:rFonts w:asciiTheme="majorBidi" w:eastAsia="Times New Roman" w:hAnsiTheme="majorBidi" w:cstheme="majorBidi"/>
          <w:color w:val="333333"/>
        </w:rPr>
        <w:t>MedImmune</w:t>
      </w:r>
      <w:proofErr w:type="spellEnd"/>
      <w:r w:rsidRPr="009C0B84">
        <w:rPr>
          <w:rFonts w:asciiTheme="majorBidi" w:eastAsia="Times New Roman" w:hAnsiTheme="majorBidi" w:cstheme="majorBidi"/>
          <w:color w:val="333333"/>
        </w:rPr>
        <w:t xml:space="preserve">, Merck, </w:t>
      </w:r>
      <w:proofErr w:type="spellStart"/>
      <w:r w:rsidRPr="009C0B84">
        <w:rPr>
          <w:rFonts w:asciiTheme="majorBidi" w:eastAsia="Times New Roman" w:hAnsiTheme="majorBidi" w:cstheme="majorBidi"/>
          <w:color w:val="333333"/>
        </w:rPr>
        <w:t>MyoKardia</w:t>
      </w:r>
      <w:proofErr w:type="spellEnd"/>
      <w:r w:rsidRPr="009C0B84">
        <w:rPr>
          <w:rFonts w:asciiTheme="majorBidi" w:eastAsia="Times New Roman" w:hAnsiTheme="majorBidi" w:cstheme="majorBidi"/>
          <w:color w:val="333333"/>
        </w:rPr>
        <w:t xml:space="preserve">, and Novartis.  IR reports personal fees from AstraZeneca, Bristol-Myers Squibb, </w:t>
      </w:r>
      <w:proofErr w:type="spellStart"/>
      <w:r w:rsidRPr="009C0B84">
        <w:rPr>
          <w:rFonts w:asciiTheme="majorBidi" w:eastAsia="Times New Roman" w:hAnsiTheme="majorBidi" w:cstheme="majorBidi"/>
          <w:color w:val="333333"/>
        </w:rPr>
        <w:t>Boehringer</w:t>
      </w:r>
      <w:proofErr w:type="spellEnd"/>
      <w:r w:rsidRPr="009C0B84">
        <w:rPr>
          <w:rFonts w:asciiTheme="majorBidi" w:eastAsia="Times New Roman" w:hAnsiTheme="majorBidi" w:cstheme="majorBidi"/>
          <w:color w:val="333333"/>
        </w:rPr>
        <w:t xml:space="preserve"> </w:t>
      </w:r>
      <w:proofErr w:type="spellStart"/>
      <w:r w:rsidRPr="009C0B84">
        <w:rPr>
          <w:rFonts w:asciiTheme="majorBidi" w:eastAsia="Times New Roman" w:hAnsiTheme="majorBidi" w:cstheme="majorBidi"/>
          <w:color w:val="333333"/>
        </w:rPr>
        <w:t>Ingelheim</w:t>
      </w:r>
      <w:proofErr w:type="spellEnd"/>
      <w:r w:rsidRPr="009C0B84">
        <w:rPr>
          <w:rFonts w:asciiTheme="majorBidi" w:eastAsia="Times New Roman" w:hAnsiTheme="majorBidi" w:cstheme="majorBidi"/>
          <w:color w:val="333333"/>
        </w:rPr>
        <w:t xml:space="preserve">, Concenter </w:t>
      </w:r>
      <w:proofErr w:type="spellStart"/>
      <w:r w:rsidRPr="009C0B84">
        <w:rPr>
          <w:rFonts w:asciiTheme="majorBidi" w:eastAsia="Times New Roman" w:hAnsiTheme="majorBidi" w:cstheme="majorBidi"/>
          <w:color w:val="333333"/>
        </w:rPr>
        <w:t>BioPharma</w:t>
      </w:r>
      <w:proofErr w:type="spellEnd"/>
      <w:r w:rsidRPr="009C0B84">
        <w:rPr>
          <w:rFonts w:asciiTheme="majorBidi" w:eastAsia="Times New Roman" w:hAnsiTheme="majorBidi" w:cstheme="majorBidi"/>
          <w:color w:val="333333"/>
        </w:rPr>
        <w:t xml:space="preserve"> and </w:t>
      </w:r>
      <w:proofErr w:type="spellStart"/>
      <w:r w:rsidRPr="009C0B84">
        <w:rPr>
          <w:rFonts w:asciiTheme="majorBidi" w:eastAsia="Times New Roman" w:hAnsiTheme="majorBidi" w:cstheme="majorBidi"/>
          <w:color w:val="333333"/>
        </w:rPr>
        <w:t>Silkim</w:t>
      </w:r>
      <w:proofErr w:type="spellEnd"/>
      <w:r w:rsidRPr="009C0B84">
        <w:rPr>
          <w:rFonts w:asciiTheme="majorBidi" w:eastAsia="Times New Roman" w:hAnsiTheme="majorBidi" w:cstheme="majorBidi"/>
          <w:color w:val="333333"/>
        </w:rPr>
        <w:t xml:space="preserve">, Eli Lilly, </w:t>
      </w:r>
      <w:proofErr w:type="gramStart"/>
      <w:r w:rsidRPr="009C0B84">
        <w:rPr>
          <w:rFonts w:asciiTheme="majorBidi" w:eastAsia="Times New Roman" w:hAnsiTheme="majorBidi" w:cstheme="majorBidi"/>
          <w:color w:val="333333"/>
        </w:rPr>
        <w:t>Merck  Sharp</w:t>
      </w:r>
      <w:proofErr w:type="gramEnd"/>
      <w:r w:rsidRPr="009C0B84">
        <w:rPr>
          <w:rFonts w:asciiTheme="majorBidi" w:eastAsia="Times New Roman" w:hAnsiTheme="majorBidi" w:cstheme="majorBidi"/>
          <w:color w:val="333333"/>
        </w:rPr>
        <w:t xml:space="preserve"> &amp; </w:t>
      </w:r>
      <w:proofErr w:type="spellStart"/>
      <w:r w:rsidRPr="009C0B84">
        <w:rPr>
          <w:rFonts w:asciiTheme="majorBidi" w:eastAsia="Times New Roman" w:hAnsiTheme="majorBidi" w:cstheme="majorBidi"/>
          <w:color w:val="333333"/>
        </w:rPr>
        <w:t>Dohme</w:t>
      </w:r>
      <w:proofErr w:type="spellEnd"/>
      <w:r w:rsidRPr="009C0B84">
        <w:rPr>
          <w:rFonts w:asciiTheme="majorBidi" w:eastAsia="Times New Roman" w:hAnsiTheme="majorBidi" w:cstheme="majorBidi"/>
          <w:color w:val="333333"/>
        </w:rPr>
        <w:t xml:space="preserve">, Novo Nordisk, </w:t>
      </w:r>
      <w:proofErr w:type="spellStart"/>
      <w:r w:rsidRPr="009C0B84">
        <w:rPr>
          <w:rFonts w:asciiTheme="majorBidi" w:eastAsia="Times New Roman" w:hAnsiTheme="majorBidi" w:cstheme="majorBidi"/>
          <w:color w:val="333333"/>
        </w:rPr>
        <w:t>Orgenesis</w:t>
      </w:r>
      <w:proofErr w:type="spellEnd"/>
      <w:r w:rsidRPr="009C0B84">
        <w:rPr>
          <w:rFonts w:asciiTheme="majorBidi" w:eastAsia="Times New Roman" w:hAnsiTheme="majorBidi" w:cstheme="majorBidi"/>
          <w:color w:val="333333"/>
        </w:rPr>
        <w:t xml:space="preserve">, Pfizer, Sanofi, </w:t>
      </w:r>
      <w:proofErr w:type="spellStart"/>
      <w:r w:rsidRPr="009C0B84">
        <w:rPr>
          <w:rFonts w:asciiTheme="majorBidi" w:eastAsia="Times New Roman" w:hAnsiTheme="majorBidi" w:cstheme="majorBidi"/>
          <w:color w:val="333333"/>
        </w:rPr>
        <w:t>SmartZyme</w:t>
      </w:r>
      <w:proofErr w:type="spellEnd"/>
      <w:r w:rsidRPr="009C0B84">
        <w:rPr>
          <w:rFonts w:asciiTheme="majorBidi" w:eastAsia="Times New Roman" w:hAnsiTheme="majorBidi" w:cstheme="majorBidi"/>
          <w:color w:val="333333"/>
        </w:rPr>
        <w:t xml:space="preserve">  Innovation, </w:t>
      </w:r>
      <w:proofErr w:type="spellStart"/>
      <w:r w:rsidRPr="009C0B84">
        <w:rPr>
          <w:rFonts w:asciiTheme="majorBidi" w:eastAsia="Times New Roman" w:hAnsiTheme="majorBidi" w:cstheme="majorBidi"/>
          <w:color w:val="333333"/>
        </w:rPr>
        <w:t>Panaxia</w:t>
      </w:r>
      <w:proofErr w:type="spellEnd"/>
      <w:r w:rsidRPr="009C0B84">
        <w:rPr>
          <w:rFonts w:asciiTheme="majorBidi" w:eastAsia="Times New Roman" w:hAnsiTheme="majorBidi" w:cstheme="majorBidi"/>
          <w:color w:val="333333"/>
        </w:rPr>
        <w:t xml:space="preserve">, </w:t>
      </w:r>
      <w:proofErr w:type="spellStart"/>
      <w:r w:rsidRPr="009C0B84">
        <w:rPr>
          <w:rFonts w:asciiTheme="majorBidi" w:eastAsia="Times New Roman" w:hAnsiTheme="majorBidi" w:cstheme="majorBidi"/>
          <w:color w:val="333333"/>
        </w:rPr>
        <w:t>FuturRx</w:t>
      </w:r>
      <w:proofErr w:type="spellEnd"/>
      <w:r w:rsidRPr="009C0B84">
        <w:rPr>
          <w:rFonts w:asciiTheme="majorBidi" w:eastAsia="Times New Roman" w:hAnsiTheme="majorBidi" w:cstheme="majorBidi"/>
          <w:color w:val="333333"/>
        </w:rPr>
        <w:t xml:space="preserve">, </w:t>
      </w:r>
      <w:proofErr w:type="spellStart"/>
      <w:r w:rsidRPr="009C0B84">
        <w:rPr>
          <w:rFonts w:asciiTheme="majorBidi" w:eastAsia="Times New Roman" w:hAnsiTheme="majorBidi" w:cstheme="majorBidi"/>
          <w:color w:val="333333"/>
        </w:rPr>
        <w:t>Insuline</w:t>
      </w:r>
      <w:proofErr w:type="spellEnd"/>
      <w:r w:rsidRPr="009C0B84">
        <w:rPr>
          <w:rFonts w:asciiTheme="majorBidi" w:eastAsia="Times New Roman" w:hAnsiTheme="majorBidi" w:cstheme="majorBidi"/>
          <w:color w:val="333333"/>
        </w:rPr>
        <w:t xml:space="preserve"> Medical, Medial </w:t>
      </w:r>
      <w:proofErr w:type="spellStart"/>
      <w:r w:rsidRPr="009C0B84">
        <w:rPr>
          <w:rFonts w:asciiTheme="majorBidi" w:eastAsia="Times New Roman" w:hAnsiTheme="majorBidi" w:cstheme="majorBidi"/>
          <w:color w:val="333333"/>
        </w:rPr>
        <w:t>EarlySign</w:t>
      </w:r>
      <w:proofErr w:type="spellEnd"/>
      <w:r w:rsidRPr="009C0B84">
        <w:rPr>
          <w:rFonts w:asciiTheme="majorBidi" w:eastAsia="Times New Roman" w:hAnsiTheme="majorBidi" w:cstheme="majorBidi"/>
          <w:color w:val="333333"/>
        </w:rPr>
        <w:t xml:space="preserve">,  </w:t>
      </w:r>
      <w:proofErr w:type="spellStart"/>
      <w:r w:rsidRPr="009C0B84">
        <w:rPr>
          <w:rFonts w:asciiTheme="majorBidi" w:eastAsia="Times New Roman" w:hAnsiTheme="majorBidi" w:cstheme="majorBidi"/>
          <w:color w:val="333333"/>
        </w:rPr>
        <w:t>CameraEyes</w:t>
      </w:r>
      <w:proofErr w:type="spellEnd"/>
      <w:r w:rsidRPr="009C0B84">
        <w:rPr>
          <w:rFonts w:asciiTheme="majorBidi" w:eastAsia="Times New Roman" w:hAnsiTheme="majorBidi" w:cstheme="majorBidi"/>
          <w:color w:val="333333"/>
        </w:rPr>
        <w:t xml:space="preserve">, </w:t>
      </w:r>
      <w:proofErr w:type="spellStart"/>
      <w:r w:rsidRPr="009C0B84">
        <w:rPr>
          <w:rFonts w:asciiTheme="majorBidi" w:eastAsia="Times New Roman" w:hAnsiTheme="majorBidi" w:cstheme="majorBidi"/>
          <w:color w:val="333333"/>
        </w:rPr>
        <w:t>Exscopia</w:t>
      </w:r>
      <w:proofErr w:type="spellEnd"/>
      <w:r w:rsidRPr="009C0B84">
        <w:rPr>
          <w:rFonts w:asciiTheme="majorBidi" w:eastAsia="Times New Roman" w:hAnsiTheme="majorBidi" w:cstheme="majorBidi"/>
          <w:color w:val="333333"/>
        </w:rPr>
        <w:t xml:space="preserve">, Dermal </w:t>
      </w:r>
      <w:proofErr w:type="spellStart"/>
      <w:r w:rsidRPr="009C0B84">
        <w:rPr>
          <w:rFonts w:asciiTheme="majorBidi" w:eastAsia="Times New Roman" w:hAnsiTheme="majorBidi" w:cstheme="majorBidi"/>
          <w:color w:val="333333"/>
        </w:rPr>
        <w:t>Biomics</w:t>
      </w:r>
      <w:proofErr w:type="spellEnd"/>
      <w:r w:rsidRPr="009C0B84">
        <w:rPr>
          <w:rFonts w:asciiTheme="majorBidi" w:eastAsia="Times New Roman" w:hAnsiTheme="majorBidi" w:cstheme="majorBidi"/>
          <w:color w:val="333333"/>
        </w:rPr>
        <w:t xml:space="preserve">, Johnson &amp; Johnson, Novartis,  </w:t>
      </w:r>
      <w:proofErr w:type="spellStart"/>
      <w:r w:rsidRPr="009C0B84">
        <w:rPr>
          <w:rFonts w:asciiTheme="majorBidi" w:eastAsia="Times New Roman" w:hAnsiTheme="majorBidi" w:cstheme="majorBidi"/>
          <w:color w:val="333333"/>
        </w:rPr>
        <w:t>Teva</w:t>
      </w:r>
      <w:proofErr w:type="spellEnd"/>
      <w:r w:rsidRPr="009C0B84">
        <w:rPr>
          <w:rFonts w:asciiTheme="majorBidi" w:eastAsia="Times New Roman" w:hAnsiTheme="majorBidi" w:cstheme="majorBidi"/>
          <w:color w:val="333333"/>
        </w:rPr>
        <w:t xml:space="preserve">, </w:t>
      </w:r>
      <w:proofErr w:type="spellStart"/>
      <w:r w:rsidRPr="009C0B84">
        <w:rPr>
          <w:rFonts w:asciiTheme="majorBidi" w:eastAsia="Times New Roman" w:hAnsiTheme="majorBidi" w:cstheme="majorBidi"/>
          <w:color w:val="333333"/>
        </w:rPr>
        <w:t>GlucoMe</w:t>
      </w:r>
      <w:proofErr w:type="spellEnd"/>
      <w:r w:rsidRPr="009C0B84">
        <w:rPr>
          <w:rFonts w:asciiTheme="majorBidi" w:eastAsia="Times New Roman" w:hAnsiTheme="majorBidi" w:cstheme="majorBidi"/>
          <w:color w:val="333333"/>
        </w:rPr>
        <w:t xml:space="preserve">, and </w:t>
      </w:r>
      <w:proofErr w:type="spellStart"/>
      <w:r w:rsidRPr="009C0B84">
        <w:rPr>
          <w:rFonts w:asciiTheme="majorBidi" w:eastAsia="Times New Roman" w:hAnsiTheme="majorBidi" w:cstheme="majorBidi"/>
          <w:color w:val="333333"/>
        </w:rPr>
        <w:t>DarioHealth</w:t>
      </w:r>
      <w:proofErr w:type="spellEnd"/>
      <w:r w:rsidRPr="009C0B84">
        <w:rPr>
          <w:rFonts w:asciiTheme="majorBidi" w:eastAsia="Times New Roman" w:hAnsiTheme="majorBidi" w:cstheme="majorBidi"/>
          <w:color w:val="333333"/>
        </w:rPr>
        <w:t>. IAMG-N, MF, PAJ and AML are employees of AstraZeneca. A</w:t>
      </w:r>
      <w:r w:rsidR="008243D1" w:rsidRPr="009C0B84">
        <w:rPr>
          <w:rFonts w:asciiTheme="majorBidi" w:eastAsia="Times New Roman" w:hAnsiTheme="majorBidi" w:cstheme="majorBidi"/>
          <w:color w:val="333333"/>
        </w:rPr>
        <w:t>R</w:t>
      </w:r>
      <w:r w:rsidRPr="009C0B84">
        <w:rPr>
          <w:rFonts w:asciiTheme="majorBidi" w:eastAsia="Times New Roman" w:hAnsiTheme="majorBidi" w:cstheme="majorBidi"/>
          <w:color w:val="333333"/>
        </w:rPr>
        <w:t xml:space="preserve"> and IY declare no competing interests.  </w:t>
      </w:r>
    </w:p>
    <w:p w14:paraId="20272824" w14:textId="386784F9" w:rsidR="008243D1" w:rsidRPr="009C0B84" w:rsidRDefault="008243D1" w:rsidP="001F6B71">
      <w:pPr>
        <w:spacing w:before="100" w:beforeAutospacing="1" w:after="100" w:afterAutospacing="1" w:line="360" w:lineRule="auto"/>
        <w:rPr>
          <w:rFonts w:asciiTheme="majorBidi" w:eastAsia="Times New Roman" w:hAnsiTheme="majorBidi" w:cstheme="majorBidi"/>
          <w:color w:val="333333"/>
        </w:rPr>
      </w:pPr>
    </w:p>
    <w:p w14:paraId="661901D1" w14:textId="77777777" w:rsidR="001F6B71" w:rsidRDefault="001F6B71">
      <w:pPr>
        <w:spacing w:line="259" w:lineRule="auto"/>
        <w:rPr>
          <w:rFonts w:asciiTheme="majorBidi" w:eastAsia="Times New Roman" w:hAnsiTheme="majorBidi" w:cstheme="majorBidi"/>
          <w:b/>
          <w:bCs/>
          <w:color w:val="333333"/>
        </w:rPr>
      </w:pPr>
      <w:r>
        <w:rPr>
          <w:rFonts w:asciiTheme="majorBidi" w:eastAsia="Times New Roman" w:hAnsiTheme="majorBidi" w:cstheme="majorBidi"/>
          <w:b/>
          <w:bCs/>
          <w:color w:val="333333"/>
        </w:rPr>
        <w:br w:type="page"/>
      </w:r>
    </w:p>
    <w:p w14:paraId="292381A6" w14:textId="7930F44C" w:rsidR="002C2088" w:rsidRPr="009C0B84" w:rsidRDefault="00E554B1" w:rsidP="001F6B71">
      <w:pPr>
        <w:spacing w:before="100" w:beforeAutospacing="1" w:after="100" w:afterAutospacing="1" w:line="360" w:lineRule="auto"/>
        <w:rPr>
          <w:rFonts w:asciiTheme="majorBidi" w:eastAsia="Times New Roman" w:hAnsiTheme="majorBidi" w:cstheme="majorBidi"/>
          <w:b/>
          <w:bCs/>
          <w:color w:val="333333"/>
        </w:rPr>
      </w:pPr>
      <w:r w:rsidRPr="009C0B84">
        <w:rPr>
          <w:rFonts w:asciiTheme="majorBidi" w:eastAsia="Times New Roman" w:hAnsiTheme="majorBidi" w:cstheme="majorBidi"/>
          <w:b/>
          <w:bCs/>
          <w:color w:val="333333"/>
        </w:rPr>
        <w:t>Refe</w:t>
      </w:r>
      <w:r w:rsidR="002C2088" w:rsidRPr="009C0B84">
        <w:rPr>
          <w:rFonts w:asciiTheme="majorBidi" w:eastAsia="Times New Roman" w:hAnsiTheme="majorBidi" w:cstheme="majorBidi"/>
          <w:b/>
          <w:bCs/>
          <w:color w:val="333333"/>
        </w:rPr>
        <w:t>rences</w:t>
      </w:r>
    </w:p>
    <w:p w14:paraId="52317F17" w14:textId="46762D62" w:rsidR="00197D4A" w:rsidRPr="009C0B84" w:rsidRDefault="00197D4A" w:rsidP="001F6B71">
      <w:pPr>
        <w:pStyle w:val="ListParagraph"/>
        <w:numPr>
          <w:ilvl w:val="0"/>
          <w:numId w:val="2"/>
        </w:numPr>
        <w:spacing w:before="100" w:beforeAutospacing="1" w:after="100" w:afterAutospacing="1" w:line="360" w:lineRule="auto"/>
        <w:ind w:left="360"/>
        <w:contextualSpacing w:val="0"/>
        <w:jc w:val="both"/>
        <w:rPr>
          <w:rFonts w:asciiTheme="majorBidi" w:hAnsiTheme="majorBidi" w:cstheme="majorBidi"/>
        </w:rPr>
      </w:pPr>
      <w:r w:rsidRPr="009C0B84">
        <w:rPr>
          <w:rFonts w:asciiTheme="majorBidi" w:hAnsiTheme="majorBidi" w:cstheme="majorBidi"/>
        </w:rPr>
        <w:t>American Diabetes Association. Older Adults: Standards of Medical Care in Diabetes-2019. Diabetes Care. 2019;42(</w:t>
      </w:r>
      <w:proofErr w:type="spellStart"/>
      <w:r w:rsidRPr="009C0B84">
        <w:rPr>
          <w:rFonts w:asciiTheme="majorBidi" w:hAnsiTheme="majorBidi" w:cstheme="majorBidi"/>
        </w:rPr>
        <w:t>Suppl</w:t>
      </w:r>
      <w:proofErr w:type="spellEnd"/>
      <w:r w:rsidRPr="009C0B84">
        <w:rPr>
          <w:rFonts w:asciiTheme="majorBidi" w:hAnsiTheme="majorBidi" w:cstheme="majorBidi"/>
        </w:rPr>
        <w:t xml:space="preserve"> 1):S139-S147</w:t>
      </w:r>
    </w:p>
    <w:p w14:paraId="4FE581A0" w14:textId="11E68FC5" w:rsidR="009C1265" w:rsidRPr="009C0B84" w:rsidRDefault="009C1265" w:rsidP="001F6B71">
      <w:pPr>
        <w:pStyle w:val="ListParagraph"/>
        <w:numPr>
          <w:ilvl w:val="0"/>
          <w:numId w:val="2"/>
        </w:numPr>
        <w:spacing w:before="100" w:beforeAutospacing="1" w:after="100" w:afterAutospacing="1" w:line="360" w:lineRule="auto"/>
        <w:ind w:left="360"/>
        <w:contextualSpacing w:val="0"/>
        <w:jc w:val="both"/>
        <w:rPr>
          <w:rFonts w:asciiTheme="majorBidi" w:hAnsiTheme="majorBidi" w:cstheme="majorBidi"/>
        </w:rPr>
      </w:pPr>
      <w:r w:rsidRPr="009C0B84">
        <w:rPr>
          <w:rFonts w:asciiTheme="majorBidi" w:hAnsiTheme="majorBidi" w:cstheme="majorBidi"/>
        </w:rPr>
        <w:t>U.S. Department of Health and Human Services; U.S. Food and Drug Administration; Center for Drug Evaluation and Research; Center for Biologics Evaluation and Research. Guidance for industry. E7 studies in support of special populations: geriatrics</w:t>
      </w:r>
      <w:r w:rsidR="00201684" w:rsidRPr="009C0B84">
        <w:rPr>
          <w:rFonts w:asciiTheme="majorBidi" w:hAnsiTheme="majorBidi" w:cstheme="majorBidi"/>
        </w:rPr>
        <w:t xml:space="preserve"> - </w:t>
      </w:r>
      <w:r w:rsidRPr="009C0B84">
        <w:rPr>
          <w:rFonts w:asciiTheme="majorBidi" w:hAnsiTheme="majorBidi" w:cstheme="majorBidi"/>
        </w:rPr>
        <w:t>questions and answers. 2012. Accessed at www.fda.gov/downloads/Drugs/GuidanceComplianceRegulatoryInformation/Guidances/UCM189544.pdf.</w:t>
      </w:r>
    </w:p>
    <w:p w14:paraId="32AAC306" w14:textId="77777777" w:rsidR="009C1265" w:rsidRPr="009C0B84" w:rsidRDefault="009C1265" w:rsidP="001F6B71">
      <w:pPr>
        <w:pStyle w:val="ListParagraph"/>
        <w:numPr>
          <w:ilvl w:val="0"/>
          <w:numId w:val="2"/>
        </w:numPr>
        <w:spacing w:before="100" w:beforeAutospacing="1" w:after="100" w:afterAutospacing="1" w:line="360" w:lineRule="auto"/>
        <w:ind w:left="360"/>
        <w:contextualSpacing w:val="0"/>
        <w:jc w:val="both"/>
        <w:rPr>
          <w:rFonts w:asciiTheme="majorBidi" w:hAnsiTheme="majorBidi" w:cstheme="majorBidi"/>
        </w:rPr>
      </w:pPr>
      <w:r w:rsidRPr="009C0B84">
        <w:rPr>
          <w:rFonts w:asciiTheme="majorBidi" w:hAnsiTheme="majorBidi" w:cstheme="majorBidi"/>
        </w:rPr>
        <w:t xml:space="preserve">Committee for Human Medicinal Products. Adequacy of guidance on the elderly regarding medicinal products for human use. European Medicines Agency. 2006. Accessed at www.ema.europa.eu/docs/en_GB/document_library/Scientific_guideline/2010/01/WC500049541.pdf </w:t>
      </w:r>
    </w:p>
    <w:p w14:paraId="5C08863C" w14:textId="3DEE13A9" w:rsidR="00117CF7" w:rsidRPr="009C0B84" w:rsidRDefault="00117CF7" w:rsidP="001F6B71">
      <w:pPr>
        <w:pStyle w:val="ListParagraph"/>
        <w:numPr>
          <w:ilvl w:val="0"/>
          <w:numId w:val="2"/>
        </w:numPr>
        <w:spacing w:before="100" w:beforeAutospacing="1" w:after="100" w:afterAutospacing="1" w:line="360" w:lineRule="auto"/>
        <w:ind w:left="360"/>
        <w:contextualSpacing w:val="0"/>
        <w:jc w:val="both"/>
        <w:rPr>
          <w:rFonts w:asciiTheme="majorBidi" w:hAnsiTheme="majorBidi" w:cstheme="majorBidi"/>
        </w:rPr>
      </w:pPr>
      <w:r w:rsidRPr="009C0B84">
        <w:rPr>
          <w:rFonts w:asciiTheme="majorBidi" w:hAnsiTheme="majorBidi" w:cstheme="majorBidi"/>
          <w:lang w:val="sv-SE"/>
        </w:rPr>
        <w:t xml:space="preserve">Wiviott SD, Raz I, Bonaca MP, </w:t>
      </w:r>
      <w:r w:rsidR="00AC1E5A" w:rsidRPr="009C0B84">
        <w:rPr>
          <w:rFonts w:asciiTheme="majorBidi" w:hAnsiTheme="majorBidi" w:cstheme="majorBidi"/>
          <w:lang w:val="sv-SE"/>
        </w:rPr>
        <w:t>et al</w:t>
      </w:r>
      <w:r w:rsidRPr="009C0B84">
        <w:rPr>
          <w:rFonts w:asciiTheme="majorBidi" w:hAnsiTheme="majorBidi" w:cstheme="majorBidi"/>
          <w:lang w:val="sv-SE"/>
        </w:rPr>
        <w:t xml:space="preserve">. </w:t>
      </w:r>
      <w:r w:rsidRPr="009C0B84">
        <w:rPr>
          <w:rFonts w:asciiTheme="majorBidi" w:hAnsiTheme="majorBidi" w:cstheme="majorBidi"/>
        </w:rPr>
        <w:t xml:space="preserve">Dapagliflozin and Cardiovascular Outcomes in Type 2 Diabetes. </w:t>
      </w:r>
      <w:r w:rsidRPr="009C0B84">
        <w:rPr>
          <w:rFonts w:asciiTheme="majorBidi" w:hAnsiTheme="majorBidi" w:cstheme="majorBidi"/>
          <w:i/>
          <w:iCs/>
        </w:rPr>
        <w:t xml:space="preserve">N </w:t>
      </w:r>
      <w:proofErr w:type="spellStart"/>
      <w:r w:rsidRPr="009C0B84">
        <w:rPr>
          <w:rFonts w:asciiTheme="majorBidi" w:hAnsiTheme="majorBidi" w:cstheme="majorBidi"/>
          <w:i/>
          <w:iCs/>
        </w:rPr>
        <w:t>Engl</w:t>
      </w:r>
      <w:proofErr w:type="spellEnd"/>
      <w:r w:rsidRPr="009C0B84">
        <w:rPr>
          <w:rFonts w:asciiTheme="majorBidi" w:hAnsiTheme="majorBidi" w:cstheme="majorBidi"/>
          <w:i/>
          <w:iCs/>
        </w:rPr>
        <w:t xml:space="preserve"> J Med</w:t>
      </w:r>
      <w:r w:rsidR="00AC1E5A" w:rsidRPr="009C0B84">
        <w:rPr>
          <w:rFonts w:asciiTheme="majorBidi" w:hAnsiTheme="majorBidi" w:cstheme="majorBidi"/>
        </w:rPr>
        <w:t xml:space="preserve"> 2019</w:t>
      </w:r>
      <w:proofErr w:type="gramStart"/>
      <w:r w:rsidRPr="009C0B84">
        <w:rPr>
          <w:rFonts w:asciiTheme="majorBidi" w:hAnsiTheme="majorBidi" w:cstheme="majorBidi"/>
        </w:rPr>
        <w:t>;</w:t>
      </w:r>
      <w:r w:rsidRPr="009C0B84">
        <w:rPr>
          <w:rFonts w:asciiTheme="majorBidi" w:hAnsiTheme="majorBidi" w:cstheme="majorBidi"/>
          <w:b/>
          <w:bCs/>
        </w:rPr>
        <w:t>380</w:t>
      </w:r>
      <w:r w:rsidRPr="009C0B84">
        <w:rPr>
          <w:rFonts w:asciiTheme="majorBidi" w:hAnsiTheme="majorBidi" w:cstheme="majorBidi"/>
        </w:rPr>
        <w:t>:347</w:t>
      </w:r>
      <w:proofErr w:type="gramEnd"/>
      <w:r w:rsidR="00AC1E5A" w:rsidRPr="009C0B84">
        <w:rPr>
          <w:rFonts w:asciiTheme="majorBidi" w:hAnsiTheme="majorBidi" w:cstheme="majorBidi"/>
        </w:rPr>
        <w:t>-</w:t>
      </w:r>
      <w:r w:rsidRPr="009C0B84">
        <w:rPr>
          <w:rFonts w:asciiTheme="majorBidi" w:hAnsiTheme="majorBidi" w:cstheme="majorBidi"/>
        </w:rPr>
        <w:t xml:space="preserve">57. </w:t>
      </w:r>
    </w:p>
    <w:p w14:paraId="4E128975" w14:textId="4B5F2713" w:rsidR="00712044" w:rsidRPr="009C0B84" w:rsidRDefault="00712044" w:rsidP="001F6B71">
      <w:pPr>
        <w:pStyle w:val="ListParagraph"/>
        <w:numPr>
          <w:ilvl w:val="0"/>
          <w:numId w:val="2"/>
        </w:numPr>
        <w:spacing w:before="100" w:beforeAutospacing="1" w:after="100" w:afterAutospacing="1" w:line="360" w:lineRule="auto"/>
        <w:ind w:left="360"/>
        <w:contextualSpacing w:val="0"/>
        <w:jc w:val="both"/>
        <w:rPr>
          <w:rFonts w:asciiTheme="majorBidi" w:hAnsiTheme="majorBidi" w:cstheme="majorBidi"/>
        </w:rPr>
      </w:pPr>
      <w:proofErr w:type="spellStart"/>
      <w:r w:rsidRPr="009C0B84">
        <w:rPr>
          <w:rFonts w:asciiTheme="majorBidi" w:hAnsiTheme="majorBidi" w:cstheme="majorBidi"/>
        </w:rPr>
        <w:t>Zinman</w:t>
      </w:r>
      <w:proofErr w:type="spellEnd"/>
      <w:r w:rsidRPr="009C0B84">
        <w:rPr>
          <w:rFonts w:asciiTheme="majorBidi" w:hAnsiTheme="majorBidi" w:cstheme="majorBidi"/>
        </w:rPr>
        <w:t xml:space="preserve"> B, </w:t>
      </w:r>
      <w:proofErr w:type="spellStart"/>
      <w:r w:rsidRPr="009C0B84">
        <w:rPr>
          <w:rFonts w:asciiTheme="majorBidi" w:hAnsiTheme="majorBidi" w:cstheme="majorBidi"/>
        </w:rPr>
        <w:t>Wanner</w:t>
      </w:r>
      <w:proofErr w:type="spellEnd"/>
      <w:r w:rsidRPr="009C0B84">
        <w:rPr>
          <w:rFonts w:asciiTheme="majorBidi" w:hAnsiTheme="majorBidi" w:cstheme="majorBidi"/>
        </w:rPr>
        <w:t xml:space="preserve"> C, </w:t>
      </w:r>
      <w:proofErr w:type="spellStart"/>
      <w:r w:rsidRPr="009C0B84">
        <w:rPr>
          <w:rFonts w:asciiTheme="majorBidi" w:hAnsiTheme="majorBidi" w:cstheme="majorBidi"/>
        </w:rPr>
        <w:t>Lachin</w:t>
      </w:r>
      <w:proofErr w:type="spellEnd"/>
      <w:r w:rsidRPr="009C0B84">
        <w:rPr>
          <w:rFonts w:asciiTheme="majorBidi" w:hAnsiTheme="majorBidi" w:cstheme="majorBidi"/>
        </w:rPr>
        <w:t xml:space="preserve"> JM, </w:t>
      </w:r>
      <w:r w:rsidR="00AC1E5A" w:rsidRPr="009C0B84">
        <w:rPr>
          <w:rFonts w:asciiTheme="majorBidi" w:hAnsiTheme="majorBidi" w:cstheme="majorBidi"/>
        </w:rPr>
        <w:t>et al</w:t>
      </w:r>
      <w:r w:rsidRPr="009C0B84">
        <w:rPr>
          <w:rFonts w:asciiTheme="majorBidi" w:hAnsiTheme="majorBidi" w:cstheme="majorBidi"/>
        </w:rPr>
        <w:t xml:space="preserve">. Empagliflozin, Cardiovascular Outcomes, and Mortality in Type 2 Diabetes. </w:t>
      </w:r>
      <w:r w:rsidRPr="009C0B84">
        <w:rPr>
          <w:rFonts w:asciiTheme="majorBidi" w:hAnsiTheme="majorBidi" w:cstheme="majorBidi"/>
          <w:i/>
          <w:iCs/>
        </w:rPr>
        <w:t xml:space="preserve">N </w:t>
      </w:r>
      <w:proofErr w:type="spellStart"/>
      <w:r w:rsidRPr="009C0B84">
        <w:rPr>
          <w:rFonts w:asciiTheme="majorBidi" w:hAnsiTheme="majorBidi" w:cstheme="majorBidi"/>
          <w:i/>
          <w:iCs/>
        </w:rPr>
        <w:t>Engl</w:t>
      </w:r>
      <w:proofErr w:type="spellEnd"/>
      <w:r w:rsidRPr="009C0B84">
        <w:rPr>
          <w:rFonts w:asciiTheme="majorBidi" w:hAnsiTheme="majorBidi" w:cstheme="majorBidi"/>
          <w:i/>
          <w:iCs/>
        </w:rPr>
        <w:t xml:space="preserve"> J Med</w:t>
      </w:r>
      <w:r w:rsidR="00AC1E5A" w:rsidRPr="009C0B84">
        <w:rPr>
          <w:rFonts w:asciiTheme="majorBidi" w:hAnsiTheme="majorBidi" w:cstheme="majorBidi"/>
        </w:rPr>
        <w:t xml:space="preserve"> 2015</w:t>
      </w:r>
      <w:r w:rsidRPr="009C0B84">
        <w:rPr>
          <w:rFonts w:asciiTheme="majorBidi" w:hAnsiTheme="majorBidi" w:cstheme="majorBidi"/>
        </w:rPr>
        <w:t>;</w:t>
      </w:r>
      <w:r w:rsidRPr="009C0B84">
        <w:rPr>
          <w:rFonts w:asciiTheme="majorBidi" w:hAnsiTheme="majorBidi" w:cstheme="majorBidi"/>
          <w:b/>
          <w:bCs/>
        </w:rPr>
        <w:t>373</w:t>
      </w:r>
      <w:r w:rsidRPr="009C0B84">
        <w:rPr>
          <w:rFonts w:asciiTheme="majorBidi" w:hAnsiTheme="majorBidi" w:cstheme="majorBidi"/>
        </w:rPr>
        <w:t>:2117-28</w:t>
      </w:r>
    </w:p>
    <w:p w14:paraId="3830294B" w14:textId="7E347383" w:rsidR="00712044" w:rsidRPr="009C0B84" w:rsidRDefault="00712044" w:rsidP="001F6B71">
      <w:pPr>
        <w:pStyle w:val="ListParagraph"/>
        <w:numPr>
          <w:ilvl w:val="0"/>
          <w:numId w:val="2"/>
        </w:numPr>
        <w:spacing w:before="100" w:beforeAutospacing="1" w:after="100" w:afterAutospacing="1" w:line="360" w:lineRule="auto"/>
        <w:ind w:left="360"/>
        <w:contextualSpacing w:val="0"/>
        <w:jc w:val="both"/>
        <w:rPr>
          <w:rFonts w:asciiTheme="majorBidi" w:hAnsiTheme="majorBidi" w:cstheme="majorBidi"/>
        </w:rPr>
      </w:pPr>
      <w:proofErr w:type="spellStart"/>
      <w:r w:rsidRPr="009C0B84">
        <w:rPr>
          <w:rFonts w:asciiTheme="majorBidi" w:hAnsiTheme="majorBidi" w:cstheme="majorBidi"/>
        </w:rPr>
        <w:t>Wanner</w:t>
      </w:r>
      <w:proofErr w:type="spellEnd"/>
      <w:r w:rsidRPr="009C0B84">
        <w:rPr>
          <w:rFonts w:asciiTheme="majorBidi" w:hAnsiTheme="majorBidi" w:cstheme="majorBidi"/>
        </w:rPr>
        <w:t xml:space="preserve"> C, </w:t>
      </w:r>
      <w:proofErr w:type="spellStart"/>
      <w:r w:rsidRPr="009C0B84">
        <w:rPr>
          <w:rFonts w:asciiTheme="majorBidi" w:hAnsiTheme="majorBidi" w:cstheme="majorBidi"/>
        </w:rPr>
        <w:t>Inzucchi</w:t>
      </w:r>
      <w:proofErr w:type="spellEnd"/>
      <w:r w:rsidRPr="009C0B84">
        <w:rPr>
          <w:rFonts w:asciiTheme="majorBidi" w:hAnsiTheme="majorBidi" w:cstheme="majorBidi"/>
        </w:rPr>
        <w:t xml:space="preserve"> SE, </w:t>
      </w:r>
      <w:proofErr w:type="spellStart"/>
      <w:r w:rsidRPr="009C0B84">
        <w:rPr>
          <w:rFonts w:asciiTheme="majorBidi" w:hAnsiTheme="majorBidi" w:cstheme="majorBidi"/>
        </w:rPr>
        <w:t>Lachin</w:t>
      </w:r>
      <w:proofErr w:type="spellEnd"/>
      <w:r w:rsidRPr="009C0B84">
        <w:rPr>
          <w:rFonts w:asciiTheme="majorBidi" w:hAnsiTheme="majorBidi" w:cstheme="majorBidi"/>
        </w:rPr>
        <w:t xml:space="preserve"> JM, </w:t>
      </w:r>
      <w:r w:rsidR="00AC1E5A" w:rsidRPr="009C0B84">
        <w:rPr>
          <w:rFonts w:asciiTheme="majorBidi" w:hAnsiTheme="majorBidi" w:cstheme="majorBidi"/>
        </w:rPr>
        <w:t>et al</w:t>
      </w:r>
      <w:r w:rsidRPr="009C0B84">
        <w:rPr>
          <w:rFonts w:asciiTheme="majorBidi" w:hAnsiTheme="majorBidi" w:cstheme="majorBidi"/>
        </w:rPr>
        <w:t xml:space="preserve">. Empagliflozin and Progression of Kidney Disease in Type 2 Diabetes. </w:t>
      </w:r>
      <w:r w:rsidRPr="009C0B84">
        <w:rPr>
          <w:rFonts w:asciiTheme="majorBidi" w:hAnsiTheme="majorBidi" w:cstheme="majorBidi"/>
          <w:i/>
          <w:iCs/>
        </w:rPr>
        <w:t xml:space="preserve">N </w:t>
      </w:r>
      <w:proofErr w:type="spellStart"/>
      <w:r w:rsidRPr="009C0B84">
        <w:rPr>
          <w:rFonts w:asciiTheme="majorBidi" w:hAnsiTheme="majorBidi" w:cstheme="majorBidi"/>
          <w:i/>
          <w:iCs/>
        </w:rPr>
        <w:t>Engl</w:t>
      </w:r>
      <w:proofErr w:type="spellEnd"/>
      <w:r w:rsidRPr="009C0B84">
        <w:rPr>
          <w:rFonts w:asciiTheme="majorBidi" w:hAnsiTheme="majorBidi" w:cstheme="majorBidi"/>
          <w:i/>
          <w:iCs/>
        </w:rPr>
        <w:t xml:space="preserve"> J Med</w:t>
      </w:r>
      <w:r w:rsidR="00AC1E5A" w:rsidRPr="009C0B84">
        <w:rPr>
          <w:rFonts w:asciiTheme="majorBidi" w:hAnsiTheme="majorBidi" w:cstheme="majorBidi"/>
        </w:rPr>
        <w:t xml:space="preserve"> 2016</w:t>
      </w:r>
      <w:r w:rsidRPr="009C0B84">
        <w:rPr>
          <w:rFonts w:asciiTheme="majorBidi" w:hAnsiTheme="majorBidi" w:cstheme="majorBidi"/>
        </w:rPr>
        <w:t>;</w:t>
      </w:r>
      <w:r w:rsidRPr="009C0B84">
        <w:rPr>
          <w:rFonts w:asciiTheme="majorBidi" w:hAnsiTheme="majorBidi" w:cstheme="majorBidi"/>
          <w:b/>
          <w:bCs/>
        </w:rPr>
        <w:t>375</w:t>
      </w:r>
      <w:r w:rsidRPr="009C0B84">
        <w:rPr>
          <w:rFonts w:asciiTheme="majorBidi" w:hAnsiTheme="majorBidi" w:cstheme="majorBidi"/>
        </w:rPr>
        <w:t>:323-34</w:t>
      </w:r>
    </w:p>
    <w:p w14:paraId="2AACE948" w14:textId="7CAE8FD6" w:rsidR="00712044" w:rsidRPr="009C0B84" w:rsidRDefault="00712044" w:rsidP="001F6B71">
      <w:pPr>
        <w:pStyle w:val="ListParagraph"/>
        <w:numPr>
          <w:ilvl w:val="0"/>
          <w:numId w:val="2"/>
        </w:numPr>
        <w:spacing w:before="100" w:beforeAutospacing="1" w:after="100" w:afterAutospacing="1" w:line="360" w:lineRule="auto"/>
        <w:ind w:left="360"/>
        <w:contextualSpacing w:val="0"/>
        <w:jc w:val="both"/>
        <w:rPr>
          <w:rFonts w:asciiTheme="majorBidi" w:hAnsiTheme="majorBidi" w:cstheme="majorBidi"/>
        </w:rPr>
      </w:pPr>
      <w:r w:rsidRPr="009C0B84">
        <w:rPr>
          <w:rFonts w:asciiTheme="majorBidi" w:hAnsiTheme="majorBidi" w:cstheme="majorBidi"/>
        </w:rPr>
        <w:t xml:space="preserve">Neal B, Perkovic V, Mahaffey KW, </w:t>
      </w:r>
      <w:r w:rsidR="00AC1E5A" w:rsidRPr="009C0B84">
        <w:rPr>
          <w:rFonts w:asciiTheme="majorBidi" w:hAnsiTheme="majorBidi" w:cstheme="majorBidi"/>
        </w:rPr>
        <w:t>et al</w:t>
      </w:r>
      <w:r w:rsidRPr="009C0B84">
        <w:rPr>
          <w:rFonts w:asciiTheme="majorBidi" w:hAnsiTheme="majorBidi" w:cstheme="majorBidi"/>
        </w:rPr>
        <w:t xml:space="preserve">. Canagliflozin and Cardiovascular and Renal Events in Type 2 Diabetes. </w:t>
      </w:r>
      <w:r w:rsidRPr="009C0B84">
        <w:rPr>
          <w:rFonts w:asciiTheme="majorBidi" w:hAnsiTheme="majorBidi" w:cstheme="majorBidi"/>
          <w:i/>
          <w:iCs/>
        </w:rPr>
        <w:t xml:space="preserve">N </w:t>
      </w:r>
      <w:proofErr w:type="spellStart"/>
      <w:r w:rsidR="00AC1E5A" w:rsidRPr="009C0B84">
        <w:rPr>
          <w:rFonts w:asciiTheme="majorBidi" w:hAnsiTheme="majorBidi" w:cstheme="majorBidi"/>
          <w:i/>
          <w:iCs/>
        </w:rPr>
        <w:t>Engl</w:t>
      </w:r>
      <w:proofErr w:type="spellEnd"/>
      <w:r w:rsidR="00AC1E5A" w:rsidRPr="009C0B84">
        <w:rPr>
          <w:rFonts w:asciiTheme="majorBidi" w:hAnsiTheme="majorBidi" w:cstheme="majorBidi"/>
          <w:i/>
          <w:iCs/>
        </w:rPr>
        <w:t xml:space="preserve"> J Med</w:t>
      </w:r>
      <w:r w:rsidRPr="009C0B84">
        <w:rPr>
          <w:rFonts w:asciiTheme="majorBidi" w:hAnsiTheme="majorBidi" w:cstheme="majorBidi"/>
        </w:rPr>
        <w:t xml:space="preserve"> 2017;</w:t>
      </w:r>
      <w:r w:rsidRPr="009C0B84">
        <w:rPr>
          <w:rFonts w:asciiTheme="majorBidi" w:hAnsiTheme="majorBidi" w:cstheme="majorBidi"/>
          <w:b/>
          <w:bCs/>
        </w:rPr>
        <w:t>377</w:t>
      </w:r>
      <w:r w:rsidR="00AC1E5A" w:rsidRPr="009C0B84">
        <w:rPr>
          <w:rFonts w:asciiTheme="majorBidi" w:hAnsiTheme="majorBidi" w:cstheme="majorBidi"/>
        </w:rPr>
        <w:t>:644-</w:t>
      </w:r>
      <w:r w:rsidRPr="009C0B84">
        <w:rPr>
          <w:rFonts w:asciiTheme="majorBidi" w:hAnsiTheme="majorBidi" w:cstheme="majorBidi"/>
        </w:rPr>
        <w:t>57</w:t>
      </w:r>
    </w:p>
    <w:p w14:paraId="6EF8FD08" w14:textId="01274B06" w:rsidR="002F3851" w:rsidRPr="009C0B84" w:rsidRDefault="002F3851" w:rsidP="001F6B71">
      <w:pPr>
        <w:pStyle w:val="ListParagraph"/>
        <w:numPr>
          <w:ilvl w:val="0"/>
          <w:numId w:val="2"/>
        </w:numPr>
        <w:spacing w:before="100" w:beforeAutospacing="1" w:after="100" w:afterAutospacing="1" w:line="360" w:lineRule="auto"/>
        <w:ind w:left="360"/>
        <w:contextualSpacing w:val="0"/>
        <w:jc w:val="both"/>
        <w:rPr>
          <w:rFonts w:asciiTheme="majorBidi" w:hAnsiTheme="majorBidi" w:cstheme="majorBidi"/>
        </w:rPr>
      </w:pPr>
      <w:proofErr w:type="spellStart"/>
      <w:r w:rsidRPr="009C0B84">
        <w:rPr>
          <w:rFonts w:asciiTheme="majorBidi" w:hAnsiTheme="majorBidi" w:cstheme="majorBidi"/>
        </w:rPr>
        <w:t>Scheen</w:t>
      </w:r>
      <w:proofErr w:type="spellEnd"/>
      <w:r w:rsidRPr="009C0B84">
        <w:rPr>
          <w:rFonts w:asciiTheme="majorBidi" w:hAnsiTheme="majorBidi" w:cstheme="majorBidi"/>
        </w:rPr>
        <w:t xml:space="preserve"> AJ. Pharmacodynamics, efficacy and safety of sodium-glucose co-transporter type 2 (SGLT2) inhibitors for the treatment of type 2 diabetes mellitus. </w:t>
      </w:r>
      <w:r w:rsidRPr="009C0B84">
        <w:rPr>
          <w:rFonts w:asciiTheme="majorBidi" w:hAnsiTheme="majorBidi" w:cstheme="majorBidi"/>
          <w:i/>
          <w:iCs/>
        </w:rPr>
        <w:t>Drugs</w:t>
      </w:r>
      <w:r w:rsidRPr="009C0B84">
        <w:rPr>
          <w:rFonts w:asciiTheme="majorBidi" w:hAnsiTheme="majorBidi" w:cstheme="majorBidi"/>
        </w:rPr>
        <w:t xml:space="preserve"> 2015</w:t>
      </w:r>
      <w:proofErr w:type="gramStart"/>
      <w:r w:rsidRPr="009C0B84">
        <w:rPr>
          <w:rFonts w:asciiTheme="majorBidi" w:hAnsiTheme="majorBidi" w:cstheme="majorBidi"/>
        </w:rPr>
        <w:t>;</w:t>
      </w:r>
      <w:r w:rsidRPr="009C0B84">
        <w:rPr>
          <w:rFonts w:asciiTheme="majorBidi" w:hAnsiTheme="majorBidi" w:cstheme="majorBidi"/>
          <w:b/>
          <w:bCs/>
        </w:rPr>
        <w:t>75</w:t>
      </w:r>
      <w:r w:rsidRPr="009C0B84">
        <w:rPr>
          <w:rFonts w:asciiTheme="majorBidi" w:hAnsiTheme="majorBidi" w:cstheme="majorBidi"/>
        </w:rPr>
        <w:t>:33</w:t>
      </w:r>
      <w:proofErr w:type="gramEnd"/>
      <w:r w:rsidRPr="009C0B84">
        <w:rPr>
          <w:rFonts w:asciiTheme="majorBidi" w:hAnsiTheme="majorBidi" w:cstheme="majorBidi"/>
        </w:rPr>
        <w:t>-59.</w:t>
      </w:r>
    </w:p>
    <w:p w14:paraId="290B8EBB" w14:textId="711489BC" w:rsidR="008E747A" w:rsidRPr="009C0B84" w:rsidRDefault="008E747A" w:rsidP="001F6B71">
      <w:pPr>
        <w:pStyle w:val="ListParagraph"/>
        <w:numPr>
          <w:ilvl w:val="0"/>
          <w:numId w:val="2"/>
        </w:numPr>
        <w:spacing w:before="100" w:beforeAutospacing="1" w:after="100" w:afterAutospacing="1" w:line="360" w:lineRule="auto"/>
        <w:ind w:left="360"/>
        <w:contextualSpacing w:val="0"/>
        <w:jc w:val="both"/>
        <w:rPr>
          <w:rFonts w:asciiTheme="majorBidi" w:hAnsiTheme="majorBidi" w:cstheme="majorBidi"/>
          <w:color w:val="000000" w:themeColor="text1"/>
        </w:rPr>
      </w:pPr>
      <w:r w:rsidRPr="009C0B84">
        <w:rPr>
          <w:rFonts w:asciiTheme="majorBidi" w:hAnsiTheme="majorBidi" w:cstheme="majorBidi"/>
          <w:color w:val="000000" w:themeColor="text1"/>
        </w:rPr>
        <w:t xml:space="preserve">FDA drug safety communications. </w:t>
      </w:r>
      <w:hyperlink r:id="rId7" w:history="1">
        <w:r w:rsidRPr="009C0B84">
          <w:rPr>
            <w:rFonts w:asciiTheme="majorBidi" w:hAnsiTheme="majorBidi" w:cstheme="majorBidi"/>
            <w:color w:val="000000" w:themeColor="text1"/>
          </w:rPr>
          <w:t>https://www.fda.gov/drugs/drug-safety-and-availability/fda-drug-safety-communication-fda-revises-label-diabetes-drug-canagliflozin-invokana-invokamet</w:t>
        </w:r>
      </w:hyperlink>
      <w:r w:rsidRPr="009C0B84">
        <w:rPr>
          <w:rFonts w:asciiTheme="majorBidi" w:hAnsiTheme="majorBidi" w:cstheme="majorBidi"/>
          <w:color w:val="000000" w:themeColor="text1"/>
        </w:rPr>
        <w:t xml:space="preserve">; </w:t>
      </w:r>
      <w:hyperlink r:id="rId8" w:history="1">
        <w:r w:rsidRPr="009C0B84">
          <w:rPr>
            <w:rFonts w:asciiTheme="majorBidi" w:hAnsiTheme="majorBidi" w:cstheme="majorBidi"/>
            <w:color w:val="000000" w:themeColor="text1"/>
          </w:rPr>
          <w:t>https://www.fda.gov/drugs/drug-safety-and-availability/fda-drug-safety-communication-fda-strengthens-kidney-warnings-diabetes-medicines-canagliflozin</w:t>
        </w:r>
      </w:hyperlink>
      <w:r w:rsidRPr="009C0B84">
        <w:rPr>
          <w:rFonts w:asciiTheme="majorBidi" w:hAnsiTheme="majorBidi" w:cstheme="majorBidi"/>
          <w:color w:val="000000" w:themeColor="text1"/>
        </w:rPr>
        <w:t>. Last accessed July 10, 2019.</w:t>
      </w:r>
    </w:p>
    <w:p w14:paraId="7122E597" w14:textId="4B5578E4" w:rsidR="00493213" w:rsidRPr="009C0B84" w:rsidRDefault="00FC4247" w:rsidP="001F6B71">
      <w:pPr>
        <w:pStyle w:val="ListParagraph"/>
        <w:numPr>
          <w:ilvl w:val="0"/>
          <w:numId w:val="2"/>
        </w:numPr>
        <w:spacing w:before="100" w:beforeAutospacing="1" w:after="100" w:afterAutospacing="1" w:line="360" w:lineRule="auto"/>
        <w:ind w:left="360"/>
        <w:contextualSpacing w:val="0"/>
        <w:jc w:val="both"/>
        <w:rPr>
          <w:rFonts w:asciiTheme="majorBidi" w:hAnsiTheme="majorBidi" w:cstheme="majorBidi"/>
          <w:color w:val="000000" w:themeColor="text1"/>
        </w:rPr>
      </w:pPr>
      <w:r w:rsidRPr="009C0B84">
        <w:rPr>
          <w:rFonts w:asciiTheme="majorBidi" w:hAnsiTheme="majorBidi" w:cstheme="majorBidi"/>
          <w:color w:val="000000" w:themeColor="text1"/>
        </w:rPr>
        <w:t xml:space="preserve">Summary of product characteristics. Available at: </w:t>
      </w:r>
      <w:r w:rsidR="00493213" w:rsidRPr="009C0B84">
        <w:rPr>
          <w:rFonts w:asciiTheme="majorBidi" w:hAnsiTheme="majorBidi" w:cstheme="majorBidi"/>
          <w:color w:val="000000" w:themeColor="text1"/>
        </w:rPr>
        <w:t>https://www.ema.europa.eu/en/documents/product-information/forxiga-epar-product-information_en.pdf</w:t>
      </w:r>
      <w:r w:rsidRPr="009C0B84">
        <w:rPr>
          <w:rFonts w:asciiTheme="majorBidi" w:hAnsiTheme="majorBidi" w:cstheme="majorBidi"/>
          <w:color w:val="000000" w:themeColor="text1"/>
        </w:rPr>
        <w:t>. Last accessed July 10, 2019.</w:t>
      </w:r>
    </w:p>
    <w:p w14:paraId="62CEB522" w14:textId="0841F922" w:rsidR="00117CF7" w:rsidRPr="009C0B84" w:rsidRDefault="00117CF7" w:rsidP="001F6B71">
      <w:pPr>
        <w:pStyle w:val="ListParagraph"/>
        <w:numPr>
          <w:ilvl w:val="0"/>
          <w:numId w:val="2"/>
        </w:numPr>
        <w:spacing w:before="100" w:beforeAutospacing="1" w:after="100" w:afterAutospacing="1" w:line="360" w:lineRule="auto"/>
        <w:ind w:left="360"/>
        <w:contextualSpacing w:val="0"/>
        <w:jc w:val="both"/>
        <w:rPr>
          <w:rFonts w:asciiTheme="majorBidi" w:hAnsiTheme="majorBidi" w:cstheme="majorBidi"/>
        </w:rPr>
      </w:pPr>
      <w:r w:rsidRPr="009C0B84">
        <w:rPr>
          <w:rFonts w:asciiTheme="majorBidi" w:hAnsiTheme="majorBidi" w:cstheme="majorBidi"/>
          <w:lang w:val="sv-SE"/>
        </w:rPr>
        <w:t xml:space="preserve">Wiviott SD, Raz I, Bonaca MP, </w:t>
      </w:r>
      <w:r w:rsidR="00AC1E5A" w:rsidRPr="009C0B84">
        <w:rPr>
          <w:rFonts w:asciiTheme="majorBidi" w:hAnsiTheme="majorBidi" w:cstheme="majorBidi"/>
          <w:lang w:val="sv-SE"/>
        </w:rPr>
        <w:t>et al</w:t>
      </w:r>
      <w:r w:rsidRPr="009C0B84">
        <w:rPr>
          <w:rFonts w:asciiTheme="majorBidi" w:hAnsiTheme="majorBidi" w:cstheme="majorBidi"/>
          <w:lang w:val="sv-SE"/>
        </w:rPr>
        <w:t xml:space="preserve">. </w:t>
      </w:r>
      <w:r w:rsidRPr="009C0B84">
        <w:rPr>
          <w:rFonts w:asciiTheme="majorBidi" w:hAnsiTheme="majorBidi" w:cstheme="majorBidi"/>
        </w:rPr>
        <w:t xml:space="preserve">The design and rationale for the Dapagliflozin Effect on Cardiovascular Events (DECLARE)-TIMI 58 Trial. </w:t>
      </w:r>
      <w:r w:rsidRPr="009C0B84">
        <w:rPr>
          <w:rFonts w:asciiTheme="majorBidi" w:hAnsiTheme="majorBidi" w:cstheme="majorBidi"/>
          <w:i/>
          <w:iCs/>
        </w:rPr>
        <w:t>Am Heart</w:t>
      </w:r>
      <w:r w:rsidR="00CC0317" w:rsidRPr="009C0B84">
        <w:rPr>
          <w:rFonts w:asciiTheme="majorBidi" w:hAnsiTheme="majorBidi" w:cstheme="majorBidi"/>
          <w:i/>
          <w:iCs/>
        </w:rPr>
        <w:t xml:space="preserve"> </w:t>
      </w:r>
      <w:r w:rsidRPr="009C0B84">
        <w:rPr>
          <w:rFonts w:asciiTheme="majorBidi" w:hAnsiTheme="majorBidi" w:cstheme="majorBidi"/>
          <w:i/>
          <w:iCs/>
        </w:rPr>
        <w:t>J</w:t>
      </w:r>
      <w:r w:rsidRPr="009C0B84">
        <w:rPr>
          <w:rFonts w:asciiTheme="majorBidi" w:hAnsiTheme="majorBidi" w:cstheme="majorBidi"/>
        </w:rPr>
        <w:t xml:space="preserve"> 2018</w:t>
      </w:r>
      <w:proofErr w:type="gramStart"/>
      <w:r w:rsidRPr="009C0B84">
        <w:rPr>
          <w:rFonts w:asciiTheme="majorBidi" w:hAnsiTheme="majorBidi" w:cstheme="majorBidi"/>
        </w:rPr>
        <w:t>;</w:t>
      </w:r>
      <w:r w:rsidRPr="009C0B84">
        <w:rPr>
          <w:rFonts w:asciiTheme="majorBidi" w:hAnsiTheme="majorBidi" w:cstheme="majorBidi"/>
          <w:b/>
          <w:bCs/>
        </w:rPr>
        <w:t>200</w:t>
      </w:r>
      <w:r w:rsidR="00AC1E5A" w:rsidRPr="009C0B84">
        <w:rPr>
          <w:rFonts w:asciiTheme="majorBidi" w:hAnsiTheme="majorBidi" w:cstheme="majorBidi"/>
        </w:rPr>
        <w:t>:83</w:t>
      </w:r>
      <w:proofErr w:type="gramEnd"/>
      <w:r w:rsidR="00AC1E5A" w:rsidRPr="009C0B84">
        <w:rPr>
          <w:rFonts w:asciiTheme="majorBidi" w:hAnsiTheme="majorBidi" w:cstheme="majorBidi"/>
        </w:rPr>
        <w:t>-9</w:t>
      </w:r>
      <w:r w:rsidRPr="009C0B84">
        <w:rPr>
          <w:rFonts w:asciiTheme="majorBidi" w:hAnsiTheme="majorBidi" w:cstheme="majorBidi"/>
        </w:rPr>
        <w:t xml:space="preserve">. </w:t>
      </w:r>
    </w:p>
    <w:p w14:paraId="2F07CD1E" w14:textId="686090E9" w:rsidR="00117CF7" w:rsidRPr="009C0B84" w:rsidRDefault="00117CF7" w:rsidP="001F6B71">
      <w:pPr>
        <w:pStyle w:val="ListParagraph"/>
        <w:numPr>
          <w:ilvl w:val="0"/>
          <w:numId w:val="2"/>
        </w:numPr>
        <w:spacing w:before="100" w:beforeAutospacing="1" w:after="100" w:afterAutospacing="1" w:line="360" w:lineRule="auto"/>
        <w:ind w:left="360"/>
        <w:contextualSpacing w:val="0"/>
        <w:jc w:val="both"/>
        <w:rPr>
          <w:rFonts w:asciiTheme="majorBidi" w:hAnsiTheme="majorBidi" w:cstheme="majorBidi"/>
        </w:rPr>
      </w:pPr>
      <w:r w:rsidRPr="009C0B84">
        <w:rPr>
          <w:rFonts w:asciiTheme="majorBidi" w:hAnsiTheme="majorBidi" w:cstheme="majorBidi"/>
        </w:rPr>
        <w:t xml:space="preserve">Raz I, Mosenzon O, Bonaca MP, </w:t>
      </w:r>
      <w:r w:rsidR="00AC1E5A" w:rsidRPr="009C0B84">
        <w:rPr>
          <w:rFonts w:asciiTheme="majorBidi" w:hAnsiTheme="majorBidi" w:cstheme="majorBidi"/>
        </w:rPr>
        <w:t>et al</w:t>
      </w:r>
      <w:r w:rsidRPr="009C0B84">
        <w:rPr>
          <w:rFonts w:asciiTheme="majorBidi" w:hAnsiTheme="majorBidi" w:cstheme="majorBidi"/>
        </w:rPr>
        <w:t xml:space="preserve">. DECLARE-TIMI 58: Participants' baseline characteristics. </w:t>
      </w:r>
      <w:r w:rsidRPr="009C0B84">
        <w:rPr>
          <w:rFonts w:asciiTheme="majorBidi" w:hAnsiTheme="majorBidi" w:cstheme="majorBidi"/>
          <w:i/>
          <w:iCs/>
        </w:rPr>
        <w:t xml:space="preserve">Diabetes </w:t>
      </w:r>
      <w:proofErr w:type="spellStart"/>
      <w:r w:rsidRPr="009C0B84">
        <w:rPr>
          <w:rFonts w:asciiTheme="majorBidi" w:hAnsiTheme="majorBidi" w:cstheme="majorBidi"/>
          <w:i/>
          <w:iCs/>
        </w:rPr>
        <w:t>Obes</w:t>
      </w:r>
      <w:proofErr w:type="spellEnd"/>
      <w:r w:rsidRPr="009C0B84">
        <w:rPr>
          <w:rFonts w:asciiTheme="majorBidi" w:hAnsiTheme="majorBidi" w:cstheme="majorBidi"/>
          <w:i/>
          <w:iCs/>
        </w:rPr>
        <w:t xml:space="preserve"> </w:t>
      </w:r>
      <w:proofErr w:type="spellStart"/>
      <w:r w:rsidRPr="009C0B84">
        <w:rPr>
          <w:rFonts w:asciiTheme="majorBidi" w:hAnsiTheme="majorBidi" w:cstheme="majorBidi"/>
          <w:i/>
          <w:iCs/>
        </w:rPr>
        <w:t>Metab</w:t>
      </w:r>
      <w:proofErr w:type="spellEnd"/>
      <w:r w:rsidRPr="009C0B84">
        <w:rPr>
          <w:rFonts w:asciiTheme="majorBidi" w:hAnsiTheme="majorBidi" w:cstheme="majorBidi"/>
        </w:rPr>
        <w:t xml:space="preserve"> 2018</w:t>
      </w:r>
      <w:proofErr w:type="gramStart"/>
      <w:r w:rsidRPr="009C0B84">
        <w:rPr>
          <w:rFonts w:asciiTheme="majorBidi" w:hAnsiTheme="majorBidi" w:cstheme="majorBidi"/>
        </w:rPr>
        <w:t>;</w:t>
      </w:r>
      <w:r w:rsidRPr="009C0B84">
        <w:rPr>
          <w:rFonts w:asciiTheme="majorBidi" w:hAnsiTheme="majorBidi" w:cstheme="majorBidi"/>
          <w:b/>
          <w:bCs/>
        </w:rPr>
        <w:t>20</w:t>
      </w:r>
      <w:r w:rsidRPr="009C0B84">
        <w:rPr>
          <w:rFonts w:asciiTheme="majorBidi" w:hAnsiTheme="majorBidi" w:cstheme="majorBidi"/>
        </w:rPr>
        <w:t>:1102</w:t>
      </w:r>
      <w:proofErr w:type="gramEnd"/>
      <w:r w:rsidRPr="009C0B84">
        <w:rPr>
          <w:rFonts w:asciiTheme="majorBidi" w:hAnsiTheme="majorBidi" w:cstheme="majorBidi"/>
        </w:rPr>
        <w:t xml:space="preserve">-10. </w:t>
      </w:r>
    </w:p>
    <w:p w14:paraId="5954C3BA" w14:textId="5BEC7118" w:rsidR="00B32199" w:rsidRPr="009C0B84" w:rsidRDefault="00B32199" w:rsidP="001F6B71">
      <w:pPr>
        <w:pStyle w:val="ListParagraph"/>
        <w:numPr>
          <w:ilvl w:val="0"/>
          <w:numId w:val="2"/>
        </w:numPr>
        <w:spacing w:before="100" w:beforeAutospacing="1" w:after="100" w:afterAutospacing="1" w:line="360" w:lineRule="auto"/>
        <w:ind w:left="360"/>
        <w:contextualSpacing w:val="0"/>
        <w:jc w:val="both"/>
        <w:rPr>
          <w:rFonts w:asciiTheme="majorBidi" w:hAnsiTheme="majorBidi" w:cstheme="majorBidi"/>
        </w:rPr>
      </w:pPr>
      <w:r w:rsidRPr="009C0B84">
        <w:rPr>
          <w:rFonts w:asciiTheme="majorBidi" w:hAnsiTheme="majorBidi" w:cstheme="majorBidi"/>
        </w:rPr>
        <w:t xml:space="preserve">American Diabetes Association. 6. Glycemic Targets: Standards of Medical Care in Diabetes-2019. </w:t>
      </w:r>
      <w:r w:rsidRPr="009C0B84">
        <w:rPr>
          <w:rFonts w:asciiTheme="majorBidi" w:hAnsiTheme="majorBidi" w:cstheme="majorBidi"/>
          <w:i/>
          <w:iCs/>
        </w:rPr>
        <w:t>Diabetes Care</w:t>
      </w:r>
      <w:r w:rsidR="00AC1E5A" w:rsidRPr="009C0B84">
        <w:rPr>
          <w:rFonts w:asciiTheme="majorBidi" w:hAnsiTheme="majorBidi" w:cstheme="majorBidi"/>
        </w:rPr>
        <w:t>. 2019</w:t>
      </w:r>
      <w:r w:rsidRPr="009C0B84">
        <w:rPr>
          <w:rFonts w:asciiTheme="majorBidi" w:hAnsiTheme="majorBidi" w:cstheme="majorBidi"/>
        </w:rPr>
        <w:t>;42(</w:t>
      </w:r>
      <w:proofErr w:type="spellStart"/>
      <w:r w:rsidRPr="009C0B84">
        <w:rPr>
          <w:rFonts w:asciiTheme="majorBidi" w:hAnsiTheme="majorBidi" w:cstheme="majorBidi"/>
        </w:rPr>
        <w:t>Suppl</w:t>
      </w:r>
      <w:proofErr w:type="spellEnd"/>
      <w:r w:rsidRPr="009C0B84">
        <w:rPr>
          <w:rFonts w:asciiTheme="majorBidi" w:hAnsiTheme="majorBidi" w:cstheme="majorBidi"/>
        </w:rPr>
        <w:t xml:space="preserve"> 1):S61-S70 </w:t>
      </w:r>
    </w:p>
    <w:p w14:paraId="02077E33" w14:textId="394E7CC8" w:rsidR="00176004" w:rsidRPr="009C0B84" w:rsidRDefault="00176004" w:rsidP="001F6B71">
      <w:pPr>
        <w:pStyle w:val="ListParagraph"/>
        <w:numPr>
          <w:ilvl w:val="0"/>
          <w:numId w:val="2"/>
        </w:numPr>
        <w:spacing w:before="100" w:beforeAutospacing="1" w:after="100" w:afterAutospacing="1" w:line="360" w:lineRule="auto"/>
        <w:ind w:left="360"/>
        <w:contextualSpacing w:val="0"/>
        <w:jc w:val="both"/>
        <w:rPr>
          <w:rFonts w:asciiTheme="majorBidi" w:hAnsiTheme="majorBidi" w:cstheme="majorBidi"/>
        </w:rPr>
      </w:pPr>
      <w:proofErr w:type="spellStart"/>
      <w:r w:rsidRPr="009C0B84">
        <w:rPr>
          <w:rFonts w:asciiTheme="majorBidi" w:hAnsiTheme="majorBidi" w:cstheme="majorBidi"/>
        </w:rPr>
        <w:t>Schork</w:t>
      </w:r>
      <w:proofErr w:type="spellEnd"/>
      <w:r w:rsidRPr="009C0B84">
        <w:rPr>
          <w:rFonts w:asciiTheme="majorBidi" w:hAnsiTheme="majorBidi" w:cstheme="majorBidi"/>
        </w:rPr>
        <w:t xml:space="preserve"> A, </w:t>
      </w:r>
      <w:proofErr w:type="spellStart"/>
      <w:r w:rsidRPr="009C0B84">
        <w:rPr>
          <w:rFonts w:asciiTheme="majorBidi" w:hAnsiTheme="majorBidi" w:cstheme="majorBidi"/>
        </w:rPr>
        <w:t>Saynisch</w:t>
      </w:r>
      <w:proofErr w:type="spellEnd"/>
      <w:r w:rsidRPr="009C0B84">
        <w:rPr>
          <w:rFonts w:asciiTheme="majorBidi" w:hAnsiTheme="majorBidi" w:cstheme="majorBidi"/>
        </w:rPr>
        <w:t xml:space="preserve"> J, </w:t>
      </w:r>
      <w:proofErr w:type="spellStart"/>
      <w:r w:rsidRPr="009C0B84">
        <w:rPr>
          <w:rFonts w:asciiTheme="majorBidi" w:hAnsiTheme="majorBidi" w:cstheme="majorBidi"/>
        </w:rPr>
        <w:t>Vosseler</w:t>
      </w:r>
      <w:proofErr w:type="spellEnd"/>
      <w:r w:rsidRPr="009C0B84">
        <w:rPr>
          <w:rFonts w:asciiTheme="majorBidi" w:hAnsiTheme="majorBidi" w:cstheme="majorBidi"/>
        </w:rPr>
        <w:t xml:space="preserve"> A, </w:t>
      </w:r>
      <w:r w:rsidR="00AC1E5A" w:rsidRPr="009C0B84">
        <w:rPr>
          <w:rFonts w:asciiTheme="majorBidi" w:hAnsiTheme="majorBidi" w:cstheme="majorBidi"/>
        </w:rPr>
        <w:t>et al</w:t>
      </w:r>
      <w:r w:rsidRPr="009C0B84">
        <w:rPr>
          <w:rFonts w:asciiTheme="majorBidi" w:hAnsiTheme="majorBidi" w:cstheme="majorBidi"/>
        </w:rPr>
        <w:t xml:space="preserve">. Effect of SGLT2 inhibitors on body composition, fluid status and renin-angiotensin-aldosterone system in type 2 diabetes: a prospective study using </w:t>
      </w:r>
      <w:proofErr w:type="spellStart"/>
      <w:r w:rsidRPr="009C0B84">
        <w:rPr>
          <w:rFonts w:asciiTheme="majorBidi" w:hAnsiTheme="majorBidi" w:cstheme="majorBidi"/>
        </w:rPr>
        <w:t>bioimpedance</w:t>
      </w:r>
      <w:proofErr w:type="spellEnd"/>
      <w:r w:rsidRPr="009C0B84">
        <w:rPr>
          <w:rFonts w:asciiTheme="majorBidi" w:hAnsiTheme="majorBidi" w:cstheme="majorBidi"/>
        </w:rPr>
        <w:t xml:space="preserve"> spectroscopy. </w:t>
      </w:r>
      <w:proofErr w:type="spellStart"/>
      <w:r w:rsidRPr="009C0B84">
        <w:rPr>
          <w:rFonts w:asciiTheme="majorBidi" w:hAnsiTheme="majorBidi" w:cstheme="majorBidi"/>
          <w:i/>
          <w:iCs/>
        </w:rPr>
        <w:t>Cardiovasc</w:t>
      </w:r>
      <w:proofErr w:type="spellEnd"/>
      <w:r w:rsidRPr="009C0B84">
        <w:rPr>
          <w:rFonts w:asciiTheme="majorBidi" w:hAnsiTheme="majorBidi" w:cstheme="majorBidi"/>
          <w:i/>
          <w:iCs/>
        </w:rPr>
        <w:t xml:space="preserve"> </w:t>
      </w:r>
      <w:proofErr w:type="spellStart"/>
      <w:r w:rsidRPr="009C0B84">
        <w:rPr>
          <w:rFonts w:asciiTheme="majorBidi" w:hAnsiTheme="majorBidi" w:cstheme="majorBidi"/>
          <w:i/>
          <w:iCs/>
        </w:rPr>
        <w:t>Diabetol</w:t>
      </w:r>
      <w:proofErr w:type="spellEnd"/>
      <w:r w:rsidRPr="009C0B84">
        <w:rPr>
          <w:rFonts w:asciiTheme="majorBidi" w:hAnsiTheme="majorBidi" w:cstheme="majorBidi"/>
        </w:rPr>
        <w:t xml:space="preserve"> 2019</w:t>
      </w:r>
      <w:proofErr w:type="gramStart"/>
      <w:r w:rsidRPr="009C0B84">
        <w:rPr>
          <w:rFonts w:asciiTheme="majorBidi" w:hAnsiTheme="majorBidi" w:cstheme="majorBidi"/>
        </w:rPr>
        <w:t>;</w:t>
      </w:r>
      <w:r w:rsidRPr="009C0B84">
        <w:rPr>
          <w:rFonts w:asciiTheme="majorBidi" w:hAnsiTheme="majorBidi" w:cstheme="majorBidi"/>
          <w:b/>
          <w:bCs/>
        </w:rPr>
        <w:t>18</w:t>
      </w:r>
      <w:r w:rsidRPr="009C0B84">
        <w:rPr>
          <w:rFonts w:asciiTheme="majorBidi" w:hAnsiTheme="majorBidi" w:cstheme="majorBidi"/>
        </w:rPr>
        <w:t>:46</w:t>
      </w:r>
      <w:proofErr w:type="gramEnd"/>
      <w:r w:rsidR="00AC1E5A" w:rsidRPr="009C0B84">
        <w:rPr>
          <w:rFonts w:asciiTheme="majorBidi" w:hAnsiTheme="majorBidi" w:cstheme="majorBidi"/>
        </w:rPr>
        <w:t>-58</w:t>
      </w:r>
      <w:r w:rsidRPr="009C0B84">
        <w:rPr>
          <w:rFonts w:asciiTheme="majorBidi" w:hAnsiTheme="majorBidi" w:cstheme="majorBidi"/>
        </w:rPr>
        <w:t>.</w:t>
      </w:r>
    </w:p>
    <w:p w14:paraId="44B086FE" w14:textId="6697B968" w:rsidR="005356BD" w:rsidRPr="009C0B84" w:rsidRDefault="005356BD" w:rsidP="001F6B71">
      <w:pPr>
        <w:pStyle w:val="ListParagraph"/>
        <w:numPr>
          <w:ilvl w:val="0"/>
          <w:numId w:val="2"/>
        </w:numPr>
        <w:spacing w:before="100" w:beforeAutospacing="1" w:after="100" w:afterAutospacing="1" w:line="360" w:lineRule="auto"/>
        <w:ind w:left="360"/>
        <w:contextualSpacing w:val="0"/>
        <w:jc w:val="both"/>
        <w:rPr>
          <w:rFonts w:asciiTheme="majorBidi" w:hAnsiTheme="majorBidi" w:cstheme="majorBidi"/>
        </w:rPr>
      </w:pPr>
      <w:r w:rsidRPr="009C0B84">
        <w:rPr>
          <w:rFonts w:asciiTheme="majorBidi" w:hAnsiTheme="majorBidi" w:cstheme="majorBidi"/>
        </w:rPr>
        <w:t xml:space="preserve">Leiter LA, Cefalu WT, de Bruin TW, Gause-Nilsson I, </w:t>
      </w:r>
      <w:proofErr w:type="spellStart"/>
      <w:r w:rsidRPr="009C0B84">
        <w:rPr>
          <w:rFonts w:asciiTheme="majorBidi" w:hAnsiTheme="majorBidi" w:cstheme="majorBidi"/>
        </w:rPr>
        <w:t>Sugg</w:t>
      </w:r>
      <w:proofErr w:type="spellEnd"/>
      <w:r w:rsidRPr="009C0B84">
        <w:rPr>
          <w:rFonts w:asciiTheme="majorBidi" w:hAnsiTheme="majorBidi" w:cstheme="majorBidi"/>
        </w:rPr>
        <w:t xml:space="preserve"> J, Parikh SJ.</w:t>
      </w:r>
      <w:r w:rsidR="009718AF" w:rsidRPr="009C0B84">
        <w:rPr>
          <w:rFonts w:asciiTheme="majorBidi" w:hAnsiTheme="majorBidi" w:cstheme="majorBidi"/>
        </w:rPr>
        <w:t xml:space="preserve"> </w:t>
      </w:r>
      <w:r w:rsidRPr="009C0B84">
        <w:rPr>
          <w:rFonts w:asciiTheme="majorBidi" w:hAnsiTheme="majorBidi" w:cstheme="majorBidi"/>
        </w:rPr>
        <w:t xml:space="preserve">Dapagliflozin added to usual care in individuals with type 2 diabetes mellitus with preexisting cardiovascular disease: a 24-week, multicenter, randomized, double-blind, placebo-controlled study with a 28-week extension. J </w:t>
      </w:r>
      <w:r w:rsidRPr="009C0B84">
        <w:rPr>
          <w:rFonts w:asciiTheme="majorBidi" w:hAnsiTheme="majorBidi" w:cstheme="majorBidi"/>
          <w:i/>
          <w:iCs/>
        </w:rPr>
        <w:t xml:space="preserve">Am </w:t>
      </w:r>
      <w:proofErr w:type="spellStart"/>
      <w:r w:rsidRPr="009C0B84">
        <w:rPr>
          <w:rFonts w:asciiTheme="majorBidi" w:hAnsiTheme="majorBidi" w:cstheme="majorBidi"/>
          <w:i/>
          <w:iCs/>
        </w:rPr>
        <w:t>Geriatr</w:t>
      </w:r>
      <w:proofErr w:type="spellEnd"/>
      <w:r w:rsidRPr="009C0B84">
        <w:rPr>
          <w:rFonts w:asciiTheme="majorBidi" w:hAnsiTheme="majorBidi" w:cstheme="majorBidi"/>
          <w:i/>
          <w:iCs/>
        </w:rPr>
        <w:t xml:space="preserve"> </w:t>
      </w:r>
      <w:proofErr w:type="spellStart"/>
      <w:r w:rsidRPr="009C0B84">
        <w:rPr>
          <w:rFonts w:asciiTheme="majorBidi" w:hAnsiTheme="majorBidi" w:cstheme="majorBidi"/>
          <w:i/>
          <w:iCs/>
        </w:rPr>
        <w:t>Soc</w:t>
      </w:r>
      <w:proofErr w:type="spellEnd"/>
      <w:r w:rsidR="009718AF" w:rsidRPr="009C0B84">
        <w:rPr>
          <w:rFonts w:asciiTheme="majorBidi" w:hAnsiTheme="majorBidi" w:cstheme="majorBidi"/>
        </w:rPr>
        <w:t xml:space="preserve"> 2014</w:t>
      </w:r>
      <w:r w:rsidRPr="009C0B84">
        <w:rPr>
          <w:rFonts w:asciiTheme="majorBidi" w:hAnsiTheme="majorBidi" w:cstheme="majorBidi"/>
        </w:rPr>
        <w:t>;</w:t>
      </w:r>
      <w:r w:rsidRPr="009C0B84">
        <w:rPr>
          <w:rFonts w:asciiTheme="majorBidi" w:hAnsiTheme="majorBidi" w:cstheme="majorBidi"/>
          <w:b/>
          <w:bCs/>
        </w:rPr>
        <w:t>62</w:t>
      </w:r>
      <w:r w:rsidRPr="009C0B84">
        <w:rPr>
          <w:rFonts w:asciiTheme="majorBidi" w:hAnsiTheme="majorBidi" w:cstheme="majorBidi"/>
        </w:rPr>
        <w:t>:1252-62</w:t>
      </w:r>
    </w:p>
    <w:p w14:paraId="23E58985" w14:textId="411FF51E" w:rsidR="0037073D" w:rsidRPr="009C0B84" w:rsidRDefault="0037073D" w:rsidP="001F6B71">
      <w:pPr>
        <w:pStyle w:val="ListParagraph"/>
        <w:numPr>
          <w:ilvl w:val="0"/>
          <w:numId w:val="2"/>
        </w:numPr>
        <w:spacing w:before="100" w:beforeAutospacing="1" w:after="100" w:afterAutospacing="1" w:line="360" w:lineRule="auto"/>
        <w:ind w:left="360"/>
        <w:contextualSpacing w:val="0"/>
        <w:jc w:val="both"/>
        <w:rPr>
          <w:rFonts w:asciiTheme="majorBidi" w:hAnsiTheme="majorBidi" w:cstheme="majorBidi"/>
        </w:rPr>
      </w:pPr>
      <w:proofErr w:type="spellStart"/>
      <w:r w:rsidRPr="009C0B84">
        <w:rPr>
          <w:rFonts w:asciiTheme="majorBidi" w:hAnsiTheme="majorBidi" w:cstheme="majorBidi"/>
        </w:rPr>
        <w:t>Yokote</w:t>
      </w:r>
      <w:proofErr w:type="spellEnd"/>
      <w:r w:rsidRPr="009C0B84">
        <w:rPr>
          <w:rFonts w:asciiTheme="majorBidi" w:hAnsiTheme="majorBidi" w:cstheme="majorBidi"/>
        </w:rPr>
        <w:t xml:space="preserve"> K, Terauchi Y, Nakamura I, </w:t>
      </w:r>
      <w:proofErr w:type="spellStart"/>
      <w:r w:rsidRPr="009C0B84">
        <w:rPr>
          <w:rFonts w:asciiTheme="majorBidi" w:hAnsiTheme="majorBidi" w:cstheme="majorBidi"/>
        </w:rPr>
        <w:t>Sugamori</w:t>
      </w:r>
      <w:proofErr w:type="spellEnd"/>
      <w:r w:rsidRPr="009C0B84">
        <w:rPr>
          <w:rFonts w:asciiTheme="majorBidi" w:hAnsiTheme="majorBidi" w:cstheme="majorBidi"/>
        </w:rPr>
        <w:t xml:space="preserve"> H. Real-world evidence for the safety of ipragliflozin in elderly Japanese patients with type 2 diabetes mellitus (STELLA-ELDER): final results of a post-marketing surveillance study. </w:t>
      </w:r>
      <w:r w:rsidRPr="009C0B84">
        <w:rPr>
          <w:rFonts w:asciiTheme="majorBidi" w:hAnsiTheme="majorBidi" w:cstheme="majorBidi"/>
          <w:i/>
          <w:iCs/>
        </w:rPr>
        <w:t xml:space="preserve">Expert </w:t>
      </w:r>
      <w:proofErr w:type="spellStart"/>
      <w:r w:rsidRPr="009C0B84">
        <w:rPr>
          <w:rFonts w:asciiTheme="majorBidi" w:hAnsiTheme="majorBidi" w:cstheme="majorBidi"/>
          <w:i/>
          <w:iCs/>
        </w:rPr>
        <w:t>Opin</w:t>
      </w:r>
      <w:proofErr w:type="spellEnd"/>
      <w:r w:rsidRPr="009C0B84">
        <w:rPr>
          <w:rFonts w:asciiTheme="majorBidi" w:hAnsiTheme="majorBidi" w:cstheme="majorBidi"/>
          <w:i/>
          <w:iCs/>
        </w:rPr>
        <w:t xml:space="preserve"> </w:t>
      </w:r>
      <w:proofErr w:type="spellStart"/>
      <w:r w:rsidRPr="009C0B84">
        <w:rPr>
          <w:rFonts w:asciiTheme="majorBidi" w:hAnsiTheme="majorBidi" w:cstheme="majorBidi"/>
          <w:i/>
          <w:iCs/>
        </w:rPr>
        <w:t>Pharmacother</w:t>
      </w:r>
      <w:proofErr w:type="spellEnd"/>
      <w:r w:rsidRPr="009C0B84">
        <w:rPr>
          <w:rFonts w:asciiTheme="majorBidi" w:hAnsiTheme="majorBidi" w:cstheme="majorBidi"/>
        </w:rPr>
        <w:t xml:space="preserve"> 2016</w:t>
      </w:r>
      <w:proofErr w:type="gramStart"/>
      <w:r w:rsidRPr="009C0B84">
        <w:rPr>
          <w:rFonts w:asciiTheme="majorBidi" w:hAnsiTheme="majorBidi" w:cstheme="majorBidi"/>
        </w:rPr>
        <w:t>;</w:t>
      </w:r>
      <w:r w:rsidRPr="009C0B84">
        <w:rPr>
          <w:rFonts w:asciiTheme="majorBidi" w:hAnsiTheme="majorBidi" w:cstheme="majorBidi"/>
          <w:b/>
          <w:bCs/>
        </w:rPr>
        <w:t>17</w:t>
      </w:r>
      <w:r w:rsidRPr="009C0B84">
        <w:rPr>
          <w:rFonts w:asciiTheme="majorBidi" w:hAnsiTheme="majorBidi" w:cstheme="majorBidi"/>
        </w:rPr>
        <w:t>:1995</w:t>
      </w:r>
      <w:proofErr w:type="gramEnd"/>
      <w:r w:rsidRPr="009C0B84">
        <w:rPr>
          <w:rFonts w:asciiTheme="majorBidi" w:hAnsiTheme="majorBidi" w:cstheme="majorBidi"/>
        </w:rPr>
        <w:t>-2003.</w:t>
      </w:r>
    </w:p>
    <w:p w14:paraId="37D969B7" w14:textId="38BB912C" w:rsidR="0037073D" w:rsidRPr="009C0B84" w:rsidRDefault="0037073D" w:rsidP="001F6B71">
      <w:pPr>
        <w:pStyle w:val="ListParagraph"/>
        <w:numPr>
          <w:ilvl w:val="0"/>
          <w:numId w:val="2"/>
        </w:numPr>
        <w:spacing w:before="100" w:beforeAutospacing="1" w:after="100" w:afterAutospacing="1" w:line="360" w:lineRule="auto"/>
        <w:ind w:left="360"/>
        <w:contextualSpacing w:val="0"/>
        <w:jc w:val="both"/>
        <w:rPr>
          <w:rFonts w:asciiTheme="majorBidi" w:hAnsiTheme="majorBidi" w:cstheme="majorBidi"/>
        </w:rPr>
      </w:pPr>
      <w:proofErr w:type="spellStart"/>
      <w:r w:rsidRPr="009C0B84">
        <w:rPr>
          <w:rFonts w:asciiTheme="majorBidi" w:hAnsiTheme="majorBidi" w:cstheme="majorBidi"/>
        </w:rPr>
        <w:t>Goda</w:t>
      </w:r>
      <w:proofErr w:type="spellEnd"/>
      <w:r w:rsidRPr="009C0B84">
        <w:rPr>
          <w:rFonts w:asciiTheme="majorBidi" w:hAnsiTheme="majorBidi" w:cstheme="majorBidi"/>
        </w:rPr>
        <w:t xml:space="preserve"> M, </w:t>
      </w:r>
      <w:proofErr w:type="spellStart"/>
      <w:r w:rsidRPr="009C0B84">
        <w:rPr>
          <w:rFonts w:asciiTheme="majorBidi" w:hAnsiTheme="majorBidi" w:cstheme="majorBidi"/>
        </w:rPr>
        <w:t>Yamakura</w:t>
      </w:r>
      <w:proofErr w:type="spellEnd"/>
      <w:r w:rsidRPr="009C0B84">
        <w:rPr>
          <w:rFonts w:asciiTheme="majorBidi" w:hAnsiTheme="majorBidi" w:cstheme="majorBidi"/>
        </w:rPr>
        <w:t xml:space="preserve"> T, Sasaki K, Tajima T, Ueno M. Safety and efficacy of canagliflozin in elderly patients with type 2 diabetes mellitus: a 1-year post-marketing surveillance in Japan. </w:t>
      </w:r>
      <w:proofErr w:type="spellStart"/>
      <w:r w:rsidRPr="009C0B84">
        <w:rPr>
          <w:rFonts w:asciiTheme="majorBidi" w:hAnsiTheme="majorBidi" w:cstheme="majorBidi"/>
          <w:i/>
          <w:iCs/>
        </w:rPr>
        <w:t>Curr</w:t>
      </w:r>
      <w:proofErr w:type="spellEnd"/>
      <w:r w:rsidRPr="009C0B84">
        <w:rPr>
          <w:rFonts w:asciiTheme="majorBidi" w:hAnsiTheme="majorBidi" w:cstheme="majorBidi"/>
          <w:i/>
          <w:iCs/>
        </w:rPr>
        <w:t xml:space="preserve"> Med Res </w:t>
      </w:r>
      <w:proofErr w:type="spellStart"/>
      <w:r w:rsidRPr="009C0B84">
        <w:rPr>
          <w:rFonts w:asciiTheme="majorBidi" w:hAnsiTheme="majorBidi" w:cstheme="majorBidi"/>
          <w:i/>
          <w:iCs/>
        </w:rPr>
        <w:t>Opin</w:t>
      </w:r>
      <w:proofErr w:type="spellEnd"/>
      <w:r w:rsidRPr="009C0B84">
        <w:rPr>
          <w:rFonts w:asciiTheme="majorBidi" w:hAnsiTheme="majorBidi" w:cstheme="majorBidi"/>
        </w:rPr>
        <w:t xml:space="preserve"> 2018</w:t>
      </w:r>
      <w:proofErr w:type="gramStart"/>
      <w:r w:rsidRPr="009C0B84">
        <w:rPr>
          <w:rFonts w:asciiTheme="majorBidi" w:hAnsiTheme="majorBidi" w:cstheme="majorBidi"/>
        </w:rPr>
        <w:t>;</w:t>
      </w:r>
      <w:r w:rsidRPr="009C0B84">
        <w:rPr>
          <w:rFonts w:asciiTheme="majorBidi" w:hAnsiTheme="majorBidi" w:cstheme="majorBidi"/>
          <w:b/>
          <w:bCs/>
        </w:rPr>
        <w:t>34</w:t>
      </w:r>
      <w:r w:rsidRPr="009C0B84">
        <w:rPr>
          <w:rFonts w:asciiTheme="majorBidi" w:hAnsiTheme="majorBidi" w:cstheme="majorBidi"/>
        </w:rPr>
        <w:t>:319</w:t>
      </w:r>
      <w:proofErr w:type="gramEnd"/>
      <w:r w:rsidRPr="009C0B84">
        <w:rPr>
          <w:rFonts w:asciiTheme="majorBidi" w:hAnsiTheme="majorBidi" w:cstheme="majorBidi"/>
        </w:rPr>
        <w:t>-27.</w:t>
      </w:r>
    </w:p>
    <w:p w14:paraId="2AB96660" w14:textId="75E13CBF" w:rsidR="0037073D" w:rsidRPr="009C0B84" w:rsidRDefault="0037073D" w:rsidP="001F6B71">
      <w:pPr>
        <w:pStyle w:val="ListParagraph"/>
        <w:numPr>
          <w:ilvl w:val="0"/>
          <w:numId w:val="2"/>
        </w:numPr>
        <w:spacing w:before="100" w:beforeAutospacing="1" w:after="100" w:afterAutospacing="1" w:line="360" w:lineRule="auto"/>
        <w:ind w:left="360"/>
        <w:contextualSpacing w:val="0"/>
        <w:jc w:val="both"/>
        <w:rPr>
          <w:rFonts w:asciiTheme="majorBidi" w:hAnsiTheme="majorBidi" w:cstheme="majorBidi"/>
        </w:rPr>
      </w:pPr>
      <w:r w:rsidRPr="009C0B84">
        <w:rPr>
          <w:rFonts w:asciiTheme="majorBidi" w:hAnsiTheme="majorBidi" w:cstheme="majorBidi"/>
          <w:lang w:val="sv-SE"/>
        </w:rPr>
        <w:t xml:space="preserve">Utsunomiya K, Shimmoto N, Senda M, </w:t>
      </w:r>
      <w:r w:rsidR="009718AF" w:rsidRPr="009C0B84">
        <w:rPr>
          <w:rFonts w:asciiTheme="majorBidi" w:hAnsiTheme="majorBidi" w:cstheme="majorBidi"/>
          <w:lang w:val="sv-SE"/>
        </w:rPr>
        <w:t>et al</w:t>
      </w:r>
      <w:r w:rsidRPr="009C0B84">
        <w:rPr>
          <w:rFonts w:asciiTheme="majorBidi" w:hAnsiTheme="majorBidi" w:cstheme="majorBidi"/>
          <w:lang w:val="sv-SE"/>
        </w:rPr>
        <w:t xml:space="preserve">. </w:t>
      </w:r>
      <w:r w:rsidRPr="009C0B84">
        <w:rPr>
          <w:rFonts w:asciiTheme="majorBidi" w:hAnsiTheme="majorBidi" w:cstheme="majorBidi"/>
        </w:rPr>
        <w:t xml:space="preserve">Safety and effectiveness of </w:t>
      </w:r>
      <w:proofErr w:type="spellStart"/>
      <w:r w:rsidRPr="009C0B84">
        <w:rPr>
          <w:rFonts w:asciiTheme="majorBidi" w:hAnsiTheme="majorBidi" w:cstheme="majorBidi"/>
        </w:rPr>
        <w:t>tofogliflozin</w:t>
      </w:r>
      <w:proofErr w:type="spellEnd"/>
      <w:r w:rsidRPr="009C0B84">
        <w:rPr>
          <w:rFonts w:asciiTheme="majorBidi" w:hAnsiTheme="majorBidi" w:cstheme="majorBidi"/>
        </w:rPr>
        <w:t xml:space="preserve"> in elderly Japanese patients with type 2 diabetes mellitus: A post-marketing study (J-STEP/EL Study). J </w:t>
      </w:r>
      <w:r w:rsidRPr="009C0B84">
        <w:rPr>
          <w:rFonts w:asciiTheme="majorBidi" w:hAnsiTheme="majorBidi" w:cstheme="majorBidi"/>
          <w:i/>
          <w:iCs/>
        </w:rPr>
        <w:t xml:space="preserve">Diabetes </w:t>
      </w:r>
      <w:proofErr w:type="spellStart"/>
      <w:r w:rsidRPr="009C0B84">
        <w:rPr>
          <w:rFonts w:asciiTheme="majorBidi" w:hAnsiTheme="majorBidi" w:cstheme="majorBidi"/>
          <w:i/>
          <w:iCs/>
        </w:rPr>
        <w:t>Investig</w:t>
      </w:r>
      <w:proofErr w:type="spellEnd"/>
      <w:r w:rsidRPr="009C0B84">
        <w:rPr>
          <w:rFonts w:asciiTheme="majorBidi" w:hAnsiTheme="majorBidi" w:cstheme="majorBidi"/>
        </w:rPr>
        <w:t xml:space="preserve"> 2017</w:t>
      </w:r>
      <w:proofErr w:type="gramStart"/>
      <w:r w:rsidRPr="009C0B84">
        <w:rPr>
          <w:rFonts w:asciiTheme="majorBidi" w:hAnsiTheme="majorBidi" w:cstheme="majorBidi"/>
        </w:rPr>
        <w:t>;</w:t>
      </w:r>
      <w:r w:rsidRPr="009C0B84">
        <w:rPr>
          <w:rFonts w:asciiTheme="majorBidi" w:hAnsiTheme="majorBidi" w:cstheme="majorBidi"/>
          <w:b/>
          <w:bCs/>
        </w:rPr>
        <w:t>8</w:t>
      </w:r>
      <w:r w:rsidRPr="009C0B84">
        <w:rPr>
          <w:rFonts w:asciiTheme="majorBidi" w:hAnsiTheme="majorBidi" w:cstheme="majorBidi"/>
        </w:rPr>
        <w:t>:766</w:t>
      </w:r>
      <w:proofErr w:type="gramEnd"/>
      <w:r w:rsidRPr="009C0B84">
        <w:rPr>
          <w:rFonts w:asciiTheme="majorBidi" w:hAnsiTheme="majorBidi" w:cstheme="majorBidi"/>
        </w:rPr>
        <w:t>-75</w:t>
      </w:r>
      <w:r w:rsidR="009718AF" w:rsidRPr="009C0B84">
        <w:rPr>
          <w:rFonts w:asciiTheme="majorBidi" w:hAnsiTheme="majorBidi" w:cstheme="majorBidi"/>
        </w:rPr>
        <w:t>.</w:t>
      </w:r>
    </w:p>
    <w:p w14:paraId="7A8DB6D1" w14:textId="64D3AECC" w:rsidR="00D8354A" w:rsidRPr="009C0B84" w:rsidRDefault="00D8354A" w:rsidP="001F6B71">
      <w:pPr>
        <w:pStyle w:val="ListParagraph"/>
        <w:numPr>
          <w:ilvl w:val="0"/>
          <w:numId w:val="2"/>
        </w:numPr>
        <w:spacing w:before="100" w:beforeAutospacing="1" w:after="100" w:afterAutospacing="1" w:line="360" w:lineRule="auto"/>
        <w:ind w:left="360"/>
        <w:contextualSpacing w:val="0"/>
        <w:jc w:val="both"/>
        <w:rPr>
          <w:rFonts w:asciiTheme="majorBidi" w:hAnsiTheme="majorBidi" w:cstheme="majorBidi"/>
        </w:rPr>
      </w:pPr>
      <w:r w:rsidRPr="009C0B84">
        <w:rPr>
          <w:rFonts w:asciiTheme="majorBidi" w:hAnsiTheme="majorBidi" w:cstheme="majorBidi"/>
          <w:lang w:val="sv-SE"/>
        </w:rPr>
        <w:t>Leiter LA, Teoh H, Braunwald E</w:t>
      </w:r>
      <w:r w:rsidR="009718AF" w:rsidRPr="009C0B84">
        <w:rPr>
          <w:rFonts w:asciiTheme="majorBidi" w:hAnsiTheme="majorBidi" w:cstheme="majorBidi"/>
          <w:lang w:val="sv-SE"/>
        </w:rPr>
        <w:t xml:space="preserve"> et al</w:t>
      </w:r>
      <w:r w:rsidRPr="009C0B84">
        <w:rPr>
          <w:rFonts w:asciiTheme="majorBidi" w:hAnsiTheme="majorBidi" w:cstheme="majorBidi"/>
          <w:lang w:val="sv-SE"/>
        </w:rPr>
        <w:t xml:space="preserve">. </w:t>
      </w:r>
      <w:r w:rsidRPr="009C0B84">
        <w:rPr>
          <w:rFonts w:asciiTheme="majorBidi" w:hAnsiTheme="majorBidi" w:cstheme="majorBidi"/>
        </w:rPr>
        <w:t xml:space="preserve">Efficacy and safety of </w:t>
      </w:r>
      <w:proofErr w:type="spellStart"/>
      <w:r w:rsidRPr="009C0B84">
        <w:rPr>
          <w:rFonts w:asciiTheme="majorBidi" w:hAnsiTheme="majorBidi" w:cstheme="majorBidi"/>
        </w:rPr>
        <w:t>saxagliptin</w:t>
      </w:r>
      <w:proofErr w:type="spellEnd"/>
      <w:r w:rsidRPr="009C0B84">
        <w:rPr>
          <w:rFonts w:asciiTheme="majorBidi" w:hAnsiTheme="majorBidi" w:cstheme="majorBidi"/>
        </w:rPr>
        <w:t xml:space="preserve"> in older participants in the SAVOR-TIMI 53 trial. </w:t>
      </w:r>
      <w:r w:rsidRPr="009C0B84">
        <w:rPr>
          <w:rFonts w:asciiTheme="majorBidi" w:hAnsiTheme="majorBidi" w:cstheme="majorBidi"/>
          <w:i/>
          <w:iCs/>
        </w:rPr>
        <w:t>Diabetes Care</w:t>
      </w:r>
      <w:r w:rsidRPr="009C0B84">
        <w:rPr>
          <w:rFonts w:asciiTheme="majorBidi" w:hAnsiTheme="majorBidi" w:cstheme="majorBidi"/>
        </w:rPr>
        <w:t xml:space="preserve"> 2015;</w:t>
      </w:r>
      <w:r w:rsidRPr="009C0B84">
        <w:rPr>
          <w:rFonts w:asciiTheme="majorBidi" w:hAnsiTheme="majorBidi" w:cstheme="majorBidi"/>
          <w:b/>
          <w:bCs/>
        </w:rPr>
        <w:t>38</w:t>
      </w:r>
      <w:r w:rsidRPr="009C0B84">
        <w:rPr>
          <w:rFonts w:asciiTheme="majorBidi" w:hAnsiTheme="majorBidi" w:cstheme="majorBidi"/>
        </w:rPr>
        <w:t>:1145-53</w:t>
      </w:r>
    </w:p>
    <w:p w14:paraId="29AB644B" w14:textId="7D667C71" w:rsidR="002C76D5" w:rsidRPr="009C0B84" w:rsidRDefault="00CC0317" w:rsidP="001F6B71">
      <w:pPr>
        <w:pStyle w:val="ListParagraph"/>
        <w:numPr>
          <w:ilvl w:val="0"/>
          <w:numId w:val="2"/>
        </w:numPr>
        <w:spacing w:before="100" w:beforeAutospacing="1" w:after="100" w:afterAutospacing="1" w:line="360" w:lineRule="auto"/>
        <w:ind w:left="360"/>
        <w:contextualSpacing w:val="0"/>
        <w:jc w:val="both"/>
        <w:rPr>
          <w:rFonts w:asciiTheme="majorBidi" w:hAnsiTheme="majorBidi" w:cstheme="majorBidi"/>
        </w:rPr>
      </w:pPr>
      <w:r w:rsidRPr="009C0B84">
        <w:rPr>
          <w:rFonts w:asciiTheme="majorBidi" w:hAnsiTheme="majorBidi" w:cstheme="majorBidi"/>
          <w:lang w:val="sv-SE"/>
        </w:rPr>
        <w:t xml:space="preserve">Bethel MA, Engel SS, Green JB, </w:t>
      </w:r>
      <w:r w:rsidR="009718AF" w:rsidRPr="009C0B84">
        <w:rPr>
          <w:rFonts w:asciiTheme="majorBidi" w:hAnsiTheme="majorBidi" w:cstheme="majorBidi"/>
          <w:lang w:val="sv-SE"/>
        </w:rPr>
        <w:t>et al</w:t>
      </w:r>
      <w:r w:rsidRPr="009C0B84">
        <w:rPr>
          <w:rFonts w:asciiTheme="majorBidi" w:hAnsiTheme="majorBidi" w:cstheme="majorBidi"/>
          <w:lang w:val="sv-SE"/>
        </w:rPr>
        <w:t xml:space="preserve">. </w:t>
      </w:r>
      <w:r w:rsidRPr="009C0B84">
        <w:rPr>
          <w:rFonts w:asciiTheme="majorBidi" w:hAnsiTheme="majorBidi" w:cstheme="majorBidi"/>
        </w:rPr>
        <w:t xml:space="preserve">Assessing the Safety of </w:t>
      </w:r>
      <w:proofErr w:type="spellStart"/>
      <w:r w:rsidRPr="009C0B84">
        <w:rPr>
          <w:rFonts w:asciiTheme="majorBidi" w:hAnsiTheme="majorBidi" w:cstheme="majorBidi"/>
        </w:rPr>
        <w:t>Sitagliptin</w:t>
      </w:r>
      <w:proofErr w:type="spellEnd"/>
      <w:r w:rsidRPr="009C0B84">
        <w:rPr>
          <w:rFonts w:asciiTheme="majorBidi" w:hAnsiTheme="majorBidi" w:cstheme="majorBidi"/>
        </w:rPr>
        <w:t xml:space="preserve"> in Older Participants in the Trial Evaluating Cardiovascular Outcomes with </w:t>
      </w:r>
      <w:proofErr w:type="spellStart"/>
      <w:r w:rsidRPr="009C0B84">
        <w:rPr>
          <w:rFonts w:asciiTheme="majorBidi" w:hAnsiTheme="majorBidi" w:cstheme="majorBidi"/>
        </w:rPr>
        <w:t>Sitagliptin</w:t>
      </w:r>
      <w:proofErr w:type="spellEnd"/>
      <w:r w:rsidRPr="009C0B84">
        <w:rPr>
          <w:rFonts w:asciiTheme="majorBidi" w:hAnsiTheme="majorBidi" w:cstheme="majorBidi"/>
        </w:rPr>
        <w:t xml:space="preserve"> (TECOS). </w:t>
      </w:r>
      <w:r w:rsidRPr="009C0B84">
        <w:rPr>
          <w:rFonts w:asciiTheme="majorBidi" w:hAnsiTheme="majorBidi" w:cstheme="majorBidi"/>
          <w:i/>
          <w:iCs/>
        </w:rPr>
        <w:t>Diabetes Care</w:t>
      </w:r>
      <w:r w:rsidRPr="009C0B84">
        <w:rPr>
          <w:rFonts w:asciiTheme="majorBidi" w:hAnsiTheme="majorBidi" w:cstheme="majorBidi"/>
        </w:rPr>
        <w:t>. 2017</w:t>
      </w:r>
      <w:proofErr w:type="gramStart"/>
      <w:r w:rsidRPr="009C0B84">
        <w:rPr>
          <w:rFonts w:asciiTheme="majorBidi" w:hAnsiTheme="majorBidi" w:cstheme="majorBidi"/>
        </w:rPr>
        <w:t>;</w:t>
      </w:r>
      <w:r w:rsidRPr="009C0B84">
        <w:rPr>
          <w:rFonts w:asciiTheme="majorBidi" w:hAnsiTheme="majorBidi" w:cstheme="majorBidi"/>
          <w:b/>
          <w:bCs/>
        </w:rPr>
        <w:t>40</w:t>
      </w:r>
      <w:r w:rsidRPr="009C0B84">
        <w:rPr>
          <w:rFonts w:asciiTheme="majorBidi" w:hAnsiTheme="majorBidi" w:cstheme="majorBidi"/>
        </w:rPr>
        <w:t>:494</w:t>
      </w:r>
      <w:proofErr w:type="gramEnd"/>
      <w:r w:rsidRPr="009C0B84">
        <w:rPr>
          <w:rFonts w:asciiTheme="majorBidi" w:hAnsiTheme="majorBidi" w:cstheme="majorBidi"/>
        </w:rPr>
        <w:t>-501</w:t>
      </w:r>
      <w:r w:rsidR="002C76D5" w:rsidRPr="009C0B84">
        <w:rPr>
          <w:rFonts w:asciiTheme="majorBidi" w:hAnsiTheme="majorBidi" w:cstheme="majorBidi"/>
        </w:rPr>
        <w:t xml:space="preserve">. </w:t>
      </w:r>
    </w:p>
    <w:p w14:paraId="5260314B" w14:textId="77777777" w:rsidR="000A18DF" w:rsidRPr="009C0B84" w:rsidRDefault="003F2598" w:rsidP="001F6B71">
      <w:pPr>
        <w:pStyle w:val="ListParagraph"/>
        <w:numPr>
          <w:ilvl w:val="0"/>
          <w:numId w:val="2"/>
        </w:numPr>
        <w:spacing w:before="100" w:beforeAutospacing="1" w:after="100" w:afterAutospacing="1" w:line="360" w:lineRule="auto"/>
        <w:ind w:left="360"/>
        <w:contextualSpacing w:val="0"/>
        <w:jc w:val="both"/>
        <w:rPr>
          <w:rFonts w:asciiTheme="majorBidi" w:eastAsia="Times New Roman" w:hAnsiTheme="majorBidi" w:cstheme="majorBidi"/>
          <w:b/>
          <w:bCs/>
          <w:color w:val="333333"/>
        </w:rPr>
      </w:pPr>
      <w:r w:rsidRPr="009C0B84">
        <w:rPr>
          <w:rFonts w:asciiTheme="majorBidi" w:hAnsiTheme="majorBidi" w:cstheme="majorBidi"/>
          <w:lang w:val="sv-SE"/>
        </w:rPr>
        <w:t xml:space="preserve">Gilbert MP, Bain SC, Franek E, </w:t>
      </w:r>
      <w:r w:rsidR="009718AF" w:rsidRPr="009C0B84">
        <w:rPr>
          <w:rFonts w:asciiTheme="majorBidi" w:hAnsiTheme="majorBidi" w:cstheme="majorBidi"/>
          <w:lang w:val="sv-SE"/>
        </w:rPr>
        <w:t>et al</w:t>
      </w:r>
      <w:r w:rsidRPr="009C0B84">
        <w:rPr>
          <w:rFonts w:asciiTheme="majorBidi" w:hAnsiTheme="majorBidi" w:cstheme="majorBidi"/>
          <w:lang w:val="sv-SE"/>
        </w:rPr>
        <w:t xml:space="preserve">. </w:t>
      </w:r>
      <w:r w:rsidRPr="009C0B84">
        <w:rPr>
          <w:rFonts w:asciiTheme="majorBidi" w:hAnsiTheme="majorBidi" w:cstheme="majorBidi"/>
        </w:rPr>
        <w:t xml:space="preserve">Effect of Liraglutide on Cardiovascular Outcomes in Elderly Patients: A Post Hoc Analysis of a Randomized Controlled </w:t>
      </w:r>
      <w:r w:rsidR="00025ED8" w:rsidRPr="009C0B84">
        <w:rPr>
          <w:rFonts w:asciiTheme="majorBidi" w:hAnsiTheme="majorBidi" w:cstheme="majorBidi"/>
        </w:rPr>
        <w:t xml:space="preserve">Trial. </w:t>
      </w:r>
      <w:r w:rsidR="00025ED8" w:rsidRPr="009C0B84">
        <w:rPr>
          <w:rFonts w:asciiTheme="majorBidi" w:hAnsiTheme="majorBidi" w:cstheme="majorBidi"/>
          <w:i/>
          <w:iCs/>
        </w:rPr>
        <w:t>Ann Intern Med</w:t>
      </w:r>
      <w:r w:rsidR="00025ED8" w:rsidRPr="009C0B84">
        <w:rPr>
          <w:rFonts w:asciiTheme="majorBidi" w:hAnsiTheme="majorBidi" w:cstheme="majorBidi"/>
        </w:rPr>
        <w:t>. 201</w:t>
      </w:r>
      <w:r w:rsidR="000A18DF" w:rsidRPr="009C0B84">
        <w:rPr>
          <w:rFonts w:asciiTheme="majorBidi" w:hAnsiTheme="majorBidi" w:cstheme="majorBidi"/>
        </w:rPr>
        <w:t>9</w:t>
      </w:r>
      <w:proofErr w:type="gramStart"/>
      <w:r w:rsidR="000A18DF" w:rsidRPr="009C0B84">
        <w:rPr>
          <w:rFonts w:asciiTheme="majorBidi" w:hAnsiTheme="majorBidi" w:cstheme="majorBidi"/>
        </w:rPr>
        <w:t>;</w:t>
      </w:r>
      <w:r w:rsidR="000A18DF" w:rsidRPr="009C0B84">
        <w:rPr>
          <w:rFonts w:asciiTheme="majorBidi" w:hAnsiTheme="majorBidi" w:cstheme="majorBidi"/>
          <w:b/>
          <w:bCs/>
        </w:rPr>
        <w:t>170</w:t>
      </w:r>
      <w:r w:rsidR="000A18DF" w:rsidRPr="009C0B84">
        <w:rPr>
          <w:rFonts w:asciiTheme="majorBidi" w:hAnsiTheme="majorBidi" w:cstheme="majorBidi"/>
        </w:rPr>
        <w:t>:423</w:t>
      </w:r>
      <w:proofErr w:type="gramEnd"/>
      <w:r w:rsidR="000A18DF" w:rsidRPr="009C0B84">
        <w:rPr>
          <w:rFonts w:asciiTheme="majorBidi" w:hAnsiTheme="majorBidi" w:cstheme="majorBidi"/>
        </w:rPr>
        <w:t>-6</w:t>
      </w:r>
      <w:r w:rsidR="00025ED8" w:rsidRPr="009C0B84">
        <w:rPr>
          <w:rFonts w:asciiTheme="majorBidi" w:hAnsiTheme="majorBidi" w:cstheme="majorBidi"/>
        </w:rPr>
        <w:t xml:space="preserve">. </w:t>
      </w:r>
    </w:p>
    <w:p w14:paraId="02384806" w14:textId="77777777" w:rsidR="000A18DF" w:rsidRPr="009C0B84" w:rsidRDefault="000A18DF" w:rsidP="001F6B71">
      <w:pPr>
        <w:spacing w:before="100" w:beforeAutospacing="1" w:after="100" w:afterAutospacing="1" w:line="360" w:lineRule="auto"/>
        <w:jc w:val="both"/>
        <w:rPr>
          <w:rFonts w:asciiTheme="majorBidi" w:eastAsia="Times New Roman" w:hAnsiTheme="majorBidi" w:cstheme="majorBidi"/>
          <w:b/>
          <w:bCs/>
          <w:color w:val="333333"/>
        </w:rPr>
      </w:pPr>
    </w:p>
    <w:p w14:paraId="5D6478EE" w14:textId="73E062B9" w:rsidR="00E97360" w:rsidRPr="009C0B84" w:rsidRDefault="00E97360" w:rsidP="001F6B71">
      <w:pPr>
        <w:spacing w:before="100" w:beforeAutospacing="1" w:after="100" w:afterAutospacing="1" w:line="360" w:lineRule="auto"/>
        <w:rPr>
          <w:rFonts w:asciiTheme="majorBidi" w:eastAsia="Times New Roman" w:hAnsiTheme="majorBidi" w:cstheme="majorBidi"/>
          <w:b/>
          <w:bCs/>
          <w:color w:val="333333"/>
        </w:rPr>
      </w:pPr>
      <w:r w:rsidRPr="009C0B84">
        <w:rPr>
          <w:rFonts w:asciiTheme="majorBidi" w:eastAsia="Times New Roman" w:hAnsiTheme="majorBidi" w:cstheme="majorBidi"/>
          <w:b/>
          <w:bCs/>
          <w:color w:val="333333"/>
        </w:rPr>
        <w:br w:type="page"/>
      </w:r>
    </w:p>
    <w:p w14:paraId="74DA541C" w14:textId="38FE44A8" w:rsidR="00574174" w:rsidRPr="009C0B84" w:rsidRDefault="00574174" w:rsidP="001525B4">
      <w:pPr>
        <w:spacing w:before="100" w:beforeAutospacing="1" w:after="100" w:afterAutospacing="1" w:line="480" w:lineRule="auto"/>
        <w:rPr>
          <w:rFonts w:asciiTheme="majorBidi" w:eastAsia="Times New Roman" w:hAnsiTheme="majorBidi" w:cstheme="majorBidi"/>
          <w:b/>
          <w:bCs/>
          <w:color w:val="333333"/>
        </w:rPr>
      </w:pPr>
      <w:r w:rsidRPr="009C0B84">
        <w:rPr>
          <w:rFonts w:asciiTheme="majorBidi" w:eastAsia="Times New Roman" w:hAnsiTheme="majorBidi" w:cstheme="majorBidi"/>
          <w:b/>
          <w:bCs/>
          <w:color w:val="333333"/>
        </w:rPr>
        <w:t>Figure legends</w:t>
      </w:r>
    </w:p>
    <w:p w14:paraId="0AD5D9D4" w14:textId="0B79A37B" w:rsidR="00574174" w:rsidRPr="009C0B84" w:rsidRDefault="00574174" w:rsidP="0034678D">
      <w:pPr>
        <w:spacing w:before="100" w:beforeAutospacing="1" w:after="100" w:afterAutospacing="1" w:line="480" w:lineRule="auto"/>
        <w:rPr>
          <w:rFonts w:asciiTheme="majorBidi" w:eastAsia="Times New Roman" w:hAnsiTheme="majorBidi" w:cstheme="majorBidi"/>
          <w:color w:val="333333"/>
        </w:rPr>
      </w:pPr>
      <w:r w:rsidRPr="009C0B84">
        <w:rPr>
          <w:rFonts w:asciiTheme="majorBidi" w:eastAsia="Times New Roman" w:hAnsiTheme="majorBidi" w:cstheme="majorBidi"/>
          <w:color w:val="333333"/>
        </w:rPr>
        <w:t>Figure 1</w:t>
      </w:r>
      <w:r w:rsidR="005F6485">
        <w:rPr>
          <w:rFonts w:asciiTheme="majorBidi" w:eastAsia="Times New Roman" w:hAnsiTheme="majorBidi" w:cstheme="majorBidi"/>
          <w:color w:val="333333"/>
        </w:rPr>
        <w:t xml:space="preserve"> – Efficacy </w:t>
      </w:r>
      <w:r w:rsidR="0034678D">
        <w:rPr>
          <w:rFonts w:asciiTheme="majorBidi" w:eastAsia="Times New Roman" w:hAnsiTheme="majorBidi" w:cstheme="majorBidi"/>
          <w:color w:val="333333"/>
        </w:rPr>
        <w:t xml:space="preserve">outcomes by </w:t>
      </w:r>
      <w:r w:rsidR="005F6485">
        <w:rPr>
          <w:rFonts w:asciiTheme="majorBidi" w:eastAsia="Times New Roman" w:hAnsiTheme="majorBidi" w:cstheme="majorBidi"/>
          <w:color w:val="333333"/>
        </w:rPr>
        <w:t>age groups</w:t>
      </w:r>
    </w:p>
    <w:p w14:paraId="216D907E" w14:textId="6697C99F" w:rsidR="00574174" w:rsidRPr="009C0B84" w:rsidRDefault="00BB460D" w:rsidP="001525B4">
      <w:pPr>
        <w:spacing w:before="100" w:beforeAutospacing="1" w:after="100" w:afterAutospacing="1" w:line="480" w:lineRule="auto"/>
        <w:rPr>
          <w:rFonts w:asciiTheme="majorBidi" w:eastAsia="Times New Roman" w:hAnsiTheme="majorBidi" w:cstheme="majorBidi"/>
          <w:color w:val="333333"/>
        </w:rPr>
      </w:pPr>
      <w:r w:rsidRPr="009C0B84">
        <w:rPr>
          <w:rFonts w:asciiTheme="majorBidi" w:eastAsia="Times New Roman" w:hAnsiTheme="majorBidi" w:cstheme="majorBidi"/>
          <w:color w:val="333333"/>
        </w:rPr>
        <w:t>Legend: CVD – Cardiovascular disease; HHF – Hospitalization for heart failure; MACE – Major adverse cardiovascular events</w:t>
      </w:r>
    </w:p>
    <w:p w14:paraId="7161587D" w14:textId="27D6ADC9" w:rsidR="00574174" w:rsidRPr="009C0B84" w:rsidRDefault="00581B8F" w:rsidP="001525B4">
      <w:pPr>
        <w:spacing w:before="100" w:beforeAutospacing="1" w:after="100" w:afterAutospacing="1" w:line="480" w:lineRule="auto"/>
        <w:rPr>
          <w:rFonts w:asciiTheme="majorBidi" w:eastAsia="Times New Roman" w:hAnsiTheme="majorBidi" w:cstheme="majorBidi"/>
          <w:color w:val="333333"/>
        </w:rPr>
      </w:pPr>
      <w:r>
        <w:rPr>
          <w:rFonts w:asciiTheme="majorBidi" w:eastAsia="Times New Roman" w:hAnsiTheme="majorBidi" w:cstheme="majorBidi"/>
          <w:b/>
          <w:bCs/>
          <w:noProof/>
          <w:color w:val="333333"/>
          <w:lang w:val="en-GB" w:eastAsia="en-GB" w:bidi="ar-SA"/>
        </w:rPr>
        <w:drawing>
          <wp:inline distT="0" distB="0" distL="0" distR="0" wp14:anchorId="71D5C7D1" wp14:editId="606DC836">
            <wp:extent cx="5943600" cy="334354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43546"/>
                    </a:xfrm>
                    <a:prstGeom prst="rect">
                      <a:avLst/>
                    </a:prstGeom>
                    <a:noFill/>
                  </pic:spPr>
                </pic:pic>
              </a:graphicData>
            </a:graphic>
          </wp:inline>
        </w:drawing>
      </w:r>
    </w:p>
    <w:p w14:paraId="0D11A54D" w14:textId="77777777" w:rsidR="00581B8F" w:rsidRDefault="00581B8F">
      <w:pPr>
        <w:spacing w:line="259" w:lineRule="auto"/>
        <w:rPr>
          <w:rFonts w:asciiTheme="majorBidi" w:eastAsia="Times New Roman" w:hAnsiTheme="majorBidi" w:cstheme="majorBidi"/>
          <w:color w:val="333333"/>
        </w:rPr>
      </w:pPr>
      <w:r>
        <w:rPr>
          <w:rFonts w:asciiTheme="majorBidi" w:eastAsia="Times New Roman" w:hAnsiTheme="majorBidi" w:cstheme="majorBidi"/>
          <w:color w:val="333333"/>
        </w:rPr>
        <w:br w:type="page"/>
      </w:r>
    </w:p>
    <w:p w14:paraId="110B373B" w14:textId="5CD25B9E" w:rsidR="00574174" w:rsidRDefault="00574174" w:rsidP="0034678D">
      <w:pPr>
        <w:spacing w:before="100" w:beforeAutospacing="1" w:after="100" w:afterAutospacing="1" w:line="480" w:lineRule="auto"/>
        <w:rPr>
          <w:rFonts w:asciiTheme="majorBidi" w:eastAsia="Times New Roman" w:hAnsiTheme="majorBidi" w:cstheme="majorBidi"/>
          <w:color w:val="333333"/>
        </w:rPr>
      </w:pPr>
      <w:r w:rsidRPr="009C0B84">
        <w:rPr>
          <w:rFonts w:asciiTheme="majorBidi" w:eastAsia="Times New Roman" w:hAnsiTheme="majorBidi" w:cstheme="majorBidi"/>
          <w:color w:val="333333"/>
        </w:rPr>
        <w:t xml:space="preserve">Figure </w:t>
      </w:r>
      <w:proofErr w:type="gramStart"/>
      <w:r w:rsidRPr="009C0B84">
        <w:rPr>
          <w:rFonts w:asciiTheme="majorBidi" w:eastAsia="Times New Roman" w:hAnsiTheme="majorBidi" w:cstheme="majorBidi"/>
          <w:color w:val="333333"/>
        </w:rPr>
        <w:t>2</w:t>
      </w:r>
      <w:proofErr w:type="gramEnd"/>
      <w:r w:rsidR="0034678D">
        <w:rPr>
          <w:rFonts w:asciiTheme="majorBidi" w:eastAsia="Times New Roman" w:hAnsiTheme="majorBidi" w:cstheme="majorBidi"/>
          <w:color w:val="333333"/>
        </w:rPr>
        <w:t xml:space="preserve"> – Changes in metabolic parameters over time </w:t>
      </w:r>
    </w:p>
    <w:p w14:paraId="735D9454" w14:textId="36608C2D" w:rsidR="00581B8F" w:rsidRPr="009C0B84" w:rsidRDefault="00581B8F" w:rsidP="0034678D">
      <w:pPr>
        <w:spacing w:before="100" w:beforeAutospacing="1" w:after="100" w:afterAutospacing="1" w:line="480" w:lineRule="auto"/>
        <w:rPr>
          <w:rFonts w:asciiTheme="majorBidi" w:eastAsia="Times New Roman" w:hAnsiTheme="majorBidi" w:cstheme="majorBidi"/>
          <w:color w:val="333333"/>
        </w:rPr>
      </w:pPr>
      <w:r>
        <w:rPr>
          <w:rFonts w:asciiTheme="majorBidi" w:eastAsia="Times New Roman" w:hAnsiTheme="majorBidi" w:cstheme="majorBidi"/>
          <w:b/>
          <w:bCs/>
          <w:noProof/>
          <w:color w:val="333333"/>
          <w:lang w:val="en-GB" w:eastAsia="en-GB" w:bidi="ar-SA"/>
        </w:rPr>
        <w:drawing>
          <wp:inline distT="0" distB="0" distL="0" distR="0" wp14:anchorId="30EE6F9E" wp14:editId="2FB2D427">
            <wp:extent cx="5943600" cy="334354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43546"/>
                    </a:xfrm>
                    <a:prstGeom prst="rect">
                      <a:avLst/>
                    </a:prstGeom>
                    <a:noFill/>
                  </pic:spPr>
                </pic:pic>
              </a:graphicData>
            </a:graphic>
          </wp:inline>
        </w:drawing>
      </w:r>
    </w:p>
    <w:p w14:paraId="7652896E" w14:textId="77777777" w:rsidR="00574174" w:rsidRPr="009C0B84" w:rsidRDefault="00574174" w:rsidP="001525B4">
      <w:pPr>
        <w:spacing w:before="100" w:beforeAutospacing="1" w:after="100" w:afterAutospacing="1" w:line="480" w:lineRule="auto"/>
        <w:rPr>
          <w:rFonts w:asciiTheme="majorBidi" w:eastAsia="Times New Roman" w:hAnsiTheme="majorBidi" w:cstheme="majorBidi"/>
          <w:color w:val="333333"/>
        </w:rPr>
      </w:pPr>
      <w:r w:rsidRPr="009C0B84">
        <w:rPr>
          <w:rFonts w:asciiTheme="majorBidi" w:eastAsia="Times New Roman" w:hAnsiTheme="majorBidi" w:cstheme="majorBidi"/>
          <w:color w:val="333333"/>
        </w:rPr>
        <w:t>Legend: Change in HbA1c (A), Weight (B), Systolic blood pressure (C) and Diastolic blood pressure (D) with dapagliflozin vs. placebo according to age group</w:t>
      </w:r>
    </w:p>
    <w:p w14:paraId="576F273D" w14:textId="77777777" w:rsidR="00574174" w:rsidRPr="009C0B84" w:rsidRDefault="00574174" w:rsidP="001525B4">
      <w:pPr>
        <w:spacing w:before="100" w:beforeAutospacing="1" w:after="100" w:afterAutospacing="1" w:line="480" w:lineRule="auto"/>
        <w:rPr>
          <w:rFonts w:asciiTheme="majorBidi" w:hAnsiTheme="majorBidi" w:cstheme="majorBidi"/>
        </w:rPr>
      </w:pPr>
      <w:r w:rsidRPr="009C0B84">
        <w:rPr>
          <w:rFonts w:asciiTheme="majorBidi" w:hAnsiTheme="majorBidi" w:cstheme="majorBidi"/>
        </w:rPr>
        <w:t xml:space="preserve"> </w:t>
      </w:r>
    </w:p>
    <w:p w14:paraId="3F6154FD" w14:textId="77777777" w:rsidR="00581B8F" w:rsidRDefault="00581B8F">
      <w:pPr>
        <w:spacing w:line="259" w:lineRule="auto"/>
        <w:rPr>
          <w:rFonts w:asciiTheme="majorBidi" w:eastAsia="Times New Roman" w:hAnsiTheme="majorBidi" w:cstheme="majorBidi"/>
          <w:color w:val="333333"/>
        </w:rPr>
      </w:pPr>
      <w:r>
        <w:rPr>
          <w:rFonts w:asciiTheme="majorBidi" w:eastAsia="Times New Roman" w:hAnsiTheme="majorBidi" w:cstheme="majorBidi"/>
          <w:color w:val="333333"/>
        </w:rPr>
        <w:br w:type="page"/>
      </w:r>
    </w:p>
    <w:p w14:paraId="5E4126C0" w14:textId="07CC3030" w:rsidR="00574174" w:rsidRDefault="00574174" w:rsidP="001525B4">
      <w:pPr>
        <w:spacing w:before="100" w:beforeAutospacing="1" w:after="100" w:afterAutospacing="1" w:line="480" w:lineRule="auto"/>
        <w:rPr>
          <w:rFonts w:asciiTheme="majorBidi" w:eastAsia="Times New Roman" w:hAnsiTheme="majorBidi" w:cstheme="majorBidi"/>
          <w:color w:val="333333"/>
        </w:rPr>
      </w:pPr>
      <w:r w:rsidRPr="009C0B84">
        <w:rPr>
          <w:rFonts w:asciiTheme="majorBidi" w:eastAsia="Times New Roman" w:hAnsiTheme="majorBidi" w:cstheme="majorBidi"/>
          <w:color w:val="333333"/>
        </w:rPr>
        <w:t xml:space="preserve">Figure </w:t>
      </w:r>
      <w:proofErr w:type="gramStart"/>
      <w:r w:rsidRPr="009C0B84">
        <w:rPr>
          <w:rFonts w:asciiTheme="majorBidi" w:eastAsia="Times New Roman" w:hAnsiTheme="majorBidi" w:cstheme="majorBidi"/>
          <w:color w:val="333333"/>
        </w:rPr>
        <w:t>3</w:t>
      </w:r>
      <w:proofErr w:type="gramEnd"/>
      <w:r w:rsidR="005F6485">
        <w:rPr>
          <w:rFonts w:asciiTheme="majorBidi" w:eastAsia="Times New Roman" w:hAnsiTheme="majorBidi" w:cstheme="majorBidi"/>
          <w:color w:val="333333"/>
        </w:rPr>
        <w:t xml:space="preserve"> </w:t>
      </w:r>
      <w:r w:rsidR="0034678D">
        <w:rPr>
          <w:rFonts w:asciiTheme="majorBidi" w:eastAsia="Times New Roman" w:hAnsiTheme="majorBidi" w:cstheme="majorBidi"/>
          <w:color w:val="333333"/>
        </w:rPr>
        <w:t>–</w:t>
      </w:r>
      <w:r w:rsidR="005F6485">
        <w:rPr>
          <w:rFonts w:asciiTheme="majorBidi" w:eastAsia="Times New Roman" w:hAnsiTheme="majorBidi" w:cstheme="majorBidi"/>
          <w:color w:val="333333"/>
        </w:rPr>
        <w:t xml:space="preserve"> </w:t>
      </w:r>
      <w:r w:rsidR="0034678D">
        <w:rPr>
          <w:rFonts w:asciiTheme="majorBidi" w:eastAsia="Times New Roman" w:hAnsiTheme="majorBidi" w:cstheme="majorBidi"/>
          <w:color w:val="333333"/>
        </w:rPr>
        <w:t>Attainment of HbA1c and weight targets</w:t>
      </w:r>
    </w:p>
    <w:p w14:paraId="3E68FF33" w14:textId="69292EC6" w:rsidR="00581B8F" w:rsidRPr="009C0B84" w:rsidRDefault="00581B8F" w:rsidP="001525B4">
      <w:pPr>
        <w:spacing w:before="100" w:beforeAutospacing="1" w:after="100" w:afterAutospacing="1" w:line="480" w:lineRule="auto"/>
        <w:rPr>
          <w:rFonts w:asciiTheme="majorBidi" w:eastAsia="Times New Roman" w:hAnsiTheme="majorBidi" w:cstheme="majorBidi"/>
          <w:color w:val="333333"/>
        </w:rPr>
      </w:pPr>
      <w:r>
        <w:rPr>
          <w:rFonts w:asciiTheme="majorBidi" w:eastAsia="Times New Roman" w:hAnsiTheme="majorBidi" w:cstheme="majorBidi"/>
          <w:noProof/>
          <w:color w:val="333333"/>
          <w:lang w:val="en-GB" w:eastAsia="en-GB" w:bidi="ar-SA"/>
        </w:rPr>
        <w:drawing>
          <wp:inline distT="0" distB="0" distL="0" distR="0" wp14:anchorId="5C917832" wp14:editId="04E1E55F">
            <wp:extent cx="6096635" cy="3429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14:paraId="04787A8E" w14:textId="10D7C114" w:rsidR="00574174" w:rsidRPr="009C0B84" w:rsidRDefault="00574174" w:rsidP="001525B4">
      <w:pPr>
        <w:spacing w:before="100" w:beforeAutospacing="1" w:after="100" w:afterAutospacing="1" w:line="480" w:lineRule="auto"/>
        <w:rPr>
          <w:rFonts w:asciiTheme="majorBidi" w:eastAsia="Times New Roman" w:hAnsiTheme="majorBidi" w:cstheme="majorBidi"/>
          <w:color w:val="333333"/>
        </w:rPr>
      </w:pPr>
      <w:r w:rsidRPr="009C0B84">
        <w:rPr>
          <w:rFonts w:asciiTheme="majorBidi" w:eastAsia="Times New Roman" w:hAnsiTheme="majorBidi" w:cstheme="majorBidi"/>
          <w:color w:val="333333"/>
        </w:rPr>
        <w:t>Legend: Percentage of patients attaining HbA1c &lt;</w:t>
      </w:r>
      <w:proofErr w:type="gramStart"/>
      <w:r w:rsidRPr="009C0B84">
        <w:rPr>
          <w:rFonts w:asciiTheme="majorBidi" w:eastAsia="Times New Roman" w:hAnsiTheme="majorBidi" w:cstheme="majorBidi"/>
          <w:color w:val="333333"/>
        </w:rPr>
        <w:t>8</w:t>
      </w:r>
      <w:proofErr w:type="gramEnd"/>
      <w:r w:rsidRPr="009C0B84">
        <w:rPr>
          <w:rFonts w:asciiTheme="majorBidi" w:eastAsia="Times New Roman" w:hAnsiTheme="majorBidi" w:cstheme="majorBidi"/>
          <w:color w:val="333333"/>
        </w:rPr>
        <w:t xml:space="preserve"> (A) or HbA1c &lt;7 (B) reducing HbA1c by &gt;0.5% (C) or reducing weight by &gt;5% (D) with dapagliflozin vs. placebo by age group.</w:t>
      </w:r>
      <w:r w:rsidR="009C65AF" w:rsidRPr="009C0B84">
        <w:rPr>
          <w:rFonts w:asciiTheme="majorBidi" w:eastAsia="Times New Roman" w:hAnsiTheme="majorBidi" w:cstheme="majorBidi"/>
          <w:color w:val="333333"/>
        </w:rPr>
        <w:t xml:space="preserve"> Dapagliflozin – black bars, Placebo – white bars.</w:t>
      </w:r>
      <w:r w:rsidRPr="009C0B84">
        <w:rPr>
          <w:rFonts w:asciiTheme="majorBidi" w:eastAsia="Times New Roman" w:hAnsiTheme="majorBidi" w:cstheme="majorBidi"/>
          <w:color w:val="333333"/>
        </w:rPr>
        <w:t xml:space="preserve"> * p&lt;0.0001, + p&lt;0.05 </w:t>
      </w:r>
    </w:p>
    <w:p w14:paraId="56A9CB7C" w14:textId="61BE3178" w:rsidR="00574174" w:rsidRPr="009C0B84" w:rsidRDefault="00574174" w:rsidP="001525B4">
      <w:pPr>
        <w:spacing w:before="100" w:beforeAutospacing="1" w:after="100" w:afterAutospacing="1" w:line="480" w:lineRule="auto"/>
        <w:rPr>
          <w:rFonts w:asciiTheme="majorBidi" w:eastAsia="Times New Roman" w:hAnsiTheme="majorBidi" w:cstheme="majorBidi"/>
          <w:b/>
          <w:bCs/>
          <w:color w:val="333333"/>
        </w:rPr>
      </w:pPr>
    </w:p>
    <w:p w14:paraId="1ABE08E0" w14:textId="77777777" w:rsidR="00581B8F" w:rsidRDefault="00581B8F" w:rsidP="0034678D">
      <w:pPr>
        <w:spacing w:before="100" w:beforeAutospacing="1" w:after="100" w:afterAutospacing="1" w:line="480" w:lineRule="auto"/>
        <w:rPr>
          <w:rFonts w:asciiTheme="majorBidi" w:eastAsia="Times New Roman" w:hAnsiTheme="majorBidi" w:cstheme="majorBidi"/>
          <w:color w:val="333333"/>
        </w:rPr>
      </w:pPr>
    </w:p>
    <w:p w14:paraId="5F4864BD" w14:textId="77777777" w:rsidR="00581B8F" w:rsidRDefault="00581B8F" w:rsidP="0034678D">
      <w:pPr>
        <w:spacing w:before="100" w:beforeAutospacing="1" w:after="100" w:afterAutospacing="1" w:line="480" w:lineRule="auto"/>
        <w:rPr>
          <w:rFonts w:asciiTheme="majorBidi" w:eastAsia="Times New Roman" w:hAnsiTheme="majorBidi" w:cstheme="majorBidi"/>
          <w:color w:val="333333"/>
        </w:rPr>
      </w:pPr>
    </w:p>
    <w:p w14:paraId="38055CA0" w14:textId="77777777" w:rsidR="00581B8F" w:rsidRDefault="00581B8F" w:rsidP="0034678D">
      <w:pPr>
        <w:spacing w:before="100" w:beforeAutospacing="1" w:after="100" w:afterAutospacing="1" w:line="480" w:lineRule="auto"/>
        <w:rPr>
          <w:rFonts w:asciiTheme="majorBidi" w:eastAsia="Times New Roman" w:hAnsiTheme="majorBidi" w:cstheme="majorBidi"/>
          <w:color w:val="333333"/>
        </w:rPr>
      </w:pPr>
    </w:p>
    <w:p w14:paraId="1462F936" w14:textId="77777777" w:rsidR="00581B8F" w:rsidRDefault="00581B8F" w:rsidP="0034678D">
      <w:pPr>
        <w:spacing w:before="100" w:beforeAutospacing="1" w:after="100" w:afterAutospacing="1" w:line="480" w:lineRule="auto"/>
        <w:rPr>
          <w:rFonts w:asciiTheme="majorBidi" w:eastAsia="Times New Roman" w:hAnsiTheme="majorBidi" w:cstheme="majorBidi"/>
          <w:color w:val="333333"/>
        </w:rPr>
      </w:pPr>
    </w:p>
    <w:p w14:paraId="6F2B5CCE" w14:textId="77777777" w:rsidR="00581B8F" w:rsidRDefault="00581B8F" w:rsidP="0034678D">
      <w:pPr>
        <w:spacing w:before="100" w:beforeAutospacing="1" w:after="100" w:afterAutospacing="1" w:line="480" w:lineRule="auto"/>
        <w:rPr>
          <w:rFonts w:asciiTheme="majorBidi" w:eastAsia="Times New Roman" w:hAnsiTheme="majorBidi" w:cstheme="majorBidi"/>
          <w:color w:val="333333"/>
        </w:rPr>
      </w:pPr>
    </w:p>
    <w:p w14:paraId="514351D4" w14:textId="77777777" w:rsidR="00581B8F" w:rsidRDefault="00581B8F" w:rsidP="0034678D">
      <w:pPr>
        <w:spacing w:before="100" w:beforeAutospacing="1" w:after="100" w:afterAutospacing="1" w:line="480" w:lineRule="auto"/>
        <w:rPr>
          <w:rFonts w:asciiTheme="majorBidi" w:eastAsia="Times New Roman" w:hAnsiTheme="majorBidi" w:cstheme="majorBidi"/>
          <w:color w:val="333333"/>
        </w:rPr>
      </w:pPr>
    </w:p>
    <w:p w14:paraId="587CB5C3" w14:textId="722D5C85" w:rsidR="00BB460D" w:rsidRDefault="00BB460D" w:rsidP="0034678D">
      <w:pPr>
        <w:spacing w:before="100" w:beforeAutospacing="1" w:after="100" w:afterAutospacing="1" w:line="480" w:lineRule="auto"/>
        <w:rPr>
          <w:rFonts w:asciiTheme="majorBidi" w:eastAsia="Times New Roman" w:hAnsiTheme="majorBidi" w:cstheme="majorBidi"/>
          <w:color w:val="333333"/>
        </w:rPr>
      </w:pPr>
      <w:r w:rsidRPr="009C0B84">
        <w:rPr>
          <w:rFonts w:asciiTheme="majorBidi" w:eastAsia="Times New Roman" w:hAnsiTheme="majorBidi" w:cstheme="majorBidi"/>
          <w:color w:val="333333"/>
        </w:rPr>
        <w:t xml:space="preserve">Figure </w:t>
      </w:r>
      <w:proofErr w:type="gramStart"/>
      <w:r w:rsidRPr="009C0B84">
        <w:rPr>
          <w:rFonts w:asciiTheme="majorBidi" w:eastAsia="Times New Roman" w:hAnsiTheme="majorBidi" w:cstheme="majorBidi"/>
          <w:color w:val="333333"/>
        </w:rPr>
        <w:t>4</w:t>
      </w:r>
      <w:proofErr w:type="gramEnd"/>
      <w:r w:rsidR="005F6485">
        <w:rPr>
          <w:rFonts w:asciiTheme="majorBidi" w:eastAsia="Times New Roman" w:hAnsiTheme="majorBidi" w:cstheme="majorBidi"/>
          <w:color w:val="333333"/>
        </w:rPr>
        <w:t xml:space="preserve"> – Safety </w:t>
      </w:r>
      <w:r w:rsidR="0034678D">
        <w:rPr>
          <w:rFonts w:asciiTheme="majorBidi" w:eastAsia="Times New Roman" w:hAnsiTheme="majorBidi" w:cstheme="majorBidi"/>
          <w:color w:val="333333"/>
        </w:rPr>
        <w:t>outcomes</w:t>
      </w:r>
      <w:r w:rsidR="005F6485">
        <w:rPr>
          <w:rFonts w:asciiTheme="majorBidi" w:eastAsia="Times New Roman" w:hAnsiTheme="majorBidi" w:cstheme="majorBidi"/>
          <w:color w:val="333333"/>
        </w:rPr>
        <w:t xml:space="preserve"> by age groups</w:t>
      </w:r>
    </w:p>
    <w:p w14:paraId="6E4FAD7B" w14:textId="1DF31210" w:rsidR="00581B8F" w:rsidRPr="009C0B84" w:rsidRDefault="00581B8F" w:rsidP="0034678D">
      <w:pPr>
        <w:spacing w:before="100" w:beforeAutospacing="1" w:after="100" w:afterAutospacing="1" w:line="480" w:lineRule="auto"/>
        <w:rPr>
          <w:rFonts w:asciiTheme="majorBidi" w:eastAsia="Times New Roman" w:hAnsiTheme="majorBidi" w:cstheme="majorBidi"/>
          <w:color w:val="333333"/>
        </w:rPr>
      </w:pPr>
      <w:r>
        <w:rPr>
          <w:rFonts w:asciiTheme="majorBidi" w:eastAsia="Times New Roman" w:hAnsiTheme="majorBidi" w:cstheme="majorBidi"/>
          <w:noProof/>
          <w:color w:val="333333"/>
          <w:lang w:val="en-GB" w:eastAsia="en-GB" w:bidi="ar-SA"/>
        </w:rPr>
        <w:drawing>
          <wp:inline distT="0" distB="0" distL="0" distR="0" wp14:anchorId="1DCEB325" wp14:editId="5BF34035">
            <wp:extent cx="6096635" cy="34296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14:paraId="47D8837A" w14:textId="164322D6" w:rsidR="00BB460D" w:rsidRPr="009C0B84" w:rsidRDefault="0034678D" w:rsidP="001525B4">
      <w:pPr>
        <w:spacing w:before="100" w:beforeAutospacing="1" w:after="100" w:afterAutospacing="1" w:line="480" w:lineRule="auto"/>
        <w:rPr>
          <w:rFonts w:asciiTheme="majorBidi" w:eastAsia="Times New Roman" w:hAnsiTheme="majorBidi" w:cstheme="majorBidi"/>
          <w:color w:val="333333"/>
        </w:rPr>
      </w:pPr>
      <w:r>
        <w:rPr>
          <w:rFonts w:asciiTheme="majorBidi" w:eastAsia="Times New Roman" w:hAnsiTheme="majorBidi" w:cstheme="majorBidi"/>
          <w:color w:val="333333"/>
        </w:rPr>
        <w:t xml:space="preserve">Legend: </w:t>
      </w:r>
      <w:r w:rsidR="00BB460D" w:rsidRPr="009C0B84">
        <w:rPr>
          <w:rFonts w:asciiTheme="majorBidi" w:eastAsia="Times New Roman" w:hAnsiTheme="majorBidi" w:cstheme="majorBidi"/>
          <w:color w:val="333333"/>
        </w:rPr>
        <w:t>DKA – Diabetic ketoacidosis</w:t>
      </w:r>
    </w:p>
    <w:p w14:paraId="4C1E0794" w14:textId="4537BB65" w:rsidR="00581B8F" w:rsidRDefault="00581B8F">
      <w:pPr>
        <w:spacing w:line="259" w:lineRule="auto"/>
        <w:rPr>
          <w:rFonts w:asciiTheme="majorBidi" w:eastAsia="Times New Roman" w:hAnsiTheme="majorBidi" w:cstheme="majorBidi"/>
          <w:b/>
          <w:bCs/>
          <w:color w:val="333333"/>
        </w:rPr>
      </w:pPr>
      <w:r>
        <w:rPr>
          <w:rFonts w:asciiTheme="majorBidi" w:eastAsia="Times New Roman" w:hAnsiTheme="majorBidi" w:cstheme="majorBidi"/>
          <w:b/>
          <w:bCs/>
          <w:color w:val="333333"/>
        </w:rPr>
        <w:br w:type="page"/>
      </w:r>
    </w:p>
    <w:p w14:paraId="061CE251" w14:textId="03BE7DB6" w:rsidR="00574174" w:rsidRDefault="00574174" w:rsidP="001525B4">
      <w:pPr>
        <w:spacing w:before="100" w:beforeAutospacing="1" w:after="100" w:afterAutospacing="1" w:line="480" w:lineRule="auto"/>
        <w:rPr>
          <w:rFonts w:asciiTheme="majorBidi" w:eastAsia="Times New Roman" w:hAnsiTheme="majorBidi" w:cstheme="majorBidi"/>
          <w:b/>
          <w:bCs/>
          <w:color w:val="333333"/>
        </w:rPr>
      </w:pPr>
    </w:p>
    <w:p w14:paraId="22D5B837"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Supplementary Table 1 – Baseline characteristics of overall population by age groups</w:t>
      </w:r>
    </w:p>
    <w:p w14:paraId="7C08CD0D"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tl/>
        </w:rPr>
      </w:pPr>
    </w:p>
    <w:tbl>
      <w:tblPr>
        <w:tblStyle w:val="TableGrid"/>
        <w:tblW w:w="11160" w:type="dxa"/>
        <w:tblInd w:w="-815" w:type="dxa"/>
        <w:tblLook w:val="04A0" w:firstRow="1" w:lastRow="0" w:firstColumn="1" w:lastColumn="0" w:noHBand="0" w:noVBand="1"/>
      </w:tblPr>
      <w:tblGrid>
        <w:gridCol w:w="2700"/>
        <w:gridCol w:w="2520"/>
        <w:gridCol w:w="2340"/>
        <w:gridCol w:w="2430"/>
        <w:gridCol w:w="1170"/>
      </w:tblGrid>
      <w:tr w:rsidR="00E34B50" w:rsidRPr="00E34B50" w14:paraId="64DF34EA" w14:textId="77777777" w:rsidTr="00C67D66">
        <w:trPr>
          <w:trHeight w:val="20"/>
        </w:trPr>
        <w:tc>
          <w:tcPr>
            <w:tcW w:w="2700" w:type="dxa"/>
            <w:hideMark/>
          </w:tcPr>
          <w:p w14:paraId="78AF58F7"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Characteristic</w:t>
            </w:r>
          </w:p>
        </w:tc>
        <w:tc>
          <w:tcPr>
            <w:tcW w:w="2520" w:type="dxa"/>
            <w:hideMark/>
          </w:tcPr>
          <w:p w14:paraId="79F4F5A3"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Age &lt; 65</w:t>
            </w:r>
          </w:p>
        </w:tc>
        <w:tc>
          <w:tcPr>
            <w:tcW w:w="2340" w:type="dxa"/>
            <w:hideMark/>
          </w:tcPr>
          <w:p w14:paraId="45805C6F"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Age ≥65-&lt;75</w:t>
            </w:r>
          </w:p>
        </w:tc>
        <w:tc>
          <w:tcPr>
            <w:tcW w:w="2430" w:type="dxa"/>
            <w:hideMark/>
          </w:tcPr>
          <w:p w14:paraId="6866EFA7"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Age ≥75</w:t>
            </w:r>
          </w:p>
        </w:tc>
        <w:tc>
          <w:tcPr>
            <w:tcW w:w="1170" w:type="dxa"/>
          </w:tcPr>
          <w:p w14:paraId="5004D7FF"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P-Trend</w:t>
            </w:r>
          </w:p>
        </w:tc>
      </w:tr>
      <w:tr w:rsidR="00E34B50" w:rsidRPr="00E34B50" w14:paraId="3B89FA9F" w14:textId="77777777" w:rsidTr="00C67D66">
        <w:trPr>
          <w:trHeight w:val="20"/>
        </w:trPr>
        <w:tc>
          <w:tcPr>
            <w:tcW w:w="2700" w:type="dxa"/>
            <w:hideMark/>
          </w:tcPr>
          <w:p w14:paraId="61FDE8B2"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 </w:t>
            </w:r>
          </w:p>
        </w:tc>
        <w:tc>
          <w:tcPr>
            <w:tcW w:w="2520" w:type="dxa"/>
            <w:hideMark/>
          </w:tcPr>
          <w:p w14:paraId="64D4DFE2"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(N = 9253)</w:t>
            </w:r>
          </w:p>
        </w:tc>
        <w:tc>
          <w:tcPr>
            <w:tcW w:w="2340" w:type="dxa"/>
            <w:hideMark/>
          </w:tcPr>
          <w:p w14:paraId="559DDE88"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(N = 6811)</w:t>
            </w:r>
          </w:p>
        </w:tc>
        <w:tc>
          <w:tcPr>
            <w:tcW w:w="2430" w:type="dxa"/>
            <w:hideMark/>
          </w:tcPr>
          <w:p w14:paraId="246EE3CB"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(N = 1096)</w:t>
            </w:r>
          </w:p>
        </w:tc>
        <w:tc>
          <w:tcPr>
            <w:tcW w:w="1170" w:type="dxa"/>
          </w:tcPr>
          <w:p w14:paraId="4D25BB29"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p>
        </w:tc>
      </w:tr>
      <w:tr w:rsidR="00E34B50" w:rsidRPr="00E34B50" w14:paraId="12111A2D" w14:textId="77777777" w:rsidTr="00C67D66">
        <w:trPr>
          <w:trHeight w:val="20"/>
        </w:trPr>
        <w:tc>
          <w:tcPr>
            <w:tcW w:w="2700" w:type="dxa"/>
            <w:hideMark/>
          </w:tcPr>
          <w:p w14:paraId="376080BA"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Age, Median (IQR)</w:t>
            </w:r>
          </w:p>
        </w:tc>
        <w:tc>
          <w:tcPr>
            <w:tcW w:w="2520" w:type="dxa"/>
            <w:hideMark/>
          </w:tcPr>
          <w:p w14:paraId="0C3726AE"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60.0 (57.0, 62.0)</w:t>
            </w:r>
          </w:p>
        </w:tc>
        <w:tc>
          <w:tcPr>
            <w:tcW w:w="2340" w:type="dxa"/>
            <w:hideMark/>
          </w:tcPr>
          <w:p w14:paraId="3AD3A326"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68.0 (66.0, 70.0)</w:t>
            </w:r>
          </w:p>
        </w:tc>
        <w:tc>
          <w:tcPr>
            <w:tcW w:w="2430" w:type="dxa"/>
            <w:hideMark/>
          </w:tcPr>
          <w:p w14:paraId="6426BCA6"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77.0 (75.0, 79.0)</w:t>
            </w:r>
          </w:p>
        </w:tc>
        <w:tc>
          <w:tcPr>
            <w:tcW w:w="1170" w:type="dxa"/>
          </w:tcPr>
          <w:p w14:paraId="3D200FF6"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p>
        </w:tc>
      </w:tr>
      <w:tr w:rsidR="00E34B50" w:rsidRPr="00E34B50" w14:paraId="27FB965F" w14:textId="77777777" w:rsidTr="00C67D66">
        <w:trPr>
          <w:trHeight w:val="20"/>
        </w:trPr>
        <w:tc>
          <w:tcPr>
            <w:tcW w:w="2700" w:type="dxa"/>
            <w:hideMark/>
          </w:tcPr>
          <w:p w14:paraId="3525E09A"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Male Sex, N (%)</w:t>
            </w:r>
          </w:p>
        </w:tc>
        <w:tc>
          <w:tcPr>
            <w:tcW w:w="2520" w:type="dxa"/>
            <w:hideMark/>
          </w:tcPr>
          <w:p w14:paraId="09264CE4"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6203 (67.0)</w:t>
            </w:r>
          </w:p>
        </w:tc>
        <w:tc>
          <w:tcPr>
            <w:tcW w:w="2340" w:type="dxa"/>
            <w:hideMark/>
          </w:tcPr>
          <w:p w14:paraId="1D606B3F"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3873 (56.9)</w:t>
            </w:r>
          </w:p>
        </w:tc>
        <w:tc>
          <w:tcPr>
            <w:tcW w:w="2430" w:type="dxa"/>
            <w:hideMark/>
          </w:tcPr>
          <w:p w14:paraId="16FF0E01"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662 (60.4)</w:t>
            </w:r>
          </w:p>
        </w:tc>
        <w:tc>
          <w:tcPr>
            <w:tcW w:w="1170" w:type="dxa"/>
          </w:tcPr>
          <w:p w14:paraId="51C90618"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&lt;.0001</w:t>
            </w:r>
          </w:p>
        </w:tc>
      </w:tr>
      <w:tr w:rsidR="00E34B50" w:rsidRPr="00E34B50" w14:paraId="06930895" w14:textId="77777777" w:rsidTr="00C67D66">
        <w:trPr>
          <w:trHeight w:val="20"/>
        </w:trPr>
        <w:tc>
          <w:tcPr>
            <w:tcW w:w="2700" w:type="dxa"/>
            <w:hideMark/>
          </w:tcPr>
          <w:p w14:paraId="79C47135"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White, N (%)</w:t>
            </w:r>
          </w:p>
        </w:tc>
        <w:tc>
          <w:tcPr>
            <w:tcW w:w="2520" w:type="dxa"/>
            <w:hideMark/>
          </w:tcPr>
          <w:p w14:paraId="0037EF06"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7052 (76.2)</w:t>
            </w:r>
          </w:p>
        </w:tc>
        <w:tc>
          <w:tcPr>
            <w:tcW w:w="2340" w:type="dxa"/>
            <w:hideMark/>
          </w:tcPr>
          <w:p w14:paraId="7CD97AE3"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5639 (82.8)</w:t>
            </w:r>
          </w:p>
        </w:tc>
        <w:tc>
          <w:tcPr>
            <w:tcW w:w="2430" w:type="dxa"/>
            <w:hideMark/>
          </w:tcPr>
          <w:p w14:paraId="3E4C6222"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962 (87.8)</w:t>
            </w:r>
          </w:p>
        </w:tc>
        <w:tc>
          <w:tcPr>
            <w:tcW w:w="1170" w:type="dxa"/>
          </w:tcPr>
          <w:p w14:paraId="135D8A65"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&lt;.0001</w:t>
            </w:r>
          </w:p>
        </w:tc>
      </w:tr>
      <w:tr w:rsidR="00E34B50" w:rsidRPr="00E34B50" w14:paraId="36E79659" w14:textId="77777777" w:rsidTr="00C67D66">
        <w:trPr>
          <w:trHeight w:val="20"/>
        </w:trPr>
        <w:tc>
          <w:tcPr>
            <w:tcW w:w="2700" w:type="dxa"/>
            <w:hideMark/>
          </w:tcPr>
          <w:p w14:paraId="51BCDEF8"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Black, N (%)</w:t>
            </w:r>
          </w:p>
        </w:tc>
        <w:tc>
          <w:tcPr>
            <w:tcW w:w="2520" w:type="dxa"/>
            <w:hideMark/>
          </w:tcPr>
          <w:p w14:paraId="55C2BBB1"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351 (3.8)</w:t>
            </w:r>
          </w:p>
        </w:tc>
        <w:tc>
          <w:tcPr>
            <w:tcW w:w="2340" w:type="dxa"/>
            <w:hideMark/>
          </w:tcPr>
          <w:p w14:paraId="2AA748D9"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222 (3.3)</w:t>
            </w:r>
          </w:p>
        </w:tc>
        <w:tc>
          <w:tcPr>
            <w:tcW w:w="2430" w:type="dxa"/>
            <w:hideMark/>
          </w:tcPr>
          <w:p w14:paraId="6EA2749C"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30 (2.7)</w:t>
            </w:r>
          </w:p>
        </w:tc>
        <w:tc>
          <w:tcPr>
            <w:tcW w:w="1170" w:type="dxa"/>
          </w:tcPr>
          <w:p w14:paraId="69608552"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0.0203</w:t>
            </w:r>
          </w:p>
        </w:tc>
      </w:tr>
      <w:tr w:rsidR="00E34B50" w:rsidRPr="00E34B50" w14:paraId="589B51AD" w14:textId="77777777" w:rsidTr="00C67D66">
        <w:trPr>
          <w:trHeight w:val="20"/>
        </w:trPr>
        <w:tc>
          <w:tcPr>
            <w:tcW w:w="2700" w:type="dxa"/>
            <w:hideMark/>
          </w:tcPr>
          <w:p w14:paraId="6D7F9BF6"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Asian, N (%)</w:t>
            </w:r>
          </w:p>
        </w:tc>
        <w:tc>
          <w:tcPr>
            <w:tcW w:w="2520" w:type="dxa"/>
            <w:hideMark/>
          </w:tcPr>
          <w:p w14:paraId="538F1F15"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1493 (16.1)</w:t>
            </w:r>
          </w:p>
        </w:tc>
        <w:tc>
          <w:tcPr>
            <w:tcW w:w="2340" w:type="dxa"/>
            <w:hideMark/>
          </w:tcPr>
          <w:p w14:paraId="34A84611"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727 (10.7)</w:t>
            </w:r>
          </w:p>
        </w:tc>
        <w:tc>
          <w:tcPr>
            <w:tcW w:w="2430" w:type="dxa"/>
            <w:hideMark/>
          </w:tcPr>
          <w:p w14:paraId="3694C10F"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83 (7.6)</w:t>
            </w:r>
          </w:p>
        </w:tc>
        <w:tc>
          <w:tcPr>
            <w:tcW w:w="1170" w:type="dxa"/>
          </w:tcPr>
          <w:p w14:paraId="03BF2FD9"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&lt;.0001</w:t>
            </w:r>
          </w:p>
        </w:tc>
      </w:tr>
      <w:tr w:rsidR="00E34B50" w:rsidRPr="00E34B50" w14:paraId="721C6016" w14:textId="77777777" w:rsidTr="00C67D66">
        <w:trPr>
          <w:trHeight w:val="20"/>
        </w:trPr>
        <w:tc>
          <w:tcPr>
            <w:tcW w:w="2700" w:type="dxa"/>
            <w:hideMark/>
          </w:tcPr>
          <w:p w14:paraId="59993C61"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Other Race, N (%)</w:t>
            </w:r>
          </w:p>
        </w:tc>
        <w:tc>
          <w:tcPr>
            <w:tcW w:w="2520" w:type="dxa"/>
            <w:hideMark/>
          </w:tcPr>
          <w:p w14:paraId="66AE299B"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357 (3.9)</w:t>
            </w:r>
          </w:p>
        </w:tc>
        <w:tc>
          <w:tcPr>
            <w:tcW w:w="2340" w:type="dxa"/>
            <w:hideMark/>
          </w:tcPr>
          <w:p w14:paraId="427F0D61"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223 (3.3)</w:t>
            </w:r>
          </w:p>
        </w:tc>
        <w:tc>
          <w:tcPr>
            <w:tcW w:w="2430" w:type="dxa"/>
            <w:hideMark/>
          </w:tcPr>
          <w:p w14:paraId="1F311590"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21 (1.9)</w:t>
            </w:r>
          </w:p>
        </w:tc>
        <w:tc>
          <w:tcPr>
            <w:tcW w:w="1170" w:type="dxa"/>
          </w:tcPr>
          <w:p w14:paraId="3914E831"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0.0007</w:t>
            </w:r>
          </w:p>
        </w:tc>
      </w:tr>
      <w:tr w:rsidR="00E34B50" w:rsidRPr="00E34B50" w14:paraId="69A10BF5" w14:textId="77777777" w:rsidTr="00C67D66">
        <w:trPr>
          <w:trHeight w:val="20"/>
        </w:trPr>
        <w:tc>
          <w:tcPr>
            <w:tcW w:w="2700" w:type="dxa"/>
            <w:hideMark/>
          </w:tcPr>
          <w:p w14:paraId="459F265A"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BMI, Median (IQR)</w:t>
            </w:r>
          </w:p>
        </w:tc>
        <w:tc>
          <w:tcPr>
            <w:tcW w:w="2520" w:type="dxa"/>
            <w:hideMark/>
          </w:tcPr>
          <w:p w14:paraId="058F1601"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31.6/9249 (28.0, 35.9)</w:t>
            </w:r>
          </w:p>
        </w:tc>
        <w:tc>
          <w:tcPr>
            <w:tcW w:w="2340" w:type="dxa"/>
            <w:hideMark/>
          </w:tcPr>
          <w:p w14:paraId="5D4BC687"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31.1/6807 (27.8, 35.0)</w:t>
            </w:r>
          </w:p>
        </w:tc>
        <w:tc>
          <w:tcPr>
            <w:tcW w:w="2430" w:type="dxa"/>
            <w:hideMark/>
          </w:tcPr>
          <w:p w14:paraId="3F0C22A7"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30.2/1095 (27.4, 33.9)</w:t>
            </w:r>
          </w:p>
        </w:tc>
        <w:tc>
          <w:tcPr>
            <w:tcW w:w="1170" w:type="dxa"/>
          </w:tcPr>
          <w:p w14:paraId="4F9A32F0"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&lt;.0001</w:t>
            </w:r>
          </w:p>
        </w:tc>
      </w:tr>
      <w:tr w:rsidR="00E34B50" w:rsidRPr="00E34B50" w14:paraId="6F75DED5" w14:textId="77777777" w:rsidTr="00C67D66">
        <w:trPr>
          <w:trHeight w:val="20"/>
        </w:trPr>
        <w:tc>
          <w:tcPr>
            <w:tcW w:w="2700" w:type="dxa"/>
            <w:hideMark/>
          </w:tcPr>
          <w:p w14:paraId="6254AFFC"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Established ASCVD N (%)</w:t>
            </w:r>
          </w:p>
        </w:tc>
        <w:tc>
          <w:tcPr>
            <w:tcW w:w="2520" w:type="dxa"/>
            <w:hideMark/>
          </w:tcPr>
          <w:p w14:paraId="65F04BA8"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3973 (42.9)</w:t>
            </w:r>
          </w:p>
        </w:tc>
        <w:tc>
          <w:tcPr>
            <w:tcW w:w="2340" w:type="dxa"/>
            <w:hideMark/>
          </w:tcPr>
          <w:p w14:paraId="4E936890"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2519 (37.0)</w:t>
            </w:r>
          </w:p>
        </w:tc>
        <w:tc>
          <w:tcPr>
            <w:tcW w:w="2430" w:type="dxa"/>
            <w:hideMark/>
          </w:tcPr>
          <w:p w14:paraId="081F31CF"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482 (44.0)</w:t>
            </w:r>
          </w:p>
        </w:tc>
        <w:tc>
          <w:tcPr>
            <w:tcW w:w="1170" w:type="dxa"/>
          </w:tcPr>
          <w:p w14:paraId="2FC68F58"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&lt;.0001</w:t>
            </w:r>
          </w:p>
        </w:tc>
      </w:tr>
      <w:tr w:rsidR="00E34B50" w:rsidRPr="00E34B50" w14:paraId="7421596A" w14:textId="77777777" w:rsidTr="00C67D66">
        <w:trPr>
          <w:trHeight w:val="20"/>
        </w:trPr>
        <w:tc>
          <w:tcPr>
            <w:tcW w:w="2700" w:type="dxa"/>
            <w:hideMark/>
          </w:tcPr>
          <w:p w14:paraId="17F2969B"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History of HF, N (%)</w:t>
            </w:r>
          </w:p>
        </w:tc>
        <w:tc>
          <w:tcPr>
            <w:tcW w:w="2520" w:type="dxa"/>
            <w:hideMark/>
          </w:tcPr>
          <w:p w14:paraId="50886A49"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886 (9.6)</w:t>
            </w:r>
          </w:p>
        </w:tc>
        <w:tc>
          <w:tcPr>
            <w:tcW w:w="2340" w:type="dxa"/>
            <w:hideMark/>
          </w:tcPr>
          <w:p w14:paraId="1C625248"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682 (10.0)</w:t>
            </w:r>
          </w:p>
        </w:tc>
        <w:tc>
          <w:tcPr>
            <w:tcW w:w="2430" w:type="dxa"/>
            <w:hideMark/>
          </w:tcPr>
          <w:p w14:paraId="02FB4CE2"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156 (14.2)</w:t>
            </w:r>
          </w:p>
        </w:tc>
        <w:tc>
          <w:tcPr>
            <w:tcW w:w="1170" w:type="dxa"/>
          </w:tcPr>
          <w:p w14:paraId="7DC11A78"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0.0002</w:t>
            </w:r>
          </w:p>
        </w:tc>
      </w:tr>
      <w:tr w:rsidR="00E34B50" w:rsidRPr="00E34B50" w14:paraId="5A7F6AF3" w14:textId="77777777" w:rsidTr="00C67D66">
        <w:trPr>
          <w:trHeight w:val="20"/>
        </w:trPr>
        <w:tc>
          <w:tcPr>
            <w:tcW w:w="2700" w:type="dxa"/>
            <w:hideMark/>
          </w:tcPr>
          <w:p w14:paraId="3E7036F6"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eGFR, Median (IQR)</w:t>
            </w:r>
          </w:p>
        </w:tc>
        <w:tc>
          <w:tcPr>
            <w:tcW w:w="2520" w:type="dxa"/>
            <w:hideMark/>
          </w:tcPr>
          <w:p w14:paraId="71F95428"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94.0/9252 (81.0, 100.0)</w:t>
            </w:r>
          </w:p>
        </w:tc>
        <w:tc>
          <w:tcPr>
            <w:tcW w:w="2340" w:type="dxa"/>
            <w:hideMark/>
          </w:tcPr>
          <w:p w14:paraId="051E65BD"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84.0 (70.0, 92.0)</w:t>
            </w:r>
          </w:p>
        </w:tc>
        <w:tc>
          <w:tcPr>
            <w:tcW w:w="2430" w:type="dxa"/>
            <w:hideMark/>
          </w:tcPr>
          <w:p w14:paraId="7A31CA04"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75.0 (64.0, 84.0)</w:t>
            </w:r>
          </w:p>
        </w:tc>
        <w:tc>
          <w:tcPr>
            <w:tcW w:w="1170" w:type="dxa"/>
          </w:tcPr>
          <w:p w14:paraId="631FEACB"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&lt;.0001</w:t>
            </w:r>
          </w:p>
        </w:tc>
      </w:tr>
      <w:tr w:rsidR="00E34B50" w:rsidRPr="00E34B50" w14:paraId="139B2ECD" w14:textId="77777777" w:rsidTr="00C67D66">
        <w:trPr>
          <w:trHeight w:val="20"/>
        </w:trPr>
        <w:tc>
          <w:tcPr>
            <w:tcW w:w="2700" w:type="dxa"/>
            <w:hideMark/>
          </w:tcPr>
          <w:p w14:paraId="6536DA1F"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proofErr w:type="gramStart"/>
            <w:r w:rsidRPr="00E34B50">
              <w:rPr>
                <w:rFonts w:asciiTheme="majorBidi" w:eastAsia="Times New Roman" w:hAnsiTheme="majorBidi" w:cstheme="majorBidi"/>
                <w:b/>
                <w:bCs/>
                <w:color w:val="333333"/>
              </w:rPr>
              <w:t>eGFR</w:t>
            </w:r>
            <w:proofErr w:type="gramEnd"/>
            <w:r w:rsidRPr="00E34B50">
              <w:rPr>
                <w:rFonts w:asciiTheme="majorBidi" w:eastAsia="Times New Roman" w:hAnsiTheme="majorBidi" w:cstheme="majorBidi"/>
                <w:b/>
                <w:bCs/>
                <w:color w:val="333333"/>
              </w:rPr>
              <w:t xml:space="preserve"> &lt; 60, N (%)</w:t>
            </w:r>
          </w:p>
        </w:tc>
        <w:tc>
          <w:tcPr>
            <w:tcW w:w="2520" w:type="dxa"/>
            <w:hideMark/>
          </w:tcPr>
          <w:p w14:paraId="045ABC0B"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403/9252 (4.4)</w:t>
            </w:r>
          </w:p>
        </w:tc>
        <w:tc>
          <w:tcPr>
            <w:tcW w:w="2340" w:type="dxa"/>
            <w:hideMark/>
          </w:tcPr>
          <w:p w14:paraId="27ECB13D"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679 (10.0)</w:t>
            </w:r>
          </w:p>
        </w:tc>
        <w:tc>
          <w:tcPr>
            <w:tcW w:w="2430" w:type="dxa"/>
            <w:hideMark/>
          </w:tcPr>
          <w:p w14:paraId="3E583053"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183 (16.7)</w:t>
            </w:r>
          </w:p>
        </w:tc>
        <w:tc>
          <w:tcPr>
            <w:tcW w:w="1170" w:type="dxa"/>
          </w:tcPr>
          <w:p w14:paraId="5842BEB6"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&lt;.0001</w:t>
            </w:r>
          </w:p>
        </w:tc>
      </w:tr>
      <w:tr w:rsidR="00E34B50" w:rsidRPr="00E34B50" w14:paraId="54AA5F65" w14:textId="77777777" w:rsidTr="00C67D66">
        <w:trPr>
          <w:trHeight w:val="20"/>
        </w:trPr>
        <w:tc>
          <w:tcPr>
            <w:tcW w:w="2700" w:type="dxa"/>
            <w:hideMark/>
          </w:tcPr>
          <w:p w14:paraId="435F2A6A"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proofErr w:type="gramStart"/>
            <w:r w:rsidRPr="00E34B50">
              <w:rPr>
                <w:rFonts w:asciiTheme="majorBidi" w:eastAsia="Times New Roman" w:hAnsiTheme="majorBidi" w:cstheme="majorBidi"/>
                <w:b/>
                <w:bCs/>
                <w:color w:val="333333"/>
              </w:rPr>
              <w:t>eGFR</w:t>
            </w:r>
            <w:proofErr w:type="gramEnd"/>
            <w:r w:rsidRPr="00E34B50">
              <w:rPr>
                <w:rFonts w:asciiTheme="majorBidi" w:eastAsia="Times New Roman" w:hAnsiTheme="majorBidi" w:cstheme="majorBidi"/>
                <w:b/>
                <w:bCs/>
                <w:color w:val="333333"/>
              </w:rPr>
              <w:t xml:space="preserve"> &gt;=60-&lt;90, N (%)</w:t>
            </w:r>
          </w:p>
        </w:tc>
        <w:tc>
          <w:tcPr>
            <w:tcW w:w="2520" w:type="dxa"/>
            <w:hideMark/>
          </w:tcPr>
          <w:p w14:paraId="34EB0A56"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3091/9252 (33.4)</w:t>
            </w:r>
          </w:p>
        </w:tc>
        <w:tc>
          <w:tcPr>
            <w:tcW w:w="2340" w:type="dxa"/>
            <w:hideMark/>
          </w:tcPr>
          <w:p w14:paraId="37F85950"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3823 (56.1)</w:t>
            </w:r>
          </w:p>
        </w:tc>
        <w:tc>
          <w:tcPr>
            <w:tcW w:w="2430" w:type="dxa"/>
            <w:hideMark/>
          </w:tcPr>
          <w:p w14:paraId="4D872442"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818 (74.6)</w:t>
            </w:r>
          </w:p>
        </w:tc>
        <w:tc>
          <w:tcPr>
            <w:tcW w:w="1170" w:type="dxa"/>
          </w:tcPr>
          <w:p w14:paraId="5486DBC8"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&lt;.0001</w:t>
            </w:r>
          </w:p>
        </w:tc>
      </w:tr>
      <w:tr w:rsidR="00E34B50" w:rsidRPr="00E34B50" w14:paraId="4463B953" w14:textId="77777777" w:rsidTr="00C67D66">
        <w:trPr>
          <w:trHeight w:val="20"/>
        </w:trPr>
        <w:tc>
          <w:tcPr>
            <w:tcW w:w="2700" w:type="dxa"/>
            <w:hideMark/>
          </w:tcPr>
          <w:p w14:paraId="271A9A6E"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proofErr w:type="gramStart"/>
            <w:r w:rsidRPr="00E34B50">
              <w:rPr>
                <w:rFonts w:asciiTheme="majorBidi" w:eastAsia="Times New Roman" w:hAnsiTheme="majorBidi" w:cstheme="majorBidi"/>
                <w:b/>
                <w:bCs/>
                <w:color w:val="333333"/>
              </w:rPr>
              <w:t>eGFR</w:t>
            </w:r>
            <w:proofErr w:type="gramEnd"/>
            <w:r w:rsidRPr="00E34B50">
              <w:rPr>
                <w:rFonts w:asciiTheme="majorBidi" w:eastAsia="Times New Roman" w:hAnsiTheme="majorBidi" w:cstheme="majorBidi"/>
                <w:b/>
                <w:bCs/>
                <w:color w:val="333333"/>
              </w:rPr>
              <w:t xml:space="preserve"> &gt;=90, N (%)</w:t>
            </w:r>
          </w:p>
        </w:tc>
        <w:tc>
          <w:tcPr>
            <w:tcW w:w="2520" w:type="dxa"/>
            <w:hideMark/>
          </w:tcPr>
          <w:p w14:paraId="42A347A6"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5758/9252 (62.2)</w:t>
            </w:r>
          </w:p>
        </w:tc>
        <w:tc>
          <w:tcPr>
            <w:tcW w:w="2340" w:type="dxa"/>
            <w:hideMark/>
          </w:tcPr>
          <w:p w14:paraId="0D009568"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2309 (33.9)</w:t>
            </w:r>
          </w:p>
        </w:tc>
        <w:tc>
          <w:tcPr>
            <w:tcW w:w="2430" w:type="dxa"/>
            <w:hideMark/>
          </w:tcPr>
          <w:p w14:paraId="6A70720C"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95 (8.7)</w:t>
            </w:r>
          </w:p>
        </w:tc>
        <w:tc>
          <w:tcPr>
            <w:tcW w:w="1170" w:type="dxa"/>
          </w:tcPr>
          <w:p w14:paraId="76D42A32"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&lt;.0001</w:t>
            </w:r>
          </w:p>
        </w:tc>
      </w:tr>
      <w:tr w:rsidR="00E34B50" w:rsidRPr="00E34B50" w14:paraId="557AE5D0" w14:textId="77777777" w:rsidTr="00C67D66">
        <w:trPr>
          <w:trHeight w:val="20"/>
        </w:trPr>
        <w:tc>
          <w:tcPr>
            <w:tcW w:w="2700" w:type="dxa"/>
            <w:hideMark/>
          </w:tcPr>
          <w:p w14:paraId="40C9740D"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Duration of diabetes (years), Median (IQR)</w:t>
            </w:r>
          </w:p>
        </w:tc>
        <w:tc>
          <w:tcPr>
            <w:tcW w:w="2520" w:type="dxa"/>
            <w:hideMark/>
          </w:tcPr>
          <w:p w14:paraId="0B75FAD5"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10.0/9251 (5.0, 15.0)</w:t>
            </w:r>
          </w:p>
        </w:tc>
        <w:tc>
          <w:tcPr>
            <w:tcW w:w="2340" w:type="dxa"/>
            <w:hideMark/>
          </w:tcPr>
          <w:p w14:paraId="48246444"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12.0 (7.0, 18.0)</w:t>
            </w:r>
          </w:p>
        </w:tc>
        <w:tc>
          <w:tcPr>
            <w:tcW w:w="2430" w:type="dxa"/>
            <w:hideMark/>
          </w:tcPr>
          <w:p w14:paraId="372768F5"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14.0 (8.0, 20.0)</w:t>
            </w:r>
          </w:p>
        </w:tc>
        <w:tc>
          <w:tcPr>
            <w:tcW w:w="1170" w:type="dxa"/>
          </w:tcPr>
          <w:p w14:paraId="7DF25A30"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&lt;.0001</w:t>
            </w:r>
          </w:p>
        </w:tc>
      </w:tr>
      <w:tr w:rsidR="00E34B50" w:rsidRPr="00E34B50" w14:paraId="435647BE" w14:textId="77777777" w:rsidTr="00C67D66">
        <w:trPr>
          <w:trHeight w:val="20"/>
        </w:trPr>
        <w:tc>
          <w:tcPr>
            <w:tcW w:w="2700" w:type="dxa"/>
            <w:hideMark/>
          </w:tcPr>
          <w:p w14:paraId="66CF387F"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UACR &lt;30, N (%)</w:t>
            </w:r>
          </w:p>
        </w:tc>
        <w:tc>
          <w:tcPr>
            <w:tcW w:w="2520" w:type="dxa"/>
            <w:hideMark/>
          </w:tcPr>
          <w:p w14:paraId="36B75B78"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6312/9097 (69.4)</w:t>
            </w:r>
          </w:p>
        </w:tc>
        <w:tc>
          <w:tcPr>
            <w:tcW w:w="2340" w:type="dxa"/>
            <w:hideMark/>
          </w:tcPr>
          <w:p w14:paraId="333CE3AF"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4638/6675 (69.5)</w:t>
            </w:r>
          </w:p>
        </w:tc>
        <w:tc>
          <w:tcPr>
            <w:tcW w:w="2430" w:type="dxa"/>
            <w:hideMark/>
          </w:tcPr>
          <w:p w14:paraId="41F7894A"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694/1071 (64.8)</w:t>
            </w:r>
          </w:p>
        </w:tc>
        <w:tc>
          <w:tcPr>
            <w:tcW w:w="1170" w:type="dxa"/>
          </w:tcPr>
          <w:p w14:paraId="505AB81E"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0.0592</w:t>
            </w:r>
          </w:p>
        </w:tc>
      </w:tr>
      <w:tr w:rsidR="00E34B50" w:rsidRPr="00E34B50" w14:paraId="4EF089DD" w14:textId="77777777" w:rsidTr="00C67D66">
        <w:trPr>
          <w:trHeight w:val="20"/>
        </w:trPr>
        <w:tc>
          <w:tcPr>
            <w:tcW w:w="2700" w:type="dxa"/>
            <w:hideMark/>
          </w:tcPr>
          <w:p w14:paraId="600B0CA1"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UACR &gt;=30-&lt;=300, N (%)</w:t>
            </w:r>
          </w:p>
        </w:tc>
        <w:tc>
          <w:tcPr>
            <w:tcW w:w="2520" w:type="dxa"/>
            <w:hideMark/>
          </w:tcPr>
          <w:p w14:paraId="22F056B4"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2134/9097 (23.5)</w:t>
            </w:r>
          </w:p>
        </w:tc>
        <w:tc>
          <w:tcPr>
            <w:tcW w:w="2340" w:type="dxa"/>
            <w:hideMark/>
          </w:tcPr>
          <w:p w14:paraId="793B058A"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1592/6675 (23.9)</w:t>
            </w:r>
          </w:p>
        </w:tc>
        <w:tc>
          <w:tcPr>
            <w:tcW w:w="2430" w:type="dxa"/>
            <w:hideMark/>
          </w:tcPr>
          <w:p w14:paraId="68506A47"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304/1071 (28.4)</w:t>
            </w:r>
          </w:p>
        </w:tc>
        <w:tc>
          <w:tcPr>
            <w:tcW w:w="1170" w:type="dxa"/>
          </w:tcPr>
          <w:p w14:paraId="700A1C67"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0.0078</w:t>
            </w:r>
          </w:p>
        </w:tc>
      </w:tr>
      <w:tr w:rsidR="00E34B50" w:rsidRPr="00E34B50" w14:paraId="128DAC77" w14:textId="77777777" w:rsidTr="00C67D66">
        <w:trPr>
          <w:trHeight w:val="20"/>
        </w:trPr>
        <w:tc>
          <w:tcPr>
            <w:tcW w:w="2700" w:type="dxa"/>
            <w:hideMark/>
          </w:tcPr>
          <w:p w14:paraId="7CE5B33B"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UACR &gt;300, N (%)</w:t>
            </w:r>
          </w:p>
        </w:tc>
        <w:tc>
          <w:tcPr>
            <w:tcW w:w="2520" w:type="dxa"/>
            <w:hideMark/>
          </w:tcPr>
          <w:p w14:paraId="1319D75F"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651/9097 (7.2)</w:t>
            </w:r>
          </w:p>
        </w:tc>
        <w:tc>
          <w:tcPr>
            <w:tcW w:w="2340" w:type="dxa"/>
            <w:hideMark/>
          </w:tcPr>
          <w:p w14:paraId="61681194"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445/6675 (6.7)</w:t>
            </w:r>
          </w:p>
        </w:tc>
        <w:tc>
          <w:tcPr>
            <w:tcW w:w="2430" w:type="dxa"/>
            <w:hideMark/>
          </w:tcPr>
          <w:p w14:paraId="70775233"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73/1071 (6.8)</w:t>
            </w:r>
          </w:p>
        </w:tc>
        <w:tc>
          <w:tcPr>
            <w:tcW w:w="1170" w:type="dxa"/>
          </w:tcPr>
          <w:p w14:paraId="2C995CE6"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0.3007</w:t>
            </w:r>
          </w:p>
        </w:tc>
      </w:tr>
      <w:tr w:rsidR="00E34B50" w:rsidRPr="00E34B50" w14:paraId="3B40C7FC" w14:textId="77777777" w:rsidTr="00C67D66">
        <w:trPr>
          <w:trHeight w:val="20"/>
        </w:trPr>
        <w:tc>
          <w:tcPr>
            <w:tcW w:w="2700" w:type="dxa"/>
            <w:hideMark/>
          </w:tcPr>
          <w:p w14:paraId="601DFA97"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HbA1c, Median (IQR)</w:t>
            </w:r>
          </w:p>
        </w:tc>
        <w:tc>
          <w:tcPr>
            <w:tcW w:w="2520" w:type="dxa"/>
            <w:hideMark/>
          </w:tcPr>
          <w:p w14:paraId="792356E2"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8.2/9251 (7.5, 9.3)</w:t>
            </w:r>
          </w:p>
        </w:tc>
        <w:tc>
          <w:tcPr>
            <w:tcW w:w="2340" w:type="dxa"/>
            <w:hideMark/>
          </w:tcPr>
          <w:p w14:paraId="5BC908BF"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7.9/6809 (7.3, 8.7)</w:t>
            </w:r>
          </w:p>
        </w:tc>
        <w:tc>
          <w:tcPr>
            <w:tcW w:w="2430" w:type="dxa"/>
            <w:hideMark/>
          </w:tcPr>
          <w:p w14:paraId="4A616FE9"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7.8/1094 (7.2, 8.5)</w:t>
            </w:r>
          </w:p>
        </w:tc>
        <w:tc>
          <w:tcPr>
            <w:tcW w:w="1170" w:type="dxa"/>
          </w:tcPr>
          <w:p w14:paraId="170F2666"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&lt;.0001</w:t>
            </w:r>
          </w:p>
        </w:tc>
      </w:tr>
      <w:tr w:rsidR="00E34B50" w:rsidRPr="00E34B50" w14:paraId="599EAA25" w14:textId="77777777" w:rsidTr="00C67D66">
        <w:trPr>
          <w:trHeight w:val="20"/>
        </w:trPr>
        <w:tc>
          <w:tcPr>
            <w:tcW w:w="2700" w:type="dxa"/>
            <w:hideMark/>
          </w:tcPr>
          <w:p w14:paraId="3F44D97A"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Metformin, N (%)</w:t>
            </w:r>
          </w:p>
        </w:tc>
        <w:tc>
          <w:tcPr>
            <w:tcW w:w="2520" w:type="dxa"/>
            <w:hideMark/>
          </w:tcPr>
          <w:p w14:paraId="4F57E95F"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7702 (83.2)</w:t>
            </w:r>
          </w:p>
        </w:tc>
        <w:tc>
          <w:tcPr>
            <w:tcW w:w="2340" w:type="dxa"/>
            <w:hideMark/>
          </w:tcPr>
          <w:p w14:paraId="7AA0C95C"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5572 (81.8)</w:t>
            </w:r>
          </w:p>
        </w:tc>
        <w:tc>
          <w:tcPr>
            <w:tcW w:w="2430" w:type="dxa"/>
            <w:hideMark/>
          </w:tcPr>
          <w:p w14:paraId="0559C530"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794 (72.4)</w:t>
            </w:r>
          </w:p>
        </w:tc>
        <w:tc>
          <w:tcPr>
            <w:tcW w:w="1170" w:type="dxa"/>
          </w:tcPr>
          <w:p w14:paraId="5FEE722A"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&lt;.0001</w:t>
            </w:r>
          </w:p>
        </w:tc>
      </w:tr>
      <w:tr w:rsidR="00E34B50" w:rsidRPr="00E34B50" w14:paraId="14D34973" w14:textId="77777777" w:rsidTr="00C67D66">
        <w:trPr>
          <w:trHeight w:val="20"/>
        </w:trPr>
        <w:tc>
          <w:tcPr>
            <w:tcW w:w="2700" w:type="dxa"/>
            <w:hideMark/>
          </w:tcPr>
          <w:p w14:paraId="36F23511"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SU, N (%)</w:t>
            </w:r>
          </w:p>
        </w:tc>
        <w:tc>
          <w:tcPr>
            <w:tcW w:w="2520" w:type="dxa"/>
            <w:hideMark/>
          </w:tcPr>
          <w:p w14:paraId="04EAAF09"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3962 (42.8)</w:t>
            </w:r>
          </w:p>
        </w:tc>
        <w:tc>
          <w:tcPr>
            <w:tcW w:w="2340" w:type="dxa"/>
            <w:hideMark/>
          </w:tcPr>
          <w:p w14:paraId="3A49A84A"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2882 (42.3)</w:t>
            </w:r>
          </w:p>
        </w:tc>
        <w:tc>
          <w:tcPr>
            <w:tcW w:w="2430" w:type="dxa"/>
            <w:hideMark/>
          </w:tcPr>
          <w:p w14:paraId="36C9E551"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478 (43.6)</w:t>
            </w:r>
          </w:p>
        </w:tc>
        <w:tc>
          <w:tcPr>
            <w:tcW w:w="1170" w:type="dxa"/>
          </w:tcPr>
          <w:p w14:paraId="7A6F245F"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0.9301</w:t>
            </w:r>
          </w:p>
        </w:tc>
      </w:tr>
      <w:tr w:rsidR="00E34B50" w:rsidRPr="00E34B50" w14:paraId="170D50F3" w14:textId="77777777" w:rsidTr="00C67D66">
        <w:trPr>
          <w:trHeight w:val="20"/>
        </w:trPr>
        <w:tc>
          <w:tcPr>
            <w:tcW w:w="2700" w:type="dxa"/>
            <w:hideMark/>
          </w:tcPr>
          <w:p w14:paraId="08B57ADA"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Insulin, N (%)</w:t>
            </w:r>
          </w:p>
        </w:tc>
        <w:tc>
          <w:tcPr>
            <w:tcW w:w="2520" w:type="dxa"/>
            <w:hideMark/>
          </w:tcPr>
          <w:p w14:paraId="3536A7E8"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3779 (40.8)</w:t>
            </w:r>
          </w:p>
        </w:tc>
        <w:tc>
          <w:tcPr>
            <w:tcW w:w="2340" w:type="dxa"/>
            <w:hideMark/>
          </w:tcPr>
          <w:p w14:paraId="0CD4374A"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2805 (41.2)</w:t>
            </w:r>
          </w:p>
        </w:tc>
        <w:tc>
          <w:tcPr>
            <w:tcW w:w="2430" w:type="dxa"/>
            <w:hideMark/>
          </w:tcPr>
          <w:p w14:paraId="4459DAB7"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429 (39.1)</w:t>
            </w:r>
          </w:p>
        </w:tc>
        <w:tc>
          <w:tcPr>
            <w:tcW w:w="1170" w:type="dxa"/>
          </w:tcPr>
          <w:p w14:paraId="4628673C"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0.6789</w:t>
            </w:r>
          </w:p>
        </w:tc>
      </w:tr>
      <w:tr w:rsidR="00E34B50" w:rsidRPr="00E34B50" w14:paraId="096D57AB" w14:textId="77777777" w:rsidTr="00C67D66">
        <w:trPr>
          <w:trHeight w:val="20"/>
        </w:trPr>
        <w:tc>
          <w:tcPr>
            <w:tcW w:w="2700" w:type="dxa"/>
            <w:hideMark/>
          </w:tcPr>
          <w:p w14:paraId="74E7402F"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DPP4i, N (%)</w:t>
            </w:r>
          </w:p>
        </w:tc>
        <w:tc>
          <w:tcPr>
            <w:tcW w:w="2520" w:type="dxa"/>
            <w:hideMark/>
          </w:tcPr>
          <w:p w14:paraId="669636F8"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1527 (16.5)</w:t>
            </w:r>
          </w:p>
        </w:tc>
        <w:tc>
          <w:tcPr>
            <w:tcW w:w="2340" w:type="dxa"/>
            <w:hideMark/>
          </w:tcPr>
          <w:p w14:paraId="2BC7B784"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1190 (17.5)</w:t>
            </w:r>
          </w:p>
        </w:tc>
        <w:tc>
          <w:tcPr>
            <w:tcW w:w="2430" w:type="dxa"/>
            <w:hideMark/>
          </w:tcPr>
          <w:p w14:paraId="27D7FA41"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171 (15.6)</w:t>
            </w:r>
          </w:p>
        </w:tc>
        <w:tc>
          <w:tcPr>
            <w:tcW w:w="1170" w:type="dxa"/>
          </w:tcPr>
          <w:p w14:paraId="23A8450A"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0.5765</w:t>
            </w:r>
          </w:p>
        </w:tc>
      </w:tr>
      <w:tr w:rsidR="00E34B50" w:rsidRPr="00E34B50" w14:paraId="0D89574C" w14:textId="77777777" w:rsidTr="00C67D66">
        <w:trPr>
          <w:trHeight w:val="20"/>
        </w:trPr>
        <w:tc>
          <w:tcPr>
            <w:tcW w:w="2700" w:type="dxa"/>
            <w:hideMark/>
          </w:tcPr>
          <w:p w14:paraId="42C8F617"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Statin, N (%)</w:t>
            </w:r>
          </w:p>
        </w:tc>
        <w:tc>
          <w:tcPr>
            <w:tcW w:w="2520" w:type="dxa"/>
            <w:hideMark/>
          </w:tcPr>
          <w:p w14:paraId="3295A853"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6772 (73.2)</w:t>
            </w:r>
          </w:p>
        </w:tc>
        <w:tc>
          <w:tcPr>
            <w:tcW w:w="2340" w:type="dxa"/>
            <w:hideMark/>
          </w:tcPr>
          <w:p w14:paraId="32673512"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5164 (75.8)</w:t>
            </w:r>
          </w:p>
        </w:tc>
        <w:tc>
          <w:tcPr>
            <w:tcW w:w="2430" w:type="dxa"/>
            <w:hideMark/>
          </w:tcPr>
          <w:p w14:paraId="3C6BC0DE"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823 (75.1)</w:t>
            </w:r>
          </w:p>
        </w:tc>
        <w:tc>
          <w:tcPr>
            <w:tcW w:w="1170" w:type="dxa"/>
          </w:tcPr>
          <w:p w14:paraId="0CD2C983"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0.001</w:t>
            </w:r>
          </w:p>
        </w:tc>
      </w:tr>
      <w:tr w:rsidR="00E34B50" w:rsidRPr="00E34B50" w14:paraId="128927F5" w14:textId="77777777" w:rsidTr="00C67D66">
        <w:trPr>
          <w:trHeight w:val="20"/>
        </w:trPr>
        <w:tc>
          <w:tcPr>
            <w:tcW w:w="2700" w:type="dxa"/>
            <w:hideMark/>
          </w:tcPr>
          <w:p w14:paraId="68E6B4A1"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ACE Inhibitor/ARB, N (%)</w:t>
            </w:r>
          </w:p>
        </w:tc>
        <w:tc>
          <w:tcPr>
            <w:tcW w:w="2520" w:type="dxa"/>
            <w:hideMark/>
          </w:tcPr>
          <w:p w14:paraId="75AC8344"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7404 (80.0)</w:t>
            </w:r>
          </w:p>
        </w:tc>
        <w:tc>
          <w:tcPr>
            <w:tcW w:w="2340" w:type="dxa"/>
            <w:hideMark/>
          </w:tcPr>
          <w:p w14:paraId="7634AE6D"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5629 (82.6)</w:t>
            </w:r>
          </w:p>
        </w:tc>
        <w:tc>
          <w:tcPr>
            <w:tcW w:w="2430" w:type="dxa"/>
            <w:hideMark/>
          </w:tcPr>
          <w:p w14:paraId="5E148CFF"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917 (83.7)</w:t>
            </w:r>
          </w:p>
        </w:tc>
        <w:tc>
          <w:tcPr>
            <w:tcW w:w="1170" w:type="dxa"/>
          </w:tcPr>
          <w:p w14:paraId="55720726"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&lt;.0001</w:t>
            </w:r>
          </w:p>
        </w:tc>
      </w:tr>
      <w:tr w:rsidR="00E34B50" w:rsidRPr="00E34B50" w14:paraId="2D0EB20A" w14:textId="77777777" w:rsidTr="00C67D66">
        <w:trPr>
          <w:trHeight w:val="20"/>
        </w:trPr>
        <w:tc>
          <w:tcPr>
            <w:tcW w:w="2700" w:type="dxa"/>
            <w:hideMark/>
          </w:tcPr>
          <w:p w14:paraId="32CE8BBD"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Any diuretics, N (%)</w:t>
            </w:r>
          </w:p>
        </w:tc>
        <w:tc>
          <w:tcPr>
            <w:tcW w:w="2520" w:type="dxa"/>
            <w:hideMark/>
          </w:tcPr>
          <w:p w14:paraId="38D3B22B"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3453 (37.3)</w:t>
            </w:r>
          </w:p>
        </w:tc>
        <w:tc>
          <w:tcPr>
            <w:tcW w:w="2340" w:type="dxa"/>
            <w:hideMark/>
          </w:tcPr>
          <w:p w14:paraId="2C66F3AA"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3000 (44.0)</w:t>
            </w:r>
          </w:p>
        </w:tc>
        <w:tc>
          <w:tcPr>
            <w:tcW w:w="2430" w:type="dxa"/>
            <w:hideMark/>
          </w:tcPr>
          <w:p w14:paraId="049E84A6"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514 (46.9)</w:t>
            </w:r>
          </w:p>
        </w:tc>
        <w:tc>
          <w:tcPr>
            <w:tcW w:w="1170" w:type="dxa"/>
          </w:tcPr>
          <w:p w14:paraId="50537725"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&lt;.0001</w:t>
            </w:r>
          </w:p>
        </w:tc>
      </w:tr>
      <w:tr w:rsidR="00E34B50" w:rsidRPr="00E34B50" w14:paraId="0C1913E3" w14:textId="77777777" w:rsidTr="00C67D66">
        <w:trPr>
          <w:trHeight w:val="20"/>
        </w:trPr>
        <w:tc>
          <w:tcPr>
            <w:tcW w:w="2700" w:type="dxa"/>
            <w:hideMark/>
          </w:tcPr>
          <w:p w14:paraId="27D0FD2E"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Diuretics - loops, N (%)</w:t>
            </w:r>
          </w:p>
        </w:tc>
        <w:tc>
          <w:tcPr>
            <w:tcW w:w="2520" w:type="dxa"/>
            <w:hideMark/>
          </w:tcPr>
          <w:p w14:paraId="178D957F"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832 (9.0)</w:t>
            </w:r>
          </w:p>
        </w:tc>
        <w:tc>
          <w:tcPr>
            <w:tcW w:w="2340" w:type="dxa"/>
            <w:hideMark/>
          </w:tcPr>
          <w:p w14:paraId="2DACDD10"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791 (11.6)</w:t>
            </w:r>
          </w:p>
        </w:tc>
        <w:tc>
          <w:tcPr>
            <w:tcW w:w="2430" w:type="dxa"/>
            <w:hideMark/>
          </w:tcPr>
          <w:p w14:paraId="5BA983EE"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183 (16.7)</w:t>
            </w:r>
          </w:p>
        </w:tc>
        <w:tc>
          <w:tcPr>
            <w:tcW w:w="1170" w:type="dxa"/>
          </w:tcPr>
          <w:p w14:paraId="1137287E"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&lt;.0001</w:t>
            </w:r>
          </w:p>
        </w:tc>
      </w:tr>
      <w:tr w:rsidR="00E34B50" w:rsidRPr="00E34B50" w14:paraId="5B291030" w14:textId="77777777" w:rsidTr="00C67D66">
        <w:trPr>
          <w:trHeight w:val="20"/>
        </w:trPr>
        <w:tc>
          <w:tcPr>
            <w:tcW w:w="2700" w:type="dxa"/>
            <w:hideMark/>
          </w:tcPr>
          <w:p w14:paraId="391CA217"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Antiplatelet Therapy, N (%)</w:t>
            </w:r>
          </w:p>
        </w:tc>
        <w:tc>
          <w:tcPr>
            <w:tcW w:w="2520" w:type="dxa"/>
            <w:hideMark/>
          </w:tcPr>
          <w:p w14:paraId="1A830FCB"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5605 (60.6)</w:t>
            </w:r>
          </w:p>
        </w:tc>
        <w:tc>
          <w:tcPr>
            <w:tcW w:w="2340" w:type="dxa"/>
            <w:hideMark/>
          </w:tcPr>
          <w:p w14:paraId="3101A481"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4171 (61.2)</w:t>
            </w:r>
          </w:p>
        </w:tc>
        <w:tc>
          <w:tcPr>
            <w:tcW w:w="2430" w:type="dxa"/>
            <w:hideMark/>
          </w:tcPr>
          <w:p w14:paraId="2710C6D3"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711 (64.9)</w:t>
            </w:r>
          </w:p>
        </w:tc>
        <w:tc>
          <w:tcPr>
            <w:tcW w:w="1170" w:type="dxa"/>
          </w:tcPr>
          <w:p w14:paraId="49A85DF3"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0.0203</w:t>
            </w:r>
          </w:p>
        </w:tc>
      </w:tr>
      <w:tr w:rsidR="00E34B50" w:rsidRPr="00E34B50" w14:paraId="5C667682" w14:textId="77777777" w:rsidTr="00C67D66">
        <w:trPr>
          <w:trHeight w:val="20"/>
        </w:trPr>
        <w:tc>
          <w:tcPr>
            <w:tcW w:w="2700" w:type="dxa"/>
            <w:hideMark/>
          </w:tcPr>
          <w:p w14:paraId="515EE444"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Beta Blockers, N (%)</w:t>
            </w:r>
          </w:p>
        </w:tc>
        <w:tc>
          <w:tcPr>
            <w:tcW w:w="2520" w:type="dxa"/>
            <w:hideMark/>
          </w:tcPr>
          <w:p w14:paraId="4067F4F2"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4854 (52.5)</w:t>
            </w:r>
          </w:p>
        </w:tc>
        <w:tc>
          <w:tcPr>
            <w:tcW w:w="2340" w:type="dxa"/>
            <w:hideMark/>
          </w:tcPr>
          <w:p w14:paraId="6F2CC57F"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3570 (52.4)</w:t>
            </w:r>
          </w:p>
        </w:tc>
        <w:tc>
          <w:tcPr>
            <w:tcW w:w="2430" w:type="dxa"/>
            <w:hideMark/>
          </w:tcPr>
          <w:p w14:paraId="23A19452"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606 (55.3)</w:t>
            </w:r>
          </w:p>
        </w:tc>
        <w:tc>
          <w:tcPr>
            <w:tcW w:w="1170" w:type="dxa"/>
          </w:tcPr>
          <w:p w14:paraId="08C3D8F2"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0.2689</w:t>
            </w:r>
          </w:p>
        </w:tc>
      </w:tr>
    </w:tbl>
    <w:p w14:paraId="61DD34B6"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p>
    <w:p w14:paraId="7E3C2200"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ACE – angiotensin converting enzyme; ARB = angiotensin receptor blockers; eGFR – estimated glomerular filtration rate (calculated using the CKD-EPI formula; DPP4i – Dipeptidyl peptidase-4 inhibitors. Medications listed are those taken at baseline.</w:t>
      </w:r>
    </w:p>
    <w:p w14:paraId="63F14BD0"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br w:type="page"/>
      </w:r>
    </w:p>
    <w:p w14:paraId="3AF66778"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Supplementary figure 1 – Efficacy of dapagliflozin by prespecified age categories</w:t>
      </w:r>
    </w:p>
    <w:p w14:paraId="19EC3891"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lang w:val="en-GB"/>
        </w:rPr>
        <w:drawing>
          <wp:inline distT="0" distB="0" distL="0" distR="0" wp14:anchorId="1745CA97" wp14:editId="6B79B175">
            <wp:extent cx="5943600" cy="3394160"/>
            <wp:effectExtent l="0" t="0" r="0" b="0"/>
            <wp:docPr id="1" name="Picture 1" descr="C:\Users\Test\Dropbox\avivit\declare\publications\elderly\paper\forest plots\forest plots for v5\eff. Age65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t\Dropbox\avivit\declare\publications\elderly\paper\forest plots\forest plots for v5\eff. Age65 (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394160"/>
                    </a:xfrm>
                    <a:prstGeom prst="rect">
                      <a:avLst/>
                    </a:prstGeom>
                    <a:noFill/>
                    <a:ln>
                      <a:noFill/>
                    </a:ln>
                  </pic:spPr>
                </pic:pic>
              </a:graphicData>
            </a:graphic>
          </wp:inline>
        </w:drawing>
      </w:r>
    </w:p>
    <w:p w14:paraId="1642E194"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p>
    <w:p w14:paraId="1ED4A882"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lang w:val="en-GB"/>
        </w:rPr>
        <w:drawing>
          <wp:inline distT="0" distB="0" distL="0" distR="0" wp14:anchorId="3699D4F5" wp14:editId="468B93CB">
            <wp:extent cx="5943600" cy="3394160"/>
            <wp:effectExtent l="0" t="0" r="0" b="0"/>
            <wp:docPr id="6" name="Picture 6" descr="C:\Users\Test\Dropbox\avivit\declare\publications\elderly\paper\forest plots\forest plots for v5\eff. Age75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st\Dropbox\avivit\declare\publications\elderly\paper\forest plots\forest plots for v5\eff. Age75 (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394160"/>
                    </a:xfrm>
                    <a:prstGeom prst="rect">
                      <a:avLst/>
                    </a:prstGeom>
                    <a:noFill/>
                    <a:ln>
                      <a:noFill/>
                    </a:ln>
                  </pic:spPr>
                </pic:pic>
              </a:graphicData>
            </a:graphic>
          </wp:inline>
        </w:drawing>
      </w:r>
    </w:p>
    <w:p w14:paraId="5F51507A"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br w:type="page"/>
      </w:r>
    </w:p>
    <w:p w14:paraId="4D893C93"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rPr>
        <w:t>Supplementary figure 2 – Safety of dapagliflozin by prespecified age categories</w:t>
      </w:r>
    </w:p>
    <w:p w14:paraId="24E5AE98"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r w:rsidRPr="00E34B50">
        <w:rPr>
          <w:rFonts w:asciiTheme="majorBidi" w:eastAsia="Times New Roman" w:hAnsiTheme="majorBidi" w:cstheme="majorBidi"/>
          <w:b/>
          <w:bCs/>
          <w:color w:val="333333"/>
          <w:lang w:val="en-GB"/>
        </w:rPr>
        <w:drawing>
          <wp:inline distT="0" distB="0" distL="0" distR="0" wp14:anchorId="73B1B5F3" wp14:editId="039E1801">
            <wp:extent cx="5943600" cy="3395373"/>
            <wp:effectExtent l="0" t="0" r="0" b="0"/>
            <wp:docPr id="7" name="Picture 7" descr="C:\Users\Test\Dropbox\avivit\declare\publications\elderly\paper\forest plots for v3\safety. Age65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st\Dropbox\avivit\declare\publications\elderly\paper\forest plots for v3\safety. Age65 (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395373"/>
                    </a:xfrm>
                    <a:prstGeom prst="rect">
                      <a:avLst/>
                    </a:prstGeom>
                    <a:noFill/>
                    <a:ln>
                      <a:noFill/>
                    </a:ln>
                  </pic:spPr>
                </pic:pic>
              </a:graphicData>
            </a:graphic>
          </wp:inline>
        </w:drawing>
      </w:r>
    </w:p>
    <w:p w14:paraId="1A67B2DF" w14:textId="77777777" w:rsidR="00E34B50" w:rsidRPr="00E34B50" w:rsidRDefault="00E34B50" w:rsidP="00E34B50">
      <w:pPr>
        <w:spacing w:before="100" w:beforeAutospacing="1" w:after="100" w:afterAutospacing="1" w:line="480" w:lineRule="auto"/>
        <w:rPr>
          <w:rFonts w:asciiTheme="majorBidi" w:eastAsia="Times New Roman" w:hAnsiTheme="majorBidi" w:cstheme="majorBidi"/>
          <w:b/>
          <w:bCs/>
          <w:color w:val="333333"/>
        </w:rPr>
      </w:pPr>
    </w:p>
    <w:p w14:paraId="3DE95016" w14:textId="77777777" w:rsidR="00E34B50" w:rsidRPr="009C0B84" w:rsidRDefault="00E34B50" w:rsidP="001525B4">
      <w:pPr>
        <w:spacing w:before="100" w:beforeAutospacing="1" w:after="100" w:afterAutospacing="1" w:line="480" w:lineRule="auto"/>
        <w:rPr>
          <w:rFonts w:asciiTheme="majorBidi" w:eastAsia="Times New Roman" w:hAnsiTheme="majorBidi" w:cstheme="majorBidi"/>
          <w:b/>
          <w:bCs/>
          <w:color w:val="333333"/>
          <w:rtl/>
        </w:rPr>
      </w:pPr>
      <w:bookmarkStart w:id="0" w:name="_GoBack"/>
      <w:bookmarkEnd w:id="0"/>
    </w:p>
    <w:sectPr w:rsidR="00E34B50" w:rsidRPr="009C0B84" w:rsidSect="00574174">
      <w:footerReference w:type="default" r:id="rId1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C1D28F" w16cid:durableId="20DF31DA"/>
  <w16cid:commentId w16cid:paraId="43F732A3" w16cid:durableId="20DF311F"/>
  <w16cid:commentId w16cid:paraId="1EF3C42F" w16cid:durableId="20DF3205"/>
  <w16cid:commentId w16cid:paraId="7489D45F" w16cid:durableId="20DED6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D4217" w14:textId="77777777" w:rsidR="00214754" w:rsidRDefault="00214754" w:rsidP="00471E0D">
      <w:pPr>
        <w:spacing w:after="0" w:line="240" w:lineRule="auto"/>
      </w:pPr>
      <w:r>
        <w:separator/>
      </w:r>
    </w:p>
  </w:endnote>
  <w:endnote w:type="continuationSeparator" w:id="0">
    <w:p w14:paraId="37F5AA3C" w14:textId="77777777" w:rsidR="00214754" w:rsidRDefault="00214754" w:rsidP="00471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353553"/>
      <w:docPartObj>
        <w:docPartGallery w:val="Page Numbers (Bottom of Page)"/>
        <w:docPartUnique/>
      </w:docPartObj>
    </w:sdtPr>
    <w:sdtEndPr>
      <w:rPr>
        <w:noProof/>
      </w:rPr>
    </w:sdtEndPr>
    <w:sdtContent>
      <w:p w14:paraId="7FB8C2C6" w14:textId="61BDD8FF" w:rsidR="00E72D59" w:rsidRDefault="00E72D59">
        <w:pPr>
          <w:pStyle w:val="Footer"/>
          <w:jc w:val="right"/>
        </w:pPr>
        <w:r>
          <w:fldChar w:fldCharType="begin"/>
        </w:r>
        <w:r>
          <w:instrText xml:space="preserve"> PAGE   \* MERGEFORMAT </w:instrText>
        </w:r>
        <w:r>
          <w:fldChar w:fldCharType="separate"/>
        </w:r>
        <w:r w:rsidR="00E34B50">
          <w:rPr>
            <w:noProof/>
          </w:rPr>
          <w:t>22</w:t>
        </w:r>
        <w:r>
          <w:rPr>
            <w:noProof/>
          </w:rPr>
          <w:fldChar w:fldCharType="end"/>
        </w:r>
      </w:p>
    </w:sdtContent>
  </w:sdt>
  <w:p w14:paraId="33D0640B" w14:textId="77777777" w:rsidR="00F02452" w:rsidRDefault="00F02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D02C0" w14:textId="77777777" w:rsidR="00214754" w:rsidRDefault="00214754" w:rsidP="00471E0D">
      <w:pPr>
        <w:spacing w:after="0" w:line="240" w:lineRule="auto"/>
      </w:pPr>
      <w:r>
        <w:separator/>
      </w:r>
    </w:p>
  </w:footnote>
  <w:footnote w:type="continuationSeparator" w:id="0">
    <w:p w14:paraId="24F27CDE" w14:textId="77777777" w:rsidR="00214754" w:rsidRDefault="00214754" w:rsidP="00471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61011"/>
    <w:multiLevelType w:val="hybridMultilevel"/>
    <w:tmpl w:val="35F42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207187"/>
    <w:multiLevelType w:val="hybridMultilevel"/>
    <w:tmpl w:val="479C7A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0408C2">
      <w:start w:val="1"/>
      <w:numFmt w:val="none"/>
      <w:pStyle w:val="EndNoteBibliography"/>
      <w:lvlText w:val=""/>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E24"/>
    <w:rsid w:val="000029C2"/>
    <w:rsid w:val="00002F50"/>
    <w:rsid w:val="000042BE"/>
    <w:rsid w:val="000131CA"/>
    <w:rsid w:val="00013247"/>
    <w:rsid w:val="00015C51"/>
    <w:rsid w:val="00020CC7"/>
    <w:rsid w:val="00023744"/>
    <w:rsid w:val="00025ED8"/>
    <w:rsid w:val="00035034"/>
    <w:rsid w:val="00037293"/>
    <w:rsid w:val="00037791"/>
    <w:rsid w:val="000414DC"/>
    <w:rsid w:val="000463D2"/>
    <w:rsid w:val="00052BCD"/>
    <w:rsid w:val="00057330"/>
    <w:rsid w:val="00057C7B"/>
    <w:rsid w:val="00066A34"/>
    <w:rsid w:val="00071C88"/>
    <w:rsid w:val="0007396C"/>
    <w:rsid w:val="00074A23"/>
    <w:rsid w:val="00075172"/>
    <w:rsid w:val="00076B90"/>
    <w:rsid w:val="00087766"/>
    <w:rsid w:val="00095C84"/>
    <w:rsid w:val="000A18D7"/>
    <w:rsid w:val="000A18DF"/>
    <w:rsid w:val="000A345C"/>
    <w:rsid w:val="000A477B"/>
    <w:rsid w:val="000B3C19"/>
    <w:rsid w:val="000B3DD7"/>
    <w:rsid w:val="000C64D7"/>
    <w:rsid w:val="000D0657"/>
    <w:rsid w:val="000D2D3A"/>
    <w:rsid w:val="000D6174"/>
    <w:rsid w:val="000D7D60"/>
    <w:rsid w:val="000E2057"/>
    <w:rsid w:val="000F73EE"/>
    <w:rsid w:val="00103863"/>
    <w:rsid w:val="00103C00"/>
    <w:rsid w:val="00106372"/>
    <w:rsid w:val="001123D4"/>
    <w:rsid w:val="00117CF7"/>
    <w:rsid w:val="0012111A"/>
    <w:rsid w:val="00125005"/>
    <w:rsid w:val="001258EA"/>
    <w:rsid w:val="0013081C"/>
    <w:rsid w:val="001355F6"/>
    <w:rsid w:val="00136747"/>
    <w:rsid w:val="00142BC1"/>
    <w:rsid w:val="00146920"/>
    <w:rsid w:val="001525B4"/>
    <w:rsid w:val="00152B6A"/>
    <w:rsid w:val="001533A7"/>
    <w:rsid w:val="00166C9A"/>
    <w:rsid w:val="00172523"/>
    <w:rsid w:val="0017508A"/>
    <w:rsid w:val="00176004"/>
    <w:rsid w:val="0018561F"/>
    <w:rsid w:val="00185E7C"/>
    <w:rsid w:val="00190856"/>
    <w:rsid w:val="001911BF"/>
    <w:rsid w:val="00197D4A"/>
    <w:rsid w:val="001A0970"/>
    <w:rsid w:val="001B09D6"/>
    <w:rsid w:val="001B0CCF"/>
    <w:rsid w:val="001B2346"/>
    <w:rsid w:val="001C0389"/>
    <w:rsid w:val="001C6F7F"/>
    <w:rsid w:val="001D19BC"/>
    <w:rsid w:val="001D33A5"/>
    <w:rsid w:val="001D33C3"/>
    <w:rsid w:val="001D48C7"/>
    <w:rsid w:val="001E1F59"/>
    <w:rsid w:val="001E431A"/>
    <w:rsid w:val="001E5F9C"/>
    <w:rsid w:val="001E5FC2"/>
    <w:rsid w:val="001E6E8F"/>
    <w:rsid w:val="001E7BB5"/>
    <w:rsid w:val="001F3E88"/>
    <w:rsid w:val="001F6B71"/>
    <w:rsid w:val="001F786E"/>
    <w:rsid w:val="00201684"/>
    <w:rsid w:val="002069AB"/>
    <w:rsid w:val="00210331"/>
    <w:rsid w:val="002125EE"/>
    <w:rsid w:val="002127D5"/>
    <w:rsid w:val="00213EB7"/>
    <w:rsid w:val="00214754"/>
    <w:rsid w:val="0022449B"/>
    <w:rsid w:val="002262DC"/>
    <w:rsid w:val="0023410B"/>
    <w:rsid w:val="00235690"/>
    <w:rsid w:val="00235823"/>
    <w:rsid w:val="0023762D"/>
    <w:rsid w:val="0024036E"/>
    <w:rsid w:val="002458EC"/>
    <w:rsid w:val="0025045D"/>
    <w:rsid w:val="0025172E"/>
    <w:rsid w:val="002630F2"/>
    <w:rsid w:val="00270007"/>
    <w:rsid w:val="00270511"/>
    <w:rsid w:val="00270807"/>
    <w:rsid w:val="00271C9E"/>
    <w:rsid w:val="00285F14"/>
    <w:rsid w:val="002A6886"/>
    <w:rsid w:val="002B1E65"/>
    <w:rsid w:val="002B79D1"/>
    <w:rsid w:val="002C2088"/>
    <w:rsid w:val="002C41D2"/>
    <w:rsid w:val="002C5E80"/>
    <w:rsid w:val="002C6F54"/>
    <w:rsid w:val="002C76D5"/>
    <w:rsid w:val="002D50C4"/>
    <w:rsid w:val="002D5A42"/>
    <w:rsid w:val="002E2E83"/>
    <w:rsid w:val="002E5B04"/>
    <w:rsid w:val="002F2FF4"/>
    <w:rsid w:val="002F3851"/>
    <w:rsid w:val="003052CB"/>
    <w:rsid w:val="00305A46"/>
    <w:rsid w:val="00311F1C"/>
    <w:rsid w:val="00312C64"/>
    <w:rsid w:val="00315C58"/>
    <w:rsid w:val="00322B95"/>
    <w:rsid w:val="00324773"/>
    <w:rsid w:val="00324F08"/>
    <w:rsid w:val="00325AD0"/>
    <w:rsid w:val="00326ED7"/>
    <w:rsid w:val="0034678D"/>
    <w:rsid w:val="00350E20"/>
    <w:rsid w:val="00353251"/>
    <w:rsid w:val="003555C0"/>
    <w:rsid w:val="00363D2A"/>
    <w:rsid w:val="003676D8"/>
    <w:rsid w:val="00367ECD"/>
    <w:rsid w:val="0037073D"/>
    <w:rsid w:val="00370E4B"/>
    <w:rsid w:val="00374A85"/>
    <w:rsid w:val="003778A7"/>
    <w:rsid w:val="0038146C"/>
    <w:rsid w:val="0038406F"/>
    <w:rsid w:val="00386439"/>
    <w:rsid w:val="003929FA"/>
    <w:rsid w:val="003934EE"/>
    <w:rsid w:val="00396FEC"/>
    <w:rsid w:val="003A5AC0"/>
    <w:rsid w:val="003B6736"/>
    <w:rsid w:val="003C0396"/>
    <w:rsid w:val="003D0534"/>
    <w:rsid w:val="003D06D7"/>
    <w:rsid w:val="003D31CB"/>
    <w:rsid w:val="003E664F"/>
    <w:rsid w:val="003E743B"/>
    <w:rsid w:val="003F1A9F"/>
    <w:rsid w:val="003F2598"/>
    <w:rsid w:val="003F4889"/>
    <w:rsid w:val="004008B9"/>
    <w:rsid w:val="00407820"/>
    <w:rsid w:val="0041095A"/>
    <w:rsid w:val="00410E38"/>
    <w:rsid w:val="00412469"/>
    <w:rsid w:val="0041449B"/>
    <w:rsid w:val="00414CDE"/>
    <w:rsid w:val="00420932"/>
    <w:rsid w:val="00425364"/>
    <w:rsid w:val="00432469"/>
    <w:rsid w:val="004425AA"/>
    <w:rsid w:val="00444350"/>
    <w:rsid w:val="00450365"/>
    <w:rsid w:val="00452680"/>
    <w:rsid w:val="00454F35"/>
    <w:rsid w:val="00464024"/>
    <w:rsid w:val="004652C1"/>
    <w:rsid w:val="0046759A"/>
    <w:rsid w:val="00470893"/>
    <w:rsid w:val="00471E0D"/>
    <w:rsid w:val="00475C7E"/>
    <w:rsid w:val="004832D4"/>
    <w:rsid w:val="004834B7"/>
    <w:rsid w:val="00487253"/>
    <w:rsid w:val="00493213"/>
    <w:rsid w:val="00494611"/>
    <w:rsid w:val="004959E3"/>
    <w:rsid w:val="004A0829"/>
    <w:rsid w:val="004A549D"/>
    <w:rsid w:val="004B7A91"/>
    <w:rsid w:val="004C04C1"/>
    <w:rsid w:val="004C21B4"/>
    <w:rsid w:val="004C5146"/>
    <w:rsid w:val="004C7C27"/>
    <w:rsid w:val="004D032A"/>
    <w:rsid w:val="004D05F2"/>
    <w:rsid w:val="004D5E22"/>
    <w:rsid w:val="004E57E4"/>
    <w:rsid w:val="004E5F16"/>
    <w:rsid w:val="004F1387"/>
    <w:rsid w:val="004F17E6"/>
    <w:rsid w:val="004F3091"/>
    <w:rsid w:val="004F392F"/>
    <w:rsid w:val="00510BE0"/>
    <w:rsid w:val="005123BC"/>
    <w:rsid w:val="005166B5"/>
    <w:rsid w:val="00522007"/>
    <w:rsid w:val="00524D17"/>
    <w:rsid w:val="005274A9"/>
    <w:rsid w:val="005356BD"/>
    <w:rsid w:val="00536537"/>
    <w:rsid w:val="005419F2"/>
    <w:rsid w:val="005439BA"/>
    <w:rsid w:val="0054488C"/>
    <w:rsid w:val="00544C40"/>
    <w:rsid w:val="0055191E"/>
    <w:rsid w:val="00552FC5"/>
    <w:rsid w:val="00553158"/>
    <w:rsid w:val="00561257"/>
    <w:rsid w:val="0056314C"/>
    <w:rsid w:val="005636C1"/>
    <w:rsid w:val="0056569F"/>
    <w:rsid w:val="00574174"/>
    <w:rsid w:val="00581B8F"/>
    <w:rsid w:val="005912C3"/>
    <w:rsid w:val="00597D5A"/>
    <w:rsid w:val="005A502B"/>
    <w:rsid w:val="005B6A74"/>
    <w:rsid w:val="005B7DCF"/>
    <w:rsid w:val="005D173D"/>
    <w:rsid w:val="005D1A23"/>
    <w:rsid w:val="005D3680"/>
    <w:rsid w:val="005D54D2"/>
    <w:rsid w:val="005E1EFA"/>
    <w:rsid w:val="005E1FC8"/>
    <w:rsid w:val="005E4673"/>
    <w:rsid w:val="005E60F5"/>
    <w:rsid w:val="005F38FE"/>
    <w:rsid w:val="005F6485"/>
    <w:rsid w:val="005F7C78"/>
    <w:rsid w:val="00601DDB"/>
    <w:rsid w:val="00602EE5"/>
    <w:rsid w:val="00604634"/>
    <w:rsid w:val="00605EBE"/>
    <w:rsid w:val="006107A8"/>
    <w:rsid w:val="00610D43"/>
    <w:rsid w:val="006155CA"/>
    <w:rsid w:val="00616B71"/>
    <w:rsid w:val="0062069C"/>
    <w:rsid w:val="00627853"/>
    <w:rsid w:val="00627C8C"/>
    <w:rsid w:val="00630317"/>
    <w:rsid w:val="00630F51"/>
    <w:rsid w:val="00634ED8"/>
    <w:rsid w:val="00656383"/>
    <w:rsid w:val="006636C3"/>
    <w:rsid w:val="006674B2"/>
    <w:rsid w:val="006702C2"/>
    <w:rsid w:val="006746A5"/>
    <w:rsid w:val="006747FE"/>
    <w:rsid w:val="00675B42"/>
    <w:rsid w:val="00680CF7"/>
    <w:rsid w:val="00684F98"/>
    <w:rsid w:val="006A6395"/>
    <w:rsid w:val="006B0663"/>
    <w:rsid w:val="006B0CFC"/>
    <w:rsid w:val="006B3593"/>
    <w:rsid w:val="006B4C5A"/>
    <w:rsid w:val="006C25FF"/>
    <w:rsid w:val="006D025A"/>
    <w:rsid w:val="006D19F1"/>
    <w:rsid w:val="006D37E7"/>
    <w:rsid w:val="006D4F8E"/>
    <w:rsid w:val="00702299"/>
    <w:rsid w:val="0070495C"/>
    <w:rsid w:val="00705253"/>
    <w:rsid w:val="00712044"/>
    <w:rsid w:val="00720221"/>
    <w:rsid w:val="00721F5F"/>
    <w:rsid w:val="007228A5"/>
    <w:rsid w:val="00723822"/>
    <w:rsid w:val="00723D37"/>
    <w:rsid w:val="00725C66"/>
    <w:rsid w:val="00725FC1"/>
    <w:rsid w:val="00732C11"/>
    <w:rsid w:val="00737633"/>
    <w:rsid w:val="00741B8E"/>
    <w:rsid w:val="00743247"/>
    <w:rsid w:val="007440EB"/>
    <w:rsid w:val="007479E4"/>
    <w:rsid w:val="0075715E"/>
    <w:rsid w:val="00757352"/>
    <w:rsid w:val="007865BD"/>
    <w:rsid w:val="007903C0"/>
    <w:rsid w:val="007908EC"/>
    <w:rsid w:val="00791FB9"/>
    <w:rsid w:val="007A0DD1"/>
    <w:rsid w:val="007A349A"/>
    <w:rsid w:val="007A5025"/>
    <w:rsid w:val="007B17F2"/>
    <w:rsid w:val="007B6B7E"/>
    <w:rsid w:val="007C491F"/>
    <w:rsid w:val="007C5697"/>
    <w:rsid w:val="007C6157"/>
    <w:rsid w:val="007C6908"/>
    <w:rsid w:val="007C7451"/>
    <w:rsid w:val="007D72AA"/>
    <w:rsid w:val="007E2243"/>
    <w:rsid w:val="007E2672"/>
    <w:rsid w:val="007F0594"/>
    <w:rsid w:val="00815BA0"/>
    <w:rsid w:val="0082435D"/>
    <w:rsid w:val="008243D1"/>
    <w:rsid w:val="0083085F"/>
    <w:rsid w:val="00830EB0"/>
    <w:rsid w:val="00840728"/>
    <w:rsid w:val="0084075E"/>
    <w:rsid w:val="0085235C"/>
    <w:rsid w:val="00865F18"/>
    <w:rsid w:val="00871EE4"/>
    <w:rsid w:val="00876C3B"/>
    <w:rsid w:val="0088380E"/>
    <w:rsid w:val="00885C54"/>
    <w:rsid w:val="00886725"/>
    <w:rsid w:val="0088788D"/>
    <w:rsid w:val="00892B39"/>
    <w:rsid w:val="00897083"/>
    <w:rsid w:val="008A578B"/>
    <w:rsid w:val="008A6B0D"/>
    <w:rsid w:val="008B2533"/>
    <w:rsid w:val="008C0BA7"/>
    <w:rsid w:val="008C14EA"/>
    <w:rsid w:val="008D123E"/>
    <w:rsid w:val="008D4CCE"/>
    <w:rsid w:val="008D5B61"/>
    <w:rsid w:val="008E26A8"/>
    <w:rsid w:val="008E431E"/>
    <w:rsid w:val="008E747A"/>
    <w:rsid w:val="008F6FC5"/>
    <w:rsid w:val="009040D1"/>
    <w:rsid w:val="0090749F"/>
    <w:rsid w:val="00910B5A"/>
    <w:rsid w:val="00911512"/>
    <w:rsid w:val="00925FE6"/>
    <w:rsid w:val="009312D1"/>
    <w:rsid w:val="009421DE"/>
    <w:rsid w:val="00950426"/>
    <w:rsid w:val="0095335F"/>
    <w:rsid w:val="00955222"/>
    <w:rsid w:val="009559D8"/>
    <w:rsid w:val="00956CC7"/>
    <w:rsid w:val="00960441"/>
    <w:rsid w:val="009619A5"/>
    <w:rsid w:val="00963241"/>
    <w:rsid w:val="0096621D"/>
    <w:rsid w:val="00966DB7"/>
    <w:rsid w:val="009718AF"/>
    <w:rsid w:val="00982877"/>
    <w:rsid w:val="00984B2D"/>
    <w:rsid w:val="00985911"/>
    <w:rsid w:val="009934A0"/>
    <w:rsid w:val="00993864"/>
    <w:rsid w:val="009939A1"/>
    <w:rsid w:val="009A2CAD"/>
    <w:rsid w:val="009A6714"/>
    <w:rsid w:val="009C0B84"/>
    <w:rsid w:val="009C1265"/>
    <w:rsid w:val="009C1D4E"/>
    <w:rsid w:val="009C65AF"/>
    <w:rsid w:val="009D1C5B"/>
    <w:rsid w:val="009D2617"/>
    <w:rsid w:val="009E0BE5"/>
    <w:rsid w:val="009E17FB"/>
    <w:rsid w:val="009E3FC1"/>
    <w:rsid w:val="009E6857"/>
    <w:rsid w:val="009F7D04"/>
    <w:rsid w:val="00A01259"/>
    <w:rsid w:val="00A02B5B"/>
    <w:rsid w:val="00A05175"/>
    <w:rsid w:val="00A07610"/>
    <w:rsid w:val="00A10DF8"/>
    <w:rsid w:val="00A126CC"/>
    <w:rsid w:val="00A151F3"/>
    <w:rsid w:val="00A20A20"/>
    <w:rsid w:val="00A22F26"/>
    <w:rsid w:val="00A23AB7"/>
    <w:rsid w:val="00A26F33"/>
    <w:rsid w:val="00A27E24"/>
    <w:rsid w:val="00A3181F"/>
    <w:rsid w:val="00A3704F"/>
    <w:rsid w:val="00A402EF"/>
    <w:rsid w:val="00A41005"/>
    <w:rsid w:val="00A44826"/>
    <w:rsid w:val="00A47D37"/>
    <w:rsid w:val="00A53617"/>
    <w:rsid w:val="00A54D45"/>
    <w:rsid w:val="00A62BFE"/>
    <w:rsid w:val="00A64BE1"/>
    <w:rsid w:val="00A652B4"/>
    <w:rsid w:val="00A75B33"/>
    <w:rsid w:val="00A76C3B"/>
    <w:rsid w:val="00A76F2F"/>
    <w:rsid w:val="00A77F80"/>
    <w:rsid w:val="00A81C5A"/>
    <w:rsid w:val="00A85E6D"/>
    <w:rsid w:val="00A86E9D"/>
    <w:rsid w:val="00A91D89"/>
    <w:rsid w:val="00A92CC4"/>
    <w:rsid w:val="00A94546"/>
    <w:rsid w:val="00A95160"/>
    <w:rsid w:val="00A95441"/>
    <w:rsid w:val="00A95F96"/>
    <w:rsid w:val="00AA177C"/>
    <w:rsid w:val="00AA705C"/>
    <w:rsid w:val="00AB009A"/>
    <w:rsid w:val="00AB2508"/>
    <w:rsid w:val="00AB363C"/>
    <w:rsid w:val="00AB56F0"/>
    <w:rsid w:val="00AC1E5A"/>
    <w:rsid w:val="00AC3336"/>
    <w:rsid w:val="00AD3D5B"/>
    <w:rsid w:val="00AE4F08"/>
    <w:rsid w:val="00AF0D86"/>
    <w:rsid w:val="00AF4BA3"/>
    <w:rsid w:val="00AF4EF8"/>
    <w:rsid w:val="00AF5177"/>
    <w:rsid w:val="00AF7DAA"/>
    <w:rsid w:val="00B00575"/>
    <w:rsid w:val="00B022CD"/>
    <w:rsid w:val="00B06DED"/>
    <w:rsid w:val="00B1051D"/>
    <w:rsid w:val="00B1420C"/>
    <w:rsid w:val="00B15317"/>
    <w:rsid w:val="00B16920"/>
    <w:rsid w:val="00B172E8"/>
    <w:rsid w:val="00B20F0B"/>
    <w:rsid w:val="00B32199"/>
    <w:rsid w:val="00B358AE"/>
    <w:rsid w:val="00B51251"/>
    <w:rsid w:val="00B559A4"/>
    <w:rsid w:val="00B91571"/>
    <w:rsid w:val="00BA0569"/>
    <w:rsid w:val="00BA074D"/>
    <w:rsid w:val="00BA31EE"/>
    <w:rsid w:val="00BA320B"/>
    <w:rsid w:val="00BA5912"/>
    <w:rsid w:val="00BA69FA"/>
    <w:rsid w:val="00BB460D"/>
    <w:rsid w:val="00BB7A16"/>
    <w:rsid w:val="00BC4BE0"/>
    <w:rsid w:val="00BD00FA"/>
    <w:rsid w:val="00BD2684"/>
    <w:rsid w:val="00BE70EB"/>
    <w:rsid w:val="00BF2B17"/>
    <w:rsid w:val="00BF498E"/>
    <w:rsid w:val="00C02844"/>
    <w:rsid w:val="00C15648"/>
    <w:rsid w:val="00C346CB"/>
    <w:rsid w:val="00C37364"/>
    <w:rsid w:val="00C40A3D"/>
    <w:rsid w:val="00C410E1"/>
    <w:rsid w:val="00C51F5D"/>
    <w:rsid w:val="00C52B6E"/>
    <w:rsid w:val="00C533DF"/>
    <w:rsid w:val="00C6005B"/>
    <w:rsid w:val="00C60584"/>
    <w:rsid w:val="00C6362A"/>
    <w:rsid w:val="00C6391C"/>
    <w:rsid w:val="00C67AC2"/>
    <w:rsid w:val="00C73A14"/>
    <w:rsid w:val="00C7643F"/>
    <w:rsid w:val="00C8426A"/>
    <w:rsid w:val="00C90814"/>
    <w:rsid w:val="00C97754"/>
    <w:rsid w:val="00C977E6"/>
    <w:rsid w:val="00CA21A3"/>
    <w:rsid w:val="00CA67B4"/>
    <w:rsid w:val="00CA6C02"/>
    <w:rsid w:val="00CB2341"/>
    <w:rsid w:val="00CC0317"/>
    <w:rsid w:val="00CC58F8"/>
    <w:rsid w:val="00CC5FAC"/>
    <w:rsid w:val="00CD0704"/>
    <w:rsid w:val="00CD0A25"/>
    <w:rsid w:val="00CD0B13"/>
    <w:rsid w:val="00CD2E43"/>
    <w:rsid w:val="00CD3217"/>
    <w:rsid w:val="00CD4A38"/>
    <w:rsid w:val="00CD657D"/>
    <w:rsid w:val="00CD671D"/>
    <w:rsid w:val="00CE2D37"/>
    <w:rsid w:val="00CF4122"/>
    <w:rsid w:val="00CF5D2B"/>
    <w:rsid w:val="00D01DA4"/>
    <w:rsid w:val="00D03299"/>
    <w:rsid w:val="00D048D9"/>
    <w:rsid w:val="00D07E39"/>
    <w:rsid w:val="00D1081D"/>
    <w:rsid w:val="00D10FC9"/>
    <w:rsid w:val="00D22E27"/>
    <w:rsid w:val="00D23184"/>
    <w:rsid w:val="00D23BEC"/>
    <w:rsid w:val="00D26C07"/>
    <w:rsid w:val="00D37838"/>
    <w:rsid w:val="00D441FE"/>
    <w:rsid w:val="00D54185"/>
    <w:rsid w:val="00D61971"/>
    <w:rsid w:val="00D6465E"/>
    <w:rsid w:val="00D64E1E"/>
    <w:rsid w:val="00D80DE5"/>
    <w:rsid w:val="00D8354A"/>
    <w:rsid w:val="00D85D61"/>
    <w:rsid w:val="00D92B5F"/>
    <w:rsid w:val="00D9388E"/>
    <w:rsid w:val="00D93EDE"/>
    <w:rsid w:val="00DA14FD"/>
    <w:rsid w:val="00DB7152"/>
    <w:rsid w:val="00DB7A7E"/>
    <w:rsid w:val="00DC1A19"/>
    <w:rsid w:val="00DC5F6D"/>
    <w:rsid w:val="00DD344E"/>
    <w:rsid w:val="00DD4151"/>
    <w:rsid w:val="00DD5DAF"/>
    <w:rsid w:val="00DE3016"/>
    <w:rsid w:val="00DE45CA"/>
    <w:rsid w:val="00DF32B8"/>
    <w:rsid w:val="00DF4572"/>
    <w:rsid w:val="00E00B1C"/>
    <w:rsid w:val="00E015A6"/>
    <w:rsid w:val="00E0476F"/>
    <w:rsid w:val="00E07F29"/>
    <w:rsid w:val="00E11839"/>
    <w:rsid w:val="00E150CF"/>
    <w:rsid w:val="00E20574"/>
    <w:rsid w:val="00E25535"/>
    <w:rsid w:val="00E34441"/>
    <w:rsid w:val="00E34B50"/>
    <w:rsid w:val="00E371D2"/>
    <w:rsid w:val="00E374F8"/>
    <w:rsid w:val="00E455E3"/>
    <w:rsid w:val="00E554B1"/>
    <w:rsid w:val="00E607A7"/>
    <w:rsid w:val="00E62D0D"/>
    <w:rsid w:val="00E6643B"/>
    <w:rsid w:val="00E7039C"/>
    <w:rsid w:val="00E70DE3"/>
    <w:rsid w:val="00E72C04"/>
    <w:rsid w:val="00E72D59"/>
    <w:rsid w:val="00E74060"/>
    <w:rsid w:val="00E7556E"/>
    <w:rsid w:val="00E7639D"/>
    <w:rsid w:val="00E76808"/>
    <w:rsid w:val="00E91137"/>
    <w:rsid w:val="00E913E8"/>
    <w:rsid w:val="00E93CE1"/>
    <w:rsid w:val="00E95DF1"/>
    <w:rsid w:val="00E97360"/>
    <w:rsid w:val="00EA07D8"/>
    <w:rsid w:val="00EA1194"/>
    <w:rsid w:val="00EA751A"/>
    <w:rsid w:val="00EB13C5"/>
    <w:rsid w:val="00EC1CCA"/>
    <w:rsid w:val="00EC514D"/>
    <w:rsid w:val="00ED01BE"/>
    <w:rsid w:val="00ED433F"/>
    <w:rsid w:val="00ED638A"/>
    <w:rsid w:val="00EE2866"/>
    <w:rsid w:val="00EE426F"/>
    <w:rsid w:val="00EF29D4"/>
    <w:rsid w:val="00F02452"/>
    <w:rsid w:val="00F03708"/>
    <w:rsid w:val="00F23BCD"/>
    <w:rsid w:val="00F25010"/>
    <w:rsid w:val="00F37A5E"/>
    <w:rsid w:val="00F37D17"/>
    <w:rsid w:val="00F4083A"/>
    <w:rsid w:val="00F52114"/>
    <w:rsid w:val="00F52704"/>
    <w:rsid w:val="00F628A8"/>
    <w:rsid w:val="00F65383"/>
    <w:rsid w:val="00F66873"/>
    <w:rsid w:val="00F676AD"/>
    <w:rsid w:val="00F82850"/>
    <w:rsid w:val="00F83DDF"/>
    <w:rsid w:val="00F87A16"/>
    <w:rsid w:val="00F87B3C"/>
    <w:rsid w:val="00F91E45"/>
    <w:rsid w:val="00F93E78"/>
    <w:rsid w:val="00F93F75"/>
    <w:rsid w:val="00FA51BC"/>
    <w:rsid w:val="00FB14A7"/>
    <w:rsid w:val="00FB1837"/>
    <w:rsid w:val="00FC3B4A"/>
    <w:rsid w:val="00FC4247"/>
    <w:rsid w:val="00FC538C"/>
    <w:rsid w:val="00FD3000"/>
    <w:rsid w:val="00FE1AE0"/>
    <w:rsid w:val="00FE7E49"/>
    <w:rsid w:val="00FF01B6"/>
    <w:rsid w:val="00FF151D"/>
    <w:rsid w:val="00FF1C39"/>
    <w:rsid w:val="00FF2BEB"/>
    <w:rsid w:val="00FF38DA"/>
    <w:rsid w:val="00FF3EE0"/>
    <w:rsid w:val="00FF74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568165C"/>
  <w15:docId w15:val="{854C9C71-A12C-4797-84AC-7EA1FC15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396"/>
    <w:pPr>
      <w:spacing w:line="256" w:lineRule="auto"/>
    </w:pPr>
    <w:rPr>
      <w:lang w:bidi="he-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E95DF1"/>
    <w:pPr>
      <w:numPr>
        <w:ilvl w:val="2"/>
        <w:numId w:val="1"/>
      </w:numPr>
      <w:spacing w:line="240" w:lineRule="auto"/>
    </w:pPr>
    <w:rPr>
      <w:rFonts w:ascii="Calibri" w:hAnsi="Calibri" w:cs="Calibri"/>
      <w:noProof/>
      <w:lang w:bidi="ar-SA"/>
    </w:rPr>
  </w:style>
  <w:style w:type="character" w:customStyle="1" w:styleId="EndNoteBibliographyChar">
    <w:name w:val="EndNote Bibliography Char"/>
    <w:basedOn w:val="DefaultParagraphFont"/>
    <w:link w:val="EndNoteBibliography"/>
    <w:rsid w:val="00E95DF1"/>
    <w:rPr>
      <w:rFonts w:ascii="Calibri" w:hAnsi="Calibri" w:cs="Calibri"/>
      <w:noProof/>
    </w:rPr>
  </w:style>
  <w:style w:type="paragraph" w:styleId="NormalWeb">
    <w:name w:val="Normal (Web)"/>
    <w:basedOn w:val="Normal"/>
    <w:link w:val="NormalWebChar"/>
    <w:uiPriority w:val="99"/>
    <w:unhideWhenUsed/>
    <w:rsid w:val="002C41D2"/>
    <w:pPr>
      <w:spacing w:before="100" w:beforeAutospacing="1" w:after="100" w:afterAutospacing="1" w:line="240" w:lineRule="auto"/>
    </w:pPr>
    <w:rPr>
      <w:rFonts w:ascii="Times New Roman" w:eastAsiaTheme="minorEastAsia" w:hAnsi="Times New Roman" w:cs="Times New Roman"/>
      <w:sz w:val="24"/>
      <w:szCs w:val="24"/>
      <w:lang w:bidi="ar-SA"/>
    </w:rPr>
  </w:style>
  <w:style w:type="character" w:customStyle="1" w:styleId="NormalWebChar">
    <w:name w:val="Normal (Web) Char"/>
    <w:basedOn w:val="DefaultParagraphFont"/>
    <w:link w:val="NormalWeb"/>
    <w:uiPriority w:val="99"/>
    <w:rsid w:val="002C41D2"/>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F52114"/>
    <w:rPr>
      <w:color w:val="0000FF"/>
      <w:u w:val="single"/>
    </w:rPr>
  </w:style>
  <w:style w:type="table" w:styleId="TableGrid">
    <w:name w:val="Table Grid"/>
    <w:basedOn w:val="TableNormal"/>
    <w:uiPriority w:val="39"/>
    <w:rsid w:val="00FC5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E0D"/>
    <w:rPr>
      <w:lang w:bidi="he-IL"/>
    </w:rPr>
  </w:style>
  <w:style w:type="paragraph" w:styleId="Footer">
    <w:name w:val="footer"/>
    <w:basedOn w:val="Normal"/>
    <w:link w:val="FooterChar"/>
    <w:uiPriority w:val="99"/>
    <w:unhideWhenUsed/>
    <w:rsid w:val="00471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E0D"/>
    <w:rPr>
      <w:lang w:bidi="he-IL"/>
    </w:rPr>
  </w:style>
  <w:style w:type="paragraph" w:styleId="HTMLPreformatted">
    <w:name w:val="HTML Preformatted"/>
    <w:basedOn w:val="Normal"/>
    <w:link w:val="HTMLPreformattedChar"/>
    <w:uiPriority w:val="99"/>
    <w:semiHidden/>
    <w:unhideWhenUsed/>
    <w:rsid w:val="00117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17CF7"/>
    <w:rPr>
      <w:rFonts w:ascii="Courier New" w:eastAsia="Times New Roman" w:hAnsi="Courier New" w:cs="Courier New"/>
      <w:sz w:val="20"/>
      <w:szCs w:val="20"/>
      <w:lang w:bidi="he-IL"/>
    </w:rPr>
  </w:style>
  <w:style w:type="paragraph" w:styleId="ListParagraph">
    <w:name w:val="List Paragraph"/>
    <w:basedOn w:val="Normal"/>
    <w:uiPriority w:val="34"/>
    <w:qFormat/>
    <w:rsid w:val="00CC0317"/>
    <w:pPr>
      <w:ind w:left="720"/>
      <w:contextualSpacing/>
    </w:pPr>
  </w:style>
  <w:style w:type="character" w:styleId="CommentReference">
    <w:name w:val="annotation reference"/>
    <w:basedOn w:val="DefaultParagraphFont"/>
    <w:uiPriority w:val="99"/>
    <w:semiHidden/>
    <w:unhideWhenUsed/>
    <w:rsid w:val="000A477B"/>
    <w:rPr>
      <w:sz w:val="16"/>
      <w:szCs w:val="16"/>
    </w:rPr>
  </w:style>
  <w:style w:type="paragraph" w:styleId="CommentText">
    <w:name w:val="annotation text"/>
    <w:basedOn w:val="Normal"/>
    <w:link w:val="CommentTextChar"/>
    <w:uiPriority w:val="99"/>
    <w:semiHidden/>
    <w:unhideWhenUsed/>
    <w:rsid w:val="000A477B"/>
    <w:pPr>
      <w:spacing w:line="240" w:lineRule="auto"/>
    </w:pPr>
    <w:rPr>
      <w:sz w:val="20"/>
      <w:szCs w:val="20"/>
    </w:rPr>
  </w:style>
  <w:style w:type="character" w:customStyle="1" w:styleId="CommentTextChar">
    <w:name w:val="Comment Text Char"/>
    <w:basedOn w:val="DefaultParagraphFont"/>
    <w:link w:val="CommentText"/>
    <w:uiPriority w:val="99"/>
    <w:semiHidden/>
    <w:rsid w:val="000A477B"/>
    <w:rPr>
      <w:sz w:val="20"/>
      <w:szCs w:val="20"/>
      <w:lang w:bidi="he-IL"/>
    </w:rPr>
  </w:style>
  <w:style w:type="paragraph" w:styleId="CommentSubject">
    <w:name w:val="annotation subject"/>
    <w:basedOn w:val="CommentText"/>
    <w:next w:val="CommentText"/>
    <w:link w:val="CommentSubjectChar"/>
    <w:uiPriority w:val="99"/>
    <w:semiHidden/>
    <w:unhideWhenUsed/>
    <w:rsid w:val="000A477B"/>
    <w:rPr>
      <w:b/>
      <w:bCs/>
    </w:rPr>
  </w:style>
  <w:style w:type="character" w:customStyle="1" w:styleId="CommentSubjectChar">
    <w:name w:val="Comment Subject Char"/>
    <w:basedOn w:val="CommentTextChar"/>
    <w:link w:val="CommentSubject"/>
    <w:uiPriority w:val="99"/>
    <w:semiHidden/>
    <w:rsid w:val="000A477B"/>
    <w:rPr>
      <w:b/>
      <w:bCs/>
      <w:sz w:val="20"/>
      <w:szCs w:val="20"/>
      <w:lang w:bidi="he-IL"/>
    </w:rPr>
  </w:style>
  <w:style w:type="paragraph" w:styleId="BalloonText">
    <w:name w:val="Balloon Text"/>
    <w:basedOn w:val="Normal"/>
    <w:link w:val="BalloonTextChar"/>
    <w:uiPriority w:val="99"/>
    <w:semiHidden/>
    <w:unhideWhenUsed/>
    <w:rsid w:val="000A4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77B"/>
    <w:rPr>
      <w:rFonts w:ascii="Segoe UI" w:hAnsi="Segoe UI" w:cs="Segoe UI"/>
      <w:sz w:val="18"/>
      <w:szCs w:val="18"/>
      <w:lang w:bidi="he-IL"/>
    </w:rPr>
  </w:style>
  <w:style w:type="paragraph" w:styleId="Revision">
    <w:name w:val="Revision"/>
    <w:hidden/>
    <w:uiPriority w:val="99"/>
    <w:semiHidden/>
    <w:rsid w:val="00B022CD"/>
    <w:pPr>
      <w:spacing w:after="0" w:line="240" w:lineRule="auto"/>
    </w:pPr>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4039">
      <w:bodyDiv w:val="1"/>
      <w:marLeft w:val="0"/>
      <w:marRight w:val="0"/>
      <w:marTop w:val="0"/>
      <w:marBottom w:val="0"/>
      <w:divBdr>
        <w:top w:val="none" w:sz="0" w:space="0" w:color="auto"/>
        <w:left w:val="none" w:sz="0" w:space="0" w:color="auto"/>
        <w:bottom w:val="none" w:sz="0" w:space="0" w:color="auto"/>
        <w:right w:val="none" w:sz="0" w:space="0" w:color="auto"/>
      </w:divBdr>
    </w:div>
    <w:div w:id="105581011">
      <w:bodyDiv w:val="1"/>
      <w:marLeft w:val="0"/>
      <w:marRight w:val="0"/>
      <w:marTop w:val="0"/>
      <w:marBottom w:val="0"/>
      <w:divBdr>
        <w:top w:val="none" w:sz="0" w:space="0" w:color="auto"/>
        <w:left w:val="none" w:sz="0" w:space="0" w:color="auto"/>
        <w:bottom w:val="none" w:sz="0" w:space="0" w:color="auto"/>
        <w:right w:val="none" w:sz="0" w:space="0" w:color="auto"/>
      </w:divBdr>
    </w:div>
    <w:div w:id="137386936">
      <w:bodyDiv w:val="1"/>
      <w:marLeft w:val="0"/>
      <w:marRight w:val="0"/>
      <w:marTop w:val="0"/>
      <w:marBottom w:val="0"/>
      <w:divBdr>
        <w:top w:val="none" w:sz="0" w:space="0" w:color="auto"/>
        <w:left w:val="none" w:sz="0" w:space="0" w:color="auto"/>
        <w:bottom w:val="none" w:sz="0" w:space="0" w:color="auto"/>
        <w:right w:val="none" w:sz="0" w:space="0" w:color="auto"/>
      </w:divBdr>
    </w:div>
    <w:div w:id="194779607">
      <w:bodyDiv w:val="1"/>
      <w:marLeft w:val="0"/>
      <w:marRight w:val="0"/>
      <w:marTop w:val="0"/>
      <w:marBottom w:val="0"/>
      <w:divBdr>
        <w:top w:val="none" w:sz="0" w:space="0" w:color="auto"/>
        <w:left w:val="none" w:sz="0" w:space="0" w:color="auto"/>
        <w:bottom w:val="none" w:sz="0" w:space="0" w:color="auto"/>
        <w:right w:val="none" w:sz="0" w:space="0" w:color="auto"/>
      </w:divBdr>
    </w:div>
    <w:div w:id="249462034">
      <w:bodyDiv w:val="1"/>
      <w:marLeft w:val="0"/>
      <w:marRight w:val="0"/>
      <w:marTop w:val="0"/>
      <w:marBottom w:val="0"/>
      <w:divBdr>
        <w:top w:val="none" w:sz="0" w:space="0" w:color="auto"/>
        <w:left w:val="none" w:sz="0" w:space="0" w:color="auto"/>
        <w:bottom w:val="none" w:sz="0" w:space="0" w:color="auto"/>
        <w:right w:val="none" w:sz="0" w:space="0" w:color="auto"/>
      </w:divBdr>
    </w:div>
    <w:div w:id="290404266">
      <w:bodyDiv w:val="1"/>
      <w:marLeft w:val="0"/>
      <w:marRight w:val="0"/>
      <w:marTop w:val="0"/>
      <w:marBottom w:val="0"/>
      <w:divBdr>
        <w:top w:val="none" w:sz="0" w:space="0" w:color="auto"/>
        <w:left w:val="none" w:sz="0" w:space="0" w:color="auto"/>
        <w:bottom w:val="none" w:sz="0" w:space="0" w:color="auto"/>
        <w:right w:val="none" w:sz="0" w:space="0" w:color="auto"/>
      </w:divBdr>
    </w:div>
    <w:div w:id="374695494">
      <w:bodyDiv w:val="1"/>
      <w:marLeft w:val="0"/>
      <w:marRight w:val="0"/>
      <w:marTop w:val="0"/>
      <w:marBottom w:val="0"/>
      <w:divBdr>
        <w:top w:val="none" w:sz="0" w:space="0" w:color="auto"/>
        <w:left w:val="none" w:sz="0" w:space="0" w:color="auto"/>
        <w:bottom w:val="none" w:sz="0" w:space="0" w:color="auto"/>
        <w:right w:val="none" w:sz="0" w:space="0" w:color="auto"/>
      </w:divBdr>
    </w:div>
    <w:div w:id="393159828">
      <w:bodyDiv w:val="1"/>
      <w:marLeft w:val="0"/>
      <w:marRight w:val="0"/>
      <w:marTop w:val="0"/>
      <w:marBottom w:val="0"/>
      <w:divBdr>
        <w:top w:val="none" w:sz="0" w:space="0" w:color="auto"/>
        <w:left w:val="none" w:sz="0" w:space="0" w:color="auto"/>
        <w:bottom w:val="none" w:sz="0" w:space="0" w:color="auto"/>
        <w:right w:val="none" w:sz="0" w:space="0" w:color="auto"/>
      </w:divBdr>
    </w:div>
    <w:div w:id="663436266">
      <w:bodyDiv w:val="1"/>
      <w:marLeft w:val="0"/>
      <w:marRight w:val="0"/>
      <w:marTop w:val="0"/>
      <w:marBottom w:val="0"/>
      <w:divBdr>
        <w:top w:val="none" w:sz="0" w:space="0" w:color="auto"/>
        <w:left w:val="none" w:sz="0" w:space="0" w:color="auto"/>
        <w:bottom w:val="none" w:sz="0" w:space="0" w:color="auto"/>
        <w:right w:val="none" w:sz="0" w:space="0" w:color="auto"/>
      </w:divBdr>
    </w:div>
    <w:div w:id="813720831">
      <w:bodyDiv w:val="1"/>
      <w:marLeft w:val="0"/>
      <w:marRight w:val="0"/>
      <w:marTop w:val="0"/>
      <w:marBottom w:val="0"/>
      <w:divBdr>
        <w:top w:val="none" w:sz="0" w:space="0" w:color="auto"/>
        <w:left w:val="none" w:sz="0" w:space="0" w:color="auto"/>
        <w:bottom w:val="none" w:sz="0" w:space="0" w:color="auto"/>
        <w:right w:val="none" w:sz="0" w:space="0" w:color="auto"/>
      </w:divBdr>
    </w:div>
    <w:div w:id="953557168">
      <w:bodyDiv w:val="1"/>
      <w:marLeft w:val="0"/>
      <w:marRight w:val="0"/>
      <w:marTop w:val="0"/>
      <w:marBottom w:val="0"/>
      <w:divBdr>
        <w:top w:val="none" w:sz="0" w:space="0" w:color="auto"/>
        <w:left w:val="none" w:sz="0" w:space="0" w:color="auto"/>
        <w:bottom w:val="none" w:sz="0" w:space="0" w:color="auto"/>
        <w:right w:val="none" w:sz="0" w:space="0" w:color="auto"/>
      </w:divBdr>
    </w:div>
    <w:div w:id="958728014">
      <w:bodyDiv w:val="1"/>
      <w:marLeft w:val="0"/>
      <w:marRight w:val="0"/>
      <w:marTop w:val="0"/>
      <w:marBottom w:val="0"/>
      <w:divBdr>
        <w:top w:val="none" w:sz="0" w:space="0" w:color="auto"/>
        <w:left w:val="none" w:sz="0" w:space="0" w:color="auto"/>
        <w:bottom w:val="none" w:sz="0" w:space="0" w:color="auto"/>
        <w:right w:val="none" w:sz="0" w:space="0" w:color="auto"/>
      </w:divBdr>
    </w:div>
    <w:div w:id="1013651634">
      <w:bodyDiv w:val="1"/>
      <w:marLeft w:val="0"/>
      <w:marRight w:val="0"/>
      <w:marTop w:val="0"/>
      <w:marBottom w:val="0"/>
      <w:divBdr>
        <w:top w:val="none" w:sz="0" w:space="0" w:color="auto"/>
        <w:left w:val="none" w:sz="0" w:space="0" w:color="auto"/>
        <w:bottom w:val="none" w:sz="0" w:space="0" w:color="auto"/>
        <w:right w:val="none" w:sz="0" w:space="0" w:color="auto"/>
      </w:divBdr>
    </w:div>
    <w:div w:id="1219704633">
      <w:bodyDiv w:val="1"/>
      <w:marLeft w:val="0"/>
      <w:marRight w:val="0"/>
      <w:marTop w:val="0"/>
      <w:marBottom w:val="0"/>
      <w:divBdr>
        <w:top w:val="none" w:sz="0" w:space="0" w:color="auto"/>
        <w:left w:val="none" w:sz="0" w:space="0" w:color="auto"/>
        <w:bottom w:val="none" w:sz="0" w:space="0" w:color="auto"/>
        <w:right w:val="none" w:sz="0" w:space="0" w:color="auto"/>
      </w:divBdr>
    </w:div>
    <w:div w:id="1287128892">
      <w:bodyDiv w:val="1"/>
      <w:marLeft w:val="0"/>
      <w:marRight w:val="0"/>
      <w:marTop w:val="0"/>
      <w:marBottom w:val="0"/>
      <w:divBdr>
        <w:top w:val="none" w:sz="0" w:space="0" w:color="auto"/>
        <w:left w:val="none" w:sz="0" w:space="0" w:color="auto"/>
        <w:bottom w:val="none" w:sz="0" w:space="0" w:color="auto"/>
        <w:right w:val="none" w:sz="0" w:space="0" w:color="auto"/>
      </w:divBdr>
    </w:div>
    <w:div w:id="1473018062">
      <w:bodyDiv w:val="1"/>
      <w:marLeft w:val="0"/>
      <w:marRight w:val="0"/>
      <w:marTop w:val="0"/>
      <w:marBottom w:val="0"/>
      <w:divBdr>
        <w:top w:val="none" w:sz="0" w:space="0" w:color="auto"/>
        <w:left w:val="none" w:sz="0" w:space="0" w:color="auto"/>
        <w:bottom w:val="none" w:sz="0" w:space="0" w:color="auto"/>
        <w:right w:val="none" w:sz="0" w:space="0" w:color="auto"/>
      </w:divBdr>
    </w:div>
    <w:div w:id="1553031678">
      <w:bodyDiv w:val="1"/>
      <w:marLeft w:val="0"/>
      <w:marRight w:val="0"/>
      <w:marTop w:val="0"/>
      <w:marBottom w:val="0"/>
      <w:divBdr>
        <w:top w:val="none" w:sz="0" w:space="0" w:color="auto"/>
        <w:left w:val="none" w:sz="0" w:space="0" w:color="auto"/>
        <w:bottom w:val="none" w:sz="0" w:space="0" w:color="auto"/>
        <w:right w:val="none" w:sz="0" w:space="0" w:color="auto"/>
      </w:divBdr>
    </w:div>
    <w:div w:id="1597787438">
      <w:bodyDiv w:val="1"/>
      <w:marLeft w:val="0"/>
      <w:marRight w:val="0"/>
      <w:marTop w:val="0"/>
      <w:marBottom w:val="0"/>
      <w:divBdr>
        <w:top w:val="none" w:sz="0" w:space="0" w:color="auto"/>
        <w:left w:val="none" w:sz="0" w:space="0" w:color="auto"/>
        <w:bottom w:val="none" w:sz="0" w:space="0" w:color="auto"/>
        <w:right w:val="none" w:sz="0" w:space="0" w:color="auto"/>
      </w:divBdr>
    </w:div>
    <w:div w:id="1671904768">
      <w:bodyDiv w:val="1"/>
      <w:marLeft w:val="0"/>
      <w:marRight w:val="0"/>
      <w:marTop w:val="0"/>
      <w:marBottom w:val="0"/>
      <w:divBdr>
        <w:top w:val="none" w:sz="0" w:space="0" w:color="auto"/>
        <w:left w:val="none" w:sz="0" w:space="0" w:color="auto"/>
        <w:bottom w:val="none" w:sz="0" w:space="0" w:color="auto"/>
        <w:right w:val="none" w:sz="0" w:space="0" w:color="auto"/>
      </w:divBdr>
    </w:div>
    <w:div w:id="1705250349">
      <w:bodyDiv w:val="1"/>
      <w:marLeft w:val="0"/>
      <w:marRight w:val="0"/>
      <w:marTop w:val="0"/>
      <w:marBottom w:val="0"/>
      <w:divBdr>
        <w:top w:val="none" w:sz="0" w:space="0" w:color="auto"/>
        <w:left w:val="none" w:sz="0" w:space="0" w:color="auto"/>
        <w:bottom w:val="none" w:sz="0" w:space="0" w:color="auto"/>
        <w:right w:val="none" w:sz="0" w:space="0" w:color="auto"/>
      </w:divBdr>
    </w:div>
    <w:div w:id="1742604909">
      <w:bodyDiv w:val="1"/>
      <w:marLeft w:val="0"/>
      <w:marRight w:val="0"/>
      <w:marTop w:val="0"/>
      <w:marBottom w:val="0"/>
      <w:divBdr>
        <w:top w:val="none" w:sz="0" w:space="0" w:color="auto"/>
        <w:left w:val="none" w:sz="0" w:space="0" w:color="auto"/>
        <w:bottom w:val="none" w:sz="0" w:space="0" w:color="auto"/>
        <w:right w:val="none" w:sz="0" w:space="0" w:color="auto"/>
      </w:divBdr>
    </w:div>
    <w:div w:id="1775785649">
      <w:bodyDiv w:val="1"/>
      <w:marLeft w:val="0"/>
      <w:marRight w:val="0"/>
      <w:marTop w:val="0"/>
      <w:marBottom w:val="0"/>
      <w:divBdr>
        <w:top w:val="none" w:sz="0" w:space="0" w:color="auto"/>
        <w:left w:val="none" w:sz="0" w:space="0" w:color="auto"/>
        <w:bottom w:val="none" w:sz="0" w:space="0" w:color="auto"/>
        <w:right w:val="none" w:sz="0" w:space="0" w:color="auto"/>
      </w:divBdr>
    </w:div>
    <w:div w:id="1844733510">
      <w:bodyDiv w:val="1"/>
      <w:marLeft w:val="0"/>
      <w:marRight w:val="0"/>
      <w:marTop w:val="0"/>
      <w:marBottom w:val="0"/>
      <w:divBdr>
        <w:top w:val="none" w:sz="0" w:space="0" w:color="auto"/>
        <w:left w:val="none" w:sz="0" w:space="0" w:color="auto"/>
        <w:bottom w:val="none" w:sz="0" w:space="0" w:color="auto"/>
        <w:right w:val="none" w:sz="0" w:space="0" w:color="auto"/>
      </w:divBdr>
    </w:div>
    <w:div w:id="1909026518">
      <w:bodyDiv w:val="1"/>
      <w:marLeft w:val="0"/>
      <w:marRight w:val="0"/>
      <w:marTop w:val="0"/>
      <w:marBottom w:val="0"/>
      <w:divBdr>
        <w:top w:val="none" w:sz="0" w:space="0" w:color="auto"/>
        <w:left w:val="none" w:sz="0" w:space="0" w:color="auto"/>
        <w:bottom w:val="none" w:sz="0" w:space="0" w:color="auto"/>
        <w:right w:val="none" w:sz="0" w:space="0" w:color="auto"/>
      </w:divBdr>
    </w:div>
    <w:div w:id="2031485030">
      <w:bodyDiv w:val="1"/>
      <w:marLeft w:val="0"/>
      <w:marRight w:val="0"/>
      <w:marTop w:val="0"/>
      <w:marBottom w:val="0"/>
      <w:divBdr>
        <w:top w:val="none" w:sz="0" w:space="0" w:color="auto"/>
        <w:left w:val="none" w:sz="0" w:space="0" w:color="auto"/>
        <w:bottom w:val="none" w:sz="0" w:space="0" w:color="auto"/>
        <w:right w:val="none" w:sz="0" w:space="0" w:color="auto"/>
      </w:divBdr>
    </w:div>
    <w:div w:id="2038002105">
      <w:bodyDiv w:val="1"/>
      <w:marLeft w:val="0"/>
      <w:marRight w:val="0"/>
      <w:marTop w:val="0"/>
      <w:marBottom w:val="0"/>
      <w:divBdr>
        <w:top w:val="none" w:sz="0" w:space="0" w:color="auto"/>
        <w:left w:val="none" w:sz="0" w:space="0" w:color="auto"/>
        <w:bottom w:val="none" w:sz="0" w:space="0" w:color="auto"/>
        <w:right w:val="none" w:sz="0" w:space="0" w:color="auto"/>
      </w:divBdr>
    </w:div>
    <w:div w:id="2050839404">
      <w:bodyDiv w:val="1"/>
      <w:marLeft w:val="0"/>
      <w:marRight w:val="0"/>
      <w:marTop w:val="0"/>
      <w:marBottom w:val="0"/>
      <w:divBdr>
        <w:top w:val="none" w:sz="0" w:space="0" w:color="auto"/>
        <w:left w:val="none" w:sz="0" w:space="0" w:color="auto"/>
        <w:bottom w:val="none" w:sz="0" w:space="0" w:color="auto"/>
        <w:right w:val="none" w:sz="0" w:space="0" w:color="auto"/>
      </w:divBdr>
    </w:div>
    <w:div w:id="208964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drugs/drug-safety-and-availability/fda-drug-safety-communication-fda-strengthens-kidney-warnings-diabetes-medicines-canagliflozin"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da.gov/drugs/drug-safety-and-availability/fda-drug-safety-communication-fda-revises-label-diabetes-drug-canagliflozin-invokana-invokamet"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31"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26</Pages>
  <Words>5716</Words>
  <Characters>32582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Avivit Cahn</dc:creator>
  <cp:keywords/>
  <dc:description/>
  <cp:lastModifiedBy>Wilding, John</cp:lastModifiedBy>
  <cp:revision>5</cp:revision>
  <cp:lastPrinted>2019-07-01T15:59:00Z</cp:lastPrinted>
  <dcterms:created xsi:type="dcterms:W3CDTF">2019-12-20T09:20:00Z</dcterms:created>
  <dcterms:modified xsi:type="dcterms:W3CDTF">2019-12-20T09:28:00Z</dcterms:modified>
</cp:coreProperties>
</file>