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66C3" w14:textId="77777777" w:rsidR="00FC00AD" w:rsidRDefault="00FC00AD" w:rsidP="00FC00AD">
      <w:pPr>
        <w:spacing w:line="360" w:lineRule="auto"/>
        <w:rPr>
          <w:rFonts w:ascii="Times New Roman" w:hAnsi="Times New Roman" w:cs="Times New Roman"/>
          <w:b/>
          <w:bCs/>
          <w:sz w:val="24"/>
          <w:szCs w:val="24"/>
        </w:rPr>
      </w:pPr>
      <w:bookmarkStart w:id="0" w:name="_Hlk23862837"/>
      <w:r w:rsidRPr="006D1926">
        <w:rPr>
          <w:rFonts w:ascii="Times New Roman" w:hAnsi="Times New Roman" w:cs="Times New Roman"/>
          <w:b/>
          <w:bCs/>
          <w:sz w:val="24"/>
          <w:szCs w:val="24"/>
        </w:rPr>
        <w:t>Sean D. Moore</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Slavery and the Making of Early American Libraries: British Literature, Political Thought, and the Transatlantic Book Trade, 1731-1814, </w:t>
      </w:r>
      <w:r>
        <w:rPr>
          <w:rFonts w:ascii="Times New Roman" w:hAnsi="Times New Roman" w:cs="Times New Roman"/>
          <w:b/>
          <w:bCs/>
          <w:sz w:val="24"/>
          <w:szCs w:val="24"/>
        </w:rPr>
        <w:t xml:space="preserve">Oxford: Oxford University Press, 2019, 288 pp., £55 (Hardback) </w:t>
      </w:r>
      <w:r w:rsidRPr="00723E81">
        <w:rPr>
          <w:rFonts w:ascii="Times New Roman" w:hAnsi="Times New Roman" w:cs="Times New Roman"/>
          <w:b/>
          <w:bCs/>
          <w:sz w:val="24"/>
          <w:szCs w:val="24"/>
        </w:rPr>
        <w:t>ISBN</w:t>
      </w:r>
      <w:r>
        <w:rPr>
          <w:rFonts w:ascii="Times New Roman" w:hAnsi="Times New Roman" w:cs="Times New Roman"/>
          <w:b/>
          <w:bCs/>
          <w:sz w:val="24"/>
          <w:szCs w:val="24"/>
        </w:rPr>
        <w:t xml:space="preserve"> </w:t>
      </w:r>
      <w:r w:rsidRPr="00723E81">
        <w:rPr>
          <w:rFonts w:ascii="Times New Roman" w:hAnsi="Times New Roman" w:cs="Times New Roman"/>
          <w:b/>
          <w:bCs/>
          <w:sz w:val="24"/>
          <w:szCs w:val="24"/>
        </w:rPr>
        <w:t>9780198836377</w:t>
      </w:r>
      <w:r>
        <w:rPr>
          <w:rFonts w:ascii="Times New Roman" w:hAnsi="Times New Roman" w:cs="Times New Roman"/>
          <w:b/>
          <w:bCs/>
          <w:sz w:val="24"/>
          <w:szCs w:val="24"/>
        </w:rPr>
        <w:t>.</w:t>
      </w:r>
    </w:p>
    <w:p w14:paraId="278119CA" w14:textId="77777777" w:rsidR="00FC00AD" w:rsidRPr="00723E81" w:rsidRDefault="00FC00AD" w:rsidP="00FC00AD">
      <w:pPr>
        <w:spacing w:line="360" w:lineRule="auto"/>
        <w:rPr>
          <w:rFonts w:ascii="Times New Roman" w:hAnsi="Times New Roman" w:cs="Times New Roman"/>
          <w:b/>
          <w:bCs/>
          <w:sz w:val="24"/>
          <w:szCs w:val="24"/>
        </w:rPr>
      </w:pPr>
    </w:p>
    <w:p w14:paraId="1EC710C8" w14:textId="7AAE387B" w:rsidR="00FC00AD" w:rsidRDefault="00FC00AD" w:rsidP="00FC00AD">
      <w:pPr>
        <w:spacing w:line="360" w:lineRule="auto"/>
        <w:rPr>
          <w:rFonts w:ascii="Times New Roman" w:hAnsi="Times New Roman" w:cs="Times New Roman"/>
          <w:sz w:val="24"/>
          <w:szCs w:val="24"/>
        </w:rPr>
      </w:pPr>
      <w:r w:rsidRPr="004F3001">
        <w:rPr>
          <w:rFonts w:ascii="Times New Roman" w:hAnsi="Times New Roman" w:cs="Times New Roman"/>
          <w:sz w:val="24"/>
          <w:szCs w:val="24"/>
        </w:rPr>
        <w:t>The history of the book</w:t>
      </w:r>
      <w:r w:rsidR="00DA0AE9">
        <w:rPr>
          <w:rFonts w:ascii="Times New Roman" w:hAnsi="Times New Roman" w:cs="Times New Roman"/>
          <w:sz w:val="24"/>
          <w:szCs w:val="24"/>
        </w:rPr>
        <w:t xml:space="preserve"> can at times</w:t>
      </w:r>
      <w:r w:rsidRPr="004F3001">
        <w:rPr>
          <w:rFonts w:ascii="Times New Roman" w:hAnsi="Times New Roman" w:cs="Times New Roman"/>
          <w:sz w:val="24"/>
          <w:szCs w:val="24"/>
        </w:rPr>
        <w:t xml:space="preserve"> be Whiggish and triumphalist. Sean Moore avoids this in dramatic fashion by putting the practice of chattel slavery at the heart of the history of the Atlantic book trade and American library culture in the eighteenth century. In short, this book is about ‘slavery-enabled reading’ (28), </w:t>
      </w:r>
      <w:r w:rsidR="009D784E">
        <w:rPr>
          <w:rFonts w:ascii="Times New Roman" w:hAnsi="Times New Roman" w:cs="Times New Roman"/>
          <w:sz w:val="24"/>
          <w:szCs w:val="24"/>
        </w:rPr>
        <w:t>as</w:t>
      </w:r>
      <w:bookmarkStart w:id="1" w:name="_GoBack"/>
      <w:bookmarkEnd w:id="1"/>
      <w:r w:rsidRPr="004F3001">
        <w:rPr>
          <w:rFonts w:ascii="Times New Roman" w:hAnsi="Times New Roman" w:cs="Times New Roman"/>
          <w:sz w:val="24"/>
          <w:szCs w:val="24"/>
        </w:rPr>
        <w:t xml:space="preserve"> the wealth generated by slavery and the slave trade was used to pay for the founding of libraries and their book collections. The picture is not entirely bleak, however, as Moore also argues that the (</w:t>
      </w:r>
      <w:r w:rsidR="004F3001">
        <w:rPr>
          <w:rFonts w:ascii="Times New Roman" w:hAnsi="Times New Roman" w:cs="Times New Roman"/>
          <w:sz w:val="24"/>
          <w:szCs w:val="24"/>
        </w:rPr>
        <w:t>primarily</w:t>
      </w:r>
      <w:r w:rsidRPr="004F3001">
        <w:rPr>
          <w:rFonts w:ascii="Times New Roman" w:hAnsi="Times New Roman" w:cs="Times New Roman"/>
          <w:sz w:val="24"/>
          <w:szCs w:val="24"/>
        </w:rPr>
        <w:t xml:space="preserve"> British) books read by Americans, many of which were preoccupied with promoting liberty and rights, ‘ripen[ed] the climate for both revolutionary and abolitionist sentiment.’ (xiii). But, as he points out, this literature could equally be used by white Americans to claim their own rights against slaves</w:t>
      </w:r>
      <w:r w:rsidR="004F3001">
        <w:rPr>
          <w:rFonts w:ascii="Times New Roman" w:hAnsi="Times New Roman" w:cs="Times New Roman"/>
          <w:sz w:val="24"/>
          <w:szCs w:val="24"/>
        </w:rPr>
        <w:t>.</w:t>
      </w:r>
    </w:p>
    <w:p w14:paraId="55DB9D8D" w14:textId="77777777" w:rsidR="00FC00AD" w:rsidRDefault="00FC00AD" w:rsidP="00FC00AD">
      <w:pPr>
        <w:spacing w:line="360" w:lineRule="auto"/>
        <w:ind w:firstLine="720"/>
        <w:rPr>
          <w:rFonts w:ascii="Times New Roman" w:hAnsi="Times New Roman" w:cs="Times New Roman"/>
          <w:sz w:val="24"/>
          <w:szCs w:val="24"/>
        </w:rPr>
      </w:pPr>
      <w:r>
        <w:rPr>
          <w:rFonts w:ascii="Times New Roman" w:hAnsi="Times New Roman" w:cs="Times New Roman"/>
          <w:sz w:val="24"/>
          <w:szCs w:val="24"/>
        </w:rPr>
        <w:t>Moore’s</w:t>
      </w:r>
      <w:r w:rsidRPr="006D1926">
        <w:rPr>
          <w:rFonts w:ascii="Times New Roman" w:hAnsi="Times New Roman" w:cs="Times New Roman"/>
          <w:sz w:val="24"/>
          <w:szCs w:val="24"/>
        </w:rPr>
        <w:t xml:space="preserve"> study focuses on five major libraries founded in America before the</w:t>
      </w:r>
      <w:r>
        <w:rPr>
          <w:rFonts w:ascii="Times New Roman" w:hAnsi="Times New Roman" w:cs="Times New Roman"/>
          <w:sz w:val="24"/>
          <w:szCs w:val="24"/>
        </w:rPr>
        <w:t xml:space="preserve"> </w:t>
      </w:r>
      <w:r w:rsidRPr="006D1926">
        <w:rPr>
          <w:rFonts w:ascii="Times New Roman" w:hAnsi="Times New Roman" w:cs="Times New Roman"/>
          <w:sz w:val="24"/>
          <w:szCs w:val="24"/>
        </w:rPr>
        <w:t xml:space="preserve">Revolution: the Library Company of Philadelphia (1731); the Redwood Library of Newport (1747); the Charleston Library Society (1748); the New York Society Library (1754); and the Salem Social Library (1760). </w:t>
      </w:r>
      <w:r>
        <w:rPr>
          <w:rFonts w:ascii="Times New Roman" w:hAnsi="Times New Roman" w:cs="Times New Roman"/>
          <w:sz w:val="24"/>
          <w:szCs w:val="24"/>
        </w:rPr>
        <w:t xml:space="preserve">Presenting himself </w:t>
      </w:r>
      <w:r w:rsidRPr="006D1926">
        <w:rPr>
          <w:rFonts w:ascii="Times New Roman" w:hAnsi="Times New Roman" w:cs="Times New Roman"/>
          <w:sz w:val="24"/>
          <w:szCs w:val="24"/>
        </w:rPr>
        <w:t xml:space="preserve">as </w:t>
      </w:r>
      <w:r>
        <w:rPr>
          <w:rFonts w:ascii="Times New Roman" w:hAnsi="Times New Roman" w:cs="Times New Roman"/>
          <w:sz w:val="24"/>
          <w:szCs w:val="24"/>
        </w:rPr>
        <w:t xml:space="preserve">foremost </w:t>
      </w:r>
      <w:r w:rsidRPr="006D1926">
        <w:rPr>
          <w:rFonts w:ascii="Times New Roman" w:hAnsi="Times New Roman" w:cs="Times New Roman"/>
          <w:sz w:val="24"/>
          <w:szCs w:val="24"/>
        </w:rPr>
        <w:t xml:space="preserve">a literary scholar </w:t>
      </w:r>
      <w:r>
        <w:rPr>
          <w:rFonts w:ascii="Times New Roman" w:hAnsi="Times New Roman" w:cs="Times New Roman"/>
          <w:sz w:val="24"/>
          <w:szCs w:val="24"/>
        </w:rPr>
        <w:t xml:space="preserve">rather </w:t>
      </w:r>
      <w:r w:rsidRPr="006D1926">
        <w:rPr>
          <w:rFonts w:ascii="Times New Roman" w:hAnsi="Times New Roman" w:cs="Times New Roman"/>
          <w:sz w:val="24"/>
          <w:szCs w:val="24"/>
        </w:rPr>
        <w:t xml:space="preserve">than a historian (xi-xii), the book is organised in the chronological order of the books </w:t>
      </w:r>
      <w:r>
        <w:rPr>
          <w:rFonts w:ascii="Times New Roman" w:hAnsi="Times New Roman" w:cs="Times New Roman"/>
          <w:sz w:val="24"/>
          <w:szCs w:val="24"/>
        </w:rPr>
        <w:t>Moore</w:t>
      </w:r>
      <w:r w:rsidRPr="006D1926">
        <w:rPr>
          <w:rFonts w:ascii="Times New Roman" w:hAnsi="Times New Roman" w:cs="Times New Roman"/>
          <w:sz w:val="24"/>
          <w:szCs w:val="24"/>
        </w:rPr>
        <w:t xml:space="preserve"> surveys </w:t>
      </w:r>
      <w:r>
        <w:rPr>
          <w:rFonts w:ascii="Times New Roman" w:hAnsi="Times New Roman" w:cs="Times New Roman"/>
          <w:sz w:val="24"/>
          <w:szCs w:val="24"/>
        </w:rPr>
        <w:t xml:space="preserve">in relation to these </w:t>
      </w:r>
      <w:r w:rsidRPr="006D1926">
        <w:rPr>
          <w:rFonts w:ascii="Times New Roman" w:hAnsi="Times New Roman" w:cs="Times New Roman"/>
          <w:sz w:val="24"/>
          <w:szCs w:val="24"/>
        </w:rPr>
        <w:t>libra</w:t>
      </w:r>
      <w:r>
        <w:rPr>
          <w:rFonts w:ascii="Times New Roman" w:hAnsi="Times New Roman" w:cs="Times New Roman"/>
          <w:sz w:val="24"/>
          <w:szCs w:val="24"/>
        </w:rPr>
        <w:t>ries</w:t>
      </w:r>
      <w:r w:rsidRPr="006D1926">
        <w:rPr>
          <w:rFonts w:ascii="Times New Roman" w:hAnsi="Times New Roman" w:cs="Times New Roman"/>
          <w:sz w:val="24"/>
          <w:szCs w:val="24"/>
        </w:rPr>
        <w:t xml:space="preserve">: </w:t>
      </w:r>
      <w:r>
        <w:rPr>
          <w:rFonts w:ascii="Times New Roman" w:hAnsi="Times New Roman" w:cs="Times New Roman"/>
          <w:sz w:val="24"/>
          <w:szCs w:val="24"/>
        </w:rPr>
        <w:t xml:space="preserve">Aphra Behn’s </w:t>
      </w:r>
      <w:r w:rsidRPr="006D1926">
        <w:rPr>
          <w:rFonts w:ascii="Times New Roman" w:hAnsi="Times New Roman" w:cs="Times New Roman"/>
          <w:i/>
          <w:iCs/>
          <w:sz w:val="24"/>
          <w:szCs w:val="24"/>
        </w:rPr>
        <w:t xml:space="preserve">Oroonoko </w:t>
      </w:r>
      <w:r w:rsidRPr="006D1926">
        <w:rPr>
          <w:rFonts w:ascii="Times New Roman" w:hAnsi="Times New Roman" w:cs="Times New Roman"/>
          <w:sz w:val="24"/>
          <w:szCs w:val="24"/>
        </w:rPr>
        <w:t>(1688</w:t>
      </w:r>
      <w:r>
        <w:rPr>
          <w:rFonts w:ascii="Times New Roman" w:hAnsi="Times New Roman" w:cs="Times New Roman"/>
          <w:sz w:val="24"/>
          <w:szCs w:val="24"/>
        </w:rPr>
        <w:t xml:space="preserve">; adopted for the stage in </w:t>
      </w:r>
      <w:r w:rsidRPr="006D1926">
        <w:rPr>
          <w:rFonts w:ascii="Times New Roman" w:hAnsi="Times New Roman" w:cs="Times New Roman"/>
          <w:sz w:val="24"/>
          <w:szCs w:val="24"/>
        </w:rPr>
        <w:t>1759);</w:t>
      </w:r>
      <w:r>
        <w:rPr>
          <w:rFonts w:ascii="Times New Roman" w:hAnsi="Times New Roman" w:cs="Times New Roman"/>
          <w:sz w:val="24"/>
          <w:szCs w:val="24"/>
        </w:rPr>
        <w:t xml:space="preserve"> Alexander Pope’s</w:t>
      </w:r>
      <w:r w:rsidRPr="006D1926">
        <w:rPr>
          <w:rFonts w:ascii="Times New Roman" w:hAnsi="Times New Roman" w:cs="Times New Roman"/>
          <w:sz w:val="24"/>
          <w:szCs w:val="24"/>
        </w:rPr>
        <w:t xml:space="preserve"> </w:t>
      </w:r>
      <w:r w:rsidRPr="006D1926">
        <w:rPr>
          <w:rFonts w:ascii="Times New Roman" w:hAnsi="Times New Roman" w:cs="Times New Roman"/>
          <w:i/>
          <w:iCs/>
          <w:sz w:val="24"/>
          <w:szCs w:val="24"/>
        </w:rPr>
        <w:t xml:space="preserve">Windsor Forest </w:t>
      </w:r>
      <w:r w:rsidRPr="006D1926">
        <w:rPr>
          <w:rFonts w:ascii="Times New Roman" w:hAnsi="Times New Roman" w:cs="Times New Roman"/>
          <w:sz w:val="24"/>
          <w:szCs w:val="24"/>
        </w:rPr>
        <w:t xml:space="preserve">and </w:t>
      </w:r>
      <w:r w:rsidRPr="006D1926">
        <w:rPr>
          <w:rFonts w:ascii="Times New Roman" w:hAnsi="Times New Roman" w:cs="Times New Roman"/>
          <w:i/>
          <w:iCs/>
          <w:sz w:val="24"/>
          <w:szCs w:val="24"/>
        </w:rPr>
        <w:t xml:space="preserve">Essay on Man </w:t>
      </w:r>
      <w:r w:rsidRPr="006D1926">
        <w:rPr>
          <w:rFonts w:ascii="Times New Roman" w:hAnsi="Times New Roman" w:cs="Times New Roman"/>
          <w:sz w:val="24"/>
          <w:szCs w:val="24"/>
        </w:rPr>
        <w:t xml:space="preserve">(1713 and 1733); </w:t>
      </w:r>
      <w:r>
        <w:rPr>
          <w:rFonts w:ascii="Times New Roman" w:hAnsi="Times New Roman" w:cs="Times New Roman"/>
          <w:sz w:val="24"/>
          <w:szCs w:val="24"/>
        </w:rPr>
        <w:t xml:space="preserve">Daniel Defoe’s </w:t>
      </w:r>
      <w:r w:rsidRPr="006D1926">
        <w:rPr>
          <w:rFonts w:ascii="Times New Roman" w:hAnsi="Times New Roman" w:cs="Times New Roman"/>
          <w:i/>
          <w:iCs/>
          <w:sz w:val="24"/>
          <w:szCs w:val="24"/>
        </w:rPr>
        <w:t xml:space="preserve">Robinson Crusoe </w:t>
      </w:r>
      <w:r w:rsidRPr="006D1926">
        <w:rPr>
          <w:rFonts w:ascii="Times New Roman" w:hAnsi="Times New Roman" w:cs="Times New Roman"/>
          <w:sz w:val="24"/>
          <w:szCs w:val="24"/>
        </w:rPr>
        <w:t xml:space="preserve">(1719); </w:t>
      </w:r>
      <w:r w:rsidRPr="005008C2">
        <w:rPr>
          <w:rFonts w:ascii="Times New Roman" w:hAnsi="Times New Roman" w:cs="Times New Roman"/>
          <w:sz w:val="24"/>
          <w:szCs w:val="24"/>
        </w:rPr>
        <w:t>Charles Johnstone</w:t>
      </w:r>
      <w:r>
        <w:rPr>
          <w:rFonts w:ascii="Times New Roman" w:hAnsi="Times New Roman" w:cs="Times New Roman"/>
          <w:sz w:val="24"/>
          <w:szCs w:val="24"/>
        </w:rPr>
        <w:t xml:space="preserve">’s </w:t>
      </w:r>
      <w:r w:rsidRPr="006D1926">
        <w:rPr>
          <w:rFonts w:ascii="Times New Roman" w:hAnsi="Times New Roman" w:cs="Times New Roman"/>
          <w:i/>
          <w:iCs/>
          <w:sz w:val="24"/>
          <w:szCs w:val="24"/>
        </w:rPr>
        <w:t xml:space="preserve">Chrystal, or the Adventures of a Guinea </w:t>
      </w:r>
      <w:r w:rsidRPr="006D1926">
        <w:rPr>
          <w:rFonts w:ascii="Times New Roman" w:hAnsi="Times New Roman" w:cs="Times New Roman"/>
          <w:sz w:val="24"/>
          <w:szCs w:val="24"/>
        </w:rPr>
        <w:t xml:space="preserve">(1760 and 1765); and the </w:t>
      </w:r>
      <w:r>
        <w:rPr>
          <w:rFonts w:ascii="Times New Roman" w:hAnsi="Times New Roman" w:cs="Times New Roman"/>
          <w:sz w:val="24"/>
          <w:szCs w:val="24"/>
        </w:rPr>
        <w:t xml:space="preserve">autobiographical </w:t>
      </w:r>
      <w:r w:rsidRPr="006D1926">
        <w:rPr>
          <w:rFonts w:ascii="Times New Roman" w:hAnsi="Times New Roman" w:cs="Times New Roman"/>
          <w:i/>
          <w:iCs/>
          <w:sz w:val="24"/>
          <w:szCs w:val="24"/>
        </w:rPr>
        <w:t xml:space="preserve">Interesting Narrative of the Life of Olaudah Equiano, or Gustavus Vassa, the African </w:t>
      </w:r>
      <w:r w:rsidRPr="006D1926">
        <w:rPr>
          <w:rFonts w:ascii="Times New Roman" w:hAnsi="Times New Roman" w:cs="Times New Roman"/>
          <w:sz w:val="24"/>
          <w:szCs w:val="24"/>
        </w:rPr>
        <w:t>(1789).</w:t>
      </w:r>
      <w:r>
        <w:rPr>
          <w:rFonts w:ascii="Times New Roman" w:hAnsi="Times New Roman" w:cs="Times New Roman"/>
          <w:sz w:val="24"/>
          <w:szCs w:val="24"/>
        </w:rPr>
        <w:t xml:space="preserve"> He </w:t>
      </w:r>
      <w:r w:rsidRPr="006D1926">
        <w:rPr>
          <w:rFonts w:ascii="Times New Roman" w:hAnsi="Times New Roman" w:cs="Times New Roman"/>
          <w:sz w:val="24"/>
          <w:szCs w:val="24"/>
        </w:rPr>
        <w:t>links his reading of these works to broader historical questions, notably ‘how Americans understood themselves as part of an anglophone Atlantic print media market, or imagined community, that was linked to their consumer culture and politics and that helps explain how they behaved financially, intellectually, and politically.’</w:t>
      </w:r>
      <w:r>
        <w:rPr>
          <w:rFonts w:ascii="Times New Roman" w:hAnsi="Times New Roman" w:cs="Times New Roman"/>
          <w:sz w:val="24"/>
          <w:szCs w:val="24"/>
        </w:rPr>
        <w:t xml:space="preserve"> </w:t>
      </w:r>
      <w:r w:rsidRPr="006D1926">
        <w:rPr>
          <w:rFonts w:ascii="Times New Roman" w:hAnsi="Times New Roman" w:cs="Times New Roman"/>
          <w:sz w:val="24"/>
          <w:szCs w:val="24"/>
        </w:rPr>
        <w:t xml:space="preserve">(xiii). More specifically, Moore thinks that </w:t>
      </w:r>
      <w:r>
        <w:rPr>
          <w:rFonts w:ascii="Times New Roman" w:hAnsi="Times New Roman" w:cs="Times New Roman"/>
          <w:sz w:val="24"/>
          <w:szCs w:val="24"/>
        </w:rPr>
        <w:t>e</w:t>
      </w:r>
      <w:r w:rsidRPr="006D1926">
        <w:rPr>
          <w:rFonts w:ascii="Times New Roman" w:hAnsi="Times New Roman" w:cs="Times New Roman"/>
          <w:sz w:val="24"/>
          <w:szCs w:val="24"/>
        </w:rPr>
        <w:t>ach work</w:t>
      </w:r>
      <w:r>
        <w:rPr>
          <w:rFonts w:ascii="Times New Roman" w:hAnsi="Times New Roman" w:cs="Times New Roman"/>
          <w:sz w:val="24"/>
          <w:szCs w:val="24"/>
        </w:rPr>
        <w:t xml:space="preserve"> he</w:t>
      </w:r>
      <w:r w:rsidRPr="006D1926">
        <w:rPr>
          <w:rFonts w:ascii="Times New Roman" w:hAnsi="Times New Roman" w:cs="Times New Roman"/>
          <w:sz w:val="24"/>
          <w:szCs w:val="24"/>
        </w:rPr>
        <w:t xml:space="preserve"> analyse</w:t>
      </w:r>
      <w:r>
        <w:rPr>
          <w:rFonts w:ascii="Times New Roman" w:hAnsi="Times New Roman" w:cs="Times New Roman"/>
          <w:sz w:val="24"/>
          <w:szCs w:val="24"/>
        </w:rPr>
        <w:t xml:space="preserve">s </w:t>
      </w:r>
      <w:r w:rsidRPr="006D1926">
        <w:rPr>
          <w:rFonts w:ascii="Times New Roman" w:hAnsi="Times New Roman" w:cs="Times New Roman"/>
          <w:sz w:val="24"/>
          <w:szCs w:val="24"/>
        </w:rPr>
        <w:t>tells us something about American attitudes towards slavery.</w:t>
      </w:r>
    </w:p>
    <w:p w14:paraId="6537FC58" w14:textId="70ECD798" w:rsidR="00FC00AD" w:rsidRDefault="00FC00AD" w:rsidP="00FC00A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political thought component of the book engages with the question of whether republican ideology, on the one hand, or liberalism and capitalism, on the other, is to blame for American slavery. In challenging the republican or civic humanist paradigm, perhaps chiefly associated with J. G. A. Pocock, Moore uses C. B. Macpherson’s ‘possessive </w:t>
      </w:r>
      <w:r>
        <w:rPr>
          <w:rFonts w:ascii="Times New Roman" w:hAnsi="Times New Roman" w:cs="Times New Roman"/>
          <w:sz w:val="24"/>
          <w:szCs w:val="24"/>
        </w:rPr>
        <w:lastRenderedPageBreak/>
        <w:t xml:space="preserve">individualism’ thesis (see esp. 10-17),  John Locke’s agenda </w:t>
      </w:r>
      <w:r w:rsidR="00DA0AE9">
        <w:rPr>
          <w:rFonts w:ascii="Times New Roman" w:hAnsi="Times New Roman" w:cs="Times New Roman"/>
          <w:sz w:val="24"/>
          <w:szCs w:val="24"/>
        </w:rPr>
        <w:t>aim w</w:t>
      </w:r>
      <w:r>
        <w:rPr>
          <w:rFonts w:ascii="Times New Roman" w:hAnsi="Times New Roman" w:cs="Times New Roman"/>
          <w:sz w:val="24"/>
          <w:szCs w:val="24"/>
        </w:rPr>
        <w:t xml:space="preserve">as </w:t>
      </w:r>
      <w:r w:rsidR="00DA0AE9">
        <w:rPr>
          <w:rFonts w:ascii="Times New Roman" w:hAnsi="Times New Roman" w:cs="Times New Roman"/>
          <w:sz w:val="24"/>
          <w:szCs w:val="24"/>
        </w:rPr>
        <w:t xml:space="preserve">to justify </w:t>
      </w:r>
      <w:r>
        <w:rPr>
          <w:rFonts w:ascii="Times New Roman" w:hAnsi="Times New Roman" w:cs="Times New Roman"/>
          <w:sz w:val="24"/>
          <w:szCs w:val="24"/>
        </w:rPr>
        <w:t>the unlimited acquisition of property by capitalists.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Scholars of Hobbes and Locke criticised Macpherson by pointing to the anachronism of regarding seventeenth-century England as a capitalist bourgeois society. Locke specialists have further responded by recovering the fundamentally religious grounding of his political philosophy.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Most relevant in the present context, Macpherson’s thesis came under</w:t>
      </w:r>
      <w:r w:rsidR="009D784E">
        <w:rPr>
          <w:rFonts w:ascii="Times New Roman" w:hAnsi="Times New Roman" w:cs="Times New Roman"/>
          <w:sz w:val="24"/>
          <w:szCs w:val="24"/>
        </w:rPr>
        <w:t xml:space="preserve"> early</w:t>
      </w:r>
      <w:r>
        <w:rPr>
          <w:rFonts w:ascii="Times New Roman" w:hAnsi="Times New Roman" w:cs="Times New Roman"/>
          <w:sz w:val="24"/>
          <w:szCs w:val="24"/>
        </w:rPr>
        <w:t xml:space="preserve"> attack from historians putting forward a distinctly republican reading of the American eighteenth century</w:t>
      </w:r>
      <w:r w:rsidR="00DA0AE9">
        <w:rPr>
          <w:rFonts w:ascii="Times New Roman" w:hAnsi="Times New Roman" w:cs="Times New Roman"/>
          <w:sz w:val="24"/>
          <w:szCs w:val="24"/>
        </w:rPr>
        <w:t xml:space="preserve">. These included </w:t>
      </w:r>
      <w:r>
        <w:rPr>
          <w:rFonts w:ascii="Times New Roman" w:hAnsi="Times New Roman" w:cs="Times New Roman"/>
          <w:sz w:val="24"/>
          <w:szCs w:val="24"/>
        </w:rPr>
        <w:t xml:space="preserve">Pocock </w:t>
      </w:r>
      <w:r w:rsidR="00DA0AE9">
        <w:rPr>
          <w:rFonts w:ascii="Times New Roman" w:hAnsi="Times New Roman" w:cs="Times New Roman"/>
          <w:sz w:val="24"/>
          <w:szCs w:val="24"/>
        </w:rPr>
        <w:t>as well as</w:t>
      </w:r>
      <w:r>
        <w:rPr>
          <w:rFonts w:ascii="Times New Roman" w:hAnsi="Times New Roman" w:cs="Times New Roman"/>
          <w:sz w:val="24"/>
          <w:szCs w:val="24"/>
        </w:rPr>
        <w:t xml:space="preserve"> Gordon Wood</w:t>
      </w:r>
      <w:r w:rsidR="00DA0AE9">
        <w:rPr>
          <w:rFonts w:ascii="Times New Roman" w:hAnsi="Times New Roman" w:cs="Times New Roman"/>
          <w:sz w:val="24"/>
          <w:szCs w:val="24"/>
        </w:rPr>
        <w:t xml:space="preserve">, who were </w:t>
      </w:r>
      <w:r w:rsidR="00906EBF">
        <w:rPr>
          <w:rFonts w:ascii="Times New Roman" w:hAnsi="Times New Roman" w:cs="Times New Roman"/>
          <w:sz w:val="24"/>
          <w:szCs w:val="24"/>
        </w:rPr>
        <w:t xml:space="preserve">both </w:t>
      </w:r>
      <w:r>
        <w:rPr>
          <w:rFonts w:ascii="Times New Roman" w:hAnsi="Times New Roman" w:cs="Times New Roman"/>
          <w:sz w:val="24"/>
          <w:szCs w:val="24"/>
        </w:rPr>
        <w:t>inspired by Caroline Robbins and Bernard Bailyn</w:t>
      </w:r>
      <w:r w:rsidR="00DA0AE9">
        <w:rPr>
          <w:rFonts w:ascii="Times New Roman" w:hAnsi="Times New Roman" w:cs="Times New Roman"/>
          <w:sz w:val="24"/>
          <w:szCs w:val="24"/>
        </w:rPr>
        <w:t>, and</w:t>
      </w:r>
      <w:r>
        <w:rPr>
          <w:rFonts w:ascii="Times New Roman" w:hAnsi="Times New Roman" w:cs="Times New Roman"/>
          <w:sz w:val="24"/>
          <w:szCs w:val="24"/>
        </w:rPr>
        <w:t xml:space="preserve"> who displaced John Locke along with the anachronistic category of liberalism. In recent decades, however, Locke has returned to American historiography in grand fashion. As Moore here points out, ‘no figure was as central as Locke’ in American eighteenth-century libraries (31), confirming earlier accounts about the ubiquity of Locke presented by historians from Isaac Kramnick to Eric Slauter.</w:t>
      </w:r>
      <w:r w:rsidRPr="003D331D">
        <w:rPr>
          <w:rFonts w:ascii="Times New Roman" w:hAnsi="Times New Roman" w:cs="Times New Roman"/>
          <w:sz w:val="24"/>
          <w:szCs w:val="24"/>
        </w:rPr>
        <w:t xml:space="preserve"> </w:t>
      </w:r>
      <w:r>
        <w:rPr>
          <w:rFonts w:ascii="Times New Roman" w:hAnsi="Times New Roman" w:cs="Times New Roman"/>
          <w:sz w:val="24"/>
          <w:szCs w:val="24"/>
        </w:rPr>
        <w:t>With Locke, the ‘possessive individualism’ thesis has also returned in some historical studies, and, as Moore highlights, it never went away from literary studies (17). The Macpherson thesis, he further claims, ‘is centrally relevant to slavery in that it posits that modern individuality is derived from proprietorship of one’s person and labor, ownership that slaves did not have.’ (10).</w:t>
      </w:r>
    </w:p>
    <w:p w14:paraId="2FD898CE" w14:textId="2721DB72" w:rsidR="00FC00AD" w:rsidRDefault="00FC00AD" w:rsidP="00FC00A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most substantial and explicit challenge to Pocock’s republicanism thesis comes in the book’s fourth chapter (141, 147-8), in which Moore looks at Charleston Library Society in South Carolina – the state with the largest slave population and</w:t>
      </w:r>
      <w:r w:rsidR="00F13D2A">
        <w:rPr>
          <w:rFonts w:ascii="Times New Roman" w:hAnsi="Times New Roman" w:cs="Times New Roman"/>
          <w:sz w:val="24"/>
          <w:szCs w:val="24"/>
        </w:rPr>
        <w:t xml:space="preserve"> even</w:t>
      </w:r>
      <w:r>
        <w:rPr>
          <w:rFonts w:ascii="Times New Roman" w:hAnsi="Times New Roman" w:cs="Times New Roman"/>
          <w:sz w:val="24"/>
          <w:szCs w:val="24"/>
        </w:rPr>
        <w:t xml:space="preserve"> slave-backed paper money. It is true that Pocock could have said more about the potential relationship between American republicanism and slavery. However, this seems to be an area </w:t>
      </w:r>
      <w:r w:rsidR="005619AC">
        <w:rPr>
          <w:rFonts w:ascii="Times New Roman" w:hAnsi="Times New Roman" w:cs="Times New Roman"/>
          <w:sz w:val="24"/>
          <w:szCs w:val="24"/>
        </w:rPr>
        <w:t>in which</w:t>
      </w:r>
      <w:r>
        <w:rPr>
          <w:rFonts w:ascii="Times New Roman" w:hAnsi="Times New Roman" w:cs="Times New Roman"/>
          <w:sz w:val="24"/>
          <w:szCs w:val="24"/>
        </w:rPr>
        <w:t xml:space="preserve"> the republican thesis might still be relevant, </w:t>
      </w:r>
      <w:r w:rsidR="009D784E">
        <w:rPr>
          <w:rFonts w:ascii="Times New Roman" w:hAnsi="Times New Roman" w:cs="Times New Roman"/>
          <w:sz w:val="24"/>
          <w:szCs w:val="24"/>
        </w:rPr>
        <w:t>as</w:t>
      </w:r>
      <w:r>
        <w:rPr>
          <w:rFonts w:ascii="Times New Roman" w:hAnsi="Times New Roman" w:cs="Times New Roman"/>
          <w:sz w:val="24"/>
          <w:szCs w:val="24"/>
        </w:rPr>
        <w:t xml:space="preserve"> slavery was an institution not only integral to the early American republic but also to ancient republics</w:t>
      </w:r>
      <w:r w:rsidRPr="00B32A14">
        <w:rPr>
          <w:rFonts w:ascii="Times New Roman" w:hAnsi="Times New Roman" w:cs="Times New Roman"/>
          <w:sz w:val="24"/>
          <w:szCs w:val="24"/>
        </w:rPr>
        <w:t>. Moore makes a great deal of the</w:t>
      </w:r>
      <w:r>
        <w:rPr>
          <w:rFonts w:ascii="Times New Roman" w:hAnsi="Times New Roman" w:cs="Times New Roman"/>
          <w:sz w:val="24"/>
          <w:szCs w:val="24"/>
        </w:rPr>
        <w:t xml:space="preserve"> </w:t>
      </w:r>
      <w:r w:rsidRPr="00B32A14">
        <w:rPr>
          <w:rFonts w:ascii="Times New Roman" w:hAnsi="Times New Roman" w:cs="Times New Roman"/>
          <w:sz w:val="24"/>
          <w:szCs w:val="24"/>
        </w:rPr>
        <w:t>British</w:t>
      </w:r>
      <w:r>
        <w:rPr>
          <w:rFonts w:ascii="Times New Roman" w:hAnsi="Times New Roman" w:cs="Times New Roman"/>
          <w:sz w:val="24"/>
          <w:szCs w:val="24"/>
        </w:rPr>
        <w:t xml:space="preserve"> turn</w:t>
      </w:r>
      <w:r w:rsidRPr="00B32A14">
        <w:rPr>
          <w:rFonts w:ascii="Times New Roman" w:hAnsi="Times New Roman" w:cs="Times New Roman"/>
          <w:sz w:val="24"/>
          <w:szCs w:val="24"/>
        </w:rPr>
        <w:t xml:space="preserve"> in American historiography, in other words, the idea that the Americans became more culturally British after 1750. This is evident in the catalogues of American subscription libraries, which were not much different from their British counterparts (24). According to this </w:t>
      </w:r>
      <w:r>
        <w:rPr>
          <w:rFonts w:ascii="Times New Roman" w:hAnsi="Times New Roman" w:cs="Times New Roman"/>
          <w:sz w:val="24"/>
          <w:szCs w:val="24"/>
        </w:rPr>
        <w:t>interpretation</w:t>
      </w:r>
      <w:r w:rsidRPr="00B32A14">
        <w:rPr>
          <w:rFonts w:ascii="Times New Roman" w:hAnsi="Times New Roman" w:cs="Times New Roman"/>
          <w:sz w:val="24"/>
          <w:szCs w:val="24"/>
        </w:rPr>
        <w:t xml:space="preserve">, the American Revolution was essentially an outcome of them insisting on their rights as Englishmen. This is </w:t>
      </w:r>
      <w:r>
        <w:rPr>
          <w:rFonts w:ascii="Times New Roman" w:hAnsi="Times New Roman" w:cs="Times New Roman"/>
          <w:sz w:val="24"/>
          <w:szCs w:val="24"/>
        </w:rPr>
        <w:t>both accurate and familiar</w:t>
      </w:r>
      <w:r w:rsidRPr="00B32A14">
        <w:rPr>
          <w:rFonts w:ascii="Times New Roman" w:hAnsi="Times New Roman" w:cs="Times New Roman"/>
          <w:sz w:val="24"/>
          <w:szCs w:val="24"/>
        </w:rPr>
        <w:t xml:space="preserve">, but we should remember that </w:t>
      </w:r>
      <w:r w:rsidRPr="00B32A14">
        <w:rPr>
          <w:rFonts w:ascii="Times New Roman" w:hAnsi="Times New Roman" w:cs="Times New Roman"/>
          <w:sz w:val="24"/>
          <w:szCs w:val="24"/>
        </w:rPr>
        <w:lastRenderedPageBreak/>
        <w:t xml:space="preserve">Britons </w:t>
      </w:r>
      <w:r w:rsidRPr="00B32A14">
        <w:rPr>
          <w:rFonts w:ascii="Times New Roman" w:hAnsi="Times New Roman" w:cs="Times New Roman"/>
          <w:i/>
          <w:iCs/>
          <w:sz w:val="24"/>
          <w:szCs w:val="24"/>
        </w:rPr>
        <w:t>in Britain</w:t>
      </w:r>
      <w:r w:rsidRPr="00B32A14">
        <w:rPr>
          <w:rFonts w:ascii="Times New Roman" w:hAnsi="Times New Roman" w:cs="Times New Roman"/>
          <w:sz w:val="24"/>
          <w:szCs w:val="24"/>
        </w:rPr>
        <w:t xml:space="preserve"> were not slaveholders, although many of them traded in slaves. Moreover, very few British mainstream political thinkers in the eighteenth century wanted to introduce chattel slavery </w:t>
      </w:r>
      <w:r w:rsidR="00D43CA2">
        <w:rPr>
          <w:rFonts w:ascii="Times New Roman" w:hAnsi="Times New Roman" w:cs="Times New Roman"/>
          <w:sz w:val="24"/>
          <w:szCs w:val="24"/>
        </w:rPr>
        <w:t>in</w:t>
      </w:r>
      <w:r w:rsidRPr="00B32A14">
        <w:rPr>
          <w:rFonts w:ascii="Times New Roman" w:hAnsi="Times New Roman" w:cs="Times New Roman"/>
          <w:sz w:val="24"/>
          <w:szCs w:val="24"/>
        </w:rPr>
        <w:t xml:space="preserve"> the British isles; Andrew Fletcher of Saltoun’s proposal to do so in Scotland at the turn of the eighteenth century was</w:t>
      </w:r>
      <w:r>
        <w:rPr>
          <w:rFonts w:ascii="Times New Roman" w:hAnsi="Times New Roman" w:cs="Times New Roman"/>
          <w:sz w:val="24"/>
          <w:szCs w:val="24"/>
        </w:rPr>
        <w:t xml:space="preserve"> widely</w:t>
      </w:r>
      <w:r w:rsidRPr="00B32A14">
        <w:rPr>
          <w:rFonts w:ascii="Times New Roman" w:hAnsi="Times New Roman" w:cs="Times New Roman"/>
          <w:sz w:val="24"/>
          <w:szCs w:val="24"/>
        </w:rPr>
        <w:t xml:space="preserve"> seen as extremely idiosyncratic. Moreover, ‘West-Indians’ such as William Beckford who tried to cut a figure in British society were often heavily criticised for</w:t>
      </w:r>
      <w:r>
        <w:rPr>
          <w:rFonts w:ascii="Times New Roman" w:hAnsi="Times New Roman" w:cs="Times New Roman"/>
          <w:sz w:val="24"/>
          <w:szCs w:val="24"/>
        </w:rPr>
        <w:t xml:space="preserve"> their slave-generated wealth</w:t>
      </w:r>
      <w:r w:rsidRPr="00B32A14">
        <w:rPr>
          <w:rFonts w:ascii="Times New Roman" w:hAnsi="Times New Roman" w:cs="Times New Roman"/>
          <w:sz w:val="24"/>
          <w:szCs w:val="24"/>
        </w:rPr>
        <w:t xml:space="preserve">. A basic yet important point seems to be that </w:t>
      </w:r>
      <w:r>
        <w:rPr>
          <w:rFonts w:ascii="Times New Roman" w:hAnsi="Times New Roman" w:cs="Times New Roman"/>
          <w:sz w:val="24"/>
          <w:szCs w:val="24"/>
        </w:rPr>
        <w:t>eighteenth-century</w:t>
      </w:r>
      <w:r w:rsidRPr="00B32A14">
        <w:rPr>
          <w:rFonts w:ascii="Times New Roman" w:hAnsi="Times New Roman" w:cs="Times New Roman"/>
          <w:sz w:val="24"/>
          <w:szCs w:val="24"/>
        </w:rPr>
        <w:t xml:space="preserve"> Americans were insisting on more liberties than the legal rights of the British. </w:t>
      </w:r>
      <w:r>
        <w:rPr>
          <w:rFonts w:ascii="Times New Roman" w:hAnsi="Times New Roman" w:cs="Times New Roman"/>
          <w:sz w:val="24"/>
          <w:szCs w:val="24"/>
        </w:rPr>
        <w:t xml:space="preserve">As Quentin Skinner stressed, slavery was central as the antonym to liberty in Roman law, enshrined in the </w:t>
      </w:r>
      <w:r>
        <w:rPr>
          <w:rFonts w:ascii="Times New Roman" w:hAnsi="Times New Roman" w:cs="Times New Roman"/>
          <w:i/>
          <w:iCs/>
          <w:sz w:val="24"/>
          <w:szCs w:val="24"/>
        </w:rPr>
        <w:t>Digest.</w:t>
      </w:r>
      <w:r w:rsidRPr="00B32A14">
        <w:rPr>
          <w:rStyle w:val="FootnoteReference"/>
          <w:rFonts w:ascii="Times New Roman" w:hAnsi="Times New Roman" w:cs="Times New Roman"/>
          <w:sz w:val="24"/>
          <w:szCs w:val="24"/>
        </w:rPr>
        <w:footnoteReference w:id="3"/>
      </w:r>
      <w:r>
        <w:rPr>
          <w:rFonts w:ascii="Times New Roman" w:hAnsi="Times New Roman" w:cs="Times New Roman"/>
          <w:i/>
          <w:iCs/>
          <w:sz w:val="24"/>
          <w:szCs w:val="24"/>
        </w:rPr>
        <w:t xml:space="preserve"> </w:t>
      </w:r>
      <w:r>
        <w:rPr>
          <w:rFonts w:ascii="Times New Roman" w:hAnsi="Times New Roman" w:cs="Times New Roman"/>
          <w:sz w:val="24"/>
          <w:szCs w:val="24"/>
        </w:rPr>
        <w:t xml:space="preserve">Though ‘neo-Roman’ liberty </w:t>
      </w:r>
      <w:r w:rsidRPr="00A82080">
        <w:rPr>
          <w:rFonts w:ascii="Times New Roman" w:hAnsi="Times New Roman" w:cs="Times New Roman"/>
          <w:sz w:val="24"/>
          <w:szCs w:val="24"/>
        </w:rPr>
        <w:t xml:space="preserve">is not going to explain everything that was going on in eighteenth-century American political thought, </w:t>
      </w:r>
      <w:r>
        <w:rPr>
          <w:rFonts w:ascii="Times New Roman" w:hAnsi="Times New Roman" w:cs="Times New Roman"/>
          <w:sz w:val="24"/>
          <w:szCs w:val="24"/>
        </w:rPr>
        <w:t>it might be more useful in</w:t>
      </w:r>
      <w:r w:rsidRPr="00A82080">
        <w:rPr>
          <w:rFonts w:ascii="Times New Roman" w:hAnsi="Times New Roman" w:cs="Times New Roman"/>
          <w:sz w:val="24"/>
          <w:szCs w:val="24"/>
        </w:rPr>
        <w:t xml:space="preserve"> </w:t>
      </w:r>
      <w:r>
        <w:rPr>
          <w:rFonts w:ascii="Times New Roman" w:hAnsi="Times New Roman" w:cs="Times New Roman"/>
          <w:sz w:val="24"/>
          <w:szCs w:val="24"/>
        </w:rPr>
        <w:t>c</w:t>
      </w:r>
      <w:r w:rsidRPr="00B32A14">
        <w:rPr>
          <w:rFonts w:ascii="Times New Roman" w:hAnsi="Times New Roman" w:cs="Times New Roman"/>
          <w:sz w:val="24"/>
          <w:szCs w:val="24"/>
        </w:rPr>
        <w:t>larify</w:t>
      </w:r>
      <w:r>
        <w:rPr>
          <w:rFonts w:ascii="Times New Roman" w:hAnsi="Times New Roman" w:cs="Times New Roman"/>
          <w:sz w:val="24"/>
          <w:szCs w:val="24"/>
        </w:rPr>
        <w:t>ing</w:t>
      </w:r>
      <w:r w:rsidRPr="00B32A14">
        <w:rPr>
          <w:rFonts w:ascii="Times New Roman" w:hAnsi="Times New Roman" w:cs="Times New Roman"/>
          <w:sz w:val="24"/>
          <w:szCs w:val="24"/>
        </w:rPr>
        <w:t xml:space="preserve"> colonial thinking about slavery</w:t>
      </w:r>
      <w:r>
        <w:rPr>
          <w:rFonts w:ascii="Times New Roman" w:hAnsi="Times New Roman" w:cs="Times New Roman"/>
          <w:sz w:val="24"/>
          <w:szCs w:val="24"/>
        </w:rPr>
        <w:t xml:space="preserve"> than Moore allows.</w:t>
      </w:r>
    </w:p>
    <w:p w14:paraId="236AF2B3" w14:textId="77777777" w:rsidR="00FC00AD" w:rsidRPr="007E0D94" w:rsidRDefault="00FC00AD" w:rsidP="00FC00AD">
      <w:pPr>
        <w:spacing w:line="360" w:lineRule="auto"/>
        <w:ind w:firstLine="720"/>
        <w:rPr>
          <w:rFonts w:ascii="Times New Roman" w:hAnsi="Times New Roman" w:cs="Times New Roman"/>
          <w:sz w:val="24"/>
          <w:szCs w:val="24"/>
        </w:rPr>
      </w:pPr>
      <w:r>
        <w:rPr>
          <w:rFonts w:ascii="Times New Roman" w:hAnsi="Times New Roman" w:cs="Times New Roman"/>
          <w:sz w:val="24"/>
          <w:szCs w:val="24"/>
        </w:rPr>
        <w:t>Whatever one thinks of the Macpherson thesis and its detractors,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Moore makes an important point when arguing that one of the unfortunate offshoots of the onslaught upon it has been that the history of political thought, especially in the ‘Cambridge’ tradition, has been divorced from social and political history (10, 16).</w:t>
      </w:r>
      <w:r w:rsidRPr="006650B5">
        <w:rPr>
          <w:rFonts w:ascii="Times New Roman" w:hAnsi="Times New Roman" w:cs="Times New Roman"/>
          <w:sz w:val="24"/>
          <w:szCs w:val="24"/>
        </w:rPr>
        <w:t xml:space="preserve"> </w:t>
      </w:r>
      <w:r>
        <w:rPr>
          <w:rFonts w:ascii="Times New Roman" w:hAnsi="Times New Roman" w:cs="Times New Roman"/>
          <w:sz w:val="24"/>
          <w:szCs w:val="24"/>
        </w:rPr>
        <w:t>Since the programme of the so-called Cambridge School was formulated partly in opposition to Marxist reductionism, the fear of social history has remained endemic among many historians of political thought, and it might have outlived its usefulness. As a result, ideas are sometimes not only given a reasonable degree of autonomy, but also treated in a rather abstract way, and often with little reference to either the economic base or political action</w:t>
      </w:r>
      <w:r w:rsidR="00D43CA2">
        <w:rPr>
          <w:rFonts w:ascii="Times New Roman" w:hAnsi="Times New Roman" w:cs="Times New Roman"/>
          <w:sz w:val="24"/>
          <w:szCs w:val="24"/>
        </w:rPr>
        <w:t xml:space="preserve"> other than writing</w:t>
      </w:r>
      <w:r>
        <w:rPr>
          <w:rFonts w:ascii="Times New Roman" w:hAnsi="Times New Roman" w:cs="Times New Roman"/>
          <w:sz w:val="24"/>
          <w:szCs w:val="24"/>
        </w:rPr>
        <w:t>. By contrast, Moore’s book is presented as an attempt to ‘understand how people put ideas into practice’ (xiv). This ambition should be applauded, and he is right that the history of reading can be an impressive tool for achieving or at least approximating this goal</w:t>
      </w:r>
      <w:r w:rsidRPr="00637A57">
        <w:rPr>
          <w:rFonts w:ascii="Times New Roman" w:hAnsi="Times New Roman" w:cs="Times New Roman"/>
          <w:sz w:val="24"/>
          <w:szCs w:val="24"/>
        </w:rPr>
        <w:t xml:space="preserve">. The irony, or rather </w:t>
      </w:r>
      <w:r w:rsidR="00637A57">
        <w:rPr>
          <w:rFonts w:ascii="Times New Roman" w:hAnsi="Times New Roman" w:cs="Times New Roman"/>
          <w:sz w:val="24"/>
          <w:szCs w:val="24"/>
        </w:rPr>
        <w:t>tragedy</w:t>
      </w:r>
      <w:r w:rsidRPr="00637A57">
        <w:rPr>
          <w:rFonts w:ascii="Times New Roman" w:hAnsi="Times New Roman" w:cs="Times New Roman"/>
          <w:sz w:val="24"/>
          <w:szCs w:val="24"/>
        </w:rPr>
        <w:t xml:space="preserve">, here, </w:t>
      </w:r>
      <w:r w:rsidRPr="007E0D94">
        <w:rPr>
          <w:rFonts w:ascii="Times New Roman" w:hAnsi="Times New Roman" w:cs="Times New Roman"/>
          <w:sz w:val="24"/>
          <w:szCs w:val="24"/>
        </w:rPr>
        <w:t>however, is that there was little action. As he puts it: ‘British and American anti-slavery writing…may have been producing more of an imagination of a day when slaves would be emancipated rather than always instigating action.’ (35).</w:t>
      </w:r>
    </w:p>
    <w:p w14:paraId="58ED8B07" w14:textId="77777777" w:rsidR="00FC00AD" w:rsidRPr="007E0D94" w:rsidRDefault="00FC00AD" w:rsidP="00FC00AD">
      <w:pPr>
        <w:spacing w:line="360" w:lineRule="auto"/>
        <w:ind w:firstLine="720"/>
        <w:rPr>
          <w:rFonts w:ascii="Times New Roman" w:hAnsi="Times New Roman" w:cs="Times New Roman"/>
          <w:sz w:val="24"/>
          <w:szCs w:val="24"/>
        </w:rPr>
      </w:pPr>
      <w:r w:rsidRPr="007E0D94">
        <w:rPr>
          <w:rFonts w:ascii="Times New Roman" w:hAnsi="Times New Roman" w:cs="Times New Roman"/>
          <w:sz w:val="24"/>
          <w:szCs w:val="24"/>
        </w:rPr>
        <w:t xml:space="preserve">There is of course nothing controversial about Moore’s loathing of slavery and the failures to end the slave trade and emancipate slaves at an earlier date. What is more uncommon, however, is his unwillingness to exonerate other practices with which slavery was economically and culturally connected. </w:t>
      </w:r>
      <w:r w:rsidRPr="007E0D94">
        <w:rPr>
          <w:rFonts w:ascii="Times New Roman" w:hAnsi="Times New Roman" w:cs="Times New Roman"/>
          <w:i/>
          <w:iCs/>
          <w:sz w:val="24"/>
          <w:szCs w:val="24"/>
        </w:rPr>
        <w:t xml:space="preserve">Slavery and the Making of Early American </w:t>
      </w:r>
      <w:r w:rsidRPr="007E0D94">
        <w:rPr>
          <w:rFonts w:ascii="Times New Roman" w:hAnsi="Times New Roman" w:cs="Times New Roman"/>
          <w:i/>
          <w:iCs/>
          <w:sz w:val="24"/>
          <w:szCs w:val="24"/>
        </w:rPr>
        <w:lastRenderedPageBreak/>
        <w:t xml:space="preserve">Libraries </w:t>
      </w:r>
      <w:r w:rsidRPr="007E0D94">
        <w:rPr>
          <w:rFonts w:ascii="Times New Roman" w:hAnsi="Times New Roman" w:cs="Times New Roman"/>
          <w:sz w:val="24"/>
          <w:szCs w:val="24"/>
        </w:rPr>
        <w:t xml:space="preserve">is an unusual book in that it is written by someone who clearly and rather viscerally dislikes the period under review. </w:t>
      </w:r>
      <w:r w:rsidR="007E0D94" w:rsidRPr="007E0D94">
        <w:rPr>
          <w:rFonts w:ascii="Times New Roman" w:hAnsi="Times New Roman" w:cs="Times New Roman"/>
          <w:sz w:val="24"/>
          <w:szCs w:val="24"/>
        </w:rPr>
        <w:t>Moore</w:t>
      </w:r>
      <w:r w:rsidRPr="007E0D94">
        <w:rPr>
          <w:rFonts w:ascii="Times New Roman" w:hAnsi="Times New Roman" w:cs="Times New Roman"/>
          <w:sz w:val="24"/>
          <w:szCs w:val="24"/>
        </w:rPr>
        <w:t xml:space="preserve"> seems to have little understanding for why Americans are fascinated by their Revolution, and he has certainly no time for the romanticisation of the eighteenth century embodied in Patrick O’Brien novels, ‘the current cult of Jane Austen’ and the </w:t>
      </w:r>
      <w:r w:rsidRPr="007E0D94">
        <w:rPr>
          <w:rFonts w:ascii="Times New Roman" w:hAnsi="Times New Roman" w:cs="Times New Roman"/>
          <w:i/>
          <w:iCs/>
          <w:sz w:val="24"/>
          <w:szCs w:val="24"/>
        </w:rPr>
        <w:t xml:space="preserve">Pirates of the Caribbean </w:t>
      </w:r>
      <w:r w:rsidRPr="007E0D94">
        <w:rPr>
          <w:rFonts w:ascii="Times New Roman" w:hAnsi="Times New Roman" w:cs="Times New Roman"/>
          <w:sz w:val="24"/>
          <w:szCs w:val="24"/>
        </w:rPr>
        <w:t>franchise (205). Indeed, Moore seeks to explicitly indict the period from the perspective of the present. The eighteenth century was a ‘failure’, he contends, and studying it will ‘help us appreciate how the nineteenth- and twentieth-century revolutions in political thought, human rights, and activism have improved the world enough for us to see how far this earlier past fell short of what many of its writers idealized.’ (37). This is of course true, but hardly a conclusion that requires a book-length study to prove, and one could argue that this statement underplays the contribution of earlier arguments to later emancipations and improvements.</w:t>
      </w:r>
      <w:r w:rsidRPr="007E0D94">
        <w:rPr>
          <w:rStyle w:val="FootnoteReference"/>
          <w:rFonts w:ascii="Times New Roman" w:hAnsi="Times New Roman" w:cs="Times New Roman"/>
          <w:sz w:val="24"/>
          <w:szCs w:val="24"/>
        </w:rPr>
        <w:footnoteReference w:id="5"/>
      </w:r>
      <w:r w:rsidRPr="007E0D94">
        <w:rPr>
          <w:rFonts w:ascii="Times New Roman" w:hAnsi="Times New Roman" w:cs="Times New Roman"/>
          <w:sz w:val="24"/>
          <w:szCs w:val="24"/>
        </w:rPr>
        <w:t xml:space="preserve"> </w:t>
      </w:r>
    </w:p>
    <w:p w14:paraId="2BFB68C1" w14:textId="091F09A1" w:rsidR="00FC00AD" w:rsidRDefault="00FC00AD" w:rsidP="00FC00AD">
      <w:pPr>
        <w:spacing w:line="360" w:lineRule="auto"/>
        <w:ind w:firstLine="720"/>
        <w:rPr>
          <w:rFonts w:ascii="Times New Roman" w:hAnsi="Times New Roman" w:cs="Times New Roman"/>
          <w:sz w:val="24"/>
          <w:szCs w:val="24"/>
        </w:rPr>
      </w:pPr>
      <w:r w:rsidRPr="007E0D94">
        <w:rPr>
          <w:rFonts w:ascii="Times New Roman" w:hAnsi="Times New Roman" w:cs="Times New Roman"/>
          <w:sz w:val="24"/>
          <w:szCs w:val="24"/>
        </w:rPr>
        <w:t>In the conclusion, the book turns directly to contemporary politics, as Moore connects his indictment of the eighteenth century with the present day, and in particular the trend of privatisation begun in the 1980s. For Moore, the eighteenth century does not demonstrate the vibrancy of civil society but rather the danger of relying on private charity for public goods. In being sceptical, if not outrightly negative, about associational culture, Moore is closer to the milder conclusions in Peter Clark’s classic study of clubs and societies in early-modern Britain than Gertrude Himmelfarb’s neo-Tocquevillian celebration of voluntarism.</w:t>
      </w:r>
      <w:r w:rsidRPr="007E0D94">
        <w:rPr>
          <w:rStyle w:val="FootnoteReference"/>
          <w:rFonts w:ascii="Times New Roman" w:hAnsi="Times New Roman" w:cs="Times New Roman"/>
          <w:sz w:val="24"/>
          <w:szCs w:val="24"/>
        </w:rPr>
        <w:footnoteReference w:id="6"/>
      </w:r>
      <w:r w:rsidRPr="007E0D94">
        <w:rPr>
          <w:rFonts w:ascii="Times New Roman" w:hAnsi="Times New Roman" w:cs="Times New Roman"/>
          <w:sz w:val="24"/>
          <w:szCs w:val="24"/>
        </w:rPr>
        <w:t xml:space="preserve"> Moore’s praise of state action as opposed to corporate and individual initiatives – which sits somewhat uneasily with his admiration of activism cited above – will please some readers and infuriate others.</w:t>
      </w:r>
      <w:r w:rsidRPr="007E0D94">
        <w:rPr>
          <w:rStyle w:val="FootnoteReference"/>
          <w:rFonts w:ascii="Times New Roman" w:hAnsi="Times New Roman" w:cs="Times New Roman"/>
          <w:sz w:val="24"/>
          <w:szCs w:val="24"/>
        </w:rPr>
        <w:footnoteReference w:id="7"/>
      </w:r>
      <w:r w:rsidRPr="007E0D94">
        <w:rPr>
          <w:rFonts w:ascii="Times New Roman" w:hAnsi="Times New Roman" w:cs="Times New Roman"/>
          <w:sz w:val="24"/>
          <w:szCs w:val="24"/>
        </w:rPr>
        <w:t xml:space="preserve"> He makes important points about what may be the origins of the limitations of the American welfare state and in warning against conservative and libertarian tendencies to venerate an earlier era of ‘limited government’ (202). It is a shame that</w:t>
      </w:r>
      <w:r w:rsidR="00572AE2">
        <w:rPr>
          <w:rFonts w:ascii="Times New Roman" w:hAnsi="Times New Roman" w:cs="Times New Roman"/>
          <w:sz w:val="24"/>
          <w:szCs w:val="24"/>
        </w:rPr>
        <w:t>, when</w:t>
      </w:r>
      <w:r w:rsidRPr="007E0D94">
        <w:rPr>
          <w:rFonts w:ascii="Times New Roman" w:hAnsi="Times New Roman" w:cs="Times New Roman"/>
          <w:sz w:val="24"/>
          <w:szCs w:val="24"/>
        </w:rPr>
        <w:t xml:space="preserve"> doing so</w:t>
      </w:r>
      <w:r w:rsidR="00572AE2">
        <w:rPr>
          <w:rFonts w:ascii="Times New Roman" w:hAnsi="Times New Roman" w:cs="Times New Roman"/>
          <w:sz w:val="24"/>
          <w:szCs w:val="24"/>
        </w:rPr>
        <w:t>,</w:t>
      </w:r>
      <w:r w:rsidRPr="007E0D94">
        <w:rPr>
          <w:rFonts w:ascii="Times New Roman" w:hAnsi="Times New Roman" w:cs="Times New Roman"/>
          <w:sz w:val="24"/>
          <w:szCs w:val="24"/>
        </w:rPr>
        <w:t xml:space="preserve"> he falls into the predictable pattern of idealising the decades before the 1980s as a golden age of big government and social democracy. This represents a lack of appreciation for the obvious fact that the world has changed irreversibly since the 1970s – economically, culturally and ideologically – </w:t>
      </w:r>
      <w:r w:rsidR="007E0D94" w:rsidRPr="007E0D94">
        <w:rPr>
          <w:rFonts w:ascii="Times New Roman" w:hAnsi="Times New Roman" w:cs="Times New Roman"/>
          <w:sz w:val="24"/>
          <w:szCs w:val="24"/>
        </w:rPr>
        <w:t>and it would be hard to</w:t>
      </w:r>
      <w:r w:rsidRPr="007E0D94">
        <w:rPr>
          <w:rFonts w:ascii="Times New Roman" w:hAnsi="Times New Roman" w:cs="Times New Roman"/>
          <w:sz w:val="24"/>
          <w:szCs w:val="24"/>
        </w:rPr>
        <w:t xml:space="preserve"> claim that it has only been for the worse. Thus, whilst Moore manages to avoid being triumphalist about the eighteenth century and the </w:t>
      </w:r>
      <w:r w:rsidRPr="007E0D94">
        <w:rPr>
          <w:rFonts w:ascii="Times New Roman" w:hAnsi="Times New Roman" w:cs="Times New Roman"/>
          <w:sz w:val="24"/>
          <w:szCs w:val="24"/>
        </w:rPr>
        <w:lastRenderedPageBreak/>
        <w:t xml:space="preserve">Enlightenment, he is happy to rather uncritically eulogise the democratic socialism of the mid-twentieth century – once seen as a failure by the Left </w:t>
      </w:r>
      <w:r w:rsidR="007E0D94" w:rsidRPr="007E0D94">
        <w:rPr>
          <w:rFonts w:ascii="Times New Roman" w:hAnsi="Times New Roman" w:cs="Times New Roman"/>
          <w:sz w:val="24"/>
          <w:szCs w:val="24"/>
        </w:rPr>
        <w:t xml:space="preserve">and the Right </w:t>
      </w:r>
      <w:r w:rsidRPr="007E0D94">
        <w:rPr>
          <w:rFonts w:ascii="Times New Roman" w:hAnsi="Times New Roman" w:cs="Times New Roman"/>
          <w:sz w:val="24"/>
          <w:szCs w:val="24"/>
        </w:rPr>
        <w:t>alike, it should be noted</w:t>
      </w:r>
      <w:r w:rsidRPr="007E0D94">
        <w:rPr>
          <w:rStyle w:val="FootnoteReference"/>
          <w:rFonts w:ascii="Times New Roman" w:hAnsi="Times New Roman" w:cs="Times New Roman"/>
          <w:sz w:val="24"/>
          <w:szCs w:val="24"/>
        </w:rPr>
        <w:footnoteReference w:id="8"/>
      </w:r>
      <w:r w:rsidRPr="007E0D94">
        <w:rPr>
          <w:rFonts w:ascii="Times New Roman" w:hAnsi="Times New Roman" w:cs="Times New Roman"/>
          <w:sz w:val="24"/>
          <w:szCs w:val="24"/>
        </w:rPr>
        <w:t xml:space="preserve"> – showing once again that the politics of nostalgia is not the exclusive property of conservatives.</w:t>
      </w:r>
      <w:r>
        <w:rPr>
          <w:rFonts w:ascii="Times New Roman" w:hAnsi="Times New Roman" w:cs="Times New Roman"/>
          <w:sz w:val="24"/>
          <w:szCs w:val="24"/>
        </w:rPr>
        <w:t xml:space="preserve"> </w:t>
      </w:r>
    </w:p>
    <w:bookmarkEnd w:id="0"/>
    <w:p w14:paraId="66EE8C74" w14:textId="77777777" w:rsidR="002B5000" w:rsidRDefault="002B5000" w:rsidP="00FC00AD">
      <w:pPr>
        <w:spacing w:line="360" w:lineRule="auto"/>
      </w:pPr>
    </w:p>
    <w:p w14:paraId="688F1DE6" w14:textId="77777777" w:rsidR="00DA0AE9" w:rsidRDefault="00DA0AE9" w:rsidP="00DA0AE9">
      <w:pPr>
        <w:spacing w:line="360" w:lineRule="auto"/>
        <w:jc w:val="right"/>
        <w:rPr>
          <w:rFonts w:ascii="Times New Roman" w:hAnsi="Times New Roman" w:cs="Times New Roman"/>
          <w:sz w:val="24"/>
          <w:szCs w:val="24"/>
        </w:rPr>
      </w:pPr>
      <w:r w:rsidRPr="009B255C">
        <w:rPr>
          <w:rFonts w:ascii="Times New Roman" w:hAnsi="Times New Roman" w:cs="Times New Roman"/>
          <w:sz w:val="24"/>
          <w:szCs w:val="24"/>
        </w:rPr>
        <w:t>Max Skjönsberg</w:t>
      </w:r>
    </w:p>
    <w:p w14:paraId="557ADFA3" w14:textId="77777777" w:rsidR="00DA0AE9" w:rsidRPr="009B255C" w:rsidRDefault="00DA0AE9" w:rsidP="00DA0AE9">
      <w:pPr>
        <w:spacing w:line="360" w:lineRule="auto"/>
        <w:jc w:val="right"/>
        <w:rPr>
          <w:rFonts w:ascii="Times New Roman" w:hAnsi="Times New Roman" w:cs="Times New Roman"/>
          <w:sz w:val="24"/>
          <w:szCs w:val="24"/>
        </w:rPr>
      </w:pPr>
      <w:r w:rsidRPr="009B255C">
        <w:rPr>
          <w:rFonts w:ascii="Times New Roman" w:hAnsi="Times New Roman" w:cs="Times New Roman"/>
          <w:sz w:val="24"/>
          <w:szCs w:val="24"/>
        </w:rPr>
        <w:t>University of Liverpool</w:t>
      </w:r>
    </w:p>
    <w:p w14:paraId="65E25D4F" w14:textId="77777777" w:rsidR="00DA0AE9" w:rsidRPr="009B255C" w:rsidRDefault="00DA0AE9" w:rsidP="00DA0AE9">
      <w:pPr>
        <w:spacing w:line="360" w:lineRule="auto"/>
        <w:jc w:val="right"/>
        <w:rPr>
          <w:rFonts w:ascii="Times New Roman" w:hAnsi="Times New Roman" w:cs="Times New Roman"/>
          <w:sz w:val="24"/>
          <w:szCs w:val="24"/>
        </w:rPr>
      </w:pPr>
      <w:r w:rsidRPr="009B255C">
        <w:rPr>
          <w:rFonts w:ascii="Times New Roman" w:hAnsi="Times New Roman" w:cs="Times New Roman"/>
          <w:sz w:val="24"/>
          <w:szCs w:val="24"/>
        </w:rPr>
        <w:t>max.skjonsberg@liverpool.ac.uk</w:t>
      </w:r>
    </w:p>
    <w:p w14:paraId="38228B86" w14:textId="77777777" w:rsidR="00DA0AE9" w:rsidRDefault="00DA0AE9" w:rsidP="00FC00AD">
      <w:pPr>
        <w:spacing w:line="360" w:lineRule="auto"/>
      </w:pPr>
    </w:p>
    <w:sectPr w:rsidR="00DA0A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EA4C" w14:textId="77777777" w:rsidR="00541678" w:rsidRDefault="00541678" w:rsidP="002B5000">
      <w:pPr>
        <w:spacing w:after="0" w:line="240" w:lineRule="auto"/>
      </w:pPr>
      <w:r>
        <w:separator/>
      </w:r>
    </w:p>
  </w:endnote>
  <w:endnote w:type="continuationSeparator" w:id="0">
    <w:p w14:paraId="0795D57F" w14:textId="77777777" w:rsidR="00541678" w:rsidRDefault="00541678" w:rsidP="002B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298997"/>
      <w:docPartObj>
        <w:docPartGallery w:val="Page Numbers (Bottom of Page)"/>
        <w:docPartUnique/>
      </w:docPartObj>
    </w:sdtPr>
    <w:sdtEndPr>
      <w:rPr>
        <w:rFonts w:ascii="Times New Roman" w:hAnsi="Times New Roman" w:cs="Times New Roman"/>
        <w:noProof/>
      </w:rPr>
    </w:sdtEndPr>
    <w:sdtContent>
      <w:p w14:paraId="4E33EF90" w14:textId="77777777" w:rsidR="00FC00AD" w:rsidRPr="00FC00AD" w:rsidRDefault="00FC00AD">
        <w:pPr>
          <w:pStyle w:val="Footer"/>
          <w:jc w:val="center"/>
          <w:rPr>
            <w:rFonts w:ascii="Times New Roman" w:hAnsi="Times New Roman" w:cs="Times New Roman"/>
          </w:rPr>
        </w:pPr>
        <w:r w:rsidRPr="00FC00AD">
          <w:rPr>
            <w:rFonts w:ascii="Times New Roman" w:hAnsi="Times New Roman" w:cs="Times New Roman"/>
          </w:rPr>
          <w:fldChar w:fldCharType="begin"/>
        </w:r>
        <w:r w:rsidRPr="00FC00AD">
          <w:rPr>
            <w:rFonts w:ascii="Times New Roman" w:hAnsi="Times New Roman" w:cs="Times New Roman"/>
          </w:rPr>
          <w:instrText xml:space="preserve"> PAGE   \* MERGEFORMAT </w:instrText>
        </w:r>
        <w:r w:rsidRPr="00FC00AD">
          <w:rPr>
            <w:rFonts w:ascii="Times New Roman" w:hAnsi="Times New Roman" w:cs="Times New Roman"/>
          </w:rPr>
          <w:fldChar w:fldCharType="separate"/>
        </w:r>
        <w:r w:rsidRPr="00FC00AD">
          <w:rPr>
            <w:rFonts w:ascii="Times New Roman" w:hAnsi="Times New Roman" w:cs="Times New Roman"/>
            <w:noProof/>
          </w:rPr>
          <w:t>2</w:t>
        </w:r>
        <w:r w:rsidRPr="00FC00AD">
          <w:rPr>
            <w:rFonts w:ascii="Times New Roman" w:hAnsi="Times New Roman" w:cs="Times New Roman"/>
            <w:noProof/>
          </w:rPr>
          <w:fldChar w:fldCharType="end"/>
        </w:r>
      </w:p>
    </w:sdtContent>
  </w:sdt>
  <w:p w14:paraId="397A42A7" w14:textId="77777777" w:rsidR="00FC00AD" w:rsidRDefault="00FC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2370" w14:textId="77777777" w:rsidR="00541678" w:rsidRDefault="00541678" w:rsidP="002B5000">
      <w:pPr>
        <w:spacing w:after="0" w:line="240" w:lineRule="auto"/>
      </w:pPr>
      <w:r>
        <w:separator/>
      </w:r>
    </w:p>
  </w:footnote>
  <w:footnote w:type="continuationSeparator" w:id="0">
    <w:p w14:paraId="591DD19F" w14:textId="77777777" w:rsidR="00541678" w:rsidRDefault="00541678" w:rsidP="002B5000">
      <w:pPr>
        <w:spacing w:after="0" w:line="240" w:lineRule="auto"/>
      </w:pPr>
      <w:r>
        <w:continuationSeparator/>
      </w:r>
    </w:p>
  </w:footnote>
  <w:footnote w:id="1">
    <w:p w14:paraId="41923D6B" w14:textId="77777777" w:rsidR="00FC00AD" w:rsidRPr="0090113B"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C. B. Macpherson, </w:t>
      </w:r>
      <w:r w:rsidRPr="0090113B">
        <w:rPr>
          <w:rFonts w:ascii="Times New Roman" w:hAnsi="Times New Roman" w:cs="Times New Roman"/>
          <w:i/>
          <w:iCs/>
        </w:rPr>
        <w:t xml:space="preserve">The Political Theory of Possessive Individualism: Hobbes to Locke </w:t>
      </w:r>
      <w:r w:rsidRPr="0090113B">
        <w:rPr>
          <w:rFonts w:ascii="Times New Roman" w:hAnsi="Times New Roman" w:cs="Times New Roman"/>
        </w:rPr>
        <w:t>(Oxford, 1962). Elsewhere, Max Weber, though unacknowledged, appears to provide much of the theoretical underpinning of the argument, as when Moore writes that the Protestant theology of Defoe’s era ‘aligned ethics with capitalism’ (109).</w:t>
      </w:r>
    </w:p>
  </w:footnote>
  <w:footnote w:id="2">
    <w:p w14:paraId="224B03EB" w14:textId="77777777" w:rsidR="00FC00AD" w:rsidRPr="0090113B"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w:t>
      </w:r>
      <w:bookmarkStart w:id="2" w:name="_Hlk25861507"/>
      <w:r w:rsidRPr="0090113B">
        <w:rPr>
          <w:rFonts w:ascii="Times New Roman" w:hAnsi="Times New Roman" w:cs="Times New Roman"/>
        </w:rPr>
        <w:t xml:space="preserve">John Dunn, </w:t>
      </w:r>
      <w:r w:rsidRPr="0090113B">
        <w:rPr>
          <w:rFonts w:ascii="Times New Roman" w:hAnsi="Times New Roman" w:cs="Times New Roman"/>
          <w:i/>
          <w:iCs/>
        </w:rPr>
        <w:t>The Political Thought of John Locke: An Historical Account of the Argument of the 'Two Treatises of Government'</w:t>
      </w:r>
      <w:r w:rsidRPr="0090113B">
        <w:rPr>
          <w:rFonts w:ascii="Times New Roman" w:hAnsi="Times New Roman" w:cs="Times New Roman"/>
        </w:rPr>
        <w:t xml:space="preserve"> (Cambridge, 1969).</w:t>
      </w:r>
      <w:bookmarkEnd w:id="2"/>
    </w:p>
  </w:footnote>
  <w:footnote w:id="3">
    <w:p w14:paraId="32E2243D" w14:textId="77777777" w:rsidR="00FC00AD" w:rsidRPr="0090113B"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w:t>
      </w:r>
      <w:bookmarkStart w:id="3" w:name="_Hlk25861438"/>
      <w:r w:rsidRPr="0090113B">
        <w:rPr>
          <w:rFonts w:ascii="Times New Roman" w:hAnsi="Times New Roman" w:cs="Times New Roman"/>
        </w:rPr>
        <w:t xml:space="preserve">Skinner, </w:t>
      </w:r>
      <w:r w:rsidRPr="0090113B">
        <w:rPr>
          <w:rFonts w:ascii="Times New Roman" w:hAnsi="Times New Roman" w:cs="Times New Roman"/>
          <w:i/>
          <w:iCs/>
        </w:rPr>
        <w:t xml:space="preserve">Liberty before Liberalism </w:t>
      </w:r>
      <w:r w:rsidRPr="0090113B">
        <w:rPr>
          <w:rFonts w:ascii="Times New Roman" w:hAnsi="Times New Roman" w:cs="Times New Roman"/>
        </w:rPr>
        <w:t xml:space="preserve">(Cambridge, 1998), </w:t>
      </w:r>
      <w:bookmarkEnd w:id="3"/>
      <w:r w:rsidRPr="0090113B">
        <w:rPr>
          <w:rFonts w:ascii="Times New Roman" w:hAnsi="Times New Roman" w:cs="Times New Roman"/>
        </w:rPr>
        <w:t>pp. 36-49.</w:t>
      </w:r>
    </w:p>
  </w:footnote>
  <w:footnote w:id="4">
    <w:p w14:paraId="28951825" w14:textId="77777777" w:rsidR="00FC00AD" w:rsidRPr="0090113B"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For an important </w:t>
      </w:r>
      <w:r>
        <w:rPr>
          <w:rFonts w:ascii="Times New Roman" w:hAnsi="Times New Roman" w:cs="Times New Roman"/>
        </w:rPr>
        <w:t>but critical review</w:t>
      </w:r>
      <w:r w:rsidRPr="0090113B">
        <w:rPr>
          <w:rFonts w:ascii="Times New Roman" w:hAnsi="Times New Roman" w:cs="Times New Roman"/>
        </w:rPr>
        <w:t xml:space="preserve">, see </w:t>
      </w:r>
      <w:bookmarkStart w:id="4" w:name="_Hlk25861475"/>
      <w:r w:rsidRPr="0090113B">
        <w:rPr>
          <w:rFonts w:ascii="Times New Roman" w:hAnsi="Times New Roman" w:cs="Times New Roman"/>
        </w:rPr>
        <w:t>James Tully</w:t>
      </w:r>
      <w:r>
        <w:rPr>
          <w:rFonts w:ascii="Times New Roman" w:hAnsi="Times New Roman" w:cs="Times New Roman"/>
        </w:rPr>
        <w:t xml:space="preserve">, </w:t>
      </w:r>
      <w:r>
        <w:rPr>
          <w:rFonts w:ascii="Times New Roman" w:hAnsi="Times New Roman" w:cs="Times New Roman"/>
          <w:i/>
          <w:iCs/>
        </w:rPr>
        <w:t xml:space="preserve">An Approach to Political Philosophy: Locke in Contexts </w:t>
      </w:r>
      <w:r>
        <w:rPr>
          <w:rFonts w:ascii="Times New Roman" w:hAnsi="Times New Roman" w:cs="Times New Roman"/>
        </w:rPr>
        <w:t xml:space="preserve">(Cambridge, 1993), </w:t>
      </w:r>
      <w:bookmarkEnd w:id="4"/>
      <w:r>
        <w:rPr>
          <w:rFonts w:ascii="Times New Roman" w:hAnsi="Times New Roman" w:cs="Times New Roman"/>
        </w:rPr>
        <w:t>pp. 71-95.</w:t>
      </w:r>
    </w:p>
  </w:footnote>
  <w:footnote w:id="5">
    <w:p w14:paraId="7ACC1110" w14:textId="77777777" w:rsidR="00FC00AD" w:rsidRPr="0090113B"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See, for instance, </w:t>
      </w:r>
      <w:bookmarkStart w:id="5" w:name="_Hlk25861286"/>
      <w:r w:rsidRPr="0090113B">
        <w:rPr>
          <w:rFonts w:ascii="Times New Roman" w:hAnsi="Times New Roman" w:cs="Times New Roman"/>
        </w:rPr>
        <w:t xml:space="preserve">Dan Edelstein’s recent </w:t>
      </w:r>
      <w:r w:rsidRPr="0090113B">
        <w:rPr>
          <w:rFonts w:ascii="Times New Roman" w:hAnsi="Times New Roman" w:cs="Times New Roman"/>
          <w:i/>
          <w:iCs/>
        </w:rPr>
        <w:t xml:space="preserve">On the Spirit of Rights </w:t>
      </w:r>
      <w:r w:rsidRPr="0090113B">
        <w:rPr>
          <w:rFonts w:ascii="Times New Roman" w:hAnsi="Times New Roman" w:cs="Times New Roman"/>
        </w:rPr>
        <w:t>(Chicago, IL, 2018).</w:t>
      </w:r>
    </w:p>
    <w:bookmarkEnd w:id="5"/>
  </w:footnote>
  <w:footnote w:id="6">
    <w:p w14:paraId="01B799EA" w14:textId="70EB1814" w:rsidR="00FC00AD" w:rsidRPr="0090113B"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w:t>
      </w:r>
      <w:bookmarkStart w:id="6" w:name="_Hlk25861251"/>
      <w:r w:rsidRPr="0090113B">
        <w:rPr>
          <w:rFonts w:ascii="Times New Roman" w:hAnsi="Times New Roman" w:cs="Times New Roman"/>
        </w:rPr>
        <w:t xml:space="preserve">Peter Clark, </w:t>
      </w:r>
      <w:r w:rsidRPr="0090113B">
        <w:rPr>
          <w:rFonts w:ascii="Times New Roman" w:hAnsi="Times New Roman" w:cs="Times New Roman"/>
          <w:i/>
          <w:iCs/>
        </w:rPr>
        <w:t xml:space="preserve">British Clubs and Societies, 1580-1800 </w:t>
      </w:r>
      <w:r w:rsidRPr="0090113B">
        <w:rPr>
          <w:rFonts w:ascii="Times New Roman" w:hAnsi="Times New Roman" w:cs="Times New Roman"/>
        </w:rPr>
        <w:t xml:space="preserve">(Oxford, 2000); </w:t>
      </w:r>
      <w:bookmarkStart w:id="7" w:name="_Hlk25861628"/>
      <w:bookmarkEnd w:id="6"/>
      <w:r w:rsidRPr="0090113B">
        <w:rPr>
          <w:rFonts w:ascii="Times New Roman" w:hAnsi="Times New Roman" w:cs="Times New Roman"/>
        </w:rPr>
        <w:t xml:space="preserve">Gertrude Himmelfarb, </w:t>
      </w:r>
      <w:r w:rsidRPr="0090113B">
        <w:rPr>
          <w:rFonts w:ascii="Times New Roman" w:hAnsi="Times New Roman" w:cs="Times New Roman"/>
          <w:i/>
          <w:iCs/>
        </w:rPr>
        <w:t xml:space="preserve">The Roads to Modernity: The British, French and American Enlightenment </w:t>
      </w:r>
      <w:r w:rsidRPr="0090113B">
        <w:rPr>
          <w:rFonts w:ascii="Times New Roman" w:hAnsi="Times New Roman" w:cs="Times New Roman"/>
        </w:rPr>
        <w:t>(</w:t>
      </w:r>
      <w:r w:rsidR="00F74493">
        <w:rPr>
          <w:rFonts w:ascii="Times New Roman" w:hAnsi="Times New Roman" w:cs="Times New Roman"/>
        </w:rPr>
        <w:t>London</w:t>
      </w:r>
      <w:r w:rsidRPr="0090113B">
        <w:rPr>
          <w:rFonts w:ascii="Times New Roman" w:hAnsi="Times New Roman" w:cs="Times New Roman"/>
        </w:rPr>
        <w:t>, 200</w:t>
      </w:r>
      <w:r w:rsidR="00F74493">
        <w:rPr>
          <w:rFonts w:ascii="Times New Roman" w:hAnsi="Times New Roman" w:cs="Times New Roman"/>
        </w:rPr>
        <w:t>8 [2004]</w:t>
      </w:r>
      <w:r w:rsidRPr="0090113B">
        <w:rPr>
          <w:rFonts w:ascii="Times New Roman" w:hAnsi="Times New Roman" w:cs="Times New Roman"/>
        </w:rPr>
        <w:t xml:space="preserve">), </w:t>
      </w:r>
      <w:bookmarkEnd w:id="7"/>
      <w:r w:rsidRPr="0090113B">
        <w:rPr>
          <w:rFonts w:ascii="Times New Roman" w:hAnsi="Times New Roman" w:cs="Times New Roman"/>
        </w:rPr>
        <w:t xml:space="preserve">pp. 131-46. Interestingly, the Labour prime minister Gordon Brown is a major admirer of the Himmelfarb, and has written the foreword to the British edition of her book (London, 2008). </w:t>
      </w:r>
    </w:p>
  </w:footnote>
  <w:footnote w:id="7">
    <w:p w14:paraId="7B98464C" w14:textId="77777777" w:rsidR="00FC00AD" w:rsidRPr="0090113B"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Elsewhere, Moore aligns himself with Slavoj Žižek’s critique of charity (79). </w:t>
      </w:r>
    </w:p>
  </w:footnote>
  <w:footnote w:id="8">
    <w:p w14:paraId="1BCDDCD5" w14:textId="77777777" w:rsidR="00FC00AD" w:rsidRPr="00E61A1F" w:rsidRDefault="00FC00AD" w:rsidP="00FC00AD">
      <w:pPr>
        <w:pStyle w:val="FootnoteText"/>
        <w:rPr>
          <w:rFonts w:ascii="Times New Roman" w:hAnsi="Times New Roman" w:cs="Times New Roman"/>
        </w:rPr>
      </w:pPr>
      <w:r w:rsidRPr="0090113B">
        <w:rPr>
          <w:rStyle w:val="FootnoteReference"/>
          <w:rFonts w:ascii="Times New Roman" w:hAnsi="Times New Roman" w:cs="Times New Roman"/>
        </w:rPr>
        <w:footnoteRef/>
      </w:r>
      <w:r w:rsidRPr="0090113B">
        <w:rPr>
          <w:rFonts w:ascii="Times New Roman" w:hAnsi="Times New Roman" w:cs="Times New Roman"/>
        </w:rPr>
        <w:t xml:space="preserve"> </w:t>
      </w:r>
      <w:r w:rsidR="00215FC9">
        <w:rPr>
          <w:rFonts w:ascii="Times New Roman" w:hAnsi="Times New Roman" w:cs="Times New Roman"/>
        </w:rPr>
        <w:t xml:space="preserve">See, e.g., </w:t>
      </w:r>
      <w:bookmarkStart w:id="8" w:name="_Hlk25861400"/>
      <w:r w:rsidRPr="0090113B">
        <w:rPr>
          <w:rFonts w:ascii="Times New Roman" w:hAnsi="Times New Roman" w:cs="Times New Roman"/>
        </w:rPr>
        <w:t xml:space="preserve">Gareth Stedman Jones, </w:t>
      </w:r>
      <w:r w:rsidRPr="0090113B">
        <w:rPr>
          <w:rFonts w:ascii="Times New Roman" w:hAnsi="Times New Roman" w:cs="Times New Roman"/>
          <w:i/>
          <w:iCs/>
        </w:rPr>
        <w:t xml:space="preserve">Languages of Class: Studies in English Working-Class History, 1832-1982 </w:t>
      </w:r>
      <w:r w:rsidRPr="0090113B">
        <w:rPr>
          <w:rFonts w:ascii="Times New Roman" w:hAnsi="Times New Roman" w:cs="Times New Roman"/>
        </w:rPr>
        <w:t xml:space="preserve">(Cambridge, 1983), </w:t>
      </w:r>
      <w:bookmarkEnd w:id="8"/>
      <w:r w:rsidRPr="0090113B">
        <w:rPr>
          <w:rFonts w:ascii="Times New Roman" w:hAnsi="Times New Roman" w:cs="Times New Roman"/>
        </w:rPr>
        <w:t>ch.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0"/>
    <w:rsid w:val="0006167E"/>
    <w:rsid w:val="001579C2"/>
    <w:rsid w:val="00193AD3"/>
    <w:rsid w:val="00215FC9"/>
    <w:rsid w:val="00224FA9"/>
    <w:rsid w:val="002B5000"/>
    <w:rsid w:val="004F3001"/>
    <w:rsid w:val="00541678"/>
    <w:rsid w:val="0054432D"/>
    <w:rsid w:val="005619AC"/>
    <w:rsid w:val="00572AE2"/>
    <w:rsid w:val="005F30B7"/>
    <w:rsid w:val="00637A57"/>
    <w:rsid w:val="006D3D69"/>
    <w:rsid w:val="007314AA"/>
    <w:rsid w:val="007B2C31"/>
    <w:rsid w:val="007E0D94"/>
    <w:rsid w:val="00906EBF"/>
    <w:rsid w:val="00971235"/>
    <w:rsid w:val="009D784E"/>
    <w:rsid w:val="00A27365"/>
    <w:rsid w:val="00A32EBF"/>
    <w:rsid w:val="00D43CA2"/>
    <w:rsid w:val="00DA0AE9"/>
    <w:rsid w:val="00F13D2A"/>
    <w:rsid w:val="00F74493"/>
    <w:rsid w:val="00FC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48CB"/>
  <w15:chartTrackingRefBased/>
  <w15:docId w15:val="{188FE6FF-4289-4E9E-9F2E-A96C068E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000"/>
    <w:rPr>
      <w:sz w:val="20"/>
      <w:szCs w:val="20"/>
    </w:rPr>
  </w:style>
  <w:style w:type="character" w:styleId="FootnoteReference">
    <w:name w:val="footnote reference"/>
    <w:basedOn w:val="DefaultParagraphFont"/>
    <w:uiPriority w:val="99"/>
    <w:semiHidden/>
    <w:unhideWhenUsed/>
    <w:rsid w:val="002B5000"/>
    <w:rPr>
      <w:vertAlign w:val="superscript"/>
    </w:rPr>
  </w:style>
  <w:style w:type="paragraph" w:styleId="Header">
    <w:name w:val="header"/>
    <w:basedOn w:val="Normal"/>
    <w:link w:val="HeaderChar"/>
    <w:uiPriority w:val="99"/>
    <w:unhideWhenUsed/>
    <w:rsid w:val="00FC0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AD"/>
  </w:style>
  <w:style w:type="paragraph" w:styleId="Footer">
    <w:name w:val="footer"/>
    <w:basedOn w:val="Normal"/>
    <w:link w:val="FooterChar"/>
    <w:uiPriority w:val="99"/>
    <w:unhideWhenUsed/>
    <w:rsid w:val="00FC0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0AD"/>
  </w:style>
  <w:style w:type="paragraph" w:styleId="BalloonText">
    <w:name w:val="Balloon Text"/>
    <w:basedOn w:val="Normal"/>
    <w:link w:val="BalloonTextChar"/>
    <w:uiPriority w:val="99"/>
    <w:semiHidden/>
    <w:unhideWhenUsed/>
    <w:rsid w:val="00DA0A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A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1719</Words>
  <Characters>9268</Characters>
  <Application>Microsoft Office Word</Application>
  <DocSecurity>0</DocSecurity>
  <Lines>125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6</cp:revision>
  <dcterms:created xsi:type="dcterms:W3CDTF">2019-11-21T18:22:00Z</dcterms:created>
  <dcterms:modified xsi:type="dcterms:W3CDTF">2019-12-11T16:37:00Z</dcterms:modified>
</cp:coreProperties>
</file>