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CF978" w14:textId="77777777" w:rsidR="006B5BB3" w:rsidRDefault="006B5BB3" w:rsidP="00F31681">
      <w:pPr>
        <w:spacing w:line="360" w:lineRule="auto"/>
        <w:rPr>
          <w:b/>
        </w:rPr>
      </w:pPr>
      <w:r w:rsidRPr="006B5BB3">
        <w:rPr>
          <w:b/>
        </w:rPr>
        <w:t xml:space="preserve">Craig Smith, </w:t>
      </w:r>
      <w:r w:rsidRPr="006B5BB3">
        <w:rPr>
          <w:b/>
          <w:i/>
        </w:rPr>
        <w:t>Adam Ferguson and the Idea of Civil Society: Moral Scienc</w:t>
      </w:r>
      <w:r w:rsidR="00443ECA">
        <w:rPr>
          <w:b/>
          <w:i/>
        </w:rPr>
        <w:t>e in the Scottish Enlightenment,</w:t>
      </w:r>
      <w:r w:rsidRPr="006B5BB3">
        <w:rPr>
          <w:b/>
          <w:i/>
        </w:rPr>
        <w:t xml:space="preserve"> </w:t>
      </w:r>
      <w:r w:rsidRPr="006B5BB3">
        <w:rPr>
          <w:b/>
        </w:rPr>
        <w:t>Edinbu</w:t>
      </w:r>
      <w:r w:rsidR="00443ECA">
        <w:rPr>
          <w:b/>
        </w:rPr>
        <w:t>rgh, Edinburgh University Press, 2019, 264 pp., £75</w:t>
      </w:r>
      <w:r w:rsidR="00CD53F1">
        <w:rPr>
          <w:b/>
        </w:rPr>
        <w:t xml:space="preserve"> (Hardback)</w:t>
      </w:r>
      <w:r w:rsidR="00443ECA">
        <w:rPr>
          <w:b/>
        </w:rPr>
        <w:t xml:space="preserve">, ISBN </w:t>
      </w:r>
      <w:r w:rsidR="00443ECA" w:rsidRPr="00443ECA">
        <w:rPr>
          <w:b/>
        </w:rPr>
        <w:t>9781474413275</w:t>
      </w:r>
      <w:r w:rsidR="00443ECA">
        <w:rPr>
          <w:b/>
        </w:rPr>
        <w:t>.</w:t>
      </w:r>
    </w:p>
    <w:p w14:paraId="7C1B208B" w14:textId="77777777" w:rsidR="006B5BB3" w:rsidRDefault="006B5BB3" w:rsidP="00F31681">
      <w:pPr>
        <w:spacing w:line="360" w:lineRule="auto"/>
        <w:rPr>
          <w:b/>
        </w:rPr>
      </w:pPr>
    </w:p>
    <w:p w14:paraId="37BC7E4A" w14:textId="77777777" w:rsidR="006B5BB3" w:rsidRDefault="002D59A2" w:rsidP="00F31681">
      <w:pPr>
        <w:spacing w:line="360" w:lineRule="auto"/>
      </w:pPr>
      <w:r>
        <w:t>Max Skjönsberg – University of St Andrews</w:t>
      </w:r>
    </w:p>
    <w:p w14:paraId="5545B838" w14:textId="77777777" w:rsidR="002D59A2" w:rsidRPr="006B5BB3" w:rsidRDefault="002D59A2" w:rsidP="00F31681">
      <w:pPr>
        <w:spacing w:line="360" w:lineRule="auto"/>
      </w:pPr>
      <w:r>
        <w:t>mss5@st-andrews.ac.uk</w:t>
      </w:r>
    </w:p>
    <w:p w14:paraId="6EB9264A" w14:textId="77777777" w:rsidR="00C43F8C" w:rsidRDefault="00C43F8C" w:rsidP="00F31681">
      <w:pPr>
        <w:spacing w:line="360" w:lineRule="auto"/>
      </w:pPr>
    </w:p>
    <w:p w14:paraId="4FFEDEF1" w14:textId="77777777" w:rsidR="00B06B09" w:rsidRDefault="00C43F8C" w:rsidP="00F31681">
      <w:pPr>
        <w:spacing w:line="360" w:lineRule="auto"/>
      </w:pPr>
      <w:r>
        <w:t>M</w:t>
      </w:r>
      <w:r w:rsidR="00AD5312">
        <w:t xml:space="preserve">odern interpreters </w:t>
      </w:r>
      <w:r>
        <w:t xml:space="preserve">of Adam Ferguson </w:t>
      </w:r>
      <w:r w:rsidR="00AD5312">
        <w:t>have routinely commented on the apparent contradictions</w:t>
      </w:r>
      <w:r>
        <w:t>,</w:t>
      </w:r>
      <w:r w:rsidR="00C2398C">
        <w:t xml:space="preserve"> or</w:t>
      </w:r>
      <w:r w:rsidR="00681193">
        <w:t xml:space="preserve"> at least</w:t>
      </w:r>
      <w:r w:rsidR="00C2398C">
        <w:t xml:space="preserve"> the </w:t>
      </w:r>
      <w:r w:rsidR="00145C33">
        <w:t xml:space="preserve">mixture of motley and </w:t>
      </w:r>
      <w:r w:rsidR="00D8163F">
        <w:t xml:space="preserve">unstable </w:t>
      </w:r>
      <w:r w:rsidR="00AD5312">
        <w:t>elements</w:t>
      </w:r>
      <w:r>
        <w:t xml:space="preserve">, </w:t>
      </w:r>
      <w:r w:rsidR="00AD5312">
        <w:t xml:space="preserve">which supposedly </w:t>
      </w:r>
      <w:r w:rsidR="00F31681">
        <w:t>characterise</w:t>
      </w:r>
      <w:r w:rsidR="00AD5312">
        <w:t xml:space="preserve"> his thought. </w:t>
      </w:r>
      <w:r w:rsidR="00A01CF6">
        <w:t>H</w:t>
      </w:r>
      <w:r w:rsidR="00AD5312">
        <w:t xml:space="preserve">e has commonly been read as less systematic and, by extension, a lesser thinker than his friends and </w:t>
      </w:r>
      <w:r w:rsidR="00C2398C">
        <w:t xml:space="preserve">Scottish </w:t>
      </w:r>
      <w:r w:rsidR="00AD5312">
        <w:t>compatriots David Hume a</w:t>
      </w:r>
      <w:r w:rsidR="00B06B09">
        <w:t xml:space="preserve">nd Adam Smith. </w:t>
      </w:r>
      <w:r w:rsidR="00AD5312">
        <w:t xml:space="preserve">In a similar spirit </w:t>
      </w:r>
      <w:r w:rsidR="00C2398C">
        <w:t>to</w:t>
      </w:r>
      <w:r w:rsidR="00AD5312">
        <w:t xml:space="preserve"> Iain McDaniel’</w:t>
      </w:r>
      <w:r w:rsidR="002B199D">
        <w:t xml:space="preserve">s </w:t>
      </w:r>
      <w:r w:rsidR="002B199D">
        <w:rPr>
          <w:i/>
        </w:rPr>
        <w:t xml:space="preserve">Adam Ferguson in the Scottish Enlightenment </w:t>
      </w:r>
      <w:r w:rsidR="002B199D">
        <w:t>(2013)</w:t>
      </w:r>
      <w:r w:rsidR="00E6745D">
        <w:t xml:space="preserve">, Craig Smith </w:t>
      </w:r>
      <w:r w:rsidR="00842D47">
        <w:t xml:space="preserve">seeks </w:t>
      </w:r>
      <w:r w:rsidR="00AD5312">
        <w:t>to demonstrate that Ferguson was indeed a</w:t>
      </w:r>
      <w:r w:rsidR="00673FCC">
        <w:t xml:space="preserve"> </w:t>
      </w:r>
      <w:proofErr w:type="gramStart"/>
      <w:r w:rsidR="00673FCC">
        <w:t>fairly</w:t>
      </w:r>
      <w:r w:rsidR="00AD5312">
        <w:t xml:space="preserve"> systematic</w:t>
      </w:r>
      <w:proofErr w:type="gramEnd"/>
      <w:r w:rsidR="00AD5312">
        <w:t xml:space="preserve"> thinker. </w:t>
      </w:r>
      <w:r w:rsidR="00E6745D">
        <w:t>However, i</w:t>
      </w:r>
      <w:r w:rsidR="0091353D">
        <w:t>n contrast with</w:t>
      </w:r>
      <w:r w:rsidR="00AD5312">
        <w:t xml:space="preserve"> McDaniel’s book, which main</w:t>
      </w:r>
      <w:r w:rsidR="00842D47">
        <w:t>ly focuses</w:t>
      </w:r>
      <w:r w:rsidR="00AD5312">
        <w:t xml:space="preserve"> on Ferguson’s political concerns</w:t>
      </w:r>
      <w:r w:rsidR="00ED2FA0">
        <w:t xml:space="preserve"> and their intellectual contexts</w:t>
      </w:r>
      <w:r w:rsidR="00841927">
        <w:t xml:space="preserve"> (</w:t>
      </w:r>
      <w:r w:rsidR="001B3AA2">
        <w:t>crucially</w:t>
      </w:r>
      <w:r w:rsidR="00841927">
        <w:t>, the spectre of Caesarism)</w:t>
      </w:r>
      <w:r w:rsidR="00AD5312">
        <w:t xml:space="preserve">, Smith </w:t>
      </w:r>
      <w:r w:rsidR="007278F1">
        <w:t>concentrates</w:t>
      </w:r>
      <w:r w:rsidR="00AD5312">
        <w:t xml:space="preserve"> to a greater extent on Ferguson’s moral philosophy, and in this </w:t>
      </w:r>
      <w:proofErr w:type="gramStart"/>
      <w:r w:rsidR="00AD5312">
        <w:t>regard</w:t>
      </w:r>
      <w:proofErr w:type="gramEnd"/>
      <w:r w:rsidR="00AD5312">
        <w:t xml:space="preserve"> </w:t>
      </w:r>
      <w:r w:rsidR="00F31681">
        <w:t>he builds</w:t>
      </w:r>
      <w:r w:rsidR="00AD5312">
        <w:t xml:space="preserve"> on earlier monographs by David Kettler (</w:t>
      </w:r>
      <w:r w:rsidR="00F61245">
        <w:t>1965</w:t>
      </w:r>
      <w:r w:rsidR="00AD5312">
        <w:t xml:space="preserve">) and Jack Hill (2017). At the heart of </w:t>
      </w:r>
      <w:r w:rsidR="00203DE5">
        <w:t xml:space="preserve">the book </w:t>
      </w:r>
      <w:r w:rsidR="00AD5312">
        <w:t xml:space="preserve">is </w:t>
      </w:r>
      <w:r w:rsidR="00203DE5">
        <w:t xml:space="preserve">the argument </w:t>
      </w:r>
      <w:r w:rsidR="00AD5312">
        <w:t>that philosophy in eighteenth-century Scotland had a different and broader meaning than today.</w:t>
      </w:r>
      <w:r w:rsidR="00FB369D">
        <w:t xml:space="preserve"> Consequently, </w:t>
      </w:r>
      <w:r w:rsidR="00842D47">
        <w:t>Ferguson’s approach to philosophy</w:t>
      </w:r>
      <w:r w:rsidR="00E36A2D">
        <w:t xml:space="preserve"> – l</w:t>
      </w:r>
      <w:r w:rsidR="00F14DCD">
        <w:t xml:space="preserve">ike </w:t>
      </w:r>
      <w:r w:rsidR="00F0451F">
        <w:t xml:space="preserve">that of </w:t>
      </w:r>
      <w:r w:rsidR="00F14DCD">
        <w:t>Hume</w:t>
      </w:r>
      <w:r w:rsidR="00F0451F">
        <w:t xml:space="preserve"> and Adam </w:t>
      </w:r>
      <w:r w:rsidR="00F14DCD">
        <w:t>Smith the author argues</w:t>
      </w:r>
      <w:r w:rsidR="00E36A2D">
        <w:t xml:space="preserve"> – </w:t>
      </w:r>
      <w:r w:rsidR="00F14DCD">
        <w:t xml:space="preserve">was eclectic in order to better reflect the messy reality of moral experience, and its </w:t>
      </w:r>
      <w:r w:rsidR="00CC10EC">
        <w:t>complexity</w:t>
      </w:r>
      <w:r w:rsidR="00F14DCD">
        <w:t xml:space="preserve"> should thus not </w:t>
      </w:r>
      <w:proofErr w:type="gramStart"/>
      <w:r w:rsidR="00F14DCD">
        <w:t>be seen as</w:t>
      </w:r>
      <w:proofErr w:type="gramEnd"/>
      <w:r w:rsidR="00F14DCD">
        <w:t xml:space="preserve"> a weakness. </w:t>
      </w:r>
      <w:r w:rsidR="0076352F">
        <w:t>Moreover, d</w:t>
      </w:r>
      <w:r w:rsidR="001A7E60">
        <w:t xml:space="preserve">espite key differences, </w:t>
      </w:r>
      <w:r w:rsidR="00C2398C">
        <w:t>all</w:t>
      </w:r>
      <w:r w:rsidR="002B199D">
        <w:t xml:space="preserve"> three were</w:t>
      </w:r>
      <w:r w:rsidR="00C2398C">
        <w:t xml:space="preserve"> fu</w:t>
      </w:r>
      <w:r w:rsidR="00FF3873">
        <w:t>ndamental</w:t>
      </w:r>
      <w:r w:rsidR="002B199D">
        <w:t>ly committed</w:t>
      </w:r>
      <w:r w:rsidR="00FF3873">
        <w:t xml:space="preserve"> to empiricism (based on generalisation from historical experience as well as introspection)</w:t>
      </w:r>
      <w:r w:rsidR="00A83C96">
        <w:t xml:space="preserve">. </w:t>
      </w:r>
      <w:r w:rsidR="00C2398C">
        <w:t>Ferguson – again, like</w:t>
      </w:r>
      <w:r w:rsidR="00B14090">
        <w:t xml:space="preserve"> </w:t>
      </w:r>
      <w:r w:rsidR="00F0451F">
        <w:t>many</w:t>
      </w:r>
      <w:r w:rsidR="00B14090">
        <w:t xml:space="preserve"> of his fellow Scots </w:t>
      </w:r>
      <w:r w:rsidR="00C2398C">
        <w:t xml:space="preserve">– believed that philosophy had to be ‘practical, accessible, and above all a useful activity’ (47), separating </w:t>
      </w:r>
      <w:r w:rsidR="00EC62FA">
        <w:t>him from much of mode</w:t>
      </w:r>
      <w:r w:rsidR="006F386A">
        <w:t xml:space="preserve">rn philosophy with the partial exception of </w:t>
      </w:r>
      <w:r w:rsidR="002B199D">
        <w:t>some applied philosophy</w:t>
      </w:r>
      <w:r w:rsidR="004901AF">
        <w:t>.</w:t>
      </w:r>
    </w:p>
    <w:p w14:paraId="7FBB9957" w14:textId="77777777" w:rsidR="00B06B09" w:rsidRDefault="00DE6A31" w:rsidP="00FC3610">
      <w:pPr>
        <w:spacing w:line="360" w:lineRule="auto"/>
        <w:ind w:firstLine="720"/>
      </w:pPr>
      <w:r>
        <w:t xml:space="preserve">Smith </w:t>
      </w:r>
      <w:r w:rsidR="00AD111C">
        <w:t xml:space="preserve">rightly </w:t>
      </w:r>
      <w:r>
        <w:t>argues that Ferguson’s legacy has been distorted as a result of the stress placed on republicanism and civic humanism in intellectual history in the last fifty years.</w:t>
      </w:r>
      <w:r w:rsidR="00B06B09">
        <w:t xml:space="preserve"> </w:t>
      </w:r>
      <w:r>
        <w:t xml:space="preserve">J. G. A. Pocock, one of the key </w:t>
      </w:r>
      <w:r w:rsidR="00F375F7">
        <w:t>contributors to</w:t>
      </w:r>
      <w:r>
        <w:t xml:space="preserve"> this republican </w:t>
      </w:r>
      <w:r w:rsidR="00F375F7">
        <w:t>narrative</w:t>
      </w:r>
      <w:r>
        <w:t>,</w:t>
      </w:r>
      <w:r w:rsidR="00B06B09">
        <w:t xml:space="preserve"> once referred to </w:t>
      </w:r>
      <w:r>
        <w:t>Ferguson</w:t>
      </w:r>
      <w:r w:rsidR="00B06B09">
        <w:t xml:space="preserve"> as the most ‘Machiavellian’ </w:t>
      </w:r>
      <w:r w:rsidR="00FB369D">
        <w:t>of</w:t>
      </w:r>
      <w:r w:rsidR="00B06B09">
        <w:t xml:space="preserve"> the eighteenth-century Scots.</w:t>
      </w:r>
      <w:r w:rsidR="0032574C">
        <w:rPr>
          <w:rStyle w:val="FootnoteReference"/>
        </w:rPr>
        <w:footnoteReference w:id="1"/>
      </w:r>
      <w:r w:rsidR="00B06B09">
        <w:t xml:space="preserve"> Part of the explanation behind modern misconceptions of Ferguson, Smith </w:t>
      </w:r>
      <w:r w:rsidR="0070006E">
        <w:t>asserts</w:t>
      </w:r>
      <w:r w:rsidR="00B06B09">
        <w:t xml:space="preserve"> (3), is the dominance of his most famous book: </w:t>
      </w:r>
      <w:r w:rsidR="00B06B09">
        <w:rPr>
          <w:i/>
        </w:rPr>
        <w:t xml:space="preserve">An Essay on the History of Civil Society </w:t>
      </w:r>
      <w:r w:rsidR="00AA76AA">
        <w:t>(1767)</w:t>
      </w:r>
      <w:r w:rsidR="001B29A2">
        <w:t>; this makes</w:t>
      </w:r>
      <w:r w:rsidR="00BE636A">
        <w:t xml:space="preserve"> the title </w:t>
      </w:r>
      <w:r w:rsidR="00BE636A">
        <w:lastRenderedPageBreak/>
        <w:t xml:space="preserve">of Smith’s book </w:t>
      </w:r>
      <w:r w:rsidR="00B54504">
        <w:t xml:space="preserve">seem </w:t>
      </w:r>
      <w:r w:rsidR="00BE636A">
        <w:t>somewhat odd</w:t>
      </w:r>
      <w:r w:rsidR="00B54504">
        <w:t>,</w:t>
      </w:r>
      <w:r w:rsidR="00BE636A">
        <w:t xml:space="preserve"> even if he </w:t>
      </w:r>
      <w:r w:rsidR="00B54504">
        <w:t xml:space="preserve">does </w:t>
      </w:r>
      <w:r w:rsidR="00BE636A">
        <w:t>address ‘civil society’ at length in chapter five.</w:t>
      </w:r>
      <w:r w:rsidR="007E6B0F">
        <w:t xml:space="preserve"> </w:t>
      </w:r>
      <w:r w:rsidR="0086453D">
        <w:t>The</w:t>
      </w:r>
      <w:r w:rsidR="007E6B0F">
        <w:t xml:space="preserve"> </w:t>
      </w:r>
      <w:r w:rsidR="007E6B0F">
        <w:rPr>
          <w:i/>
        </w:rPr>
        <w:t>Essay</w:t>
      </w:r>
      <w:r w:rsidR="00B06B09">
        <w:t xml:space="preserve"> enjoyed both fame and a degree of notoriety</w:t>
      </w:r>
      <w:r w:rsidR="0086453D">
        <w:t xml:space="preserve">; none </w:t>
      </w:r>
      <w:r w:rsidR="00B06B09">
        <w:t xml:space="preserve">of his other works </w:t>
      </w:r>
      <w:r w:rsidR="00173C14">
        <w:t>were</w:t>
      </w:r>
      <w:r w:rsidR="00B06B09">
        <w:t xml:space="preserve"> as successful. </w:t>
      </w:r>
      <w:r w:rsidR="00CD53F1">
        <w:t xml:space="preserve">However, </w:t>
      </w:r>
      <w:r w:rsidR="00B06B09">
        <w:t xml:space="preserve">Ferguson himself referred to the </w:t>
      </w:r>
      <w:r w:rsidR="00B06B09">
        <w:rPr>
          <w:i/>
        </w:rPr>
        <w:t xml:space="preserve">Essay </w:t>
      </w:r>
      <w:r w:rsidR="00B06B09">
        <w:t>as ‘</w:t>
      </w:r>
      <w:r w:rsidR="004E5183" w:rsidRPr="004E5183">
        <w:t>introductory &amp; Stimulating</w:t>
      </w:r>
      <w:r w:rsidR="00475F51">
        <w:t>’</w:t>
      </w:r>
      <w:r w:rsidR="004E5183">
        <w:rPr>
          <w:rStyle w:val="FootnoteReference"/>
        </w:rPr>
        <w:footnoteReference w:id="2"/>
      </w:r>
      <w:r w:rsidR="00CE5B9B">
        <w:t xml:space="preserve"> – it was after all an </w:t>
      </w:r>
      <w:r w:rsidR="005E7E2B">
        <w:rPr>
          <w:i/>
        </w:rPr>
        <w:t>essay</w:t>
      </w:r>
      <w:r w:rsidR="00AD7D07">
        <w:t>. L</w:t>
      </w:r>
      <w:r w:rsidR="005E7E2B">
        <w:t xml:space="preserve">ater in life </w:t>
      </w:r>
      <w:r w:rsidR="009F2DB5">
        <w:t xml:space="preserve">he </w:t>
      </w:r>
      <w:r w:rsidR="005E7E2B">
        <w:t xml:space="preserve">wrote </w:t>
      </w:r>
      <w:r w:rsidR="00213B05">
        <w:t xml:space="preserve">more </w:t>
      </w:r>
      <w:r w:rsidR="005E7E2B">
        <w:t xml:space="preserve">extensive </w:t>
      </w:r>
      <w:r w:rsidR="00B06B09">
        <w:t xml:space="preserve">works, including his three-volume history of the Roman Republic </w:t>
      </w:r>
      <w:r w:rsidR="003C796E">
        <w:t xml:space="preserve">(1783) </w:t>
      </w:r>
      <w:r w:rsidR="00B06B09">
        <w:t xml:space="preserve">and his </w:t>
      </w:r>
      <w:r w:rsidR="000D2284">
        <w:t>mature</w:t>
      </w:r>
      <w:r w:rsidR="00082ACC">
        <w:t xml:space="preserve"> </w:t>
      </w:r>
      <w:r w:rsidR="00B06B09">
        <w:t xml:space="preserve">lecture notes published as the </w:t>
      </w:r>
      <w:r w:rsidR="00B06B09">
        <w:rPr>
          <w:i/>
        </w:rPr>
        <w:t xml:space="preserve">Principles of Moral and Political </w:t>
      </w:r>
      <w:r w:rsidR="00432C36">
        <w:rPr>
          <w:i/>
        </w:rPr>
        <w:t xml:space="preserve">Science </w:t>
      </w:r>
      <w:r w:rsidR="00B06B09">
        <w:t xml:space="preserve">in two volumes in 1792, after Ferguson had retired from his professorship in </w:t>
      </w:r>
      <w:r w:rsidR="004526E3">
        <w:t xml:space="preserve">pneumatics and </w:t>
      </w:r>
      <w:r w:rsidR="00B06B09">
        <w:t xml:space="preserve">moral philosophy at Edinburgh University. The latter work </w:t>
      </w:r>
      <w:proofErr w:type="gramStart"/>
      <w:r w:rsidR="00B06B09">
        <w:t>in particular plays</w:t>
      </w:r>
      <w:proofErr w:type="gramEnd"/>
      <w:r w:rsidR="00B06B09">
        <w:t xml:space="preserve"> a </w:t>
      </w:r>
      <w:r w:rsidR="005B129B">
        <w:t>seminal</w:t>
      </w:r>
      <w:r w:rsidR="00B06B09">
        <w:t xml:space="preserve"> role in Smith’</w:t>
      </w:r>
      <w:r w:rsidR="00B174E7">
        <w:t xml:space="preserve">s </w:t>
      </w:r>
      <w:r w:rsidR="00AD7D07">
        <w:t>interpretation</w:t>
      </w:r>
      <w:r w:rsidR="00432C36">
        <w:t xml:space="preserve">, </w:t>
      </w:r>
      <w:r w:rsidR="00F37E2E">
        <w:t>which</w:t>
      </w:r>
      <w:r w:rsidR="00432C36">
        <w:t xml:space="preserve"> offers a holistic </w:t>
      </w:r>
      <w:r w:rsidR="00B174E7">
        <w:t>treatment of Fe</w:t>
      </w:r>
      <w:r w:rsidR="00FC3610">
        <w:t xml:space="preserve">rguson’s entire writing career – </w:t>
      </w:r>
      <w:r w:rsidR="00B174E7">
        <w:t>from his first pamphlets</w:t>
      </w:r>
      <w:r w:rsidR="00432C36">
        <w:t xml:space="preserve"> </w:t>
      </w:r>
      <w:r w:rsidR="00FC3610">
        <w:t xml:space="preserve">to his last unpublished essays – </w:t>
      </w:r>
      <w:r w:rsidR="00432C36">
        <w:t xml:space="preserve">presented thematically rather than </w:t>
      </w:r>
      <w:r w:rsidR="00B14CD5">
        <w:t>chronologically</w:t>
      </w:r>
      <w:r w:rsidR="00432C36">
        <w:t>.</w:t>
      </w:r>
      <w:r w:rsidR="009565E7">
        <w:rPr>
          <w:rStyle w:val="FootnoteReference"/>
        </w:rPr>
        <w:footnoteReference w:id="3"/>
      </w:r>
    </w:p>
    <w:p w14:paraId="5AF69DFB" w14:textId="77777777" w:rsidR="002646E1" w:rsidRDefault="00DE6A31" w:rsidP="004771AE">
      <w:pPr>
        <w:spacing w:line="360" w:lineRule="auto"/>
        <w:ind w:firstLine="720"/>
      </w:pPr>
      <w:r>
        <w:t xml:space="preserve">One of the potential weaknesses of Smith’s </w:t>
      </w:r>
      <w:r w:rsidR="002A3C96">
        <w:t>impressive</w:t>
      </w:r>
      <w:r>
        <w:t xml:space="preserve"> and lucid book </w:t>
      </w:r>
      <w:r w:rsidR="00821929">
        <w:t>is</w:t>
      </w:r>
      <w:r>
        <w:t xml:space="preserve"> his preoccupation with consistency</w:t>
      </w:r>
      <w:r w:rsidR="004771AE">
        <w:t xml:space="preserve">, which – </w:t>
      </w:r>
      <w:r w:rsidR="00954B57">
        <w:t>a</w:t>
      </w:r>
      <w:r>
        <w:t>s Quentin Skinner point</w:t>
      </w:r>
      <w:r w:rsidR="004771AE">
        <w:t>s</w:t>
      </w:r>
      <w:r>
        <w:t xml:space="preserve"> out in his classic </w:t>
      </w:r>
      <w:r w:rsidR="00821929">
        <w:t>methodological statement</w:t>
      </w:r>
      <w:r w:rsidR="004771AE">
        <w:t xml:space="preserve"> – </w:t>
      </w:r>
      <w:r w:rsidR="00CF3A07">
        <w:t>can</w:t>
      </w:r>
      <w:r>
        <w:t xml:space="preserve"> easily </w:t>
      </w:r>
      <w:r w:rsidR="00EE732F">
        <w:t>lead to</w:t>
      </w:r>
      <w:r>
        <w:t xml:space="preserve"> the </w:t>
      </w:r>
      <w:r w:rsidR="00D5656D">
        <w:t>‘</w:t>
      </w:r>
      <w:r>
        <w:t>mythology of doctrine</w:t>
      </w:r>
      <w:r w:rsidR="00D5656D">
        <w:t>’</w:t>
      </w:r>
      <w:r>
        <w:t>.</w:t>
      </w:r>
      <w:r w:rsidR="00821929">
        <w:rPr>
          <w:rStyle w:val="FootnoteReference"/>
        </w:rPr>
        <w:footnoteReference w:id="4"/>
      </w:r>
      <w:r>
        <w:t xml:space="preserve"> Authors who write works in different genres spanning over several decades and perhaps aimed at various audiences rarely have one single intention or </w:t>
      </w:r>
      <w:r w:rsidR="00821929">
        <w:t>plan</w:t>
      </w:r>
      <w:r>
        <w:t xml:space="preserve"> </w:t>
      </w:r>
      <w:r w:rsidR="008242AF">
        <w:t xml:space="preserve">that can tie </w:t>
      </w:r>
      <w:r w:rsidR="00821929">
        <w:t>it all together</w:t>
      </w:r>
      <w:r w:rsidR="008242AF">
        <w:t xml:space="preserve">. As </w:t>
      </w:r>
      <w:r w:rsidR="00821929">
        <w:t xml:space="preserve">James </w:t>
      </w:r>
      <w:r w:rsidR="008242AF">
        <w:t>Harris argue</w:t>
      </w:r>
      <w:r w:rsidR="008A0C23">
        <w:t>s</w:t>
      </w:r>
      <w:r w:rsidR="008242AF">
        <w:t xml:space="preserve"> in his magisterial biography of Hume</w:t>
      </w:r>
      <w:r w:rsidR="00D5656D">
        <w:t xml:space="preserve"> (2015)</w:t>
      </w:r>
      <w:r w:rsidR="008242AF">
        <w:t xml:space="preserve">, </w:t>
      </w:r>
      <w:r w:rsidR="009C198C">
        <w:t xml:space="preserve">a </w:t>
      </w:r>
      <w:r w:rsidR="00821929">
        <w:t xml:space="preserve">misguided </w:t>
      </w:r>
      <w:r w:rsidR="009C198C">
        <w:t xml:space="preserve">pursuit of consistency </w:t>
      </w:r>
      <w:r w:rsidR="008A0C23">
        <w:t>has</w:t>
      </w:r>
      <w:r w:rsidR="008242AF">
        <w:t xml:space="preserve"> led many of Hume’s </w:t>
      </w:r>
      <w:r w:rsidR="009C198C">
        <w:t xml:space="preserve">(modern) </w:t>
      </w:r>
      <w:r w:rsidR="008242AF">
        <w:t xml:space="preserve">readers </w:t>
      </w:r>
      <w:r w:rsidR="00A6272C">
        <w:t xml:space="preserve">to view </w:t>
      </w:r>
      <w:r w:rsidR="008242AF">
        <w:t>his entire writing ca</w:t>
      </w:r>
      <w:r w:rsidR="00821929">
        <w:t>reer from the prism of his</w:t>
      </w:r>
      <w:r w:rsidR="008242AF">
        <w:t xml:space="preserve"> </w:t>
      </w:r>
      <w:r w:rsidR="00092CE6">
        <w:rPr>
          <w:i/>
        </w:rPr>
        <w:t xml:space="preserve">Treatise of Human Nature. </w:t>
      </w:r>
      <w:r w:rsidR="00757B71">
        <w:t xml:space="preserve">On the question of consistency, </w:t>
      </w:r>
      <w:r w:rsidR="00BC4B98">
        <w:t>Smith makes the point that Ferguson</w:t>
      </w:r>
      <w:r w:rsidR="00092CE6">
        <w:t xml:space="preserve">, while criticising </w:t>
      </w:r>
      <w:r w:rsidR="002646E1">
        <w:t xml:space="preserve">the likes of </w:t>
      </w:r>
      <w:r w:rsidR="00092CE6">
        <w:t xml:space="preserve">Richard Price and </w:t>
      </w:r>
      <w:r w:rsidR="002646E1">
        <w:t xml:space="preserve">Bernard </w:t>
      </w:r>
      <w:r w:rsidR="00092CE6">
        <w:t xml:space="preserve">Mandeville for using vocabulary loosely, was himself not entirely </w:t>
      </w:r>
      <w:r w:rsidR="003B2730">
        <w:t>regular</w:t>
      </w:r>
      <w:r w:rsidR="00092CE6">
        <w:t xml:space="preserve"> in his </w:t>
      </w:r>
      <w:r w:rsidR="002854C9">
        <w:t>usage</w:t>
      </w:r>
      <w:r w:rsidR="00092CE6">
        <w:t xml:space="preserve"> of language, at least not in different books (41-44).</w:t>
      </w:r>
      <w:r w:rsidR="00BC4B98">
        <w:t xml:space="preserve"> </w:t>
      </w:r>
      <w:r w:rsidR="00D6374F">
        <w:t>To be sure, l</w:t>
      </w:r>
      <w:r w:rsidR="00BC4B98">
        <w:t xml:space="preserve">oose terminology was indeed characteristic of </w:t>
      </w:r>
      <w:r w:rsidR="00D84344">
        <w:t>much</w:t>
      </w:r>
      <w:r w:rsidR="00BC4B98">
        <w:t xml:space="preserve"> of </w:t>
      </w:r>
      <w:r w:rsidR="00D84344">
        <w:t>eighteen</w:t>
      </w:r>
      <w:r w:rsidR="00D02B14">
        <w:t>th</w:t>
      </w:r>
      <w:r w:rsidR="00D84344">
        <w:t>-</w:t>
      </w:r>
      <w:r w:rsidR="00BC4B98">
        <w:t>century</w:t>
      </w:r>
      <w:r w:rsidR="00FD182E">
        <w:t xml:space="preserve"> philosophy</w:t>
      </w:r>
      <w:r w:rsidR="00D84344">
        <w:t>, which was in general</w:t>
      </w:r>
      <w:r w:rsidR="00BC4B98">
        <w:t xml:space="preserve"> more liter</w:t>
      </w:r>
      <w:r w:rsidR="00D84344">
        <w:t>ary in comparison with</w:t>
      </w:r>
      <w:r w:rsidR="00F13EE5">
        <w:t>, for example,</w:t>
      </w:r>
      <w:r w:rsidR="00D84344">
        <w:t xml:space="preserve"> </w:t>
      </w:r>
      <w:r w:rsidR="00BC4B98">
        <w:t>Thomas Hob</w:t>
      </w:r>
      <w:r w:rsidR="00D84344">
        <w:t>bes in the seventeenth century</w:t>
      </w:r>
      <w:r w:rsidR="00BC4B98">
        <w:rPr>
          <w:i/>
        </w:rPr>
        <w:t xml:space="preserve">, </w:t>
      </w:r>
      <w:r w:rsidR="00BC4B98">
        <w:t>who</w:t>
      </w:r>
      <w:r w:rsidR="00FD182E">
        <w:t>se geometrical methodology</w:t>
      </w:r>
      <w:r w:rsidR="00BC4B98">
        <w:t xml:space="preserve"> put </w:t>
      </w:r>
      <w:r w:rsidR="00FC3610">
        <w:t>a higher</w:t>
      </w:r>
      <w:r w:rsidR="00BC4B98">
        <w:t xml:space="preserve"> premiu</w:t>
      </w:r>
      <w:r w:rsidR="002646E1">
        <w:t>m on precise definitions.</w:t>
      </w:r>
    </w:p>
    <w:p w14:paraId="42179E4B" w14:textId="77777777" w:rsidR="00387973" w:rsidRDefault="00AD404C" w:rsidP="007C31B7">
      <w:pPr>
        <w:spacing w:line="360" w:lineRule="auto"/>
        <w:ind w:firstLine="720"/>
      </w:pPr>
      <w:r>
        <w:t xml:space="preserve">The problem is not only one of </w:t>
      </w:r>
      <w:r w:rsidR="007927AA">
        <w:t>choice of words</w:t>
      </w:r>
      <w:r>
        <w:t xml:space="preserve">, however, but more fundamental. </w:t>
      </w:r>
      <w:r w:rsidR="00D71E59">
        <w:t>In fact, h</w:t>
      </w:r>
      <w:r w:rsidR="008242AF">
        <w:t xml:space="preserve">uman beings </w:t>
      </w:r>
      <w:r w:rsidR="00E22707">
        <w:t>rarely hold consistent views and sentiments</w:t>
      </w:r>
      <w:r w:rsidR="00FD182E">
        <w:t>. W</w:t>
      </w:r>
      <w:r w:rsidR="008242AF">
        <w:t xml:space="preserve">e </w:t>
      </w:r>
      <w:r w:rsidR="00B1438E">
        <w:t>have no problem</w:t>
      </w:r>
      <w:r w:rsidR="000A71E0">
        <w:t xml:space="preserve"> in sympathising</w:t>
      </w:r>
      <w:r w:rsidR="008242AF">
        <w:t xml:space="preserve"> with Catullus when he says that he </w:t>
      </w:r>
      <w:r w:rsidR="00233A0E">
        <w:t xml:space="preserve">both </w:t>
      </w:r>
      <w:r w:rsidR="008242AF">
        <w:t xml:space="preserve">loves and hates </w:t>
      </w:r>
      <w:proofErr w:type="spellStart"/>
      <w:r w:rsidR="008242AF">
        <w:t>Lesbia</w:t>
      </w:r>
      <w:proofErr w:type="spellEnd"/>
      <w:r w:rsidR="008242AF">
        <w:t xml:space="preserve"> at the same time</w:t>
      </w:r>
      <w:r w:rsidR="00FD182E">
        <w:t>.</w:t>
      </w:r>
      <w:r w:rsidR="008242AF">
        <w:rPr>
          <w:rStyle w:val="FootnoteReference"/>
        </w:rPr>
        <w:footnoteReference w:id="5"/>
      </w:r>
      <w:r w:rsidR="00FD182E">
        <w:t xml:space="preserve"> This becomes even more pronounced </w:t>
      </w:r>
      <w:r w:rsidR="00387973">
        <w:t>over time</w:t>
      </w:r>
      <w:r w:rsidR="00FD182E">
        <w:t xml:space="preserve">; </w:t>
      </w:r>
      <w:r w:rsidR="007C31B7">
        <w:t>to stick with Eros</w:t>
      </w:r>
      <w:r w:rsidR="002646E1">
        <w:t>, we only need to</w:t>
      </w:r>
      <w:r w:rsidR="00E524E9">
        <w:t xml:space="preserve"> </w:t>
      </w:r>
      <w:r w:rsidR="00FD182E">
        <w:lastRenderedPageBreak/>
        <w:t>consider divorce rates</w:t>
      </w:r>
      <w:r w:rsidR="00387973">
        <w:t xml:space="preserve">. </w:t>
      </w:r>
      <w:r w:rsidR="008B38A8">
        <w:t>On the other hand,</w:t>
      </w:r>
      <w:r w:rsidR="00387973">
        <w:t xml:space="preserve"> it is of course possible and </w:t>
      </w:r>
      <w:r w:rsidR="00411381">
        <w:t>indeed</w:t>
      </w:r>
      <w:r w:rsidR="00387973">
        <w:t xml:space="preserve"> </w:t>
      </w:r>
      <w:r w:rsidR="003773F0">
        <w:t xml:space="preserve">often </w:t>
      </w:r>
      <w:r w:rsidR="00387973">
        <w:t xml:space="preserve">common for thinkers and writers to have stable intellectual commitments and concerns which they may express in different ways in different works. </w:t>
      </w:r>
      <w:r w:rsidR="00293AE9">
        <w:t xml:space="preserve">Despite Ferguson’s changing vocabulary, </w:t>
      </w:r>
      <w:r w:rsidR="00387973">
        <w:t xml:space="preserve">Smith argues </w:t>
      </w:r>
      <w:r w:rsidR="00CE5B9B">
        <w:t xml:space="preserve">rather convincingly </w:t>
      </w:r>
      <w:r w:rsidR="00387973">
        <w:t xml:space="preserve">that Ferguson should </w:t>
      </w:r>
      <w:proofErr w:type="gramStart"/>
      <w:r w:rsidR="00387973">
        <w:t>be seen as</w:t>
      </w:r>
      <w:proofErr w:type="gramEnd"/>
      <w:r w:rsidR="00387973">
        <w:t xml:space="preserve"> such a thinker</w:t>
      </w:r>
      <w:r w:rsidR="00411381">
        <w:t xml:space="preserve">. According to Smith, Ferguson had </w:t>
      </w:r>
      <w:r w:rsidR="00D8093F">
        <w:t xml:space="preserve">a </w:t>
      </w:r>
      <w:r w:rsidR="006026AF">
        <w:t>‘project’</w:t>
      </w:r>
      <w:r w:rsidR="0071674F">
        <w:t xml:space="preserve"> consisting</w:t>
      </w:r>
      <w:r w:rsidR="006026AF">
        <w:t xml:space="preserve"> in combining moral science</w:t>
      </w:r>
      <w:r w:rsidR="00F31681">
        <w:t xml:space="preserve">, </w:t>
      </w:r>
      <w:r w:rsidR="0052351C">
        <w:t>or a study of mora</w:t>
      </w:r>
      <w:r w:rsidR="00D8093F">
        <w:t>l experience</w:t>
      </w:r>
      <w:r w:rsidR="00F31681">
        <w:t xml:space="preserve"> (</w:t>
      </w:r>
      <w:proofErr w:type="spellStart"/>
      <w:r w:rsidR="00F31681">
        <w:t>ch.</w:t>
      </w:r>
      <w:proofErr w:type="spellEnd"/>
      <w:r w:rsidR="00F31681">
        <w:t xml:space="preserve"> 2)</w:t>
      </w:r>
      <w:r w:rsidR="00D8093F">
        <w:t>, mor</w:t>
      </w:r>
      <w:r w:rsidR="007C31B7">
        <w:t>al philosophy in the sense of a</w:t>
      </w:r>
      <w:r w:rsidR="0052351C">
        <w:t xml:space="preserve"> normative element</w:t>
      </w:r>
      <w:r w:rsidR="00F31681">
        <w:t xml:space="preserve"> (</w:t>
      </w:r>
      <w:proofErr w:type="spellStart"/>
      <w:r w:rsidR="00F31681">
        <w:t>ch.</w:t>
      </w:r>
      <w:proofErr w:type="spellEnd"/>
      <w:r w:rsidR="00F31681">
        <w:t xml:space="preserve"> 3)</w:t>
      </w:r>
      <w:r w:rsidR="0052351C">
        <w:t xml:space="preserve">, and moral </w:t>
      </w:r>
      <w:r w:rsidR="006D7D5F">
        <w:t>pedagogy</w:t>
      </w:r>
      <w:r w:rsidR="0052351C">
        <w:t xml:space="preserve">, </w:t>
      </w:r>
      <w:r w:rsidR="00D6574E">
        <w:t>meaning</w:t>
      </w:r>
      <w:r w:rsidR="0052351C">
        <w:t xml:space="preserve"> the preparation of students for a moral </w:t>
      </w:r>
      <w:r w:rsidR="00F31681">
        <w:t xml:space="preserve">and patriotic </w:t>
      </w:r>
      <w:r w:rsidR="0052351C">
        <w:t>life</w:t>
      </w:r>
      <w:r w:rsidR="00F31681">
        <w:t xml:space="preserve"> (</w:t>
      </w:r>
      <w:proofErr w:type="spellStart"/>
      <w:r w:rsidR="00F31681">
        <w:t>ch.</w:t>
      </w:r>
      <w:proofErr w:type="spellEnd"/>
      <w:r w:rsidR="00F31681">
        <w:t xml:space="preserve"> 4</w:t>
      </w:r>
      <w:r w:rsidR="006026AF">
        <w:t>).</w:t>
      </w:r>
      <w:r w:rsidR="00D6574E">
        <w:t xml:space="preserve"> </w:t>
      </w:r>
      <w:r w:rsidR="004E5183">
        <w:t>Ferguson criticised Hume and Smith for failing to go beyond the first, descriptive step, as well as</w:t>
      </w:r>
      <w:r w:rsidR="002622FD">
        <w:t xml:space="preserve"> for</w:t>
      </w:r>
      <w:r w:rsidR="004E5183">
        <w:t xml:space="preserve"> erring </w:t>
      </w:r>
      <w:r w:rsidR="00D8093F">
        <w:t xml:space="preserve">in their empirical investigations </w:t>
      </w:r>
      <w:r w:rsidR="004E5183">
        <w:t>by reducing moral experience to two master principles, in Hume’s case utility and in Smith’s case sympathy (25-9).</w:t>
      </w:r>
      <w:r w:rsidR="009F0D4E">
        <w:t xml:space="preserve"> Whether Ferguson was right in his criticisms or not, we can safely say that the </w:t>
      </w:r>
      <w:r w:rsidR="007D7CD5">
        <w:t xml:space="preserve">less </w:t>
      </w:r>
      <w:r w:rsidR="00552408">
        <w:t>strict moralising</w:t>
      </w:r>
      <w:r w:rsidR="00767E31">
        <w:t xml:space="preserve"> </w:t>
      </w:r>
      <w:r w:rsidR="009F0D4E">
        <w:t>in Hume and Adam Smit</w:t>
      </w:r>
      <w:r w:rsidR="00552408">
        <w:t>h</w:t>
      </w:r>
      <w:r w:rsidR="009F0D4E">
        <w:t xml:space="preserve"> </w:t>
      </w:r>
      <w:r w:rsidR="008566CA">
        <w:t>has</w:t>
      </w:r>
      <w:r w:rsidR="009F0D4E">
        <w:t xml:space="preserve"> made their philosophical works stand the test of time better.</w:t>
      </w:r>
      <w:r w:rsidR="00824F60">
        <w:rPr>
          <w:rStyle w:val="FootnoteReference"/>
        </w:rPr>
        <w:footnoteReference w:id="6"/>
      </w:r>
      <w:r w:rsidR="009F0D4E">
        <w:t xml:space="preserve"> Ferguson’s </w:t>
      </w:r>
      <w:r w:rsidR="009B6F1D">
        <w:t>firm</w:t>
      </w:r>
      <w:r w:rsidR="00552408">
        <w:t xml:space="preserve"> moral commitments, and his more accentuated support for the Hanoverian British state, in contrast to the much more </w:t>
      </w:r>
      <w:r w:rsidR="00D372A1">
        <w:t>‘</w:t>
      </w:r>
      <w:r w:rsidR="00552408">
        <w:t>sceptical Whiggism</w:t>
      </w:r>
      <w:r w:rsidR="00D372A1">
        <w:t>’</w:t>
      </w:r>
      <w:r w:rsidR="00552408">
        <w:t xml:space="preserve"> of Hume and </w:t>
      </w:r>
      <w:r w:rsidR="0003774F">
        <w:t xml:space="preserve">Adam </w:t>
      </w:r>
      <w:r w:rsidR="00552408">
        <w:t>Smith, makes him look rather outdated</w:t>
      </w:r>
      <w:r w:rsidR="00C42008">
        <w:t>,</w:t>
      </w:r>
      <w:r w:rsidR="00552408">
        <w:t xml:space="preserve"> and is often described as ‘conservative’</w:t>
      </w:r>
      <w:r w:rsidR="008F1003">
        <w:t xml:space="preserve"> (e.g.</w:t>
      </w:r>
      <w:r w:rsidR="00465EC3">
        <w:t xml:space="preserve"> by Craig Smith:</w:t>
      </w:r>
      <w:r w:rsidR="009B6F1D">
        <w:t xml:space="preserve"> </w:t>
      </w:r>
      <w:r w:rsidR="008F1003">
        <w:t>134, 140</w:t>
      </w:r>
      <w:r w:rsidR="00552408">
        <w:t>).</w:t>
      </w:r>
      <w:r w:rsidR="00BF6684">
        <w:rPr>
          <w:rStyle w:val="FootnoteReference"/>
        </w:rPr>
        <w:footnoteReference w:id="7"/>
      </w:r>
      <w:r w:rsidR="00552408">
        <w:t xml:space="preserve"> </w:t>
      </w:r>
      <w:r w:rsidR="00A27B45">
        <w:t xml:space="preserve">Much of what Ferguson </w:t>
      </w:r>
      <w:r w:rsidR="00403EBB">
        <w:t>did</w:t>
      </w:r>
      <w:r w:rsidR="00A27B45">
        <w:t xml:space="preserve"> in his writing</w:t>
      </w:r>
      <w:r w:rsidR="00035F98">
        <w:t xml:space="preserve">, </w:t>
      </w:r>
      <w:r w:rsidR="00A27B45">
        <w:t>as in his</w:t>
      </w:r>
      <w:r w:rsidR="00035F98">
        <w:t xml:space="preserve"> teaching,</w:t>
      </w:r>
      <w:r w:rsidR="00A27B45">
        <w:t xml:space="preserve"> was to promote virtue and patriotism</w:t>
      </w:r>
      <w:r w:rsidR="00122AC0">
        <w:t xml:space="preserve"> (see esp. </w:t>
      </w:r>
      <w:proofErr w:type="spellStart"/>
      <w:r w:rsidR="00122AC0">
        <w:t>ch.</w:t>
      </w:r>
      <w:proofErr w:type="spellEnd"/>
      <w:r w:rsidR="00122AC0">
        <w:t xml:space="preserve"> 4)</w:t>
      </w:r>
      <w:r w:rsidR="00A27B45">
        <w:t xml:space="preserve">. </w:t>
      </w:r>
      <w:r w:rsidR="00A218A2">
        <w:t xml:space="preserve">Although there are good reasons why Hume and </w:t>
      </w:r>
      <w:r w:rsidR="007B5626">
        <w:t xml:space="preserve">Adam </w:t>
      </w:r>
      <w:r w:rsidR="00A218A2">
        <w:t>Smith are likely to remain more widely read</w:t>
      </w:r>
      <w:r w:rsidR="00594CDE">
        <w:t xml:space="preserve"> and </w:t>
      </w:r>
      <w:r w:rsidR="007440F5">
        <w:t>recognised</w:t>
      </w:r>
      <w:r w:rsidR="00A218A2">
        <w:t xml:space="preserve"> than Ferguson, we should </w:t>
      </w:r>
      <w:r w:rsidR="002F0945">
        <w:t>note</w:t>
      </w:r>
      <w:r w:rsidR="00A218A2">
        <w:t xml:space="preserve"> that</w:t>
      </w:r>
      <w:r w:rsidR="00594CDE">
        <w:t xml:space="preserve"> this difference is a </w:t>
      </w:r>
      <w:r w:rsidR="00552408">
        <w:t xml:space="preserve">major reason why </w:t>
      </w:r>
      <w:r w:rsidR="007B461F">
        <w:t>they</w:t>
      </w:r>
      <w:r w:rsidR="00552408">
        <w:t xml:space="preserve"> were </w:t>
      </w:r>
      <w:r w:rsidR="004A09B8">
        <w:t>more</w:t>
      </w:r>
      <w:r w:rsidR="00594CDE">
        <w:t xml:space="preserve"> </w:t>
      </w:r>
      <w:r w:rsidR="004A09B8">
        <w:t>inflammatory</w:t>
      </w:r>
      <w:r w:rsidR="007D7CD5">
        <w:t xml:space="preserve"> in their own day (especially </w:t>
      </w:r>
      <w:r w:rsidR="00C20BAA">
        <w:t>Hume</w:t>
      </w:r>
      <w:r w:rsidR="007D7CD5">
        <w:t xml:space="preserve">) </w:t>
      </w:r>
      <w:r w:rsidR="00552408">
        <w:t>and Fe</w:t>
      </w:r>
      <w:r w:rsidR="00720EF4">
        <w:t>rguson more mainstream.</w:t>
      </w:r>
      <w:r w:rsidR="00720EF4">
        <w:rPr>
          <w:rStyle w:val="FootnoteReference"/>
        </w:rPr>
        <w:footnoteReference w:id="8"/>
      </w:r>
    </w:p>
    <w:p w14:paraId="1F20839B" w14:textId="77777777" w:rsidR="00CA0F04" w:rsidRDefault="0033303F" w:rsidP="0058576C">
      <w:pPr>
        <w:spacing w:line="360" w:lineRule="auto"/>
        <w:ind w:firstLine="720"/>
      </w:pPr>
      <w:r>
        <w:t xml:space="preserve">Although this is primarily a textual study, </w:t>
      </w:r>
      <w:r w:rsidR="00FA3F0C">
        <w:t xml:space="preserve">Craig </w:t>
      </w:r>
      <w:r w:rsidR="002A3C96">
        <w:t>Smith</w:t>
      </w:r>
      <w:r>
        <w:t xml:space="preserve"> makes thoughtful contextual points throughout the book. In the</w:t>
      </w:r>
      <w:r w:rsidR="006026AF">
        <w:t xml:space="preserve"> Introduction</w:t>
      </w:r>
      <w:r w:rsidR="00E6745D">
        <w:t xml:space="preserve">, </w:t>
      </w:r>
      <w:r>
        <w:t>for example, he argues</w:t>
      </w:r>
      <w:r w:rsidR="0058576C">
        <w:t xml:space="preserve"> – </w:t>
      </w:r>
      <w:r w:rsidR="00E6745D">
        <w:rPr>
          <w:i/>
        </w:rPr>
        <w:t xml:space="preserve">pace </w:t>
      </w:r>
      <w:r w:rsidR="00E6745D">
        <w:t>the late Nicholas Phillipson</w:t>
      </w:r>
      <w:r w:rsidR="00CD1E0E">
        <w:t xml:space="preserve"> (1981)</w:t>
      </w:r>
      <w:r w:rsidR="0058576C">
        <w:t xml:space="preserve"> –</w:t>
      </w:r>
      <w:r w:rsidR="00E6745D">
        <w:t xml:space="preserve"> that the formative event for what has become known as the ‘Scottish Enlightenment’ </w:t>
      </w:r>
      <w:r w:rsidR="001F5802">
        <w:t>is more likely to have</w:t>
      </w:r>
      <w:r w:rsidR="00E6745D">
        <w:t xml:space="preserve"> been the </w:t>
      </w:r>
      <w:r w:rsidR="000C7A95">
        <w:t xml:space="preserve">‘death throes’ </w:t>
      </w:r>
      <w:r w:rsidR="00E6745D">
        <w:t>of the Jacobites in ‘1745’ (they were defeated at Culloden in April 1746)</w:t>
      </w:r>
      <w:r w:rsidR="00BB75AF">
        <w:t xml:space="preserve"> rather than the Union of 1707</w:t>
      </w:r>
      <w:r w:rsidR="00897C05">
        <w:t xml:space="preserve"> with England</w:t>
      </w:r>
      <w:r w:rsidR="006C429B">
        <w:t>,</w:t>
      </w:r>
      <w:r w:rsidR="00897C05">
        <w:t xml:space="preserve"> which created Great Britain as a political entity</w:t>
      </w:r>
      <w:r w:rsidR="00E6745D">
        <w:t xml:space="preserve">. </w:t>
      </w:r>
      <w:r w:rsidR="00D72F0D">
        <w:t>As Smith</w:t>
      </w:r>
      <w:r w:rsidR="003773F0">
        <w:t xml:space="preserve"> stresses</w:t>
      </w:r>
      <w:r w:rsidR="00F41CB1">
        <w:t xml:space="preserve">, Ferguson’s commitment to the Hanoverian </w:t>
      </w:r>
      <w:r w:rsidR="00F41CB1" w:rsidRPr="000F038D">
        <w:t>British</w:t>
      </w:r>
      <w:r w:rsidR="00F41CB1">
        <w:rPr>
          <w:i/>
        </w:rPr>
        <w:t xml:space="preserve"> </w:t>
      </w:r>
      <w:r w:rsidR="00F41CB1">
        <w:t xml:space="preserve">state is perhaps his most important political commitment (15-16). </w:t>
      </w:r>
      <w:r w:rsidR="00127A61">
        <w:t>Alas, t</w:t>
      </w:r>
      <w:r w:rsidR="00F41CB1">
        <w:t>he</w:t>
      </w:r>
      <w:r w:rsidR="00E6745D">
        <w:t xml:space="preserve"> theme </w:t>
      </w:r>
      <w:r w:rsidR="00B1438E">
        <w:t>of Jacobit</w:t>
      </w:r>
      <w:r w:rsidR="00F41CB1">
        <w:t xml:space="preserve">ism is not one </w:t>
      </w:r>
      <w:r w:rsidR="00E6745D">
        <w:t xml:space="preserve">which Smith pursues at any considerable length </w:t>
      </w:r>
      <w:r w:rsidR="00492D89">
        <w:t>beyond his</w:t>
      </w:r>
      <w:r w:rsidR="00E6745D">
        <w:t xml:space="preserve"> brief remarks in the final chapter, but he is certainly right in </w:t>
      </w:r>
      <w:r w:rsidR="00D72F0D">
        <w:lastRenderedPageBreak/>
        <w:t>stressing</w:t>
      </w:r>
      <w:r w:rsidR="00E6745D">
        <w:t xml:space="preserve"> </w:t>
      </w:r>
      <w:r w:rsidR="00FA5A9A">
        <w:t>the</w:t>
      </w:r>
      <w:r w:rsidR="00E6745D">
        <w:t xml:space="preserve"> </w:t>
      </w:r>
      <w:r w:rsidR="00F160E8">
        <w:t>significance</w:t>
      </w:r>
      <w:r w:rsidR="00E6745D">
        <w:t xml:space="preserve"> of the Jacobite question for Ferguson and his generation. This is a </w:t>
      </w:r>
      <w:r w:rsidR="000F038D">
        <w:t xml:space="preserve">crucial </w:t>
      </w:r>
      <w:r w:rsidR="00E6745D">
        <w:t>theme which warrants further research and much more attention in future studies of the intellectual culture of eighteenth-century Scotland.</w:t>
      </w:r>
    </w:p>
    <w:p w14:paraId="3D659B6A" w14:textId="52A45440" w:rsidR="00124578" w:rsidRDefault="00F77366" w:rsidP="00232C62">
      <w:pPr>
        <w:spacing w:line="360" w:lineRule="auto"/>
        <w:ind w:firstLine="720"/>
      </w:pPr>
      <w:r>
        <w:t>One</w:t>
      </w:r>
      <w:r w:rsidR="00CA0F04">
        <w:t xml:space="preserve"> of the greatest virtues of </w:t>
      </w:r>
      <w:r w:rsidR="00CA0F04">
        <w:rPr>
          <w:i/>
        </w:rPr>
        <w:t>Adam Ferguson and the Idea of Civil Society</w:t>
      </w:r>
      <w:r w:rsidR="00CA0F04">
        <w:t xml:space="preserve"> is its </w:t>
      </w:r>
      <w:r w:rsidR="00ED2FA8">
        <w:t>historical</w:t>
      </w:r>
      <w:r w:rsidR="00CA0F04">
        <w:t xml:space="preserve"> sensitivity. </w:t>
      </w:r>
      <w:r>
        <w:t xml:space="preserve">Regarding commercial society, </w:t>
      </w:r>
      <w:r w:rsidR="00CA0F04">
        <w:t xml:space="preserve">Ferguson </w:t>
      </w:r>
      <w:r>
        <w:t xml:space="preserve">has all too often </w:t>
      </w:r>
      <w:r w:rsidR="00CA0F04">
        <w:t xml:space="preserve">been read as a nostalgic proponent of republican austerity and </w:t>
      </w:r>
      <w:r w:rsidR="0072156F">
        <w:t>simplicity, alternatively as a precursor to</w:t>
      </w:r>
      <w:r w:rsidR="00CA0F04">
        <w:t xml:space="preserve"> Marx’s theory of alienation.</w:t>
      </w:r>
      <w:r w:rsidR="00F160E8">
        <w:t xml:space="preserve"> </w:t>
      </w:r>
      <w:r w:rsidR="009F2D9A">
        <w:t xml:space="preserve">True, Marx was influenced by Ferguson, and cited him on the effects of the division of labour in </w:t>
      </w:r>
      <w:r w:rsidR="009F2D9A">
        <w:rPr>
          <w:i/>
        </w:rPr>
        <w:t xml:space="preserve">Capital. </w:t>
      </w:r>
      <w:r w:rsidR="009F2D9A">
        <w:t xml:space="preserve">But if we want to understand Ferguson rather than his afterlife we need to look elsewhere. </w:t>
      </w:r>
      <w:r w:rsidR="00F160E8">
        <w:t xml:space="preserve">Like all thinkers, </w:t>
      </w:r>
      <w:r w:rsidR="00483CBE">
        <w:t>Ferguson</w:t>
      </w:r>
      <w:r w:rsidR="00F160E8">
        <w:t xml:space="preserve"> is of course much better understood in his own context.</w:t>
      </w:r>
      <w:r w:rsidR="00CA0F04">
        <w:t xml:space="preserve"> Boldly but entirely sensibly, Craig Smith – who is Adam Smith Senior Lecturer at Glasgow University – states that ‘The broad outline of Ferguson’s defence of commerce is essentially the same as Adam Smith’s.’ (179) Ferguson viewed commercial development as inevitable </w:t>
      </w:r>
      <w:r w:rsidR="00486DEE">
        <w:t>since</w:t>
      </w:r>
      <w:r w:rsidR="00CA0F04">
        <w:t xml:space="preserve"> human beings </w:t>
      </w:r>
      <w:r>
        <w:t xml:space="preserve">naturally </w:t>
      </w:r>
      <w:r w:rsidR="00CA0F04">
        <w:t xml:space="preserve">strive </w:t>
      </w:r>
      <w:r>
        <w:t>to</w:t>
      </w:r>
      <w:r w:rsidR="00CA0F04">
        <w:t xml:space="preserve"> better th</w:t>
      </w:r>
      <w:r w:rsidR="00DF3DAE">
        <w:t>eir condition. He further</w:t>
      </w:r>
      <w:r>
        <w:t xml:space="preserve"> </w:t>
      </w:r>
      <w:r w:rsidR="00CA0F04">
        <w:t>believed that it was near impossible to distinguish necessities from luxuries</w:t>
      </w:r>
      <w:r>
        <w:t xml:space="preserve">, and </w:t>
      </w:r>
      <w:r w:rsidR="00CA0F04">
        <w:t>was against governm</w:t>
      </w:r>
      <w:r>
        <w:t xml:space="preserve">ent intervention in the economy (see esp. </w:t>
      </w:r>
      <w:proofErr w:type="spellStart"/>
      <w:r>
        <w:t>ch.</w:t>
      </w:r>
      <w:proofErr w:type="spellEnd"/>
      <w:r>
        <w:t xml:space="preserve"> 5).</w:t>
      </w:r>
      <w:r w:rsidR="002C29AA">
        <w:rPr>
          <w:rStyle w:val="FootnoteReference"/>
        </w:rPr>
        <w:footnoteReference w:id="9"/>
      </w:r>
      <w:r w:rsidR="00DF3DAE">
        <w:t xml:space="preserve"> Arguing</w:t>
      </w:r>
      <w:r w:rsidR="00F31681">
        <w:t xml:space="preserve"> that modern civilisation represented </w:t>
      </w:r>
      <w:r w:rsidR="0078265B">
        <w:rPr>
          <w:i/>
        </w:rPr>
        <w:t xml:space="preserve">on balance </w:t>
      </w:r>
      <w:r w:rsidR="00F31681">
        <w:t>an advance on ancient re</w:t>
      </w:r>
      <w:r w:rsidR="00DF3DAE">
        <w:t>publics such as Sparta and Rome, Ferguson was committed to the idea that</w:t>
      </w:r>
      <w:r w:rsidR="00F31681">
        <w:t xml:space="preserve"> modern civilisation in general and the British state in particular had developed legal systems which better protected rights, and </w:t>
      </w:r>
      <w:r w:rsidR="00DF3DAE">
        <w:t xml:space="preserve">that </w:t>
      </w:r>
      <w:r w:rsidR="00F31681">
        <w:t xml:space="preserve">war </w:t>
      </w:r>
      <w:r w:rsidR="008B410D">
        <w:t>especially</w:t>
      </w:r>
      <w:r w:rsidR="00436501">
        <w:t xml:space="preserve"> </w:t>
      </w:r>
      <w:r w:rsidR="00F31681">
        <w:t xml:space="preserve">had become less brutal and more civilised </w:t>
      </w:r>
      <w:r w:rsidR="00436501">
        <w:t xml:space="preserve">in the modern world </w:t>
      </w:r>
      <w:r w:rsidR="00F31681">
        <w:t xml:space="preserve">(see esp. </w:t>
      </w:r>
      <w:proofErr w:type="spellStart"/>
      <w:r w:rsidR="00F31681">
        <w:t>ch.</w:t>
      </w:r>
      <w:proofErr w:type="spellEnd"/>
      <w:r w:rsidR="00F31681">
        <w:t xml:space="preserve"> 6). </w:t>
      </w:r>
      <w:r w:rsidR="00A07A39">
        <w:t xml:space="preserve">In a letter to Adam Smith </w:t>
      </w:r>
      <w:r w:rsidR="00EC0F95">
        <w:t>a</w:t>
      </w:r>
      <w:r w:rsidR="00F3720A">
        <w:t xml:space="preserve"> few months after</w:t>
      </w:r>
      <w:r>
        <w:t xml:space="preserve"> the</w:t>
      </w:r>
      <w:r w:rsidR="00F968B4">
        <w:t xml:space="preserve"> publication</w:t>
      </w:r>
      <w:r>
        <w:t xml:space="preserve"> of the </w:t>
      </w:r>
      <w:r w:rsidR="00F3720A">
        <w:rPr>
          <w:i/>
        </w:rPr>
        <w:t>Wealth</w:t>
      </w:r>
      <w:r>
        <w:rPr>
          <w:i/>
        </w:rPr>
        <w:t xml:space="preserve"> of Nations </w:t>
      </w:r>
      <w:r>
        <w:t xml:space="preserve">in 1776, </w:t>
      </w:r>
      <w:r w:rsidR="00246B08">
        <w:t>he</w:t>
      </w:r>
      <w:r w:rsidR="001A0490">
        <w:t xml:space="preserve"> wrote that: </w:t>
      </w:r>
      <w:r>
        <w:t>‘I have been for</w:t>
      </w:r>
      <w:r w:rsidR="00FE1D56">
        <w:t xml:space="preserve"> some</w:t>
      </w:r>
      <w:r>
        <w:t xml:space="preserve"> time so busy reading you, and recommending and quoting you, to my students, that I have not had leisure to trouble you with letters</w:t>
      </w:r>
      <w:r w:rsidR="002840B2">
        <w:t>…</w:t>
      </w:r>
      <w:r>
        <w:t>You are surely to reign alone on these subjects, to form the opinions, and I hope to govern at least the coming generations.’</w:t>
      </w:r>
      <w:r>
        <w:rPr>
          <w:rStyle w:val="FootnoteReference"/>
        </w:rPr>
        <w:footnoteReference w:id="10"/>
      </w:r>
      <w:bookmarkStart w:id="0" w:name="_GoBack"/>
      <w:bookmarkEnd w:id="0"/>
    </w:p>
    <w:p w14:paraId="7E07FDA2" w14:textId="77777777" w:rsidR="00BD0BA0" w:rsidRDefault="00124578" w:rsidP="00124578">
      <w:pPr>
        <w:spacing w:line="360" w:lineRule="auto"/>
        <w:ind w:firstLine="720"/>
      </w:pPr>
      <w:r>
        <w:t xml:space="preserve">At the same time, while Ferguson and Adam Smith </w:t>
      </w:r>
      <w:r w:rsidR="00CA18E3">
        <w:t>agreed</w:t>
      </w:r>
      <w:r>
        <w:t xml:space="preserve"> about the superiority of modern, commercial civilisation, neither </w:t>
      </w:r>
      <w:r w:rsidR="00564E11">
        <w:t xml:space="preserve">of them </w:t>
      </w:r>
      <w:r>
        <w:t xml:space="preserve">was starry-eyed about the future, </w:t>
      </w:r>
      <w:r w:rsidR="006A08BE">
        <w:t>instead</w:t>
      </w:r>
      <w:r>
        <w:t xml:space="preserve"> acutely aware of the possibility of decline</w:t>
      </w:r>
      <w:r w:rsidR="00BC6129">
        <w:t xml:space="preserve"> </w:t>
      </w:r>
      <w:r w:rsidR="003F1DD8">
        <w:t>or</w:t>
      </w:r>
      <w:r w:rsidR="00BC6129">
        <w:t xml:space="preserve"> even implosion</w:t>
      </w:r>
      <w:r>
        <w:t xml:space="preserve">. This is a theme </w:t>
      </w:r>
      <w:r w:rsidR="00F33CF6">
        <w:t>more fully</w:t>
      </w:r>
      <w:r w:rsidR="00764C88">
        <w:t xml:space="preserve"> treated</w:t>
      </w:r>
      <w:r w:rsidR="00760768">
        <w:t xml:space="preserve"> </w:t>
      </w:r>
      <w:r>
        <w:t xml:space="preserve">in McDaniel’s </w:t>
      </w:r>
      <w:r w:rsidR="00634008">
        <w:t xml:space="preserve">more </w:t>
      </w:r>
      <w:r>
        <w:t xml:space="preserve">contextual work. </w:t>
      </w:r>
      <w:r w:rsidR="0033681D">
        <w:t>Thanks to</w:t>
      </w:r>
      <w:r>
        <w:t xml:space="preserve"> its</w:t>
      </w:r>
      <w:r w:rsidR="004D57BB">
        <w:t xml:space="preserve"> </w:t>
      </w:r>
      <w:r>
        <w:t>broader remit</w:t>
      </w:r>
      <w:r w:rsidR="00973E04" w:rsidRPr="00973E04">
        <w:t xml:space="preserve"> </w:t>
      </w:r>
      <w:r w:rsidR="00973E04">
        <w:t>in other respects</w:t>
      </w:r>
      <w:r>
        <w:t>, however, i</w:t>
      </w:r>
      <w:r w:rsidR="001A0490">
        <w:t xml:space="preserve">t </w:t>
      </w:r>
      <w:r w:rsidR="00705DE4">
        <w:t>is</w:t>
      </w:r>
      <w:r w:rsidR="001A0490">
        <w:t xml:space="preserve"> not </w:t>
      </w:r>
      <w:r w:rsidR="00342CFA">
        <w:t xml:space="preserve">an </w:t>
      </w:r>
      <w:r w:rsidR="00C87782">
        <w:t>exaggeration to say</w:t>
      </w:r>
      <w:r w:rsidR="00342CFA">
        <w:t xml:space="preserve"> </w:t>
      </w:r>
      <w:r w:rsidR="001A0490">
        <w:t xml:space="preserve">that </w:t>
      </w:r>
      <w:r w:rsidR="00C87782">
        <w:rPr>
          <w:i/>
        </w:rPr>
        <w:t>Adam Ferguson and the Idea of Civil Society</w:t>
      </w:r>
      <w:r w:rsidR="00C87782">
        <w:t xml:space="preserve"> </w:t>
      </w:r>
      <w:r w:rsidR="001A0490">
        <w:t>is</w:t>
      </w:r>
      <w:r w:rsidR="00705DE4">
        <w:t xml:space="preserve"> </w:t>
      </w:r>
      <w:r w:rsidR="001A0490">
        <w:t xml:space="preserve">very </w:t>
      </w:r>
      <w:r w:rsidR="00705DE4">
        <w:t xml:space="preserve">likely to become the standard </w:t>
      </w:r>
      <w:r w:rsidR="00BD0BA0">
        <w:t>introduction</w:t>
      </w:r>
      <w:r w:rsidR="00705DE4">
        <w:t xml:space="preserve"> (although it is much more than that) to </w:t>
      </w:r>
      <w:r w:rsidR="00705DE4">
        <w:lastRenderedPageBreak/>
        <w:t>Ferguson</w:t>
      </w:r>
      <w:r w:rsidR="00BD0BA0">
        <w:t xml:space="preserve"> </w:t>
      </w:r>
      <w:r w:rsidR="00705DE4">
        <w:t>for a long time.</w:t>
      </w:r>
      <w:r w:rsidR="00C87782">
        <w:t xml:space="preserve"> </w:t>
      </w:r>
      <w:r w:rsidR="002D09A9">
        <w:t>Smith’s book</w:t>
      </w:r>
      <w:r w:rsidR="00705DE4">
        <w:t xml:space="preserve"> </w:t>
      </w:r>
      <w:r w:rsidR="00BD0BA0">
        <w:t>is</w:t>
      </w:r>
      <w:r w:rsidR="00EE4CAF">
        <w:t xml:space="preserve"> indeed</w:t>
      </w:r>
      <w:r w:rsidR="00BD0BA0">
        <w:t xml:space="preserve"> the most thorough and overall </w:t>
      </w:r>
      <w:r w:rsidR="00F31681">
        <w:t>convincing</w:t>
      </w:r>
      <w:r w:rsidR="00BD0BA0">
        <w:t xml:space="preserve"> book-length interpretation of Ferguson’s thought to date.</w:t>
      </w:r>
    </w:p>
    <w:p w14:paraId="139A1EAC" w14:textId="77777777" w:rsidR="00CA0F04" w:rsidRPr="00F77366" w:rsidRDefault="00CA0F04" w:rsidP="00F31681">
      <w:pPr>
        <w:spacing w:line="360" w:lineRule="auto"/>
      </w:pPr>
    </w:p>
    <w:p w14:paraId="1A9778D7" w14:textId="77777777" w:rsidR="002B199D" w:rsidRDefault="002B199D"/>
    <w:p w14:paraId="4003871A" w14:textId="77777777" w:rsidR="00D822E3" w:rsidRDefault="00D822E3"/>
    <w:p w14:paraId="6262D6B8" w14:textId="77777777" w:rsidR="00D822E3" w:rsidRDefault="00D822E3">
      <w:pPr>
        <w:rPr>
          <w:b/>
        </w:rPr>
      </w:pPr>
      <w:r>
        <w:rPr>
          <w:b/>
        </w:rPr>
        <w:t xml:space="preserve">Bibliography: </w:t>
      </w:r>
    </w:p>
    <w:p w14:paraId="04D44EBA" w14:textId="77777777" w:rsidR="00F50DC6" w:rsidRPr="00D72F0D" w:rsidRDefault="00D822E3">
      <w:r>
        <w:rPr>
          <w:b/>
        </w:rPr>
        <w:br/>
      </w:r>
      <w:r w:rsidR="0043019A">
        <w:t xml:space="preserve">Allan, </w:t>
      </w:r>
      <w:r>
        <w:t xml:space="preserve">David, </w:t>
      </w:r>
      <w:r w:rsidR="00D72F0D">
        <w:rPr>
          <w:i/>
        </w:rPr>
        <w:t xml:space="preserve">Adam Ferguson </w:t>
      </w:r>
      <w:r w:rsidR="00D72F0D">
        <w:t>(</w:t>
      </w:r>
      <w:r w:rsidR="00CD53F1">
        <w:t>Edinburgh</w:t>
      </w:r>
      <w:r w:rsidR="00D72F0D">
        <w:t xml:space="preserve">: </w:t>
      </w:r>
      <w:r w:rsidR="00CD53F1">
        <w:t>Edinburgh</w:t>
      </w:r>
      <w:r w:rsidR="00D72F0D">
        <w:t xml:space="preserve"> University Press, 200</w:t>
      </w:r>
      <w:r w:rsidR="00CD53F1">
        <w:t>6</w:t>
      </w:r>
      <w:r w:rsidR="00D72F0D">
        <w:t>).</w:t>
      </w:r>
    </w:p>
    <w:p w14:paraId="5FDCEF0A" w14:textId="77777777" w:rsidR="00D822E3" w:rsidRDefault="00D822E3"/>
    <w:p w14:paraId="39CB38B0" w14:textId="77777777" w:rsidR="003C32AB" w:rsidRPr="003C32AB" w:rsidRDefault="0043019A" w:rsidP="003C32AB">
      <w:pPr>
        <w:rPr>
          <w:i/>
        </w:rPr>
      </w:pPr>
      <w:r>
        <w:t xml:space="preserve">Bourke, </w:t>
      </w:r>
      <w:r w:rsidR="00D822E3">
        <w:t>Richard,</w:t>
      </w:r>
      <w:r w:rsidR="005A5B2A">
        <w:t xml:space="preserve"> </w:t>
      </w:r>
      <w:r w:rsidR="003C32AB">
        <w:t xml:space="preserve">‘What is Conservatism? History, Ideology and Party, </w:t>
      </w:r>
      <w:r w:rsidR="003C32AB" w:rsidRPr="003C32AB">
        <w:rPr>
          <w:i/>
        </w:rPr>
        <w:t>European Journal of</w:t>
      </w:r>
    </w:p>
    <w:p w14:paraId="444A7A8C" w14:textId="77777777" w:rsidR="00D822E3" w:rsidRDefault="003C32AB" w:rsidP="003C32AB">
      <w:r w:rsidRPr="003C32AB">
        <w:rPr>
          <w:i/>
        </w:rPr>
        <w:t>Political Theory</w:t>
      </w:r>
      <w:r>
        <w:rPr>
          <w:i/>
        </w:rPr>
        <w:t xml:space="preserve">, </w:t>
      </w:r>
      <w:r>
        <w:t>17 (2018), 449–475.</w:t>
      </w:r>
    </w:p>
    <w:p w14:paraId="784C390D" w14:textId="77777777" w:rsidR="00D822E3" w:rsidRDefault="00D822E3"/>
    <w:p w14:paraId="1F35B304" w14:textId="77777777" w:rsidR="00D822E3" w:rsidRDefault="003E73A4">
      <w:r>
        <w:t xml:space="preserve">Geuss, </w:t>
      </w:r>
      <w:r w:rsidR="0031543F">
        <w:t>Raymond,</w:t>
      </w:r>
      <w:r w:rsidR="0031543F">
        <w:rPr>
          <w:i/>
        </w:rPr>
        <w:t xml:space="preserve"> Philosophy and Real Politics </w:t>
      </w:r>
      <w:r w:rsidR="0031543F">
        <w:t>(Princeton, NJ: Princeton University Press, 2007).</w:t>
      </w:r>
    </w:p>
    <w:p w14:paraId="6A216DB4" w14:textId="77777777" w:rsidR="0031543F" w:rsidRDefault="0031543F"/>
    <w:p w14:paraId="1F7A76A6" w14:textId="77777777" w:rsidR="00D822E3" w:rsidRPr="003C32AB" w:rsidRDefault="003E73A4">
      <w:r>
        <w:t xml:space="preserve">Harris, </w:t>
      </w:r>
      <w:r w:rsidR="00D822E3">
        <w:t xml:space="preserve">James, </w:t>
      </w:r>
      <w:r w:rsidR="003C32AB">
        <w:rPr>
          <w:i/>
        </w:rPr>
        <w:t xml:space="preserve">David Hume: An Intellectual Biography </w:t>
      </w:r>
      <w:r w:rsidR="003C32AB">
        <w:t>(Cambridge: Cambridge University Press, 2015).</w:t>
      </w:r>
    </w:p>
    <w:p w14:paraId="38267321" w14:textId="77777777" w:rsidR="005A5B2A" w:rsidRDefault="005A5B2A"/>
    <w:p w14:paraId="361B9500" w14:textId="77777777" w:rsidR="00D822E3" w:rsidRDefault="003E73A4">
      <w:r>
        <w:t xml:space="preserve">Hill, </w:t>
      </w:r>
      <w:r w:rsidR="00D822E3">
        <w:t xml:space="preserve">Jack, </w:t>
      </w:r>
      <w:r w:rsidR="00F31681" w:rsidRPr="00F31681">
        <w:rPr>
          <w:i/>
        </w:rPr>
        <w:t>Adam Ferguson and Ethical Integrity: The Man and His Prescriptions for the Moral Life</w:t>
      </w:r>
      <w:r w:rsidR="00F31681">
        <w:rPr>
          <w:i/>
        </w:rPr>
        <w:t xml:space="preserve"> </w:t>
      </w:r>
      <w:r w:rsidR="00F31681">
        <w:t>(</w:t>
      </w:r>
      <w:r w:rsidR="00D606F0">
        <w:t xml:space="preserve">Lanham, MA: Lexington Books, </w:t>
      </w:r>
      <w:r w:rsidR="00F31681">
        <w:t>2017).</w:t>
      </w:r>
    </w:p>
    <w:p w14:paraId="5B2FFCF0" w14:textId="77777777" w:rsidR="00235063" w:rsidRDefault="00235063"/>
    <w:p w14:paraId="5B075828" w14:textId="77777777" w:rsidR="00235063" w:rsidRPr="00235063" w:rsidRDefault="00235063">
      <w:r>
        <w:t xml:space="preserve">Hill, Lisa, </w:t>
      </w:r>
      <w:r w:rsidRPr="00235063">
        <w:rPr>
          <w:i/>
        </w:rPr>
        <w:t>The Passionate Society: The Social, Political and Moral Thought of Adam Ferguson</w:t>
      </w:r>
      <w:r>
        <w:rPr>
          <w:i/>
        </w:rPr>
        <w:t xml:space="preserve"> </w:t>
      </w:r>
      <w:r>
        <w:t>(</w:t>
      </w:r>
      <w:r w:rsidR="00B52984">
        <w:t>Dordrecht: Springer,</w:t>
      </w:r>
      <w:r>
        <w:t xml:space="preserve"> 2006).</w:t>
      </w:r>
    </w:p>
    <w:p w14:paraId="43CDCF9F" w14:textId="77777777" w:rsidR="00D822E3" w:rsidRDefault="00D822E3"/>
    <w:p w14:paraId="49A2DF7A" w14:textId="77777777" w:rsidR="00D822E3" w:rsidRDefault="003E73A4">
      <w:r>
        <w:t xml:space="preserve">Kettler, </w:t>
      </w:r>
      <w:r w:rsidR="00F61245">
        <w:t xml:space="preserve">David, </w:t>
      </w:r>
      <w:r w:rsidR="00F61245" w:rsidRPr="00F61245">
        <w:rPr>
          <w:i/>
        </w:rPr>
        <w:t>The Social and Political Thought of Adam Ferguson</w:t>
      </w:r>
      <w:r w:rsidR="00F61245">
        <w:t xml:space="preserve"> (Columbus, </w:t>
      </w:r>
      <w:proofErr w:type="gramStart"/>
      <w:r w:rsidR="00F61245">
        <w:t>Oh</w:t>
      </w:r>
      <w:proofErr w:type="gramEnd"/>
      <w:r w:rsidR="00F61245" w:rsidRPr="00F61245">
        <w:t>: The Ohio State University Press, 1965</w:t>
      </w:r>
      <w:r w:rsidR="00F61245">
        <w:t>)</w:t>
      </w:r>
      <w:r w:rsidR="00F61245" w:rsidRPr="00F61245">
        <w:t xml:space="preserve">; republished (with a new introduction and afterword) as </w:t>
      </w:r>
      <w:r w:rsidR="00F61245" w:rsidRPr="00F61245">
        <w:rPr>
          <w:i/>
        </w:rPr>
        <w:t>Adam Ferguson: His Social and Political Thought</w:t>
      </w:r>
      <w:r w:rsidR="00F61245">
        <w:t xml:space="preserve"> (</w:t>
      </w:r>
      <w:r w:rsidR="00F61245" w:rsidRPr="00F61245">
        <w:t>New Brunswick: Transac</w:t>
      </w:r>
      <w:r w:rsidR="00F61245">
        <w:t>tion, 2005).</w:t>
      </w:r>
    </w:p>
    <w:p w14:paraId="08642790" w14:textId="77777777" w:rsidR="00F61245" w:rsidRDefault="00F61245"/>
    <w:p w14:paraId="054E636F" w14:textId="77777777" w:rsidR="00D822E3" w:rsidRDefault="003E73A4">
      <w:r>
        <w:t xml:space="preserve">McDaniel, </w:t>
      </w:r>
      <w:r w:rsidR="00D822E3">
        <w:t>Iain,</w:t>
      </w:r>
      <w:r w:rsidR="003C32AB" w:rsidRPr="003C32AB">
        <w:t xml:space="preserve"> A</w:t>
      </w:r>
      <w:r w:rsidR="003C32AB">
        <w:rPr>
          <w:i/>
        </w:rPr>
        <w:t>dam Ferguson in the Scottish Enlightenment: The Roman Past and Europe’s F</w:t>
      </w:r>
      <w:r w:rsidR="003C32AB" w:rsidRPr="003C32AB">
        <w:rPr>
          <w:i/>
        </w:rPr>
        <w:t>uture</w:t>
      </w:r>
      <w:r w:rsidR="003C32AB">
        <w:t xml:space="preserve"> (Cambridge, MA: </w:t>
      </w:r>
      <w:r w:rsidR="003C32AB" w:rsidRPr="003C32AB">
        <w:t xml:space="preserve">Harvard University Press, </w:t>
      </w:r>
      <w:r w:rsidR="003C32AB">
        <w:t>2013).</w:t>
      </w:r>
    </w:p>
    <w:p w14:paraId="2B493B91" w14:textId="77777777" w:rsidR="00D822E3" w:rsidRDefault="00D822E3"/>
    <w:p w14:paraId="337F03E4" w14:textId="77777777" w:rsidR="00D822E3" w:rsidRDefault="003E73A4">
      <w:proofErr w:type="spellStart"/>
      <w:r>
        <w:t>Merolle</w:t>
      </w:r>
      <w:proofErr w:type="spellEnd"/>
      <w:r>
        <w:t xml:space="preserve">, </w:t>
      </w:r>
      <w:r w:rsidR="003C32AB" w:rsidRPr="004E5183">
        <w:t xml:space="preserve">Vincenzo </w:t>
      </w:r>
      <w:r w:rsidR="003C32AB">
        <w:t xml:space="preserve">(ed.), </w:t>
      </w:r>
      <w:r w:rsidR="00D822E3" w:rsidRPr="004E5183">
        <w:rPr>
          <w:i/>
        </w:rPr>
        <w:t>The Correspondence of Adam Ferguson</w:t>
      </w:r>
      <w:r w:rsidR="00D822E3">
        <w:t xml:space="preserve"> (2 vols., London, 1995).</w:t>
      </w:r>
    </w:p>
    <w:p w14:paraId="2AC50FFB" w14:textId="77777777" w:rsidR="00CD1E0E" w:rsidRDefault="00CD1E0E"/>
    <w:p w14:paraId="6502D4F7" w14:textId="77777777" w:rsidR="00CD1E0E" w:rsidRDefault="003E73A4">
      <w:r>
        <w:t xml:space="preserve">Phillipson, </w:t>
      </w:r>
      <w:r w:rsidR="00CD1E0E">
        <w:t xml:space="preserve">Nicholas, </w:t>
      </w:r>
      <w:r w:rsidR="0031543F" w:rsidRPr="0031543F">
        <w:t>‘The Scottish Enlightenment’</w:t>
      </w:r>
      <w:r w:rsidR="0031543F">
        <w:t xml:space="preserve">, in </w:t>
      </w:r>
      <w:r w:rsidR="0031543F" w:rsidRPr="0031543F">
        <w:rPr>
          <w:i/>
        </w:rPr>
        <w:t>The Enlightenment in National Context</w:t>
      </w:r>
      <w:r w:rsidR="0031543F">
        <w:rPr>
          <w:i/>
        </w:rPr>
        <w:t xml:space="preserve">, </w:t>
      </w:r>
      <w:r w:rsidR="0031543F">
        <w:t xml:space="preserve">ed. Roy Porter and </w:t>
      </w:r>
      <w:proofErr w:type="spellStart"/>
      <w:r w:rsidR="0031543F" w:rsidRPr="0031543F">
        <w:t>Mikuláš</w:t>
      </w:r>
      <w:proofErr w:type="spellEnd"/>
      <w:r w:rsidR="0031543F" w:rsidRPr="0031543F">
        <w:t xml:space="preserve"> </w:t>
      </w:r>
      <w:proofErr w:type="spellStart"/>
      <w:r w:rsidR="0031543F" w:rsidRPr="0031543F">
        <w:t>Teich</w:t>
      </w:r>
      <w:proofErr w:type="spellEnd"/>
      <w:r w:rsidR="0031543F">
        <w:t xml:space="preserve"> (Cambridge: Cambridge University Press, 1981), 19-40.</w:t>
      </w:r>
    </w:p>
    <w:p w14:paraId="38B0FE31" w14:textId="77777777" w:rsidR="00D822E3" w:rsidRDefault="00D822E3"/>
    <w:p w14:paraId="79147E4E" w14:textId="77777777" w:rsidR="00D822E3" w:rsidRDefault="003E73A4">
      <w:r>
        <w:t xml:space="preserve">Pocock, </w:t>
      </w:r>
      <w:r w:rsidR="00D822E3">
        <w:t xml:space="preserve">J. G. A., </w:t>
      </w:r>
      <w:r w:rsidR="003C32AB" w:rsidRPr="003C32AB">
        <w:rPr>
          <w:i/>
        </w:rPr>
        <w:t>The Machiavellian Moment</w:t>
      </w:r>
      <w:r w:rsidR="005B531E">
        <w:rPr>
          <w:i/>
        </w:rPr>
        <w:t xml:space="preserve"> </w:t>
      </w:r>
      <w:r w:rsidR="005B531E">
        <w:t>(1975),</w:t>
      </w:r>
      <w:r w:rsidR="003C32AB">
        <w:t xml:space="preserve"> (</w:t>
      </w:r>
      <w:r w:rsidR="003C32AB" w:rsidRPr="003C32AB">
        <w:t>Princeton,</w:t>
      </w:r>
      <w:r w:rsidR="003C32AB">
        <w:t xml:space="preserve"> NJ: Princeton University Press, </w:t>
      </w:r>
      <w:r w:rsidR="005B531E">
        <w:t>2003</w:t>
      </w:r>
      <w:r w:rsidR="003C32AB">
        <w:t>).</w:t>
      </w:r>
    </w:p>
    <w:p w14:paraId="223E74BE" w14:textId="77777777" w:rsidR="00D822E3" w:rsidRDefault="00D822E3"/>
    <w:p w14:paraId="511160FC" w14:textId="77777777" w:rsidR="00D822E3" w:rsidRDefault="003E73A4">
      <w:r>
        <w:t xml:space="preserve">Sher, </w:t>
      </w:r>
      <w:r w:rsidR="00D822E3">
        <w:t xml:space="preserve">Richard, </w:t>
      </w:r>
      <w:r w:rsidR="005A5B2A" w:rsidRPr="005A5B2A">
        <w:t>Church and University in the Scottish Enlightenment: The Moderate Literati of Edinburgh</w:t>
      </w:r>
      <w:r w:rsidR="005A5B2A">
        <w:t xml:space="preserve"> (Edinburgh: Edinburgh University Library, 1985).</w:t>
      </w:r>
    </w:p>
    <w:p w14:paraId="22C273B9" w14:textId="77777777" w:rsidR="00D822E3" w:rsidRDefault="00D822E3"/>
    <w:p w14:paraId="18DE4153" w14:textId="77777777" w:rsidR="00D822E3" w:rsidRPr="00D822E3" w:rsidRDefault="005A5B2A" w:rsidP="005A5B2A">
      <w:r>
        <w:t xml:space="preserve">Skinner, </w:t>
      </w:r>
      <w:r w:rsidR="003E73A4">
        <w:t xml:space="preserve">Quentin, </w:t>
      </w:r>
      <w:r>
        <w:t>‘</w:t>
      </w:r>
      <w:r w:rsidRPr="00821929">
        <w:t>Meaning and Understanding in the History of Ideas</w:t>
      </w:r>
      <w:r>
        <w:t xml:space="preserve">’, </w:t>
      </w:r>
      <w:r>
        <w:rPr>
          <w:i/>
        </w:rPr>
        <w:t xml:space="preserve">History &amp; Theory, </w:t>
      </w:r>
      <w:r>
        <w:t>8 (1), 1969, 3-53.</w:t>
      </w:r>
    </w:p>
    <w:sectPr w:rsidR="00D822E3" w:rsidRPr="00D822E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691BA" w14:textId="77777777" w:rsidR="0075558B" w:rsidRDefault="0075558B" w:rsidP="008242AF">
      <w:r>
        <w:separator/>
      </w:r>
    </w:p>
  </w:endnote>
  <w:endnote w:type="continuationSeparator" w:id="0">
    <w:p w14:paraId="22AB4195" w14:textId="77777777" w:rsidR="0075558B" w:rsidRDefault="0075558B" w:rsidP="00824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097157"/>
      <w:docPartObj>
        <w:docPartGallery w:val="Page Numbers (Bottom of Page)"/>
        <w:docPartUnique/>
      </w:docPartObj>
    </w:sdtPr>
    <w:sdtEndPr>
      <w:rPr>
        <w:noProof/>
      </w:rPr>
    </w:sdtEndPr>
    <w:sdtContent>
      <w:p w14:paraId="325B9764" w14:textId="77777777" w:rsidR="00015103" w:rsidRDefault="00015103">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7ECBB582" w14:textId="77777777" w:rsidR="00015103" w:rsidRDefault="00015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43755" w14:textId="77777777" w:rsidR="0075558B" w:rsidRDefault="0075558B" w:rsidP="008242AF">
      <w:r>
        <w:separator/>
      </w:r>
    </w:p>
  </w:footnote>
  <w:footnote w:type="continuationSeparator" w:id="0">
    <w:p w14:paraId="7FCD105D" w14:textId="77777777" w:rsidR="0075558B" w:rsidRDefault="0075558B" w:rsidP="008242AF">
      <w:r>
        <w:continuationSeparator/>
      </w:r>
    </w:p>
  </w:footnote>
  <w:footnote w:id="1">
    <w:p w14:paraId="3C4C7533" w14:textId="77777777" w:rsidR="00015103" w:rsidRDefault="00015103">
      <w:pPr>
        <w:pStyle w:val="FootnoteText"/>
      </w:pPr>
      <w:r>
        <w:rPr>
          <w:rStyle w:val="FootnoteReference"/>
        </w:rPr>
        <w:footnoteRef/>
      </w:r>
      <w:r>
        <w:t xml:space="preserve"> J. G. A. Pocock, </w:t>
      </w:r>
      <w:r>
        <w:rPr>
          <w:i/>
        </w:rPr>
        <w:t xml:space="preserve">The Machiavellian Moment </w:t>
      </w:r>
      <w:r>
        <w:t>(1975), (</w:t>
      </w:r>
      <w:r w:rsidRPr="0032574C">
        <w:t>Princeton</w:t>
      </w:r>
      <w:r>
        <w:t>, NJ: Princeton University Press</w:t>
      </w:r>
      <w:r w:rsidRPr="0032574C">
        <w:t>, 2003), 499</w:t>
      </w:r>
      <w:r>
        <w:t>.</w:t>
      </w:r>
    </w:p>
  </w:footnote>
  <w:footnote w:id="2">
    <w:p w14:paraId="5C390B34" w14:textId="77777777" w:rsidR="00015103" w:rsidRDefault="00015103">
      <w:pPr>
        <w:pStyle w:val="FootnoteText"/>
      </w:pPr>
      <w:r>
        <w:rPr>
          <w:rStyle w:val="FootnoteReference"/>
        </w:rPr>
        <w:footnoteRef/>
      </w:r>
      <w:r>
        <w:t xml:space="preserve"> Ferguson to </w:t>
      </w:r>
      <w:r w:rsidRPr="004E5183">
        <w:t xml:space="preserve">Thomas </w:t>
      </w:r>
      <w:proofErr w:type="spellStart"/>
      <w:r w:rsidRPr="004E5183">
        <w:t>Cadell</w:t>
      </w:r>
      <w:proofErr w:type="spellEnd"/>
      <w:r w:rsidRPr="004E5183">
        <w:t>, 16 Nov 1792</w:t>
      </w:r>
      <w:r>
        <w:t xml:space="preserve">, in </w:t>
      </w:r>
      <w:r w:rsidRPr="004E5183">
        <w:rPr>
          <w:i/>
        </w:rPr>
        <w:t>The Correspondence of Adam Ferguson</w:t>
      </w:r>
      <w:r>
        <w:t>, e</w:t>
      </w:r>
      <w:r w:rsidRPr="004E5183">
        <w:t xml:space="preserve">d. Vincenzo </w:t>
      </w:r>
      <w:proofErr w:type="spellStart"/>
      <w:r>
        <w:t>Merolle</w:t>
      </w:r>
      <w:proofErr w:type="spellEnd"/>
      <w:r>
        <w:t xml:space="preserve"> (2 vols., London, 1995), II, 350.</w:t>
      </w:r>
    </w:p>
  </w:footnote>
  <w:footnote w:id="3">
    <w:p w14:paraId="136FB664" w14:textId="77777777" w:rsidR="00015103" w:rsidRDefault="00015103" w:rsidP="00CD53F1">
      <w:pPr>
        <w:pStyle w:val="FootnoteText"/>
      </w:pPr>
      <w:r>
        <w:rPr>
          <w:rStyle w:val="FootnoteReference"/>
        </w:rPr>
        <w:footnoteRef/>
      </w:r>
      <w:r>
        <w:t xml:space="preserve"> For other examples of holistic interpretations, see L. Hill, The Passionate Society, and the</w:t>
      </w:r>
    </w:p>
    <w:p w14:paraId="3FB4CE67" w14:textId="77777777" w:rsidR="00015103" w:rsidRDefault="00015103" w:rsidP="00CD53F1">
      <w:pPr>
        <w:pStyle w:val="FootnoteText"/>
      </w:pPr>
      <w:r>
        <w:t>briefer and more historical D. Allan, Adam Ferguson.</w:t>
      </w:r>
    </w:p>
  </w:footnote>
  <w:footnote w:id="4">
    <w:p w14:paraId="165F287A" w14:textId="77777777" w:rsidR="00015103" w:rsidRPr="00821929" w:rsidRDefault="00015103" w:rsidP="00821929">
      <w:pPr>
        <w:pStyle w:val="FootnoteText"/>
      </w:pPr>
      <w:r>
        <w:rPr>
          <w:rStyle w:val="FootnoteReference"/>
        </w:rPr>
        <w:footnoteRef/>
      </w:r>
      <w:r>
        <w:t xml:space="preserve"> Quentin Skinner, ‘</w:t>
      </w:r>
      <w:r w:rsidRPr="00821929">
        <w:t>Meaning and Understanding in the History of Ideas</w:t>
      </w:r>
      <w:r>
        <w:t xml:space="preserve">’, </w:t>
      </w:r>
      <w:r>
        <w:rPr>
          <w:i/>
        </w:rPr>
        <w:t xml:space="preserve">History &amp; Theory, </w:t>
      </w:r>
      <w:r>
        <w:t>8 (1), 1969, 3-53, at 7.</w:t>
      </w:r>
    </w:p>
  </w:footnote>
  <w:footnote w:id="5">
    <w:p w14:paraId="5BA088BD" w14:textId="77777777" w:rsidR="00015103" w:rsidRPr="000716E8" w:rsidRDefault="00015103">
      <w:pPr>
        <w:pStyle w:val="FootnoteText"/>
      </w:pPr>
      <w:r>
        <w:rPr>
          <w:rStyle w:val="FootnoteReference"/>
        </w:rPr>
        <w:footnoteRef/>
      </w:r>
      <w:r>
        <w:t xml:space="preserve"> Cited in Raymond Geuss,</w:t>
      </w:r>
      <w:r>
        <w:rPr>
          <w:i/>
        </w:rPr>
        <w:t xml:space="preserve"> Philosophy and Real Politics </w:t>
      </w:r>
      <w:r>
        <w:t>(Princeton, NJ: Princeton University Press, 2007), 3.</w:t>
      </w:r>
    </w:p>
  </w:footnote>
  <w:footnote w:id="6">
    <w:p w14:paraId="38AAB23F" w14:textId="77777777" w:rsidR="00015103" w:rsidRDefault="00015103">
      <w:pPr>
        <w:pStyle w:val="FootnoteText"/>
      </w:pPr>
      <w:r>
        <w:rPr>
          <w:rStyle w:val="FootnoteReference"/>
        </w:rPr>
        <w:footnoteRef/>
      </w:r>
      <w:r>
        <w:t xml:space="preserve"> It should be noted that neither was a moral relativist, but both were critics of what they regarded as superstitious practices.</w:t>
      </w:r>
    </w:p>
  </w:footnote>
  <w:footnote w:id="7">
    <w:p w14:paraId="0784F0D5" w14:textId="77777777" w:rsidR="00015103" w:rsidRPr="00BF6684" w:rsidRDefault="00015103">
      <w:pPr>
        <w:pStyle w:val="FootnoteText"/>
      </w:pPr>
      <w:r>
        <w:rPr>
          <w:rStyle w:val="FootnoteReference"/>
        </w:rPr>
        <w:footnoteRef/>
      </w:r>
      <w:r>
        <w:t xml:space="preserve"> In contrast to Smith, I believe that ‘conservative’ is too generic (most if not all ideologies want to conserve something, and revolutionaries usually become the most fanatical defenders of the status quo after the event), and carries too many unhelpful post nineteenth-century party political connotations to be a useful term to describe eighteenth-century politics and political thought. On this, see Richard Bourke (2018).</w:t>
      </w:r>
    </w:p>
  </w:footnote>
  <w:footnote w:id="8">
    <w:p w14:paraId="1217DBF8" w14:textId="77777777" w:rsidR="00015103" w:rsidRDefault="00015103">
      <w:pPr>
        <w:pStyle w:val="FootnoteText"/>
      </w:pPr>
      <w:r>
        <w:rPr>
          <w:rStyle w:val="FootnoteReference"/>
        </w:rPr>
        <w:footnoteRef/>
      </w:r>
      <w:r>
        <w:t xml:space="preserve"> A key study here is Richard Sher (1985).</w:t>
      </w:r>
    </w:p>
  </w:footnote>
  <w:footnote w:id="9">
    <w:p w14:paraId="385E8299" w14:textId="77777777" w:rsidR="00015103" w:rsidRPr="002C29AA" w:rsidRDefault="00015103">
      <w:pPr>
        <w:pStyle w:val="FootnoteText"/>
        <w:rPr>
          <w:i/>
        </w:rPr>
      </w:pPr>
      <w:r>
        <w:rPr>
          <w:rStyle w:val="FootnoteReference"/>
        </w:rPr>
        <w:footnoteRef/>
      </w:r>
      <w:r>
        <w:t xml:space="preserve"> Compared with Ferguson, Adam Smith had in fact much more to say in favour of government intervention, mainly in book five of the </w:t>
      </w:r>
      <w:r>
        <w:rPr>
          <w:i/>
        </w:rPr>
        <w:t>Wealth of Nations.</w:t>
      </w:r>
    </w:p>
  </w:footnote>
  <w:footnote w:id="10">
    <w:p w14:paraId="1CC508B1" w14:textId="77777777" w:rsidR="00015103" w:rsidRPr="00F77366" w:rsidRDefault="00015103">
      <w:pPr>
        <w:pStyle w:val="FootnoteText"/>
      </w:pPr>
      <w:r>
        <w:rPr>
          <w:rStyle w:val="FootnoteReference"/>
        </w:rPr>
        <w:footnoteRef/>
      </w:r>
      <w:r>
        <w:t xml:space="preserve"> Ferguson to Adam Smith, </w:t>
      </w:r>
      <w:r w:rsidRPr="00F77366">
        <w:t>18 April 1776,</w:t>
      </w:r>
      <w:r>
        <w:rPr>
          <w:b/>
        </w:rPr>
        <w:t xml:space="preserve"> </w:t>
      </w:r>
      <w:r w:rsidRPr="004E5183">
        <w:rPr>
          <w:i/>
        </w:rPr>
        <w:t>The Correspondence of Adam Ferguson</w:t>
      </w:r>
      <w:r>
        <w:rPr>
          <w:i/>
        </w:rPr>
        <w:t xml:space="preserve">, </w:t>
      </w:r>
      <w:r>
        <w:t>I, 142.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312"/>
    <w:rsid w:val="000103D7"/>
    <w:rsid w:val="00015103"/>
    <w:rsid w:val="000226B7"/>
    <w:rsid w:val="00035F98"/>
    <w:rsid w:val="0003774F"/>
    <w:rsid w:val="000716E8"/>
    <w:rsid w:val="00081B55"/>
    <w:rsid w:val="00082ACC"/>
    <w:rsid w:val="00092CE6"/>
    <w:rsid w:val="000A71E0"/>
    <w:rsid w:val="000C7A95"/>
    <w:rsid w:val="000D2284"/>
    <w:rsid w:val="000F038D"/>
    <w:rsid w:val="00122AC0"/>
    <w:rsid w:val="00124578"/>
    <w:rsid w:val="00127A61"/>
    <w:rsid w:val="00145C33"/>
    <w:rsid w:val="00173C14"/>
    <w:rsid w:val="001949E5"/>
    <w:rsid w:val="001A0490"/>
    <w:rsid w:val="001A3085"/>
    <w:rsid w:val="001A7E60"/>
    <w:rsid w:val="001B29A2"/>
    <w:rsid w:val="001B3AA2"/>
    <w:rsid w:val="001F5802"/>
    <w:rsid w:val="00200349"/>
    <w:rsid w:val="00203DE5"/>
    <w:rsid w:val="00213B05"/>
    <w:rsid w:val="00232C62"/>
    <w:rsid w:val="00233A0E"/>
    <w:rsid w:val="00235063"/>
    <w:rsid w:val="00246B08"/>
    <w:rsid w:val="002608F9"/>
    <w:rsid w:val="002622FD"/>
    <w:rsid w:val="002646E1"/>
    <w:rsid w:val="002731E3"/>
    <w:rsid w:val="002840B2"/>
    <w:rsid w:val="002854C9"/>
    <w:rsid w:val="00293AE9"/>
    <w:rsid w:val="002A3C96"/>
    <w:rsid w:val="002B199D"/>
    <w:rsid w:val="002C29AA"/>
    <w:rsid w:val="002D09A9"/>
    <w:rsid w:val="002D59A2"/>
    <w:rsid w:val="002D7D41"/>
    <w:rsid w:val="002E108C"/>
    <w:rsid w:val="002E4D21"/>
    <w:rsid w:val="002E4D3C"/>
    <w:rsid w:val="002F0945"/>
    <w:rsid w:val="00303073"/>
    <w:rsid w:val="00303F1D"/>
    <w:rsid w:val="0031543F"/>
    <w:rsid w:val="00321F28"/>
    <w:rsid w:val="0032574C"/>
    <w:rsid w:val="0033303F"/>
    <w:rsid w:val="0033681D"/>
    <w:rsid w:val="00342CFA"/>
    <w:rsid w:val="003773F0"/>
    <w:rsid w:val="00383685"/>
    <w:rsid w:val="00386743"/>
    <w:rsid w:val="00387973"/>
    <w:rsid w:val="00394707"/>
    <w:rsid w:val="003A641C"/>
    <w:rsid w:val="003B2730"/>
    <w:rsid w:val="003B3650"/>
    <w:rsid w:val="003C32AB"/>
    <w:rsid w:val="003C796E"/>
    <w:rsid w:val="003E50FD"/>
    <w:rsid w:val="003E6E12"/>
    <w:rsid w:val="003E73A4"/>
    <w:rsid w:val="003F1DD8"/>
    <w:rsid w:val="00403EBB"/>
    <w:rsid w:val="00410EA7"/>
    <w:rsid w:val="00411381"/>
    <w:rsid w:val="004133BD"/>
    <w:rsid w:val="0043019A"/>
    <w:rsid w:val="00432C36"/>
    <w:rsid w:val="00436501"/>
    <w:rsid w:val="00443ECA"/>
    <w:rsid w:val="004526E3"/>
    <w:rsid w:val="00465EC3"/>
    <w:rsid w:val="00473EDC"/>
    <w:rsid w:val="00475F51"/>
    <w:rsid w:val="004771AE"/>
    <w:rsid w:val="00483CBE"/>
    <w:rsid w:val="00486DEE"/>
    <w:rsid w:val="004901AF"/>
    <w:rsid w:val="00492D89"/>
    <w:rsid w:val="004A09B8"/>
    <w:rsid w:val="004B656E"/>
    <w:rsid w:val="004D57BB"/>
    <w:rsid w:val="004E5183"/>
    <w:rsid w:val="0052351C"/>
    <w:rsid w:val="00532097"/>
    <w:rsid w:val="00532AD0"/>
    <w:rsid w:val="00536502"/>
    <w:rsid w:val="00552408"/>
    <w:rsid w:val="00556BD7"/>
    <w:rsid w:val="00564021"/>
    <w:rsid w:val="00564E11"/>
    <w:rsid w:val="0058576C"/>
    <w:rsid w:val="00594CDE"/>
    <w:rsid w:val="005A28FB"/>
    <w:rsid w:val="005A5B2A"/>
    <w:rsid w:val="005A7971"/>
    <w:rsid w:val="005B129B"/>
    <w:rsid w:val="005B269E"/>
    <w:rsid w:val="005B531E"/>
    <w:rsid w:val="005E37DF"/>
    <w:rsid w:val="005E7E2B"/>
    <w:rsid w:val="006026AF"/>
    <w:rsid w:val="00634008"/>
    <w:rsid w:val="00655E0C"/>
    <w:rsid w:val="006567B2"/>
    <w:rsid w:val="006661D4"/>
    <w:rsid w:val="00673FCC"/>
    <w:rsid w:val="00681193"/>
    <w:rsid w:val="006A08BE"/>
    <w:rsid w:val="006B5BB3"/>
    <w:rsid w:val="006C429B"/>
    <w:rsid w:val="006D7D5F"/>
    <w:rsid w:val="006F386A"/>
    <w:rsid w:val="0070006E"/>
    <w:rsid w:val="00704271"/>
    <w:rsid w:val="00705DE4"/>
    <w:rsid w:val="0071674F"/>
    <w:rsid w:val="00716982"/>
    <w:rsid w:val="00720EF4"/>
    <w:rsid w:val="0072156F"/>
    <w:rsid w:val="007278F1"/>
    <w:rsid w:val="00742F8F"/>
    <w:rsid w:val="007440F5"/>
    <w:rsid w:val="0075558B"/>
    <w:rsid w:val="00757B71"/>
    <w:rsid w:val="00760768"/>
    <w:rsid w:val="0076352F"/>
    <w:rsid w:val="00764C88"/>
    <w:rsid w:val="00767E31"/>
    <w:rsid w:val="0078265B"/>
    <w:rsid w:val="007843E8"/>
    <w:rsid w:val="007927AA"/>
    <w:rsid w:val="007955CE"/>
    <w:rsid w:val="007A763F"/>
    <w:rsid w:val="007B461F"/>
    <w:rsid w:val="007B5626"/>
    <w:rsid w:val="007C31B7"/>
    <w:rsid w:val="007C6E82"/>
    <w:rsid w:val="007D637F"/>
    <w:rsid w:val="007D7CD5"/>
    <w:rsid w:val="007E6B0F"/>
    <w:rsid w:val="00814C57"/>
    <w:rsid w:val="00821929"/>
    <w:rsid w:val="008230D2"/>
    <w:rsid w:val="008242AF"/>
    <w:rsid w:val="00824F60"/>
    <w:rsid w:val="00841927"/>
    <w:rsid w:val="00842D47"/>
    <w:rsid w:val="00850472"/>
    <w:rsid w:val="008566CA"/>
    <w:rsid w:val="0086453D"/>
    <w:rsid w:val="00864A5D"/>
    <w:rsid w:val="00874F9A"/>
    <w:rsid w:val="00897C05"/>
    <w:rsid w:val="008A0C23"/>
    <w:rsid w:val="008B38A8"/>
    <w:rsid w:val="008B410D"/>
    <w:rsid w:val="008D1C19"/>
    <w:rsid w:val="008E4B32"/>
    <w:rsid w:val="008F1003"/>
    <w:rsid w:val="0091353D"/>
    <w:rsid w:val="00946057"/>
    <w:rsid w:val="00954B57"/>
    <w:rsid w:val="009565E7"/>
    <w:rsid w:val="00973E04"/>
    <w:rsid w:val="009A4CCD"/>
    <w:rsid w:val="009B6F1D"/>
    <w:rsid w:val="009C198C"/>
    <w:rsid w:val="009D5E44"/>
    <w:rsid w:val="009F0D4E"/>
    <w:rsid w:val="009F2D9A"/>
    <w:rsid w:val="009F2DB5"/>
    <w:rsid w:val="00A01CF6"/>
    <w:rsid w:val="00A07A39"/>
    <w:rsid w:val="00A17034"/>
    <w:rsid w:val="00A218A2"/>
    <w:rsid w:val="00A27B45"/>
    <w:rsid w:val="00A37B08"/>
    <w:rsid w:val="00A62654"/>
    <w:rsid w:val="00A6272C"/>
    <w:rsid w:val="00A83C96"/>
    <w:rsid w:val="00AA76AA"/>
    <w:rsid w:val="00AC7965"/>
    <w:rsid w:val="00AD111C"/>
    <w:rsid w:val="00AD404C"/>
    <w:rsid w:val="00AD5312"/>
    <w:rsid w:val="00AD7D07"/>
    <w:rsid w:val="00AE321B"/>
    <w:rsid w:val="00AF22EA"/>
    <w:rsid w:val="00B06B09"/>
    <w:rsid w:val="00B14090"/>
    <w:rsid w:val="00B1438E"/>
    <w:rsid w:val="00B14CD5"/>
    <w:rsid w:val="00B174E7"/>
    <w:rsid w:val="00B52984"/>
    <w:rsid w:val="00B54504"/>
    <w:rsid w:val="00B631C4"/>
    <w:rsid w:val="00B74659"/>
    <w:rsid w:val="00BB75AF"/>
    <w:rsid w:val="00BC4B98"/>
    <w:rsid w:val="00BC6129"/>
    <w:rsid w:val="00BD0BA0"/>
    <w:rsid w:val="00BE470B"/>
    <w:rsid w:val="00BE636A"/>
    <w:rsid w:val="00BF16C6"/>
    <w:rsid w:val="00BF6684"/>
    <w:rsid w:val="00C20BAA"/>
    <w:rsid w:val="00C2398C"/>
    <w:rsid w:val="00C24690"/>
    <w:rsid w:val="00C42008"/>
    <w:rsid w:val="00C43F8C"/>
    <w:rsid w:val="00C478E4"/>
    <w:rsid w:val="00C87782"/>
    <w:rsid w:val="00CA0F04"/>
    <w:rsid w:val="00CA18E3"/>
    <w:rsid w:val="00CC10EC"/>
    <w:rsid w:val="00CD1E0E"/>
    <w:rsid w:val="00CD1ECE"/>
    <w:rsid w:val="00CD53F1"/>
    <w:rsid w:val="00CE3B58"/>
    <w:rsid w:val="00CE5B9B"/>
    <w:rsid w:val="00CF3A07"/>
    <w:rsid w:val="00D02B14"/>
    <w:rsid w:val="00D372A1"/>
    <w:rsid w:val="00D46A90"/>
    <w:rsid w:val="00D5656D"/>
    <w:rsid w:val="00D606F0"/>
    <w:rsid w:val="00D6374F"/>
    <w:rsid w:val="00D6574E"/>
    <w:rsid w:val="00D71E59"/>
    <w:rsid w:val="00D72F0D"/>
    <w:rsid w:val="00D8093F"/>
    <w:rsid w:val="00D8163F"/>
    <w:rsid w:val="00D822E3"/>
    <w:rsid w:val="00D84344"/>
    <w:rsid w:val="00DE0DDC"/>
    <w:rsid w:val="00DE6A31"/>
    <w:rsid w:val="00DF19FD"/>
    <w:rsid w:val="00DF3DAE"/>
    <w:rsid w:val="00E02B57"/>
    <w:rsid w:val="00E2113C"/>
    <w:rsid w:val="00E22707"/>
    <w:rsid w:val="00E24CAF"/>
    <w:rsid w:val="00E36A2D"/>
    <w:rsid w:val="00E47913"/>
    <w:rsid w:val="00E524E9"/>
    <w:rsid w:val="00E6745D"/>
    <w:rsid w:val="00EC0F95"/>
    <w:rsid w:val="00EC62FA"/>
    <w:rsid w:val="00ED2FA0"/>
    <w:rsid w:val="00ED2FA8"/>
    <w:rsid w:val="00ED7DC8"/>
    <w:rsid w:val="00EE4CAF"/>
    <w:rsid w:val="00EE732F"/>
    <w:rsid w:val="00EF1D3B"/>
    <w:rsid w:val="00F0451F"/>
    <w:rsid w:val="00F13EE5"/>
    <w:rsid w:val="00F14DCD"/>
    <w:rsid w:val="00F160E8"/>
    <w:rsid w:val="00F20579"/>
    <w:rsid w:val="00F31681"/>
    <w:rsid w:val="00F33CF6"/>
    <w:rsid w:val="00F3720A"/>
    <w:rsid w:val="00F375F7"/>
    <w:rsid w:val="00F37E2E"/>
    <w:rsid w:val="00F41CB1"/>
    <w:rsid w:val="00F45A24"/>
    <w:rsid w:val="00F50DC6"/>
    <w:rsid w:val="00F61245"/>
    <w:rsid w:val="00F77366"/>
    <w:rsid w:val="00F94568"/>
    <w:rsid w:val="00F968B4"/>
    <w:rsid w:val="00FA3F0C"/>
    <w:rsid w:val="00FA5A9A"/>
    <w:rsid w:val="00FB369D"/>
    <w:rsid w:val="00FC3610"/>
    <w:rsid w:val="00FD182E"/>
    <w:rsid w:val="00FE1D56"/>
    <w:rsid w:val="00FF08A9"/>
    <w:rsid w:val="00FF3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10661"/>
  <w15:chartTrackingRefBased/>
  <w15:docId w15:val="{B57B58F2-5A1D-49E2-95E0-4978EBCB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70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242AF"/>
    <w:rPr>
      <w:sz w:val="20"/>
      <w:szCs w:val="20"/>
    </w:rPr>
  </w:style>
  <w:style w:type="character" w:customStyle="1" w:styleId="FootnoteTextChar">
    <w:name w:val="Footnote Text Char"/>
    <w:basedOn w:val="DefaultParagraphFont"/>
    <w:link w:val="FootnoteText"/>
    <w:uiPriority w:val="99"/>
    <w:semiHidden/>
    <w:rsid w:val="008242A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8242AF"/>
    <w:rPr>
      <w:vertAlign w:val="superscript"/>
    </w:rPr>
  </w:style>
  <w:style w:type="paragraph" w:styleId="Header">
    <w:name w:val="header"/>
    <w:basedOn w:val="Normal"/>
    <w:link w:val="HeaderChar"/>
    <w:uiPriority w:val="99"/>
    <w:unhideWhenUsed/>
    <w:rsid w:val="00321F28"/>
    <w:pPr>
      <w:tabs>
        <w:tab w:val="center" w:pos="4513"/>
        <w:tab w:val="right" w:pos="9026"/>
      </w:tabs>
    </w:pPr>
  </w:style>
  <w:style w:type="character" w:customStyle="1" w:styleId="HeaderChar">
    <w:name w:val="Header Char"/>
    <w:basedOn w:val="DefaultParagraphFont"/>
    <w:link w:val="Header"/>
    <w:uiPriority w:val="99"/>
    <w:rsid w:val="00321F28"/>
    <w:rPr>
      <w:rFonts w:ascii="Times New Roman" w:hAnsi="Times New Roman" w:cs="Times New Roman"/>
      <w:sz w:val="24"/>
      <w:szCs w:val="24"/>
    </w:rPr>
  </w:style>
  <w:style w:type="paragraph" w:styleId="Footer">
    <w:name w:val="footer"/>
    <w:basedOn w:val="Normal"/>
    <w:link w:val="FooterChar"/>
    <w:uiPriority w:val="99"/>
    <w:unhideWhenUsed/>
    <w:rsid w:val="00321F28"/>
    <w:pPr>
      <w:tabs>
        <w:tab w:val="center" w:pos="4513"/>
        <w:tab w:val="right" w:pos="9026"/>
      </w:tabs>
    </w:pPr>
  </w:style>
  <w:style w:type="character" w:customStyle="1" w:styleId="FooterChar">
    <w:name w:val="Footer Char"/>
    <w:basedOn w:val="DefaultParagraphFont"/>
    <w:link w:val="Footer"/>
    <w:uiPriority w:val="99"/>
    <w:rsid w:val="00321F2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18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176F6-1002-4B9D-BDB4-D306B6E59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4594</TotalTime>
  <Pages>1</Pages>
  <Words>1783</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Skjönsberg</dc:creator>
  <cp:keywords/>
  <dc:description/>
  <cp:lastModifiedBy>Max Skjonsberg</cp:lastModifiedBy>
  <cp:revision>272</cp:revision>
  <dcterms:created xsi:type="dcterms:W3CDTF">2018-12-21T18:55:00Z</dcterms:created>
  <dcterms:modified xsi:type="dcterms:W3CDTF">2019-03-25T11:19:00Z</dcterms:modified>
</cp:coreProperties>
</file>