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8A9" w:rsidRPr="00535588" w:rsidRDefault="00022C8E" w:rsidP="00D549DD">
      <w:pPr>
        <w:spacing w:line="360" w:lineRule="auto"/>
        <w:rPr>
          <w:b/>
        </w:rPr>
      </w:pPr>
      <w:r w:rsidRPr="00022C8E">
        <w:rPr>
          <w:b/>
          <w:i/>
        </w:rPr>
        <w:t>Commerce and Peace in the Enlightenment</w:t>
      </w:r>
      <w:r w:rsidR="00535588">
        <w:rPr>
          <w:b/>
          <w:i/>
        </w:rPr>
        <w:t xml:space="preserve">, </w:t>
      </w:r>
      <w:r w:rsidR="00535588">
        <w:rPr>
          <w:b/>
        </w:rPr>
        <w:t xml:space="preserve">ed. </w:t>
      </w:r>
      <w:proofErr w:type="spellStart"/>
      <w:r w:rsidR="003E03DD">
        <w:rPr>
          <w:b/>
        </w:rPr>
        <w:t>Béla</w:t>
      </w:r>
      <w:proofErr w:type="spellEnd"/>
      <w:r w:rsidR="003E03DD">
        <w:rPr>
          <w:b/>
        </w:rPr>
        <w:t xml:space="preserve"> </w:t>
      </w:r>
      <w:proofErr w:type="spellStart"/>
      <w:r w:rsidR="003E03DD">
        <w:rPr>
          <w:b/>
        </w:rPr>
        <w:t>Kapossy</w:t>
      </w:r>
      <w:proofErr w:type="spellEnd"/>
      <w:r w:rsidR="003E03DD">
        <w:rPr>
          <w:b/>
        </w:rPr>
        <w:t xml:space="preserve">, Isaac </w:t>
      </w:r>
      <w:proofErr w:type="spellStart"/>
      <w:r w:rsidR="003E03DD">
        <w:rPr>
          <w:b/>
        </w:rPr>
        <w:t>Nakhimovsky</w:t>
      </w:r>
      <w:proofErr w:type="spellEnd"/>
      <w:r w:rsidR="003E03DD">
        <w:rPr>
          <w:b/>
        </w:rPr>
        <w:t xml:space="preserve"> and Richard </w:t>
      </w:r>
      <w:proofErr w:type="spellStart"/>
      <w:r w:rsidR="003E03DD">
        <w:rPr>
          <w:b/>
        </w:rPr>
        <w:t>Whatmore</w:t>
      </w:r>
      <w:proofErr w:type="spellEnd"/>
      <w:r w:rsidR="003E03DD">
        <w:rPr>
          <w:b/>
        </w:rPr>
        <w:t xml:space="preserve">, Cambridge, Cambridge University Press, 2017, 362 pp., £75 (hardback), £21.99 (paperback), ISBN </w:t>
      </w:r>
      <w:r w:rsidR="003E03DD" w:rsidRPr="003E03DD">
        <w:rPr>
          <w:b/>
        </w:rPr>
        <w:t>9781108403979</w:t>
      </w:r>
      <w:r w:rsidR="003E03DD">
        <w:rPr>
          <w:b/>
        </w:rPr>
        <w:t>.</w:t>
      </w:r>
    </w:p>
    <w:p w:rsidR="000339CB" w:rsidRDefault="000339CB" w:rsidP="00D549DD">
      <w:pPr>
        <w:spacing w:line="360" w:lineRule="auto"/>
        <w:rPr>
          <w:b/>
          <w:i/>
        </w:rPr>
      </w:pPr>
    </w:p>
    <w:p w:rsidR="000339CB" w:rsidRDefault="000339CB" w:rsidP="00D549DD">
      <w:pPr>
        <w:spacing w:line="360" w:lineRule="auto"/>
      </w:pPr>
      <w:r>
        <w:t>Max Skjönsberg, University of St Andrews</w:t>
      </w:r>
    </w:p>
    <w:p w:rsidR="003E03DD" w:rsidRPr="000339CB" w:rsidRDefault="003E03DD" w:rsidP="00D549DD">
      <w:pPr>
        <w:spacing w:line="360" w:lineRule="auto"/>
      </w:pPr>
      <w:r>
        <w:t>mss5@st-andrews.ac.uk</w:t>
      </w:r>
    </w:p>
    <w:p w:rsidR="00022C8E" w:rsidRDefault="00022C8E" w:rsidP="00D549DD">
      <w:pPr>
        <w:spacing w:line="360" w:lineRule="auto"/>
      </w:pPr>
    </w:p>
    <w:p w:rsidR="002068A9" w:rsidRDefault="002068A9" w:rsidP="00D549DD">
      <w:pPr>
        <w:spacing w:line="360" w:lineRule="auto"/>
      </w:pPr>
      <w:bookmarkStart w:id="0" w:name="_GoBack"/>
      <w:proofErr w:type="spellStart"/>
      <w:r>
        <w:t>Istvan</w:t>
      </w:r>
      <w:proofErr w:type="spellEnd"/>
      <w:r>
        <w:t xml:space="preserve"> </w:t>
      </w:r>
      <w:proofErr w:type="spellStart"/>
      <w:r>
        <w:t>Hont</w:t>
      </w:r>
      <w:proofErr w:type="spellEnd"/>
      <w:r>
        <w:t xml:space="preserve"> (1947-2013)</w:t>
      </w:r>
      <w:r w:rsidR="00650001">
        <w:t xml:space="preserve"> </w:t>
      </w:r>
      <w:r>
        <w:t xml:space="preserve">was </w:t>
      </w:r>
      <w:r w:rsidR="00111786">
        <w:t>undeniably</w:t>
      </w:r>
      <w:r>
        <w:t xml:space="preserve"> one of the most </w:t>
      </w:r>
      <w:r w:rsidR="00C2388C">
        <w:t>influential</w:t>
      </w:r>
      <w:r w:rsidR="00111786">
        <w:t xml:space="preserve"> </w:t>
      </w:r>
      <w:r>
        <w:t xml:space="preserve">intellectual historians in Britain of the past few decades, as the number of </w:t>
      </w:r>
      <w:r w:rsidRPr="00EE379B">
        <w:t>festschriften</w:t>
      </w:r>
      <w:r>
        <w:t xml:space="preserve"> in recent years attest.</w:t>
      </w:r>
      <w:r w:rsidR="00242D72" w:rsidRPr="002068A9">
        <w:rPr>
          <w:i/>
        </w:rPr>
        <w:t xml:space="preserve"> </w:t>
      </w:r>
      <w:bookmarkEnd w:id="0"/>
      <w:r w:rsidR="00022C8E" w:rsidRPr="002068A9">
        <w:rPr>
          <w:i/>
        </w:rPr>
        <w:t>Commerce and Peace in the Enlightenment</w:t>
      </w:r>
      <w:r w:rsidR="00022C8E">
        <w:rPr>
          <w:i/>
        </w:rPr>
        <w:t xml:space="preserve"> </w:t>
      </w:r>
      <w:r>
        <w:t xml:space="preserve">is edited by some of </w:t>
      </w:r>
      <w:proofErr w:type="spellStart"/>
      <w:r>
        <w:t>Hont’s</w:t>
      </w:r>
      <w:proofErr w:type="spellEnd"/>
      <w:r>
        <w:t xml:space="preserve"> doctoral students and includes contributions </w:t>
      </w:r>
      <w:r w:rsidR="006E019D">
        <w:t xml:space="preserve">from </w:t>
      </w:r>
      <w:r w:rsidR="00A4556E">
        <w:t>a generation of</w:t>
      </w:r>
      <w:r>
        <w:t xml:space="preserve"> scholars</w:t>
      </w:r>
      <w:r w:rsidR="007D3CC2">
        <w:t xml:space="preserve"> he</w:t>
      </w:r>
      <w:r>
        <w:t xml:space="preserve"> </w:t>
      </w:r>
      <w:r w:rsidR="00650001">
        <w:t>su</w:t>
      </w:r>
      <w:r w:rsidR="007D3CC2">
        <w:t>pervised, taught or inspired</w:t>
      </w:r>
      <w:r w:rsidR="00242D72">
        <w:t>, mainly at the University of Cambridge, where he spent the greater part of his career.</w:t>
      </w:r>
      <w:r>
        <w:t xml:space="preserve"> It </w:t>
      </w:r>
      <w:r w:rsidR="00C95616">
        <w:t>should</w:t>
      </w:r>
      <w:r>
        <w:t xml:space="preserve"> be considered together with </w:t>
      </w:r>
      <w:r w:rsidRPr="002068A9">
        <w:rPr>
          <w:i/>
        </w:rPr>
        <w:t>Markets, Morals, Politics</w:t>
      </w:r>
      <w:r w:rsidR="00C95616">
        <w:rPr>
          <w:i/>
        </w:rPr>
        <w:t xml:space="preserve"> </w:t>
      </w:r>
      <w:r w:rsidR="00C95616">
        <w:t>(Harvard University Press, 2018)</w:t>
      </w:r>
      <w:r>
        <w:rPr>
          <w:i/>
        </w:rPr>
        <w:t xml:space="preserve">, </w:t>
      </w:r>
      <w:r w:rsidR="008713E1">
        <w:t xml:space="preserve">put together </w:t>
      </w:r>
      <w:r>
        <w:t xml:space="preserve">by the same </w:t>
      </w:r>
      <w:r w:rsidR="002446B7">
        <w:t xml:space="preserve">group of </w:t>
      </w:r>
      <w:r>
        <w:t xml:space="preserve">editors plus Sophus </w:t>
      </w:r>
      <w:proofErr w:type="spellStart"/>
      <w:r>
        <w:t>Rei</w:t>
      </w:r>
      <w:r w:rsidR="00051C2B">
        <w:t>ne</w:t>
      </w:r>
      <w:r>
        <w:t>rt</w:t>
      </w:r>
      <w:proofErr w:type="spellEnd"/>
      <w:r>
        <w:t xml:space="preserve">, </w:t>
      </w:r>
      <w:r w:rsidR="005A5481">
        <w:t xml:space="preserve">and </w:t>
      </w:r>
      <w:r>
        <w:t xml:space="preserve">which includes contributions from </w:t>
      </w:r>
      <w:proofErr w:type="spellStart"/>
      <w:r>
        <w:t>Hont’s</w:t>
      </w:r>
      <w:proofErr w:type="spellEnd"/>
      <w:r>
        <w:t xml:space="preserve"> peers, among them John Dunn, Richard Tuck and Gareth Stedman Jones.</w:t>
      </w:r>
      <w:r w:rsidR="00216A77">
        <w:t xml:space="preserve"> The only overlap besides the Introductions is Michael </w:t>
      </w:r>
      <w:proofErr w:type="spellStart"/>
      <w:r w:rsidR="00216A77">
        <w:t>Sonenscher</w:t>
      </w:r>
      <w:proofErr w:type="spellEnd"/>
      <w:r w:rsidR="00216A77">
        <w:t xml:space="preserve">, </w:t>
      </w:r>
      <w:proofErr w:type="spellStart"/>
      <w:r w:rsidR="00216A77">
        <w:t>Hont’s</w:t>
      </w:r>
      <w:proofErr w:type="spellEnd"/>
      <w:r w:rsidR="00216A77">
        <w:t xml:space="preserve"> Cambridge colleague, who has written an afterword to the present volume.</w:t>
      </w:r>
    </w:p>
    <w:p w:rsidR="00D068F3" w:rsidRDefault="00D068F3" w:rsidP="00D549DD">
      <w:pPr>
        <w:spacing w:line="360" w:lineRule="auto"/>
      </w:pPr>
    </w:p>
    <w:p w:rsidR="003B25E3" w:rsidRDefault="00D068F3" w:rsidP="00D549DD">
      <w:pPr>
        <w:spacing w:line="360" w:lineRule="auto"/>
      </w:pPr>
      <w:proofErr w:type="spellStart"/>
      <w:r>
        <w:t>Hont’s</w:t>
      </w:r>
      <w:proofErr w:type="spellEnd"/>
      <w:r>
        <w:t xml:space="preserve"> research engaged with the interplay between political economy</w:t>
      </w:r>
      <w:r w:rsidR="006E4C9C">
        <w:t xml:space="preserve"> and international relations with particular focus on</w:t>
      </w:r>
      <w:r>
        <w:t xml:space="preserve"> </w:t>
      </w:r>
      <w:r w:rsidR="003B25E3">
        <w:t>eighteenth-</w:t>
      </w:r>
      <w:r>
        <w:t>century</w:t>
      </w:r>
      <w:r w:rsidR="003B25E3">
        <w:t xml:space="preserve"> Europe</w:t>
      </w:r>
      <w:r>
        <w:t>.</w:t>
      </w:r>
      <w:r w:rsidR="00CD42A8">
        <w:t xml:space="preserve"> In 2008 and 2009, he organised two workshops o</w:t>
      </w:r>
      <w:r w:rsidR="00C720C6">
        <w:t xml:space="preserve">n commerce and perpetual peace </w:t>
      </w:r>
      <w:r w:rsidR="00571507">
        <w:t>(</w:t>
      </w:r>
      <w:r w:rsidR="003B25E3">
        <w:t>3-4), out of which the present volume is spun.</w:t>
      </w:r>
      <w:r w:rsidR="003B25E3">
        <w:rPr>
          <w:i/>
        </w:rPr>
        <w:t xml:space="preserve"> </w:t>
      </w:r>
      <w:proofErr w:type="spellStart"/>
      <w:r w:rsidR="002068A9">
        <w:t>Hont</w:t>
      </w:r>
      <w:proofErr w:type="spellEnd"/>
      <w:r w:rsidR="002068A9">
        <w:t xml:space="preserve"> never published a monogra</w:t>
      </w:r>
      <w:r w:rsidR="00206265">
        <w:t xml:space="preserve">ph in his lifetime. Instead he </w:t>
      </w:r>
      <w:r w:rsidR="002068A9">
        <w:t xml:space="preserve">is best known for editing (with Michael </w:t>
      </w:r>
      <w:proofErr w:type="spellStart"/>
      <w:r w:rsidR="002068A9">
        <w:t>Ignatieff</w:t>
      </w:r>
      <w:proofErr w:type="spellEnd"/>
      <w:r w:rsidR="002068A9">
        <w:t xml:space="preserve">) </w:t>
      </w:r>
      <w:r w:rsidR="002068A9">
        <w:rPr>
          <w:i/>
        </w:rPr>
        <w:t xml:space="preserve">Wealth and Virtue: </w:t>
      </w:r>
      <w:r w:rsidR="002068A9" w:rsidRPr="002068A9">
        <w:rPr>
          <w:i/>
        </w:rPr>
        <w:t>The Shaping of Political Economy in the Scottish Enlightenment</w:t>
      </w:r>
      <w:r w:rsidR="002068A9">
        <w:rPr>
          <w:i/>
        </w:rPr>
        <w:t xml:space="preserve"> </w:t>
      </w:r>
      <w:r w:rsidR="00206265">
        <w:t>(1983) and for h</w:t>
      </w:r>
      <w:r w:rsidR="002068A9">
        <w:t xml:space="preserve">is own essay collection </w:t>
      </w:r>
      <w:r w:rsidR="002068A9">
        <w:rPr>
          <w:i/>
        </w:rPr>
        <w:t xml:space="preserve">Jealousy of Trade </w:t>
      </w:r>
      <w:r w:rsidR="002068A9">
        <w:t>(2005). To the latter, he wrote a 150-page introduction</w:t>
      </w:r>
      <w:r w:rsidR="002446B7">
        <w:t xml:space="preserve">, which </w:t>
      </w:r>
      <w:r w:rsidR="009F4CD5">
        <w:t>functions</w:t>
      </w:r>
      <w:r w:rsidR="001F7C54">
        <w:t xml:space="preserve"> as a</w:t>
      </w:r>
      <w:r w:rsidR="0068446D">
        <w:t>n outline and a</w:t>
      </w:r>
      <w:r w:rsidR="00242D72">
        <w:t xml:space="preserve"> </w:t>
      </w:r>
      <w:r w:rsidR="005A5481">
        <w:t>synthesis</w:t>
      </w:r>
      <w:r w:rsidR="00E07090">
        <w:t xml:space="preserve"> of his</w:t>
      </w:r>
      <w:r w:rsidR="00394584">
        <w:t xml:space="preserve"> </w:t>
      </w:r>
      <w:r w:rsidR="00A43395">
        <w:t xml:space="preserve">extensive </w:t>
      </w:r>
      <w:r w:rsidR="00E07090">
        <w:t>research</w:t>
      </w:r>
      <w:r w:rsidR="005A5481">
        <w:t xml:space="preserve"> into questions of sociability, </w:t>
      </w:r>
      <w:r w:rsidR="00B64835">
        <w:t>economic thought</w:t>
      </w:r>
      <w:r w:rsidR="00103102">
        <w:t xml:space="preserve">, nationalism </w:t>
      </w:r>
      <w:r w:rsidR="005A5481">
        <w:t xml:space="preserve">and </w:t>
      </w:r>
      <w:r w:rsidR="00F03376">
        <w:t>transnational</w:t>
      </w:r>
      <w:r w:rsidR="005A5481">
        <w:t xml:space="preserve"> competition</w:t>
      </w:r>
      <w:r w:rsidR="00B05FB4">
        <w:t>.</w:t>
      </w:r>
    </w:p>
    <w:p w:rsidR="00881476" w:rsidRDefault="00881476" w:rsidP="00D549DD">
      <w:pPr>
        <w:spacing w:line="360" w:lineRule="auto"/>
      </w:pPr>
    </w:p>
    <w:p w:rsidR="00B92537" w:rsidRDefault="00B05FB4" w:rsidP="00D549DD">
      <w:pPr>
        <w:spacing w:line="360" w:lineRule="auto"/>
      </w:pPr>
      <w:r>
        <w:t xml:space="preserve">In the spirit of </w:t>
      </w:r>
      <w:proofErr w:type="spellStart"/>
      <w:r>
        <w:t>Hont</w:t>
      </w:r>
      <w:proofErr w:type="spellEnd"/>
      <w:r>
        <w:t xml:space="preserve">, </w:t>
      </w:r>
      <w:r w:rsidR="00881476">
        <w:rPr>
          <w:i/>
        </w:rPr>
        <w:t xml:space="preserve">Commerce and Peace </w:t>
      </w:r>
      <w:r w:rsidR="00881476">
        <w:t xml:space="preserve">is not intended as a work exclusively about the past, but seeks </w:t>
      </w:r>
      <w:r w:rsidR="009E4228">
        <w:t xml:space="preserve">(usually indirectly) </w:t>
      </w:r>
      <w:r w:rsidR="00881476">
        <w:t xml:space="preserve">to </w:t>
      </w:r>
      <w:r w:rsidR="009E4228">
        <w:t>shed light on</w:t>
      </w:r>
      <w:r w:rsidR="00881476">
        <w:t xml:space="preserve"> ‘the extent to which enlightenment controversies continue to influence and illuminate politics and society today’</w:t>
      </w:r>
      <w:r>
        <w:t xml:space="preserve"> (4). </w:t>
      </w:r>
      <w:r w:rsidR="00881476">
        <w:t>A</w:t>
      </w:r>
      <w:r w:rsidR="00D13E58">
        <w:t xml:space="preserve"> politicall</w:t>
      </w:r>
      <w:r w:rsidR="00881476">
        <w:t xml:space="preserve">y minded historian, </w:t>
      </w:r>
      <w:proofErr w:type="spellStart"/>
      <w:r w:rsidR="00881476">
        <w:t>Hont</w:t>
      </w:r>
      <w:proofErr w:type="spellEnd"/>
      <w:r w:rsidR="00881476">
        <w:t xml:space="preserve"> </w:t>
      </w:r>
      <w:r w:rsidR="005B1698">
        <w:t xml:space="preserve">firmly </w:t>
      </w:r>
      <w:r w:rsidR="00D13E58">
        <w:t>believed that</w:t>
      </w:r>
      <w:r w:rsidR="006125AE">
        <w:t xml:space="preserve"> we should study past political thought in order to understand modern politics.</w:t>
      </w:r>
      <w:r w:rsidR="00D13E58">
        <w:t xml:space="preserve"> </w:t>
      </w:r>
      <w:r w:rsidR="00AC56A8">
        <w:t xml:space="preserve">‘Why else would you do it?’ </w:t>
      </w:r>
      <w:r w:rsidR="00AA75B2">
        <w:t xml:space="preserve">he </w:t>
      </w:r>
      <w:r w:rsidR="00DB7C79">
        <w:t xml:space="preserve">once </w:t>
      </w:r>
      <w:r w:rsidR="00AA75B2">
        <w:t xml:space="preserve">told his friend </w:t>
      </w:r>
      <w:r w:rsidR="00F03376">
        <w:lastRenderedPageBreak/>
        <w:t xml:space="preserve">and colleague </w:t>
      </w:r>
      <w:r w:rsidR="006E4C9C">
        <w:t>Raymond Geu</w:t>
      </w:r>
      <w:r w:rsidR="00AA75B2">
        <w:t>ss.</w:t>
      </w:r>
      <w:r w:rsidR="00AA75B2">
        <w:rPr>
          <w:rStyle w:val="FootnoteReference"/>
        </w:rPr>
        <w:footnoteReference w:id="1"/>
      </w:r>
      <w:r w:rsidR="00AA75B2">
        <w:t xml:space="preserve"> </w:t>
      </w:r>
      <w:r w:rsidR="007A506E">
        <w:t xml:space="preserve">This strand in his thinking appears to have become more pronounced in his later years. In </w:t>
      </w:r>
      <w:r w:rsidR="00881476">
        <w:t xml:space="preserve">his posthumous </w:t>
      </w:r>
      <w:r w:rsidR="007A506E">
        <w:rPr>
          <w:i/>
        </w:rPr>
        <w:t xml:space="preserve">Politics in Commercial </w:t>
      </w:r>
      <w:r w:rsidR="00103667">
        <w:rPr>
          <w:i/>
        </w:rPr>
        <w:t>Society</w:t>
      </w:r>
      <w:r w:rsidR="007A506E">
        <w:rPr>
          <w:i/>
        </w:rPr>
        <w:t xml:space="preserve">, </w:t>
      </w:r>
      <w:proofErr w:type="spellStart"/>
      <w:r w:rsidR="00397BBC">
        <w:t>Hont</w:t>
      </w:r>
      <w:proofErr w:type="spellEnd"/>
      <w:r w:rsidR="007A506E">
        <w:t xml:space="preserve"> ingeniously </w:t>
      </w:r>
      <w:r w:rsidR="00C845E0">
        <w:t>but</w:t>
      </w:r>
      <w:r w:rsidR="00397BBC">
        <w:t xml:space="preserve"> hyperbolically s</w:t>
      </w:r>
      <w:r w:rsidR="007A506E">
        <w:t xml:space="preserve">aid that modern politics is a </w:t>
      </w:r>
      <w:r w:rsidR="002778C1">
        <w:t>combination</w:t>
      </w:r>
      <w:r w:rsidR="007A506E">
        <w:t xml:space="preserve"> of the </w:t>
      </w:r>
      <w:r w:rsidR="000E4605">
        <w:t xml:space="preserve">respective </w:t>
      </w:r>
      <w:r w:rsidR="007A506E">
        <w:t>visions of Jean-Jacques Rousseau and Adam Smith.</w:t>
      </w:r>
      <w:r w:rsidR="007A506E">
        <w:rPr>
          <w:rStyle w:val="FootnoteReference"/>
        </w:rPr>
        <w:footnoteReference w:id="2"/>
      </w:r>
      <w:r w:rsidR="00397BBC">
        <w:t xml:space="preserve"> </w:t>
      </w:r>
      <w:r w:rsidR="008D77BE">
        <w:t xml:space="preserve">The same confidence </w:t>
      </w:r>
      <w:r w:rsidR="00CD1236">
        <w:t>infuses</w:t>
      </w:r>
      <w:r w:rsidR="008D77BE">
        <w:t xml:space="preserve"> </w:t>
      </w:r>
      <w:r w:rsidR="008D77BE" w:rsidRPr="008D77BE">
        <w:rPr>
          <w:i/>
        </w:rPr>
        <w:t>Jealousy of Trade</w:t>
      </w:r>
      <w:r w:rsidR="008D77BE">
        <w:t>.</w:t>
      </w:r>
      <w:r w:rsidR="00397BBC">
        <w:t xml:space="preserve"> </w:t>
      </w:r>
      <w:proofErr w:type="spellStart"/>
      <w:r w:rsidR="008D77BE">
        <w:t>Hont</w:t>
      </w:r>
      <w:proofErr w:type="spellEnd"/>
      <w:r w:rsidR="008D77BE">
        <w:t xml:space="preserve"> w</w:t>
      </w:r>
      <w:r w:rsidR="00B92537">
        <w:t xml:space="preserve">as </w:t>
      </w:r>
      <w:r w:rsidR="00D13E58">
        <w:t xml:space="preserve">convinced </w:t>
      </w:r>
      <w:r w:rsidR="00B548CD">
        <w:t xml:space="preserve">that it </w:t>
      </w:r>
      <w:r w:rsidR="00816D21">
        <w:t>is</w:t>
      </w:r>
      <w:r w:rsidR="00B548CD">
        <w:t xml:space="preserve"> the </w:t>
      </w:r>
      <w:r w:rsidR="00D13E58">
        <w:t>eighteenth century, and</w:t>
      </w:r>
      <w:r w:rsidR="00B548CD">
        <w:t xml:space="preserve"> especially</w:t>
      </w:r>
      <w:r w:rsidR="00D13E58">
        <w:t xml:space="preserve"> the contribution</w:t>
      </w:r>
      <w:r w:rsidR="003A73A3">
        <w:t>s</w:t>
      </w:r>
      <w:r w:rsidR="00D13E58">
        <w:t xml:space="preserve"> of the Scots David Hume and Smith, to which we have to turn to best understand the modern world.</w:t>
      </w:r>
      <w:r w:rsidR="00C35A1F">
        <w:t xml:space="preserve"> As </w:t>
      </w:r>
      <w:proofErr w:type="spellStart"/>
      <w:r w:rsidR="00C35A1F">
        <w:t>Geuss</w:t>
      </w:r>
      <w:proofErr w:type="spellEnd"/>
      <w:r w:rsidR="00C35A1F">
        <w:t xml:space="preserve"> points out, </w:t>
      </w:r>
      <w:proofErr w:type="spellStart"/>
      <w:r w:rsidR="00C35A1F">
        <w:t>Hont’s</w:t>
      </w:r>
      <w:proofErr w:type="spellEnd"/>
      <w:r w:rsidR="00C35A1F">
        <w:t xml:space="preserve"> ‘mitigated scepticism’</w:t>
      </w:r>
      <w:r w:rsidR="002023D0">
        <w:t xml:space="preserve"> (adopted from Hume)</w:t>
      </w:r>
      <w:r w:rsidR="00C35A1F">
        <w:t xml:space="preserve"> certainly</w:t>
      </w:r>
      <w:r w:rsidR="00297B46">
        <w:t xml:space="preserve"> did</w:t>
      </w:r>
      <w:r w:rsidR="00C35A1F">
        <w:t xml:space="preserve"> not extend to him doubting his own </w:t>
      </w:r>
      <w:r w:rsidR="008D64F3">
        <w:t>scholarly</w:t>
      </w:r>
      <w:r w:rsidR="00C35A1F">
        <w:t xml:space="preserve"> commitments.</w:t>
      </w:r>
      <w:r w:rsidR="00C115F6">
        <w:rPr>
          <w:rStyle w:val="FootnoteReference"/>
        </w:rPr>
        <w:footnoteReference w:id="3"/>
      </w:r>
      <w:r w:rsidR="00E25152">
        <w:t xml:space="preserve"> </w:t>
      </w:r>
      <w:r w:rsidR="00582F92">
        <w:t>The</w:t>
      </w:r>
      <w:r w:rsidR="00D13E58">
        <w:t xml:space="preserve"> chief boon of </w:t>
      </w:r>
      <w:r w:rsidR="00C07958">
        <w:t>the writings</w:t>
      </w:r>
      <w:r w:rsidR="00D13E58">
        <w:t xml:space="preserve"> of Hume and Smith</w:t>
      </w:r>
      <w:r w:rsidR="00582F92">
        <w:t xml:space="preserve">, according to </w:t>
      </w:r>
      <w:proofErr w:type="spellStart"/>
      <w:r w:rsidR="00582F92">
        <w:t>Hont</w:t>
      </w:r>
      <w:proofErr w:type="spellEnd"/>
      <w:r w:rsidR="00582F92">
        <w:t>,</w:t>
      </w:r>
      <w:r w:rsidR="00D13E58">
        <w:t xml:space="preserve"> </w:t>
      </w:r>
      <w:r w:rsidR="00A8256F">
        <w:t>is</w:t>
      </w:r>
      <w:r w:rsidR="00D13E58">
        <w:t xml:space="preserve"> that they </w:t>
      </w:r>
      <w:r w:rsidR="00972E11">
        <w:t>viewed</w:t>
      </w:r>
      <w:r w:rsidR="00D13E58">
        <w:t xml:space="preserve"> politics and </w:t>
      </w:r>
      <w:r w:rsidR="00972E11">
        <w:t xml:space="preserve">the economy as inseparable and </w:t>
      </w:r>
      <w:r w:rsidR="0068446D">
        <w:t>thought and wrote about them together</w:t>
      </w:r>
      <w:r w:rsidR="006F76E0">
        <w:t xml:space="preserve"> (on this, see also 337-45)</w:t>
      </w:r>
      <w:r w:rsidR="00CB77CD">
        <w:t>.</w:t>
      </w:r>
      <w:r w:rsidR="00972E11">
        <w:t xml:space="preserve"> </w:t>
      </w:r>
      <w:r w:rsidR="00A52AB6">
        <w:t>T</w:t>
      </w:r>
      <w:r w:rsidR="00341965">
        <w:t>his approach</w:t>
      </w:r>
      <w:r w:rsidR="00D13E58">
        <w:t xml:space="preserve"> </w:t>
      </w:r>
      <w:proofErr w:type="spellStart"/>
      <w:r w:rsidR="00A52AB6">
        <w:t>Hont</w:t>
      </w:r>
      <w:proofErr w:type="spellEnd"/>
      <w:r w:rsidR="00A52AB6">
        <w:t xml:space="preserve"> contrasted </w:t>
      </w:r>
      <w:r w:rsidR="00D13E58">
        <w:t xml:space="preserve">with the purely political and economic approaches of Machiavelli and Marx respectively. </w:t>
      </w:r>
      <w:r w:rsidR="00936BC8">
        <w:t xml:space="preserve">As Hume wrote </w:t>
      </w:r>
      <w:r w:rsidR="00116BA5">
        <w:t xml:space="preserve">in </w:t>
      </w:r>
      <w:r w:rsidR="00936BC8">
        <w:t>an essay originally entitled ‘Of Liberty and Despotism’ (1741): ‘Trade was never esteemed an affair of state till the last century’.</w:t>
      </w:r>
      <w:r w:rsidR="00936BC8">
        <w:rPr>
          <w:rStyle w:val="FootnoteReference"/>
        </w:rPr>
        <w:footnoteReference w:id="4"/>
      </w:r>
      <w:r w:rsidR="00936BC8">
        <w:t xml:space="preserve"> </w:t>
      </w:r>
      <w:r w:rsidR="00B92537">
        <w:t xml:space="preserve">As the </w:t>
      </w:r>
      <w:r w:rsidR="009D5F50">
        <w:t>2018 trade</w:t>
      </w:r>
      <w:r w:rsidR="00B92537">
        <w:t xml:space="preserve"> war between the US and China shows, it has remaine</w:t>
      </w:r>
      <w:r w:rsidR="00742FCF">
        <w:t>d</w:t>
      </w:r>
      <w:r w:rsidR="006B27B1">
        <w:t xml:space="preserve"> an affair of state ever since.</w:t>
      </w:r>
    </w:p>
    <w:p w:rsidR="00B92537" w:rsidRDefault="00B92537" w:rsidP="00D549DD">
      <w:pPr>
        <w:spacing w:line="360" w:lineRule="auto"/>
      </w:pPr>
    </w:p>
    <w:p w:rsidR="0081695B" w:rsidRDefault="006125AE" w:rsidP="00D549DD">
      <w:pPr>
        <w:spacing w:line="360" w:lineRule="auto"/>
      </w:pPr>
      <w:r>
        <w:t xml:space="preserve">Although much of </w:t>
      </w:r>
      <w:proofErr w:type="spellStart"/>
      <w:r>
        <w:t>Hont’s</w:t>
      </w:r>
      <w:proofErr w:type="spellEnd"/>
      <w:r>
        <w:t xml:space="preserve"> research was occupied with </w:t>
      </w:r>
      <w:r w:rsidR="00345C73">
        <w:t>Hume and Smith</w:t>
      </w:r>
      <w:r>
        <w:t xml:space="preserve">, </w:t>
      </w:r>
      <w:r w:rsidR="0048594C">
        <w:t>his</w:t>
      </w:r>
      <w:r>
        <w:t xml:space="preserve"> </w:t>
      </w:r>
      <w:r w:rsidR="00C06034">
        <w:t>modus operandi</w:t>
      </w:r>
      <w:r>
        <w:t xml:space="preserve"> was not c</w:t>
      </w:r>
      <w:r w:rsidR="00C06034">
        <w:t>anonical but contextual</w:t>
      </w:r>
      <w:r>
        <w:t xml:space="preserve">. </w:t>
      </w:r>
      <w:r w:rsidRPr="002F7961">
        <w:rPr>
          <w:rStyle w:val="SubtitleChar"/>
        </w:rPr>
        <w:t xml:space="preserve">He is rightly </w:t>
      </w:r>
      <w:r w:rsidR="00017382" w:rsidRPr="002F7961">
        <w:rPr>
          <w:rStyle w:val="SubtitleChar"/>
        </w:rPr>
        <w:t>celebrated</w:t>
      </w:r>
      <w:r w:rsidRPr="002F7961">
        <w:rPr>
          <w:rStyle w:val="SubtitleChar"/>
        </w:rPr>
        <w:t xml:space="preserve"> for recovering thinkers and texts </w:t>
      </w:r>
      <w:r w:rsidR="00B3653B" w:rsidRPr="002F7961">
        <w:rPr>
          <w:rStyle w:val="SubtitleChar"/>
        </w:rPr>
        <w:t>which</w:t>
      </w:r>
      <w:r w:rsidRPr="002F7961">
        <w:rPr>
          <w:rStyle w:val="SubtitleChar"/>
        </w:rPr>
        <w:t xml:space="preserve"> may be lesser known and often ignore</w:t>
      </w:r>
      <w:r w:rsidR="00B96849" w:rsidRPr="002F7961">
        <w:rPr>
          <w:rStyle w:val="SubtitleChar"/>
        </w:rPr>
        <w:t xml:space="preserve">d today, not out of antiquarianism </w:t>
      </w:r>
      <w:r w:rsidR="00AC4529" w:rsidRPr="002F7961">
        <w:rPr>
          <w:rStyle w:val="SubtitleChar"/>
        </w:rPr>
        <w:t xml:space="preserve">but for the sake of </w:t>
      </w:r>
      <w:r w:rsidRPr="002F7961">
        <w:rPr>
          <w:rStyle w:val="SubtitleChar"/>
        </w:rPr>
        <w:t>their past import.</w:t>
      </w:r>
      <w:r>
        <w:t xml:space="preserve"> Great examples here are </w:t>
      </w:r>
      <w:proofErr w:type="spellStart"/>
      <w:r>
        <w:t>Fénelon’s</w:t>
      </w:r>
      <w:proofErr w:type="spellEnd"/>
      <w:r>
        <w:t xml:space="preserve"> </w:t>
      </w:r>
      <w:r>
        <w:rPr>
          <w:i/>
        </w:rPr>
        <w:t xml:space="preserve">Telemachus </w:t>
      </w:r>
      <w:r>
        <w:t>and Charles Davenant’s ec</w:t>
      </w:r>
      <w:r w:rsidR="002C6387">
        <w:t>onomic writin</w:t>
      </w:r>
      <w:r w:rsidR="00755402">
        <w:t>gs</w:t>
      </w:r>
      <w:r w:rsidR="00017382">
        <w:t xml:space="preserve"> at the turn of the eighteenth century</w:t>
      </w:r>
      <w:r w:rsidR="00755402">
        <w:t>.</w:t>
      </w:r>
      <w:r w:rsidR="00B3653B">
        <w:t xml:space="preserve"> </w:t>
      </w:r>
      <w:r>
        <w:t>With essays on Isaac de Pinto</w:t>
      </w:r>
      <w:r w:rsidR="00DD32A5">
        <w:t xml:space="preserve"> (</w:t>
      </w:r>
      <w:r w:rsidR="00BF2F2A">
        <w:t xml:space="preserve">by </w:t>
      </w:r>
      <w:r w:rsidR="0081695B">
        <w:t xml:space="preserve">Koen </w:t>
      </w:r>
      <w:proofErr w:type="spellStart"/>
      <w:r w:rsidR="00DD32A5">
        <w:t>Stapelbroek</w:t>
      </w:r>
      <w:proofErr w:type="spellEnd"/>
      <w:r w:rsidR="00DD32A5">
        <w:t>)</w:t>
      </w:r>
      <w:r>
        <w:t xml:space="preserve">, </w:t>
      </w:r>
      <w:r w:rsidR="008908AC">
        <w:t xml:space="preserve">Cesare </w:t>
      </w:r>
      <w:r>
        <w:t>Beccaria</w:t>
      </w:r>
      <w:r w:rsidR="00051C2B">
        <w:t xml:space="preserve"> (</w:t>
      </w:r>
      <w:r w:rsidR="00BF2F2A">
        <w:t>by</w:t>
      </w:r>
      <w:r w:rsidR="0081695B">
        <w:t xml:space="preserve"> </w:t>
      </w:r>
      <w:proofErr w:type="spellStart"/>
      <w:r w:rsidR="00051C2B">
        <w:t>Reinert</w:t>
      </w:r>
      <w:proofErr w:type="spellEnd"/>
      <w:r w:rsidR="00051C2B">
        <w:t>)</w:t>
      </w:r>
      <w:r>
        <w:t>, and</w:t>
      </w:r>
      <w:r w:rsidR="006D42A2">
        <w:t xml:space="preserve"> Karl Ludwig von</w:t>
      </w:r>
      <w:r>
        <w:t xml:space="preserve"> Haller</w:t>
      </w:r>
      <w:r w:rsidR="00051C2B">
        <w:t xml:space="preserve"> (by </w:t>
      </w:r>
      <w:proofErr w:type="spellStart"/>
      <w:r w:rsidR="0081695B">
        <w:t>Béla</w:t>
      </w:r>
      <w:proofErr w:type="spellEnd"/>
      <w:r w:rsidR="0081695B">
        <w:t xml:space="preserve"> </w:t>
      </w:r>
      <w:proofErr w:type="spellStart"/>
      <w:r w:rsidR="00051C2B">
        <w:t>Kapossy</w:t>
      </w:r>
      <w:proofErr w:type="spellEnd"/>
      <w:r w:rsidR="00051C2B">
        <w:t>)</w:t>
      </w:r>
      <w:r>
        <w:t xml:space="preserve">, none of whom are likely to feature </w:t>
      </w:r>
      <w:r w:rsidR="00051C2B">
        <w:t xml:space="preserve">on many </w:t>
      </w:r>
      <w:r w:rsidR="0043304D">
        <w:t xml:space="preserve">history course </w:t>
      </w:r>
      <w:r w:rsidR="00051C2B">
        <w:t>syllabi</w:t>
      </w:r>
      <w:r w:rsidR="001D185D">
        <w:t xml:space="preserve"> at least in the Anglophone world</w:t>
      </w:r>
      <w:r w:rsidR="00051C2B">
        <w:t xml:space="preserve">, </w:t>
      </w:r>
      <w:r w:rsidR="009D6701">
        <w:rPr>
          <w:i/>
        </w:rPr>
        <w:t>Commerce and Peace</w:t>
      </w:r>
      <w:r>
        <w:rPr>
          <w:i/>
        </w:rPr>
        <w:t xml:space="preserve"> </w:t>
      </w:r>
      <w:r>
        <w:t xml:space="preserve">does </w:t>
      </w:r>
      <w:r w:rsidR="009D6701">
        <w:t xml:space="preserve">great </w:t>
      </w:r>
      <w:r>
        <w:t xml:space="preserve">justice to </w:t>
      </w:r>
      <w:r w:rsidR="0081695B">
        <w:t xml:space="preserve">this aspect of </w:t>
      </w:r>
      <w:proofErr w:type="spellStart"/>
      <w:r>
        <w:t>Hont’</w:t>
      </w:r>
      <w:r w:rsidR="0081695B">
        <w:t>s</w:t>
      </w:r>
      <w:proofErr w:type="spellEnd"/>
      <w:r w:rsidR="0081695B">
        <w:t xml:space="preserve"> legacy. </w:t>
      </w:r>
      <w:r w:rsidR="0097143F">
        <w:t>In fact,</w:t>
      </w:r>
      <w:r w:rsidR="009D0CBF">
        <w:t xml:space="preserve"> apart from the Introduction,</w:t>
      </w:r>
      <w:r w:rsidR="0097143F">
        <w:t xml:space="preserve"> n</w:t>
      </w:r>
      <w:r w:rsidR="00022C8E">
        <w:t>one of the essays</w:t>
      </w:r>
      <w:r w:rsidR="0097143F">
        <w:t xml:space="preserve"> in </w:t>
      </w:r>
      <w:r w:rsidR="0097143F">
        <w:rPr>
          <w:i/>
        </w:rPr>
        <w:t>Commerce and Peace</w:t>
      </w:r>
      <w:r w:rsidR="00022C8E">
        <w:t xml:space="preserve"> are about Hume or Smith, and only one </w:t>
      </w:r>
      <w:r w:rsidR="00AA4227">
        <w:t xml:space="preserve">directly </w:t>
      </w:r>
      <w:r w:rsidR="00022C8E">
        <w:t>addresses the area of studies commonly known as the Scottish Enlightenment</w:t>
      </w:r>
      <w:r w:rsidR="009F7C12">
        <w:t xml:space="preserve"> (Iain McDaniel’s very interesting essay on the </w:t>
      </w:r>
      <w:r w:rsidR="005B4C5E">
        <w:t>afterlife</w:t>
      </w:r>
      <w:r w:rsidR="009F7C12">
        <w:t xml:space="preserve"> of Andrew Fletcher</w:t>
      </w:r>
      <w:r w:rsidR="005B4C5E">
        <w:t>’s thought</w:t>
      </w:r>
      <w:r w:rsidR="009F7C12">
        <w:t xml:space="preserve"> in the second half of the eighteenth century)</w:t>
      </w:r>
      <w:r w:rsidR="00022C8E">
        <w:t>.</w:t>
      </w:r>
      <w:r w:rsidR="00F85524">
        <w:t xml:space="preserve"> </w:t>
      </w:r>
      <w:r w:rsidR="00666AA6">
        <w:t xml:space="preserve">Richard </w:t>
      </w:r>
      <w:proofErr w:type="spellStart"/>
      <w:r w:rsidR="00666AA6">
        <w:t>Whatmore’</w:t>
      </w:r>
      <w:r w:rsidR="00BF5320">
        <w:t>s</w:t>
      </w:r>
      <w:proofErr w:type="spellEnd"/>
      <w:r w:rsidR="00BF5320">
        <w:t xml:space="preserve"> contribution discusses</w:t>
      </w:r>
      <w:r w:rsidR="00666AA6">
        <w:t xml:space="preserve"> an outside </w:t>
      </w:r>
      <w:r w:rsidR="00164E73">
        <w:lastRenderedPageBreak/>
        <w:t>(</w:t>
      </w:r>
      <w:r w:rsidR="00BF5320">
        <w:t>chiefly</w:t>
      </w:r>
      <w:r w:rsidR="002057A4">
        <w:t xml:space="preserve"> Genevan</w:t>
      </w:r>
      <w:r w:rsidR="00164E73">
        <w:t>)</w:t>
      </w:r>
      <w:r w:rsidR="002057A4">
        <w:t xml:space="preserve"> </w:t>
      </w:r>
      <w:r w:rsidR="00666AA6">
        <w:t xml:space="preserve">perspective on Scotland </w:t>
      </w:r>
      <w:r w:rsidR="002057A4">
        <w:t>at the end of the eighteenth century</w:t>
      </w:r>
      <w:r w:rsidR="00BF5320">
        <w:t xml:space="preserve"> (236-41)</w:t>
      </w:r>
      <w:r w:rsidR="00E813D6">
        <w:t xml:space="preserve"> </w:t>
      </w:r>
      <w:r w:rsidR="008976A9">
        <w:t>–</w:t>
      </w:r>
      <w:r w:rsidR="00E813D6">
        <w:t xml:space="preserve"> </w:t>
      </w:r>
      <w:r w:rsidR="00666AA6">
        <w:t xml:space="preserve">a teaser of his ‘The End of Enlightenment’ project. </w:t>
      </w:r>
      <w:r w:rsidR="00DD32A5">
        <w:t xml:space="preserve">Most of the essays in the </w:t>
      </w:r>
      <w:r w:rsidR="003D09DB">
        <w:t>collection</w:t>
      </w:r>
      <w:r w:rsidR="00DD32A5">
        <w:rPr>
          <w:i/>
        </w:rPr>
        <w:t xml:space="preserve"> </w:t>
      </w:r>
      <w:r w:rsidR="00DD32A5">
        <w:t>are eighteenth-century focused</w:t>
      </w:r>
      <w:r w:rsidR="008E28FE">
        <w:t xml:space="preserve"> (as </w:t>
      </w:r>
      <w:r w:rsidR="008E28FE">
        <w:rPr>
          <w:i/>
        </w:rPr>
        <w:t xml:space="preserve">Enlightenment </w:t>
      </w:r>
      <w:r w:rsidR="008E28FE">
        <w:t>in its title indicates)</w:t>
      </w:r>
      <w:r w:rsidR="00314268">
        <w:t>, even though it starts with a</w:t>
      </w:r>
      <w:r w:rsidR="00DD32A5">
        <w:t xml:space="preserve"> James Harrington essay by Mark </w:t>
      </w:r>
      <w:proofErr w:type="spellStart"/>
      <w:r w:rsidR="00DD32A5">
        <w:t>Somos</w:t>
      </w:r>
      <w:proofErr w:type="spellEnd"/>
      <w:r w:rsidR="00DD32A5">
        <w:t xml:space="preserve"> and ends in the twentieth century with Duncan Kelly’s </w:t>
      </w:r>
      <w:r w:rsidR="00484496">
        <w:t>contribution</w:t>
      </w:r>
      <w:r w:rsidR="00DD32A5">
        <w:t>, which itself ran</w:t>
      </w:r>
      <w:r w:rsidR="00345C73">
        <w:t>ges from</w:t>
      </w:r>
      <w:r w:rsidR="00FA755D">
        <w:t xml:space="preserve"> John</w:t>
      </w:r>
      <w:r w:rsidR="003D0A7A">
        <w:t xml:space="preserve"> Locke to Carl </w:t>
      </w:r>
      <w:r w:rsidR="00F45AC7">
        <w:t xml:space="preserve">Joachim </w:t>
      </w:r>
      <w:r w:rsidR="003D0A7A">
        <w:t>Friedrich.</w:t>
      </w:r>
    </w:p>
    <w:p w:rsidR="00434148" w:rsidRDefault="00434148" w:rsidP="00D549DD">
      <w:pPr>
        <w:spacing w:line="360" w:lineRule="auto"/>
      </w:pPr>
    </w:p>
    <w:p w:rsidR="00434148" w:rsidRDefault="00A62436" w:rsidP="00D549DD">
      <w:pPr>
        <w:spacing w:line="360" w:lineRule="auto"/>
      </w:pPr>
      <w:r>
        <w:t>Intentionally, m</w:t>
      </w:r>
      <w:r w:rsidR="00720B2C">
        <w:t xml:space="preserve">any of the </w:t>
      </w:r>
      <w:r w:rsidR="00681B8D">
        <w:t>chapters</w:t>
      </w:r>
      <w:r w:rsidR="00720B2C">
        <w:t xml:space="preserve"> in </w:t>
      </w:r>
      <w:r w:rsidR="00720B2C">
        <w:rPr>
          <w:i/>
        </w:rPr>
        <w:t xml:space="preserve">Commerce and Peace </w:t>
      </w:r>
      <w:r w:rsidR="00720B2C">
        <w:t xml:space="preserve">overlap with </w:t>
      </w:r>
      <w:proofErr w:type="spellStart"/>
      <w:r w:rsidR="00720B2C">
        <w:t>Hont’s</w:t>
      </w:r>
      <w:proofErr w:type="spellEnd"/>
      <w:r w:rsidR="00720B2C">
        <w:t xml:space="preserve"> </w:t>
      </w:r>
      <w:r w:rsidR="004231F1">
        <w:t>work</w:t>
      </w:r>
      <w:r w:rsidR="00720B2C">
        <w:t>.</w:t>
      </w:r>
      <w:r w:rsidR="00434148">
        <w:t xml:space="preserve"> </w:t>
      </w:r>
      <w:r w:rsidR="00A41A99">
        <w:t xml:space="preserve">A </w:t>
      </w:r>
      <w:r w:rsidR="00A73C3F">
        <w:t>case in point</w:t>
      </w:r>
      <w:r w:rsidR="00A41A99">
        <w:t xml:space="preserve"> is </w:t>
      </w:r>
      <w:r w:rsidR="00434148">
        <w:t xml:space="preserve">Isaac </w:t>
      </w:r>
      <w:proofErr w:type="spellStart"/>
      <w:r w:rsidR="00434148">
        <w:t>Nakhimovsky</w:t>
      </w:r>
      <w:r w:rsidR="00A41A99">
        <w:t>’</w:t>
      </w:r>
      <w:r w:rsidR="00FB1FDB">
        <w:t>s</w:t>
      </w:r>
      <w:proofErr w:type="spellEnd"/>
      <w:r w:rsidR="00FB1FDB">
        <w:t xml:space="preserve"> essay on</w:t>
      </w:r>
      <w:r w:rsidR="00720B2C">
        <w:t xml:space="preserve"> </w:t>
      </w:r>
      <w:r w:rsidR="00434148">
        <w:t xml:space="preserve">Voltaire’s and Frederick the Great’s </w:t>
      </w:r>
      <w:r w:rsidR="00434148">
        <w:rPr>
          <w:i/>
        </w:rPr>
        <w:t>Anti-Machiavel</w:t>
      </w:r>
      <w:r w:rsidR="00720B2C">
        <w:rPr>
          <w:i/>
        </w:rPr>
        <w:t xml:space="preserve">, </w:t>
      </w:r>
      <w:r w:rsidR="0030410B">
        <w:t xml:space="preserve">a </w:t>
      </w:r>
      <w:r w:rsidR="00434148">
        <w:t xml:space="preserve">key text singled out by </w:t>
      </w:r>
      <w:proofErr w:type="spellStart"/>
      <w:r w:rsidR="00434148">
        <w:t>Hont</w:t>
      </w:r>
      <w:proofErr w:type="spellEnd"/>
      <w:r w:rsidR="00434148">
        <w:t xml:space="preserve"> in </w:t>
      </w:r>
      <w:r w:rsidR="00434148">
        <w:rPr>
          <w:i/>
        </w:rPr>
        <w:t xml:space="preserve">Jealousy of Trade. </w:t>
      </w:r>
      <w:proofErr w:type="spellStart"/>
      <w:r w:rsidR="002C66FF">
        <w:t>Nakhimovsky</w:t>
      </w:r>
      <w:proofErr w:type="spellEnd"/>
      <w:r w:rsidR="00720B2C">
        <w:t xml:space="preserve"> places the work in the context </w:t>
      </w:r>
      <w:r w:rsidR="00556DA1">
        <w:t>of</w:t>
      </w:r>
      <w:r w:rsidR="00720B2C">
        <w:t xml:space="preserve"> the </w:t>
      </w:r>
      <w:r w:rsidR="00720B2C" w:rsidRPr="00720B2C">
        <w:t xml:space="preserve">dramatis </w:t>
      </w:r>
      <w:r w:rsidR="0006571B">
        <w:t xml:space="preserve">personae of </w:t>
      </w:r>
      <w:r w:rsidR="00720B2C">
        <w:t xml:space="preserve">the </w:t>
      </w:r>
      <w:proofErr w:type="spellStart"/>
      <w:r w:rsidR="0006571B">
        <w:t>Hont</w:t>
      </w:r>
      <w:r w:rsidR="00720B2C">
        <w:t>ian</w:t>
      </w:r>
      <w:proofErr w:type="spellEnd"/>
      <w:r w:rsidR="0006571B">
        <w:t xml:space="preserve"> unive</w:t>
      </w:r>
      <w:r w:rsidR="00AE09E2">
        <w:t xml:space="preserve">rse, including </w:t>
      </w:r>
      <w:proofErr w:type="spellStart"/>
      <w:r w:rsidR="00AE09E2">
        <w:t>Fénelon</w:t>
      </w:r>
      <w:proofErr w:type="spellEnd"/>
      <w:r w:rsidR="00AE09E2">
        <w:t>, Colbert</w:t>
      </w:r>
      <w:r w:rsidR="0006571B">
        <w:t xml:space="preserve"> </w:t>
      </w:r>
      <w:r w:rsidR="00AC09FB">
        <w:t xml:space="preserve">and </w:t>
      </w:r>
      <w:r w:rsidR="002A3B42">
        <w:t>Jean-Fran</w:t>
      </w:r>
      <w:r w:rsidR="002A3B42" w:rsidRPr="002A3B42">
        <w:t>ç</w:t>
      </w:r>
      <w:r w:rsidR="002A3B42">
        <w:t xml:space="preserve">ois </w:t>
      </w:r>
      <w:r w:rsidR="00720B2C">
        <w:t>Melon</w:t>
      </w:r>
      <w:r w:rsidR="00FE60BB">
        <w:t>. H</w:t>
      </w:r>
      <w:r w:rsidR="00D652B0">
        <w:t xml:space="preserve">e adds to the </w:t>
      </w:r>
      <w:r w:rsidR="00D50031">
        <w:t>roster</w:t>
      </w:r>
      <w:r w:rsidR="00AE09E2">
        <w:t xml:space="preserve"> by introducing </w:t>
      </w:r>
      <w:r w:rsidR="00D652B0">
        <w:t xml:space="preserve">Marquis </w:t>
      </w:r>
      <w:proofErr w:type="spellStart"/>
      <w:proofErr w:type="gramStart"/>
      <w:r w:rsidR="00D652B0">
        <w:t>d</w:t>
      </w:r>
      <w:r w:rsidR="00E36D27">
        <w:t>’</w:t>
      </w:r>
      <w:r w:rsidR="00D652B0">
        <w:t>Argenson</w:t>
      </w:r>
      <w:proofErr w:type="spellEnd"/>
      <w:proofErr w:type="gramEnd"/>
      <w:r w:rsidR="00D652B0">
        <w:t xml:space="preserve">, who is only briefly mentioned in the last essay of </w:t>
      </w:r>
      <w:r w:rsidR="00D652B0">
        <w:rPr>
          <w:i/>
        </w:rPr>
        <w:t xml:space="preserve">Jealousy of Trade. </w:t>
      </w:r>
      <w:r w:rsidR="00AC09FB">
        <w:t xml:space="preserve">The </w:t>
      </w:r>
      <w:r w:rsidR="00434791">
        <w:t>rationale</w:t>
      </w:r>
      <w:r w:rsidR="00AC09FB">
        <w:t xml:space="preserve"> behind </w:t>
      </w:r>
      <w:r w:rsidR="00AC09FB">
        <w:rPr>
          <w:i/>
        </w:rPr>
        <w:t xml:space="preserve">Anti-Machiavel, </w:t>
      </w:r>
      <w:proofErr w:type="spellStart"/>
      <w:r w:rsidR="00AC09FB">
        <w:t>Nakhimovsky</w:t>
      </w:r>
      <w:proofErr w:type="spellEnd"/>
      <w:r w:rsidR="00AC09FB">
        <w:t xml:space="preserve"> argues, was to strike</w:t>
      </w:r>
      <w:r w:rsidR="00720B2C">
        <w:t xml:space="preserve"> a balance between the </w:t>
      </w:r>
      <w:r w:rsidR="00C33D23">
        <w:t xml:space="preserve">moral pessimism of </w:t>
      </w:r>
      <w:r w:rsidR="00720B2C">
        <w:rPr>
          <w:i/>
        </w:rPr>
        <w:t xml:space="preserve">The Prince </w:t>
      </w:r>
      <w:r w:rsidR="00720B2C">
        <w:t xml:space="preserve">and </w:t>
      </w:r>
      <w:r w:rsidR="00C33D23">
        <w:t xml:space="preserve">the optimism of </w:t>
      </w:r>
      <w:r w:rsidR="00AC09FB">
        <w:rPr>
          <w:i/>
        </w:rPr>
        <w:t xml:space="preserve">Telemachus, </w:t>
      </w:r>
      <w:r w:rsidR="006B70F8">
        <w:t xml:space="preserve">and to moderate rather than condemn the self-interest of the ruler </w:t>
      </w:r>
      <w:r w:rsidR="005365DD">
        <w:t xml:space="preserve">(56). </w:t>
      </w:r>
      <w:r w:rsidR="00EE3DC5">
        <w:rPr>
          <w:i/>
        </w:rPr>
        <w:t xml:space="preserve">Anti-Machiavel </w:t>
      </w:r>
      <w:r w:rsidR="00EE3DC5">
        <w:t xml:space="preserve">is thus best read as a revision </w:t>
      </w:r>
      <w:r w:rsidR="004B498E">
        <w:t>and not</w:t>
      </w:r>
      <w:r w:rsidR="00EE3DC5">
        <w:t xml:space="preserve"> </w:t>
      </w:r>
      <w:r w:rsidR="008E7AAF">
        <w:t>a rejection of reason of state</w:t>
      </w:r>
      <w:r w:rsidR="005E4F39">
        <w:t>, whereby princes are advised to abandon glory-seeking military expeditions and instead concentrate on the welfare of their peoples</w:t>
      </w:r>
      <w:r w:rsidR="00936350">
        <w:t xml:space="preserve"> in an age of commerce</w:t>
      </w:r>
      <w:r w:rsidR="005E4F39">
        <w:t xml:space="preserve"> (62</w:t>
      </w:r>
      <w:r w:rsidR="00936350">
        <w:t>, 77</w:t>
      </w:r>
      <w:r w:rsidR="005E4F39">
        <w:t>).</w:t>
      </w:r>
      <w:r w:rsidR="008E7AAF">
        <w:t xml:space="preserve"> </w:t>
      </w:r>
      <w:r w:rsidR="000C553D">
        <w:t>An</w:t>
      </w:r>
      <w:r w:rsidR="007369A8">
        <w:t xml:space="preserve"> interesting aspect of the essay is the rift </w:t>
      </w:r>
      <w:proofErr w:type="spellStart"/>
      <w:r w:rsidR="007369A8">
        <w:t>Nakhimovsky</w:t>
      </w:r>
      <w:proofErr w:type="spellEnd"/>
      <w:r w:rsidR="007369A8">
        <w:t xml:space="preserve"> </w:t>
      </w:r>
      <w:r w:rsidR="00A06F74">
        <w:t>describes</w:t>
      </w:r>
      <w:r w:rsidR="007369A8">
        <w:t xml:space="preserve"> between Voltaire and Frederick, with the latter wanting to make space for conquest (in the interest of the people</w:t>
      </w:r>
      <w:r w:rsidR="00E36D27">
        <w:t xml:space="preserve"> rather than princely ambition</w:t>
      </w:r>
      <w:r w:rsidR="007369A8">
        <w:t>) in anti-Machiavellian politics (69).</w:t>
      </w:r>
      <w:r w:rsidR="00AB4411">
        <w:t xml:space="preserve"> This suggest</w:t>
      </w:r>
      <w:r w:rsidR="00A867DE">
        <w:t>s</w:t>
      </w:r>
      <w:r w:rsidR="00AB4411">
        <w:t xml:space="preserve"> that there may not have been as much distance between Frederick</w:t>
      </w:r>
      <w:r w:rsidR="00945F8A">
        <w:t xml:space="preserve"> the philosopher-king and the </w:t>
      </w:r>
      <w:r w:rsidR="00AB4411">
        <w:t xml:space="preserve">warlike prince as </w:t>
      </w:r>
      <w:r w:rsidR="001D5C9B">
        <w:t xml:space="preserve">is </w:t>
      </w:r>
      <w:r w:rsidR="003B545D">
        <w:t>sometimes</w:t>
      </w:r>
      <w:r w:rsidR="0093715D">
        <w:t xml:space="preserve"> assumed</w:t>
      </w:r>
      <w:r w:rsidR="001D5C9B">
        <w:t>.</w:t>
      </w:r>
      <w:r w:rsidR="00945F8A">
        <w:t xml:space="preserve"> In a secret </w:t>
      </w:r>
      <w:r w:rsidR="00945F8A">
        <w:rPr>
          <w:i/>
        </w:rPr>
        <w:t xml:space="preserve">Political Testament </w:t>
      </w:r>
      <w:r w:rsidR="00945F8A">
        <w:t xml:space="preserve">from 1752, Frederick admitted that ‘Machiavelli is right’: offence was sometimes the only </w:t>
      </w:r>
      <w:r w:rsidR="008E1A56">
        <w:t xml:space="preserve">way to </w:t>
      </w:r>
      <w:proofErr w:type="spellStart"/>
      <w:r w:rsidR="008E1A56" w:rsidRPr="008E1A56">
        <w:rPr>
          <w:i/>
        </w:rPr>
        <w:t>mantenere</w:t>
      </w:r>
      <w:proofErr w:type="spellEnd"/>
      <w:r w:rsidR="008E1A56" w:rsidRPr="008E1A56">
        <w:rPr>
          <w:i/>
        </w:rPr>
        <w:t xml:space="preserve"> lo </w:t>
      </w:r>
      <w:proofErr w:type="spellStart"/>
      <w:r w:rsidR="008E1A56" w:rsidRPr="008E1A56">
        <w:rPr>
          <w:i/>
        </w:rPr>
        <w:t>stato</w:t>
      </w:r>
      <w:proofErr w:type="spellEnd"/>
      <w:r w:rsidR="008E1A56" w:rsidRPr="008E1A56">
        <w:t xml:space="preserve"> </w:t>
      </w:r>
      <w:r w:rsidR="00A74E91">
        <w:t>in global power politics</w:t>
      </w:r>
      <w:r w:rsidR="00945F8A">
        <w:t xml:space="preserve"> (73).</w:t>
      </w:r>
    </w:p>
    <w:p w:rsidR="00A73C3F" w:rsidRDefault="00A73C3F" w:rsidP="00D549DD">
      <w:pPr>
        <w:spacing w:line="360" w:lineRule="auto"/>
      </w:pPr>
    </w:p>
    <w:p w:rsidR="00A73C3F" w:rsidRDefault="00A73C3F" w:rsidP="00D549DD">
      <w:pPr>
        <w:spacing w:line="360" w:lineRule="auto"/>
      </w:pPr>
      <w:proofErr w:type="spellStart"/>
      <w:r>
        <w:t>Reinert’s</w:t>
      </w:r>
      <w:proofErr w:type="spellEnd"/>
      <w:r>
        <w:t xml:space="preserve"> essay treats the Italian legal reformer Beccaria, who was widely read and cited in the eighteenth century</w:t>
      </w:r>
      <w:r w:rsidR="00FF02C3">
        <w:t xml:space="preserve"> (and by Michel Foucault in the twentieth century)</w:t>
      </w:r>
      <w:r>
        <w:t xml:space="preserve">. Although Beccaria is not mentioned in </w:t>
      </w:r>
      <w:r>
        <w:rPr>
          <w:i/>
        </w:rPr>
        <w:t xml:space="preserve">Jealousy of Trade, </w:t>
      </w:r>
      <w:r>
        <w:t xml:space="preserve">the essay </w:t>
      </w:r>
      <w:r w:rsidR="00037DCA">
        <w:t xml:space="preserve">develops </w:t>
      </w:r>
      <w:r>
        <w:t xml:space="preserve">one of </w:t>
      </w:r>
      <w:proofErr w:type="spellStart"/>
      <w:r>
        <w:t>Hont’s</w:t>
      </w:r>
      <w:proofErr w:type="spellEnd"/>
      <w:r>
        <w:t xml:space="preserve"> </w:t>
      </w:r>
      <w:r w:rsidR="00A257EA">
        <w:t>fascinating</w:t>
      </w:r>
      <w:r>
        <w:t xml:space="preserve"> findings: that the original ‘socialists’ in the eighteenth century were followers of Samuel von </w:t>
      </w:r>
      <w:proofErr w:type="spellStart"/>
      <w:r>
        <w:t>Pufendorf</w:t>
      </w:r>
      <w:proofErr w:type="spellEnd"/>
      <w:r>
        <w:t xml:space="preserve">, who, in </w:t>
      </w:r>
      <w:r w:rsidR="00CA23B1">
        <w:t>opposition to</w:t>
      </w:r>
      <w:r>
        <w:t xml:space="preserve"> Hobbes’s nature-government dichotomy, theorised ‘society’ and were thus ‘society-</w:t>
      </w:r>
      <w:proofErr w:type="spellStart"/>
      <w:r>
        <w:t>ists</w:t>
      </w:r>
      <w:proofErr w:type="spellEnd"/>
      <w:r>
        <w:t>’.</w:t>
      </w:r>
      <w:r>
        <w:rPr>
          <w:rStyle w:val="FootnoteReference"/>
        </w:rPr>
        <w:footnoteReference w:id="5"/>
      </w:r>
      <w:r w:rsidR="00E1457B">
        <w:t xml:space="preserve"> </w:t>
      </w:r>
      <w:r w:rsidR="00380105">
        <w:t>In</w:t>
      </w:r>
      <w:r w:rsidR="00E1457B">
        <w:t xml:space="preserve"> </w:t>
      </w:r>
      <w:proofErr w:type="spellStart"/>
      <w:r w:rsidR="00E1457B">
        <w:t>Reinert</w:t>
      </w:r>
      <w:r w:rsidR="00380105">
        <w:t>’s</w:t>
      </w:r>
      <w:proofErr w:type="spellEnd"/>
      <w:r w:rsidR="00380105">
        <w:t xml:space="preserve"> independent</w:t>
      </w:r>
      <w:r w:rsidR="00E1457B">
        <w:t xml:space="preserve"> </w:t>
      </w:r>
      <w:r w:rsidR="00380105">
        <w:t>story</w:t>
      </w:r>
      <w:r w:rsidR="00E1457B">
        <w:t>,</w:t>
      </w:r>
      <w:r w:rsidR="00511791">
        <w:t xml:space="preserve"> he demonstrates that</w:t>
      </w:r>
      <w:r w:rsidR="00E1457B">
        <w:t xml:space="preserve"> </w:t>
      </w:r>
      <w:r w:rsidR="004D72AB">
        <w:t>‘socialist’</w:t>
      </w:r>
      <w:r w:rsidR="00E1457B">
        <w:t xml:space="preserve"> </w:t>
      </w:r>
      <w:r w:rsidR="001512A9">
        <w:lastRenderedPageBreak/>
        <w:t xml:space="preserve">in the eighteenth century </w:t>
      </w:r>
      <w:r w:rsidR="00E1457B">
        <w:t xml:space="preserve">was a derogatory term </w:t>
      </w:r>
      <w:r w:rsidR="005C36D5">
        <w:t xml:space="preserve">and </w:t>
      </w:r>
      <w:r w:rsidR="004D72AB">
        <w:t xml:space="preserve">first used in vernacular print in relation to Beccaria’s </w:t>
      </w:r>
      <w:r w:rsidR="004D72AB">
        <w:rPr>
          <w:i/>
        </w:rPr>
        <w:t xml:space="preserve">On Crimes and Punishments </w:t>
      </w:r>
      <w:r w:rsidR="00DF1E27">
        <w:t>(1762)</w:t>
      </w:r>
      <w:r w:rsidR="00E1457B">
        <w:t>.</w:t>
      </w:r>
      <w:r w:rsidR="00DF1E27">
        <w:t xml:space="preserve"> </w:t>
      </w:r>
      <w:r w:rsidR="00854F93">
        <w:t>A socialist</w:t>
      </w:r>
      <w:r w:rsidR="00DF1E27">
        <w:t xml:space="preserve"> </w:t>
      </w:r>
      <w:r w:rsidR="00AE60E2">
        <w:t xml:space="preserve">in this </w:t>
      </w:r>
      <w:r w:rsidR="00DC3570">
        <w:t>censure</w:t>
      </w:r>
      <w:r w:rsidR="00AE60E2">
        <w:t xml:space="preserve"> was a proponent</w:t>
      </w:r>
      <w:r w:rsidR="00DF1E27">
        <w:t xml:space="preserve"> of commercial society, who believed ‘that political economy trumped theology as a matrix for social organization</w:t>
      </w:r>
      <w:r w:rsidR="001E401F">
        <w:t>’</w:t>
      </w:r>
      <w:r w:rsidR="006567E1">
        <w:t xml:space="preserve"> (128).</w:t>
      </w:r>
      <w:r w:rsidR="00B50596">
        <w:t xml:space="preserve"> Socialism, in other words, was coined ‘to critique gradual secular reformism’</w:t>
      </w:r>
      <w:r w:rsidR="00EC1B7C">
        <w:t xml:space="preserve"> (152)</w:t>
      </w:r>
      <w:r w:rsidR="00B50596">
        <w:t>, and Beccaria in particular.</w:t>
      </w:r>
      <w:r w:rsidR="00EC1B7C">
        <w:t xml:space="preserve"> This must surely count as one of </w:t>
      </w:r>
      <w:r w:rsidR="003653D9">
        <w:t xml:space="preserve">intellectual history’s </w:t>
      </w:r>
      <w:r w:rsidR="000651B6">
        <w:t xml:space="preserve">most </w:t>
      </w:r>
      <w:r w:rsidR="00AE09E2">
        <w:t>unexpected</w:t>
      </w:r>
      <w:r w:rsidR="00F35AD7">
        <w:t xml:space="preserve"> ironies, worthy of further </w:t>
      </w:r>
      <w:r w:rsidR="00534BE6">
        <w:t>study</w:t>
      </w:r>
      <w:r w:rsidR="00F35AD7">
        <w:t>.</w:t>
      </w:r>
    </w:p>
    <w:p w:rsidR="006567E1" w:rsidRDefault="006567E1" w:rsidP="00D549DD">
      <w:pPr>
        <w:spacing w:line="360" w:lineRule="auto"/>
      </w:pPr>
    </w:p>
    <w:p w:rsidR="006567E1" w:rsidRPr="008E7F5B" w:rsidRDefault="006567E1" w:rsidP="00D549DD">
      <w:pPr>
        <w:spacing w:line="360" w:lineRule="auto"/>
      </w:pPr>
      <w:r>
        <w:t xml:space="preserve">Like </w:t>
      </w:r>
      <w:proofErr w:type="spellStart"/>
      <w:r>
        <w:t>Reinert</w:t>
      </w:r>
      <w:proofErr w:type="spellEnd"/>
      <w:r>
        <w:t xml:space="preserve">, Eva </w:t>
      </w:r>
      <w:proofErr w:type="spellStart"/>
      <w:r>
        <w:t>Piirimäe’s</w:t>
      </w:r>
      <w:proofErr w:type="spellEnd"/>
      <w:r>
        <w:t xml:space="preserve"> contribution </w:t>
      </w:r>
      <w:r w:rsidR="009E46EA">
        <w:t>deals with</w:t>
      </w:r>
      <w:r>
        <w:t xml:space="preserve"> the question of sociability, </w:t>
      </w:r>
      <w:r w:rsidR="009E46EA">
        <w:t xml:space="preserve">whose significance for eighteenth-century thought </w:t>
      </w:r>
      <w:proofErr w:type="spellStart"/>
      <w:r w:rsidR="009E46EA">
        <w:t>Hont</w:t>
      </w:r>
      <w:proofErr w:type="spellEnd"/>
      <w:r w:rsidR="009E46EA">
        <w:t xml:space="preserve"> did so much to establish.</w:t>
      </w:r>
      <w:r w:rsidR="0012444F">
        <w:t xml:space="preserve"> </w:t>
      </w:r>
      <w:r w:rsidR="000651B6">
        <w:t>L</w:t>
      </w:r>
      <w:r w:rsidR="0012444F">
        <w:t xml:space="preserve">ooking at Herder’s criticism of his teacher Kant’s </w:t>
      </w:r>
      <w:r w:rsidR="0012444F">
        <w:rPr>
          <w:i/>
        </w:rPr>
        <w:t xml:space="preserve">Idea for a Universal History with a Cosmopolitan Purpose </w:t>
      </w:r>
      <w:r w:rsidR="000651B6">
        <w:t xml:space="preserve">(1784), </w:t>
      </w:r>
      <w:proofErr w:type="spellStart"/>
      <w:r w:rsidR="000651B6">
        <w:t>Piirimäe’s</w:t>
      </w:r>
      <w:proofErr w:type="spellEnd"/>
      <w:r w:rsidR="000651B6">
        <w:t xml:space="preserve"> returns to Kant’s ‘Hobbesian moment’ discussed in </w:t>
      </w:r>
      <w:r w:rsidR="000651B6">
        <w:rPr>
          <w:i/>
        </w:rPr>
        <w:t>Jealousy of Trade.</w:t>
      </w:r>
      <w:r w:rsidR="000651B6" w:rsidRPr="000651B6">
        <w:rPr>
          <w:rStyle w:val="FootnoteReference"/>
        </w:rPr>
        <w:footnoteReference w:id="6"/>
      </w:r>
      <w:r w:rsidR="000651B6">
        <w:rPr>
          <w:i/>
        </w:rPr>
        <w:t xml:space="preserve"> </w:t>
      </w:r>
      <w:r w:rsidR="000651B6">
        <w:t>Because of what Kant theorised as humans’ unsocial sociability</w:t>
      </w:r>
      <w:r w:rsidR="008E7F5B">
        <w:t xml:space="preserve">, ‘man [was] an animal </w:t>
      </w:r>
      <w:r w:rsidR="008E7F5B">
        <w:rPr>
          <w:i/>
        </w:rPr>
        <w:t>who needs a master</w:t>
      </w:r>
      <w:r w:rsidR="008E7F5B">
        <w:t>’, in the shape of unlimited sovereign power (163).</w:t>
      </w:r>
      <w:r w:rsidR="00277B10">
        <w:t xml:space="preserve"> In the lion’s share of the essay, </w:t>
      </w:r>
      <w:proofErr w:type="spellStart"/>
      <w:r w:rsidR="00277B10">
        <w:t>Piirimäe</w:t>
      </w:r>
      <w:proofErr w:type="spellEnd"/>
      <w:r w:rsidR="00277B10">
        <w:t xml:space="preserve"> looks closely at Herder’s </w:t>
      </w:r>
      <w:r w:rsidR="00816F7A">
        <w:t>response to</w:t>
      </w:r>
      <w:r w:rsidR="00277B10">
        <w:t xml:space="preserve"> Kant</w:t>
      </w:r>
      <w:r w:rsidR="004659FF">
        <w:t>, with the latter’s reading of</w:t>
      </w:r>
      <w:r w:rsidR="00022FDC">
        <w:t xml:space="preserve"> humanity being more optimistic and </w:t>
      </w:r>
      <w:r w:rsidR="000218A4">
        <w:t>defending</w:t>
      </w:r>
      <w:r w:rsidR="00022FDC">
        <w:t xml:space="preserve"> natural sociability (165).</w:t>
      </w:r>
      <w:r w:rsidR="000103A7">
        <w:t xml:space="preserve"> General struggle between peoples was not natural but a relatively late development in history,</w:t>
      </w:r>
      <w:r w:rsidR="00B05E91">
        <w:t xml:space="preserve"> </w:t>
      </w:r>
      <w:r w:rsidR="00BC12B9">
        <w:t>after</w:t>
      </w:r>
      <w:r w:rsidR="00B05E91">
        <w:t xml:space="preserve"> human beings had transformed their natural way of life,</w:t>
      </w:r>
      <w:r w:rsidR="000103A7">
        <w:t xml:space="preserve"> according to Herder</w:t>
      </w:r>
      <w:r w:rsidR="00B05E91">
        <w:t>.</w:t>
      </w:r>
      <w:r w:rsidR="000103A7">
        <w:t xml:space="preserve"> </w:t>
      </w:r>
      <w:proofErr w:type="spellStart"/>
      <w:r w:rsidR="009D261A">
        <w:t>Piirimäe</w:t>
      </w:r>
      <w:proofErr w:type="spellEnd"/>
      <w:r w:rsidR="009D261A">
        <w:t xml:space="preserve"> goes on to argue that Herder followed Hume, Smith, and William Robertson in emphasising the importance of the growth of the cities in post-Carolingian Northern Europe, places where trade flourished</w:t>
      </w:r>
      <w:r w:rsidR="00E22CE9">
        <w:t xml:space="preserve"> </w:t>
      </w:r>
      <w:r w:rsidR="008E233C">
        <w:t xml:space="preserve">and </w:t>
      </w:r>
      <w:r w:rsidR="00E22CE9">
        <w:t>property was secure under the rule of law</w:t>
      </w:r>
      <w:r w:rsidR="00AF7559">
        <w:t xml:space="preserve"> (189-90)</w:t>
      </w:r>
      <w:r w:rsidR="00E22CE9">
        <w:t xml:space="preserve">. </w:t>
      </w:r>
      <w:r w:rsidR="002D4FE4">
        <w:t>This ties in with</w:t>
      </w:r>
      <w:r w:rsidR="0080476E">
        <w:t xml:space="preserve"> </w:t>
      </w:r>
      <w:proofErr w:type="spellStart"/>
      <w:r w:rsidR="0080476E">
        <w:t>Hont’s</w:t>
      </w:r>
      <w:proofErr w:type="spellEnd"/>
      <w:r w:rsidR="0080476E">
        <w:t xml:space="preserve"> description of Smith’s historical vision of Europe’s double</w:t>
      </w:r>
      <w:r w:rsidR="005358D2">
        <w:t xml:space="preserve"> (and retrograde) </w:t>
      </w:r>
      <w:r w:rsidR="0080476E">
        <w:t>history, the first</w:t>
      </w:r>
      <w:r w:rsidR="00375F43">
        <w:t xml:space="preserve"> phase being southern and</w:t>
      </w:r>
      <w:r w:rsidR="0080476E">
        <w:t xml:space="preserve"> Roman and the second northern</w:t>
      </w:r>
      <w:r w:rsidR="00375F43">
        <w:t xml:space="preserve"> and German</w:t>
      </w:r>
      <w:r w:rsidR="0080476E">
        <w:t xml:space="preserve">, with modern liberty originating in the second </w:t>
      </w:r>
      <w:r w:rsidR="00A77A9F">
        <w:t>period</w:t>
      </w:r>
      <w:r w:rsidR="0080476E">
        <w:t>.</w:t>
      </w:r>
      <w:r w:rsidR="001A7CBB">
        <w:rPr>
          <w:rStyle w:val="FootnoteReference"/>
        </w:rPr>
        <w:footnoteReference w:id="7"/>
      </w:r>
    </w:p>
    <w:p w:rsidR="0081695B" w:rsidRDefault="0081695B" w:rsidP="00D549DD">
      <w:pPr>
        <w:spacing w:line="360" w:lineRule="auto"/>
      </w:pPr>
    </w:p>
    <w:p w:rsidR="006550C8" w:rsidRDefault="0081695B" w:rsidP="00D549DD">
      <w:pPr>
        <w:spacing w:line="360" w:lineRule="auto"/>
      </w:pPr>
      <w:r>
        <w:rPr>
          <w:i/>
        </w:rPr>
        <w:t xml:space="preserve">Commerce and Peace </w:t>
      </w:r>
      <w:r>
        <w:t xml:space="preserve">does us </w:t>
      </w:r>
      <w:r w:rsidR="00721F4D">
        <w:t xml:space="preserve">a </w:t>
      </w:r>
      <w:r>
        <w:t xml:space="preserve">great service by presenting new research on </w:t>
      </w:r>
      <w:r w:rsidR="004E1F46">
        <w:t>primarily</w:t>
      </w:r>
      <w:r w:rsidR="00ED145D">
        <w:t xml:space="preserve"> </w:t>
      </w:r>
      <w:r w:rsidR="00A67061">
        <w:t>non-canonical figures and providing a thicker context for enlightenment debates about</w:t>
      </w:r>
      <w:r w:rsidR="00BB4E33">
        <w:t xml:space="preserve"> international </w:t>
      </w:r>
      <w:r w:rsidR="006E07FC">
        <w:t>competition</w:t>
      </w:r>
      <w:r w:rsidR="00A67061">
        <w:t xml:space="preserve">. The only criticism worth mentioning </w:t>
      </w:r>
      <w:r w:rsidR="000E0C6F">
        <w:t xml:space="preserve">is </w:t>
      </w:r>
      <w:r w:rsidR="00A67061">
        <w:t xml:space="preserve">that </w:t>
      </w:r>
      <w:r w:rsidR="00A77A9F">
        <w:t xml:space="preserve">it </w:t>
      </w:r>
      <w:r w:rsidR="00A67061">
        <w:t xml:space="preserve">is </w:t>
      </w:r>
      <w:r w:rsidR="000E0C6F">
        <w:t>something of a</w:t>
      </w:r>
      <w:r>
        <w:t xml:space="preserve"> missed opportunity </w:t>
      </w:r>
      <w:r w:rsidR="009666F3">
        <w:t xml:space="preserve">in </w:t>
      </w:r>
      <w:r>
        <w:t xml:space="preserve">that, besides the </w:t>
      </w:r>
      <w:r w:rsidR="000E0C6F">
        <w:t xml:space="preserve">useful overview in the </w:t>
      </w:r>
      <w:r>
        <w:t xml:space="preserve">Introduction, there are no </w:t>
      </w:r>
      <w:r w:rsidR="007A1117">
        <w:t xml:space="preserve">essays </w:t>
      </w:r>
      <w:r>
        <w:t xml:space="preserve">which </w:t>
      </w:r>
      <w:r w:rsidRPr="00E463B0">
        <w:rPr>
          <w:i/>
        </w:rPr>
        <w:t>directly</w:t>
      </w:r>
      <w:r>
        <w:t xml:space="preserve"> treat the</w:t>
      </w:r>
      <w:r w:rsidR="007A1117">
        <w:t xml:space="preserve"> </w:t>
      </w:r>
      <w:r w:rsidR="00E463B0">
        <w:t>writings</w:t>
      </w:r>
      <w:r w:rsidR="007A1117">
        <w:t xml:space="preserve"> </w:t>
      </w:r>
      <w:r>
        <w:t xml:space="preserve">of </w:t>
      </w:r>
      <w:r w:rsidR="005E5463">
        <w:t xml:space="preserve">the likes of </w:t>
      </w:r>
      <w:r w:rsidR="00B64A95">
        <w:t xml:space="preserve">the </w:t>
      </w:r>
      <w:proofErr w:type="spellStart"/>
      <w:r>
        <w:t>Abbé</w:t>
      </w:r>
      <w:proofErr w:type="spellEnd"/>
      <w:r>
        <w:t xml:space="preserve"> de </w:t>
      </w:r>
      <w:r w:rsidR="00B64A95">
        <w:t>Saint-</w:t>
      </w:r>
      <w:r w:rsidR="006550C8">
        <w:t xml:space="preserve">Pierre, Rousseau, </w:t>
      </w:r>
      <w:r w:rsidR="00250A32">
        <w:t xml:space="preserve">Kant, </w:t>
      </w:r>
      <w:r>
        <w:t xml:space="preserve">Jeremy </w:t>
      </w:r>
      <w:r w:rsidR="00250A32">
        <w:t xml:space="preserve">Bentham, and Friedrich </w:t>
      </w:r>
      <w:r w:rsidR="004379EC">
        <w:t xml:space="preserve">von </w:t>
      </w:r>
      <w:proofErr w:type="spellStart"/>
      <w:r w:rsidR="00250A32">
        <w:t>Gentz</w:t>
      </w:r>
      <w:proofErr w:type="spellEnd"/>
      <w:r w:rsidR="00250A32">
        <w:t xml:space="preserve">, all of whom </w:t>
      </w:r>
      <w:r>
        <w:t>wrote essays on</w:t>
      </w:r>
      <w:r w:rsidR="00250A32">
        <w:t xml:space="preserve"> </w:t>
      </w:r>
      <w:r>
        <w:t xml:space="preserve">perpetual </w:t>
      </w:r>
      <w:r w:rsidR="00250A32">
        <w:lastRenderedPageBreak/>
        <w:t>peace</w:t>
      </w:r>
      <w:r w:rsidR="00A67061">
        <w:t>, nor are there essays on traditional sources of eighteenth-century political economy (</w:t>
      </w:r>
      <w:r w:rsidR="008263A3">
        <w:t>such as</w:t>
      </w:r>
      <w:r w:rsidR="00A90E1F">
        <w:t xml:space="preserve"> </w:t>
      </w:r>
      <w:r w:rsidR="002A3B42">
        <w:t xml:space="preserve">Melon, </w:t>
      </w:r>
      <w:r w:rsidR="00A67061">
        <w:t xml:space="preserve">the </w:t>
      </w:r>
      <w:proofErr w:type="spellStart"/>
      <w:r w:rsidR="00A67061">
        <w:t>Physiocrats</w:t>
      </w:r>
      <w:proofErr w:type="spellEnd"/>
      <w:r w:rsidR="00A67061">
        <w:t xml:space="preserve">, </w:t>
      </w:r>
      <w:proofErr w:type="spellStart"/>
      <w:r w:rsidR="00A90E1F">
        <w:t>Cameralism</w:t>
      </w:r>
      <w:proofErr w:type="spellEnd"/>
      <w:r w:rsidR="00A90E1F">
        <w:t xml:space="preserve">, </w:t>
      </w:r>
      <w:r w:rsidR="00A67061">
        <w:t xml:space="preserve">James </w:t>
      </w:r>
      <w:proofErr w:type="spellStart"/>
      <w:r w:rsidR="00A67061">
        <w:t>Steuart</w:t>
      </w:r>
      <w:proofErr w:type="spellEnd"/>
      <w:r w:rsidR="00A67061">
        <w:t>, and Adam Smith).</w:t>
      </w:r>
      <w:r w:rsidR="00250A32">
        <w:t xml:space="preserve"> </w:t>
      </w:r>
      <w:proofErr w:type="spellStart"/>
      <w:r w:rsidR="00E82BBF">
        <w:t>Emer</w:t>
      </w:r>
      <w:proofErr w:type="spellEnd"/>
      <w:r w:rsidR="00E82BBF">
        <w:t xml:space="preserve"> de </w:t>
      </w:r>
      <w:proofErr w:type="spellStart"/>
      <w:r w:rsidR="00E82BBF">
        <w:t>Vattel</w:t>
      </w:r>
      <w:proofErr w:type="spellEnd"/>
      <w:r w:rsidR="00E82BBF">
        <w:t xml:space="preserve">, author of the chief work on </w:t>
      </w:r>
      <w:proofErr w:type="spellStart"/>
      <w:r w:rsidR="00E82BBF">
        <w:rPr>
          <w:i/>
        </w:rPr>
        <w:t>ius</w:t>
      </w:r>
      <w:proofErr w:type="spellEnd"/>
      <w:r w:rsidR="00E82BBF">
        <w:rPr>
          <w:i/>
        </w:rPr>
        <w:t xml:space="preserve"> </w:t>
      </w:r>
      <w:proofErr w:type="spellStart"/>
      <w:r w:rsidR="00E82BBF">
        <w:rPr>
          <w:i/>
        </w:rPr>
        <w:t>gentium</w:t>
      </w:r>
      <w:proofErr w:type="spellEnd"/>
      <w:r w:rsidR="00E82BBF">
        <w:rPr>
          <w:i/>
        </w:rPr>
        <w:t xml:space="preserve"> </w:t>
      </w:r>
      <w:r w:rsidR="00FF02C3">
        <w:t xml:space="preserve">in the eighteenth century, only </w:t>
      </w:r>
      <w:r w:rsidR="008219CB">
        <w:t xml:space="preserve">makes two brief </w:t>
      </w:r>
      <w:r w:rsidR="006B02C0">
        <w:t>appearances</w:t>
      </w:r>
      <w:r w:rsidR="00E82BBF">
        <w:t xml:space="preserve">. </w:t>
      </w:r>
      <w:r w:rsidR="006550C8">
        <w:t xml:space="preserve">Unlike </w:t>
      </w:r>
      <w:proofErr w:type="spellStart"/>
      <w:r w:rsidR="006550C8">
        <w:t>Hont’s</w:t>
      </w:r>
      <w:proofErr w:type="spellEnd"/>
      <w:r w:rsidR="006550C8">
        <w:t xml:space="preserve"> own work, then, and unlike the monographs of his </w:t>
      </w:r>
      <w:r w:rsidR="002C5FFB">
        <w:t xml:space="preserve">many </w:t>
      </w:r>
      <w:r w:rsidR="006550C8">
        <w:t>disciples</w:t>
      </w:r>
      <w:r w:rsidR="002C5FFB">
        <w:t xml:space="preserve"> in </w:t>
      </w:r>
      <w:r w:rsidR="007E7437">
        <w:t>the</w:t>
      </w:r>
      <w:r w:rsidR="002C5FFB">
        <w:t xml:space="preserve"> volume</w:t>
      </w:r>
      <w:r w:rsidR="006550C8">
        <w:t xml:space="preserve">, </w:t>
      </w:r>
      <w:r w:rsidR="00FD26D6">
        <w:t>this essay collection at times</w:t>
      </w:r>
      <w:r w:rsidR="000E0C6F">
        <w:t xml:space="preserve"> seem</w:t>
      </w:r>
      <w:r w:rsidR="00FD26D6">
        <w:t>s</w:t>
      </w:r>
      <w:r w:rsidR="000E0C6F">
        <w:t xml:space="preserve"> </w:t>
      </w:r>
      <w:r w:rsidR="006550C8">
        <w:t>peripheral t</w:t>
      </w:r>
      <w:r w:rsidR="0005595A">
        <w:t>o the central questions</w:t>
      </w:r>
      <w:r w:rsidR="006F15A8">
        <w:t xml:space="preserve">. </w:t>
      </w:r>
      <w:r w:rsidR="00FD26D6">
        <w:t xml:space="preserve">Although all </w:t>
      </w:r>
      <w:r w:rsidR="00945D71">
        <w:t xml:space="preserve">essays are </w:t>
      </w:r>
      <w:r w:rsidR="00FD26D6">
        <w:t>exciting</w:t>
      </w:r>
      <w:r w:rsidR="00A36E38">
        <w:t>, enlightening</w:t>
      </w:r>
      <w:r w:rsidR="00945D71">
        <w:t xml:space="preserve"> </w:t>
      </w:r>
      <w:r w:rsidR="00FD26D6">
        <w:t xml:space="preserve">and worth reading </w:t>
      </w:r>
      <w:r w:rsidR="00945D71">
        <w:t xml:space="preserve">in their own right, and despite </w:t>
      </w:r>
      <w:r w:rsidR="00FD26D6">
        <w:t xml:space="preserve">broad </w:t>
      </w:r>
      <w:r w:rsidR="00945D71">
        <w:t xml:space="preserve">areas of commonality, </w:t>
      </w:r>
      <w:r w:rsidR="00A6698D">
        <w:rPr>
          <w:i/>
        </w:rPr>
        <w:t>Commerce and Peace</w:t>
      </w:r>
      <w:r w:rsidR="00945D71">
        <w:t xml:space="preserve"> is </w:t>
      </w:r>
      <w:r w:rsidR="006F15A8">
        <w:t xml:space="preserve">ultimately </w:t>
      </w:r>
      <w:r w:rsidR="00F1490A">
        <w:t>neither</w:t>
      </w:r>
      <w:r w:rsidR="00945D71">
        <w:t xml:space="preserve"> as tightly</w:t>
      </w:r>
      <w:r w:rsidR="00FF5C68">
        <w:t xml:space="preserve"> focused</w:t>
      </w:r>
      <w:r w:rsidR="00945D71">
        <w:t xml:space="preserve"> </w:t>
      </w:r>
      <w:r w:rsidR="002F12EF">
        <w:t>nor as</w:t>
      </w:r>
      <w:r w:rsidR="00FF5C68">
        <w:t xml:space="preserve"> punch-packing </w:t>
      </w:r>
      <w:r w:rsidR="00945D71">
        <w:t xml:space="preserve">as </w:t>
      </w:r>
      <w:r w:rsidR="00FF5C68">
        <w:t>its subject merits</w:t>
      </w:r>
      <w:r w:rsidR="00945D71">
        <w:t>.</w:t>
      </w:r>
      <w:r w:rsidR="00C24ADF">
        <w:t xml:space="preserve"> </w:t>
      </w:r>
      <w:r w:rsidR="00E1339D">
        <w:t>In contrast with</w:t>
      </w:r>
      <w:r w:rsidR="00A36E38">
        <w:t xml:space="preserve"> </w:t>
      </w:r>
      <w:r w:rsidR="00A36E38">
        <w:rPr>
          <w:i/>
        </w:rPr>
        <w:t xml:space="preserve">Wealth and Virtue, </w:t>
      </w:r>
      <w:r w:rsidR="00A36E38">
        <w:t>it is unlikely to set the agenda</w:t>
      </w:r>
      <w:r w:rsidR="004C6307">
        <w:t xml:space="preserve"> of</w:t>
      </w:r>
      <w:r w:rsidR="00A36E38">
        <w:t xml:space="preserve"> research </w:t>
      </w:r>
      <w:r w:rsidR="004C6307">
        <w:t xml:space="preserve">in the history of political thought </w:t>
      </w:r>
      <w:r w:rsidR="00A36E38">
        <w:t xml:space="preserve">for the coming decades. </w:t>
      </w:r>
      <w:r w:rsidR="00911899">
        <w:t xml:space="preserve">Many of the essays, as has been pointed out, are </w:t>
      </w:r>
      <w:r w:rsidR="00361A45">
        <w:t xml:space="preserve">extremely </w:t>
      </w:r>
      <w:r w:rsidR="00911899">
        <w:t xml:space="preserve">valuable elaborations </w:t>
      </w:r>
      <w:r w:rsidR="00B93EEF">
        <w:t xml:space="preserve">and refinements </w:t>
      </w:r>
      <w:r w:rsidR="00911899">
        <w:t xml:space="preserve">of seeds sown by </w:t>
      </w:r>
      <w:proofErr w:type="spellStart"/>
      <w:r w:rsidR="00911899">
        <w:t>Hont</w:t>
      </w:r>
      <w:proofErr w:type="spellEnd"/>
      <w:r w:rsidR="00911899">
        <w:t>. This is not an indictment, because</w:t>
      </w:r>
      <w:r w:rsidR="00A757A5">
        <w:t xml:space="preserve"> a</w:t>
      </w:r>
      <w:r w:rsidR="008A78FE">
        <w:t xml:space="preserve">s </w:t>
      </w:r>
      <w:r w:rsidR="00A36E38">
        <w:t>a</w:t>
      </w:r>
      <w:r w:rsidR="00AD4A24">
        <w:t>n</w:t>
      </w:r>
      <w:r w:rsidR="00A36E38">
        <w:t xml:space="preserve"> homage to the lega</w:t>
      </w:r>
      <w:r w:rsidR="00FF5C68">
        <w:t>cy of</w:t>
      </w:r>
      <w:r w:rsidR="000416C2">
        <w:t xml:space="preserve"> one of</w:t>
      </w:r>
      <w:r w:rsidR="00FF5C68">
        <w:t xml:space="preserve"> </w:t>
      </w:r>
      <w:r w:rsidR="007264F1">
        <w:t>the great intellectual historians</w:t>
      </w:r>
      <w:r w:rsidR="00FF5C68">
        <w:t xml:space="preserve">, and a selection of </w:t>
      </w:r>
      <w:r w:rsidR="00901964">
        <w:t>new research</w:t>
      </w:r>
      <w:r w:rsidR="00FF5C68">
        <w:t xml:space="preserve"> of </w:t>
      </w:r>
      <w:r w:rsidR="00796910">
        <w:t xml:space="preserve">some of </w:t>
      </w:r>
      <w:r w:rsidR="00FF5C68">
        <w:t xml:space="preserve">the top </w:t>
      </w:r>
      <w:r w:rsidR="005A2076">
        <w:t>scholars</w:t>
      </w:r>
      <w:r w:rsidR="007264F1">
        <w:t xml:space="preserve"> of</w:t>
      </w:r>
      <w:r w:rsidR="00FF5C68">
        <w:t xml:space="preserve"> political thought, </w:t>
      </w:r>
      <w:r w:rsidR="00FF5C68">
        <w:rPr>
          <w:i/>
        </w:rPr>
        <w:t xml:space="preserve">Commerce and Peace </w:t>
      </w:r>
      <w:r w:rsidR="00D549DD">
        <w:t xml:space="preserve">does an excellent job, and it </w:t>
      </w:r>
      <w:r w:rsidR="006A1E76">
        <w:t>warrants</w:t>
      </w:r>
      <w:r w:rsidR="00D549DD">
        <w:t xml:space="preserve"> careful reading and study from cover to cover.</w:t>
      </w:r>
    </w:p>
    <w:p w:rsidR="00126409" w:rsidRDefault="00126409" w:rsidP="00D549DD">
      <w:pPr>
        <w:spacing w:line="360" w:lineRule="auto"/>
      </w:pPr>
    </w:p>
    <w:p w:rsidR="000102FF" w:rsidRDefault="000102FF" w:rsidP="00D549DD">
      <w:pPr>
        <w:spacing w:line="360" w:lineRule="auto"/>
        <w:rPr>
          <w:b/>
        </w:rPr>
      </w:pPr>
    </w:p>
    <w:p w:rsidR="00126409" w:rsidRDefault="00126409" w:rsidP="00D549DD">
      <w:pPr>
        <w:spacing w:line="360" w:lineRule="auto"/>
        <w:rPr>
          <w:b/>
        </w:rPr>
      </w:pPr>
      <w:r>
        <w:rPr>
          <w:b/>
        </w:rPr>
        <w:t xml:space="preserve">Bibliography: </w:t>
      </w:r>
    </w:p>
    <w:p w:rsidR="00345D85" w:rsidRDefault="00345D85" w:rsidP="00D549DD">
      <w:pPr>
        <w:spacing w:line="360" w:lineRule="auto"/>
      </w:pPr>
      <w:r>
        <w:t xml:space="preserve">Bourke, Richard, ‘Revising the Cambridge School: Republicanism Revisited’, </w:t>
      </w:r>
      <w:r>
        <w:rPr>
          <w:i/>
        </w:rPr>
        <w:t xml:space="preserve">Political Theory, </w:t>
      </w:r>
      <w:r>
        <w:t>46 (3), 2018, 467-77.</w:t>
      </w:r>
    </w:p>
    <w:p w:rsidR="000102FF" w:rsidRDefault="000102FF" w:rsidP="00D549DD">
      <w:pPr>
        <w:spacing w:line="360" w:lineRule="auto"/>
        <w:rPr>
          <w:b/>
        </w:rPr>
      </w:pPr>
    </w:p>
    <w:p w:rsidR="00345D85" w:rsidRDefault="00345D85" w:rsidP="00D549DD">
      <w:pPr>
        <w:spacing w:line="360" w:lineRule="auto"/>
        <w:rPr>
          <w:i/>
        </w:rPr>
      </w:pPr>
      <w:proofErr w:type="spellStart"/>
      <w:r w:rsidRPr="00AA75B2">
        <w:t>Geuss</w:t>
      </w:r>
      <w:proofErr w:type="spellEnd"/>
      <w:r>
        <w:t>,</w:t>
      </w:r>
      <w:r w:rsidRPr="00AA75B2">
        <w:t xml:space="preserve"> Raymond, ‘</w:t>
      </w:r>
      <w:proofErr w:type="spellStart"/>
      <w:r w:rsidRPr="00AA75B2">
        <w:t>Istvan</w:t>
      </w:r>
      <w:proofErr w:type="spellEnd"/>
      <w:r w:rsidRPr="00AA75B2">
        <w:t xml:space="preserve"> </w:t>
      </w:r>
      <w:proofErr w:type="spellStart"/>
      <w:r w:rsidRPr="00AA75B2">
        <w:t>Hont</w:t>
      </w:r>
      <w:proofErr w:type="spellEnd"/>
      <w:r w:rsidRPr="00AA75B2">
        <w:t xml:space="preserve">, 1947-2013’, </w:t>
      </w:r>
      <w:r w:rsidRPr="009973E4">
        <w:t>Intellectual History Archive, St Andrews</w:t>
      </w:r>
      <w:r>
        <w:t xml:space="preserve">, </w:t>
      </w:r>
      <w:r w:rsidRPr="00AA75B2">
        <w:rPr>
          <w:i/>
        </w:rPr>
        <w:t>intellectual-history</w:t>
      </w:r>
      <w:proofErr w:type="gramStart"/>
      <w:r w:rsidRPr="00AA75B2">
        <w:rPr>
          <w:i/>
        </w:rPr>
        <w:t>:151</w:t>
      </w:r>
      <w:proofErr w:type="gramEnd"/>
      <w:r>
        <w:rPr>
          <w:i/>
        </w:rPr>
        <w:t xml:space="preserve">. </w:t>
      </w:r>
    </w:p>
    <w:p w:rsidR="000102FF" w:rsidRPr="00345D85" w:rsidRDefault="000102FF" w:rsidP="00D549DD">
      <w:pPr>
        <w:spacing w:line="360" w:lineRule="auto"/>
        <w:rPr>
          <w:b/>
        </w:rPr>
      </w:pPr>
    </w:p>
    <w:p w:rsidR="00345D85" w:rsidRDefault="00345D85" w:rsidP="00D549DD">
      <w:pPr>
        <w:spacing w:line="360" w:lineRule="auto"/>
      </w:pPr>
      <w:proofErr w:type="spellStart"/>
      <w:r>
        <w:t>Hont</w:t>
      </w:r>
      <w:proofErr w:type="spellEnd"/>
      <w:r>
        <w:t xml:space="preserve">, </w:t>
      </w:r>
      <w:proofErr w:type="spellStart"/>
      <w:r>
        <w:t>Istvan</w:t>
      </w:r>
      <w:proofErr w:type="spellEnd"/>
      <w:r>
        <w:t xml:space="preserve">, </w:t>
      </w:r>
      <w:r>
        <w:rPr>
          <w:i/>
        </w:rPr>
        <w:t xml:space="preserve">Jealousy of Trade: </w:t>
      </w:r>
      <w:r w:rsidRPr="000008AD">
        <w:rPr>
          <w:i/>
        </w:rPr>
        <w:t>International Competition and the Nation-State in Historical Perspective</w:t>
      </w:r>
      <w:r>
        <w:rPr>
          <w:i/>
        </w:rPr>
        <w:t xml:space="preserve"> </w:t>
      </w:r>
      <w:r>
        <w:t>(Cambridge, MA, 2005).</w:t>
      </w:r>
    </w:p>
    <w:p w:rsidR="000102FF" w:rsidRPr="00345D85" w:rsidRDefault="000102FF" w:rsidP="00D549DD">
      <w:pPr>
        <w:spacing w:line="360" w:lineRule="auto"/>
      </w:pPr>
    </w:p>
    <w:p w:rsidR="00126409" w:rsidRDefault="00345D85" w:rsidP="00D549DD">
      <w:pPr>
        <w:spacing w:line="360" w:lineRule="auto"/>
      </w:pPr>
      <w:proofErr w:type="spellStart"/>
      <w:r>
        <w:t>Hont</w:t>
      </w:r>
      <w:proofErr w:type="spellEnd"/>
      <w:r>
        <w:t xml:space="preserve">, </w:t>
      </w:r>
      <w:proofErr w:type="spellStart"/>
      <w:r w:rsidR="00126409">
        <w:t>Istvan</w:t>
      </w:r>
      <w:proofErr w:type="spellEnd"/>
      <w:r w:rsidR="00126409">
        <w:t xml:space="preserve">, </w:t>
      </w:r>
      <w:r w:rsidR="00126409">
        <w:rPr>
          <w:i/>
        </w:rPr>
        <w:t xml:space="preserve">Politics in Commercial Society: </w:t>
      </w:r>
      <w:r w:rsidR="00126409" w:rsidRPr="00C845E0">
        <w:rPr>
          <w:i/>
        </w:rPr>
        <w:t>Jean-</w:t>
      </w:r>
      <w:r w:rsidR="00126409">
        <w:rPr>
          <w:i/>
        </w:rPr>
        <w:t xml:space="preserve">Jacques Rousseau and Adam Smith </w:t>
      </w:r>
      <w:r>
        <w:t>(Cambridge, MA, 2015).</w:t>
      </w:r>
    </w:p>
    <w:p w:rsidR="000102FF" w:rsidRDefault="000102FF" w:rsidP="00D549DD">
      <w:pPr>
        <w:spacing w:line="360" w:lineRule="auto"/>
      </w:pPr>
    </w:p>
    <w:p w:rsidR="00345D85" w:rsidRDefault="00345D85" w:rsidP="00D549DD">
      <w:pPr>
        <w:spacing w:line="360" w:lineRule="auto"/>
      </w:pPr>
      <w:r>
        <w:t xml:space="preserve">Hume, David, </w:t>
      </w:r>
      <w:r>
        <w:rPr>
          <w:i/>
        </w:rPr>
        <w:t xml:space="preserve">Essays: Moral, Political Literary </w:t>
      </w:r>
      <w:r>
        <w:t>(Indianapolis, IN, 1987).</w:t>
      </w:r>
    </w:p>
    <w:p w:rsidR="000102FF" w:rsidRDefault="000102FF" w:rsidP="00D549DD">
      <w:pPr>
        <w:spacing w:line="360" w:lineRule="auto"/>
      </w:pPr>
    </w:p>
    <w:p w:rsidR="006550C8" w:rsidRPr="004B14ED" w:rsidRDefault="00345D85" w:rsidP="004B14ED">
      <w:pPr>
        <w:spacing w:line="360" w:lineRule="auto"/>
        <w:rPr>
          <w:i/>
        </w:rPr>
      </w:pPr>
      <w:proofErr w:type="spellStart"/>
      <w:r>
        <w:t>Sonenscher</w:t>
      </w:r>
      <w:proofErr w:type="spellEnd"/>
      <w:r>
        <w:t>, Michael, ‘</w:t>
      </w:r>
      <w:proofErr w:type="spellStart"/>
      <w:r>
        <w:t>István</w:t>
      </w:r>
      <w:proofErr w:type="spellEnd"/>
      <w:r>
        <w:t xml:space="preserve"> </w:t>
      </w:r>
      <w:proofErr w:type="spellStart"/>
      <w:r>
        <w:t>Hont</w:t>
      </w:r>
      <w:proofErr w:type="spellEnd"/>
      <w:r>
        <w:t xml:space="preserve"> (1947-</w:t>
      </w:r>
      <w:r w:rsidRPr="001A7CBB">
        <w:t>2013)</w:t>
      </w:r>
      <w:r>
        <w:t xml:space="preserve">’, </w:t>
      </w:r>
      <w:r w:rsidRPr="001A7CBB">
        <w:t xml:space="preserve">Intellectual History Archive, St Andrews, </w:t>
      </w:r>
      <w:r w:rsidRPr="001A7CBB">
        <w:rPr>
          <w:i/>
        </w:rPr>
        <w:t>intellectual-history</w:t>
      </w:r>
      <w:proofErr w:type="gramStart"/>
      <w:r w:rsidRPr="001A7CBB">
        <w:rPr>
          <w:i/>
        </w:rPr>
        <w:t>:150</w:t>
      </w:r>
      <w:proofErr w:type="gramEnd"/>
      <w:r w:rsidR="004B14ED">
        <w:rPr>
          <w:i/>
        </w:rPr>
        <w:t>.</w:t>
      </w:r>
    </w:p>
    <w:p w:rsidR="00EE379B" w:rsidRDefault="00EE379B"/>
    <w:sectPr w:rsidR="00EE379B" w:rsidSect="000C7A67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FE5" w:rsidRDefault="008E1FE5" w:rsidP="00AA75B2">
      <w:r>
        <w:separator/>
      </w:r>
    </w:p>
  </w:endnote>
  <w:endnote w:type="continuationSeparator" w:id="0">
    <w:p w:rsidR="008E1FE5" w:rsidRDefault="008E1FE5" w:rsidP="00AA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64406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4E73" w:rsidRDefault="00164E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A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4E73" w:rsidRDefault="00164E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FE5" w:rsidRDefault="008E1FE5" w:rsidP="00AA75B2">
      <w:r>
        <w:separator/>
      </w:r>
    </w:p>
  </w:footnote>
  <w:footnote w:type="continuationSeparator" w:id="0">
    <w:p w:rsidR="008E1FE5" w:rsidRDefault="008E1FE5" w:rsidP="00AA75B2">
      <w:r>
        <w:continuationSeparator/>
      </w:r>
    </w:p>
  </w:footnote>
  <w:footnote w:id="1">
    <w:p w:rsidR="00AA75B2" w:rsidRPr="00AA75B2" w:rsidRDefault="00AA75B2" w:rsidP="00732F1E">
      <w:pPr>
        <w:pStyle w:val="FootnoteText"/>
      </w:pPr>
      <w:r>
        <w:rPr>
          <w:rStyle w:val="FootnoteReference"/>
        </w:rPr>
        <w:footnoteRef/>
      </w:r>
      <w:r w:rsidRPr="00AA75B2">
        <w:t xml:space="preserve"> Raymond </w:t>
      </w:r>
      <w:proofErr w:type="spellStart"/>
      <w:r w:rsidRPr="00AA75B2">
        <w:t>Geuss</w:t>
      </w:r>
      <w:proofErr w:type="spellEnd"/>
      <w:r w:rsidRPr="00AA75B2">
        <w:t>, ‘</w:t>
      </w:r>
      <w:proofErr w:type="spellStart"/>
      <w:r w:rsidRPr="00AA75B2">
        <w:t>Istvan</w:t>
      </w:r>
      <w:proofErr w:type="spellEnd"/>
      <w:r w:rsidRPr="00AA75B2">
        <w:t xml:space="preserve"> </w:t>
      </w:r>
      <w:proofErr w:type="spellStart"/>
      <w:r w:rsidRPr="00AA75B2">
        <w:t>Hont</w:t>
      </w:r>
      <w:proofErr w:type="spellEnd"/>
      <w:r w:rsidRPr="00AA75B2">
        <w:t xml:space="preserve">, 1947-2013’, </w:t>
      </w:r>
      <w:r w:rsidR="009973E4" w:rsidRPr="009973E4">
        <w:t>Intellectual History Archive, St Andrews</w:t>
      </w:r>
      <w:r w:rsidR="009973E4">
        <w:t xml:space="preserve">, </w:t>
      </w:r>
      <w:r w:rsidRPr="00AA75B2">
        <w:rPr>
          <w:i/>
        </w:rPr>
        <w:t>intellectual-history</w:t>
      </w:r>
      <w:proofErr w:type="gramStart"/>
      <w:r w:rsidRPr="00AA75B2">
        <w:rPr>
          <w:i/>
        </w:rPr>
        <w:t>:151</w:t>
      </w:r>
      <w:proofErr w:type="gramEnd"/>
      <w:r>
        <w:rPr>
          <w:i/>
        </w:rPr>
        <w:t xml:space="preserve">. </w:t>
      </w:r>
      <w:r>
        <w:t xml:space="preserve">First published in </w:t>
      </w:r>
      <w:r>
        <w:rPr>
          <w:i/>
        </w:rPr>
        <w:t xml:space="preserve">The Point Magazine </w:t>
      </w:r>
      <w:r>
        <w:t>and reprinted in</w:t>
      </w:r>
      <w:r w:rsidR="00A53818">
        <w:t xml:space="preserve"> Geuss,</w:t>
      </w:r>
      <w:r>
        <w:t xml:space="preserve"> </w:t>
      </w:r>
      <w:r>
        <w:rPr>
          <w:i/>
        </w:rPr>
        <w:t xml:space="preserve">Reality and Its Dreams </w:t>
      </w:r>
      <w:r>
        <w:t>(Cambridge, MA, 2016).</w:t>
      </w:r>
    </w:p>
  </w:footnote>
  <w:footnote w:id="2">
    <w:p w:rsidR="007A506E" w:rsidRPr="007A506E" w:rsidRDefault="007A506E" w:rsidP="007A50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C845E0">
        <w:t>Hont</w:t>
      </w:r>
      <w:proofErr w:type="spellEnd"/>
      <w:r w:rsidR="00C845E0">
        <w:t xml:space="preserve">, </w:t>
      </w:r>
      <w:r w:rsidR="00C845E0">
        <w:rPr>
          <w:i/>
        </w:rPr>
        <w:t xml:space="preserve">Politics in Commercial Society: </w:t>
      </w:r>
      <w:r w:rsidR="00C845E0" w:rsidRPr="00C845E0">
        <w:rPr>
          <w:i/>
        </w:rPr>
        <w:t>Jean-</w:t>
      </w:r>
      <w:r w:rsidR="00C845E0">
        <w:rPr>
          <w:i/>
        </w:rPr>
        <w:t xml:space="preserve">Jacques Rousseau and Adam Smith </w:t>
      </w:r>
      <w:r w:rsidR="00AF49D9">
        <w:t xml:space="preserve">(Cambridge, MA, 2015), </w:t>
      </w:r>
      <w:r w:rsidR="00C845E0">
        <w:t xml:space="preserve">23. </w:t>
      </w:r>
      <w:r>
        <w:t xml:space="preserve">For discussion, see Richard Bourke, ‘Revising the Cambridge School: Republicanism Revisited’, </w:t>
      </w:r>
      <w:r>
        <w:rPr>
          <w:i/>
        </w:rPr>
        <w:t xml:space="preserve">Political Theory, </w:t>
      </w:r>
      <w:r w:rsidR="00AF49D9">
        <w:t xml:space="preserve">46 (3), 2018, </w:t>
      </w:r>
      <w:r>
        <w:t>467-77.</w:t>
      </w:r>
    </w:p>
  </w:footnote>
  <w:footnote w:id="3">
    <w:p w:rsidR="00C115F6" w:rsidRDefault="00C115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Geuss</w:t>
      </w:r>
      <w:proofErr w:type="spellEnd"/>
      <w:r>
        <w:t>, ‘</w:t>
      </w:r>
      <w:proofErr w:type="spellStart"/>
      <w:r>
        <w:t>Istvan</w:t>
      </w:r>
      <w:proofErr w:type="spellEnd"/>
      <w:r>
        <w:t xml:space="preserve"> </w:t>
      </w:r>
      <w:proofErr w:type="spellStart"/>
      <w:r>
        <w:t>Hont</w:t>
      </w:r>
      <w:proofErr w:type="spellEnd"/>
      <w:r>
        <w:t>’.</w:t>
      </w:r>
    </w:p>
  </w:footnote>
  <w:footnote w:id="4">
    <w:p w:rsidR="00936BC8" w:rsidRPr="00936BC8" w:rsidRDefault="00936BC8">
      <w:pPr>
        <w:pStyle w:val="FootnoteText"/>
      </w:pPr>
      <w:r>
        <w:rPr>
          <w:rStyle w:val="FootnoteReference"/>
        </w:rPr>
        <w:footnoteRef/>
      </w:r>
      <w:r>
        <w:t xml:space="preserve"> Hume, ‘Of Civil Liberty’, in </w:t>
      </w:r>
      <w:r>
        <w:rPr>
          <w:i/>
        </w:rPr>
        <w:t xml:space="preserve">Essays: Moral, Political Literary </w:t>
      </w:r>
      <w:r w:rsidR="00AF49D9">
        <w:t>(Indianapolis, IN, 1987),</w:t>
      </w:r>
      <w:r>
        <w:t xml:space="preserve"> 88.</w:t>
      </w:r>
    </w:p>
  </w:footnote>
  <w:footnote w:id="5">
    <w:p w:rsidR="00A73C3F" w:rsidRPr="00A73C3F" w:rsidRDefault="00A73C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0008AD">
        <w:t>Istvan</w:t>
      </w:r>
      <w:proofErr w:type="spellEnd"/>
      <w:r w:rsidR="000008AD">
        <w:t xml:space="preserve"> </w:t>
      </w:r>
      <w:proofErr w:type="spellStart"/>
      <w:r>
        <w:t>Hont</w:t>
      </w:r>
      <w:proofErr w:type="spellEnd"/>
      <w:r>
        <w:t xml:space="preserve">, </w:t>
      </w:r>
      <w:r w:rsidR="000008AD">
        <w:rPr>
          <w:i/>
        </w:rPr>
        <w:t xml:space="preserve">Jealousy of Trade: </w:t>
      </w:r>
      <w:r w:rsidR="000008AD" w:rsidRPr="000008AD">
        <w:rPr>
          <w:i/>
        </w:rPr>
        <w:t>International Competition and the Nation-State in Historical Perspective</w:t>
      </w:r>
      <w:r w:rsidR="000008AD">
        <w:rPr>
          <w:i/>
        </w:rPr>
        <w:t xml:space="preserve"> </w:t>
      </w:r>
      <w:r w:rsidR="000008AD">
        <w:t>(Cambridge, MA, 2005),</w:t>
      </w:r>
      <w:r>
        <w:rPr>
          <w:i/>
        </w:rPr>
        <w:t xml:space="preserve"> </w:t>
      </w:r>
      <w:r>
        <w:t xml:space="preserve">44, 159. </w:t>
      </w:r>
    </w:p>
  </w:footnote>
  <w:footnote w:id="6">
    <w:p w:rsidR="000651B6" w:rsidRPr="000651B6" w:rsidRDefault="000651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Hont</w:t>
      </w:r>
      <w:proofErr w:type="spellEnd"/>
      <w:r>
        <w:t xml:space="preserve">, </w:t>
      </w:r>
      <w:r w:rsidR="00AF49D9">
        <w:rPr>
          <w:i/>
        </w:rPr>
        <w:t xml:space="preserve">Jealousy of Trade, </w:t>
      </w:r>
      <w:r>
        <w:t>137-8.</w:t>
      </w:r>
    </w:p>
  </w:footnote>
  <w:footnote w:id="7">
    <w:p w:rsidR="001A7CBB" w:rsidRPr="001A7CBB" w:rsidRDefault="001A7CBB" w:rsidP="001A7CBB">
      <w:pPr>
        <w:pStyle w:val="FootnoteText"/>
        <w:rPr>
          <w:i/>
          <w:lang w:val="fr-FR"/>
        </w:rPr>
      </w:pPr>
      <w:r>
        <w:rPr>
          <w:rStyle w:val="FootnoteReference"/>
        </w:rPr>
        <w:footnoteRef/>
      </w:r>
      <w:r>
        <w:t xml:space="preserve"> On this, see Michael </w:t>
      </w:r>
      <w:proofErr w:type="spellStart"/>
      <w:r>
        <w:t>Sonenscher</w:t>
      </w:r>
      <w:proofErr w:type="spellEnd"/>
      <w:r>
        <w:t>, ‘</w:t>
      </w:r>
      <w:proofErr w:type="spellStart"/>
      <w:r>
        <w:t>István</w:t>
      </w:r>
      <w:proofErr w:type="spellEnd"/>
      <w:r>
        <w:t xml:space="preserve"> </w:t>
      </w:r>
      <w:proofErr w:type="spellStart"/>
      <w:r>
        <w:t>Hont</w:t>
      </w:r>
      <w:proofErr w:type="spellEnd"/>
      <w:r>
        <w:t xml:space="preserve"> (1947-</w:t>
      </w:r>
      <w:r w:rsidRPr="001A7CBB">
        <w:t>2013)</w:t>
      </w:r>
      <w:r>
        <w:t xml:space="preserve">’, </w:t>
      </w:r>
      <w:r w:rsidRPr="001A7CBB">
        <w:t xml:space="preserve">Intellectual History Archive, St Andrews, </w:t>
      </w:r>
      <w:r w:rsidRPr="001A7CBB">
        <w:rPr>
          <w:i/>
        </w:rPr>
        <w:t>intellectual-history</w:t>
      </w:r>
      <w:proofErr w:type="gramStart"/>
      <w:r w:rsidRPr="001A7CBB">
        <w:rPr>
          <w:i/>
        </w:rPr>
        <w:t>:150</w:t>
      </w:r>
      <w:proofErr w:type="gramEnd"/>
      <w:r>
        <w:t xml:space="preserve">, 9-10. </w:t>
      </w:r>
      <w:r w:rsidRPr="001A7CBB">
        <w:rPr>
          <w:lang w:val="fr-FR"/>
        </w:rPr>
        <w:t xml:space="preserve">First </w:t>
      </w:r>
      <w:proofErr w:type="spellStart"/>
      <w:r w:rsidRPr="001A7CBB">
        <w:rPr>
          <w:lang w:val="fr-FR"/>
        </w:rPr>
        <w:t>published</w:t>
      </w:r>
      <w:proofErr w:type="spellEnd"/>
      <w:r w:rsidRPr="001A7CBB">
        <w:rPr>
          <w:lang w:val="fr-FR"/>
        </w:rPr>
        <w:t xml:space="preserve"> in Economies et sociétés, série PE </w:t>
      </w:r>
      <w:r w:rsidRPr="001A7CBB">
        <w:rPr>
          <w:i/>
          <w:lang w:val="fr-FR"/>
        </w:rPr>
        <w:t>(Histoire de la pensée</w:t>
      </w:r>
    </w:p>
    <w:p w:rsidR="001A7CBB" w:rsidRDefault="000709B3" w:rsidP="001A7CBB">
      <w:pPr>
        <w:pStyle w:val="FootnoteText"/>
      </w:pPr>
      <w:proofErr w:type="gramStart"/>
      <w:r>
        <w:rPr>
          <w:i/>
        </w:rPr>
        <w:t>e</w:t>
      </w:r>
      <w:r w:rsidR="001A7CBB" w:rsidRPr="001A7CBB">
        <w:rPr>
          <w:i/>
        </w:rPr>
        <w:t>conomique</w:t>
      </w:r>
      <w:proofErr w:type="gramEnd"/>
      <w:r w:rsidR="00AF49D9"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A9"/>
    <w:rsid w:val="000001BC"/>
    <w:rsid w:val="000008AD"/>
    <w:rsid w:val="000026C4"/>
    <w:rsid w:val="000102FF"/>
    <w:rsid w:val="000103A7"/>
    <w:rsid w:val="00017382"/>
    <w:rsid w:val="000218A4"/>
    <w:rsid w:val="00022C8E"/>
    <w:rsid w:val="00022FDC"/>
    <w:rsid w:val="00026E53"/>
    <w:rsid w:val="000339CB"/>
    <w:rsid w:val="00035ED0"/>
    <w:rsid w:val="00037DCA"/>
    <w:rsid w:val="000416C2"/>
    <w:rsid w:val="00051C2B"/>
    <w:rsid w:val="0005595A"/>
    <w:rsid w:val="00055C32"/>
    <w:rsid w:val="000651B6"/>
    <w:rsid w:val="0006571B"/>
    <w:rsid w:val="000709B3"/>
    <w:rsid w:val="000C2668"/>
    <w:rsid w:val="000C553D"/>
    <w:rsid w:val="000C7A67"/>
    <w:rsid w:val="000D78BB"/>
    <w:rsid w:val="000E0C6F"/>
    <w:rsid w:val="000E19E7"/>
    <w:rsid w:val="000E4605"/>
    <w:rsid w:val="00103102"/>
    <w:rsid w:val="00103667"/>
    <w:rsid w:val="00111786"/>
    <w:rsid w:val="00116BA5"/>
    <w:rsid w:val="0012444F"/>
    <w:rsid w:val="00126409"/>
    <w:rsid w:val="00137824"/>
    <w:rsid w:val="00146ED0"/>
    <w:rsid w:val="001512A9"/>
    <w:rsid w:val="001512FA"/>
    <w:rsid w:val="001547E0"/>
    <w:rsid w:val="00164E73"/>
    <w:rsid w:val="0016621A"/>
    <w:rsid w:val="0016695F"/>
    <w:rsid w:val="00176588"/>
    <w:rsid w:val="001A0B02"/>
    <w:rsid w:val="001A7CBB"/>
    <w:rsid w:val="001D185D"/>
    <w:rsid w:val="001D247B"/>
    <w:rsid w:val="001D5C9B"/>
    <w:rsid w:val="001D7364"/>
    <w:rsid w:val="001E401F"/>
    <w:rsid w:val="001F146C"/>
    <w:rsid w:val="001F7C54"/>
    <w:rsid w:val="002023D0"/>
    <w:rsid w:val="002057A4"/>
    <w:rsid w:val="00206265"/>
    <w:rsid w:val="002068A9"/>
    <w:rsid w:val="00216A77"/>
    <w:rsid w:val="00241809"/>
    <w:rsid w:val="00242D72"/>
    <w:rsid w:val="002446B7"/>
    <w:rsid w:val="00250A32"/>
    <w:rsid w:val="002556DC"/>
    <w:rsid w:val="00261ABD"/>
    <w:rsid w:val="00267B92"/>
    <w:rsid w:val="002778C1"/>
    <w:rsid w:val="00277B10"/>
    <w:rsid w:val="00297B46"/>
    <w:rsid w:val="002A3B42"/>
    <w:rsid w:val="002B165C"/>
    <w:rsid w:val="002C1C07"/>
    <w:rsid w:val="002C4818"/>
    <w:rsid w:val="002C5FFB"/>
    <w:rsid w:val="002C6387"/>
    <w:rsid w:val="002C66FF"/>
    <w:rsid w:val="002D4FE4"/>
    <w:rsid w:val="002E7BEF"/>
    <w:rsid w:val="002F12EF"/>
    <w:rsid w:val="002F7961"/>
    <w:rsid w:val="0030410B"/>
    <w:rsid w:val="00314268"/>
    <w:rsid w:val="00335DDA"/>
    <w:rsid w:val="00341965"/>
    <w:rsid w:val="00345C73"/>
    <w:rsid w:val="00345D85"/>
    <w:rsid w:val="0034770D"/>
    <w:rsid w:val="00361A45"/>
    <w:rsid w:val="003634EC"/>
    <w:rsid w:val="003653D9"/>
    <w:rsid w:val="00375F43"/>
    <w:rsid w:val="00380105"/>
    <w:rsid w:val="00393630"/>
    <w:rsid w:val="00393DA5"/>
    <w:rsid w:val="00394584"/>
    <w:rsid w:val="00394707"/>
    <w:rsid w:val="00397BBC"/>
    <w:rsid w:val="003A73A3"/>
    <w:rsid w:val="003B25E3"/>
    <w:rsid w:val="003B545D"/>
    <w:rsid w:val="003B6C05"/>
    <w:rsid w:val="003C6341"/>
    <w:rsid w:val="003D09DB"/>
    <w:rsid w:val="003D0A7A"/>
    <w:rsid w:val="003D5CF8"/>
    <w:rsid w:val="003E03DD"/>
    <w:rsid w:val="003F0E36"/>
    <w:rsid w:val="00403470"/>
    <w:rsid w:val="0040479C"/>
    <w:rsid w:val="00412A2A"/>
    <w:rsid w:val="004231F1"/>
    <w:rsid w:val="004242E8"/>
    <w:rsid w:val="0043304D"/>
    <w:rsid w:val="00434148"/>
    <w:rsid w:val="00434791"/>
    <w:rsid w:val="004379EC"/>
    <w:rsid w:val="004429A8"/>
    <w:rsid w:val="004659FF"/>
    <w:rsid w:val="00484496"/>
    <w:rsid w:val="0048594C"/>
    <w:rsid w:val="004B14ED"/>
    <w:rsid w:val="004B1A71"/>
    <w:rsid w:val="004B498E"/>
    <w:rsid w:val="004B5042"/>
    <w:rsid w:val="004C37FD"/>
    <w:rsid w:val="004C6307"/>
    <w:rsid w:val="004D1CD3"/>
    <w:rsid w:val="004D6A3D"/>
    <w:rsid w:val="004D72AB"/>
    <w:rsid w:val="004E1F46"/>
    <w:rsid w:val="00511791"/>
    <w:rsid w:val="0051369E"/>
    <w:rsid w:val="00534BE6"/>
    <w:rsid w:val="00535588"/>
    <w:rsid w:val="005358D2"/>
    <w:rsid w:val="005365DD"/>
    <w:rsid w:val="005440BD"/>
    <w:rsid w:val="00556DA1"/>
    <w:rsid w:val="00564701"/>
    <w:rsid w:val="00571507"/>
    <w:rsid w:val="00575241"/>
    <w:rsid w:val="00575EF9"/>
    <w:rsid w:val="00582F92"/>
    <w:rsid w:val="005A2076"/>
    <w:rsid w:val="005A5481"/>
    <w:rsid w:val="005B1698"/>
    <w:rsid w:val="005B4C5E"/>
    <w:rsid w:val="005C36D5"/>
    <w:rsid w:val="005E4F39"/>
    <w:rsid w:val="005E5463"/>
    <w:rsid w:val="005E6D7E"/>
    <w:rsid w:val="006016E0"/>
    <w:rsid w:val="00607960"/>
    <w:rsid w:val="006125AE"/>
    <w:rsid w:val="006130C3"/>
    <w:rsid w:val="00630215"/>
    <w:rsid w:val="00650001"/>
    <w:rsid w:val="006550C8"/>
    <w:rsid w:val="006567E1"/>
    <w:rsid w:val="00664835"/>
    <w:rsid w:val="00666AA6"/>
    <w:rsid w:val="00681B8D"/>
    <w:rsid w:val="0068446D"/>
    <w:rsid w:val="006A18A8"/>
    <w:rsid w:val="006A1E76"/>
    <w:rsid w:val="006A2259"/>
    <w:rsid w:val="006A5549"/>
    <w:rsid w:val="006B02C0"/>
    <w:rsid w:val="006B27B1"/>
    <w:rsid w:val="006B70F8"/>
    <w:rsid w:val="006C6412"/>
    <w:rsid w:val="006D42A2"/>
    <w:rsid w:val="006E019D"/>
    <w:rsid w:val="006E07FC"/>
    <w:rsid w:val="006E48CF"/>
    <w:rsid w:val="006E4C9C"/>
    <w:rsid w:val="006F15A8"/>
    <w:rsid w:val="006F76E0"/>
    <w:rsid w:val="00703B98"/>
    <w:rsid w:val="00720B2C"/>
    <w:rsid w:val="00721F4D"/>
    <w:rsid w:val="007264F1"/>
    <w:rsid w:val="00726DA2"/>
    <w:rsid w:val="00732F1E"/>
    <w:rsid w:val="007369A8"/>
    <w:rsid w:val="00742FCF"/>
    <w:rsid w:val="00750E74"/>
    <w:rsid w:val="00755402"/>
    <w:rsid w:val="00773D58"/>
    <w:rsid w:val="007827C0"/>
    <w:rsid w:val="00796910"/>
    <w:rsid w:val="007A1117"/>
    <w:rsid w:val="007A26D1"/>
    <w:rsid w:val="007A506E"/>
    <w:rsid w:val="007B3A92"/>
    <w:rsid w:val="007B5436"/>
    <w:rsid w:val="007C6485"/>
    <w:rsid w:val="007D3CC2"/>
    <w:rsid w:val="007E1B09"/>
    <w:rsid w:val="007E7437"/>
    <w:rsid w:val="007F601A"/>
    <w:rsid w:val="0080476E"/>
    <w:rsid w:val="0081695B"/>
    <w:rsid w:val="00816D21"/>
    <w:rsid w:val="00816F7A"/>
    <w:rsid w:val="008175F1"/>
    <w:rsid w:val="008219CB"/>
    <w:rsid w:val="008251FF"/>
    <w:rsid w:val="008263A3"/>
    <w:rsid w:val="00836A9C"/>
    <w:rsid w:val="00840551"/>
    <w:rsid w:val="008467CE"/>
    <w:rsid w:val="00854F93"/>
    <w:rsid w:val="00855142"/>
    <w:rsid w:val="00867714"/>
    <w:rsid w:val="008713E1"/>
    <w:rsid w:val="00876708"/>
    <w:rsid w:val="00880DEE"/>
    <w:rsid w:val="00881476"/>
    <w:rsid w:val="00890338"/>
    <w:rsid w:val="008908AC"/>
    <w:rsid w:val="008976A9"/>
    <w:rsid w:val="008A698F"/>
    <w:rsid w:val="008A78FE"/>
    <w:rsid w:val="008D64F3"/>
    <w:rsid w:val="008D6512"/>
    <w:rsid w:val="008D77BE"/>
    <w:rsid w:val="008E1A56"/>
    <w:rsid w:val="008E1FAC"/>
    <w:rsid w:val="008E1FE5"/>
    <w:rsid w:val="008E233C"/>
    <w:rsid w:val="008E28FE"/>
    <w:rsid w:val="008E7AAF"/>
    <w:rsid w:val="008E7F5B"/>
    <w:rsid w:val="00901964"/>
    <w:rsid w:val="00911899"/>
    <w:rsid w:val="00932398"/>
    <w:rsid w:val="00936350"/>
    <w:rsid w:val="00936BC8"/>
    <w:rsid w:val="0093715D"/>
    <w:rsid w:val="00945D71"/>
    <w:rsid w:val="00945F8A"/>
    <w:rsid w:val="00963ED1"/>
    <w:rsid w:val="009666F3"/>
    <w:rsid w:val="0097143F"/>
    <w:rsid w:val="00972E11"/>
    <w:rsid w:val="00983FE2"/>
    <w:rsid w:val="00985E32"/>
    <w:rsid w:val="00987D76"/>
    <w:rsid w:val="009973E4"/>
    <w:rsid w:val="009B1BA5"/>
    <w:rsid w:val="009C3E43"/>
    <w:rsid w:val="009D0CBF"/>
    <w:rsid w:val="009D261A"/>
    <w:rsid w:val="009D5F50"/>
    <w:rsid w:val="009D6701"/>
    <w:rsid w:val="009D6F00"/>
    <w:rsid w:val="009E4228"/>
    <w:rsid w:val="009E46EA"/>
    <w:rsid w:val="009E6177"/>
    <w:rsid w:val="009F2CB5"/>
    <w:rsid w:val="009F2D89"/>
    <w:rsid w:val="009F4CD5"/>
    <w:rsid w:val="009F7C12"/>
    <w:rsid w:val="00A06F74"/>
    <w:rsid w:val="00A160E7"/>
    <w:rsid w:val="00A257EA"/>
    <w:rsid w:val="00A36E38"/>
    <w:rsid w:val="00A41A99"/>
    <w:rsid w:val="00A43395"/>
    <w:rsid w:val="00A4556E"/>
    <w:rsid w:val="00A52AB6"/>
    <w:rsid w:val="00A53818"/>
    <w:rsid w:val="00A62436"/>
    <w:rsid w:val="00A63517"/>
    <w:rsid w:val="00A636C5"/>
    <w:rsid w:val="00A6698D"/>
    <w:rsid w:val="00A67061"/>
    <w:rsid w:val="00A73C3F"/>
    <w:rsid w:val="00A74E91"/>
    <w:rsid w:val="00A757A5"/>
    <w:rsid w:val="00A77A9F"/>
    <w:rsid w:val="00A8256F"/>
    <w:rsid w:val="00A867DE"/>
    <w:rsid w:val="00A90E1F"/>
    <w:rsid w:val="00AA4227"/>
    <w:rsid w:val="00AA75B2"/>
    <w:rsid w:val="00AB4411"/>
    <w:rsid w:val="00AC09FB"/>
    <w:rsid w:val="00AC4529"/>
    <w:rsid w:val="00AC56A8"/>
    <w:rsid w:val="00AD4A24"/>
    <w:rsid w:val="00AE09E2"/>
    <w:rsid w:val="00AE60E2"/>
    <w:rsid w:val="00AF49D9"/>
    <w:rsid w:val="00AF4E19"/>
    <w:rsid w:val="00AF7559"/>
    <w:rsid w:val="00B05E91"/>
    <w:rsid w:val="00B05FB4"/>
    <w:rsid w:val="00B35249"/>
    <w:rsid w:val="00B3653B"/>
    <w:rsid w:val="00B41CA9"/>
    <w:rsid w:val="00B50596"/>
    <w:rsid w:val="00B548CD"/>
    <w:rsid w:val="00B57CB6"/>
    <w:rsid w:val="00B64835"/>
    <w:rsid w:val="00B64A95"/>
    <w:rsid w:val="00B74248"/>
    <w:rsid w:val="00B746B2"/>
    <w:rsid w:val="00B836FC"/>
    <w:rsid w:val="00B92537"/>
    <w:rsid w:val="00B93EEF"/>
    <w:rsid w:val="00B96849"/>
    <w:rsid w:val="00B97507"/>
    <w:rsid w:val="00BA0C54"/>
    <w:rsid w:val="00BB4E33"/>
    <w:rsid w:val="00BC12B9"/>
    <w:rsid w:val="00BC527F"/>
    <w:rsid w:val="00BF2F2A"/>
    <w:rsid w:val="00BF5320"/>
    <w:rsid w:val="00C06034"/>
    <w:rsid w:val="00C07958"/>
    <w:rsid w:val="00C115F6"/>
    <w:rsid w:val="00C13B4E"/>
    <w:rsid w:val="00C20715"/>
    <w:rsid w:val="00C20989"/>
    <w:rsid w:val="00C2388C"/>
    <w:rsid w:val="00C24ADF"/>
    <w:rsid w:val="00C32CCF"/>
    <w:rsid w:val="00C33D23"/>
    <w:rsid w:val="00C35A1F"/>
    <w:rsid w:val="00C50412"/>
    <w:rsid w:val="00C720C6"/>
    <w:rsid w:val="00C74DC8"/>
    <w:rsid w:val="00C82CB8"/>
    <w:rsid w:val="00C845E0"/>
    <w:rsid w:val="00C95616"/>
    <w:rsid w:val="00CA23B1"/>
    <w:rsid w:val="00CB54A7"/>
    <w:rsid w:val="00CB77CD"/>
    <w:rsid w:val="00CD1236"/>
    <w:rsid w:val="00CD42A8"/>
    <w:rsid w:val="00CE53C1"/>
    <w:rsid w:val="00CE7E57"/>
    <w:rsid w:val="00CF542D"/>
    <w:rsid w:val="00D068F3"/>
    <w:rsid w:val="00D13E58"/>
    <w:rsid w:val="00D13FBF"/>
    <w:rsid w:val="00D31E39"/>
    <w:rsid w:val="00D43E4D"/>
    <w:rsid w:val="00D50031"/>
    <w:rsid w:val="00D5439D"/>
    <w:rsid w:val="00D549DD"/>
    <w:rsid w:val="00D61228"/>
    <w:rsid w:val="00D652B0"/>
    <w:rsid w:val="00D73AC7"/>
    <w:rsid w:val="00DB7C79"/>
    <w:rsid w:val="00DC3570"/>
    <w:rsid w:val="00DD32A5"/>
    <w:rsid w:val="00DE63FD"/>
    <w:rsid w:val="00DE797B"/>
    <w:rsid w:val="00DF1E27"/>
    <w:rsid w:val="00E07090"/>
    <w:rsid w:val="00E1085B"/>
    <w:rsid w:val="00E12033"/>
    <w:rsid w:val="00E1339D"/>
    <w:rsid w:val="00E1457B"/>
    <w:rsid w:val="00E22CE9"/>
    <w:rsid w:val="00E25152"/>
    <w:rsid w:val="00E36D27"/>
    <w:rsid w:val="00E463B0"/>
    <w:rsid w:val="00E51DE6"/>
    <w:rsid w:val="00E813D6"/>
    <w:rsid w:val="00E82BBF"/>
    <w:rsid w:val="00EC1B7C"/>
    <w:rsid w:val="00ED145D"/>
    <w:rsid w:val="00ED6ADC"/>
    <w:rsid w:val="00EE379B"/>
    <w:rsid w:val="00EE3DC5"/>
    <w:rsid w:val="00F03376"/>
    <w:rsid w:val="00F1490A"/>
    <w:rsid w:val="00F20579"/>
    <w:rsid w:val="00F35AD7"/>
    <w:rsid w:val="00F45AC7"/>
    <w:rsid w:val="00F55A80"/>
    <w:rsid w:val="00F70E7E"/>
    <w:rsid w:val="00F85524"/>
    <w:rsid w:val="00FA535F"/>
    <w:rsid w:val="00FA755D"/>
    <w:rsid w:val="00FB1FDB"/>
    <w:rsid w:val="00FB3212"/>
    <w:rsid w:val="00FD20EE"/>
    <w:rsid w:val="00FD26D6"/>
    <w:rsid w:val="00FE34DC"/>
    <w:rsid w:val="00FE60BB"/>
    <w:rsid w:val="00FF02C3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FB863-73AC-414B-8F7C-A2B157EF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7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A75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B2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75B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A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A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4E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E7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4E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E73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796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F796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21F28-DF7C-41E4-A9AC-7BE33172A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5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Skjönsberg</dc:creator>
  <cp:keywords/>
  <dc:description/>
  <cp:lastModifiedBy>Max Skjönsberg</cp:lastModifiedBy>
  <cp:revision>373</cp:revision>
  <cp:lastPrinted>2018-12-13T12:46:00Z</cp:lastPrinted>
  <dcterms:created xsi:type="dcterms:W3CDTF">2018-12-10T12:28:00Z</dcterms:created>
  <dcterms:modified xsi:type="dcterms:W3CDTF">2019-01-04T08:47:00Z</dcterms:modified>
</cp:coreProperties>
</file>