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0E6D3" w14:textId="77777777" w:rsidR="00797994" w:rsidRPr="005F4A48" w:rsidRDefault="00797994" w:rsidP="00797994">
      <w:pPr>
        <w:rPr>
          <w:lang w:val="en-GB"/>
        </w:rPr>
      </w:pPr>
    </w:p>
    <w:p w14:paraId="2883E945" w14:textId="416DAF25" w:rsidR="00797994" w:rsidRPr="005F4A48" w:rsidRDefault="00797994" w:rsidP="00797994">
      <w:pPr>
        <w:rPr>
          <w:lang w:val="en-GB"/>
        </w:rPr>
      </w:pPr>
      <w:r w:rsidRPr="005F4A48">
        <w:rPr>
          <w:lang w:val="en-GB"/>
        </w:rPr>
        <w:t>This s a pre-printed version of a peer-reviewed original research article published under the following reference:</w:t>
      </w:r>
    </w:p>
    <w:p w14:paraId="6798D3E1" w14:textId="77777777" w:rsidR="00797994" w:rsidRPr="005F4A48" w:rsidRDefault="00797994" w:rsidP="00797994">
      <w:pPr>
        <w:rPr>
          <w:lang w:val="en-GB"/>
        </w:rPr>
      </w:pPr>
    </w:p>
    <w:p w14:paraId="6D055A71" w14:textId="77777777" w:rsidR="00797994" w:rsidRPr="005F4A48" w:rsidRDefault="00797994" w:rsidP="00797994">
      <w:pPr>
        <w:rPr>
          <w:lang w:val="en-GB"/>
        </w:rPr>
      </w:pPr>
      <w:r w:rsidRPr="005F4A48">
        <w:rPr>
          <w:lang w:val="en-GB"/>
        </w:rPr>
        <w:t>Physiologically based pharmacokinetic modelling to identify pharmacokinetic parameters driving drug exposure changes in the elderly</w:t>
      </w:r>
    </w:p>
    <w:p w14:paraId="016B9CFD" w14:textId="77777777" w:rsidR="00797994" w:rsidRPr="005F4A48" w:rsidRDefault="00797994" w:rsidP="00797994">
      <w:pPr>
        <w:rPr>
          <w:lang w:val="en-GB"/>
        </w:rPr>
      </w:pPr>
    </w:p>
    <w:p w14:paraId="187233CF" w14:textId="77777777" w:rsidR="00797994" w:rsidRPr="005F4A48" w:rsidRDefault="00797994" w:rsidP="00797994">
      <w:pPr>
        <w:rPr>
          <w:lang w:val="en-GB"/>
        </w:rPr>
      </w:pPr>
      <w:r w:rsidRPr="005F4A48">
        <w:rPr>
          <w:b/>
          <w:bCs/>
          <w:lang w:val="en-GB"/>
        </w:rPr>
        <w:t>Felix Stader</w:t>
      </w:r>
      <w:r w:rsidRPr="005F4A48">
        <w:rPr>
          <w:lang w:val="en-GB"/>
        </w:rPr>
        <w:t>, Hannah Kinvig, Melissa A. Penny, Manuel Battegay, Marco Siccardi &amp; Catia Marzolini</w:t>
      </w:r>
    </w:p>
    <w:p w14:paraId="703A51E2" w14:textId="77777777" w:rsidR="00797994" w:rsidRPr="005F4A48" w:rsidRDefault="00797994" w:rsidP="00797994">
      <w:pPr>
        <w:rPr>
          <w:lang w:val="en-GB"/>
        </w:rPr>
      </w:pPr>
    </w:p>
    <w:p w14:paraId="08642D99" w14:textId="77777777" w:rsidR="00797994" w:rsidRPr="005F4A48" w:rsidRDefault="00797994" w:rsidP="00797994">
      <w:pPr>
        <w:rPr>
          <w:lang w:val="en-GB"/>
        </w:rPr>
      </w:pPr>
      <w:r w:rsidRPr="005F4A48">
        <w:rPr>
          <w:lang w:val="en-GB"/>
        </w:rPr>
        <w:t>Clinical Pharmacokinetics 2019; [</w:t>
      </w:r>
      <w:proofErr w:type="spellStart"/>
      <w:r w:rsidRPr="005F4A48">
        <w:rPr>
          <w:lang w:val="en-GB"/>
        </w:rPr>
        <w:t>Epub</w:t>
      </w:r>
      <w:proofErr w:type="spellEnd"/>
      <w:r w:rsidRPr="005F4A48">
        <w:rPr>
          <w:lang w:val="en-GB"/>
        </w:rPr>
        <w:t xml:space="preserve"> ahead of print].</w:t>
      </w:r>
    </w:p>
    <w:p w14:paraId="07826CB9" w14:textId="0A292AB5" w:rsidR="00797994" w:rsidRPr="00797994" w:rsidRDefault="00797994" w:rsidP="00797994">
      <w:pPr>
        <w:rPr>
          <w:lang w:val="en-GB"/>
        </w:rPr>
      </w:pPr>
      <w:r w:rsidRPr="005F4A48">
        <w:rPr>
          <w:lang w:val="en-GB"/>
        </w:rPr>
        <w:t>DOI: 10.1007/s40262-019-00822-9</w:t>
      </w:r>
      <w:r>
        <w:rPr>
          <w:lang w:val="en-US"/>
        </w:rPr>
        <w:br w:type="page"/>
      </w:r>
    </w:p>
    <w:p w14:paraId="124DC952" w14:textId="2E0817B6" w:rsidR="005268E6" w:rsidRPr="009440AD" w:rsidRDefault="005268E6" w:rsidP="005A2C8B">
      <w:pPr>
        <w:ind w:left="1985" w:hanging="1985"/>
        <w:rPr>
          <w:lang w:val="en-US"/>
        </w:rPr>
      </w:pPr>
      <w:r w:rsidRPr="009440AD">
        <w:rPr>
          <w:lang w:val="en-US"/>
        </w:rPr>
        <w:lastRenderedPageBreak/>
        <w:t>Title:</w:t>
      </w:r>
      <w:r w:rsidRPr="009440AD">
        <w:rPr>
          <w:lang w:val="en-US"/>
        </w:rPr>
        <w:tab/>
      </w:r>
      <w:bookmarkStart w:id="0" w:name="_Hlk10172297"/>
      <w:bookmarkStart w:id="1" w:name="_Hlk10193451"/>
      <w:r w:rsidR="00DF4EDE" w:rsidRPr="009440AD">
        <w:rPr>
          <w:lang w:val="en-US"/>
        </w:rPr>
        <w:t>Physiologically based pharmacokinetic modelling to identify pharmacokinetic parameter</w:t>
      </w:r>
      <w:r w:rsidR="0091529A" w:rsidRPr="009440AD">
        <w:rPr>
          <w:lang w:val="en-US"/>
        </w:rPr>
        <w:t>s driving drug exposure changes in the elderly</w:t>
      </w:r>
      <w:bookmarkEnd w:id="0"/>
    </w:p>
    <w:p w14:paraId="13D652A6" w14:textId="4519CCC1" w:rsidR="00B378A5" w:rsidRPr="009440AD" w:rsidRDefault="00B378A5" w:rsidP="005A2C8B">
      <w:pPr>
        <w:ind w:left="1985" w:hanging="1985"/>
        <w:rPr>
          <w:lang w:val="en-US"/>
        </w:rPr>
      </w:pPr>
    </w:p>
    <w:p w14:paraId="4D311020" w14:textId="130E2CD7" w:rsidR="005268E6" w:rsidRPr="009440AD" w:rsidRDefault="00B378A5" w:rsidP="00B378A5">
      <w:pPr>
        <w:ind w:left="1985" w:hanging="1985"/>
        <w:rPr>
          <w:lang w:val="en-US"/>
        </w:rPr>
      </w:pPr>
      <w:r w:rsidRPr="009440AD">
        <w:rPr>
          <w:lang w:val="en-US"/>
        </w:rPr>
        <w:t>Running heading:</w:t>
      </w:r>
      <w:r w:rsidRPr="009440AD">
        <w:rPr>
          <w:lang w:val="en-US"/>
        </w:rPr>
        <w:tab/>
        <w:t xml:space="preserve">PBPK </w:t>
      </w:r>
      <w:bookmarkEnd w:id="1"/>
      <w:r w:rsidRPr="009440AD">
        <w:rPr>
          <w:lang w:val="en-US"/>
        </w:rPr>
        <w:t>modelling to identify pharmacokinetic parameters driving drug exposure changes in the elderly</w:t>
      </w:r>
    </w:p>
    <w:p w14:paraId="21DAF9A4" w14:textId="77777777" w:rsidR="00B378A5" w:rsidRPr="009440AD" w:rsidRDefault="00B378A5" w:rsidP="00B378A5">
      <w:pPr>
        <w:ind w:left="1985" w:hanging="1985"/>
        <w:rPr>
          <w:lang w:val="en-US"/>
        </w:rPr>
      </w:pPr>
    </w:p>
    <w:p w14:paraId="6E448472" w14:textId="77777777" w:rsidR="005268E6" w:rsidRPr="009440AD" w:rsidRDefault="005268E6" w:rsidP="005A2C8B">
      <w:pPr>
        <w:ind w:left="1985" w:hanging="1985"/>
        <w:rPr>
          <w:lang w:val="en-US"/>
        </w:rPr>
      </w:pPr>
      <w:r w:rsidRPr="009440AD">
        <w:rPr>
          <w:lang w:val="en-US"/>
        </w:rPr>
        <w:t>Authors:</w:t>
      </w:r>
      <w:r w:rsidRPr="009440AD">
        <w:rPr>
          <w:lang w:val="en-US"/>
        </w:rPr>
        <w:tab/>
      </w:r>
      <w:bookmarkStart w:id="2" w:name="_Hlk10193489"/>
      <w:r w:rsidRPr="009440AD">
        <w:rPr>
          <w:lang w:val="en-US"/>
        </w:rPr>
        <w:t>Felix Stader</w:t>
      </w:r>
      <w:r w:rsidRPr="009440AD">
        <w:rPr>
          <w:vertAlign w:val="superscript"/>
          <w:lang w:val="en-US"/>
        </w:rPr>
        <w:t>1,2,3,#</w:t>
      </w:r>
      <w:r w:rsidRPr="009440AD">
        <w:rPr>
          <w:lang w:val="en-US"/>
        </w:rPr>
        <w:t xml:space="preserve">, </w:t>
      </w:r>
      <w:r w:rsidR="005A2C8B" w:rsidRPr="009440AD">
        <w:rPr>
          <w:lang w:val="en-US"/>
        </w:rPr>
        <w:t>Hannah Kinvig</w:t>
      </w:r>
      <w:r w:rsidR="005A2C8B" w:rsidRPr="009440AD">
        <w:rPr>
          <w:vertAlign w:val="superscript"/>
          <w:lang w:val="en-US"/>
        </w:rPr>
        <w:t>4</w:t>
      </w:r>
      <w:r w:rsidR="005A2C8B" w:rsidRPr="009440AD">
        <w:rPr>
          <w:lang w:val="en-US"/>
        </w:rPr>
        <w:t xml:space="preserve">, </w:t>
      </w:r>
      <w:r w:rsidRPr="009440AD">
        <w:rPr>
          <w:lang w:val="en-US"/>
        </w:rPr>
        <w:t>Melissa A. Penny</w:t>
      </w:r>
      <w:r w:rsidRPr="009440AD">
        <w:rPr>
          <w:vertAlign w:val="superscript"/>
          <w:lang w:val="en-US"/>
        </w:rPr>
        <w:t>2,3</w:t>
      </w:r>
      <w:r w:rsidRPr="009440AD">
        <w:rPr>
          <w:lang w:val="en-US"/>
        </w:rPr>
        <w:t xml:space="preserve">, </w:t>
      </w:r>
      <w:r w:rsidR="003E1C2B" w:rsidRPr="009440AD">
        <w:rPr>
          <w:lang w:val="en-US"/>
        </w:rPr>
        <w:t>Manuel Battegay</w:t>
      </w:r>
      <w:r w:rsidR="003E1C2B" w:rsidRPr="009440AD">
        <w:rPr>
          <w:vertAlign w:val="superscript"/>
          <w:lang w:val="en-US"/>
        </w:rPr>
        <w:t>1,3</w:t>
      </w:r>
      <w:r w:rsidR="003E1C2B" w:rsidRPr="009440AD">
        <w:rPr>
          <w:lang w:val="en-US"/>
        </w:rPr>
        <w:t xml:space="preserve">, </w:t>
      </w:r>
      <w:r w:rsidRPr="009440AD">
        <w:rPr>
          <w:lang w:val="en-US"/>
        </w:rPr>
        <w:t>Marco Siccardi</w:t>
      </w:r>
      <w:r w:rsidRPr="009440AD">
        <w:rPr>
          <w:vertAlign w:val="superscript"/>
          <w:lang w:val="en-US"/>
        </w:rPr>
        <w:t>4</w:t>
      </w:r>
      <w:r w:rsidRPr="009440AD">
        <w:rPr>
          <w:lang w:val="en-US"/>
        </w:rPr>
        <w:t xml:space="preserve"> &amp; Catia Marzolini</w:t>
      </w:r>
      <w:r w:rsidRPr="009440AD">
        <w:rPr>
          <w:vertAlign w:val="superscript"/>
          <w:lang w:val="en-US"/>
        </w:rPr>
        <w:t>1,3</w:t>
      </w:r>
      <w:bookmarkEnd w:id="2"/>
    </w:p>
    <w:p w14:paraId="559A0E09" w14:textId="77777777" w:rsidR="005268E6" w:rsidRPr="009440AD" w:rsidRDefault="005268E6" w:rsidP="005268E6">
      <w:pPr>
        <w:rPr>
          <w:lang w:val="en-US"/>
        </w:rPr>
      </w:pPr>
    </w:p>
    <w:p w14:paraId="12195C98" w14:textId="77777777" w:rsidR="005A2C8B" w:rsidRPr="009440AD" w:rsidRDefault="005268E6" w:rsidP="005A2C8B">
      <w:pPr>
        <w:tabs>
          <w:tab w:val="left" w:pos="2410"/>
        </w:tabs>
        <w:ind w:left="1985" w:hanging="1985"/>
        <w:rPr>
          <w:lang w:val="en-US"/>
        </w:rPr>
      </w:pPr>
      <w:r w:rsidRPr="009440AD">
        <w:rPr>
          <w:lang w:val="en-US"/>
        </w:rPr>
        <w:t>Affiliation:</w:t>
      </w:r>
      <w:r w:rsidRPr="009440AD">
        <w:rPr>
          <w:lang w:val="en-US"/>
        </w:rPr>
        <w:tab/>
      </w:r>
      <w:bookmarkStart w:id="3" w:name="_Hlk10193509"/>
      <w:r w:rsidRPr="009440AD">
        <w:rPr>
          <w:lang w:val="en-US"/>
        </w:rPr>
        <w:t xml:space="preserve">1. </w:t>
      </w:r>
      <w:r w:rsidRPr="009440AD">
        <w:rPr>
          <w:lang w:val="en-US"/>
        </w:rPr>
        <w:tab/>
        <w:t>Division of Infectious Diseases and Hospital Epidemiology</w:t>
      </w:r>
    </w:p>
    <w:p w14:paraId="7201E737" w14:textId="77777777" w:rsidR="005A2C8B" w:rsidRPr="009440AD" w:rsidRDefault="005268E6" w:rsidP="005A2C8B">
      <w:pPr>
        <w:ind w:left="2410"/>
        <w:rPr>
          <w:lang w:val="en-US"/>
        </w:rPr>
      </w:pPr>
      <w:r w:rsidRPr="009440AD">
        <w:rPr>
          <w:lang w:val="en-US"/>
        </w:rPr>
        <w:t>Departments of Medicine and Clinical Research</w:t>
      </w:r>
    </w:p>
    <w:p w14:paraId="4E102B6E" w14:textId="77777777" w:rsidR="005A2C8B" w:rsidRPr="009440AD" w:rsidRDefault="005268E6" w:rsidP="005A2C8B">
      <w:pPr>
        <w:ind w:left="2410"/>
        <w:rPr>
          <w:lang w:val="en-US"/>
        </w:rPr>
      </w:pPr>
      <w:r w:rsidRPr="009440AD">
        <w:rPr>
          <w:lang w:val="en-US"/>
        </w:rPr>
        <w:t>University Hospital Basel</w:t>
      </w:r>
    </w:p>
    <w:p w14:paraId="5D5EFDF1" w14:textId="77777777" w:rsidR="005268E6" w:rsidRPr="009440AD" w:rsidRDefault="005268E6" w:rsidP="005A2C8B">
      <w:pPr>
        <w:ind w:left="2410"/>
        <w:rPr>
          <w:lang w:val="en-US"/>
        </w:rPr>
      </w:pPr>
      <w:r w:rsidRPr="009440AD">
        <w:rPr>
          <w:lang w:val="en-US"/>
        </w:rPr>
        <w:t>Basel, Switzerland</w:t>
      </w:r>
    </w:p>
    <w:p w14:paraId="2040DE5E" w14:textId="77777777" w:rsidR="005268E6" w:rsidRPr="009440AD" w:rsidRDefault="005268E6" w:rsidP="005268E6">
      <w:pPr>
        <w:rPr>
          <w:lang w:val="en-US"/>
        </w:rPr>
      </w:pPr>
    </w:p>
    <w:p w14:paraId="739F917D" w14:textId="77777777" w:rsidR="005A2C8B" w:rsidRPr="009440AD" w:rsidRDefault="005268E6" w:rsidP="005A2C8B">
      <w:pPr>
        <w:tabs>
          <w:tab w:val="left" w:pos="2410"/>
        </w:tabs>
        <w:ind w:left="1985" w:hanging="1985"/>
        <w:rPr>
          <w:lang w:val="en-US"/>
        </w:rPr>
      </w:pPr>
      <w:r w:rsidRPr="009440AD">
        <w:rPr>
          <w:lang w:val="en-US"/>
        </w:rPr>
        <w:tab/>
        <w:t>2.</w:t>
      </w:r>
      <w:r w:rsidRPr="009440AD">
        <w:rPr>
          <w:lang w:val="en-US"/>
        </w:rPr>
        <w:tab/>
        <w:t>Infectious Disease Modelling Unit</w:t>
      </w:r>
    </w:p>
    <w:p w14:paraId="4B9D6457" w14:textId="77777777" w:rsidR="005A2C8B" w:rsidRPr="009440AD" w:rsidRDefault="005268E6" w:rsidP="005A2C8B">
      <w:pPr>
        <w:ind w:left="2410"/>
        <w:rPr>
          <w:lang w:val="en-US"/>
        </w:rPr>
      </w:pPr>
      <w:r w:rsidRPr="009440AD">
        <w:rPr>
          <w:lang w:val="en-US"/>
        </w:rPr>
        <w:t>Department of Epidemiology and Public Health</w:t>
      </w:r>
    </w:p>
    <w:p w14:paraId="701F483A" w14:textId="77777777" w:rsidR="005A2C8B" w:rsidRPr="009440AD" w:rsidRDefault="005268E6" w:rsidP="005A2C8B">
      <w:pPr>
        <w:ind w:left="2410"/>
        <w:rPr>
          <w:lang w:val="en-US"/>
        </w:rPr>
      </w:pPr>
      <w:r w:rsidRPr="009440AD">
        <w:rPr>
          <w:lang w:val="en-US"/>
        </w:rPr>
        <w:t>Swiss Tropical and Public Health Institute</w:t>
      </w:r>
    </w:p>
    <w:p w14:paraId="7B22C51D" w14:textId="77777777" w:rsidR="005268E6" w:rsidRPr="009440AD" w:rsidRDefault="005268E6" w:rsidP="005A2C8B">
      <w:pPr>
        <w:ind w:left="2410"/>
        <w:rPr>
          <w:lang w:val="en-US"/>
        </w:rPr>
      </w:pPr>
      <w:r w:rsidRPr="009440AD">
        <w:rPr>
          <w:lang w:val="en-US"/>
        </w:rPr>
        <w:t>Basel, Switzerland</w:t>
      </w:r>
    </w:p>
    <w:p w14:paraId="7FF0E709" w14:textId="77777777" w:rsidR="005268E6" w:rsidRPr="009440AD" w:rsidRDefault="005268E6" w:rsidP="005268E6">
      <w:pPr>
        <w:rPr>
          <w:lang w:val="en-US"/>
        </w:rPr>
      </w:pPr>
    </w:p>
    <w:p w14:paraId="57DC4E10" w14:textId="77777777" w:rsidR="005A2C8B" w:rsidRPr="009440AD" w:rsidRDefault="005268E6" w:rsidP="005A2C8B">
      <w:pPr>
        <w:tabs>
          <w:tab w:val="left" w:pos="2410"/>
        </w:tabs>
        <w:ind w:left="1985" w:hanging="1985"/>
        <w:rPr>
          <w:lang w:val="en-US"/>
        </w:rPr>
      </w:pPr>
      <w:r w:rsidRPr="009440AD">
        <w:rPr>
          <w:lang w:val="en-US"/>
        </w:rPr>
        <w:tab/>
        <w:t>3.</w:t>
      </w:r>
      <w:r w:rsidRPr="009440AD">
        <w:rPr>
          <w:lang w:val="en-US"/>
        </w:rPr>
        <w:tab/>
        <w:t>University of Basel</w:t>
      </w:r>
    </w:p>
    <w:p w14:paraId="39AB9727" w14:textId="77777777" w:rsidR="005268E6" w:rsidRPr="009440AD" w:rsidRDefault="005268E6" w:rsidP="005A2C8B">
      <w:pPr>
        <w:ind w:left="2410"/>
        <w:rPr>
          <w:lang w:val="en-US"/>
        </w:rPr>
      </w:pPr>
      <w:r w:rsidRPr="009440AD">
        <w:rPr>
          <w:lang w:val="en-US"/>
        </w:rPr>
        <w:t>Basel, Switzerland</w:t>
      </w:r>
    </w:p>
    <w:p w14:paraId="06D276C2" w14:textId="77777777" w:rsidR="005268E6" w:rsidRPr="009440AD" w:rsidRDefault="005268E6" w:rsidP="005268E6">
      <w:pPr>
        <w:rPr>
          <w:lang w:val="en-US"/>
        </w:rPr>
      </w:pPr>
    </w:p>
    <w:p w14:paraId="53229DCF" w14:textId="77777777" w:rsidR="005A2C8B" w:rsidRPr="009440AD" w:rsidRDefault="005268E6" w:rsidP="005A2C8B">
      <w:pPr>
        <w:tabs>
          <w:tab w:val="left" w:pos="2410"/>
        </w:tabs>
        <w:ind w:left="1985" w:hanging="1985"/>
        <w:rPr>
          <w:lang w:val="en-US"/>
        </w:rPr>
      </w:pPr>
      <w:r w:rsidRPr="009440AD">
        <w:rPr>
          <w:lang w:val="en-US"/>
        </w:rPr>
        <w:tab/>
        <w:t xml:space="preserve">4. </w:t>
      </w:r>
      <w:r w:rsidRPr="009440AD">
        <w:rPr>
          <w:lang w:val="en-US"/>
        </w:rPr>
        <w:tab/>
        <w:t>Department of Molecular and Clinical Pharmacology</w:t>
      </w:r>
    </w:p>
    <w:p w14:paraId="720CE3EA" w14:textId="77777777" w:rsidR="005A2C8B" w:rsidRPr="009440AD" w:rsidRDefault="005268E6" w:rsidP="005A2C8B">
      <w:pPr>
        <w:ind w:left="2410"/>
        <w:rPr>
          <w:lang w:val="en-US"/>
        </w:rPr>
      </w:pPr>
      <w:r w:rsidRPr="009440AD">
        <w:rPr>
          <w:lang w:val="en-US"/>
        </w:rPr>
        <w:t>Institute of Translational Medicine</w:t>
      </w:r>
    </w:p>
    <w:p w14:paraId="7390806A" w14:textId="77777777" w:rsidR="005A2C8B" w:rsidRPr="009440AD" w:rsidRDefault="005268E6" w:rsidP="005A2C8B">
      <w:pPr>
        <w:ind w:left="2410"/>
        <w:rPr>
          <w:lang w:val="en-US"/>
        </w:rPr>
      </w:pPr>
      <w:r w:rsidRPr="009440AD">
        <w:rPr>
          <w:lang w:val="en-US"/>
        </w:rPr>
        <w:t>University of Liverpool</w:t>
      </w:r>
    </w:p>
    <w:p w14:paraId="099B5ED1" w14:textId="77777777" w:rsidR="005268E6" w:rsidRPr="009440AD" w:rsidRDefault="005268E6" w:rsidP="005A2C8B">
      <w:pPr>
        <w:ind w:left="2410"/>
        <w:rPr>
          <w:lang w:val="en-US"/>
        </w:rPr>
      </w:pPr>
      <w:r w:rsidRPr="009440AD">
        <w:rPr>
          <w:lang w:val="en-US"/>
        </w:rPr>
        <w:t>Liverpool, UK</w:t>
      </w:r>
    </w:p>
    <w:p w14:paraId="28913897" w14:textId="77777777" w:rsidR="005268E6" w:rsidRPr="009440AD" w:rsidRDefault="005268E6" w:rsidP="005268E6">
      <w:pPr>
        <w:rPr>
          <w:lang w:val="en-US"/>
        </w:rPr>
      </w:pPr>
    </w:p>
    <w:p w14:paraId="6634C954" w14:textId="77777777" w:rsidR="005A2C8B" w:rsidRPr="009440AD" w:rsidRDefault="005268E6" w:rsidP="005A2C8B">
      <w:pPr>
        <w:ind w:left="1985"/>
        <w:rPr>
          <w:lang w:val="en-US"/>
        </w:rPr>
      </w:pPr>
      <w:r w:rsidRPr="009440AD">
        <w:rPr>
          <w:lang w:val="en-US"/>
        </w:rPr>
        <w:t>#corresponding author</w:t>
      </w:r>
    </w:p>
    <w:p w14:paraId="121C7881" w14:textId="77777777" w:rsidR="005A2C8B" w:rsidRPr="009440AD" w:rsidRDefault="005268E6" w:rsidP="005A2C8B">
      <w:pPr>
        <w:ind w:left="1985"/>
        <w:rPr>
          <w:lang w:val="en-US"/>
        </w:rPr>
      </w:pPr>
      <w:r w:rsidRPr="009440AD">
        <w:rPr>
          <w:lang w:val="en-US"/>
        </w:rPr>
        <w:t>E-mail:</w:t>
      </w:r>
      <w:r w:rsidRPr="009440AD">
        <w:rPr>
          <w:lang w:val="en-US"/>
        </w:rPr>
        <w:tab/>
      </w:r>
      <w:r w:rsidR="005A2C8B" w:rsidRPr="009440AD">
        <w:rPr>
          <w:lang w:val="en-US"/>
        </w:rPr>
        <w:t>Felix.Stader@unibas.ch</w:t>
      </w:r>
    </w:p>
    <w:p w14:paraId="6947B04C" w14:textId="77777777" w:rsidR="005268E6" w:rsidRPr="009440AD" w:rsidRDefault="005268E6" w:rsidP="005A2C8B">
      <w:pPr>
        <w:ind w:left="1985"/>
        <w:rPr>
          <w:lang w:val="en-US"/>
        </w:rPr>
      </w:pPr>
      <w:r w:rsidRPr="009440AD">
        <w:rPr>
          <w:lang w:val="en-US"/>
        </w:rPr>
        <w:t>Phone:</w:t>
      </w:r>
      <w:r w:rsidRPr="009440AD">
        <w:rPr>
          <w:lang w:val="en-US"/>
        </w:rPr>
        <w:tab/>
        <w:t>+41 61 284 8738</w:t>
      </w:r>
    </w:p>
    <w:bookmarkEnd w:id="3"/>
    <w:p w14:paraId="37579342" w14:textId="2E6FC829" w:rsidR="005268E6" w:rsidRPr="009440AD" w:rsidRDefault="005268E6" w:rsidP="000E04EA">
      <w:pPr>
        <w:rPr>
          <w:lang w:val="en-US"/>
        </w:rPr>
      </w:pPr>
      <w:r w:rsidRPr="009440AD">
        <w:rPr>
          <w:lang w:val="en-US"/>
        </w:rPr>
        <w:br w:type="page"/>
      </w:r>
    </w:p>
    <w:p w14:paraId="35B92BA3" w14:textId="77777777" w:rsidR="005268E6" w:rsidRPr="009440AD" w:rsidRDefault="005268E6" w:rsidP="0043533C">
      <w:pPr>
        <w:pStyle w:val="Heading1"/>
        <w:rPr>
          <w:lang w:val="en-US"/>
        </w:rPr>
      </w:pPr>
      <w:r w:rsidRPr="009440AD">
        <w:rPr>
          <w:lang w:val="en-US"/>
        </w:rPr>
        <w:lastRenderedPageBreak/>
        <w:t>Abstract</w:t>
      </w:r>
    </w:p>
    <w:p w14:paraId="3F31188C" w14:textId="2FFA5C40" w:rsidR="00343856" w:rsidRPr="009440AD" w:rsidRDefault="00343856" w:rsidP="00FC7668">
      <w:pPr>
        <w:rPr>
          <w:lang w:val="en-US"/>
        </w:rPr>
      </w:pPr>
      <w:r w:rsidRPr="009440AD">
        <w:rPr>
          <w:lang w:val="en-US"/>
        </w:rPr>
        <w:t>Background</w:t>
      </w:r>
    </w:p>
    <w:p w14:paraId="5502AD1E" w14:textId="0DA10F5B" w:rsidR="00343856" w:rsidRPr="009440AD" w:rsidRDefault="005C4A78" w:rsidP="00FC7668">
      <w:pPr>
        <w:rPr>
          <w:lang w:val="en-US"/>
        </w:rPr>
      </w:pPr>
      <w:r w:rsidRPr="009440AD">
        <w:rPr>
          <w:lang w:val="en-US"/>
        </w:rPr>
        <w:t>Medication use is highly prevalent with advanced age, but c</w:t>
      </w:r>
      <w:r w:rsidR="0058664E" w:rsidRPr="009440AD">
        <w:rPr>
          <w:lang w:val="en-US"/>
        </w:rPr>
        <w:t>linical studies are rarely conducted in the elderly</w:t>
      </w:r>
      <w:r w:rsidR="00913A62" w:rsidRPr="009440AD">
        <w:rPr>
          <w:lang w:val="en-US"/>
        </w:rPr>
        <w:t xml:space="preserve"> leading to limited knowledge </w:t>
      </w:r>
      <w:r w:rsidR="00113E19" w:rsidRPr="009440AD">
        <w:rPr>
          <w:lang w:val="en-US"/>
        </w:rPr>
        <w:t>about age-related pharmacokinetic changes.</w:t>
      </w:r>
    </w:p>
    <w:p w14:paraId="00851CFF" w14:textId="77777777" w:rsidR="00343856" w:rsidRPr="009440AD" w:rsidRDefault="00343856" w:rsidP="00FC7668">
      <w:pPr>
        <w:rPr>
          <w:lang w:val="en-US"/>
        </w:rPr>
      </w:pPr>
    </w:p>
    <w:p w14:paraId="5B554E31" w14:textId="52B5DC8F" w:rsidR="00343856" w:rsidRPr="009440AD" w:rsidRDefault="00343856" w:rsidP="00FC7668">
      <w:pPr>
        <w:rPr>
          <w:lang w:val="en-US"/>
        </w:rPr>
      </w:pPr>
      <w:r w:rsidRPr="009440AD">
        <w:rPr>
          <w:lang w:val="en-US"/>
        </w:rPr>
        <w:t>Objective</w:t>
      </w:r>
    </w:p>
    <w:p w14:paraId="423321A6" w14:textId="6397B97D" w:rsidR="00343856" w:rsidRPr="009440AD" w:rsidRDefault="00113E19" w:rsidP="00FC7668">
      <w:pPr>
        <w:rPr>
          <w:lang w:val="en-US"/>
        </w:rPr>
      </w:pPr>
      <w:r w:rsidRPr="009440AD">
        <w:rPr>
          <w:lang w:val="en-US"/>
        </w:rPr>
        <w:t>The objective of this study</w:t>
      </w:r>
      <w:r w:rsidR="00913A62" w:rsidRPr="009440AD">
        <w:rPr>
          <w:lang w:val="en-US"/>
        </w:rPr>
        <w:t xml:space="preserve"> was</w:t>
      </w:r>
      <w:r w:rsidRPr="009440AD">
        <w:rPr>
          <w:lang w:val="en-US"/>
        </w:rPr>
        <w:t xml:space="preserve"> to </w:t>
      </w:r>
      <w:r w:rsidR="00913A62" w:rsidRPr="009440AD">
        <w:rPr>
          <w:lang w:val="en-US"/>
        </w:rPr>
        <w:t>investigate which pharmacokinetic parameter</w:t>
      </w:r>
      <w:r w:rsidR="002F092D" w:rsidRPr="009440AD">
        <w:rPr>
          <w:lang w:val="en-US"/>
        </w:rPr>
        <w:t>s</w:t>
      </w:r>
      <w:r w:rsidR="00913A62" w:rsidRPr="009440AD">
        <w:rPr>
          <w:lang w:val="en-US"/>
        </w:rPr>
        <w:t xml:space="preserve"> determine drug exposure changes in the elderly by conducting virtual clinical trials for ten drugs </w:t>
      </w:r>
      <w:r w:rsidR="00AB4A43" w:rsidRPr="009440AD">
        <w:rPr>
          <w:lang w:val="en-US"/>
        </w:rPr>
        <w:t xml:space="preserve">(midazolam, metoprolol, lisinopril, amlodipine, rivaroxaban, repaglinide, atorvastatin, rosuvastatin, clarithromycin, rifampicin) </w:t>
      </w:r>
      <w:r w:rsidR="00913A62" w:rsidRPr="009440AD">
        <w:rPr>
          <w:lang w:val="en-US"/>
        </w:rPr>
        <w:t>using</w:t>
      </w:r>
      <w:r w:rsidRPr="009440AD">
        <w:rPr>
          <w:lang w:val="en-US"/>
        </w:rPr>
        <w:t xml:space="preserve"> our PBPK framework.</w:t>
      </w:r>
    </w:p>
    <w:p w14:paraId="24D6F734" w14:textId="77777777" w:rsidR="00343856" w:rsidRPr="009440AD" w:rsidRDefault="00343856" w:rsidP="00FC7668">
      <w:pPr>
        <w:rPr>
          <w:lang w:val="en-US"/>
        </w:rPr>
      </w:pPr>
    </w:p>
    <w:p w14:paraId="202BDF1F" w14:textId="38DCED07" w:rsidR="00343856" w:rsidRPr="009440AD" w:rsidRDefault="00343856" w:rsidP="00FC7668">
      <w:pPr>
        <w:rPr>
          <w:lang w:val="en-US"/>
        </w:rPr>
      </w:pPr>
      <w:r w:rsidRPr="009440AD">
        <w:rPr>
          <w:lang w:val="en-US"/>
        </w:rPr>
        <w:t>Methods</w:t>
      </w:r>
    </w:p>
    <w:p w14:paraId="0E7DFCEA" w14:textId="6579E129" w:rsidR="0079150B" w:rsidRPr="006B495B" w:rsidRDefault="0079150B" w:rsidP="00FC7668">
      <w:pPr>
        <w:rPr>
          <w:lang w:val="en-US"/>
        </w:rPr>
      </w:pPr>
      <w:r w:rsidRPr="006B495B">
        <w:rPr>
          <w:lang w:val="en-US"/>
        </w:rPr>
        <w:t xml:space="preserve">PBPK models for all ten drugs were developed in young adults (20-50 years) following the best practice approach before predicting </w:t>
      </w:r>
      <w:r w:rsidR="00BF1ACC" w:rsidRPr="006B495B">
        <w:rPr>
          <w:lang w:val="en-US"/>
        </w:rPr>
        <w:t>pharmacokinetics</w:t>
      </w:r>
      <w:r w:rsidRPr="006B495B">
        <w:rPr>
          <w:lang w:val="en-US"/>
        </w:rPr>
        <w:t xml:space="preserve"> in the elderly (</w:t>
      </w:r>
      <w:r w:rsidR="00930550" w:rsidRPr="006B495B">
        <w:rPr>
          <w:rFonts w:cs="Arial"/>
          <w:lang w:val="en-US"/>
        </w:rPr>
        <w:t>≥</w:t>
      </w:r>
      <w:r w:rsidRPr="006B495B">
        <w:rPr>
          <w:lang w:val="en-US"/>
        </w:rPr>
        <w:t xml:space="preserve"> 65 years) without any modification of drug parameters. A descriptive relationship between age and each investigated pharmacokinetic parameter </w:t>
      </w:r>
      <w:r w:rsidR="00AB4A43" w:rsidRPr="006B495B">
        <w:rPr>
          <w:lang w:val="en-US"/>
        </w:rPr>
        <w:t xml:space="preserve">(peak concentration: </w:t>
      </w:r>
      <w:proofErr w:type="spellStart"/>
      <w:r w:rsidR="00AB4A43" w:rsidRPr="006B495B">
        <w:rPr>
          <w:lang w:val="en-US"/>
        </w:rPr>
        <w:t>C</w:t>
      </w:r>
      <w:r w:rsidR="00AB4A43" w:rsidRPr="006B495B">
        <w:rPr>
          <w:vertAlign w:val="subscript"/>
          <w:lang w:val="en-US"/>
        </w:rPr>
        <w:t>max</w:t>
      </w:r>
      <w:proofErr w:type="spellEnd"/>
      <w:r w:rsidR="00AB4A43" w:rsidRPr="006B495B">
        <w:rPr>
          <w:lang w:val="en-US"/>
        </w:rPr>
        <w:t xml:space="preserve">, time to </w:t>
      </w:r>
      <w:proofErr w:type="spellStart"/>
      <w:r w:rsidR="00AB4A43" w:rsidRPr="006B495B">
        <w:rPr>
          <w:lang w:val="en-US"/>
        </w:rPr>
        <w:t>C</w:t>
      </w:r>
      <w:r w:rsidR="00AB4A43" w:rsidRPr="006B495B">
        <w:rPr>
          <w:vertAlign w:val="subscript"/>
          <w:lang w:val="en-US"/>
        </w:rPr>
        <w:t>max</w:t>
      </w:r>
      <w:proofErr w:type="spellEnd"/>
      <w:r w:rsidR="00AB4A43" w:rsidRPr="006B495B">
        <w:rPr>
          <w:lang w:val="en-US"/>
        </w:rPr>
        <w:t xml:space="preserve">: </w:t>
      </w:r>
      <w:proofErr w:type="spellStart"/>
      <w:r w:rsidR="00AB4A43" w:rsidRPr="006B495B">
        <w:rPr>
          <w:lang w:val="en-US"/>
        </w:rPr>
        <w:t>t</w:t>
      </w:r>
      <w:r w:rsidR="00AB4A43" w:rsidRPr="006B495B">
        <w:rPr>
          <w:vertAlign w:val="subscript"/>
          <w:lang w:val="en-US"/>
        </w:rPr>
        <w:t>max</w:t>
      </w:r>
      <w:proofErr w:type="spellEnd"/>
      <w:r w:rsidR="00AB4A43" w:rsidRPr="006B495B">
        <w:rPr>
          <w:lang w:val="en-US"/>
        </w:rPr>
        <w:t>, area under the curve: AUC, clearance, volume of distribution, elimination-half-life: t</w:t>
      </w:r>
      <w:r w:rsidR="00AB4A43" w:rsidRPr="006B495B">
        <w:rPr>
          <w:vertAlign w:val="subscript"/>
          <w:lang w:val="en-US"/>
        </w:rPr>
        <w:t>1/2</w:t>
      </w:r>
      <w:r w:rsidR="00AB4A43" w:rsidRPr="006B495B">
        <w:rPr>
          <w:lang w:val="en-US"/>
        </w:rPr>
        <w:t xml:space="preserve">) </w:t>
      </w:r>
      <w:r w:rsidRPr="006B495B">
        <w:rPr>
          <w:lang w:val="en-US"/>
        </w:rPr>
        <w:t xml:space="preserve">was derived </w:t>
      </w:r>
      <w:r w:rsidR="00AB4A43" w:rsidRPr="006B495B">
        <w:rPr>
          <w:lang w:val="en-US"/>
        </w:rPr>
        <w:t xml:space="preserve">using the final PBPK models </w:t>
      </w:r>
      <w:r w:rsidRPr="006B495B">
        <w:rPr>
          <w:lang w:val="en-US"/>
        </w:rPr>
        <w:t xml:space="preserve">and verified with </w:t>
      </w:r>
      <w:r w:rsidR="00930550" w:rsidRPr="006B495B">
        <w:rPr>
          <w:lang w:val="en-US"/>
        </w:rPr>
        <w:t xml:space="preserve">independent </w:t>
      </w:r>
      <w:r w:rsidRPr="006B495B">
        <w:rPr>
          <w:lang w:val="en-US"/>
        </w:rPr>
        <w:t xml:space="preserve">clinically observed data </w:t>
      </w:r>
      <w:r w:rsidR="00930550" w:rsidRPr="006B495B">
        <w:rPr>
          <w:lang w:val="en-US"/>
        </w:rPr>
        <w:t>from 52 drugs</w:t>
      </w:r>
      <w:r w:rsidRPr="006B495B">
        <w:rPr>
          <w:lang w:val="en-US"/>
        </w:rPr>
        <w:t>.</w:t>
      </w:r>
    </w:p>
    <w:p w14:paraId="28BE37E7" w14:textId="508A4BBA" w:rsidR="00343856" w:rsidRPr="009440AD" w:rsidRDefault="00343856" w:rsidP="00FC7668">
      <w:pPr>
        <w:rPr>
          <w:lang w:val="en-US"/>
        </w:rPr>
      </w:pPr>
    </w:p>
    <w:p w14:paraId="6487F376" w14:textId="2499E661" w:rsidR="00343856" w:rsidRPr="0050587F" w:rsidRDefault="00343856" w:rsidP="00FC7668">
      <w:pPr>
        <w:rPr>
          <w:lang w:val="en-US"/>
        </w:rPr>
      </w:pPr>
      <w:r w:rsidRPr="005902A1">
        <w:rPr>
          <w:lang w:val="en-US"/>
        </w:rPr>
        <w:t>Results</w:t>
      </w:r>
    </w:p>
    <w:p w14:paraId="5DF1CF66" w14:textId="7E085B48" w:rsidR="00343856" w:rsidRPr="009440AD" w:rsidRDefault="00AA1549" w:rsidP="00FC7668">
      <w:pPr>
        <w:rPr>
          <w:lang w:val="en-US"/>
        </w:rPr>
      </w:pPr>
      <w:r w:rsidRPr="0065491D">
        <w:rPr>
          <w:lang w:val="en-US"/>
        </w:rPr>
        <w:t xml:space="preserve">The age-related changes in drug exposure were successfully simulated for all ten drugs. </w:t>
      </w:r>
      <w:r w:rsidR="008A2795" w:rsidRPr="009440AD">
        <w:rPr>
          <w:lang w:val="en-US"/>
        </w:rPr>
        <w:t>P</w:t>
      </w:r>
      <w:r w:rsidR="0058664E" w:rsidRPr="009440AD">
        <w:rPr>
          <w:lang w:val="en-US"/>
        </w:rPr>
        <w:t xml:space="preserve">harmacokinetic parameters were predicted within </w:t>
      </w:r>
      <w:r w:rsidR="008A2795" w:rsidRPr="009440AD">
        <w:rPr>
          <w:lang w:val="en-US"/>
        </w:rPr>
        <w:t>1.25-fold (70%), 1.5-fold (8</w:t>
      </w:r>
      <w:r w:rsidRPr="009440AD">
        <w:rPr>
          <w:lang w:val="en-US"/>
        </w:rPr>
        <w:t>6</w:t>
      </w:r>
      <w:r w:rsidR="008A2795" w:rsidRPr="009440AD">
        <w:rPr>
          <w:lang w:val="en-US"/>
        </w:rPr>
        <w:t>%)</w:t>
      </w:r>
      <w:r w:rsidR="00687EFC" w:rsidRPr="009440AD">
        <w:rPr>
          <w:lang w:val="en-US"/>
        </w:rPr>
        <w:t>,</w:t>
      </w:r>
      <w:r w:rsidR="008A2795" w:rsidRPr="009440AD">
        <w:rPr>
          <w:lang w:val="en-US"/>
        </w:rPr>
        <w:t xml:space="preserve"> and </w:t>
      </w:r>
      <w:r w:rsidR="009457C7" w:rsidRPr="009440AD">
        <w:rPr>
          <w:lang w:val="en-US"/>
        </w:rPr>
        <w:t>2</w:t>
      </w:r>
      <w:r w:rsidR="0058664E" w:rsidRPr="009440AD">
        <w:rPr>
          <w:lang w:val="en-US"/>
        </w:rPr>
        <w:t>-fold</w:t>
      </w:r>
      <w:r w:rsidR="008A2795" w:rsidRPr="009440AD">
        <w:rPr>
          <w:lang w:val="en-US"/>
        </w:rPr>
        <w:t xml:space="preserve"> (100%)</w:t>
      </w:r>
      <w:r w:rsidR="0058664E" w:rsidRPr="009440AD">
        <w:rPr>
          <w:lang w:val="en-US"/>
        </w:rPr>
        <w:t xml:space="preserve"> of </w:t>
      </w:r>
      <w:r w:rsidR="00930550" w:rsidRPr="009440AD">
        <w:rPr>
          <w:lang w:val="en-US"/>
        </w:rPr>
        <w:t>clinical</w:t>
      </w:r>
      <w:r w:rsidR="0058664E" w:rsidRPr="009440AD">
        <w:rPr>
          <w:lang w:val="en-US"/>
        </w:rPr>
        <w:t xml:space="preserve"> data. </w:t>
      </w:r>
      <w:r w:rsidRPr="009440AD">
        <w:rPr>
          <w:lang w:val="en-US"/>
        </w:rPr>
        <w:t xml:space="preserve">AUC increased progressively by </w:t>
      </w:r>
      <w:r w:rsidR="00913A62" w:rsidRPr="009440AD">
        <w:rPr>
          <w:lang w:val="en-US"/>
        </w:rPr>
        <w:t>0.9</w:t>
      </w:r>
      <w:r w:rsidRPr="009440AD">
        <w:rPr>
          <w:lang w:val="en-US"/>
        </w:rPr>
        <w:t>% per year throughout adulthood</w:t>
      </w:r>
      <w:r w:rsidR="00897D4A" w:rsidRPr="009440AD">
        <w:rPr>
          <w:lang w:val="en-US"/>
        </w:rPr>
        <w:t xml:space="preserve"> from the age of 20 years</w:t>
      </w:r>
      <w:r w:rsidR="00913A62" w:rsidRPr="009440AD">
        <w:rPr>
          <w:lang w:val="en-US"/>
        </w:rPr>
        <w:t xml:space="preserve">, which was explained by decreased </w:t>
      </w:r>
      <w:r w:rsidR="00102496" w:rsidRPr="009440AD">
        <w:rPr>
          <w:lang w:val="en-US"/>
        </w:rPr>
        <w:t>clearance</w:t>
      </w:r>
      <w:r w:rsidR="00913A62" w:rsidRPr="009440AD">
        <w:rPr>
          <w:lang w:val="en-US"/>
        </w:rPr>
        <w:t xml:space="preserve"> </w:t>
      </w:r>
      <w:r w:rsidR="002F092D" w:rsidRPr="009440AD">
        <w:rPr>
          <w:lang w:val="en-US"/>
        </w:rPr>
        <w:t>while</w:t>
      </w:r>
      <w:r w:rsidR="00913A62" w:rsidRPr="009440AD">
        <w:rPr>
          <w:lang w:val="en-US"/>
        </w:rPr>
        <w:t xml:space="preserve"> </w:t>
      </w:r>
      <w:proofErr w:type="spellStart"/>
      <w:r w:rsidRPr="009440AD">
        <w:rPr>
          <w:lang w:val="en-US"/>
        </w:rPr>
        <w:t>C</w:t>
      </w:r>
      <w:r w:rsidRPr="009440AD">
        <w:rPr>
          <w:vertAlign w:val="subscript"/>
          <w:lang w:val="en-US"/>
        </w:rPr>
        <w:t>max</w:t>
      </w:r>
      <w:proofErr w:type="spellEnd"/>
      <w:r w:rsidRPr="009440AD">
        <w:rPr>
          <w:lang w:val="en-US"/>
        </w:rPr>
        <w:t xml:space="preserve">, </w:t>
      </w:r>
      <w:proofErr w:type="spellStart"/>
      <w:r w:rsidRPr="009440AD">
        <w:rPr>
          <w:lang w:val="en-US"/>
        </w:rPr>
        <w:t>t</w:t>
      </w:r>
      <w:r w:rsidRPr="009440AD">
        <w:rPr>
          <w:vertAlign w:val="subscript"/>
          <w:lang w:val="en-US"/>
        </w:rPr>
        <w:t>max</w:t>
      </w:r>
      <w:proofErr w:type="spellEnd"/>
      <w:r w:rsidRPr="009440AD">
        <w:rPr>
          <w:lang w:val="en-US"/>
        </w:rPr>
        <w:t xml:space="preserve">, and </w:t>
      </w:r>
      <w:r w:rsidR="00102496" w:rsidRPr="009440AD">
        <w:rPr>
          <w:lang w:val="en-US"/>
        </w:rPr>
        <w:t>volume of distribution</w:t>
      </w:r>
      <w:r w:rsidR="00913A62" w:rsidRPr="009440AD">
        <w:rPr>
          <w:lang w:val="en-US"/>
        </w:rPr>
        <w:t xml:space="preserve"> were not affected by </w:t>
      </w:r>
      <w:r w:rsidR="00930550" w:rsidRPr="009440AD">
        <w:rPr>
          <w:lang w:val="en-US"/>
        </w:rPr>
        <w:t>human aging</w:t>
      </w:r>
      <w:r w:rsidR="00913A62" w:rsidRPr="009440AD">
        <w:rPr>
          <w:lang w:val="en-US"/>
        </w:rPr>
        <w:t>.</w:t>
      </w:r>
      <w:r w:rsidR="00BF1ACC" w:rsidRPr="009440AD">
        <w:rPr>
          <w:lang w:val="en-US"/>
        </w:rPr>
        <w:t xml:space="preserve"> Additional clinical data of 52 drugs were contained within the estimated variability of the established</w:t>
      </w:r>
      <w:r w:rsidR="00913A62" w:rsidRPr="009440AD">
        <w:rPr>
          <w:lang w:val="en-US"/>
        </w:rPr>
        <w:t xml:space="preserve"> </w:t>
      </w:r>
      <w:r w:rsidR="00BF1ACC" w:rsidRPr="009440AD">
        <w:rPr>
          <w:lang w:val="en-US"/>
        </w:rPr>
        <w:t>a</w:t>
      </w:r>
      <w:r w:rsidR="00913A62" w:rsidRPr="009440AD">
        <w:rPr>
          <w:lang w:val="en-US"/>
        </w:rPr>
        <w:t>ge-dependent correlations</w:t>
      </w:r>
      <w:r w:rsidR="00BF1ACC" w:rsidRPr="009440AD">
        <w:rPr>
          <w:lang w:val="en-US"/>
        </w:rPr>
        <w:t xml:space="preserve"> for each pharmacokinetic parameter.</w:t>
      </w:r>
    </w:p>
    <w:p w14:paraId="3C746E8C" w14:textId="5B71DF20" w:rsidR="00343856" w:rsidRPr="009440AD" w:rsidRDefault="00343856" w:rsidP="00FC7668">
      <w:pPr>
        <w:rPr>
          <w:lang w:val="en-US"/>
        </w:rPr>
      </w:pPr>
    </w:p>
    <w:p w14:paraId="3A89B26E" w14:textId="3411A659" w:rsidR="00343856" w:rsidRPr="009440AD" w:rsidRDefault="00343856" w:rsidP="00FC7668">
      <w:pPr>
        <w:rPr>
          <w:lang w:val="en-US"/>
        </w:rPr>
      </w:pPr>
      <w:r w:rsidRPr="009440AD">
        <w:rPr>
          <w:lang w:val="en-US"/>
        </w:rPr>
        <w:t>Conclusion</w:t>
      </w:r>
    </w:p>
    <w:p w14:paraId="1BCBCBD5" w14:textId="0117FC29" w:rsidR="00FC7668" w:rsidRPr="009440AD" w:rsidRDefault="00AB4A43" w:rsidP="00FC7668">
      <w:pPr>
        <w:rPr>
          <w:lang w:val="en-US"/>
        </w:rPr>
      </w:pPr>
      <w:r w:rsidRPr="009440AD">
        <w:rPr>
          <w:lang w:val="en-US"/>
        </w:rPr>
        <w:t xml:space="preserve">The progressive decrease of hepatic and renal blood flow, and glomerular filtration </w:t>
      </w:r>
      <w:r w:rsidR="00930550" w:rsidRPr="009440AD">
        <w:rPr>
          <w:lang w:val="en-US"/>
        </w:rPr>
        <w:t xml:space="preserve">rate </w:t>
      </w:r>
      <w:r w:rsidRPr="009440AD">
        <w:rPr>
          <w:lang w:val="en-US"/>
        </w:rPr>
        <w:t xml:space="preserve">led to a reduced </w:t>
      </w:r>
      <w:r w:rsidR="00102496" w:rsidRPr="009440AD">
        <w:rPr>
          <w:lang w:val="en-US"/>
        </w:rPr>
        <w:t>clearance</w:t>
      </w:r>
      <w:r w:rsidRPr="009440AD">
        <w:rPr>
          <w:lang w:val="en-US"/>
        </w:rPr>
        <w:t xml:space="preserve"> driving exposure changes in the </w:t>
      </w:r>
      <w:r w:rsidR="0055445D">
        <w:rPr>
          <w:lang w:val="en-US"/>
        </w:rPr>
        <w:t xml:space="preserve">healthy </w:t>
      </w:r>
      <w:r w:rsidRPr="009440AD">
        <w:rPr>
          <w:lang w:val="en-US"/>
        </w:rPr>
        <w:t>elderly independent of the drug.</w:t>
      </w:r>
    </w:p>
    <w:p w14:paraId="55A5F624" w14:textId="15014037" w:rsidR="00343856" w:rsidRPr="009440AD" w:rsidRDefault="00343856" w:rsidP="0043533C">
      <w:pPr>
        <w:pStyle w:val="Heading1"/>
        <w:rPr>
          <w:lang w:val="en-US"/>
        </w:rPr>
      </w:pPr>
      <w:r w:rsidRPr="009440AD">
        <w:rPr>
          <w:lang w:val="en-US"/>
        </w:rPr>
        <w:lastRenderedPageBreak/>
        <w:t>Key Points</w:t>
      </w:r>
    </w:p>
    <w:p w14:paraId="36D06ADB" w14:textId="52D781C1" w:rsidR="0046783D" w:rsidRPr="009440AD" w:rsidRDefault="0046783D" w:rsidP="005560CC">
      <w:pPr>
        <w:rPr>
          <w:lang w:val="en-US"/>
        </w:rPr>
      </w:pPr>
      <w:r w:rsidRPr="009440AD">
        <w:rPr>
          <w:lang w:val="en-US"/>
        </w:rPr>
        <w:t xml:space="preserve">Drug pharmacokinetics in the elderly </w:t>
      </w:r>
      <w:r w:rsidR="002F092D" w:rsidRPr="009440AD">
        <w:rPr>
          <w:lang w:val="en-US"/>
        </w:rPr>
        <w:t>(</w:t>
      </w:r>
      <w:r w:rsidR="00930550" w:rsidRPr="009440AD">
        <w:rPr>
          <w:rFonts w:cs="Arial"/>
          <w:lang w:val="en-US"/>
        </w:rPr>
        <w:t>≥</w:t>
      </w:r>
      <w:r w:rsidR="002F092D" w:rsidRPr="009440AD">
        <w:rPr>
          <w:lang w:val="en-US"/>
        </w:rPr>
        <w:t xml:space="preserve"> 65 years) </w:t>
      </w:r>
      <w:r w:rsidRPr="009440AD">
        <w:rPr>
          <w:lang w:val="en-US"/>
        </w:rPr>
        <w:t xml:space="preserve">were accurately predicted by our developed </w:t>
      </w:r>
      <w:r w:rsidR="00102496" w:rsidRPr="009440AD">
        <w:rPr>
          <w:lang w:val="en-US"/>
        </w:rPr>
        <w:t xml:space="preserve">physiologically based pharmacokinetic </w:t>
      </w:r>
      <w:r w:rsidRPr="009440AD">
        <w:rPr>
          <w:lang w:val="en-US"/>
        </w:rPr>
        <w:t xml:space="preserve">framework. The model suggested an </w:t>
      </w:r>
      <w:r w:rsidR="008B0C30">
        <w:rPr>
          <w:lang w:val="en-US"/>
        </w:rPr>
        <w:t xml:space="preserve">average </w:t>
      </w:r>
      <w:r w:rsidRPr="009440AD">
        <w:rPr>
          <w:lang w:val="en-US"/>
        </w:rPr>
        <w:t>0.9% increase in the area under the curve per year</w:t>
      </w:r>
      <w:r w:rsidR="00897D4A" w:rsidRPr="009440AD">
        <w:rPr>
          <w:lang w:val="en-US"/>
        </w:rPr>
        <w:t xml:space="preserve"> from the age of 20 years</w:t>
      </w:r>
      <w:r w:rsidRPr="009440AD">
        <w:rPr>
          <w:lang w:val="en-US"/>
        </w:rPr>
        <w:t xml:space="preserve">, which was explained by a decrease in clearance rather than </w:t>
      </w:r>
      <w:r w:rsidR="00930550" w:rsidRPr="009440AD">
        <w:rPr>
          <w:lang w:val="en-US"/>
        </w:rPr>
        <w:t xml:space="preserve">an effect of altered </w:t>
      </w:r>
      <w:r w:rsidRPr="009440AD">
        <w:rPr>
          <w:lang w:val="en-US"/>
        </w:rPr>
        <w:t>drug absorption and distribution, because the peak concentration (</w:t>
      </w:r>
      <w:proofErr w:type="spellStart"/>
      <w:r w:rsidRPr="009440AD">
        <w:rPr>
          <w:lang w:val="en-US"/>
        </w:rPr>
        <w:t>C</w:t>
      </w:r>
      <w:r w:rsidRPr="009440AD">
        <w:rPr>
          <w:vertAlign w:val="subscript"/>
          <w:lang w:val="en-US"/>
        </w:rPr>
        <w:t>max</w:t>
      </w:r>
      <w:proofErr w:type="spellEnd"/>
      <w:r w:rsidRPr="009440AD">
        <w:rPr>
          <w:lang w:val="en-US"/>
        </w:rPr>
        <w:t xml:space="preserve">), time to </w:t>
      </w:r>
      <w:proofErr w:type="spellStart"/>
      <w:r w:rsidRPr="009440AD">
        <w:rPr>
          <w:lang w:val="en-US"/>
        </w:rPr>
        <w:t>C</w:t>
      </w:r>
      <w:r w:rsidRPr="009440AD">
        <w:rPr>
          <w:vertAlign w:val="subscript"/>
          <w:lang w:val="en-US"/>
        </w:rPr>
        <w:t>max</w:t>
      </w:r>
      <w:proofErr w:type="spellEnd"/>
      <w:r w:rsidR="00687EFC" w:rsidRPr="009440AD">
        <w:rPr>
          <w:lang w:val="en-US"/>
        </w:rPr>
        <w:t>,</w:t>
      </w:r>
      <w:r w:rsidRPr="009440AD">
        <w:rPr>
          <w:lang w:val="en-US"/>
        </w:rPr>
        <w:t xml:space="preserve"> and volume of distribution were not affected by advanced age. </w:t>
      </w:r>
      <w:r w:rsidR="008B0C30">
        <w:rPr>
          <w:lang w:val="en-US"/>
        </w:rPr>
        <w:t>Sensitivity analysis and statistical analysis of clinical pharmacokinetic data from 52 drugs additionally collected showed that t</w:t>
      </w:r>
      <w:r w:rsidR="00945A4E" w:rsidRPr="009440AD">
        <w:rPr>
          <w:lang w:val="en-US"/>
        </w:rPr>
        <w:t>he progressive decrease of hepatic and renal blood flow and glomerular filtration</w:t>
      </w:r>
      <w:r w:rsidR="00930550" w:rsidRPr="009440AD">
        <w:rPr>
          <w:lang w:val="en-US"/>
        </w:rPr>
        <w:t xml:space="preserve"> rate</w:t>
      </w:r>
      <w:r w:rsidR="00945A4E" w:rsidRPr="009440AD">
        <w:rPr>
          <w:lang w:val="en-US"/>
        </w:rPr>
        <w:t xml:space="preserve"> led to the reduced clearance and thus </w:t>
      </w:r>
      <w:r w:rsidR="002F092D" w:rsidRPr="009440AD">
        <w:rPr>
          <w:lang w:val="en-US"/>
        </w:rPr>
        <w:t>drive</w:t>
      </w:r>
      <w:r w:rsidR="00945A4E" w:rsidRPr="009440AD">
        <w:rPr>
          <w:lang w:val="en-US"/>
        </w:rPr>
        <w:t xml:space="preserve"> drug exposure changes in the elderly independent of the drug. </w:t>
      </w:r>
    </w:p>
    <w:p w14:paraId="74576605" w14:textId="3FDE7E74" w:rsidR="005268E6" w:rsidRPr="009440AD" w:rsidRDefault="005268E6" w:rsidP="0043533C">
      <w:pPr>
        <w:pStyle w:val="Heading1"/>
        <w:rPr>
          <w:lang w:val="en-US"/>
        </w:rPr>
      </w:pPr>
      <w:r w:rsidRPr="009440AD">
        <w:rPr>
          <w:lang w:val="en-US"/>
        </w:rPr>
        <w:lastRenderedPageBreak/>
        <w:t>Introduction</w:t>
      </w:r>
    </w:p>
    <w:p w14:paraId="57F1BE22" w14:textId="0577EC26" w:rsidR="00D017C6" w:rsidRPr="009440AD" w:rsidRDefault="009623FA" w:rsidP="0043533C">
      <w:pPr>
        <w:rPr>
          <w:lang w:val="en-US"/>
        </w:rPr>
      </w:pPr>
      <w:r w:rsidRPr="009440AD">
        <w:rPr>
          <w:lang w:val="en-US"/>
        </w:rPr>
        <w:t>T</w:t>
      </w:r>
      <w:r w:rsidR="002A3CBF" w:rsidRPr="009440AD">
        <w:rPr>
          <w:lang w:val="en-US"/>
        </w:rPr>
        <w:t xml:space="preserve">he number of people older than 65 years </w:t>
      </w:r>
      <w:r w:rsidRPr="009440AD">
        <w:rPr>
          <w:lang w:val="en-US"/>
        </w:rPr>
        <w:t>is predicted to</w:t>
      </w:r>
      <w:r w:rsidR="002A3CBF" w:rsidRPr="009440AD">
        <w:rPr>
          <w:lang w:val="en-US"/>
        </w:rPr>
        <w:t xml:space="preserve"> double in the United States and Europe by 2050 </w:t>
      </w:r>
      <w:r w:rsidR="002A3CBF" w:rsidRPr="009440AD">
        <w:rPr>
          <w:lang w:val="en-US"/>
        </w:rPr>
        <w:fldChar w:fldCharType="begin"/>
      </w:r>
      <w:r w:rsidR="006412A2" w:rsidRPr="009440AD">
        <w:rPr>
          <w:lang w:val="en-US"/>
        </w:rPr>
        <w:instrText xml:space="preserve"> ADDIN EN.CITE &lt;EndNote&gt;&lt;Cite&gt;&lt;Author&gt;Ortman&lt;/Author&gt;&lt;Year&gt;2014&lt;/Year&gt;&lt;RecNum&gt;1266&lt;/RecNum&gt;&lt;DisplayText&gt;[1, 2]&lt;/DisplayText&gt;&lt;record&gt;&lt;rec-number&gt;1266&lt;/rec-number&gt;&lt;foreign-keys&gt;&lt;key app="EN" db-id="vawz9xpv5prvt3ed92pxtvpjzzf095ze0r5f" timestamp="1549451360"&gt;1266&lt;/key&gt;&lt;/foreign-keys&gt;&lt;ref-type name="Book"&gt;6&lt;/ref-type&gt;&lt;contributors&gt;&lt;authors&gt;&lt;author&gt;Ortman, Jennifer M&lt;/author&gt;&lt;author&gt;Velkoff, Victoria A&lt;/author&gt;&lt;author&gt;Hogan, Howard&lt;/author&gt;&lt;/authors&gt;&lt;/contributors&gt;&lt;titles&gt;&lt;title&gt;An aging nation: the older population in the United States&lt;/title&gt;&lt;/titles&gt;&lt;keywords&gt;&lt;keyword&gt;elderly&lt;/keyword&gt;&lt;keyword&gt;growing population&lt;/keyword&gt;&lt;keyword&gt;USA&lt;/keyword&gt;&lt;/keywords&gt;&lt;dates&gt;&lt;year&gt;2014&lt;/year&gt;&lt;/dates&gt;&lt;publisher&gt;United States Census Bureau, Economics and Statistics Administration&lt;/publisher&gt;&lt;urls&gt;&lt;/urls&gt;&lt;/record&gt;&lt;/Cite&gt;&lt;Cite&gt;&lt;Author&gt;European Union - Eurostats&lt;/Author&gt;&lt;Year&gt;2017&lt;/Year&gt;&lt;RecNum&gt;1265&lt;/RecNum&gt;&lt;record&gt;&lt;rec-number&gt;1265&lt;/rec-number&gt;&lt;foreign-keys&gt;&lt;key app="EN" db-id="vawz9xpv5prvt3ed92pxtvpjzzf095ze0r5f" timestamp="1549451309"&gt;1265&lt;/key&gt;&lt;/foreign-keys&gt;&lt;ref-type name="Web Page"&gt;12&lt;/ref-type&gt;&lt;contributors&gt;&lt;authors&gt;&lt;author&gt;European Union - Eurostats,&lt;/author&gt;&lt;/authors&gt;&lt;/contributors&gt;&lt;titles&gt;&lt;title&gt;People in the EU - population projections.&lt;/title&gt;&lt;/titles&gt;&lt;volume&gt;2019&lt;/volume&gt;&lt;number&gt;06/02/2019&lt;/number&gt;&lt;keywords&gt;&lt;keyword&gt;Elderly&lt;/keyword&gt;&lt;keyword&gt;population&lt;/keyword&gt;&lt;keyword&gt;EU&lt;/keyword&gt;&lt;/keywords&gt;&lt;dates&gt;&lt;year&gt;2017&lt;/year&gt;&lt;/dates&gt;&lt;urls&gt;&lt;related-urls&gt;&lt;url&gt;https://ec.europa.eu/eurostat/statistics-explained/index.php/People_in_the_EU_-_population_projections#Age_dependency_ratios&lt;/url&gt;&lt;/related-urls&gt;&lt;/urls&gt;&lt;/record&gt;&lt;/Cite&gt;&lt;/EndNote&gt;</w:instrText>
      </w:r>
      <w:r w:rsidR="002A3CBF" w:rsidRPr="009440AD">
        <w:rPr>
          <w:lang w:val="en-US"/>
        </w:rPr>
        <w:fldChar w:fldCharType="separate"/>
      </w:r>
      <w:r w:rsidR="002A3CBF" w:rsidRPr="009440AD">
        <w:rPr>
          <w:noProof/>
          <w:lang w:val="en-US"/>
        </w:rPr>
        <w:t>[1, 2]</w:t>
      </w:r>
      <w:r w:rsidR="002A3CBF" w:rsidRPr="009440AD">
        <w:rPr>
          <w:lang w:val="en-US"/>
        </w:rPr>
        <w:fldChar w:fldCharType="end"/>
      </w:r>
      <w:r w:rsidR="00CB2739" w:rsidRPr="009440AD">
        <w:rPr>
          <w:lang w:val="en-US"/>
        </w:rPr>
        <w:t xml:space="preserve">. </w:t>
      </w:r>
      <w:r w:rsidR="00CD18FC" w:rsidRPr="009440AD">
        <w:rPr>
          <w:lang w:val="en-US"/>
        </w:rPr>
        <w:t>T</w:t>
      </w:r>
      <w:r w:rsidR="005148C5" w:rsidRPr="005902A1">
        <w:rPr>
          <w:lang w:val="en-US"/>
        </w:rPr>
        <w:t>he burden of a</w:t>
      </w:r>
      <w:r w:rsidR="009A4C29" w:rsidRPr="0050587F">
        <w:rPr>
          <w:lang w:val="en-US"/>
        </w:rPr>
        <w:t>ge-related comorbidities</w:t>
      </w:r>
      <w:r w:rsidR="00D822DD" w:rsidRPr="0050587F">
        <w:rPr>
          <w:lang w:val="en-US"/>
        </w:rPr>
        <w:t xml:space="preserve"> increase</w:t>
      </w:r>
      <w:r w:rsidR="008C289C" w:rsidRPr="0050587F">
        <w:rPr>
          <w:lang w:val="en-US"/>
        </w:rPr>
        <w:t>s</w:t>
      </w:r>
      <w:r w:rsidR="009A4C29" w:rsidRPr="0050587F">
        <w:rPr>
          <w:lang w:val="en-US"/>
        </w:rPr>
        <w:t xml:space="preserve"> </w:t>
      </w:r>
      <w:r w:rsidR="00D822DD" w:rsidRPr="0050587F">
        <w:rPr>
          <w:lang w:val="en-US"/>
        </w:rPr>
        <w:t xml:space="preserve">in the elderly, </w:t>
      </w:r>
      <w:r w:rsidR="009A4C29" w:rsidRPr="0050587F">
        <w:rPr>
          <w:lang w:val="en-US"/>
        </w:rPr>
        <w:t>such as cardiovascular diseases, hypertension, diabetes mellitus</w:t>
      </w:r>
      <w:r w:rsidR="00945A4E" w:rsidRPr="0050587F">
        <w:rPr>
          <w:lang w:val="en-US"/>
        </w:rPr>
        <w:t>,</w:t>
      </w:r>
      <w:r w:rsidR="009A4C29" w:rsidRPr="0050587F">
        <w:rPr>
          <w:lang w:val="en-US"/>
        </w:rPr>
        <w:t xml:space="preserve"> and renal impairment </w:t>
      </w:r>
      <w:r w:rsidR="00947632" w:rsidRPr="009440AD">
        <w:rPr>
          <w:lang w:val="en-US"/>
        </w:rPr>
        <w:fldChar w:fldCharType="begin"/>
      </w:r>
      <w:r w:rsidR="002A3CBF" w:rsidRPr="009440AD">
        <w:rPr>
          <w:lang w:val="en-US"/>
        </w:rPr>
        <w:instrText xml:space="preserve"> ADDIN EN.CITE &lt;EndNote&gt;&lt;Cite&gt;&lt;Author&gt;Jaul&lt;/Author&gt;&lt;Year&gt;2017&lt;/Year&gt;&lt;RecNum&gt;1183&lt;/RecNum&gt;&lt;DisplayText&gt;[3]&lt;/DisplayText&gt;&lt;record&gt;&lt;rec-number&gt;1183&lt;/rec-number&gt;&lt;foreign-keys&gt;&lt;key app="EN" db-id="vawz9xpv5prvt3ed92pxtvpjzzf095ze0r5f" timestamp="1542290823"&gt;1183&lt;/key&gt;&lt;/foreign-keys&gt;&lt;ref-type name="Journal Article"&gt;17&lt;/ref-type&gt;&lt;contributors&gt;&lt;authors&gt;&lt;author&gt;Jaul, Efraim&lt;/author&gt;&lt;author&gt;Barron, Jeremy&lt;/author&gt;&lt;/authors&gt;&lt;/contributors&gt;&lt;titles&gt;&lt;title&gt;Age-related diseases and clinical and public health implications for the 85 years old and over population&lt;/title&gt;&lt;secondary-title&gt;Frontiers in Public Health&lt;/secondary-title&gt;&lt;/titles&gt;&lt;periodical&gt;&lt;full-title&gt;Frontiers in public health&lt;/full-title&gt;&lt;/periodical&gt;&lt;pages&gt;335-341&lt;/pages&gt;&lt;volume&gt;5&lt;/volume&gt;&lt;keywords&gt;&lt;keyword&gt;elderly&lt;/keyword&gt;&lt;keyword&gt;disease prevalence&lt;/keyword&gt;&lt;/keywords&gt;&lt;dates&gt;&lt;year&gt;2017&lt;/year&gt;&lt;/dates&gt;&lt;isbn&gt;2296-2565&lt;/isbn&gt;&lt;urls&gt;&lt;/urls&gt;&lt;/record&gt;&lt;/Cite&gt;&lt;/EndNote&gt;</w:instrText>
      </w:r>
      <w:r w:rsidR="00947632" w:rsidRPr="009440AD">
        <w:rPr>
          <w:lang w:val="en-US"/>
        </w:rPr>
        <w:fldChar w:fldCharType="separate"/>
      </w:r>
      <w:r w:rsidR="002A3CBF" w:rsidRPr="009440AD">
        <w:rPr>
          <w:noProof/>
          <w:lang w:val="en-US"/>
        </w:rPr>
        <w:t>[3]</w:t>
      </w:r>
      <w:r w:rsidR="00947632" w:rsidRPr="009440AD">
        <w:rPr>
          <w:lang w:val="en-US"/>
        </w:rPr>
        <w:fldChar w:fldCharType="end"/>
      </w:r>
      <w:r w:rsidR="00D822DD" w:rsidRPr="009440AD">
        <w:rPr>
          <w:lang w:val="en-US"/>
        </w:rPr>
        <w:t xml:space="preserve">, </w:t>
      </w:r>
      <w:r w:rsidR="00947632" w:rsidRPr="009440AD">
        <w:rPr>
          <w:lang w:val="en-US"/>
        </w:rPr>
        <w:t xml:space="preserve">resulting in </w:t>
      </w:r>
      <w:r w:rsidR="00D822DD" w:rsidRPr="005902A1">
        <w:rPr>
          <w:lang w:val="en-US"/>
        </w:rPr>
        <w:t xml:space="preserve">twice as high </w:t>
      </w:r>
      <w:r w:rsidR="002A3CBF" w:rsidRPr="0050587F">
        <w:rPr>
          <w:lang w:val="en-US"/>
        </w:rPr>
        <w:t>medication use</w:t>
      </w:r>
      <w:r w:rsidR="00947632" w:rsidRPr="0050587F">
        <w:rPr>
          <w:lang w:val="en-US"/>
        </w:rPr>
        <w:t xml:space="preserve"> </w:t>
      </w:r>
      <w:r w:rsidR="00CD18FC" w:rsidRPr="0050587F">
        <w:rPr>
          <w:lang w:val="en-US"/>
        </w:rPr>
        <w:t>compared to</w:t>
      </w:r>
      <w:r w:rsidR="00947632" w:rsidRPr="0050587F">
        <w:rPr>
          <w:lang w:val="en-US"/>
        </w:rPr>
        <w:t xml:space="preserve"> middle-aged</w:t>
      </w:r>
      <w:r w:rsidR="002A3CBF" w:rsidRPr="0050587F">
        <w:rPr>
          <w:lang w:val="en-US"/>
        </w:rPr>
        <w:t xml:space="preserve"> adults</w:t>
      </w:r>
      <w:r w:rsidR="00947632" w:rsidRPr="0050587F">
        <w:rPr>
          <w:lang w:val="en-US"/>
        </w:rPr>
        <w:t xml:space="preserve"> </w:t>
      </w:r>
      <w:r w:rsidR="009A4C29" w:rsidRPr="009440AD">
        <w:rPr>
          <w:lang w:val="en-US"/>
        </w:rPr>
        <w:fldChar w:fldCharType="begin"/>
      </w:r>
      <w:r w:rsidR="002A3CBF" w:rsidRPr="009440AD">
        <w:rPr>
          <w:lang w:val="en-US"/>
        </w:rPr>
        <w:instrText xml:space="preserve"> ADDIN EN.CITE &lt;EndNote&gt;&lt;Cite&gt;&lt;Author&gt;Eurostat&lt;/Author&gt;&lt;Year&gt;2014&lt;/Year&gt;&lt;RecNum&gt;1182&lt;/RecNum&gt;&lt;DisplayText&gt;[4]&lt;/DisplayText&gt;&lt;record&gt;&lt;rec-number&gt;1182&lt;/rec-number&gt;&lt;foreign-keys&gt;&lt;key app="EN" db-id="vawz9xpv5prvt3ed92pxtvpjzzf095ze0r5f" timestamp="1542290039"&gt;1182&lt;/key&gt;&lt;/foreign-keys&gt;&lt;ref-type name="Web Page"&gt;12&lt;/ref-type&gt;&lt;contributors&gt;&lt;authors&gt;&lt;author&gt;Eurostat,&lt;/author&gt;&lt;/authors&gt;&lt;/contributors&gt;&lt;titles&gt;&lt;title&gt;Medicine use statistics&lt;/title&gt;&lt;/titles&gt;&lt;volume&gt;2018&lt;/volume&gt;&lt;number&gt;15/11/2018&lt;/number&gt;&lt;keywords&gt;&lt;keyword&gt;elderly&lt;/keyword&gt;&lt;keyword&gt;drug use&lt;/keyword&gt;&lt;/keywords&gt;&lt;dates&gt;&lt;year&gt;2014&lt;/year&gt;&lt;/dates&gt;&lt;urls&gt;&lt;related-urls&gt;&lt;url&gt;https://ec.europa.eu/eurostat/statistics-explained/index.php/Medicine_use_statistics&lt;/url&gt;&lt;/related-urls&gt;&lt;/urls&gt;&lt;/record&gt;&lt;/Cite&gt;&lt;/EndNote&gt;</w:instrText>
      </w:r>
      <w:r w:rsidR="009A4C29" w:rsidRPr="009440AD">
        <w:rPr>
          <w:lang w:val="en-US"/>
        </w:rPr>
        <w:fldChar w:fldCharType="separate"/>
      </w:r>
      <w:r w:rsidR="002A3CBF" w:rsidRPr="009440AD">
        <w:rPr>
          <w:noProof/>
          <w:lang w:val="en-US"/>
        </w:rPr>
        <w:t>[4</w:t>
      </w:r>
      <w:r w:rsidR="002A3CBF" w:rsidRPr="005902A1">
        <w:rPr>
          <w:noProof/>
          <w:lang w:val="en-US"/>
        </w:rPr>
        <w:t>]</w:t>
      </w:r>
      <w:r w:rsidR="009A4C29" w:rsidRPr="009440AD">
        <w:rPr>
          <w:lang w:val="en-US"/>
        </w:rPr>
        <w:fldChar w:fldCharType="end"/>
      </w:r>
      <w:r w:rsidR="00947632" w:rsidRPr="009440AD">
        <w:rPr>
          <w:lang w:val="en-US"/>
        </w:rPr>
        <w:t xml:space="preserve">. </w:t>
      </w:r>
      <w:r w:rsidR="001F7EF9" w:rsidRPr="009440AD">
        <w:rPr>
          <w:lang w:val="en-US"/>
        </w:rPr>
        <w:t>Despite the growing population of elderly individuals, c</w:t>
      </w:r>
      <w:r w:rsidR="00D017C6" w:rsidRPr="005902A1">
        <w:rPr>
          <w:lang w:val="en-US"/>
        </w:rPr>
        <w:t xml:space="preserve">linical trials are </w:t>
      </w:r>
      <w:r w:rsidRPr="0050587F">
        <w:rPr>
          <w:lang w:val="en-US"/>
        </w:rPr>
        <w:t xml:space="preserve">generally </w:t>
      </w:r>
      <w:r w:rsidR="00D017C6" w:rsidRPr="0050587F">
        <w:rPr>
          <w:lang w:val="en-US"/>
        </w:rPr>
        <w:t xml:space="preserve">not </w:t>
      </w:r>
      <w:r w:rsidR="0091500D" w:rsidRPr="0050587F">
        <w:rPr>
          <w:lang w:val="en-US"/>
        </w:rPr>
        <w:t xml:space="preserve">conducted </w:t>
      </w:r>
      <w:r w:rsidR="00D017C6" w:rsidRPr="0050587F">
        <w:rPr>
          <w:lang w:val="en-US"/>
        </w:rPr>
        <w:t xml:space="preserve">in </w:t>
      </w:r>
      <w:r w:rsidR="001F7EF9" w:rsidRPr="0050587F">
        <w:rPr>
          <w:lang w:val="en-US"/>
        </w:rPr>
        <w:t>this special population</w:t>
      </w:r>
      <w:r w:rsidRPr="0050587F">
        <w:rPr>
          <w:lang w:val="en-US"/>
        </w:rPr>
        <w:t>,</w:t>
      </w:r>
      <w:r w:rsidR="00D017C6" w:rsidRPr="0050587F">
        <w:rPr>
          <w:lang w:val="en-US"/>
        </w:rPr>
        <w:t xml:space="preserve"> leading to a knowledge gap </w:t>
      </w:r>
      <w:r w:rsidRPr="0050587F">
        <w:rPr>
          <w:lang w:val="en-US"/>
        </w:rPr>
        <w:t xml:space="preserve">concerning </w:t>
      </w:r>
      <w:r w:rsidR="00D017C6" w:rsidRPr="0050587F">
        <w:rPr>
          <w:lang w:val="en-US"/>
        </w:rPr>
        <w:t xml:space="preserve">the effect of adult age on drug pharmacokinetics </w:t>
      </w:r>
      <w:r w:rsidR="00D017C6" w:rsidRPr="009440AD">
        <w:rPr>
          <w:lang w:val="en-US"/>
        </w:rPr>
        <w:fldChar w:fldCharType="begin"/>
      </w:r>
      <w:r w:rsidR="00D017C6" w:rsidRPr="009440AD">
        <w:rPr>
          <w:lang w:val="en-US"/>
        </w:rPr>
        <w:instrText xml:space="preserve"> ADDIN EN.CITE &lt;EndNote&gt;&lt;Cite&gt;&lt;Author&gt;U.S. Food and Drug Administration&lt;/Author&gt;&lt;Year&gt;2018&lt;/Year&gt;&lt;RecNum&gt;1185&lt;/RecNum&gt;&lt;DisplayText&gt;[5]&lt;/DisplayText&gt;&lt;record&gt;&lt;rec-number&gt;1185&lt;/rec-number&gt;&lt;foreign-keys&gt;&lt;key app="EN" db-id="vawz9xpv5prvt3ed92pxtvpjzzf095ze0r5f" timestamp="1542292240"&gt;1185&lt;/key&gt;&lt;/foreign-keys&gt;&lt;ref-type name="Web Page"&gt;12&lt;/ref-type&gt;&lt;contributors&gt;&lt;authors&gt;&lt;author&gt;U.S. Food and Drug Administration,&lt;/author&gt;&lt;/authors&gt;&lt;/contributors&gt;&lt;titles&gt;&lt;title&gt;Diversity in clinical trials&lt;/title&gt;&lt;/titles&gt;&lt;volume&gt;2018&lt;/volume&gt;&lt;number&gt;15/11/2018&lt;/number&gt;&lt;keywords&gt;&lt;keyword&gt;elderly&lt;/keyword&gt;&lt;keyword&gt;clinical trials&lt;/keyword&gt;&lt;/keywords&gt;&lt;dates&gt;&lt;year&gt;2018&lt;/year&gt;&lt;/dates&gt;&lt;urls&gt;&lt;related-urls&gt;&lt;url&gt;https://www.fda.gov/ForConsumers/ConsumerUpdates/ucm535306.htm&lt;/url&gt;&lt;/related-urls&gt;&lt;/urls&gt;&lt;/record&gt;&lt;/Cite&gt;&lt;/EndNote&gt;</w:instrText>
      </w:r>
      <w:r w:rsidR="00D017C6" w:rsidRPr="009440AD">
        <w:rPr>
          <w:lang w:val="en-US"/>
        </w:rPr>
        <w:fldChar w:fldCharType="separate"/>
      </w:r>
      <w:r w:rsidR="00D017C6" w:rsidRPr="009440AD">
        <w:rPr>
          <w:noProof/>
          <w:lang w:val="en-US"/>
        </w:rPr>
        <w:t>[5]</w:t>
      </w:r>
      <w:r w:rsidR="00D017C6" w:rsidRPr="009440AD">
        <w:rPr>
          <w:lang w:val="en-US"/>
        </w:rPr>
        <w:fldChar w:fldCharType="end"/>
      </w:r>
      <w:r w:rsidR="00D017C6" w:rsidRPr="009440AD">
        <w:rPr>
          <w:lang w:val="en-US"/>
        </w:rPr>
        <w:t xml:space="preserve">. However, </w:t>
      </w:r>
      <w:r w:rsidR="00BE13DB" w:rsidRPr="009440AD">
        <w:rPr>
          <w:lang w:val="en-US"/>
        </w:rPr>
        <w:t>advanced age is characterized by anatomical, physiological</w:t>
      </w:r>
      <w:r w:rsidR="00687EFC" w:rsidRPr="005902A1">
        <w:rPr>
          <w:lang w:val="en-US"/>
        </w:rPr>
        <w:t>,</w:t>
      </w:r>
      <w:r w:rsidR="00BE13DB" w:rsidRPr="0050587F">
        <w:rPr>
          <w:lang w:val="en-US"/>
        </w:rPr>
        <w:t xml:space="preserve"> and biological</w:t>
      </w:r>
      <w:r w:rsidR="00D017C6" w:rsidRPr="0050587F">
        <w:rPr>
          <w:lang w:val="en-US"/>
        </w:rPr>
        <w:t xml:space="preserve"> changes </w:t>
      </w:r>
      <w:r w:rsidR="00D017C6" w:rsidRPr="009440AD">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00586DDA" w:rsidRPr="009440AD">
        <w:rPr>
          <w:lang w:val="en-US"/>
        </w:rPr>
        <w:instrText xml:space="preserve"> ADDIN EN.CITE </w:instrText>
      </w:r>
      <w:r w:rsidR="00586DDA" w:rsidRPr="006B495B">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00586DDA" w:rsidRPr="009440AD">
        <w:rPr>
          <w:lang w:val="en-US"/>
        </w:rPr>
        <w:instrText xml:space="preserve"> ADDIN EN.CITE.DATA </w:instrText>
      </w:r>
      <w:r w:rsidR="00586DDA" w:rsidRPr="006B495B">
        <w:rPr>
          <w:lang w:val="en-US"/>
        </w:rPr>
      </w:r>
      <w:r w:rsidR="00586DDA" w:rsidRPr="006B495B">
        <w:rPr>
          <w:lang w:val="en-US"/>
        </w:rPr>
        <w:fldChar w:fldCharType="end"/>
      </w:r>
      <w:r w:rsidR="00D017C6" w:rsidRPr="009440AD">
        <w:rPr>
          <w:lang w:val="en-US"/>
        </w:rPr>
      </w:r>
      <w:r w:rsidR="00D017C6" w:rsidRPr="009440AD">
        <w:rPr>
          <w:lang w:val="en-US"/>
        </w:rPr>
        <w:fldChar w:fldCharType="separate"/>
      </w:r>
      <w:r w:rsidR="00D017C6" w:rsidRPr="009440AD">
        <w:rPr>
          <w:noProof/>
          <w:lang w:val="en-US"/>
        </w:rPr>
        <w:t>[6]</w:t>
      </w:r>
      <w:r w:rsidR="00D017C6" w:rsidRPr="009440AD">
        <w:rPr>
          <w:lang w:val="en-US"/>
        </w:rPr>
        <w:fldChar w:fldCharType="end"/>
      </w:r>
      <w:r w:rsidR="00066BB9" w:rsidRPr="009440AD">
        <w:rPr>
          <w:lang w:val="en-US"/>
        </w:rPr>
        <w:t>,</w:t>
      </w:r>
      <w:r w:rsidR="00D017C6" w:rsidRPr="009440AD">
        <w:rPr>
          <w:lang w:val="en-US"/>
        </w:rPr>
        <w:t xml:space="preserve"> </w:t>
      </w:r>
      <w:r w:rsidR="00BE13DB" w:rsidRPr="005902A1">
        <w:rPr>
          <w:lang w:val="en-US"/>
        </w:rPr>
        <w:t xml:space="preserve">which </w:t>
      </w:r>
      <w:r w:rsidR="00D017C6" w:rsidRPr="0050587F">
        <w:rPr>
          <w:lang w:val="en-US"/>
        </w:rPr>
        <w:t xml:space="preserve">have the potential to affect </w:t>
      </w:r>
      <w:r w:rsidR="005148C5" w:rsidRPr="0050587F">
        <w:rPr>
          <w:lang w:val="en-US"/>
        </w:rPr>
        <w:t>the</w:t>
      </w:r>
      <w:r w:rsidR="0091500D" w:rsidRPr="0050587F">
        <w:rPr>
          <w:lang w:val="en-US"/>
        </w:rPr>
        <w:t xml:space="preserve"> </w:t>
      </w:r>
      <w:r w:rsidR="005148C5" w:rsidRPr="0050587F">
        <w:rPr>
          <w:lang w:val="en-US"/>
        </w:rPr>
        <w:t>absorption, distribution, metabolism</w:t>
      </w:r>
      <w:r w:rsidR="00687EFC" w:rsidRPr="0065491D">
        <w:rPr>
          <w:lang w:val="en-US"/>
        </w:rPr>
        <w:t>,</w:t>
      </w:r>
      <w:r w:rsidR="005148C5" w:rsidRPr="0065491D">
        <w:rPr>
          <w:lang w:val="en-US"/>
        </w:rPr>
        <w:t xml:space="preserve"> and elimination </w:t>
      </w:r>
      <w:r w:rsidR="0091500D" w:rsidRPr="0065491D">
        <w:rPr>
          <w:lang w:val="en-US"/>
        </w:rPr>
        <w:t xml:space="preserve">processes </w:t>
      </w:r>
      <w:r w:rsidR="001F7EF9" w:rsidRPr="009440AD">
        <w:rPr>
          <w:lang w:val="en-US"/>
        </w:rPr>
        <w:t xml:space="preserve">of a drug </w:t>
      </w:r>
      <w:r w:rsidR="0091500D" w:rsidRPr="009440AD">
        <w:rPr>
          <w:lang w:val="en-US"/>
        </w:rPr>
        <w:t>resulting in altered pharmacokinetics</w:t>
      </w:r>
      <w:r w:rsidR="005148C5" w:rsidRPr="009440AD">
        <w:rPr>
          <w:lang w:val="en-US"/>
        </w:rPr>
        <w:t>.</w:t>
      </w:r>
    </w:p>
    <w:p w14:paraId="701802FA" w14:textId="77777777" w:rsidR="00D017C6" w:rsidRPr="009440AD" w:rsidRDefault="00D017C6" w:rsidP="0043533C">
      <w:pPr>
        <w:rPr>
          <w:lang w:val="en-US"/>
        </w:rPr>
      </w:pPr>
    </w:p>
    <w:p w14:paraId="64372ED9" w14:textId="7F3A113D" w:rsidR="002A3CBF" w:rsidRPr="009440AD" w:rsidRDefault="00923222" w:rsidP="0043533C">
      <w:pPr>
        <w:rPr>
          <w:lang w:val="en-US"/>
        </w:rPr>
      </w:pPr>
      <w:r w:rsidRPr="009440AD">
        <w:rPr>
          <w:lang w:val="en-US"/>
        </w:rPr>
        <w:t>The impact of</w:t>
      </w:r>
      <w:r w:rsidR="0091500D" w:rsidRPr="009440AD">
        <w:rPr>
          <w:lang w:val="en-US"/>
        </w:rPr>
        <w:t xml:space="preserve"> advanced</w:t>
      </w:r>
      <w:r w:rsidRPr="009440AD">
        <w:rPr>
          <w:lang w:val="en-US"/>
        </w:rPr>
        <w:t xml:space="preserve"> age on drug absorption</w:t>
      </w:r>
      <w:r w:rsidR="0091500D" w:rsidRPr="009440AD">
        <w:rPr>
          <w:lang w:val="en-US"/>
        </w:rPr>
        <w:t xml:space="preserve"> processes</w:t>
      </w:r>
      <w:r w:rsidRPr="009440AD">
        <w:rPr>
          <w:lang w:val="en-US"/>
        </w:rPr>
        <w:t xml:space="preserve"> remains inconclusive</w:t>
      </w:r>
      <w:r w:rsidR="009623FA" w:rsidRPr="009440AD">
        <w:rPr>
          <w:lang w:val="en-US"/>
        </w:rPr>
        <w:t xml:space="preserve"> due to</w:t>
      </w:r>
      <w:r w:rsidRPr="009440AD">
        <w:rPr>
          <w:lang w:val="en-US"/>
        </w:rPr>
        <w:t xml:space="preserve"> contradictory findings</w:t>
      </w:r>
      <w:r w:rsidR="009623FA" w:rsidRPr="009440AD">
        <w:rPr>
          <w:lang w:val="en-US"/>
        </w:rPr>
        <w:t xml:space="preserve"> in the literature</w:t>
      </w:r>
      <w:r w:rsidRPr="009440AD">
        <w:rPr>
          <w:lang w:val="en-US"/>
        </w:rPr>
        <w:t xml:space="preserve">. For instance, </w:t>
      </w:r>
      <w:r w:rsidR="005148C5" w:rsidRPr="009440AD">
        <w:rPr>
          <w:lang w:val="en-US"/>
        </w:rPr>
        <w:t xml:space="preserve">gastric emptying time </w:t>
      </w:r>
      <w:r w:rsidRPr="009440AD">
        <w:rPr>
          <w:lang w:val="en-US"/>
        </w:rPr>
        <w:t>is reported to be slower, similar or faster in elderly compared to young adults.</w:t>
      </w:r>
      <w:r w:rsidR="00992E17" w:rsidRPr="009440AD">
        <w:rPr>
          <w:lang w:val="en-US"/>
        </w:rPr>
        <w:t xml:space="preserve"> </w:t>
      </w:r>
      <w:r w:rsidR="002C0EDC" w:rsidRPr="009440AD">
        <w:rPr>
          <w:lang w:val="en-US"/>
        </w:rPr>
        <w:t>T</w:t>
      </w:r>
      <w:r w:rsidRPr="009440AD">
        <w:rPr>
          <w:lang w:val="en-US"/>
        </w:rPr>
        <w:t xml:space="preserve">he distribution of drugs is affected </w:t>
      </w:r>
      <w:r w:rsidR="0067201F" w:rsidRPr="009440AD">
        <w:rPr>
          <w:lang w:val="en-US"/>
        </w:rPr>
        <w:t>by</w:t>
      </w:r>
      <w:r w:rsidRPr="009440AD">
        <w:rPr>
          <w:lang w:val="en-US"/>
        </w:rPr>
        <w:t xml:space="preserve"> a progressive increase of adipose tissue weight, while total body water declines in the elderly. </w:t>
      </w:r>
      <w:r w:rsidR="00F81024" w:rsidRPr="009440AD">
        <w:rPr>
          <w:lang w:val="en-US"/>
        </w:rPr>
        <w:t>H</w:t>
      </w:r>
      <w:r w:rsidR="00992E17" w:rsidRPr="009440AD">
        <w:rPr>
          <w:lang w:val="en-US"/>
        </w:rPr>
        <w:t xml:space="preserve">epatic drug metabolism is potentially </w:t>
      </w:r>
      <w:r w:rsidR="004C28BB" w:rsidRPr="009440AD">
        <w:rPr>
          <w:lang w:val="en-US"/>
        </w:rPr>
        <w:t>affected</w:t>
      </w:r>
      <w:r w:rsidR="00992E17" w:rsidRPr="009440AD">
        <w:rPr>
          <w:lang w:val="en-US"/>
        </w:rPr>
        <w:t xml:space="preserve"> by </w:t>
      </w:r>
      <w:r w:rsidR="002C0EDC" w:rsidRPr="009440AD">
        <w:rPr>
          <w:lang w:val="en-US"/>
        </w:rPr>
        <w:t xml:space="preserve">age-related changes of </w:t>
      </w:r>
      <w:r w:rsidR="00992E17" w:rsidRPr="009440AD">
        <w:rPr>
          <w:lang w:val="en-US"/>
        </w:rPr>
        <w:t>l</w:t>
      </w:r>
      <w:r w:rsidRPr="009440AD">
        <w:rPr>
          <w:lang w:val="en-US"/>
        </w:rPr>
        <w:t xml:space="preserve">iver weight and hepatic blood flow </w:t>
      </w:r>
      <w:r w:rsidR="00992E17" w:rsidRPr="009440AD">
        <w:rPr>
          <w:lang w:val="en-US"/>
        </w:rPr>
        <w:t xml:space="preserve">that </w:t>
      </w:r>
      <w:r w:rsidRPr="009440AD">
        <w:rPr>
          <w:lang w:val="en-US"/>
        </w:rPr>
        <w:t>are decreased by 10% and 18%</w:t>
      </w:r>
      <w:r w:rsidR="00992E17" w:rsidRPr="009440AD">
        <w:rPr>
          <w:lang w:val="en-US"/>
        </w:rPr>
        <w:t xml:space="preserve">, respectively, </w:t>
      </w:r>
      <w:r w:rsidRPr="009440AD">
        <w:rPr>
          <w:lang w:val="en-US"/>
        </w:rPr>
        <w:t xml:space="preserve">in </w:t>
      </w:r>
      <w:r w:rsidR="002C0EDC" w:rsidRPr="009440AD">
        <w:rPr>
          <w:lang w:val="en-US"/>
        </w:rPr>
        <w:t>70-year-old</w:t>
      </w:r>
      <w:r w:rsidRPr="009440AD">
        <w:rPr>
          <w:lang w:val="en-US"/>
        </w:rPr>
        <w:t xml:space="preserve"> compared to 30</w:t>
      </w:r>
      <w:r w:rsidR="002C0EDC" w:rsidRPr="009440AD">
        <w:rPr>
          <w:lang w:val="en-US"/>
        </w:rPr>
        <w:t>-</w:t>
      </w:r>
      <w:r w:rsidRPr="009440AD">
        <w:rPr>
          <w:lang w:val="en-US"/>
        </w:rPr>
        <w:t>year</w:t>
      </w:r>
      <w:r w:rsidR="002C0EDC" w:rsidRPr="009440AD">
        <w:rPr>
          <w:lang w:val="en-US"/>
        </w:rPr>
        <w:t>-</w:t>
      </w:r>
      <w:r w:rsidRPr="009440AD">
        <w:rPr>
          <w:lang w:val="en-US"/>
        </w:rPr>
        <w:t>old</w:t>
      </w:r>
      <w:r w:rsidR="002C0EDC" w:rsidRPr="009440AD">
        <w:rPr>
          <w:lang w:val="en-US"/>
        </w:rPr>
        <w:t xml:space="preserve"> individuals</w:t>
      </w:r>
      <w:r w:rsidRPr="009440AD">
        <w:rPr>
          <w:lang w:val="en-US"/>
        </w:rPr>
        <w:t xml:space="preserve">. </w:t>
      </w:r>
      <w:r w:rsidR="002C0EDC" w:rsidRPr="009440AD">
        <w:rPr>
          <w:lang w:val="en-US"/>
        </w:rPr>
        <w:t>R</w:t>
      </w:r>
      <w:r w:rsidRPr="009440AD">
        <w:rPr>
          <w:lang w:val="en-US"/>
        </w:rPr>
        <w:t>eports concerning hepatic enzyme activity in the elderly are</w:t>
      </w:r>
      <w:r w:rsidR="00992E17" w:rsidRPr="009440AD">
        <w:rPr>
          <w:lang w:val="en-US"/>
        </w:rPr>
        <w:t xml:space="preserve"> </w:t>
      </w:r>
      <w:r w:rsidRPr="009440AD">
        <w:rPr>
          <w:lang w:val="en-US"/>
        </w:rPr>
        <w:t>sparse and contradictory</w:t>
      </w:r>
      <w:r w:rsidR="001F7EF9" w:rsidRPr="009440AD">
        <w:rPr>
          <w:lang w:val="en-US"/>
        </w:rPr>
        <w:t>.</w:t>
      </w:r>
      <w:r w:rsidRPr="009440AD">
        <w:rPr>
          <w:lang w:val="en-US"/>
        </w:rPr>
        <w:t xml:space="preserve"> </w:t>
      </w:r>
      <w:r w:rsidR="001F7EF9" w:rsidRPr="009440AD">
        <w:rPr>
          <w:lang w:val="en-US"/>
        </w:rPr>
        <w:t>T</w:t>
      </w:r>
      <w:r w:rsidRPr="009440AD">
        <w:rPr>
          <w:lang w:val="en-US"/>
        </w:rPr>
        <w:t xml:space="preserve">he only well-studied hepatic enzyme is CYP3A, </w:t>
      </w:r>
      <w:r w:rsidR="001F7EF9" w:rsidRPr="009440AD">
        <w:rPr>
          <w:lang w:val="en-US"/>
        </w:rPr>
        <w:t>which</w:t>
      </w:r>
      <w:r w:rsidR="004C28BB" w:rsidRPr="009440AD">
        <w:rPr>
          <w:lang w:val="en-US"/>
        </w:rPr>
        <w:t xml:space="preserve"> </w:t>
      </w:r>
      <w:r w:rsidRPr="009440AD">
        <w:rPr>
          <w:lang w:val="en-US"/>
        </w:rPr>
        <w:t>shows age-independent activity</w:t>
      </w:r>
      <w:r w:rsidR="009A6D4E" w:rsidRPr="009440AD">
        <w:rPr>
          <w:lang w:val="en-US"/>
        </w:rPr>
        <w:t xml:space="preserve"> </w:t>
      </w:r>
      <w:r w:rsidR="009A6D4E" w:rsidRPr="009440AD">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009A6D4E" w:rsidRPr="009440AD">
        <w:rPr>
          <w:lang w:val="en-US"/>
        </w:rPr>
        <w:instrText xml:space="preserve"> ADDIN EN.CITE </w:instrText>
      </w:r>
      <w:r w:rsidR="009A6D4E" w:rsidRPr="006B495B">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009A6D4E" w:rsidRPr="009440AD">
        <w:rPr>
          <w:lang w:val="en-US"/>
        </w:rPr>
        <w:instrText xml:space="preserve"> ADDIN EN.CITE.DATA </w:instrText>
      </w:r>
      <w:r w:rsidR="009A6D4E" w:rsidRPr="006B495B">
        <w:rPr>
          <w:lang w:val="en-US"/>
        </w:rPr>
      </w:r>
      <w:r w:rsidR="009A6D4E" w:rsidRPr="006B495B">
        <w:rPr>
          <w:lang w:val="en-US"/>
        </w:rPr>
        <w:fldChar w:fldCharType="end"/>
      </w:r>
      <w:r w:rsidR="009A6D4E" w:rsidRPr="009440AD">
        <w:rPr>
          <w:lang w:val="en-US"/>
        </w:rPr>
      </w:r>
      <w:r w:rsidR="009A6D4E" w:rsidRPr="009440AD">
        <w:rPr>
          <w:lang w:val="en-US"/>
        </w:rPr>
        <w:fldChar w:fldCharType="separate"/>
      </w:r>
      <w:r w:rsidR="009A6D4E" w:rsidRPr="009440AD">
        <w:rPr>
          <w:noProof/>
          <w:lang w:val="en-US"/>
        </w:rPr>
        <w:t>[6]</w:t>
      </w:r>
      <w:r w:rsidR="009A6D4E" w:rsidRPr="009440AD">
        <w:rPr>
          <w:lang w:val="en-US"/>
        </w:rPr>
        <w:fldChar w:fldCharType="end"/>
      </w:r>
      <w:r w:rsidRPr="009440AD">
        <w:rPr>
          <w:lang w:val="en-US"/>
        </w:rPr>
        <w:t xml:space="preserve">. </w:t>
      </w:r>
      <w:proofErr w:type="spellStart"/>
      <w:r w:rsidRPr="009440AD">
        <w:rPr>
          <w:lang w:val="en-US"/>
        </w:rPr>
        <w:t>Polasek</w:t>
      </w:r>
      <w:proofErr w:type="spellEnd"/>
      <w:r w:rsidRPr="009440AD">
        <w:rPr>
          <w:lang w:val="en-US"/>
        </w:rPr>
        <w:t xml:space="preserve"> </w:t>
      </w:r>
      <w:r w:rsidRPr="009440AD">
        <w:rPr>
          <w:i/>
          <w:lang w:val="en-US"/>
        </w:rPr>
        <w:t>et al.</w:t>
      </w:r>
      <w:r w:rsidRPr="005902A1">
        <w:rPr>
          <w:lang w:val="en-US"/>
        </w:rPr>
        <w:t xml:space="preserve"> investigated five different probe substrates for hepatic metabolism namely caffeine (CYP1A2), warfarin (CYP2C9), phenytoin (CYP2C19), desipramine (CYP2D6)</w:t>
      </w:r>
      <w:r w:rsidR="00687EFC" w:rsidRPr="0050587F">
        <w:rPr>
          <w:lang w:val="en-US"/>
        </w:rPr>
        <w:t>,</w:t>
      </w:r>
      <w:r w:rsidRPr="0050587F">
        <w:rPr>
          <w:lang w:val="en-US"/>
        </w:rPr>
        <w:t xml:space="preserve"> and midazolam (CYP3A) and found a clearance decrease of 30-40%</w:t>
      </w:r>
      <w:r w:rsidRPr="0065491D">
        <w:rPr>
          <w:lang w:val="en-US"/>
        </w:rPr>
        <w:t xml:space="preserve"> in 70 year old subject</w:t>
      </w:r>
      <w:r w:rsidR="008A5F58" w:rsidRPr="0065491D">
        <w:rPr>
          <w:lang w:val="en-US"/>
        </w:rPr>
        <w:t>s</w:t>
      </w:r>
      <w:r w:rsidRPr="0065491D">
        <w:rPr>
          <w:lang w:val="en-US"/>
        </w:rPr>
        <w:t xml:space="preserve"> compared to young</w:t>
      </w:r>
      <w:r w:rsidR="0091500D" w:rsidRPr="009440AD">
        <w:rPr>
          <w:lang w:val="en-US"/>
        </w:rPr>
        <w:t>er</w:t>
      </w:r>
      <w:r w:rsidRPr="009440AD">
        <w:rPr>
          <w:lang w:val="en-US"/>
        </w:rPr>
        <w:t xml:space="preserve"> individuals, which was explained by the changes in liver volume and blood flow rather than enzyme activity </w:t>
      </w:r>
      <w:r w:rsidRPr="009440AD">
        <w:rPr>
          <w:lang w:val="en-US"/>
        </w:rPr>
        <w:fldChar w:fldCharType="begin"/>
      </w:r>
      <w:r w:rsidR="009A6D4E" w:rsidRPr="009440AD">
        <w:rPr>
          <w:lang w:val="en-US"/>
        </w:rPr>
        <w:instrText xml:space="preserve"> ADDIN EN.CITE &lt;EndNote&gt;&lt;Cite&gt;&lt;Author&gt;Polasek&lt;/Author&gt;&lt;Year&gt;2013&lt;/Year&gt;&lt;RecNum&gt;98&lt;/RecNum&gt;&lt;DisplayText&gt;[7]&lt;/DisplayText&gt;&lt;record&gt;&lt;rec-number&gt;98&lt;/rec-number&gt;&lt;foreign-keys&gt;&lt;key app="EN" db-id="vawz9xpv5prvt3ed92pxtvpjzzf095ze0r5f" timestamp="1487061657"&gt;98&lt;/key&gt;&lt;/foreign-keys&gt;&lt;ref-type name="Journal Article"&gt;17&lt;/ref-type&gt;&lt;contributors&gt;&lt;authors&gt;&lt;author&gt;Polasek, Thomas M&lt;/author&gt;&lt;author&gt;Patel, Farhaan&lt;/author&gt;&lt;author&gt;Jensen, Berit P&lt;/author&gt;&lt;author&gt;Sorich, Michael J&lt;/author&gt;&lt;author&gt;Wiese, Michael D&lt;/author&gt;&lt;author&gt;Doogue, Matthew P&lt;/author&gt;&lt;/authors&gt;&lt;/contributors&gt;&lt;titles&gt;&lt;title&gt;Predicted metabolic drug clearance with increasing adult age&lt;/title&gt;&lt;secondary-title&gt;British Journal of Clinical Pharmacology&lt;/secondary-title&gt;&lt;/titles&gt;&lt;periodical&gt;&lt;full-title&gt;British journal of clinical pharmacology&lt;/full-title&gt;&lt;/periodical&gt;&lt;pages&gt;1019-1028&lt;/pages&gt;&lt;volume&gt;75&lt;/volume&gt;&lt;number&gt;4&lt;/number&gt;&lt;keywords&gt;&lt;keyword&gt;PBPK&lt;/keyword&gt;&lt;keyword&gt;geriatric&lt;/keyword&gt;&lt;keyword&gt;CL prediction&lt;/keyword&gt;&lt;/keywords&gt;&lt;dates&gt;&lt;year&gt;2013&lt;/year&gt;&lt;/dates&gt;&lt;isbn&gt;1365-2125&lt;/isbn&gt;&lt;urls&gt;&lt;/urls&gt;&lt;/record&gt;&lt;/Cite&gt;&lt;/EndNote&gt;</w:instrText>
      </w:r>
      <w:r w:rsidRPr="009440AD">
        <w:rPr>
          <w:lang w:val="en-US"/>
        </w:rPr>
        <w:fldChar w:fldCharType="separate"/>
      </w:r>
      <w:r w:rsidR="009A6D4E" w:rsidRPr="009440AD">
        <w:rPr>
          <w:noProof/>
          <w:lang w:val="en-US"/>
        </w:rPr>
        <w:t>[7]</w:t>
      </w:r>
      <w:r w:rsidRPr="009440AD">
        <w:rPr>
          <w:lang w:val="en-US"/>
        </w:rPr>
        <w:fldChar w:fldCharType="end"/>
      </w:r>
      <w:r w:rsidRPr="009440AD">
        <w:rPr>
          <w:lang w:val="en-US"/>
        </w:rPr>
        <w:t>.</w:t>
      </w:r>
      <w:r w:rsidR="00992E17" w:rsidRPr="009440AD">
        <w:rPr>
          <w:lang w:val="en-US"/>
        </w:rPr>
        <w:t xml:space="preserve"> </w:t>
      </w:r>
      <w:r w:rsidR="002C0EDC" w:rsidRPr="005902A1">
        <w:rPr>
          <w:lang w:val="en-US"/>
        </w:rPr>
        <w:t>D</w:t>
      </w:r>
      <w:r w:rsidRPr="0050587F">
        <w:rPr>
          <w:lang w:val="en-US"/>
        </w:rPr>
        <w:t>ata regarding drug transporter activity are generally sparse, but in a compact meta-analysis</w:t>
      </w:r>
      <w:r w:rsidR="00992E17" w:rsidRPr="0065491D">
        <w:rPr>
          <w:lang w:val="en-US"/>
        </w:rPr>
        <w:t>,</w:t>
      </w:r>
      <w:r w:rsidRPr="0065491D">
        <w:rPr>
          <w:lang w:val="en-US"/>
        </w:rPr>
        <w:t xml:space="preserve"> age was tested as </w:t>
      </w:r>
      <w:r w:rsidR="00955D3A" w:rsidRPr="0065491D">
        <w:rPr>
          <w:lang w:val="en-US"/>
        </w:rPr>
        <w:t xml:space="preserve">a </w:t>
      </w:r>
      <w:r w:rsidRPr="009440AD">
        <w:rPr>
          <w:lang w:val="en-US"/>
        </w:rPr>
        <w:t xml:space="preserve">covariate for hepatic drug transporter activity and was found to be non-significant </w:t>
      </w:r>
      <w:r w:rsidRPr="009440AD">
        <w:rPr>
          <w:lang w:val="en-US"/>
        </w:rPr>
        <w:fldChar w:fldCharType="begin"/>
      </w:r>
      <w:r w:rsidR="009A6D4E" w:rsidRPr="009440AD">
        <w:rPr>
          <w:lang w:val="en-US"/>
        </w:rPr>
        <w:instrText xml:space="preserve"> ADDIN EN.CITE &lt;EndNote&gt;&lt;Cite&gt;&lt;Author&gt;Burt&lt;/Author&gt;&lt;Year&gt;2016&lt;/Year&gt;&lt;RecNum&gt;927&lt;/RecNum&gt;&lt;DisplayText&gt;[8]&lt;/DisplayText&gt;&lt;record&gt;&lt;rec-number&gt;927&lt;/rec-number&gt;&lt;foreign-keys&gt;&lt;key app="EN" db-id="vawz9xpv5prvt3ed92pxtvpjzzf095ze0r5f" timestamp="1501750613"&gt;927&lt;/key&gt;&lt;/foreign-keys&gt;&lt;ref-type name="Journal Article"&gt;17&lt;/ref-type&gt;&lt;contributors&gt;&lt;authors&gt;&lt;author&gt;Burt, Howard J&lt;/author&gt;&lt;author&gt;Riedmaier, Arian Emami&lt;/author&gt;&lt;author&gt;Harwood, Matthew D&lt;/author&gt;&lt;author&gt;Crewe, H Kim&lt;/author&gt;&lt;author&gt;Gill, Katherine L&lt;/author&gt;&lt;author&gt;Neuhoff, Sibylle&lt;/author&gt;&lt;/authors&gt;&lt;/contributors&gt;&lt;titles&gt;&lt;title&gt;Abundance of hepatic transporters in Caucasians: a meta-analysis&lt;/title&gt;&lt;secondary-title&gt;Drug Metabolism and Disposition&lt;/secondary-title&gt;&lt;/titles&gt;&lt;periodical&gt;&lt;full-title&gt;Drug Metabolism and Disposition&lt;/full-title&gt;&lt;/periodical&gt;&lt;pages&gt;1550-1561&lt;/pages&gt;&lt;volume&gt;44&lt;/volume&gt;&lt;number&gt;10&lt;/number&gt;&lt;keywords&gt;&lt;keyword&gt;PBPK&lt;/keyword&gt;&lt;keyword&gt;hepatic transporter&lt;/keyword&gt;&lt;/keywords&gt;&lt;dates&gt;&lt;year&gt;2016&lt;/year&gt;&lt;/dates&gt;&lt;isbn&gt;0090-9556&lt;/isbn&gt;&lt;urls&gt;&lt;/urls&gt;&lt;/record&gt;&lt;/Cite&gt;&lt;/EndNote&gt;</w:instrText>
      </w:r>
      <w:r w:rsidRPr="009440AD">
        <w:rPr>
          <w:lang w:val="en-US"/>
        </w:rPr>
        <w:fldChar w:fldCharType="separate"/>
      </w:r>
      <w:r w:rsidR="009A6D4E" w:rsidRPr="009440AD">
        <w:rPr>
          <w:noProof/>
          <w:lang w:val="en-US"/>
        </w:rPr>
        <w:t>[8]</w:t>
      </w:r>
      <w:r w:rsidRPr="009440AD">
        <w:rPr>
          <w:lang w:val="en-US"/>
        </w:rPr>
        <w:fldChar w:fldCharType="end"/>
      </w:r>
      <w:r w:rsidRPr="009440AD">
        <w:rPr>
          <w:lang w:val="en-US"/>
        </w:rPr>
        <w:t xml:space="preserve">. </w:t>
      </w:r>
      <w:r w:rsidR="001244B3" w:rsidRPr="009440AD">
        <w:rPr>
          <w:lang w:val="en-US"/>
        </w:rPr>
        <w:t>Lastly</w:t>
      </w:r>
      <w:r w:rsidRPr="005902A1">
        <w:rPr>
          <w:lang w:val="en-US"/>
        </w:rPr>
        <w:t>, the most significant change with adult agi</w:t>
      </w:r>
      <w:r w:rsidRPr="0050587F">
        <w:rPr>
          <w:lang w:val="en-US"/>
        </w:rPr>
        <w:t xml:space="preserve">ng is the reduction in renal drug clearance, </w:t>
      </w:r>
      <w:r w:rsidR="0049284B" w:rsidRPr="0050587F">
        <w:rPr>
          <w:lang w:val="en-US"/>
        </w:rPr>
        <w:t xml:space="preserve">namely, </w:t>
      </w:r>
      <w:r w:rsidRPr="0050587F">
        <w:rPr>
          <w:lang w:val="en-US"/>
        </w:rPr>
        <w:t xml:space="preserve">because of a reduction in kidney weight caused by a loss of nephrons, </w:t>
      </w:r>
      <w:r w:rsidR="00793A48" w:rsidRPr="0065491D">
        <w:rPr>
          <w:lang w:val="en-US"/>
        </w:rPr>
        <w:t xml:space="preserve">decreased </w:t>
      </w:r>
      <w:r w:rsidRPr="0065491D">
        <w:rPr>
          <w:lang w:val="en-US"/>
        </w:rPr>
        <w:t>renal blood flow</w:t>
      </w:r>
      <w:r w:rsidR="00687EFC" w:rsidRPr="0065491D">
        <w:rPr>
          <w:lang w:val="en-US"/>
        </w:rPr>
        <w:t>,</w:t>
      </w:r>
      <w:r w:rsidRPr="009440AD">
        <w:rPr>
          <w:lang w:val="en-US"/>
        </w:rPr>
        <w:t xml:space="preserve"> and consequently a decline in the glomerular filtration rate during the entire adulthood </w:t>
      </w:r>
      <w:r w:rsidRPr="009440AD">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00586DDA" w:rsidRPr="009440AD">
        <w:rPr>
          <w:lang w:val="en-US"/>
        </w:rPr>
        <w:instrText xml:space="preserve"> ADDIN EN.CITE </w:instrText>
      </w:r>
      <w:r w:rsidR="00586DDA" w:rsidRPr="006B495B">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00586DDA" w:rsidRPr="009440AD">
        <w:rPr>
          <w:lang w:val="en-US"/>
        </w:rPr>
        <w:instrText xml:space="preserve"> ADDIN EN.CITE.DATA </w:instrText>
      </w:r>
      <w:r w:rsidR="00586DDA" w:rsidRPr="006B495B">
        <w:rPr>
          <w:lang w:val="en-US"/>
        </w:rPr>
      </w:r>
      <w:r w:rsidR="00586DDA" w:rsidRPr="006B495B">
        <w:rPr>
          <w:lang w:val="en-US"/>
        </w:rPr>
        <w:fldChar w:fldCharType="end"/>
      </w:r>
      <w:r w:rsidRPr="009440AD">
        <w:rPr>
          <w:lang w:val="en-US"/>
        </w:rPr>
      </w:r>
      <w:r w:rsidRPr="009440AD">
        <w:rPr>
          <w:lang w:val="en-US"/>
        </w:rPr>
        <w:fldChar w:fldCharType="separate"/>
      </w:r>
      <w:r w:rsidR="00D017C6" w:rsidRPr="009440AD">
        <w:rPr>
          <w:noProof/>
          <w:lang w:val="en-US"/>
        </w:rPr>
        <w:t>[6]</w:t>
      </w:r>
      <w:r w:rsidRPr="009440AD">
        <w:rPr>
          <w:lang w:val="en-US"/>
        </w:rPr>
        <w:fldChar w:fldCharType="end"/>
      </w:r>
      <w:r w:rsidRPr="009440AD">
        <w:rPr>
          <w:lang w:val="en-US"/>
        </w:rPr>
        <w:t>.</w:t>
      </w:r>
    </w:p>
    <w:p w14:paraId="340D28C1" w14:textId="77777777" w:rsidR="002A3CBF" w:rsidRPr="005902A1" w:rsidRDefault="002A3CBF" w:rsidP="0043533C">
      <w:pPr>
        <w:rPr>
          <w:lang w:val="en-US"/>
        </w:rPr>
      </w:pPr>
    </w:p>
    <w:p w14:paraId="16679E9F" w14:textId="1ACF0706" w:rsidR="00003E05" w:rsidRPr="009440AD" w:rsidRDefault="0091500D" w:rsidP="0043533C">
      <w:pPr>
        <w:rPr>
          <w:lang w:val="en-US"/>
        </w:rPr>
      </w:pPr>
      <w:bookmarkStart w:id="4" w:name="_Hlk16148897"/>
      <w:r w:rsidRPr="0065491D">
        <w:rPr>
          <w:lang w:val="en-US"/>
        </w:rPr>
        <w:t>A</w:t>
      </w:r>
      <w:r w:rsidR="00D017C6" w:rsidRPr="0065491D">
        <w:rPr>
          <w:lang w:val="en-US"/>
        </w:rPr>
        <w:t xml:space="preserve">ge-dependent </w:t>
      </w:r>
      <w:r w:rsidRPr="0065491D">
        <w:rPr>
          <w:lang w:val="en-US"/>
        </w:rPr>
        <w:t>anatomical, physiological</w:t>
      </w:r>
      <w:r w:rsidR="00687EFC" w:rsidRPr="009440AD">
        <w:rPr>
          <w:lang w:val="en-US"/>
        </w:rPr>
        <w:t>,</w:t>
      </w:r>
      <w:r w:rsidRPr="009440AD">
        <w:rPr>
          <w:lang w:val="en-US"/>
        </w:rPr>
        <w:t xml:space="preserve"> and biological </w:t>
      </w:r>
      <w:r w:rsidR="00D017C6" w:rsidRPr="009440AD">
        <w:rPr>
          <w:lang w:val="en-US"/>
        </w:rPr>
        <w:t xml:space="preserve">changes can be incorporated into a </w:t>
      </w:r>
      <w:r w:rsidR="00945A4E" w:rsidRPr="009440AD">
        <w:rPr>
          <w:lang w:val="en-US"/>
        </w:rPr>
        <w:t>physiologically based</w:t>
      </w:r>
      <w:r w:rsidR="00562D5C" w:rsidRPr="009440AD">
        <w:rPr>
          <w:lang w:val="en-US"/>
        </w:rPr>
        <w:t xml:space="preserve"> pharmacokinetic (PBPK) model</w:t>
      </w:r>
      <w:r w:rsidR="00D017C6" w:rsidRPr="009440AD">
        <w:rPr>
          <w:lang w:val="en-US"/>
        </w:rPr>
        <w:t>, which is</w:t>
      </w:r>
      <w:r w:rsidR="00562D5C" w:rsidRPr="009440AD">
        <w:rPr>
          <w:lang w:val="en-US"/>
        </w:rPr>
        <w:t xml:space="preserve"> used to overcome sparse clinical data offering the possibility to run virtual clinical trials for </w:t>
      </w:r>
      <w:r w:rsidR="00D017C6" w:rsidRPr="009440AD">
        <w:rPr>
          <w:lang w:val="en-US"/>
        </w:rPr>
        <w:t>special</w:t>
      </w:r>
      <w:r w:rsidR="00562D5C" w:rsidRPr="009440AD">
        <w:rPr>
          <w:lang w:val="en-US"/>
        </w:rPr>
        <w:t xml:space="preserve"> populations</w:t>
      </w:r>
      <w:r w:rsidR="00D017C6" w:rsidRPr="009440AD">
        <w:rPr>
          <w:lang w:val="en-US"/>
        </w:rPr>
        <w:t xml:space="preserve"> such as the elderly</w:t>
      </w:r>
      <w:bookmarkEnd w:id="4"/>
      <w:r w:rsidR="008E484D" w:rsidRPr="009440AD">
        <w:rPr>
          <w:lang w:val="en-US"/>
        </w:rPr>
        <w:t xml:space="preserve"> </w:t>
      </w:r>
      <w:r w:rsidR="008E484D" w:rsidRPr="009440AD">
        <w:rPr>
          <w:lang w:val="en-US"/>
        </w:rPr>
        <w:fldChar w:fldCharType="begin">
          <w:fldData xml:space="preserve">PEVuZE5vdGU+PENpdGU+PEF1dGhvcj5TY2hsZW5kZXI8L0F1dGhvcj48WWVhcj4yMDE2PC9ZZWFy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</w:fldData>
        </w:fldChar>
      </w:r>
      <w:r w:rsidR="008E484D" w:rsidRPr="009440AD">
        <w:rPr>
          <w:lang w:val="en-US"/>
        </w:rPr>
        <w:instrText xml:space="preserve"> ADDIN EN.CITE </w:instrText>
      </w:r>
      <w:r w:rsidR="008E484D" w:rsidRPr="006B495B">
        <w:rPr>
          <w:lang w:val="en-US"/>
        </w:rPr>
        <w:fldChar w:fldCharType="begin">
          <w:fldData xml:space="preserve">PEVuZE5vdGU+PENpdGU+PEF1dGhvcj5TY2hsZW5kZXI8L0F1dGhvcj48WWVhcj4yMDE2PC9ZZWFy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</w:fldData>
        </w:fldChar>
      </w:r>
      <w:r w:rsidR="008E484D" w:rsidRPr="009440AD">
        <w:rPr>
          <w:lang w:val="en-US"/>
        </w:rPr>
        <w:instrText xml:space="preserve"> ADDIN EN.CITE.DATA </w:instrText>
      </w:r>
      <w:r w:rsidR="008E484D" w:rsidRPr="006B495B">
        <w:rPr>
          <w:lang w:val="en-US"/>
        </w:rPr>
      </w:r>
      <w:r w:rsidR="008E484D" w:rsidRPr="006B495B">
        <w:rPr>
          <w:lang w:val="en-US"/>
        </w:rPr>
        <w:fldChar w:fldCharType="end"/>
      </w:r>
      <w:r w:rsidR="008E484D" w:rsidRPr="009440AD">
        <w:rPr>
          <w:lang w:val="en-US"/>
        </w:rPr>
      </w:r>
      <w:r w:rsidR="008E484D" w:rsidRPr="009440AD">
        <w:rPr>
          <w:lang w:val="en-US"/>
        </w:rPr>
        <w:fldChar w:fldCharType="separate"/>
      </w:r>
      <w:r w:rsidR="008E484D" w:rsidRPr="009440AD">
        <w:rPr>
          <w:noProof/>
          <w:lang w:val="en-US"/>
        </w:rPr>
        <w:t>[6, 9, 10]</w:t>
      </w:r>
      <w:r w:rsidR="008E484D" w:rsidRPr="009440AD">
        <w:rPr>
          <w:lang w:val="en-US"/>
        </w:rPr>
        <w:fldChar w:fldCharType="end"/>
      </w:r>
      <w:r w:rsidR="00562D5C" w:rsidRPr="009440AD">
        <w:rPr>
          <w:lang w:val="en-US"/>
        </w:rPr>
        <w:t>.</w:t>
      </w:r>
      <w:r w:rsidR="00D017C6" w:rsidRPr="009440AD">
        <w:rPr>
          <w:lang w:val="en-US"/>
        </w:rPr>
        <w:t xml:space="preserve"> </w:t>
      </w:r>
      <w:r w:rsidR="00562D5C" w:rsidRPr="005902A1">
        <w:rPr>
          <w:lang w:val="en-US"/>
        </w:rPr>
        <w:t xml:space="preserve">A </w:t>
      </w:r>
      <w:r w:rsidR="00562D5C" w:rsidRPr="005902A1">
        <w:rPr>
          <w:lang w:val="en-US"/>
        </w:rPr>
        <w:lastRenderedPageBreak/>
        <w:t>PBPK model describes the absorption, distribution, metabolism</w:t>
      </w:r>
      <w:r w:rsidR="00687EFC" w:rsidRPr="005902A1">
        <w:rPr>
          <w:lang w:val="en-US"/>
        </w:rPr>
        <w:t>,</w:t>
      </w:r>
      <w:r w:rsidR="00562D5C" w:rsidRPr="0050587F">
        <w:rPr>
          <w:lang w:val="en-US"/>
        </w:rPr>
        <w:t xml:space="preserve"> and elimination of a drug in a physiologically relevant compartmental s</w:t>
      </w:r>
      <w:r w:rsidR="00562D5C" w:rsidRPr="0065491D">
        <w:rPr>
          <w:lang w:val="en-US"/>
        </w:rPr>
        <w:t xml:space="preserve">tructure, where each </w:t>
      </w:r>
      <w:r w:rsidR="003E065B" w:rsidRPr="0065491D">
        <w:rPr>
          <w:lang w:val="en-US"/>
        </w:rPr>
        <w:t>compartment</w:t>
      </w:r>
      <w:r w:rsidR="00562D5C" w:rsidRPr="0065491D">
        <w:rPr>
          <w:lang w:val="en-US"/>
        </w:rPr>
        <w:t xml:space="preserve"> represents an orga</w:t>
      </w:r>
      <w:r w:rsidR="00562D5C" w:rsidRPr="009440AD">
        <w:rPr>
          <w:lang w:val="en-US"/>
        </w:rPr>
        <w:t>n or tissue</w:t>
      </w:r>
      <w:r w:rsidR="003E065B" w:rsidRPr="009440AD">
        <w:rPr>
          <w:lang w:val="en-US"/>
        </w:rPr>
        <w:t>. Dynamic movement of the drug between compartments is mediated by regional blood flows and described by ordinary differential equations</w:t>
      </w:r>
      <w:r w:rsidR="00A1328B" w:rsidRPr="009440AD">
        <w:rPr>
          <w:lang w:val="en-US"/>
        </w:rPr>
        <w:t>.</w:t>
      </w:r>
      <w:r w:rsidR="002C0EDC" w:rsidRPr="009440AD">
        <w:rPr>
          <w:lang w:val="en-US"/>
        </w:rPr>
        <w:t xml:space="preserve"> </w:t>
      </w:r>
      <w:r w:rsidR="009457C7" w:rsidRPr="009440AD">
        <w:rPr>
          <w:lang w:val="en-US"/>
        </w:rPr>
        <w:t xml:space="preserve">The PBPK model is informed by a combination of </w:t>
      </w:r>
      <w:r w:rsidR="009457C7" w:rsidRPr="009440AD">
        <w:rPr>
          <w:i/>
          <w:lang w:val="en-US"/>
        </w:rPr>
        <w:t>in vitro</w:t>
      </w:r>
      <w:r w:rsidR="009457C7" w:rsidRPr="009440AD">
        <w:rPr>
          <w:lang w:val="en-US"/>
        </w:rPr>
        <w:t xml:space="preserve"> and </w:t>
      </w:r>
      <w:r w:rsidR="009457C7" w:rsidRPr="009440AD">
        <w:rPr>
          <w:i/>
          <w:lang w:val="en-US"/>
        </w:rPr>
        <w:t>in vivo</w:t>
      </w:r>
      <w:r w:rsidR="009457C7" w:rsidRPr="009440AD">
        <w:rPr>
          <w:lang w:val="en-US"/>
        </w:rPr>
        <w:t xml:space="preserve"> data regarding drug characteristics that are separated from physiological data describing the population of interest</w:t>
      </w:r>
      <w:r w:rsidR="009A6D4E" w:rsidRPr="009440AD">
        <w:rPr>
          <w:lang w:val="en-US"/>
        </w:rPr>
        <w:t xml:space="preserve"> </w:t>
      </w:r>
      <w:r w:rsidR="009A6D4E" w:rsidRPr="009440AD">
        <w:rPr>
          <w:lang w:val="en-US"/>
        </w:rPr>
        <w:fldChar w:fldCharType="begin"/>
      </w:r>
      <w:r w:rsidR="00036D47">
        <w:rPr>
          <w:lang w:val="en-US"/>
        </w:rPr>
        <w:instrText xml:space="preserve"> ADDIN EN.CITE &lt;EndNote&gt;&lt;Cite&gt;&lt;Author&gt;Stader&lt;/Author&gt;&lt;Year&gt;2019&lt;/Year&gt;&lt;RecNum&gt;1196&lt;/RecNum&gt;&lt;DisplayText&gt;[11]&lt;/DisplayText&gt;&lt;record&gt;&lt;rec-number&gt;1196&lt;/rec-number&gt;&lt;foreign-keys&gt;&lt;key app="EN" db-id="vawz9xpv5prvt3ed92pxtvpjzzf095ze0r5f" timestamp="1542691448"&gt;1196&lt;/key&gt;&lt;/foreign-keys&gt;&lt;ref-type name="Journal Article"&gt;17&lt;/ref-type&gt;&lt;contributors&gt;&lt;authors&gt;&lt;author&gt;Stader, Felix&lt;/author&gt;&lt;author&gt;Penny, Melissa A.&lt;/author&gt;&lt;author&gt;Siccardi, Marco&lt;/author&gt;&lt;author&gt;Marzolini, Catia&lt;/author&gt;&lt;/authors&gt;&lt;/contributors&gt;&lt;titles&gt;&lt;title&gt;A comprehensive framework for physiologically based pharmacokinetic modelling in Matlab®&lt;/title&gt;&lt;secondary-title&gt;CPT: Pharmacometrics &amp;amp; Systems Pharmacology&lt;/secondary-title&gt;&lt;/titles&gt;&lt;periodical&gt;&lt;full-title&gt;CPT: Pharmacometrics &amp;amp; Systems Pharmacology&lt;/full-title&gt;&lt;/periodical&gt;&lt;pages&gt;444-459&lt;/pages&gt;&lt;volume&gt;8&lt;/volume&gt;&lt;number&gt;7&lt;/number&gt;&lt;keywords&gt;&lt;keyword&gt;PBPK model&lt;/keyword&gt;&lt;keyword&gt;used&lt;/keyword&gt;&lt;/keywords&gt;&lt;dates&gt;&lt;year&gt;2019&lt;/year&gt;&lt;/dates&gt;&lt;urls&gt;&lt;/urls&gt;&lt;/record&gt;&lt;/Cite&gt;&lt;/EndNote&gt;</w:instrText>
      </w:r>
      <w:r w:rsidR="009A6D4E" w:rsidRPr="009440AD">
        <w:rPr>
          <w:lang w:val="en-US"/>
        </w:rPr>
        <w:fldChar w:fldCharType="separate"/>
      </w:r>
      <w:r w:rsidR="008E484D" w:rsidRPr="009440AD">
        <w:rPr>
          <w:noProof/>
          <w:lang w:val="en-US"/>
        </w:rPr>
        <w:t>[11]</w:t>
      </w:r>
      <w:r w:rsidR="009A6D4E" w:rsidRPr="009440AD">
        <w:rPr>
          <w:lang w:val="en-US"/>
        </w:rPr>
        <w:fldChar w:fldCharType="end"/>
      </w:r>
      <w:r w:rsidR="009457C7" w:rsidRPr="009440AD">
        <w:rPr>
          <w:lang w:val="en-US"/>
        </w:rPr>
        <w:t>.</w:t>
      </w:r>
    </w:p>
    <w:p w14:paraId="69BCE750" w14:textId="77777777" w:rsidR="00604A32" w:rsidRPr="005902A1" w:rsidRDefault="00604A32" w:rsidP="0043533C">
      <w:pPr>
        <w:rPr>
          <w:lang w:val="en-US"/>
        </w:rPr>
      </w:pPr>
    </w:p>
    <w:p w14:paraId="203CF961" w14:textId="49A4C367" w:rsidR="00003E05" w:rsidRPr="009440AD" w:rsidRDefault="008C289C" w:rsidP="0043533C">
      <w:pPr>
        <w:rPr>
          <w:lang w:val="en-US"/>
        </w:rPr>
      </w:pPr>
      <w:r w:rsidRPr="0065491D">
        <w:rPr>
          <w:lang w:val="en-US"/>
        </w:rPr>
        <w:t xml:space="preserve">The first aim of the present study was </w:t>
      </w:r>
      <w:r w:rsidR="00930550" w:rsidRPr="0065491D">
        <w:rPr>
          <w:lang w:val="en-US"/>
        </w:rPr>
        <w:t>to evaluate</w:t>
      </w:r>
      <w:r w:rsidRPr="0065491D">
        <w:rPr>
          <w:lang w:val="en-US"/>
        </w:rPr>
        <w:t xml:space="preserve"> </w:t>
      </w:r>
      <w:r w:rsidRPr="009440AD">
        <w:rPr>
          <w:lang w:val="en-US"/>
        </w:rPr>
        <w:t xml:space="preserve">the prediction of drug disposition in the elderly of </w:t>
      </w:r>
      <w:r w:rsidR="005C457D" w:rsidRPr="009440AD">
        <w:rPr>
          <w:lang w:val="en-US"/>
        </w:rPr>
        <w:t xml:space="preserve">our </w:t>
      </w:r>
      <w:r w:rsidR="00531541" w:rsidRPr="009440AD">
        <w:rPr>
          <w:lang w:val="en-US"/>
        </w:rPr>
        <w:t>previously developed</w:t>
      </w:r>
      <w:r w:rsidR="00904C94" w:rsidRPr="009440AD">
        <w:rPr>
          <w:lang w:val="en-US"/>
        </w:rPr>
        <w:t xml:space="preserve"> and </w:t>
      </w:r>
      <w:r w:rsidR="0091500D" w:rsidRPr="009440AD">
        <w:rPr>
          <w:lang w:val="en-US"/>
        </w:rPr>
        <w:t>parameterized</w:t>
      </w:r>
      <w:r w:rsidR="00531541" w:rsidRPr="009440AD">
        <w:rPr>
          <w:lang w:val="en-US"/>
        </w:rPr>
        <w:t xml:space="preserve"> </w:t>
      </w:r>
      <w:r w:rsidR="005C457D" w:rsidRPr="009440AD">
        <w:rPr>
          <w:lang w:val="en-US"/>
        </w:rPr>
        <w:t xml:space="preserve">PBPK framework </w:t>
      </w:r>
      <w:r w:rsidR="005C457D" w:rsidRPr="009440AD">
        <w:rPr>
          <w:lang w:val="en-US"/>
        </w:rPr>
        <w:fldChar w:fldCharType="begin"/>
      </w:r>
      <w:r w:rsidR="00036D47">
        <w:rPr>
          <w:lang w:val="en-US"/>
        </w:rPr>
        <w:instrText xml:space="preserve"> ADDIN EN.CITE &lt;EndNote&gt;&lt;Cite&gt;&lt;Author&gt;Stader&lt;/Author&gt;&lt;Year&gt;2019&lt;/Year&gt;&lt;RecNum&gt;1196&lt;/RecNum&gt;&lt;DisplayText&gt;[11]&lt;/DisplayText&gt;&lt;record&gt;&lt;rec-number&gt;1196&lt;/rec-number&gt;&lt;foreign-keys&gt;&lt;key app="EN" db-id="vawz9xpv5prvt3ed92pxtvpjzzf095ze0r5f" timestamp="1542691448"&gt;1196&lt;/key&gt;&lt;/foreign-keys&gt;&lt;ref-type name="Journal Article"&gt;17&lt;/ref-type&gt;&lt;contributors&gt;&lt;authors&gt;&lt;author&gt;Stader, Felix&lt;/author&gt;&lt;author&gt;Penny, Melissa A.&lt;/author&gt;&lt;author&gt;Siccardi, Marco&lt;/author&gt;&lt;author&gt;Marzolini, Catia&lt;/author&gt;&lt;/authors&gt;&lt;/contributors&gt;&lt;titles&gt;&lt;title&gt;A comprehensive framework for physiologically based pharmacokinetic modelling in Matlab®&lt;/title&gt;&lt;secondary-title&gt;CPT: Pharmacometrics &amp;amp; Systems Pharmacology&lt;/secondary-title&gt;&lt;/titles&gt;&lt;periodical&gt;&lt;full-title&gt;CPT: Pharmacometrics &amp;amp; Systems Pharmacology&lt;/full-title&gt;&lt;/periodical&gt;&lt;pages&gt;444-459&lt;/pages&gt;&lt;volume&gt;8&lt;/volume&gt;&lt;number&gt;7&lt;/number&gt;&lt;keywords&gt;&lt;keyword&gt;PBPK model&lt;/keyword&gt;&lt;keyword&gt;used&lt;/keyword&gt;&lt;/keywords&gt;&lt;dates&gt;&lt;year&gt;2019&lt;/year&gt;&lt;/dates&gt;&lt;urls&gt;&lt;/urls&gt;&lt;/record&gt;&lt;/Cite&gt;&lt;/EndNote&gt;</w:instrText>
      </w:r>
      <w:r w:rsidR="005C457D" w:rsidRPr="009440AD">
        <w:rPr>
          <w:lang w:val="en-US"/>
        </w:rPr>
        <w:fldChar w:fldCharType="separate"/>
      </w:r>
      <w:r w:rsidR="008E484D" w:rsidRPr="009440AD">
        <w:rPr>
          <w:noProof/>
          <w:lang w:val="en-US"/>
        </w:rPr>
        <w:t>[11]</w:t>
      </w:r>
      <w:r w:rsidR="005C457D" w:rsidRPr="009440AD">
        <w:rPr>
          <w:lang w:val="en-US"/>
        </w:rPr>
        <w:fldChar w:fldCharType="end"/>
      </w:r>
      <w:r w:rsidR="00CD32B1" w:rsidRPr="009440AD">
        <w:rPr>
          <w:lang w:val="en-US"/>
        </w:rPr>
        <w:t xml:space="preserve">. </w:t>
      </w:r>
      <w:r w:rsidRPr="009440AD">
        <w:rPr>
          <w:lang w:val="en-US"/>
        </w:rPr>
        <w:t xml:space="preserve">The second aim was to </w:t>
      </w:r>
      <w:r w:rsidR="00A276AA" w:rsidRPr="009440AD">
        <w:rPr>
          <w:lang w:val="en-US"/>
        </w:rPr>
        <w:t xml:space="preserve">determine </w:t>
      </w:r>
      <w:r w:rsidR="00945A4E" w:rsidRPr="005902A1">
        <w:rPr>
          <w:lang w:val="en-US"/>
        </w:rPr>
        <w:t>pharmacokinetic</w:t>
      </w:r>
      <w:r w:rsidR="00A276AA" w:rsidRPr="0050587F">
        <w:rPr>
          <w:lang w:val="en-US"/>
        </w:rPr>
        <w:t xml:space="preserve"> parameters driving clinically observed drug exposure changes in the elderly through sensitivity analysis on age</w:t>
      </w:r>
      <w:r w:rsidRPr="0065491D">
        <w:rPr>
          <w:lang w:val="en-US"/>
        </w:rPr>
        <w:t xml:space="preserve">. </w:t>
      </w:r>
      <w:r w:rsidR="00807A56" w:rsidRPr="0065491D">
        <w:rPr>
          <w:lang w:val="en-US"/>
        </w:rPr>
        <w:t>We investigated which physiological and drug-specific parameters determined the degree of age-dependent changes of pharma</w:t>
      </w:r>
      <w:r w:rsidR="00807A56" w:rsidRPr="009440AD">
        <w:rPr>
          <w:lang w:val="en-US"/>
        </w:rPr>
        <w:t>cokinetic parameters in the model</w:t>
      </w:r>
      <w:r w:rsidR="009440AD" w:rsidRPr="009440AD">
        <w:rPr>
          <w:lang w:val="en-US"/>
        </w:rPr>
        <w:t xml:space="preserve"> by sensitivity analysis</w:t>
      </w:r>
      <w:r w:rsidR="00807A56" w:rsidRPr="009440AD">
        <w:rPr>
          <w:lang w:val="en-US"/>
        </w:rPr>
        <w:t xml:space="preserve"> and with clinically observed data for 52 drugs</w:t>
      </w:r>
      <w:r w:rsidR="009440AD" w:rsidRPr="009440AD">
        <w:rPr>
          <w:lang w:val="en-US"/>
        </w:rPr>
        <w:t xml:space="preserve"> additionally collected</w:t>
      </w:r>
      <w:r w:rsidR="00807A56" w:rsidRPr="009440AD">
        <w:rPr>
          <w:lang w:val="en-US"/>
        </w:rPr>
        <w:t xml:space="preserve">. </w:t>
      </w:r>
      <w:r w:rsidRPr="009440AD">
        <w:rPr>
          <w:lang w:val="en-US"/>
        </w:rPr>
        <w:t>Lastly</w:t>
      </w:r>
      <w:r w:rsidR="001F7EF9" w:rsidRPr="009440AD">
        <w:rPr>
          <w:lang w:val="en-US"/>
        </w:rPr>
        <w:t>,</w:t>
      </w:r>
      <w:r w:rsidR="001244B3" w:rsidRPr="009440AD">
        <w:rPr>
          <w:lang w:val="en-US"/>
        </w:rPr>
        <w:t xml:space="preserve"> we </w:t>
      </w:r>
      <w:r w:rsidR="00003E05" w:rsidRPr="009440AD">
        <w:rPr>
          <w:lang w:val="en-US"/>
        </w:rPr>
        <w:t xml:space="preserve">analyzed </w:t>
      </w:r>
      <w:r w:rsidR="001244B3" w:rsidRPr="009440AD">
        <w:rPr>
          <w:lang w:val="en-US"/>
        </w:rPr>
        <w:t xml:space="preserve">the age at which </w:t>
      </w:r>
      <w:r w:rsidR="00003E05" w:rsidRPr="009440AD">
        <w:rPr>
          <w:lang w:val="en-US"/>
        </w:rPr>
        <w:t>pharmacokinetic parameters change</w:t>
      </w:r>
      <w:r w:rsidR="000C6788" w:rsidRPr="009440AD">
        <w:rPr>
          <w:lang w:val="en-US"/>
        </w:rPr>
        <w:t>d</w:t>
      </w:r>
      <w:r w:rsidR="00003E05" w:rsidRPr="009440AD">
        <w:rPr>
          <w:lang w:val="en-US"/>
        </w:rPr>
        <w:t xml:space="preserve"> more than expected </w:t>
      </w:r>
      <w:r w:rsidR="00904C94" w:rsidRPr="009440AD">
        <w:rPr>
          <w:lang w:val="en-US"/>
        </w:rPr>
        <w:t xml:space="preserve">with respect to </w:t>
      </w:r>
      <w:r w:rsidR="00003E05" w:rsidRPr="009440AD">
        <w:rPr>
          <w:lang w:val="en-US"/>
        </w:rPr>
        <w:t xml:space="preserve">interindividual variability in comparison </w:t>
      </w:r>
      <w:r w:rsidR="005C457D" w:rsidRPr="009440AD">
        <w:rPr>
          <w:lang w:val="en-US"/>
        </w:rPr>
        <w:t>to the youngest studied age group (20-24 years)</w:t>
      </w:r>
      <w:r w:rsidR="00003E05" w:rsidRPr="009440AD">
        <w:rPr>
          <w:lang w:val="en-US"/>
        </w:rPr>
        <w:t>.</w:t>
      </w:r>
    </w:p>
    <w:p w14:paraId="29EA9DC2" w14:textId="77777777" w:rsidR="00AA59A9" w:rsidRPr="009440AD" w:rsidRDefault="00AA59A9" w:rsidP="00AA59A9">
      <w:pPr>
        <w:pStyle w:val="Heading1"/>
        <w:rPr>
          <w:lang w:val="en-US"/>
        </w:rPr>
      </w:pPr>
      <w:r w:rsidRPr="009440AD">
        <w:rPr>
          <w:lang w:val="en-US"/>
        </w:rPr>
        <w:lastRenderedPageBreak/>
        <w:t>Methods</w:t>
      </w:r>
    </w:p>
    <w:p w14:paraId="28B2D4F3" w14:textId="3693777A" w:rsidR="00AA59A9" w:rsidRPr="009440AD" w:rsidRDefault="00945A4E" w:rsidP="00AA59A9">
      <w:pPr>
        <w:pStyle w:val="Heading2"/>
        <w:rPr>
          <w:lang w:val="en-US"/>
        </w:rPr>
      </w:pPr>
      <w:r w:rsidRPr="009440AD">
        <w:rPr>
          <w:lang w:val="en-US"/>
        </w:rPr>
        <w:t>Physiologically based</w:t>
      </w:r>
      <w:r w:rsidR="00AA59A9" w:rsidRPr="009440AD">
        <w:rPr>
          <w:lang w:val="en-US"/>
        </w:rPr>
        <w:t xml:space="preserve"> pharmacokinetic (PBPK) model</w:t>
      </w:r>
    </w:p>
    <w:p w14:paraId="6FA02DF7" w14:textId="6777E24E" w:rsidR="00AA59A9" w:rsidRPr="009440AD" w:rsidRDefault="00AA59A9" w:rsidP="00AA59A9">
      <w:pPr>
        <w:rPr>
          <w:lang w:val="en-US"/>
        </w:rPr>
      </w:pPr>
      <w:r w:rsidRPr="009440AD">
        <w:rPr>
          <w:lang w:val="en-US"/>
        </w:rPr>
        <w:t xml:space="preserve">A whole-body PBPK model constructed in </w:t>
      </w:r>
      <w:proofErr w:type="spellStart"/>
      <w:r w:rsidRPr="009440AD">
        <w:rPr>
          <w:lang w:val="en-US"/>
        </w:rPr>
        <w:t>Matlab</w:t>
      </w:r>
      <w:proofErr w:type="spellEnd"/>
      <w:r w:rsidRPr="009440AD">
        <w:rPr>
          <w:vertAlign w:val="superscript"/>
          <w:lang w:val="en-US"/>
        </w:rPr>
        <w:t>®</w:t>
      </w:r>
      <w:r w:rsidRPr="009440AD">
        <w:rPr>
          <w:lang w:val="en-US"/>
        </w:rPr>
        <w:t xml:space="preserve"> 2017a was used</w:t>
      </w:r>
      <w:r w:rsidR="008E484D" w:rsidRPr="009440AD">
        <w:rPr>
          <w:lang w:val="en-US"/>
        </w:rPr>
        <w:t>.</w:t>
      </w:r>
      <w:bookmarkStart w:id="5" w:name="_Hlk16585830"/>
      <w:r w:rsidR="008E484D" w:rsidRPr="009440AD">
        <w:rPr>
          <w:lang w:val="en-US"/>
        </w:rPr>
        <w:t xml:space="preserve"> </w:t>
      </w:r>
      <w:bookmarkStart w:id="6" w:name="_Hlk16153097"/>
      <w:r w:rsidR="008E484D" w:rsidRPr="009440AD">
        <w:rPr>
          <w:lang w:val="en-US"/>
        </w:rPr>
        <w:t>The model structure and code were published previously</w:t>
      </w:r>
      <w:bookmarkEnd w:id="6"/>
      <w:r w:rsidRPr="009440AD">
        <w:rPr>
          <w:lang w:val="en-US"/>
        </w:rPr>
        <w:t xml:space="preserve"> </w:t>
      </w:r>
      <w:r w:rsidRPr="009440AD">
        <w:rPr>
          <w:lang w:val="en-US"/>
        </w:rPr>
        <w:fldChar w:fldCharType="begin"/>
      </w:r>
      <w:r w:rsidR="00036D47">
        <w:rPr>
          <w:lang w:val="en-US"/>
        </w:rPr>
        <w:instrText xml:space="preserve"> ADDIN EN.CITE &lt;EndNote&gt;&lt;Cite&gt;&lt;Author&gt;Stader&lt;/Author&gt;&lt;Year&gt;2019&lt;/Year&gt;&lt;RecNum&gt;1196&lt;/RecNum&gt;&lt;DisplayText&gt;[11]&lt;/DisplayText&gt;&lt;record&gt;&lt;rec-number&gt;1196&lt;/rec-number&gt;&lt;foreign-keys&gt;&lt;key app="EN" db-id="vawz9xpv5prvt3ed92pxtvpjzzf095ze0r5f" timestamp="1542691448"&gt;1196&lt;/key&gt;&lt;/foreign-keys&gt;&lt;ref-type name="Journal Article"&gt;17&lt;/ref-type&gt;&lt;contributors&gt;&lt;authors&gt;&lt;author&gt;Stader, Felix&lt;/author&gt;&lt;author&gt;Penny, Melissa A.&lt;/author&gt;&lt;author&gt;Siccardi, Marco&lt;/author&gt;&lt;author&gt;Marzolini, Catia&lt;/author&gt;&lt;/authors&gt;&lt;/contributors&gt;&lt;titles&gt;&lt;title&gt;A comprehensive framework for physiologically based pharmacokinetic modelling in Matlab®&lt;/title&gt;&lt;secondary-title&gt;CPT: Pharmacometrics &amp;amp; Systems Pharmacology&lt;/secondary-title&gt;&lt;/titles&gt;&lt;periodical&gt;&lt;full-title&gt;CPT: Pharmacometrics &amp;amp; Systems Pharmacology&lt;/full-title&gt;&lt;/periodical&gt;&lt;pages&gt;444-459&lt;/pages&gt;&lt;volume&gt;8&lt;/volume&gt;&lt;number&gt;7&lt;/number&gt;&lt;keywords&gt;&lt;keyword&gt;PBPK model&lt;/keyword&gt;&lt;keyword&gt;used&lt;/keyword&gt;&lt;/keywords&gt;&lt;dates&gt;&lt;year&gt;2019&lt;/year&gt;&lt;/dates&gt;&lt;urls&gt;&lt;/urls&gt;&lt;/record&gt;&lt;/Cite&gt;&lt;/EndNote&gt;</w:instrText>
      </w:r>
      <w:r w:rsidRPr="009440AD">
        <w:rPr>
          <w:lang w:val="en-US"/>
        </w:rPr>
        <w:fldChar w:fldCharType="separate"/>
      </w:r>
      <w:r w:rsidR="008E484D" w:rsidRPr="009440AD">
        <w:rPr>
          <w:noProof/>
          <w:lang w:val="en-US"/>
        </w:rPr>
        <w:t>[11]</w:t>
      </w:r>
      <w:r w:rsidRPr="009440AD">
        <w:rPr>
          <w:lang w:val="en-US"/>
        </w:rPr>
        <w:fldChar w:fldCharType="end"/>
      </w:r>
      <w:bookmarkEnd w:id="5"/>
      <w:r w:rsidRPr="009440AD">
        <w:rPr>
          <w:lang w:val="en-US"/>
        </w:rPr>
        <w:t>. Virtual individuals aged 20 to 99 years were generated according to our published repository describing age-dependent changes of anatomical, physiological</w:t>
      </w:r>
      <w:r w:rsidR="002F092D" w:rsidRPr="005902A1">
        <w:rPr>
          <w:lang w:val="en-US"/>
        </w:rPr>
        <w:t>,</w:t>
      </w:r>
      <w:r w:rsidRPr="0050587F">
        <w:rPr>
          <w:lang w:val="en-US"/>
        </w:rPr>
        <w:t xml:space="preserve"> and biological system parameters. Variability was considered for all population parameters by using a normal distribution </w:t>
      </w:r>
      <w:r w:rsidRPr="009440AD">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Pr="009440AD">
        <w:rPr>
          <w:lang w:val="en-US"/>
        </w:rPr>
        <w:instrText xml:space="preserve"> ADDIN EN.CITE </w:instrText>
      </w:r>
      <w:r w:rsidRPr="006B495B">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Pr="009440AD">
        <w:rPr>
          <w:lang w:val="en-US"/>
        </w:rPr>
        <w:instrText xml:space="preserve"> ADDIN EN.CITE.DATA </w:instrText>
      </w:r>
      <w:r w:rsidRPr="006B495B">
        <w:rPr>
          <w:lang w:val="en-US"/>
        </w:rPr>
      </w:r>
      <w:r w:rsidRPr="006B495B">
        <w:rPr>
          <w:lang w:val="en-US"/>
        </w:rPr>
        <w:fldChar w:fldCharType="end"/>
      </w:r>
      <w:r w:rsidRPr="009440AD">
        <w:rPr>
          <w:lang w:val="en-US"/>
        </w:rPr>
      </w:r>
      <w:r w:rsidRPr="009440AD">
        <w:rPr>
          <w:lang w:val="en-US"/>
        </w:rPr>
        <w:fldChar w:fldCharType="separate"/>
      </w:r>
      <w:r w:rsidRPr="009440AD">
        <w:rPr>
          <w:noProof/>
          <w:lang w:val="en-US"/>
        </w:rPr>
        <w:t>[6]</w:t>
      </w:r>
      <w:r w:rsidRPr="009440AD">
        <w:rPr>
          <w:lang w:val="en-US"/>
        </w:rPr>
        <w:fldChar w:fldCharType="end"/>
      </w:r>
      <w:r w:rsidRPr="009440AD">
        <w:rPr>
          <w:lang w:val="en-US"/>
        </w:rPr>
        <w:t>.</w:t>
      </w:r>
    </w:p>
    <w:p w14:paraId="6F1045B4" w14:textId="77777777" w:rsidR="00AA59A9" w:rsidRPr="0050587F" w:rsidRDefault="00AA59A9" w:rsidP="00AA59A9">
      <w:pPr>
        <w:pStyle w:val="Heading2"/>
        <w:rPr>
          <w:lang w:val="en-US"/>
        </w:rPr>
      </w:pPr>
      <w:r w:rsidRPr="005902A1">
        <w:rPr>
          <w:lang w:val="en-US"/>
        </w:rPr>
        <w:t>Parameter</w:t>
      </w:r>
      <w:r w:rsidRPr="0050587F">
        <w:rPr>
          <w:lang w:val="en-US"/>
        </w:rPr>
        <w:t>s of simulated drugs</w:t>
      </w:r>
    </w:p>
    <w:p w14:paraId="5E4EF6A9" w14:textId="5A4B12C0" w:rsidR="00AA59A9" w:rsidRPr="0050587F" w:rsidRDefault="00AA59A9" w:rsidP="00AA59A9">
      <w:pPr>
        <w:rPr>
          <w:lang w:val="en-US"/>
        </w:rPr>
      </w:pPr>
      <w:r w:rsidRPr="006B495B">
        <w:rPr>
          <w:lang w:val="en-US"/>
        </w:rPr>
        <w:t xml:space="preserve">A structured literature search was performed to identify drugs with available </w:t>
      </w:r>
      <w:r w:rsidR="002F092D" w:rsidRPr="006B495B">
        <w:rPr>
          <w:lang w:val="en-US"/>
        </w:rPr>
        <w:t>pharmacokinetic</w:t>
      </w:r>
      <w:r w:rsidRPr="006B495B">
        <w:rPr>
          <w:lang w:val="en-US"/>
        </w:rPr>
        <w:t xml:space="preserve"> data in elderly individuals in order to clinically verify the PBPK model simulations. </w:t>
      </w:r>
      <w:r w:rsidR="0062135C" w:rsidRPr="006B495B">
        <w:rPr>
          <w:lang w:val="en-US"/>
        </w:rPr>
        <w:t>Ten</w:t>
      </w:r>
      <w:r w:rsidRPr="006B495B">
        <w:rPr>
          <w:lang w:val="en-US"/>
        </w:rPr>
        <w:t xml:space="preserve"> drugs were selected including midazolam, metoprolol, lisinopril, amlodipine, rivaroxaban, repaglinide, atorvastatin</w:t>
      </w:r>
      <w:r w:rsidR="0062135C" w:rsidRPr="006B495B">
        <w:rPr>
          <w:lang w:val="en-US"/>
        </w:rPr>
        <w:t>,</w:t>
      </w:r>
      <w:r w:rsidRPr="006B495B">
        <w:rPr>
          <w:lang w:val="en-US"/>
        </w:rPr>
        <w:t xml:space="preserve"> rosuvastatin</w:t>
      </w:r>
      <w:r w:rsidR="0062135C" w:rsidRPr="006B495B">
        <w:rPr>
          <w:lang w:val="en-US"/>
        </w:rPr>
        <w:t>, clarithromycin</w:t>
      </w:r>
      <w:r w:rsidR="00945A4E" w:rsidRPr="006B495B">
        <w:rPr>
          <w:lang w:val="en-US"/>
        </w:rPr>
        <w:t>,</w:t>
      </w:r>
      <w:r w:rsidR="0062135C" w:rsidRPr="006B495B">
        <w:rPr>
          <w:lang w:val="en-US"/>
        </w:rPr>
        <w:t xml:space="preserve"> and rifampicin</w:t>
      </w:r>
      <w:r w:rsidRPr="006B495B">
        <w:rPr>
          <w:lang w:val="en-US"/>
        </w:rPr>
        <w:t>. Input drug parameters were obtained from verified, published</w:t>
      </w:r>
      <w:r w:rsidRPr="009440AD">
        <w:rPr>
          <w:lang w:val="en-US"/>
        </w:rPr>
        <w:t xml:space="preserve"> PBPK models </w:t>
      </w:r>
      <w:r w:rsidRPr="009440AD">
        <w:rPr>
          <w:lang w:val="en-US"/>
        </w:rPr>
        <w:fldChar w:fldCharType="begin">
          <w:fldData xml:space="preserve">PEVuZE5vdGU+PENpdGU+PEF1dGhvcj5Sb3dsYW5kLVllbzwvQXV0aG9yPjxZZWFyPjIwMTM8L1ll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==
</w:fldData>
        </w:fldChar>
      </w:r>
      <w:r w:rsidR="00036D47">
        <w:rPr>
          <w:lang w:val="en-US"/>
        </w:rPr>
        <w:instrText xml:space="preserve"> ADDIN EN.CITE </w:instrText>
      </w:r>
      <w:r w:rsidR="00036D47">
        <w:rPr>
          <w:lang w:val="en-US"/>
        </w:rPr>
        <w:fldChar w:fldCharType="begin">
          <w:fldData xml:space="preserve">PEVuZE5vdGU+PENpdGU+PEF1dGhvcj5Sb3dsYW5kLVllbzwvQXV0aG9yPjxZZWFyPjIwMTM8L1ll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==
</w:fldData>
        </w:fldChar>
      </w:r>
      <w:r w:rsidR="00036D47">
        <w:rPr>
          <w:lang w:val="en-US"/>
        </w:rPr>
        <w:instrText xml:space="preserve"> ADDIN EN.CITE.DATA </w:instrText>
      </w:r>
      <w:r w:rsidR="00036D47">
        <w:rPr>
          <w:lang w:val="en-US"/>
        </w:rPr>
      </w:r>
      <w:r w:rsidR="00036D47">
        <w:rPr>
          <w:lang w:val="en-US"/>
        </w:rPr>
        <w:fldChar w:fldCharType="end"/>
      </w:r>
      <w:r w:rsidRPr="009440AD">
        <w:rPr>
          <w:lang w:val="en-US"/>
        </w:rPr>
      </w:r>
      <w:r w:rsidRPr="009440AD">
        <w:rPr>
          <w:lang w:val="en-US"/>
        </w:rPr>
        <w:fldChar w:fldCharType="separate"/>
      </w:r>
      <w:r w:rsidR="008E484D" w:rsidRPr="009440AD">
        <w:rPr>
          <w:noProof/>
          <w:lang w:val="en-US"/>
        </w:rPr>
        <w:t>[11-19]</w:t>
      </w:r>
      <w:r w:rsidRPr="009440AD">
        <w:rPr>
          <w:lang w:val="en-US"/>
        </w:rPr>
        <w:fldChar w:fldCharType="end"/>
      </w:r>
      <w:r w:rsidRPr="009440AD">
        <w:rPr>
          <w:lang w:val="en-US"/>
        </w:rPr>
        <w:t xml:space="preserve"> </w:t>
      </w:r>
      <w:r w:rsidR="00945A4E" w:rsidRPr="009440AD">
        <w:rPr>
          <w:lang w:val="en-US"/>
        </w:rPr>
        <w:t>except for</w:t>
      </w:r>
      <w:r w:rsidRPr="009440AD">
        <w:rPr>
          <w:lang w:val="en-US"/>
        </w:rPr>
        <w:t xml:space="preserve"> lisinopril. The lisinopril PBPK model was developed combining published </w:t>
      </w:r>
      <w:r w:rsidRPr="005902A1">
        <w:rPr>
          <w:i/>
          <w:lang w:val="en-US"/>
        </w:rPr>
        <w:t>in vitro</w:t>
      </w:r>
      <w:r w:rsidRPr="0050587F">
        <w:rPr>
          <w:lang w:val="en-US"/>
        </w:rPr>
        <w:t xml:space="preserve"> data (bottom-up approach) with available clinical clearance data (top-down approach). PBPK models were modified to predict the pharmacokinetics in</w:t>
      </w:r>
      <w:r w:rsidRPr="0065491D">
        <w:rPr>
          <w:lang w:val="en-US"/>
        </w:rPr>
        <w:t xml:space="preserve"> young adults adequately before scaling the PBPK models to the elderly. </w:t>
      </w:r>
      <w:r w:rsidR="00044E50" w:rsidRPr="0065491D">
        <w:rPr>
          <w:lang w:val="en-US"/>
        </w:rPr>
        <w:t>Simulations of metoprolol were carried out in extensive metabolizers of CYP2D6</w:t>
      </w:r>
      <w:r w:rsidR="00BC4B32" w:rsidRPr="009440AD">
        <w:rPr>
          <w:lang w:val="en-US"/>
        </w:rPr>
        <w:t xml:space="preserve"> only</w:t>
      </w:r>
      <w:r w:rsidR="00044E50" w:rsidRPr="009440AD">
        <w:rPr>
          <w:lang w:val="en-US"/>
        </w:rPr>
        <w:t xml:space="preserve">. </w:t>
      </w:r>
      <w:r w:rsidRPr="009440AD">
        <w:rPr>
          <w:lang w:val="en-US"/>
        </w:rPr>
        <w:t xml:space="preserve">Tissue distribution of the amlodipine model has been modified to be used in a whole-body PBPK model based on the observed volume of distribution </w:t>
      </w:r>
      <w:r w:rsidRPr="009440AD">
        <w:rPr>
          <w:lang w:val="en-US"/>
        </w:rPr>
        <w:fldChar w:fldCharType="begin"/>
      </w:r>
      <w:r w:rsidR="008E484D" w:rsidRPr="009440AD">
        <w:rPr>
          <w:lang w:val="en-US"/>
        </w:rPr>
        <w:instrText xml:space="preserve"> ADDIN EN.CITE &lt;EndNote&gt;&lt;Cite&gt;&lt;Author&gt;Faulkner&lt;/Author&gt;&lt;Year&gt;1986&lt;/Year&gt;&lt;RecNum&gt;1116&lt;/RecNum&gt;&lt;DisplayText&gt;[20]&lt;/DisplayText&gt;&lt;record&gt;&lt;rec-number&gt;1116&lt;/rec-number&gt;&lt;foreign-keys&gt;&lt;key app="EN" db-id="vawz9xpv5prvt3ed92pxtvpjzzf095ze0r5f" timestamp="1530767493"&gt;1116&lt;/key&gt;&lt;/foreign-keys&gt;&lt;ref-type name="Journal Article"&gt;17&lt;/ref-type&gt;&lt;contributors&gt;&lt;authors&gt;&lt;author&gt;Faulkner, JK&lt;/author&gt;&lt;author&gt;McGibney, D&lt;/author&gt;&lt;author&gt;Chasseaud, LF&lt;/author&gt;&lt;author&gt;Perry, JL&lt;/author&gt;&lt;author&gt;Taylor, IW&lt;/author&gt;&lt;/authors&gt;&lt;/contributors&gt;&lt;titles&gt;&lt;title&gt;The pharmacokinetics of amlodipine in healthy volunteers after single intravenous and oral doses and after 14 repeated oral doses given once daily&lt;/title&gt;&lt;secondary-title&gt;British Journal of Clinical Pharmacology&lt;/secondary-title&gt;&lt;/titles&gt;&lt;periodical&gt;&lt;full-title&gt;British journal of clinical pharmacology&lt;/full-title&gt;&lt;/periodical&gt;&lt;pages&gt;21-25&lt;/pages&gt;&lt;volume&gt;22&lt;/volume&gt;&lt;number&gt;1&lt;/number&gt;&lt;keywords&gt;&lt;keyword&gt;drug&lt;/keyword&gt;&lt;keyword&gt;amlodipine&lt;/keyword&gt;&lt;keyword&gt;intravenous&lt;/keyword&gt;&lt;/keywords&gt;&lt;dates&gt;&lt;year&gt;1986&lt;/year&gt;&lt;/dates&gt;&lt;isbn&gt;0306-5251&lt;/isbn&gt;&lt;urls&gt;&lt;/urls&gt;&lt;/record&gt;&lt;/Cite&gt;&lt;/EndNote&gt;</w:instrText>
      </w:r>
      <w:r w:rsidRPr="009440AD">
        <w:rPr>
          <w:lang w:val="en-US"/>
        </w:rPr>
        <w:fldChar w:fldCharType="separate"/>
      </w:r>
      <w:r w:rsidR="008E484D" w:rsidRPr="009440AD">
        <w:rPr>
          <w:noProof/>
          <w:lang w:val="en-US"/>
        </w:rPr>
        <w:t>[20]</w:t>
      </w:r>
      <w:r w:rsidRPr="009440AD">
        <w:rPr>
          <w:lang w:val="en-US"/>
        </w:rPr>
        <w:fldChar w:fldCharType="end"/>
      </w:r>
      <w:r w:rsidRPr="009440AD">
        <w:rPr>
          <w:lang w:val="en-US"/>
        </w:rPr>
        <w:t xml:space="preserve">. Metabolic CYP3A4 clearance of amlodipine was calculated from the fraction of CYP3A4 mediated clearance </w:t>
      </w:r>
      <w:r w:rsidRPr="009440AD">
        <w:rPr>
          <w:lang w:val="en-US"/>
        </w:rPr>
        <w:fldChar w:fldCharType="begin"/>
      </w:r>
      <w:r w:rsidR="008E484D" w:rsidRPr="009440AD">
        <w:rPr>
          <w:lang w:val="en-US"/>
        </w:rPr>
        <w:instrText xml:space="preserve"> ADDIN EN.CITE &lt;EndNote&gt;&lt;Cite&gt;&lt;Author&gt;Stader&lt;/Author&gt;&lt;Year&gt;2018&lt;/Year&gt;&lt;RecNum&gt;1218&lt;/RecNum&gt;&lt;DisplayText&gt;[21]&lt;/DisplayText&gt;&lt;record&gt;&lt;rec-number&gt;1218&lt;/rec-number&gt;&lt;foreign-keys&gt;&lt;key app="EN" db-id="vawz9xpv5prvt3ed92pxtvpjzzf095ze0r5f" timestamp="1544697569"&gt;1218&lt;/key&gt;&lt;/foreign-keys&gt;&lt;ref-type name="Journal Article"&gt;17&lt;/ref-type&gt;&lt;contributors&gt;&lt;authors&gt;&lt;author&gt;Stader, Felix&lt;/author&gt;&lt;author&gt;Kinvig, Hannah&lt;/author&gt;&lt;author&gt;Battegay, Manuel&lt;/author&gt;&lt;author&gt;Khoo, Saye&lt;/author&gt;&lt;author&gt;Owen, Andrew&lt;/author&gt;&lt;author&gt;Siccardi, Marco&lt;/author&gt;&lt;author&gt;Marzolini, Catia&lt;/author&gt;&lt;/authors&gt;&lt;/contributors&gt;&lt;titles&gt;&lt;title&gt;Analysis of clinical drug-drug interaction data to predict uncharacterized interaction magnitudes between antiretroviral drugs and co-medications&lt;/title&gt;&lt;secondary-title&gt;Antimicrobial Agents and Chemotherapy&lt;/secondary-title&gt;&lt;/titles&gt;&lt;periodical&gt;&lt;full-title&gt;Antimicrobial agents and chemotherapy&lt;/full-title&gt;&lt;/periodical&gt;&lt;pages&gt;1-12&lt;/pages&gt;&lt;volume&gt;62&lt;/volume&gt;&lt;number&gt;7&lt;/number&gt;&lt;keywords&gt;&lt;keyword&gt;DDI prediction&lt;/keyword&gt;&lt;/keywords&gt;&lt;dates&gt;&lt;year&gt;2018&lt;/year&gt;&lt;/dates&gt;&lt;isbn&gt;0066-4804&lt;/isbn&gt;&lt;urls&gt;&lt;/urls&gt;&lt;/record&gt;&lt;/Cite&gt;&lt;/EndNote&gt;</w:instrText>
      </w:r>
      <w:r w:rsidRPr="009440AD">
        <w:rPr>
          <w:lang w:val="en-US"/>
        </w:rPr>
        <w:fldChar w:fldCharType="separate"/>
      </w:r>
      <w:r w:rsidR="008E484D" w:rsidRPr="009440AD">
        <w:rPr>
          <w:noProof/>
          <w:lang w:val="en-US"/>
        </w:rPr>
        <w:t>[21]</w:t>
      </w:r>
      <w:r w:rsidRPr="009440AD">
        <w:rPr>
          <w:lang w:val="en-US"/>
        </w:rPr>
        <w:fldChar w:fldCharType="end"/>
      </w:r>
      <w:r w:rsidRPr="009440AD">
        <w:rPr>
          <w:lang w:val="en-US"/>
        </w:rPr>
        <w:t xml:space="preserve"> and clinically obtained iv clearance </w:t>
      </w:r>
      <w:r w:rsidRPr="009440AD">
        <w:rPr>
          <w:lang w:val="en-US"/>
        </w:rPr>
        <w:fldChar w:fldCharType="begin"/>
      </w:r>
      <w:r w:rsidR="008E484D" w:rsidRPr="009440AD">
        <w:rPr>
          <w:lang w:val="en-US"/>
        </w:rPr>
        <w:instrText xml:space="preserve"> ADDIN EN.CITE &lt;EndNote&gt;&lt;Cite&gt;&lt;Author&gt;Faulkner&lt;/Author&gt;&lt;Year&gt;1986&lt;/Year&gt;&lt;RecNum&gt;1116&lt;/RecNum&gt;&lt;DisplayText&gt;[20]&lt;/DisplayText&gt;&lt;record&gt;&lt;rec-number&gt;1116&lt;/rec-number&gt;&lt;foreign-keys&gt;&lt;key app="EN" db-id="vawz9xpv5prvt3ed92pxtvpjzzf095ze0r5f" timestamp="1530767493"&gt;1116&lt;/key&gt;&lt;/foreign-keys&gt;&lt;ref-type name="Journal Article"&gt;17&lt;/ref-type&gt;&lt;contributors&gt;&lt;authors&gt;&lt;author&gt;Faulkner, JK&lt;/author&gt;&lt;author&gt;McGibney, D&lt;/author&gt;&lt;author&gt;Chasseaud, LF&lt;/author&gt;&lt;author&gt;Perry, JL&lt;/author&gt;&lt;author&gt;Taylor, IW&lt;/author&gt;&lt;/authors&gt;&lt;/contributors&gt;&lt;titles&gt;&lt;title&gt;The pharmacokinetics of amlodipine in healthy volunteers after single intravenous and oral doses and after 14 repeated oral doses given once daily&lt;/title&gt;&lt;secondary-title&gt;British Journal of Clinical Pharmacology&lt;/secondary-title&gt;&lt;/titles&gt;&lt;periodical&gt;&lt;full-title&gt;British journal of clinical pharmacology&lt;/full-title&gt;&lt;/periodical&gt;&lt;pages&gt;21-25&lt;/pages&gt;&lt;volume&gt;22&lt;/volume&gt;&lt;number&gt;1&lt;/number&gt;&lt;keywords&gt;&lt;keyword&gt;drug&lt;/keyword&gt;&lt;keyword&gt;amlodipine&lt;/keyword&gt;&lt;keyword&gt;intravenous&lt;/keyword&gt;&lt;/keywords&gt;&lt;dates&gt;&lt;year&gt;1986&lt;/year&gt;&lt;/dates&gt;&lt;isbn&gt;0306-5251&lt;/isbn&gt;&lt;urls&gt;&lt;/urls&gt;&lt;/record&gt;&lt;/Cite&gt;&lt;/EndNote&gt;</w:instrText>
      </w:r>
      <w:r w:rsidRPr="009440AD">
        <w:rPr>
          <w:lang w:val="en-US"/>
        </w:rPr>
        <w:fldChar w:fldCharType="separate"/>
      </w:r>
      <w:r w:rsidR="008E484D" w:rsidRPr="009440AD">
        <w:rPr>
          <w:noProof/>
          <w:lang w:val="en-US"/>
        </w:rPr>
        <w:t>[20]</w:t>
      </w:r>
      <w:r w:rsidRPr="009440AD">
        <w:rPr>
          <w:lang w:val="en-US"/>
        </w:rPr>
        <w:fldChar w:fldCharType="end"/>
      </w:r>
      <w:r w:rsidRPr="009440AD">
        <w:rPr>
          <w:lang w:val="en-US"/>
        </w:rPr>
        <w:t xml:space="preserve">. The </w:t>
      </w:r>
      <w:r w:rsidRPr="009440AD">
        <w:rPr>
          <w:i/>
          <w:lang w:val="en-US"/>
        </w:rPr>
        <w:t>in vitro</w:t>
      </w:r>
      <w:r w:rsidRPr="009440AD">
        <w:rPr>
          <w:lang w:val="en-US"/>
        </w:rPr>
        <w:t xml:space="preserve"> ratio between CYP3A4- and CYP3A5-mediated clearance </w:t>
      </w:r>
      <w:r w:rsidR="00930550" w:rsidRPr="009440AD">
        <w:rPr>
          <w:lang w:val="en-US"/>
        </w:rPr>
        <w:t xml:space="preserve">for amlodipine </w:t>
      </w:r>
      <w:r w:rsidRPr="005902A1">
        <w:rPr>
          <w:lang w:val="en-US"/>
        </w:rPr>
        <w:t xml:space="preserve">was implemented </w:t>
      </w:r>
      <w:r w:rsidRPr="009440AD">
        <w:rPr>
          <w:lang w:val="en-US"/>
        </w:rPr>
        <w:fldChar w:fldCharType="begin"/>
      </w:r>
      <w:r w:rsidR="008E484D" w:rsidRPr="009440AD">
        <w:rPr>
          <w:lang w:val="en-US"/>
        </w:rPr>
        <w:instrText xml:space="preserve"> ADDIN EN.CITE &lt;EndNote&gt;&lt;Cite&gt;&lt;Author&gt;Zhu&lt;/Author&gt;&lt;Year&gt;2014&lt;/Year&gt;&lt;RecNum&gt;1219&lt;/RecNum&gt;&lt;DisplayText&gt;[22]&lt;/DisplayText&gt;&lt;record&gt;&lt;rec-number&gt;1219&lt;/rec-number&gt;&lt;foreign-keys&gt;&lt;key app="EN" db-id="vawz9xpv5prvt3ed92pxtvpjzzf095ze0r5f" timestamp="1544697848"&gt;1219&lt;/key&gt;&lt;/foreign-keys&gt;&lt;ref-type name="Journal Article"&gt;17&lt;/ref-type&gt;&lt;contributors&gt;&lt;authors&gt;&lt;author&gt;Zhu, Yanlin&lt;/author&gt;&lt;author&gt;Wang, Fen&lt;/author&gt;&lt;author&gt;Li, Quan&lt;/author&gt;&lt;author&gt;Zhu, Mingshe&lt;/author&gt;&lt;author&gt;Du, Alicia&lt;/author&gt;&lt;author&gt;Tang, Wei&lt;/author&gt;&lt;author&gt;Chen, Weiqing&lt;/author&gt;&lt;/authors&gt;&lt;/contributors&gt;&lt;titles&gt;&lt;title&gt;Amlodipine metabolism in human liver microsomes and roles of CYP3A4/5 in the dihydropyridine dehydrogenation&lt;/title&gt;&lt;secondary-title&gt;Drug Metabolism and Disposition&lt;/secondary-title&gt;&lt;/titles&gt;&lt;periodical&gt;&lt;full-title&gt;Drug Metabolism and Disposition&lt;/full-title&gt;&lt;/periodical&gt;&lt;pages&gt;245-249&lt;/pages&gt;&lt;volume&gt;42&lt;/volume&gt;&lt;number&gt;2&lt;/number&gt;&lt;keywords&gt;&lt;keyword&gt;Drug&lt;/keyword&gt;&lt;keyword&gt;amlodipine&lt;/keyword&gt;&lt;keyword&gt;CYP3A4:CYP3A5&lt;/keyword&gt;&lt;/keywords&gt;&lt;dates&gt;&lt;year&gt;2014&lt;/year&gt;&lt;/dates&gt;&lt;isbn&gt;0090-9556&lt;/isbn&gt;&lt;urls&gt;&lt;/urls&gt;&lt;/record&gt;&lt;/Cite&gt;&lt;/EndNote&gt;</w:instrText>
      </w:r>
      <w:r w:rsidRPr="009440AD">
        <w:rPr>
          <w:lang w:val="en-US"/>
        </w:rPr>
        <w:fldChar w:fldCharType="separate"/>
      </w:r>
      <w:r w:rsidR="008E484D" w:rsidRPr="009440AD">
        <w:rPr>
          <w:noProof/>
          <w:lang w:val="en-US"/>
        </w:rPr>
        <w:t>[22]</w:t>
      </w:r>
      <w:r w:rsidRPr="009440AD">
        <w:rPr>
          <w:lang w:val="en-US"/>
        </w:rPr>
        <w:fldChar w:fldCharType="end"/>
      </w:r>
      <w:r w:rsidRPr="009440AD">
        <w:rPr>
          <w:lang w:val="en-US"/>
        </w:rPr>
        <w:t xml:space="preserve">. The rest of the missing, observed amlodipine clearance was assigned to the unspecified hepatic intrinsic clearance. Active hepatic drug transport was included in the repaglinide PBPK model based on published </w:t>
      </w:r>
      <w:r w:rsidRPr="009440AD">
        <w:rPr>
          <w:i/>
          <w:lang w:val="en-US"/>
        </w:rPr>
        <w:t>in vitro</w:t>
      </w:r>
      <w:r w:rsidRPr="009440AD">
        <w:rPr>
          <w:lang w:val="en-US"/>
        </w:rPr>
        <w:t xml:space="preserve"> data </w:t>
      </w:r>
      <w:r w:rsidRPr="009440AD">
        <w:rPr>
          <w:lang w:val="en-US"/>
        </w:rPr>
        <w:fldChar w:fldCharType="begin"/>
      </w:r>
      <w:r w:rsidR="008E484D" w:rsidRPr="009440AD">
        <w:rPr>
          <w:lang w:val="en-US"/>
        </w:rPr>
        <w:instrText xml:space="preserve"> ADDIN EN.CITE &lt;EndNote&gt;&lt;Cite&gt;&lt;Author&gt;Varma&lt;/Author&gt;&lt;Year&gt;2013&lt;/Year&gt;&lt;RecNum&gt;1217&lt;/RecNum&gt;&lt;DisplayText&gt;[19]&lt;/DisplayText&gt;&lt;record&gt;&lt;rec-number&gt;1217&lt;/rec-number&gt;&lt;foreign-keys&gt;&lt;key app="EN" db-id="vawz9xpv5prvt3ed92pxtvpjzzf095ze0r5f" timestamp="1544691310"&gt;1217&lt;/key&gt;&lt;/foreign-keys&gt;&lt;ref-type name="Journal Article"&gt;17&lt;/ref-type&gt;&lt;contributors&gt;&lt;authors&gt;&lt;author&gt;Varma, Manthena VS&lt;/author&gt;&lt;author&gt;Lai, Yurong&lt;/author&gt;&lt;author&gt;Kimoto, Emi&lt;/author&gt;&lt;author&gt;Goosen, Theunis C&lt;/author&gt;&lt;author&gt;El-Kattan, Ayman F&lt;/author&gt;&lt;author&gt;Kumar, Vikas&lt;/author&gt;&lt;/authors&gt;&lt;/contributors&gt;&lt;titles&gt;&lt;title&gt;Mechanistic modeling to predict the transporter-and enzyme-mediated drug-drug interactions of repaglinide&lt;/title&gt;&lt;secondary-title&gt;Pharmaceutical Research&lt;/secondary-title&gt;&lt;/titles&gt;&lt;periodical&gt;&lt;full-title&gt;Pharmaceutical research&lt;/full-title&gt;&lt;/periodical&gt;&lt;pages&gt;1188-1199&lt;/pages&gt;&lt;volume&gt;30&lt;/volume&gt;&lt;number&gt;4&lt;/number&gt;&lt;keywords&gt;&lt;keyword&gt;Drug&lt;/keyword&gt;&lt;keyword&gt;repaglinide&lt;/keyword&gt;&lt;keyword&gt;transport&lt;/keyword&gt;&lt;/keywords&gt;&lt;dates&gt;&lt;year&gt;2013&lt;/year&gt;&lt;/dates&gt;&lt;isbn&gt;0724-8741&lt;/isbn&gt;&lt;urls&gt;&lt;/urls&gt;&lt;/record&gt;&lt;/Cite&gt;&lt;/EndNote&gt;</w:instrText>
      </w:r>
      <w:r w:rsidRPr="009440AD">
        <w:rPr>
          <w:lang w:val="en-US"/>
        </w:rPr>
        <w:fldChar w:fldCharType="separate"/>
      </w:r>
      <w:r w:rsidR="008E484D" w:rsidRPr="009440AD">
        <w:rPr>
          <w:noProof/>
          <w:lang w:val="en-US"/>
        </w:rPr>
        <w:t>[19]</w:t>
      </w:r>
      <w:r w:rsidRPr="009440AD">
        <w:rPr>
          <w:lang w:val="en-US"/>
        </w:rPr>
        <w:fldChar w:fldCharType="end"/>
      </w:r>
      <w:r w:rsidRPr="009440AD">
        <w:rPr>
          <w:lang w:val="en-US"/>
        </w:rPr>
        <w:t xml:space="preserve">. </w:t>
      </w:r>
      <w:r w:rsidR="00A5306E" w:rsidRPr="009440AD">
        <w:rPr>
          <w:lang w:val="en-US"/>
        </w:rPr>
        <w:t xml:space="preserve">The rifampicin clearance after iv administration was </w:t>
      </w:r>
      <w:r w:rsidR="00945A4E" w:rsidRPr="005902A1">
        <w:rPr>
          <w:lang w:val="en-US"/>
        </w:rPr>
        <w:t>retrogradely</w:t>
      </w:r>
      <w:r w:rsidR="00A5306E" w:rsidRPr="0050587F">
        <w:rPr>
          <w:lang w:val="en-US"/>
        </w:rPr>
        <w:t xml:space="preserve"> calculated to an unspecified intrinsic </w:t>
      </w:r>
      <w:r w:rsidR="00945A4E" w:rsidRPr="0050587F">
        <w:rPr>
          <w:lang w:val="en-US"/>
        </w:rPr>
        <w:t xml:space="preserve">hepatic </w:t>
      </w:r>
      <w:r w:rsidR="00A5306E" w:rsidRPr="0050587F">
        <w:rPr>
          <w:lang w:val="en-US"/>
        </w:rPr>
        <w:t xml:space="preserve">clearance under the consideration of the renal clearance of rifampicin </w:t>
      </w:r>
      <w:r w:rsidR="00A5306E" w:rsidRPr="009440AD">
        <w:rPr>
          <w:lang w:val="en-US"/>
        </w:rPr>
        <w:fldChar w:fldCharType="begin">
          <w:fldData xml:space="preserve">PEVuZE5vdGU+PENpdGU+PEF1dGhvcj5WYXJtYTwvQXV0aG9yPjxZZWFyPjIwMTI8L1llYXI+PFJl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</w:fldData>
        </w:fldChar>
      </w:r>
      <w:r w:rsidR="008E484D" w:rsidRPr="009440AD">
        <w:rPr>
          <w:lang w:val="en-US"/>
        </w:rPr>
        <w:instrText xml:space="preserve"> ADDIN EN.CITE </w:instrText>
      </w:r>
      <w:r w:rsidR="008E484D" w:rsidRPr="006B495B">
        <w:rPr>
          <w:lang w:val="en-US"/>
        </w:rPr>
        <w:fldChar w:fldCharType="begin">
          <w:fldData xml:space="preserve">PEVuZE5vdGU+PENpdGU+PEF1dGhvcj5WYXJtYTwvQXV0aG9yPjxZZWFyPjIwMTI8L1llYXI+PFJl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</w:fldData>
        </w:fldChar>
      </w:r>
      <w:r w:rsidR="008E484D" w:rsidRPr="009440AD">
        <w:rPr>
          <w:lang w:val="en-US"/>
        </w:rPr>
        <w:instrText xml:space="preserve"> ADDIN EN.CITE.DATA </w:instrText>
      </w:r>
      <w:r w:rsidR="008E484D" w:rsidRPr="006B495B">
        <w:rPr>
          <w:lang w:val="en-US"/>
        </w:rPr>
      </w:r>
      <w:r w:rsidR="008E484D" w:rsidRPr="006B495B">
        <w:rPr>
          <w:lang w:val="en-US"/>
        </w:rPr>
        <w:fldChar w:fldCharType="end"/>
      </w:r>
      <w:r w:rsidR="00A5306E" w:rsidRPr="009440AD">
        <w:rPr>
          <w:lang w:val="en-US"/>
        </w:rPr>
      </w:r>
      <w:r w:rsidR="00A5306E" w:rsidRPr="009440AD">
        <w:rPr>
          <w:lang w:val="en-US"/>
        </w:rPr>
        <w:fldChar w:fldCharType="separate"/>
      </w:r>
      <w:r w:rsidR="008E484D" w:rsidRPr="009440AD">
        <w:rPr>
          <w:noProof/>
          <w:lang w:val="en-US"/>
        </w:rPr>
        <w:t>[23, 24]</w:t>
      </w:r>
      <w:r w:rsidR="00A5306E" w:rsidRPr="009440AD">
        <w:rPr>
          <w:lang w:val="en-US"/>
        </w:rPr>
        <w:fldChar w:fldCharType="end"/>
      </w:r>
      <w:r w:rsidR="00A5306E" w:rsidRPr="009440AD">
        <w:rPr>
          <w:lang w:val="en-US"/>
        </w:rPr>
        <w:t xml:space="preserve">. </w:t>
      </w:r>
      <w:r w:rsidRPr="009440AD">
        <w:rPr>
          <w:lang w:val="en-US"/>
        </w:rPr>
        <w:t xml:space="preserve">The parameters of the </w:t>
      </w:r>
      <w:r w:rsidR="00A5306E" w:rsidRPr="009440AD">
        <w:rPr>
          <w:lang w:val="en-US"/>
        </w:rPr>
        <w:t xml:space="preserve">ten </w:t>
      </w:r>
      <w:r w:rsidRPr="005902A1">
        <w:rPr>
          <w:lang w:val="en-US"/>
        </w:rPr>
        <w:t>simulated drugs can be found in Tab</w:t>
      </w:r>
      <w:r w:rsidR="005A5ECC" w:rsidRPr="0050587F">
        <w:rPr>
          <w:lang w:val="en-US"/>
        </w:rPr>
        <w:t>.</w:t>
      </w:r>
      <w:r w:rsidRPr="0050587F">
        <w:rPr>
          <w:lang w:val="en-US"/>
        </w:rPr>
        <w:t xml:space="preserve"> S</w:t>
      </w:r>
      <w:r w:rsidR="009440AD" w:rsidRPr="0050587F">
        <w:rPr>
          <w:lang w:val="en-US"/>
        </w:rPr>
        <w:t>-</w:t>
      </w:r>
      <w:r w:rsidR="00945A4E" w:rsidRPr="0050587F">
        <w:rPr>
          <w:lang w:val="en-US"/>
        </w:rPr>
        <w:t>1</w:t>
      </w:r>
      <w:r w:rsidRPr="0050587F">
        <w:rPr>
          <w:lang w:val="en-US"/>
        </w:rPr>
        <w:t>.</w:t>
      </w:r>
    </w:p>
    <w:p w14:paraId="16599D5E" w14:textId="77777777" w:rsidR="00AA59A9" w:rsidRPr="0065491D" w:rsidRDefault="00AA59A9" w:rsidP="00AA59A9">
      <w:pPr>
        <w:pStyle w:val="Heading2"/>
        <w:rPr>
          <w:lang w:val="en-US"/>
        </w:rPr>
      </w:pPr>
      <w:r w:rsidRPr="0065491D">
        <w:rPr>
          <w:lang w:val="en-US"/>
        </w:rPr>
        <w:lastRenderedPageBreak/>
        <w:t>Workflow for simulations</w:t>
      </w:r>
    </w:p>
    <w:p w14:paraId="20973D56" w14:textId="18FE1740" w:rsidR="004227D5" w:rsidRPr="009440AD" w:rsidRDefault="00AA59A9" w:rsidP="004227D5">
      <w:pPr>
        <w:rPr>
          <w:lang w:val="en-US"/>
        </w:rPr>
      </w:pPr>
      <w:r w:rsidRPr="009440AD">
        <w:rPr>
          <w:lang w:val="en-US"/>
        </w:rPr>
        <w:t>The strategy for building and verifying the PBPK models and extrapolating subsequently the pharmacokinetics to elderly adults is described in Fig</w:t>
      </w:r>
      <w:r w:rsidR="005A5ECC" w:rsidRPr="009440AD">
        <w:rPr>
          <w:lang w:val="en-US"/>
        </w:rPr>
        <w:t>.</w:t>
      </w:r>
      <w:r w:rsidRPr="009440AD">
        <w:rPr>
          <w:lang w:val="en-US"/>
        </w:rPr>
        <w:t xml:space="preserve"> </w:t>
      </w:r>
      <w:r w:rsidR="00945A4E" w:rsidRPr="009440AD">
        <w:rPr>
          <w:lang w:val="en-US"/>
        </w:rPr>
        <w:t>1</w:t>
      </w:r>
      <w:r w:rsidRPr="009440AD">
        <w:rPr>
          <w:lang w:val="en-US"/>
        </w:rPr>
        <w:t xml:space="preserve">. All PBPK models were verified in young adults (20-50 years) following the best practice approach </w:t>
      </w:r>
      <w:r w:rsidRPr="009440AD">
        <w:rPr>
          <w:lang w:val="en-US"/>
        </w:rPr>
        <w:fldChar w:fldCharType="begin"/>
      </w:r>
      <w:r w:rsidR="008E484D" w:rsidRPr="009440AD">
        <w:rPr>
          <w:lang w:val="en-US"/>
        </w:rPr>
        <w:instrText xml:space="preserve"> ADDIN EN.CITE &lt;EndNote&gt;&lt;Cite&gt;&lt;Author&gt;Ke&lt;/Author&gt;&lt;Year&gt;2016&lt;/Year&gt;&lt;RecNum&gt;3&lt;/RecNum&gt;&lt;DisplayText&gt;[25]&lt;/DisplayText&gt;&lt;record&gt;&lt;rec-number&gt;3&lt;/rec-number&gt;&lt;foreign-keys&gt;&lt;key app="EN" db-id="vawz9xpv5prvt3ed92pxtvpjzzf095ze0r5f" timestamp="1473531918"&gt;3&lt;/key&gt;&lt;/foreign-keys&gt;&lt;ref-type name="Journal Article"&gt;17&lt;/ref-type&gt;&lt;contributors&gt;&lt;authors&gt;&lt;author&gt;Ke, A&lt;/author&gt;&lt;author&gt;Barter, Z&lt;/author&gt;&lt;author&gt;Rowland</w:instrText>
      </w:r>
      <w:r w:rsidR="008E484D" w:rsidRPr="009440AD">
        <w:rPr>
          <w:rFonts w:ascii="Cambria Math" w:hAnsi="Cambria Math" w:cs="Cambria Math"/>
          <w:lang w:val="en-US"/>
        </w:rPr>
        <w:instrText>‐</w:instrText>
      </w:r>
      <w:r w:rsidR="008E484D" w:rsidRPr="009440AD">
        <w:rPr>
          <w:lang w:val="en-US"/>
        </w:rPr>
        <w:instrText>Yeo, K&lt;/author&gt;&lt;author&gt;Almond, L&lt;/author&gt;&lt;/authors&gt;&lt;/contributors&gt;&lt;titles&gt;&lt;title&gt;Towards a best practice approach in PBPK modeling: case example of developing a unified efavirenz model accounting for induction of CYPs 3A4 and 2B6&lt;/title&gt;&lt;secondary-title&gt;CPT: Pharmacometrics &amp;amp; Systems Pharmacology&lt;/secondary-title&gt;&lt;/titles&gt;&lt;periodical&gt;&lt;full-title&gt;CPT: Pharmacometrics &amp;amp; Systems Pharmacology&lt;/full-title&gt;&lt;/periodical&gt;&lt;pages&gt;367-376&lt;/pages&gt;&lt;volume&gt;5&lt;/volume&gt;&lt;number&gt;7&lt;/number&gt;&lt;keywords&gt;&lt;keyword&gt;Drug&lt;/keyword&gt;&lt;keyword&gt;efavirenz&lt;/keyword&gt;&lt;keyword&gt;Simcyp&lt;/keyword&gt;&lt;/keywords&gt;&lt;dates&gt;&lt;year&gt;2016&lt;/year&gt;&lt;/dates&gt;&lt;isbn&gt;2163-8306&lt;/isbn&gt;&lt;urls&gt;&lt;/urls&gt;&lt;/record&gt;&lt;/Cite&gt;&lt;/EndNote&gt;</w:instrText>
      </w:r>
      <w:r w:rsidRPr="009440AD">
        <w:rPr>
          <w:lang w:val="en-US"/>
        </w:rPr>
        <w:fldChar w:fldCharType="separate"/>
      </w:r>
      <w:r w:rsidR="008E484D" w:rsidRPr="009440AD">
        <w:rPr>
          <w:noProof/>
          <w:lang w:val="en-US"/>
        </w:rPr>
        <w:t>[25]</w:t>
      </w:r>
      <w:r w:rsidRPr="009440AD">
        <w:rPr>
          <w:lang w:val="en-US"/>
        </w:rPr>
        <w:fldChar w:fldCharType="end"/>
      </w:r>
      <w:r w:rsidR="00B266DA" w:rsidRPr="009440AD">
        <w:rPr>
          <w:lang w:val="en-US"/>
        </w:rPr>
        <w:t xml:space="preserve"> before scaling to elderly adults (</w:t>
      </w:r>
      <w:r w:rsidR="00B266DA" w:rsidRPr="009440AD">
        <w:rPr>
          <w:rFonts w:cs="Arial"/>
          <w:lang w:val="en-US"/>
        </w:rPr>
        <w:t>≥</w:t>
      </w:r>
      <w:r w:rsidR="00B266DA" w:rsidRPr="009440AD">
        <w:rPr>
          <w:lang w:val="en-US"/>
        </w:rPr>
        <w:t xml:space="preserve"> 65 years) without any modification of drug parameters</w:t>
      </w:r>
      <w:r w:rsidRPr="005902A1">
        <w:rPr>
          <w:lang w:val="en-US"/>
        </w:rPr>
        <w:t>. Published clinical study results (Tab</w:t>
      </w:r>
      <w:r w:rsidR="005A5ECC" w:rsidRPr="0050587F">
        <w:rPr>
          <w:lang w:val="en-US"/>
        </w:rPr>
        <w:t>.</w:t>
      </w:r>
      <w:r w:rsidRPr="0050587F">
        <w:rPr>
          <w:lang w:val="en-US"/>
        </w:rPr>
        <w:t xml:space="preserve"> S</w:t>
      </w:r>
      <w:r w:rsidR="00945A4E" w:rsidRPr="0050587F">
        <w:rPr>
          <w:lang w:val="en-US"/>
        </w:rPr>
        <w:t>2</w:t>
      </w:r>
      <w:r w:rsidRPr="0050587F">
        <w:rPr>
          <w:lang w:val="en-US"/>
        </w:rPr>
        <w:t xml:space="preserve">) were used to assess the accuracy of the predictions. </w:t>
      </w:r>
      <w:r w:rsidRPr="0065491D">
        <w:rPr>
          <w:rFonts w:cs="Arial"/>
          <w:lang w:val="en-US"/>
        </w:rPr>
        <w:t xml:space="preserve">Observed data were extracted from the literature using </w:t>
      </w:r>
      <w:proofErr w:type="spellStart"/>
      <w:r w:rsidRPr="0065491D">
        <w:rPr>
          <w:rFonts w:cs="Arial"/>
          <w:lang w:val="en-US"/>
        </w:rPr>
        <w:t>GetData</w:t>
      </w:r>
      <w:proofErr w:type="spellEnd"/>
      <w:r w:rsidRPr="0065491D">
        <w:rPr>
          <w:rFonts w:cs="Arial"/>
          <w:lang w:val="en-US"/>
        </w:rPr>
        <w:t xml:space="preserve"> Graph digitizer V. 2.26.</w:t>
      </w:r>
      <w:r w:rsidRPr="0065491D">
        <w:rPr>
          <w:lang w:val="en-US"/>
        </w:rPr>
        <w:t xml:space="preserve"> </w:t>
      </w:r>
      <w:r w:rsidR="00BC4B32" w:rsidRPr="009440AD">
        <w:rPr>
          <w:lang w:val="en-US"/>
        </w:rPr>
        <w:t>P</w:t>
      </w:r>
      <w:r w:rsidRPr="009440AD">
        <w:rPr>
          <w:lang w:val="en-US"/>
        </w:rPr>
        <w:t xml:space="preserve">harmacokinetic parameters were not given in </w:t>
      </w:r>
      <w:r w:rsidR="00BC4B32" w:rsidRPr="009440AD">
        <w:rPr>
          <w:lang w:val="en-US"/>
        </w:rPr>
        <w:t xml:space="preserve">six </w:t>
      </w:r>
      <w:r w:rsidRPr="009440AD">
        <w:rPr>
          <w:lang w:val="en-US"/>
        </w:rPr>
        <w:t>publication</w:t>
      </w:r>
      <w:r w:rsidR="009F3672" w:rsidRPr="009440AD">
        <w:rPr>
          <w:lang w:val="en-US"/>
        </w:rPr>
        <w:t>s</w:t>
      </w:r>
      <w:r w:rsidR="00BC4B32" w:rsidRPr="009440AD">
        <w:rPr>
          <w:lang w:val="en-US"/>
        </w:rPr>
        <w:t xml:space="preserve"> </w:t>
      </w:r>
      <w:r w:rsidR="00BC4B32" w:rsidRPr="009440AD">
        <w:rPr>
          <w:lang w:val="en-US"/>
        </w:rPr>
        <w:fldChar w:fldCharType="begin">
          <w:fldData xml:space="preserve">PEVuZE5vdGU+PENpdGU+PEF1dGhvcj5LZW5kYWxsPC9BdXRob3I+PFllYXI+MTk3NzwvWWVhcj48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</w:fldData>
        </w:fldChar>
      </w:r>
      <w:r w:rsidR="00BC4B32" w:rsidRPr="009440AD">
        <w:rPr>
          <w:lang w:val="en-US"/>
        </w:rPr>
        <w:instrText xml:space="preserve"> ADDIN EN.CITE </w:instrText>
      </w:r>
      <w:r w:rsidR="00BC4B32" w:rsidRPr="006B495B">
        <w:rPr>
          <w:lang w:val="en-US"/>
        </w:rPr>
        <w:fldChar w:fldCharType="begin">
          <w:fldData xml:space="preserve">PEVuZE5vdGU+PENpdGU+PEF1dGhvcj5LZW5kYWxsPC9BdXRob3I+PFllYXI+MTk3NzwvWWVhcj48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</w:fldData>
        </w:fldChar>
      </w:r>
      <w:r w:rsidR="00BC4B32" w:rsidRPr="009440AD">
        <w:rPr>
          <w:lang w:val="en-US"/>
        </w:rPr>
        <w:instrText xml:space="preserve"> ADDIN EN.CITE.DATA </w:instrText>
      </w:r>
      <w:r w:rsidR="00BC4B32" w:rsidRPr="006B495B">
        <w:rPr>
          <w:lang w:val="en-US"/>
        </w:rPr>
      </w:r>
      <w:r w:rsidR="00BC4B32" w:rsidRPr="006B495B">
        <w:rPr>
          <w:lang w:val="en-US"/>
        </w:rPr>
        <w:fldChar w:fldCharType="end"/>
      </w:r>
      <w:r w:rsidR="00BC4B32" w:rsidRPr="009440AD">
        <w:rPr>
          <w:lang w:val="en-US"/>
        </w:rPr>
      </w:r>
      <w:r w:rsidR="00BC4B32" w:rsidRPr="009440AD">
        <w:rPr>
          <w:lang w:val="en-US"/>
        </w:rPr>
        <w:fldChar w:fldCharType="separate"/>
      </w:r>
      <w:r w:rsidR="00BC4B32" w:rsidRPr="009440AD">
        <w:rPr>
          <w:noProof/>
          <w:lang w:val="en-US"/>
        </w:rPr>
        <w:t>[26-31]</w:t>
      </w:r>
      <w:r w:rsidR="00BC4B32" w:rsidRPr="009440AD">
        <w:rPr>
          <w:lang w:val="en-US"/>
        </w:rPr>
        <w:fldChar w:fldCharType="end"/>
      </w:r>
      <w:r w:rsidR="00BC4B32" w:rsidRPr="009440AD">
        <w:rPr>
          <w:lang w:val="en-US"/>
        </w:rPr>
        <w:t xml:space="preserve"> and thus</w:t>
      </w:r>
      <w:r w:rsidRPr="009440AD">
        <w:rPr>
          <w:lang w:val="en-US"/>
        </w:rPr>
        <w:t xml:space="preserve">, the </w:t>
      </w:r>
      <w:r w:rsidR="00687EFC" w:rsidRPr="009440AD">
        <w:rPr>
          <w:lang w:val="en-US"/>
        </w:rPr>
        <w:t>area under the curve for one dosing interval (</w:t>
      </w:r>
      <w:proofErr w:type="spellStart"/>
      <w:r w:rsidRPr="009440AD">
        <w:rPr>
          <w:lang w:val="en-US"/>
        </w:rPr>
        <w:t>AUC</w:t>
      </w:r>
      <w:r w:rsidRPr="009440AD">
        <w:rPr>
          <w:vertAlign w:val="subscript"/>
          <w:lang w:val="en-US"/>
        </w:rPr>
        <w:t>t</w:t>
      </w:r>
      <w:proofErr w:type="spellEnd"/>
      <w:r w:rsidR="00687EFC" w:rsidRPr="005902A1">
        <w:rPr>
          <w:lang w:val="en-US"/>
        </w:rPr>
        <w:t>)</w:t>
      </w:r>
      <w:r w:rsidRPr="0050587F">
        <w:rPr>
          <w:lang w:val="en-US"/>
        </w:rPr>
        <w:t xml:space="preserve"> was calculated by the linear trapezoidal method, the </w:t>
      </w:r>
      <w:proofErr w:type="spellStart"/>
      <w:r w:rsidRPr="0050587F">
        <w:rPr>
          <w:lang w:val="en-US"/>
        </w:rPr>
        <w:t>AUC</w:t>
      </w:r>
      <w:r w:rsidRPr="0065491D">
        <w:rPr>
          <w:vertAlign w:val="subscript"/>
          <w:lang w:val="en-US"/>
        </w:rPr>
        <w:t>inf</w:t>
      </w:r>
      <w:proofErr w:type="spellEnd"/>
      <w:r w:rsidRPr="0065491D">
        <w:rPr>
          <w:lang w:val="en-US"/>
        </w:rPr>
        <w:t xml:space="preserve"> (area under the curve extrapolated to infinity) was extrapolated from the last three given concentration-time points and the clearance was calculated as dose / </w:t>
      </w:r>
      <w:proofErr w:type="spellStart"/>
      <w:r w:rsidRPr="0065491D">
        <w:rPr>
          <w:lang w:val="en-US"/>
        </w:rPr>
        <w:t>AUC</w:t>
      </w:r>
      <w:r w:rsidRPr="009440AD">
        <w:rPr>
          <w:vertAlign w:val="subscript"/>
          <w:lang w:val="en-US"/>
        </w:rPr>
        <w:t>inf</w:t>
      </w:r>
      <w:proofErr w:type="spellEnd"/>
      <w:r w:rsidRPr="009440AD">
        <w:rPr>
          <w:lang w:val="en-US"/>
        </w:rPr>
        <w:t xml:space="preserve">. If more than one published study was available, the weighted mean and standard deviation of reported pharmacokinetic parameters were calculated. </w:t>
      </w:r>
      <w:r w:rsidR="004227D5" w:rsidRPr="005902A1">
        <w:rPr>
          <w:lang w:val="en-US"/>
        </w:rPr>
        <w:t>Observed data were published in different formats and were co</w:t>
      </w:r>
      <w:r w:rsidR="004227D5" w:rsidRPr="0050587F">
        <w:rPr>
          <w:lang w:val="en-US"/>
        </w:rPr>
        <w:t xml:space="preserve">nverted into arithmetic mean and standard deviation </w:t>
      </w:r>
      <w:r w:rsidR="004227D5" w:rsidRPr="009440AD">
        <w:rPr>
          <w:lang w:val="en-US"/>
        </w:rPr>
        <w:fldChar w:fldCharType="begin"/>
      </w:r>
      <w:r w:rsidR="004227D5" w:rsidRPr="009440AD">
        <w:rPr>
          <w:lang w:val="en-US"/>
        </w:rPr>
        <w:instrText xml:space="preserve"> ADDIN EN.CITE &lt;EndNote&gt;&lt;Cite&gt;&lt;Author&gt;Hozo&lt;/Author&gt;&lt;Year&gt;2005&lt;/Year&gt;&lt;RecNum&gt;665&lt;/RecNum&gt;&lt;DisplayText&gt;[32, 33]&lt;/DisplayText&gt;&lt;record&gt;&lt;rec-number&gt;665&lt;/rec-number&gt;&lt;foreign-keys&gt;&lt;key app="EN" db-id="vawz9xpv5prvt3ed92pxtvpjzzf095ze0r5f" timestamp="1494569536"&gt;665&lt;/key&gt;&lt;/foreign-keys&gt;&lt;ref-type name="Journal Article"&gt;17&lt;/ref-type&gt;&lt;contributors&gt;&lt;authors&gt;&lt;author&gt;Hozo, Stela Pudar&lt;/author&gt;&lt;author&gt;Djulbegovic, Benjamin&lt;/author&gt;&lt;author&gt;Hozo, Iztok&lt;/author&gt;&lt;/authors&gt;&lt;/contributors&gt;&lt;titles&gt;&lt;title&gt;Estimating the mean and variance from the median, range, and the size of a sample&lt;/title&gt;&lt;secondary-title&gt;BMC Medical Research Methodology&lt;/secondary-title&gt;&lt;/titles&gt;&lt;periodical&gt;&lt;full-title&gt;BMC medical research methodology&lt;/full-title&gt;&lt;/periodical&gt;&lt;pages&gt;1-10&lt;/pages&gt;&lt;volume&gt;5&lt;/volume&gt;&lt;number&gt;13&lt;/number&gt;&lt;keywords&gt;&lt;keyword&gt;Methods&lt;/keyword&gt;&lt;keyword&gt;median&lt;/keyword&gt;&lt;/keywords&gt;&lt;dates&gt;&lt;year&gt;2005&lt;/year&gt;&lt;/dates&gt;&lt;isbn&gt;1471-2288&lt;/isbn&gt;&lt;urls&gt;&lt;/urls&gt;&lt;/record&gt;&lt;/Cite&gt;&lt;Cite&gt;&lt;Author&gt;Wan&lt;/Author&gt;&lt;Year&gt;2014&lt;/Year&gt;&lt;RecNum&gt;666&lt;/RecNum&gt;&lt;record&gt;&lt;rec-number&gt;666&lt;/rec-number&gt;&lt;foreign-keys&gt;&lt;key app="EN" db-id="vawz9xpv5prvt3ed92pxtvpjzzf095ze0r5f" timestamp="1494570010"&gt;666&lt;/key&gt;&lt;/foreign-keys&gt;&lt;ref-type name="Journal Article"&gt;17&lt;/ref-type&gt;&lt;contributors&gt;&lt;authors&gt;&lt;author&gt;Wan, Xiang&lt;/author&gt;&lt;author&gt;Wang, Wenqian&lt;/author&gt;&lt;author&gt;Liu, Jiming&lt;/author&gt;&lt;author&gt;Tong, Tiejun&lt;/author&gt;&lt;/authors&gt;&lt;/contributors&gt;&lt;titles&gt;&lt;title&gt;Estimating the sample mean and standard deviation from the sample size, median, range and/or interquartile range&lt;/title&gt;&lt;secondary-title&gt;BMC Medical Research Methodology&lt;/secondary-title&gt;&lt;/titles&gt;&lt;periodical&gt;&lt;full-title&gt;BMC medical research methodology&lt;/full-title&gt;&lt;/periodical&gt;&lt;pages&gt;135-159&lt;/pages&gt;&lt;volume&gt;14&lt;/volume&gt;&lt;number&gt;1&lt;/number&gt;&lt;keywords&gt;&lt;keyword&gt;Methods&lt;/keyword&gt;&lt;keyword&gt;interquartile&lt;/keyword&gt;&lt;/keywords&gt;&lt;dates&gt;&lt;year&gt;2014&lt;/year&gt;&lt;/dates&gt;&lt;isbn&gt;1471-2288&lt;/isbn&gt;&lt;urls&gt;&lt;/urls&gt;&lt;/record&gt;&lt;/Cite&gt;&lt;/EndNote&gt;</w:instrText>
      </w:r>
      <w:r w:rsidR="004227D5" w:rsidRPr="009440AD">
        <w:rPr>
          <w:lang w:val="en-US"/>
        </w:rPr>
        <w:fldChar w:fldCharType="separate"/>
      </w:r>
      <w:r w:rsidR="004227D5" w:rsidRPr="009440AD">
        <w:rPr>
          <w:noProof/>
          <w:lang w:val="en-US"/>
        </w:rPr>
        <w:t>[32, 33]</w:t>
      </w:r>
      <w:r w:rsidR="004227D5" w:rsidRPr="009440AD">
        <w:rPr>
          <w:lang w:val="en-US"/>
        </w:rPr>
        <w:fldChar w:fldCharType="end"/>
      </w:r>
      <w:r w:rsidR="004227D5" w:rsidRPr="009440AD">
        <w:rPr>
          <w:lang w:val="en-US"/>
        </w:rPr>
        <w:t>.</w:t>
      </w:r>
    </w:p>
    <w:p w14:paraId="06F6EF2D" w14:textId="108717B1" w:rsidR="00AA59A9" w:rsidRPr="009440AD" w:rsidRDefault="00AA59A9" w:rsidP="00AA59A9">
      <w:pPr>
        <w:rPr>
          <w:rFonts w:cs="Arial"/>
          <w:lang w:val="en-US"/>
        </w:rPr>
      </w:pPr>
      <w:r w:rsidRPr="009440AD">
        <w:rPr>
          <w:lang w:val="en-US"/>
        </w:rPr>
        <w:t xml:space="preserve">The </w:t>
      </w:r>
      <w:r w:rsidRPr="009440AD">
        <w:rPr>
          <w:rFonts w:cs="Arial"/>
          <w:lang w:val="en-US"/>
        </w:rPr>
        <w:t>simulations were matched as closely as possible to the published observed studies in terms of demographics, dose, dosing regimen</w:t>
      </w:r>
      <w:r w:rsidR="00687EFC" w:rsidRPr="009440AD">
        <w:rPr>
          <w:rFonts w:cs="Arial"/>
          <w:lang w:val="en-US"/>
        </w:rPr>
        <w:t>,</w:t>
      </w:r>
      <w:r w:rsidRPr="009440AD">
        <w:rPr>
          <w:rFonts w:cs="Arial"/>
          <w:lang w:val="en-US"/>
        </w:rPr>
        <w:t xml:space="preserve"> and number of subjects (n) with 10 trials x n virtual subjects being simulated in each case. If more than one published study was available for a drug, the dosing regimen was the same, the study participants were summed up</w:t>
      </w:r>
      <w:r w:rsidR="00930550" w:rsidRPr="009440AD">
        <w:rPr>
          <w:rFonts w:cs="Arial"/>
          <w:lang w:val="en-US"/>
        </w:rPr>
        <w:t>,</w:t>
      </w:r>
      <w:r w:rsidRPr="009440AD">
        <w:rPr>
          <w:rFonts w:cs="Arial"/>
          <w:lang w:val="en-US"/>
        </w:rPr>
        <w:t xml:space="preserve"> and the weighted mean of demographic parameters was used. No adjustment to the PBPK model was done when scaling drug pharmacokinetics to the elderly. Calculation of pharmacokinetic parameters in the used PBPK framework has been described previously </w:t>
      </w:r>
      <w:r w:rsidRPr="009440AD">
        <w:rPr>
          <w:rFonts w:cs="Arial"/>
          <w:lang w:val="en-US"/>
        </w:rPr>
        <w:fldChar w:fldCharType="begin"/>
      </w:r>
      <w:r w:rsidR="00036D47">
        <w:rPr>
          <w:rFonts w:cs="Arial"/>
          <w:lang w:val="en-US"/>
        </w:rPr>
        <w:instrText xml:space="preserve"> ADDIN EN.CITE &lt;EndNote&gt;&lt;Cite&gt;&lt;Author&gt;Stader&lt;/Author&gt;&lt;Year&gt;2019&lt;/Year&gt;&lt;RecNum&gt;1196&lt;/RecNum&gt;&lt;DisplayText&gt;[11]&lt;/DisplayText&gt;&lt;record&gt;&lt;rec-number&gt;1196&lt;/rec-number&gt;&lt;foreign-keys&gt;&lt;key app="EN" db-id="vawz9xpv5prvt3ed92pxtvpjzzf095ze0r5f" timestamp="1542691448"&gt;1196&lt;/key&gt;&lt;/foreign-keys&gt;&lt;ref-type name="Journal Article"&gt;17&lt;/ref-type&gt;&lt;contributors&gt;&lt;authors&gt;&lt;author&gt;Stader, Felix&lt;/author&gt;&lt;author&gt;Penny, Melissa A.&lt;/author&gt;&lt;author&gt;Siccardi, Marco&lt;/author&gt;&lt;author&gt;Marzolini, Catia&lt;/author&gt;&lt;/authors&gt;&lt;/contributors&gt;&lt;titles&gt;&lt;title&gt;A comprehensive framework for physiologically based pharmacokinetic modelling in Matlab®&lt;/title&gt;&lt;secondary-title&gt;CPT: Pharmacometrics &amp;amp; Systems Pharmacology&lt;/secondary-title&gt;&lt;/titles&gt;&lt;periodical&gt;&lt;full-title&gt;CPT: Pharmacometrics &amp;amp; Systems Pharmacology&lt;/full-title&gt;&lt;/periodical&gt;&lt;pages&gt;444-459&lt;/pages&gt;&lt;volume&gt;8&lt;/volume&gt;&lt;number&gt;7&lt;/number&gt;&lt;keywords&gt;&lt;keyword&gt;PBPK model&lt;/keyword&gt;&lt;keyword&gt;used&lt;/keyword&gt;&lt;/keywords&gt;&lt;dates&gt;&lt;year&gt;2019&lt;/year&gt;&lt;/dates&gt;&lt;urls&gt;&lt;/urls&gt;&lt;/record&gt;&lt;/Cite&gt;&lt;/EndNote&gt;</w:instrText>
      </w:r>
      <w:r w:rsidRPr="009440AD">
        <w:rPr>
          <w:rFonts w:cs="Arial"/>
          <w:lang w:val="en-US"/>
        </w:rPr>
        <w:fldChar w:fldCharType="separate"/>
      </w:r>
      <w:r w:rsidR="008E484D" w:rsidRPr="009440AD">
        <w:rPr>
          <w:rFonts w:cs="Arial"/>
          <w:noProof/>
          <w:lang w:val="en-US"/>
        </w:rPr>
        <w:t>[11]</w:t>
      </w:r>
      <w:r w:rsidRPr="009440AD">
        <w:rPr>
          <w:rFonts w:cs="Arial"/>
          <w:lang w:val="en-US"/>
        </w:rPr>
        <w:fldChar w:fldCharType="end"/>
      </w:r>
      <w:r w:rsidRPr="009440AD">
        <w:rPr>
          <w:rFonts w:cs="Arial"/>
          <w:lang w:val="en-US"/>
        </w:rPr>
        <w:t>.</w:t>
      </w:r>
    </w:p>
    <w:p w14:paraId="4A424486" w14:textId="77777777" w:rsidR="00AA59A9" w:rsidRPr="0050587F" w:rsidRDefault="00AA59A9" w:rsidP="00AA59A9">
      <w:pPr>
        <w:pStyle w:val="Heading2"/>
        <w:rPr>
          <w:lang w:val="en-US"/>
        </w:rPr>
      </w:pPr>
      <w:r w:rsidRPr="005902A1">
        <w:rPr>
          <w:lang w:val="en-US"/>
        </w:rPr>
        <w:t>Verification of the PBPK drug m</w:t>
      </w:r>
      <w:r w:rsidRPr="0050587F">
        <w:rPr>
          <w:lang w:val="en-US"/>
        </w:rPr>
        <w:t>odels</w:t>
      </w:r>
    </w:p>
    <w:p w14:paraId="6B4BA4D7" w14:textId="7E3B8FD6" w:rsidR="00AA59A9" w:rsidRPr="009440AD" w:rsidRDefault="00AA59A9" w:rsidP="00AA59A9">
      <w:pPr>
        <w:rPr>
          <w:lang w:val="en-US"/>
        </w:rPr>
      </w:pPr>
      <w:r w:rsidRPr="0065491D">
        <w:rPr>
          <w:lang w:val="en-US"/>
        </w:rPr>
        <w:t>Predicted concentration-time profiles were visually compared to observed clinically data for young and elderly adults (Tab</w:t>
      </w:r>
      <w:r w:rsidR="005A5ECC" w:rsidRPr="009440AD">
        <w:rPr>
          <w:lang w:val="en-US"/>
        </w:rPr>
        <w:t>.</w:t>
      </w:r>
      <w:r w:rsidRPr="009440AD">
        <w:rPr>
          <w:lang w:val="en-US"/>
        </w:rPr>
        <w:t xml:space="preserve"> S</w:t>
      </w:r>
      <w:r w:rsidR="009440AD" w:rsidRPr="009440AD">
        <w:rPr>
          <w:lang w:val="en-US"/>
        </w:rPr>
        <w:t>-</w:t>
      </w:r>
      <w:r w:rsidR="00945A4E" w:rsidRPr="009440AD">
        <w:rPr>
          <w:lang w:val="en-US"/>
        </w:rPr>
        <w:t>2</w:t>
      </w:r>
      <w:r w:rsidRPr="009440AD">
        <w:rPr>
          <w:lang w:val="en-US"/>
        </w:rPr>
        <w:t>). Furthermore, published pharmacokinetic parameters (</w:t>
      </w:r>
      <w:r w:rsidR="00687EFC" w:rsidRPr="009440AD">
        <w:rPr>
          <w:lang w:val="en-US"/>
        </w:rPr>
        <w:t xml:space="preserve">peak concentration:, </w:t>
      </w:r>
      <w:proofErr w:type="spellStart"/>
      <w:r w:rsidRPr="009440AD">
        <w:rPr>
          <w:lang w:val="en-US"/>
        </w:rPr>
        <w:t>C</w:t>
      </w:r>
      <w:r w:rsidRPr="009440AD">
        <w:rPr>
          <w:vertAlign w:val="subscript"/>
          <w:lang w:val="en-US"/>
        </w:rPr>
        <w:t>max</w:t>
      </w:r>
      <w:proofErr w:type="spellEnd"/>
      <w:r w:rsidRPr="009440AD">
        <w:rPr>
          <w:lang w:val="en-US"/>
        </w:rPr>
        <w:t xml:space="preserve">, </w:t>
      </w:r>
      <w:r w:rsidR="00687EFC" w:rsidRPr="009440AD">
        <w:rPr>
          <w:lang w:val="en-US"/>
        </w:rPr>
        <w:t xml:space="preserve">time to </w:t>
      </w:r>
      <w:proofErr w:type="spellStart"/>
      <w:r w:rsidR="00687EFC" w:rsidRPr="009440AD">
        <w:rPr>
          <w:lang w:val="en-US"/>
        </w:rPr>
        <w:t>C</w:t>
      </w:r>
      <w:r w:rsidR="00687EFC" w:rsidRPr="009440AD">
        <w:rPr>
          <w:vertAlign w:val="subscript"/>
          <w:lang w:val="en-US"/>
        </w:rPr>
        <w:t>max</w:t>
      </w:r>
      <w:proofErr w:type="spellEnd"/>
      <w:r w:rsidR="00687EFC" w:rsidRPr="009440AD">
        <w:rPr>
          <w:lang w:val="en-US"/>
        </w:rPr>
        <w:t xml:space="preserve">: </w:t>
      </w:r>
      <w:proofErr w:type="spellStart"/>
      <w:r w:rsidRPr="009440AD">
        <w:rPr>
          <w:lang w:val="en-US"/>
        </w:rPr>
        <w:t>t</w:t>
      </w:r>
      <w:r w:rsidRPr="009440AD">
        <w:rPr>
          <w:vertAlign w:val="subscript"/>
          <w:lang w:val="en-US"/>
        </w:rPr>
        <w:t>max</w:t>
      </w:r>
      <w:proofErr w:type="spellEnd"/>
      <w:r w:rsidRPr="009440AD">
        <w:rPr>
          <w:lang w:val="en-US"/>
        </w:rPr>
        <w:t>, AUC</w:t>
      </w:r>
      <w:r w:rsidR="00945A4E" w:rsidRPr="009440AD">
        <w:rPr>
          <w:lang w:val="en-US"/>
        </w:rPr>
        <w:t>,</w:t>
      </w:r>
      <w:r w:rsidRPr="009440AD">
        <w:rPr>
          <w:lang w:val="en-US"/>
        </w:rPr>
        <w:t xml:space="preserve"> and</w:t>
      </w:r>
      <w:r w:rsidR="00687EFC" w:rsidRPr="009440AD">
        <w:rPr>
          <w:lang w:val="en-US"/>
        </w:rPr>
        <w:t xml:space="preserve"> elimination half-life:</w:t>
      </w:r>
      <w:r w:rsidRPr="009440AD">
        <w:rPr>
          <w:lang w:val="en-US"/>
        </w:rPr>
        <w:t xml:space="preserve"> t</w:t>
      </w:r>
      <w:r w:rsidRPr="009440AD">
        <w:rPr>
          <w:vertAlign w:val="subscript"/>
          <w:lang w:val="en-US"/>
        </w:rPr>
        <w:t>1/2</w:t>
      </w:r>
      <w:r w:rsidRPr="009440AD">
        <w:rPr>
          <w:lang w:val="en-US"/>
        </w:rPr>
        <w:t>) were compared against our simulation results. Simulations were defined as being successful in young adults, if the predicted pharmacokinetic parameters were within the 2-fold interval of the observed data.</w:t>
      </w:r>
    </w:p>
    <w:p w14:paraId="4FFFB5FA" w14:textId="77777777" w:rsidR="00AA59A9" w:rsidRPr="009440AD" w:rsidRDefault="00AA59A9" w:rsidP="00AA59A9">
      <w:pPr>
        <w:pStyle w:val="Heading2"/>
        <w:rPr>
          <w:lang w:val="en-US"/>
        </w:rPr>
      </w:pPr>
      <w:r w:rsidRPr="009440AD">
        <w:rPr>
          <w:lang w:val="en-US"/>
        </w:rPr>
        <w:lastRenderedPageBreak/>
        <w:t>Extrapolation to aged individuals</w:t>
      </w:r>
    </w:p>
    <w:p w14:paraId="4867BD62" w14:textId="7BF94A21" w:rsidR="0062135C" w:rsidRPr="006B495B" w:rsidRDefault="00AA59A9" w:rsidP="0062135C">
      <w:pPr>
        <w:rPr>
          <w:lang w:val="en-US"/>
        </w:rPr>
      </w:pPr>
      <w:r w:rsidRPr="009440AD">
        <w:rPr>
          <w:lang w:val="en-US"/>
        </w:rPr>
        <w:t xml:space="preserve">The final PBPK models were utilized to predict age-related changes in pharmacokinetic parameters from 20 to 99 years in 500 virtual individuals split into 10 different trials (proportion of women: 0.5) in five-year steps. </w:t>
      </w:r>
      <w:bookmarkStart w:id="7" w:name="_Hlk16585752"/>
      <w:r w:rsidRPr="009440AD">
        <w:rPr>
          <w:lang w:val="en-US"/>
        </w:rPr>
        <w:t>The analyzed pharmacokinetic parameters (</w:t>
      </w:r>
      <w:proofErr w:type="spellStart"/>
      <w:r w:rsidRPr="009440AD">
        <w:rPr>
          <w:lang w:val="en-US"/>
        </w:rPr>
        <w:t>C</w:t>
      </w:r>
      <w:r w:rsidRPr="009440AD">
        <w:rPr>
          <w:vertAlign w:val="subscript"/>
          <w:lang w:val="en-US"/>
        </w:rPr>
        <w:t>max</w:t>
      </w:r>
      <w:proofErr w:type="spellEnd"/>
      <w:r w:rsidRPr="009440AD">
        <w:rPr>
          <w:lang w:val="en-US"/>
        </w:rPr>
        <w:t xml:space="preserve">, </w:t>
      </w:r>
      <w:proofErr w:type="spellStart"/>
      <w:r w:rsidRPr="009440AD">
        <w:rPr>
          <w:lang w:val="en-US"/>
        </w:rPr>
        <w:t>t</w:t>
      </w:r>
      <w:r w:rsidRPr="009440AD">
        <w:rPr>
          <w:vertAlign w:val="subscript"/>
          <w:lang w:val="en-US"/>
        </w:rPr>
        <w:t>max</w:t>
      </w:r>
      <w:proofErr w:type="spellEnd"/>
      <w:r w:rsidRPr="009440AD">
        <w:rPr>
          <w:lang w:val="en-US"/>
        </w:rPr>
        <w:t xml:space="preserve">, AUC, clearance, </w:t>
      </w:r>
      <w:r w:rsidR="00AB50D0" w:rsidRPr="009440AD">
        <w:rPr>
          <w:lang w:val="en-US"/>
        </w:rPr>
        <w:t xml:space="preserve">apparent </w:t>
      </w:r>
      <w:r w:rsidRPr="009440AD">
        <w:rPr>
          <w:lang w:val="en-US"/>
        </w:rPr>
        <w:t>volume of distribution</w:t>
      </w:r>
      <w:r w:rsidR="00945A4E" w:rsidRPr="009440AD">
        <w:rPr>
          <w:lang w:val="en-US"/>
        </w:rPr>
        <w:t>,</w:t>
      </w:r>
      <w:r w:rsidRPr="009440AD">
        <w:rPr>
          <w:lang w:val="en-US"/>
        </w:rPr>
        <w:t xml:space="preserve"> and t</w:t>
      </w:r>
      <w:r w:rsidRPr="009440AD">
        <w:rPr>
          <w:vertAlign w:val="subscript"/>
          <w:lang w:val="en-US"/>
        </w:rPr>
        <w:t>1/2</w:t>
      </w:r>
      <w:r w:rsidRPr="009440AD">
        <w:rPr>
          <w:lang w:val="en-US"/>
        </w:rPr>
        <w:t>) were normalized to the youngest investigated age group (20 – 24 years)</w:t>
      </w:r>
      <w:r w:rsidR="0062135C" w:rsidRPr="009440AD">
        <w:rPr>
          <w:lang w:val="en-US"/>
        </w:rPr>
        <w:t xml:space="preserve">. </w:t>
      </w:r>
      <w:bookmarkEnd w:id="7"/>
      <w:r w:rsidR="000F04E7" w:rsidRPr="009440AD">
        <w:rPr>
          <w:lang w:val="en-US"/>
        </w:rPr>
        <w:t>It was examined when age-related differences of investigated pharmacokinetic parameters changed more than expected from interindividual variability defined as the 1.25-fold interval (bioequivalence criterion). Additionally, t</w:t>
      </w:r>
      <w:r w:rsidR="00945A4E" w:rsidRPr="009440AD">
        <w:rPr>
          <w:lang w:val="en-US"/>
        </w:rPr>
        <w:t xml:space="preserve">he normalized pharmacokinetic parameters </w:t>
      </w:r>
      <w:r w:rsidR="0062135C" w:rsidRPr="009440AD">
        <w:rPr>
          <w:lang w:val="en-US"/>
        </w:rPr>
        <w:t xml:space="preserve">were fitted </w:t>
      </w:r>
      <w:r w:rsidR="0062135C" w:rsidRPr="006B495B">
        <w:rPr>
          <w:lang w:val="en-US"/>
        </w:rPr>
        <w:t xml:space="preserve">to descriptive linear, exponential, and monotonic functions containing age as an independent variable. </w:t>
      </w:r>
      <w:r w:rsidR="00945A4E" w:rsidRPr="006B495B">
        <w:rPr>
          <w:lang w:val="en-US"/>
        </w:rPr>
        <w:t xml:space="preserve">The corrected Akaike’s information criterion </w:t>
      </w:r>
      <w:r w:rsidR="000F04E7" w:rsidRPr="006B495B">
        <w:rPr>
          <w:lang w:val="en-US"/>
        </w:rPr>
        <w:t>was used to select the best performing function amongst those tested, which in contrast to the coefficient of determination exhibits no bias to higher parameterized models.</w:t>
      </w:r>
      <w:r w:rsidR="00165813" w:rsidRPr="006B495B">
        <w:rPr>
          <w:lang w:val="en-US"/>
        </w:rPr>
        <w:t xml:space="preserve"> </w:t>
      </w:r>
      <w:bookmarkStart w:id="8" w:name="_Hlk16585715"/>
      <w:r w:rsidR="00165813" w:rsidRPr="006B495B">
        <w:rPr>
          <w:lang w:val="en-US"/>
        </w:rPr>
        <w:t>The analysis was done for men, women, and all virtual subjects to investigate whether sex has an impact on age-related changes of pharmacokinetic parameters.</w:t>
      </w:r>
      <w:bookmarkEnd w:id="8"/>
    </w:p>
    <w:p w14:paraId="0BD48C74" w14:textId="3CB9FE23" w:rsidR="00961472" w:rsidRPr="006B495B" w:rsidRDefault="00961472" w:rsidP="00961472">
      <w:pPr>
        <w:pStyle w:val="Heading2"/>
        <w:rPr>
          <w:lang w:val="en-US"/>
        </w:rPr>
      </w:pPr>
      <w:r w:rsidRPr="006B495B">
        <w:rPr>
          <w:lang w:val="en-US"/>
        </w:rPr>
        <w:t>Sensitivity analysis</w:t>
      </w:r>
    </w:p>
    <w:p w14:paraId="61C4D117" w14:textId="29609634" w:rsidR="00961472" w:rsidRPr="006B495B" w:rsidRDefault="00961472" w:rsidP="00961472">
      <w:pPr>
        <w:rPr>
          <w:lang w:val="en-US"/>
        </w:rPr>
      </w:pPr>
      <w:bookmarkStart w:id="9" w:name="_Hlk16583164"/>
      <w:r w:rsidRPr="006B495B">
        <w:rPr>
          <w:lang w:val="en-US"/>
        </w:rPr>
        <w:t xml:space="preserve">Sensitivity analysis was performed to investigate which population- and drug-specific parameter drive the </w:t>
      </w:r>
      <w:r w:rsidR="000525C1" w:rsidRPr="006B495B">
        <w:rPr>
          <w:lang w:val="en-US"/>
        </w:rPr>
        <w:t xml:space="preserve">age-related </w:t>
      </w:r>
      <w:r w:rsidRPr="006B495B">
        <w:rPr>
          <w:lang w:val="en-US"/>
        </w:rPr>
        <w:t xml:space="preserve">pharmacokinetic parameter </w:t>
      </w:r>
      <w:r w:rsidR="000525C1" w:rsidRPr="006B495B">
        <w:rPr>
          <w:lang w:val="en-US"/>
        </w:rPr>
        <w:t xml:space="preserve">changes </w:t>
      </w:r>
      <w:r w:rsidRPr="006B495B">
        <w:rPr>
          <w:lang w:val="en-US"/>
        </w:rPr>
        <w:t xml:space="preserve">in the </w:t>
      </w:r>
      <w:r w:rsidR="000525C1" w:rsidRPr="006B495B">
        <w:rPr>
          <w:lang w:val="en-US"/>
        </w:rPr>
        <w:t xml:space="preserve">used </w:t>
      </w:r>
      <w:r w:rsidRPr="006B495B">
        <w:rPr>
          <w:lang w:val="en-US"/>
        </w:rPr>
        <w:t xml:space="preserve">PBPK model. A fictive drug was generated </w:t>
      </w:r>
      <w:r w:rsidR="009440AD" w:rsidRPr="006B495B">
        <w:rPr>
          <w:lang w:val="en-US"/>
        </w:rPr>
        <w:t>informed by</w:t>
      </w:r>
      <w:r w:rsidRPr="006B495B">
        <w:rPr>
          <w:lang w:val="en-US"/>
        </w:rPr>
        <w:t xml:space="preserve"> the median input parameters of the ten investigated drug and it was ensured that age-related pharmacokinetic changes felt within the average predicted rate</w:t>
      </w:r>
      <w:r w:rsidR="000525C1" w:rsidRPr="006B495B">
        <w:rPr>
          <w:lang w:val="en-US"/>
        </w:rPr>
        <w:t xml:space="preserve"> (data not shown)</w:t>
      </w:r>
      <w:r w:rsidRPr="006B495B">
        <w:rPr>
          <w:lang w:val="en-US"/>
        </w:rPr>
        <w:t xml:space="preserve">. Sensitivity analysis was run in a single male individual representative of the entire population at ages 20 to 100 in five years steps </w:t>
      </w:r>
      <w:r w:rsidR="000525C1" w:rsidRPr="006B495B">
        <w:rPr>
          <w:lang w:val="en-US"/>
        </w:rPr>
        <w:t>looking at the:</w:t>
      </w:r>
    </w:p>
    <w:p w14:paraId="46576153" w14:textId="08EB4B1D" w:rsidR="00961472" w:rsidRPr="006B495B" w:rsidRDefault="001E0007" w:rsidP="006B495B">
      <w:pPr>
        <w:pStyle w:val="ListParagraph"/>
        <w:numPr>
          <w:ilvl w:val="0"/>
          <w:numId w:val="17"/>
        </w:numPr>
        <w:rPr>
          <w:lang w:val="en-US"/>
        </w:rPr>
      </w:pPr>
      <w:r w:rsidRPr="006B495B">
        <w:rPr>
          <w:lang w:val="en-US"/>
        </w:rPr>
        <w:t>octanol-water partition coefficient (</w:t>
      </w:r>
      <w:proofErr w:type="spellStart"/>
      <w:r w:rsidR="00961472" w:rsidRPr="006B495B">
        <w:rPr>
          <w:lang w:val="en-US"/>
        </w:rPr>
        <w:t>logP</w:t>
      </w:r>
      <w:proofErr w:type="spellEnd"/>
      <w:r w:rsidRPr="006B495B">
        <w:rPr>
          <w:lang w:val="en-US"/>
        </w:rPr>
        <w:t>)</w:t>
      </w:r>
      <w:r w:rsidR="00961472" w:rsidRPr="006B495B">
        <w:rPr>
          <w:lang w:val="en-US"/>
        </w:rPr>
        <w:t xml:space="preserve"> between -5 and +5</w:t>
      </w:r>
      <w:r w:rsidR="00E82879" w:rsidRPr="006B495B">
        <w:rPr>
          <w:lang w:val="en-US"/>
        </w:rPr>
        <w:t xml:space="preserve"> and its impact on age-related changes in the apparent volume of distribution</w:t>
      </w:r>
    </w:p>
    <w:p w14:paraId="5299FEBD" w14:textId="49806D06" w:rsidR="00961472" w:rsidRPr="006B495B" w:rsidRDefault="001E0007" w:rsidP="00961472">
      <w:pPr>
        <w:pStyle w:val="ListParagraph"/>
        <w:numPr>
          <w:ilvl w:val="0"/>
          <w:numId w:val="17"/>
        </w:numPr>
        <w:rPr>
          <w:lang w:val="en-US"/>
        </w:rPr>
      </w:pPr>
      <w:r w:rsidRPr="006B495B">
        <w:rPr>
          <w:lang w:val="en-US"/>
        </w:rPr>
        <w:t>fraction unbound in plasma (</w:t>
      </w:r>
      <w:proofErr w:type="spellStart"/>
      <w:r w:rsidR="00961472" w:rsidRPr="006B495B">
        <w:rPr>
          <w:lang w:val="en-US"/>
        </w:rPr>
        <w:t>fup</w:t>
      </w:r>
      <w:proofErr w:type="spellEnd"/>
      <w:r w:rsidRPr="006B495B">
        <w:rPr>
          <w:lang w:val="en-US"/>
        </w:rPr>
        <w:t>)</w:t>
      </w:r>
      <w:r w:rsidR="00961472" w:rsidRPr="006B495B">
        <w:rPr>
          <w:lang w:val="en-US"/>
        </w:rPr>
        <w:t xml:space="preserve"> between </w:t>
      </w:r>
      <w:r w:rsidRPr="006B495B">
        <w:rPr>
          <w:lang w:val="en-US"/>
        </w:rPr>
        <w:t>0.</w:t>
      </w:r>
      <w:r w:rsidR="0050587F">
        <w:rPr>
          <w:lang w:val="en-US"/>
        </w:rPr>
        <w:t>0</w:t>
      </w:r>
      <w:r w:rsidRPr="006B495B">
        <w:rPr>
          <w:lang w:val="en-US"/>
        </w:rPr>
        <w:t xml:space="preserve">1 and 1 </w:t>
      </w:r>
      <w:r w:rsidR="00E82879" w:rsidRPr="006B495B">
        <w:rPr>
          <w:lang w:val="en-US"/>
        </w:rPr>
        <w:t>and its impact on age-related changes in clearance</w:t>
      </w:r>
    </w:p>
    <w:p w14:paraId="0FE1C1B4" w14:textId="6EC538A7" w:rsidR="001E0007" w:rsidRPr="006B495B" w:rsidRDefault="001E0007" w:rsidP="00961472">
      <w:pPr>
        <w:pStyle w:val="ListParagraph"/>
        <w:numPr>
          <w:ilvl w:val="0"/>
          <w:numId w:val="17"/>
        </w:numPr>
        <w:rPr>
          <w:lang w:val="en-US"/>
        </w:rPr>
      </w:pPr>
      <w:r w:rsidRPr="006B495B">
        <w:rPr>
          <w:lang w:val="en-US"/>
        </w:rPr>
        <w:t>hepatic blood flow between 8 and 30% of cardiac output</w:t>
      </w:r>
      <w:r w:rsidR="00E82879" w:rsidRPr="006B495B">
        <w:rPr>
          <w:lang w:val="en-US"/>
        </w:rPr>
        <w:t xml:space="preserve"> and its impact on age-related changes in clearance</w:t>
      </w:r>
      <w:r w:rsidR="00876FB3" w:rsidRPr="006B495B">
        <w:rPr>
          <w:lang w:val="en-US"/>
        </w:rPr>
        <w:t xml:space="preserve"> of a fictive drug being exclusively cleared hepatically</w:t>
      </w:r>
    </w:p>
    <w:p w14:paraId="3656EF75" w14:textId="7493117D" w:rsidR="001E0007" w:rsidRPr="006B495B" w:rsidRDefault="001E0007" w:rsidP="00961472">
      <w:pPr>
        <w:pStyle w:val="ListParagraph"/>
        <w:numPr>
          <w:ilvl w:val="0"/>
          <w:numId w:val="17"/>
        </w:numPr>
        <w:rPr>
          <w:lang w:val="en-US"/>
        </w:rPr>
      </w:pPr>
      <w:r w:rsidRPr="006B495B">
        <w:rPr>
          <w:lang w:val="en-US"/>
        </w:rPr>
        <w:t>renal blood flow between 5 and 25% of cardiac output</w:t>
      </w:r>
      <w:r w:rsidR="00E82879" w:rsidRPr="006B495B">
        <w:rPr>
          <w:lang w:val="en-US"/>
        </w:rPr>
        <w:t xml:space="preserve"> and its impact on age-related changes in clearance</w:t>
      </w:r>
      <w:r w:rsidR="00876FB3" w:rsidRPr="006B495B">
        <w:rPr>
          <w:lang w:val="en-US"/>
        </w:rPr>
        <w:t xml:space="preserve"> of a fictive drug being exclusively cleared renally</w:t>
      </w:r>
    </w:p>
    <w:p w14:paraId="2D4D2A56" w14:textId="6EC3B308" w:rsidR="001E0007" w:rsidRPr="006B495B" w:rsidRDefault="001E0007" w:rsidP="00961472">
      <w:pPr>
        <w:pStyle w:val="ListParagraph"/>
        <w:numPr>
          <w:ilvl w:val="0"/>
          <w:numId w:val="17"/>
        </w:numPr>
        <w:rPr>
          <w:lang w:val="en-US"/>
        </w:rPr>
      </w:pPr>
      <w:r w:rsidRPr="006B495B">
        <w:rPr>
          <w:lang w:val="en-US"/>
        </w:rPr>
        <w:lastRenderedPageBreak/>
        <w:t>glomerular filtration rate between 60 and 150 mL/min</w:t>
      </w:r>
      <w:r w:rsidR="00E82879" w:rsidRPr="006B495B">
        <w:rPr>
          <w:lang w:val="en-US"/>
        </w:rPr>
        <w:t xml:space="preserve"> and its impact on age-related changes in clearance</w:t>
      </w:r>
      <w:r w:rsidR="00876FB3" w:rsidRPr="006B495B">
        <w:rPr>
          <w:lang w:val="en-US"/>
        </w:rPr>
        <w:t xml:space="preserve"> of a fictive drug being exclusively cleared renally</w:t>
      </w:r>
    </w:p>
    <w:p w14:paraId="6D0B944B" w14:textId="393401FA" w:rsidR="001E0007" w:rsidRPr="006B495B" w:rsidRDefault="001E0007" w:rsidP="001E0007">
      <w:pPr>
        <w:rPr>
          <w:lang w:val="en-US"/>
        </w:rPr>
      </w:pPr>
      <w:r w:rsidRPr="006B495B">
        <w:rPr>
          <w:lang w:val="en-US"/>
        </w:rPr>
        <w:t>Additionally, the total clearance of the fictive drug was either assigned completely to CYP3A4, CYP2D6, CYP2C9, CYP1A2, CYP2C8, UGT1A1, to an unspecified hepatic intrinsic clearance</w:t>
      </w:r>
      <w:r w:rsidR="00E82879" w:rsidRPr="006B495B">
        <w:rPr>
          <w:lang w:val="en-US"/>
        </w:rPr>
        <w:t>,</w:t>
      </w:r>
      <w:r w:rsidRPr="006B495B">
        <w:rPr>
          <w:lang w:val="en-US"/>
        </w:rPr>
        <w:t xml:space="preserve"> and to the renal clearance to investigate the impact of different clearance pathways on the age-related changes of clearance.</w:t>
      </w:r>
    </w:p>
    <w:bookmarkEnd w:id="9"/>
    <w:p w14:paraId="14FCF7B0" w14:textId="27EA0232" w:rsidR="00961472" w:rsidRPr="006B495B" w:rsidRDefault="001E0007" w:rsidP="006B495B">
      <w:pPr>
        <w:pStyle w:val="Heading2"/>
        <w:rPr>
          <w:lang w:val="en-US"/>
        </w:rPr>
      </w:pPr>
      <w:r w:rsidRPr="006B495B">
        <w:rPr>
          <w:lang w:val="en-US"/>
        </w:rPr>
        <w:t>Verification of the extrapolation to aged individuals</w:t>
      </w:r>
    </w:p>
    <w:p w14:paraId="1B7EE65B" w14:textId="79E3CA00" w:rsidR="00AA59A9" w:rsidRPr="006B495B" w:rsidRDefault="0062135C" w:rsidP="00AA59A9">
      <w:pPr>
        <w:rPr>
          <w:rFonts w:cs="Arial"/>
          <w:lang w:val="en-US"/>
        </w:rPr>
      </w:pPr>
      <w:r w:rsidRPr="006B495B">
        <w:rPr>
          <w:lang w:val="en-US"/>
        </w:rPr>
        <w:t>To verify</w:t>
      </w:r>
      <w:r w:rsidR="000F04E7" w:rsidRPr="006B495B">
        <w:rPr>
          <w:lang w:val="en-US"/>
        </w:rPr>
        <w:t xml:space="preserve"> the derived correlation between age and the investigated pharmacokinetic parameters</w:t>
      </w:r>
      <w:r w:rsidR="00DB6FE2" w:rsidRPr="006B495B">
        <w:rPr>
          <w:lang w:val="en-US"/>
        </w:rPr>
        <w:t xml:space="preserve">, a literature search was performed using the MEDLINE database to screen for clinical studies comparing the pharmacokinetics in young and elderly individuals. Used keywords were “pharmacokinetic” plus “aging”, “young vs elderly” or “young vs geriatric”. Inclusion criteria were a direct comparison of the pharmacokinetic between young adults with a mean age </w:t>
      </w:r>
      <w:r w:rsidR="00DB6FE2" w:rsidRPr="006B495B">
        <w:rPr>
          <w:rFonts w:cs="Arial"/>
          <w:lang w:val="en-US"/>
        </w:rPr>
        <w:t>≤ 3</w:t>
      </w:r>
      <w:r w:rsidR="000F04E7" w:rsidRPr="006B495B">
        <w:rPr>
          <w:rFonts w:cs="Arial"/>
          <w:lang w:val="en-US"/>
        </w:rPr>
        <w:t>5</w:t>
      </w:r>
      <w:r w:rsidR="00DB6FE2" w:rsidRPr="006B495B">
        <w:rPr>
          <w:rFonts w:cs="Arial"/>
          <w:lang w:val="en-US"/>
        </w:rPr>
        <w:t xml:space="preserve"> years and </w:t>
      </w:r>
      <w:r w:rsidR="002F092D" w:rsidRPr="006B495B">
        <w:rPr>
          <w:rFonts w:cs="Arial"/>
          <w:lang w:val="en-US"/>
        </w:rPr>
        <w:t>adults aged ≥ 40 years</w:t>
      </w:r>
      <w:r w:rsidR="00DB6FE2" w:rsidRPr="006B495B">
        <w:rPr>
          <w:rFonts w:cs="Arial"/>
          <w:lang w:val="en-US"/>
        </w:rPr>
        <w:t xml:space="preserve">. </w:t>
      </w:r>
      <w:r w:rsidR="002F092D" w:rsidRPr="006B495B">
        <w:rPr>
          <w:rFonts w:cs="Arial"/>
          <w:lang w:val="en-US"/>
        </w:rPr>
        <w:t xml:space="preserve">The age bands were chosen to allow inclusion of middle-aged adults. </w:t>
      </w:r>
      <w:r w:rsidR="00DB6FE2" w:rsidRPr="006B495B">
        <w:rPr>
          <w:rFonts w:cs="Arial"/>
          <w:lang w:val="en-US"/>
        </w:rPr>
        <w:t xml:space="preserve">The subject should be </w:t>
      </w:r>
      <w:bookmarkStart w:id="10" w:name="_Hlk10534454"/>
      <w:r w:rsidR="00DB6FE2" w:rsidRPr="006B495B">
        <w:rPr>
          <w:rFonts w:cs="Arial"/>
          <w:lang w:val="en-US"/>
        </w:rPr>
        <w:t>apparently healthy</w:t>
      </w:r>
      <w:r w:rsidR="000F04E7" w:rsidRPr="006B495B">
        <w:rPr>
          <w:rFonts w:cs="Arial"/>
          <w:lang w:val="en-US"/>
        </w:rPr>
        <w:t xml:space="preserve">, having </w:t>
      </w:r>
      <w:r w:rsidR="003B55CB" w:rsidRPr="006B495B">
        <w:rPr>
          <w:rFonts w:cs="Arial"/>
          <w:lang w:val="en-US"/>
        </w:rPr>
        <w:t>n</w:t>
      </w:r>
      <w:r w:rsidR="000F04E7" w:rsidRPr="006B495B">
        <w:rPr>
          <w:rFonts w:cs="Arial"/>
          <w:lang w:val="en-US"/>
        </w:rPr>
        <w:t>o disease conditions or medication use</w:t>
      </w:r>
      <w:r w:rsidR="00DB6FE2" w:rsidRPr="006B495B">
        <w:rPr>
          <w:rFonts w:cs="Arial"/>
          <w:lang w:val="en-US"/>
        </w:rPr>
        <w:t xml:space="preserve"> that could possible</w:t>
      </w:r>
      <w:r w:rsidR="000F04E7" w:rsidRPr="006B495B">
        <w:rPr>
          <w:rFonts w:cs="Arial"/>
          <w:lang w:val="en-US"/>
        </w:rPr>
        <w:t xml:space="preserve"> alter</w:t>
      </w:r>
      <w:r w:rsidR="00DB6FE2" w:rsidRPr="006B495B">
        <w:rPr>
          <w:rFonts w:cs="Arial"/>
          <w:lang w:val="en-US"/>
        </w:rPr>
        <w:t xml:space="preserve"> the pharmacokinetics of the drug of interest</w:t>
      </w:r>
      <w:r w:rsidR="000F04E7" w:rsidRPr="006B495B">
        <w:rPr>
          <w:rFonts w:cs="Arial"/>
          <w:lang w:val="en-US"/>
        </w:rPr>
        <w:t xml:space="preserve"> (included drugs </w:t>
      </w:r>
      <w:r w:rsidR="002F092D" w:rsidRPr="006B495B">
        <w:rPr>
          <w:rFonts w:cs="Arial"/>
          <w:lang w:val="en-US"/>
        </w:rPr>
        <w:t xml:space="preserve">and references </w:t>
      </w:r>
      <w:r w:rsidR="000F04E7" w:rsidRPr="006B495B">
        <w:rPr>
          <w:rFonts w:cs="Arial"/>
          <w:lang w:val="en-US"/>
        </w:rPr>
        <w:t>can be found in Tab</w:t>
      </w:r>
      <w:r w:rsidR="005A5ECC" w:rsidRPr="006B495B">
        <w:rPr>
          <w:rFonts w:cs="Arial"/>
          <w:lang w:val="en-US"/>
        </w:rPr>
        <w:t>.</w:t>
      </w:r>
      <w:r w:rsidR="000F04E7" w:rsidRPr="006B495B">
        <w:rPr>
          <w:rFonts w:cs="Arial"/>
          <w:lang w:val="en-US"/>
        </w:rPr>
        <w:t xml:space="preserve"> S</w:t>
      </w:r>
      <w:r w:rsidR="009440AD" w:rsidRPr="006B495B">
        <w:rPr>
          <w:rFonts w:cs="Arial"/>
          <w:lang w:val="en-US"/>
        </w:rPr>
        <w:t>-</w:t>
      </w:r>
      <w:r w:rsidR="000F04E7" w:rsidRPr="006B495B">
        <w:rPr>
          <w:rFonts w:cs="Arial"/>
          <w:lang w:val="en-US"/>
        </w:rPr>
        <w:t>3)</w:t>
      </w:r>
      <w:r w:rsidR="00DB6FE2" w:rsidRPr="006B495B">
        <w:rPr>
          <w:rFonts w:cs="Arial"/>
          <w:lang w:val="en-US"/>
        </w:rPr>
        <w:t>. Included pharmacokinetic parameters were normalized to young adults and the observed data were visually compared against the prediction of the derived age-dependent functions</w:t>
      </w:r>
      <w:r w:rsidR="000F04E7" w:rsidRPr="006B495B">
        <w:rPr>
          <w:rFonts w:cs="Arial"/>
          <w:lang w:val="en-US"/>
        </w:rPr>
        <w:t>.</w:t>
      </w:r>
      <w:bookmarkEnd w:id="10"/>
    </w:p>
    <w:p w14:paraId="0DBBAF12" w14:textId="66CEAC78" w:rsidR="009440AD" w:rsidRPr="009440AD" w:rsidRDefault="001E0007">
      <w:pPr>
        <w:rPr>
          <w:lang w:val="en-US"/>
        </w:rPr>
      </w:pPr>
      <w:bookmarkStart w:id="11" w:name="_Hlk16583394"/>
      <w:r w:rsidRPr="006B495B">
        <w:rPr>
          <w:lang w:val="en-US"/>
        </w:rPr>
        <w:t xml:space="preserve">To check the performed sensitivity analysis against clinically observed data, </w:t>
      </w:r>
      <w:proofErr w:type="spellStart"/>
      <w:r w:rsidRPr="006B495B">
        <w:rPr>
          <w:lang w:val="en-US"/>
        </w:rPr>
        <w:t>logP</w:t>
      </w:r>
      <w:proofErr w:type="spellEnd"/>
      <w:r w:rsidRPr="006B495B">
        <w:rPr>
          <w:lang w:val="en-US"/>
        </w:rPr>
        <w:t xml:space="preserve">, </w:t>
      </w:r>
      <w:proofErr w:type="spellStart"/>
      <w:r w:rsidRPr="006B495B">
        <w:rPr>
          <w:lang w:val="en-US"/>
        </w:rPr>
        <w:t>fup</w:t>
      </w:r>
      <w:proofErr w:type="spellEnd"/>
      <w:r w:rsidRPr="006B495B">
        <w:rPr>
          <w:lang w:val="en-US"/>
        </w:rPr>
        <w:t xml:space="preserve">, and the main </w:t>
      </w:r>
      <w:r w:rsidR="009440AD" w:rsidRPr="009440AD">
        <w:rPr>
          <w:lang w:val="en-US"/>
        </w:rPr>
        <w:t>metabolizing</w:t>
      </w:r>
      <w:r w:rsidRPr="006B495B">
        <w:rPr>
          <w:lang w:val="en-US"/>
        </w:rPr>
        <w:t xml:space="preserve"> enzyme were collected for each of the investigated drug in the additional dataset</w:t>
      </w:r>
      <w:r w:rsidR="00E82879" w:rsidRPr="006B495B">
        <w:rPr>
          <w:lang w:val="en-US"/>
        </w:rPr>
        <w:t xml:space="preserve"> (Tab. S</w:t>
      </w:r>
      <w:r w:rsidR="008B0C30">
        <w:rPr>
          <w:lang w:val="en-US"/>
        </w:rPr>
        <w:t>-</w:t>
      </w:r>
      <w:r w:rsidR="00E82879" w:rsidRPr="006B495B">
        <w:rPr>
          <w:lang w:val="en-US"/>
        </w:rPr>
        <w:t>3)</w:t>
      </w:r>
      <w:r w:rsidRPr="006B495B">
        <w:rPr>
          <w:lang w:val="en-US"/>
        </w:rPr>
        <w:t>. Physiological parameters such as the hepatic and renal blood flow and the glomerular filtration rate important to determine drug clearance were usually not measured in the published clinical studies and were thus calculated</w:t>
      </w:r>
      <w:r w:rsidR="004F42E9" w:rsidRPr="006B495B">
        <w:rPr>
          <w:lang w:val="en-US"/>
        </w:rPr>
        <w:t xml:space="preserve"> assuming random variability to describe the general aging population adequately</w:t>
      </w:r>
      <w:r w:rsidRPr="006B495B">
        <w:rPr>
          <w:lang w:val="en-US"/>
        </w:rPr>
        <w:t xml:space="preserve"> </w:t>
      </w:r>
      <w:r w:rsidRPr="006B495B">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Pr="006B495B">
        <w:rPr>
          <w:lang w:val="en-US"/>
        </w:rPr>
        <w:instrText xml:space="preserve"> ADDIN EN.CITE </w:instrText>
      </w:r>
      <w:r w:rsidRPr="006B495B">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Pr="006B495B">
        <w:rPr>
          <w:lang w:val="en-US"/>
        </w:rPr>
        <w:instrText xml:space="preserve"> ADDIN EN.CITE.DATA </w:instrText>
      </w:r>
      <w:r w:rsidRPr="006B495B">
        <w:rPr>
          <w:lang w:val="en-US"/>
        </w:rPr>
      </w:r>
      <w:r w:rsidRPr="006B495B">
        <w:rPr>
          <w:lang w:val="en-US"/>
        </w:rPr>
        <w:fldChar w:fldCharType="end"/>
      </w:r>
      <w:r w:rsidRPr="006B495B">
        <w:rPr>
          <w:lang w:val="en-US"/>
        </w:rPr>
      </w:r>
      <w:r w:rsidRPr="006B495B">
        <w:rPr>
          <w:lang w:val="en-US"/>
        </w:rPr>
        <w:fldChar w:fldCharType="separate"/>
      </w:r>
      <w:r w:rsidRPr="006B495B">
        <w:rPr>
          <w:noProof/>
          <w:lang w:val="en-US"/>
        </w:rPr>
        <w:t>[6]</w:t>
      </w:r>
      <w:r w:rsidRPr="006B495B">
        <w:rPr>
          <w:lang w:val="en-US"/>
        </w:rPr>
        <w:fldChar w:fldCharType="end"/>
      </w:r>
      <w:r w:rsidRPr="006B495B">
        <w:rPr>
          <w:lang w:val="en-US"/>
        </w:rPr>
        <w:t xml:space="preserve">. </w:t>
      </w:r>
      <w:r w:rsidR="006F68B0" w:rsidRPr="006B495B">
        <w:rPr>
          <w:lang w:val="en-US"/>
        </w:rPr>
        <w:t>Between group comparisons of the main route of elimination (hepatic vs renal) and route of administration (intravenous vs oral) were performed by a Wilcoxon test after checking normal distribution and by the Shapiro-Wil</w:t>
      </w:r>
      <w:r w:rsidR="001520A3" w:rsidRPr="006B495B">
        <w:rPr>
          <w:lang w:val="en-US"/>
        </w:rPr>
        <w:t>k test</w:t>
      </w:r>
      <w:r w:rsidR="006F68B0" w:rsidRPr="006B495B">
        <w:rPr>
          <w:lang w:val="en-US"/>
        </w:rPr>
        <w:t xml:space="preserve">. </w:t>
      </w:r>
      <w:r w:rsidR="001520A3" w:rsidRPr="006B495B">
        <w:rPr>
          <w:lang w:val="en-US"/>
        </w:rPr>
        <w:t>Analysis of variance was performed for the impact of the main metabolizing enzyme on age-related changes in clearance. Pearson’s correlation was done</w:t>
      </w:r>
      <w:r w:rsidR="00165813" w:rsidRPr="006B495B">
        <w:rPr>
          <w:lang w:val="en-US"/>
        </w:rPr>
        <w:t xml:space="preserve"> for continuous variables</w:t>
      </w:r>
      <w:r w:rsidR="008B0C30">
        <w:rPr>
          <w:lang w:val="en-US"/>
        </w:rPr>
        <w:t xml:space="preserve"> (i.e. </w:t>
      </w:r>
      <w:proofErr w:type="spellStart"/>
      <w:r w:rsidR="008B0C30">
        <w:rPr>
          <w:lang w:val="en-US"/>
        </w:rPr>
        <w:t>logP</w:t>
      </w:r>
      <w:proofErr w:type="spellEnd"/>
      <w:r w:rsidR="008B0C30">
        <w:rPr>
          <w:lang w:val="en-US"/>
        </w:rPr>
        <w:t xml:space="preserve">, </w:t>
      </w:r>
      <w:proofErr w:type="spellStart"/>
      <w:r w:rsidR="008B0C30">
        <w:rPr>
          <w:lang w:val="en-US"/>
        </w:rPr>
        <w:t>fup</w:t>
      </w:r>
      <w:proofErr w:type="spellEnd"/>
      <w:r w:rsidR="008B0C30">
        <w:rPr>
          <w:lang w:val="en-US"/>
        </w:rPr>
        <w:t>, age, hepatic and renal blood flow, glomerular filtration rate)</w:t>
      </w:r>
      <w:r w:rsidR="006F68B0" w:rsidRPr="006B495B">
        <w:rPr>
          <w:lang w:val="en-US"/>
        </w:rPr>
        <w:t>.</w:t>
      </w:r>
      <w:bookmarkEnd w:id="11"/>
    </w:p>
    <w:p w14:paraId="5E37B9E1" w14:textId="42A169FC" w:rsidR="005268E6" w:rsidRPr="0050587F" w:rsidRDefault="005268E6" w:rsidP="003E065B">
      <w:pPr>
        <w:pStyle w:val="Heading1"/>
        <w:rPr>
          <w:lang w:val="en-US"/>
        </w:rPr>
      </w:pPr>
      <w:r w:rsidRPr="005902A1">
        <w:rPr>
          <w:lang w:val="en-US"/>
        </w:rPr>
        <w:lastRenderedPageBreak/>
        <w:t>Results</w:t>
      </w:r>
    </w:p>
    <w:p w14:paraId="1AE2DD0F" w14:textId="77777777" w:rsidR="00BC0B45" w:rsidRPr="0065491D" w:rsidRDefault="00701574" w:rsidP="00701574">
      <w:pPr>
        <w:pStyle w:val="Heading2"/>
        <w:rPr>
          <w:lang w:val="en-US"/>
        </w:rPr>
      </w:pPr>
      <w:r w:rsidRPr="0065491D">
        <w:rPr>
          <w:lang w:val="en-US"/>
        </w:rPr>
        <w:t>Predicting drug pharmacokinetics in the elderly</w:t>
      </w:r>
    </w:p>
    <w:p w14:paraId="256DD247" w14:textId="7A982EE7" w:rsidR="0084231B" w:rsidRPr="009440AD" w:rsidRDefault="00701574" w:rsidP="00701574">
      <w:pPr>
        <w:rPr>
          <w:lang w:val="en-US"/>
        </w:rPr>
      </w:pPr>
      <w:r w:rsidRPr="009440AD">
        <w:rPr>
          <w:lang w:val="en-US"/>
        </w:rPr>
        <w:t xml:space="preserve">PBPK models </w:t>
      </w:r>
      <w:r w:rsidR="008C289C" w:rsidRPr="009440AD">
        <w:rPr>
          <w:lang w:val="en-US"/>
        </w:rPr>
        <w:t xml:space="preserve">for all drugs </w:t>
      </w:r>
      <w:r w:rsidRPr="009440AD">
        <w:rPr>
          <w:lang w:val="en-US"/>
        </w:rPr>
        <w:t xml:space="preserve">were developed and </w:t>
      </w:r>
      <w:r w:rsidR="009457C7" w:rsidRPr="009440AD">
        <w:rPr>
          <w:lang w:val="en-US"/>
        </w:rPr>
        <w:t>adjusted</w:t>
      </w:r>
      <w:r w:rsidRPr="009440AD">
        <w:rPr>
          <w:lang w:val="en-US"/>
        </w:rPr>
        <w:t xml:space="preserve"> in young adults</w:t>
      </w:r>
      <w:r w:rsidR="00C006CF" w:rsidRPr="009440AD">
        <w:rPr>
          <w:lang w:val="en-US"/>
        </w:rPr>
        <w:t xml:space="preserve"> (20 to 50 years)</w:t>
      </w:r>
      <w:r w:rsidRPr="009440AD">
        <w:rPr>
          <w:lang w:val="en-US"/>
        </w:rPr>
        <w:t xml:space="preserve"> until simulation</w:t>
      </w:r>
      <w:r w:rsidR="00A16661" w:rsidRPr="009440AD">
        <w:rPr>
          <w:lang w:val="en-US"/>
        </w:rPr>
        <w:t>s</w:t>
      </w:r>
      <w:r w:rsidRPr="009440AD">
        <w:rPr>
          <w:lang w:val="en-US"/>
        </w:rPr>
        <w:t xml:space="preserve"> captured the </w:t>
      </w:r>
      <w:r w:rsidR="005C457D" w:rsidRPr="009440AD">
        <w:rPr>
          <w:lang w:val="en-US"/>
        </w:rPr>
        <w:t xml:space="preserve">clinically </w:t>
      </w:r>
      <w:r w:rsidRPr="009440AD">
        <w:rPr>
          <w:lang w:val="en-US"/>
        </w:rPr>
        <w:t xml:space="preserve">observed concentrations </w:t>
      </w:r>
      <w:r w:rsidR="00E87930" w:rsidRPr="009440AD">
        <w:rPr>
          <w:lang w:val="en-US"/>
        </w:rPr>
        <w:t>(</w:t>
      </w:r>
      <w:r w:rsidR="00AA59A9" w:rsidRPr="009440AD">
        <w:rPr>
          <w:lang w:val="en-US"/>
        </w:rPr>
        <w:t>u</w:t>
      </w:r>
      <w:r w:rsidR="00255369" w:rsidRPr="009440AD">
        <w:rPr>
          <w:lang w:val="en-US"/>
        </w:rPr>
        <w:t xml:space="preserve">sed clinical studies are listed in </w:t>
      </w:r>
      <w:r w:rsidR="00E87930" w:rsidRPr="009440AD">
        <w:rPr>
          <w:lang w:val="en-US"/>
        </w:rPr>
        <w:t>Tab</w:t>
      </w:r>
      <w:r w:rsidR="005A5ECC" w:rsidRPr="009440AD">
        <w:rPr>
          <w:lang w:val="en-US"/>
        </w:rPr>
        <w:t>.</w:t>
      </w:r>
      <w:r w:rsidR="00E87930" w:rsidRPr="009440AD">
        <w:rPr>
          <w:lang w:val="en-US"/>
        </w:rPr>
        <w:t xml:space="preserve"> S</w:t>
      </w:r>
      <w:r w:rsidR="008B0C30">
        <w:rPr>
          <w:lang w:val="en-US"/>
        </w:rPr>
        <w:t>-</w:t>
      </w:r>
      <w:r w:rsidR="000F04E7" w:rsidRPr="009440AD">
        <w:rPr>
          <w:lang w:val="en-US"/>
        </w:rPr>
        <w:t>2</w:t>
      </w:r>
      <w:r w:rsidR="00E87930" w:rsidRPr="009440AD">
        <w:rPr>
          <w:lang w:val="en-US"/>
        </w:rPr>
        <w:t xml:space="preserve">) </w:t>
      </w:r>
      <w:r w:rsidRPr="009440AD">
        <w:rPr>
          <w:lang w:val="en-US"/>
        </w:rPr>
        <w:t>visually</w:t>
      </w:r>
      <w:r w:rsidR="00AD63D4" w:rsidRPr="009440AD">
        <w:rPr>
          <w:lang w:val="en-US"/>
        </w:rPr>
        <w:t xml:space="preserve"> and</w:t>
      </w:r>
      <w:r w:rsidRPr="009440AD">
        <w:rPr>
          <w:lang w:val="en-US"/>
        </w:rPr>
        <w:t xml:space="preserve"> the observed </w:t>
      </w:r>
      <w:r w:rsidR="00A65C54" w:rsidRPr="009440AD">
        <w:rPr>
          <w:lang w:val="en-US"/>
        </w:rPr>
        <w:t>pharmacokinetic parameters</w:t>
      </w:r>
      <w:r w:rsidRPr="009440AD">
        <w:rPr>
          <w:lang w:val="en-US"/>
        </w:rPr>
        <w:t xml:space="preserve"> w</w:t>
      </w:r>
      <w:r w:rsidR="00A65C54" w:rsidRPr="009440AD">
        <w:rPr>
          <w:lang w:val="en-US"/>
        </w:rPr>
        <w:t>ere</w:t>
      </w:r>
      <w:r w:rsidRPr="009440AD">
        <w:rPr>
          <w:lang w:val="en-US"/>
        </w:rPr>
        <w:t xml:space="preserve"> predicted within </w:t>
      </w:r>
      <w:r w:rsidR="00A65C54" w:rsidRPr="009440AD">
        <w:rPr>
          <w:lang w:val="en-US"/>
        </w:rPr>
        <w:t>2</w:t>
      </w:r>
      <w:r w:rsidRPr="009440AD">
        <w:rPr>
          <w:lang w:val="en-US"/>
        </w:rPr>
        <w:t xml:space="preserve">-fold. </w:t>
      </w:r>
      <w:r w:rsidR="003516FD" w:rsidRPr="009440AD">
        <w:rPr>
          <w:lang w:val="en-US"/>
        </w:rPr>
        <w:t xml:space="preserve">Afterwards, drug pharmacokinetics were </w:t>
      </w:r>
      <w:r w:rsidR="000C6788" w:rsidRPr="009440AD">
        <w:rPr>
          <w:lang w:val="en-US"/>
        </w:rPr>
        <w:t>simulated</w:t>
      </w:r>
      <w:r w:rsidR="003516FD" w:rsidRPr="009440AD">
        <w:rPr>
          <w:lang w:val="en-US"/>
        </w:rPr>
        <w:t xml:space="preserve"> in elderly adults aged </w:t>
      </w:r>
      <w:r w:rsidR="00930550" w:rsidRPr="009440AD">
        <w:rPr>
          <w:rFonts w:cs="Arial"/>
          <w:lang w:val="en-US"/>
        </w:rPr>
        <w:t>≥</w:t>
      </w:r>
      <w:r w:rsidR="00930550" w:rsidRPr="009440AD">
        <w:rPr>
          <w:lang w:val="en-US"/>
        </w:rPr>
        <w:t>65</w:t>
      </w:r>
      <w:r w:rsidR="003516FD" w:rsidRPr="009440AD">
        <w:rPr>
          <w:lang w:val="en-US"/>
        </w:rPr>
        <w:t xml:space="preserve"> years</w:t>
      </w:r>
      <w:r w:rsidR="004E5785" w:rsidRPr="009440AD">
        <w:rPr>
          <w:lang w:val="en-US"/>
        </w:rPr>
        <w:t xml:space="preserve"> without any modification of drug parameters</w:t>
      </w:r>
      <w:r w:rsidR="003516FD" w:rsidRPr="009440AD">
        <w:rPr>
          <w:lang w:val="en-US"/>
        </w:rPr>
        <w:t xml:space="preserve"> and the predictions were compared to </w:t>
      </w:r>
      <w:r w:rsidR="005C457D" w:rsidRPr="009440AD">
        <w:rPr>
          <w:lang w:val="en-US"/>
        </w:rPr>
        <w:t>clinical</w:t>
      </w:r>
      <w:r w:rsidR="009955AC" w:rsidRPr="009440AD">
        <w:rPr>
          <w:lang w:val="en-US"/>
        </w:rPr>
        <w:t>ly observed</w:t>
      </w:r>
      <w:r w:rsidR="003516FD" w:rsidRPr="009440AD">
        <w:rPr>
          <w:lang w:val="en-US"/>
        </w:rPr>
        <w:t xml:space="preserve"> data (Tab</w:t>
      </w:r>
      <w:r w:rsidR="005A5ECC" w:rsidRPr="009440AD">
        <w:rPr>
          <w:lang w:val="en-US"/>
        </w:rPr>
        <w:t>.</w:t>
      </w:r>
      <w:r w:rsidR="003516FD" w:rsidRPr="009440AD">
        <w:rPr>
          <w:lang w:val="en-US"/>
        </w:rPr>
        <w:t xml:space="preserve"> 1). </w:t>
      </w:r>
      <w:r w:rsidR="0062135C" w:rsidRPr="009440AD">
        <w:rPr>
          <w:lang w:val="en-US"/>
        </w:rPr>
        <w:t>Ten</w:t>
      </w:r>
      <w:r w:rsidR="00003E05" w:rsidRPr="009440AD">
        <w:rPr>
          <w:lang w:val="en-US"/>
        </w:rPr>
        <w:t xml:space="preserve"> drugs </w:t>
      </w:r>
      <w:r w:rsidR="00780DA9" w:rsidRPr="009440AD">
        <w:rPr>
          <w:lang w:val="en-US"/>
        </w:rPr>
        <w:t>commonly</w:t>
      </w:r>
      <w:r w:rsidR="00003E05" w:rsidRPr="009440AD">
        <w:rPr>
          <w:lang w:val="en-US"/>
        </w:rPr>
        <w:t xml:space="preserve"> used in the elderly and for which clinical pharmacokinetic data</w:t>
      </w:r>
      <w:r w:rsidR="00780DA9" w:rsidRPr="009440AD">
        <w:rPr>
          <w:lang w:val="en-US"/>
        </w:rPr>
        <w:t xml:space="preserve"> have been</w:t>
      </w:r>
      <w:r w:rsidR="00003E05" w:rsidRPr="009440AD">
        <w:rPr>
          <w:lang w:val="en-US"/>
        </w:rPr>
        <w:t xml:space="preserve"> published</w:t>
      </w:r>
      <w:r w:rsidR="00031A3F" w:rsidRPr="009440AD">
        <w:rPr>
          <w:lang w:val="en-US"/>
        </w:rPr>
        <w:t xml:space="preserve"> in study participants older than 65 years</w:t>
      </w:r>
      <w:r w:rsidR="00003E05" w:rsidRPr="009440AD">
        <w:rPr>
          <w:lang w:val="en-US"/>
        </w:rPr>
        <w:t>, were investigated</w:t>
      </w:r>
      <w:r w:rsidR="00031A3F" w:rsidRPr="009440AD">
        <w:rPr>
          <w:lang w:val="en-US"/>
        </w:rPr>
        <w:t xml:space="preserve">. The enzymes and transporters involved in the disposition of the </w:t>
      </w:r>
      <w:r w:rsidR="00E90153" w:rsidRPr="009440AD">
        <w:rPr>
          <w:lang w:val="en-US"/>
        </w:rPr>
        <w:t>ten</w:t>
      </w:r>
      <w:r w:rsidR="00031A3F" w:rsidRPr="009440AD">
        <w:rPr>
          <w:lang w:val="en-US"/>
        </w:rPr>
        <w:t xml:space="preserve"> investigated drugs </w:t>
      </w:r>
      <w:r w:rsidR="00B23708" w:rsidRPr="009440AD">
        <w:rPr>
          <w:lang w:val="en-US"/>
        </w:rPr>
        <w:t xml:space="preserve">as well as references to clinical studies used to verify the simulations </w:t>
      </w:r>
      <w:r w:rsidR="00031A3F" w:rsidRPr="009440AD">
        <w:rPr>
          <w:lang w:val="en-US"/>
        </w:rPr>
        <w:t>can be found in the supplement (</w:t>
      </w:r>
      <w:r w:rsidR="003516FD" w:rsidRPr="009440AD">
        <w:rPr>
          <w:lang w:val="en-US"/>
        </w:rPr>
        <w:t>Tab</w:t>
      </w:r>
      <w:r w:rsidR="005A5ECC" w:rsidRPr="009440AD">
        <w:rPr>
          <w:lang w:val="en-US"/>
        </w:rPr>
        <w:t>.</w:t>
      </w:r>
      <w:r w:rsidR="003516FD" w:rsidRPr="009440AD">
        <w:rPr>
          <w:lang w:val="en-US"/>
        </w:rPr>
        <w:t xml:space="preserve"> </w:t>
      </w:r>
      <w:r w:rsidR="00930550" w:rsidRPr="009440AD">
        <w:rPr>
          <w:lang w:val="en-US"/>
        </w:rPr>
        <w:t>S</w:t>
      </w:r>
      <w:r w:rsidR="009440AD" w:rsidRPr="009440AD">
        <w:rPr>
          <w:lang w:val="en-US"/>
        </w:rPr>
        <w:t>-</w:t>
      </w:r>
      <w:r w:rsidR="00930550" w:rsidRPr="009440AD">
        <w:rPr>
          <w:lang w:val="en-US"/>
        </w:rPr>
        <w:t xml:space="preserve">1 and </w:t>
      </w:r>
      <w:r w:rsidR="003516FD" w:rsidRPr="009440AD">
        <w:rPr>
          <w:lang w:val="en-US"/>
        </w:rPr>
        <w:t>S</w:t>
      </w:r>
      <w:r w:rsidR="009440AD" w:rsidRPr="009440AD">
        <w:rPr>
          <w:lang w:val="en-US"/>
        </w:rPr>
        <w:t>-</w:t>
      </w:r>
      <w:r w:rsidR="000F04E7" w:rsidRPr="009440AD">
        <w:rPr>
          <w:lang w:val="en-US"/>
        </w:rPr>
        <w:t>2</w:t>
      </w:r>
      <w:r w:rsidR="00031A3F" w:rsidRPr="009440AD">
        <w:rPr>
          <w:lang w:val="en-US"/>
        </w:rPr>
        <w:t>)</w:t>
      </w:r>
      <w:r w:rsidR="00003E05" w:rsidRPr="009440AD">
        <w:rPr>
          <w:lang w:val="en-US"/>
        </w:rPr>
        <w:t>.</w:t>
      </w:r>
    </w:p>
    <w:p w14:paraId="0128B953" w14:textId="77777777" w:rsidR="00A16587" w:rsidRPr="009440AD" w:rsidRDefault="00A16587" w:rsidP="00C775B2">
      <w:pPr>
        <w:pStyle w:val="Heading3"/>
        <w:rPr>
          <w:lang w:val="en-US"/>
        </w:rPr>
      </w:pPr>
      <w:r w:rsidRPr="009440AD">
        <w:rPr>
          <w:lang w:val="en-US"/>
        </w:rPr>
        <w:t>Midazolam</w:t>
      </w:r>
    </w:p>
    <w:p w14:paraId="2F90E3F4" w14:textId="1F12D1F1" w:rsidR="00C006CF" w:rsidRPr="009440AD" w:rsidRDefault="004E5785" w:rsidP="00701574">
      <w:pPr>
        <w:rPr>
          <w:lang w:val="en-US"/>
        </w:rPr>
      </w:pPr>
      <w:bookmarkStart w:id="12" w:name="_Hlk15875466"/>
      <w:r w:rsidRPr="009440AD">
        <w:rPr>
          <w:lang w:val="en-US"/>
        </w:rPr>
        <w:t>The benzodiazepine m</w:t>
      </w:r>
      <w:r w:rsidR="0036378F" w:rsidRPr="009440AD">
        <w:rPr>
          <w:lang w:val="en-US"/>
        </w:rPr>
        <w:t xml:space="preserve">idazolam is </w:t>
      </w:r>
      <w:r w:rsidR="00EB394B" w:rsidRPr="009440AD">
        <w:rPr>
          <w:lang w:val="en-US"/>
        </w:rPr>
        <w:t>pre</w:t>
      </w:r>
      <w:r w:rsidR="0036378F" w:rsidRPr="009440AD">
        <w:rPr>
          <w:lang w:val="en-US"/>
        </w:rPr>
        <w:t>dominantly metabolized by CYP3A (95.2%) and to</w:t>
      </w:r>
      <w:r w:rsidR="009D0FCE" w:rsidRPr="009440AD">
        <w:rPr>
          <w:lang w:val="en-US"/>
        </w:rPr>
        <w:t xml:space="preserve"> a</w:t>
      </w:r>
      <w:r w:rsidR="0036378F" w:rsidRPr="009440AD">
        <w:rPr>
          <w:lang w:val="en-US"/>
        </w:rPr>
        <w:t xml:space="preserve"> less</w:t>
      </w:r>
      <w:r w:rsidR="009D0FCE" w:rsidRPr="009440AD">
        <w:rPr>
          <w:lang w:val="en-US"/>
        </w:rPr>
        <w:t>er</w:t>
      </w:r>
      <w:r w:rsidR="0036378F" w:rsidRPr="009440AD">
        <w:rPr>
          <w:lang w:val="en-US"/>
        </w:rPr>
        <w:t xml:space="preserve"> </w:t>
      </w:r>
      <w:r w:rsidR="000F04E7" w:rsidRPr="009440AD">
        <w:rPr>
          <w:lang w:val="en-US"/>
        </w:rPr>
        <w:t>extent</w:t>
      </w:r>
      <w:r w:rsidR="0036378F" w:rsidRPr="009440AD">
        <w:rPr>
          <w:lang w:val="en-US"/>
        </w:rPr>
        <w:t xml:space="preserve"> by UGT1A1 (4.7%). The remaining 0.1%</w:t>
      </w:r>
      <w:r w:rsidR="0067201F" w:rsidRPr="009440AD">
        <w:rPr>
          <w:lang w:val="en-US"/>
        </w:rPr>
        <w:t xml:space="preserve"> of midazolam</w:t>
      </w:r>
      <w:r w:rsidR="0036378F" w:rsidRPr="009440AD">
        <w:rPr>
          <w:lang w:val="en-US"/>
        </w:rPr>
        <w:t xml:space="preserve"> is excreted via glomerular filtration</w:t>
      </w:r>
      <w:r w:rsidR="00C56536" w:rsidRPr="009440AD">
        <w:rPr>
          <w:lang w:val="en-US"/>
        </w:rPr>
        <w:t xml:space="preserve"> </w:t>
      </w:r>
      <w:r w:rsidR="008C289C" w:rsidRPr="009440AD">
        <w:rPr>
          <w:lang w:val="en-US"/>
        </w:rPr>
        <w:fldChar w:fldCharType="begin"/>
      </w:r>
      <w:r w:rsidR="008E484D" w:rsidRPr="009440AD">
        <w:rPr>
          <w:lang w:val="en-US"/>
        </w:rPr>
        <w:instrText xml:space="preserve"> ADDIN EN.CITE &lt;EndNote&gt;&lt;Cite&gt;&lt;Author&gt;Rowland-Yeo&lt;/Author&gt;&lt;Year&gt;2011&lt;/Year&gt;&lt;RecNum&gt;934&lt;/RecNum&gt;&lt;DisplayText&gt;[18]&lt;/DisplayText&gt;&lt;record&gt;&lt;rec-number&gt;934&lt;/rec-number&gt;&lt;foreign-keys&gt;&lt;key app="EN" db-id="vawz9xpv5prvt3ed92pxtvpjzzf095ze0r5f" timestamp="1502187280"&gt;934&lt;/key&gt;&lt;/foreign-keys&gt;&lt;ref-type name="Journal Article"&gt;17&lt;/ref-type&gt;&lt;contributors&gt;&lt;authors&gt;&lt;author&gt;Rowland-Yeo, K &lt;/author&gt;&lt;author&gt;Walsky, RL&lt;/author&gt;&lt;author&gt;Jamei, M&lt;/author&gt;&lt;author&gt;Rostami-Hodjegan, A&lt;/author&gt;&lt;author&gt;Tucker, GT&lt;/author&gt;&lt;/authors&gt;&lt;/contributors&gt;&lt;titles&gt;&lt;title&gt;Prediction of time-dependent CYP3A4 drug–drug interactions by physiologically based pharmacokinetic modelling: impact of inactivation parameters and enzyme turnover&lt;/title&gt;&lt;secondary-title&gt;European Journal of Pharmaceutical Sciences&lt;/secondary-title&gt;&lt;/titles&gt;&lt;periodical&gt;&lt;full-title&gt;European Journal of Pharmaceutical Sciences&lt;/full-title&gt;&lt;/periodical&gt;&lt;pages&gt;160-173&lt;/pages&gt;&lt;volume&gt;43&lt;/volume&gt;&lt;number&gt;3&lt;/number&gt;&lt;keywords&gt;&lt;keyword&gt;PBPK&lt;/keyword&gt;&lt;keyword&gt;CYP&lt;/keyword&gt;&lt;keyword&gt;tunrover&lt;/keyword&gt;&lt;/keywords&gt;&lt;dates&gt;&lt;year&gt;2011&lt;/year&gt;&lt;/dates&gt;&lt;isbn&gt;0928-0987&lt;/isbn&gt;&lt;urls&gt;&lt;/urls&gt;&lt;/record&gt;&lt;/Cite&gt;&lt;/EndNote&gt;</w:instrText>
      </w:r>
      <w:r w:rsidR="008C289C" w:rsidRPr="009440AD">
        <w:rPr>
          <w:lang w:val="en-US"/>
        </w:rPr>
        <w:fldChar w:fldCharType="separate"/>
      </w:r>
      <w:r w:rsidR="008E484D" w:rsidRPr="009440AD">
        <w:rPr>
          <w:noProof/>
          <w:lang w:val="en-US"/>
        </w:rPr>
        <w:t>[18]</w:t>
      </w:r>
      <w:r w:rsidR="008C289C" w:rsidRPr="009440AD">
        <w:rPr>
          <w:lang w:val="en-US"/>
        </w:rPr>
        <w:fldChar w:fldCharType="end"/>
      </w:r>
      <w:bookmarkEnd w:id="12"/>
      <w:r w:rsidR="0036378F" w:rsidRPr="009440AD">
        <w:rPr>
          <w:lang w:val="en-US"/>
        </w:rPr>
        <w:t xml:space="preserve">. </w:t>
      </w:r>
      <w:bookmarkStart w:id="13" w:name="_Hlk16151114"/>
      <w:r w:rsidR="00255369" w:rsidRPr="009440AD">
        <w:rPr>
          <w:lang w:val="en-US"/>
        </w:rPr>
        <w:t>Clinically observed data of a</w:t>
      </w:r>
      <w:r w:rsidRPr="005902A1">
        <w:rPr>
          <w:lang w:val="en-US"/>
        </w:rPr>
        <w:t xml:space="preserve"> single oral dose </w:t>
      </w:r>
      <w:r w:rsidRPr="0050587F">
        <w:rPr>
          <w:lang w:val="en-US"/>
        </w:rPr>
        <w:t>of m</w:t>
      </w:r>
      <w:r w:rsidR="0036378F" w:rsidRPr="0050587F">
        <w:rPr>
          <w:lang w:val="en-US"/>
        </w:rPr>
        <w:t xml:space="preserve">idazolam </w:t>
      </w:r>
      <w:r w:rsidRPr="0050587F">
        <w:rPr>
          <w:lang w:val="en-US"/>
        </w:rPr>
        <w:t>(</w:t>
      </w:r>
      <w:r w:rsidR="000F04E7" w:rsidRPr="0050587F">
        <w:rPr>
          <w:lang w:val="en-US"/>
        </w:rPr>
        <w:t>4</w:t>
      </w:r>
      <w:r w:rsidRPr="0050587F">
        <w:rPr>
          <w:lang w:val="en-US"/>
        </w:rPr>
        <w:t xml:space="preserve"> mg</w:t>
      </w:r>
      <w:r w:rsidR="00040DB5" w:rsidRPr="0050587F">
        <w:rPr>
          <w:lang w:val="en-US"/>
        </w:rPr>
        <w:t xml:space="preserve"> in young and 3-4mg in the elderly</w:t>
      </w:r>
      <w:r w:rsidRPr="0050587F">
        <w:rPr>
          <w:lang w:val="en-US"/>
        </w:rPr>
        <w:t xml:space="preserve">) </w:t>
      </w:r>
      <w:r w:rsidR="00255369" w:rsidRPr="0050587F">
        <w:rPr>
          <w:lang w:val="en-US"/>
        </w:rPr>
        <w:t xml:space="preserve">were contained in the 95% prediction </w:t>
      </w:r>
      <w:r w:rsidR="00255369" w:rsidRPr="0065491D">
        <w:rPr>
          <w:lang w:val="en-US"/>
        </w:rPr>
        <w:t>interval for the PBPK simulations</w:t>
      </w:r>
      <w:r w:rsidR="0036378F" w:rsidRPr="0065491D">
        <w:rPr>
          <w:lang w:val="en-US"/>
        </w:rPr>
        <w:t xml:space="preserve"> </w:t>
      </w:r>
      <w:r w:rsidR="00930550" w:rsidRPr="0065491D">
        <w:rPr>
          <w:lang w:val="en-US"/>
        </w:rPr>
        <w:t>in both age groups</w:t>
      </w:r>
      <w:r w:rsidR="0036378F" w:rsidRPr="0065491D">
        <w:rPr>
          <w:lang w:val="en-US"/>
        </w:rPr>
        <w:t xml:space="preserve"> </w:t>
      </w:r>
      <w:bookmarkEnd w:id="13"/>
      <w:r w:rsidR="0036378F" w:rsidRPr="0065491D">
        <w:rPr>
          <w:lang w:val="en-US"/>
        </w:rPr>
        <w:t>(Fig</w:t>
      </w:r>
      <w:r w:rsidR="005A5ECC" w:rsidRPr="009440AD">
        <w:rPr>
          <w:lang w:val="en-US"/>
        </w:rPr>
        <w:t>.</w:t>
      </w:r>
      <w:r w:rsidR="0036378F" w:rsidRPr="009440AD">
        <w:rPr>
          <w:lang w:val="en-US"/>
        </w:rPr>
        <w:t xml:space="preserve"> </w:t>
      </w:r>
      <w:r w:rsidR="002813A5" w:rsidRPr="009440AD">
        <w:rPr>
          <w:lang w:val="en-US"/>
        </w:rPr>
        <w:t>2</w:t>
      </w:r>
      <w:r w:rsidR="0036378F" w:rsidRPr="009440AD">
        <w:rPr>
          <w:lang w:val="en-US"/>
        </w:rPr>
        <w:t>a</w:t>
      </w:r>
      <w:r w:rsidR="00C775B2" w:rsidRPr="009440AD">
        <w:rPr>
          <w:lang w:val="en-US"/>
        </w:rPr>
        <w:t xml:space="preserve"> and b</w:t>
      </w:r>
      <w:r w:rsidR="0036378F" w:rsidRPr="009440AD">
        <w:rPr>
          <w:lang w:val="en-US"/>
        </w:rPr>
        <w:t xml:space="preserve">). </w:t>
      </w:r>
      <w:bookmarkStart w:id="14" w:name="_Hlk16581402"/>
      <w:r w:rsidR="00165813" w:rsidRPr="009440AD">
        <w:rPr>
          <w:lang w:val="en-US"/>
        </w:rPr>
        <w:t>Pharmacokinetic parameters were normalized to 4 mg for comparison between both age groups</w:t>
      </w:r>
      <w:bookmarkEnd w:id="14"/>
      <w:r w:rsidR="00165813" w:rsidRPr="009440AD">
        <w:rPr>
          <w:lang w:val="en-US"/>
        </w:rPr>
        <w:t xml:space="preserve">. </w:t>
      </w:r>
      <w:r w:rsidR="00C775B2" w:rsidRPr="009440AD">
        <w:rPr>
          <w:lang w:val="en-US"/>
        </w:rPr>
        <w:t xml:space="preserve">Predicted </w:t>
      </w:r>
      <w:r w:rsidR="0036378F" w:rsidRPr="009440AD">
        <w:rPr>
          <w:lang w:val="en-US"/>
        </w:rPr>
        <w:t>AUC was in close agreement to the observed clinical data in young (</w:t>
      </w:r>
      <w:r w:rsidR="00C775B2" w:rsidRPr="009440AD">
        <w:rPr>
          <w:lang w:val="en-US"/>
        </w:rPr>
        <w:t>44.1</w:t>
      </w:r>
      <w:r w:rsidR="0036378F" w:rsidRPr="009440AD">
        <w:rPr>
          <w:lang w:val="en-US"/>
        </w:rPr>
        <w:t xml:space="preserve"> </w:t>
      </w:r>
      <w:r w:rsidR="0036378F" w:rsidRPr="009440AD">
        <w:rPr>
          <w:rFonts w:cs="Arial"/>
          <w:lang w:val="en-US"/>
        </w:rPr>
        <w:t>±</w:t>
      </w:r>
      <w:r w:rsidR="0036378F" w:rsidRPr="009440AD">
        <w:rPr>
          <w:lang w:val="en-US"/>
        </w:rPr>
        <w:t xml:space="preserve"> </w:t>
      </w:r>
      <w:r w:rsidR="00C775B2" w:rsidRPr="009440AD">
        <w:rPr>
          <w:lang w:val="en-US"/>
        </w:rPr>
        <w:t>23.2</w:t>
      </w:r>
      <w:r w:rsidR="0036378F" w:rsidRPr="009440AD">
        <w:rPr>
          <w:lang w:val="en-US"/>
        </w:rPr>
        <w:t xml:space="preserve"> ng*h/mL vs </w:t>
      </w:r>
      <w:r w:rsidR="00C775B2" w:rsidRPr="009440AD">
        <w:rPr>
          <w:lang w:val="en-US"/>
        </w:rPr>
        <w:t>50.9</w:t>
      </w:r>
      <w:r w:rsidR="0036378F" w:rsidRPr="009440AD">
        <w:rPr>
          <w:lang w:val="en-US"/>
        </w:rPr>
        <w:t xml:space="preserve"> </w:t>
      </w:r>
      <w:r w:rsidR="0036378F" w:rsidRPr="009440AD">
        <w:rPr>
          <w:rFonts w:cs="Arial"/>
          <w:lang w:val="en-US"/>
        </w:rPr>
        <w:t>±</w:t>
      </w:r>
      <w:r w:rsidR="0036378F" w:rsidRPr="009440AD">
        <w:rPr>
          <w:lang w:val="en-US"/>
        </w:rPr>
        <w:t xml:space="preserve"> </w:t>
      </w:r>
      <w:r w:rsidR="00C775B2" w:rsidRPr="009440AD">
        <w:rPr>
          <w:lang w:val="en-US"/>
        </w:rPr>
        <w:t>19.1</w:t>
      </w:r>
      <w:r w:rsidR="0036378F" w:rsidRPr="009440AD">
        <w:rPr>
          <w:lang w:val="en-US"/>
        </w:rPr>
        <w:t xml:space="preserve"> ng*h/mL) and elderly adults (</w:t>
      </w:r>
      <w:r w:rsidR="00C775B2" w:rsidRPr="009440AD">
        <w:rPr>
          <w:lang w:val="en-US"/>
        </w:rPr>
        <w:t>42.9</w:t>
      </w:r>
      <w:r w:rsidR="0036378F" w:rsidRPr="009440AD">
        <w:rPr>
          <w:lang w:val="en-US"/>
        </w:rPr>
        <w:t xml:space="preserve"> </w:t>
      </w:r>
      <w:r w:rsidR="0036378F" w:rsidRPr="009440AD">
        <w:rPr>
          <w:rFonts w:cs="Arial"/>
          <w:lang w:val="en-US"/>
        </w:rPr>
        <w:t>±</w:t>
      </w:r>
      <w:r w:rsidR="0036378F" w:rsidRPr="009440AD">
        <w:rPr>
          <w:lang w:val="en-US"/>
        </w:rPr>
        <w:t xml:space="preserve"> </w:t>
      </w:r>
      <w:r w:rsidR="00C775B2" w:rsidRPr="009440AD">
        <w:rPr>
          <w:lang w:val="en-US"/>
        </w:rPr>
        <w:t>17.2</w:t>
      </w:r>
      <w:r w:rsidR="0036378F" w:rsidRPr="009440AD">
        <w:rPr>
          <w:lang w:val="en-US"/>
        </w:rPr>
        <w:t xml:space="preserve"> ng*h/mL vs </w:t>
      </w:r>
      <w:r w:rsidR="00C775B2" w:rsidRPr="009440AD">
        <w:rPr>
          <w:lang w:val="en-US"/>
        </w:rPr>
        <w:t>54.8</w:t>
      </w:r>
      <w:r w:rsidR="0036378F" w:rsidRPr="009440AD">
        <w:rPr>
          <w:lang w:val="en-US"/>
        </w:rPr>
        <w:t xml:space="preserve"> </w:t>
      </w:r>
      <w:r w:rsidR="0036378F" w:rsidRPr="009440AD">
        <w:rPr>
          <w:rFonts w:cs="Arial"/>
          <w:lang w:val="en-US"/>
        </w:rPr>
        <w:t>±</w:t>
      </w:r>
      <w:r w:rsidR="0036378F" w:rsidRPr="009440AD">
        <w:rPr>
          <w:lang w:val="en-US"/>
        </w:rPr>
        <w:t xml:space="preserve"> </w:t>
      </w:r>
      <w:r w:rsidR="00C775B2" w:rsidRPr="009440AD">
        <w:rPr>
          <w:lang w:val="en-US"/>
        </w:rPr>
        <w:t>22.5</w:t>
      </w:r>
      <w:r w:rsidR="0036378F" w:rsidRPr="009440AD">
        <w:rPr>
          <w:lang w:val="en-US"/>
        </w:rPr>
        <w:t xml:space="preserve"> ng*h/mL) </w:t>
      </w:r>
      <w:r w:rsidR="00C006CF" w:rsidRPr="009440AD">
        <w:rPr>
          <w:lang w:val="en-US"/>
        </w:rPr>
        <w:t>including the observed variability</w:t>
      </w:r>
      <w:r w:rsidR="00A740DE" w:rsidRPr="009440AD">
        <w:rPr>
          <w:lang w:val="en-US"/>
        </w:rPr>
        <w:t xml:space="preserve"> </w:t>
      </w:r>
      <w:r w:rsidR="008C289C" w:rsidRPr="009440AD">
        <w:rPr>
          <w:lang w:val="en-US"/>
        </w:rPr>
        <w:fldChar w:fldCharType="begin">
          <w:fldData xml:space="preserve">PEVuZE5vdGU+PENpdGU+PEF1dGhvcj5HcmVlbmJsYXR0PC9BdXRob3I+PFllYXI+MTk4NDwvWWVh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==
</w:fldData>
        </w:fldChar>
      </w:r>
      <w:r w:rsidR="00BC4B32" w:rsidRPr="009440AD">
        <w:rPr>
          <w:lang w:val="en-US"/>
        </w:rPr>
        <w:instrText xml:space="preserve"> ADDIN EN.CITE </w:instrText>
      </w:r>
      <w:r w:rsidR="00BC4B32" w:rsidRPr="006B495B">
        <w:rPr>
          <w:lang w:val="en-US"/>
        </w:rPr>
        <w:fldChar w:fldCharType="begin">
          <w:fldData xml:space="preserve">PEVuZE5vdGU+PENpdGU+PEF1dGhvcj5HcmVlbmJsYXR0PC9BdXRob3I+PFllYXI+MTk4NDwvWWVh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==
</w:fldData>
        </w:fldChar>
      </w:r>
      <w:r w:rsidR="00BC4B32" w:rsidRPr="009440AD">
        <w:rPr>
          <w:lang w:val="en-US"/>
        </w:rPr>
        <w:instrText xml:space="preserve"> ADDIN EN.CITE.DATA </w:instrText>
      </w:r>
      <w:r w:rsidR="00BC4B32" w:rsidRPr="006B495B">
        <w:rPr>
          <w:lang w:val="en-US"/>
        </w:rPr>
      </w:r>
      <w:r w:rsidR="00BC4B32" w:rsidRPr="006B495B">
        <w:rPr>
          <w:lang w:val="en-US"/>
        </w:rPr>
        <w:fldChar w:fldCharType="end"/>
      </w:r>
      <w:r w:rsidR="008C289C" w:rsidRPr="009440AD">
        <w:rPr>
          <w:lang w:val="en-US"/>
        </w:rPr>
      </w:r>
      <w:r w:rsidR="008C289C" w:rsidRPr="009440AD">
        <w:rPr>
          <w:lang w:val="en-US"/>
        </w:rPr>
        <w:fldChar w:fldCharType="separate"/>
      </w:r>
      <w:r w:rsidR="00BC4B32" w:rsidRPr="009440AD">
        <w:rPr>
          <w:noProof/>
          <w:lang w:val="en-US"/>
        </w:rPr>
        <w:t>[34, 35]</w:t>
      </w:r>
      <w:r w:rsidR="008C289C" w:rsidRPr="009440AD">
        <w:rPr>
          <w:lang w:val="en-US"/>
        </w:rPr>
        <w:fldChar w:fldCharType="end"/>
      </w:r>
      <w:r w:rsidR="008C289C" w:rsidRPr="009440AD">
        <w:rPr>
          <w:lang w:val="en-US"/>
        </w:rPr>
        <w:t>.</w:t>
      </w:r>
      <w:r w:rsidR="00C006CF" w:rsidRPr="009440AD">
        <w:rPr>
          <w:lang w:val="en-US"/>
        </w:rPr>
        <w:t xml:space="preserve"> The ratio elderly/young for</w:t>
      </w:r>
      <w:r w:rsidR="00C25D42" w:rsidRPr="009440AD">
        <w:rPr>
          <w:lang w:val="en-US"/>
        </w:rPr>
        <w:t xml:space="preserve"> </w:t>
      </w:r>
      <w:proofErr w:type="spellStart"/>
      <w:r w:rsidR="00C006CF" w:rsidRPr="009440AD">
        <w:rPr>
          <w:lang w:val="en-US"/>
        </w:rPr>
        <w:t>C</w:t>
      </w:r>
      <w:r w:rsidR="00C006CF" w:rsidRPr="009440AD">
        <w:rPr>
          <w:vertAlign w:val="subscript"/>
          <w:lang w:val="en-US"/>
        </w:rPr>
        <w:t>max</w:t>
      </w:r>
      <w:proofErr w:type="spellEnd"/>
      <w:r w:rsidR="00687EFC" w:rsidRPr="009440AD">
        <w:rPr>
          <w:lang w:val="en-US"/>
        </w:rPr>
        <w:t xml:space="preserve"> </w:t>
      </w:r>
      <w:r w:rsidR="00C006CF" w:rsidRPr="009440AD">
        <w:rPr>
          <w:lang w:val="en-US"/>
        </w:rPr>
        <w:t xml:space="preserve">and </w:t>
      </w:r>
      <w:proofErr w:type="spellStart"/>
      <w:r w:rsidR="00780DA9" w:rsidRPr="009440AD">
        <w:rPr>
          <w:lang w:val="en-US"/>
        </w:rPr>
        <w:t>t</w:t>
      </w:r>
      <w:r w:rsidR="00C006CF" w:rsidRPr="009440AD">
        <w:rPr>
          <w:vertAlign w:val="subscript"/>
          <w:lang w:val="en-US"/>
        </w:rPr>
        <w:t>max</w:t>
      </w:r>
      <w:proofErr w:type="spellEnd"/>
      <w:r w:rsidR="00C006CF" w:rsidRPr="009440AD">
        <w:rPr>
          <w:lang w:val="en-US"/>
        </w:rPr>
        <w:t xml:space="preserve"> was predicted to be within the 1.25-fold interval (</w:t>
      </w:r>
      <w:proofErr w:type="spellStart"/>
      <w:r w:rsidR="00C006CF" w:rsidRPr="009440AD">
        <w:rPr>
          <w:lang w:val="en-US"/>
        </w:rPr>
        <w:t>predicted:observed</w:t>
      </w:r>
      <w:proofErr w:type="spellEnd"/>
      <w:r w:rsidR="00C006CF" w:rsidRPr="009440AD">
        <w:rPr>
          <w:lang w:val="en-US"/>
        </w:rPr>
        <w:t xml:space="preserve"> ratio: </w:t>
      </w:r>
      <w:r w:rsidR="00C775B2" w:rsidRPr="005902A1">
        <w:rPr>
          <w:lang w:val="en-US"/>
        </w:rPr>
        <w:t>0.98</w:t>
      </w:r>
      <w:r w:rsidR="00C006CF" w:rsidRPr="0050587F">
        <w:rPr>
          <w:lang w:val="en-US"/>
        </w:rPr>
        <w:t xml:space="preserve"> and 0.8</w:t>
      </w:r>
      <w:r w:rsidR="00C775B2" w:rsidRPr="0050587F">
        <w:rPr>
          <w:lang w:val="en-US"/>
        </w:rPr>
        <w:t>7</w:t>
      </w:r>
      <w:r w:rsidR="00C006CF" w:rsidRPr="0050587F">
        <w:rPr>
          <w:lang w:val="en-US"/>
        </w:rPr>
        <w:t>, respectively)</w:t>
      </w:r>
      <w:r w:rsidR="00930550" w:rsidRPr="0050587F">
        <w:rPr>
          <w:lang w:val="en-US"/>
        </w:rPr>
        <w:t>, while</w:t>
      </w:r>
      <w:r w:rsidR="00C006CF" w:rsidRPr="0050587F">
        <w:rPr>
          <w:lang w:val="en-US"/>
        </w:rPr>
        <w:t xml:space="preserve"> </w:t>
      </w:r>
      <w:r w:rsidR="00930550" w:rsidRPr="0050587F">
        <w:rPr>
          <w:lang w:val="en-US"/>
        </w:rPr>
        <w:t>t</w:t>
      </w:r>
      <w:r w:rsidR="00C006CF" w:rsidRPr="0050587F">
        <w:rPr>
          <w:vertAlign w:val="subscript"/>
          <w:lang w:val="en-US"/>
        </w:rPr>
        <w:t>1/2</w:t>
      </w:r>
      <w:r w:rsidR="00C006CF" w:rsidRPr="0050587F">
        <w:rPr>
          <w:lang w:val="en-US"/>
        </w:rPr>
        <w:t xml:space="preserve"> of midazolam was </w:t>
      </w:r>
      <w:r w:rsidR="00C775B2" w:rsidRPr="0050587F">
        <w:rPr>
          <w:lang w:val="en-US"/>
        </w:rPr>
        <w:t>over-</w:t>
      </w:r>
      <w:r w:rsidR="00C006CF" w:rsidRPr="0050587F">
        <w:rPr>
          <w:lang w:val="en-US"/>
        </w:rPr>
        <w:t xml:space="preserve">predicted in </w:t>
      </w:r>
      <w:r w:rsidR="00C775B2" w:rsidRPr="0050587F">
        <w:rPr>
          <w:lang w:val="en-US"/>
        </w:rPr>
        <w:t>both age groups</w:t>
      </w:r>
      <w:r w:rsidR="00C006CF" w:rsidRPr="0050587F">
        <w:rPr>
          <w:lang w:val="en-US"/>
        </w:rPr>
        <w:t xml:space="preserve"> (</w:t>
      </w:r>
      <w:proofErr w:type="spellStart"/>
      <w:r w:rsidR="00C006CF" w:rsidRPr="0050587F">
        <w:rPr>
          <w:lang w:val="en-US"/>
        </w:rPr>
        <w:t>predicted:observed</w:t>
      </w:r>
      <w:proofErr w:type="spellEnd"/>
      <w:r w:rsidR="00C006CF" w:rsidRPr="0050587F">
        <w:rPr>
          <w:lang w:val="en-US"/>
        </w:rPr>
        <w:t xml:space="preserve"> ratio: </w:t>
      </w:r>
      <w:r w:rsidR="00C775B2" w:rsidRPr="0050587F">
        <w:rPr>
          <w:lang w:val="en-US"/>
        </w:rPr>
        <w:t>1.30 and 1.89</w:t>
      </w:r>
      <w:r w:rsidR="00C006CF" w:rsidRPr="0050587F">
        <w:rPr>
          <w:lang w:val="en-US"/>
        </w:rPr>
        <w:t>)</w:t>
      </w:r>
      <w:r w:rsidR="00C775B2" w:rsidRPr="0050587F">
        <w:rPr>
          <w:lang w:val="en-US"/>
        </w:rPr>
        <w:t xml:space="preserve"> </w:t>
      </w:r>
      <w:r w:rsidRPr="009440AD">
        <w:rPr>
          <w:lang w:val="en-US"/>
        </w:rPr>
        <w:fldChar w:fldCharType="begin"/>
      </w:r>
      <w:r w:rsidR="00BC4B32" w:rsidRPr="009440AD">
        <w:rPr>
          <w:lang w:val="en-US"/>
        </w:rPr>
        <w:instrText xml:space="preserve"> ADDIN EN.CITE &lt;EndNote&gt;&lt;Cite&gt;&lt;Author&gt;Greenblatt&lt;/Author&gt;&lt;Year&gt;1984&lt;/Year&gt;&lt;RecNum&gt;248&lt;/RecNum&gt;&lt;DisplayText&gt;[34]&lt;/DisplayText&gt;&lt;record&gt;&lt;rec-number&gt;248&lt;/rec-number&gt;&lt;foreign-keys&gt;&lt;key app="EN" db-id="vawz9xpv5prvt3ed92pxtvpjzzf095ze0r5f" timestamp="1488194558"&gt;248&lt;/key&gt;&lt;/foreign-keys&gt;&lt;ref-type name="Journal Article"&gt;17&lt;/ref-type&gt;&lt;contributors&gt;&lt;authors&gt;&lt;author&gt;Greenblatt, David J&lt;/author&gt;&lt;author&gt;Abernethy, Darrell R&lt;/author&gt;&lt;author&gt;Locniskar, Ann&lt;/author&gt;&lt;author&gt;Harmatz, Jerold S&lt;/author&gt;&lt;author&gt;Limjuco, Raul A&lt;/author&gt;&lt;author&gt;Shader, Richard I&lt;/author&gt;&lt;/authors&gt;&lt;/contributors&gt;&lt;titles&gt;&lt;title&gt;Effect of age, gender, and obesity on midazolam kinetics&lt;/title&gt;&lt;secondary-title&gt;Anesthesiology&lt;/secondary-title&gt;&lt;/titles&gt;&lt;periodical&gt;&lt;full-title&gt;Anesthesiology&lt;/full-title&gt;&lt;/periodical&gt;&lt;pages&gt;27-35&lt;/pages&gt;&lt;volume&gt;61&lt;/volume&gt;&lt;number&gt;1&lt;/number&gt;&lt;keywords&gt;&lt;keyword&gt;geriatric&lt;/keyword&gt;&lt;keyword&gt;midazolam&lt;/keyword&gt;&lt;keyword&gt;PK&lt;/keyword&gt;&lt;/keywords&gt;&lt;dates&gt;&lt;year&gt;1984&lt;/year&gt;&lt;/dates&gt;&lt;isbn&gt;0003-3022&lt;/isbn&gt;&lt;urls&gt;&lt;/urls&gt;&lt;/record&gt;&lt;/Cite&gt;&lt;/EndNote&gt;</w:instrText>
      </w:r>
      <w:r w:rsidRPr="009440AD">
        <w:rPr>
          <w:lang w:val="en-US"/>
        </w:rPr>
        <w:fldChar w:fldCharType="separate"/>
      </w:r>
      <w:r w:rsidR="00BC4B32" w:rsidRPr="009440AD">
        <w:rPr>
          <w:noProof/>
          <w:lang w:val="en-US"/>
        </w:rPr>
        <w:t>[34]</w:t>
      </w:r>
      <w:r w:rsidRPr="009440AD">
        <w:rPr>
          <w:lang w:val="en-US"/>
        </w:rPr>
        <w:fldChar w:fldCharType="end"/>
      </w:r>
      <w:r w:rsidR="00C006CF" w:rsidRPr="009440AD">
        <w:rPr>
          <w:lang w:val="en-US"/>
        </w:rPr>
        <w:t>.</w:t>
      </w:r>
    </w:p>
    <w:p w14:paraId="6485E689" w14:textId="77777777" w:rsidR="00A16587" w:rsidRPr="0050587F" w:rsidRDefault="00A16587" w:rsidP="00C775B2">
      <w:pPr>
        <w:pStyle w:val="Heading3"/>
        <w:rPr>
          <w:lang w:val="en-US"/>
        </w:rPr>
      </w:pPr>
      <w:r w:rsidRPr="005902A1">
        <w:rPr>
          <w:lang w:val="en-US"/>
        </w:rPr>
        <w:t>Metoprolol</w:t>
      </w:r>
    </w:p>
    <w:p w14:paraId="4FC05108" w14:textId="2195EB16" w:rsidR="003516FD" w:rsidRPr="009440AD" w:rsidRDefault="00C006CF" w:rsidP="00701574">
      <w:pPr>
        <w:rPr>
          <w:lang w:val="en-US"/>
        </w:rPr>
      </w:pPr>
      <w:r w:rsidRPr="0065491D">
        <w:rPr>
          <w:lang w:val="en-US"/>
        </w:rPr>
        <w:t xml:space="preserve">Metoprolol is </w:t>
      </w:r>
      <w:r w:rsidR="00EB394B" w:rsidRPr="0065491D">
        <w:rPr>
          <w:lang w:val="en-US"/>
        </w:rPr>
        <w:t>pre</w:t>
      </w:r>
      <w:r w:rsidRPr="0065491D">
        <w:rPr>
          <w:lang w:val="en-US"/>
        </w:rPr>
        <w:t>dominantly metabolized by CYP2D6 (79.2%).</w:t>
      </w:r>
      <w:r w:rsidRPr="009440AD">
        <w:rPr>
          <w:lang w:val="en-US"/>
        </w:rPr>
        <w:t xml:space="preserve"> Other routes of metoprolol elimination involve CYP3A (13.7%) and renal clearance (7.1%)</w:t>
      </w:r>
      <w:r w:rsidR="00A740DE" w:rsidRPr="009440AD">
        <w:rPr>
          <w:lang w:val="en-US"/>
        </w:rPr>
        <w:t xml:space="preserve"> </w:t>
      </w:r>
      <w:r w:rsidR="008C289C" w:rsidRPr="009440AD">
        <w:rPr>
          <w:lang w:val="en-US"/>
        </w:rPr>
        <w:fldChar w:fldCharType="begin"/>
      </w:r>
      <w:r w:rsidR="008E484D" w:rsidRPr="009440AD">
        <w:rPr>
          <w:lang w:val="en-US"/>
        </w:rPr>
        <w:instrText xml:space="preserve"> ADDIN EN.CITE &lt;EndNote&gt;&lt;Cite&gt;&lt;Author&gt;Chetty&lt;/Author&gt;&lt;Year&gt;2014&lt;/Year&gt;&lt;RecNum&gt;1002&lt;/RecNum&gt;&lt;DisplayText&gt;[13]&lt;/DisplayText&gt;&lt;record&gt;&lt;rec-number&gt;1002&lt;/rec-number&gt;&lt;foreign-keys&gt;&lt;key app="EN" db-id="vawz9xpv5prvt3ed92pxtvpjzzf095ze0r5f" timestamp="1505221312"&gt;1002&lt;/key&gt;&lt;/foreign-keys&gt;&lt;ref-type name="Journal Article"&gt;17&lt;/ref-type&gt;&lt;contributors&gt;&lt;authors&gt;&lt;author&gt;Chetty, Manoranjenni&lt;/author&gt;&lt;author&gt;Rose, Rachel H&lt;/author&gt;&lt;author&gt;Abduljalil, Khaled&lt;/author&gt;&lt;author&gt;Patel, Nikunjkumar&lt;/author&gt;&lt;author&gt;Lu, Gaohua&lt;/author&gt;&lt;author&gt;Cain, Theresa&lt;/author&gt;&lt;author&gt;Jamei, Masoud&lt;/author&gt;&lt;author&gt;Rostami-Hodjegan, Amin&lt;/author&gt;&lt;/authors&gt;&lt;/contributors&gt;&lt;titles&gt;&lt;title&gt;Applications of linking PBPK and PD models to predict the impact of genotypic variability, formulation differences, differences in target binding capacity and target site drug concentrations on drug responses and variability&lt;/title&gt;&lt;secondary-title&gt;Frontiers in Pharmacology&lt;/secondary-title&gt;&lt;/titles&gt;&lt;periodical&gt;&lt;full-title&gt;Frontiers in pharmacology&lt;/full-title&gt;&lt;/periodical&gt;&lt;pages&gt;1-14&lt;/pages&gt;&lt;volume&gt;5&lt;/volume&gt;&lt;number&gt;258&lt;/number&gt;&lt;keywords&gt;&lt;keyword&gt;PBPK&lt;/keyword&gt;&lt;keyword&gt;drug models&lt;/keyword&gt;&lt;/keywords&gt;&lt;dates&gt;&lt;year&gt;2014&lt;/year&gt;&lt;/dates&gt;&lt;urls&gt;&lt;/urls&gt;&lt;/record&gt;&lt;/Cite&gt;&lt;/EndNote&gt;</w:instrText>
      </w:r>
      <w:r w:rsidR="008C289C" w:rsidRPr="009440AD">
        <w:rPr>
          <w:lang w:val="en-US"/>
        </w:rPr>
        <w:fldChar w:fldCharType="separate"/>
      </w:r>
      <w:r w:rsidR="008E484D" w:rsidRPr="009440AD">
        <w:rPr>
          <w:noProof/>
          <w:lang w:val="en-US"/>
        </w:rPr>
        <w:t>[13]</w:t>
      </w:r>
      <w:r w:rsidR="008C289C" w:rsidRPr="009440AD">
        <w:rPr>
          <w:lang w:val="en-US"/>
        </w:rPr>
        <w:fldChar w:fldCharType="end"/>
      </w:r>
      <w:r w:rsidRPr="009440AD">
        <w:rPr>
          <w:lang w:val="en-US"/>
        </w:rPr>
        <w:t xml:space="preserve">. </w:t>
      </w:r>
      <w:r w:rsidR="004E5785" w:rsidRPr="009440AD">
        <w:rPr>
          <w:lang w:val="en-US"/>
        </w:rPr>
        <w:t xml:space="preserve">The beta-blocker metoprolol was </w:t>
      </w:r>
      <w:r w:rsidR="00CD32B1" w:rsidRPr="009440AD">
        <w:rPr>
          <w:lang w:val="en-US"/>
        </w:rPr>
        <w:t>studied</w:t>
      </w:r>
      <w:r w:rsidR="004E5785" w:rsidRPr="009440AD">
        <w:rPr>
          <w:lang w:val="en-US"/>
        </w:rPr>
        <w:t xml:space="preserve"> as a single oral dose of 100 mg. </w:t>
      </w:r>
      <w:r w:rsidRPr="005902A1">
        <w:rPr>
          <w:lang w:val="en-US"/>
        </w:rPr>
        <w:t xml:space="preserve">The variability of </w:t>
      </w:r>
      <w:r w:rsidR="002F092D" w:rsidRPr="0050587F">
        <w:rPr>
          <w:lang w:val="en-US"/>
        </w:rPr>
        <w:t xml:space="preserve">metoprolol </w:t>
      </w:r>
      <w:r w:rsidRPr="0050587F">
        <w:rPr>
          <w:lang w:val="en-US"/>
        </w:rPr>
        <w:t xml:space="preserve">was </w:t>
      </w:r>
      <w:r w:rsidR="00DC0CA5" w:rsidRPr="0050587F">
        <w:rPr>
          <w:lang w:val="en-US"/>
        </w:rPr>
        <w:t>covered by the PBPK model</w:t>
      </w:r>
      <w:r w:rsidRPr="0050587F">
        <w:rPr>
          <w:lang w:val="en-US"/>
        </w:rPr>
        <w:t xml:space="preserve"> in young and </w:t>
      </w:r>
      <w:r w:rsidRPr="0050587F">
        <w:rPr>
          <w:lang w:val="en-US"/>
        </w:rPr>
        <w:lastRenderedPageBreak/>
        <w:t xml:space="preserve">elderly </w:t>
      </w:r>
      <w:r w:rsidRPr="0065491D">
        <w:rPr>
          <w:lang w:val="en-US"/>
        </w:rPr>
        <w:t>individuals</w:t>
      </w:r>
      <w:r w:rsidR="003516FD" w:rsidRPr="0065491D">
        <w:rPr>
          <w:lang w:val="en-US"/>
        </w:rPr>
        <w:t xml:space="preserve"> (Fig</w:t>
      </w:r>
      <w:r w:rsidR="005A5ECC" w:rsidRPr="0065491D">
        <w:rPr>
          <w:lang w:val="en-US"/>
        </w:rPr>
        <w:t>.</w:t>
      </w:r>
      <w:r w:rsidR="003516FD" w:rsidRPr="009440AD">
        <w:rPr>
          <w:lang w:val="en-US"/>
        </w:rPr>
        <w:t xml:space="preserve"> </w:t>
      </w:r>
      <w:r w:rsidR="002813A5" w:rsidRPr="009440AD">
        <w:rPr>
          <w:lang w:val="en-US"/>
        </w:rPr>
        <w:t>2</w:t>
      </w:r>
      <w:r w:rsidR="003516FD" w:rsidRPr="009440AD">
        <w:rPr>
          <w:lang w:val="en-US"/>
        </w:rPr>
        <w:t xml:space="preserve">c and d). </w:t>
      </w:r>
      <w:proofErr w:type="spellStart"/>
      <w:r w:rsidR="003516FD" w:rsidRPr="009440AD">
        <w:rPr>
          <w:lang w:val="en-US"/>
        </w:rPr>
        <w:t>C</w:t>
      </w:r>
      <w:r w:rsidR="003516FD" w:rsidRPr="009440AD">
        <w:rPr>
          <w:vertAlign w:val="subscript"/>
          <w:lang w:val="en-US"/>
        </w:rPr>
        <w:t>max</w:t>
      </w:r>
      <w:proofErr w:type="spellEnd"/>
      <w:r w:rsidR="003516FD" w:rsidRPr="009440AD">
        <w:rPr>
          <w:lang w:val="en-US"/>
        </w:rPr>
        <w:t>, AUC</w:t>
      </w:r>
      <w:r w:rsidR="002F092D" w:rsidRPr="009440AD">
        <w:rPr>
          <w:lang w:val="en-US"/>
        </w:rPr>
        <w:t>,</w:t>
      </w:r>
      <w:r w:rsidR="003516FD" w:rsidRPr="009440AD">
        <w:rPr>
          <w:lang w:val="en-US"/>
        </w:rPr>
        <w:t xml:space="preserve"> and t</w:t>
      </w:r>
      <w:r w:rsidR="003516FD" w:rsidRPr="009440AD">
        <w:rPr>
          <w:vertAlign w:val="subscript"/>
          <w:lang w:val="en-US"/>
        </w:rPr>
        <w:t>1/2</w:t>
      </w:r>
      <w:r w:rsidR="003516FD" w:rsidRPr="009440AD">
        <w:rPr>
          <w:lang w:val="en-US"/>
        </w:rPr>
        <w:t xml:space="preserve"> were accurately scaled to elderly ind</w:t>
      </w:r>
      <w:r w:rsidR="004E5785" w:rsidRPr="009440AD">
        <w:rPr>
          <w:lang w:val="en-US"/>
        </w:rPr>
        <w:t>ividua</w:t>
      </w:r>
      <w:r w:rsidR="003516FD" w:rsidRPr="009440AD">
        <w:rPr>
          <w:lang w:val="en-US"/>
        </w:rPr>
        <w:t>l</w:t>
      </w:r>
      <w:r w:rsidR="004E5785" w:rsidRPr="009440AD">
        <w:rPr>
          <w:lang w:val="en-US"/>
        </w:rPr>
        <w:t>s</w:t>
      </w:r>
      <w:r w:rsidR="003516FD" w:rsidRPr="009440AD">
        <w:rPr>
          <w:lang w:val="en-US"/>
        </w:rPr>
        <w:t xml:space="preserve"> by the </w:t>
      </w:r>
      <w:r w:rsidR="002F092D" w:rsidRPr="009440AD">
        <w:rPr>
          <w:lang w:val="en-US"/>
        </w:rPr>
        <w:t xml:space="preserve">PBPK </w:t>
      </w:r>
      <w:r w:rsidR="003516FD" w:rsidRPr="009440AD">
        <w:rPr>
          <w:lang w:val="en-US"/>
        </w:rPr>
        <w:t>model (</w:t>
      </w:r>
      <w:proofErr w:type="spellStart"/>
      <w:r w:rsidR="003516FD" w:rsidRPr="009440AD">
        <w:rPr>
          <w:lang w:val="en-US"/>
        </w:rPr>
        <w:t>predicted:observed</w:t>
      </w:r>
      <w:proofErr w:type="spellEnd"/>
      <w:r w:rsidR="003516FD" w:rsidRPr="009440AD">
        <w:rPr>
          <w:lang w:val="en-US"/>
        </w:rPr>
        <w:t xml:space="preserve"> ratio of the ratio elderly/young: 1.</w:t>
      </w:r>
      <w:r w:rsidR="00C775B2" w:rsidRPr="009440AD">
        <w:rPr>
          <w:lang w:val="en-US"/>
        </w:rPr>
        <w:t>10</w:t>
      </w:r>
      <w:r w:rsidR="003516FD" w:rsidRPr="009440AD">
        <w:rPr>
          <w:lang w:val="en-US"/>
        </w:rPr>
        <w:t>, 1.</w:t>
      </w:r>
      <w:r w:rsidR="00C775B2" w:rsidRPr="009440AD">
        <w:rPr>
          <w:lang w:val="en-US"/>
        </w:rPr>
        <w:t>06,</w:t>
      </w:r>
      <w:r w:rsidR="003516FD" w:rsidRPr="009440AD">
        <w:rPr>
          <w:lang w:val="en-US"/>
        </w:rPr>
        <w:t xml:space="preserve"> and </w:t>
      </w:r>
      <w:r w:rsidR="00C775B2" w:rsidRPr="009440AD">
        <w:rPr>
          <w:lang w:val="en-US"/>
        </w:rPr>
        <w:t>0.97</w:t>
      </w:r>
      <w:r w:rsidR="003516FD" w:rsidRPr="009440AD">
        <w:rPr>
          <w:lang w:val="en-US"/>
        </w:rPr>
        <w:t xml:space="preserve">, respectively). </w:t>
      </w:r>
      <w:proofErr w:type="spellStart"/>
      <w:r w:rsidR="00780DA9" w:rsidRPr="009440AD">
        <w:rPr>
          <w:lang w:val="en-US"/>
        </w:rPr>
        <w:t>T</w:t>
      </w:r>
      <w:r w:rsidR="003516FD" w:rsidRPr="009440AD">
        <w:rPr>
          <w:vertAlign w:val="subscript"/>
          <w:lang w:val="en-US"/>
        </w:rPr>
        <w:t>max</w:t>
      </w:r>
      <w:proofErr w:type="spellEnd"/>
      <w:r w:rsidR="003516FD" w:rsidRPr="009440AD">
        <w:rPr>
          <w:lang w:val="en-US"/>
        </w:rPr>
        <w:t xml:space="preserve"> of metoprolol was overpredicted in the elderly by 2-fold as the model suggested </w:t>
      </w:r>
      <w:r w:rsidR="002F092D" w:rsidRPr="009440AD">
        <w:rPr>
          <w:lang w:val="en-US"/>
        </w:rPr>
        <w:t xml:space="preserve">only </w:t>
      </w:r>
      <w:r w:rsidR="003516FD" w:rsidRPr="009440AD">
        <w:rPr>
          <w:lang w:val="en-US"/>
        </w:rPr>
        <w:t xml:space="preserve">a slight increase in elderly compared to young adults whereas </w:t>
      </w:r>
      <w:proofErr w:type="spellStart"/>
      <w:r w:rsidR="00780DA9" w:rsidRPr="009440AD">
        <w:rPr>
          <w:lang w:val="en-US"/>
        </w:rPr>
        <w:t>t</w:t>
      </w:r>
      <w:r w:rsidR="003516FD" w:rsidRPr="009440AD">
        <w:rPr>
          <w:vertAlign w:val="subscript"/>
          <w:lang w:val="en-US"/>
        </w:rPr>
        <w:t>max</w:t>
      </w:r>
      <w:proofErr w:type="spellEnd"/>
      <w:r w:rsidR="003516FD" w:rsidRPr="009440AD">
        <w:rPr>
          <w:lang w:val="en-US"/>
        </w:rPr>
        <w:t xml:space="preserve"> was half in the observed study </w:t>
      </w:r>
      <w:r w:rsidR="003516FD" w:rsidRPr="009440AD">
        <w:rPr>
          <w:lang w:val="en-US"/>
        </w:rPr>
        <w:fldChar w:fldCharType="begin"/>
      </w:r>
      <w:r w:rsidR="00BC4B32" w:rsidRPr="009440AD">
        <w:rPr>
          <w:lang w:val="en-US"/>
        </w:rPr>
        <w:instrText xml:space="preserve"> ADDIN EN.CITE &lt;EndNote&gt;&lt;Cite&gt;&lt;Author&gt;Quarterman&lt;/Author&gt;&lt;Year&gt;1981&lt;/Year&gt;&lt;RecNum&gt;1053&lt;/RecNum&gt;&lt;DisplayText&gt;[36]&lt;/DisplayText&gt;&lt;record&gt;&lt;rec-number&gt;1053&lt;/rec-number&gt;&lt;foreign-keys&gt;&lt;key app="EN" db-id="vawz9xpv5prvt3ed92pxtvpjzzf095ze0r5f" timestamp="1516985018"&gt;1053&lt;/key&gt;&lt;/foreign-keys&gt;&lt;ref-type name="Journal Article"&gt;17&lt;/ref-type&gt;&lt;contributors&gt;&lt;authors&gt;&lt;author&gt;Quarterman, CP&lt;/author&gt;&lt;author&gt;Kendall, MJ&lt;/author&gt;&lt;author&gt;Jack, DB&lt;/author&gt;&lt;/authors&gt;&lt;/contributors&gt;&lt;titles&gt;&lt;title&gt;The effect of age on the pharmacokinetics of metoprolol and its metabolites&lt;/title&gt;&lt;secondary-title&gt;British Journal of Clinical Pharmacology&lt;/secondary-title&gt;&lt;/titles&gt;&lt;periodical&gt;&lt;full-title&gt;British journal of clinical pharmacology&lt;/full-title&gt;&lt;/periodical&gt;&lt;pages&gt;287-294&lt;/pages&gt;&lt;volume&gt;11&lt;/volume&gt;&lt;number&gt;3&lt;/number&gt;&lt;keywords&gt;&lt;keyword&gt;geriatric&lt;/keyword&gt;&lt;keyword&gt;PK&lt;/keyword&gt;&lt;keyword&gt;metoprolol&lt;/keyword&gt;&lt;/keywords&gt;&lt;dates&gt;&lt;year&gt;1981&lt;/year&gt;&lt;/dates&gt;&lt;isbn&gt;1365-2125&lt;/isbn&gt;&lt;urls&gt;&lt;/urls&gt;&lt;/record&gt;&lt;/Cite&gt;&lt;/EndNote&gt;</w:instrText>
      </w:r>
      <w:r w:rsidR="003516FD" w:rsidRPr="009440AD">
        <w:rPr>
          <w:lang w:val="en-US"/>
        </w:rPr>
        <w:fldChar w:fldCharType="separate"/>
      </w:r>
      <w:r w:rsidR="00BC4B32" w:rsidRPr="009440AD">
        <w:rPr>
          <w:noProof/>
          <w:lang w:val="en-US"/>
        </w:rPr>
        <w:t>[36]</w:t>
      </w:r>
      <w:r w:rsidR="003516FD" w:rsidRPr="009440AD">
        <w:rPr>
          <w:lang w:val="en-US"/>
        </w:rPr>
        <w:fldChar w:fldCharType="end"/>
      </w:r>
      <w:r w:rsidR="003516FD" w:rsidRPr="009440AD">
        <w:rPr>
          <w:lang w:val="en-US"/>
        </w:rPr>
        <w:t>.</w:t>
      </w:r>
    </w:p>
    <w:p w14:paraId="1FF170C2" w14:textId="77777777" w:rsidR="00A16587" w:rsidRPr="0050587F" w:rsidRDefault="00A16587" w:rsidP="00C775B2">
      <w:pPr>
        <w:pStyle w:val="Heading3"/>
        <w:rPr>
          <w:lang w:val="en-US"/>
        </w:rPr>
      </w:pPr>
      <w:r w:rsidRPr="005902A1">
        <w:rPr>
          <w:lang w:val="en-US"/>
        </w:rPr>
        <w:t>Lisinopril</w:t>
      </w:r>
    </w:p>
    <w:p w14:paraId="10CE83F6" w14:textId="5340866B" w:rsidR="00353695" w:rsidRPr="0050587F" w:rsidRDefault="004E5785" w:rsidP="00701574">
      <w:pPr>
        <w:rPr>
          <w:lang w:val="en-US"/>
        </w:rPr>
      </w:pPr>
      <w:r w:rsidRPr="0065491D">
        <w:rPr>
          <w:lang w:val="en-US"/>
        </w:rPr>
        <w:t>The ACE-inhibitor l</w:t>
      </w:r>
      <w:r w:rsidR="003516FD" w:rsidRPr="0065491D">
        <w:rPr>
          <w:lang w:val="en-US"/>
        </w:rPr>
        <w:t>isinopril is filtered by the glomerulus and is not bound to any plasma-binding protein</w:t>
      </w:r>
      <w:r w:rsidR="0015230A" w:rsidRPr="0065491D">
        <w:rPr>
          <w:lang w:val="en-US"/>
        </w:rPr>
        <w:t xml:space="preserve"> </w:t>
      </w:r>
      <w:r w:rsidR="008C289C" w:rsidRPr="009440AD">
        <w:rPr>
          <w:lang w:val="en-US"/>
        </w:rPr>
        <w:fldChar w:fldCharType="begin"/>
      </w:r>
      <w:r w:rsidR="00BC4B32" w:rsidRPr="009440AD">
        <w:rPr>
          <w:lang w:val="en-US"/>
        </w:rPr>
        <w:instrText xml:space="preserve"> ADDIN EN.CITE &lt;EndNote&gt;&lt;Cite&gt;&lt;Author&gt;Obach&lt;/Author&gt;&lt;Year&gt;2008&lt;/Year&gt;&lt;RecNum&gt;1150&lt;/RecNum&gt;&lt;DisplayText&gt;[37]&lt;/DisplayText&gt;&lt;record&gt;&lt;rec-number&gt;1150&lt;/rec-number&gt;&lt;foreign-keys&gt;&lt;key app="EN" db-id="vawz9xpv5prvt3ed92pxtvpjzzf095ze0r5f" timestamp="1537121775"&gt;1150&lt;/key&gt;&lt;/foreign-keys&gt;&lt;ref-type name="Journal Article"&gt;17&lt;/ref-type&gt;&lt;contributors&gt;&lt;authors&gt;&lt;author&gt;Obach, Ronald S&lt;/author&gt;&lt;author&gt;Lombardo, Franco&lt;/author&gt;&lt;author&gt;Waters, Nigel J&lt;/author&gt;&lt;/authors&gt;&lt;/contributors&gt;&lt;titles&gt;&lt;title&gt;Trend analysis of a database of intravenous pharmacokinetic parameters in humans for 670 drug compounds&lt;/title&gt;&lt;secondary-title&gt;Drug Metabolism and Disposition&lt;/secondary-title&gt;&lt;/titles&gt;&lt;periodical&gt;&lt;full-title&gt;Drug Metabolism and Disposition&lt;/full-title&gt;&lt;/periodical&gt;&lt;pages&gt;1385-1405&lt;/pages&gt;&lt;volume&gt;36&lt;/volume&gt;&lt;number&gt;7&lt;/number&gt;&lt;keywords&gt;&lt;keyword&gt;Drugs&lt;/keyword&gt;&lt;keyword&gt;PBPK&lt;/keyword&gt;&lt;keyword&gt;iv parameters&lt;/keyword&gt;&lt;/keywords&gt;&lt;dates&gt;&lt;year&gt;2008&lt;/year&gt;&lt;/dates&gt;&lt;isbn&gt;0090-9556&lt;/isbn&gt;&lt;urls&gt;&lt;/urls&gt;&lt;/record&gt;&lt;/Cite&gt;&lt;/EndNote&gt;</w:instrText>
      </w:r>
      <w:r w:rsidR="008C289C" w:rsidRPr="009440AD">
        <w:rPr>
          <w:lang w:val="en-US"/>
        </w:rPr>
        <w:fldChar w:fldCharType="separate"/>
      </w:r>
      <w:r w:rsidR="00BC4B32" w:rsidRPr="009440AD">
        <w:rPr>
          <w:noProof/>
          <w:lang w:val="en-US"/>
        </w:rPr>
        <w:t>[37]</w:t>
      </w:r>
      <w:r w:rsidR="008C289C" w:rsidRPr="009440AD">
        <w:rPr>
          <w:lang w:val="en-US"/>
        </w:rPr>
        <w:fldChar w:fldCharType="end"/>
      </w:r>
      <w:r w:rsidR="003516FD" w:rsidRPr="009440AD">
        <w:rPr>
          <w:lang w:val="en-US"/>
        </w:rPr>
        <w:t xml:space="preserve">. </w:t>
      </w:r>
      <w:r w:rsidR="00EC5620" w:rsidRPr="009440AD">
        <w:rPr>
          <w:lang w:val="en-US"/>
        </w:rPr>
        <w:t>The predictions of</w:t>
      </w:r>
      <w:r w:rsidRPr="009440AD">
        <w:rPr>
          <w:lang w:val="en-US"/>
        </w:rPr>
        <w:t xml:space="preserve"> a single oral dose of</w:t>
      </w:r>
      <w:r w:rsidR="00EC5620" w:rsidRPr="009440AD">
        <w:rPr>
          <w:lang w:val="en-US"/>
        </w:rPr>
        <w:t xml:space="preserve"> lisinopril</w:t>
      </w:r>
      <w:r w:rsidRPr="009440AD">
        <w:rPr>
          <w:lang w:val="en-US"/>
        </w:rPr>
        <w:t xml:space="preserve"> (20 mg)</w:t>
      </w:r>
      <w:r w:rsidR="00EC5620" w:rsidRPr="009440AD">
        <w:rPr>
          <w:lang w:val="en-US"/>
        </w:rPr>
        <w:t xml:space="preserve"> were in close agreement to </w:t>
      </w:r>
      <w:r w:rsidR="005C457D" w:rsidRPr="009440AD">
        <w:rPr>
          <w:lang w:val="en-US"/>
        </w:rPr>
        <w:t xml:space="preserve">clinically </w:t>
      </w:r>
      <w:r w:rsidR="00EC5620" w:rsidRPr="005902A1">
        <w:rPr>
          <w:lang w:val="en-US"/>
        </w:rPr>
        <w:t>observed data in young and elderly adults (Fig</w:t>
      </w:r>
      <w:r w:rsidR="005A5ECC" w:rsidRPr="0050587F">
        <w:rPr>
          <w:lang w:val="en-US"/>
        </w:rPr>
        <w:t>.</w:t>
      </w:r>
      <w:r w:rsidR="00EC5620" w:rsidRPr="0050587F">
        <w:rPr>
          <w:lang w:val="en-US"/>
        </w:rPr>
        <w:t xml:space="preserve"> </w:t>
      </w:r>
      <w:r w:rsidR="002813A5" w:rsidRPr="0050587F">
        <w:rPr>
          <w:lang w:val="en-US"/>
        </w:rPr>
        <w:t>2</w:t>
      </w:r>
      <w:r w:rsidR="00EC5620" w:rsidRPr="0050587F">
        <w:rPr>
          <w:lang w:val="en-US"/>
        </w:rPr>
        <w:t xml:space="preserve">e and f). </w:t>
      </w:r>
      <w:r w:rsidR="00353695" w:rsidRPr="0050587F">
        <w:rPr>
          <w:lang w:val="en-US"/>
        </w:rPr>
        <w:t xml:space="preserve">The </w:t>
      </w:r>
      <w:proofErr w:type="spellStart"/>
      <w:r w:rsidR="00353695" w:rsidRPr="0050587F">
        <w:rPr>
          <w:lang w:val="en-US"/>
        </w:rPr>
        <w:t>C</w:t>
      </w:r>
      <w:r w:rsidR="00353695" w:rsidRPr="0050587F">
        <w:rPr>
          <w:vertAlign w:val="subscript"/>
          <w:lang w:val="en-US"/>
        </w:rPr>
        <w:t>max</w:t>
      </w:r>
      <w:proofErr w:type="spellEnd"/>
      <w:r w:rsidR="00353695" w:rsidRPr="0050587F">
        <w:rPr>
          <w:lang w:val="en-US"/>
        </w:rPr>
        <w:t xml:space="preserve"> of lisinopril was well predicted in young adults (</w:t>
      </w:r>
      <w:proofErr w:type="spellStart"/>
      <w:r w:rsidR="00353695" w:rsidRPr="0050587F">
        <w:rPr>
          <w:lang w:val="en-US"/>
        </w:rPr>
        <w:t>predicted:observed</w:t>
      </w:r>
      <w:proofErr w:type="spellEnd"/>
      <w:r w:rsidR="00353695" w:rsidRPr="0050587F">
        <w:rPr>
          <w:lang w:val="en-US"/>
        </w:rPr>
        <w:t xml:space="preserve"> ratio: 0.95), but </w:t>
      </w:r>
      <w:proofErr w:type="spellStart"/>
      <w:r w:rsidR="00353695" w:rsidRPr="0050587F">
        <w:rPr>
          <w:lang w:val="en-US"/>
        </w:rPr>
        <w:t>C</w:t>
      </w:r>
      <w:r w:rsidR="00353695" w:rsidRPr="0065491D">
        <w:rPr>
          <w:vertAlign w:val="subscript"/>
          <w:lang w:val="en-US"/>
        </w:rPr>
        <w:t>max</w:t>
      </w:r>
      <w:proofErr w:type="spellEnd"/>
      <w:r w:rsidR="00353695" w:rsidRPr="0065491D">
        <w:rPr>
          <w:lang w:val="en-US"/>
        </w:rPr>
        <w:t xml:space="preserve"> was predicted to increase in the elderly by 9% and was increased in the clinical study by 51%</w:t>
      </w:r>
      <w:r w:rsidR="00DE696F" w:rsidRPr="009440AD">
        <w:rPr>
          <w:lang w:val="en-US"/>
        </w:rPr>
        <w:t xml:space="preserve"> </w:t>
      </w:r>
      <w:r w:rsidR="00DE696F" w:rsidRPr="009440AD">
        <w:rPr>
          <w:lang w:val="en-US"/>
        </w:rPr>
        <w:fldChar w:fldCharType="begin"/>
      </w:r>
      <w:r w:rsidR="00BC4B32" w:rsidRPr="009440AD">
        <w:rPr>
          <w:lang w:val="en-US"/>
        </w:rPr>
        <w:instrText xml:space="preserve"> ADDIN EN.CITE &lt;EndNote&gt;&lt;Cite&gt;&lt;Author&gt;Gautam&lt;/Author&gt;&lt;Year&gt;1987&lt;/Year&gt;&lt;RecNum&gt;1052&lt;/RecNum&gt;&lt;DisplayText&gt;[27, 28]&lt;/DisplayText&gt;&lt;record&gt;&lt;rec-number&gt;1052&lt;/rec-number&gt;&lt;foreign-keys&gt;&lt;key app="EN" db-id="vawz9xpv5prvt3ed92pxtvpjzzf095ze0r5f" timestamp="1516985010"&gt;1052&lt;/key&gt;&lt;/foreign-keys&gt;&lt;ref-type name="Journal Article"&gt;17&lt;/ref-type&gt;&lt;contributors&gt;&lt;authors&gt;&lt;author&gt;Gautam, PC&lt;/author&gt;&lt;author&gt;Vargas, E&lt;/author&gt;&lt;author&gt;Lye, M&lt;/author&gt;&lt;/authors&gt;&lt;/contributors&gt;&lt;titles&gt;&lt;title&gt;Pharmacokinetics of lisinopril (MK521) in healthy young and elderly subjects and in elderly patients with cardiac failure&lt;/title&gt;&lt;secondary-title&gt;Journal of Pharmacy and Pharmacology&lt;/secondary-title&gt;&lt;/titles&gt;&lt;periodical&gt;&lt;full-title&gt;Journal of pharmacy and pharmacology&lt;/full-title&gt;&lt;/periodical&gt;&lt;pages&gt;929-931&lt;/pages&gt;&lt;volume&gt;39&lt;/volume&gt;&lt;number&gt;11&lt;/number&gt;&lt;keywords&gt;&lt;keyword&gt;geriatric&lt;/keyword&gt;&lt;keyword&gt;PK&lt;/keyword&gt;&lt;keyword&gt;lisinopril&lt;/keyword&gt;&lt;/keywords&gt;&lt;dates&gt;&lt;year&gt;1987&lt;/year&gt;&lt;/dates&gt;&lt;isbn&gt;2042-7158&lt;/isbn&gt;&lt;urls&gt;&lt;/urls&gt;&lt;/record&gt;&lt;/Cite&gt;&lt;Cite&gt;&lt;Author&gt;Gomez&lt;/Author&gt;&lt;Year&gt;1987&lt;/Year&gt;&lt;RecNum&gt;1049&lt;/RecNum&gt;&lt;record&gt;&lt;rec-number&gt;1049&lt;/rec-number&gt;&lt;foreign-keys&gt;&lt;key app="EN" db-id="vawz9xpv5prvt3ed92pxtvpjzzf095ze0r5f" timestamp="1516966422"&gt;1049&lt;/key&gt;&lt;/foreign-keys&gt;&lt;ref-type name="Journal Article"&gt;17&lt;/ref-type&gt;&lt;contributors&gt;&lt;authors&gt;&lt;author&gt;Gomez, Hector J&lt;/author&gt;&lt;author&gt;Cirillo, Vincent J&lt;/author&gt;&lt;author&gt;Moncloa, Federico&lt;/author&gt;&lt;/authors&gt;&lt;/contributors&gt;&lt;titles&gt;&lt;title&gt;The clinical pharmacology of lisinopril&lt;/title&gt;&lt;secondary-title&gt;Journal of Cardiovascular Pharmacology&lt;/secondary-title&gt;&lt;/titles&gt;&lt;periodical&gt;&lt;full-title&gt;Journal of cardiovascular pharmacology&lt;/full-title&gt;&lt;/periodical&gt;&lt;pages&gt;S27-S34&lt;/pages&gt;&lt;volume&gt;9&lt;/volume&gt;&lt;keywords&gt;&lt;keyword&gt;drug&lt;/keyword&gt;&lt;keyword&gt;lisinopril&lt;/keyword&gt;&lt;keyword&gt;PK&lt;/keyword&gt;&lt;/keywords&gt;&lt;dates&gt;&lt;year&gt;1987&lt;/year&gt;&lt;/dates&gt;&lt;isbn&gt;0160-2446&lt;/isbn&gt;&lt;urls&gt;&lt;/urls&gt;&lt;/record&gt;&lt;/Cite&gt;&lt;/EndNote&gt;</w:instrText>
      </w:r>
      <w:r w:rsidR="00DE696F" w:rsidRPr="009440AD">
        <w:rPr>
          <w:lang w:val="en-US"/>
        </w:rPr>
        <w:fldChar w:fldCharType="separate"/>
      </w:r>
      <w:r w:rsidR="00BC4B32" w:rsidRPr="009440AD">
        <w:rPr>
          <w:noProof/>
          <w:lang w:val="en-US"/>
        </w:rPr>
        <w:t>[27, 28]</w:t>
      </w:r>
      <w:r w:rsidR="00DE696F" w:rsidRPr="009440AD">
        <w:rPr>
          <w:lang w:val="en-US"/>
        </w:rPr>
        <w:fldChar w:fldCharType="end"/>
      </w:r>
      <w:r w:rsidR="00353695" w:rsidRPr="009440AD">
        <w:rPr>
          <w:lang w:val="en-US"/>
        </w:rPr>
        <w:t xml:space="preserve">. The ratio elderly/young for </w:t>
      </w:r>
      <w:proofErr w:type="spellStart"/>
      <w:r w:rsidR="00780DA9" w:rsidRPr="009440AD">
        <w:rPr>
          <w:lang w:val="en-US"/>
        </w:rPr>
        <w:t>t</w:t>
      </w:r>
      <w:r w:rsidR="00353695" w:rsidRPr="009440AD">
        <w:rPr>
          <w:vertAlign w:val="subscript"/>
          <w:lang w:val="en-US"/>
        </w:rPr>
        <w:t>max</w:t>
      </w:r>
      <w:proofErr w:type="spellEnd"/>
      <w:r w:rsidR="00353695" w:rsidRPr="009440AD">
        <w:rPr>
          <w:lang w:val="en-US"/>
        </w:rPr>
        <w:t xml:space="preserve"> and the AUC w</w:t>
      </w:r>
      <w:r w:rsidR="00780DA9" w:rsidRPr="005902A1">
        <w:rPr>
          <w:lang w:val="en-US"/>
        </w:rPr>
        <w:t>ere</w:t>
      </w:r>
      <w:r w:rsidR="002F092D" w:rsidRPr="0050587F">
        <w:rPr>
          <w:lang w:val="en-US"/>
        </w:rPr>
        <w:t xml:space="preserve"> accurately</w:t>
      </w:r>
      <w:r w:rsidR="00353695" w:rsidRPr="0050587F">
        <w:rPr>
          <w:lang w:val="en-US"/>
        </w:rPr>
        <w:t xml:space="preserve"> predicted by the model (</w:t>
      </w:r>
      <w:proofErr w:type="spellStart"/>
      <w:r w:rsidR="00353695" w:rsidRPr="0050587F">
        <w:rPr>
          <w:lang w:val="en-US"/>
        </w:rPr>
        <w:t>predicted:observed</w:t>
      </w:r>
      <w:proofErr w:type="spellEnd"/>
      <w:r w:rsidR="00353695" w:rsidRPr="0050587F">
        <w:rPr>
          <w:lang w:val="en-US"/>
        </w:rPr>
        <w:t xml:space="preserve"> ratio: 1.10 and 0.95).</w:t>
      </w:r>
    </w:p>
    <w:p w14:paraId="5DA93BFF" w14:textId="77777777" w:rsidR="00A16587" w:rsidRPr="0065491D" w:rsidRDefault="00A16587" w:rsidP="00C775B2">
      <w:pPr>
        <w:pStyle w:val="Heading3"/>
        <w:rPr>
          <w:lang w:val="en-US"/>
        </w:rPr>
      </w:pPr>
      <w:r w:rsidRPr="0065491D">
        <w:rPr>
          <w:lang w:val="en-US"/>
        </w:rPr>
        <w:t>Amlodipine</w:t>
      </w:r>
    </w:p>
    <w:p w14:paraId="1434920F" w14:textId="68B31B04" w:rsidR="00DE696F" w:rsidRPr="0065491D" w:rsidRDefault="00353695" w:rsidP="00701574">
      <w:pPr>
        <w:rPr>
          <w:lang w:val="en-US"/>
        </w:rPr>
      </w:pPr>
      <w:r w:rsidRPr="009440AD">
        <w:rPr>
          <w:lang w:val="en-US"/>
        </w:rPr>
        <w:t xml:space="preserve">Amlodipine is </w:t>
      </w:r>
      <w:r w:rsidR="00591634" w:rsidRPr="009440AD">
        <w:rPr>
          <w:lang w:val="en-US"/>
        </w:rPr>
        <w:t xml:space="preserve">metabolized </w:t>
      </w:r>
      <w:r w:rsidRPr="009440AD">
        <w:rPr>
          <w:lang w:val="en-US"/>
        </w:rPr>
        <w:t>by CYP3A (49.4%), an unspecified enzymatic pathway (4.0%)</w:t>
      </w:r>
      <w:r w:rsidR="00687EFC" w:rsidRPr="009440AD">
        <w:rPr>
          <w:lang w:val="en-US"/>
        </w:rPr>
        <w:t>,</w:t>
      </w:r>
      <w:r w:rsidR="002D4340" w:rsidRPr="009440AD">
        <w:rPr>
          <w:lang w:val="en-US"/>
        </w:rPr>
        <w:t xml:space="preserve"> and eliminated</w:t>
      </w:r>
      <w:r w:rsidRPr="009440AD">
        <w:rPr>
          <w:lang w:val="en-US"/>
        </w:rPr>
        <w:t xml:space="preserve"> </w:t>
      </w:r>
      <w:r w:rsidR="00591634" w:rsidRPr="009440AD">
        <w:rPr>
          <w:lang w:val="en-US"/>
        </w:rPr>
        <w:t xml:space="preserve">unchanged by </w:t>
      </w:r>
      <w:r w:rsidRPr="009440AD">
        <w:rPr>
          <w:lang w:val="en-US"/>
        </w:rPr>
        <w:t>glomerular filtration (6.1%)</w:t>
      </w:r>
      <w:r w:rsidR="00780DA9" w:rsidRPr="009440AD">
        <w:rPr>
          <w:lang w:val="en-US"/>
        </w:rPr>
        <w:t xml:space="preserve">. Additionally, </w:t>
      </w:r>
      <w:r w:rsidRPr="009440AD">
        <w:rPr>
          <w:lang w:val="en-US"/>
        </w:rPr>
        <w:t>biliary clearance (40.5%)</w:t>
      </w:r>
      <w:r w:rsidR="00780DA9" w:rsidRPr="009440AD">
        <w:rPr>
          <w:lang w:val="en-US"/>
        </w:rPr>
        <w:t xml:space="preserve"> was implemented in the model representing clearance of amlodipine metabolites</w:t>
      </w:r>
      <w:r w:rsidR="00C56536" w:rsidRPr="009440AD">
        <w:rPr>
          <w:lang w:val="en-US"/>
        </w:rPr>
        <w:t xml:space="preserve"> </w:t>
      </w:r>
      <w:r w:rsidR="008C289C" w:rsidRPr="009440AD">
        <w:rPr>
          <w:lang w:val="en-US"/>
        </w:rPr>
        <w:fldChar w:fldCharType="begin"/>
      </w:r>
      <w:r w:rsidR="008E484D" w:rsidRPr="009440AD">
        <w:rPr>
          <w:lang w:val="en-US"/>
        </w:rPr>
        <w:instrText xml:space="preserve"> ADDIN EN.CITE &lt;EndNote&gt;&lt;Cite&gt;&lt;Author&gt;Mukherjee&lt;/Author&gt;&lt;Year&gt;2018&lt;/Year&gt;&lt;RecNum&gt;1128&lt;/RecNum&gt;&lt;DisplayText&gt;[14]&lt;/DisplayText&gt;&lt;record&gt;&lt;rec-number&gt;1128&lt;/rec-number&gt;&lt;foreign-keys&gt;&lt;key app="EN" db-id="vawz9xpv5prvt3ed92pxtvpjzzf095ze0r5f" timestamp="1530864622"&gt;1128&lt;/key&gt;&lt;/foreign-keys&gt;&lt;ref-type name="Journal Article"&gt;17&lt;/ref-type&gt;&lt;contributors&gt;&lt;authors&gt;&lt;author&gt;Mukherjee, Dwaipayan&lt;/author&gt;&lt;author&gt;Zha, Jiuhong&lt;/author&gt;&lt;author&gt;Menon, Rajeev M&lt;/author&gt;&lt;author&gt;Shebley, Mohamad&lt;/author&gt;&lt;/authors&gt;&lt;/contributors&gt;&lt;titles&gt;&lt;title&gt;Guiding dose adjustment of amlodipine after co-administration with ritonavir containing regimens using a physiologically-based pharmacokinetic/pharmacodynamic model&lt;/title&gt;&lt;secondary-title&gt;Journal of Pharmacokinetics and Pharmacodynamics&lt;/secondary-title&gt;&lt;/titles&gt;&lt;periodical&gt;&lt;full-title&gt;Journal of pharmacokinetics and pharmacodynamics&lt;/full-title&gt;&lt;/periodical&gt;&lt;pages&gt;443-456&lt;/pages&gt;&lt;volume&gt;45&lt;/volume&gt;&lt;number&gt;3&lt;/number&gt;&lt;keywords&gt;&lt;keyword&gt;drug&lt;/keyword&gt;&lt;keyword&gt;amlodipine&lt;/keyword&gt;&lt;keyword&gt;PBPK model&lt;/keyword&gt;&lt;/keywords&gt;&lt;dates&gt;&lt;year&gt;2018&lt;/year&gt;&lt;/dates&gt;&lt;isbn&gt;1567-567X&lt;/isbn&gt;&lt;urls&gt;&lt;/urls&gt;&lt;/record&gt;&lt;/Cite&gt;&lt;/EndNote&gt;</w:instrText>
      </w:r>
      <w:r w:rsidR="008C289C" w:rsidRPr="009440AD">
        <w:rPr>
          <w:lang w:val="en-US"/>
        </w:rPr>
        <w:fldChar w:fldCharType="separate"/>
      </w:r>
      <w:r w:rsidR="008E484D" w:rsidRPr="009440AD">
        <w:rPr>
          <w:noProof/>
          <w:lang w:val="en-US"/>
        </w:rPr>
        <w:t>[14]</w:t>
      </w:r>
      <w:r w:rsidR="008C289C" w:rsidRPr="009440AD">
        <w:rPr>
          <w:lang w:val="en-US"/>
        </w:rPr>
        <w:fldChar w:fldCharType="end"/>
      </w:r>
      <w:r w:rsidRPr="009440AD">
        <w:rPr>
          <w:lang w:val="en-US"/>
        </w:rPr>
        <w:t xml:space="preserve">. The observed elimination phase of amlodipine </w:t>
      </w:r>
      <w:r w:rsidR="004E5785" w:rsidRPr="009440AD">
        <w:rPr>
          <w:lang w:val="en-US"/>
        </w:rPr>
        <w:t xml:space="preserve">(2.5 mg </w:t>
      </w:r>
      <w:r w:rsidR="000A12AD" w:rsidRPr="009440AD">
        <w:rPr>
          <w:lang w:val="en-US"/>
        </w:rPr>
        <w:t>QD</w:t>
      </w:r>
      <w:r w:rsidR="004E5785" w:rsidRPr="009440AD">
        <w:rPr>
          <w:lang w:val="en-US"/>
        </w:rPr>
        <w:t xml:space="preserve">) </w:t>
      </w:r>
      <w:r w:rsidRPr="009440AD">
        <w:rPr>
          <w:lang w:val="en-US"/>
        </w:rPr>
        <w:t>was well captured by the PBPK model for young and elderly individuals including variability (Fig</w:t>
      </w:r>
      <w:r w:rsidR="005A5ECC" w:rsidRPr="005902A1">
        <w:rPr>
          <w:lang w:val="en-US"/>
        </w:rPr>
        <w:t>.</w:t>
      </w:r>
      <w:r w:rsidRPr="0050587F">
        <w:rPr>
          <w:lang w:val="en-US"/>
        </w:rPr>
        <w:t xml:space="preserve"> </w:t>
      </w:r>
      <w:r w:rsidR="002813A5" w:rsidRPr="0050587F">
        <w:rPr>
          <w:lang w:val="en-US"/>
        </w:rPr>
        <w:t>3</w:t>
      </w:r>
      <w:r w:rsidRPr="0050587F">
        <w:rPr>
          <w:lang w:val="en-US"/>
        </w:rPr>
        <w:t xml:space="preserve">a and b). </w:t>
      </w:r>
      <w:proofErr w:type="spellStart"/>
      <w:r w:rsidRPr="0050587F">
        <w:rPr>
          <w:lang w:val="en-US"/>
        </w:rPr>
        <w:t>C</w:t>
      </w:r>
      <w:r w:rsidRPr="0050587F">
        <w:rPr>
          <w:vertAlign w:val="subscript"/>
          <w:lang w:val="en-US"/>
        </w:rPr>
        <w:t>max</w:t>
      </w:r>
      <w:proofErr w:type="spellEnd"/>
      <w:r w:rsidRPr="0050587F">
        <w:rPr>
          <w:lang w:val="en-US"/>
        </w:rPr>
        <w:t xml:space="preserve"> was well predicted in both age groups (</w:t>
      </w:r>
      <w:proofErr w:type="spellStart"/>
      <w:r w:rsidRPr="0050587F">
        <w:rPr>
          <w:lang w:val="en-US"/>
        </w:rPr>
        <w:t>predicted:observed</w:t>
      </w:r>
      <w:proofErr w:type="spellEnd"/>
      <w:r w:rsidRPr="0050587F">
        <w:rPr>
          <w:lang w:val="en-US"/>
        </w:rPr>
        <w:t xml:space="preserve"> ratio: 0.98 and 0.92), but </w:t>
      </w:r>
      <w:proofErr w:type="spellStart"/>
      <w:r w:rsidR="00780DA9" w:rsidRPr="0065491D">
        <w:rPr>
          <w:lang w:val="en-US"/>
        </w:rPr>
        <w:t>t</w:t>
      </w:r>
      <w:r w:rsidRPr="0065491D">
        <w:rPr>
          <w:vertAlign w:val="subscript"/>
          <w:lang w:val="en-US"/>
        </w:rPr>
        <w:t>max</w:t>
      </w:r>
      <w:proofErr w:type="spellEnd"/>
      <w:r w:rsidRPr="0065491D">
        <w:rPr>
          <w:lang w:val="en-US"/>
        </w:rPr>
        <w:t xml:space="preserve"> was </w:t>
      </w:r>
      <w:r w:rsidR="00DE696F" w:rsidRPr="009440AD">
        <w:rPr>
          <w:lang w:val="en-US"/>
        </w:rPr>
        <w:t>reached to</w:t>
      </w:r>
      <w:r w:rsidR="004E5785" w:rsidRPr="009440AD">
        <w:rPr>
          <w:lang w:val="en-US"/>
        </w:rPr>
        <w:t>o</w:t>
      </w:r>
      <w:r w:rsidR="00DE696F" w:rsidRPr="009440AD">
        <w:rPr>
          <w:lang w:val="en-US"/>
        </w:rPr>
        <w:t xml:space="preserve"> early in the simulation</w:t>
      </w:r>
      <w:r w:rsidR="00044E50" w:rsidRPr="009440AD">
        <w:rPr>
          <w:lang w:val="en-US"/>
        </w:rPr>
        <w:t xml:space="preserve"> (</w:t>
      </w:r>
      <w:proofErr w:type="spellStart"/>
      <w:r w:rsidR="00044E50" w:rsidRPr="009440AD">
        <w:rPr>
          <w:lang w:val="en-US"/>
        </w:rPr>
        <w:t>predicted:observed</w:t>
      </w:r>
      <w:proofErr w:type="spellEnd"/>
      <w:r w:rsidR="00044E50" w:rsidRPr="009440AD">
        <w:rPr>
          <w:lang w:val="en-US"/>
        </w:rPr>
        <w:t xml:space="preserve"> ratio: 0.5 in both age groups)</w:t>
      </w:r>
      <w:r w:rsidR="00DE696F" w:rsidRPr="009440AD">
        <w:rPr>
          <w:lang w:val="en-US"/>
        </w:rPr>
        <w:t xml:space="preserve">. However, the </w:t>
      </w:r>
      <w:r w:rsidR="00CD32B1" w:rsidRPr="009440AD">
        <w:rPr>
          <w:lang w:val="en-US"/>
        </w:rPr>
        <w:t xml:space="preserve">age-related </w:t>
      </w:r>
      <w:r w:rsidR="00DE696F" w:rsidRPr="009440AD">
        <w:rPr>
          <w:lang w:val="en-US"/>
        </w:rPr>
        <w:t xml:space="preserve">increase in </w:t>
      </w:r>
      <w:proofErr w:type="spellStart"/>
      <w:r w:rsidR="00780DA9" w:rsidRPr="009440AD">
        <w:rPr>
          <w:lang w:val="en-US"/>
        </w:rPr>
        <w:t>t</w:t>
      </w:r>
      <w:r w:rsidR="00DE696F" w:rsidRPr="009440AD">
        <w:rPr>
          <w:vertAlign w:val="subscript"/>
          <w:lang w:val="en-US"/>
        </w:rPr>
        <w:t>max</w:t>
      </w:r>
      <w:proofErr w:type="spellEnd"/>
      <w:r w:rsidR="00DE696F" w:rsidRPr="009440AD">
        <w:rPr>
          <w:lang w:val="en-US"/>
        </w:rPr>
        <w:t xml:space="preserve"> of 14% that was observed in the clinical study</w:t>
      </w:r>
      <w:r w:rsidR="00CD32B1" w:rsidRPr="009440AD">
        <w:rPr>
          <w:lang w:val="en-US"/>
        </w:rPr>
        <w:t xml:space="preserve"> in elderly compared </w:t>
      </w:r>
      <w:r w:rsidR="00671B30" w:rsidRPr="009440AD">
        <w:rPr>
          <w:lang w:val="en-US"/>
        </w:rPr>
        <w:t>t</w:t>
      </w:r>
      <w:r w:rsidR="00CD32B1" w:rsidRPr="009440AD">
        <w:rPr>
          <w:lang w:val="en-US"/>
        </w:rPr>
        <w:t>o young study participants</w:t>
      </w:r>
      <w:r w:rsidR="00DE696F" w:rsidRPr="009440AD">
        <w:rPr>
          <w:lang w:val="en-US"/>
        </w:rPr>
        <w:t xml:space="preserve"> </w:t>
      </w:r>
      <w:r w:rsidR="00916A03" w:rsidRPr="009440AD">
        <w:rPr>
          <w:lang w:val="en-US"/>
        </w:rPr>
        <w:fldChar w:fldCharType="begin"/>
      </w:r>
      <w:r w:rsidR="00BC4B32" w:rsidRPr="009440AD">
        <w:rPr>
          <w:lang w:val="en-US"/>
        </w:rPr>
        <w:instrText xml:space="preserve"> ADDIN EN.CITE &lt;EndNote&gt;&lt;Cite&gt;&lt;Author&gt;Abernethy&lt;/Author&gt;&lt;Year&gt;1988&lt;/Year&gt;&lt;RecNum&gt;1228&lt;/RecNum&gt;&lt;DisplayText&gt;[38]&lt;/DisplayText&gt;&lt;record&gt;&lt;rec-number&gt;1228&lt;/rec-number&gt;&lt;foreign-keys&gt;&lt;key app="EN" db-id="vawz9xpv5prvt3ed92pxtvpjzzf095ze0r5f" timestamp="1547456597"&gt;1228&lt;/key&gt;&lt;/foreign-keys&gt;&lt;ref-type name="Journal Article"&gt;17&lt;/ref-type&gt;&lt;contributors&gt;&lt;authors&gt;&lt;author&gt;Abernethy, Darrell R&lt;/author&gt;&lt;author&gt;Gutkowska, Jolanta&lt;/author&gt;&lt;author&gt;Lambert, Mary D&lt;/author&gt;&lt;/authors&gt;&lt;/contributors&gt;&lt;titles&gt;&lt;title&gt;Amlodipine in elderly hypertensive patients: pharmacokinetics and pharmacodynamics&lt;/title&gt;&lt;secondary-title&gt;Journal of Cardiovascular Pharmacology&lt;/secondary-title&gt;&lt;/titles&gt;&lt;periodical&gt;&lt;full-title&gt;Journal of cardiovascular pharmacology&lt;/full-title&gt;&lt;/periodical&gt;&lt;pages&gt;S67-71&lt;/pages&gt;&lt;volume&gt;12&lt;/volume&gt;&lt;keywords&gt;&lt;keyword&gt;Drug&lt;/keyword&gt;&lt;keyword&gt;amlodipine&lt;/keyword&gt;&lt;keyword&gt;PD&lt;/keyword&gt;&lt;keyword&gt;elderly&lt;/keyword&gt;&lt;/keywords&gt;&lt;dates&gt;&lt;year&gt;1988&lt;/year&gt;&lt;/dates&gt;&lt;isbn&gt;0160-2446&lt;/isbn&gt;&lt;urls&gt;&lt;/urls&gt;&lt;/record&gt;&lt;/Cite&gt;&lt;/EndNote&gt;</w:instrText>
      </w:r>
      <w:r w:rsidR="00916A03" w:rsidRPr="009440AD">
        <w:rPr>
          <w:lang w:val="en-US"/>
        </w:rPr>
        <w:fldChar w:fldCharType="separate"/>
      </w:r>
      <w:r w:rsidR="00BC4B32" w:rsidRPr="009440AD">
        <w:rPr>
          <w:noProof/>
          <w:lang w:val="en-US"/>
        </w:rPr>
        <w:t>[38]</w:t>
      </w:r>
      <w:r w:rsidR="00916A03" w:rsidRPr="009440AD">
        <w:rPr>
          <w:lang w:val="en-US"/>
        </w:rPr>
        <w:fldChar w:fldCharType="end"/>
      </w:r>
      <w:r w:rsidR="00916A03" w:rsidRPr="009440AD">
        <w:rPr>
          <w:lang w:val="en-US"/>
        </w:rPr>
        <w:t xml:space="preserve"> </w:t>
      </w:r>
      <w:r w:rsidR="00DE696F" w:rsidRPr="009440AD">
        <w:rPr>
          <w:lang w:val="en-US"/>
        </w:rPr>
        <w:t xml:space="preserve">was </w:t>
      </w:r>
      <w:r w:rsidR="0015230A" w:rsidRPr="009440AD">
        <w:rPr>
          <w:lang w:val="en-US"/>
        </w:rPr>
        <w:t xml:space="preserve">correctly </w:t>
      </w:r>
      <w:r w:rsidR="00DE696F" w:rsidRPr="005902A1">
        <w:rPr>
          <w:lang w:val="en-US"/>
        </w:rPr>
        <w:t>captured by the model (</w:t>
      </w:r>
      <w:proofErr w:type="spellStart"/>
      <w:r w:rsidR="00DE696F" w:rsidRPr="005902A1">
        <w:rPr>
          <w:lang w:val="en-US"/>
        </w:rPr>
        <w:t>predicted:observed</w:t>
      </w:r>
      <w:proofErr w:type="spellEnd"/>
      <w:r w:rsidR="00DE696F" w:rsidRPr="005902A1">
        <w:rPr>
          <w:lang w:val="en-US"/>
        </w:rPr>
        <w:t xml:space="preserve"> ratio: 1.0). Simulated AUC and t</w:t>
      </w:r>
      <w:r w:rsidR="00DE696F" w:rsidRPr="0050587F">
        <w:rPr>
          <w:vertAlign w:val="subscript"/>
          <w:lang w:val="en-US"/>
        </w:rPr>
        <w:t>1/2</w:t>
      </w:r>
      <w:r w:rsidR="00DE696F" w:rsidRPr="0050587F">
        <w:rPr>
          <w:lang w:val="en-US"/>
        </w:rPr>
        <w:t xml:space="preserve"> were both in close agreement with the observed clinical data (</w:t>
      </w:r>
      <w:proofErr w:type="spellStart"/>
      <w:r w:rsidR="00DE696F" w:rsidRPr="0050587F">
        <w:rPr>
          <w:lang w:val="en-US"/>
        </w:rPr>
        <w:t>predicted:obse</w:t>
      </w:r>
      <w:r w:rsidR="00DE696F" w:rsidRPr="0065491D">
        <w:rPr>
          <w:lang w:val="en-US"/>
        </w:rPr>
        <w:t>rved</w:t>
      </w:r>
      <w:proofErr w:type="spellEnd"/>
      <w:r w:rsidR="00DE696F" w:rsidRPr="0065491D">
        <w:rPr>
          <w:lang w:val="en-US"/>
        </w:rPr>
        <w:t xml:space="preserve"> ratio: 1.06 and 1.25 in the young and 1.01 and 1.14 in the elderly).</w:t>
      </w:r>
    </w:p>
    <w:p w14:paraId="3FD4095D" w14:textId="77777777" w:rsidR="00A16587" w:rsidRPr="009440AD" w:rsidRDefault="00A16587" w:rsidP="000A12AD">
      <w:pPr>
        <w:pStyle w:val="Heading3"/>
        <w:rPr>
          <w:lang w:val="en-US"/>
        </w:rPr>
      </w:pPr>
      <w:r w:rsidRPr="009440AD">
        <w:rPr>
          <w:lang w:val="en-US"/>
        </w:rPr>
        <w:t>Rivaroxaban</w:t>
      </w:r>
    </w:p>
    <w:p w14:paraId="4C7CC5CE" w14:textId="0451DB25" w:rsidR="00916A03" w:rsidRPr="0065491D" w:rsidRDefault="00916A03" w:rsidP="00701574">
      <w:pPr>
        <w:rPr>
          <w:lang w:val="en-US"/>
        </w:rPr>
      </w:pPr>
      <w:r w:rsidRPr="009440AD">
        <w:rPr>
          <w:lang w:val="en-US"/>
        </w:rPr>
        <w:t>Rivaroxaban is metabolized by CYP3A4 (20.0%), CYP2J2 (15.7%), an unspecified enzymatic pathway (18.3%) and is cleared</w:t>
      </w:r>
      <w:r w:rsidR="00591634" w:rsidRPr="009440AD">
        <w:rPr>
          <w:lang w:val="en-US"/>
        </w:rPr>
        <w:t xml:space="preserve"> unchanged</w:t>
      </w:r>
      <w:r w:rsidRPr="009440AD">
        <w:rPr>
          <w:lang w:val="en-US"/>
        </w:rPr>
        <w:t xml:space="preserve"> </w:t>
      </w:r>
      <w:r w:rsidR="00780DA9" w:rsidRPr="009440AD">
        <w:rPr>
          <w:lang w:val="en-US"/>
        </w:rPr>
        <w:t>by</w:t>
      </w:r>
      <w:r w:rsidRPr="009440AD">
        <w:rPr>
          <w:lang w:val="en-US"/>
        </w:rPr>
        <w:t xml:space="preserve"> the kidney (46.0%)</w:t>
      </w:r>
      <w:r w:rsidR="009A6D4E" w:rsidRPr="009440AD">
        <w:rPr>
          <w:lang w:val="en-US"/>
        </w:rPr>
        <w:t xml:space="preserve"> </w:t>
      </w:r>
      <w:r w:rsidR="009A6D4E" w:rsidRPr="009440AD">
        <w:rPr>
          <w:lang w:val="en-US"/>
        </w:rPr>
        <w:fldChar w:fldCharType="begin"/>
      </w:r>
      <w:r w:rsidR="00036D47">
        <w:rPr>
          <w:lang w:val="en-US"/>
        </w:rPr>
        <w:instrText xml:space="preserve"> ADDIN EN.CITE &lt;EndNote&gt;&lt;Cite&gt;&lt;Author&gt;Stader&lt;/Author&gt;&lt;Year&gt;2019&lt;/Year&gt;&lt;RecNum&gt;1196&lt;/RecNum&gt;&lt;DisplayText&gt;[11]&lt;/DisplayText&gt;&lt;record&gt;&lt;rec-number&gt;1196&lt;/rec-number&gt;&lt;foreign-keys&gt;&lt;key app="EN" db-id="vawz9xpv5prvt3ed92pxtvpjzzf095ze0r5f" timestamp="1542691448"&gt;1196&lt;/key&gt;&lt;/foreign-keys&gt;&lt;ref-type name="Journal Article"&gt;17&lt;/ref-type&gt;&lt;contributors&gt;&lt;authors&gt;&lt;author&gt;Stader, Felix&lt;/author&gt;&lt;author&gt;Penny, Melissa A.&lt;/author&gt;&lt;author&gt;Siccardi, Marco&lt;/author&gt;&lt;author&gt;Marzolini, Catia&lt;/author&gt;&lt;/authors&gt;&lt;/contributors&gt;&lt;titles&gt;&lt;title&gt;A comprehensive framework for physiologically based pharmacokinetic modelling in Matlab®&lt;/title&gt;&lt;secondary-title&gt;CPT: Pharmacometrics &amp;amp; Systems Pharmacology&lt;/secondary-title&gt;&lt;/titles&gt;&lt;periodical&gt;&lt;full-title&gt;CPT: Pharmacometrics &amp;amp; Systems Pharmacology&lt;/full-title&gt;&lt;/periodical&gt;&lt;pages&gt;444-459&lt;/pages&gt;&lt;volume&gt;8&lt;/volume&gt;&lt;number&gt;7&lt;/number&gt;&lt;keywords&gt;&lt;keyword&gt;PBPK model&lt;/keyword&gt;&lt;keyword&gt;used&lt;/keyword&gt;&lt;/keywords&gt;&lt;dates&gt;&lt;year&gt;2019&lt;/year&gt;&lt;/dates&gt;&lt;urls&gt;&lt;/urls&gt;&lt;/record&gt;&lt;/Cite&gt;&lt;/EndNote&gt;</w:instrText>
      </w:r>
      <w:r w:rsidR="009A6D4E" w:rsidRPr="009440AD">
        <w:rPr>
          <w:lang w:val="en-US"/>
        </w:rPr>
        <w:fldChar w:fldCharType="separate"/>
      </w:r>
      <w:r w:rsidR="008E484D" w:rsidRPr="009440AD">
        <w:rPr>
          <w:noProof/>
          <w:lang w:val="en-US"/>
        </w:rPr>
        <w:t>[11]</w:t>
      </w:r>
      <w:r w:rsidR="009A6D4E" w:rsidRPr="009440AD">
        <w:rPr>
          <w:lang w:val="en-US"/>
        </w:rPr>
        <w:fldChar w:fldCharType="end"/>
      </w:r>
      <w:r w:rsidRPr="009440AD">
        <w:rPr>
          <w:lang w:val="en-US"/>
        </w:rPr>
        <w:t xml:space="preserve">. </w:t>
      </w:r>
      <w:r w:rsidR="004E5785" w:rsidRPr="009440AD">
        <w:rPr>
          <w:lang w:val="en-US"/>
        </w:rPr>
        <w:t xml:space="preserve">A 10 mg single oral dose of the </w:t>
      </w:r>
      <w:r w:rsidR="004E5785" w:rsidRPr="009440AD">
        <w:rPr>
          <w:lang w:val="en-US"/>
        </w:rPr>
        <w:lastRenderedPageBreak/>
        <w:t xml:space="preserve">anticoagulant rivaroxaban was studied. </w:t>
      </w:r>
      <w:r w:rsidRPr="005902A1">
        <w:rPr>
          <w:lang w:val="en-US"/>
        </w:rPr>
        <w:t xml:space="preserve">The </w:t>
      </w:r>
      <w:r w:rsidR="00AA59A9" w:rsidRPr="0050587F">
        <w:rPr>
          <w:lang w:val="en-US"/>
        </w:rPr>
        <w:t>observed</w:t>
      </w:r>
      <w:r w:rsidRPr="0050587F">
        <w:rPr>
          <w:lang w:val="en-US"/>
        </w:rPr>
        <w:t xml:space="preserve"> terminal elimination phase of rivaroxaban </w:t>
      </w:r>
      <w:r w:rsidR="00AA59A9" w:rsidRPr="0050587F">
        <w:rPr>
          <w:lang w:val="en-US"/>
        </w:rPr>
        <w:t xml:space="preserve">was contained within the 95% confidence interval of the PBPK model simulations </w:t>
      </w:r>
      <w:r w:rsidRPr="0050587F">
        <w:rPr>
          <w:lang w:val="en-US"/>
        </w:rPr>
        <w:t>for young and elderly adults (Fig</w:t>
      </w:r>
      <w:r w:rsidR="005A5ECC" w:rsidRPr="0050587F">
        <w:rPr>
          <w:lang w:val="en-US"/>
        </w:rPr>
        <w:t>.</w:t>
      </w:r>
      <w:r w:rsidRPr="0050587F">
        <w:rPr>
          <w:lang w:val="en-US"/>
        </w:rPr>
        <w:t xml:space="preserve"> </w:t>
      </w:r>
      <w:r w:rsidR="002813A5" w:rsidRPr="0050587F">
        <w:rPr>
          <w:lang w:val="en-US"/>
        </w:rPr>
        <w:t>3</w:t>
      </w:r>
      <w:r w:rsidRPr="0050587F">
        <w:rPr>
          <w:lang w:val="en-US"/>
        </w:rPr>
        <w:t>c and d)</w:t>
      </w:r>
      <w:r w:rsidR="00780DA9" w:rsidRPr="0050587F">
        <w:rPr>
          <w:lang w:val="en-US"/>
        </w:rPr>
        <w:t xml:space="preserve"> as were</w:t>
      </w:r>
      <w:r w:rsidRPr="0050587F">
        <w:rPr>
          <w:lang w:val="en-US"/>
        </w:rPr>
        <w:t xml:space="preserve"> </w:t>
      </w:r>
      <w:r w:rsidR="00780DA9" w:rsidRPr="0050587F">
        <w:rPr>
          <w:lang w:val="en-US"/>
        </w:rPr>
        <w:t>t</w:t>
      </w:r>
      <w:r w:rsidR="0067201F" w:rsidRPr="0050587F">
        <w:rPr>
          <w:lang w:val="en-US"/>
        </w:rPr>
        <w:t>he observed ratios elderly</w:t>
      </w:r>
      <w:r w:rsidR="00146385" w:rsidRPr="0050587F">
        <w:rPr>
          <w:lang w:val="en-US"/>
        </w:rPr>
        <w:t>/</w:t>
      </w:r>
      <w:r w:rsidR="0067201F" w:rsidRPr="0050587F">
        <w:rPr>
          <w:lang w:val="en-US"/>
        </w:rPr>
        <w:t xml:space="preserve">young adults of </w:t>
      </w:r>
      <w:proofErr w:type="spellStart"/>
      <w:r w:rsidR="0067201F" w:rsidRPr="0050587F">
        <w:rPr>
          <w:lang w:val="en-US"/>
        </w:rPr>
        <w:t>C</w:t>
      </w:r>
      <w:r w:rsidR="0067201F" w:rsidRPr="0050587F">
        <w:rPr>
          <w:vertAlign w:val="subscript"/>
          <w:lang w:val="en-US"/>
        </w:rPr>
        <w:t>max</w:t>
      </w:r>
      <w:proofErr w:type="spellEnd"/>
      <w:r w:rsidR="0067201F" w:rsidRPr="0050587F">
        <w:rPr>
          <w:lang w:val="en-US"/>
        </w:rPr>
        <w:t>, AUC</w:t>
      </w:r>
      <w:r w:rsidR="00687EFC" w:rsidRPr="0050587F">
        <w:rPr>
          <w:lang w:val="en-US"/>
        </w:rPr>
        <w:t>,</w:t>
      </w:r>
      <w:r w:rsidR="0067201F" w:rsidRPr="0050587F">
        <w:rPr>
          <w:lang w:val="en-US"/>
        </w:rPr>
        <w:t xml:space="preserve"> and t</w:t>
      </w:r>
      <w:r w:rsidR="0067201F" w:rsidRPr="0050587F">
        <w:rPr>
          <w:vertAlign w:val="subscript"/>
          <w:lang w:val="en-US"/>
        </w:rPr>
        <w:t>1/2</w:t>
      </w:r>
      <w:r w:rsidR="0067201F" w:rsidRPr="0050587F">
        <w:rPr>
          <w:lang w:val="en-US"/>
        </w:rPr>
        <w:t xml:space="preserve"> </w:t>
      </w:r>
      <w:r w:rsidR="009E412A" w:rsidRPr="0065491D">
        <w:rPr>
          <w:lang w:val="en-US"/>
        </w:rPr>
        <w:t>(</w:t>
      </w:r>
      <w:proofErr w:type="spellStart"/>
      <w:r w:rsidR="009E412A" w:rsidRPr="0065491D">
        <w:rPr>
          <w:lang w:val="en-US"/>
        </w:rPr>
        <w:t>predicted:observed</w:t>
      </w:r>
      <w:proofErr w:type="spellEnd"/>
      <w:r w:rsidR="009E412A" w:rsidRPr="0065491D">
        <w:rPr>
          <w:lang w:val="en-US"/>
        </w:rPr>
        <w:t xml:space="preserve"> ratio: 0.89, 0.84 </w:t>
      </w:r>
      <w:r w:rsidR="00687EFC" w:rsidRPr="0065491D">
        <w:rPr>
          <w:lang w:val="en-US"/>
        </w:rPr>
        <w:t>,</w:t>
      </w:r>
      <w:r w:rsidR="009E412A" w:rsidRPr="0065491D">
        <w:rPr>
          <w:lang w:val="en-US"/>
        </w:rPr>
        <w:t>and 0.98).</w:t>
      </w:r>
    </w:p>
    <w:p w14:paraId="69BD55E3" w14:textId="77777777" w:rsidR="00A16587" w:rsidRPr="009440AD" w:rsidRDefault="00A16587" w:rsidP="000A12AD">
      <w:pPr>
        <w:pStyle w:val="Heading3"/>
        <w:rPr>
          <w:lang w:val="en-US"/>
        </w:rPr>
      </w:pPr>
      <w:r w:rsidRPr="009440AD">
        <w:rPr>
          <w:lang w:val="en-US"/>
        </w:rPr>
        <w:t>Repaglinide</w:t>
      </w:r>
    </w:p>
    <w:p w14:paraId="2AC08AE3" w14:textId="6309231E" w:rsidR="00FE1A00" w:rsidRPr="009440AD" w:rsidRDefault="009E412A" w:rsidP="00701574">
      <w:pPr>
        <w:rPr>
          <w:lang w:val="en-US"/>
        </w:rPr>
      </w:pPr>
      <w:r w:rsidRPr="009440AD">
        <w:rPr>
          <w:lang w:val="en-US"/>
        </w:rPr>
        <w:t>Repaglinide is mainly metabolized by CYP2C8 (75.5%) and to a minor extend by CYP3A4 (</w:t>
      </w:r>
      <w:r w:rsidR="00CD32B1" w:rsidRPr="009440AD">
        <w:rPr>
          <w:lang w:val="en-US"/>
        </w:rPr>
        <w:t>24</w:t>
      </w:r>
      <w:r w:rsidRPr="009440AD">
        <w:rPr>
          <w:lang w:val="en-US"/>
        </w:rPr>
        <w:t>.5%)</w:t>
      </w:r>
      <w:r w:rsidR="0015230A" w:rsidRPr="009440AD">
        <w:rPr>
          <w:lang w:val="en-US"/>
        </w:rPr>
        <w:t xml:space="preserve"> </w:t>
      </w:r>
      <w:r w:rsidR="008C289C" w:rsidRPr="009440AD">
        <w:rPr>
          <w:lang w:val="en-US"/>
        </w:rPr>
        <w:fldChar w:fldCharType="begin"/>
      </w:r>
      <w:r w:rsidR="00BC4B32" w:rsidRPr="009440AD">
        <w:rPr>
          <w:lang w:val="en-US"/>
        </w:rPr>
        <w:instrText xml:space="preserve"> ADDIN EN.CITE &lt;EndNote&gt;&lt;Cite&gt;&lt;Author&gt;Kudo&lt;/Author&gt;&lt;Year&gt;2017&lt;/Year&gt;&lt;RecNum&gt;1216&lt;/RecNum&gt;&lt;DisplayText&gt;[39]&lt;/DisplayText&gt;&lt;record&gt;&lt;rec-number&gt;1216&lt;/rec-number&gt;&lt;foreign-keys&gt;&lt;key app="EN" db-id="vawz9xpv5prvt3ed92pxtvpjzzf095ze0r5f" timestamp="1544690796"&gt;1216&lt;/key&gt;&lt;/foreign-keys&gt;&lt;ref-type name="Journal Article"&gt;17&lt;/ref-type&gt;&lt;contributors&gt;&lt;authors&gt;&lt;author&gt;Kudo, Toshiyuki&lt;/author&gt;&lt;author&gt;Goda, Hitomi&lt;/author&gt;&lt;author&gt;Yokosuka, Yuki&lt;/author&gt;&lt;author&gt;Tanaka, Ryo&lt;/author&gt;&lt;author&gt;Komatsu, Seina&lt;/author&gt;&lt;author&gt;Ito, Kiyomi&lt;/author&gt;&lt;/authors&gt;&lt;/contributors&gt;&lt;titles&gt;&lt;title&gt;Estimation of the contribution of CYP2C8 and CYP3A4 in repaglinide metabolism by human liver microsomes under various buffer conditions&lt;/title&gt;&lt;secondary-title&gt;Journal of Pharmaceutical Sciences&lt;/secondary-title&gt;&lt;/titles&gt;&lt;periodical&gt;&lt;full-title&gt;Journal of pharmaceutical sciences&lt;/full-title&gt;&lt;/periodical&gt;&lt;pages&gt;2847-2852&lt;/pages&gt;&lt;volume&gt;106&lt;/volume&gt;&lt;number&gt;9&lt;/number&gt;&lt;keywords&gt;&lt;keyword&gt;Drug&lt;/keyword&gt;&lt;keyword&gt;repaglinide&lt;/keyword&gt;&lt;keyword&gt;fm&lt;/keyword&gt;&lt;/keywords&gt;&lt;dates&gt;&lt;year&gt;2017&lt;/year&gt;&lt;/dates&gt;&lt;isbn&gt;0022-3549&lt;/isbn&gt;&lt;urls&gt;&lt;/urls&gt;&lt;/record&gt;&lt;/Cite&gt;&lt;/EndNote&gt;</w:instrText>
      </w:r>
      <w:r w:rsidR="008C289C" w:rsidRPr="009440AD">
        <w:rPr>
          <w:lang w:val="en-US"/>
        </w:rPr>
        <w:fldChar w:fldCharType="separate"/>
      </w:r>
      <w:r w:rsidR="00BC4B32" w:rsidRPr="009440AD">
        <w:rPr>
          <w:noProof/>
          <w:lang w:val="en-US"/>
        </w:rPr>
        <w:t>[39]</w:t>
      </w:r>
      <w:r w:rsidR="008C289C" w:rsidRPr="009440AD">
        <w:rPr>
          <w:lang w:val="en-US"/>
        </w:rPr>
        <w:fldChar w:fldCharType="end"/>
      </w:r>
      <w:r w:rsidRPr="009440AD">
        <w:rPr>
          <w:lang w:val="en-US"/>
        </w:rPr>
        <w:t>. The uptake</w:t>
      </w:r>
      <w:r w:rsidR="004E5785" w:rsidRPr="009440AD">
        <w:rPr>
          <w:lang w:val="en-US"/>
        </w:rPr>
        <w:t xml:space="preserve"> of repaglinide</w:t>
      </w:r>
      <w:r w:rsidRPr="009440AD">
        <w:rPr>
          <w:lang w:val="en-US"/>
        </w:rPr>
        <w:t xml:space="preserve"> into hepatocytes is mediated by OATP1B1 </w:t>
      </w:r>
      <w:r w:rsidRPr="009440AD">
        <w:rPr>
          <w:lang w:val="en-US"/>
        </w:rPr>
        <w:fldChar w:fldCharType="begin"/>
      </w:r>
      <w:r w:rsidR="008E484D" w:rsidRPr="009440AD">
        <w:rPr>
          <w:lang w:val="en-US"/>
        </w:rPr>
        <w:instrText xml:space="preserve"> ADDIN EN.CITE &lt;EndNote&gt;&lt;Cite&gt;&lt;Author&gt;Varma&lt;/Author&gt;&lt;Year&gt;2013&lt;/Year&gt;&lt;RecNum&gt;1217&lt;/RecNum&gt;&lt;DisplayText&gt;[19]&lt;/DisplayText&gt;&lt;record&gt;&lt;rec-number&gt;1217&lt;/rec-number&gt;&lt;foreign-keys&gt;&lt;key app="EN" db-id="vawz9xpv5prvt3ed92pxtvpjzzf095ze0r5f" timestamp="1544691310"&gt;1217&lt;/key&gt;&lt;/foreign-keys&gt;&lt;ref-type name="Journal Article"&gt;17&lt;/ref-type&gt;&lt;contributors&gt;&lt;authors&gt;&lt;author&gt;Varma, Manthena VS&lt;/author&gt;&lt;author&gt;Lai, Yurong&lt;/author&gt;&lt;author&gt;Kimoto, Emi&lt;/author&gt;&lt;author&gt;Goosen, Theunis C&lt;/author&gt;&lt;author&gt;El-Kattan, Ayman F&lt;/author&gt;&lt;author&gt;Kumar, Vikas&lt;/author&gt;&lt;/authors&gt;&lt;/contributors&gt;&lt;titles&gt;&lt;title&gt;Mechanistic modeling to predict the transporter-and enzyme-mediated drug-drug interactions of repaglinide&lt;/title&gt;&lt;secondary-title&gt;Pharmaceutical Research&lt;/secondary-title&gt;&lt;/titles&gt;&lt;periodical&gt;&lt;full-title&gt;Pharmaceutical research&lt;/full-title&gt;&lt;/periodical&gt;&lt;pages&gt;1188-1199&lt;/pages&gt;&lt;volume&gt;30&lt;/volume&gt;&lt;number&gt;4&lt;/number&gt;&lt;keywords&gt;&lt;keyword&gt;Drug&lt;/keyword&gt;&lt;keyword&gt;repaglinide&lt;/keyword&gt;&lt;keyword&gt;transport&lt;/keyword&gt;&lt;/keywords&gt;&lt;dates&gt;&lt;year&gt;2013&lt;/year&gt;&lt;/dates&gt;&lt;isbn&gt;0724-8741&lt;/isbn&gt;&lt;urls&gt;&lt;/urls&gt;&lt;/record&gt;&lt;/Cite&gt;&lt;/EndNote&gt;</w:instrText>
      </w:r>
      <w:r w:rsidRPr="009440AD">
        <w:rPr>
          <w:lang w:val="en-US"/>
        </w:rPr>
        <w:fldChar w:fldCharType="separate"/>
      </w:r>
      <w:r w:rsidR="008E484D" w:rsidRPr="009440AD">
        <w:rPr>
          <w:noProof/>
          <w:lang w:val="en-US"/>
        </w:rPr>
        <w:t>[19]</w:t>
      </w:r>
      <w:r w:rsidRPr="009440AD">
        <w:rPr>
          <w:lang w:val="en-US"/>
        </w:rPr>
        <w:fldChar w:fldCharType="end"/>
      </w:r>
      <w:r w:rsidRPr="009440AD">
        <w:rPr>
          <w:lang w:val="en-US"/>
        </w:rPr>
        <w:t xml:space="preserve">. </w:t>
      </w:r>
      <w:r w:rsidR="004E5785" w:rsidRPr="009440AD">
        <w:rPr>
          <w:lang w:val="en-US"/>
        </w:rPr>
        <w:t xml:space="preserve">A 2 mg single oral dose of the antidiabetic drug repaglinide was </w:t>
      </w:r>
      <w:r w:rsidR="0015230A" w:rsidRPr="005902A1">
        <w:rPr>
          <w:lang w:val="en-US"/>
        </w:rPr>
        <w:t>simulated.</w:t>
      </w:r>
      <w:r w:rsidR="004E5785" w:rsidRPr="0050587F">
        <w:rPr>
          <w:lang w:val="en-US"/>
        </w:rPr>
        <w:t xml:space="preserve"> </w:t>
      </w:r>
      <w:r w:rsidRPr="0050587F">
        <w:rPr>
          <w:lang w:val="en-US"/>
        </w:rPr>
        <w:t>The mean prediction of repaglinide was close to the mean observed, b</w:t>
      </w:r>
      <w:r w:rsidRPr="00540E3C">
        <w:rPr>
          <w:lang w:val="en-US"/>
        </w:rPr>
        <w:t>ut the observed variability of repaglinide pharmacokinetics was not completely captured by the model (Fig</w:t>
      </w:r>
      <w:r w:rsidR="005A5ECC" w:rsidRPr="00540E3C">
        <w:rPr>
          <w:lang w:val="en-US"/>
        </w:rPr>
        <w:t>.</w:t>
      </w:r>
      <w:r w:rsidRPr="00540E3C">
        <w:rPr>
          <w:lang w:val="en-US"/>
        </w:rPr>
        <w:t xml:space="preserve"> </w:t>
      </w:r>
      <w:r w:rsidR="002813A5" w:rsidRPr="00540E3C">
        <w:rPr>
          <w:lang w:val="en-US"/>
        </w:rPr>
        <w:t>4</w:t>
      </w:r>
      <w:r w:rsidRPr="00540E3C">
        <w:rPr>
          <w:lang w:val="en-US"/>
        </w:rPr>
        <w:t xml:space="preserve">a and b). </w:t>
      </w:r>
      <w:proofErr w:type="spellStart"/>
      <w:r w:rsidRPr="00540E3C">
        <w:rPr>
          <w:lang w:val="en-US"/>
        </w:rPr>
        <w:t>C</w:t>
      </w:r>
      <w:r w:rsidRPr="00540E3C">
        <w:rPr>
          <w:vertAlign w:val="subscript"/>
          <w:lang w:val="en-US"/>
        </w:rPr>
        <w:t>max</w:t>
      </w:r>
      <w:proofErr w:type="spellEnd"/>
      <w:r w:rsidRPr="00540E3C">
        <w:rPr>
          <w:lang w:val="en-US"/>
        </w:rPr>
        <w:t xml:space="preserve">, </w:t>
      </w:r>
      <w:proofErr w:type="spellStart"/>
      <w:r w:rsidR="00780DA9" w:rsidRPr="00540E3C">
        <w:rPr>
          <w:lang w:val="en-US"/>
        </w:rPr>
        <w:t>t</w:t>
      </w:r>
      <w:r w:rsidRPr="00540E3C">
        <w:rPr>
          <w:vertAlign w:val="subscript"/>
          <w:lang w:val="en-US"/>
        </w:rPr>
        <w:t>max</w:t>
      </w:r>
      <w:proofErr w:type="spellEnd"/>
      <w:r w:rsidR="00687EFC" w:rsidRPr="00540E3C">
        <w:rPr>
          <w:lang w:val="en-US"/>
        </w:rPr>
        <w:t>,</w:t>
      </w:r>
      <w:r w:rsidRPr="00540E3C">
        <w:rPr>
          <w:lang w:val="en-US"/>
        </w:rPr>
        <w:t xml:space="preserve"> and AUC were predicted</w:t>
      </w:r>
      <w:r w:rsidR="0015230A" w:rsidRPr="00540E3C">
        <w:rPr>
          <w:lang w:val="en-US"/>
        </w:rPr>
        <w:t xml:space="preserve"> with good accuracy</w:t>
      </w:r>
      <w:r w:rsidRPr="00540E3C">
        <w:rPr>
          <w:lang w:val="en-US"/>
        </w:rPr>
        <w:t xml:space="preserve"> in young (</w:t>
      </w:r>
      <w:proofErr w:type="spellStart"/>
      <w:r w:rsidRPr="00540E3C">
        <w:rPr>
          <w:lang w:val="en-US"/>
        </w:rPr>
        <w:t>predicted:observed</w:t>
      </w:r>
      <w:proofErr w:type="spellEnd"/>
      <w:r w:rsidRPr="00540E3C">
        <w:rPr>
          <w:lang w:val="en-US"/>
        </w:rPr>
        <w:t xml:space="preserve"> ratio: 0.84</w:t>
      </w:r>
      <w:r w:rsidRPr="0065491D">
        <w:rPr>
          <w:lang w:val="en-US"/>
        </w:rPr>
        <w:t>. 0.86</w:t>
      </w:r>
      <w:r w:rsidR="00687EFC" w:rsidRPr="0065491D">
        <w:rPr>
          <w:lang w:val="en-US"/>
        </w:rPr>
        <w:t>,</w:t>
      </w:r>
      <w:r w:rsidRPr="0065491D">
        <w:rPr>
          <w:lang w:val="en-US"/>
        </w:rPr>
        <w:t xml:space="preserve"> and 1.18) and elderly adults (</w:t>
      </w:r>
      <w:proofErr w:type="spellStart"/>
      <w:r w:rsidRPr="0065491D">
        <w:rPr>
          <w:lang w:val="en-US"/>
        </w:rPr>
        <w:t>predicted:observed</w:t>
      </w:r>
      <w:proofErr w:type="spellEnd"/>
      <w:r w:rsidRPr="0065491D">
        <w:rPr>
          <w:lang w:val="en-US"/>
        </w:rPr>
        <w:t xml:space="preserve"> ratio: 0.80, 1.00</w:t>
      </w:r>
      <w:r w:rsidR="00687EFC" w:rsidRPr="009440AD">
        <w:rPr>
          <w:lang w:val="en-US"/>
        </w:rPr>
        <w:t>,</w:t>
      </w:r>
      <w:r w:rsidRPr="009440AD">
        <w:rPr>
          <w:lang w:val="en-US"/>
        </w:rPr>
        <w:t xml:space="preserve"> and 1.06). </w:t>
      </w:r>
      <w:r w:rsidR="002F092D" w:rsidRPr="009440AD">
        <w:rPr>
          <w:lang w:val="en-US"/>
        </w:rPr>
        <w:t>T</w:t>
      </w:r>
      <w:r w:rsidRPr="009440AD">
        <w:rPr>
          <w:vertAlign w:val="subscript"/>
          <w:lang w:val="en-US"/>
        </w:rPr>
        <w:t>1/2</w:t>
      </w:r>
      <w:r w:rsidRPr="009440AD">
        <w:rPr>
          <w:lang w:val="en-US"/>
        </w:rPr>
        <w:t xml:space="preserve"> </w:t>
      </w:r>
      <w:r w:rsidR="002F092D" w:rsidRPr="009440AD">
        <w:rPr>
          <w:lang w:val="en-US"/>
        </w:rPr>
        <w:t>was over-predicted in both age groups (</w:t>
      </w:r>
      <w:proofErr w:type="spellStart"/>
      <w:r w:rsidR="002F092D" w:rsidRPr="009440AD">
        <w:rPr>
          <w:lang w:val="en-US"/>
        </w:rPr>
        <w:t>predicted:observed</w:t>
      </w:r>
      <w:proofErr w:type="spellEnd"/>
      <w:r w:rsidR="002F092D" w:rsidRPr="009440AD">
        <w:rPr>
          <w:lang w:val="en-US"/>
        </w:rPr>
        <w:t xml:space="preserve"> ratio: 1.77 and 1.58), but the predicted ratio elderly/young was in agreement to clinically observed data (</w:t>
      </w:r>
      <w:proofErr w:type="spellStart"/>
      <w:r w:rsidR="002F092D" w:rsidRPr="009440AD">
        <w:rPr>
          <w:lang w:val="en-US"/>
        </w:rPr>
        <w:t>predicted:observed</w:t>
      </w:r>
      <w:proofErr w:type="spellEnd"/>
      <w:r w:rsidR="002F092D" w:rsidRPr="009440AD">
        <w:rPr>
          <w:lang w:val="en-US"/>
        </w:rPr>
        <w:t xml:space="preserve"> ratio: 0.89) </w:t>
      </w:r>
      <w:r w:rsidR="00FE1A00" w:rsidRPr="009440AD">
        <w:rPr>
          <w:lang w:val="en-US"/>
        </w:rPr>
        <w:fldChar w:fldCharType="begin"/>
      </w:r>
      <w:r w:rsidR="00BC4B32" w:rsidRPr="009440AD">
        <w:rPr>
          <w:lang w:val="en-US"/>
        </w:rPr>
        <w:instrText xml:space="preserve"> ADDIN EN.CITE &lt;EndNote&gt;&lt;Cite&gt;&lt;Author&gt;Hatorp&lt;/Author&gt;&lt;Year&gt;1999&lt;/Year&gt;&lt;RecNum&gt;652&lt;/RecNum&gt;&lt;DisplayText&gt;[40]&lt;/DisplayText&gt;&lt;record&gt;&lt;rec-number&gt;652&lt;/rec-number&gt;&lt;foreign-keys&gt;&lt;key app="EN" db-id="vawz9xpv5prvt3ed92pxtvpjzzf095ze0r5f" timestamp="1494334901"&gt;652&lt;/key&gt;&lt;/foreign-keys&gt;&lt;ref-type name="Journal Article"&gt;17&lt;/ref-type&gt;&lt;contributors&gt;&lt;authors&gt;&lt;author&gt;Hatorp, Vibeke&lt;/author&gt;&lt;author&gt;Huang, Won-Chin&lt;/author&gt;&lt;author&gt;Strange, Poul&lt;/author&gt;&lt;/authors&gt;&lt;/contributors&gt;&lt;titles&gt;&lt;title&gt;Repaglinide pharmacokinetics in healthy young adult and elderly subjects&lt;/title&gt;&lt;secondary-title&gt;Clinical Therapeutics&lt;/secondary-title&gt;&lt;/titles&gt;&lt;periodical&gt;&lt;full-title&gt;Clinical therapeutics&lt;/full-title&gt;&lt;/periodical&gt;&lt;pages&gt;702-710&lt;/pages&gt;&lt;volume&gt;21&lt;/volume&gt;&lt;number&gt;4&lt;/number&gt;&lt;keywords&gt;&lt;keyword&gt;Drug&lt;/keyword&gt;&lt;keyword&gt;repaglinide&lt;/keyword&gt;&lt;keyword&gt;PK&lt;/keyword&gt;&lt;keyword&gt;young vs elderly&lt;/keyword&gt;&lt;/keywords&gt;&lt;dates&gt;&lt;year&gt;1999&lt;/year&gt;&lt;/dates&gt;&lt;isbn&gt;0149-2918&lt;/isbn&gt;&lt;urls&gt;&lt;/urls&gt;&lt;/record&gt;&lt;/Cite&gt;&lt;/EndNote&gt;</w:instrText>
      </w:r>
      <w:r w:rsidR="00FE1A00" w:rsidRPr="009440AD">
        <w:rPr>
          <w:lang w:val="en-US"/>
        </w:rPr>
        <w:fldChar w:fldCharType="separate"/>
      </w:r>
      <w:r w:rsidR="00BC4B32" w:rsidRPr="009440AD">
        <w:rPr>
          <w:noProof/>
          <w:lang w:val="en-US"/>
        </w:rPr>
        <w:t>[40]</w:t>
      </w:r>
      <w:r w:rsidR="00FE1A00" w:rsidRPr="009440AD">
        <w:rPr>
          <w:lang w:val="en-US"/>
        </w:rPr>
        <w:fldChar w:fldCharType="end"/>
      </w:r>
      <w:r w:rsidR="00FE1A00" w:rsidRPr="009440AD">
        <w:rPr>
          <w:lang w:val="en-US"/>
        </w:rPr>
        <w:t>.</w:t>
      </w:r>
    </w:p>
    <w:p w14:paraId="379CE508" w14:textId="77777777" w:rsidR="00A16587" w:rsidRPr="0050587F" w:rsidRDefault="00A16587" w:rsidP="000A12AD">
      <w:pPr>
        <w:pStyle w:val="Heading3"/>
        <w:rPr>
          <w:lang w:val="en-US"/>
        </w:rPr>
      </w:pPr>
      <w:r w:rsidRPr="005902A1">
        <w:rPr>
          <w:lang w:val="en-US"/>
        </w:rPr>
        <w:t>Atorv</w:t>
      </w:r>
      <w:r w:rsidRPr="0050587F">
        <w:rPr>
          <w:lang w:val="en-US"/>
        </w:rPr>
        <w:t>astatin</w:t>
      </w:r>
    </w:p>
    <w:p w14:paraId="5D66CFEA" w14:textId="77CADF9A" w:rsidR="00FE1A00" w:rsidRPr="00540E3C" w:rsidRDefault="00FE1A00" w:rsidP="00701574">
      <w:pPr>
        <w:rPr>
          <w:b/>
          <w:lang w:val="en-US"/>
        </w:rPr>
      </w:pPr>
      <w:r w:rsidRPr="00540E3C">
        <w:rPr>
          <w:lang w:val="en-US"/>
        </w:rPr>
        <w:t>Atorvastatin is mainly metabolized by CYP3A (88.9%). Other minor excretion routes for atorvastatin are CYP2C8 (0.2%), UGT1A1 and 1A3 (both: 4.9%)</w:t>
      </w:r>
      <w:r w:rsidR="00687EFC" w:rsidRPr="0065491D">
        <w:rPr>
          <w:lang w:val="en-US"/>
        </w:rPr>
        <w:t>,</w:t>
      </w:r>
      <w:r w:rsidRPr="0065491D">
        <w:rPr>
          <w:lang w:val="en-US"/>
        </w:rPr>
        <w:t xml:space="preserve"> and renal elimination (1.1%)</w:t>
      </w:r>
      <w:r w:rsidR="008C289C" w:rsidRPr="0065491D">
        <w:rPr>
          <w:lang w:val="en-US"/>
        </w:rPr>
        <w:t>. Ato</w:t>
      </w:r>
      <w:r w:rsidR="00381395" w:rsidRPr="0065491D">
        <w:rPr>
          <w:lang w:val="en-US"/>
        </w:rPr>
        <w:t>rvastatin uptake into hepatocytes is mediated by OATP1B1</w:t>
      </w:r>
      <w:r w:rsidR="0015230A" w:rsidRPr="009440AD">
        <w:rPr>
          <w:lang w:val="en-US"/>
        </w:rPr>
        <w:t xml:space="preserve"> </w:t>
      </w:r>
      <w:r w:rsidR="008C289C" w:rsidRPr="009440AD">
        <w:rPr>
          <w:lang w:val="en-US"/>
        </w:rPr>
        <w:fldChar w:fldCharType="begin"/>
      </w:r>
      <w:r w:rsidR="008E484D" w:rsidRPr="009440AD">
        <w:rPr>
          <w:lang w:val="en-US"/>
        </w:rPr>
        <w:instrText xml:space="preserve"> ADDIN EN.CITE &lt;EndNote&gt;&lt;Cite&gt;&lt;Author&gt;Zhang&lt;/Author&gt;&lt;Year&gt;2015&lt;/Year&gt;&lt;RecNum&gt;1210&lt;/RecNum&gt;&lt;DisplayText&gt;[16]&lt;/DisplayText&gt;&lt;record&gt;&lt;rec-number&gt;1210&lt;/rec-number&gt;&lt;foreign-keys&gt;&lt;key app="EN" db-id="vawz9xpv5prvt3ed92pxtvpjzzf095ze0r5f" timestamp="1544678918"&gt;1210&lt;/key&gt;&lt;/foreign-keys&gt;&lt;ref-type name="Journal Article"&gt;17&lt;/ref-type&gt;&lt;contributors&gt;&lt;authors&gt;&lt;author&gt;Zhang, Tao&lt;/author&gt;&lt;/authors&gt;&lt;/contributors&gt;&lt;titles&gt;&lt;title&gt;Physiologically based pharmacokinetic modeling of disposition and drug–drug interactions for atorvastatin and its metabolites&lt;/title&gt;&lt;secondary-title&gt;European Journal of Pharmaceutical Sciences&lt;/secondary-title&gt;&lt;/titles&gt;&lt;periodical&gt;&lt;full-title&gt;European Journal of Pharmaceutical Sciences&lt;/full-title&gt;&lt;/periodical&gt;&lt;pages&gt;216-229&lt;/pages&gt;&lt;volume&gt;77&lt;/volume&gt;&lt;keywords&gt;&lt;keyword&gt;Drug&lt;/keyword&gt;&lt;keyword&gt;atorvastatin&lt;/keyword&gt;&lt;keyword&gt;PBPK&lt;/keyword&gt;&lt;/keywords&gt;&lt;dates&gt;&lt;year&gt;2015&lt;/year&gt;&lt;/dates&gt;&lt;isbn&gt;0928-0987&lt;/isbn&gt;&lt;urls&gt;&lt;/urls&gt;&lt;/record&gt;&lt;/Cite&gt;&lt;/EndNote&gt;</w:instrText>
      </w:r>
      <w:r w:rsidR="008C289C" w:rsidRPr="009440AD">
        <w:rPr>
          <w:lang w:val="en-US"/>
        </w:rPr>
        <w:fldChar w:fldCharType="separate"/>
      </w:r>
      <w:r w:rsidR="008E484D" w:rsidRPr="009440AD">
        <w:rPr>
          <w:noProof/>
          <w:lang w:val="en-US"/>
        </w:rPr>
        <w:t>[16]</w:t>
      </w:r>
      <w:r w:rsidR="008C289C" w:rsidRPr="009440AD">
        <w:rPr>
          <w:lang w:val="en-US"/>
        </w:rPr>
        <w:fldChar w:fldCharType="end"/>
      </w:r>
      <w:r w:rsidR="00381395" w:rsidRPr="009440AD">
        <w:rPr>
          <w:lang w:val="en-US"/>
        </w:rPr>
        <w:t xml:space="preserve">. </w:t>
      </w:r>
      <w:r w:rsidRPr="009440AD">
        <w:rPr>
          <w:lang w:val="en-US"/>
        </w:rPr>
        <w:t xml:space="preserve">The concentration-time profile of atorvastatin </w:t>
      </w:r>
      <w:r w:rsidR="004E5785" w:rsidRPr="009440AD">
        <w:rPr>
          <w:lang w:val="en-US"/>
        </w:rPr>
        <w:t xml:space="preserve">(40 mg single dose) </w:t>
      </w:r>
      <w:r w:rsidRPr="005902A1">
        <w:rPr>
          <w:lang w:val="en-US"/>
        </w:rPr>
        <w:t>was in</w:t>
      </w:r>
      <w:r w:rsidR="008C289C" w:rsidRPr="0050587F">
        <w:rPr>
          <w:lang w:val="en-US"/>
        </w:rPr>
        <w:t xml:space="preserve"> good</w:t>
      </w:r>
      <w:r w:rsidRPr="0050587F">
        <w:rPr>
          <w:lang w:val="en-US"/>
        </w:rPr>
        <w:t xml:space="preserve"> agreement with the observed data of young volunteers also capturing the variability adequately (Fig</w:t>
      </w:r>
      <w:r w:rsidR="005A5ECC" w:rsidRPr="00540E3C">
        <w:rPr>
          <w:lang w:val="en-US"/>
        </w:rPr>
        <w:t>.</w:t>
      </w:r>
      <w:r w:rsidRPr="00540E3C">
        <w:rPr>
          <w:lang w:val="en-US"/>
        </w:rPr>
        <w:t xml:space="preserve"> </w:t>
      </w:r>
      <w:r w:rsidR="002813A5" w:rsidRPr="00540E3C">
        <w:rPr>
          <w:lang w:val="en-US"/>
        </w:rPr>
        <w:t>4</w:t>
      </w:r>
      <w:r w:rsidRPr="00540E3C">
        <w:rPr>
          <w:lang w:val="en-US"/>
        </w:rPr>
        <w:t xml:space="preserve">c). In the elderly, only one clinical pharmacokinetic study was found, and the terminal elimination phase was underpredicted in </w:t>
      </w:r>
      <w:r w:rsidR="0067201F" w:rsidRPr="00540E3C">
        <w:rPr>
          <w:lang w:val="en-US"/>
        </w:rPr>
        <w:t>adults aged older than 65 years</w:t>
      </w:r>
      <w:r w:rsidRPr="00540E3C">
        <w:rPr>
          <w:lang w:val="en-US"/>
        </w:rPr>
        <w:t xml:space="preserve"> (Fig</w:t>
      </w:r>
      <w:r w:rsidR="005A5ECC" w:rsidRPr="00540E3C">
        <w:rPr>
          <w:lang w:val="en-US"/>
        </w:rPr>
        <w:t>.</w:t>
      </w:r>
      <w:r w:rsidRPr="00540E3C">
        <w:rPr>
          <w:lang w:val="en-US"/>
        </w:rPr>
        <w:t xml:space="preserve"> </w:t>
      </w:r>
      <w:r w:rsidR="002813A5" w:rsidRPr="00540E3C">
        <w:rPr>
          <w:lang w:val="en-US"/>
        </w:rPr>
        <w:t>4</w:t>
      </w:r>
      <w:r w:rsidRPr="00540E3C">
        <w:rPr>
          <w:lang w:val="en-US"/>
        </w:rPr>
        <w:t xml:space="preserve">d). </w:t>
      </w:r>
      <w:proofErr w:type="spellStart"/>
      <w:r w:rsidRPr="00540E3C">
        <w:rPr>
          <w:lang w:val="en-US"/>
        </w:rPr>
        <w:t>C</w:t>
      </w:r>
      <w:r w:rsidRPr="00540E3C">
        <w:rPr>
          <w:vertAlign w:val="subscript"/>
          <w:lang w:val="en-US"/>
        </w:rPr>
        <w:t>max</w:t>
      </w:r>
      <w:proofErr w:type="spellEnd"/>
      <w:r w:rsidRPr="00540E3C">
        <w:rPr>
          <w:lang w:val="en-US"/>
        </w:rPr>
        <w:t xml:space="preserve"> was shown to </w:t>
      </w:r>
      <w:r w:rsidR="00381395" w:rsidRPr="00540E3C">
        <w:rPr>
          <w:lang w:val="en-US"/>
        </w:rPr>
        <w:t xml:space="preserve">increase by 22% in the clinical study </w:t>
      </w:r>
      <w:r w:rsidR="00381395" w:rsidRPr="009440AD">
        <w:rPr>
          <w:lang w:val="en-US"/>
        </w:rPr>
        <w:fldChar w:fldCharType="begin"/>
      </w:r>
      <w:r w:rsidR="00BC4B32" w:rsidRPr="009440AD">
        <w:rPr>
          <w:lang w:val="en-US"/>
        </w:rPr>
        <w:instrText xml:space="preserve"> ADDIN EN.CITE &lt;EndNote&gt;&lt;Cite&gt;&lt;Author&gt;Gibson&lt;/Author&gt;&lt;Year&gt;1996&lt;/Year&gt;&lt;RecNum&gt;85&lt;/RecNum&gt;&lt;DisplayText&gt;[41]&lt;/DisplayText&gt;&lt;record&gt;&lt;rec-number&gt;85&lt;/rec-number&gt;&lt;foreign-keys&gt;&lt;key app="EN" db-id="vawz9xpv5prvt3ed92pxtvpjzzf095ze0r5f" timestamp="1487061440"&gt;85&lt;/key&gt;&lt;/foreign-keys&gt;&lt;ref-type name="Journal Article"&gt;17&lt;/ref-type&gt;&lt;contributors&gt;&lt;authors&gt;&lt;author&gt;Gibson, Donald M&lt;/author&gt;&lt;author&gt;Bron, Nicola J&lt;/author&gt;&lt;author&gt;Richens, MPhil Alan&lt;/author&gt;&lt;author&gt;Hounslow, Neil J&lt;/author&gt;&lt;author&gt;Sedman, Allen J&lt;/author&gt;&lt;author&gt;Whitfield, Lloyd R&lt;/author&gt;&lt;/authors&gt;&lt;/contributors&gt;&lt;titles&gt;&lt;title&gt;Effect of age and gender on pharmacokinetics of atorvastatin in humans&lt;/title&gt;&lt;secondary-title&gt;The Journal of Clinical Pharmacology&lt;/secondary-title&gt;&lt;/titles&gt;&lt;periodical&gt;&lt;full-title&gt;The journal of clinical pharmacology&lt;/full-title&gt;&lt;/periodical&gt;&lt;pages&gt;242-246&lt;/pages&gt;&lt;volume&gt;36&lt;/volume&gt;&lt;number&gt;3&lt;/number&gt;&lt;keywords&gt;&lt;keyword&gt;Drug&lt;/keyword&gt;&lt;keyword&gt;atovarstatin&lt;/keyword&gt;&lt;keyword&gt;young vs elderly&lt;/keyword&gt;&lt;/keywords&gt;&lt;dates&gt;&lt;year&gt;1996&lt;/year&gt;&lt;/dates&gt;&lt;isbn&gt;1552-4604&lt;/isbn&gt;&lt;urls&gt;&lt;/urls&gt;&lt;/record&gt;&lt;/Cite&gt;&lt;/EndNote&gt;</w:instrText>
      </w:r>
      <w:r w:rsidR="00381395" w:rsidRPr="009440AD">
        <w:rPr>
          <w:lang w:val="en-US"/>
        </w:rPr>
        <w:fldChar w:fldCharType="separate"/>
      </w:r>
      <w:r w:rsidR="00BC4B32" w:rsidRPr="009440AD">
        <w:rPr>
          <w:noProof/>
          <w:lang w:val="en-US"/>
        </w:rPr>
        <w:t>[41]</w:t>
      </w:r>
      <w:r w:rsidR="00381395" w:rsidRPr="009440AD">
        <w:rPr>
          <w:lang w:val="en-US"/>
        </w:rPr>
        <w:fldChar w:fldCharType="end"/>
      </w:r>
      <w:r w:rsidR="00381395" w:rsidRPr="009440AD">
        <w:rPr>
          <w:lang w:val="en-US"/>
        </w:rPr>
        <w:t xml:space="preserve">, but </w:t>
      </w:r>
      <w:r w:rsidR="0015230A" w:rsidRPr="009440AD">
        <w:rPr>
          <w:lang w:val="en-US"/>
        </w:rPr>
        <w:t>was predicted to be</w:t>
      </w:r>
      <w:r w:rsidR="00381395" w:rsidRPr="009440AD">
        <w:rPr>
          <w:lang w:val="en-US"/>
        </w:rPr>
        <w:t xml:space="preserve"> 6% </w:t>
      </w:r>
      <w:r w:rsidR="0015230A" w:rsidRPr="009440AD">
        <w:rPr>
          <w:lang w:val="en-US"/>
        </w:rPr>
        <w:t>lower by the PBPK model</w:t>
      </w:r>
      <w:r w:rsidR="00381395" w:rsidRPr="009440AD">
        <w:rPr>
          <w:lang w:val="en-US"/>
        </w:rPr>
        <w:t>. The AUC was accurately predicted in young and elderly adults (</w:t>
      </w:r>
      <w:proofErr w:type="spellStart"/>
      <w:r w:rsidR="00381395" w:rsidRPr="009440AD">
        <w:rPr>
          <w:lang w:val="en-US"/>
        </w:rPr>
        <w:t>predicted:obs</w:t>
      </w:r>
      <w:r w:rsidR="00381395" w:rsidRPr="005902A1">
        <w:rPr>
          <w:lang w:val="en-US"/>
        </w:rPr>
        <w:t>erved</w:t>
      </w:r>
      <w:proofErr w:type="spellEnd"/>
      <w:r w:rsidR="00381395" w:rsidRPr="005902A1">
        <w:rPr>
          <w:lang w:val="en-US"/>
        </w:rPr>
        <w:t xml:space="preserve"> ratio: 1.11 and 1.06). </w:t>
      </w:r>
      <w:r w:rsidR="001A22A3" w:rsidRPr="0050587F">
        <w:rPr>
          <w:lang w:val="en-US"/>
        </w:rPr>
        <w:t>T</w:t>
      </w:r>
      <w:r w:rsidR="00381395" w:rsidRPr="0050587F">
        <w:rPr>
          <w:vertAlign w:val="subscript"/>
          <w:lang w:val="en-US"/>
        </w:rPr>
        <w:t>1/2</w:t>
      </w:r>
      <w:r w:rsidR="00381395" w:rsidRPr="0050587F">
        <w:rPr>
          <w:lang w:val="en-US"/>
        </w:rPr>
        <w:t xml:space="preserve"> was over-predicted by 42% in the young</w:t>
      </w:r>
      <w:r w:rsidR="00671B30" w:rsidRPr="00540E3C">
        <w:rPr>
          <w:lang w:val="en-US"/>
        </w:rPr>
        <w:t xml:space="preserve"> adults</w:t>
      </w:r>
      <w:r w:rsidR="00381395" w:rsidRPr="00540E3C">
        <w:rPr>
          <w:lang w:val="en-US"/>
        </w:rPr>
        <w:t xml:space="preserve"> (observed: 9.2 </w:t>
      </w:r>
      <w:r w:rsidR="00381395" w:rsidRPr="00540E3C">
        <w:rPr>
          <w:rFonts w:cs="Arial"/>
          <w:lang w:val="en-US"/>
        </w:rPr>
        <w:t>±</w:t>
      </w:r>
      <w:r w:rsidR="00381395" w:rsidRPr="00540E3C">
        <w:rPr>
          <w:lang w:val="en-US"/>
        </w:rPr>
        <w:t xml:space="preserve"> 3.6 h vs predicted: 13.1 </w:t>
      </w:r>
      <w:r w:rsidR="00381395" w:rsidRPr="00540E3C">
        <w:rPr>
          <w:rFonts w:cs="Arial"/>
          <w:lang w:val="en-US"/>
        </w:rPr>
        <w:t>±</w:t>
      </w:r>
      <w:r w:rsidR="00381395" w:rsidRPr="00540E3C">
        <w:rPr>
          <w:lang w:val="en-US"/>
        </w:rPr>
        <w:t xml:space="preserve"> 3.7 h) but was </w:t>
      </w:r>
      <w:r w:rsidR="0015230A" w:rsidRPr="00540E3C">
        <w:rPr>
          <w:lang w:val="en-US"/>
        </w:rPr>
        <w:t xml:space="preserve">predicted </w:t>
      </w:r>
      <w:r w:rsidR="00671B30" w:rsidRPr="00540E3C">
        <w:rPr>
          <w:lang w:val="en-US"/>
        </w:rPr>
        <w:t xml:space="preserve">adequately by the PBPK model </w:t>
      </w:r>
      <w:r w:rsidR="00591634" w:rsidRPr="00540E3C">
        <w:rPr>
          <w:lang w:val="en-US"/>
        </w:rPr>
        <w:t>i</w:t>
      </w:r>
      <w:r w:rsidR="00381395" w:rsidRPr="00540E3C">
        <w:rPr>
          <w:lang w:val="en-US"/>
        </w:rPr>
        <w:t>n the elderly (</w:t>
      </w:r>
      <w:proofErr w:type="spellStart"/>
      <w:r w:rsidR="00381395" w:rsidRPr="00540E3C">
        <w:rPr>
          <w:lang w:val="en-US"/>
        </w:rPr>
        <w:t>predicted:observed</w:t>
      </w:r>
      <w:proofErr w:type="spellEnd"/>
      <w:r w:rsidR="00381395" w:rsidRPr="00540E3C">
        <w:rPr>
          <w:lang w:val="en-US"/>
        </w:rPr>
        <w:t xml:space="preserve"> ratio: 0.86).</w:t>
      </w:r>
    </w:p>
    <w:p w14:paraId="4C432351" w14:textId="77777777" w:rsidR="00A16587" w:rsidRPr="0065491D" w:rsidRDefault="00A16587" w:rsidP="000A12AD">
      <w:pPr>
        <w:pStyle w:val="Heading3"/>
        <w:rPr>
          <w:lang w:val="en-US"/>
        </w:rPr>
      </w:pPr>
      <w:r w:rsidRPr="0065491D">
        <w:rPr>
          <w:lang w:val="en-US"/>
        </w:rPr>
        <w:lastRenderedPageBreak/>
        <w:t>Rosuvastatin</w:t>
      </w:r>
    </w:p>
    <w:p w14:paraId="46AEB610" w14:textId="37D3CBA0" w:rsidR="005F6D0E" w:rsidRPr="009440AD" w:rsidRDefault="00381395" w:rsidP="00701574">
      <w:pPr>
        <w:rPr>
          <w:lang w:val="en-US"/>
        </w:rPr>
      </w:pPr>
      <w:r w:rsidRPr="009440AD">
        <w:rPr>
          <w:lang w:val="en-US"/>
        </w:rPr>
        <w:t xml:space="preserve">The uptake of rosuvastatin into hepatocytes is mediated </w:t>
      </w:r>
      <w:r w:rsidR="0067201F" w:rsidRPr="009440AD">
        <w:rPr>
          <w:lang w:val="en-US"/>
        </w:rPr>
        <w:t>by</w:t>
      </w:r>
      <w:r w:rsidRPr="009440AD">
        <w:rPr>
          <w:lang w:val="en-US"/>
        </w:rPr>
        <w:t xml:space="preserve"> different uptake transporters. Rosuvastatin is cleared via</w:t>
      </w:r>
      <w:r w:rsidR="00671B30" w:rsidRPr="009440AD">
        <w:rPr>
          <w:lang w:val="en-US"/>
        </w:rPr>
        <w:t xml:space="preserve"> enzymatic metabolism (1.8%),</w:t>
      </w:r>
      <w:r w:rsidRPr="009440AD">
        <w:rPr>
          <w:lang w:val="en-US"/>
        </w:rPr>
        <w:t xml:space="preserve"> biliary </w:t>
      </w:r>
      <w:r w:rsidR="00671B30" w:rsidRPr="009440AD">
        <w:rPr>
          <w:lang w:val="en-US"/>
        </w:rPr>
        <w:t>(74.6%)</w:t>
      </w:r>
      <w:r w:rsidR="00687EFC" w:rsidRPr="009440AD">
        <w:rPr>
          <w:lang w:val="en-US"/>
        </w:rPr>
        <w:t>,</w:t>
      </w:r>
      <w:r w:rsidR="00671B30" w:rsidRPr="009440AD">
        <w:rPr>
          <w:lang w:val="en-US"/>
        </w:rPr>
        <w:t xml:space="preserve"> </w:t>
      </w:r>
      <w:r w:rsidRPr="009440AD">
        <w:rPr>
          <w:lang w:val="en-US"/>
        </w:rPr>
        <w:t>and renal clearance</w:t>
      </w:r>
      <w:r w:rsidR="00671B30" w:rsidRPr="009440AD">
        <w:rPr>
          <w:lang w:val="en-US"/>
        </w:rPr>
        <w:t xml:space="preserve"> (23.6%)</w:t>
      </w:r>
      <w:r w:rsidR="0015230A" w:rsidRPr="009440AD">
        <w:rPr>
          <w:lang w:val="en-US"/>
        </w:rPr>
        <w:t xml:space="preserve"> </w:t>
      </w:r>
      <w:r w:rsidR="008C289C" w:rsidRPr="009440AD">
        <w:rPr>
          <w:lang w:val="en-US"/>
        </w:rPr>
        <w:fldChar w:fldCharType="begin"/>
      </w:r>
      <w:r w:rsidR="008E484D" w:rsidRPr="009440AD">
        <w:rPr>
          <w:lang w:val="en-US"/>
        </w:rPr>
        <w:instrText xml:space="preserve"> ADDIN EN.CITE &lt;EndNote&gt;&lt;Cite&gt;&lt;Author&gt;Jamei&lt;/Author&gt;&lt;Year&gt;2014&lt;/Year&gt;&lt;RecNum&gt;214&lt;/RecNum&gt;&lt;DisplayText&gt;[17]&lt;/DisplayText&gt;&lt;record&gt;&lt;rec-number&gt;214&lt;/rec-number&gt;&lt;foreign-keys&gt;&lt;key app="EN" db-id="vawz9xpv5prvt3ed92pxtvpjzzf095ze0r5f" timestamp="1487660453"&gt;214&lt;/key&gt;&lt;/foreign-keys&gt;&lt;ref-type name="Journal Article"&gt;17&lt;/ref-type&gt;&lt;contributors&gt;&lt;authors&gt;&lt;author&gt;Jamei, M&lt;/author&gt;&lt;author&gt;Bajot, F&lt;/author&gt;&lt;author&gt;Neuhoff, S&lt;/author&gt;&lt;author&gt;Barter, Z&lt;/author&gt;&lt;author&gt;Yang, J&lt;/author&gt;&lt;author&gt;Rostami-Hodjegan, A&lt;/author&gt;&lt;author&gt;Rowland-Yeo, K&lt;/author&gt;&lt;/authors&gt;&lt;/contributors&gt;&lt;titles&gt;&lt;title&gt;A mechanistic framework for in vitro–in vivo extrapolation of liver membrane transporters: prediction of drug–drug interaction between rosuvastatin and cyclosporine&lt;/title&gt;&lt;secondary-title&gt;Clinical Pharmacokinetics&lt;/secondary-title&gt;&lt;/titles&gt;&lt;periodical&gt;&lt;full-title&gt;Clinical Pharmacokinetics&lt;/full-title&gt;&lt;/periodical&gt;&lt;pages&gt;73-87&lt;/pages&gt;&lt;volume&gt;53&lt;/volume&gt;&lt;number&gt;1&lt;/number&gt;&lt;keywords&gt;&lt;keyword&gt;PBPK&lt;/keyword&gt;&lt;keyword&gt;DDI&lt;/keyword&gt;&lt;keyword&gt;transporter&lt;/keyword&gt;&lt;/keywords&gt;&lt;dates&gt;&lt;year&gt;2014&lt;/year&gt;&lt;/dates&gt;&lt;isbn&gt;0312-5963&lt;/isbn&gt;&lt;urls&gt;&lt;/urls&gt;&lt;/record&gt;&lt;/Cite&gt;&lt;/EndNote&gt;</w:instrText>
      </w:r>
      <w:r w:rsidR="008C289C" w:rsidRPr="009440AD">
        <w:rPr>
          <w:lang w:val="en-US"/>
        </w:rPr>
        <w:fldChar w:fldCharType="separate"/>
      </w:r>
      <w:r w:rsidR="008E484D" w:rsidRPr="009440AD">
        <w:rPr>
          <w:noProof/>
          <w:lang w:val="en-US"/>
        </w:rPr>
        <w:t>[17]</w:t>
      </w:r>
      <w:r w:rsidR="008C289C" w:rsidRPr="009440AD">
        <w:rPr>
          <w:lang w:val="en-US"/>
        </w:rPr>
        <w:fldChar w:fldCharType="end"/>
      </w:r>
      <w:r w:rsidRPr="009440AD">
        <w:rPr>
          <w:lang w:val="en-US"/>
        </w:rPr>
        <w:t xml:space="preserve">. </w:t>
      </w:r>
      <w:r w:rsidR="006C16C2" w:rsidRPr="009440AD">
        <w:rPr>
          <w:lang w:val="en-US"/>
        </w:rPr>
        <w:t>A single oral dose of r</w:t>
      </w:r>
      <w:r w:rsidR="007616E1" w:rsidRPr="005902A1">
        <w:rPr>
          <w:lang w:val="en-US"/>
        </w:rPr>
        <w:t xml:space="preserve">osuvastatin </w:t>
      </w:r>
      <w:r w:rsidR="006C16C2" w:rsidRPr="0050587F">
        <w:rPr>
          <w:lang w:val="en-US"/>
        </w:rPr>
        <w:t xml:space="preserve">(40 mg) </w:t>
      </w:r>
      <w:r w:rsidR="007616E1" w:rsidRPr="0050587F">
        <w:rPr>
          <w:lang w:val="en-US"/>
        </w:rPr>
        <w:t xml:space="preserve">was </w:t>
      </w:r>
      <w:r w:rsidR="000A12AD" w:rsidRPr="0050587F">
        <w:rPr>
          <w:lang w:val="en-US"/>
        </w:rPr>
        <w:t xml:space="preserve">captured by the model </w:t>
      </w:r>
      <w:r w:rsidRPr="0050587F">
        <w:rPr>
          <w:lang w:val="en-US"/>
        </w:rPr>
        <w:t>(Fig</w:t>
      </w:r>
      <w:r w:rsidR="005A5ECC" w:rsidRPr="0050587F">
        <w:rPr>
          <w:lang w:val="en-US"/>
        </w:rPr>
        <w:t>.</w:t>
      </w:r>
      <w:r w:rsidRPr="0050587F">
        <w:rPr>
          <w:lang w:val="en-US"/>
        </w:rPr>
        <w:t xml:space="preserve"> </w:t>
      </w:r>
      <w:r w:rsidR="002813A5" w:rsidRPr="0050587F">
        <w:rPr>
          <w:lang w:val="en-US"/>
        </w:rPr>
        <w:t>4</w:t>
      </w:r>
      <w:r w:rsidRPr="0050587F">
        <w:rPr>
          <w:lang w:val="en-US"/>
        </w:rPr>
        <w:t>e and f)</w:t>
      </w:r>
      <w:r w:rsidR="007616E1" w:rsidRPr="0050587F">
        <w:rPr>
          <w:lang w:val="en-US"/>
        </w:rPr>
        <w:t xml:space="preserve">. </w:t>
      </w:r>
      <w:proofErr w:type="spellStart"/>
      <w:r w:rsidRPr="0050587F">
        <w:rPr>
          <w:lang w:val="en-US"/>
        </w:rPr>
        <w:t>C</w:t>
      </w:r>
      <w:r w:rsidRPr="0050587F">
        <w:rPr>
          <w:vertAlign w:val="subscript"/>
          <w:lang w:val="en-US"/>
        </w:rPr>
        <w:t>max</w:t>
      </w:r>
      <w:proofErr w:type="spellEnd"/>
      <w:r w:rsidRPr="0050587F">
        <w:rPr>
          <w:lang w:val="en-US"/>
        </w:rPr>
        <w:t xml:space="preserve"> of rosuvastatin was under-predicted in young and elderly adults (</w:t>
      </w:r>
      <w:proofErr w:type="spellStart"/>
      <w:r w:rsidRPr="0050587F">
        <w:rPr>
          <w:lang w:val="en-US"/>
        </w:rPr>
        <w:t>predicted:observed</w:t>
      </w:r>
      <w:proofErr w:type="spellEnd"/>
      <w:r w:rsidRPr="0050587F">
        <w:rPr>
          <w:lang w:val="en-US"/>
        </w:rPr>
        <w:t xml:space="preserve"> rati</w:t>
      </w:r>
      <w:r w:rsidRPr="00540E3C">
        <w:rPr>
          <w:lang w:val="en-US"/>
        </w:rPr>
        <w:t xml:space="preserve">o: 0.78 and 0.74), but the decrease in </w:t>
      </w:r>
      <w:proofErr w:type="spellStart"/>
      <w:r w:rsidRPr="00540E3C">
        <w:rPr>
          <w:lang w:val="en-US"/>
        </w:rPr>
        <w:t>C</w:t>
      </w:r>
      <w:r w:rsidRPr="00540E3C">
        <w:rPr>
          <w:vertAlign w:val="subscript"/>
          <w:lang w:val="en-US"/>
        </w:rPr>
        <w:t>max</w:t>
      </w:r>
      <w:proofErr w:type="spellEnd"/>
      <w:r w:rsidRPr="00540E3C">
        <w:rPr>
          <w:lang w:val="en-US"/>
        </w:rPr>
        <w:t xml:space="preserve"> with age was </w:t>
      </w:r>
      <w:r w:rsidR="00146385" w:rsidRPr="00540E3C">
        <w:rPr>
          <w:lang w:val="en-US"/>
        </w:rPr>
        <w:t xml:space="preserve">accurately </w:t>
      </w:r>
      <w:r w:rsidRPr="00540E3C">
        <w:rPr>
          <w:lang w:val="en-US"/>
        </w:rPr>
        <w:t>predicted for rosuvastatin (</w:t>
      </w:r>
      <w:proofErr w:type="spellStart"/>
      <w:r w:rsidRPr="00540E3C">
        <w:rPr>
          <w:lang w:val="en-US"/>
        </w:rPr>
        <w:t>predicted:observed</w:t>
      </w:r>
      <w:proofErr w:type="spellEnd"/>
      <w:r w:rsidRPr="00540E3C">
        <w:rPr>
          <w:lang w:val="en-US"/>
        </w:rPr>
        <w:t xml:space="preserve"> ratio</w:t>
      </w:r>
      <w:r w:rsidR="00CD32B1" w:rsidRPr="00540E3C">
        <w:rPr>
          <w:lang w:val="en-US"/>
        </w:rPr>
        <w:t xml:space="preserve"> for the elderly/young ratio of </w:t>
      </w:r>
      <w:proofErr w:type="spellStart"/>
      <w:r w:rsidR="00CD32B1" w:rsidRPr="00540E3C">
        <w:rPr>
          <w:lang w:val="en-US"/>
        </w:rPr>
        <w:t>C</w:t>
      </w:r>
      <w:r w:rsidR="00CD32B1" w:rsidRPr="0065491D">
        <w:rPr>
          <w:vertAlign w:val="subscript"/>
          <w:lang w:val="en-US"/>
        </w:rPr>
        <w:t>max</w:t>
      </w:r>
      <w:proofErr w:type="spellEnd"/>
      <w:r w:rsidRPr="0065491D">
        <w:rPr>
          <w:lang w:val="en-US"/>
        </w:rPr>
        <w:t xml:space="preserve">: 0.96). </w:t>
      </w:r>
      <w:r w:rsidR="00F33B9C" w:rsidRPr="0065491D">
        <w:rPr>
          <w:lang w:val="en-US"/>
        </w:rPr>
        <w:t>The predicted increase of AUC and t</w:t>
      </w:r>
      <w:r w:rsidR="00F33B9C" w:rsidRPr="009440AD">
        <w:rPr>
          <w:vertAlign w:val="subscript"/>
          <w:lang w:val="en-US"/>
        </w:rPr>
        <w:t>1/2</w:t>
      </w:r>
      <w:r w:rsidR="00F33B9C" w:rsidRPr="009440AD">
        <w:rPr>
          <w:lang w:val="en-US"/>
        </w:rPr>
        <w:t xml:space="preserve"> with adult age was in accordance to the observed clinical data (</w:t>
      </w:r>
      <w:proofErr w:type="spellStart"/>
      <w:r w:rsidR="00F33B9C" w:rsidRPr="009440AD">
        <w:rPr>
          <w:lang w:val="en-US"/>
        </w:rPr>
        <w:t>predicted:observed</w:t>
      </w:r>
      <w:proofErr w:type="spellEnd"/>
      <w:r w:rsidR="00F33B9C" w:rsidRPr="009440AD">
        <w:rPr>
          <w:lang w:val="en-US"/>
        </w:rPr>
        <w:t xml:space="preserve"> ratio: 1.20 and 0.87).</w:t>
      </w:r>
    </w:p>
    <w:p w14:paraId="712D6393" w14:textId="11C79031" w:rsidR="00E373F7" w:rsidRPr="009440AD" w:rsidRDefault="00E373F7" w:rsidP="000A12AD">
      <w:pPr>
        <w:pStyle w:val="Heading3"/>
        <w:rPr>
          <w:lang w:val="en-US"/>
        </w:rPr>
      </w:pPr>
      <w:r w:rsidRPr="009440AD">
        <w:rPr>
          <w:lang w:val="en-US"/>
        </w:rPr>
        <w:t>Clarithromycin</w:t>
      </w:r>
    </w:p>
    <w:p w14:paraId="2FF360F9" w14:textId="15D6D139" w:rsidR="000A12AD" w:rsidRPr="0065491D" w:rsidRDefault="000A12AD" w:rsidP="000A12AD">
      <w:pPr>
        <w:rPr>
          <w:lang w:val="en-US"/>
        </w:rPr>
      </w:pPr>
      <w:r w:rsidRPr="009440AD">
        <w:rPr>
          <w:lang w:val="en-US"/>
        </w:rPr>
        <w:t>The antibiotic clarithromycin is mainly metabolized in the liver (75.6%) predomina</w:t>
      </w:r>
      <w:r w:rsidR="002813A5" w:rsidRPr="009440AD">
        <w:rPr>
          <w:lang w:val="en-US"/>
        </w:rPr>
        <w:t xml:space="preserve">tely by CYP3A and to a lesser extent by the kidney (24.4%) </w:t>
      </w:r>
      <w:r w:rsidR="002813A5" w:rsidRPr="009440AD">
        <w:rPr>
          <w:lang w:val="en-US"/>
        </w:rPr>
        <w:fldChar w:fldCharType="begin"/>
      </w:r>
      <w:r w:rsidR="00BC4B32" w:rsidRPr="009440AD">
        <w:rPr>
          <w:lang w:val="en-US"/>
        </w:rPr>
        <w:instrText xml:space="preserve"> ADDIN EN.CITE &lt;EndNote&gt;&lt;Cite&gt;&lt;Author&gt;Rodvold&lt;/Author&gt;&lt;Year&gt;1999&lt;/Year&gt;&lt;RecNum&gt;1429&lt;/RecNum&gt;&lt;DisplayText&gt;[42]&lt;/DisplayText&gt;&lt;record&gt;&lt;rec-number&gt;1429&lt;/rec-number&gt;&lt;foreign-keys&gt;&lt;key app="EN" db-id="vawz9xpv5prvt3ed92pxtvpjzzf095ze0r5f" timestamp="1559291806"&gt;1429&lt;/key&gt;&lt;/foreign-keys&gt;&lt;ref-type name="Journal Article"&gt;17&lt;/ref-type&gt;&lt;contributors&gt;&lt;authors&gt;&lt;author&gt;Rodvold, Keith A&lt;/author&gt;&lt;/authors&gt;&lt;/contributors&gt;&lt;titles&gt;&lt;title&gt;Clinical pharmacokinetics of clarithromycin&lt;/title&gt;&lt;secondary-title&gt;Clinical Pharmacokinetics&lt;/secondary-title&gt;&lt;/titles&gt;&lt;periodical&gt;&lt;full-title&gt;Clinical Pharmacokinetics&lt;/full-title&gt;&lt;/periodical&gt;&lt;pages&gt;385-398&lt;/pages&gt;&lt;volume&gt;37&lt;/volume&gt;&lt;number&gt;5&lt;/number&gt;&lt;keywords&gt;&lt;keyword&gt;Drug&lt;/keyword&gt;&lt;keyword&gt;Clarithromycin&lt;/keyword&gt;&lt;keyword&gt;PK&lt;/keyword&gt;&lt;/keywords&gt;&lt;dates&gt;&lt;year&gt;1999&lt;/year&gt;&lt;/dates&gt;&lt;isbn&gt;0312-5963&lt;/isbn&gt;&lt;urls&gt;&lt;/urls&gt;&lt;/record&gt;&lt;/Cite&gt;&lt;/EndNote&gt;</w:instrText>
      </w:r>
      <w:r w:rsidR="002813A5" w:rsidRPr="009440AD">
        <w:rPr>
          <w:lang w:val="en-US"/>
        </w:rPr>
        <w:fldChar w:fldCharType="separate"/>
      </w:r>
      <w:r w:rsidR="00BC4B32" w:rsidRPr="009440AD">
        <w:rPr>
          <w:noProof/>
          <w:lang w:val="en-US"/>
        </w:rPr>
        <w:t>[42]</w:t>
      </w:r>
      <w:r w:rsidR="002813A5" w:rsidRPr="009440AD">
        <w:rPr>
          <w:lang w:val="en-US"/>
        </w:rPr>
        <w:fldChar w:fldCharType="end"/>
      </w:r>
      <w:r w:rsidR="002813A5" w:rsidRPr="009440AD">
        <w:rPr>
          <w:lang w:val="en-US"/>
        </w:rPr>
        <w:t xml:space="preserve">. Clinically observed data of 500 mg oral clarithromycin </w:t>
      </w:r>
      <w:r w:rsidR="00165813" w:rsidRPr="009440AD">
        <w:rPr>
          <w:lang w:val="en-US"/>
        </w:rPr>
        <w:t>twice daily (</w:t>
      </w:r>
      <w:r w:rsidR="002813A5" w:rsidRPr="005902A1">
        <w:rPr>
          <w:lang w:val="en-US"/>
        </w:rPr>
        <w:t>BID</w:t>
      </w:r>
      <w:r w:rsidR="00165813" w:rsidRPr="0050587F">
        <w:rPr>
          <w:lang w:val="en-US"/>
        </w:rPr>
        <w:t>)</w:t>
      </w:r>
      <w:r w:rsidR="002813A5" w:rsidRPr="0050587F">
        <w:rPr>
          <w:lang w:val="en-US"/>
        </w:rPr>
        <w:t xml:space="preserve"> were contained in the 95% prediction interval for the PBPK simulations of young and elderly adults (Fig</w:t>
      </w:r>
      <w:r w:rsidR="005A5ECC" w:rsidRPr="0050587F">
        <w:rPr>
          <w:lang w:val="en-US"/>
        </w:rPr>
        <w:t>.</w:t>
      </w:r>
      <w:r w:rsidR="002813A5" w:rsidRPr="0050587F">
        <w:rPr>
          <w:lang w:val="en-US"/>
        </w:rPr>
        <w:t xml:space="preserve"> 5a and b). All pharmacokinetic parameters were predicted within 1.25-fold of clinically observed data.</w:t>
      </w:r>
    </w:p>
    <w:p w14:paraId="5B9962AC" w14:textId="4D99E8E2" w:rsidR="00E373F7" w:rsidRPr="009440AD" w:rsidRDefault="00E373F7" w:rsidP="000A12AD">
      <w:pPr>
        <w:pStyle w:val="Heading3"/>
        <w:rPr>
          <w:lang w:val="en-US"/>
        </w:rPr>
      </w:pPr>
      <w:r w:rsidRPr="009440AD">
        <w:rPr>
          <w:lang w:val="en-US"/>
        </w:rPr>
        <w:t>Rifampicin</w:t>
      </w:r>
    </w:p>
    <w:p w14:paraId="248803FD" w14:textId="20B812BC" w:rsidR="002813A5" w:rsidRPr="009440AD" w:rsidRDefault="002813A5" w:rsidP="002813A5">
      <w:pPr>
        <w:rPr>
          <w:lang w:val="en-US"/>
        </w:rPr>
      </w:pPr>
      <w:r w:rsidRPr="009440AD">
        <w:rPr>
          <w:lang w:val="en-US"/>
        </w:rPr>
        <w:t xml:space="preserve">Rifampicin, a potent inducer of CYP3A, is mainly metabolized in the liver (92.6%) and only a small fraction is excreted by the kidney (7.4%) </w:t>
      </w:r>
      <w:r w:rsidRPr="009440AD">
        <w:rPr>
          <w:lang w:val="en-US"/>
        </w:rPr>
        <w:fldChar w:fldCharType="begin"/>
      </w:r>
      <w:r w:rsidR="00BC4B32" w:rsidRPr="009440AD">
        <w:rPr>
          <w:lang w:val="en-US"/>
        </w:rPr>
        <w:instrText xml:space="preserve"> ADDIN EN.CITE &lt;EndNote&gt;&lt;Cite&gt;&lt;Author&gt;Acocella&lt;/Author&gt;&lt;Year&gt;1978&lt;/Year&gt;&lt;RecNum&gt;1430&lt;/RecNum&gt;&lt;DisplayText&gt;[43]&lt;/DisplayText&gt;&lt;record&gt;&lt;rec-number&gt;1430&lt;/rec-number&gt;&lt;foreign-keys&gt;&lt;key app="EN" db-id="vawz9xpv5prvt3ed92pxtvpjzzf095ze0r5f" timestamp="1559292253"&gt;1430&lt;/key&gt;&lt;/foreign-keys&gt;&lt;ref-type name="Journal Article"&gt;17&lt;/ref-type&gt;&lt;contributors&gt;&lt;authors&gt;&lt;author&gt;Acocella, G&lt;/author&gt;&lt;/authors&gt;&lt;/contributors&gt;&lt;titles&gt;&lt;title&gt;Clinical pharmacokinetics of rifampicin&lt;/title&gt;&lt;secondary-title&gt;Clinical Pharmacokinetics&lt;/secondary-title&gt;&lt;/titles&gt;&lt;periodical&gt;&lt;full-title&gt;Clinical Pharmacokinetics&lt;/full-title&gt;&lt;/periodical&gt;&lt;pages&gt;108-127&lt;/pages&gt;&lt;volume&gt;3&lt;/volume&gt;&lt;number&gt;2&lt;/number&gt;&lt;keywords&gt;&lt;keyword&gt;Drug&lt;/keyword&gt;&lt;keyword&gt;metabolism&lt;/keyword&gt;&lt;keyword&gt;Rifampicin&lt;/keyword&gt;&lt;/keywords&gt;&lt;dates&gt;&lt;year&gt;1978&lt;/year&gt;&lt;/dates&gt;&lt;isbn&gt;0312-5963&lt;/isbn&gt;&lt;urls&gt;&lt;/urls&gt;&lt;/record&gt;&lt;/Cite&gt;&lt;/EndNote&gt;</w:instrText>
      </w:r>
      <w:r w:rsidRPr="009440AD">
        <w:rPr>
          <w:lang w:val="en-US"/>
        </w:rPr>
        <w:fldChar w:fldCharType="separate"/>
      </w:r>
      <w:r w:rsidR="00BC4B32" w:rsidRPr="009440AD">
        <w:rPr>
          <w:noProof/>
          <w:lang w:val="en-US"/>
        </w:rPr>
        <w:t>[43]</w:t>
      </w:r>
      <w:r w:rsidRPr="009440AD">
        <w:rPr>
          <w:lang w:val="en-US"/>
        </w:rPr>
        <w:fldChar w:fldCharType="end"/>
      </w:r>
      <w:r w:rsidR="00530592" w:rsidRPr="009440AD">
        <w:rPr>
          <w:lang w:val="en-US"/>
        </w:rPr>
        <w:t xml:space="preserve">. Predictions of 300 mg rifampicin BID were </w:t>
      </w:r>
      <w:r w:rsidR="006C64D5" w:rsidRPr="005902A1">
        <w:rPr>
          <w:lang w:val="en-US"/>
        </w:rPr>
        <w:t>comparable</w:t>
      </w:r>
      <w:r w:rsidR="00530592" w:rsidRPr="0050587F">
        <w:rPr>
          <w:lang w:val="en-US"/>
        </w:rPr>
        <w:t xml:space="preserve"> to clinically observed data for young and elderly individuals (Fig</w:t>
      </w:r>
      <w:r w:rsidR="005A5ECC" w:rsidRPr="0050587F">
        <w:rPr>
          <w:lang w:val="en-US"/>
        </w:rPr>
        <w:t>.</w:t>
      </w:r>
      <w:r w:rsidR="00530592" w:rsidRPr="0050587F">
        <w:rPr>
          <w:lang w:val="en-US"/>
        </w:rPr>
        <w:t xml:space="preserve"> 5c and d). The AUC was accurately predicted in young (21,428 </w:t>
      </w:r>
      <w:r w:rsidR="00530592" w:rsidRPr="0050587F">
        <w:rPr>
          <w:rFonts w:cs="Arial"/>
          <w:lang w:val="en-US"/>
        </w:rPr>
        <w:t>±</w:t>
      </w:r>
      <w:r w:rsidR="00530592" w:rsidRPr="0050587F">
        <w:rPr>
          <w:lang w:val="en-US"/>
        </w:rPr>
        <w:t xml:space="preserve"> 7,648 ng*h/mL vs 23,608 </w:t>
      </w:r>
      <w:r w:rsidR="00530592" w:rsidRPr="0050587F">
        <w:rPr>
          <w:rFonts w:cs="Arial"/>
          <w:lang w:val="en-US"/>
        </w:rPr>
        <w:t>±</w:t>
      </w:r>
      <w:r w:rsidR="00530592" w:rsidRPr="0050587F">
        <w:rPr>
          <w:lang w:val="en-US"/>
        </w:rPr>
        <w:t xml:space="preserve"> 15,742 ng*h/mL) and elderly adults (37,342 </w:t>
      </w:r>
      <w:r w:rsidR="00530592" w:rsidRPr="0065491D">
        <w:rPr>
          <w:rFonts w:cs="Arial"/>
          <w:lang w:val="en-US"/>
        </w:rPr>
        <w:t>±</w:t>
      </w:r>
      <w:r w:rsidR="00530592" w:rsidRPr="0065491D">
        <w:rPr>
          <w:lang w:val="en-US"/>
        </w:rPr>
        <w:t xml:space="preserve"> 16,485 ng*h/mL vs 36,793 </w:t>
      </w:r>
      <w:r w:rsidR="00530592" w:rsidRPr="0065491D">
        <w:rPr>
          <w:rFonts w:cs="Arial"/>
          <w:lang w:val="en-US"/>
        </w:rPr>
        <w:t>±</w:t>
      </w:r>
      <w:r w:rsidR="00530592" w:rsidRPr="0065491D">
        <w:rPr>
          <w:lang w:val="en-US"/>
        </w:rPr>
        <w:t xml:space="preserve"> 20,424 ng*h/mL). The predicted increase of </w:t>
      </w:r>
      <w:proofErr w:type="spellStart"/>
      <w:r w:rsidR="00530592" w:rsidRPr="0065491D">
        <w:rPr>
          <w:lang w:val="en-US"/>
        </w:rPr>
        <w:t>C</w:t>
      </w:r>
      <w:r w:rsidR="00530592" w:rsidRPr="009440AD">
        <w:rPr>
          <w:vertAlign w:val="subscript"/>
          <w:lang w:val="en-US"/>
        </w:rPr>
        <w:t>max</w:t>
      </w:r>
      <w:proofErr w:type="spellEnd"/>
      <w:r w:rsidR="00530592" w:rsidRPr="009440AD">
        <w:rPr>
          <w:lang w:val="en-US"/>
        </w:rPr>
        <w:t xml:space="preserve">, </w:t>
      </w:r>
      <w:proofErr w:type="spellStart"/>
      <w:r w:rsidR="00530592" w:rsidRPr="009440AD">
        <w:rPr>
          <w:lang w:val="en-US"/>
        </w:rPr>
        <w:t>t</w:t>
      </w:r>
      <w:r w:rsidR="00530592" w:rsidRPr="009440AD">
        <w:rPr>
          <w:vertAlign w:val="subscript"/>
          <w:lang w:val="en-US"/>
        </w:rPr>
        <w:t>max</w:t>
      </w:r>
      <w:proofErr w:type="spellEnd"/>
      <w:r w:rsidR="00530592" w:rsidRPr="009440AD">
        <w:rPr>
          <w:lang w:val="en-US"/>
        </w:rPr>
        <w:t>, and t</w:t>
      </w:r>
      <w:r w:rsidR="00530592" w:rsidRPr="009440AD">
        <w:rPr>
          <w:vertAlign w:val="subscript"/>
          <w:lang w:val="en-US"/>
        </w:rPr>
        <w:t>1/2</w:t>
      </w:r>
      <w:r w:rsidR="00530592" w:rsidRPr="009440AD">
        <w:rPr>
          <w:lang w:val="en-US"/>
        </w:rPr>
        <w:t xml:space="preserve"> was in accordance to clinically observed data (</w:t>
      </w:r>
      <w:proofErr w:type="spellStart"/>
      <w:r w:rsidR="00530592" w:rsidRPr="009440AD">
        <w:rPr>
          <w:lang w:val="en-US"/>
        </w:rPr>
        <w:t>predicted:observed</w:t>
      </w:r>
      <w:proofErr w:type="spellEnd"/>
      <w:r w:rsidR="00530592" w:rsidRPr="009440AD">
        <w:rPr>
          <w:lang w:val="en-US"/>
        </w:rPr>
        <w:t xml:space="preserve"> ratio: 0.81, 0.73, and 0.87).</w:t>
      </w:r>
    </w:p>
    <w:p w14:paraId="378B6346" w14:textId="77777777" w:rsidR="00701574" w:rsidRPr="009440AD" w:rsidRDefault="00F33B9C" w:rsidP="00701574">
      <w:pPr>
        <w:pStyle w:val="Heading2"/>
        <w:rPr>
          <w:lang w:val="en-US"/>
        </w:rPr>
      </w:pPr>
      <w:r w:rsidRPr="009440AD">
        <w:rPr>
          <w:lang w:val="en-US"/>
        </w:rPr>
        <w:t>Pharmacokinetic parameters driving age-related changes in drug exposure</w:t>
      </w:r>
    </w:p>
    <w:p w14:paraId="796C37A3" w14:textId="4309C30C" w:rsidR="00A65C54" w:rsidRPr="0050587F" w:rsidRDefault="00F33B9C" w:rsidP="002016E8">
      <w:pPr>
        <w:rPr>
          <w:lang w:val="en-US"/>
        </w:rPr>
      </w:pPr>
      <w:r w:rsidRPr="009440AD">
        <w:rPr>
          <w:lang w:val="en-US"/>
        </w:rPr>
        <w:t xml:space="preserve">After the successful prediction of drug pharmacokinetics in adults older than 65 years, the developed PBPK models of all </w:t>
      </w:r>
      <w:r w:rsidR="00E90153" w:rsidRPr="009440AD">
        <w:rPr>
          <w:lang w:val="en-US"/>
        </w:rPr>
        <w:t>ten</w:t>
      </w:r>
      <w:r w:rsidRPr="009440AD">
        <w:rPr>
          <w:lang w:val="en-US"/>
        </w:rPr>
        <w:t xml:space="preserve"> drugs have been used to simulate </w:t>
      </w:r>
      <w:proofErr w:type="spellStart"/>
      <w:r w:rsidRPr="009440AD">
        <w:rPr>
          <w:lang w:val="en-US"/>
        </w:rPr>
        <w:t>C</w:t>
      </w:r>
      <w:r w:rsidRPr="009440AD">
        <w:rPr>
          <w:vertAlign w:val="subscript"/>
          <w:lang w:val="en-US"/>
        </w:rPr>
        <w:t>max</w:t>
      </w:r>
      <w:proofErr w:type="spellEnd"/>
      <w:r w:rsidRPr="009440AD">
        <w:rPr>
          <w:lang w:val="en-US"/>
        </w:rPr>
        <w:t xml:space="preserve">, </w:t>
      </w:r>
      <w:proofErr w:type="spellStart"/>
      <w:r w:rsidR="008D32D4" w:rsidRPr="009440AD">
        <w:rPr>
          <w:lang w:val="en-US"/>
        </w:rPr>
        <w:t>t</w:t>
      </w:r>
      <w:r w:rsidRPr="009440AD">
        <w:rPr>
          <w:vertAlign w:val="subscript"/>
          <w:lang w:val="en-US"/>
        </w:rPr>
        <w:t>max</w:t>
      </w:r>
      <w:proofErr w:type="spellEnd"/>
      <w:r w:rsidRPr="009440AD">
        <w:rPr>
          <w:lang w:val="en-US"/>
        </w:rPr>
        <w:t xml:space="preserve">, AUC, clearance, </w:t>
      </w:r>
      <w:r w:rsidR="00165813" w:rsidRPr="009440AD">
        <w:rPr>
          <w:lang w:val="en-US"/>
        </w:rPr>
        <w:t xml:space="preserve">apparent </w:t>
      </w:r>
      <w:r w:rsidRPr="009440AD">
        <w:rPr>
          <w:lang w:val="en-US"/>
        </w:rPr>
        <w:t>volume of distribution</w:t>
      </w:r>
      <w:r w:rsidR="0030558A" w:rsidRPr="009440AD">
        <w:rPr>
          <w:lang w:val="en-US"/>
        </w:rPr>
        <w:t>,</w:t>
      </w:r>
      <w:r w:rsidRPr="009440AD">
        <w:rPr>
          <w:lang w:val="en-US"/>
        </w:rPr>
        <w:t xml:space="preserve"> and t</w:t>
      </w:r>
      <w:r w:rsidRPr="009440AD">
        <w:rPr>
          <w:vertAlign w:val="subscript"/>
          <w:lang w:val="en-US"/>
        </w:rPr>
        <w:t>1/2</w:t>
      </w:r>
      <w:r w:rsidRPr="009440AD">
        <w:rPr>
          <w:lang w:val="en-US"/>
        </w:rPr>
        <w:t xml:space="preserve"> </w:t>
      </w:r>
      <w:r w:rsidR="007B0E21" w:rsidRPr="009440AD">
        <w:rPr>
          <w:lang w:val="en-US"/>
        </w:rPr>
        <w:t xml:space="preserve">for individuals </w:t>
      </w:r>
      <w:r w:rsidRPr="009440AD">
        <w:rPr>
          <w:lang w:val="en-US"/>
        </w:rPr>
        <w:t>20 to 99 years</w:t>
      </w:r>
      <w:r w:rsidR="007B0E21" w:rsidRPr="009440AD">
        <w:rPr>
          <w:lang w:val="en-US"/>
        </w:rPr>
        <w:t xml:space="preserve"> of age</w:t>
      </w:r>
      <w:r w:rsidRPr="009440AD">
        <w:rPr>
          <w:lang w:val="en-US"/>
        </w:rPr>
        <w:t xml:space="preserve">. </w:t>
      </w:r>
      <w:r w:rsidR="00A3799E" w:rsidRPr="009440AD">
        <w:rPr>
          <w:lang w:val="en-US"/>
        </w:rPr>
        <w:t xml:space="preserve">The impact of adult age on </w:t>
      </w:r>
      <w:proofErr w:type="spellStart"/>
      <w:r w:rsidR="00A3799E" w:rsidRPr="009440AD">
        <w:rPr>
          <w:lang w:val="en-US"/>
        </w:rPr>
        <w:t>C</w:t>
      </w:r>
      <w:r w:rsidR="00A3799E" w:rsidRPr="009440AD">
        <w:rPr>
          <w:vertAlign w:val="subscript"/>
          <w:lang w:val="en-US"/>
        </w:rPr>
        <w:t>max</w:t>
      </w:r>
      <w:proofErr w:type="spellEnd"/>
      <w:r w:rsidR="00A3799E" w:rsidRPr="009440AD">
        <w:rPr>
          <w:lang w:val="en-US"/>
        </w:rPr>
        <w:t xml:space="preserve"> was not consistent for the different drugs</w:t>
      </w:r>
      <w:r w:rsidR="00294765" w:rsidRPr="009440AD">
        <w:rPr>
          <w:lang w:val="en-US"/>
        </w:rPr>
        <w:t xml:space="preserve"> investigated</w:t>
      </w:r>
      <w:r w:rsidR="00E90153" w:rsidRPr="009440AD">
        <w:rPr>
          <w:lang w:val="en-US"/>
        </w:rPr>
        <w:t xml:space="preserve"> (Fig</w:t>
      </w:r>
      <w:r w:rsidR="005A5ECC" w:rsidRPr="009440AD">
        <w:rPr>
          <w:lang w:val="en-US"/>
        </w:rPr>
        <w:t>.</w:t>
      </w:r>
      <w:r w:rsidR="00E90153" w:rsidRPr="009440AD">
        <w:rPr>
          <w:lang w:val="en-US"/>
        </w:rPr>
        <w:t xml:space="preserve"> 6</w:t>
      </w:r>
      <w:r w:rsidR="00E90153" w:rsidRPr="00540E3C">
        <w:rPr>
          <w:lang w:val="en-US"/>
        </w:rPr>
        <w:t>)</w:t>
      </w:r>
      <w:r w:rsidR="00A3799E" w:rsidRPr="00540E3C">
        <w:rPr>
          <w:lang w:val="en-US"/>
        </w:rPr>
        <w:t xml:space="preserve">. The predicted </w:t>
      </w:r>
      <w:proofErr w:type="spellStart"/>
      <w:r w:rsidR="00A3799E" w:rsidRPr="00540E3C">
        <w:rPr>
          <w:lang w:val="en-US"/>
        </w:rPr>
        <w:t>C</w:t>
      </w:r>
      <w:r w:rsidR="00A3799E" w:rsidRPr="00540E3C">
        <w:rPr>
          <w:vertAlign w:val="subscript"/>
          <w:lang w:val="en-US"/>
        </w:rPr>
        <w:t>max</w:t>
      </w:r>
      <w:proofErr w:type="spellEnd"/>
      <w:r w:rsidR="00A3799E" w:rsidRPr="00540E3C">
        <w:rPr>
          <w:lang w:val="en-US"/>
        </w:rPr>
        <w:t xml:space="preserve"> of </w:t>
      </w:r>
      <w:r w:rsidR="00671B30" w:rsidRPr="00540E3C">
        <w:rPr>
          <w:lang w:val="en-US"/>
        </w:rPr>
        <w:t>atorvastatin</w:t>
      </w:r>
      <w:r w:rsidR="00A3799E" w:rsidRPr="00540E3C">
        <w:rPr>
          <w:lang w:val="en-US"/>
        </w:rPr>
        <w:t xml:space="preserve"> declined with </w:t>
      </w:r>
      <w:r w:rsidR="00A3799E" w:rsidRPr="00540E3C">
        <w:rPr>
          <w:lang w:val="en-US"/>
        </w:rPr>
        <w:lastRenderedPageBreak/>
        <w:t>age by 0.4</w:t>
      </w:r>
      <w:r w:rsidR="006412A2" w:rsidRPr="0065491D">
        <w:rPr>
          <w:lang w:val="en-US"/>
        </w:rPr>
        <w:t>2</w:t>
      </w:r>
      <w:r w:rsidR="0015230A" w:rsidRPr="0065491D">
        <w:rPr>
          <w:lang w:val="en-US"/>
        </w:rPr>
        <w:t>%</w:t>
      </w:r>
      <w:r w:rsidR="00A3799E" w:rsidRPr="0065491D">
        <w:rPr>
          <w:lang w:val="en-US"/>
        </w:rPr>
        <w:t xml:space="preserve">, whereas </w:t>
      </w:r>
      <w:proofErr w:type="spellStart"/>
      <w:r w:rsidR="006412A2" w:rsidRPr="0065491D">
        <w:rPr>
          <w:lang w:val="en-US"/>
        </w:rPr>
        <w:t>C</w:t>
      </w:r>
      <w:r w:rsidR="006412A2" w:rsidRPr="0065491D">
        <w:rPr>
          <w:vertAlign w:val="subscript"/>
          <w:lang w:val="en-US"/>
        </w:rPr>
        <w:t>max</w:t>
      </w:r>
      <w:proofErr w:type="spellEnd"/>
      <w:r w:rsidR="006412A2" w:rsidRPr="0065491D">
        <w:rPr>
          <w:lang w:val="en-US"/>
        </w:rPr>
        <w:t xml:space="preserve"> of amlodipine and clarithromycin increased by 1.1% per year</w:t>
      </w:r>
      <w:r w:rsidR="00A3799E" w:rsidRPr="0065491D">
        <w:rPr>
          <w:lang w:val="en-US"/>
        </w:rPr>
        <w:t xml:space="preserve">. </w:t>
      </w:r>
      <w:proofErr w:type="spellStart"/>
      <w:r w:rsidR="00A3799E" w:rsidRPr="0065491D">
        <w:rPr>
          <w:lang w:val="en-US"/>
        </w:rPr>
        <w:t>C</w:t>
      </w:r>
      <w:r w:rsidR="00A3799E" w:rsidRPr="009440AD">
        <w:rPr>
          <w:vertAlign w:val="subscript"/>
          <w:lang w:val="en-US"/>
        </w:rPr>
        <w:t>max</w:t>
      </w:r>
      <w:proofErr w:type="spellEnd"/>
      <w:r w:rsidR="00A3799E" w:rsidRPr="009440AD">
        <w:rPr>
          <w:lang w:val="en-US"/>
        </w:rPr>
        <w:t xml:space="preserve"> </w:t>
      </w:r>
      <w:r w:rsidR="006412A2" w:rsidRPr="009440AD">
        <w:rPr>
          <w:lang w:val="en-US"/>
        </w:rPr>
        <w:t xml:space="preserve">of midazolam, metoprolol, and rosuvastatin did not change </w:t>
      </w:r>
      <w:r w:rsidR="00B06395" w:rsidRPr="009440AD">
        <w:rPr>
          <w:lang w:val="en-US"/>
        </w:rPr>
        <w:t>with advanced age</w:t>
      </w:r>
      <w:r w:rsidR="00A3799E" w:rsidRPr="009440AD">
        <w:rPr>
          <w:lang w:val="en-US"/>
        </w:rPr>
        <w:t xml:space="preserve">. </w:t>
      </w:r>
      <w:proofErr w:type="spellStart"/>
      <w:r w:rsidR="00A3799E" w:rsidRPr="009440AD">
        <w:rPr>
          <w:lang w:val="en-US"/>
        </w:rPr>
        <w:t>T</w:t>
      </w:r>
      <w:r w:rsidR="00A3799E" w:rsidRPr="009440AD">
        <w:rPr>
          <w:vertAlign w:val="subscript"/>
          <w:lang w:val="en-US"/>
        </w:rPr>
        <w:t>max</w:t>
      </w:r>
      <w:proofErr w:type="spellEnd"/>
      <w:r w:rsidR="00A3799E" w:rsidRPr="009440AD">
        <w:rPr>
          <w:lang w:val="en-US"/>
        </w:rPr>
        <w:t xml:space="preserve"> showed a tendency to increase with age, but it was only outside the bioequivalence criterion for lisinopril and rosuvastatin with a maximum change of 4</w:t>
      </w:r>
      <w:r w:rsidR="006412A2" w:rsidRPr="009440AD">
        <w:rPr>
          <w:lang w:val="en-US"/>
        </w:rPr>
        <w:t>3</w:t>
      </w:r>
      <w:r w:rsidR="00A3799E" w:rsidRPr="009440AD">
        <w:rPr>
          <w:lang w:val="en-US"/>
        </w:rPr>
        <w:t xml:space="preserve">%. </w:t>
      </w:r>
      <w:r w:rsidR="00291F57" w:rsidRPr="009440AD">
        <w:rPr>
          <w:lang w:val="en-US"/>
        </w:rPr>
        <w:t xml:space="preserve">The </w:t>
      </w:r>
      <w:r w:rsidR="00530592" w:rsidRPr="009440AD">
        <w:rPr>
          <w:lang w:val="en-US"/>
        </w:rPr>
        <w:t xml:space="preserve">predicted </w:t>
      </w:r>
      <w:r w:rsidR="00291F57" w:rsidRPr="009440AD">
        <w:rPr>
          <w:lang w:val="en-US"/>
        </w:rPr>
        <w:t xml:space="preserve">AUC showed a linear increase of </w:t>
      </w:r>
      <w:r w:rsidR="00530592" w:rsidRPr="009440AD">
        <w:rPr>
          <w:lang w:val="en-US"/>
        </w:rPr>
        <w:t>0.9%</w:t>
      </w:r>
      <w:r w:rsidR="00291F57" w:rsidRPr="009440AD">
        <w:rPr>
          <w:lang w:val="en-US"/>
        </w:rPr>
        <w:t xml:space="preserve"> per year</w:t>
      </w:r>
      <w:r w:rsidR="00897D4A" w:rsidRPr="009440AD">
        <w:rPr>
          <w:lang w:val="en-US"/>
        </w:rPr>
        <w:t xml:space="preserve"> from the age of 20 years</w:t>
      </w:r>
      <w:r w:rsidR="00291F57" w:rsidRPr="009440AD">
        <w:rPr>
          <w:lang w:val="en-US"/>
        </w:rPr>
        <w:t xml:space="preserve">. Atorvastatin showed no changes </w:t>
      </w:r>
      <w:r w:rsidR="00B46327" w:rsidRPr="009440AD">
        <w:rPr>
          <w:lang w:val="en-US"/>
        </w:rPr>
        <w:t xml:space="preserve">of the AUC </w:t>
      </w:r>
      <w:r w:rsidR="00291F57" w:rsidRPr="009440AD">
        <w:rPr>
          <w:lang w:val="en-US"/>
        </w:rPr>
        <w:t xml:space="preserve">with age, whereas repaglinide and lisinopril showed the highest change with up to a 2.5-fold difference compared to young adults. Clearance decreased with age with more than a 1.25-fold change at the age of </w:t>
      </w:r>
      <w:r w:rsidR="005C457D" w:rsidRPr="009440AD">
        <w:rPr>
          <w:lang w:val="en-US"/>
        </w:rPr>
        <w:t>5</w:t>
      </w:r>
      <w:r w:rsidR="000C6788" w:rsidRPr="009440AD">
        <w:rPr>
          <w:lang w:val="en-US"/>
        </w:rPr>
        <w:t>5</w:t>
      </w:r>
      <w:r w:rsidR="00291F57" w:rsidRPr="009440AD">
        <w:rPr>
          <w:lang w:val="en-US"/>
        </w:rPr>
        <w:t xml:space="preserve"> years. Atorvastatin showed the least change with age (0.06% per year) and lisinopril the highest with a 0.84% decrease</w:t>
      </w:r>
      <w:r w:rsidR="00294765" w:rsidRPr="009440AD">
        <w:rPr>
          <w:lang w:val="en-US"/>
        </w:rPr>
        <w:t xml:space="preserve"> in drug clearance</w:t>
      </w:r>
      <w:r w:rsidR="00291F57" w:rsidRPr="009440AD">
        <w:rPr>
          <w:lang w:val="en-US"/>
        </w:rPr>
        <w:t xml:space="preserve"> per year</w:t>
      </w:r>
      <w:r w:rsidR="00146385" w:rsidRPr="009440AD">
        <w:rPr>
          <w:lang w:val="en-US"/>
        </w:rPr>
        <w:t xml:space="preserve"> matching the decline in the glomerular filtration rate</w:t>
      </w:r>
      <w:r w:rsidR="00291F57" w:rsidRPr="009440AD">
        <w:rPr>
          <w:lang w:val="en-US"/>
        </w:rPr>
        <w:t xml:space="preserve">. The </w:t>
      </w:r>
      <w:r w:rsidR="009D0FCE" w:rsidRPr="009440AD">
        <w:rPr>
          <w:lang w:val="en-US"/>
        </w:rPr>
        <w:t xml:space="preserve">apparent </w:t>
      </w:r>
      <w:r w:rsidR="00291F57" w:rsidRPr="009440AD">
        <w:rPr>
          <w:lang w:val="en-US"/>
        </w:rPr>
        <w:t xml:space="preserve">volume of distribution was independent of </w:t>
      </w:r>
      <w:r w:rsidR="008D32D4" w:rsidRPr="009440AD">
        <w:rPr>
          <w:lang w:val="en-US"/>
        </w:rPr>
        <w:t xml:space="preserve">adult </w:t>
      </w:r>
      <w:r w:rsidR="00291F57" w:rsidRPr="009440AD">
        <w:rPr>
          <w:lang w:val="en-US"/>
        </w:rPr>
        <w:t xml:space="preserve">age for all investigated drugs. </w:t>
      </w:r>
      <w:r w:rsidR="00235456" w:rsidRPr="009440AD">
        <w:rPr>
          <w:lang w:val="en-US"/>
        </w:rPr>
        <w:t>T</w:t>
      </w:r>
      <w:r w:rsidRPr="009440AD">
        <w:rPr>
          <w:vertAlign w:val="subscript"/>
          <w:lang w:val="en-US"/>
        </w:rPr>
        <w:t>1/2</w:t>
      </w:r>
      <w:r w:rsidRPr="009440AD">
        <w:rPr>
          <w:lang w:val="en-US"/>
        </w:rPr>
        <w:t xml:space="preserve"> </w:t>
      </w:r>
      <w:r w:rsidR="00291F57" w:rsidRPr="009440AD">
        <w:rPr>
          <w:lang w:val="en-US"/>
        </w:rPr>
        <w:t xml:space="preserve">increased </w:t>
      </w:r>
      <w:r w:rsidR="0050505D" w:rsidRPr="009440AD">
        <w:rPr>
          <w:lang w:val="en-US"/>
        </w:rPr>
        <w:t>with an average rate of 0.</w:t>
      </w:r>
      <w:r w:rsidR="00B06395" w:rsidRPr="009440AD">
        <w:rPr>
          <w:lang w:val="en-US"/>
        </w:rPr>
        <w:t>8</w:t>
      </w:r>
      <w:r w:rsidR="0050505D" w:rsidRPr="009440AD">
        <w:rPr>
          <w:lang w:val="en-US"/>
        </w:rPr>
        <w:t xml:space="preserve">% per year. </w:t>
      </w:r>
      <w:r w:rsidR="00AB50D0" w:rsidRPr="009440AD">
        <w:rPr>
          <w:lang w:val="en-US"/>
        </w:rPr>
        <w:t>The lowest and highest age-related change of t</w:t>
      </w:r>
      <w:r w:rsidR="00AB50D0" w:rsidRPr="006B495B">
        <w:rPr>
          <w:vertAlign w:val="subscript"/>
          <w:lang w:val="en-US"/>
        </w:rPr>
        <w:t>1/2</w:t>
      </w:r>
      <w:r w:rsidR="00AB50D0" w:rsidRPr="009440AD">
        <w:rPr>
          <w:lang w:val="en-US"/>
        </w:rPr>
        <w:t xml:space="preserve"> was estimated for clarithromycin (0.32% per year) and lisinopril (1.4% per year). </w:t>
      </w:r>
      <w:r w:rsidR="0050505D" w:rsidRPr="005902A1">
        <w:rPr>
          <w:lang w:val="en-US"/>
        </w:rPr>
        <w:t>The age-dependent changes for all investigated pharmacokinetic parameters wer</w:t>
      </w:r>
      <w:r w:rsidR="0050505D" w:rsidRPr="0050587F">
        <w:rPr>
          <w:lang w:val="en-US"/>
        </w:rPr>
        <w:t xml:space="preserve">e independent of </w:t>
      </w:r>
      <w:r w:rsidR="00DC0CA5" w:rsidRPr="0050587F">
        <w:rPr>
          <w:lang w:val="en-US"/>
        </w:rPr>
        <w:t>sex</w:t>
      </w:r>
      <w:r w:rsidR="0050505D" w:rsidRPr="0050587F">
        <w:rPr>
          <w:lang w:val="en-US"/>
        </w:rPr>
        <w:t>.</w:t>
      </w:r>
    </w:p>
    <w:p w14:paraId="0AF19E5A" w14:textId="194535CF" w:rsidR="00E82879" w:rsidRPr="0065491D" w:rsidRDefault="00E82879" w:rsidP="002016E8">
      <w:pPr>
        <w:rPr>
          <w:lang w:val="en-US"/>
        </w:rPr>
      </w:pPr>
    </w:p>
    <w:p w14:paraId="0F2DF8B4" w14:textId="7ABEA65F" w:rsidR="00E82879" w:rsidRPr="009440AD" w:rsidRDefault="00E82879" w:rsidP="002016E8">
      <w:pPr>
        <w:rPr>
          <w:lang w:val="en-US"/>
        </w:rPr>
      </w:pPr>
      <w:bookmarkStart w:id="15" w:name="_Hlk16583639"/>
      <w:r w:rsidRPr="009440AD">
        <w:rPr>
          <w:lang w:val="en-US"/>
        </w:rPr>
        <w:t>Sensitivity analysis demonstrated that predicted age-related changes of the apparent volume of distribution and drug clearance did not depend on investigated drug characteristics (</w:t>
      </w:r>
      <w:proofErr w:type="spellStart"/>
      <w:r w:rsidRPr="009440AD">
        <w:rPr>
          <w:lang w:val="en-US"/>
        </w:rPr>
        <w:t>logP</w:t>
      </w:r>
      <w:proofErr w:type="spellEnd"/>
      <w:r w:rsidRPr="009440AD">
        <w:rPr>
          <w:lang w:val="en-US"/>
        </w:rPr>
        <w:t xml:space="preserve">, </w:t>
      </w:r>
      <w:proofErr w:type="spellStart"/>
      <w:r w:rsidRPr="009440AD">
        <w:rPr>
          <w:lang w:val="en-US"/>
        </w:rPr>
        <w:t>fup</w:t>
      </w:r>
      <w:proofErr w:type="spellEnd"/>
      <w:r w:rsidRPr="009440AD">
        <w:rPr>
          <w:lang w:val="en-US"/>
        </w:rPr>
        <w:t>, route of elimination), but on physiological changes of hepatic and renal blood flow and glomerular filtration rate (</w:t>
      </w:r>
      <w:r w:rsidRPr="00540E3C">
        <w:rPr>
          <w:lang w:val="en-US"/>
        </w:rPr>
        <w:t xml:space="preserve">Fig. </w:t>
      </w:r>
      <w:r w:rsidR="004227D5">
        <w:rPr>
          <w:lang w:val="en-US"/>
        </w:rPr>
        <w:t>7</w:t>
      </w:r>
      <w:r w:rsidRPr="009440AD">
        <w:rPr>
          <w:lang w:val="en-US"/>
        </w:rPr>
        <w:t>).</w:t>
      </w:r>
      <w:bookmarkEnd w:id="15"/>
      <w:r w:rsidRPr="009440AD">
        <w:rPr>
          <w:lang w:val="en-US"/>
        </w:rPr>
        <w:t xml:space="preserve"> </w:t>
      </w:r>
    </w:p>
    <w:p w14:paraId="0BAC8977" w14:textId="77777777" w:rsidR="006F68B0" w:rsidRPr="005902A1" w:rsidRDefault="006F68B0" w:rsidP="002016E8">
      <w:pPr>
        <w:rPr>
          <w:lang w:val="en-US"/>
        </w:rPr>
      </w:pPr>
    </w:p>
    <w:p w14:paraId="333E10E0" w14:textId="096B91EA" w:rsidR="00530592" w:rsidRPr="00540E3C" w:rsidRDefault="00876FB3" w:rsidP="002016E8">
      <w:pPr>
        <w:rPr>
          <w:lang w:val="en-US"/>
        </w:rPr>
      </w:pPr>
      <w:bookmarkStart w:id="16" w:name="_Hlk16583770"/>
      <w:r w:rsidRPr="00540E3C">
        <w:rPr>
          <w:lang w:val="en-US"/>
        </w:rPr>
        <w:t xml:space="preserve">If changes in pharmacokinetics with advanced age depend only on age-related physiological alterations as determined by the conducted sensitivity analysis, our derived </w:t>
      </w:r>
      <w:r w:rsidR="00897D4A" w:rsidRPr="00540E3C">
        <w:rPr>
          <w:lang w:val="en-US"/>
        </w:rPr>
        <w:t>correlations</w:t>
      </w:r>
      <w:r w:rsidRPr="00540E3C">
        <w:rPr>
          <w:lang w:val="en-US"/>
        </w:rPr>
        <w:t xml:space="preserve"> between altered pharmacokinetics and age </w:t>
      </w:r>
      <w:r w:rsidR="00897D4A" w:rsidRPr="00540E3C">
        <w:rPr>
          <w:lang w:val="en-US"/>
        </w:rPr>
        <w:t xml:space="preserve">(Fig. </w:t>
      </w:r>
      <w:r w:rsidR="004227D5">
        <w:rPr>
          <w:lang w:val="en-US"/>
        </w:rPr>
        <w:t>6</w:t>
      </w:r>
      <w:r w:rsidR="00897D4A" w:rsidRPr="009440AD">
        <w:rPr>
          <w:lang w:val="en-US"/>
        </w:rPr>
        <w:t xml:space="preserve">) </w:t>
      </w:r>
      <w:r w:rsidRPr="009440AD">
        <w:rPr>
          <w:lang w:val="en-US"/>
        </w:rPr>
        <w:t xml:space="preserve">should hold true for any drug. In order to verify this hypothesis, a literature search </w:t>
      </w:r>
      <w:r w:rsidRPr="005902A1">
        <w:rPr>
          <w:lang w:val="en-US"/>
        </w:rPr>
        <w:t>was conducted to seek for studies having a direct pharmacokinetic comparison between young and elderly adults.</w:t>
      </w:r>
      <w:r w:rsidRPr="0050587F">
        <w:rPr>
          <w:lang w:val="en-US"/>
        </w:rPr>
        <w:t xml:space="preserve"> Clinically observed data for </w:t>
      </w:r>
      <w:r w:rsidR="00571D69" w:rsidRPr="0050587F">
        <w:rPr>
          <w:lang w:val="en-US"/>
        </w:rPr>
        <w:t>52 additional drugs (Tab</w:t>
      </w:r>
      <w:r w:rsidR="005A5ECC" w:rsidRPr="00540E3C">
        <w:rPr>
          <w:lang w:val="en-US"/>
        </w:rPr>
        <w:t>.</w:t>
      </w:r>
      <w:r w:rsidR="00571D69" w:rsidRPr="00540E3C">
        <w:rPr>
          <w:lang w:val="en-US"/>
        </w:rPr>
        <w:t xml:space="preserve"> S</w:t>
      </w:r>
      <w:r w:rsidR="00540E3C">
        <w:rPr>
          <w:lang w:val="en-US"/>
        </w:rPr>
        <w:t>-</w:t>
      </w:r>
      <w:r w:rsidR="00571D69" w:rsidRPr="00540E3C">
        <w:rPr>
          <w:lang w:val="en-US"/>
        </w:rPr>
        <w:t xml:space="preserve">3) </w:t>
      </w:r>
      <w:r w:rsidRPr="00540E3C">
        <w:rPr>
          <w:lang w:val="en-US"/>
        </w:rPr>
        <w:t>were gathered</w:t>
      </w:r>
      <w:r w:rsidR="00571D69" w:rsidRPr="0065491D">
        <w:rPr>
          <w:lang w:val="en-US"/>
        </w:rPr>
        <w:t>.</w:t>
      </w:r>
      <w:bookmarkEnd w:id="16"/>
      <w:r w:rsidR="00571D69" w:rsidRPr="0065491D">
        <w:rPr>
          <w:lang w:val="en-US"/>
        </w:rPr>
        <w:t xml:space="preserve"> </w:t>
      </w:r>
      <w:bookmarkStart w:id="17" w:name="_Hlk16584100"/>
      <w:r w:rsidRPr="0065491D">
        <w:rPr>
          <w:lang w:val="en-US"/>
        </w:rPr>
        <w:t>The observed age-dependent pharmacokinetic alterations of this additional dataset could be describ</w:t>
      </w:r>
      <w:r w:rsidRPr="009440AD">
        <w:rPr>
          <w:lang w:val="en-US"/>
        </w:rPr>
        <w:t xml:space="preserve">ed by our derived </w:t>
      </w:r>
      <w:r w:rsidR="00C21896" w:rsidRPr="009440AD">
        <w:rPr>
          <w:lang w:val="en-US"/>
        </w:rPr>
        <w:t xml:space="preserve">relationship </w:t>
      </w:r>
      <w:r w:rsidR="00897D4A" w:rsidRPr="009440AD">
        <w:rPr>
          <w:lang w:val="en-US"/>
        </w:rPr>
        <w:t>appropriately</w:t>
      </w:r>
      <w:r w:rsidR="009440AD">
        <w:rPr>
          <w:lang w:val="en-US"/>
        </w:rPr>
        <w:t xml:space="preserve"> </w:t>
      </w:r>
      <w:r w:rsidR="00E90153" w:rsidRPr="009440AD">
        <w:rPr>
          <w:lang w:val="en-US"/>
        </w:rPr>
        <w:t xml:space="preserve">(Fig </w:t>
      </w:r>
      <w:r w:rsidR="004227D5">
        <w:rPr>
          <w:lang w:val="en-US"/>
        </w:rPr>
        <w:t>8</w:t>
      </w:r>
      <w:r w:rsidR="00E90153" w:rsidRPr="009440AD">
        <w:rPr>
          <w:lang w:val="en-US"/>
        </w:rPr>
        <w:t>)</w:t>
      </w:r>
      <w:r w:rsidR="005A25AB" w:rsidRPr="009440AD">
        <w:rPr>
          <w:lang w:val="en-US"/>
        </w:rPr>
        <w:t>.</w:t>
      </w:r>
      <w:bookmarkEnd w:id="17"/>
      <w:r w:rsidR="005A25AB" w:rsidRPr="009440AD">
        <w:rPr>
          <w:lang w:val="en-US"/>
        </w:rPr>
        <w:t xml:space="preserve"> Variability was under-estimated for </w:t>
      </w:r>
      <w:proofErr w:type="spellStart"/>
      <w:r w:rsidR="005A25AB" w:rsidRPr="009440AD">
        <w:rPr>
          <w:lang w:val="en-US"/>
        </w:rPr>
        <w:t>C</w:t>
      </w:r>
      <w:r w:rsidR="005A25AB" w:rsidRPr="005902A1">
        <w:rPr>
          <w:vertAlign w:val="subscript"/>
          <w:lang w:val="en-US"/>
        </w:rPr>
        <w:t>max</w:t>
      </w:r>
      <w:proofErr w:type="spellEnd"/>
      <w:r w:rsidR="005A25AB" w:rsidRPr="0050587F">
        <w:rPr>
          <w:lang w:val="en-US"/>
        </w:rPr>
        <w:t xml:space="preserve"> and </w:t>
      </w:r>
      <w:proofErr w:type="spellStart"/>
      <w:r w:rsidR="005A25AB" w:rsidRPr="0050587F">
        <w:rPr>
          <w:lang w:val="en-US"/>
        </w:rPr>
        <w:t>t</w:t>
      </w:r>
      <w:r w:rsidR="005A25AB" w:rsidRPr="0050587F">
        <w:rPr>
          <w:vertAlign w:val="subscript"/>
          <w:lang w:val="en-US"/>
        </w:rPr>
        <w:t>max</w:t>
      </w:r>
      <w:proofErr w:type="spellEnd"/>
      <w:r w:rsidR="005A25AB" w:rsidRPr="0050587F">
        <w:rPr>
          <w:lang w:val="en-US"/>
        </w:rPr>
        <w:t xml:space="preserve">, but clinically observed data for </w:t>
      </w:r>
      <w:r w:rsidR="00B06395" w:rsidRPr="0050587F">
        <w:rPr>
          <w:lang w:val="en-US"/>
        </w:rPr>
        <w:t xml:space="preserve">the apparent </w:t>
      </w:r>
      <w:r w:rsidR="00102496" w:rsidRPr="0050587F">
        <w:rPr>
          <w:lang w:val="en-US"/>
        </w:rPr>
        <w:t>volume of distribution</w:t>
      </w:r>
      <w:r w:rsidR="005A25AB" w:rsidRPr="0050587F">
        <w:rPr>
          <w:lang w:val="en-US"/>
        </w:rPr>
        <w:t xml:space="preserve">, AUC, </w:t>
      </w:r>
      <w:r w:rsidR="00102496" w:rsidRPr="0050587F">
        <w:rPr>
          <w:lang w:val="en-US"/>
        </w:rPr>
        <w:t>clearance</w:t>
      </w:r>
      <w:r w:rsidR="005A25AB" w:rsidRPr="0050587F">
        <w:rPr>
          <w:lang w:val="en-US"/>
        </w:rPr>
        <w:t xml:space="preserve">, </w:t>
      </w:r>
      <w:r w:rsidR="00146385" w:rsidRPr="0065491D">
        <w:rPr>
          <w:lang w:val="en-US"/>
        </w:rPr>
        <w:t xml:space="preserve">and </w:t>
      </w:r>
      <w:r w:rsidR="005A25AB" w:rsidRPr="0065491D">
        <w:rPr>
          <w:lang w:val="en-US"/>
        </w:rPr>
        <w:t>t</w:t>
      </w:r>
      <w:r w:rsidR="005A25AB" w:rsidRPr="0065491D">
        <w:rPr>
          <w:vertAlign w:val="subscript"/>
          <w:lang w:val="en-US"/>
        </w:rPr>
        <w:t>1/2</w:t>
      </w:r>
      <w:r w:rsidR="005A25AB" w:rsidRPr="0065491D">
        <w:rPr>
          <w:lang w:val="en-US"/>
        </w:rPr>
        <w:t xml:space="preserve"> were mostly contained within the estimated variability of derived age-related changes. </w:t>
      </w:r>
      <w:r w:rsidR="001520A3" w:rsidRPr="0065491D">
        <w:rPr>
          <w:lang w:val="en-US"/>
        </w:rPr>
        <w:t>There w</w:t>
      </w:r>
      <w:r w:rsidR="001520A3" w:rsidRPr="009440AD">
        <w:rPr>
          <w:lang w:val="en-US"/>
        </w:rPr>
        <w:t xml:space="preserve">ere no significant differences between main route of elimination (hepatic vs. renal) </w:t>
      </w:r>
      <w:r w:rsidR="00603EF5" w:rsidRPr="009440AD">
        <w:rPr>
          <w:lang w:val="en-US"/>
        </w:rPr>
        <w:t xml:space="preserve">and route of administration (intravenous vs. oral) </w:t>
      </w:r>
      <w:r w:rsidR="001520A3" w:rsidRPr="009440AD">
        <w:rPr>
          <w:lang w:val="en-US"/>
        </w:rPr>
        <w:t xml:space="preserve">for any of the investigated </w:t>
      </w:r>
      <w:r w:rsidR="009440AD">
        <w:rPr>
          <w:lang w:val="en-US"/>
        </w:rPr>
        <w:t xml:space="preserve">pharmacokinetic </w:t>
      </w:r>
      <w:r w:rsidR="001520A3" w:rsidRPr="009440AD">
        <w:rPr>
          <w:lang w:val="en-US"/>
        </w:rPr>
        <w:t>parameters</w:t>
      </w:r>
      <w:r w:rsidR="00603EF5" w:rsidRPr="009440AD">
        <w:rPr>
          <w:lang w:val="en-US"/>
        </w:rPr>
        <w:t xml:space="preserve">. Age was significantly correlated for alterations in AUC, clearance, and volume of distribution, but not in </w:t>
      </w:r>
      <w:proofErr w:type="spellStart"/>
      <w:r w:rsidR="00603EF5" w:rsidRPr="009440AD">
        <w:rPr>
          <w:lang w:val="en-US"/>
        </w:rPr>
        <w:t>C</w:t>
      </w:r>
      <w:r w:rsidR="00603EF5" w:rsidRPr="006B495B">
        <w:rPr>
          <w:vertAlign w:val="subscript"/>
          <w:lang w:val="en-US"/>
        </w:rPr>
        <w:t>max</w:t>
      </w:r>
      <w:proofErr w:type="spellEnd"/>
      <w:r w:rsidR="00603EF5" w:rsidRPr="009440AD">
        <w:rPr>
          <w:lang w:val="en-US"/>
        </w:rPr>
        <w:t xml:space="preserve">, </w:t>
      </w:r>
      <w:proofErr w:type="spellStart"/>
      <w:r w:rsidR="00603EF5" w:rsidRPr="009440AD">
        <w:rPr>
          <w:lang w:val="en-US"/>
        </w:rPr>
        <w:t>t</w:t>
      </w:r>
      <w:r w:rsidR="00603EF5" w:rsidRPr="006B495B">
        <w:rPr>
          <w:vertAlign w:val="subscript"/>
          <w:lang w:val="en-US"/>
        </w:rPr>
        <w:t>max</w:t>
      </w:r>
      <w:proofErr w:type="spellEnd"/>
      <w:r w:rsidR="00603EF5" w:rsidRPr="009440AD">
        <w:rPr>
          <w:lang w:val="en-US"/>
        </w:rPr>
        <w:t xml:space="preserve"> and t</w:t>
      </w:r>
      <w:r w:rsidR="00603EF5" w:rsidRPr="006B495B">
        <w:rPr>
          <w:vertAlign w:val="subscript"/>
          <w:lang w:val="en-US"/>
        </w:rPr>
        <w:t>1/2</w:t>
      </w:r>
      <w:r w:rsidR="00603EF5" w:rsidRPr="009440AD">
        <w:rPr>
          <w:lang w:val="en-US"/>
        </w:rPr>
        <w:t xml:space="preserve"> </w:t>
      </w:r>
      <w:r w:rsidR="00603EF5" w:rsidRPr="009440AD">
        <w:rPr>
          <w:lang w:val="en-US"/>
        </w:rPr>
        <w:lastRenderedPageBreak/>
        <w:t>(Tab.</w:t>
      </w:r>
      <w:r w:rsidR="009440AD">
        <w:rPr>
          <w:lang w:val="en-US"/>
        </w:rPr>
        <w:t> </w:t>
      </w:r>
      <w:r w:rsidR="00603EF5" w:rsidRPr="009440AD">
        <w:rPr>
          <w:lang w:val="en-US"/>
        </w:rPr>
        <w:t xml:space="preserve">2). </w:t>
      </w:r>
      <w:r w:rsidR="00102496" w:rsidRPr="009440AD">
        <w:rPr>
          <w:lang w:val="en-US"/>
        </w:rPr>
        <w:t>Surprisingly, there was no correlation between lipophilicity of a drug and the clinically observed age-related changes in the volume of distribution</w:t>
      </w:r>
      <w:r w:rsidR="00146385" w:rsidRPr="009440AD">
        <w:rPr>
          <w:lang w:val="en-US"/>
        </w:rPr>
        <w:t xml:space="preserve"> (Fig. </w:t>
      </w:r>
      <w:r w:rsidR="00036D47">
        <w:rPr>
          <w:lang w:val="en-US"/>
        </w:rPr>
        <w:t xml:space="preserve">7 and </w:t>
      </w:r>
      <w:r w:rsidR="004227D5">
        <w:rPr>
          <w:lang w:val="en-US"/>
        </w:rPr>
        <w:t>9</w:t>
      </w:r>
      <w:r w:rsidR="00146385" w:rsidRPr="009440AD">
        <w:rPr>
          <w:lang w:val="en-US"/>
        </w:rPr>
        <w:t>)</w:t>
      </w:r>
      <w:r w:rsidR="00102496" w:rsidRPr="009440AD">
        <w:rPr>
          <w:lang w:val="en-US"/>
        </w:rPr>
        <w:t>.</w:t>
      </w:r>
      <w:r w:rsidR="00897D4A" w:rsidRPr="009440AD">
        <w:rPr>
          <w:lang w:val="en-US"/>
        </w:rPr>
        <w:t xml:space="preserve"> </w:t>
      </w:r>
      <w:bookmarkStart w:id="18" w:name="_Hlk16583878"/>
      <w:r w:rsidR="00603EF5" w:rsidRPr="009440AD">
        <w:rPr>
          <w:lang w:val="en-US"/>
        </w:rPr>
        <w:t>Age-related changes of drug clearance were not impacted by the extend of protein</w:t>
      </w:r>
      <w:r w:rsidR="00603EF5" w:rsidRPr="005902A1">
        <w:rPr>
          <w:lang w:val="en-US"/>
        </w:rPr>
        <w:t xml:space="preserve"> binding (Tab. 2) or </w:t>
      </w:r>
      <w:r w:rsidR="00897D4A" w:rsidRPr="0050587F">
        <w:rPr>
          <w:lang w:val="en-US"/>
        </w:rPr>
        <w:t xml:space="preserve">the main enzyme responsible for drug metabolism </w:t>
      </w:r>
      <w:r w:rsidR="00603EF5" w:rsidRPr="00540E3C">
        <w:rPr>
          <w:lang w:val="en-US"/>
        </w:rPr>
        <w:t>(p-value: 0.31)</w:t>
      </w:r>
      <w:r w:rsidR="00897D4A" w:rsidRPr="00540E3C">
        <w:rPr>
          <w:lang w:val="en-US"/>
        </w:rPr>
        <w:t xml:space="preserve">. In contrast, there was a linear correlation between hepatic blood flow and </w:t>
      </w:r>
      <w:r w:rsidR="00897D4A" w:rsidRPr="0065491D">
        <w:rPr>
          <w:lang w:val="en-US"/>
        </w:rPr>
        <w:t xml:space="preserve">the clearance of mainly hepatically cleared drugs </w:t>
      </w:r>
      <w:r w:rsidR="00603EF5" w:rsidRPr="0065491D">
        <w:rPr>
          <w:lang w:val="en-US"/>
        </w:rPr>
        <w:t xml:space="preserve">(correlation coefficient [95% CI]: 0.27 [0.05, 0.48], p-value = 0.02) </w:t>
      </w:r>
      <w:r w:rsidR="00897D4A" w:rsidRPr="009440AD">
        <w:rPr>
          <w:lang w:val="en-US"/>
        </w:rPr>
        <w:t xml:space="preserve">as well as a correlation between renal blood flow </w:t>
      </w:r>
      <w:r w:rsidR="00603EF5" w:rsidRPr="009440AD">
        <w:rPr>
          <w:lang w:val="en-US"/>
        </w:rPr>
        <w:t xml:space="preserve">(correlation coefficient [95% CI]: 0.60 [0.30, 0.79], p-value = 0.006) </w:t>
      </w:r>
      <w:r w:rsidR="00897D4A" w:rsidRPr="009440AD">
        <w:rPr>
          <w:lang w:val="en-US"/>
        </w:rPr>
        <w:t xml:space="preserve">and glomerular filtration rate </w:t>
      </w:r>
      <w:r w:rsidR="00603EF5" w:rsidRPr="009440AD">
        <w:rPr>
          <w:lang w:val="en-US"/>
        </w:rPr>
        <w:t xml:space="preserve">(correlation coefficient [95% CI]: 0.65 [0.38, 0.82], p-value = 0.001) </w:t>
      </w:r>
      <w:r w:rsidR="00897D4A" w:rsidRPr="009440AD">
        <w:rPr>
          <w:lang w:val="en-US"/>
        </w:rPr>
        <w:t>and the clearance of mainly renally cleared drugs</w:t>
      </w:r>
      <w:r w:rsidR="00540E3C">
        <w:rPr>
          <w:lang w:val="en-US"/>
        </w:rPr>
        <w:t xml:space="preserve"> (Fig. </w:t>
      </w:r>
      <w:r w:rsidR="004227D5">
        <w:rPr>
          <w:lang w:val="en-US"/>
        </w:rPr>
        <w:t>9</w:t>
      </w:r>
      <w:r w:rsidR="00540E3C">
        <w:rPr>
          <w:lang w:val="en-US"/>
        </w:rPr>
        <w:t>)</w:t>
      </w:r>
      <w:r w:rsidR="00897D4A" w:rsidRPr="00540E3C">
        <w:rPr>
          <w:lang w:val="en-US"/>
        </w:rPr>
        <w:t>.</w:t>
      </w:r>
      <w:bookmarkEnd w:id="18"/>
    </w:p>
    <w:p w14:paraId="479F65CB" w14:textId="77777777" w:rsidR="005268E6" w:rsidRPr="0065491D" w:rsidRDefault="005268E6" w:rsidP="002016E8">
      <w:pPr>
        <w:pStyle w:val="Heading1"/>
        <w:rPr>
          <w:lang w:val="en-US"/>
        </w:rPr>
      </w:pPr>
      <w:r w:rsidRPr="0065491D">
        <w:rPr>
          <w:lang w:val="en-US"/>
        </w:rPr>
        <w:lastRenderedPageBreak/>
        <w:t>Discussion</w:t>
      </w:r>
    </w:p>
    <w:p w14:paraId="49110712" w14:textId="2691C249" w:rsidR="00C53C2F" w:rsidRPr="009440AD" w:rsidRDefault="004805B4" w:rsidP="006136DA">
      <w:pPr>
        <w:rPr>
          <w:lang w:val="en-US"/>
        </w:rPr>
      </w:pPr>
      <w:r w:rsidRPr="009440AD">
        <w:rPr>
          <w:lang w:val="en-US"/>
        </w:rPr>
        <w:t>The elderly</w:t>
      </w:r>
      <w:r w:rsidR="003169F1" w:rsidRPr="009440AD">
        <w:rPr>
          <w:lang w:val="en-US"/>
        </w:rPr>
        <w:t xml:space="preserve"> population is</w:t>
      </w:r>
      <w:r w:rsidRPr="009440AD">
        <w:rPr>
          <w:lang w:val="en-US"/>
        </w:rPr>
        <w:t xml:space="preserve"> usually excluded from clinical </w:t>
      </w:r>
      <w:r w:rsidR="00162722" w:rsidRPr="009440AD">
        <w:rPr>
          <w:lang w:val="en-US"/>
        </w:rPr>
        <w:t>trials</w:t>
      </w:r>
      <w:r w:rsidRPr="009440AD">
        <w:rPr>
          <w:lang w:val="en-US"/>
        </w:rPr>
        <w:t xml:space="preserve"> resulting in a knowledge gap </w:t>
      </w:r>
      <w:r w:rsidR="0080061E" w:rsidRPr="009440AD">
        <w:rPr>
          <w:lang w:val="en-US"/>
        </w:rPr>
        <w:t xml:space="preserve">concerning </w:t>
      </w:r>
      <w:r w:rsidR="00F33B9C" w:rsidRPr="009440AD">
        <w:rPr>
          <w:lang w:val="en-US"/>
        </w:rPr>
        <w:t>the effect of adult age on drug pharmacokinetics</w:t>
      </w:r>
      <w:r w:rsidRPr="009440AD">
        <w:rPr>
          <w:lang w:val="en-US"/>
        </w:rPr>
        <w:t xml:space="preserve">. </w:t>
      </w:r>
      <w:r w:rsidR="0013628F" w:rsidRPr="009440AD">
        <w:rPr>
          <w:lang w:val="en-US"/>
        </w:rPr>
        <w:t xml:space="preserve">In this study, the pharmacokinetics of </w:t>
      </w:r>
      <w:r w:rsidR="0062135C" w:rsidRPr="009440AD">
        <w:rPr>
          <w:lang w:val="en-US"/>
        </w:rPr>
        <w:t>ten</w:t>
      </w:r>
      <w:r w:rsidR="0013628F" w:rsidRPr="009440AD">
        <w:rPr>
          <w:lang w:val="en-US"/>
        </w:rPr>
        <w:t xml:space="preserve"> </w:t>
      </w:r>
      <w:r w:rsidR="00951108" w:rsidRPr="009440AD">
        <w:rPr>
          <w:lang w:val="en-US"/>
        </w:rPr>
        <w:t>d</w:t>
      </w:r>
      <w:r w:rsidR="0013628F" w:rsidRPr="009440AD">
        <w:rPr>
          <w:lang w:val="en-US"/>
        </w:rPr>
        <w:t xml:space="preserve">rugs </w:t>
      </w:r>
      <w:r w:rsidR="003F7AAC" w:rsidRPr="009440AD">
        <w:rPr>
          <w:lang w:val="en-US"/>
        </w:rPr>
        <w:t xml:space="preserve">that are </w:t>
      </w:r>
      <w:r w:rsidR="0013628F" w:rsidRPr="009440AD">
        <w:rPr>
          <w:lang w:val="en-US"/>
        </w:rPr>
        <w:t>metabolized and excreted through different pathways were successfully predicted in the elderly using a whole-body PBPK model</w:t>
      </w:r>
      <w:r w:rsidR="00930391" w:rsidRPr="009440AD">
        <w:rPr>
          <w:lang w:val="en-US"/>
        </w:rPr>
        <w:t xml:space="preserve"> </w:t>
      </w:r>
      <w:r w:rsidR="007E647C" w:rsidRPr="009440AD">
        <w:rPr>
          <w:lang w:val="en-US"/>
        </w:rPr>
        <w:t xml:space="preserve">demonstrating </w:t>
      </w:r>
      <w:r w:rsidR="00930391" w:rsidRPr="009440AD">
        <w:rPr>
          <w:lang w:val="en-US"/>
        </w:rPr>
        <w:t xml:space="preserve">the predictive power of </w:t>
      </w:r>
      <w:r w:rsidR="008C289C" w:rsidRPr="009440AD">
        <w:rPr>
          <w:lang w:val="en-US"/>
        </w:rPr>
        <w:t>the</w:t>
      </w:r>
      <w:r w:rsidR="007E647C" w:rsidRPr="009440AD">
        <w:rPr>
          <w:lang w:val="en-US"/>
        </w:rPr>
        <w:t xml:space="preserve"> </w:t>
      </w:r>
      <w:r w:rsidR="00930391" w:rsidRPr="009440AD">
        <w:rPr>
          <w:lang w:val="en-US"/>
        </w:rPr>
        <w:t xml:space="preserve">PBPK approach to </w:t>
      </w:r>
      <w:r w:rsidR="007E647C" w:rsidRPr="009440AD">
        <w:rPr>
          <w:lang w:val="en-US"/>
        </w:rPr>
        <w:t xml:space="preserve">investigate and </w:t>
      </w:r>
      <w:r w:rsidR="00930391" w:rsidRPr="009440AD">
        <w:rPr>
          <w:lang w:val="en-US"/>
        </w:rPr>
        <w:t>predict drug disposition in special populations</w:t>
      </w:r>
      <w:r w:rsidR="0013628F" w:rsidRPr="009440AD">
        <w:rPr>
          <w:lang w:val="en-US"/>
        </w:rPr>
        <w:t xml:space="preserve">. </w:t>
      </w:r>
      <w:r w:rsidR="00A60ACE" w:rsidRPr="009440AD">
        <w:rPr>
          <w:lang w:val="en-US"/>
        </w:rPr>
        <w:t xml:space="preserve">The conducted virtual trials across adulthood </w:t>
      </w:r>
      <w:r w:rsidR="007E647C" w:rsidRPr="009440AD">
        <w:rPr>
          <w:lang w:val="en-US"/>
        </w:rPr>
        <w:t>elucidated that</w:t>
      </w:r>
      <w:r w:rsidR="00A60ACE" w:rsidRPr="009440AD">
        <w:rPr>
          <w:lang w:val="en-US"/>
        </w:rPr>
        <w:t xml:space="preserve"> </w:t>
      </w:r>
      <w:r w:rsidR="005A25AB" w:rsidRPr="009440AD">
        <w:rPr>
          <w:lang w:val="en-US"/>
        </w:rPr>
        <w:t xml:space="preserve">an increase in </w:t>
      </w:r>
      <w:r w:rsidR="00A60ACE" w:rsidRPr="009440AD">
        <w:rPr>
          <w:lang w:val="en-US"/>
        </w:rPr>
        <w:t>AUC</w:t>
      </w:r>
      <w:r w:rsidR="005A25AB" w:rsidRPr="009440AD">
        <w:rPr>
          <w:lang w:val="en-US"/>
        </w:rPr>
        <w:t xml:space="preserve"> of 0.9% per year </w:t>
      </w:r>
      <w:r w:rsidR="00897D4A" w:rsidRPr="009440AD">
        <w:rPr>
          <w:lang w:val="en-US"/>
        </w:rPr>
        <w:t xml:space="preserve">from the age of 20 years </w:t>
      </w:r>
      <w:r w:rsidR="005A25AB" w:rsidRPr="009440AD">
        <w:rPr>
          <w:lang w:val="en-US"/>
        </w:rPr>
        <w:t xml:space="preserve">is mainly determined by decreased drug </w:t>
      </w:r>
      <w:r w:rsidR="00B070F9" w:rsidRPr="009440AD">
        <w:rPr>
          <w:lang w:val="en-US"/>
        </w:rPr>
        <w:t>clearance</w:t>
      </w:r>
      <w:r w:rsidR="002F092D" w:rsidRPr="009440AD">
        <w:rPr>
          <w:lang w:val="en-US"/>
        </w:rPr>
        <w:t xml:space="preserve">, which itself is caused by a </w:t>
      </w:r>
      <w:r w:rsidR="00A60ACE" w:rsidRPr="009440AD">
        <w:rPr>
          <w:lang w:val="en-US"/>
        </w:rPr>
        <w:t>progressive decrease of hepatic and renal blood flow</w:t>
      </w:r>
      <w:r w:rsidR="005A25AB" w:rsidRPr="009440AD">
        <w:rPr>
          <w:lang w:val="en-US"/>
        </w:rPr>
        <w:t>,</w:t>
      </w:r>
      <w:r w:rsidR="00A60ACE" w:rsidRPr="009440AD">
        <w:rPr>
          <w:lang w:val="en-US"/>
        </w:rPr>
        <w:t xml:space="preserve"> and glomerular filtration rate</w:t>
      </w:r>
      <w:r w:rsidR="002F092D" w:rsidRPr="009440AD">
        <w:rPr>
          <w:lang w:val="en-US"/>
        </w:rPr>
        <w:t>. Those physiological changes</w:t>
      </w:r>
      <w:r w:rsidR="00A60ACE" w:rsidRPr="009440AD">
        <w:rPr>
          <w:lang w:val="en-US"/>
        </w:rPr>
        <w:t xml:space="preserve"> </w:t>
      </w:r>
      <w:r w:rsidR="005A25AB" w:rsidRPr="009440AD">
        <w:rPr>
          <w:lang w:val="en-US"/>
        </w:rPr>
        <w:t>driv</w:t>
      </w:r>
      <w:r w:rsidR="002F092D" w:rsidRPr="009440AD">
        <w:rPr>
          <w:lang w:val="en-US"/>
        </w:rPr>
        <w:t>e</w:t>
      </w:r>
      <w:r w:rsidR="00A60ACE" w:rsidRPr="009440AD">
        <w:rPr>
          <w:lang w:val="en-US"/>
        </w:rPr>
        <w:t xml:space="preserve"> age-dependent drug exposure changes in the elderly </w:t>
      </w:r>
      <w:r w:rsidR="005A25AB" w:rsidRPr="009440AD">
        <w:rPr>
          <w:lang w:val="en-US"/>
        </w:rPr>
        <w:t>independent of the drug</w:t>
      </w:r>
      <w:r w:rsidR="00897D4A" w:rsidRPr="009440AD">
        <w:rPr>
          <w:lang w:val="en-US"/>
        </w:rPr>
        <w:t xml:space="preserve"> as shown by sensitivity analysis and clinically observed data of 52 drugs</w:t>
      </w:r>
      <w:r w:rsidR="009440AD">
        <w:rPr>
          <w:lang w:val="en-US"/>
        </w:rPr>
        <w:t xml:space="preserve"> additionally collected</w:t>
      </w:r>
      <w:r w:rsidR="005A25AB" w:rsidRPr="009440AD">
        <w:rPr>
          <w:lang w:val="en-US"/>
        </w:rPr>
        <w:t xml:space="preserve">. </w:t>
      </w:r>
    </w:p>
    <w:p w14:paraId="2D490DB7" w14:textId="77777777" w:rsidR="00B33689" w:rsidRPr="005902A1" w:rsidRDefault="00B33689" w:rsidP="006136DA">
      <w:pPr>
        <w:rPr>
          <w:lang w:val="en-US"/>
        </w:rPr>
      </w:pPr>
    </w:p>
    <w:p w14:paraId="669FE697" w14:textId="6E836AE9" w:rsidR="004B7EFC" w:rsidRPr="009440AD" w:rsidRDefault="00C56536" w:rsidP="006136DA">
      <w:pPr>
        <w:rPr>
          <w:lang w:val="en-US"/>
        </w:rPr>
      </w:pPr>
      <w:r w:rsidRPr="00540E3C">
        <w:rPr>
          <w:lang w:val="en-US"/>
        </w:rPr>
        <w:t>P</w:t>
      </w:r>
      <w:r w:rsidR="00FC6BEC" w:rsidRPr="00540E3C">
        <w:rPr>
          <w:lang w:val="en-US"/>
        </w:rPr>
        <w:t xml:space="preserve">redictions from our developed PBPK models </w:t>
      </w:r>
      <w:r w:rsidRPr="00540E3C">
        <w:rPr>
          <w:lang w:val="en-US"/>
        </w:rPr>
        <w:t xml:space="preserve">for all investigated drugs </w:t>
      </w:r>
      <w:r w:rsidR="00FC6BEC" w:rsidRPr="00540E3C">
        <w:rPr>
          <w:lang w:val="en-US"/>
        </w:rPr>
        <w:t>compare</w:t>
      </w:r>
      <w:r w:rsidR="00FC6BEC" w:rsidRPr="00D908E3">
        <w:rPr>
          <w:lang w:val="en-US"/>
        </w:rPr>
        <w:t xml:space="preserve">d </w:t>
      </w:r>
      <w:r w:rsidR="00FC6BEC" w:rsidRPr="00774EE3">
        <w:rPr>
          <w:lang w:val="en-US"/>
        </w:rPr>
        <w:t>well to observed clinical data</w:t>
      </w:r>
      <w:r w:rsidR="009457C7" w:rsidRPr="0065491D">
        <w:rPr>
          <w:lang w:val="en-US"/>
        </w:rPr>
        <w:t xml:space="preserve"> based on visual inspection</w:t>
      </w:r>
      <w:r w:rsidR="00B47697" w:rsidRPr="0065491D">
        <w:rPr>
          <w:lang w:val="en-US"/>
        </w:rPr>
        <w:t>.</w:t>
      </w:r>
      <w:r w:rsidR="00FC6BEC" w:rsidRPr="0065491D">
        <w:rPr>
          <w:lang w:val="en-US"/>
        </w:rPr>
        <w:t xml:space="preserve"> </w:t>
      </w:r>
      <w:r w:rsidR="00671CB7" w:rsidRPr="0065491D">
        <w:rPr>
          <w:lang w:val="en-US"/>
        </w:rPr>
        <w:t>In all cases, clinical data in the elderly were quite sparse.</w:t>
      </w:r>
      <w:r w:rsidR="00B070F9" w:rsidRPr="009440AD">
        <w:rPr>
          <w:lang w:val="en-US"/>
        </w:rPr>
        <w:t xml:space="preserve"> The </w:t>
      </w:r>
      <w:r w:rsidR="0044562C" w:rsidRPr="009440AD">
        <w:rPr>
          <w:lang w:val="en-US"/>
        </w:rPr>
        <w:t xml:space="preserve">predicted decline in midazolam clearance with age </w:t>
      </w:r>
      <w:r w:rsidR="000D7E13" w:rsidRPr="009440AD">
        <w:rPr>
          <w:lang w:val="en-US"/>
        </w:rPr>
        <w:t>(i.e. -</w:t>
      </w:r>
      <w:r w:rsidR="008D7346" w:rsidRPr="009440AD">
        <w:rPr>
          <w:lang w:val="en-US"/>
        </w:rPr>
        <w:t>21</w:t>
      </w:r>
      <w:r w:rsidR="000D7E13" w:rsidRPr="009440AD">
        <w:rPr>
          <w:lang w:val="en-US"/>
        </w:rPr>
        <w:t>% by the age of 85 years</w:t>
      </w:r>
      <w:r w:rsidR="008D7346" w:rsidRPr="009440AD">
        <w:rPr>
          <w:lang w:val="en-US"/>
        </w:rPr>
        <w:t xml:space="preserve"> when clearance is corrected by body weight</w:t>
      </w:r>
      <w:r w:rsidR="000D7E13" w:rsidRPr="009440AD">
        <w:rPr>
          <w:lang w:val="en-US"/>
        </w:rPr>
        <w:t xml:space="preserve">) </w:t>
      </w:r>
      <w:r w:rsidR="0044562C" w:rsidRPr="009440AD">
        <w:rPr>
          <w:lang w:val="en-US"/>
        </w:rPr>
        <w:t xml:space="preserve">is in agreement with the result of </w:t>
      </w:r>
      <w:proofErr w:type="spellStart"/>
      <w:r w:rsidR="0044562C" w:rsidRPr="009440AD">
        <w:rPr>
          <w:lang w:val="en-US"/>
        </w:rPr>
        <w:t>Polasek</w:t>
      </w:r>
      <w:proofErr w:type="spellEnd"/>
      <w:r w:rsidR="0044562C" w:rsidRPr="009440AD">
        <w:rPr>
          <w:lang w:val="en-US"/>
        </w:rPr>
        <w:t xml:space="preserve"> </w:t>
      </w:r>
      <w:r w:rsidR="0044562C" w:rsidRPr="009440AD">
        <w:rPr>
          <w:i/>
          <w:lang w:val="en-US"/>
        </w:rPr>
        <w:t>et al.</w:t>
      </w:r>
      <w:r w:rsidR="0044562C" w:rsidRPr="009440AD">
        <w:rPr>
          <w:lang w:val="en-US"/>
        </w:rPr>
        <w:t xml:space="preserve"> </w:t>
      </w:r>
      <w:r w:rsidR="0044562C" w:rsidRPr="009440AD">
        <w:rPr>
          <w:lang w:val="en-US"/>
        </w:rPr>
        <w:fldChar w:fldCharType="begin"/>
      </w:r>
      <w:r w:rsidR="009A6D4E" w:rsidRPr="009440AD">
        <w:rPr>
          <w:lang w:val="en-US"/>
        </w:rPr>
        <w:instrText xml:space="preserve"> ADDIN EN.CITE &lt;EndNote&gt;&lt;Cite&gt;&lt;Author&gt;Polasek&lt;/Author&gt;&lt;Year&gt;2013&lt;/Year&gt;&lt;RecNum&gt;98&lt;/RecNum&gt;&lt;DisplayText&gt;[7]&lt;/DisplayText&gt;&lt;record&gt;&lt;rec-number&gt;98&lt;/rec-number&gt;&lt;foreign-keys&gt;&lt;key app="EN" db-id="vawz9xpv5prvt3ed92pxtvpjzzf095ze0r5f" timestamp="1487061657"&gt;98&lt;/key&gt;&lt;/foreign-keys&gt;&lt;ref-type name="Journal Article"&gt;17&lt;/ref-type&gt;&lt;contributors&gt;&lt;authors&gt;&lt;author&gt;Polasek, Thomas M&lt;/author&gt;&lt;author&gt;Patel, Farhaan&lt;/author&gt;&lt;author&gt;Jensen, Berit P&lt;/author&gt;&lt;author&gt;Sorich, Michael J&lt;/author&gt;&lt;author&gt;Wiese, Michael D&lt;/author&gt;&lt;author&gt;Doogue, Matthew P&lt;/author&gt;&lt;/authors&gt;&lt;/contributors&gt;&lt;titles&gt;&lt;title&gt;Predicted metabolic drug clearance with increasing adult age&lt;/title&gt;&lt;secondary-title&gt;British Journal of Clinical Pharmacology&lt;/secondary-title&gt;&lt;/titles&gt;&lt;periodical&gt;&lt;full-title&gt;British journal of clinical pharmacology&lt;/full-title&gt;&lt;/periodical&gt;&lt;pages&gt;1019-1028&lt;/pages&gt;&lt;volume&gt;75&lt;/volume&gt;&lt;number&gt;4&lt;/number&gt;&lt;keywords&gt;&lt;keyword&gt;PBPK&lt;/keyword&gt;&lt;keyword&gt;geriatric&lt;/keyword&gt;&lt;keyword&gt;CL prediction&lt;/keyword&gt;&lt;/keywords&gt;&lt;dates&gt;&lt;year&gt;2013&lt;/year&gt;&lt;/dates&gt;&lt;isbn&gt;1365-2125&lt;/isbn&gt;&lt;urls&gt;&lt;/urls&gt;&lt;/record&gt;&lt;/Cite&gt;&lt;/EndNote&gt;</w:instrText>
      </w:r>
      <w:r w:rsidR="0044562C" w:rsidRPr="009440AD">
        <w:rPr>
          <w:lang w:val="en-US"/>
        </w:rPr>
        <w:fldChar w:fldCharType="separate"/>
      </w:r>
      <w:r w:rsidR="009A6D4E" w:rsidRPr="009440AD">
        <w:rPr>
          <w:noProof/>
          <w:lang w:val="en-US"/>
        </w:rPr>
        <w:t>[7]</w:t>
      </w:r>
      <w:r w:rsidR="0044562C" w:rsidRPr="009440AD">
        <w:rPr>
          <w:lang w:val="en-US"/>
        </w:rPr>
        <w:fldChar w:fldCharType="end"/>
      </w:r>
      <w:r w:rsidR="0044562C" w:rsidRPr="009440AD">
        <w:rPr>
          <w:lang w:val="en-US"/>
        </w:rPr>
        <w:t xml:space="preserve">, who investigated the influence of adult age on drugs being metabolized by a dominant hepatic CYP enzyme. Age-dependent pharmacokinetics of metoprolol have </w:t>
      </w:r>
      <w:r w:rsidR="00FC6BEC" w:rsidRPr="009440AD">
        <w:rPr>
          <w:lang w:val="en-US"/>
        </w:rPr>
        <w:t xml:space="preserve">previously </w:t>
      </w:r>
      <w:r w:rsidR="0044562C" w:rsidRPr="009440AD">
        <w:rPr>
          <w:lang w:val="en-US"/>
        </w:rPr>
        <w:t xml:space="preserve">been investigated in three different studies </w:t>
      </w:r>
      <w:r w:rsidR="00084953" w:rsidRPr="009440AD">
        <w:rPr>
          <w:lang w:val="en-US"/>
        </w:rPr>
        <w:t>with contradictory findings</w:t>
      </w:r>
      <w:r w:rsidR="0044562C" w:rsidRPr="009440AD">
        <w:rPr>
          <w:lang w:val="en-US"/>
        </w:rPr>
        <w:t>. Kendall</w:t>
      </w:r>
      <w:r w:rsidR="0070083A" w:rsidRPr="009440AD">
        <w:rPr>
          <w:lang w:val="en-US"/>
        </w:rPr>
        <w:t xml:space="preserve"> </w:t>
      </w:r>
      <w:r w:rsidR="0070083A" w:rsidRPr="009440AD">
        <w:rPr>
          <w:i/>
          <w:lang w:val="en-US"/>
        </w:rPr>
        <w:t>et al</w:t>
      </w:r>
      <w:r w:rsidR="0070083A" w:rsidRPr="009440AD">
        <w:rPr>
          <w:lang w:val="en-US"/>
        </w:rPr>
        <w:t>.</w:t>
      </w:r>
      <w:r w:rsidR="0044562C" w:rsidRPr="009440AD">
        <w:rPr>
          <w:lang w:val="en-US"/>
        </w:rPr>
        <w:t xml:space="preserve"> found a decline in clearance by 60% </w:t>
      </w:r>
      <w:r w:rsidR="0044562C" w:rsidRPr="009440AD">
        <w:rPr>
          <w:lang w:val="en-US"/>
        </w:rPr>
        <w:fldChar w:fldCharType="begin"/>
      </w:r>
      <w:r w:rsidR="00BC4B32" w:rsidRPr="009440AD">
        <w:rPr>
          <w:lang w:val="en-US"/>
        </w:rPr>
        <w:instrText xml:space="preserve"> ADDIN EN.CITE &lt;EndNote&gt;&lt;Cite&gt;&lt;Author&gt;Kendall&lt;/Author&gt;&lt;Year&gt;1977&lt;/Year&gt;&lt;RecNum&gt;1057&lt;/RecNum&gt;&lt;DisplayText&gt;[26]&lt;/DisplayText&gt;&lt;record&gt;&lt;rec-number&gt;1057&lt;/rec-number&gt;&lt;foreign-keys&gt;&lt;key app="EN" db-id="vawz9xpv5prvt3ed92pxtvpjzzf095ze0r5f" timestamp="1517486149"&gt;1057&lt;/key&gt;&lt;/foreign-keys&gt;&lt;ref-type name="Journal Article"&gt;17&lt;/ref-type&gt;&lt;contributors&gt;&lt;authors&gt;&lt;author&gt;Kendall, MJ&lt;/author&gt;&lt;author&gt;Brown, D&lt;/author&gt;&lt;author&gt;Yates, RA&lt;/author&gt;&lt;/authors&gt;&lt;/contributors&gt;&lt;titles&gt;&lt;title&gt;Plasma metoprolol concentrations in young, old and hypertensive subjects&lt;/title&gt;&lt;secondary-title&gt;British Journal of Clinical Pharmacology&lt;/secondary-title&gt;&lt;/titles&gt;&lt;periodical&gt;&lt;full-title&gt;British journal of clinical pharmacology&lt;/full-title&gt;&lt;/periodical&gt;&lt;pages&gt;497-499&lt;/pages&gt;&lt;volume&gt;4&lt;/volume&gt;&lt;number&gt;4&lt;/number&gt;&lt;keywords&gt;&lt;keyword&gt;geriatric&lt;/keyword&gt;&lt;keyword&gt;PK&lt;/keyword&gt;&lt;keyword&gt;metoprolol&lt;/keyword&gt;&lt;/keywords&gt;&lt;dates&gt;&lt;year&gt;1977&lt;/year&gt;&lt;/dates&gt;&lt;isbn&gt;1365-2125&lt;/isbn&gt;&lt;urls&gt;&lt;/urls&gt;&lt;/record&gt;&lt;/Cite&gt;&lt;/EndNote&gt;</w:instrText>
      </w:r>
      <w:r w:rsidR="0044562C" w:rsidRPr="009440AD">
        <w:rPr>
          <w:lang w:val="en-US"/>
        </w:rPr>
        <w:fldChar w:fldCharType="separate"/>
      </w:r>
      <w:r w:rsidR="00BC4B32" w:rsidRPr="009440AD">
        <w:rPr>
          <w:noProof/>
          <w:lang w:val="en-US"/>
        </w:rPr>
        <w:t>[26]</w:t>
      </w:r>
      <w:r w:rsidR="0044562C" w:rsidRPr="009440AD">
        <w:rPr>
          <w:lang w:val="en-US"/>
        </w:rPr>
        <w:fldChar w:fldCharType="end"/>
      </w:r>
      <w:r w:rsidR="0044562C" w:rsidRPr="009440AD">
        <w:rPr>
          <w:lang w:val="en-US"/>
        </w:rPr>
        <w:t xml:space="preserve">, which </w:t>
      </w:r>
      <w:r w:rsidR="00084953" w:rsidRPr="009440AD">
        <w:rPr>
          <w:lang w:val="en-US"/>
        </w:rPr>
        <w:t>could be explained through</w:t>
      </w:r>
      <w:r w:rsidR="0044562C" w:rsidRPr="009440AD">
        <w:rPr>
          <w:lang w:val="en-US"/>
        </w:rPr>
        <w:t xml:space="preserve"> the age-dependent changes in liver weight and hepatic blood flow </w:t>
      </w:r>
      <w:r w:rsidR="0044562C" w:rsidRPr="009440AD">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00586DDA" w:rsidRPr="009440AD">
        <w:rPr>
          <w:lang w:val="en-US"/>
        </w:rPr>
        <w:instrText xml:space="preserve"> ADDIN EN.CITE </w:instrText>
      </w:r>
      <w:r w:rsidR="00586DDA" w:rsidRPr="006B495B">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00586DDA" w:rsidRPr="009440AD">
        <w:rPr>
          <w:lang w:val="en-US"/>
        </w:rPr>
        <w:instrText xml:space="preserve"> ADDIN EN.CITE.DATA </w:instrText>
      </w:r>
      <w:r w:rsidR="00586DDA" w:rsidRPr="006B495B">
        <w:rPr>
          <w:lang w:val="en-US"/>
        </w:rPr>
      </w:r>
      <w:r w:rsidR="00586DDA" w:rsidRPr="006B495B">
        <w:rPr>
          <w:lang w:val="en-US"/>
        </w:rPr>
        <w:fldChar w:fldCharType="end"/>
      </w:r>
      <w:r w:rsidR="0044562C" w:rsidRPr="009440AD">
        <w:rPr>
          <w:lang w:val="en-US"/>
        </w:rPr>
      </w:r>
      <w:r w:rsidR="0044562C" w:rsidRPr="009440AD">
        <w:rPr>
          <w:lang w:val="en-US"/>
        </w:rPr>
        <w:fldChar w:fldCharType="separate"/>
      </w:r>
      <w:r w:rsidR="00D017C6" w:rsidRPr="009440AD">
        <w:rPr>
          <w:noProof/>
          <w:lang w:val="en-US"/>
        </w:rPr>
        <w:t>[6]</w:t>
      </w:r>
      <w:r w:rsidR="0044562C" w:rsidRPr="009440AD">
        <w:rPr>
          <w:lang w:val="en-US"/>
        </w:rPr>
        <w:fldChar w:fldCharType="end"/>
      </w:r>
      <w:r w:rsidR="0044562C" w:rsidRPr="009440AD">
        <w:rPr>
          <w:lang w:val="en-US"/>
        </w:rPr>
        <w:t xml:space="preserve">, but two other studies reported a higher clearance in the elderly </w:t>
      </w:r>
      <w:r w:rsidR="0067201F" w:rsidRPr="009440AD">
        <w:rPr>
          <w:lang w:val="en-US"/>
        </w:rPr>
        <w:t xml:space="preserve">compared to young study participants </w:t>
      </w:r>
      <w:r w:rsidR="0044562C" w:rsidRPr="009440AD">
        <w:rPr>
          <w:lang w:val="en-US"/>
        </w:rPr>
        <w:fldChar w:fldCharType="begin"/>
      </w:r>
      <w:r w:rsidR="00AB3317">
        <w:rPr>
          <w:lang w:val="en-US"/>
        </w:rPr>
        <w:instrText xml:space="preserve"> ADDIN EN.CITE &lt;EndNote&gt;&lt;Cite&gt;&lt;Author&gt;Quarterman&lt;/Author&gt;&lt;Year&gt;1981&lt;/Year&gt;&lt;RecNum&gt;1053&lt;/RecNum&gt;&lt;DisplayText&gt;[36, 44]&lt;/DisplayText&gt;&lt;record&gt;&lt;rec-number&gt;1053&lt;/rec-number&gt;&lt;foreign-keys&gt;&lt;key app="EN" db-id="vawz9xpv5prvt3ed92pxtvpjzzf095ze0r5f" timestamp="1516985018"&gt;1053&lt;/key&gt;&lt;/foreign-keys&gt;&lt;ref-type name="Journal Article"&gt;17&lt;/ref-type&gt;&lt;contributors&gt;&lt;authors&gt;&lt;author&gt;Quarterman, CP&lt;/author&gt;&lt;author&gt;Kendall, MJ&lt;/author&gt;&lt;author&gt;Jack, DB&lt;/author&gt;&lt;/authors&gt;&lt;/contributors&gt;&lt;titles&gt;&lt;title&gt;The effect of age on the pharmacokinetics of metoprolol and its metabolites&lt;/title&gt;&lt;secondary-title&gt;British Journal of Clinical Pharmacology&lt;/secondary-title&gt;&lt;/titles&gt;&lt;periodical&gt;&lt;full-title&gt;British journal of clinical pharmacology&lt;/full-title&gt;&lt;/periodical&gt;&lt;pages&gt;287-294&lt;/pages&gt;&lt;volume&gt;11&lt;/volume&gt;&lt;number&gt;3&lt;/number&gt;&lt;keywords&gt;&lt;keyword&gt;geriatric&lt;/keyword&gt;&lt;keyword&gt;PK&lt;/keyword&gt;&lt;keyword&gt;metoprolol&lt;/keyword&gt;&lt;/keywords&gt;&lt;dates&gt;&lt;year&gt;1981&lt;/year&gt;&lt;/dates&gt;&lt;isbn&gt;1365-2125&lt;/isbn&gt;&lt;urls&gt;&lt;/urls&gt;&lt;/record&gt;&lt;/Cite&gt;&lt;Cite&gt;&lt;Author&gt;Regårdh&lt;/Author&gt;&lt;Year&gt;1983&lt;/Year&gt;&lt;RecNum&gt;1054&lt;/RecNum&gt;&lt;record&gt;&lt;rec-number&gt;1054&lt;/rec-number&gt;&lt;foreign-keys&gt;&lt;key app="EN" db-id="vawz9xpv5prvt3ed92pxtvpjzzf095ze0r5f" timestamp="1516985026"&gt;1054&lt;/key&gt;&lt;/foreign-keys&gt;&lt;ref-type name="Journal Article"&gt;17&lt;/ref-type&gt;&lt;contributors&gt;&lt;authors&gt;&lt;author&gt;Regårdh, CG&lt;/author&gt;&lt;author&gt;Landahl, S&lt;/author&gt;&lt;author&gt;Larsson, M&lt;/author&gt;&lt;author&gt;Lundborg, P&lt;/author&gt;&lt;author&gt;Steen, B&lt;/author&gt;&lt;author&gt;Hoffmann, K-J&lt;/author&gt;&lt;author&gt;Lagerström, P-O&lt;/author&gt;&lt;/authors&gt;&lt;/contributors&gt;&lt;titles&gt;&lt;title&gt;Pharmacokinetics of metoprolol and its metabolite α-OH-metoprolol in healthy, non-smoking, elderly individuals&lt;/title&gt;&lt;secondary-title&gt;European Journal of Clinical Pharmacology&lt;/secondary-title&gt;&lt;/titles&gt;&lt;periodical&gt;&lt;full-title&gt;European journal of clinical pharmacology&lt;/full-title&gt;&lt;/periodical&gt;&lt;pages&gt;221-226&lt;/pages&gt;&lt;volume&gt;24&lt;/volume&gt;&lt;number&gt;2&lt;/number&gt;&lt;keywords&gt;&lt;keyword&gt;geriatric&lt;/keyword&gt;&lt;keyword&gt;PK&lt;/keyword&gt;&lt;keyword&gt;metoprolol&lt;/keyword&gt;&lt;/keywords&gt;&lt;dates&gt;&lt;year&gt;1983&lt;/year&gt;&lt;/dates&gt;&lt;isbn&gt;0031-6970&lt;/isbn&gt;&lt;urls&gt;&lt;/urls&gt;&lt;/record&gt;&lt;/Cite&gt;&lt;/EndNote&gt;</w:instrText>
      </w:r>
      <w:r w:rsidR="0044562C" w:rsidRPr="009440AD">
        <w:rPr>
          <w:lang w:val="en-US"/>
        </w:rPr>
        <w:fldChar w:fldCharType="separate"/>
      </w:r>
      <w:r w:rsidR="00AB3317">
        <w:rPr>
          <w:noProof/>
          <w:lang w:val="en-US"/>
        </w:rPr>
        <w:t>[36, 44]</w:t>
      </w:r>
      <w:r w:rsidR="0044562C" w:rsidRPr="009440AD">
        <w:rPr>
          <w:lang w:val="en-US"/>
        </w:rPr>
        <w:fldChar w:fldCharType="end"/>
      </w:r>
      <w:r w:rsidR="0044562C" w:rsidRPr="009440AD">
        <w:rPr>
          <w:lang w:val="en-US"/>
        </w:rPr>
        <w:t xml:space="preserve">. Metoprolol is mainly </w:t>
      </w:r>
      <w:r w:rsidR="00F64273" w:rsidRPr="009440AD">
        <w:rPr>
          <w:lang w:val="en-US"/>
        </w:rPr>
        <w:t>metabolized</w:t>
      </w:r>
      <w:r w:rsidR="0044562C" w:rsidRPr="009440AD">
        <w:rPr>
          <w:lang w:val="en-US"/>
        </w:rPr>
        <w:t xml:space="preserve"> by CYP2D6, an enzyme with known </w:t>
      </w:r>
      <w:r w:rsidRPr="009440AD">
        <w:rPr>
          <w:lang w:val="en-US"/>
        </w:rPr>
        <w:t xml:space="preserve">genotypes </w:t>
      </w:r>
      <w:r w:rsidR="00EC0CA0" w:rsidRPr="009440AD">
        <w:rPr>
          <w:lang w:val="en-US"/>
        </w:rPr>
        <w:t xml:space="preserve">leading to </w:t>
      </w:r>
      <w:r w:rsidR="000E0DA0" w:rsidRPr="009440AD">
        <w:rPr>
          <w:lang w:val="en-US"/>
        </w:rPr>
        <w:t xml:space="preserve">distinct </w:t>
      </w:r>
      <w:r w:rsidR="00EC0CA0" w:rsidRPr="009440AD">
        <w:rPr>
          <w:lang w:val="en-US"/>
        </w:rPr>
        <w:t xml:space="preserve">drug metabolizing phenotypes </w:t>
      </w:r>
      <w:r w:rsidR="0044562C" w:rsidRPr="009440AD">
        <w:rPr>
          <w:lang w:val="en-US"/>
        </w:rPr>
        <w:t xml:space="preserve">that </w:t>
      </w:r>
      <w:r w:rsidR="00107DAA" w:rsidRPr="009440AD">
        <w:rPr>
          <w:lang w:val="en-US"/>
        </w:rPr>
        <w:t xml:space="preserve">could explain the observed variability </w:t>
      </w:r>
      <w:r w:rsidR="00107DAA" w:rsidRPr="009440AD">
        <w:rPr>
          <w:lang w:val="en-US"/>
        </w:rPr>
        <w:fldChar w:fldCharType="begin"/>
      </w:r>
      <w:r w:rsidR="008E484D" w:rsidRPr="009440AD">
        <w:rPr>
          <w:lang w:val="en-US"/>
        </w:rPr>
        <w:instrText xml:space="preserve"> ADDIN EN.CITE &lt;EndNote&gt;&lt;Cite&gt;&lt;Author&gt;Chetty&lt;/Author&gt;&lt;Year&gt;2014&lt;/Year&gt;&lt;RecNum&gt;1002&lt;/RecNum&gt;&lt;DisplayText&gt;[13]&lt;/DisplayText&gt;&lt;record&gt;&lt;rec-number&gt;1002&lt;/rec-number&gt;&lt;foreign-keys&gt;&lt;key app="EN" db-id="vawz9xpv5prvt3ed92pxtvpjzzf095ze0r5f" timestamp="1505221312"&gt;1002&lt;/key&gt;&lt;/foreign-keys&gt;&lt;ref-type name="Journal Article"&gt;17&lt;/ref-type&gt;&lt;contributors&gt;&lt;authors&gt;&lt;author&gt;Chetty, Manoranjenni&lt;/author&gt;&lt;author&gt;Rose, Rachel H&lt;/author&gt;&lt;author&gt;Abduljalil, Khaled&lt;/author&gt;&lt;author&gt;Patel, Nikunjkumar&lt;/author&gt;&lt;author&gt;Lu, Gaohua&lt;/author&gt;&lt;author&gt;Cain, Theresa&lt;/author&gt;&lt;author&gt;Jamei, Masoud&lt;/author&gt;&lt;author&gt;Rostami-Hodjegan, Amin&lt;/author&gt;&lt;/authors&gt;&lt;/contributors&gt;&lt;titles&gt;&lt;title&gt;Applications of linking PBPK and PD models to predict the impact of genotypic variability, formulation differences, differences in target binding capacity and target site drug concentrations on drug responses and variability&lt;/title&gt;&lt;secondary-title&gt;Frontiers in Pharmacology&lt;/secondary-title&gt;&lt;/titles&gt;&lt;periodical&gt;&lt;full-title&gt;Frontiers in pharmacology&lt;/full-title&gt;&lt;/periodical&gt;&lt;pages&gt;1-14&lt;/pages&gt;&lt;volume&gt;5&lt;/volume&gt;&lt;number&gt;258&lt;/number&gt;&lt;keywords&gt;&lt;keyword&gt;PBPK&lt;/keyword&gt;&lt;keyword&gt;drug models&lt;/keyword&gt;&lt;/keywords&gt;&lt;dates&gt;&lt;year&gt;2014&lt;/year&gt;&lt;/dates&gt;&lt;urls&gt;&lt;/urls&gt;&lt;/record&gt;&lt;/Cite&gt;&lt;/EndNote&gt;</w:instrText>
      </w:r>
      <w:r w:rsidR="00107DAA" w:rsidRPr="009440AD">
        <w:rPr>
          <w:lang w:val="en-US"/>
        </w:rPr>
        <w:fldChar w:fldCharType="separate"/>
      </w:r>
      <w:r w:rsidR="008E484D" w:rsidRPr="009440AD">
        <w:rPr>
          <w:noProof/>
          <w:lang w:val="en-US"/>
        </w:rPr>
        <w:t>[13]</w:t>
      </w:r>
      <w:r w:rsidR="00107DAA" w:rsidRPr="009440AD">
        <w:rPr>
          <w:lang w:val="en-US"/>
        </w:rPr>
        <w:fldChar w:fldCharType="end"/>
      </w:r>
      <w:r w:rsidR="00107DAA" w:rsidRPr="009440AD">
        <w:rPr>
          <w:lang w:val="en-US"/>
        </w:rPr>
        <w:t xml:space="preserve">. It would be of interest to </w:t>
      </w:r>
      <w:r w:rsidR="006412A2" w:rsidRPr="009440AD">
        <w:rPr>
          <w:lang w:val="en-US"/>
        </w:rPr>
        <w:t>conduct</w:t>
      </w:r>
      <w:r w:rsidR="00107DAA" w:rsidRPr="009440AD">
        <w:rPr>
          <w:lang w:val="en-US"/>
        </w:rPr>
        <w:t xml:space="preserve"> a clinical pharmacokinetic study for metoprolol in the elderly with genotyping CYP2D6 to adequately </w:t>
      </w:r>
      <w:r w:rsidR="00671B30" w:rsidRPr="005902A1">
        <w:rPr>
          <w:lang w:val="en-US"/>
        </w:rPr>
        <w:t>analyze</w:t>
      </w:r>
      <w:r w:rsidR="00107DAA" w:rsidRPr="0050587F">
        <w:rPr>
          <w:lang w:val="en-US"/>
        </w:rPr>
        <w:t xml:space="preserve"> the impact of age o</w:t>
      </w:r>
      <w:r w:rsidR="00162722" w:rsidRPr="00540E3C">
        <w:rPr>
          <w:lang w:val="en-US"/>
        </w:rPr>
        <w:t>n</w:t>
      </w:r>
      <w:r w:rsidR="00107DAA" w:rsidRPr="00540E3C">
        <w:rPr>
          <w:lang w:val="en-US"/>
        </w:rPr>
        <w:t xml:space="preserve"> metoprolol clearance</w:t>
      </w:r>
      <w:r w:rsidR="007343B7" w:rsidRPr="00540E3C">
        <w:rPr>
          <w:lang w:val="en-US"/>
        </w:rPr>
        <w:t xml:space="preserve">. </w:t>
      </w:r>
      <w:r w:rsidR="00FC6BEC" w:rsidRPr="00540E3C">
        <w:rPr>
          <w:lang w:val="en-US"/>
        </w:rPr>
        <w:t xml:space="preserve">We found </w:t>
      </w:r>
      <w:r w:rsidR="000E0DA0" w:rsidRPr="00540E3C">
        <w:rPr>
          <w:lang w:val="en-US"/>
        </w:rPr>
        <w:t>l</w:t>
      </w:r>
      <w:r w:rsidR="000E0DA0" w:rsidRPr="00D908E3">
        <w:rPr>
          <w:lang w:val="en-US"/>
        </w:rPr>
        <w:t xml:space="preserve">isinopril </w:t>
      </w:r>
      <w:r w:rsidR="00FC6BEC" w:rsidRPr="00774EE3">
        <w:rPr>
          <w:lang w:val="en-US"/>
        </w:rPr>
        <w:t xml:space="preserve">had </w:t>
      </w:r>
      <w:r w:rsidR="008F4E61" w:rsidRPr="00774EE3">
        <w:rPr>
          <w:lang w:val="en-US"/>
        </w:rPr>
        <w:t>the highest age-dependent impact on drug c</w:t>
      </w:r>
      <w:r w:rsidR="008F4E61" w:rsidRPr="0065491D">
        <w:rPr>
          <w:lang w:val="en-US"/>
        </w:rPr>
        <w:t xml:space="preserve">learance, </w:t>
      </w:r>
      <w:r w:rsidR="00084953" w:rsidRPr="0065491D">
        <w:rPr>
          <w:lang w:val="en-US"/>
        </w:rPr>
        <w:t>due to</w:t>
      </w:r>
      <w:r w:rsidR="008F4E61" w:rsidRPr="0065491D">
        <w:rPr>
          <w:lang w:val="en-US"/>
        </w:rPr>
        <w:t xml:space="preserve"> the </w:t>
      </w:r>
      <w:r w:rsidR="008D32D4" w:rsidRPr="009440AD">
        <w:rPr>
          <w:lang w:val="en-US"/>
        </w:rPr>
        <w:t xml:space="preserve">pronounced </w:t>
      </w:r>
      <w:r w:rsidR="008F4E61" w:rsidRPr="009440AD">
        <w:rPr>
          <w:lang w:val="en-US"/>
        </w:rPr>
        <w:t xml:space="preserve">age-dependent decline in glomerular filtration rate </w:t>
      </w:r>
      <w:r w:rsidR="008F4E61" w:rsidRPr="009440AD">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00586DDA" w:rsidRPr="009440AD">
        <w:rPr>
          <w:lang w:val="en-US"/>
        </w:rPr>
        <w:instrText xml:space="preserve"> ADDIN EN.CITE </w:instrText>
      </w:r>
      <w:r w:rsidR="00586DDA" w:rsidRPr="006B495B">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00586DDA" w:rsidRPr="009440AD">
        <w:rPr>
          <w:lang w:val="en-US"/>
        </w:rPr>
        <w:instrText xml:space="preserve"> ADDIN EN.CITE.DATA </w:instrText>
      </w:r>
      <w:r w:rsidR="00586DDA" w:rsidRPr="006B495B">
        <w:rPr>
          <w:lang w:val="en-US"/>
        </w:rPr>
      </w:r>
      <w:r w:rsidR="00586DDA" w:rsidRPr="006B495B">
        <w:rPr>
          <w:lang w:val="en-US"/>
        </w:rPr>
        <w:fldChar w:fldCharType="end"/>
      </w:r>
      <w:r w:rsidR="008F4E61" w:rsidRPr="009440AD">
        <w:rPr>
          <w:lang w:val="en-US"/>
        </w:rPr>
      </w:r>
      <w:r w:rsidR="008F4E61" w:rsidRPr="009440AD">
        <w:rPr>
          <w:lang w:val="en-US"/>
        </w:rPr>
        <w:fldChar w:fldCharType="separate"/>
      </w:r>
      <w:r w:rsidR="00D017C6" w:rsidRPr="009440AD">
        <w:rPr>
          <w:noProof/>
          <w:lang w:val="en-US"/>
        </w:rPr>
        <w:t>[6]</w:t>
      </w:r>
      <w:r w:rsidR="008F4E61" w:rsidRPr="009440AD">
        <w:rPr>
          <w:lang w:val="en-US"/>
        </w:rPr>
        <w:fldChar w:fldCharType="end"/>
      </w:r>
      <w:r w:rsidR="008F4E61" w:rsidRPr="009440AD">
        <w:rPr>
          <w:lang w:val="en-US"/>
        </w:rPr>
        <w:t xml:space="preserve">. Tubular secretion was not modelled and it is worthwhile mentioning that tubular secretion cannot be excluded for lisinopril although </w:t>
      </w:r>
      <w:bookmarkStart w:id="19" w:name="_Hlk10532622"/>
      <w:r w:rsidR="008F4E61" w:rsidRPr="009440AD">
        <w:rPr>
          <w:lang w:val="en-US"/>
        </w:rPr>
        <w:t xml:space="preserve">its </w:t>
      </w:r>
      <w:r w:rsidR="00C863F2" w:rsidRPr="009440AD">
        <w:rPr>
          <w:lang w:val="en-US"/>
        </w:rPr>
        <w:t xml:space="preserve">renal </w:t>
      </w:r>
      <w:r w:rsidR="008F4E61" w:rsidRPr="009440AD">
        <w:rPr>
          <w:lang w:val="en-US"/>
        </w:rPr>
        <w:t xml:space="preserve">clearance </w:t>
      </w:r>
      <w:r w:rsidR="00AA59A9" w:rsidRPr="009440AD">
        <w:rPr>
          <w:lang w:val="en-US"/>
        </w:rPr>
        <w:t xml:space="preserve">matches the </w:t>
      </w:r>
      <w:r w:rsidR="008F4E61" w:rsidRPr="009440AD">
        <w:rPr>
          <w:lang w:val="en-US"/>
        </w:rPr>
        <w:t>glomerular filtration</w:t>
      </w:r>
      <w:r w:rsidR="00AA59A9" w:rsidRPr="009440AD">
        <w:rPr>
          <w:lang w:val="en-US"/>
        </w:rPr>
        <w:t xml:space="preserve"> rate</w:t>
      </w:r>
      <w:r w:rsidR="008F4E61" w:rsidRPr="009440AD">
        <w:rPr>
          <w:lang w:val="en-US"/>
        </w:rPr>
        <w:t xml:space="preserve"> </w:t>
      </w:r>
      <w:bookmarkEnd w:id="19"/>
      <w:r w:rsidR="008F4E61" w:rsidRPr="009440AD">
        <w:rPr>
          <w:lang w:val="en-US"/>
        </w:rPr>
        <w:fldChar w:fldCharType="begin"/>
      </w:r>
      <w:r w:rsidR="00AB3317">
        <w:rPr>
          <w:lang w:val="en-US"/>
        </w:rPr>
        <w:instrText xml:space="preserve"> ADDIN EN.CITE &lt;EndNote&gt;&lt;Cite&gt;&lt;Author&gt;Beermann&lt;/Author&gt;&lt;Year&gt;1988&lt;/Year&gt;&lt;RecNum&gt;1148&lt;/RecNum&gt;&lt;DisplayText&gt;[45]&lt;/DisplayText&gt;&lt;record&gt;&lt;rec-number&gt;1148&lt;/rec-number&gt;&lt;foreign-keys&gt;&lt;key app="EN" db-id="vawz9xpv5prvt3ed92pxtvpjzzf095ze0r5f" timestamp="1537121748"&gt;1148&lt;/key&gt;&lt;/foreign-keys&gt;&lt;ref-type name="Journal Article"&gt;17&lt;/ref-type&gt;&lt;contributors&gt;&lt;authors&gt;&lt;author&gt;Beermann, Bjorn&lt;/author&gt;&lt;/authors&gt;&lt;/contributors&gt;&lt;titles&gt;&lt;title&gt;Pharmacokinetics of lisinopril&lt;/title&gt;&lt;secondary-title&gt;The American Journal of Medicine&lt;/secondary-title&gt;&lt;/titles&gt;&lt;periodical&gt;&lt;full-title&gt;The American journal of medicine&lt;/full-title&gt;&lt;/periodical&gt;&lt;pages&gt;25-30&lt;/pages&gt;&lt;volume&gt;85&lt;/volume&gt;&lt;number&gt;3&lt;/number&gt;&lt;keywords&gt;&lt;keyword&gt;lisinopril&lt;/keyword&gt;&lt;keyword&gt;iv kinetics&lt;/keyword&gt;&lt;/keywords&gt;&lt;dates&gt;&lt;year&gt;1988&lt;/year&gt;&lt;/dates&gt;&lt;isbn&gt;0002-9343&lt;/isbn&gt;&lt;urls&gt;&lt;/urls&gt;&lt;/record&gt;&lt;/Cite&gt;&lt;/EndNote&gt;</w:instrText>
      </w:r>
      <w:r w:rsidR="008F4E61" w:rsidRPr="009440AD">
        <w:rPr>
          <w:lang w:val="en-US"/>
        </w:rPr>
        <w:fldChar w:fldCharType="separate"/>
      </w:r>
      <w:r w:rsidR="00AB3317">
        <w:rPr>
          <w:noProof/>
          <w:lang w:val="en-US"/>
        </w:rPr>
        <w:t>[45]</w:t>
      </w:r>
      <w:r w:rsidR="008F4E61" w:rsidRPr="009440AD">
        <w:rPr>
          <w:lang w:val="en-US"/>
        </w:rPr>
        <w:fldChar w:fldCharType="end"/>
      </w:r>
      <w:r w:rsidR="008F4E61" w:rsidRPr="009440AD">
        <w:rPr>
          <w:lang w:val="en-US"/>
        </w:rPr>
        <w:t xml:space="preserve">. </w:t>
      </w:r>
      <w:r w:rsidR="00AA59A9" w:rsidRPr="009440AD">
        <w:rPr>
          <w:lang w:val="en-US"/>
        </w:rPr>
        <w:t xml:space="preserve">The rate of absorption </w:t>
      </w:r>
      <w:r w:rsidR="00E373F7" w:rsidRPr="005902A1">
        <w:rPr>
          <w:lang w:val="en-US"/>
        </w:rPr>
        <w:t>was predicted too rapid</w:t>
      </w:r>
      <w:r w:rsidR="002F092D" w:rsidRPr="0050587F">
        <w:rPr>
          <w:lang w:val="en-US"/>
        </w:rPr>
        <w:t>ly</w:t>
      </w:r>
      <w:r w:rsidR="00E373F7" w:rsidRPr="0050587F">
        <w:rPr>
          <w:lang w:val="en-US"/>
        </w:rPr>
        <w:t xml:space="preserve"> for amlodipine and rivaroxaban; however, the observed </w:t>
      </w:r>
      <w:proofErr w:type="spellStart"/>
      <w:r w:rsidR="00E373F7" w:rsidRPr="0050587F">
        <w:rPr>
          <w:lang w:val="en-US"/>
        </w:rPr>
        <w:t>C</w:t>
      </w:r>
      <w:r w:rsidR="00E373F7" w:rsidRPr="0050587F">
        <w:rPr>
          <w:vertAlign w:val="subscript"/>
          <w:lang w:val="en-US"/>
        </w:rPr>
        <w:t>max</w:t>
      </w:r>
      <w:proofErr w:type="spellEnd"/>
      <w:r w:rsidR="00E373F7" w:rsidRPr="0050587F">
        <w:rPr>
          <w:lang w:val="en-US"/>
        </w:rPr>
        <w:t xml:space="preserve"> w</w:t>
      </w:r>
      <w:r w:rsidR="006412A2" w:rsidRPr="0050587F">
        <w:rPr>
          <w:lang w:val="en-US"/>
        </w:rPr>
        <w:t>ere</w:t>
      </w:r>
      <w:r w:rsidR="00E373F7" w:rsidRPr="0050587F">
        <w:rPr>
          <w:lang w:val="en-US"/>
        </w:rPr>
        <w:t xml:space="preserve"> well predicted and the observed terminal elimination phase</w:t>
      </w:r>
      <w:r w:rsidR="006412A2" w:rsidRPr="00540E3C">
        <w:rPr>
          <w:lang w:val="en-US"/>
        </w:rPr>
        <w:t>s</w:t>
      </w:r>
      <w:r w:rsidR="00E373F7" w:rsidRPr="00540E3C">
        <w:rPr>
          <w:lang w:val="en-US"/>
        </w:rPr>
        <w:t xml:space="preserve"> w</w:t>
      </w:r>
      <w:r w:rsidR="006412A2" w:rsidRPr="00540E3C">
        <w:rPr>
          <w:lang w:val="en-US"/>
        </w:rPr>
        <w:t>ere</w:t>
      </w:r>
      <w:r w:rsidR="00E373F7" w:rsidRPr="00540E3C">
        <w:rPr>
          <w:lang w:val="en-US"/>
        </w:rPr>
        <w:t xml:space="preserve"> contained in the 95% prediction interval of the PB</w:t>
      </w:r>
      <w:r w:rsidR="00E373F7" w:rsidRPr="0065491D">
        <w:rPr>
          <w:lang w:val="en-US"/>
        </w:rPr>
        <w:t xml:space="preserve">PK model simulations for both drugs. The reason for the slower absorption rate observed in </w:t>
      </w:r>
      <w:r w:rsidR="00E373F7" w:rsidRPr="0065491D">
        <w:rPr>
          <w:lang w:val="en-US"/>
        </w:rPr>
        <w:lastRenderedPageBreak/>
        <w:t xml:space="preserve">clinical studies could be formulation and more sophisticated absorption models </w:t>
      </w:r>
      <w:r w:rsidR="00E373F7" w:rsidRPr="009440AD">
        <w:rPr>
          <w:lang w:val="en-US"/>
        </w:rPr>
        <w:fldChar w:fldCharType="begin"/>
      </w:r>
      <w:r w:rsidR="00AB3317">
        <w:rPr>
          <w:lang w:val="en-US"/>
        </w:rPr>
        <w:instrText xml:space="preserve"> ADDIN EN.CITE &lt;EndNote&gt;&lt;Cite&gt;&lt;Author&gt;Jamei&lt;/Author&gt;&lt;Year&gt;2009&lt;/Year&gt;&lt;RecNum&gt;2&lt;/RecNum&gt;&lt;DisplayText&gt;[46]&lt;/DisplayText&gt;&lt;record&gt;&lt;rec-number&gt;2&lt;/rec-number&gt;&lt;foreign-keys&gt;&lt;key app="EN" db-id="vawz9xpv5prvt3ed92pxtvpjzzf095ze0r5f" timestamp="1473531911"&gt;2&lt;/key&gt;&lt;/foreign-keys&gt;&lt;ref-type name="Journal Article"&gt;17&lt;/ref-type&gt;&lt;contributors&gt;&lt;authors&gt;&lt;author&gt;Jamei, Masoud&lt;/author&gt;&lt;author&gt;Dickinson, Gemma L&lt;/author&gt;&lt;author&gt;Rostami-Hodjegan, Amin&lt;/author&gt;&lt;/authors&gt;&lt;/contributors&gt;&lt;titles&gt;&lt;title&gt;A framework for assessing inter-individual variability in pharmacokinetics using virtual human populations and integrating general knowledge of physical chemistry, biology, anatomy, physiology and genetics: a tale of ‘bottom-up’vs ‘top-down’recognition of covariates&lt;/title&gt;&lt;secondary-title&gt;Drug Metabolism and Pharmacokinetics&lt;/secondary-title&gt;&lt;/titles&gt;&lt;periodical&gt;&lt;full-title&gt;Drug metabolism and pharmacokinetics&lt;/full-title&gt;&lt;/periodical&gt;&lt;pages&gt;53-75&lt;/pages&gt;&lt;volume&gt;24&lt;/volume&gt;&lt;number&gt;1&lt;/number&gt;&lt;keywords&gt;&lt;keyword&gt;PBPK&lt;/keyword&gt;&lt;keyword&gt;population&lt;/keyword&gt;&lt;keyword&gt;variability&lt;/keyword&gt;&lt;/keywords&gt;&lt;dates&gt;&lt;year&gt;2009&lt;/year&gt;&lt;/dates&gt;&lt;isbn&gt;1347-4367&lt;/isbn&gt;&lt;urls&gt;&lt;/urls&gt;&lt;/record&gt;&lt;/Cite&gt;&lt;/EndNote&gt;</w:instrText>
      </w:r>
      <w:r w:rsidR="00E373F7" w:rsidRPr="009440AD">
        <w:rPr>
          <w:lang w:val="en-US"/>
        </w:rPr>
        <w:fldChar w:fldCharType="separate"/>
      </w:r>
      <w:r w:rsidR="00AB3317">
        <w:rPr>
          <w:noProof/>
          <w:lang w:val="en-US"/>
        </w:rPr>
        <w:t>[46]</w:t>
      </w:r>
      <w:r w:rsidR="00E373F7" w:rsidRPr="009440AD">
        <w:rPr>
          <w:lang w:val="en-US"/>
        </w:rPr>
        <w:fldChar w:fldCharType="end"/>
      </w:r>
      <w:r w:rsidR="00E373F7" w:rsidRPr="009440AD">
        <w:rPr>
          <w:lang w:val="en-US"/>
        </w:rPr>
        <w:t xml:space="preserve"> might improve the prediction of </w:t>
      </w:r>
      <w:proofErr w:type="spellStart"/>
      <w:r w:rsidR="00E373F7" w:rsidRPr="009440AD">
        <w:rPr>
          <w:lang w:val="en-US"/>
        </w:rPr>
        <w:t>t</w:t>
      </w:r>
      <w:r w:rsidR="00E373F7" w:rsidRPr="009440AD">
        <w:rPr>
          <w:vertAlign w:val="subscript"/>
          <w:lang w:val="en-US"/>
        </w:rPr>
        <w:t>max</w:t>
      </w:r>
      <w:proofErr w:type="spellEnd"/>
      <w:r w:rsidR="00E373F7" w:rsidRPr="009440AD">
        <w:rPr>
          <w:lang w:val="en-US"/>
        </w:rPr>
        <w:t xml:space="preserve">. Nevertheless, the </w:t>
      </w:r>
      <w:proofErr w:type="spellStart"/>
      <w:r w:rsidR="00E373F7" w:rsidRPr="009440AD">
        <w:rPr>
          <w:lang w:val="en-US"/>
        </w:rPr>
        <w:t>t</w:t>
      </w:r>
      <w:r w:rsidR="00E373F7" w:rsidRPr="009440AD">
        <w:rPr>
          <w:vertAlign w:val="subscript"/>
          <w:lang w:val="en-US"/>
        </w:rPr>
        <w:t>max</w:t>
      </w:r>
      <w:proofErr w:type="spellEnd"/>
      <w:r w:rsidR="00E373F7" w:rsidRPr="009440AD">
        <w:rPr>
          <w:lang w:val="en-US"/>
        </w:rPr>
        <w:t xml:space="preserve">-ratio elderly/young </w:t>
      </w:r>
      <w:r w:rsidR="00D04792" w:rsidRPr="009440AD">
        <w:rPr>
          <w:lang w:val="en-US"/>
        </w:rPr>
        <w:t>were exactly</w:t>
      </w:r>
      <w:r w:rsidR="00E373F7" w:rsidRPr="009440AD">
        <w:rPr>
          <w:lang w:val="en-US"/>
        </w:rPr>
        <w:t xml:space="preserve"> predicted </w:t>
      </w:r>
      <w:r w:rsidR="00D04792" w:rsidRPr="009440AD">
        <w:rPr>
          <w:lang w:val="en-US"/>
        </w:rPr>
        <w:t>by the PBPK model (</w:t>
      </w:r>
      <w:proofErr w:type="spellStart"/>
      <w:r w:rsidR="00D04792" w:rsidRPr="009440AD">
        <w:rPr>
          <w:lang w:val="en-US"/>
        </w:rPr>
        <w:t>predicted:observed</w:t>
      </w:r>
      <w:proofErr w:type="spellEnd"/>
      <w:r w:rsidR="00D04792" w:rsidRPr="009440AD">
        <w:rPr>
          <w:lang w:val="en-US"/>
        </w:rPr>
        <w:t xml:space="preserve"> ratio: 1.0 for both drugs) </w:t>
      </w:r>
      <w:r w:rsidR="00E373F7" w:rsidRPr="009440AD">
        <w:rPr>
          <w:lang w:val="en-US"/>
        </w:rPr>
        <w:t xml:space="preserve">and were </w:t>
      </w:r>
      <w:r w:rsidR="00D04792" w:rsidRPr="009440AD">
        <w:rPr>
          <w:lang w:val="en-US"/>
        </w:rPr>
        <w:t xml:space="preserve">thus, </w:t>
      </w:r>
      <w:r w:rsidR="00E373F7" w:rsidRPr="004D70C6">
        <w:rPr>
          <w:lang w:val="en-US"/>
        </w:rPr>
        <w:t xml:space="preserve">judged to be </w:t>
      </w:r>
      <w:proofErr w:type="gramStart"/>
      <w:r w:rsidR="00E373F7" w:rsidRPr="004D70C6">
        <w:rPr>
          <w:lang w:val="en-US"/>
        </w:rPr>
        <w:t>sufficient</w:t>
      </w:r>
      <w:proofErr w:type="gramEnd"/>
      <w:r w:rsidR="00E373F7" w:rsidRPr="004D70C6">
        <w:rPr>
          <w:lang w:val="en-US"/>
        </w:rPr>
        <w:t xml:space="preserve"> for age-dependent analysis. </w:t>
      </w:r>
      <w:r w:rsidR="00FC6BEC" w:rsidRPr="005902A1">
        <w:rPr>
          <w:lang w:val="en-US"/>
        </w:rPr>
        <w:t xml:space="preserve">Across the </w:t>
      </w:r>
      <w:r w:rsidR="0062135C" w:rsidRPr="0050587F">
        <w:rPr>
          <w:lang w:val="en-US"/>
        </w:rPr>
        <w:t>ten</w:t>
      </w:r>
      <w:r w:rsidR="00FC6BEC" w:rsidRPr="0050587F">
        <w:rPr>
          <w:lang w:val="en-US"/>
        </w:rPr>
        <w:t xml:space="preserve"> drugs studied, drug clearance of </w:t>
      </w:r>
      <w:r w:rsidRPr="0050587F">
        <w:rPr>
          <w:lang w:val="en-US"/>
        </w:rPr>
        <w:t>a</w:t>
      </w:r>
      <w:r w:rsidR="00E14E92" w:rsidRPr="0050587F">
        <w:rPr>
          <w:lang w:val="en-US"/>
        </w:rPr>
        <w:t xml:space="preserve">torvastatin </w:t>
      </w:r>
      <w:r w:rsidR="00FC6BEC" w:rsidRPr="0050587F">
        <w:rPr>
          <w:lang w:val="en-US"/>
        </w:rPr>
        <w:t xml:space="preserve">was least </w:t>
      </w:r>
      <w:r w:rsidR="00E14E92" w:rsidRPr="00540E3C">
        <w:rPr>
          <w:lang w:val="en-US"/>
        </w:rPr>
        <w:t>impact</w:t>
      </w:r>
      <w:r w:rsidR="00FC6BEC" w:rsidRPr="00540E3C">
        <w:rPr>
          <w:lang w:val="en-US"/>
        </w:rPr>
        <w:t xml:space="preserve">ed by </w:t>
      </w:r>
      <w:r w:rsidR="00E14E92" w:rsidRPr="00540E3C">
        <w:rPr>
          <w:lang w:val="en-US"/>
        </w:rPr>
        <w:t>age</w:t>
      </w:r>
      <w:r w:rsidR="00FC6BEC" w:rsidRPr="00540E3C">
        <w:rPr>
          <w:lang w:val="en-US"/>
        </w:rPr>
        <w:t xml:space="preserve"> and is likely explained by the fact </w:t>
      </w:r>
      <w:r w:rsidR="008C289C" w:rsidRPr="00540E3C">
        <w:rPr>
          <w:lang w:val="en-US"/>
        </w:rPr>
        <w:t xml:space="preserve">that </w:t>
      </w:r>
      <w:r w:rsidR="008C340A" w:rsidRPr="00540E3C">
        <w:rPr>
          <w:lang w:val="en-US"/>
        </w:rPr>
        <w:t xml:space="preserve">metabolism in the intestine </w:t>
      </w:r>
      <w:r w:rsidR="00FC6BEC" w:rsidRPr="00540E3C">
        <w:rPr>
          <w:lang w:val="en-US"/>
        </w:rPr>
        <w:t xml:space="preserve">is least impacted by adult age, and extensive intestinal metabolism </w:t>
      </w:r>
      <w:r w:rsidR="008C340A" w:rsidRPr="00540E3C">
        <w:rPr>
          <w:lang w:val="en-US"/>
        </w:rPr>
        <w:t xml:space="preserve">is </w:t>
      </w:r>
      <w:r w:rsidR="00162722" w:rsidRPr="00D908E3">
        <w:rPr>
          <w:lang w:val="en-US"/>
        </w:rPr>
        <w:t>a key characteristic</w:t>
      </w:r>
      <w:r w:rsidR="008C340A" w:rsidRPr="00774EE3">
        <w:rPr>
          <w:lang w:val="en-US"/>
        </w:rPr>
        <w:t xml:space="preserve"> </w:t>
      </w:r>
      <w:r w:rsidR="00294765" w:rsidRPr="00774EE3">
        <w:rPr>
          <w:lang w:val="en-US"/>
        </w:rPr>
        <w:t>of</w:t>
      </w:r>
      <w:r w:rsidR="008C340A" w:rsidRPr="00774EE3">
        <w:rPr>
          <w:lang w:val="en-US"/>
        </w:rPr>
        <w:t xml:space="preserve"> atorvastatin </w:t>
      </w:r>
      <w:r w:rsidR="008C340A" w:rsidRPr="009440AD">
        <w:rPr>
          <w:lang w:val="en-US"/>
        </w:rPr>
        <w:fldChar w:fldCharType="begin"/>
      </w:r>
      <w:r w:rsidR="00AB3317">
        <w:rPr>
          <w:lang w:val="en-US"/>
        </w:rPr>
        <w:instrText xml:space="preserve"> ADDIN EN.CITE &lt;EndNote&gt;&lt;Cite&gt;&lt;Author&gt;Lennernäs&lt;/Author&gt;&lt;Year&gt;2003&lt;/Year&gt;&lt;RecNum&gt;1170&lt;/RecNum&gt;&lt;DisplayText&gt;[47]&lt;/DisplayText&gt;&lt;record&gt;&lt;rec-number&gt;1170&lt;/rec-number&gt;&lt;foreign-keys&gt;&lt;key app="EN" db-id="vawz9xpv5prvt3ed92pxtvpjzzf095ze0r5f" timestamp="1537378725"&gt;1170&lt;/key&gt;&lt;/foreign-keys&gt;&lt;ref-type name="Journal Article"&gt;17&lt;/ref-type&gt;&lt;contributors&gt;&lt;authors&gt;&lt;author&gt;Lennernäs, Hans&lt;/author&gt;&lt;/authors&gt;&lt;/contributors&gt;&lt;titles&gt;&lt;title&gt;Clinical pharmacokinetics of atorvastatin&lt;/title&gt;&lt;secondary-title&gt;Clinical Pharmacokinetics&lt;/secondary-title&gt;&lt;/titles&gt;&lt;periodical&gt;&lt;full-title&gt;Clinical Pharmacokinetics&lt;/full-title&gt;&lt;/periodical&gt;&lt;pages&gt;1141-1160&lt;/pages&gt;&lt;volume&gt;42&lt;/volume&gt;&lt;number&gt;13&lt;/number&gt;&lt;keywords&gt;&lt;keyword&gt;atorvastatin&lt;/keyword&gt;&lt;keyword&gt;review&lt;/keyword&gt;&lt;/keywords&gt;&lt;dates&gt;&lt;year&gt;2003&lt;/year&gt;&lt;/dates&gt;&lt;isbn&gt;0312-5963&lt;/isbn&gt;&lt;urls&gt;&lt;/urls&gt;&lt;/record&gt;&lt;/Cite&gt;&lt;/EndNote&gt;</w:instrText>
      </w:r>
      <w:r w:rsidR="008C340A" w:rsidRPr="009440AD">
        <w:rPr>
          <w:lang w:val="en-US"/>
        </w:rPr>
        <w:fldChar w:fldCharType="separate"/>
      </w:r>
      <w:r w:rsidR="00AB3317">
        <w:rPr>
          <w:noProof/>
          <w:lang w:val="en-US"/>
        </w:rPr>
        <w:t>[47]</w:t>
      </w:r>
      <w:r w:rsidR="008C340A" w:rsidRPr="009440AD">
        <w:rPr>
          <w:lang w:val="en-US"/>
        </w:rPr>
        <w:fldChar w:fldCharType="end"/>
      </w:r>
      <w:r w:rsidR="008C340A" w:rsidRPr="009440AD">
        <w:rPr>
          <w:lang w:val="en-US"/>
        </w:rPr>
        <w:t xml:space="preserve">. </w:t>
      </w:r>
    </w:p>
    <w:p w14:paraId="1F5E2924" w14:textId="77777777" w:rsidR="004B7EFC" w:rsidRPr="009440AD" w:rsidRDefault="004B7EFC" w:rsidP="006136DA">
      <w:pPr>
        <w:rPr>
          <w:lang w:val="en-US"/>
        </w:rPr>
      </w:pPr>
    </w:p>
    <w:p w14:paraId="5F5C3924" w14:textId="7DB4A9CF" w:rsidR="00603EF5" w:rsidRPr="009440AD" w:rsidRDefault="00B46327" w:rsidP="004B7EFC">
      <w:pPr>
        <w:rPr>
          <w:lang w:val="en-US"/>
        </w:rPr>
      </w:pPr>
      <w:bookmarkStart w:id="20" w:name="_Hlk16148844"/>
      <w:r w:rsidRPr="005902A1">
        <w:rPr>
          <w:lang w:val="en-US"/>
        </w:rPr>
        <w:t>Overall</w:t>
      </w:r>
      <w:r w:rsidR="001738E9" w:rsidRPr="0050587F">
        <w:rPr>
          <w:lang w:val="en-US"/>
        </w:rPr>
        <w:t xml:space="preserve"> the </w:t>
      </w:r>
      <w:r w:rsidR="00084953" w:rsidRPr="0050587F">
        <w:rPr>
          <w:lang w:val="en-US"/>
        </w:rPr>
        <w:t xml:space="preserve">pharmacokinetics of the </w:t>
      </w:r>
      <w:r w:rsidR="0062135C" w:rsidRPr="0050587F">
        <w:rPr>
          <w:lang w:val="en-US"/>
        </w:rPr>
        <w:t>ten</w:t>
      </w:r>
      <w:r w:rsidR="00084953" w:rsidRPr="0050587F">
        <w:rPr>
          <w:lang w:val="en-US"/>
        </w:rPr>
        <w:t xml:space="preserve"> selected drugs for model qualification</w:t>
      </w:r>
      <w:r w:rsidR="00FE475B" w:rsidRPr="0050587F">
        <w:rPr>
          <w:lang w:val="en-US"/>
        </w:rPr>
        <w:t xml:space="preserve"> </w:t>
      </w:r>
      <w:r w:rsidRPr="0050587F">
        <w:rPr>
          <w:lang w:val="en-US"/>
        </w:rPr>
        <w:t xml:space="preserve">were adequately predicted </w:t>
      </w:r>
      <w:r w:rsidR="004B7EFC" w:rsidRPr="00540E3C">
        <w:rPr>
          <w:lang w:val="en-US"/>
        </w:rPr>
        <w:t>in the elderly</w:t>
      </w:r>
      <w:r w:rsidR="00FE475B" w:rsidRPr="00540E3C">
        <w:rPr>
          <w:lang w:val="en-US"/>
        </w:rPr>
        <w:t xml:space="preserve"> conf</w:t>
      </w:r>
      <w:r w:rsidR="00203958" w:rsidRPr="00540E3C">
        <w:rPr>
          <w:lang w:val="en-US"/>
        </w:rPr>
        <w:t>i</w:t>
      </w:r>
      <w:r w:rsidR="00FE475B" w:rsidRPr="00540E3C">
        <w:rPr>
          <w:lang w:val="en-US"/>
        </w:rPr>
        <w:t>rming the predictive power of the PBPK approach in special populations</w:t>
      </w:r>
      <w:r w:rsidR="00595A13" w:rsidRPr="00540E3C">
        <w:rPr>
          <w:lang w:val="en-US"/>
        </w:rPr>
        <w:t xml:space="preserve"> that was shown previously </w:t>
      </w:r>
      <w:r w:rsidR="00595A13" w:rsidRPr="00D908E3">
        <w:rPr>
          <w:lang w:val="en-US"/>
        </w:rPr>
        <w:t>for seven model drug</w:t>
      </w:r>
      <w:r w:rsidR="00595A13" w:rsidRPr="00774EE3">
        <w:rPr>
          <w:lang w:val="en-US"/>
        </w:rPr>
        <w:t xml:space="preserve">s of CYP enzymes </w:t>
      </w:r>
      <w:r w:rsidR="00595A13" w:rsidRPr="009440AD">
        <w:rPr>
          <w:lang w:val="en-US"/>
        </w:rPr>
        <w:fldChar w:fldCharType="begin"/>
      </w:r>
      <w:r w:rsidR="00595A13" w:rsidRPr="009440AD">
        <w:rPr>
          <w:lang w:val="en-US"/>
        </w:rPr>
        <w:instrText xml:space="preserve"> ADDIN EN.CITE &lt;EndNote&gt;&lt;Cite&gt;&lt;Author&gt;Chetty&lt;/Author&gt;&lt;Year&gt;2018&lt;/Year&gt;&lt;RecNum&gt;1443&lt;/RecNum&gt;&lt;DisplayText&gt;[10]&lt;/DisplayText&gt;&lt;record&gt;&lt;rec-number&gt;1443&lt;/rec-number&gt;&lt;foreign-keys&gt;&lt;key app="EN" db-id="vawz9xpv5prvt3ed92pxtvpjzzf095ze0r5f" timestamp="1564990515"&gt;1443&lt;/key&gt;&lt;/foreign-keys&gt;&lt;ref-type name="Journal Article"&gt;17&lt;/ref-type&gt;&lt;contributors&gt;&lt;authors&gt;&lt;author&gt;Chetty, Manoranjenni&lt;/author&gt;&lt;author&gt;Johnson, Trevor N&lt;/author&gt;&lt;author&gt;Polak, Sebastian&lt;/author&gt;&lt;author&gt;Salem, Farzaneh&lt;/author&gt;&lt;author&gt;Doki, Kosuke&lt;/author&gt;&lt;author&gt;Rostami-Hodjegan, Amin&lt;/author&gt;&lt;/authors&gt;&lt;/contributors&gt;&lt;titles&gt;&lt;title&gt;Physiologically based pharmacokinetic modelling to guide drug delivery in older people&lt;/title&gt;&lt;secondary-title&gt;Advanced Drug Delivery Reviews&lt;/secondary-title&gt;&lt;/titles&gt;&lt;periodical&gt;&lt;full-title&gt;Advanced drug delivery reviews&lt;/full-title&gt;&lt;/periodical&gt;&lt;pages&gt;85-96&lt;/pages&gt;&lt;volume&gt;135&lt;/volume&gt;&lt;keywords&gt;&lt;keyword&gt;PBPK&lt;/keyword&gt;&lt;keyword&gt;elderly&lt;/keyword&gt;&lt;/keywords&gt;&lt;dates&gt;&lt;year&gt;2018&lt;/year&gt;&lt;/dates&gt;&lt;isbn&gt;0169-409X&lt;/isbn&gt;&lt;urls&gt;&lt;/urls&gt;&lt;/record&gt;&lt;/Cite&gt;&lt;/EndNote&gt;</w:instrText>
      </w:r>
      <w:r w:rsidR="00595A13" w:rsidRPr="009440AD">
        <w:rPr>
          <w:lang w:val="en-US"/>
        </w:rPr>
        <w:fldChar w:fldCharType="separate"/>
      </w:r>
      <w:r w:rsidR="00595A13" w:rsidRPr="009440AD">
        <w:rPr>
          <w:noProof/>
          <w:lang w:val="en-US"/>
        </w:rPr>
        <w:t>[10]</w:t>
      </w:r>
      <w:r w:rsidR="00595A13" w:rsidRPr="009440AD">
        <w:rPr>
          <w:lang w:val="en-US"/>
        </w:rPr>
        <w:fldChar w:fldCharType="end"/>
      </w:r>
      <w:r w:rsidR="00595A13" w:rsidRPr="009440AD">
        <w:rPr>
          <w:lang w:val="en-US"/>
        </w:rPr>
        <w:t xml:space="preserve"> as well as for morphine and furosemide administered intravenously </w:t>
      </w:r>
      <w:r w:rsidR="00595A13" w:rsidRPr="009440AD">
        <w:rPr>
          <w:lang w:val="en-US"/>
        </w:rPr>
        <w:fldChar w:fldCharType="begin"/>
      </w:r>
      <w:r w:rsidR="00595A13" w:rsidRPr="009440AD">
        <w:rPr>
          <w:lang w:val="en-US"/>
        </w:rPr>
        <w:instrText xml:space="preserve"> ADDIN EN.CITE &lt;EndNote&gt;&lt;Cite&gt;&lt;Author&gt;Schlender&lt;/Author&gt;&lt;Year&gt;2016&lt;/Year&gt;&lt;RecNum&gt;12&lt;/RecNum&gt;&lt;DisplayText&gt;[9]&lt;/DisplayText&gt;&lt;record&gt;&lt;rec-number&gt;12&lt;/rec-number&gt;&lt;foreign-keys&gt;&lt;key app="EN" db-id="vawz9xpv5prvt3ed92pxtvpjzzf095ze0r5f" timestamp="1473531979"&gt;12&lt;/key&gt;&lt;/foreign-keys&gt;&lt;ref-type name="Journal Article"&gt;17&lt;/ref-type&gt;&lt;contributors&gt;&lt;authors&gt;&lt;author&gt;Schlender, Jan-Frederik&lt;/author&gt;&lt;author&gt;Meyer, Michaela&lt;/author&gt;&lt;author&gt;Thelen, Kirstin&lt;/author&gt;&lt;author&gt;Krauss, Markus&lt;/author&gt;&lt;author&gt;Willmann, Stefan&lt;/author&gt;&lt;author&gt;Eissing, Thomas&lt;/author&gt;&lt;author&gt;Jaehde, Ulrich&lt;/author&gt;&lt;/authors&gt;&lt;/contributors&gt;&lt;titles&gt;&lt;title&gt;Development of a whole-body physiologically based pharmacokinetic approach to assess the pharmacokinetics of drugs in elderly individuals&lt;/title&gt;&lt;secondary-title&gt;Clinical Pharmacokinetics&lt;/secondary-title&gt;&lt;/titles&gt;&lt;periodical&gt;&lt;full-title&gt;Clinical Pharmacokinetics&lt;/full-title&gt;&lt;/periodical&gt;&lt;pages&gt;1573-1589&lt;/pages&gt;&lt;volume&gt;55&lt;/volume&gt;&lt;number&gt;12&lt;/number&gt;&lt;keywords&gt;&lt;keyword&gt;PBPK&lt;/keyword&gt;&lt;keyword&gt;geriatric database&lt;/keyword&gt;&lt;/keywords&gt;&lt;dates&gt;&lt;year&gt;2016&lt;/year&gt;&lt;/dates&gt;&lt;isbn&gt;0312-5963&lt;/isbn&gt;&lt;urls&gt;&lt;/urls&gt;&lt;/record&gt;&lt;/Cite&gt;&lt;/EndNote&gt;</w:instrText>
      </w:r>
      <w:r w:rsidR="00595A13" w:rsidRPr="009440AD">
        <w:rPr>
          <w:lang w:val="en-US"/>
        </w:rPr>
        <w:fldChar w:fldCharType="separate"/>
      </w:r>
      <w:r w:rsidR="00595A13" w:rsidRPr="009440AD">
        <w:rPr>
          <w:noProof/>
          <w:lang w:val="en-US"/>
        </w:rPr>
        <w:t>[9]</w:t>
      </w:r>
      <w:r w:rsidR="00595A13" w:rsidRPr="009440AD">
        <w:rPr>
          <w:lang w:val="en-US"/>
        </w:rPr>
        <w:fldChar w:fldCharType="end"/>
      </w:r>
      <w:bookmarkEnd w:id="20"/>
      <w:r w:rsidR="004B7EFC" w:rsidRPr="009440AD">
        <w:rPr>
          <w:lang w:val="en-US"/>
        </w:rPr>
        <w:t xml:space="preserve">. </w:t>
      </w:r>
      <w:bookmarkStart w:id="21" w:name="_Hlk16585570"/>
      <w:bookmarkStart w:id="22" w:name="_Hlk17302496"/>
      <w:bookmarkStart w:id="23" w:name="_Hlk16584925"/>
      <w:r w:rsidR="00897D4A" w:rsidRPr="009440AD">
        <w:rPr>
          <w:lang w:val="en-US"/>
        </w:rPr>
        <w:t xml:space="preserve">Generally, </w:t>
      </w:r>
      <w:r w:rsidR="008B0C30">
        <w:rPr>
          <w:lang w:val="en-US"/>
        </w:rPr>
        <w:t>t</w:t>
      </w:r>
      <w:r w:rsidR="008B0C30" w:rsidRPr="009440AD">
        <w:rPr>
          <w:lang w:val="en-US"/>
        </w:rPr>
        <w:t xml:space="preserve">he </w:t>
      </w:r>
      <w:r w:rsidR="007343B7" w:rsidRPr="009440AD">
        <w:rPr>
          <w:lang w:val="en-US"/>
        </w:rPr>
        <w:t>AUC was predicted to increase progressively with an average rate of 0.9% per year</w:t>
      </w:r>
      <w:r w:rsidR="00897D4A" w:rsidRPr="009440AD">
        <w:rPr>
          <w:lang w:val="en-US"/>
        </w:rPr>
        <w:t xml:space="preserve"> from the age of 20 years</w:t>
      </w:r>
      <w:bookmarkEnd w:id="21"/>
      <w:r w:rsidR="007343B7" w:rsidRPr="009440AD">
        <w:rPr>
          <w:lang w:val="en-US"/>
        </w:rPr>
        <w:t xml:space="preserve">. </w:t>
      </w:r>
      <w:r w:rsidR="008B0C30">
        <w:rPr>
          <w:lang w:val="en-US"/>
        </w:rPr>
        <w:t xml:space="preserve">Despite the higher drug exposure in the elderly, </w:t>
      </w:r>
      <w:r w:rsidR="008B0C30" w:rsidRPr="009440AD">
        <w:rPr>
          <w:lang w:val="en-US"/>
        </w:rPr>
        <w:t>dose adjustment based on age alone is not recommended in the label of any of the ten studied drugs</w:t>
      </w:r>
      <w:r w:rsidR="008B0C30">
        <w:rPr>
          <w:lang w:val="en-US"/>
        </w:rPr>
        <w:t>.</w:t>
      </w:r>
      <w:r w:rsidR="008B0C30" w:rsidRPr="009440AD">
        <w:rPr>
          <w:lang w:val="en-US"/>
        </w:rPr>
        <w:t xml:space="preserve"> </w:t>
      </w:r>
      <w:r w:rsidR="007343B7" w:rsidRPr="009440AD">
        <w:rPr>
          <w:lang w:val="en-US"/>
        </w:rPr>
        <w:t xml:space="preserve">The age-related changes </w:t>
      </w:r>
      <w:r w:rsidR="008B0C30">
        <w:rPr>
          <w:lang w:val="en-US"/>
        </w:rPr>
        <w:t xml:space="preserve">of the AUC </w:t>
      </w:r>
      <w:r w:rsidR="007343B7" w:rsidRPr="009440AD">
        <w:rPr>
          <w:lang w:val="en-US"/>
        </w:rPr>
        <w:t>can be explained by the linear decrease of drug clearance as a result of reduced</w:t>
      </w:r>
      <w:r w:rsidR="004B7EFC" w:rsidRPr="005902A1">
        <w:rPr>
          <w:lang w:val="en-US"/>
        </w:rPr>
        <w:t xml:space="preserve"> hepatic and renal blood flow</w:t>
      </w:r>
      <w:r w:rsidR="007343B7" w:rsidRPr="0050587F">
        <w:rPr>
          <w:lang w:val="en-US"/>
        </w:rPr>
        <w:t xml:space="preserve"> and</w:t>
      </w:r>
      <w:r w:rsidR="004B7EFC" w:rsidRPr="0050587F">
        <w:rPr>
          <w:lang w:val="en-US"/>
        </w:rPr>
        <w:t xml:space="preserve"> glomerular filtration rate </w:t>
      </w:r>
      <w:r w:rsidR="004B7EFC" w:rsidRPr="009440AD">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00586DDA" w:rsidRPr="009440AD">
        <w:rPr>
          <w:lang w:val="en-US"/>
        </w:rPr>
        <w:instrText xml:space="preserve"> ADDIN EN.CITE </w:instrText>
      </w:r>
      <w:r w:rsidR="00586DDA" w:rsidRPr="006B495B">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00586DDA" w:rsidRPr="009440AD">
        <w:rPr>
          <w:lang w:val="en-US"/>
        </w:rPr>
        <w:instrText xml:space="preserve"> ADDIN EN.CITE.DATA </w:instrText>
      </w:r>
      <w:r w:rsidR="00586DDA" w:rsidRPr="006B495B">
        <w:rPr>
          <w:lang w:val="en-US"/>
        </w:rPr>
      </w:r>
      <w:r w:rsidR="00586DDA" w:rsidRPr="006B495B">
        <w:rPr>
          <w:lang w:val="en-US"/>
        </w:rPr>
        <w:fldChar w:fldCharType="end"/>
      </w:r>
      <w:r w:rsidR="004B7EFC" w:rsidRPr="009440AD">
        <w:rPr>
          <w:lang w:val="en-US"/>
        </w:rPr>
      </w:r>
      <w:r w:rsidR="004B7EFC" w:rsidRPr="009440AD">
        <w:rPr>
          <w:lang w:val="en-US"/>
        </w:rPr>
        <w:fldChar w:fldCharType="separate"/>
      </w:r>
      <w:r w:rsidR="004B7EFC" w:rsidRPr="009440AD">
        <w:rPr>
          <w:noProof/>
          <w:lang w:val="en-US"/>
        </w:rPr>
        <w:t>[6]</w:t>
      </w:r>
      <w:r w:rsidR="004B7EFC" w:rsidRPr="009440AD">
        <w:rPr>
          <w:lang w:val="en-US"/>
        </w:rPr>
        <w:fldChar w:fldCharType="end"/>
      </w:r>
      <w:r w:rsidR="004B7EFC" w:rsidRPr="009440AD">
        <w:rPr>
          <w:lang w:val="en-US"/>
        </w:rPr>
        <w:t xml:space="preserve"> rather </w:t>
      </w:r>
      <w:r w:rsidRPr="009440AD">
        <w:rPr>
          <w:lang w:val="en-US"/>
        </w:rPr>
        <w:t xml:space="preserve">than </w:t>
      </w:r>
      <w:r w:rsidR="007126EA" w:rsidRPr="009440AD">
        <w:rPr>
          <w:lang w:val="en-US"/>
        </w:rPr>
        <w:t xml:space="preserve">drug characteristics </w:t>
      </w:r>
      <w:r w:rsidR="008B0C30">
        <w:rPr>
          <w:lang w:val="en-US"/>
        </w:rPr>
        <w:t xml:space="preserve">(i.e. </w:t>
      </w:r>
      <w:proofErr w:type="spellStart"/>
      <w:r w:rsidR="008B0C30">
        <w:rPr>
          <w:lang w:val="en-US"/>
        </w:rPr>
        <w:t>logP</w:t>
      </w:r>
      <w:proofErr w:type="spellEnd"/>
      <w:r w:rsidR="008B0C30">
        <w:rPr>
          <w:lang w:val="en-US"/>
        </w:rPr>
        <w:t xml:space="preserve">, </w:t>
      </w:r>
      <w:proofErr w:type="spellStart"/>
      <w:r w:rsidR="008B0C30">
        <w:rPr>
          <w:lang w:val="en-US"/>
        </w:rPr>
        <w:t>fup</w:t>
      </w:r>
      <w:proofErr w:type="spellEnd"/>
      <w:r w:rsidR="008B0C30">
        <w:rPr>
          <w:lang w:val="en-US"/>
        </w:rPr>
        <w:t xml:space="preserve">, main metabolizing enzyme, main route of elimination) </w:t>
      </w:r>
      <w:r w:rsidR="007126EA" w:rsidRPr="009440AD">
        <w:rPr>
          <w:lang w:val="en-US"/>
        </w:rPr>
        <w:t xml:space="preserve">as shown by </w:t>
      </w:r>
      <w:r w:rsidR="00B159A2" w:rsidRPr="009440AD">
        <w:rPr>
          <w:lang w:val="en-US"/>
        </w:rPr>
        <w:t xml:space="preserve">our conducted </w:t>
      </w:r>
      <w:r w:rsidR="007126EA" w:rsidRPr="009440AD">
        <w:rPr>
          <w:lang w:val="en-US"/>
        </w:rPr>
        <w:t xml:space="preserve">sensitivity analysis (Fig. </w:t>
      </w:r>
      <w:r w:rsidR="004227D5">
        <w:rPr>
          <w:lang w:val="en-US"/>
        </w:rPr>
        <w:t>7</w:t>
      </w:r>
      <w:r w:rsidR="007126EA" w:rsidRPr="009440AD">
        <w:rPr>
          <w:lang w:val="en-US"/>
        </w:rPr>
        <w:t>)</w:t>
      </w:r>
      <w:r w:rsidR="008B0C30">
        <w:rPr>
          <w:lang w:val="en-US"/>
        </w:rPr>
        <w:t xml:space="preserve"> and statistical analysis of clinically observed age-dependent pharmacokinetic alterations of 52 drugs additionally collected (Fig. 9)</w:t>
      </w:r>
      <w:r w:rsidR="007343B7" w:rsidRPr="009440AD">
        <w:rPr>
          <w:lang w:val="en-US"/>
        </w:rPr>
        <w:t>.</w:t>
      </w:r>
      <w:bookmarkEnd w:id="22"/>
      <w:r w:rsidR="0052163A" w:rsidRPr="009440AD">
        <w:rPr>
          <w:lang w:val="en-US"/>
        </w:rPr>
        <w:t xml:space="preserve"> </w:t>
      </w:r>
      <w:bookmarkStart w:id="24" w:name="_Hlk16585074"/>
      <w:bookmarkEnd w:id="23"/>
      <w:r w:rsidR="007126EA" w:rsidRPr="0065491D">
        <w:rPr>
          <w:lang w:val="en-US"/>
        </w:rPr>
        <w:t xml:space="preserve">These findings are contrary to conventional thinking. It is believed that </w:t>
      </w:r>
      <w:r w:rsidR="007126EA" w:rsidRPr="009440AD">
        <w:rPr>
          <w:lang w:val="en-US"/>
        </w:rPr>
        <w:t xml:space="preserve">volume of distribution changes with advanced age, because of </w:t>
      </w:r>
      <w:r w:rsidR="00E90153" w:rsidRPr="009440AD">
        <w:rPr>
          <w:lang w:val="en-US"/>
        </w:rPr>
        <w:t xml:space="preserve">altered body composition </w:t>
      </w:r>
      <w:r w:rsidR="00E90153" w:rsidRPr="009440AD">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00E90153" w:rsidRPr="009440AD">
        <w:rPr>
          <w:lang w:val="en-US"/>
        </w:rPr>
        <w:instrText xml:space="preserve"> ADDIN EN.CITE </w:instrText>
      </w:r>
      <w:r w:rsidR="00E90153" w:rsidRPr="006B495B">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00E90153" w:rsidRPr="009440AD">
        <w:rPr>
          <w:lang w:val="en-US"/>
        </w:rPr>
        <w:instrText xml:space="preserve"> ADDIN EN.CITE.DATA </w:instrText>
      </w:r>
      <w:r w:rsidR="00E90153" w:rsidRPr="006B495B">
        <w:rPr>
          <w:lang w:val="en-US"/>
        </w:rPr>
      </w:r>
      <w:r w:rsidR="00E90153" w:rsidRPr="006B495B">
        <w:rPr>
          <w:lang w:val="en-US"/>
        </w:rPr>
        <w:fldChar w:fldCharType="end"/>
      </w:r>
      <w:r w:rsidR="00E90153" w:rsidRPr="009440AD">
        <w:rPr>
          <w:lang w:val="en-US"/>
        </w:rPr>
      </w:r>
      <w:r w:rsidR="00E90153" w:rsidRPr="009440AD">
        <w:rPr>
          <w:lang w:val="en-US"/>
        </w:rPr>
        <w:fldChar w:fldCharType="separate"/>
      </w:r>
      <w:r w:rsidR="00E90153" w:rsidRPr="009440AD">
        <w:rPr>
          <w:noProof/>
          <w:lang w:val="en-US"/>
        </w:rPr>
        <w:t>[6]</w:t>
      </w:r>
      <w:r w:rsidR="00E90153" w:rsidRPr="009440AD">
        <w:rPr>
          <w:lang w:val="en-US"/>
        </w:rPr>
        <w:fldChar w:fldCharType="end"/>
      </w:r>
      <w:r w:rsidR="00E90153" w:rsidRPr="009440AD">
        <w:rPr>
          <w:lang w:val="en-US"/>
        </w:rPr>
        <w:t xml:space="preserve"> that would suggest a higher volume of distribution for lipophilic and a lower</w:t>
      </w:r>
      <w:r w:rsidR="002F092D" w:rsidRPr="009440AD">
        <w:rPr>
          <w:lang w:val="en-US"/>
        </w:rPr>
        <w:t xml:space="preserve"> one</w:t>
      </w:r>
      <w:r w:rsidR="00E90153" w:rsidRPr="009440AD">
        <w:rPr>
          <w:lang w:val="en-US"/>
        </w:rPr>
        <w:t xml:space="preserve"> for hydrophilic drugs. Indeed, there are contradictory finding</w:t>
      </w:r>
      <w:r w:rsidR="009440AD">
        <w:rPr>
          <w:lang w:val="en-US"/>
        </w:rPr>
        <w:t>s</w:t>
      </w:r>
      <w:r w:rsidR="00E90153" w:rsidRPr="009440AD">
        <w:rPr>
          <w:lang w:val="en-US"/>
        </w:rPr>
        <w:t xml:space="preserve"> in the literature regarding altered </w:t>
      </w:r>
      <w:r w:rsidR="00E90153" w:rsidRPr="009440AD">
        <w:rPr>
          <w:lang w:val="en-US"/>
        </w:rPr>
        <w:fldChar w:fldCharType="begin">
          <w:fldData xml:space="preserve">PEVuZE5vdGU+PENpdGU+PEF1dGhvcj5WZXN0YWw8L0F1dGhvcj48WWVhcj4xOTc3PC9ZZWFyPjxS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</w:fldData>
        </w:fldChar>
      </w:r>
      <w:r w:rsidR="00AB3317">
        <w:rPr>
          <w:lang w:val="en-US"/>
        </w:rPr>
        <w:instrText xml:space="preserve"> ADDIN EN.CITE </w:instrText>
      </w:r>
      <w:r w:rsidR="00AB3317">
        <w:rPr>
          <w:lang w:val="en-US"/>
        </w:rPr>
        <w:fldChar w:fldCharType="begin">
          <w:fldData xml:space="preserve">PEVuZE5vdGU+PENpdGU+PEF1dGhvcj5WZXN0YWw8L0F1dGhvcj48WWVhcj4xOTc3PC9ZZWFyPjxS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</w:fldData>
        </w:fldChar>
      </w:r>
      <w:r w:rsidR="00AB3317">
        <w:rPr>
          <w:lang w:val="en-US"/>
        </w:rPr>
        <w:instrText xml:space="preserve"> ADDIN EN.CITE.DATA </w:instrText>
      </w:r>
      <w:r w:rsidR="00AB3317">
        <w:rPr>
          <w:lang w:val="en-US"/>
        </w:rPr>
      </w:r>
      <w:r w:rsidR="00AB3317">
        <w:rPr>
          <w:lang w:val="en-US"/>
        </w:rPr>
        <w:fldChar w:fldCharType="end"/>
      </w:r>
      <w:r w:rsidR="00E90153" w:rsidRPr="009440AD">
        <w:rPr>
          <w:lang w:val="en-US"/>
        </w:rPr>
      </w:r>
      <w:r w:rsidR="00E90153" w:rsidRPr="009440AD">
        <w:rPr>
          <w:lang w:val="en-US"/>
        </w:rPr>
        <w:fldChar w:fldCharType="separate"/>
      </w:r>
      <w:r w:rsidR="00AB3317">
        <w:rPr>
          <w:noProof/>
          <w:lang w:val="en-US"/>
        </w:rPr>
        <w:t>[48-50]</w:t>
      </w:r>
      <w:r w:rsidR="00E90153" w:rsidRPr="009440AD">
        <w:rPr>
          <w:lang w:val="en-US"/>
        </w:rPr>
        <w:fldChar w:fldCharType="end"/>
      </w:r>
      <w:r w:rsidR="00E90153" w:rsidRPr="009440AD">
        <w:rPr>
          <w:lang w:val="en-US"/>
        </w:rPr>
        <w:t xml:space="preserve"> and unaltered volume of distribution</w:t>
      </w:r>
      <w:r w:rsidR="002F092D" w:rsidRPr="009440AD">
        <w:rPr>
          <w:lang w:val="en-US"/>
        </w:rPr>
        <w:t>s</w:t>
      </w:r>
      <w:r w:rsidR="00E90153" w:rsidRPr="009440AD">
        <w:rPr>
          <w:lang w:val="en-US"/>
        </w:rPr>
        <w:t xml:space="preserve"> </w:t>
      </w:r>
      <w:r w:rsidR="00E90153" w:rsidRPr="009440AD">
        <w:rPr>
          <w:lang w:val="en-US"/>
        </w:rPr>
        <w:fldChar w:fldCharType="begin">
          <w:fldData xml:space="preserve">PEVuZE5vdGU+PENpdGU+PEF1dGhvcj5DYXN0bGVkZW48L0F1dGhvcj48WWVhcj4xOTc5PC9ZZWFy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</w:fldData>
        </w:fldChar>
      </w:r>
      <w:r w:rsidR="00AB3317">
        <w:rPr>
          <w:lang w:val="en-US"/>
        </w:rPr>
        <w:instrText xml:space="preserve"> ADDIN EN.CITE </w:instrText>
      </w:r>
      <w:r w:rsidR="00AB3317">
        <w:rPr>
          <w:lang w:val="en-US"/>
        </w:rPr>
        <w:fldChar w:fldCharType="begin">
          <w:fldData xml:space="preserve">PEVuZE5vdGU+PENpdGU+PEF1dGhvcj5DYXN0bGVkZW48L0F1dGhvcj48WWVhcj4xOTc5PC9ZZWFy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</w:fldData>
        </w:fldChar>
      </w:r>
      <w:r w:rsidR="00AB3317">
        <w:rPr>
          <w:lang w:val="en-US"/>
        </w:rPr>
        <w:instrText xml:space="preserve"> ADDIN EN.CITE.DATA </w:instrText>
      </w:r>
      <w:r w:rsidR="00AB3317">
        <w:rPr>
          <w:lang w:val="en-US"/>
        </w:rPr>
      </w:r>
      <w:r w:rsidR="00AB3317">
        <w:rPr>
          <w:lang w:val="en-US"/>
        </w:rPr>
        <w:fldChar w:fldCharType="end"/>
      </w:r>
      <w:r w:rsidR="00E90153" w:rsidRPr="009440AD">
        <w:rPr>
          <w:lang w:val="en-US"/>
        </w:rPr>
      </w:r>
      <w:r w:rsidR="00E90153" w:rsidRPr="009440AD">
        <w:rPr>
          <w:lang w:val="en-US"/>
        </w:rPr>
        <w:fldChar w:fldCharType="separate"/>
      </w:r>
      <w:r w:rsidR="00AB3317">
        <w:rPr>
          <w:noProof/>
          <w:lang w:val="en-US"/>
        </w:rPr>
        <w:t>[51-53]</w:t>
      </w:r>
      <w:r w:rsidR="00E90153" w:rsidRPr="009440AD">
        <w:rPr>
          <w:lang w:val="en-US"/>
        </w:rPr>
        <w:fldChar w:fldCharType="end"/>
      </w:r>
      <w:r w:rsidR="002F092D" w:rsidRPr="009440AD">
        <w:rPr>
          <w:lang w:val="en-US"/>
        </w:rPr>
        <w:t xml:space="preserve"> with advanced age</w:t>
      </w:r>
      <w:r w:rsidR="00E90153" w:rsidRPr="009440AD">
        <w:rPr>
          <w:lang w:val="en-US"/>
        </w:rPr>
        <w:t xml:space="preserve">. Cusack </w:t>
      </w:r>
      <w:r w:rsidR="00E90153" w:rsidRPr="009440AD">
        <w:rPr>
          <w:i/>
          <w:lang w:val="en-US"/>
        </w:rPr>
        <w:t>et al.</w:t>
      </w:r>
      <w:r w:rsidR="00E90153" w:rsidRPr="009440AD">
        <w:rPr>
          <w:lang w:val="en-US"/>
        </w:rPr>
        <w:t xml:space="preserve"> investigat</w:t>
      </w:r>
      <w:r w:rsidR="002F092D" w:rsidRPr="009440AD">
        <w:rPr>
          <w:lang w:val="en-US"/>
        </w:rPr>
        <w:t>ed</w:t>
      </w:r>
      <w:r w:rsidR="00E90153" w:rsidRPr="009440AD">
        <w:rPr>
          <w:lang w:val="en-US"/>
        </w:rPr>
        <w:t xml:space="preserve"> digoxin pharmacokinetics in the elderly </w:t>
      </w:r>
      <w:r w:rsidR="002F092D" w:rsidRPr="009440AD">
        <w:rPr>
          <w:lang w:val="en-US"/>
        </w:rPr>
        <w:t xml:space="preserve">and found </w:t>
      </w:r>
      <w:r w:rsidR="00E90153" w:rsidRPr="009440AD">
        <w:rPr>
          <w:lang w:val="en-US"/>
        </w:rPr>
        <w:t xml:space="preserve">that </w:t>
      </w:r>
      <w:r w:rsidR="002F092D" w:rsidRPr="009440AD">
        <w:rPr>
          <w:lang w:val="en-US"/>
        </w:rPr>
        <w:t xml:space="preserve">the </w:t>
      </w:r>
      <w:r w:rsidR="00E90153" w:rsidRPr="009440AD">
        <w:rPr>
          <w:lang w:val="en-US"/>
        </w:rPr>
        <w:t xml:space="preserve">volume of distribution was not different when corrected for body weight </w:t>
      </w:r>
      <w:r w:rsidR="00E90153" w:rsidRPr="009440AD">
        <w:rPr>
          <w:lang w:val="en-US"/>
        </w:rPr>
        <w:fldChar w:fldCharType="begin"/>
      </w:r>
      <w:r w:rsidR="00AB3317">
        <w:rPr>
          <w:lang w:val="en-US"/>
        </w:rPr>
        <w:instrText xml:space="preserve"> ADDIN EN.CITE &lt;EndNote&gt;&lt;Cite&gt;&lt;Author&gt;Cusack&lt;/Author&gt;&lt;Year&gt;1979&lt;/Year&gt;&lt;RecNum&gt;1381&lt;/RecNum&gt;&lt;DisplayText&gt;[54]&lt;/DisplayText&gt;&lt;record&gt;&lt;rec-number&gt;1381&lt;/rec-number&gt;&lt;foreign-keys&gt;&lt;key app="EN" db-id="vawz9xpv5prvt3ed92pxtvpjzzf095ze0r5f" timestamp="1558897210"&gt;1381&lt;/key&gt;&lt;/foreign-keys&gt;&lt;ref-type name="Journal Article"&gt;17&lt;/ref-type&gt;&lt;contributors&gt;&lt;authors&gt;&lt;author&gt;Cusack, Barry&lt;/author&gt;&lt;author&gt;Kelly, John&lt;/author&gt;&lt;author&gt;O&amp;apos;Malley, Kevin&lt;/author&gt;&lt;author&gt;Noel, Jacques&lt;/author&gt;&lt;author&gt;Lavan, John&lt;/author&gt;&lt;author&gt;Horgan, John&lt;/author&gt;&lt;/authors&gt;&lt;/contributors&gt;&lt;titles&gt;&lt;title&gt;Digoxin in the elderly: pharmacokinetic consequences of old age&lt;/title&gt;&lt;secondary-title&gt;Clinical Pharmacology &amp;amp; Therapeutics&lt;/secondary-title&gt;&lt;/titles&gt;&lt;periodical&gt;&lt;full-title&gt;Clinical Pharmacology &amp;amp; Therapeutics&lt;/full-title&gt;&lt;/periodical&gt;&lt;pages&gt;772-776&lt;/pages&gt;&lt;volume&gt;25&lt;/volume&gt;&lt;number&gt;6&lt;/number&gt;&lt;keywords&gt;&lt;keyword&gt;PK&lt;/keyword&gt;&lt;keyword&gt;YvE&lt;/keyword&gt;&lt;keyword&gt;Digoxin&lt;/keyword&gt;&lt;/keywords&gt;&lt;dates&gt;&lt;year&gt;1979&lt;/year&gt;&lt;/dates&gt;&lt;isbn&gt;0009-9236&lt;/isbn&gt;&lt;urls&gt;&lt;/urls&gt;&lt;/record&gt;&lt;/Cite&gt;&lt;/EndNote&gt;</w:instrText>
      </w:r>
      <w:r w:rsidR="00E90153" w:rsidRPr="009440AD">
        <w:rPr>
          <w:lang w:val="en-US"/>
        </w:rPr>
        <w:fldChar w:fldCharType="separate"/>
      </w:r>
      <w:r w:rsidR="00AB3317">
        <w:rPr>
          <w:noProof/>
          <w:lang w:val="en-US"/>
        </w:rPr>
        <w:t>[54]</w:t>
      </w:r>
      <w:r w:rsidR="00E90153" w:rsidRPr="009440AD">
        <w:rPr>
          <w:lang w:val="en-US"/>
        </w:rPr>
        <w:fldChar w:fldCharType="end"/>
      </w:r>
      <w:r w:rsidR="00E90153" w:rsidRPr="009440AD">
        <w:rPr>
          <w:lang w:val="en-US"/>
        </w:rPr>
        <w:t xml:space="preserve">, which was used in </w:t>
      </w:r>
      <w:r w:rsidR="002F092D" w:rsidRPr="009440AD">
        <w:rPr>
          <w:lang w:val="en-US"/>
        </w:rPr>
        <w:t>our</w:t>
      </w:r>
      <w:r w:rsidR="00E90153" w:rsidRPr="009440AD">
        <w:rPr>
          <w:lang w:val="en-US"/>
        </w:rPr>
        <w:t xml:space="preserve"> study.</w:t>
      </w:r>
      <w:r w:rsidR="006412A2" w:rsidRPr="009440AD">
        <w:rPr>
          <w:lang w:val="en-US"/>
        </w:rPr>
        <w:t xml:space="preserve"> </w:t>
      </w:r>
      <w:bookmarkStart w:id="25" w:name="_Hlk16585974"/>
      <w:r w:rsidR="00DA54A3" w:rsidRPr="009440AD">
        <w:rPr>
          <w:lang w:val="en-US"/>
        </w:rPr>
        <w:t xml:space="preserve">Contradictory findings were also found for the main metabolizing enzyme of a drug. Age was found to be a significant covariate for CYP2C9 only in a compact meta-analysis looking at hepatic CYP abundance </w:t>
      </w:r>
      <w:r w:rsidR="00326273" w:rsidRPr="009440AD">
        <w:rPr>
          <w:lang w:val="en-US"/>
        </w:rPr>
        <w:fldChar w:fldCharType="begin"/>
      </w:r>
      <w:r w:rsidR="00AB3317">
        <w:rPr>
          <w:lang w:val="en-US"/>
        </w:rPr>
        <w:instrText xml:space="preserve"> ADDIN EN.CITE &lt;EndNote&gt;&lt;Cite&gt;&lt;Author&gt;Achour&lt;/Author&gt;&lt;Year&gt;2014&lt;/Year&gt;&lt;RecNum&gt;905&lt;/RecNum&gt;&lt;DisplayText&gt;[55]&lt;/DisplayText&gt;&lt;record&gt;&lt;rec-number&gt;905&lt;/rec-number&gt;&lt;foreign-keys&gt;&lt;key app="EN" db-id="vawz9xpv5prvt3ed92pxtvpjzzf095ze0r5f" timestamp="1501492570"&gt;905&lt;/key&gt;&lt;/foreign-keys&gt;&lt;ref-type name="Journal Article"&gt;17&lt;/ref-type&gt;&lt;contributors&gt;&lt;authors&gt;&lt;author&gt;Achour, Brahim&lt;/author&gt;&lt;author&gt;Russell, Matthew R&lt;/author&gt;&lt;author&gt;Barber, Jill&lt;/author&gt;&lt;author&gt;Rostami-Hodjegan, Amin&lt;/author&gt;&lt;/authors&gt;&lt;/contributors&gt;&lt;titles&gt;&lt;title&gt;Simultaneous quantification of the abundance of several cytochrome P450 and uridine 5′-diphospho-glucuronosyltransferase enzymes in human liver microsomes using multiplexed targeted proteomics&lt;/title&gt;&lt;secondary-title&gt;Drug Metabolism and Disposition&lt;/secondary-title&gt;&lt;/titles&gt;&lt;periodical&gt;&lt;full-title&gt;Drug Metabolism and Disposition&lt;/full-title&gt;&lt;/periodical&gt;&lt;pages&gt;500-510&lt;/pages&gt;&lt;volume&gt;42&lt;/volume&gt;&lt;number&gt;4&lt;/number&gt;&lt;keywords&gt;&lt;keyword&gt;PBPK&lt;/keyword&gt;&lt;keyword&gt;hepatic CYP &amp;amp; UGT abundance&lt;/keyword&gt;&lt;/keywords&gt;&lt;dates&gt;&lt;year&gt;2014&lt;/year&gt;&lt;/dates&gt;&lt;isbn&gt;0090-9556&lt;/isbn&gt;&lt;urls&gt;&lt;/urls&gt;&lt;/record&gt;&lt;/Cite&gt;&lt;/EndNote&gt;</w:instrText>
      </w:r>
      <w:r w:rsidR="00326273" w:rsidRPr="009440AD">
        <w:rPr>
          <w:lang w:val="en-US"/>
        </w:rPr>
        <w:fldChar w:fldCharType="separate"/>
      </w:r>
      <w:r w:rsidR="00AB3317">
        <w:rPr>
          <w:noProof/>
          <w:lang w:val="en-US"/>
        </w:rPr>
        <w:t>[55]</w:t>
      </w:r>
      <w:r w:rsidR="00326273" w:rsidRPr="009440AD">
        <w:rPr>
          <w:lang w:val="en-US"/>
        </w:rPr>
        <w:fldChar w:fldCharType="end"/>
      </w:r>
      <w:r w:rsidR="00DA54A3" w:rsidRPr="009440AD">
        <w:rPr>
          <w:lang w:val="en-US"/>
        </w:rPr>
        <w:t xml:space="preserve">. However, in a study investigating probe substrates, age-dependency was detected for CYP1A2, CYP2D6, and CYP2E1 but not CYP2C9 </w:t>
      </w:r>
      <w:r w:rsidR="00326273" w:rsidRPr="009440AD">
        <w:rPr>
          <w:lang w:val="en-US"/>
        </w:rPr>
        <w:fldChar w:fldCharType="begin"/>
      </w:r>
      <w:r w:rsidR="00AB3317">
        <w:rPr>
          <w:lang w:val="en-US"/>
        </w:rPr>
        <w:instrText xml:space="preserve"> ADDIN EN.CITE &lt;EndNote&gt;&lt;Cite&gt;&lt;Author&gt;Parkinson&lt;/Author&gt;&lt;Year&gt;2004&lt;/Year&gt;&lt;RecNum&gt;260&lt;/RecNum&gt;&lt;DisplayText&gt;[56]&lt;/DisplayText&gt;&lt;record&gt;&lt;rec-number&gt;260&lt;/rec-number&gt;&lt;foreign-keys&gt;&lt;key app="EN" db-id="vawz9xpv5prvt3ed92pxtvpjzzf095ze0r5f" timestamp="1488194705"&gt;260&lt;/key&gt;&lt;/foreign-keys&gt;&lt;ref-type name="Journal Article"&gt;17&lt;/ref-type&gt;&lt;contributors&gt;&lt;authors&gt;&lt;author&gt;Parkinson, A&lt;/author&gt;&lt;author&gt;Mudra, DR&lt;/author&gt;&lt;author&gt;Johnson, C&lt;/author&gt;&lt;author&gt;Dwyer, A&lt;/author&gt;&lt;author&gt;Carroll, KM&lt;/author&gt;&lt;/authors&gt;&lt;/contributors&gt;&lt;titles&gt;&lt;title&gt;The effects of gender, age, ethnicity, and liver microsomes and inducibility in cultured human hepatocytes&lt;/title&gt;&lt;secondary-title&gt;Toxicology &amp;amp; Applied Pharmacology&lt;/secondary-title&gt;&lt;/titles&gt;&lt;periodical&gt;&lt;full-title&gt;Toxicology &amp;amp; Applied Pharmacology&lt;/full-title&gt;&lt;/periodical&gt;&lt;pages&gt;193-209&lt;/pages&gt;&lt;volume&gt;199&lt;/volume&gt;&lt;number&gt;3&lt;/number&gt;&lt;keywords&gt;&lt;keyword&gt;geriatric&lt;/keyword&gt;&lt;keyword&gt;hepatocytes&lt;/keyword&gt;&lt;/keywords&gt;&lt;dates&gt;&lt;year&gt;2004&lt;/year&gt;&lt;/dates&gt;&lt;urls&gt;&lt;/urls&gt;&lt;/record&gt;&lt;/Cite&gt;&lt;/EndNote&gt;</w:instrText>
      </w:r>
      <w:r w:rsidR="00326273" w:rsidRPr="009440AD">
        <w:rPr>
          <w:lang w:val="en-US"/>
        </w:rPr>
        <w:fldChar w:fldCharType="separate"/>
      </w:r>
      <w:r w:rsidR="00AB3317">
        <w:rPr>
          <w:noProof/>
          <w:lang w:val="en-US"/>
        </w:rPr>
        <w:t>[56]</w:t>
      </w:r>
      <w:r w:rsidR="00326273" w:rsidRPr="009440AD">
        <w:rPr>
          <w:lang w:val="en-US"/>
        </w:rPr>
        <w:fldChar w:fldCharType="end"/>
      </w:r>
      <w:r w:rsidR="00DA54A3" w:rsidRPr="009440AD">
        <w:rPr>
          <w:lang w:val="en-US"/>
        </w:rPr>
        <w:t>. In contrast, in a third study CYP1A2 activity was reported to be independent of aging</w:t>
      </w:r>
      <w:r w:rsidR="00326273" w:rsidRPr="009440AD">
        <w:rPr>
          <w:lang w:val="en-US"/>
        </w:rPr>
        <w:t xml:space="preserve"> </w:t>
      </w:r>
      <w:r w:rsidR="00326273" w:rsidRPr="009440AD">
        <w:rPr>
          <w:lang w:val="en-US"/>
        </w:rPr>
        <w:fldChar w:fldCharType="begin"/>
      </w:r>
      <w:r w:rsidR="00AB3317">
        <w:rPr>
          <w:lang w:val="en-US"/>
        </w:rPr>
        <w:instrText xml:space="preserve"> ADDIN EN.CITE &lt;EndNote&gt;&lt;Cite&gt;&lt;Author&gt;Simon&lt;/Author&gt;&lt;Year&gt;2001&lt;/Year&gt;&lt;RecNum&gt;394&lt;/RecNum&gt;&lt;DisplayText&gt;[57]&lt;/DisplayText&gt;&lt;record&gt;&lt;rec-number&gt;394&lt;/rec-number&gt;&lt;foreign-keys&gt;&lt;key app="EN" db-id="vawz9xpv5prvt3ed92pxtvpjzzf095ze0r5f" timestamp="1488909436"&gt;394&lt;/key&gt;&lt;/foreign-keys&gt;&lt;ref-type name="Journal Article"&gt;17&lt;/ref-type&gt;&lt;contributors&gt;&lt;authors&gt;&lt;author&gt;Simon, T&lt;/author&gt;&lt;author&gt;Becquemont, L&lt;/author&gt;&lt;author&gt;Hamon, B&lt;/author&gt;&lt;author&gt;Nouyrigat, E&lt;/author&gt;&lt;author&gt;Chodjania, Y&lt;/author&gt;&lt;author&gt;Poirier, JM&lt;/author&gt;&lt;author&gt;Funck</w:instrText>
      </w:r>
      <w:r w:rsidR="00AB3317">
        <w:rPr>
          <w:rFonts w:ascii="Cambria Math" w:hAnsi="Cambria Math" w:cs="Cambria Math"/>
          <w:lang w:val="en-US"/>
        </w:rPr>
        <w:instrText>‐</w:instrText>
      </w:r>
      <w:r w:rsidR="00AB3317">
        <w:rPr>
          <w:lang w:val="en-US"/>
        </w:rPr>
        <w:instrText>Brentano, C&lt;/author&gt;&lt;author&gt;Jaillon, P&lt;/author&gt;&lt;/authors&gt;&lt;/contributors&gt;&lt;titles&gt;&lt;title&gt;Variability of cytochrome P450 1A2 activity over time in young and elderly healthy volunteers&lt;/title&gt;&lt;secondary-title&gt;British Journal of Clinical Pharmacology&lt;/secondary-title&gt;&lt;/titles&gt;&lt;periodical&gt;&lt;full-title&gt;British journal of clinical pharmacology&lt;/full-title&gt;&lt;/periodical&gt;&lt;pages&gt;601-604&lt;/pages&gt;&lt;volume&gt;52&lt;/volume&gt;&lt;number&gt;5&lt;/number&gt;&lt;keywords&gt;&lt;keyword&gt;geriatric&lt;/keyword&gt;&lt;keyword&gt;metabolism&lt;/keyword&gt;&lt;keyword&gt;CYP1A2&lt;/keyword&gt;&lt;/keywords&gt;&lt;dates&gt;&lt;year&gt;2001&lt;/year&gt;&lt;/dates&gt;&lt;isbn&gt;1365-2125&lt;/isbn&gt;&lt;urls&gt;&lt;/urls&gt;&lt;/record&gt;&lt;/Cite&gt;&lt;/EndNote&gt;</w:instrText>
      </w:r>
      <w:r w:rsidR="00326273" w:rsidRPr="009440AD">
        <w:rPr>
          <w:lang w:val="en-US"/>
        </w:rPr>
        <w:fldChar w:fldCharType="separate"/>
      </w:r>
      <w:r w:rsidR="00AB3317">
        <w:rPr>
          <w:noProof/>
          <w:lang w:val="en-US"/>
        </w:rPr>
        <w:t>[57]</w:t>
      </w:r>
      <w:r w:rsidR="00326273" w:rsidRPr="009440AD">
        <w:rPr>
          <w:lang w:val="en-US"/>
        </w:rPr>
        <w:fldChar w:fldCharType="end"/>
      </w:r>
      <w:r w:rsidR="00DA54A3" w:rsidRPr="009440AD">
        <w:rPr>
          <w:lang w:val="en-US"/>
        </w:rPr>
        <w:t xml:space="preserve">. Taken together, the small samples size generally used for analysis and the high biological variability (e.g. for hepatic CYP abundance) prevented a meaningful investigation </w:t>
      </w:r>
      <w:r w:rsidR="008B0C30">
        <w:rPr>
          <w:lang w:val="en-US"/>
        </w:rPr>
        <w:t>concerning</w:t>
      </w:r>
      <w:r w:rsidR="00DA54A3" w:rsidRPr="009440AD">
        <w:rPr>
          <w:lang w:val="en-US"/>
        </w:rPr>
        <w:t xml:space="preserve"> the impact of drug cha</w:t>
      </w:r>
      <w:r w:rsidR="00DA54A3" w:rsidRPr="005902A1">
        <w:rPr>
          <w:lang w:val="en-US"/>
        </w:rPr>
        <w:t xml:space="preserve">racteristics </w:t>
      </w:r>
      <w:r w:rsidR="00DA54A3" w:rsidRPr="0050587F">
        <w:rPr>
          <w:lang w:val="en-US"/>
        </w:rPr>
        <w:t xml:space="preserve">on age-related changes of drug pharmacokinetics. In our presented compact analysis, </w:t>
      </w:r>
      <w:r w:rsidR="00DA54A3" w:rsidRPr="0065491D">
        <w:rPr>
          <w:lang w:val="en-US"/>
        </w:rPr>
        <w:lastRenderedPageBreak/>
        <w:t>we combine clinically observed data and PBPK modelling to demonstrate the described drug characteri</w:t>
      </w:r>
      <w:r w:rsidR="00DA54A3" w:rsidRPr="009440AD">
        <w:rPr>
          <w:lang w:val="en-US"/>
        </w:rPr>
        <w:t xml:space="preserve">stics do not impact </w:t>
      </w:r>
      <w:r w:rsidR="0052163A" w:rsidRPr="009440AD">
        <w:rPr>
          <w:lang w:val="en-US"/>
        </w:rPr>
        <w:t>age-related pharmacokinetic changes significantly.</w:t>
      </w:r>
      <w:bookmarkEnd w:id="25"/>
      <w:r w:rsidR="0052163A" w:rsidRPr="009440AD">
        <w:rPr>
          <w:lang w:val="en-US"/>
        </w:rPr>
        <w:t xml:space="preserve"> </w:t>
      </w:r>
      <w:bookmarkEnd w:id="24"/>
    </w:p>
    <w:p w14:paraId="035BAC4C" w14:textId="1AE52515" w:rsidR="002F092D" w:rsidRPr="009440AD" w:rsidRDefault="005D6900" w:rsidP="004B7EFC">
      <w:pPr>
        <w:rPr>
          <w:lang w:val="en-US"/>
        </w:rPr>
      </w:pPr>
      <w:r w:rsidRPr="009440AD">
        <w:rPr>
          <w:lang w:val="en-US"/>
        </w:rPr>
        <w:t>Blood flows were usually not measured in the clinical studies of the 52 drugs additionally collected</w:t>
      </w:r>
      <w:r w:rsidR="008B0C30">
        <w:rPr>
          <w:lang w:val="en-US"/>
        </w:rPr>
        <w:t xml:space="preserve"> and hence,</w:t>
      </w:r>
      <w:r w:rsidRPr="009440AD">
        <w:rPr>
          <w:lang w:val="en-US"/>
        </w:rPr>
        <w:t xml:space="preserve"> were estimated based on observed data of reduced hepatic and renal blood flow with advanced age</w:t>
      </w:r>
      <w:r w:rsidR="005044A1" w:rsidRPr="009440AD">
        <w:rPr>
          <w:lang w:val="en-US"/>
        </w:rPr>
        <w:t xml:space="preserve"> </w:t>
      </w:r>
      <w:r w:rsidR="005044A1" w:rsidRPr="009440AD">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005044A1" w:rsidRPr="009440AD">
        <w:rPr>
          <w:lang w:val="en-US"/>
        </w:rPr>
        <w:instrText xml:space="preserve"> ADDIN EN.CITE </w:instrText>
      </w:r>
      <w:r w:rsidR="005044A1" w:rsidRPr="006B495B">
        <w:rPr>
          <w:lang w:val="en-US"/>
        </w:rPr>
        <w:fldChar w:fldCharType="begin">
          <w:fldData xml:space="preserve">PEVuZE5vdGU+PENpdGU+PEF1dGhvcj5TdGFkZXI8L0F1dGhvcj48WWVhcj4yMDE5PC9ZZWFyPjxS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</w:fldData>
        </w:fldChar>
      </w:r>
      <w:r w:rsidR="005044A1" w:rsidRPr="009440AD">
        <w:rPr>
          <w:lang w:val="en-US"/>
        </w:rPr>
        <w:instrText xml:space="preserve"> ADDIN EN.CITE.DATA </w:instrText>
      </w:r>
      <w:r w:rsidR="005044A1" w:rsidRPr="006B495B">
        <w:rPr>
          <w:lang w:val="en-US"/>
        </w:rPr>
      </w:r>
      <w:r w:rsidR="005044A1" w:rsidRPr="006B495B">
        <w:rPr>
          <w:lang w:val="en-US"/>
        </w:rPr>
        <w:fldChar w:fldCharType="end"/>
      </w:r>
      <w:r w:rsidR="005044A1" w:rsidRPr="009440AD">
        <w:rPr>
          <w:lang w:val="en-US"/>
        </w:rPr>
      </w:r>
      <w:r w:rsidR="005044A1" w:rsidRPr="009440AD">
        <w:rPr>
          <w:lang w:val="en-US"/>
        </w:rPr>
        <w:fldChar w:fldCharType="separate"/>
      </w:r>
      <w:r w:rsidR="005044A1" w:rsidRPr="009440AD">
        <w:rPr>
          <w:noProof/>
          <w:lang w:val="en-US"/>
        </w:rPr>
        <w:t>[6]</w:t>
      </w:r>
      <w:r w:rsidR="005044A1" w:rsidRPr="009440AD">
        <w:rPr>
          <w:lang w:val="en-US"/>
        </w:rPr>
        <w:fldChar w:fldCharType="end"/>
      </w:r>
      <w:r w:rsidRPr="009440AD">
        <w:rPr>
          <w:lang w:val="en-US"/>
        </w:rPr>
        <w:t xml:space="preserve">, </w:t>
      </w:r>
      <w:r w:rsidR="008B0C30">
        <w:rPr>
          <w:lang w:val="en-US"/>
        </w:rPr>
        <w:t>being</w:t>
      </w:r>
      <w:r w:rsidRPr="009440AD">
        <w:rPr>
          <w:lang w:val="en-US"/>
        </w:rPr>
        <w:t xml:space="preserve"> a limitation of this study. However, Vestal </w:t>
      </w:r>
      <w:r w:rsidRPr="006B495B">
        <w:rPr>
          <w:i/>
          <w:iCs/>
          <w:lang w:val="en-US"/>
        </w:rPr>
        <w:t>et al.</w:t>
      </w:r>
      <w:r w:rsidRPr="009440AD">
        <w:rPr>
          <w:lang w:val="en-US"/>
        </w:rPr>
        <w:t xml:space="preserve"> measured age-related changes of propranolol clearance</w:t>
      </w:r>
      <w:r w:rsidRPr="005902A1">
        <w:rPr>
          <w:lang w:val="en-US"/>
        </w:rPr>
        <w:t>, a purely passively distributed drug,</w:t>
      </w:r>
      <w:r w:rsidRPr="0050587F">
        <w:rPr>
          <w:lang w:val="en-US"/>
        </w:rPr>
        <w:t xml:space="preserve"> and determined hepatic blood flow alterations in the same subjects showing a linear correlation supporting the results of our study </w:t>
      </w:r>
      <w:r w:rsidRPr="009440AD">
        <w:rPr>
          <w:lang w:val="en-US"/>
        </w:rPr>
        <w:fldChar w:fldCharType="begin"/>
      </w:r>
      <w:r w:rsidR="00AB3317">
        <w:rPr>
          <w:lang w:val="en-US"/>
        </w:rPr>
        <w:instrText xml:space="preserve"> ADDIN EN.CITE &lt;EndNote&gt;&lt;Cite&gt;&lt;Author&gt;Vestal&lt;/Author&gt;&lt;Year&gt;1979&lt;/Year&gt;&lt;RecNum&gt;1444&lt;/RecNum&gt;&lt;DisplayText&gt;[58]&lt;/DisplayText&gt;&lt;record&gt;&lt;rec-number&gt;1444&lt;/rec-number&gt;&lt;foreign-keys&gt;&lt;key app="EN" db-id="vawz9xpv5prvt3ed92pxtvpjzzf095ze0r5f" timestamp="1565855278"&gt;1444&lt;/key&gt;&lt;/foreign-keys&gt;&lt;ref-type name="Journal Article"&gt;17&lt;/ref-type&gt;&lt;contributors&gt;&lt;authors&gt;&lt;author&gt;Vestal, RE&lt;/author&gt;&lt;author&gt;Wood, AJJ&lt;/author&gt;&lt;author&gt;Branch, RA&lt;/author&gt;&lt;author&gt;Shand, DG&lt;/author&gt;&lt;author&gt;Wilkinson, GR&lt;/author&gt;&lt;/authors&gt;&lt;/contributors&gt;&lt;titles&gt;&lt;title&gt;Effects of age and cigarette smoking on propranolol disposition&lt;/title&gt;&lt;secondary-title&gt;Clinical Pharmacology &amp;amp; Therapeutics&lt;/secondary-title&gt;&lt;/titles&gt;&lt;periodical&gt;&lt;full-title&gt;Clinical Pharmacology &amp;amp; Therapeutics&lt;/full-title&gt;&lt;/periodical&gt;&lt;pages&gt;8-15&lt;/pages&gt;&lt;volume&gt;26&lt;/volume&gt;&lt;number&gt;1&lt;/number&gt;&lt;keywords&gt;&lt;keyword&gt;YvE&lt;/keyword&gt;&lt;keyword&gt;PK&lt;/keyword&gt;&lt;keyword&gt;propranolol&lt;/keyword&gt;&lt;/keywords&gt;&lt;dates&gt;&lt;year&gt;1979&lt;/year&gt;&lt;/dates&gt;&lt;isbn&gt;0009-9236&lt;/isbn&gt;&lt;urls&gt;&lt;/urls&gt;&lt;/record&gt;&lt;/Cite&gt;&lt;/EndNote&gt;</w:instrText>
      </w:r>
      <w:r w:rsidRPr="009440AD">
        <w:rPr>
          <w:lang w:val="en-US"/>
        </w:rPr>
        <w:fldChar w:fldCharType="separate"/>
      </w:r>
      <w:r w:rsidR="00AB3317">
        <w:rPr>
          <w:noProof/>
          <w:lang w:val="en-US"/>
        </w:rPr>
        <w:t>[58]</w:t>
      </w:r>
      <w:r w:rsidRPr="009440AD">
        <w:rPr>
          <w:lang w:val="en-US"/>
        </w:rPr>
        <w:fldChar w:fldCharType="end"/>
      </w:r>
      <w:r w:rsidRPr="009440AD">
        <w:rPr>
          <w:lang w:val="en-US"/>
        </w:rPr>
        <w:t>.</w:t>
      </w:r>
      <w:r w:rsidR="005044A1" w:rsidRPr="009440AD">
        <w:rPr>
          <w:lang w:val="en-US"/>
        </w:rPr>
        <w:t xml:space="preserve"> Glomerular filtration rate is often determined by measuring creatinine clearance, which is not an ideal marker in the elderly </w:t>
      </w:r>
      <w:r w:rsidR="005044A1" w:rsidRPr="005902A1">
        <w:rPr>
          <w:lang w:val="en-US"/>
        </w:rPr>
        <w:t xml:space="preserve">due to senile sarcopenia in aging subjects </w:t>
      </w:r>
      <w:r w:rsidR="005044A1" w:rsidRPr="009440AD">
        <w:rPr>
          <w:lang w:val="en-US"/>
        </w:rPr>
        <w:fldChar w:fldCharType="begin"/>
      </w:r>
      <w:r w:rsidR="00AB3317">
        <w:rPr>
          <w:lang w:val="en-US"/>
        </w:rPr>
        <w:instrText xml:space="preserve"> ADDIN EN.CITE &lt;EndNote&gt;&lt;Cite&gt;&lt;Author&gt;Musso&lt;/Author&gt;&lt;Year&gt;2011&lt;/Year&gt;&lt;RecNum&gt;843&lt;/RecNum&gt;&lt;DisplayText&gt;[59]&lt;/DisplayText&gt;&lt;record&gt;&lt;rec-number&gt;843&lt;/rec-number&gt;&lt;foreign-keys&gt;&lt;key app="EN" db-id="vawz9xpv5prvt3ed92pxtvpjzzf095ze0r5f" timestamp="1500361632"&gt;843&lt;/key&gt;&lt;/foreign-keys&gt;&lt;ref-type name="Journal Article"&gt;17&lt;/ref-type&gt;&lt;contributors&gt;&lt;authors&gt;&lt;author&gt;Musso, Carlos G&lt;/author&gt;&lt;author&gt;Oreopoulos, Dimitrios G&lt;/author&gt;&lt;/authors&gt;&lt;/contributors&gt;&lt;titles&gt;&lt;title&gt;Aging and physiological changes of the kidneys including changes in glomerular filtration rate&lt;/title&gt;&lt;secondary-title&gt;Nephron Physiology&lt;/secondary-title&gt;&lt;/titles&gt;&lt;periodical&gt;&lt;full-title&gt;Nephron Physiology&lt;/full-title&gt;&lt;/periodical&gt;&lt;pages&gt;p1-p5&lt;/pages&gt;&lt;volume&gt;119&lt;/volume&gt;&lt;number&gt;Suppl. 1&lt;/number&gt;&lt;keywords&gt;&lt;keyword&gt;geriatric&lt;/keyword&gt;&lt;keyword&gt;GFR&lt;/keyword&gt;&lt;keyword&gt;review&lt;/keyword&gt;&lt;/keywords&gt;&lt;dates&gt;&lt;year&gt;2011&lt;/year&gt;&lt;/dates&gt;&lt;isbn&gt;1660-2137&lt;/isbn&gt;&lt;urls&gt;&lt;/urls&gt;&lt;/record&gt;&lt;/Cite&gt;&lt;/EndNote&gt;</w:instrText>
      </w:r>
      <w:r w:rsidR="005044A1" w:rsidRPr="009440AD">
        <w:rPr>
          <w:lang w:val="en-US"/>
        </w:rPr>
        <w:fldChar w:fldCharType="separate"/>
      </w:r>
      <w:r w:rsidR="00AB3317">
        <w:rPr>
          <w:noProof/>
          <w:lang w:val="en-US"/>
        </w:rPr>
        <w:t>[59]</w:t>
      </w:r>
      <w:r w:rsidR="005044A1" w:rsidRPr="009440AD">
        <w:rPr>
          <w:lang w:val="en-US"/>
        </w:rPr>
        <w:fldChar w:fldCharType="end"/>
      </w:r>
      <w:r w:rsidR="005044A1" w:rsidRPr="009440AD">
        <w:rPr>
          <w:lang w:val="en-US"/>
        </w:rPr>
        <w:t xml:space="preserve">, but linear correlations between </w:t>
      </w:r>
      <w:r w:rsidR="009440AD">
        <w:rPr>
          <w:lang w:val="en-US"/>
        </w:rPr>
        <w:t xml:space="preserve">the </w:t>
      </w:r>
      <w:r w:rsidR="005044A1" w:rsidRPr="009440AD">
        <w:rPr>
          <w:lang w:val="en-US"/>
        </w:rPr>
        <w:t xml:space="preserve">rate of glomerular filtration alterations and age-related changes of clearance of mainly renally </w:t>
      </w:r>
      <w:r w:rsidR="009440AD">
        <w:rPr>
          <w:lang w:val="en-US"/>
        </w:rPr>
        <w:t xml:space="preserve">excreted </w:t>
      </w:r>
      <w:r w:rsidR="005044A1" w:rsidRPr="009440AD">
        <w:rPr>
          <w:lang w:val="en-US"/>
        </w:rPr>
        <w:t xml:space="preserve">drugs were shown in numerous different studies </w:t>
      </w:r>
      <w:r w:rsidR="005044A1" w:rsidRPr="009440AD">
        <w:rPr>
          <w:lang w:val="en-US"/>
        </w:rPr>
        <w:fldChar w:fldCharType="begin">
          <w:fldData xml:space="preserve">PEVuZE5vdGU+PENpdGU+PEF1dGhvcj5Ib2NraW5nczwvQXV0aG9yPjxZZWFyPjE5ODY8L1llYXI+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</w:fldData>
        </w:fldChar>
      </w:r>
      <w:r w:rsidR="00AB3317">
        <w:rPr>
          <w:lang w:val="en-US"/>
        </w:rPr>
        <w:instrText xml:space="preserve"> ADDIN EN.CITE </w:instrText>
      </w:r>
      <w:r w:rsidR="00AB3317">
        <w:rPr>
          <w:lang w:val="en-US"/>
        </w:rPr>
        <w:fldChar w:fldCharType="begin">
          <w:fldData xml:space="preserve">PEVuZE5vdGU+PENpdGU+PEF1dGhvcj5Ib2NraW5nczwvQXV0aG9yPjxZZWFyPjE5ODY8L1llYXI+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</w:fldData>
        </w:fldChar>
      </w:r>
      <w:r w:rsidR="00AB3317">
        <w:rPr>
          <w:lang w:val="en-US"/>
        </w:rPr>
        <w:instrText xml:space="preserve"> ADDIN EN.CITE.DATA </w:instrText>
      </w:r>
      <w:r w:rsidR="00AB3317">
        <w:rPr>
          <w:lang w:val="en-US"/>
        </w:rPr>
      </w:r>
      <w:r w:rsidR="00AB3317">
        <w:rPr>
          <w:lang w:val="en-US"/>
        </w:rPr>
        <w:fldChar w:fldCharType="end"/>
      </w:r>
      <w:r w:rsidR="005044A1" w:rsidRPr="009440AD">
        <w:rPr>
          <w:lang w:val="en-US"/>
        </w:rPr>
      </w:r>
      <w:r w:rsidR="005044A1" w:rsidRPr="009440AD">
        <w:rPr>
          <w:lang w:val="en-US"/>
        </w:rPr>
        <w:fldChar w:fldCharType="separate"/>
      </w:r>
      <w:r w:rsidR="00AB3317">
        <w:rPr>
          <w:noProof/>
          <w:lang w:val="en-US"/>
        </w:rPr>
        <w:t>[53, 60, 61]</w:t>
      </w:r>
      <w:r w:rsidR="005044A1" w:rsidRPr="009440AD">
        <w:rPr>
          <w:lang w:val="en-US"/>
        </w:rPr>
        <w:fldChar w:fldCharType="end"/>
      </w:r>
      <w:r w:rsidR="005044A1" w:rsidRPr="009440AD">
        <w:rPr>
          <w:lang w:val="en-US"/>
        </w:rPr>
        <w:t xml:space="preserve"> supporting the findings of the presented work.</w:t>
      </w:r>
    </w:p>
    <w:p w14:paraId="321443E0" w14:textId="77777777" w:rsidR="002F092D" w:rsidRPr="005902A1" w:rsidRDefault="002F092D" w:rsidP="004B7EFC">
      <w:pPr>
        <w:rPr>
          <w:lang w:val="en-US"/>
        </w:rPr>
      </w:pPr>
    </w:p>
    <w:p w14:paraId="00981F07" w14:textId="30CE0AB8" w:rsidR="004B7EFC" w:rsidRPr="009440AD" w:rsidRDefault="004B7EFC" w:rsidP="004B7EFC">
      <w:pPr>
        <w:rPr>
          <w:lang w:val="en-US"/>
        </w:rPr>
      </w:pPr>
      <w:r w:rsidRPr="0065491D">
        <w:rPr>
          <w:lang w:val="en-US"/>
        </w:rPr>
        <w:t xml:space="preserve">Importantly, </w:t>
      </w:r>
      <w:r w:rsidR="00FE475B" w:rsidRPr="0065491D">
        <w:rPr>
          <w:lang w:val="en-US"/>
        </w:rPr>
        <w:t xml:space="preserve">the impact of age was independent of </w:t>
      </w:r>
      <w:r w:rsidR="00DC0CA5" w:rsidRPr="0065491D">
        <w:rPr>
          <w:lang w:val="en-US"/>
        </w:rPr>
        <w:t xml:space="preserve">sex </w:t>
      </w:r>
      <w:r w:rsidR="00FE475B" w:rsidRPr="009440AD">
        <w:rPr>
          <w:lang w:val="en-US"/>
        </w:rPr>
        <w:t>for all investigated drugs</w:t>
      </w:r>
      <w:r w:rsidRPr="009440AD">
        <w:rPr>
          <w:lang w:val="en-US"/>
        </w:rPr>
        <w:t xml:space="preserve">, which is line with </w:t>
      </w:r>
      <w:r w:rsidR="00B06395" w:rsidRPr="009440AD">
        <w:rPr>
          <w:lang w:val="en-US"/>
        </w:rPr>
        <w:t>clinically observed</w:t>
      </w:r>
      <w:r w:rsidRPr="009440AD">
        <w:rPr>
          <w:lang w:val="en-US"/>
        </w:rPr>
        <w:t xml:space="preserve"> data </w:t>
      </w:r>
      <w:r w:rsidRPr="009440AD">
        <w:rPr>
          <w:lang w:val="en-US"/>
        </w:rPr>
        <w:fldChar w:fldCharType="begin">
          <w:fldData xml:space="preserve">PEVuZE5vdGU+PENpdGU+PEF1dGhvcj5HcmVlbmJsYXR0PC9BdXRob3I+PFllYXI+MTk4NDwvWWVh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</w:fldData>
        </w:fldChar>
      </w:r>
      <w:r w:rsidR="00AB3317">
        <w:rPr>
          <w:lang w:val="en-US"/>
        </w:rPr>
        <w:instrText xml:space="preserve"> ADDIN EN.CITE </w:instrText>
      </w:r>
      <w:r w:rsidR="00AB3317">
        <w:rPr>
          <w:lang w:val="en-US"/>
        </w:rPr>
        <w:fldChar w:fldCharType="begin">
          <w:fldData xml:space="preserve">PEVuZE5vdGU+PENpdGU+PEF1dGhvcj5HcmVlbmJsYXR0PC9BdXRob3I+PFllYXI+MTk4NDwvWWVh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</w:fldData>
        </w:fldChar>
      </w:r>
      <w:r w:rsidR="00AB3317">
        <w:rPr>
          <w:lang w:val="en-US"/>
        </w:rPr>
        <w:instrText xml:space="preserve"> ADDIN EN.CITE.DATA </w:instrText>
      </w:r>
      <w:r w:rsidR="00AB3317">
        <w:rPr>
          <w:lang w:val="en-US"/>
        </w:rPr>
      </w:r>
      <w:r w:rsidR="00AB3317">
        <w:rPr>
          <w:lang w:val="en-US"/>
        </w:rPr>
        <w:fldChar w:fldCharType="end"/>
      </w:r>
      <w:r w:rsidRPr="009440AD">
        <w:rPr>
          <w:lang w:val="en-US"/>
        </w:rPr>
      </w:r>
      <w:r w:rsidRPr="009440AD">
        <w:rPr>
          <w:lang w:val="en-US"/>
        </w:rPr>
        <w:fldChar w:fldCharType="separate"/>
      </w:r>
      <w:r w:rsidR="00AB3317">
        <w:rPr>
          <w:noProof/>
          <w:lang w:val="en-US"/>
        </w:rPr>
        <w:t>[34, 41, 62]</w:t>
      </w:r>
      <w:r w:rsidRPr="009440AD">
        <w:rPr>
          <w:lang w:val="en-US"/>
        </w:rPr>
        <w:fldChar w:fldCharType="end"/>
      </w:r>
      <w:r w:rsidRPr="009440AD">
        <w:rPr>
          <w:lang w:val="en-US"/>
        </w:rPr>
        <w:t>.</w:t>
      </w:r>
      <w:r w:rsidR="00B47697" w:rsidRPr="009440AD">
        <w:rPr>
          <w:lang w:val="en-US"/>
        </w:rPr>
        <w:t xml:space="preserve"> However, the pharmacokinetics can differ between women and men</w:t>
      </w:r>
      <w:r w:rsidR="00084953" w:rsidRPr="009440AD">
        <w:rPr>
          <w:lang w:val="en-US"/>
        </w:rPr>
        <w:t xml:space="preserve"> </w:t>
      </w:r>
      <w:r w:rsidR="00C8378F" w:rsidRPr="009440AD">
        <w:rPr>
          <w:lang w:val="en-US"/>
        </w:rPr>
        <w:fldChar w:fldCharType="begin"/>
      </w:r>
      <w:r w:rsidR="00AB3317">
        <w:rPr>
          <w:lang w:val="en-US"/>
        </w:rPr>
        <w:instrText xml:space="preserve"> ADDIN EN.CITE &lt;EndNote&gt;&lt;Cite&gt;&lt;Author&gt;Soldin&lt;/Author&gt;&lt;Year&gt;2009&lt;/Year&gt;&lt;RecNum&gt;1318&lt;/RecNum&gt;&lt;DisplayText&gt;[63]&lt;/DisplayText&gt;&lt;record&gt;&lt;rec-number&gt;1318&lt;/rec-number&gt;&lt;foreign-keys&gt;&lt;key app="EN" db-id="vawz9xpv5prvt3ed92pxtvpjzzf095ze0r5f" timestamp="1552078881"&gt;1318&lt;/key&gt;&lt;/foreign-keys&gt;&lt;ref-type name="Journal Article"&gt;17&lt;/ref-type&gt;&lt;contributors&gt;&lt;authors&gt;&lt;author&gt;Soldin, Offie P&lt;/author&gt;&lt;author&gt;Mattison, Donald R&lt;/author&gt;&lt;/authors&gt;&lt;/contributors&gt;&lt;titles&gt;&lt;title&gt;Sex differences in pharmacokinetics and pharmacodynamics&lt;/title&gt;&lt;secondary-title&gt;Clinical Pharmacokinetics&lt;/secondary-title&gt;&lt;/titles&gt;&lt;periodical&gt;&lt;full-title&gt;Clinical Pharmacokinetics&lt;/full-title&gt;&lt;/periodical&gt;&lt;pages&gt;143-157&lt;/pages&gt;&lt;volume&gt;48&lt;/volume&gt;&lt;number&gt;3&lt;/number&gt;&lt;keywords&gt;&lt;keyword&gt;PK&lt;/keyword&gt;&lt;keyword&gt;sex differences&lt;/keyword&gt;&lt;/keywords&gt;&lt;dates&gt;&lt;year&gt;2009&lt;/year&gt;&lt;/dates&gt;&lt;isbn&gt;0312-5963&lt;/isbn&gt;&lt;urls&gt;&lt;/urls&gt;&lt;/record&gt;&lt;/Cite&gt;&lt;/EndNote&gt;</w:instrText>
      </w:r>
      <w:r w:rsidR="00C8378F" w:rsidRPr="009440AD">
        <w:rPr>
          <w:lang w:val="en-US"/>
        </w:rPr>
        <w:fldChar w:fldCharType="separate"/>
      </w:r>
      <w:r w:rsidR="00AB3317">
        <w:rPr>
          <w:noProof/>
          <w:lang w:val="en-US"/>
        </w:rPr>
        <w:t>[63]</w:t>
      </w:r>
      <w:r w:rsidR="00C8378F" w:rsidRPr="009440AD">
        <w:rPr>
          <w:lang w:val="en-US"/>
        </w:rPr>
        <w:fldChar w:fldCharType="end"/>
      </w:r>
      <w:r w:rsidR="009440AD">
        <w:rPr>
          <w:lang w:val="en-US"/>
        </w:rPr>
        <w:t xml:space="preserve"> and</w:t>
      </w:r>
      <w:r w:rsidR="00084953" w:rsidRPr="009440AD" w:rsidDel="00084953">
        <w:rPr>
          <w:lang w:val="en-US"/>
        </w:rPr>
        <w:t xml:space="preserve"> </w:t>
      </w:r>
      <w:r w:rsidR="00C83A4E" w:rsidRPr="009440AD">
        <w:rPr>
          <w:lang w:val="en-US"/>
        </w:rPr>
        <w:t>therefore</w:t>
      </w:r>
      <w:r w:rsidR="009440AD">
        <w:rPr>
          <w:lang w:val="en-US"/>
        </w:rPr>
        <w:t>,</w:t>
      </w:r>
      <w:r w:rsidR="00B47697" w:rsidRPr="009440AD">
        <w:rPr>
          <w:lang w:val="en-US"/>
        </w:rPr>
        <w:t xml:space="preserve"> more research is needed to investigate the impact of </w:t>
      </w:r>
      <w:r w:rsidR="00DC0CA5" w:rsidRPr="009440AD">
        <w:rPr>
          <w:lang w:val="en-US"/>
        </w:rPr>
        <w:t xml:space="preserve">sex </w:t>
      </w:r>
      <w:r w:rsidR="00B47697" w:rsidRPr="009440AD">
        <w:rPr>
          <w:lang w:val="en-US"/>
        </w:rPr>
        <w:t>in combination with aging.</w:t>
      </w:r>
    </w:p>
    <w:p w14:paraId="66EB0C88" w14:textId="77777777" w:rsidR="004B7EFC" w:rsidRPr="005902A1" w:rsidRDefault="004B7EFC" w:rsidP="006136DA">
      <w:pPr>
        <w:rPr>
          <w:lang w:val="en-US"/>
        </w:rPr>
      </w:pPr>
    </w:p>
    <w:p w14:paraId="624CB810" w14:textId="0CE55FEE" w:rsidR="00C53C2F" w:rsidRPr="005902A1" w:rsidRDefault="004B7EFC" w:rsidP="006136DA">
      <w:pPr>
        <w:rPr>
          <w:lang w:val="en-US"/>
        </w:rPr>
      </w:pPr>
      <w:r w:rsidRPr="0065491D">
        <w:rPr>
          <w:lang w:val="en-US"/>
        </w:rPr>
        <w:t>A clear limitation</w:t>
      </w:r>
      <w:r w:rsidR="00FE475B" w:rsidRPr="0065491D">
        <w:rPr>
          <w:lang w:val="en-US"/>
        </w:rPr>
        <w:t xml:space="preserve"> of </w:t>
      </w:r>
      <w:r w:rsidR="00A836B3" w:rsidRPr="0065491D">
        <w:rPr>
          <w:lang w:val="en-US"/>
        </w:rPr>
        <w:t>our</w:t>
      </w:r>
      <w:r w:rsidR="00FE475B" w:rsidRPr="0065491D">
        <w:rPr>
          <w:lang w:val="en-US"/>
        </w:rPr>
        <w:t xml:space="preserve"> study</w:t>
      </w:r>
      <w:r w:rsidRPr="0065491D">
        <w:rPr>
          <w:lang w:val="en-US"/>
        </w:rPr>
        <w:t xml:space="preserve"> is that </w:t>
      </w:r>
      <w:r w:rsidR="00B46327" w:rsidRPr="009440AD">
        <w:rPr>
          <w:lang w:val="en-US"/>
        </w:rPr>
        <w:t>clinical pharmacokinetic data for individuals aged older than 8</w:t>
      </w:r>
      <w:r w:rsidR="006412A2" w:rsidRPr="009440AD">
        <w:rPr>
          <w:lang w:val="en-US"/>
        </w:rPr>
        <w:t>5</w:t>
      </w:r>
      <w:r w:rsidR="00B46327" w:rsidRPr="009440AD">
        <w:rPr>
          <w:lang w:val="en-US"/>
        </w:rPr>
        <w:t xml:space="preserve"> years are sparse and thus, the </w:t>
      </w:r>
      <w:r w:rsidR="008D32D4" w:rsidRPr="009440AD">
        <w:rPr>
          <w:lang w:val="en-US"/>
        </w:rPr>
        <w:t xml:space="preserve">simulation </w:t>
      </w:r>
      <w:r w:rsidR="00B46327" w:rsidRPr="009440AD">
        <w:rPr>
          <w:lang w:val="en-US"/>
        </w:rPr>
        <w:t>results in this age group need to be interpret</w:t>
      </w:r>
      <w:r w:rsidR="00E13C9A" w:rsidRPr="009440AD">
        <w:rPr>
          <w:lang w:val="en-US"/>
        </w:rPr>
        <w:t>ed</w:t>
      </w:r>
      <w:r w:rsidR="00B46327" w:rsidRPr="009440AD">
        <w:rPr>
          <w:lang w:val="en-US"/>
        </w:rPr>
        <w:t xml:space="preserve"> with caution.</w:t>
      </w:r>
      <w:r w:rsidR="00F33B9C" w:rsidRPr="009440AD">
        <w:rPr>
          <w:lang w:val="en-US"/>
        </w:rPr>
        <w:t xml:space="preserve"> </w:t>
      </w:r>
      <w:r w:rsidR="002D7ABD" w:rsidRPr="009440AD">
        <w:rPr>
          <w:lang w:val="en-US"/>
        </w:rPr>
        <w:t>Furthermore, clinical data</w:t>
      </w:r>
      <w:r w:rsidR="00E13C9A" w:rsidRPr="009440AD">
        <w:rPr>
          <w:lang w:val="en-US"/>
        </w:rPr>
        <w:t>,</w:t>
      </w:r>
      <w:r w:rsidR="002D7ABD" w:rsidRPr="009440AD">
        <w:rPr>
          <w:lang w:val="en-US"/>
        </w:rPr>
        <w:t xml:space="preserve"> as well as the virtual population used in this study</w:t>
      </w:r>
      <w:r w:rsidR="00E13C9A" w:rsidRPr="009440AD">
        <w:rPr>
          <w:lang w:val="en-US"/>
        </w:rPr>
        <w:t>,</w:t>
      </w:r>
      <w:r w:rsidR="002D7ABD" w:rsidRPr="009440AD">
        <w:rPr>
          <w:lang w:val="en-US"/>
        </w:rPr>
        <w:t xml:space="preserve"> represent healthy elderly individuals. It is known that certain </w:t>
      </w:r>
      <w:r w:rsidR="005654DD" w:rsidRPr="009440AD">
        <w:rPr>
          <w:lang w:val="en-US"/>
        </w:rPr>
        <w:t>comorbidities</w:t>
      </w:r>
      <w:r w:rsidR="00E13C9A" w:rsidRPr="009440AD">
        <w:rPr>
          <w:lang w:val="en-US"/>
        </w:rPr>
        <w:t xml:space="preserve">, </w:t>
      </w:r>
      <w:r w:rsidR="002D7ABD" w:rsidRPr="009440AD">
        <w:rPr>
          <w:lang w:val="en-US"/>
        </w:rPr>
        <w:t xml:space="preserve">for instance renal impairment </w:t>
      </w:r>
      <w:r w:rsidR="002D7ABD" w:rsidRPr="009440AD">
        <w:rPr>
          <w:lang w:val="en-US"/>
        </w:rPr>
        <w:fldChar w:fldCharType="begin"/>
      </w:r>
      <w:r w:rsidR="00AB3317">
        <w:rPr>
          <w:lang w:val="en-US"/>
        </w:rPr>
        <w:instrText xml:space="preserve"> ADDIN EN.CITE &lt;EndNote&gt;&lt;Cite&gt;&lt;Author&gt;Rowland Yeo&lt;/Author&gt;&lt;Year&gt;2011&lt;/Year&gt;&lt;RecNum&gt;323&lt;/RecNum&gt;&lt;DisplayText&gt;[64]&lt;/DisplayText&gt;&lt;record&gt;&lt;rec-number&gt;323&lt;/rec-number&gt;&lt;foreign-keys&gt;&lt;key app="EN" db-id="vawz9xpv5prvt3ed92pxtvpjzzf095ze0r5f" timestamp="1488556709"&gt;323&lt;/key&gt;&lt;/foreign-keys&gt;&lt;ref-type name="Journal Article"&gt;17&lt;/ref-type&gt;&lt;contributors&gt;&lt;authors&gt;&lt;author&gt;Rowland Yeo, Karen&lt;/author&gt;&lt;author&gt;Aarabi, Mohsen&lt;/author&gt;&lt;author&gt;Jamei, Masoud&lt;/author&gt;&lt;author&gt;Rostami-Hodjegan, Amin&lt;/author&gt;&lt;/authors&gt;&lt;/contributors&gt;&lt;titles&gt;&lt;title&gt;Modeling and predicting drug pharmacokinetics in patients with renal impairment&lt;/title&gt;&lt;secondary-title&gt;Expert Review of Clinical Pharmacology&lt;/secondary-title&gt;&lt;/titles&gt;&lt;periodical&gt;&lt;full-title&gt;Expert review of clinical pharmacology&lt;/full-title&gt;&lt;/periodical&gt;&lt;pages&gt;261-274&lt;/pages&gt;&lt;volume&gt;4&lt;/volume&gt;&lt;number&gt;2&lt;/number&gt;&lt;keywords&gt;&lt;keyword&gt;PBPK&lt;/keyword&gt;&lt;keyword&gt;renal impairment&lt;/keyword&gt;&lt;keyword&gt;CYP metabolism&lt;/keyword&gt;&lt;/keywords&gt;&lt;dates&gt;&lt;year&gt;2011&lt;/year&gt;&lt;/dates&gt;&lt;isbn&gt;1751-2433&lt;/isbn&gt;&lt;urls&gt;&lt;/urls&gt;&lt;/record&gt;&lt;/Cite&gt;&lt;/EndNote&gt;</w:instrText>
      </w:r>
      <w:r w:rsidR="002D7ABD" w:rsidRPr="009440AD">
        <w:rPr>
          <w:lang w:val="en-US"/>
        </w:rPr>
        <w:fldChar w:fldCharType="separate"/>
      </w:r>
      <w:r w:rsidR="00AB3317">
        <w:rPr>
          <w:noProof/>
          <w:lang w:val="en-US"/>
        </w:rPr>
        <w:t>[64]</w:t>
      </w:r>
      <w:r w:rsidR="002D7ABD" w:rsidRPr="009440AD">
        <w:rPr>
          <w:lang w:val="en-US"/>
        </w:rPr>
        <w:fldChar w:fldCharType="end"/>
      </w:r>
      <w:r w:rsidR="005654DD" w:rsidRPr="009440AD">
        <w:rPr>
          <w:lang w:val="en-US"/>
        </w:rPr>
        <w:t>,</w:t>
      </w:r>
      <w:r w:rsidR="002D7ABD" w:rsidRPr="009440AD">
        <w:rPr>
          <w:lang w:val="en-US"/>
        </w:rPr>
        <w:t xml:space="preserve"> liver cirrhosis </w:t>
      </w:r>
      <w:r w:rsidR="002D7ABD" w:rsidRPr="009440AD">
        <w:rPr>
          <w:lang w:val="en-US"/>
        </w:rPr>
        <w:fldChar w:fldCharType="begin"/>
      </w:r>
      <w:r w:rsidR="00AB3317">
        <w:rPr>
          <w:lang w:val="en-US"/>
        </w:rPr>
        <w:instrText xml:space="preserve"> ADDIN EN.CITE &lt;EndNote&gt;&lt;Cite&gt;&lt;Author&gt;Johnson&lt;/Author&gt;&lt;Year&gt;2010&lt;/Year&gt;&lt;RecNum&gt;121&lt;/RecNum&gt;&lt;DisplayText&gt;[65]&lt;/DisplayText&gt;&lt;record&gt;&lt;rec-number&gt;121&lt;/rec-number&gt;&lt;foreign-keys&gt;&lt;key app="EN" db-id="vawz9xpv5prvt3ed92pxtvpjzzf095ze0r5f" timestamp="1487068424"&gt;121&lt;/key&gt;&lt;/foreign-keys&gt;&lt;ref-type name="Journal Article"&gt;17&lt;/ref-type&gt;&lt;contributors&gt;&lt;authors&gt;&lt;author&gt;Johnson, Trevor N&lt;/author&gt;&lt;author&gt;Boussery, Koen&lt;/author&gt;&lt;author&gt;Rowland-Yeo, Karen&lt;/author&gt;&lt;author&gt;Tucker, Geoffrey T&lt;/author&gt;&lt;author&gt;Rostami-Hodjegan, Amin&lt;/author&gt;&lt;/authors&gt;&lt;/contributors&gt;&lt;titles&gt;&lt;title&gt;A semi-mechanistic model to predict the effects of liver cirrhosis on drug clearance&lt;/title&gt;&lt;secondary-title&gt;Clinical Pharmacokinetics&lt;/secondary-title&gt;&lt;/titles&gt;&lt;periodical&gt;&lt;full-title&gt;Clinical Pharmacokinetics&lt;/full-title&gt;&lt;/periodical&gt;&lt;pages&gt;189-206&lt;/pages&gt;&lt;volume&gt;49&lt;/volume&gt;&lt;number&gt;3&lt;/number&gt;&lt;keywords&gt;&lt;keyword&gt;PBPK&lt;/keyword&gt;&lt;keyword&gt;special pop&lt;/keyword&gt;&lt;keyword&gt;liver cirrhosis&lt;/keyword&gt;&lt;/keywords&gt;&lt;dates&gt;&lt;year&gt;2010&lt;/year&gt;&lt;/dates&gt;&lt;isbn&gt;0312-5963&lt;/isbn&gt;&lt;urls&gt;&lt;/urls&gt;&lt;/record&gt;&lt;/Cite&gt;&lt;/EndNote&gt;</w:instrText>
      </w:r>
      <w:r w:rsidR="002D7ABD" w:rsidRPr="009440AD">
        <w:rPr>
          <w:lang w:val="en-US"/>
        </w:rPr>
        <w:fldChar w:fldCharType="separate"/>
      </w:r>
      <w:r w:rsidR="00AB3317">
        <w:rPr>
          <w:noProof/>
          <w:lang w:val="en-US"/>
        </w:rPr>
        <w:t>[65]</w:t>
      </w:r>
      <w:r w:rsidR="002D7ABD" w:rsidRPr="009440AD">
        <w:rPr>
          <w:lang w:val="en-US"/>
        </w:rPr>
        <w:fldChar w:fldCharType="end"/>
      </w:r>
      <w:r w:rsidR="002D7ABD" w:rsidRPr="009440AD">
        <w:rPr>
          <w:lang w:val="en-US"/>
        </w:rPr>
        <w:t xml:space="preserve"> </w:t>
      </w:r>
      <w:r w:rsidR="005654DD" w:rsidRPr="009440AD">
        <w:rPr>
          <w:lang w:val="en-US"/>
        </w:rPr>
        <w:t xml:space="preserve">or heart disease </w:t>
      </w:r>
      <w:r w:rsidR="009C75FF" w:rsidRPr="009440AD">
        <w:rPr>
          <w:lang w:val="en-US"/>
        </w:rPr>
        <w:fldChar w:fldCharType="begin"/>
      </w:r>
      <w:r w:rsidR="00AB3317">
        <w:rPr>
          <w:lang w:val="en-US"/>
        </w:rPr>
        <w:instrText xml:space="preserve"> ADDIN EN.CITE &lt;EndNote&gt;&lt;Cite&gt;&lt;Author&gt;Rodighiero&lt;/Author&gt;&lt;Year&gt;1989&lt;/Year&gt;&lt;RecNum&gt;1288&lt;/RecNum&gt;&lt;DisplayText&gt;[66]&lt;/DisplayText&gt;&lt;record&gt;&lt;rec-number&gt;1288&lt;/rec-number&gt;&lt;foreign-keys&gt;&lt;key app="EN" db-id="vawz9xpv5prvt3ed92pxtvpjzzf095ze0r5f" timestamp="1550128479"&gt;1288&lt;/key&gt;&lt;/foreign-keys&gt;&lt;ref-type name="Journal Article"&gt;17&lt;/ref-type&gt;&lt;contributors&gt;&lt;authors&gt;&lt;author&gt;Rodighiero, Vanni&lt;/author&gt;&lt;/authors&gt;&lt;/contributors&gt;&lt;titles&gt;&lt;title&gt;Effects of cardiovascular disease on pharmacokinetics&lt;/title&gt;&lt;secondary-title&gt;Cardiovascular Drugs and Therapy&lt;/secondary-title&gt;&lt;/titles&gt;&lt;periodical&gt;&lt;full-title&gt;Cardiovascular drugs and therapy&lt;/full-title&gt;&lt;/periodical&gt;&lt;pages&gt;711-730&lt;/pages&gt;&lt;volume&gt;3&lt;/volume&gt;&lt;number&gt;5&lt;/number&gt;&lt;keywords&gt;&lt;keyword&gt;Elderly&lt;/keyword&gt;&lt;keyword&gt;cardiovascular&lt;/keyword&gt;&lt;keyword&gt;PK&lt;/keyword&gt;&lt;/keywords&gt;&lt;dates&gt;&lt;year&gt;1989&lt;/year&gt;&lt;/dates&gt;&lt;isbn&gt;0920-3206&lt;/isbn&gt;&lt;urls&gt;&lt;/urls&gt;&lt;/record&gt;&lt;/Cite&gt;&lt;/EndNote&gt;</w:instrText>
      </w:r>
      <w:r w:rsidR="009C75FF" w:rsidRPr="009440AD">
        <w:rPr>
          <w:lang w:val="en-US"/>
        </w:rPr>
        <w:fldChar w:fldCharType="separate"/>
      </w:r>
      <w:r w:rsidR="00AB3317">
        <w:rPr>
          <w:noProof/>
          <w:lang w:val="en-US"/>
        </w:rPr>
        <w:t>[66]</w:t>
      </w:r>
      <w:r w:rsidR="009C75FF" w:rsidRPr="009440AD">
        <w:rPr>
          <w:lang w:val="en-US"/>
        </w:rPr>
        <w:fldChar w:fldCharType="end"/>
      </w:r>
      <w:r w:rsidR="009C75FF" w:rsidRPr="009440AD">
        <w:rPr>
          <w:lang w:val="en-US"/>
        </w:rPr>
        <w:t xml:space="preserve"> </w:t>
      </w:r>
      <w:r w:rsidR="002D7ABD" w:rsidRPr="009440AD">
        <w:rPr>
          <w:lang w:val="en-US"/>
        </w:rPr>
        <w:t>can change physiology and</w:t>
      </w:r>
      <w:r w:rsidR="00E13C9A" w:rsidRPr="009440AD">
        <w:rPr>
          <w:lang w:val="en-US"/>
        </w:rPr>
        <w:t xml:space="preserve"> thus</w:t>
      </w:r>
      <w:r w:rsidR="002D7ABD" w:rsidRPr="009440AD">
        <w:rPr>
          <w:lang w:val="en-US"/>
        </w:rPr>
        <w:t xml:space="preserve"> impact drug pharmacokinetics. Whether those physiological changes are more pronounced in elderly adults needs to be determined.</w:t>
      </w:r>
    </w:p>
    <w:p w14:paraId="343E3061" w14:textId="77777777" w:rsidR="008C340A" w:rsidRPr="0065491D" w:rsidRDefault="008C340A" w:rsidP="006136DA">
      <w:pPr>
        <w:rPr>
          <w:lang w:val="en-US"/>
        </w:rPr>
      </w:pPr>
    </w:p>
    <w:p w14:paraId="4168E9EA" w14:textId="25339F6A" w:rsidR="00DE2844" w:rsidRPr="0065491D" w:rsidRDefault="00D8483C" w:rsidP="00C53C2F">
      <w:pPr>
        <w:rPr>
          <w:lang w:val="en-US"/>
        </w:rPr>
      </w:pPr>
      <w:r w:rsidRPr="0065491D">
        <w:rPr>
          <w:lang w:val="en-US"/>
        </w:rPr>
        <w:t>It should be emphasized that age</w:t>
      </w:r>
      <w:r w:rsidR="00DB4D69" w:rsidRPr="0065491D">
        <w:rPr>
          <w:lang w:val="en-US"/>
        </w:rPr>
        <w:t xml:space="preserve">-related changes in physiology and biology </w:t>
      </w:r>
      <w:r w:rsidRPr="0065491D">
        <w:rPr>
          <w:lang w:val="en-US"/>
        </w:rPr>
        <w:t xml:space="preserve">do not </w:t>
      </w:r>
      <w:r w:rsidR="00DE5B04" w:rsidRPr="009440AD">
        <w:rPr>
          <w:lang w:val="en-US"/>
        </w:rPr>
        <w:t xml:space="preserve">just </w:t>
      </w:r>
      <w:r w:rsidR="00DB4D69" w:rsidRPr="009440AD">
        <w:rPr>
          <w:lang w:val="en-US"/>
        </w:rPr>
        <w:t xml:space="preserve">impact </w:t>
      </w:r>
      <w:r w:rsidR="00BE6D6C" w:rsidRPr="009440AD">
        <w:rPr>
          <w:lang w:val="en-US"/>
        </w:rPr>
        <w:t>pharmacokinetics but</w:t>
      </w:r>
      <w:r w:rsidR="00DB4D69" w:rsidRPr="009440AD">
        <w:rPr>
          <w:lang w:val="en-US"/>
        </w:rPr>
        <w:t xml:space="preserve"> </w:t>
      </w:r>
      <w:r w:rsidR="00DE5B04" w:rsidRPr="009440AD">
        <w:rPr>
          <w:lang w:val="en-US"/>
        </w:rPr>
        <w:t xml:space="preserve">also </w:t>
      </w:r>
      <w:r w:rsidR="00DB4D69" w:rsidRPr="009440AD">
        <w:rPr>
          <w:lang w:val="en-US"/>
        </w:rPr>
        <w:t>modify</w:t>
      </w:r>
      <w:r w:rsidRPr="009440AD">
        <w:rPr>
          <w:lang w:val="en-US"/>
        </w:rPr>
        <w:t xml:space="preserve"> </w:t>
      </w:r>
      <w:r w:rsidR="00DB4D69" w:rsidRPr="009440AD">
        <w:rPr>
          <w:lang w:val="en-US"/>
        </w:rPr>
        <w:t xml:space="preserve">the pharmacodynamic of drugs resulting in </w:t>
      </w:r>
      <w:r w:rsidR="00C8378F" w:rsidRPr="009440AD">
        <w:rPr>
          <w:lang w:val="en-US"/>
        </w:rPr>
        <w:t xml:space="preserve">altered </w:t>
      </w:r>
      <w:r w:rsidR="00DB4D69" w:rsidRPr="009440AD">
        <w:rPr>
          <w:lang w:val="en-US"/>
        </w:rPr>
        <w:t>drug effect</w:t>
      </w:r>
      <w:r w:rsidR="00C8378F" w:rsidRPr="009440AD">
        <w:rPr>
          <w:lang w:val="en-US"/>
        </w:rPr>
        <w:t>s</w:t>
      </w:r>
      <w:r w:rsidR="00DB4D69" w:rsidRPr="009440AD">
        <w:rPr>
          <w:lang w:val="en-US"/>
        </w:rPr>
        <w:t xml:space="preserve">. Differences in the effects of drugs in the elderly can be explained by changes in the number of </w:t>
      </w:r>
      <w:r w:rsidRPr="009440AD">
        <w:rPr>
          <w:lang w:val="en-US"/>
        </w:rPr>
        <w:t>receptors</w:t>
      </w:r>
      <w:r w:rsidR="00DB4D69" w:rsidRPr="009440AD">
        <w:rPr>
          <w:lang w:val="en-US"/>
        </w:rPr>
        <w:t xml:space="preserve">, the affinity of the drugs to its </w:t>
      </w:r>
      <w:r w:rsidRPr="009440AD">
        <w:rPr>
          <w:lang w:val="en-US"/>
        </w:rPr>
        <w:t xml:space="preserve">receptor </w:t>
      </w:r>
      <w:r w:rsidR="00DB4D69" w:rsidRPr="009440AD">
        <w:rPr>
          <w:lang w:val="en-US"/>
        </w:rPr>
        <w:t>as well as changes in</w:t>
      </w:r>
      <w:r w:rsidR="00A836B3" w:rsidRPr="009440AD">
        <w:rPr>
          <w:lang w:val="en-US"/>
        </w:rPr>
        <w:t xml:space="preserve"> </w:t>
      </w:r>
      <w:r w:rsidR="00C8378F" w:rsidRPr="009440AD">
        <w:rPr>
          <w:lang w:val="en-US"/>
        </w:rPr>
        <w:t>physiological and</w:t>
      </w:r>
      <w:r w:rsidR="00DB4D69" w:rsidRPr="009440AD">
        <w:rPr>
          <w:lang w:val="en-US"/>
        </w:rPr>
        <w:t xml:space="preserve"> homeostatic processes with aging </w:t>
      </w:r>
      <w:r w:rsidR="00DB4D69" w:rsidRPr="009440AD">
        <w:rPr>
          <w:lang w:val="en-US"/>
        </w:rPr>
        <w:fldChar w:fldCharType="begin"/>
      </w:r>
      <w:r w:rsidR="00AB3317">
        <w:rPr>
          <w:lang w:val="en-US"/>
        </w:rPr>
        <w:instrText xml:space="preserve"> ADDIN EN.CITE &lt;EndNote&gt;&lt;Cite&gt;&lt;Author&gt;Wooten&lt;/Author&gt;&lt;Year&gt;2012&lt;/Year&gt;&lt;RecNum&gt;1267&lt;/RecNum&gt;&lt;DisplayText&gt;[67]&lt;/DisplayText&gt;&lt;record&gt;&lt;rec-number&gt;1267&lt;/rec-number&gt;&lt;foreign-keys&gt;&lt;key app="EN" db-id="vawz9xpv5prvt3ed92pxtvpjzzf095ze0r5f" timestamp="1549512606"&gt;1267&lt;/key&gt;&lt;/foreign-keys&gt;&lt;ref-type name="Journal Article"&gt;17&lt;/ref-type&gt;&lt;contributors&gt;&lt;authors&gt;&lt;author&gt;Wooten, James M&lt;/author&gt;&lt;/authors&gt;&lt;/contributors&gt;&lt;titles&gt;&lt;title&gt;Pharmacotherapy considerations in elderly adults&lt;/title&gt;&lt;secondary-title&gt;Southern Medical Journal&lt;/secondary-title&gt;&lt;/titles&gt;&lt;periodical&gt;&lt;full-title&gt;Southern Medical Journal&lt;/full-title&gt;&lt;/periodical&gt;&lt;pages&gt;437-445&lt;/pages&gt;&lt;volume&gt;105&lt;/volume&gt;&lt;number&gt;8&lt;/number&gt;&lt;keywords&gt;&lt;keyword&gt;Elderly&lt;/keyword&gt;&lt;keyword&gt;PD&lt;/keyword&gt;&lt;/keywords&gt;&lt;dates&gt;&lt;year&gt;2012&lt;/year&gt;&lt;/dates&gt;&lt;urls&gt;&lt;/urls&gt;&lt;/record&gt;&lt;/Cite&gt;&lt;/EndNote&gt;</w:instrText>
      </w:r>
      <w:r w:rsidR="00DB4D69" w:rsidRPr="009440AD">
        <w:rPr>
          <w:lang w:val="en-US"/>
        </w:rPr>
        <w:fldChar w:fldCharType="separate"/>
      </w:r>
      <w:r w:rsidR="00AB3317">
        <w:rPr>
          <w:noProof/>
          <w:lang w:val="en-US"/>
        </w:rPr>
        <w:t>[67]</w:t>
      </w:r>
      <w:r w:rsidR="00DB4D69" w:rsidRPr="009440AD">
        <w:rPr>
          <w:lang w:val="en-US"/>
        </w:rPr>
        <w:fldChar w:fldCharType="end"/>
      </w:r>
      <w:r w:rsidR="00DB4D69" w:rsidRPr="009440AD">
        <w:rPr>
          <w:lang w:val="en-US"/>
        </w:rPr>
        <w:t>. Elderly</w:t>
      </w:r>
      <w:r w:rsidR="00706BCF" w:rsidRPr="009440AD">
        <w:rPr>
          <w:lang w:val="en-US"/>
        </w:rPr>
        <w:t xml:space="preserve"> adults are more sensitive to the sedative effect of </w:t>
      </w:r>
      <w:r w:rsidR="00DB4D69" w:rsidRPr="009440AD">
        <w:rPr>
          <w:lang w:val="en-US"/>
        </w:rPr>
        <w:t>benzodiazepines</w:t>
      </w:r>
      <w:r w:rsidR="0070083A" w:rsidRPr="009440AD">
        <w:rPr>
          <w:lang w:val="en-US"/>
        </w:rPr>
        <w:t>,</w:t>
      </w:r>
      <w:r w:rsidR="00DB4D69" w:rsidRPr="009440AD">
        <w:rPr>
          <w:lang w:val="en-US"/>
        </w:rPr>
        <w:t xml:space="preserve"> such as </w:t>
      </w:r>
      <w:r w:rsidR="00706BCF" w:rsidRPr="005902A1">
        <w:rPr>
          <w:lang w:val="en-US"/>
        </w:rPr>
        <w:t>midazolam</w:t>
      </w:r>
      <w:r w:rsidR="00A836B3" w:rsidRPr="0050587F">
        <w:rPr>
          <w:lang w:val="en-US"/>
        </w:rPr>
        <w:t>.</w:t>
      </w:r>
      <w:r w:rsidR="00706BCF" w:rsidRPr="0050587F">
        <w:rPr>
          <w:lang w:val="en-US"/>
        </w:rPr>
        <w:t xml:space="preserve"> </w:t>
      </w:r>
      <w:r w:rsidR="00A836B3" w:rsidRPr="0050587F">
        <w:rPr>
          <w:lang w:val="en-US"/>
        </w:rPr>
        <w:t>T</w:t>
      </w:r>
      <w:r w:rsidR="00C8378F" w:rsidRPr="0050587F">
        <w:rPr>
          <w:lang w:val="en-US"/>
        </w:rPr>
        <w:t>he</w:t>
      </w:r>
      <w:r w:rsidR="00A462BE" w:rsidRPr="0050587F">
        <w:rPr>
          <w:lang w:val="en-US"/>
        </w:rPr>
        <w:t xml:space="preserve"> dose of midazolam </w:t>
      </w:r>
      <w:r w:rsidR="00DE5B04" w:rsidRPr="0050587F">
        <w:rPr>
          <w:lang w:val="en-US"/>
        </w:rPr>
        <w:t xml:space="preserve">required </w:t>
      </w:r>
      <w:r w:rsidR="00A462BE" w:rsidRPr="0050587F">
        <w:rPr>
          <w:lang w:val="en-US"/>
        </w:rPr>
        <w:t xml:space="preserve">to reach comparable sedation </w:t>
      </w:r>
      <w:r w:rsidR="00B47697" w:rsidRPr="00540E3C">
        <w:rPr>
          <w:lang w:val="en-US"/>
        </w:rPr>
        <w:t xml:space="preserve">like </w:t>
      </w:r>
      <w:r w:rsidR="00A462BE" w:rsidRPr="00540E3C">
        <w:rPr>
          <w:lang w:val="en-US"/>
        </w:rPr>
        <w:t>in young adults below the age of 50 years was shown to be half in the elderly</w:t>
      </w:r>
      <w:r w:rsidR="009A6D4E" w:rsidRPr="00540E3C">
        <w:rPr>
          <w:lang w:val="en-US"/>
        </w:rPr>
        <w:t xml:space="preserve"> </w:t>
      </w:r>
      <w:r w:rsidR="009A6D4E" w:rsidRPr="009440AD">
        <w:rPr>
          <w:lang w:val="en-US"/>
        </w:rPr>
        <w:fldChar w:fldCharType="begin"/>
      </w:r>
      <w:r w:rsidR="00AB3317">
        <w:rPr>
          <w:lang w:val="en-US"/>
        </w:rPr>
        <w:instrText xml:space="preserve"> ADDIN EN.CITE &lt;EndNote&gt;&lt;Cite&gt;&lt;Author&gt;Albrecht&lt;/Author&gt;&lt;Year&gt;1999&lt;/Year&gt;&lt;RecNum&gt;1224&lt;/RecNum&gt;&lt;DisplayText&gt;[68]&lt;/DisplayText&gt;&lt;record&gt;&lt;rec-number&gt;1224&lt;/rec-number&gt;&lt;foreign-keys&gt;&lt;key app="EN" db-id="vawz9xpv5prvt3ed92pxtvpjzzf095ze0r5f" timestamp="1547453300"&gt;1224&lt;/key&gt;&lt;/foreign-keys&gt;&lt;ref-type name="Journal Article"&gt;17&lt;/ref-type&gt;&lt;contributors&gt;&lt;authors&gt;&lt;author&gt;Albrecht, Sven&lt;/author&gt;&lt;author&gt;Ihmsen, Harald&lt;/author&gt;&lt;author&gt;Hering, Werner&lt;/author&gt;&lt;author&gt;Geisslinger, Gerd&lt;/author&gt;&lt;author&gt;Dingemanse, Jasper&lt;/author&gt;&lt;author&gt;Schwilden, Helmut&lt;/author&gt;&lt;author&gt;Schüttler, Jürgen&lt;/author&gt;&lt;/authors&gt;&lt;/contributors&gt;&lt;titles&gt;&lt;title&gt;The effect of age on the pharmacokinetics and pharmacodynamics of midazolam&lt;/title&gt;&lt;secondary-title&gt;Clinical Pharmacology &amp;amp; Therapeutics&lt;/secondary-title&gt;&lt;/titles&gt;&lt;periodical&gt;&lt;full-title&gt;Clinical Pharmacology &amp;amp; Therapeutics&lt;/full-title&gt;&lt;/periodical&gt;&lt;pages&gt;630-639&lt;/pages&gt;&lt;volume&gt;65&lt;/volume&gt;&lt;number&gt;6&lt;/number&gt;&lt;keywords&gt;&lt;keyword&gt;Drug&lt;/keyword&gt;&lt;keyword&gt;midazolam&lt;/keyword&gt;&lt;keyword&gt;PK&lt;/keyword&gt;&lt;keyword&gt;elderly&lt;/keyword&gt;&lt;/keywords&gt;&lt;dates&gt;&lt;year&gt;1999&lt;/year&gt;&lt;/dates&gt;&lt;isbn&gt;1532-6535&lt;/isbn&gt;&lt;urls&gt;&lt;/urls&gt;&lt;/record&gt;&lt;/Cite&gt;&lt;/EndNote&gt;</w:instrText>
      </w:r>
      <w:r w:rsidR="009A6D4E" w:rsidRPr="009440AD">
        <w:rPr>
          <w:lang w:val="en-US"/>
        </w:rPr>
        <w:fldChar w:fldCharType="separate"/>
      </w:r>
      <w:r w:rsidR="00AB3317">
        <w:rPr>
          <w:noProof/>
          <w:lang w:val="en-US"/>
        </w:rPr>
        <w:t>[68]</w:t>
      </w:r>
      <w:r w:rsidR="009A6D4E" w:rsidRPr="009440AD">
        <w:rPr>
          <w:lang w:val="en-US"/>
        </w:rPr>
        <w:fldChar w:fldCharType="end"/>
      </w:r>
      <w:r w:rsidR="00706BCF" w:rsidRPr="009440AD">
        <w:rPr>
          <w:lang w:val="en-US"/>
        </w:rPr>
        <w:t xml:space="preserve">. </w:t>
      </w:r>
      <w:r w:rsidR="00A462BE" w:rsidRPr="009440AD">
        <w:rPr>
          <w:lang w:val="en-US"/>
        </w:rPr>
        <w:t>Conversely, t</w:t>
      </w:r>
      <w:r w:rsidR="00AF0C4A" w:rsidRPr="009440AD">
        <w:rPr>
          <w:lang w:val="en-US"/>
        </w:rPr>
        <w:t>he sensitivity to the beta-</w:t>
      </w:r>
      <w:r w:rsidR="00AF0C4A" w:rsidRPr="009440AD">
        <w:rPr>
          <w:lang w:val="en-US"/>
        </w:rPr>
        <w:lastRenderedPageBreak/>
        <w:t>adrenergic receptor and therefore the pharmacodynamic effect of beta blo</w:t>
      </w:r>
      <w:r w:rsidR="00AF0C4A" w:rsidRPr="005902A1">
        <w:rPr>
          <w:lang w:val="en-US"/>
        </w:rPr>
        <w:t xml:space="preserve">ckers, such as metoprolol, is </w:t>
      </w:r>
      <w:r w:rsidR="00A462BE" w:rsidRPr="0050587F">
        <w:rPr>
          <w:lang w:val="en-US"/>
        </w:rPr>
        <w:t>r</w:t>
      </w:r>
      <w:r w:rsidR="00AF0C4A" w:rsidRPr="0050587F">
        <w:rPr>
          <w:lang w:val="en-US"/>
        </w:rPr>
        <w:t xml:space="preserve">educed in the elderly </w:t>
      </w:r>
      <w:r w:rsidR="00A462BE" w:rsidRPr="0050587F">
        <w:rPr>
          <w:lang w:val="en-US"/>
        </w:rPr>
        <w:t>caused by receptor downregulation or alterations in binding affinity</w:t>
      </w:r>
      <w:r w:rsidR="00586DDA" w:rsidRPr="0050587F">
        <w:rPr>
          <w:lang w:val="en-US"/>
        </w:rPr>
        <w:t xml:space="preserve"> </w:t>
      </w:r>
      <w:r w:rsidR="00586DDA" w:rsidRPr="009440AD">
        <w:rPr>
          <w:lang w:val="en-US"/>
        </w:rPr>
        <w:fldChar w:fldCharType="begin"/>
      </w:r>
      <w:r w:rsidR="00AB3317">
        <w:rPr>
          <w:lang w:val="en-US"/>
        </w:rPr>
        <w:instrText xml:space="preserve"> ADDIN EN.CITE &lt;EndNote&gt;&lt;Cite&gt;&lt;Author&gt;Wooten&lt;/Author&gt;&lt;Year&gt;2012&lt;/Year&gt;&lt;RecNum&gt;1267&lt;/RecNum&gt;&lt;DisplayText&gt;[67]&lt;/DisplayText&gt;&lt;record&gt;&lt;rec-number&gt;1267&lt;/rec-number&gt;&lt;foreign-keys&gt;&lt;key app="EN" db-id="vawz9xpv5prvt3ed92pxtvpjzzf095ze0r5f" timestamp="1549512606"&gt;1267&lt;/key&gt;&lt;/foreign-keys&gt;&lt;ref-type name="Journal Article"&gt;17&lt;/ref-type&gt;&lt;contributors&gt;&lt;authors&gt;&lt;author&gt;Wooten, James M&lt;/author&gt;&lt;/authors&gt;&lt;/contributors&gt;&lt;titles&gt;&lt;title&gt;Pharmacotherapy considerations in elderly adults&lt;/title&gt;&lt;secondary-title&gt;Southern Medical Journal&lt;/secondary-title&gt;&lt;/titles&gt;&lt;periodical&gt;&lt;full-title&gt;Southern Medical Journal&lt;/full-title&gt;&lt;/periodical&gt;&lt;pages&gt;437-445&lt;/pages&gt;&lt;volume&gt;105&lt;/volume&gt;&lt;number&gt;8&lt;/number&gt;&lt;keywords&gt;&lt;keyword&gt;Elderly&lt;/keyword&gt;&lt;keyword&gt;PD&lt;/keyword&gt;&lt;/keywords&gt;&lt;dates&gt;&lt;year&gt;2012&lt;/year&gt;&lt;/dates&gt;&lt;urls&gt;&lt;/urls&gt;&lt;/record&gt;&lt;/Cite&gt;&lt;/EndNote&gt;</w:instrText>
      </w:r>
      <w:r w:rsidR="00586DDA" w:rsidRPr="009440AD">
        <w:rPr>
          <w:lang w:val="en-US"/>
        </w:rPr>
        <w:fldChar w:fldCharType="separate"/>
      </w:r>
      <w:r w:rsidR="00AB3317">
        <w:rPr>
          <w:noProof/>
          <w:lang w:val="en-US"/>
        </w:rPr>
        <w:t>[67]</w:t>
      </w:r>
      <w:r w:rsidR="00586DDA" w:rsidRPr="009440AD">
        <w:rPr>
          <w:lang w:val="en-US"/>
        </w:rPr>
        <w:fldChar w:fldCharType="end"/>
      </w:r>
      <w:r w:rsidR="00AF0C4A" w:rsidRPr="009440AD">
        <w:rPr>
          <w:lang w:val="en-US"/>
        </w:rPr>
        <w:t xml:space="preserve">. </w:t>
      </w:r>
      <w:r w:rsidR="00565FDC" w:rsidRPr="009440AD">
        <w:rPr>
          <w:lang w:val="en-US"/>
        </w:rPr>
        <w:t xml:space="preserve">Age-related differences in the antihypertensive </w:t>
      </w:r>
      <w:r w:rsidR="00BE40BA" w:rsidRPr="009440AD">
        <w:rPr>
          <w:lang w:val="en-US"/>
        </w:rPr>
        <w:t xml:space="preserve">effect </w:t>
      </w:r>
      <w:r w:rsidR="00565FDC" w:rsidRPr="009440AD">
        <w:rPr>
          <w:lang w:val="en-US"/>
        </w:rPr>
        <w:t>of lisinopril appear</w:t>
      </w:r>
      <w:r w:rsidR="00162722" w:rsidRPr="009440AD">
        <w:rPr>
          <w:lang w:val="en-US"/>
        </w:rPr>
        <w:t xml:space="preserve"> not</w:t>
      </w:r>
      <w:r w:rsidR="00565FDC" w:rsidRPr="009440AD">
        <w:rPr>
          <w:lang w:val="en-US"/>
        </w:rPr>
        <w:t xml:space="preserve"> to be clinically relevant </w:t>
      </w:r>
      <w:r w:rsidR="00565FDC" w:rsidRPr="009440AD">
        <w:rPr>
          <w:lang w:val="en-US"/>
        </w:rPr>
        <w:fldChar w:fldCharType="begin"/>
      </w:r>
      <w:r w:rsidR="00AB3317">
        <w:rPr>
          <w:lang w:val="en-US"/>
        </w:rPr>
        <w:instrText xml:space="preserve"> ADDIN EN.CITE &lt;EndNote&gt;&lt;Cite&gt;&lt;Author&gt;Goa&lt;/Author&gt;&lt;Year&gt;1996&lt;/Year&gt;&lt;RecNum&gt;1227&lt;/RecNum&gt;&lt;DisplayText&gt;[69]&lt;/DisplayText&gt;&lt;record&gt;&lt;rec-number&gt;1227&lt;/rec-number&gt;&lt;foreign-keys&gt;&lt;key app="EN" db-id="vawz9xpv5prvt3ed92pxtvpjzzf095ze0r5f" timestamp="1547454333"&gt;1227&lt;/key&gt;&lt;/foreign-keys&gt;&lt;ref-type name="Journal Article"&gt;17&lt;/ref-type&gt;&lt;contributors&gt;&lt;authors&gt;&lt;author&gt;Goa, Karen L&lt;/author&gt;&lt;author&gt;Balfour, Julia A&lt;/author&gt;&lt;author&gt;Zuanetti, Giulio&lt;/author&gt;&lt;/authors&gt;&lt;/contributors&gt;&lt;titles&gt;&lt;title&gt;Lisinopril. A review of its pharmacology and clinical efficacy in the early management of acute myocardial infarction&lt;/title&gt;&lt;secondary-title&gt;Drugs&lt;/secondary-title&gt;&lt;/titles&gt;&lt;periodical&gt;&lt;full-title&gt;Drugs&lt;/full-title&gt;&lt;/periodical&gt;&lt;pages&gt;564-588&lt;/pages&gt;&lt;volume&gt;52&lt;/volume&gt;&lt;number&gt;4&lt;/number&gt;&lt;keywords&gt;&lt;keyword&gt;Drug&lt;/keyword&gt;&lt;keyword&gt;lisinopril&lt;/keyword&gt;&lt;keyword&gt;PD&lt;/keyword&gt;&lt;keyword&gt;elderly&lt;/keyword&gt;&lt;/keywords&gt;&lt;dates&gt;&lt;year&gt;1996&lt;/year&gt;&lt;/dates&gt;&lt;isbn&gt;0012-6667&lt;/isbn&gt;&lt;urls&gt;&lt;/urls&gt;&lt;/record&gt;&lt;/Cite&gt;&lt;/EndNote&gt;</w:instrText>
      </w:r>
      <w:r w:rsidR="00565FDC" w:rsidRPr="009440AD">
        <w:rPr>
          <w:lang w:val="en-US"/>
        </w:rPr>
        <w:fldChar w:fldCharType="separate"/>
      </w:r>
      <w:r w:rsidR="00AB3317">
        <w:rPr>
          <w:noProof/>
          <w:lang w:val="en-US"/>
        </w:rPr>
        <w:t>[69]</w:t>
      </w:r>
      <w:r w:rsidR="00565FDC" w:rsidRPr="009440AD">
        <w:rPr>
          <w:lang w:val="en-US"/>
        </w:rPr>
        <w:fldChar w:fldCharType="end"/>
      </w:r>
      <w:r w:rsidR="00F03754" w:rsidRPr="009440AD">
        <w:rPr>
          <w:lang w:val="en-US"/>
        </w:rPr>
        <w:t xml:space="preserve">. </w:t>
      </w:r>
      <w:r w:rsidR="00BE40BA" w:rsidRPr="005902A1">
        <w:rPr>
          <w:lang w:val="en-US"/>
        </w:rPr>
        <w:t xml:space="preserve">Conversely, the </w:t>
      </w:r>
      <w:r w:rsidR="00103BD4" w:rsidRPr="0050587F">
        <w:rPr>
          <w:lang w:val="en-US"/>
        </w:rPr>
        <w:t>decrease in systolic blood pressure after amlodipine administration was</w:t>
      </w:r>
      <w:r w:rsidR="00BE40BA" w:rsidRPr="0050587F">
        <w:rPr>
          <w:lang w:val="en-US"/>
        </w:rPr>
        <w:t xml:space="preserve"> shown to be </w:t>
      </w:r>
      <w:r w:rsidR="00103BD4" w:rsidRPr="0065491D">
        <w:rPr>
          <w:lang w:val="en-US"/>
        </w:rPr>
        <w:t xml:space="preserve">greater in </w:t>
      </w:r>
      <w:r w:rsidR="00C863F2" w:rsidRPr="0065491D">
        <w:rPr>
          <w:lang w:val="en-US"/>
        </w:rPr>
        <w:t xml:space="preserve">the </w:t>
      </w:r>
      <w:r w:rsidR="00103BD4" w:rsidRPr="0065491D">
        <w:rPr>
          <w:lang w:val="en-US"/>
        </w:rPr>
        <w:t xml:space="preserve">elderly compared to young patients, while the decrease in diastolic </w:t>
      </w:r>
      <w:r w:rsidR="00103BD4" w:rsidRPr="009440AD">
        <w:rPr>
          <w:lang w:val="en-US"/>
        </w:rPr>
        <w:t xml:space="preserve">blood pressure was similar in both groups </w:t>
      </w:r>
      <w:r w:rsidR="00103BD4" w:rsidRPr="009440AD">
        <w:rPr>
          <w:lang w:val="en-US"/>
        </w:rPr>
        <w:fldChar w:fldCharType="begin"/>
      </w:r>
      <w:r w:rsidR="00AB3317">
        <w:rPr>
          <w:lang w:val="en-US"/>
        </w:rPr>
        <w:instrText xml:space="preserve"> ADDIN EN.CITE &lt;EndNote&gt;&lt;Cite&gt;&lt;Author&gt;Abernethy&lt;/Author&gt;&lt;Year&gt;1988&lt;/Year&gt;&lt;RecNum&gt;1228&lt;/RecNum&gt;&lt;DisplayText&gt;[38, 70]&lt;/DisplayText&gt;&lt;record&gt;&lt;rec-number&gt;1228&lt;/rec-number&gt;&lt;foreign-keys&gt;&lt;key app="EN" db-id="vawz9xpv5prvt3ed92pxtvpjzzf095ze0r5f" timestamp="1547456597"&gt;1228&lt;/key&gt;&lt;/foreign-keys&gt;&lt;ref-type name="Journal Article"&gt;17&lt;/ref-type&gt;&lt;contributors&gt;&lt;authors&gt;&lt;author&gt;Abernethy, Darrell R&lt;/author&gt;&lt;author&gt;Gutkowska, Jolanta&lt;/author&gt;&lt;author&gt;Lambert, Mary D&lt;/author&gt;&lt;/authors&gt;&lt;/contributors&gt;&lt;titles&gt;&lt;title&gt;Amlodipine in elderly hypertensive patients: pharmacokinetics and pharmacodynamics&lt;/title&gt;&lt;secondary-title&gt;Journal of Cardiovascular Pharmacology&lt;/secondary-title&gt;&lt;/titles&gt;&lt;periodical&gt;&lt;full-title&gt;Journal of cardiovascular pharmacology&lt;/full-title&gt;&lt;/periodical&gt;&lt;pages&gt;S67-71&lt;/pages&gt;&lt;volume&gt;12&lt;/volume&gt;&lt;keywords&gt;&lt;keyword&gt;Drug&lt;/keyword&gt;&lt;keyword&gt;amlodipine&lt;/keyword&gt;&lt;keyword&gt;PD&lt;/keyword&gt;&lt;keyword&gt;elderly&lt;/keyword&gt;&lt;/keywords&gt;&lt;dates&gt;&lt;year&gt;1988&lt;/year&gt;&lt;/dates&gt;&lt;isbn&gt;0160-2446&lt;/isbn&gt;&lt;urls&gt;&lt;/urls&gt;&lt;/record&gt;&lt;/Cite&gt;&lt;Cite&gt;&lt;Author&gt;Leenen&lt;/Author&gt;&lt;Year&gt;2010&lt;/Year&gt;&lt;RecNum&gt;553&lt;/RecNum&gt;&lt;record&gt;&lt;rec-number&gt;553&lt;/rec-number&gt;&lt;foreign-keys&gt;&lt;key app="EN" db-id="vawz9xpv5prvt3ed92pxtvpjzzf095ze0r5f" timestamp="1492499251"&gt;553&lt;/key&gt;&lt;/foreign-keys&gt;&lt;ref-type name="Journal Article"&gt;17&lt;/ref-type&gt;&lt;contributors&gt;&lt;authors&gt;&lt;author&gt;Leenen, Frans HH&lt;/author&gt;&lt;author&gt;Coletta, Elizabeth&lt;/author&gt;&lt;/authors&gt;&lt;/contributors&gt;&lt;titles&gt;&lt;title&gt;Pharmacokinetic and antihypertensive profile of amlodipine and felodipine-ER in younger versus older patients with hypertension&lt;/title&gt;&lt;secondary-title&gt;Journal of Cardiovascular Pharmacology&lt;/secondary-title&gt;&lt;/titles&gt;&lt;periodical&gt;&lt;full-title&gt;Journal of cardiovascular pharmacology&lt;/full-title&gt;&lt;/periodical&gt;&lt;pages&gt;669-675&lt;/pages&gt;&lt;volume&gt;56&lt;/volume&gt;&lt;number&gt;6&lt;/number&gt;&lt;keywords&gt;&lt;keyword&gt;Geriatric&lt;/keyword&gt;&lt;keyword&gt;PK&lt;/keyword&gt;&lt;keyword&gt;amlodipine&lt;/keyword&gt;&lt;/keywords&gt;&lt;dates&gt;&lt;year&gt;2010&lt;/year&gt;&lt;/dates&gt;&lt;isbn&gt;0160-2446&lt;/isbn&gt;&lt;urls&gt;&lt;/urls&gt;&lt;/record&gt;&lt;/Cite&gt;&lt;/EndNote&gt;</w:instrText>
      </w:r>
      <w:r w:rsidR="00103BD4" w:rsidRPr="009440AD">
        <w:rPr>
          <w:lang w:val="en-US"/>
        </w:rPr>
        <w:fldChar w:fldCharType="separate"/>
      </w:r>
      <w:r w:rsidR="00AB3317">
        <w:rPr>
          <w:noProof/>
          <w:lang w:val="en-US"/>
        </w:rPr>
        <w:t>[38, 70]</w:t>
      </w:r>
      <w:r w:rsidR="00103BD4" w:rsidRPr="009440AD">
        <w:rPr>
          <w:lang w:val="en-US"/>
        </w:rPr>
        <w:fldChar w:fldCharType="end"/>
      </w:r>
      <w:r w:rsidR="00103BD4" w:rsidRPr="009440AD">
        <w:rPr>
          <w:lang w:val="en-US"/>
        </w:rPr>
        <w:t xml:space="preserve">. Rivaroxaban has a well-established correlation between plasma concentration and </w:t>
      </w:r>
      <w:proofErr w:type="spellStart"/>
      <w:r w:rsidR="00103BD4" w:rsidRPr="009440AD">
        <w:rPr>
          <w:lang w:val="en-US"/>
        </w:rPr>
        <w:t>FXa</w:t>
      </w:r>
      <w:proofErr w:type="spellEnd"/>
      <w:r w:rsidR="00103BD4" w:rsidRPr="009440AD">
        <w:rPr>
          <w:lang w:val="en-US"/>
        </w:rPr>
        <w:t xml:space="preserve"> activity and prothrombin time prolongation</w:t>
      </w:r>
      <w:r w:rsidR="00586DDA" w:rsidRPr="009440AD">
        <w:rPr>
          <w:lang w:val="en-US"/>
        </w:rPr>
        <w:t xml:space="preserve"> </w:t>
      </w:r>
      <w:r w:rsidR="00586DDA" w:rsidRPr="009440AD">
        <w:rPr>
          <w:lang w:val="en-US"/>
        </w:rPr>
        <w:fldChar w:fldCharType="begin"/>
      </w:r>
      <w:r w:rsidR="00AB3317">
        <w:rPr>
          <w:lang w:val="en-US"/>
        </w:rPr>
        <w:instrText xml:space="preserve"> ADDIN EN.CITE &lt;EndNote&gt;&lt;Cite&gt;&lt;Author&gt;Kubitza&lt;/Author&gt;&lt;Year&gt;2005&lt;/Year&gt;&lt;RecNum&gt;1124&lt;/RecNum&gt;&lt;DisplayText&gt;[71]&lt;/DisplayText&gt;&lt;record&gt;&lt;rec-number&gt;1124&lt;/rec-number&gt;&lt;foreign-keys&gt;&lt;key app="EN" db-id="vawz9xpv5prvt3ed92pxtvpjzzf095ze0r5f" timestamp="1530864584"&gt;1124&lt;/key&gt;&lt;/foreign-keys&gt;&lt;ref-type name="Journal Article"&gt;17&lt;/ref-type&gt;&lt;contributors&gt;&lt;authors&gt;&lt;author&gt;Kubitza, Dagmar&lt;/author&gt;&lt;author&gt;Becka, Michael&lt;/author&gt;&lt;author&gt;Voith, Barbara&lt;/author&gt;&lt;author&gt;Zuehlsdorf, Michael&lt;/author&gt;&lt;author&gt;Wensing, Georg&lt;/author&gt;&lt;/authors&gt;&lt;/contributors&gt;&lt;titles&gt;&lt;title&gt;Safety, pharmacodynamics, and pharmacokinetics of single doses of BAY 59</w:instrText>
      </w:r>
      <w:r w:rsidR="00AB3317">
        <w:rPr>
          <w:rFonts w:ascii="Cambria Math" w:hAnsi="Cambria Math" w:cs="Cambria Math"/>
          <w:lang w:val="en-US"/>
        </w:rPr>
        <w:instrText>‐</w:instrText>
      </w:r>
      <w:r w:rsidR="00AB3317">
        <w:rPr>
          <w:lang w:val="en-US"/>
        </w:rPr>
        <w:instrText>7939, an oral, direct factor Xa inhibitor&lt;/title&gt;&lt;secondary-title&gt;Clinical Pharmacology &amp;amp; Therapeutics&lt;/secondary-title&gt;&lt;/titles&gt;&lt;periodical&gt;&lt;full-title&gt;Clinical Pharmacology &amp;amp; Therapeutics&lt;/full-title&gt;&lt;/periodical&gt;&lt;pages&gt;412-421&lt;/pages&gt;&lt;volume&gt;78&lt;/volume&gt;&lt;number&gt;4&lt;/number&gt;&lt;keywords&gt;&lt;keyword&gt;drug&lt;/keyword&gt;&lt;keyword&gt;rivaroxaban&lt;/keyword&gt;&lt;keyword&gt;young&lt;/keyword&gt;&lt;keyword&gt;single oral&lt;/keyword&gt;&lt;/keywords&gt;&lt;dates&gt;&lt;year&gt;2005&lt;/year&gt;&lt;/dates&gt;&lt;isbn&gt;1532-6535&lt;/isbn&gt;&lt;urls&gt;&lt;/urls&gt;&lt;/record&gt;&lt;/Cite&gt;&lt;/EndNote&gt;</w:instrText>
      </w:r>
      <w:r w:rsidR="00586DDA" w:rsidRPr="009440AD">
        <w:rPr>
          <w:lang w:val="en-US"/>
        </w:rPr>
        <w:fldChar w:fldCharType="separate"/>
      </w:r>
      <w:r w:rsidR="00AB3317">
        <w:rPr>
          <w:noProof/>
          <w:lang w:val="en-US"/>
        </w:rPr>
        <w:t>[71]</w:t>
      </w:r>
      <w:r w:rsidR="00586DDA" w:rsidRPr="009440AD">
        <w:rPr>
          <w:lang w:val="en-US"/>
        </w:rPr>
        <w:fldChar w:fldCharType="end"/>
      </w:r>
      <w:r w:rsidR="00103BD4" w:rsidRPr="009440AD">
        <w:rPr>
          <w:lang w:val="en-US"/>
        </w:rPr>
        <w:t xml:space="preserve">. Thus, </w:t>
      </w:r>
      <w:r w:rsidR="0078637F" w:rsidRPr="009440AD">
        <w:rPr>
          <w:lang w:val="en-US"/>
        </w:rPr>
        <w:t>the higher plasma concentration in the elderly</w:t>
      </w:r>
      <w:r w:rsidR="0078637F" w:rsidRPr="005902A1">
        <w:rPr>
          <w:lang w:val="en-US"/>
        </w:rPr>
        <w:t xml:space="preserve"> </w:t>
      </w:r>
      <w:r w:rsidR="00BE40BA" w:rsidRPr="0050587F">
        <w:rPr>
          <w:lang w:val="en-US"/>
        </w:rPr>
        <w:t xml:space="preserve">may lead </w:t>
      </w:r>
      <w:r w:rsidR="0078637F" w:rsidRPr="0050587F">
        <w:rPr>
          <w:lang w:val="en-US"/>
        </w:rPr>
        <w:t xml:space="preserve">to a more pronounced pharmacodynamic effect compared to young adults </w:t>
      </w:r>
      <w:r w:rsidR="0078637F" w:rsidRPr="009440AD">
        <w:rPr>
          <w:lang w:val="en-US"/>
        </w:rPr>
        <w:fldChar w:fldCharType="begin"/>
      </w:r>
      <w:r w:rsidR="00AB3317">
        <w:rPr>
          <w:lang w:val="en-US"/>
        </w:rPr>
        <w:instrText xml:space="preserve"> ADDIN EN.CITE &lt;EndNote&gt;&lt;Cite&gt;&lt;Author&gt;Kubitza&lt;/Author&gt;&lt;Year&gt;2008&lt;/Year&gt;&lt;RecNum&gt;1117&lt;/RecNum&gt;&lt;DisplayText&gt;[72]&lt;/DisplayText&gt;&lt;record&gt;&lt;rec-number&gt;1117&lt;/rec-number&gt;&lt;foreign-keys&gt;&lt;key app="EN" db-id="vawz9xpv5prvt3ed92pxtvpjzzf095ze0r5f" timestamp="1530767495"&gt;1117&lt;/key&gt;&lt;/foreign-keys&gt;&lt;ref-type name="Journal Article"&gt;17&lt;/ref-type&gt;&lt;contributors&gt;&lt;authors&gt;&lt;author&gt;Kubitza, Dagmar&lt;/author&gt;&lt;author&gt;Becka, Michael&lt;/author&gt;&lt;author&gt;Roth, Angelika&lt;/author&gt;&lt;author&gt;Mueck, Wolfgang&lt;/author&gt;&lt;/authors&gt;&lt;/contributors&gt;&lt;titles&gt;&lt;title&gt;Dose-escalation study of the pharmacokinetics and pharmacodynamics of rivaroxaban in healthy elderly subjects&lt;/title&gt;&lt;secondary-title&gt;Current Medical Research and Opinion&lt;/secondary-title&gt;&lt;/titles&gt;&lt;periodical&gt;&lt;full-title&gt;Current medical research and opinion&lt;/full-title&gt;&lt;/periodical&gt;&lt;pages&gt;2757-2765&lt;/pages&gt;&lt;volume&gt;24&lt;/volume&gt;&lt;number&gt;10&lt;/number&gt;&lt;keywords&gt;&lt;keyword&gt;drug&lt;/keyword&gt;&lt;keyword&gt;rivaroxaban&lt;/keyword&gt;&lt;keyword&gt;PK&lt;/keyword&gt;&lt;keyword&gt;elderly&lt;/keyword&gt;&lt;/keywords&gt;&lt;dates&gt;&lt;year&gt;2008&lt;/year&gt;&lt;/dates&gt;&lt;isbn&gt;0300-7995&lt;/isbn&gt;&lt;urls&gt;&lt;/urls&gt;&lt;/record&gt;&lt;/Cite&gt;&lt;/EndNote&gt;</w:instrText>
      </w:r>
      <w:r w:rsidR="0078637F" w:rsidRPr="009440AD">
        <w:rPr>
          <w:lang w:val="en-US"/>
        </w:rPr>
        <w:fldChar w:fldCharType="separate"/>
      </w:r>
      <w:r w:rsidR="00AB3317">
        <w:rPr>
          <w:noProof/>
          <w:lang w:val="en-US"/>
        </w:rPr>
        <w:t>[72]</w:t>
      </w:r>
      <w:r w:rsidR="0078637F" w:rsidRPr="009440AD">
        <w:rPr>
          <w:lang w:val="en-US"/>
        </w:rPr>
        <w:fldChar w:fldCharType="end"/>
      </w:r>
      <w:r w:rsidR="0078637F" w:rsidRPr="009440AD">
        <w:rPr>
          <w:lang w:val="en-US"/>
        </w:rPr>
        <w:t xml:space="preserve">. </w:t>
      </w:r>
      <w:r w:rsidR="009C7BEF" w:rsidRPr="009440AD">
        <w:rPr>
          <w:lang w:val="en-US"/>
        </w:rPr>
        <w:t>Statins appear to have the same pharmacodynamic effect in the elderly compared to young adult</w:t>
      </w:r>
      <w:r w:rsidR="00A462BE" w:rsidRPr="009440AD">
        <w:rPr>
          <w:lang w:val="en-US"/>
        </w:rPr>
        <w:t>s</w:t>
      </w:r>
      <w:r w:rsidR="00586DDA" w:rsidRPr="009440AD">
        <w:rPr>
          <w:lang w:val="en-US"/>
        </w:rPr>
        <w:t xml:space="preserve"> </w:t>
      </w:r>
      <w:r w:rsidR="00586DDA" w:rsidRPr="009440AD">
        <w:rPr>
          <w:lang w:val="en-US"/>
        </w:rPr>
        <w:fldChar w:fldCharType="begin"/>
      </w:r>
      <w:r w:rsidR="00AB3317">
        <w:rPr>
          <w:lang w:val="en-US"/>
        </w:rPr>
        <w:instrText xml:space="preserve"> ADDIN EN.CITE &lt;EndNote&gt;&lt;Cite&gt;&lt;Author&gt;Szadkowska&lt;/Author&gt;&lt;Year&gt;2010&lt;/Year&gt;&lt;RecNum&gt;1249&lt;/RecNum&gt;&lt;DisplayText&gt;[73]&lt;/DisplayText&gt;&lt;record&gt;&lt;rec-number&gt;1249&lt;/rec-number&gt;&lt;foreign-keys&gt;&lt;key app="EN" db-id="vawz9xpv5prvt3ed92pxtvpjzzf095ze0r5f" timestamp="1548400228"&gt;1249&lt;/key&gt;&lt;/foreign-keys&gt;&lt;ref-type name="Journal Article"&gt;17&lt;/ref-type&gt;&lt;contributors&gt;&lt;authors&gt;&lt;author&gt;Szadkowska, Iwona&lt;/author&gt;&lt;author&gt;Stanczyk, Adam&lt;/author&gt;&lt;author&gt;Aronow, Wilbert S&lt;/author&gt;&lt;author&gt;Kowalski, Jan&lt;/author&gt;&lt;author&gt;Pawlicki, Lucjan&lt;/author&gt;&lt;author&gt;Ahmed, Ali&lt;/author&gt;&lt;author&gt;Banach, Maciej&lt;/author&gt;&lt;/authors&gt;&lt;/contributors&gt;&lt;titles&gt;&lt;title&gt;Statin therapy in the elderly: a review&lt;/title&gt;&lt;secondary-title&gt;Archives of Gerontology and Geriatrics&lt;/secondary-title&gt;&lt;/titles&gt;&lt;periodical&gt;&lt;full-title&gt;Archives of gerontology and geriatrics&lt;/full-title&gt;&lt;/periodical&gt;&lt;pages&gt;114-118&lt;/pages&gt;&lt;volume&gt;50&lt;/volume&gt;&lt;number&gt;1&lt;/number&gt;&lt;keywords&gt;&lt;keyword&gt;PD&lt;/keyword&gt;&lt;keyword&gt;elderly&lt;/keyword&gt;&lt;keyword&gt;statin&lt;/keyword&gt;&lt;/keywords&gt;&lt;dates&gt;&lt;year&gt;2010&lt;/year&gt;&lt;/dates&gt;&lt;isbn&gt;0167-4943&lt;/isbn&gt;&lt;urls&gt;&lt;/urls&gt;&lt;/record&gt;&lt;/Cite&gt;&lt;/EndNote&gt;</w:instrText>
      </w:r>
      <w:r w:rsidR="00586DDA" w:rsidRPr="009440AD">
        <w:rPr>
          <w:lang w:val="en-US"/>
        </w:rPr>
        <w:fldChar w:fldCharType="separate"/>
      </w:r>
      <w:r w:rsidR="00AB3317">
        <w:rPr>
          <w:noProof/>
          <w:lang w:val="en-US"/>
        </w:rPr>
        <w:t>[73]</w:t>
      </w:r>
      <w:r w:rsidR="00586DDA" w:rsidRPr="009440AD">
        <w:rPr>
          <w:lang w:val="en-US"/>
        </w:rPr>
        <w:fldChar w:fldCharType="end"/>
      </w:r>
      <w:r w:rsidR="009C7BEF" w:rsidRPr="009440AD">
        <w:rPr>
          <w:lang w:val="en-US"/>
        </w:rPr>
        <w:t>.</w:t>
      </w:r>
      <w:r w:rsidR="00C863F2" w:rsidRPr="009440AD">
        <w:rPr>
          <w:lang w:val="en-US"/>
        </w:rPr>
        <w:t xml:space="preserve"> </w:t>
      </w:r>
      <w:r w:rsidR="00A462BE" w:rsidRPr="009440AD">
        <w:rPr>
          <w:lang w:val="en-US"/>
        </w:rPr>
        <w:t xml:space="preserve">Taken together, the clinical management of elderly individuals should </w:t>
      </w:r>
      <w:r w:rsidR="00BE40BA" w:rsidRPr="009440AD">
        <w:rPr>
          <w:lang w:val="en-US"/>
        </w:rPr>
        <w:t xml:space="preserve">consider </w:t>
      </w:r>
      <w:r w:rsidR="00F73F98" w:rsidRPr="009440AD">
        <w:rPr>
          <w:lang w:val="en-US"/>
        </w:rPr>
        <w:t xml:space="preserve">not </w:t>
      </w:r>
      <w:r w:rsidR="00A462BE" w:rsidRPr="005902A1">
        <w:rPr>
          <w:lang w:val="en-US"/>
        </w:rPr>
        <w:t xml:space="preserve">only age-related pharmacokinetic changes, but also </w:t>
      </w:r>
      <w:r w:rsidR="00BE40BA" w:rsidRPr="0050587F">
        <w:rPr>
          <w:lang w:val="en-US"/>
        </w:rPr>
        <w:t>age-related</w:t>
      </w:r>
      <w:r w:rsidR="00A462BE" w:rsidRPr="0050587F">
        <w:rPr>
          <w:lang w:val="en-US"/>
        </w:rPr>
        <w:t xml:space="preserve"> pharmacodynamic changes and </w:t>
      </w:r>
      <w:r w:rsidR="00BE40BA" w:rsidRPr="0050587F">
        <w:rPr>
          <w:lang w:val="en-US"/>
        </w:rPr>
        <w:t>the presence of comorb</w:t>
      </w:r>
      <w:r w:rsidR="00BE40BA" w:rsidRPr="0065491D">
        <w:rPr>
          <w:lang w:val="en-US"/>
        </w:rPr>
        <w:t>idities, all of which predispose elderly individuals to inappropriate prescribing</w:t>
      </w:r>
      <w:r w:rsidR="009C75FF" w:rsidRPr="0065491D">
        <w:rPr>
          <w:lang w:val="en-US"/>
        </w:rPr>
        <w:t>.</w:t>
      </w:r>
    </w:p>
    <w:p w14:paraId="57D89E95" w14:textId="64F5A2DF" w:rsidR="005560CC" w:rsidRPr="009440AD" w:rsidRDefault="005560CC" w:rsidP="007343B7">
      <w:pPr>
        <w:pStyle w:val="Heading1"/>
        <w:rPr>
          <w:lang w:val="en-US"/>
        </w:rPr>
      </w:pPr>
      <w:r w:rsidRPr="009440AD">
        <w:rPr>
          <w:lang w:val="en-US"/>
        </w:rPr>
        <w:lastRenderedPageBreak/>
        <w:t>Conclusion</w:t>
      </w:r>
    </w:p>
    <w:p w14:paraId="70E28CC6" w14:textId="493B74F0" w:rsidR="004360C3" w:rsidRPr="009440AD" w:rsidRDefault="00FC7668" w:rsidP="00C53C2F">
      <w:pPr>
        <w:rPr>
          <w:lang w:val="en-US"/>
        </w:rPr>
      </w:pPr>
      <w:r w:rsidRPr="009440AD">
        <w:rPr>
          <w:lang w:val="en-US"/>
        </w:rPr>
        <w:t xml:space="preserve">In conclusion, </w:t>
      </w:r>
      <w:r w:rsidR="00E428E1" w:rsidRPr="009440AD">
        <w:rPr>
          <w:lang w:val="en-US"/>
        </w:rPr>
        <w:t>the PBPK approach</w:t>
      </w:r>
      <w:r w:rsidR="00687EFC" w:rsidRPr="009440AD">
        <w:rPr>
          <w:lang w:val="en-US"/>
        </w:rPr>
        <w:t xml:space="preserve"> demonstrated</w:t>
      </w:r>
      <w:r w:rsidR="00E428E1" w:rsidRPr="009440AD">
        <w:rPr>
          <w:lang w:val="en-US"/>
        </w:rPr>
        <w:t xml:space="preserve"> its usefulness to predict drug disposition in special populations such as elderly individuals. </w:t>
      </w:r>
      <w:r w:rsidR="00474789" w:rsidRPr="009440AD">
        <w:rPr>
          <w:lang w:val="en-US"/>
        </w:rPr>
        <w:t xml:space="preserve">Furthermore, </w:t>
      </w:r>
      <w:r w:rsidR="00E428E1" w:rsidRPr="009440AD">
        <w:rPr>
          <w:lang w:val="en-US"/>
        </w:rPr>
        <w:t>conducting virtual clinical trials across the entire adulthood</w:t>
      </w:r>
      <w:r w:rsidR="00B06395" w:rsidRPr="009440AD">
        <w:rPr>
          <w:lang w:val="en-US"/>
        </w:rPr>
        <w:t xml:space="preserve"> in combination with clinically observed data in young and older subjects</w:t>
      </w:r>
      <w:r w:rsidR="00E428E1" w:rsidRPr="009440AD">
        <w:rPr>
          <w:lang w:val="en-US"/>
        </w:rPr>
        <w:t xml:space="preserve"> </w:t>
      </w:r>
      <w:r w:rsidR="00D503F8" w:rsidRPr="009440AD">
        <w:rPr>
          <w:lang w:val="en-US"/>
        </w:rPr>
        <w:t xml:space="preserve">elucidated that </w:t>
      </w:r>
      <w:r w:rsidR="00E428E1" w:rsidRPr="009440AD">
        <w:rPr>
          <w:lang w:val="en-US"/>
        </w:rPr>
        <w:t xml:space="preserve">drug elimination rather than absorption or distribution </w:t>
      </w:r>
      <w:r w:rsidR="00D503F8" w:rsidRPr="009440AD">
        <w:rPr>
          <w:lang w:val="en-US"/>
        </w:rPr>
        <w:t xml:space="preserve">is </w:t>
      </w:r>
      <w:r w:rsidR="00A836B3" w:rsidRPr="009440AD">
        <w:rPr>
          <w:lang w:val="en-US"/>
        </w:rPr>
        <w:t>likely</w:t>
      </w:r>
      <w:r w:rsidR="00E428E1" w:rsidRPr="009440AD">
        <w:rPr>
          <w:lang w:val="en-US"/>
        </w:rPr>
        <w:t xml:space="preserve"> responsible for age-related drug exposure changes in the elderly. </w:t>
      </w:r>
      <w:r w:rsidR="009B712A" w:rsidRPr="009440AD">
        <w:rPr>
          <w:lang w:val="en-US"/>
        </w:rPr>
        <w:t xml:space="preserve">When treating elderly individuals, </w:t>
      </w:r>
      <w:r w:rsidR="00C8378F" w:rsidRPr="009440AD">
        <w:rPr>
          <w:lang w:val="en-US"/>
        </w:rPr>
        <w:t xml:space="preserve">it is assumed that a dose reduction of </w:t>
      </w:r>
      <w:r w:rsidR="009B712A" w:rsidRPr="009440AD">
        <w:rPr>
          <w:lang w:val="en-US"/>
        </w:rPr>
        <w:t xml:space="preserve">25-50% </w:t>
      </w:r>
      <w:r w:rsidR="00C8378F" w:rsidRPr="009440AD">
        <w:rPr>
          <w:lang w:val="en-US"/>
        </w:rPr>
        <w:t xml:space="preserve">is appropriate </w:t>
      </w:r>
      <w:r w:rsidR="00687EFC" w:rsidRPr="009440AD">
        <w:rPr>
          <w:lang w:val="en-US"/>
        </w:rPr>
        <w:t xml:space="preserve">independent of the drug </w:t>
      </w:r>
      <w:r w:rsidR="009B712A" w:rsidRPr="009440AD">
        <w:rPr>
          <w:lang w:val="en-US"/>
        </w:rPr>
        <w:fldChar w:fldCharType="begin"/>
      </w:r>
      <w:r w:rsidR="00AB3317">
        <w:rPr>
          <w:lang w:val="en-US"/>
        </w:rPr>
        <w:instrText xml:space="preserve"> ADDIN EN.CITE &lt;EndNote&gt;&lt;Cite&gt;&lt;Author&gt;Vass&lt;/Author&gt;&lt;Year&gt;2005&lt;/Year&gt;&lt;RecNum&gt;1289&lt;/RecNum&gt;&lt;DisplayText&gt;[74]&lt;/DisplayText&gt;&lt;record&gt;&lt;rec-number&gt;1289&lt;/rec-number&gt;&lt;foreign-keys&gt;&lt;key app="EN" db-id="vawz9xpv5prvt3ed92pxtvpjzzf095ze0r5f" timestamp="1550128486"&gt;1289&lt;/key&gt;&lt;/foreign-keys&gt;&lt;ref-type name="Journal Article"&gt;17&lt;/ref-type&gt;&lt;contributors&gt;&lt;authors&gt;&lt;author&gt;Vass, M&lt;/author&gt;&lt;author&gt;Hendriksen, C&lt;/author&gt;&lt;/authors&gt;&lt;/contributors&gt;&lt;titles&gt;&lt;title&gt;Medication for older people&lt;/title&gt;&lt;secondary-title&gt;Zeitschrift für Gerontologie und Geriatrie&lt;/secondary-title&gt;&lt;/titles&gt;&lt;periodical&gt;&lt;full-title&gt;Zeitschrift für Gerontologie und Geriatrie&lt;/full-title&gt;&lt;/periodical&gt;&lt;pages&gt;190-195&lt;/pages&gt;&lt;volume&gt;38&lt;/volume&gt;&lt;number&gt;3&lt;/number&gt;&lt;keywords&gt;&lt;keyword&gt;Elderly&lt;/keyword&gt;&lt;keyword&gt;clinical practice&lt;/keyword&gt;&lt;/keywords&gt;&lt;dates&gt;&lt;year&gt;2005&lt;/year&gt;&lt;/dates&gt;&lt;isbn&gt;0948-6704&lt;/isbn&gt;&lt;urls&gt;&lt;/urls&gt;&lt;/record&gt;&lt;/Cite&gt;&lt;/EndNote&gt;</w:instrText>
      </w:r>
      <w:r w:rsidR="009B712A" w:rsidRPr="009440AD">
        <w:rPr>
          <w:lang w:val="en-US"/>
        </w:rPr>
        <w:fldChar w:fldCharType="separate"/>
      </w:r>
      <w:r w:rsidR="00AB3317">
        <w:rPr>
          <w:noProof/>
          <w:lang w:val="en-US"/>
        </w:rPr>
        <w:t>[74]</w:t>
      </w:r>
      <w:r w:rsidR="009B712A" w:rsidRPr="009440AD">
        <w:rPr>
          <w:lang w:val="en-US"/>
        </w:rPr>
        <w:fldChar w:fldCharType="end"/>
      </w:r>
      <w:r w:rsidR="009B712A" w:rsidRPr="009440AD">
        <w:rPr>
          <w:lang w:val="en-US"/>
        </w:rPr>
        <w:t xml:space="preserve">. This empirical rule of thumb was </w:t>
      </w:r>
      <w:r w:rsidR="00C8378F" w:rsidRPr="009440AD">
        <w:rPr>
          <w:lang w:val="en-US"/>
        </w:rPr>
        <w:t xml:space="preserve">shown to be justified through the PBPK simulations </w:t>
      </w:r>
      <w:r w:rsidR="00687EFC" w:rsidRPr="005902A1">
        <w:rPr>
          <w:lang w:val="en-US"/>
        </w:rPr>
        <w:t>and a meta-analysis of existing literature</w:t>
      </w:r>
      <w:r w:rsidR="00687EFC" w:rsidRPr="0050587F">
        <w:rPr>
          <w:lang w:val="en-US"/>
        </w:rPr>
        <w:t xml:space="preserve"> data</w:t>
      </w:r>
      <w:r w:rsidR="002F092D" w:rsidRPr="0050587F">
        <w:rPr>
          <w:lang w:val="en-US"/>
        </w:rPr>
        <w:t>.</w:t>
      </w:r>
      <w:r w:rsidR="00687EFC" w:rsidRPr="0050587F">
        <w:rPr>
          <w:lang w:val="en-US"/>
        </w:rPr>
        <w:t xml:space="preserve"> </w:t>
      </w:r>
      <w:r w:rsidR="002F092D" w:rsidRPr="0050587F">
        <w:rPr>
          <w:lang w:val="en-US"/>
        </w:rPr>
        <w:t>D</w:t>
      </w:r>
      <w:r w:rsidR="008037AF" w:rsidRPr="0050587F">
        <w:rPr>
          <w:lang w:val="en-US"/>
        </w:rPr>
        <w:t xml:space="preserve">rug clearance </w:t>
      </w:r>
      <w:r w:rsidR="002F092D" w:rsidRPr="0050587F">
        <w:rPr>
          <w:lang w:val="en-US"/>
        </w:rPr>
        <w:t xml:space="preserve">decreased </w:t>
      </w:r>
      <w:r w:rsidR="008037AF" w:rsidRPr="0065491D">
        <w:rPr>
          <w:lang w:val="en-US"/>
        </w:rPr>
        <w:t>with age</w:t>
      </w:r>
      <w:r w:rsidR="00687EFC" w:rsidRPr="0065491D">
        <w:rPr>
          <w:lang w:val="en-US"/>
        </w:rPr>
        <w:t xml:space="preserve"> with no more than a 3-fold difference between</w:t>
      </w:r>
      <w:r w:rsidR="00687EFC" w:rsidRPr="009440AD">
        <w:rPr>
          <w:lang w:val="en-US"/>
        </w:rPr>
        <w:t xml:space="preserve"> the youngest and oldest studied age group</w:t>
      </w:r>
      <w:r w:rsidR="008037AF" w:rsidRPr="009440AD">
        <w:rPr>
          <w:lang w:val="en-US"/>
        </w:rPr>
        <w:t xml:space="preserve">. </w:t>
      </w:r>
      <w:r w:rsidR="00D503F8" w:rsidRPr="009440AD">
        <w:rPr>
          <w:lang w:val="en-US"/>
        </w:rPr>
        <w:t xml:space="preserve">Our </w:t>
      </w:r>
      <w:r w:rsidR="008037AF" w:rsidRPr="009440AD">
        <w:rPr>
          <w:lang w:val="en-US"/>
        </w:rPr>
        <w:t xml:space="preserve">PBPK model </w:t>
      </w:r>
      <w:r w:rsidR="00E30DCF">
        <w:rPr>
          <w:lang w:val="en-US"/>
        </w:rPr>
        <w:t xml:space="preserve">in combination with statistical analysis of clinically observed pharmacokinetic data of 52 drugs </w:t>
      </w:r>
      <w:r w:rsidR="00FE475B" w:rsidRPr="009440AD">
        <w:rPr>
          <w:lang w:val="en-US"/>
        </w:rPr>
        <w:t>showed</w:t>
      </w:r>
      <w:r w:rsidR="008037AF" w:rsidRPr="009440AD">
        <w:rPr>
          <w:lang w:val="en-US"/>
        </w:rPr>
        <w:t xml:space="preserve"> that the age-related physiological decrease in hepatic and renal blood flow </w:t>
      </w:r>
      <w:r w:rsidR="00C8378F" w:rsidRPr="009440AD">
        <w:rPr>
          <w:lang w:val="en-US"/>
        </w:rPr>
        <w:t>and</w:t>
      </w:r>
      <w:r w:rsidR="008037AF" w:rsidRPr="009440AD">
        <w:rPr>
          <w:lang w:val="en-US"/>
        </w:rPr>
        <w:t xml:space="preserve"> glomerular filtration rate rather than drug characteristics are responsible for drug exposure changes in the elderly. Furthermore, age-related difference</w:t>
      </w:r>
      <w:r w:rsidR="00D503F8" w:rsidRPr="009440AD">
        <w:rPr>
          <w:lang w:val="en-US"/>
        </w:rPr>
        <w:t>s</w:t>
      </w:r>
      <w:r w:rsidR="008037AF" w:rsidRPr="009440AD">
        <w:rPr>
          <w:lang w:val="en-US"/>
        </w:rPr>
        <w:t xml:space="preserve"> in drug exposure were outside of the expected interindividual variability (</w:t>
      </w:r>
      <w:r w:rsidR="006412A2" w:rsidRPr="009440AD">
        <w:rPr>
          <w:lang w:val="en-US"/>
        </w:rPr>
        <w:t xml:space="preserve">defined as the </w:t>
      </w:r>
      <w:r w:rsidR="008037AF" w:rsidRPr="009440AD">
        <w:rPr>
          <w:lang w:val="en-US"/>
        </w:rPr>
        <w:t xml:space="preserve">1.25-fold </w:t>
      </w:r>
      <w:r w:rsidR="006412A2" w:rsidRPr="009440AD">
        <w:rPr>
          <w:lang w:val="en-US"/>
        </w:rPr>
        <w:t>interval</w:t>
      </w:r>
      <w:r w:rsidR="008037AF" w:rsidRPr="009440AD">
        <w:rPr>
          <w:lang w:val="en-US"/>
        </w:rPr>
        <w:t xml:space="preserve">) at 55 years compared to the youngest studied age group. Importantly, this finding can inform future clinical trials aiming to understand the pharmacokinetic differences in older versus younger adults. </w:t>
      </w:r>
      <w:r w:rsidR="00B47697" w:rsidRPr="009440AD">
        <w:rPr>
          <w:lang w:val="en-US"/>
        </w:rPr>
        <w:t>Additionally</w:t>
      </w:r>
      <w:r w:rsidR="008037AF" w:rsidRPr="009440AD">
        <w:rPr>
          <w:lang w:val="en-US"/>
        </w:rPr>
        <w:t>, pharmacodynamic alterations and the presence of comorbidities should be considered when prescribing</w:t>
      </w:r>
      <w:r w:rsidR="00780E1E" w:rsidRPr="009440AD">
        <w:rPr>
          <w:lang w:val="en-US"/>
        </w:rPr>
        <w:t xml:space="preserve"> treatments</w:t>
      </w:r>
      <w:r w:rsidR="008037AF" w:rsidRPr="009440AD">
        <w:rPr>
          <w:lang w:val="en-US"/>
        </w:rPr>
        <w:t xml:space="preserve"> in the elderly.</w:t>
      </w:r>
    </w:p>
    <w:p w14:paraId="2158E726" w14:textId="7E7DB87C" w:rsidR="005560CC" w:rsidRPr="009440AD" w:rsidRDefault="005560CC" w:rsidP="002016E8">
      <w:pPr>
        <w:pStyle w:val="Heading1"/>
        <w:rPr>
          <w:lang w:val="en-US"/>
        </w:rPr>
      </w:pPr>
      <w:r w:rsidRPr="009440AD">
        <w:rPr>
          <w:lang w:val="en-US"/>
        </w:rPr>
        <w:lastRenderedPageBreak/>
        <w:t>Funding</w:t>
      </w:r>
    </w:p>
    <w:p w14:paraId="206BB0C3" w14:textId="11B5DE0D" w:rsidR="005560CC" w:rsidRPr="009440AD" w:rsidRDefault="005560CC" w:rsidP="005560CC">
      <w:pPr>
        <w:rPr>
          <w:lang w:val="en-US"/>
        </w:rPr>
      </w:pPr>
      <w:r w:rsidRPr="009440AD">
        <w:rPr>
          <w:lang w:val="en-US"/>
        </w:rPr>
        <w:t>This study was supported by the Swiss National Foundation (Grant number 166204), the OPO Foundation</w:t>
      </w:r>
      <w:r w:rsidR="0030558A" w:rsidRPr="009440AD">
        <w:rPr>
          <w:lang w:val="en-US"/>
        </w:rPr>
        <w:t>,</w:t>
      </w:r>
      <w:r w:rsidRPr="009440AD">
        <w:rPr>
          <w:lang w:val="en-US"/>
        </w:rPr>
        <w:t xml:space="preserve"> and the Isaac Dreyfus Foundation.</w:t>
      </w:r>
      <w:r w:rsidR="00E539D5" w:rsidRPr="009440AD">
        <w:rPr>
          <w:lang w:val="en-US"/>
        </w:rPr>
        <w:t xml:space="preserve"> Melissa A. Penny was additionally supported by the Swiss National Foundation Professorship (PP00P3 170702).</w:t>
      </w:r>
    </w:p>
    <w:p w14:paraId="381B76D7" w14:textId="14075864" w:rsidR="005560CC" w:rsidRPr="009440AD" w:rsidRDefault="005560CC" w:rsidP="005560CC">
      <w:pPr>
        <w:pStyle w:val="Heading1"/>
        <w:pageBreakBefore w:val="0"/>
        <w:rPr>
          <w:lang w:val="en-US"/>
        </w:rPr>
      </w:pPr>
      <w:r w:rsidRPr="009440AD">
        <w:rPr>
          <w:lang w:val="en-US"/>
        </w:rPr>
        <w:t>Conflict of interest</w:t>
      </w:r>
    </w:p>
    <w:p w14:paraId="78D6BF1A" w14:textId="7DCBDB0B" w:rsidR="005560CC" w:rsidRPr="009440AD" w:rsidRDefault="005560CC" w:rsidP="007343B7">
      <w:pPr>
        <w:rPr>
          <w:lang w:val="en-US"/>
        </w:rPr>
      </w:pPr>
      <w:r w:rsidRPr="009440AD">
        <w:rPr>
          <w:lang w:val="en-US"/>
        </w:rPr>
        <w:t>Felix Stader, Hannah Kinvig, Melissa A. Penny, Manuel Battegay, Marco Siccardi, and Catia Marzolini have no conflict of interest to declare.</w:t>
      </w:r>
    </w:p>
    <w:p w14:paraId="01EFFA9B" w14:textId="77777777" w:rsidR="002016E8" w:rsidRPr="009440AD" w:rsidRDefault="002016E8" w:rsidP="005268E6">
      <w:pPr>
        <w:rPr>
          <w:lang w:val="en-US"/>
        </w:rPr>
      </w:pPr>
    </w:p>
    <w:p w14:paraId="6E6DACAD" w14:textId="77777777" w:rsidR="005268E6" w:rsidRPr="009440AD" w:rsidRDefault="005268E6" w:rsidP="002016E8">
      <w:pPr>
        <w:pStyle w:val="Heading1"/>
        <w:rPr>
          <w:lang w:val="en-US"/>
        </w:rPr>
      </w:pPr>
      <w:r w:rsidRPr="009440AD">
        <w:rPr>
          <w:lang w:val="en-US"/>
        </w:rPr>
        <w:lastRenderedPageBreak/>
        <w:t>References</w:t>
      </w:r>
    </w:p>
    <w:p w14:paraId="160C1CA9" w14:textId="77777777" w:rsidR="00AB3317" w:rsidRPr="00AB3317" w:rsidRDefault="002016E8" w:rsidP="00AB3317">
      <w:pPr>
        <w:pStyle w:val="EndNoteBibliography"/>
        <w:ind w:left="720" w:hanging="720"/>
      </w:pPr>
      <w:r w:rsidRPr="009440AD">
        <w:fldChar w:fldCharType="begin"/>
      </w:r>
      <w:r w:rsidRPr="009440AD">
        <w:instrText xml:space="preserve"> ADDIN EN.REFLIST </w:instrText>
      </w:r>
      <w:r w:rsidRPr="009440AD">
        <w:fldChar w:fldCharType="separate"/>
      </w:r>
      <w:r w:rsidR="00AB3317" w:rsidRPr="00AB3317">
        <w:t>1.</w:t>
      </w:r>
      <w:r w:rsidR="00AB3317" w:rsidRPr="00AB3317">
        <w:tab/>
        <w:t>Ortman JM, Velkoff VA, Hogan H. An aging nation: the older population in the United States: United States Census Bureau, Economics and Statistics Administration; 2014.</w:t>
      </w:r>
    </w:p>
    <w:p w14:paraId="46954754" w14:textId="7BF443B5" w:rsidR="00AB3317" w:rsidRPr="00AB3317" w:rsidRDefault="00AB3317" w:rsidP="00AB3317">
      <w:pPr>
        <w:pStyle w:val="EndNoteBibliography"/>
        <w:ind w:left="720" w:hanging="720"/>
      </w:pPr>
      <w:r w:rsidRPr="00AB3317">
        <w:t>2.</w:t>
      </w:r>
      <w:r w:rsidRPr="00AB3317">
        <w:tab/>
        <w:t xml:space="preserve">European Union - Eurostats. People in the EU - population projections.  2017  [cited 2019 06/02/2019]; Available from: </w:t>
      </w:r>
      <w:hyperlink r:id="rId8" w:anchor="Age_dependency_ratios" w:history="1">
        <w:r w:rsidRPr="00AB3317">
          <w:rPr>
            <w:rStyle w:val="Hyperlink"/>
          </w:rPr>
          <w:t>https://ec.europa.eu/eurostat/statistics-explained/index.php/People_in_the_EU_-_population_projections#Age_dependency_ratios</w:t>
        </w:r>
      </w:hyperlink>
    </w:p>
    <w:p w14:paraId="323C3113" w14:textId="77777777" w:rsidR="00AB3317" w:rsidRPr="00AB3317" w:rsidRDefault="00AB3317" w:rsidP="00AB3317">
      <w:pPr>
        <w:pStyle w:val="EndNoteBibliography"/>
        <w:ind w:left="720" w:hanging="720"/>
      </w:pPr>
      <w:r w:rsidRPr="00AB3317">
        <w:t>3.</w:t>
      </w:r>
      <w:r w:rsidRPr="00AB3317">
        <w:tab/>
        <w:t>Jaul E, Barron J. Age-related diseases and clinical and public health implications for the 85 years old and over population. Frontiers in Public Health. 2017;5:335-41.</w:t>
      </w:r>
    </w:p>
    <w:p w14:paraId="35ACC2B4" w14:textId="2F019A62" w:rsidR="00AB3317" w:rsidRPr="00AB3317" w:rsidRDefault="00AB3317" w:rsidP="00AB3317">
      <w:pPr>
        <w:pStyle w:val="EndNoteBibliography"/>
        <w:ind w:left="720" w:hanging="720"/>
      </w:pPr>
      <w:r w:rsidRPr="00AB3317">
        <w:t>4.</w:t>
      </w:r>
      <w:r w:rsidRPr="00AB3317">
        <w:tab/>
        <w:t xml:space="preserve">Eurostat. Medicine use statistics.  2014  [cited 2018 15/11/2018]; Available from: </w:t>
      </w:r>
      <w:hyperlink r:id="rId9" w:history="1">
        <w:r w:rsidRPr="00AB3317">
          <w:rPr>
            <w:rStyle w:val="Hyperlink"/>
          </w:rPr>
          <w:t>https://ec.europa.eu/eurostat/statistics-explained/index.php/Medicine_use_statistics</w:t>
        </w:r>
      </w:hyperlink>
    </w:p>
    <w:p w14:paraId="46EC8D2E" w14:textId="4AA57788" w:rsidR="00AB3317" w:rsidRPr="00AB3317" w:rsidRDefault="00AB3317" w:rsidP="00AB3317">
      <w:pPr>
        <w:pStyle w:val="EndNoteBibliography"/>
        <w:ind w:left="720" w:hanging="720"/>
      </w:pPr>
      <w:r w:rsidRPr="00AB3317">
        <w:t>5.</w:t>
      </w:r>
      <w:r w:rsidRPr="00AB3317">
        <w:tab/>
        <w:t xml:space="preserve">U.S. Food and Drug Administration. Diversity in clinical trials.  2018  [cited 2018 15/11/2018]; Available from: </w:t>
      </w:r>
      <w:hyperlink r:id="rId10" w:history="1">
        <w:r w:rsidRPr="00AB3317">
          <w:rPr>
            <w:rStyle w:val="Hyperlink"/>
          </w:rPr>
          <w:t>https://www.fda.gov/ForConsumers/ConsumerUpdates/ucm535306.htm</w:t>
        </w:r>
      </w:hyperlink>
    </w:p>
    <w:p w14:paraId="0DC9B49C" w14:textId="77777777" w:rsidR="00AB3317" w:rsidRPr="00AB3317" w:rsidRDefault="00AB3317" w:rsidP="00AB3317">
      <w:pPr>
        <w:pStyle w:val="EndNoteBibliography"/>
        <w:ind w:left="720" w:hanging="720"/>
      </w:pPr>
      <w:r w:rsidRPr="00AB3317">
        <w:t>6.</w:t>
      </w:r>
      <w:r w:rsidRPr="00AB3317">
        <w:tab/>
        <w:t>Stader F, Siccardi M, Battegay M, Kinvig H, Penny MA, Marzolini C. Repository describing an aging population to inform physiologically based pharmacokinetic models considering anatomical, physiological, and biological age-dependent changes. Clinical Pharmacokinetics. 2019;58(4):483-501.</w:t>
      </w:r>
    </w:p>
    <w:p w14:paraId="637937B1" w14:textId="77777777" w:rsidR="00AB3317" w:rsidRPr="00AB3317" w:rsidRDefault="00AB3317" w:rsidP="00AB3317">
      <w:pPr>
        <w:pStyle w:val="EndNoteBibliography"/>
        <w:ind w:left="720" w:hanging="720"/>
      </w:pPr>
      <w:r w:rsidRPr="00AB3317">
        <w:t>7.</w:t>
      </w:r>
      <w:r w:rsidRPr="00AB3317">
        <w:tab/>
        <w:t>Polasek TM, Patel F, Jensen BP, Sorich MJ, Wiese MD, Doogue MP. Predicted metabolic drug clearance with increasing adult age. British Journal of Clinical Pharmacology. 2013;75(4):1019-28.</w:t>
      </w:r>
    </w:p>
    <w:p w14:paraId="07BCBE08" w14:textId="77777777" w:rsidR="00AB3317" w:rsidRPr="00AB3317" w:rsidRDefault="00AB3317" w:rsidP="00AB3317">
      <w:pPr>
        <w:pStyle w:val="EndNoteBibliography"/>
        <w:ind w:left="720" w:hanging="720"/>
      </w:pPr>
      <w:r w:rsidRPr="00AB3317">
        <w:t>8.</w:t>
      </w:r>
      <w:r w:rsidRPr="00AB3317">
        <w:tab/>
        <w:t>Burt HJ, Riedmaier AE, Harwood MD, Crewe HK, Gill KL, Neuhoff S. Abundance of hepatic transporters in Caucasians: a meta-analysis. Drug Metabolism and Disposition. 2016;44(10):1550-61.</w:t>
      </w:r>
    </w:p>
    <w:p w14:paraId="5950BA08" w14:textId="77777777" w:rsidR="00AB3317" w:rsidRPr="00AB3317" w:rsidRDefault="00AB3317" w:rsidP="00AB3317">
      <w:pPr>
        <w:pStyle w:val="EndNoteBibliography"/>
        <w:ind w:left="720" w:hanging="720"/>
      </w:pPr>
      <w:r w:rsidRPr="00AB3317">
        <w:t>9.</w:t>
      </w:r>
      <w:r w:rsidRPr="00AB3317">
        <w:tab/>
        <w:t>Schlender J-F, Meyer M, Thelen K, Krauss M, Willmann S, Eissing T, et al. Development of a whole-body physiologically based pharmacokinetic approach to assess the pharmacokinetics of drugs in elderly individuals. Clinical Pharmacokinetics. 2016;55(12):1573-89.</w:t>
      </w:r>
    </w:p>
    <w:p w14:paraId="24E6C9E5" w14:textId="77777777" w:rsidR="00AB3317" w:rsidRPr="00AB3317" w:rsidRDefault="00AB3317" w:rsidP="00AB3317">
      <w:pPr>
        <w:pStyle w:val="EndNoteBibliography"/>
        <w:ind w:left="720" w:hanging="720"/>
      </w:pPr>
      <w:r w:rsidRPr="00AB3317">
        <w:t>10.</w:t>
      </w:r>
      <w:r w:rsidRPr="00AB3317">
        <w:tab/>
        <w:t>Chetty M, Johnson TN, Polak S, Salem F, Doki K, Rostami-Hodjegan A. Physiologically based pharmacokinetic modelling to guide drug delivery in older people. Advanced Drug Delivery Reviews. 2018;135:85-96.</w:t>
      </w:r>
    </w:p>
    <w:p w14:paraId="4D39FF71" w14:textId="77777777" w:rsidR="00AB3317" w:rsidRPr="00AB3317" w:rsidRDefault="00AB3317" w:rsidP="00AB3317">
      <w:pPr>
        <w:pStyle w:val="EndNoteBibliography"/>
        <w:ind w:left="720" w:hanging="720"/>
      </w:pPr>
      <w:r w:rsidRPr="00AB3317">
        <w:t>11.</w:t>
      </w:r>
      <w:r w:rsidRPr="00AB3317">
        <w:tab/>
        <w:t>Stader F, Penny MA, Siccardi M, Marzolini C. A comprehensive framework for physiologically based pharmacokinetic modelling in Matlab®. CPT: Pharmacometrics &amp; Systems Pharmacology. 2019;8(7):444-59.</w:t>
      </w:r>
    </w:p>
    <w:p w14:paraId="07A4123D" w14:textId="77777777" w:rsidR="00AB3317" w:rsidRPr="00AB3317" w:rsidRDefault="00AB3317" w:rsidP="00AB3317">
      <w:pPr>
        <w:pStyle w:val="EndNoteBibliography"/>
        <w:ind w:left="720" w:hanging="720"/>
      </w:pPr>
      <w:r w:rsidRPr="00AB3317">
        <w:t>12.</w:t>
      </w:r>
      <w:r w:rsidRPr="00AB3317">
        <w:tab/>
        <w:t>Rowland-Yeo K, Jamei M, Rostami-Hodjegan A. Predicting drug–drug interactions: application of physiologically based pharmacokinetic models under a systems biology approach. Expert Review of Clinical Pharmacology. 2013;6(2):143-57.</w:t>
      </w:r>
    </w:p>
    <w:p w14:paraId="31585270" w14:textId="77777777" w:rsidR="00AB3317" w:rsidRPr="00AB3317" w:rsidRDefault="00AB3317" w:rsidP="00AB3317">
      <w:pPr>
        <w:pStyle w:val="EndNoteBibliography"/>
        <w:ind w:left="720" w:hanging="720"/>
      </w:pPr>
      <w:r w:rsidRPr="00AB3317">
        <w:t>13.</w:t>
      </w:r>
      <w:r w:rsidRPr="00AB3317">
        <w:tab/>
        <w:t>Chetty M, Rose RH, Abduljalil K, Patel N, Lu G, Cain T, et al. Applications of linking PBPK and PD models to predict the impact of genotypic variability, formulation differences, differences in target binding capacity and target site drug concentrations on drug responses and variability. Frontiers in Pharmacology. 2014;5(258):1-14.</w:t>
      </w:r>
    </w:p>
    <w:p w14:paraId="24BA2DDC" w14:textId="77777777" w:rsidR="00AB3317" w:rsidRPr="00AB3317" w:rsidRDefault="00AB3317" w:rsidP="00AB3317">
      <w:pPr>
        <w:pStyle w:val="EndNoteBibliography"/>
        <w:ind w:left="720" w:hanging="720"/>
      </w:pPr>
      <w:r w:rsidRPr="00AB3317">
        <w:t>14.</w:t>
      </w:r>
      <w:r w:rsidRPr="00AB3317">
        <w:tab/>
        <w:t>Mukherjee D, Zha J, Menon RM, Shebley M. Guiding dose adjustment of amlodipine after co-administration with ritonavir containing regimens using a physiologically-based pharmacokinetic/pharmacodynamic model. Journal of Pharmacokinetics and Pharmacodynamics. 2018;45(3):443-56.</w:t>
      </w:r>
    </w:p>
    <w:p w14:paraId="3620F1D7" w14:textId="77777777" w:rsidR="00AB3317" w:rsidRPr="00AB3317" w:rsidRDefault="00AB3317" w:rsidP="00AB3317">
      <w:pPr>
        <w:pStyle w:val="EndNoteBibliography"/>
        <w:ind w:left="720" w:hanging="720"/>
      </w:pPr>
      <w:r w:rsidRPr="00AB3317">
        <w:t>15.</w:t>
      </w:r>
      <w:r w:rsidRPr="00AB3317">
        <w:tab/>
        <w:t>Marzolini C, Rajoli R, Battegay M, Elzi L, Back D, Siccardi M. Physiologically based pharmacokinetic modeling to predict drug–drug interactions with efavirenz involving simultaneous inducing and inhibitory effects on cytochromes. Clinical Pharmacokinetics. 2017;56(4):409-20.</w:t>
      </w:r>
    </w:p>
    <w:p w14:paraId="21844C36" w14:textId="77777777" w:rsidR="00AB3317" w:rsidRPr="00AB3317" w:rsidRDefault="00AB3317" w:rsidP="00AB3317">
      <w:pPr>
        <w:pStyle w:val="EndNoteBibliography"/>
        <w:ind w:left="720" w:hanging="720"/>
      </w:pPr>
      <w:r w:rsidRPr="00AB3317">
        <w:t>16.</w:t>
      </w:r>
      <w:r w:rsidRPr="00AB3317">
        <w:tab/>
        <w:t>Zhang T. Physiologically based pharmacokinetic modeling of disposition and drug–drug interactions for atorvastatin and its metabolites. European Journal of Pharmaceutical Sciences. 2015;77:216-29.</w:t>
      </w:r>
    </w:p>
    <w:p w14:paraId="13035051" w14:textId="77777777" w:rsidR="00AB3317" w:rsidRPr="00AB3317" w:rsidRDefault="00AB3317" w:rsidP="00AB3317">
      <w:pPr>
        <w:pStyle w:val="EndNoteBibliography"/>
        <w:ind w:left="720" w:hanging="720"/>
      </w:pPr>
      <w:r w:rsidRPr="00AB3317">
        <w:t>17.</w:t>
      </w:r>
      <w:r w:rsidRPr="00AB3317">
        <w:tab/>
        <w:t>Jamei M, Bajot F, Neuhoff S, Barter Z, Yang J, Rostami-Hodjegan A, et al. A mechanistic framework for in vitro–in vivo extrapolation of liver membrane transporters: prediction of drug–drug interaction between rosuvastatin and cyclosporine. Clinical Pharmacokinetics. 2014;53(1):73-87.</w:t>
      </w:r>
    </w:p>
    <w:p w14:paraId="4F86C62A" w14:textId="77777777" w:rsidR="00AB3317" w:rsidRPr="00AB3317" w:rsidRDefault="00AB3317" w:rsidP="00AB3317">
      <w:pPr>
        <w:pStyle w:val="EndNoteBibliography"/>
        <w:ind w:left="720" w:hanging="720"/>
      </w:pPr>
      <w:r w:rsidRPr="00AB3317">
        <w:t>18.</w:t>
      </w:r>
      <w:r w:rsidRPr="00AB3317">
        <w:tab/>
        <w:t>Rowland-Yeo K, Walsky R, Jamei M, Rostami-Hodjegan A, Tucker G. Prediction of time-dependent CYP3A4 drug–drug interactions by physiologically based pharmacokinetic modelling: impact of inactivation parameters and enzyme turnover. European Journal of Pharmaceutical Sciences. 2011;43(3):160-73.</w:t>
      </w:r>
    </w:p>
    <w:p w14:paraId="6AC18839" w14:textId="77777777" w:rsidR="00AB3317" w:rsidRPr="00AB3317" w:rsidRDefault="00AB3317" w:rsidP="00AB3317">
      <w:pPr>
        <w:pStyle w:val="EndNoteBibliography"/>
        <w:ind w:left="720" w:hanging="720"/>
      </w:pPr>
      <w:r w:rsidRPr="00AB3317">
        <w:t>19.</w:t>
      </w:r>
      <w:r w:rsidRPr="00AB3317">
        <w:tab/>
        <w:t>Varma MV, Lai Y, Kimoto E, Goosen TC, El-Kattan AF, Kumar V. Mechanistic modeling to predict the transporter-and enzyme-mediated drug-drug interactions of repaglinide. Pharmaceutical Research. 2013;30(4):1188-99.</w:t>
      </w:r>
    </w:p>
    <w:p w14:paraId="365925AD" w14:textId="77777777" w:rsidR="00AB3317" w:rsidRPr="00AB3317" w:rsidRDefault="00AB3317" w:rsidP="00AB3317">
      <w:pPr>
        <w:pStyle w:val="EndNoteBibliography"/>
        <w:ind w:left="720" w:hanging="720"/>
      </w:pPr>
      <w:r w:rsidRPr="00AB3317">
        <w:lastRenderedPageBreak/>
        <w:t>20.</w:t>
      </w:r>
      <w:r w:rsidRPr="00AB3317">
        <w:tab/>
        <w:t>Faulkner J, McGibney D, Chasseaud L, Perry J, Taylor I. The pharmacokinetics of amlodipine in healthy volunteers after single intravenous and oral doses and after 14 repeated oral doses given once daily. British Journal of Clinical Pharmacology. 1986;22(1):21-5.</w:t>
      </w:r>
    </w:p>
    <w:p w14:paraId="4C7E7F63" w14:textId="77777777" w:rsidR="00AB3317" w:rsidRPr="00AB3317" w:rsidRDefault="00AB3317" w:rsidP="00AB3317">
      <w:pPr>
        <w:pStyle w:val="EndNoteBibliography"/>
        <w:ind w:left="720" w:hanging="720"/>
      </w:pPr>
      <w:r w:rsidRPr="00AB3317">
        <w:t>21.</w:t>
      </w:r>
      <w:r w:rsidRPr="00AB3317">
        <w:tab/>
        <w:t>Stader F, Kinvig H, Battegay M, Khoo S, Owen A, Siccardi M, et al. Analysis of clinical drug-drug interaction data to predict uncharacterized interaction magnitudes between antiretroviral drugs and co-medications. Antimicrobial Agents and Chemotherapy. 2018;62(7):1-12.</w:t>
      </w:r>
    </w:p>
    <w:p w14:paraId="38CC4036" w14:textId="77777777" w:rsidR="00AB3317" w:rsidRPr="00AB3317" w:rsidRDefault="00AB3317" w:rsidP="00AB3317">
      <w:pPr>
        <w:pStyle w:val="EndNoteBibliography"/>
        <w:ind w:left="720" w:hanging="720"/>
      </w:pPr>
      <w:r w:rsidRPr="00AB3317">
        <w:t>22.</w:t>
      </w:r>
      <w:r w:rsidRPr="00AB3317">
        <w:tab/>
        <w:t>Zhu Y, Wang F, Li Q, Zhu M, Du A, Tang W, et al. Amlodipine metabolism in human liver microsomes and roles of CYP3A4/5 in the dihydropyridine dehydrogenation. Drug Metabolism and Disposition. 2014;42(2):245-9.</w:t>
      </w:r>
    </w:p>
    <w:p w14:paraId="0A7125A9" w14:textId="77777777" w:rsidR="00AB3317" w:rsidRPr="00AB3317" w:rsidRDefault="00AB3317" w:rsidP="00AB3317">
      <w:pPr>
        <w:pStyle w:val="EndNoteBibliography"/>
        <w:ind w:left="720" w:hanging="720"/>
      </w:pPr>
      <w:r w:rsidRPr="00AB3317">
        <w:t>23.</w:t>
      </w:r>
      <w:r w:rsidRPr="00AB3317">
        <w:tab/>
        <w:t>Varma MV, Lai Y, Feng B, Litchfield J, Goosen TC, Bergman A. Physiologically based modeling of pravastatin transporter-mediated hepatobiliary disposition and drug-drug interactions. Pharmaceutical Research. 2012;29(10):2860-73.</w:t>
      </w:r>
    </w:p>
    <w:p w14:paraId="298FE788" w14:textId="77777777" w:rsidR="00AB3317" w:rsidRPr="00AB3317" w:rsidRDefault="00AB3317" w:rsidP="00AB3317">
      <w:pPr>
        <w:pStyle w:val="EndNoteBibliography"/>
        <w:ind w:left="720" w:hanging="720"/>
      </w:pPr>
      <w:r w:rsidRPr="00AB3317">
        <w:t>24.</w:t>
      </w:r>
      <w:r w:rsidRPr="00AB3317">
        <w:tab/>
        <w:t>Almond LM, Mukadam S, Gardner I, Okialda K, Wong S, Hatley O, et al. Prediction of drug-drug interactions arising from CYP3A induction using a physiologically based dynamic model. Drug Metabolism and Disposition. 2016;44(6):821-32.</w:t>
      </w:r>
    </w:p>
    <w:p w14:paraId="264B9BFF" w14:textId="77777777" w:rsidR="00AB3317" w:rsidRPr="00AB3317" w:rsidRDefault="00AB3317" w:rsidP="00AB3317">
      <w:pPr>
        <w:pStyle w:val="EndNoteBibliography"/>
        <w:ind w:left="720" w:hanging="720"/>
      </w:pPr>
      <w:r w:rsidRPr="00AB3317">
        <w:t>25.</w:t>
      </w:r>
      <w:r w:rsidRPr="00AB3317">
        <w:tab/>
        <w:t>Ke A, Barter Z, Rowland</w:t>
      </w:r>
      <w:r w:rsidRPr="00AB3317">
        <w:rPr>
          <w:rFonts w:ascii="Cambria Math" w:hAnsi="Cambria Math" w:cs="Cambria Math"/>
        </w:rPr>
        <w:t>‐</w:t>
      </w:r>
      <w:r w:rsidRPr="00AB3317">
        <w:t>Yeo K, Almond L. Towards a best practice approach in PBPK modeling: case example of developing a unified efavirenz model accounting for induction of CYPs 3A4 and 2B6. CPT: Pharmacometrics &amp; Systems Pharmacology. 2016;5(7):367-76.</w:t>
      </w:r>
    </w:p>
    <w:p w14:paraId="16C3D4EC" w14:textId="77777777" w:rsidR="00AB3317" w:rsidRPr="00AB3317" w:rsidRDefault="00AB3317" w:rsidP="00AB3317">
      <w:pPr>
        <w:pStyle w:val="EndNoteBibliography"/>
        <w:ind w:left="720" w:hanging="720"/>
      </w:pPr>
      <w:r w:rsidRPr="00AB3317">
        <w:t>26.</w:t>
      </w:r>
      <w:r w:rsidRPr="00AB3317">
        <w:tab/>
        <w:t>Kendall M, Brown D, Yates R. Plasma metoprolol concentrations in young, old and hypertensive subjects. British Journal of Clinical Pharmacology. 1977;4(4):497-9.</w:t>
      </w:r>
    </w:p>
    <w:p w14:paraId="267CB41D" w14:textId="77777777" w:rsidR="00AB3317" w:rsidRPr="00AB3317" w:rsidRDefault="00AB3317" w:rsidP="00AB3317">
      <w:pPr>
        <w:pStyle w:val="EndNoteBibliography"/>
        <w:ind w:left="720" w:hanging="720"/>
      </w:pPr>
      <w:r w:rsidRPr="00AB3317">
        <w:t>27.</w:t>
      </w:r>
      <w:r w:rsidRPr="00AB3317">
        <w:tab/>
        <w:t>Gautam P, Vargas E, Lye M. Pharmacokinetics of lisinopril (MK521) in healthy young and elderly subjects and in elderly patients with cardiac failure. Journal of Pharmacy and Pharmacology. 1987;39(11):929-31.</w:t>
      </w:r>
    </w:p>
    <w:p w14:paraId="268301D8" w14:textId="77777777" w:rsidR="00AB3317" w:rsidRPr="00AB3317" w:rsidRDefault="00AB3317" w:rsidP="00AB3317">
      <w:pPr>
        <w:pStyle w:val="EndNoteBibliography"/>
        <w:ind w:left="720" w:hanging="720"/>
      </w:pPr>
      <w:r w:rsidRPr="00AB3317">
        <w:t>28.</w:t>
      </w:r>
      <w:r w:rsidRPr="00AB3317">
        <w:tab/>
        <w:t>Gomez HJ, Cirillo VJ, Moncloa F. The clinical pharmacology of lisinopril. Journal of Cardiovascular Pharmacology. 1987;9:S27-S34.</w:t>
      </w:r>
    </w:p>
    <w:p w14:paraId="6246E233" w14:textId="77777777" w:rsidR="00AB3317" w:rsidRPr="00AB3317" w:rsidRDefault="00AB3317" w:rsidP="00AB3317">
      <w:pPr>
        <w:pStyle w:val="EndNoteBibliography"/>
        <w:ind w:left="720" w:hanging="720"/>
      </w:pPr>
      <w:r w:rsidRPr="00AB3317">
        <w:t>29.</w:t>
      </w:r>
      <w:r w:rsidRPr="00AB3317">
        <w:tab/>
        <w:t>Ulm E, Hichens M, Gomez H, Till A, Hand E, Vassil T, et al. Enalapril maleate and a lysine analogue (MK</w:t>
      </w:r>
      <w:r w:rsidRPr="00AB3317">
        <w:rPr>
          <w:rFonts w:ascii="Cambria Math" w:hAnsi="Cambria Math" w:cs="Cambria Math"/>
        </w:rPr>
        <w:t>‐</w:t>
      </w:r>
      <w:r w:rsidRPr="00AB3317">
        <w:t>521): disposition in man. British Journal of Clinical Pharmacology. 1982;14(3):357-62.</w:t>
      </w:r>
    </w:p>
    <w:p w14:paraId="2CA97659" w14:textId="77777777" w:rsidR="00AB3317" w:rsidRPr="00AB3317" w:rsidRDefault="00AB3317" w:rsidP="00AB3317">
      <w:pPr>
        <w:pStyle w:val="EndNoteBibliography"/>
        <w:ind w:left="720" w:hanging="720"/>
      </w:pPr>
      <w:r w:rsidRPr="00AB3317">
        <w:t>30.</w:t>
      </w:r>
      <w:r w:rsidRPr="00AB3317">
        <w:tab/>
        <w:t>Sagirli O, Ersoy L. An HPLC method for the determination of lisinopril in human plasma and urine with fluorescence detection. Journal of Chromatography B. 2004;809(1):159-65.</w:t>
      </w:r>
    </w:p>
    <w:p w14:paraId="26001CBA" w14:textId="77777777" w:rsidR="00AB3317" w:rsidRPr="00AB3317" w:rsidRDefault="00AB3317" w:rsidP="00AB3317">
      <w:pPr>
        <w:pStyle w:val="EndNoteBibliography"/>
        <w:ind w:left="720" w:hanging="720"/>
      </w:pPr>
      <w:r w:rsidRPr="00AB3317">
        <w:t>31.</w:t>
      </w:r>
      <w:r w:rsidRPr="00AB3317">
        <w:tab/>
        <w:t>Acocella G, Pagani V, Marchetti M, Baroni G, Nicolis F. Kinetic studies on rifampicin. I. Serum concentration analysis in subjects treated with different oral doses over a period of two weeks. Chemotherapy. 1971;16(6):356-70.</w:t>
      </w:r>
    </w:p>
    <w:p w14:paraId="3F461456" w14:textId="77777777" w:rsidR="00AB3317" w:rsidRPr="00AB3317" w:rsidRDefault="00AB3317" w:rsidP="00AB3317">
      <w:pPr>
        <w:pStyle w:val="EndNoteBibliography"/>
        <w:ind w:left="720" w:hanging="720"/>
      </w:pPr>
      <w:r w:rsidRPr="00AB3317">
        <w:t>32.</w:t>
      </w:r>
      <w:r w:rsidRPr="00AB3317">
        <w:tab/>
        <w:t>Hozo SP, Djulbegovic B, Hozo I. Estimating the mean and variance from the median, range, and the size of a sample. BMC Medical Research Methodology. 2005;5(13):1-10.</w:t>
      </w:r>
    </w:p>
    <w:p w14:paraId="1E5ADC1F" w14:textId="77777777" w:rsidR="00AB3317" w:rsidRPr="00AB3317" w:rsidRDefault="00AB3317" w:rsidP="00AB3317">
      <w:pPr>
        <w:pStyle w:val="EndNoteBibliography"/>
        <w:ind w:left="720" w:hanging="720"/>
      </w:pPr>
      <w:r w:rsidRPr="00AB3317">
        <w:t>33.</w:t>
      </w:r>
      <w:r w:rsidRPr="00AB3317">
        <w:tab/>
        <w:t>Wan X, Wang W, Liu J, Tong T. Estimating the sample mean and standard deviation from the sample size, median, range and/or interquartile range. BMC Medical Research Methodology. 2014;14(1):135-59.</w:t>
      </w:r>
    </w:p>
    <w:p w14:paraId="28DF5FBD" w14:textId="77777777" w:rsidR="00AB3317" w:rsidRPr="00AB3317" w:rsidRDefault="00AB3317" w:rsidP="00AB3317">
      <w:pPr>
        <w:pStyle w:val="EndNoteBibliography"/>
        <w:ind w:left="720" w:hanging="720"/>
      </w:pPr>
      <w:r w:rsidRPr="00AB3317">
        <w:t>34.</w:t>
      </w:r>
      <w:r w:rsidRPr="00AB3317">
        <w:tab/>
        <w:t>Greenblatt DJ, Abernethy DR, Locniskar A, Harmatz JS, Limjuco RA, Shader RI. Effect of age, gender, and obesity on midazolam kinetics. Anesthesiology. 1984;61(1):27-35.</w:t>
      </w:r>
    </w:p>
    <w:p w14:paraId="68B252A7" w14:textId="77777777" w:rsidR="00AB3317" w:rsidRPr="00AB3317" w:rsidRDefault="00AB3317" w:rsidP="00AB3317">
      <w:pPr>
        <w:pStyle w:val="EndNoteBibliography"/>
        <w:ind w:left="720" w:hanging="720"/>
      </w:pPr>
      <w:r w:rsidRPr="00AB3317">
        <w:t>35.</w:t>
      </w:r>
      <w:r w:rsidRPr="00AB3317">
        <w:tab/>
        <w:t>Kirby BJ, Collier AC, Kharasch ED, Whittington D, Thummel KE, Unadkat JD. Complex drug interactions of HIV protease inhibitors 1: inactivation, induction and inhibition of cytochrome P450 3A by ritonavir or nelfinavir. Drug Metabolism and Disposition. 2011;39(6):1070-8.</w:t>
      </w:r>
    </w:p>
    <w:p w14:paraId="4A609565" w14:textId="77777777" w:rsidR="00AB3317" w:rsidRPr="00AB3317" w:rsidRDefault="00AB3317" w:rsidP="00AB3317">
      <w:pPr>
        <w:pStyle w:val="EndNoteBibliography"/>
        <w:ind w:left="720" w:hanging="720"/>
      </w:pPr>
      <w:r w:rsidRPr="00AB3317">
        <w:t>36.</w:t>
      </w:r>
      <w:r w:rsidRPr="00AB3317">
        <w:tab/>
        <w:t>Quarterman C, Kendall M, Jack D. The effect of age on the pharmacokinetics of metoprolol and its metabolites. British Journal of Clinical Pharmacology. 1981;11(3):287-94.</w:t>
      </w:r>
    </w:p>
    <w:p w14:paraId="187D97E2" w14:textId="77777777" w:rsidR="00AB3317" w:rsidRPr="00AB3317" w:rsidRDefault="00AB3317" w:rsidP="00AB3317">
      <w:pPr>
        <w:pStyle w:val="EndNoteBibliography"/>
        <w:ind w:left="720" w:hanging="720"/>
      </w:pPr>
      <w:r w:rsidRPr="00AB3317">
        <w:t>37.</w:t>
      </w:r>
      <w:r w:rsidRPr="00AB3317">
        <w:tab/>
        <w:t>Obach RS, Lombardo F, Waters NJ. Trend analysis of a database of intravenous pharmacokinetic parameters in humans for 670 drug compounds. Drug Metabolism and Disposition. 2008;36(7):1385-405.</w:t>
      </w:r>
    </w:p>
    <w:p w14:paraId="0037409D" w14:textId="77777777" w:rsidR="00AB3317" w:rsidRPr="00AB3317" w:rsidRDefault="00AB3317" w:rsidP="00AB3317">
      <w:pPr>
        <w:pStyle w:val="EndNoteBibliography"/>
        <w:ind w:left="720" w:hanging="720"/>
      </w:pPr>
      <w:r w:rsidRPr="00AB3317">
        <w:t>38.</w:t>
      </w:r>
      <w:r w:rsidRPr="00AB3317">
        <w:tab/>
        <w:t>Abernethy DR, Gutkowska J, Lambert MD. Amlodipine in elderly hypertensive patients: pharmacokinetics and pharmacodynamics. Journal of Cardiovascular Pharmacology. 1988;12:S67-71.</w:t>
      </w:r>
    </w:p>
    <w:p w14:paraId="6A72E726" w14:textId="77777777" w:rsidR="00AB3317" w:rsidRPr="00AB3317" w:rsidRDefault="00AB3317" w:rsidP="00AB3317">
      <w:pPr>
        <w:pStyle w:val="EndNoteBibliography"/>
        <w:ind w:left="720" w:hanging="720"/>
      </w:pPr>
      <w:r w:rsidRPr="00AB3317">
        <w:t>39.</w:t>
      </w:r>
      <w:r w:rsidRPr="00AB3317">
        <w:tab/>
        <w:t>Kudo T, Goda H, Yokosuka Y, Tanaka R, Komatsu S, Ito K. Estimation of the contribution of CYP2C8 and CYP3A4 in repaglinide metabolism by human liver microsomes under various buffer conditions. Journal of Pharmaceutical Sciences. 2017;106(9):2847-52.</w:t>
      </w:r>
    </w:p>
    <w:p w14:paraId="0DDBE38F" w14:textId="77777777" w:rsidR="00AB3317" w:rsidRPr="00AB3317" w:rsidRDefault="00AB3317" w:rsidP="00AB3317">
      <w:pPr>
        <w:pStyle w:val="EndNoteBibliography"/>
        <w:ind w:left="720" w:hanging="720"/>
      </w:pPr>
      <w:r w:rsidRPr="00AB3317">
        <w:t>40.</w:t>
      </w:r>
      <w:r w:rsidRPr="00AB3317">
        <w:tab/>
        <w:t>Hatorp V, Huang W-C, Strange P. Repaglinide pharmacokinetics in healthy young adult and elderly subjects. Clinical Therapeutics. 1999;21(4):702-10.</w:t>
      </w:r>
    </w:p>
    <w:p w14:paraId="234284F4" w14:textId="77777777" w:rsidR="00AB3317" w:rsidRPr="00AB3317" w:rsidRDefault="00AB3317" w:rsidP="00AB3317">
      <w:pPr>
        <w:pStyle w:val="EndNoteBibliography"/>
        <w:ind w:left="720" w:hanging="720"/>
      </w:pPr>
      <w:r w:rsidRPr="00AB3317">
        <w:t>41.</w:t>
      </w:r>
      <w:r w:rsidRPr="00AB3317">
        <w:tab/>
        <w:t>Gibson DM, Bron NJ, Richens MA, Hounslow NJ, Sedman AJ, Whitfield LR. Effect of age and gender on pharmacokinetics of atorvastatin in humans. The Journal of Clinical Pharmacology. 1996;36(3):242-6.</w:t>
      </w:r>
    </w:p>
    <w:p w14:paraId="1382FFA6" w14:textId="77777777" w:rsidR="00AB3317" w:rsidRPr="00AB3317" w:rsidRDefault="00AB3317" w:rsidP="00AB3317">
      <w:pPr>
        <w:pStyle w:val="EndNoteBibliography"/>
        <w:ind w:left="720" w:hanging="720"/>
      </w:pPr>
      <w:r w:rsidRPr="00AB3317">
        <w:t>42.</w:t>
      </w:r>
      <w:r w:rsidRPr="00AB3317">
        <w:tab/>
        <w:t>Rodvold KA. Clinical pharmacokinetics of clarithromycin. Clinical Pharmacokinetics. 1999;37(5):385-98.</w:t>
      </w:r>
    </w:p>
    <w:p w14:paraId="07933DA8" w14:textId="77777777" w:rsidR="00AB3317" w:rsidRPr="00AB3317" w:rsidRDefault="00AB3317" w:rsidP="00AB3317">
      <w:pPr>
        <w:pStyle w:val="EndNoteBibliography"/>
        <w:ind w:left="720" w:hanging="720"/>
      </w:pPr>
      <w:r w:rsidRPr="00AB3317">
        <w:lastRenderedPageBreak/>
        <w:t>43.</w:t>
      </w:r>
      <w:r w:rsidRPr="00AB3317">
        <w:tab/>
        <w:t>Acocella G. Clinical pharmacokinetics of rifampicin. Clinical Pharmacokinetics. 1978;3(2):108-27.</w:t>
      </w:r>
    </w:p>
    <w:p w14:paraId="116EA590" w14:textId="77777777" w:rsidR="00AB3317" w:rsidRPr="00AB3317" w:rsidRDefault="00AB3317" w:rsidP="00AB3317">
      <w:pPr>
        <w:pStyle w:val="EndNoteBibliography"/>
        <w:ind w:left="720" w:hanging="720"/>
      </w:pPr>
      <w:r w:rsidRPr="00AB3317">
        <w:t>44.</w:t>
      </w:r>
      <w:r w:rsidRPr="00AB3317">
        <w:tab/>
        <w:t>Regårdh C, Landahl S, Larsson M, Lundborg P, Steen B, Hoffmann K-J, et al. Pharmacokinetics of metoprolol and its metabolite α-OH-metoprolol in healthy, non-smoking, elderly individuals. European Journal of Clinical Pharmacology. 1983;24(2):221-6.</w:t>
      </w:r>
    </w:p>
    <w:p w14:paraId="0B3AA822" w14:textId="77777777" w:rsidR="00AB3317" w:rsidRPr="00AB3317" w:rsidRDefault="00AB3317" w:rsidP="00AB3317">
      <w:pPr>
        <w:pStyle w:val="EndNoteBibliography"/>
        <w:ind w:left="720" w:hanging="720"/>
      </w:pPr>
      <w:r w:rsidRPr="00AB3317">
        <w:t>45.</w:t>
      </w:r>
      <w:r w:rsidRPr="00AB3317">
        <w:tab/>
        <w:t>Beermann B. Pharmacokinetics of lisinopril. The American Journal of Medicine. 1988;85(3):25-30.</w:t>
      </w:r>
    </w:p>
    <w:p w14:paraId="362B2BAE" w14:textId="77777777" w:rsidR="00AB3317" w:rsidRPr="00AB3317" w:rsidRDefault="00AB3317" w:rsidP="00AB3317">
      <w:pPr>
        <w:pStyle w:val="EndNoteBibliography"/>
        <w:ind w:left="720" w:hanging="720"/>
      </w:pPr>
      <w:r w:rsidRPr="00AB3317">
        <w:t>46.</w:t>
      </w:r>
      <w:r w:rsidRPr="00AB3317">
        <w:tab/>
        <w:t>Jamei M, Dickinson GL, Rostami-Hodjegan A. A framework for assessing inter-individual variability in pharmacokinetics using virtual human populations and integrating general knowledge of physical chemistry, biology, anatomy, physiology and genetics: a tale of ‘bottom-up’vs ‘top-down’recognition of covariates. Drug Metabolism and Pharmacokinetics. 2009;24(1):53-75.</w:t>
      </w:r>
    </w:p>
    <w:p w14:paraId="57237DD4" w14:textId="77777777" w:rsidR="00AB3317" w:rsidRPr="00AB3317" w:rsidRDefault="00AB3317" w:rsidP="00AB3317">
      <w:pPr>
        <w:pStyle w:val="EndNoteBibliography"/>
        <w:ind w:left="720" w:hanging="720"/>
      </w:pPr>
      <w:r w:rsidRPr="00AB3317">
        <w:t>47.</w:t>
      </w:r>
      <w:r w:rsidRPr="00AB3317">
        <w:tab/>
        <w:t>Lennernäs H. Clinical pharmacokinetics of atorvastatin. Clinical Pharmacokinetics. 2003;42(13):1141-60.</w:t>
      </w:r>
    </w:p>
    <w:p w14:paraId="7E196A67" w14:textId="77777777" w:rsidR="00AB3317" w:rsidRPr="00AB3317" w:rsidRDefault="00AB3317" w:rsidP="00AB3317">
      <w:pPr>
        <w:pStyle w:val="EndNoteBibliography"/>
        <w:ind w:left="720" w:hanging="720"/>
      </w:pPr>
      <w:r w:rsidRPr="00AB3317">
        <w:t>48.</w:t>
      </w:r>
      <w:r w:rsidRPr="00AB3317">
        <w:tab/>
        <w:t>Vestal RE, McGuire EA, Tobin JD, Andres R, Norris AH, Mezey E. Aging and ethanol metabolism. Clinical Pharmacology &amp; Therapeutics. 1977;21(3):343-54.</w:t>
      </w:r>
    </w:p>
    <w:p w14:paraId="72419E71" w14:textId="77777777" w:rsidR="00AB3317" w:rsidRPr="00AB3317" w:rsidRDefault="00AB3317" w:rsidP="00AB3317">
      <w:pPr>
        <w:pStyle w:val="EndNoteBibliography"/>
        <w:ind w:left="720" w:hanging="720"/>
      </w:pPr>
      <w:r w:rsidRPr="00AB3317">
        <w:t>49.</w:t>
      </w:r>
      <w:r w:rsidRPr="00AB3317">
        <w:tab/>
        <w:t>Redolfi A, Borgogelli E, Lodola E. Blood level of cimetidine in relation to age. European Journal of Clinical Pharmacology. 1979;15(4):257-61.</w:t>
      </w:r>
    </w:p>
    <w:p w14:paraId="532311AE" w14:textId="77777777" w:rsidR="00AB3317" w:rsidRPr="00AB3317" w:rsidRDefault="00AB3317" w:rsidP="00AB3317">
      <w:pPr>
        <w:pStyle w:val="EndNoteBibliography"/>
        <w:ind w:left="720" w:hanging="720"/>
      </w:pPr>
      <w:r w:rsidRPr="00AB3317">
        <w:t>50.</w:t>
      </w:r>
      <w:r w:rsidRPr="00AB3317">
        <w:tab/>
        <w:t>Abernethy D, Greenblatt D, Shader R. Imipramine and desipramine disposition in the elderly. Journal of Pharmacology and Experimental Therapeutics. 1985;232(1):183-8.</w:t>
      </w:r>
    </w:p>
    <w:p w14:paraId="176242D0" w14:textId="77777777" w:rsidR="00AB3317" w:rsidRPr="00AB3317" w:rsidRDefault="00AB3317" w:rsidP="00AB3317">
      <w:pPr>
        <w:pStyle w:val="EndNoteBibliography"/>
        <w:ind w:left="720" w:hanging="720"/>
      </w:pPr>
      <w:r w:rsidRPr="00AB3317">
        <w:t>51.</w:t>
      </w:r>
      <w:r w:rsidRPr="00AB3317">
        <w:tab/>
        <w:t>Castleden CM, George CF. The effect of ageing on the hepatic clearance of propranolol. British Journal of Clinical Pharmacology. 1979;7(1):49-54.</w:t>
      </w:r>
    </w:p>
    <w:p w14:paraId="1E3E0AE4" w14:textId="77777777" w:rsidR="00AB3317" w:rsidRPr="00AB3317" w:rsidRDefault="00AB3317" w:rsidP="00AB3317">
      <w:pPr>
        <w:pStyle w:val="EndNoteBibliography"/>
        <w:ind w:left="720" w:hanging="720"/>
      </w:pPr>
      <w:r w:rsidRPr="00AB3317">
        <w:t>52.</w:t>
      </w:r>
      <w:r w:rsidRPr="00AB3317">
        <w:tab/>
        <w:t>Jaillon P, Gardin M, Lecocq B, Richard M, Meignan S, Blondel Y, et al. Pharmacokinetics of nalbuphine in infants, young healthy volunteers, and elderly patients. Clinical Pharmacology &amp; Therapeutics. 1989;46(2):226-33.</w:t>
      </w:r>
    </w:p>
    <w:p w14:paraId="554D7ADA" w14:textId="77777777" w:rsidR="00AB3317" w:rsidRPr="00AB3317" w:rsidRDefault="00AB3317" w:rsidP="00AB3317">
      <w:pPr>
        <w:pStyle w:val="EndNoteBibliography"/>
        <w:ind w:left="720" w:hanging="720"/>
      </w:pPr>
      <w:r w:rsidRPr="00AB3317">
        <w:t>53.</w:t>
      </w:r>
      <w:r w:rsidRPr="00AB3317">
        <w:tab/>
        <w:t>Rho JP, Jones A, Woo M, Castle S, Smith K, Bawdon RE, et al. Single-dose pharmacokinetics of intravenous ampicillin plus sulbactam in healthy elderly and young adult subjects. Journal of Antimicrobial Chemotherapy. 1989;24(4):573-80.</w:t>
      </w:r>
    </w:p>
    <w:p w14:paraId="0958F095" w14:textId="77777777" w:rsidR="00AB3317" w:rsidRPr="00AB3317" w:rsidRDefault="00AB3317" w:rsidP="00AB3317">
      <w:pPr>
        <w:pStyle w:val="EndNoteBibliography"/>
        <w:ind w:left="720" w:hanging="720"/>
      </w:pPr>
      <w:r w:rsidRPr="00AB3317">
        <w:t>54.</w:t>
      </w:r>
      <w:r w:rsidRPr="00AB3317">
        <w:tab/>
        <w:t>Cusack B, Kelly J, O'Malley K, Noel J, Lavan J, Horgan J. Digoxin in the elderly: pharmacokinetic consequences of old age. Clinical Pharmacology &amp; Therapeutics. 1979;25(6):772-6.</w:t>
      </w:r>
    </w:p>
    <w:p w14:paraId="1116248D" w14:textId="77777777" w:rsidR="00AB3317" w:rsidRPr="00AB3317" w:rsidRDefault="00AB3317" w:rsidP="00AB3317">
      <w:pPr>
        <w:pStyle w:val="EndNoteBibliography"/>
        <w:ind w:left="720" w:hanging="720"/>
      </w:pPr>
      <w:r w:rsidRPr="00AB3317">
        <w:t>55.</w:t>
      </w:r>
      <w:r w:rsidRPr="00AB3317">
        <w:tab/>
        <w:t>Achour B, Russell MR, Barber J, Rostami-Hodjegan A. Simultaneous quantification of the abundance of several cytochrome P450 and uridine 5′-diphospho-glucuronosyltransferase enzymes in human liver microsomes using multiplexed targeted proteomics. Drug Metabolism and Disposition. 2014;42(4):500-10.</w:t>
      </w:r>
    </w:p>
    <w:p w14:paraId="355A0336" w14:textId="77777777" w:rsidR="00AB3317" w:rsidRPr="00AB3317" w:rsidRDefault="00AB3317" w:rsidP="00AB3317">
      <w:pPr>
        <w:pStyle w:val="EndNoteBibliography"/>
        <w:ind w:left="720" w:hanging="720"/>
      </w:pPr>
      <w:r w:rsidRPr="00AB3317">
        <w:t>56.</w:t>
      </w:r>
      <w:r w:rsidRPr="00AB3317">
        <w:tab/>
        <w:t>Parkinson A, Mudra D, Johnson C, Dwyer A, Carroll K. The effects of gender, age, ethnicity, and liver microsomes and inducibility in cultured human hepatocytes. Toxicology &amp; Applied Pharmacology. 2004;199(3):193-209.</w:t>
      </w:r>
    </w:p>
    <w:p w14:paraId="1E3842AB" w14:textId="77777777" w:rsidR="00AB3317" w:rsidRPr="00AB3317" w:rsidRDefault="00AB3317" w:rsidP="00AB3317">
      <w:pPr>
        <w:pStyle w:val="EndNoteBibliography"/>
        <w:ind w:left="720" w:hanging="720"/>
      </w:pPr>
      <w:r w:rsidRPr="00AB3317">
        <w:t>57.</w:t>
      </w:r>
      <w:r w:rsidRPr="00AB3317">
        <w:tab/>
        <w:t>Simon T, Becquemont L, Hamon B, Nouyrigat E, Chodjania Y, Poirier J, et al. Variability of cytochrome P450 1A2 activity over time in young and elderly healthy volunteers. British Journal of Clinical Pharmacology. 2001;52(5):601-4.</w:t>
      </w:r>
    </w:p>
    <w:p w14:paraId="2BFC7917" w14:textId="77777777" w:rsidR="00AB3317" w:rsidRPr="00AB3317" w:rsidRDefault="00AB3317" w:rsidP="00AB3317">
      <w:pPr>
        <w:pStyle w:val="EndNoteBibliography"/>
        <w:ind w:left="720" w:hanging="720"/>
      </w:pPr>
      <w:r w:rsidRPr="00AB3317">
        <w:t>58.</w:t>
      </w:r>
      <w:r w:rsidRPr="00AB3317">
        <w:tab/>
        <w:t>Vestal R, Wood A, Branch R, Shand D, Wilkinson G. Effects of age and cigarette smoking on propranolol disposition. Clinical Pharmacology &amp; Therapeutics. 1979;26(1):8-15.</w:t>
      </w:r>
    </w:p>
    <w:p w14:paraId="201F616E" w14:textId="77777777" w:rsidR="00AB3317" w:rsidRPr="00AB3317" w:rsidRDefault="00AB3317" w:rsidP="00AB3317">
      <w:pPr>
        <w:pStyle w:val="EndNoteBibliography"/>
        <w:ind w:left="720" w:hanging="720"/>
      </w:pPr>
      <w:r w:rsidRPr="00AB3317">
        <w:t>59.</w:t>
      </w:r>
      <w:r w:rsidRPr="00AB3317">
        <w:tab/>
        <w:t>Musso CG, Oreopoulos DG. Aging and physiological changes of the kidneys including changes in glomerular filtration rate. Nephron Physiology. 2011;119(Suppl. 1):p1-p5.</w:t>
      </w:r>
    </w:p>
    <w:p w14:paraId="129ACF69" w14:textId="77777777" w:rsidR="00AB3317" w:rsidRPr="00AB3317" w:rsidRDefault="00AB3317" w:rsidP="00AB3317">
      <w:pPr>
        <w:pStyle w:val="EndNoteBibliography"/>
        <w:ind w:left="720" w:hanging="720"/>
      </w:pPr>
      <w:r w:rsidRPr="00AB3317">
        <w:t>60.</w:t>
      </w:r>
      <w:r w:rsidRPr="00AB3317">
        <w:tab/>
        <w:t>Hockings N, Ajayi A, Reid J. Age and the pharmacokinetics of angiotensin converting enzyme inhibitors enalapril and enalaprilat. British Journal of Clinical Pharmacology. 1986;21(4):341-8.</w:t>
      </w:r>
    </w:p>
    <w:p w14:paraId="50755A12" w14:textId="77777777" w:rsidR="00AB3317" w:rsidRPr="00AB3317" w:rsidRDefault="00AB3317" w:rsidP="00AB3317">
      <w:pPr>
        <w:pStyle w:val="EndNoteBibliography"/>
        <w:ind w:left="720" w:hanging="720"/>
      </w:pPr>
      <w:r w:rsidRPr="00AB3317">
        <w:t>61.</w:t>
      </w:r>
      <w:r w:rsidRPr="00AB3317">
        <w:tab/>
        <w:t>Faulkner R, Bohaychuk W, Lanc R, Haynes J, Desjardins R, Yacobi A, et al. Pharmacokinetics of cefixime in the young and elderly. Journal of Antimicrobial Chemotherapy. 1988;21(6):787-94.</w:t>
      </w:r>
    </w:p>
    <w:p w14:paraId="5E7577C9" w14:textId="77777777" w:rsidR="00AB3317" w:rsidRPr="00AB3317" w:rsidRDefault="00AB3317" w:rsidP="00AB3317">
      <w:pPr>
        <w:pStyle w:val="EndNoteBibliography"/>
        <w:ind w:left="720" w:hanging="720"/>
      </w:pPr>
      <w:r w:rsidRPr="00AB3317">
        <w:t>62.</w:t>
      </w:r>
      <w:r w:rsidRPr="00AB3317">
        <w:tab/>
        <w:t>Kubitza D, Becka M, Roth A, Mueck W. The influence of age and gender on the pharmacokinetics and pharmacodynamics of rivaroxaban - an oral, direct factor Xa inhibitor. The Journal of Clinical Pharmacology. 2013;53(3):249-55.</w:t>
      </w:r>
    </w:p>
    <w:p w14:paraId="0B3B7C38" w14:textId="77777777" w:rsidR="00AB3317" w:rsidRPr="00AB3317" w:rsidRDefault="00AB3317" w:rsidP="00AB3317">
      <w:pPr>
        <w:pStyle w:val="EndNoteBibliography"/>
        <w:ind w:left="720" w:hanging="720"/>
      </w:pPr>
      <w:r w:rsidRPr="00AB3317">
        <w:t>63.</w:t>
      </w:r>
      <w:r w:rsidRPr="00AB3317">
        <w:tab/>
        <w:t>Soldin OP, Mattison DR. Sex differences in pharmacokinetics and pharmacodynamics. Clinical Pharmacokinetics. 2009;48(3):143-57.</w:t>
      </w:r>
    </w:p>
    <w:p w14:paraId="56A1E1C0" w14:textId="77777777" w:rsidR="00AB3317" w:rsidRPr="00AB3317" w:rsidRDefault="00AB3317" w:rsidP="00AB3317">
      <w:pPr>
        <w:pStyle w:val="EndNoteBibliography"/>
        <w:ind w:left="720" w:hanging="720"/>
      </w:pPr>
      <w:r w:rsidRPr="00AB3317">
        <w:t>64.</w:t>
      </w:r>
      <w:r w:rsidRPr="00AB3317">
        <w:tab/>
        <w:t>Rowland Yeo K, Aarabi M, Jamei M, Rostami-Hodjegan A. Modeling and predicting drug pharmacokinetics in patients with renal impairment. Expert Review of Clinical Pharmacology. 2011;4(2):261-74.</w:t>
      </w:r>
    </w:p>
    <w:p w14:paraId="2456E450" w14:textId="77777777" w:rsidR="00AB3317" w:rsidRPr="00AB3317" w:rsidRDefault="00AB3317" w:rsidP="00AB3317">
      <w:pPr>
        <w:pStyle w:val="EndNoteBibliography"/>
        <w:ind w:left="720" w:hanging="720"/>
      </w:pPr>
      <w:r w:rsidRPr="00AB3317">
        <w:t>65.</w:t>
      </w:r>
      <w:r w:rsidRPr="00AB3317">
        <w:tab/>
        <w:t>Johnson TN, Boussery K, Rowland-Yeo K, Tucker GT, Rostami-Hodjegan A. A semi-mechanistic model to predict the effects of liver cirrhosis on drug clearance. Clinical Pharmacokinetics. 2010;49(3):189-206.</w:t>
      </w:r>
    </w:p>
    <w:p w14:paraId="692DC3A3" w14:textId="77777777" w:rsidR="00AB3317" w:rsidRPr="00AB3317" w:rsidRDefault="00AB3317" w:rsidP="00AB3317">
      <w:pPr>
        <w:pStyle w:val="EndNoteBibliography"/>
        <w:ind w:left="720" w:hanging="720"/>
      </w:pPr>
      <w:r w:rsidRPr="00AB3317">
        <w:lastRenderedPageBreak/>
        <w:t>66.</w:t>
      </w:r>
      <w:r w:rsidRPr="00AB3317">
        <w:tab/>
        <w:t>Rodighiero V. Effects of cardiovascular disease on pharmacokinetics. Cardiovascular Drugs and Therapy. 1989;3(5):711-30.</w:t>
      </w:r>
    </w:p>
    <w:p w14:paraId="1D2E327D" w14:textId="77777777" w:rsidR="00AB3317" w:rsidRPr="00AB3317" w:rsidRDefault="00AB3317" w:rsidP="00AB3317">
      <w:pPr>
        <w:pStyle w:val="EndNoteBibliography"/>
        <w:ind w:left="720" w:hanging="720"/>
      </w:pPr>
      <w:r w:rsidRPr="00AB3317">
        <w:t>67.</w:t>
      </w:r>
      <w:r w:rsidRPr="00AB3317">
        <w:tab/>
        <w:t>Wooten JM. Pharmacotherapy considerations in elderly adults. Southern Medical Journal. 2012;105(8):437-45.</w:t>
      </w:r>
    </w:p>
    <w:p w14:paraId="74FCED07" w14:textId="77777777" w:rsidR="00AB3317" w:rsidRPr="00AB3317" w:rsidRDefault="00AB3317" w:rsidP="00AB3317">
      <w:pPr>
        <w:pStyle w:val="EndNoteBibliography"/>
        <w:ind w:left="720" w:hanging="720"/>
      </w:pPr>
      <w:r w:rsidRPr="00AB3317">
        <w:t>68.</w:t>
      </w:r>
      <w:r w:rsidRPr="00AB3317">
        <w:tab/>
        <w:t>Albrecht S, Ihmsen H, Hering W, Geisslinger G, Dingemanse J, Schwilden H, et al. The effect of age on the pharmacokinetics and pharmacodynamics of midazolam. Clinical Pharmacology &amp; Therapeutics. 1999;65(6):630-9.</w:t>
      </w:r>
    </w:p>
    <w:p w14:paraId="0DD1B35C" w14:textId="77777777" w:rsidR="00AB3317" w:rsidRPr="00AB3317" w:rsidRDefault="00AB3317" w:rsidP="00AB3317">
      <w:pPr>
        <w:pStyle w:val="EndNoteBibliography"/>
        <w:ind w:left="720" w:hanging="720"/>
      </w:pPr>
      <w:r w:rsidRPr="00AB3317">
        <w:t>69.</w:t>
      </w:r>
      <w:r w:rsidRPr="00AB3317">
        <w:tab/>
        <w:t>Goa KL, Balfour JA, Zuanetti G. Lisinopril. A review of its pharmacology and clinical efficacy in the early management of acute myocardial infarction. Drugs. 1996;52(4):564-88.</w:t>
      </w:r>
    </w:p>
    <w:p w14:paraId="5FC788B5" w14:textId="77777777" w:rsidR="00AB3317" w:rsidRPr="00AB3317" w:rsidRDefault="00AB3317" w:rsidP="00AB3317">
      <w:pPr>
        <w:pStyle w:val="EndNoteBibliography"/>
        <w:ind w:left="720" w:hanging="720"/>
      </w:pPr>
      <w:r w:rsidRPr="00AB3317">
        <w:t>70.</w:t>
      </w:r>
      <w:r w:rsidRPr="00AB3317">
        <w:tab/>
        <w:t>Leenen FH, Coletta E. Pharmacokinetic and antihypertensive profile of amlodipine and felodipine-ER in younger versus older patients with hypertension. Journal of Cardiovascular Pharmacology. 2010;56(6):669-75.</w:t>
      </w:r>
    </w:p>
    <w:p w14:paraId="733D276F" w14:textId="77777777" w:rsidR="00AB3317" w:rsidRPr="00AB3317" w:rsidRDefault="00AB3317" w:rsidP="00AB3317">
      <w:pPr>
        <w:pStyle w:val="EndNoteBibliography"/>
        <w:ind w:left="720" w:hanging="720"/>
      </w:pPr>
      <w:r w:rsidRPr="00AB3317">
        <w:t>71.</w:t>
      </w:r>
      <w:r w:rsidRPr="00AB3317">
        <w:tab/>
        <w:t>Kubitza D, Becka M, Voith B, Zuehlsdorf M, Wensing G. Safety, pharmacodynamics, and pharmacokinetics of single doses of BAY 59</w:t>
      </w:r>
      <w:r w:rsidRPr="00AB3317">
        <w:rPr>
          <w:rFonts w:ascii="Cambria Math" w:hAnsi="Cambria Math" w:cs="Cambria Math"/>
        </w:rPr>
        <w:t>‐</w:t>
      </w:r>
      <w:r w:rsidRPr="00AB3317">
        <w:t>7939, an oral, direct factor Xa inhibitor. Clinical Pharmacology &amp; Therapeutics. 2005;78(4):412-21.</w:t>
      </w:r>
    </w:p>
    <w:p w14:paraId="518904B5" w14:textId="77777777" w:rsidR="00AB3317" w:rsidRPr="00AB3317" w:rsidRDefault="00AB3317" w:rsidP="00AB3317">
      <w:pPr>
        <w:pStyle w:val="EndNoteBibliography"/>
        <w:ind w:left="720" w:hanging="720"/>
      </w:pPr>
      <w:r w:rsidRPr="00AB3317">
        <w:t>72.</w:t>
      </w:r>
      <w:r w:rsidRPr="00AB3317">
        <w:tab/>
        <w:t>Kubitza D, Becka M, Roth A, Mueck W. Dose-escalation study of the pharmacokinetics and pharmacodynamics of rivaroxaban in healthy elderly subjects. Current Medical Research and Opinion. 2008;24(10):2757-65.</w:t>
      </w:r>
    </w:p>
    <w:p w14:paraId="1288967A" w14:textId="77777777" w:rsidR="00AB3317" w:rsidRPr="009A0F14" w:rsidRDefault="00AB3317" w:rsidP="00AB3317">
      <w:pPr>
        <w:pStyle w:val="EndNoteBibliography"/>
        <w:ind w:left="720" w:hanging="720"/>
        <w:rPr>
          <w:lang w:val="de-DE"/>
        </w:rPr>
      </w:pPr>
      <w:r w:rsidRPr="00AB3317">
        <w:t>73.</w:t>
      </w:r>
      <w:r w:rsidRPr="00AB3317">
        <w:tab/>
        <w:t xml:space="preserve">Szadkowska I, Stanczyk A, Aronow WS, Kowalski J, Pawlicki L, Ahmed A, et al. Statin therapy in the elderly: a review. Archives of Gerontology and Geriatrics. </w:t>
      </w:r>
      <w:r w:rsidRPr="009A0F14">
        <w:rPr>
          <w:lang w:val="de-DE"/>
        </w:rPr>
        <w:t>2010;50(1):114-8.</w:t>
      </w:r>
    </w:p>
    <w:p w14:paraId="705E4A04" w14:textId="77777777" w:rsidR="00AB3317" w:rsidRPr="00AB3317" w:rsidRDefault="00AB3317" w:rsidP="00AB3317">
      <w:pPr>
        <w:pStyle w:val="EndNoteBibliography"/>
        <w:ind w:left="720" w:hanging="720"/>
      </w:pPr>
      <w:r w:rsidRPr="009A0F14">
        <w:rPr>
          <w:lang w:val="de-DE"/>
        </w:rPr>
        <w:t>74.</w:t>
      </w:r>
      <w:r w:rsidRPr="009A0F14">
        <w:rPr>
          <w:lang w:val="de-DE"/>
        </w:rPr>
        <w:tab/>
        <w:t xml:space="preserve">Vass M, Hendriksen C. Medication for older people. Zeitschrift für Gerontologie und Geriatrie. </w:t>
      </w:r>
      <w:r w:rsidRPr="00AB3317">
        <w:t>2005;38(3):190-5.</w:t>
      </w:r>
    </w:p>
    <w:p w14:paraId="4AC2FD11" w14:textId="5DE68A8E" w:rsidR="002016E8" w:rsidRPr="009440AD" w:rsidRDefault="002016E8" w:rsidP="002016E8">
      <w:pPr>
        <w:rPr>
          <w:lang w:val="en-US"/>
        </w:rPr>
      </w:pPr>
      <w:r w:rsidRPr="009440AD">
        <w:rPr>
          <w:lang w:val="en-US"/>
        </w:rPr>
        <w:fldChar w:fldCharType="end"/>
      </w:r>
    </w:p>
    <w:p w14:paraId="35734A25" w14:textId="77777777" w:rsidR="005268E6" w:rsidRPr="009440AD" w:rsidRDefault="005268E6" w:rsidP="002016E8">
      <w:pPr>
        <w:pStyle w:val="Heading1"/>
        <w:rPr>
          <w:lang w:val="en-US"/>
        </w:rPr>
      </w:pPr>
      <w:r w:rsidRPr="009440AD">
        <w:rPr>
          <w:lang w:val="en-US"/>
        </w:rPr>
        <w:lastRenderedPageBreak/>
        <w:t>Figure Legends</w:t>
      </w:r>
    </w:p>
    <w:p w14:paraId="22F04689" w14:textId="05465DDA" w:rsidR="009C7BEF" w:rsidRPr="005902A1" w:rsidRDefault="00797994" w:rsidP="00797994">
      <w:pPr>
        <w:jc w:val="center"/>
        <w:rPr>
          <w:lang w:val="en-US"/>
        </w:rPr>
      </w:pPr>
      <w:r w:rsidRPr="005F4A48">
        <w:rPr>
          <w:noProof/>
          <w:lang w:val="en-GB"/>
        </w:rPr>
        <w:drawing>
          <wp:inline distT="0" distB="0" distL="0" distR="0" wp14:anchorId="778B2678" wp14:editId="304FC53A">
            <wp:extent cx="2133600" cy="2771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2771775"/>
                    </a:xfrm>
                    <a:prstGeom prst="rect">
                      <a:avLst/>
                    </a:prstGeom>
                    <a:noFill/>
                    <a:ln>
                      <a:noFill/>
                    </a:ln>
                  </pic:spPr>
                </pic:pic>
              </a:graphicData>
            </a:graphic>
          </wp:inline>
        </w:drawing>
      </w:r>
    </w:p>
    <w:p w14:paraId="2B56C790" w14:textId="68C10A4A" w:rsidR="00530592" w:rsidRPr="009440AD" w:rsidRDefault="00530592" w:rsidP="00530592">
      <w:pPr>
        <w:rPr>
          <w:lang w:val="en-US"/>
        </w:rPr>
      </w:pPr>
      <w:r w:rsidRPr="0065491D">
        <w:rPr>
          <w:b/>
          <w:lang w:val="en-US"/>
        </w:rPr>
        <w:t>Fig</w:t>
      </w:r>
      <w:r w:rsidR="005A5ECC" w:rsidRPr="0065491D">
        <w:rPr>
          <w:b/>
          <w:lang w:val="en-US"/>
        </w:rPr>
        <w:t>.</w:t>
      </w:r>
      <w:r w:rsidRPr="009440AD">
        <w:rPr>
          <w:b/>
          <w:lang w:val="en-US"/>
        </w:rPr>
        <w:t xml:space="preserve"> 1:</w:t>
      </w:r>
      <w:r w:rsidRPr="009440AD">
        <w:rPr>
          <w:lang w:val="en-US"/>
        </w:rPr>
        <w:t xml:space="preserve"> </w:t>
      </w:r>
      <w:bookmarkStart w:id="26" w:name="_Hlk10535528"/>
      <w:r w:rsidRPr="009440AD">
        <w:rPr>
          <w:lang w:val="en-US"/>
        </w:rPr>
        <w:t>Workflow of the present study. DMPK = drug metabolism and pharmacokinetic, DDI = drug-drug interaction</w:t>
      </w:r>
      <w:r w:rsidR="0030558A" w:rsidRPr="009440AD">
        <w:rPr>
          <w:lang w:val="en-US"/>
        </w:rPr>
        <w:t>,</w:t>
      </w:r>
      <w:r w:rsidRPr="009440AD">
        <w:rPr>
          <w:lang w:val="en-US"/>
        </w:rPr>
        <w:t xml:space="preserve"> </w:t>
      </w:r>
      <w:proofErr w:type="spellStart"/>
      <w:r w:rsidRPr="009440AD">
        <w:rPr>
          <w:lang w:val="en-US"/>
        </w:rPr>
        <w:t>fm</w:t>
      </w:r>
      <w:proofErr w:type="spellEnd"/>
      <w:r w:rsidRPr="009440AD">
        <w:rPr>
          <w:lang w:val="en-US"/>
        </w:rPr>
        <w:t xml:space="preserve"> = fraction metabolized.</w:t>
      </w:r>
      <w:bookmarkEnd w:id="26"/>
    </w:p>
    <w:p w14:paraId="5BC13A6F" w14:textId="35C921AF" w:rsidR="00530592" w:rsidRPr="009440AD" w:rsidRDefault="00797994" w:rsidP="009C7BEF">
      <w:pPr>
        <w:rPr>
          <w:b/>
          <w:lang w:val="en-US"/>
        </w:rPr>
      </w:pPr>
      <w:r w:rsidRPr="005F4A48">
        <w:rPr>
          <w:noProof/>
          <w:lang w:val="en-GB"/>
        </w:rPr>
        <w:lastRenderedPageBreak/>
        <w:drawing>
          <wp:inline distT="0" distB="0" distL="0" distR="0" wp14:anchorId="001E113E" wp14:editId="5E50EAF8">
            <wp:extent cx="5760720" cy="65798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579870"/>
                    </a:xfrm>
                    <a:prstGeom prst="rect">
                      <a:avLst/>
                    </a:prstGeom>
                    <a:noFill/>
                    <a:ln>
                      <a:noFill/>
                    </a:ln>
                  </pic:spPr>
                </pic:pic>
              </a:graphicData>
            </a:graphic>
          </wp:inline>
        </w:drawing>
      </w:r>
    </w:p>
    <w:p w14:paraId="76CEA81E" w14:textId="113500A9" w:rsidR="009C7BEF" w:rsidRPr="009440AD" w:rsidRDefault="009C7BEF" w:rsidP="009C7BEF">
      <w:pPr>
        <w:rPr>
          <w:lang w:val="en-US"/>
        </w:rPr>
      </w:pPr>
      <w:r w:rsidRPr="009440AD">
        <w:rPr>
          <w:b/>
          <w:lang w:val="en-US"/>
        </w:rPr>
        <w:t>Fig</w:t>
      </w:r>
      <w:r w:rsidR="005A5ECC" w:rsidRPr="009440AD">
        <w:rPr>
          <w:b/>
          <w:lang w:val="en-US"/>
        </w:rPr>
        <w:t>.</w:t>
      </w:r>
      <w:r w:rsidRPr="009440AD">
        <w:rPr>
          <w:b/>
          <w:lang w:val="en-US"/>
        </w:rPr>
        <w:t xml:space="preserve"> </w:t>
      </w:r>
      <w:r w:rsidR="00530592" w:rsidRPr="009440AD">
        <w:rPr>
          <w:b/>
          <w:lang w:val="en-US"/>
        </w:rPr>
        <w:t>2</w:t>
      </w:r>
      <w:r w:rsidRPr="009440AD">
        <w:rPr>
          <w:b/>
          <w:lang w:val="en-US"/>
        </w:rPr>
        <w:t>:</w:t>
      </w:r>
      <w:r w:rsidRPr="009440AD">
        <w:rPr>
          <w:lang w:val="en-US"/>
        </w:rPr>
        <w:t xml:space="preserve"> Predicted vs. observed concentration time profiles for midazolam (a</w:t>
      </w:r>
      <w:r w:rsidR="00FE475B" w:rsidRPr="009440AD">
        <w:rPr>
          <w:lang w:val="en-US"/>
        </w:rPr>
        <w:t>:</w:t>
      </w:r>
      <w:r w:rsidRPr="009440AD">
        <w:rPr>
          <w:lang w:val="en-US"/>
        </w:rPr>
        <w:t xml:space="preserve"> young and b</w:t>
      </w:r>
      <w:r w:rsidR="00FE475B" w:rsidRPr="009440AD">
        <w:rPr>
          <w:lang w:val="en-US"/>
        </w:rPr>
        <w:t>:</w:t>
      </w:r>
      <w:r w:rsidRPr="009440AD">
        <w:rPr>
          <w:lang w:val="en-US"/>
        </w:rPr>
        <w:t xml:space="preserve"> elderly), metoprolol (c</w:t>
      </w:r>
      <w:r w:rsidR="00FE475B" w:rsidRPr="009440AD">
        <w:rPr>
          <w:lang w:val="en-US"/>
        </w:rPr>
        <w:t>:</w:t>
      </w:r>
      <w:r w:rsidRPr="009440AD">
        <w:rPr>
          <w:lang w:val="en-US"/>
        </w:rPr>
        <w:t xml:space="preserve"> young and d</w:t>
      </w:r>
      <w:r w:rsidR="00FE475B" w:rsidRPr="009440AD">
        <w:rPr>
          <w:lang w:val="en-US"/>
        </w:rPr>
        <w:t>:</w:t>
      </w:r>
      <w:r w:rsidRPr="009440AD">
        <w:rPr>
          <w:lang w:val="en-US"/>
        </w:rPr>
        <w:t xml:space="preserve"> elderly)</w:t>
      </w:r>
      <w:r w:rsidR="00530592" w:rsidRPr="009440AD">
        <w:rPr>
          <w:lang w:val="en-US"/>
        </w:rPr>
        <w:t>,</w:t>
      </w:r>
      <w:r w:rsidRPr="009440AD">
        <w:rPr>
          <w:lang w:val="en-US"/>
        </w:rPr>
        <w:t xml:space="preserve"> and lisinopril</w:t>
      </w:r>
      <w:r w:rsidR="00C863F2" w:rsidRPr="009440AD">
        <w:rPr>
          <w:lang w:val="en-US"/>
        </w:rPr>
        <w:t xml:space="preserve"> </w:t>
      </w:r>
      <w:r w:rsidRPr="009440AD">
        <w:rPr>
          <w:lang w:val="en-US"/>
        </w:rPr>
        <w:t>(e</w:t>
      </w:r>
      <w:r w:rsidR="00FE475B" w:rsidRPr="009440AD">
        <w:rPr>
          <w:lang w:val="en-US"/>
        </w:rPr>
        <w:t>:</w:t>
      </w:r>
      <w:r w:rsidRPr="009440AD">
        <w:rPr>
          <w:lang w:val="en-US"/>
        </w:rPr>
        <w:t xml:space="preserve"> young and f</w:t>
      </w:r>
      <w:r w:rsidR="00FE475B" w:rsidRPr="009440AD">
        <w:rPr>
          <w:lang w:val="en-US"/>
        </w:rPr>
        <w:t>:</w:t>
      </w:r>
      <w:r w:rsidRPr="009440AD">
        <w:rPr>
          <w:lang w:val="en-US"/>
        </w:rPr>
        <w:t xml:space="preserve"> elderly). </w:t>
      </w:r>
      <w:bookmarkStart w:id="27" w:name="_Hlk15887455"/>
      <w:r w:rsidRPr="009440AD">
        <w:rPr>
          <w:lang w:val="en-US"/>
        </w:rPr>
        <w:t>The red marker</w:t>
      </w:r>
      <w:r w:rsidR="00530592" w:rsidRPr="009440AD">
        <w:rPr>
          <w:lang w:val="en-US"/>
        </w:rPr>
        <w:t>s</w:t>
      </w:r>
      <w:r w:rsidRPr="009440AD">
        <w:rPr>
          <w:lang w:val="en-US"/>
        </w:rPr>
        <w:t xml:space="preserve"> show the observed clinical data</w:t>
      </w:r>
      <w:r w:rsidR="00B66DE1" w:rsidRPr="009440AD">
        <w:rPr>
          <w:lang w:val="en-US"/>
        </w:rPr>
        <w:t xml:space="preserve"> (mean </w:t>
      </w:r>
      <w:r w:rsidR="00B66DE1" w:rsidRPr="009440AD">
        <w:rPr>
          <w:rFonts w:cs="Arial"/>
          <w:lang w:val="en-US"/>
        </w:rPr>
        <w:t>±</w:t>
      </w:r>
      <w:r w:rsidR="00B66DE1" w:rsidRPr="009440AD">
        <w:rPr>
          <w:lang w:val="en-US"/>
        </w:rPr>
        <w:t xml:space="preserve"> SD)</w:t>
      </w:r>
      <w:r w:rsidRPr="009440AD">
        <w:rPr>
          <w:lang w:val="en-US"/>
        </w:rPr>
        <w:t>, the solid lines, the dashed line</w:t>
      </w:r>
      <w:r w:rsidR="00530592" w:rsidRPr="009440AD">
        <w:rPr>
          <w:lang w:val="en-US"/>
        </w:rPr>
        <w:t>,</w:t>
      </w:r>
      <w:r w:rsidRPr="009440AD">
        <w:rPr>
          <w:lang w:val="en-US"/>
        </w:rPr>
        <w:t xml:space="preserve"> and the shaded area represent the mean of each virtual trial, the mean</w:t>
      </w:r>
      <w:r w:rsidR="00530592" w:rsidRPr="009440AD">
        <w:rPr>
          <w:lang w:val="en-US"/>
        </w:rPr>
        <w:t>,</w:t>
      </w:r>
      <w:r w:rsidRPr="009440AD">
        <w:rPr>
          <w:lang w:val="en-US"/>
        </w:rPr>
        <w:t xml:space="preserve"> and the 95% confidence interval of all virtual individuals.</w:t>
      </w:r>
      <w:r w:rsidR="00B66DE1" w:rsidRPr="009440AD">
        <w:rPr>
          <w:lang w:val="en-US"/>
        </w:rPr>
        <w:t xml:space="preserve"> </w:t>
      </w:r>
      <w:r w:rsidR="00530592" w:rsidRPr="009440AD">
        <w:rPr>
          <w:lang w:val="en-US"/>
        </w:rPr>
        <w:t>Green and blue show simulations in young and elderly adults, respectively</w:t>
      </w:r>
      <w:bookmarkEnd w:id="27"/>
      <w:r w:rsidR="00530592" w:rsidRPr="009440AD">
        <w:rPr>
          <w:lang w:val="en-US"/>
        </w:rPr>
        <w:t xml:space="preserve">. </w:t>
      </w:r>
      <w:r w:rsidR="00B66DE1" w:rsidRPr="009440AD">
        <w:rPr>
          <w:lang w:val="en-US"/>
        </w:rPr>
        <w:t xml:space="preserve">Used clinical studies for model verification can be found in </w:t>
      </w:r>
      <w:r w:rsidR="00E87930" w:rsidRPr="009440AD">
        <w:rPr>
          <w:lang w:val="en-US"/>
        </w:rPr>
        <w:t>Tab</w:t>
      </w:r>
      <w:r w:rsidR="005A5ECC" w:rsidRPr="009440AD">
        <w:rPr>
          <w:lang w:val="en-US"/>
        </w:rPr>
        <w:t>.</w:t>
      </w:r>
      <w:r w:rsidR="00E87930" w:rsidRPr="009440AD">
        <w:rPr>
          <w:lang w:val="en-US"/>
        </w:rPr>
        <w:t xml:space="preserve"> S</w:t>
      </w:r>
      <w:r w:rsidR="009440AD">
        <w:rPr>
          <w:lang w:val="en-US"/>
        </w:rPr>
        <w:t>-</w:t>
      </w:r>
      <w:r w:rsidR="00530592" w:rsidRPr="009440AD">
        <w:rPr>
          <w:lang w:val="en-US"/>
        </w:rPr>
        <w:t>2</w:t>
      </w:r>
      <w:r w:rsidR="00B66DE1" w:rsidRPr="009440AD">
        <w:rPr>
          <w:lang w:val="en-US"/>
        </w:rPr>
        <w:t>.</w:t>
      </w:r>
    </w:p>
    <w:p w14:paraId="7114897F" w14:textId="798EF261" w:rsidR="00B66DE1" w:rsidRPr="005902A1" w:rsidRDefault="00797994" w:rsidP="009C7BEF">
      <w:pPr>
        <w:rPr>
          <w:lang w:val="en-US"/>
        </w:rPr>
      </w:pPr>
      <w:r w:rsidRPr="005F4A48">
        <w:rPr>
          <w:noProof/>
          <w:lang w:val="en-GB"/>
        </w:rPr>
        <w:lastRenderedPageBreak/>
        <w:drawing>
          <wp:inline distT="0" distB="0" distL="0" distR="0" wp14:anchorId="7BF56EA4" wp14:editId="11A29014">
            <wp:extent cx="5699760" cy="434330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2227" cy="4345183"/>
                    </a:xfrm>
                    <a:prstGeom prst="rect">
                      <a:avLst/>
                    </a:prstGeom>
                    <a:noFill/>
                    <a:ln>
                      <a:noFill/>
                    </a:ln>
                  </pic:spPr>
                </pic:pic>
              </a:graphicData>
            </a:graphic>
          </wp:inline>
        </w:drawing>
      </w:r>
    </w:p>
    <w:p w14:paraId="3BEBBE0E" w14:textId="21C07043" w:rsidR="00B66DE1" w:rsidRPr="009440AD" w:rsidRDefault="00B66DE1" w:rsidP="00B66DE1">
      <w:pPr>
        <w:rPr>
          <w:lang w:val="en-US"/>
        </w:rPr>
      </w:pPr>
      <w:r w:rsidRPr="0050587F">
        <w:rPr>
          <w:b/>
          <w:lang w:val="en-US"/>
        </w:rPr>
        <w:t>Fig</w:t>
      </w:r>
      <w:r w:rsidR="005A5ECC" w:rsidRPr="0050587F">
        <w:rPr>
          <w:b/>
          <w:lang w:val="en-US"/>
        </w:rPr>
        <w:t>.</w:t>
      </w:r>
      <w:r w:rsidRPr="0050587F">
        <w:rPr>
          <w:b/>
          <w:lang w:val="en-US"/>
        </w:rPr>
        <w:t xml:space="preserve"> </w:t>
      </w:r>
      <w:r w:rsidR="00530592" w:rsidRPr="0050587F">
        <w:rPr>
          <w:b/>
          <w:lang w:val="en-US"/>
        </w:rPr>
        <w:t>3</w:t>
      </w:r>
      <w:r w:rsidRPr="00540E3C">
        <w:rPr>
          <w:b/>
          <w:lang w:val="en-US"/>
        </w:rPr>
        <w:t>:</w:t>
      </w:r>
      <w:r w:rsidRPr="00540E3C">
        <w:rPr>
          <w:lang w:val="en-US"/>
        </w:rPr>
        <w:t xml:space="preserve"> Predicted vs. observed concentration time profiles for amlodipine (a</w:t>
      </w:r>
      <w:r w:rsidR="00FE475B" w:rsidRPr="00540E3C">
        <w:rPr>
          <w:lang w:val="en-US"/>
        </w:rPr>
        <w:t>:</w:t>
      </w:r>
      <w:r w:rsidRPr="00540E3C">
        <w:rPr>
          <w:lang w:val="en-US"/>
        </w:rPr>
        <w:t xml:space="preserve"> young and b</w:t>
      </w:r>
      <w:r w:rsidR="00FE475B" w:rsidRPr="00540E3C">
        <w:rPr>
          <w:lang w:val="en-US"/>
        </w:rPr>
        <w:t>:</w:t>
      </w:r>
      <w:r w:rsidRPr="00540E3C">
        <w:rPr>
          <w:lang w:val="en-US"/>
        </w:rPr>
        <w:t xml:space="preserve"> elderly) and rivaroxaban (c</w:t>
      </w:r>
      <w:r w:rsidR="00FE475B" w:rsidRPr="0065491D">
        <w:rPr>
          <w:lang w:val="en-US"/>
        </w:rPr>
        <w:t>:</w:t>
      </w:r>
      <w:r w:rsidRPr="0065491D">
        <w:rPr>
          <w:lang w:val="en-US"/>
        </w:rPr>
        <w:t xml:space="preserve"> young and d</w:t>
      </w:r>
      <w:r w:rsidR="00FE475B" w:rsidRPr="0065491D">
        <w:rPr>
          <w:lang w:val="en-US"/>
        </w:rPr>
        <w:t>:</w:t>
      </w:r>
      <w:r w:rsidRPr="009440AD">
        <w:rPr>
          <w:lang w:val="en-US"/>
        </w:rPr>
        <w:t xml:space="preserve"> elderly). The red marker</w:t>
      </w:r>
      <w:r w:rsidR="00530592" w:rsidRPr="009440AD">
        <w:rPr>
          <w:lang w:val="en-US"/>
        </w:rPr>
        <w:t>s</w:t>
      </w:r>
      <w:r w:rsidRPr="009440AD">
        <w:rPr>
          <w:lang w:val="en-US"/>
        </w:rPr>
        <w:t xml:space="preserve"> show the observed clinical data (mean </w:t>
      </w:r>
      <w:r w:rsidRPr="009440AD">
        <w:rPr>
          <w:rFonts w:cs="Arial"/>
          <w:lang w:val="en-US"/>
        </w:rPr>
        <w:t>±</w:t>
      </w:r>
      <w:r w:rsidRPr="009440AD">
        <w:rPr>
          <w:lang w:val="en-US"/>
        </w:rPr>
        <w:t xml:space="preserve"> SD), the solid lines, the dashed line</w:t>
      </w:r>
      <w:r w:rsidR="00530592" w:rsidRPr="009440AD">
        <w:rPr>
          <w:lang w:val="en-US"/>
        </w:rPr>
        <w:t>,</w:t>
      </w:r>
      <w:r w:rsidRPr="009440AD">
        <w:rPr>
          <w:lang w:val="en-US"/>
        </w:rPr>
        <w:t xml:space="preserve"> and the shaded area represent the mean of each virtual trial, the mean</w:t>
      </w:r>
      <w:r w:rsidR="00530592" w:rsidRPr="009440AD">
        <w:rPr>
          <w:lang w:val="en-US"/>
        </w:rPr>
        <w:t>,</w:t>
      </w:r>
      <w:r w:rsidRPr="009440AD">
        <w:rPr>
          <w:lang w:val="en-US"/>
        </w:rPr>
        <w:t xml:space="preserve"> and the 95% confidence interval of all virtual individuals. </w:t>
      </w:r>
      <w:r w:rsidR="00530592" w:rsidRPr="009440AD">
        <w:rPr>
          <w:lang w:val="en-US"/>
        </w:rPr>
        <w:t xml:space="preserve">Green and blue show simulations in young and elderly adults, respectively. </w:t>
      </w:r>
      <w:r w:rsidRPr="009440AD">
        <w:rPr>
          <w:lang w:val="en-US"/>
        </w:rPr>
        <w:t xml:space="preserve">Used clinical studies for model verification can be found in </w:t>
      </w:r>
      <w:r w:rsidR="00E87930" w:rsidRPr="009440AD">
        <w:rPr>
          <w:lang w:val="en-US"/>
        </w:rPr>
        <w:t>Tab</w:t>
      </w:r>
      <w:r w:rsidR="005A5ECC" w:rsidRPr="009440AD">
        <w:rPr>
          <w:lang w:val="en-US"/>
        </w:rPr>
        <w:t>.</w:t>
      </w:r>
      <w:r w:rsidR="00E87930" w:rsidRPr="009440AD">
        <w:rPr>
          <w:lang w:val="en-US"/>
        </w:rPr>
        <w:t xml:space="preserve"> S</w:t>
      </w:r>
      <w:r w:rsidR="009440AD">
        <w:rPr>
          <w:lang w:val="en-US"/>
        </w:rPr>
        <w:t>-</w:t>
      </w:r>
      <w:r w:rsidR="00530592" w:rsidRPr="009440AD">
        <w:rPr>
          <w:lang w:val="en-US"/>
        </w:rPr>
        <w:t>2</w:t>
      </w:r>
      <w:r w:rsidRPr="009440AD">
        <w:rPr>
          <w:lang w:val="en-US"/>
        </w:rPr>
        <w:t>.</w:t>
      </w:r>
    </w:p>
    <w:p w14:paraId="5DE6EEBC" w14:textId="25AEA29E" w:rsidR="00B66DE1" w:rsidRPr="005902A1" w:rsidRDefault="00797994" w:rsidP="00B66DE1">
      <w:pPr>
        <w:rPr>
          <w:lang w:val="en-US"/>
        </w:rPr>
      </w:pPr>
      <w:r w:rsidRPr="005F4A48">
        <w:rPr>
          <w:noProof/>
          <w:lang w:val="en-GB"/>
        </w:rPr>
        <w:lastRenderedPageBreak/>
        <w:drawing>
          <wp:inline distT="0" distB="0" distL="0" distR="0" wp14:anchorId="37A14AE9" wp14:editId="1420692D">
            <wp:extent cx="5760720" cy="6588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6588760"/>
                    </a:xfrm>
                    <a:prstGeom prst="rect">
                      <a:avLst/>
                    </a:prstGeom>
                    <a:noFill/>
                    <a:ln>
                      <a:noFill/>
                    </a:ln>
                  </pic:spPr>
                </pic:pic>
              </a:graphicData>
            </a:graphic>
          </wp:inline>
        </w:drawing>
      </w:r>
    </w:p>
    <w:p w14:paraId="7F617F5B" w14:textId="4A4F0EFC" w:rsidR="00B66DE1" w:rsidRPr="009440AD" w:rsidRDefault="00B66DE1" w:rsidP="00B66DE1">
      <w:pPr>
        <w:rPr>
          <w:lang w:val="en-US"/>
        </w:rPr>
      </w:pPr>
      <w:r w:rsidRPr="00540E3C">
        <w:rPr>
          <w:b/>
          <w:lang w:val="en-US"/>
        </w:rPr>
        <w:t>Fig</w:t>
      </w:r>
      <w:r w:rsidR="005A5ECC" w:rsidRPr="00540E3C">
        <w:rPr>
          <w:b/>
          <w:lang w:val="en-US"/>
        </w:rPr>
        <w:t>.</w:t>
      </w:r>
      <w:r w:rsidRPr="00540E3C">
        <w:rPr>
          <w:b/>
          <w:lang w:val="en-US"/>
        </w:rPr>
        <w:t xml:space="preserve"> </w:t>
      </w:r>
      <w:r w:rsidR="00530592" w:rsidRPr="00540E3C">
        <w:rPr>
          <w:b/>
          <w:lang w:val="en-US"/>
        </w:rPr>
        <w:t>4</w:t>
      </w:r>
      <w:r w:rsidRPr="00540E3C">
        <w:rPr>
          <w:b/>
          <w:lang w:val="en-US"/>
        </w:rPr>
        <w:t>:</w:t>
      </w:r>
      <w:r w:rsidRPr="00540E3C">
        <w:rPr>
          <w:lang w:val="en-US"/>
        </w:rPr>
        <w:t xml:space="preserve"> Predicted vs. observed concentration time profiles for repaglinide (a</w:t>
      </w:r>
      <w:r w:rsidR="00FE475B" w:rsidRPr="00540E3C">
        <w:rPr>
          <w:lang w:val="en-US"/>
        </w:rPr>
        <w:t>:</w:t>
      </w:r>
      <w:r w:rsidRPr="00540E3C">
        <w:rPr>
          <w:lang w:val="en-US"/>
        </w:rPr>
        <w:t xml:space="preserve"> young and b</w:t>
      </w:r>
      <w:r w:rsidR="00FE475B" w:rsidRPr="00540E3C">
        <w:rPr>
          <w:lang w:val="en-US"/>
        </w:rPr>
        <w:t xml:space="preserve">: </w:t>
      </w:r>
      <w:r w:rsidRPr="00540E3C">
        <w:rPr>
          <w:lang w:val="en-US"/>
        </w:rPr>
        <w:t>elderly), atorvastatin (c</w:t>
      </w:r>
      <w:r w:rsidR="00FE475B" w:rsidRPr="0065491D">
        <w:rPr>
          <w:lang w:val="en-US"/>
        </w:rPr>
        <w:t>:</w:t>
      </w:r>
      <w:r w:rsidRPr="0065491D">
        <w:rPr>
          <w:lang w:val="en-US"/>
        </w:rPr>
        <w:t xml:space="preserve"> young and d</w:t>
      </w:r>
      <w:r w:rsidR="00FE475B" w:rsidRPr="0065491D">
        <w:rPr>
          <w:lang w:val="en-US"/>
        </w:rPr>
        <w:t>:</w:t>
      </w:r>
      <w:r w:rsidRPr="009440AD">
        <w:rPr>
          <w:lang w:val="en-US"/>
        </w:rPr>
        <w:t xml:space="preserve"> elderly)</w:t>
      </w:r>
      <w:r w:rsidR="00530592" w:rsidRPr="009440AD">
        <w:rPr>
          <w:lang w:val="en-US"/>
        </w:rPr>
        <w:t>,</w:t>
      </w:r>
      <w:r w:rsidRPr="009440AD">
        <w:rPr>
          <w:lang w:val="en-US"/>
        </w:rPr>
        <w:t xml:space="preserve"> and rosuvastatin (e</w:t>
      </w:r>
      <w:r w:rsidR="00FE475B" w:rsidRPr="009440AD">
        <w:rPr>
          <w:lang w:val="en-US"/>
        </w:rPr>
        <w:t>:</w:t>
      </w:r>
      <w:r w:rsidRPr="009440AD">
        <w:rPr>
          <w:lang w:val="en-US"/>
        </w:rPr>
        <w:t xml:space="preserve"> young and f</w:t>
      </w:r>
      <w:r w:rsidR="00FE475B" w:rsidRPr="009440AD">
        <w:rPr>
          <w:lang w:val="en-US"/>
        </w:rPr>
        <w:t>:</w:t>
      </w:r>
      <w:r w:rsidRPr="009440AD">
        <w:rPr>
          <w:lang w:val="en-US"/>
        </w:rPr>
        <w:t xml:space="preserve"> elderly). The red marker</w:t>
      </w:r>
      <w:r w:rsidR="00530592" w:rsidRPr="009440AD">
        <w:rPr>
          <w:lang w:val="en-US"/>
        </w:rPr>
        <w:t>s</w:t>
      </w:r>
      <w:r w:rsidRPr="009440AD">
        <w:rPr>
          <w:lang w:val="en-US"/>
        </w:rPr>
        <w:t xml:space="preserve"> show the observed clinical data (mean </w:t>
      </w:r>
      <w:r w:rsidRPr="009440AD">
        <w:rPr>
          <w:rFonts w:cs="Arial"/>
          <w:lang w:val="en-US"/>
        </w:rPr>
        <w:t>±</w:t>
      </w:r>
      <w:r w:rsidRPr="009440AD">
        <w:rPr>
          <w:lang w:val="en-US"/>
        </w:rPr>
        <w:t xml:space="preserve"> SD), the solid lines, the dashed line</w:t>
      </w:r>
      <w:r w:rsidR="00752A50" w:rsidRPr="009440AD">
        <w:rPr>
          <w:lang w:val="en-US"/>
        </w:rPr>
        <w:t>,</w:t>
      </w:r>
      <w:r w:rsidRPr="009440AD">
        <w:rPr>
          <w:lang w:val="en-US"/>
        </w:rPr>
        <w:t xml:space="preserve"> and the green shaded area represent the mean of each virtual trial, the mean</w:t>
      </w:r>
      <w:r w:rsidR="00752A50" w:rsidRPr="009440AD">
        <w:rPr>
          <w:lang w:val="en-US"/>
        </w:rPr>
        <w:t>,</w:t>
      </w:r>
      <w:r w:rsidRPr="009440AD">
        <w:rPr>
          <w:lang w:val="en-US"/>
        </w:rPr>
        <w:t xml:space="preserve"> and the 95% confidence interval of all virtual individuals. </w:t>
      </w:r>
      <w:r w:rsidR="00752A50" w:rsidRPr="009440AD">
        <w:rPr>
          <w:lang w:val="en-US"/>
        </w:rPr>
        <w:t xml:space="preserve">Green and blue show simulations in young and elderly adults, respectively. </w:t>
      </w:r>
      <w:r w:rsidRPr="009440AD">
        <w:rPr>
          <w:lang w:val="en-US"/>
        </w:rPr>
        <w:t xml:space="preserve">Used clinical studies for model verification can be found in </w:t>
      </w:r>
      <w:r w:rsidR="00E87930" w:rsidRPr="009440AD">
        <w:rPr>
          <w:lang w:val="en-US"/>
        </w:rPr>
        <w:t>Tab</w:t>
      </w:r>
      <w:r w:rsidR="005A5ECC" w:rsidRPr="009440AD">
        <w:rPr>
          <w:lang w:val="en-US"/>
        </w:rPr>
        <w:t>.</w:t>
      </w:r>
      <w:r w:rsidR="00E87930" w:rsidRPr="009440AD">
        <w:rPr>
          <w:lang w:val="en-US"/>
        </w:rPr>
        <w:t xml:space="preserve"> S</w:t>
      </w:r>
      <w:r w:rsidR="009440AD">
        <w:rPr>
          <w:lang w:val="en-US"/>
        </w:rPr>
        <w:t>-</w:t>
      </w:r>
      <w:r w:rsidR="00752A50" w:rsidRPr="009440AD">
        <w:rPr>
          <w:lang w:val="en-US"/>
        </w:rPr>
        <w:t>2</w:t>
      </w:r>
      <w:r w:rsidRPr="009440AD">
        <w:rPr>
          <w:lang w:val="en-US"/>
        </w:rPr>
        <w:t>.</w:t>
      </w:r>
    </w:p>
    <w:p w14:paraId="5A5FB6D3" w14:textId="2AAD5484" w:rsidR="00B66DE1" w:rsidRPr="005902A1" w:rsidRDefault="00797994" w:rsidP="00B66DE1">
      <w:pPr>
        <w:rPr>
          <w:lang w:val="en-US"/>
        </w:rPr>
      </w:pPr>
      <w:r w:rsidRPr="005F4A48">
        <w:rPr>
          <w:noProof/>
          <w:lang w:val="en-GB"/>
        </w:rPr>
        <w:lastRenderedPageBreak/>
        <w:drawing>
          <wp:inline distT="0" distB="0" distL="0" distR="0" wp14:anchorId="5690263E" wp14:editId="7317EDA4">
            <wp:extent cx="5629275" cy="42895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9275" cy="4289592"/>
                    </a:xfrm>
                    <a:prstGeom prst="rect">
                      <a:avLst/>
                    </a:prstGeom>
                    <a:noFill/>
                    <a:ln>
                      <a:noFill/>
                    </a:ln>
                  </pic:spPr>
                </pic:pic>
              </a:graphicData>
            </a:graphic>
          </wp:inline>
        </w:drawing>
      </w:r>
    </w:p>
    <w:p w14:paraId="65BA4D91" w14:textId="628E5624" w:rsidR="00752A50" w:rsidRPr="009440AD" w:rsidRDefault="00752A50" w:rsidP="00752A50">
      <w:pPr>
        <w:rPr>
          <w:lang w:val="en-US"/>
        </w:rPr>
      </w:pPr>
      <w:r w:rsidRPr="00540E3C">
        <w:rPr>
          <w:b/>
          <w:lang w:val="en-US"/>
        </w:rPr>
        <w:t>Fig</w:t>
      </w:r>
      <w:r w:rsidR="005A5ECC" w:rsidRPr="00540E3C">
        <w:rPr>
          <w:b/>
          <w:lang w:val="en-US"/>
        </w:rPr>
        <w:t>.</w:t>
      </w:r>
      <w:r w:rsidRPr="00540E3C">
        <w:rPr>
          <w:b/>
          <w:lang w:val="en-US"/>
        </w:rPr>
        <w:t xml:space="preserve"> 5:</w:t>
      </w:r>
      <w:r w:rsidRPr="00540E3C">
        <w:rPr>
          <w:lang w:val="en-US"/>
        </w:rPr>
        <w:t xml:space="preserve"> Predicted vs. observed concentration time profiles for clarithromycin (a: young and b: elderly) and rifampicin (c: young and d: elderly). The red markers show the observed clini</w:t>
      </w:r>
      <w:r w:rsidRPr="0065491D">
        <w:rPr>
          <w:lang w:val="en-US"/>
        </w:rPr>
        <w:t xml:space="preserve">cal data (mean </w:t>
      </w:r>
      <w:r w:rsidRPr="0065491D">
        <w:rPr>
          <w:rFonts w:cs="Arial"/>
          <w:lang w:val="en-US"/>
        </w:rPr>
        <w:t>±</w:t>
      </w:r>
      <w:r w:rsidRPr="0065491D">
        <w:rPr>
          <w:lang w:val="en-US"/>
        </w:rPr>
        <w:t xml:space="preserve"> SD), th</w:t>
      </w:r>
      <w:r w:rsidRPr="009440AD">
        <w:rPr>
          <w:lang w:val="en-US"/>
        </w:rPr>
        <w:t>e solid lines, the dashed line, and the shaded area represent the mean of each virtual trial, the mean, and the 95% confidence interval of all virtual individuals. Green and blue show simulations in young and elderly adults, respectively. Used clinical studies for model verification can be found in Tab</w:t>
      </w:r>
      <w:r w:rsidR="005A5ECC" w:rsidRPr="009440AD">
        <w:rPr>
          <w:lang w:val="en-US"/>
        </w:rPr>
        <w:t>.</w:t>
      </w:r>
      <w:r w:rsidRPr="009440AD">
        <w:rPr>
          <w:lang w:val="en-US"/>
        </w:rPr>
        <w:t xml:space="preserve"> S</w:t>
      </w:r>
      <w:r w:rsidR="009440AD">
        <w:rPr>
          <w:lang w:val="en-US"/>
        </w:rPr>
        <w:t>-</w:t>
      </w:r>
      <w:r w:rsidRPr="009440AD">
        <w:rPr>
          <w:lang w:val="en-US"/>
        </w:rPr>
        <w:t>2.</w:t>
      </w:r>
    </w:p>
    <w:p w14:paraId="2459DAE8" w14:textId="00D6786C" w:rsidR="00752A50" w:rsidRPr="005902A1" w:rsidRDefault="00797994" w:rsidP="00B66DE1">
      <w:pPr>
        <w:rPr>
          <w:lang w:val="en-US"/>
        </w:rPr>
      </w:pPr>
      <w:r w:rsidRPr="005F4A48">
        <w:rPr>
          <w:noProof/>
          <w:lang w:val="en-GB"/>
        </w:rPr>
        <w:lastRenderedPageBreak/>
        <w:drawing>
          <wp:inline distT="0" distB="0" distL="0" distR="0" wp14:anchorId="3ED684F0" wp14:editId="46B6C823">
            <wp:extent cx="5686425" cy="5686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6425" cy="5686425"/>
                    </a:xfrm>
                    <a:prstGeom prst="rect">
                      <a:avLst/>
                    </a:prstGeom>
                    <a:noFill/>
                    <a:ln>
                      <a:noFill/>
                    </a:ln>
                  </pic:spPr>
                </pic:pic>
              </a:graphicData>
            </a:graphic>
          </wp:inline>
        </w:drawing>
      </w:r>
    </w:p>
    <w:p w14:paraId="398162D9" w14:textId="1C4F9CAD" w:rsidR="00571D69" w:rsidRPr="009440AD" w:rsidRDefault="00B66DE1" w:rsidP="00B66DE1">
      <w:pPr>
        <w:rPr>
          <w:lang w:val="en-US"/>
        </w:rPr>
      </w:pPr>
      <w:r w:rsidRPr="005902A1">
        <w:rPr>
          <w:b/>
          <w:lang w:val="en-US"/>
        </w:rPr>
        <w:t>Fig</w:t>
      </w:r>
      <w:r w:rsidR="005A5ECC" w:rsidRPr="0050587F">
        <w:rPr>
          <w:b/>
          <w:lang w:val="en-US"/>
        </w:rPr>
        <w:t>.</w:t>
      </w:r>
      <w:r w:rsidRPr="0050587F">
        <w:rPr>
          <w:b/>
          <w:lang w:val="en-US"/>
        </w:rPr>
        <w:t xml:space="preserve"> </w:t>
      </w:r>
      <w:r w:rsidR="00752A50" w:rsidRPr="0050587F">
        <w:rPr>
          <w:b/>
          <w:lang w:val="en-US"/>
        </w:rPr>
        <w:t>6</w:t>
      </w:r>
      <w:r w:rsidRPr="0050587F">
        <w:rPr>
          <w:b/>
          <w:lang w:val="en-US"/>
        </w:rPr>
        <w:t>:</w:t>
      </w:r>
      <w:r w:rsidRPr="0050587F">
        <w:rPr>
          <w:lang w:val="en-US"/>
        </w:rPr>
        <w:t xml:space="preserve"> </w:t>
      </w:r>
      <w:r w:rsidR="00FA087B" w:rsidRPr="0050587F">
        <w:rPr>
          <w:lang w:val="en-US"/>
        </w:rPr>
        <w:t>Pharmacokinetic</w:t>
      </w:r>
      <w:r w:rsidRPr="0050587F">
        <w:rPr>
          <w:lang w:val="en-US"/>
        </w:rPr>
        <w:t xml:space="preserve"> parameters normalized to the youngest </w:t>
      </w:r>
      <w:r w:rsidR="00667BF2" w:rsidRPr="0050587F">
        <w:rPr>
          <w:lang w:val="en-US"/>
        </w:rPr>
        <w:t xml:space="preserve">investigated </w:t>
      </w:r>
      <w:r w:rsidRPr="0050587F">
        <w:rPr>
          <w:lang w:val="en-US"/>
        </w:rPr>
        <w:t>age group</w:t>
      </w:r>
      <w:r w:rsidR="00667BF2" w:rsidRPr="0050587F">
        <w:rPr>
          <w:lang w:val="en-US"/>
        </w:rPr>
        <w:t xml:space="preserve"> (20-24 years)</w:t>
      </w:r>
      <w:r w:rsidRPr="0050587F">
        <w:rPr>
          <w:lang w:val="en-US"/>
        </w:rPr>
        <w:t xml:space="preserve">. Circles, </w:t>
      </w:r>
      <w:r w:rsidR="004168DB" w:rsidRPr="0065491D">
        <w:rPr>
          <w:lang w:val="en-US"/>
        </w:rPr>
        <w:t>triangles</w:t>
      </w:r>
      <w:r w:rsidRPr="0065491D">
        <w:rPr>
          <w:lang w:val="en-US"/>
        </w:rPr>
        <w:t>, diamonds, squares, plus, cross, left-</w:t>
      </w:r>
      <w:r w:rsidR="00752A50" w:rsidRPr="009440AD">
        <w:rPr>
          <w:lang w:val="en-US"/>
        </w:rPr>
        <w:t>,</w:t>
      </w:r>
      <w:r w:rsidRPr="009440AD">
        <w:rPr>
          <w:lang w:val="en-US"/>
        </w:rPr>
        <w:t xml:space="preserve"> right-</w:t>
      </w:r>
      <w:r w:rsidR="00752A50" w:rsidRPr="009440AD">
        <w:rPr>
          <w:lang w:val="en-US"/>
        </w:rPr>
        <w:t>, and downward-</w:t>
      </w:r>
      <w:r w:rsidRPr="009440AD">
        <w:rPr>
          <w:lang w:val="en-US"/>
        </w:rPr>
        <w:t>pointing triangles</w:t>
      </w:r>
      <w:r w:rsidR="00752A50" w:rsidRPr="009440AD">
        <w:rPr>
          <w:lang w:val="en-US"/>
        </w:rPr>
        <w:t>, and dots</w:t>
      </w:r>
      <w:r w:rsidRPr="009440AD">
        <w:rPr>
          <w:lang w:val="en-US"/>
        </w:rPr>
        <w:t xml:space="preserve"> represent midazolam, metoprolol, lisinopril, amlodipine, rivaroxaban, repaglinide, atorvastatin</w:t>
      </w:r>
      <w:r w:rsidR="00752A50" w:rsidRPr="009440AD">
        <w:rPr>
          <w:lang w:val="en-US"/>
        </w:rPr>
        <w:t xml:space="preserve">, </w:t>
      </w:r>
      <w:r w:rsidRPr="009440AD">
        <w:rPr>
          <w:lang w:val="en-US"/>
        </w:rPr>
        <w:t>rosuvastatin</w:t>
      </w:r>
      <w:r w:rsidR="00752A50" w:rsidRPr="009440AD">
        <w:rPr>
          <w:lang w:val="en-US"/>
        </w:rPr>
        <w:t>, clarithromycin, and rifampicin</w:t>
      </w:r>
      <w:r w:rsidRPr="009440AD">
        <w:rPr>
          <w:lang w:val="en-US"/>
        </w:rPr>
        <w:t xml:space="preserve">, respectively. </w:t>
      </w:r>
      <w:r w:rsidR="000F6816" w:rsidRPr="009440AD">
        <w:rPr>
          <w:lang w:val="en-US"/>
        </w:rPr>
        <w:t>Blue</w:t>
      </w:r>
      <w:r w:rsidRPr="009440AD">
        <w:rPr>
          <w:lang w:val="en-US"/>
        </w:rPr>
        <w:t xml:space="preserve"> and red markers show data for men and women. </w:t>
      </w:r>
      <w:r w:rsidR="00752A50" w:rsidRPr="009440AD">
        <w:rPr>
          <w:lang w:val="en-US"/>
        </w:rPr>
        <w:t>The solid line and the grey shaded area display the fitted mean relationship with estimated variability between age and the pharmacokinetic parameter of interest</w:t>
      </w:r>
      <w:r w:rsidRPr="009440AD">
        <w:rPr>
          <w:lang w:val="en-US"/>
        </w:rPr>
        <w:t>. The grey dashed lines represent the 1.25-fold interval (bioequivalence criterion).</w:t>
      </w:r>
      <w:r w:rsidR="00752A50" w:rsidRPr="009440AD">
        <w:rPr>
          <w:lang w:val="en-US"/>
        </w:rPr>
        <w:t xml:space="preserve"> </w:t>
      </w:r>
    </w:p>
    <w:p w14:paraId="24F5A4BB" w14:textId="51A25667" w:rsidR="00B66DE1" w:rsidRPr="009440AD" w:rsidRDefault="00571D69" w:rsidP="00B66DE1">
      <w:pPr>
        <w:rPr>
          <w:lang w:val="en-US"/>
        </w:rPr>
      </w:pPr>
      <w:r w:rsidRPr="009440AD">
        <w:rPr>
          <w:lang w:val="en-US"/>
        </w:rPr>
        <w:t xml:space="preserve">Key: </w:t>
      </w:r>
      <w:proofErr w:type="spellStart"/>
      <w:r w:rsidR="00752A50" w:rsidRPr="009440AD">
        <w:rPr>
          <w:lang w:val="en-US"/>
        </w:rPr>
        <w:t>C</w:t>
      </w:r>
      <w:r w:rsidR="00752A50" w:rsidRPr="009440AD">
        <w:rPr>
          <w:vertAlign w:val="subscript"/>
          <w:lang w:val="en-US"/>
        </w:rPr>
        <w:t>max</w:t>
      </w:r>
      <w:proofErr w:type="spellEnd"/>
      <w:r w:rsidR="00752A50" w:rsidRPr="009440AD">
        <w:rPr>
          <w:lang w:val="en-US"/>
        </w:rPr>
        <w:t xml:space="preserve"> = peak concentration, </w:t>
      </w:r>
      <w:proofErr w:type="spellStart"/>
      <w:r w:rsidR="00752A50" w:rsidRPr="009440AD">
        <w:rPr>
          <w:lang w:val="en-US"/>
        </w:rPr>
        <w:t>t</w:t>
      </w:r>
      <w:r w:rsidR="00752A50" w:rsidRPr="009440AD">
        <w:rPr>
          <w:vertAlign w:val="subscript"/>
          <w:lang w:val="en-US"/>
        </w:rPr>
        <w:t>max</w:t>
      </w:r>
      <w:proofErr w:type="spellEnd"/>
      <w:r w:rsidR="00752A50" w:rsidRPr="009440AD">
        <w:rPr>
          <w:lang w:val="en-US"/>
        </w:rPr>
        <w:t xml:space="preserve"> = time to </w:t>
      </w:r>
      <w:proofErr w:type="spellStart"/>
      <w:r w:rsidR="00752A50" w:rsidRPr="009440AD">
        <w:rPr>
          <w:lang w:val="en-US"/>
        </w:rPr>
        <w:t>C</w:t>
      </w:r>
      <w:r w:rsidR="00752A50" w:rsidRPr="009440AD">
        <w:rPr>
          <w:vertAlign w:val="subscript"/>
          <w:lang w:val="en-US"/>
        </w:rPr>
        <w:t>max</w:t>
      </w:r>
      <w:proofErr w:type="spellEnd"/>
      <w:r w:rsidR="00752A50" w:rsidRPr="009440AD">
        <w:rPr>
          <w:lang w:val="en-US"/>
        </w:rPr>
        <w:t xml:space="preserve">, </w:t>
      </w:r>
      <w:proofErr w:type="spellStart"/>
      <w:r w:rsidR="00752A50" w:rsidRPr="009440AD">
        <w:rPr>
          <w:lang w:val="en-US"/>
        </w:rPr>
        <w:t>VdF</w:t>
      </w:r>
      <w:proofErr w:type="spellEnd"/>
      <w:r w:rsidR="00752A50" w:rsidRPr="009440AD">
        <w:rPr>
          <w:lang w:val="en-US"/>
        </w:rPr>
        <w:t xml:space="preserve"> = apparent volume of distribution, AUC = area under the curve, CLF = clearance, t</w:t>
      </w:r>
      <w:r w:rsidR="00752A50" w:rsidRPr="009440AD">
        <w:rPr>
          <w:vertAlign w:val="subscript"/>
          <w:lang w:val="en-US"/>
        </w:rPr>
        <w:t>1/2</w:t>
      </w:r>
      <w:r w:rsidR="00752A50" w:rsidRPr="009440AD">
        <w:rPr>
          <w:lang w:val="en-US"/>
        </w:rPr>
        <w:t xml:space="preserve"> = elimination half-life.</w:t>
      </w:r>
    </w:p>
    <w:p w14:paraId="7EBD58DF" w14:textId="09A90C8E" w:rsidR="00B66DE1" w:rsidRDefault="00797994" w:rsidP="00B66DE1">
      <w:pPr>
        <w:rPr>
          <w:lang w:val="en-US"/>
        </w:rPr>
      </w:pPr>
      <w:r w:rsidRPr="005F4A48">
        <w:rPr>
          <w:noProof/>
          <w:lang w:val="en-GB"/>
        </w:rPr>
        <w:lastRenderedPageBreak/>
        <w:drawing>
          <wp:inline distT="0" distB="0" distL="0" distR="0" wp14:anchorId="355350C5" wp14:editId="30347BFC">
            <wp:extent cx="5760720" cy="39871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987165"/>
                    </a:xfrm>
                    <a:prstGeom prst="rect">
                      <a:avLst/>
                    </a:prstGeom>
                    <a:noFill/>
                    <a:ln>
                      <a:noFill/>
                    </a:ln>
                  </pic:spPr>
                </pic:pic>
              </a:graphicData>
            </a:graphic>
          </wp:inline>
        </w:drawing>
      </w:r>
    </w:p>
    <w:p w14:paraId="2CFE51F4" w14:textId="4983142B" w:rsidR="00540E3C" w:rsidRDefault="00540E3C" w:rsidP="00B66DE1">
      <w:pPr>
        <w:rPr>
          <w:lang w:val="en-US"/>
        </w:rPr>
      </w:pPr>
      <w:r w:rsidRPr="006B495B">
        <w:rPr>
          <w:b/>
          <w:bCs/>
          <w:lang w:val="en-US"/>
        </w:rPr>
        <w:t xml:space="preserve">Fig. </w:t>
      </w:r>
      <w:r w:rsidR="004227D5">
        <w:rPr>
          <w:b/>
          <w:bCs/>
          <w:lang w:val="en-US"/>
        </w:rPr>
        <w:t>7</w:t>
      </w:r>
      <w:r w:rsidRPr="006B495B">
        <w:rPr>
          <w:b/>
          <w:bCs/>
          <w:lang w:val="en-US"/>
        </w:rPr>
        <w:t xml:space="preserve">: </w:t>
      </w:r>
      <w:r w:rsidR="00D908E3">
        <w:rPr>
          <w:lang w:val="en-US"/>
        </w:rPr>
        <w:t>Results of the conducted sensitivity analysis for drug (a-c) and physiological (d-f) parameters.</w:t>
      </w:r>
    </w:p>
    <w:p w14:paraId="26AEFC9E" w14:textId="642AAC9E" w:rsidR="00D908E3" w:rsidRPr="00D908E3" w:rsidRDefault="00D908E3" w:rsidP="00B66DE1">
      <w:pPr>
        <w:rPr>
          <w:lang w:val="en-US"/>
        </w:rPr>
      </w:pPr>
      <w:r>
        <w:rPr>
          <w:lang w:val="en-US"/>
        </w:rPr>
        <w:t xml:space="preserve">Key: </w:t>
      </w:r>
      <w:proofErr w:type="spellStart"/>
      <w:r>
        <w:rPr>
          <w:lang w:val="en-US"/>
        </w:rPr>
        <w:t>VdF</w:t>
      </w:r>
      <w:proofErr w:type="spellEnd"/>
      <w:r>
        <w:rPr>
          <w:lang w:val="en-US"/>
        </w:rPr>
        <w:t xml:space="preserve"> = apparent volume of distribution, </w:t>
      </w:r>
      <w:proofErr w:type="spellStart"/>
      <w:r>
        <w:rPr>
          <w:lang w:val="en-US"/>
        </w:rPr>
        <w:t>logP</w:t>
      </w:r>
      <w:proofErr w:type="spellEnd"/>
      <w:r>
        <w:rPr>
          <w:lang w:val="en-US"/>
        </w:rPr>
        <w:t xml:space="preserve"> = octanol-water partition coefficient, CLF = clearance, </w:t>
      </w:r>
      <w:proofErr w:type="spellStart"/>
      <w:r>
        <w:rPr>
          <w:lang w:val="en-US"/>
        </w:rPr>
        <w:t>fup</w:t>
      </w:r>
      <w:proofErr w:type="spellEnd"/>
      <w:r>
        <w:rPr>
          <w:lang w:val="en-US"/>
        </w:rPr>
        <w:t xml:space="preserve"> = fraction unbound in plasma, </w:t>
      </w:r>
      <w:proofErr w:type="spellStart"/>
      <w:r>
        <w:rPr>
          <w:lang w:val="en-US"/>
        </w:rPr>
        <w:t>CL</w:t>
      </w:r>
      <w:r w:rsidRPr="006B495B">
        <w:rPr>
          <w:vertAlign w:val="subscript"/>
          <w:lang w:val="en-US"/>
        </w:rPr>
        <w:t>int,hep</w:t>
      </w:r>
      <w:proofErr w:type="spellEnd"/>
      <w:r>
        <w:rPr>
          <w:lang w:val="en-US"/>
        </w:rPr>
        <w:t xml:space="preserve"> = intrinsic, hepatic clearance, QLI = hepatic blood flow, QKI = renal blood flow, GFR = glomerular filtration rate. </w:t>
      </w:r>
    </w:p>
    <w:p w14:paraId="506261BC" w14:textId="2CD9CFB7" w:rsidR="00540E3C" w:rsidRPr="00540E3C" w:rsidRDefault="00797994" w:rsidP="00B66DE1">
      <w:pPr>
        <w:rPr>
          <w:lang w:val="en-US"/>
        </w:rPr>
      </w:pPr>
      <w:r w:rsidRPr="005F4A48">
        <w:rPr>
          <w:noProof/>
          <w:lang w:val="en-GB"/>
        </w:rPr>
        <w:lastRenderedPageBreak/>
        <w:drawing>
          <wp:inline distT="0" distB="0" distL="0" distR="0" wp14:anchorId="3B025CC6" wp14:editId="11A1F073">
            <wp:extent cx="5760720" cy="5760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29D6B810" w14:textId="298713BB" w:rsidR="00571D69" w:rsidRPr="009440AD" w:rsidRDefault="00752A50" w:rsidP="00B66DE1">
      <w:pPr>
        <w:rPr>
          <w:lang w:val="en-US"/>
        </w:rPr>
      </w:pPr>
      <w:r w:rsidRPr="00540E3C">
        <w:rPr>
          <w:b/>
          <w:lang w:val="en-US"/>
        </w:rPr>
        <w:t>Fig</w:t>
      </w:r>
      <w:r w:rsidR="005A5ECC" w:rsidRPr="00540E3C">
        <w:rPr>
          <w:b/>
          <w:lang w:val="en-US"/>
        </w:rPr>
        <w:t>.</w:t>
      </w:r>
      <w:r w:rsidRPr="00540E3C">
        <w:rPr>
          <w:b/>
          <w:lang w:val="en-US"/>
        </w:rPr>
        <w:t xml:space="preserve"> </w:t>
      </w:r>
      <w:r w:rsidR="004227D5">
        <w:rPr>
          <w:b/>
          <w:lang w:val="en-US"/>
        </w:rPr>
        <w:t>8</w:t>
      </w:r>
      <w:r w:rsidRPr="00540E3C">
        <w:rPr>
          <w:b/>
          <w:lang w:val="en-US"/>
        </w:rPr>
        <w:t>:</w:t>
      </w:r>
      <w:r w:rsidRPr="00540E3C">
        <w:rPr>
          <w:lang w:val="en-US"/>
        </w:rPr>
        <w:t xml:space="preserve"> </w:t>
      </w:r>
      <w:bookmarkStart w:id="28" w:name="_Hlk10534866"/>
      <w:r w:rsidRPr="00540E3C">
        <w:rPr>
          <w:lang w:val="en-US"/>
        </w:rPr>
        <w:t xml:space="preserve">Verification of derived pharmacokinetic parameter changes </w:t>
      </w:r>
      <w:r w:rsidR="00571D69" w:rsidRPr="00540E3C">
        <w:rPr>
          <w:lang w:val="en-US"/>
        </w:rPr>
        <w:t xml:space="preserve">with age </w:t>
      </w:r>
      <w:r w:rsidR="00E539D5" w:rsidRPr="00540E3C">
        <w:rPr>
          <w:lang w:val="en-US"/>
        </w:rPr>
        <w:t>against</w:t>
      </w:r>
      <w:r w:rsidR="00571D69" w:rsidRPr="00540E3C">
        <w:rPr>
          <w:lang w:val="en-US"/>
        </w:rPr>
        <w:t xml:space="preserve"> 52 additional </w:t>
      </w:r>
      <w:r w:rsidR="00571D69" w:rsidRPr="0065491D">
        <w:rPr>
          <w:lang w:val="en-US"/>
        </w:rPr>
        <w:t>drugs. The solid black line, the shaded grey area, and the dashed grey lines represent the fitted mean relationship, the estimated variability, and the 1.25-fold interval (bioequi</w:t>
      </w:r>
      <w:r w:rsidR="00571D69" w:rsidRPr="009440AD">
        <w:rPr>
          <w:lang w:val="en-US"/>
        </w:rPr>
        <w:t>valence criterion). Red, blue, and green marker show drugs primarily undergoing hepatic, renal, and biliary eliminations. Triangle and circles represent i</w:t>
      </w:r>
      <w:r w:rsidR="006412A2" w:rsidRPr="009440AD">
        <w:rPr>
          <w:lang w:val="en-US"/>
        </w:rPr>
        <w:t>ntravenous</w:t>
      </w:r>
      <w:r w:rsidR="00571D69" w:rsidRPr="009440AD">
        <w:rPr>
          <w:lang w:val="en-US"/>
        </w:rPr>
        <w:t xml:space="preserve"> and oral drug administration. </w:t>
      </w:r>
      <w:r w:rsidR="005825B8" w:rsidRPr="009440AD">
        <w:rPr>
          <w:lang w:val="en-US"/>
        </w:rPr>
        <w:t>References of the studied drugs can be found in Tab. S</w:t>
      </w:r>
      <w:r w:rsidR="009440AD">
        <w:rPr>
          <w:lang w:val="en-US"/>
        </w:rPr>
        <w:t>-</w:t>
      </w:r>
      <w:r w:rsidR="005825B8" w:rsidRPr="009440AD">
        <w:rPr>
          <w:lang w:val="en-US"/>
        </w:rPr>
        <w:t>3.</w:t>
      </w:r>
    </w:p>
    <w:p w14:paraId="30DBE164" w14:textId="10F53BE6" w:rsidR="00571D69" w:rsidRDefault="00571D69" w:rsidP="00B66DE1">
      <w:pPr>
        <w:rPr>
          <w:lang w:val="en-US"/>
        </w:rPr>
      </w:pPr>
      <w:r w:rsidRPr="005902A1">
        <w:rPr>
          <w:lang w:val="en-US"/>
        </w:rPr>
        <w:t xml:space="preserve">Key: </w:t>
      </w:r>
      <w:proofErr w:type="spellStart"/>
      <w:r w:rsidRPr="005902A1">
        <w:rPr>
          <w:lang w:val="en-US"/>
        </w:rPr>
        <w:t>C</w:t>
      </w:r>
      <w:r w:rsidRPr="0050587F">
        <w:rPr>
          <w:vertAlign w:val="subscript"/>
          <w:lang w:val="en-US"/>
        </w:rPr>
        <w:t>max</w:t>
      </w:r>
      <w:proofErr w:type="spellEnd"/>
      <w:r w:rsidRPr="0050587F">
        <w:rPr>
          <w:lang w:val="en-US"/>
        </w:rPr>
        <w:t xml:space="preserve"> = peak concentration, </w:t>
      </w:r>
      <w:proofErr w:type="spellStart"/>
      <w:r w:rsidRPr="0050587F">
        <w:rPr>
          <w:lang w:val="en-US"/>
        </w:rPr>
        <w:t>t</w:t>
      </w:r>
      <w:r w:rsidRPr="0050587F">
        <w:rPr>
          <w:vertAlign w:val="subscript"/>
          <w:lang w:val="en-US"/>
        </w:rPr>
        <w:t>max</w:t>
      </w:r>
      <w:proofErr w:type="spellEnd"/>
      <w:r w:rsidRPr="0050587F">
        <w:rPr>
          <w:lang w:val="en-US"/>
        </w:rPr>
        <w:t xml:space="preserve"> = time to </w:t>
      </w:r>
      <w:proofErr w:type="spellStart"/>
      <w:r w:rsidRPr="0050587F">
        <w:rPr>
          <w:lang w:val="en-US"/>
        </w:rPr>
        <w:t>C</w:t>
      </w:r>
      <w:r w:rsidRPr="0050587F">
        <w:rPr>
          <w:vertAlign w:val="subscript"/>
          <w:lang w:val="en-US"/>
        </w:rPr>
        <w:t>max</w:t>
      </w:r>
      <w:proofErr w:type="spellEnd"/>
      <w:r w:rsidRPr="0050587F">
        <w:rPr>
          <w:lang w:val="en-US"/>
        </w:rPr>
        <w:t xml:space="preserve">, </w:t>
      </w:r>
      <w:proofErr w:type="spellStart"/>
      <w:r w:rsidRPr="0050587F">
        <w:rPr>
          <w:lang w:val="en-US"/>
        </w:rPr>
        <w:t>VdF</w:t>
      </w:r>
      <w:proofErr w:type="spellEnd"/>
      <w:r w:rsidRPr="0050587F">
        <w:rPr>
          <w:lang w:val="en-US"/>
        </w:rPr>
        <w:t xml:space="preserve"> = apparent volume of distribution, AUC = area under the curve, CLF = clearance, t</w:t>
      </w:r>
      <w:r w:rsidRPr="00D908E3">
        <w:rPr>
          <w:vertAlign w:val="subscript"/>
          <w:lang w:val="en-US"/>
        </w:rPr>
        <w:t>1/2</w:t>
      </w:r>
      <w:r w:rsidRPr="00D908E3">
        <w:rPr>
          <w:lang w:val="en-US"/>
        </w:rPr>
        <w:t xml:space="preserve"> = elimination half-life.</w:t>
      </w:r>
    </w:p>
    <w:p w14:paraId="2B07B023" w14:textId="23C7FEB2" w:rsidR="00D908E3" w:rsidRDefault="00797994" w:rsidP="00B66DE1">
      <w:pPr>
        <w:rPr>
          <w:lang w:val="en-US"/>
        </w:rPr>
      </w:pPr>
      <w:bookmarkStart w:id="29" w:name="_GoBack"/>
      <w:r w:rsidRPr="005F4A48">
        <w:rPr>
          <w:noProof/>
          <w:lang w:val="en-GB"/>
        </w:rPr>
        <w:lastRenderedPageBreak/>
        <w:drawing>
          <wp:inline distT="0" distB="0" distL="0" distR="0" wp14:anchorId="4A82C2B0" wp14:editId="775CE03B">
            <wp:extent cx="5760720" cy="41922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760720" cy="4192270"/>
                    </a:xfrm>
                    <a:prstGeom prst="rect">
                      <a:avLst/>
                    </a:prstGeom>
                    <a:noFill/>
                    <a:ln>
                      <a:noFill/>
                    </a:ln>
                  </pic:spPr>
                </pic:pic>
              </a:graphicData>
            </a:graphic>
          </wp:inline>
        </w:drawing>
      </w:r>
      <w:bookmarkEnd w:id="29"/>
    </w:p>
    <w:p w14:paraId="6A4E9D3F" w14:textId="7DC9C8EB" w:rsidR="00D908E3" w:rsidRPr="00D908E3" w:rsidRDefault="00D908E3" w:rsidP="00B66DE1">
      <w:pPr>
        <w:rPr>
          <w:lang w:val="en-US"/>
        </w:rPr>
      </w:pPr>
      <w:r w:rsidRPr="006B495B">
        <w:rPr>
          <w:b/>
          <w:bCs/>
          <w:lang w:val="en-US"/>
        </w:rPr>
        <w:t xml:space="preserve">Fig. </w:t>
      </w:r>
      <w:r w:rsidR="004227D5" w:rsidRPr="006B495B">
        <w:rPr>
          <w:b/>
          <w:bCs/>
          <w:lang w:val="en-US"/>
        </w:rPr>
        <w:t>9</w:t>
      </w:r>
      <w:r w:rsidRPr="006B495B">
        <w:rPr>
          <w:b/>
          <w:bCs/>
          <w:lang w:val="en-US"/>
        </w:rPr>
        <w:t>:</w:t>
      </w:r>
      <w:r>
        <w:rPr>
          <w:lang w:val="en-US"/>
        </w:rPr>
        <w:t xml:space="preserve"> Correlation between drug (octanol-water partition coefficient: </w:t>
      </w:r>
      <w:proofErr w:type="spellStart"/>
      <w:r>
        <w:rPr>
          <w:lang w:val="en-US"/>
        </w:rPr>
        <w:t>logP</w:t>
      </w:r>
      <w:proofErr w:type="spellEnd"/>
      <w:r>
        <w:rPr>
          <w:lang w:val="en-US"/>
        </w:rPr>
        <w:t xml:space="preserve">, fraction unbound in plasma: </w:t>
      </w:r>
      <w:proofErr w:type="spellStart"/>
      <w:r>
        <w:rPr>
          <w:lang w:val="en-US"/>
        </w:rPr>
        <w:t>fup</w:t>
      </w:r>
      <w:proofErr w:type="spellEnd"/>
      <w:r>
        <w:rPr>
          <w:lang w:val="en-US"/>
        </w:rPr>
        <w:t xml:space="preserve">) and physiological parameters (blood flow to respective organ: </w:t>
      </w:r>
      <w:proofErr w:type="spellStart"/>
      <w:r>
        <w:rPr>
          <w:lang w:val="en-US"/>
        </w:rPr>
        <w:t>Qxx</w:t>
      </w:r>
      <w:proofErr w:type="spellEnd"/>
      <w:r>
        <w:rPr>
          <w:lang w:val="en-US"/>
        </w:rPr>
        <w:t>, glomerular filtration rate: GFR) against age-related changes in apparent volume of distribution (</w:t>
      </w:r>
      <w:proofErr w:type="spellStart"/>
      <w:r>
        <w:rPr>
          <w:lang w:val="en-US"/>
        </w:rPr>
        <w:t>VdF</w:t>
      </w:r>
      <w:proofErr w:type="spellEnd"/>
      <w:r>
        <w:rPr>
          <w:lang w:val="en-US"/>
        </w:rPr>
        <w:t xml:space="preserve">) and clearance (CLF). </w:t>
      </w:r>
      <w:r w:rsidRPr="00E14E23">
        <w:rPr>
          <w:lang w:val="en-US"/>
        </w:rPr>
        <w:t>Red, blue, and green marker show drugs primarily undergoing hepatic, renal, and biliary eliminations. Triangle and circles represent intravenous and oral drug administration. References of the studied drugs can be found in Tab. S</w:t>
      </w:r>
      <w:r>
        <w:rPr>
          <w:lang w:val="en-US"/>
        </w:rPr>
        <w:t>-</w:t>
      </w:r>
      <w:r w:rsidRPr="009440AD">
        <w:rPr>
          <w:lang w:val="en-US"/>
        </w:rPr>
        <w:t>3.</w:t>
      </w:r>
    </w:p>
    <w:bookmarkEnd w:id="28"/>
    <w:p w14:paraId="510922A9" w14:textId="77777777" w:rsidR="00540C98" w:rsidRPr="00D908E3" w:rsidRDefault="00540C98" w:rsidP="00540C98">
      <w:pPr>
        <w:pStyle w:val="Heading1"/>
        <w:rPr>
          <w:lang w:val="en-US"/>
        </w:rPr>
      </w:pPr>
      <w:r w:rsidRPr="00D908E3">
        <w:rPr>
          <w:lang w:val="en-US"/>
        </w:rPr>
        <w:lastRenderedPageBreak/>
        <w:t>Table legend</w:t>
      </w:r>
    </w:p>
    <w:p w14:paraId="6683958B" w14:textId="77777777" w:rsidR="00B66DE1" w:rsidRPr="0065491D" w:rsidRDefault="00B66DE1" w:rsidP="009C7BEF">
      <w:pPr>
        <w:rPr>
          <w:lang w:val="en-US"/>
        </w:rPr>
      </w:pPr>
    </w:p>
    <w:p w14:paraId="610CE1C4" w14:textId="22DD2BE6" w:rsidR="00540C98" w:rsidRDefault="00540C98" w:rsidP="00FA087B">
      <w:pPr>
        <w:rPr>
          <w:lang w:val="en-US"/>
        </w:rPr>
      </w:pPr>
      <w:r w:rsidRPr="009440AD">
        <w:rPr>
          <w:b/>
          <w:lang w:val="en-US"/>
        </w:rPr>
        <w:t>Tab</w:t>
      </w:r>
      <w:r w:rsidR="005A5ECC" w:rsidRPr="009440AD">
        <w:rPr>
          <w:b/>
          <w:lang w:val="en-US"/>
        </w:rPr>
        <w:t>.</w:t>
      </w:r>
      <w:r w:rsidRPr="009440AD">
        <w:rPr>
          <w:b/>
          <w:lang w:val="en-US"/>
        </w:rPr>
        <w:t xml:space="preserve"> 1:</w:t>
      </w:r>
      <w:r w:rsidRPr="009440AD">
        <w:rPr>
          <w:lang w:val="en-US"/>
        </w:rPr>
        <w:t xml:space="preserve"> </w:t>
      </w:r>
      <w:r w:rsidR="00FA087B" w:rsidRPr="009440AD">
        <w:rPr>
          <w:lang w:val="en-US"/>
        </w:rPr>
        <w:t>Observed vs. predicted pharmacokinetic parameters.</w:t>
      </w:r>
    </w:p>
    <w:tbl>
      <w:tblPr>
        <w:tblW w:w="9060" w:type="dxa"/>
        <w:tblCellMar>
          <w:left w:w="70" w:type="dxa"/>
          <w:right w:w="70" w:type="dxa"/>
        </w:tblCellMar>
        <w:tblLook w:val="04A0" w:firstRow="1" w:lastRow="0" w:firstColumn="1" w:lastColumn="0" w:noHBand="0" w:noVBand="1"/>
      </w:tblPr>
      <w:tblGrid>
        <w:gridCol w:w="1300"/>
        <w:gridCol w:w="1403"/>
        <w:gridCol w:w="1517"/>
        <w:gridCol w:w="1460"/>
        <w:gridCol w:w="1460"/>
        <w:gridCol w:w="972"/>
        <w:gridCol w:w="948"/>
      </w:tblGrid>
      <w:tr w:rsidR="00797994" w:rsidRPr="005F4A48" w14:paraId="7F2D6672"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43D7019D" w14:textId="77777777" w:rsidR="00797994" w:rsidRPr="005F4A48" w:rsidRDefault="00797994" w:rsidP="004459B5">
            <w:pPr>
              <w:spacing w:line="240" w:lineRule="auto"/>
              <w:jc w:val="left"/>
              <w:rPr>
                <w:rFonts w:eastAsia="Times New Roman" w:cs="Arial"/>
                <w:color w:val="000000"/>
                <w:sz w:val="16"/>
                <w:szCs w:val="16"/>
                <w:lang w:val="en-GB" w:eastAsia="de-DE"/>
              </w:rPr>
            </w:pPr>
          </w:p>
        </w:tc>
        <w:tc>
          <w:tcPr>
            <w:tcW w:w="2920" w:type="dxa"/>
            <w:gridSpan w:val="2"/>
            <w:tcBorders>
              <w:top w:val="nil"/>
              <w:left w:val="nil"/>
              <w:bottom w:val="single" w:sz="4" w:space="0" w:color="auto"/>
              <w:right w:val="single" w:sz="4" w:space="0" w:color="000000"/>
            </w:tcBorders>
            <w:shd w:val="clear" w:color="000000" w:fill="FFFFFF"/>
            <w:noWrap/>
            <w:vAlign w:val="center"/>
            <w:hideMark/>
          </w:tcPr>
          <w:p w14:paraId="2A65BFE6" w14:textId="77777777" w:rsidR="00797994" w:rsidRPr="005F4A48" w:rsidRDefault="00797994" w:rsidP="004459B5">
            <w:pPr>
              <w:spacing w:line="240" w:lineRule="auto"/>
              <w:jc w:val="center"/>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Young adults</w:t>
            </w:r>
          </w:p>
        </w:tc>
        <w:tc>
          <w:tcPr>
            <w:tcW w:w="2920" w:type="dxa"/>
            <w:gridSpan w:val="2"/>
            <w:tcBorders>
              <w:top w:val="nil"/>
              <w:left w:val="nil"/>
              <w:bottom w:val="single" w:sz="4" w:space="0" w:color="auto"/>
              <w:right w:val="single" w:sz="4" w:space="0" w:color="000000"/>
            </w:tcBorders>
            <w:shd w:val="clear" w:color="000000" w:fill="FFFFFF"/>
            <w:noWrap/>
            <w:vAlign w:val="center"/>
            <w:hideMark/>
          </w:tcPr>
          <w:p w14:paraId="1C7FA88F" w14:textId="77777777" w:rsidR="00797994" w:rsidRPr="005F4A48" w:rsidRDefault="00797994" w:rsidP="004459B5">
            <w:pPr>
              <w:spacing w:line="240" w:lineRule="auto"/>
              <w:jc w:val="center"/>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Elderly adults</w:t>
            </w:r>
          </w:p>
        </w:tc>
        <w:tc>
          <w:tcPr>
            <w:tcW w:w="1920" w:type="dxa"/>
            <w:gridSpan w:val="2"/>
            <w:tcBorders>
              <w:top w:val="nil"/>
              <w:left w:val="nil"/>
              <w:bottom w:val="single" w:sz="4" w:space="0" w:color="auto"/>
              <w:right w:val="nil"/>
            </w:tcBorders>
            <w:shd w:val="clear" w:color="000000" w:fill="FFFFFF"/>
            <w:noWrap/>
            <w:vAlign w:val="center"/>
            <w:hideMark/>
          </w:tcPr>
          <w:p w14:paraId="68722CCB" w14:textId="77777777" w:rsidR="00797994" w:rsidRPr="005F4A48" w:rsidRDefault="00797994" w:rsidP="004459B5">
            <w:pPr>
              <w:spacing w:line="240" w:lineRule="auto"/>
              <w:jc w:val="center"/>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Ratio elderly/young</w:t>
            </w:r>
          </w:p>
        </w:tc>
      </w:tr>
      <w:tr w:rsidR="00797994" w:rsidRPr="005F4A48" w14:paraId="58B0B89A" w14:textId="77777777" w:rsidTr="004459B5">
        <w:trPr>
          <w:trHeight w:val="276"/>
        </w:trPr>
        <w:tc>
          <w:tcPr>
            <w:tcW w:w="1300" w:type="dxa"/>
            <w:tcBorders>
              <w:top w:val="nil"/>
              <w:left w:val="nil"/>
              <w:bottom w:val="nil"/>
              <w:right w:val="single" w:sz="4" w:space="0" w:color="auto"/>
            </w:tcBorders>
            <w:shd w:val="clear" w:color="000000" w:fill="FFFFFF"/>
            <w:noWrap/>
            <w:vAlign w:val="center"/>
            <w:hideMark/>
          </w:tcPr>
          <w:p w14:paraId="0BC0298A"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03" w:type="dxa"/>
            <w:tcBorders>
              <w:top w:val="nil"/>
              <w:left w:val="nil"/>
              <w:bottom w:val="nil"/>
              <w:right w:val="nil"/>
            </w:tcBorders>
            <w:shd w:val="clear" w:color="000000" w:fill="FFFFFF"/>
            <w:noWrap/>
            <w:vAlign w:val="center"/>
            <w:hideMark/>
          </w:tcPr>
          <w:p w14:paraId="66064C00" w14:textId="77777777" w:rsidR="00797994" w:rsidRPr="005F4A48" w:rsidRDefault="00797994" w:rsidP="004459B5">
            <w:pPr>
              <w:spacing w:line="240" w:lineRule="auto"/>
              <w:jc w:val="center"/>
              <w:rPr>
                <w:rFonts w:eastAsia="Times New Roman" w:cs="Arial"/>
                <w:color w:val="000000"/>
                <w:sz w:val="16"/>
                <w:szCs w:val="16"/>
                <w:lang w:val="en-GB" w:eastAsia="de-DE"/>
              </w:rPr>
            </w:pPr>
            <w:r w:rsidRPr="005F4A48">
              <w:rPr>
                <w:rFonts w:eastAsia="Times New Roman" w:cs="Arial"/>
                <w:color w:val="000000"/>
                <w:sz w:val="16"/>
                <w:szCs w:val="16"/>
                <w:lang w:val="en-GB" w:eastAsia="de-DE"/>
              </w:rPr>
              <w:t>Observed</w:t>
            </w:r>
          </w:p>
        </w:tc>
        <w:tc>
          <w:tcPr>
            <w:tcW w:w="1517" w:type="dxa"/>
            <w:tcBorders>
              <w:top w:val="nil"/>
              <w:left w:val="nil"/>
              <w:bottom w:val="nil"/>
              <w:right w:val="single" w:sz="4" w:space="0" w:color="auto"/>
            </w:tcBorders>
            <w:shd w:val="clear" w:color="000000" w:fill="FFFFFF"/>
            <w:noWrap/>
            <w:vAlign w:val="center"/>
            <w:hideMark/>
          </w:tcPr>
          <w:p w14:paraId="1A9E9709" w14:textId="77777777" w:rsidR="00797994" w:rsidRPr="005F4A48" w:rsidRDefault="00797994" w:rsidP="004459B5">
            <w:pPr>
              <w:spacing w:line="240" w:lineRule="auto"/>
              <w:jc w:val="center"/>
              <w:rPr>
                <w:rFonts w:eastAsia="Times New Roman" w:cs="Arial"/>
                <w:color w:val="000000"/>
                <w:sz w:val="16"/>
                <w:szCs w:val="16"/>
                <w:lang w:val="en-GB" w:eastAsia="de-DE"/>
              </w:rPr>
            </w:pPr>
            <w:r w:rsidRPr="005F4A48">
              <w:rPr>
                <w:rFonts w:eastAsia="Times New Roman" w:cs="Arial"/>
                <w:color w:val="000000"/>
                <w:sz w:val="16"/>
                <w:szCs w:val="16"/>
                <w:lang w:val="en-GB" w:eastAsia="de-DE"/>
              </w:rPr>
              <w:t>Predicted</w:t>
            </w:r>
          </w:p>
        </w:tc>
        <w:tc>
          <w:tcPr>
            <w:tcW w:w="1460" w:type="dxa"/>
            <w:tcBorders>
              <w:top w:val="nil"/>
              <w:left w:val="nil"/>
              <w:bottom w:val="nil"/>
              <w:right w:val="nil"/>
            </w:tcBorders>
            <w:shd w:val="clear" w:color="000000" w:fill="FFFFFF"/>
            <w:noWrap/>
            <w:vAlign w:val="center"/>
            <w:hideMark/>
          </w:tcPr>
          <w:p w14:paraId="5114F17C" w14:textId="77777777" w:rsidR="00797994" w:rsidRPr="005F4A48" w:rsidRDefault="00797994" w:rsidP="004459B5">
            <w:pPr>
              <w:spacing w:line="240" w:lineRule="auto"/>
              <w:jc w:val="center"/>
              <w:rPr>
                <w:rFonts w:eastAsia="Times New Roman" w:cs="Arial"/>
                <w:color w:val="000000"/>
                <w:sz w:val="16"/>
                <w:szCs w:val="16"/>
                <w:lang w:val="en-GB" w:eastAsia="de-DE"/>
              </w:rPr>
            </w:pPr>
            <w:r w:rsidRPr="005F4A48">
              <w:rPr>
                <w:rFonts w:eastAsia="Times New Roman" w:cs="Arial"/>
                <w:color w:val="000000"/>
                <w:sz w:val="16"/>
                <w:szCs w:val="16"/>
                <w:lang w:val="en-GB" w:eastAsia="de-DE"/>
              </w:rPr>
              <w:t>Observed</w:t>
            </w:r>
          </w:p>
        </w:tc>
        <w:tc>
          <w:tcPr>
            <w:tcW w:w="1460" w:type="dxa"/>
            <w:tcBorders>
              <w:top w:val="nil"/>
              <w:left w:val="nil"/>
              <w:bottom w:val="nil"/>
              <w:right w:val="single" w:sz="4" w:space="0" w:color="auto"/>
            </w:tcBorders>
            <w:shd w:val="clear" w:color="000000" w:fill="FFFFFF"/>
            <w:noWrap/>
            <w:vAlign w:val="center"/>
            <w:hideMark/>
          </w:tcPr>
          <w:p w14:paraId="2B810B3F" w14:textId="77777777" w:rsidR="00797994" w:rsidRPr="005F4A48" w:rsidRDefault="00797994" w:rsidP="004459B5">
            <w:pPr>
              <w:spacing w:line="240" w:lineRule="auto"/>
              <w:jc w:val="center"/>
              <w:rPr>
                <w:rFonts w:eastAsia="Times New Roman" w:cs="Arial"/>
                <w:color w:val="000000"/>
                <w:sz w:val="16"/>
                <w:szCs w:val="16"/>
                <w:lang w:val="en-GB" w:eastAsia="de-DE"/>
              </w:rPr>
            </w:pPr>
            <w:r w:rsidRPr="005F4A48">
              <w:rPr>
                <w:rFonts w:eastAsia="Times New Roman" w:cs="Arial"/>
                <w:color w:val="000000"/>
                <w:sz w:val="16"/>
                <w:szCs w:val="16"/>
                <w:lang w:val="en-GB" w:eastAsia="de-DE"/>
              </w:rPr>
              <w:t>Predicted</w:t>
            </w:r>
          </w:p>
        </w:tc>
        <w:tc>
          <w:tcPr>
            <w:tcW w:w="972" w:type="dxa"/>
            <w:tcBorders>
              <w:top w:val="nil"/>
              <w:left w:val="nil"/>
              <w:bottom w:val="nil"/>
              <w:right w:val="nil"/>
            </w:tcBorders>
            <w:shd w:val="clear" w:color="000000" w:fill="FFFFFF"/>
            <w:noWrap/>
            <w:vAlign w:val="center"/>
            <w:hideMark/>
          </w:tcPr>
          <w:p w14:paraId="10994AA1" w14:textId="77777777" w:rsidR="00797994" w:rsidRPr="005F4A48" w:rsidRDefault="00797994" w:rsidP="004459B5">
            <w:pPr>
              <w:spacing w:line="240" w:lineRule="auto"/>
              <w:jc w:val="center"/>
              <w:rPr>
                <w:rFonts w:eastAsia="Times New Roman" w:cs="Arial"/>
                <w:color w:val="000000"/>
                <w:sz w:val="16"/>
                <w:szCs w:val="16"/>
                <w:lang w:val="en-GB" w:eastAsia="de-DE"/>
              </w:rPr>
            </w:pPr>
            <w:r w:rsidRPr="005F4A48">
              <w:rPr>
                <w:rFonts w:eastAsia="Times New Roman" w:cs="Arial"/>
                <w:color w:val="000000"/>
                <w:sz w:val="16"/>
                <w:szCs w:val="16"/>
                <w:lang w:val="en-GB" w:eastAsia="de-DE"/>
              </w:rPr>
              <w:t>Observed</w:t>
            </w:r>
          </w:p>
        </w:tc>
        <w:tc>
          <w:tcPr>
            <w:tcW w:w="948" w:type="dxa"/>
            <w:tcBorders>
              <w:top w:val="nil"/>
              <w:left w:val="nil"/>
              <w:bottom w:val="nil"/>
              <w:right w:val="nil"/>
            </w:tcBorders>
            <w:shd w:val="clear" w:color="000000" w:fill="FFFFFF"/>
            <w:noWrap/>
            <w:vAlign w:val="center"/>
            <w:hideMark/>
          </w:tcPr>
          <w:p w14:paraId="63D0B4B0" w14:textId="77777777" w:rsidR="00797994" w:rsidRPr="005F4A48" w:rsidRDefault="00797994" w:rsidP="004459B5">
            <w:pPr>
              <w:spacing w:line="240" w:lineRule="auto"/>
              <w:jc w:val="center"/>
              <w:rPr>
                <w:rFonts w:eastAsia="Times New Roman" w:cs="Arial"/>
                <w:color w:val="000000"/>
                <w:sz w:val="16"/>
                <w:szCs w:val="16"/>
                <w:lang w:val="en-GB" w:eastAsia="de-DE"/>
              </w:rPr>
            </w:pPr>
            <w:r w:rsidRPr="005F4A48">
              <w:rPr>
                <w:rFonts w:eastAsia="Times New Roman" w:cs="Arial"/>
                <w:color w:val="000000"/>
                <w:sz w:val="16"/>
                <w:szCs w:val="16"/>
                <w:lang w:val="en-GB" w:eastAsia="de-DE"/>
              </w:rPr>
              <w:t>Predicted</w:t>
            </w:r>
          </w:p>
        </w:tc>
      </w:tr>
      <w:tr w:rsidR="00797994" w:rsidRPr="005F4A48" w14:paraId="3F564233" w14:textId="77777777" w:rsidTr="004459B5">
        <w:trPr>
          <w:trHeight w:val="264"/>
        </w:trPr>
        <w:tc>
          <w:tcPr>
            <w:tcW w:w="1300" w:type="dxa"/>
            <w:tcBorders>
              <w:top w:val="single" w:sz="8" w:space="0" w:color="auto"/>
              <w:left w:val="nil"/>
              <w:bottom w:val="nil"/>
              <w:right w:val="single" w:sz="4" w:space="0" w:color="auto"/>
            </w:tcBorders>
            <w:shd w:val="clear" w:color="000000" w:fill="D9D9D9"/>
            <w:noWrap/>
            <w:vAlign w:val="center"/>
            <w:hideMark/>
          </w:tcPr>
          <w:p w14:paraId="0EA6BEAB" w14:textId="77777777" w:rsidR="00797994" w:rsidRPr="005F4A48" w:rsidRDefault="00797994" w:rsidP="004459B5">
            <w:pPr>
              <w:spacing w:line="240" w:lineRule="auto"/>
              <w:jc w:val="left"/>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Midazolam</w:t>
            </w:r>
          </w:p>
        </w:tc>
        <w:tc>
          <w:tcPr>
            <w:tcW w:w="1403" w:type="dxa"/>
            <w:tcBorders>
              <w:top w:val="single" w:sz="8" w:space="0" w:color="auto"/>
              <w:left w:val="nil"/>
              <w:bottom w:val="nil"/>
              <w:right w:val="nil"/>
            </w:tcBorders>
            <w:shd w:val="clear" w:color="000000" w:fill="D9D9D9"/>
            <w:noWrap/>
            <w:vAlign w:val="center"/>
            <w:hideMark/>
          </w:tcPr>
          <w:p w14:paraId="2DED6DF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517" w:type="dxa"/>
            <w:tcBorders>
              <w:top w:val="single" w:sz="8" w:space="0" w:color="auto"/>
              <w:left w:val="nil"/>
              <w:bottom w:val="nil"/>
              <w:right w:val="single" w:sz="4" w:space="0" w:color="auto"/>
            </w:tcBorders>
            <w:shd w:val="clear" w:color="000000" w:fill="D9D9D9"/>
            <w:noWrap/>
            <w:vAlign w:val="center"/>
            <w:hideMark/>
          </w:tcPr>
          <w:p w14:paraId="08A0F11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single" w:sz="8" w:space="0" w:color="auto"/>
              <w:left w:val="nil"/>
              <w:bottom w:val="nil"/>
              <w:right w:val="nil"/>
            </w:tcBorders>
            <w:shd w:val="clear" w:color="000000" w:fill="D9D9D9"/>
            <w:noWrap/>
            <w:vAlign w:val="center"/>
            <w:hideMark/>
          </w:tcPr>
          <w:p w14:paraId="214D5D4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single" w:sz="8" w:space="0" w:color="auto"/>
              <w:left w:val="nil"/>
              <w:bottom w:val="nil"/>
              <w:right w:val="single" w:sz="4" w:space="0" w:color="auto"/>
            </w:tcBorders>
            <w:shd w:val="clear" w:color="000000" w:fill="D9D9D9"/>
            <w:noWrap/>
            <w:vAlign w:val="center"/>
            <w:hideMark/>
          </w:tcPr>
          <w:p w14:paraId="2FFFBAB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72" w:type="dxa"/>
            <w:tcBorders>
              <w:top w:val="single" w:sz="8" w:space="0" w:color="auto"/>
              <w:left w:val="nil"/>
              <w:bottom w:val="nil"/>
              <w:right w:val="nil"/>
            </w:tcBorders>
            <w:shd w:val="clear" w:color="000000" w:fill="D9D9D9"/>
            <w:noWrap/>
            <w:vAlign w:val="center"/>
            <w:hideMark/>
          </w:tcPr>
          <w:p w14:paraId="00ABD7F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48" w:type="dxa"/>
            <w:tcBorders>
              <w:top w:val="single" w:sz="8" w:space="0" w:color="auto"/>
              <w:left w:val="nil"/>
              <w:bottom w:val="nil"/>
              <w:right w:val="nil"/>
            </w:tcBorders>
            <w:shd w:val="clear" w:color="000000" w:fill="D9D9D9"/>
            <w:noWrap/>
            <w:vAlign w:val="center"/>
            <w:hideMark/>
          </w:tcPr>
          <w:p w14:paraId="5B895A33"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r>
      <w:tr w:rsidR="00797994" w:rsidRPr="005F4A48" w14:paraId="31787CA9"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6B368481"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C</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[ng/mL]</w:t>
            </w:r>
          </w:p>
        </w:tc>
        <w:tc>
          <w:tcPr>
            <w:tcW w:w="1403" w:type="dxa"/>
            <w:tcBorders>
              <w:top w:val="nil"/>
              <w:left w:val="nil"/>
              <w:bottom w:val="nil"/>
              <w:right w:val="nil"/>
            </w:tcBorders>
            <w:shd w:val="clear" w:color="000000" w:fill="FFFFFF"/>
            <w:noWrap/>
            <w:vAlign w:val="center"/>
            <w:hideMark/>
          </w:tcPr>
          <w:p w14:paraId="25862AD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16.2 ± 7.7</w:t>
            </w:r>
          </w:p>
        </w:tc>
        <w:tc>
          <w:tcPr>
            <w:tcW w:w="1517" w:type="dxa"/>
            <w:tcBorders>
              <w:top w:val="nil"/>
              <w:left w:val="nil"/>
              <w:bottom w:val="nil"/>
              <w:right w:val="single" w:sz="4" w:space="0" w:color="auto"/>
            </w:tcBorders>
            <w:shd w:val="clear" w:color="000000" w:fill="FFFFFF"/>
            <w:noWrap/>
            <w:vAlign w:val="center"/>
            <w:hideMark/>
          </w:tcPr>
          <w:p w14:paraId="272776F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15.9 ± 6.4</w:t>
            </w:r>
          </w:p>
        </w:tc>
        <w:tc>
          <w:tcPr>
            <w:tcW w:w="1460" w:type="dxa"/>
            <w:tcBorders>
              <w:top w:val="nil"/>
              <w:left w:val="nil"/>
              <w:bottom w:val="nil"/>
              <w:right w:val="nil"/>
            </w:tcBorders>
            <w:shd w:val="clear" w:color="000000" w:fill="FFFFFF"/>
            <w:noWrap/>
            <w:vAlign w:val="center"/>
            <w:hideMark/>
          </w:tcPr>
          <w:p w14:paraId="300BC64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15.3 ± 7.3</w:t>
            </w:r>
          </w:p>
        </w:tc>
        <w:tc>
          <w:tcPr>
            <w:tcW w:w="1460" w:type="dxa"/>
            <w:tcBorders>
              <w:top w:val="nil"/>
              <w:left w:val="nil"/>
              <w:bottom w:val="nil"/>
              <w:right w:val="single" w:sz="4" w:space="0" w:color="auto"/>
            </w:tcBorders>
            <w:shd w:val="clear" w:color="000000" w:fill="FFFFFF"/>
            <w:noWrap/>
            <w:vAlign w:val="center"/>
            <w:hideMark/>
          </w:tcPr>
          <w:p w14:paraId="4EC2AF3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14.8 ± 6.3</w:t>
            </w:r>
          </w:p>
        </w:tc>
        <w:tc>
          <w:tcPr>
            <w:tcW w:w="972" w:type="dxa"/>
            <w:tcBorders>
              <w:top w:val="nil"/>
              <w:left w:val="nil"/>
              <w:bottom w:val="nil"/>
              <w:right w:val="nil"/>
            </w:tcBorders>
            <w:shd w:val="clear" w:color="000000" w:fill="FFFFFF"/>
            <w:noWrap/>
            <w:vAlign w:val="center"/>
            <w:hideMark/>
          </w:tcPr>
          <w:p w14:paraId="1DC8C2E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0.94</w:t>
            </w:r>
          </w:p>
        </w:tc>
        <w:tc>
          <w:tcPr>
            <w:tcW w:w="948" w:type="dxa"/>
            <w:tcBorders>
              <w:top w:val="nil"/>
              <w:left w:val="nil"/>
              <w:bottom w:val="nil"/>
              <w:right w:val="nil"/>
            </w:tcBorders>
            <w:shd w:val="clear" w:color="000000" w:fill="FFFFFF"/>
            <w:noWrap/>
            <w:vAlign w:val="center"/>
            <w:hideMark/>
          </w:tcPr>
          <w:p w14:paraId="39E8C273"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0.93</w:t>
            </w:r>
          </w:p>
        </w:tc>
      </w:tr>
      <w:tr w:rsidR="00797994" w:rsidRPr="005F4A48" w14:paraId="77713E8D"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765332C9"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[h]</w:t>
            </w:r>
          </w:p>
        </w:tc>
        <w:tc>
          <w:tcPr>
            <w:tcW w:w="1403" w:type="dxa"/>
            <w:tcBorders>
              <w:top w:val="nil"/>
              <w:left w:val="nil"/>
              <w:bottom w:val="nil"/>
              <w:right w:val="nil"/>
            </w:tcBorders>
            <w:shd w:val="clear" w:color="000000" w:fill="FFFFFF"/>
            <w:noWrap/>
            <w:vAlign w:val="center"/>
            <w:hideMark/>
          </w:tcPr>
          <w:p w14:paraId="70D04F9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0.7 ± 0.2</w:t>
            </w:r>
          </w:p>
        </w:tc>
        <w:tc>
          <w:tcPr>
            <w:tcW w:w="1517" w:type="dxa"/>
            <w:tcBorders>
              <w:top w:val="nil"/>
              <w:left w:val="nil"/>
              <w:bottom w:val="nil"/>
              <w:right w:val="single" w:sz="4" w:space="0" w:color="auto"/>
            </w:tcBorders>
            <w:shd w:val="clear" w:color="000000" w:fill="FFFFFF"/>
            <w:noWrap/>
            <w:vAlign w:val="center"/>
            <w:hideMark/>
          </w:tcPr>
          <w:p w14:paraId="028A366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0.5 ± 0.1</w:t>
            </w:r>
          </w:p>
        </w:tc>
        <w:tc>
          <w:tcPr>
            <w:tcW w:w="1460" w:type="dxa"/>
            <w:tcBorders>
              <w:top w:val="nil"/>
              <w:left w:val="nil"/>
              <w:bottom w:val="nil"/>
              <w:right w:val="nil"/>
            </w:tcBorders>
            <w:shd w:val="clear" w:color="000000" w:fill="FFFFFF"/>
            <w:noWrap/>
            <w:vAlign w:val="center"/>
            <w:hideMark/>
          </w:tcPr>
          <w:p w14:paraId="0B55486A"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0.8 ± 0.6</w:t>
            </w:r>
          </w:p>
        </w:tc>
        <w:tc>
          <w:tcPr>
            <w:tcW w:w="1460" w:type="dxa"/>
            <w:tcBorders>
              <w:top w:val="nil"/>
              <w:left w:val="nil"/>
              <w:bottom w:val="nil"/>
              <w:right w:val="single" w:sz="4" w:space="0" w:color="auto"/>
            </w:tcBorders>
            <w:shd w:val="clear" w:color="000000" w:fill="FFFFFF"/>
            <w:noWrap/>
            <w:vAlign w:val="center"/>
            <w:hideMark/>
          </w:tcPr>
          <w:p w14:paraId="61C7B2D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0.5 ± 0.2</w:t>
            </w:r>
          </w:p>
        </w:tc>
        <w:tc>
          <w:tcPr>
            <w:tcW w:w="972" w:type="dxa"/>
            <w:tcBorders>
              <w:top w:val="nil"/>
              <w:left w:val="nil"/>
              <w:bottom w:val="nil"/>
              <w:right w:val="nil"/>
            </w:tcBorders>
            <w:shd w:val="clear" w:color="000000" w:fill="FFFFFF"/>
            <w:noWrap/>
            <w:vAlign w:val="center"/>
            <w:hideMark/>
          </w:tcPr>
          <w:p w14:paraId="4524087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1.10</w:t>
            </w:r>
          </w:p>
        </w:tc>
        <w:tc>
          <w:tcPr>
            <w:tcW w:w="948" w:type="dxa"/>
            <w:tcBorders>
              <w:top w:val="nil"/>
              <w:left w:val="nil"/>
              <w:bottom w:val="nil"/>
              <w:right w:val="nil"/>
            </w:tcBorders>
            <w:shd w:val="clear" w:color="000000" w:fill="FFFFFF"/>
            <w:noWrap/>
            <w:vAlign w:val="center"/>
            <w:hideMark/>
          </w:tcPr>
          <w:p w14:paraId="12663E5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0.96</w:t>
            </w:r>
          </w:p>
        </w:tc>
      </w:tr>
      <w:tr w:rsidR="00797994" w:rsidRPr="005F4A48" w14:paraId="68282D9B"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4E79AFF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AUC [ng*h/mL]</w:t>
            </w:r>
          </w:p>
        </w:tc>
        <w:tc>
          <w:tcPr>
            <w:tcW w:w="1403" w:type="dxa"/>
            <w:tcBorders>
              <w:top w:val="nil"/>
              <w:left w:val="nil"/>
              <w:bottom w:val="nil"/>
              <w:right w:val="nil"/>
            </w:tcBorders>
            <w:shd w:val="clear" w:color="000000" w:fill="FFFFFF"/>
            <w:noWrap/>
            <w:vAlign w:val="center"/>
            <w:hideMark/>
          </w:tcPr>
          <w:p w14:paraId="2D60839A"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44.1 ± 23.2</w:t>
            </w:r>
          </w:p>
        </w:tc>
        <w:tc>
          <w:tcPr>
            <w:tcW w:w="1517" w:type="dxa"/>
            <w:tcBorders>
              <w:top w:val="nil"/>
              <w:left w:val="nil"/>
              <w:bottom w:val="nil"/>
              <w:right w:val="single" w:sz="4" w:space="0" w:color="auto"/>
            </w:tcBorders>
            <w:shd w:val="clear" w:color="000000" w:fill="FFFFFF"/>
            <w:noWrap/>
            <w:vAlign w:val="center"/>
            <w:hideMark/>
          </w:tcPr>
          <w:p w14:paraId="6AA581D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50.9 ± 19.1</w:t>
            </w:r>
          </w:p>
        </w:tc>
        <w:tc>
          <w:tcPr>
            <w:tcW w:w="1460" w:type="dxa"/>
            <w:tcBorders>
              <w:top w:val="nil"/>
              <w:left w:val="nil"/>
              <w:bottom w:val="nil"/>
              <w:right w:val="nil"/>
            </w:tcBorders>
            <w:shd w:val="clear" w:color="000000" w:fill="FFFFFF"/>
            <w:noWrap/>
            <w:vAlign w:val="center"/>
            <w:hideMark/>
          </w:tcPr>
          <w:p w14:paraId="6A73C9B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42.9 ± 17.2</w:t>
            </w:r>
          </w:p>
        </w:tc>
        <w:tc>
          <w:tcPr>
            <w:tcW w:w="1460" w:type="dxa"/>
            <w:tcBorders>
              <w:top w:val="nil"/>
              <w:left w:val="nil"/>
              <w:bottom w:val="nil"/>
              <w:right w:val="single" w:sz="4" w:space="0" w:color="auto"/>
            </w:tcBorders>
            <w:shd w:val="clear" w:color="000000" w:fill="FFFFFF"/>
            <w:noWrap/>
            <w:vAlign w:val="center"/>
            <w:hideMark/>
          </w:tcPr>
          <w:p w14:paraId="770F11F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54.8 ± 22.5</w:t>
            </w:r>
          </w:p>
        </w:tc>
        <w:tc>
          <w:tcPr>
            <w:tcW w:w="972" w:type="dxa"/>
            <w:tcBorders>
              <w:top w:val="nil"/>
              <w:left w:val="nil"/>
              <w:bottom w:val="nil"/>
              <w:right w:val="nil"/>
            </w:tcBorders>
            <w:shd w:val="clear" w:color="000000" w:fill="FFFFFF"/>
            <w:noWrap/>
            <w:vAlign w:val="center"/>
            <w:hideMark/>
          </w:tcPr>
          <w:p w14:paraId="1830A39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0.97</w:t>
            </w:r>
          </w:p>
        </w:tc>
        <w:tc>
          <w:tcPr>
            <w:tcW w:w="948" w:type="dxa"/>
            <w:tcBorders>
              <w:top w:val="nil"/>
              <w:left w:val="nil"/>
              <w:bottom w:val="nil"/>
              <w:right w:val="nil"/>
            </w:tcBorders>
            <w:shd w:val="clear" w:color="000000" w:fill="FFFFFF"/>
            <w:noWrap/>
            <w:vAlign w:val="center"/>
            <w:hideMark/>
          </w:tcPr>
          <w:p w14:paraId="1D01C67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1.08</w:t>
            </w:r>
          </w:p>
        </w:tc>
      </w:tr>
      <w:tr w:rsidR="00797994" w:rsidRPr="005F4A48" w14:paraId="38BD4CC2" w14:textId="77777777" w:rsidTr="004459B5">
        <w:trPr>
          <w:trHeight w:val="264"/>
        </w:trPr>
        <w:tc>
          <w:tcPr>
            <w:tcW w:w="1300" w:type="dxa"/>
            <w:tcBorders>
              <w:top w:val="nil"/>
              <w:left w:val="nil"/>
              <w:bottom w:val="single" w:sz="4" w:space="0" w:color="auto"/>
              <w:right w:val="single" w:sz="4" w:space="0" w:color="auto"/>
            </w:tcBorders>
            <w:shd w:val="clear" w:color="000000" w:fill="FFFFFF"/>
            <w:noWrap/>
            <w:vAlign w:val="center"/>
            <w:hideMark/>
          </w:tcPr>
          <w:p w14:paraId="686A73B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1/2</w:t>
            </w:r>
            <w:r w:rsidRPr="005F4A48">
              <w:rPr>
                <w:rFonts w:eastAsia="Times New Roman" w:cs="Arial"/>
                <w:color w:val="000000"/>
                <w:sz w:val="16"/>
                <w:szCs w:val="16"/>
                <w:lang w:val="en-GB" w:eastAsia="de-DE"/>
              </w:rPr>
              <w:t xml:space="preserve"> [h]</w:t>
            </w:r>
          </w:p>
        </w:tc>
        <w:tc>
          <w:tcPr>
            <w:tcW w:w="1403" w:type="dxa"/>
            <w:tcBorders>
              <w:top w:val="nil"/>
              <w:left w:val="nil"/>
              <w:bottom w:val="single" w:sz="4" w:space="0" w:color="auto"/>
              <w:right w:val="nil"/>
            </w:tcBorders>
            <w:shd w:val="clear" w:color="000000" w:fill="FFFFFF"/>
            <w:noWrap/>
            <w:vAlign w:val="center"/>
            <w:hideMark/>
          </w:tcPr>
          <w:p w14:paraId="56E7111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3.4 ± 1.6</w:t>
            </w:r>
          </w:p>
        </w:tc>
        <w:tc>
          <w:tcPr>
            <w:tcW w:w="1517" w:type="dxa"/>
            <w:tcBorders>
              <w:top w:val="nil"/>
              <w:left w:val="nil"/>
              <w:bottom w:val="single" w:sz="4" w:space="0" w:color="auto"/>
              <w:right w:val="single" w:sz="4" w:space="0" w:color="auto"/>
            </w:tcBorders>
            <w:shd w:val="clear" w:color="000000" w:fill="FFFFFF"/>
            <w:noWrap/>
            <w:vAlign w:val="center"/>
            <w:hideMark/>
          </w:tcPr>
          <w:p w14:paraId="7987B41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4.4 ± 1.4</w:t>
            </w:r>
          </w:p>
        </w:tc>
        <w:tc>
          <w:tcPr>
            <w:tcW w:w="1460" w:type="dxa"/>
            <w:tcBorders>
              <w:top w:val="nil"/>
              <w:left w:val="nil"/>
              <w:bottom w:val="single" w:sz="4" w:space="0" w:color="auto"/>
              <w:right w:val="nil"/>
            </w:tcBorders>
            <w:shd w:val="clear" w:color="000000" w:fill="FFFFFF"/>
            <w:noWrap/>
            <w:vAlign w:val="center"/>
            <w:hideMark/>
          </w:tcPr>
          <w:p w14:paraId="66149F2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3.2 ± 2.2</w:t>
            </w:r>
          </w:p>
        </w:tc>
        <w:tc>
          <w:tcPr>
            <w:tcW w:w="1460" w:type="dxa"/>
            <w:tcBorders>
              <w:top w:val="nil"/>
              <w:left w:val="nil"/>
              <w:bottom w:val="single" w:sz="4" w:space="0" w:color="auto"/>
              <w:right w:val="single" w:sz="4" w:space="0" w:color="auto"/>
            </w:tcBorders>
            <w:shd w:val="clear" w:color="000000" w:fill="FFFFFF"/>
            <w:noWrap/>
            <w:vAlign w:val="center"/>
            <w:hideMark/>
          </w:tcPr>
          <w:p w14:paraId="402BBD3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6.1 ± 2.0</w:t>
            </w:r>
          </w:p>
        </w:tc>
        <w:tc>
          <w:tcPr>
            <w:tcW w:w="972" w:type="dxa"/>
            <w:tcBorders>
              <w:top w:val="nil"/>
              <w:left w:val="nil"/>
              <w:bottom w:val="single" w:sz="4" w:space="0" w:color="auto"/>
              <w:right w:val="nil"/>
            </w:tcBorders>
            <w:shd w:val="clear" w:color="000000" w:fill="FFFFFF"/>
            <w:noWrap/>
            <w:vAlign w:val="center"/>
            <w:hideMark/>
          </w:tcPr>
          <w:p w14:paraId="6905E8F3"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0.94</w:t>
            </w:r>
          </w:p>
        </w:tc>
        <w:tc>
          <w:tcPr>
            <w:tcW w:w="948" w:type="dxa"/>
            <w:tcBorders>
              <w:top w:val="nil"/>
              <w:left w:val="nil"/>
              <w:bottom w:val="single" w:sz="4" w:space="0" w:color="auto"/>
              <w:right w:val="nil"/>
            </w:tcBorders>
            <w:shd w:val="clear" w:color="000000" w:fill="FFFFFF"/>
            <w:noWrap/>
            <w:vAlign w:val="center"/>
            <w:hideMark/>
          </w:tcPr>
          <w:p w14:paraId="22C69E8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1.37</w:t>
            </w:r>
          </w:p>
        </w:tc>
      </w:tr>
      <w:tr w:rsidR="00797994" w:rsidRPr="005F4A48" w14:paraId="4B430C5A" w14:textId="77777777" w:rsidTr="004459B5">
        <w:trPr>
          <w:trHeight w:val="264"/>
        </w:trPr>
        <w:tc>
          <w:tcPr>
            <w:tcW w:w="1300" w:type="dxa"/>
            <w:tcBorders>
              <w:top w:val="nil"/>
              <w:left w:val="nil"/>
              <w:bottom w:val="nil"/>
              <w:right w:val="single" w:sz="4" w:space="0" w:color="auto"/>
            </w:tcBorders>
            <w:shd w:val="clear" w:color="000000" w:fill="D9D9D9"/>
            <w:noWrap/>
            <w:vAlign w:val="center"/>
            <w:hideMark/>
          </w:tcPr>
          <w:p w14:paraId="51367788" w14:textId="77777777" w:rsidR="00797994" w:rsidRPr="005F4A48" w:rsidRDefault="00797994" w:rsidP="004459B5">
            <w:pPr>
              <w:spacing w:line="240" w:lineRule="auto"/>
              <w:jc w:val="left"/>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Metoprolol</w:t>
            </w:r>
          </w:p>
        </w:tc>
        <w:tc>
          <w:tcPr>
            <w:tcW w:w="1403" w:type="dxa"/>
            <w:tcBorders>
              <w:top w:val="nil"/>
              <w:left w:val="nil"/>
              <w:bottom w:val="nil"/>
              <w:right w:val="nil"/>
            </w:tcBorders>
            <w:shd w:val="clear" w:color="000000" w:fill="D9D9D9"/>
            <w:noWrap/>
            <w:vAlign w:val="center"/>
            <w:hideMark/>
          </w:tcPr>
          <w:p w14:paraId="31947A1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517" w:type="dxa"/>
            <w:tcBorders>
              <w:top w:val="nil"/>
              <w:left w:val="nil"/>
              <w:bottom w:val="nil"/>
              <w:right w:val="single" w:sz="4" w:space="0" w:color="auto"/>
            </w:tcBorders>
            <w:shd w:val="clear" w:color="000000" w:fill="D9D9D9"/>
            <w:noWrap/>
            <w:vAlign w:val="center"/>
            <w:hideMark/>
          </w:tcPr>
          <w:p w14:paraId="281BB9F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nil"/>
            </w:tcBorders>
            <w:shd w:val="clear" w:color="000000" w:fill="D9D9D9"/>
            <w:noWrap/>
            <w:vAlign w:val="center"/>
            <w:hideMark/>
          </w:tcPr>
          <w:p w14:paraId="4AB9FFC3"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single" w:sz="4" w:space="0" w:color="auto"/>
            </w:tcBorders>
            <w:shd w:val="clear" w:color="000000" w:fill="D9D9D9"/>
            <w:noWrap/>
            <w:vAlign w:val="center"/>
            <w:hideMark/>
          </w:tcPr>
          <w:p w14:paraId="5C95BD2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72" w:type="dxa"/>
            <w:tcBorders>
              <w:top w:val="nil"/>
              <w:left w:val="nil"/>
              <w:bottom w:val="nil"/>
              <w:right w:val="nil"/>
            </w:tcBorders>
            <w:shd w:val="clear" w:color="000000" w:fill="D9D9D9"/>
            <w:noWrap/>
            <w:vAlign w:val="center"/>
            <w:hideMark/>
          </w:tcPr>
          <w:p w14:paraId="778718F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48" w:type="dxa"/>
            <w:tcBorders>
              <w:top w:val="nil"/>
              <w:left w:val="nil"/>
              <w:bottom w:val="nil"/>
              <w:right w:val="nil"/>
            </w:tcBorders>
            <w:shd w:val="clear" w:color="000000" w:fill="D9D9D9"/>
            <w:noWrap/>
            <w:vAlign w:val="center"/>
            <w:hideMark/>
          </w:tcPr>
          <w:p w14:paraId="14D5058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r>
      <w:tr w:rsidR="00797994" w:rsidRPr="005F4A48" w14:paraId="2B71303B"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663DA485"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C</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[ng/mL]</w:t>
            </w:r>
          </w:p>
        </w:tc>
        <w:tc>
          <w:tcPr>
            <w:tcW w:w="1403" w:type="dxa"/>
            <w:tcBorders>
              <w:top w:val="nil"/>
              <w:left w:val="nil"/>
              <w:bottom w:val="nil"/>
              <w:right w:val="nil"/>
            </w:tcBorders>
            <w:shd w:val="clear" w:color="000000" w:fill="FFFFFF"/>
            <w:noWrap/>
            <w:vAlign w:val="center"/>
            <w:hideMark/>
          </w:tcPr>
          <w:p w14:paraId="65DD7BA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115 ± 24</w:t>
            </w:r>
          </w:p>
        </w:tc>
        <w:tc>
          <w:tcPr>
            <w:tcW w:w="1517" w:type="dxa"/>
            <w:tcBorders>
              <w:top w:val="nil"/>
              <w:left w:val="nil"/>
              <w:bottom w:val="nil"/>
              <w:right w:val="single" w:sz="4" w:space="0" w:color="auto"/>
            </w:tcBorders>
            <w:shd w:val="clear" w:color="000000" w:fill="FFFFFF"/>
            <w:noWrap/>
            <w:vAlign w:val="center"/>
            <w:hideMark/>
          </w:tcPr>
          <w:p w14:paraId="7CDC85E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124 ± 69</w:t>
            </w:r>
          </w:p>
        </w:tc>
        <w:tc>
          <w:tcPr>
            <w:tcW w:w="1460" w:type="dxa"/>
            <w:tcBorders>
              <w:top w:val="nil"/>
              <w:left w:val="nil"/>
              <w:bottom w:val="nil"/>
              <w:right w:val="nil"/>
            </w:tcBorders>
            <w:shd w:val="clear" w:color="000000" w:fill="FFFFFF"/>
            <w:noWrap/>
            <w:vAlign w:val="center"/>
            <w:hideMark/>
          </w:tcPr>
          <w:p w14:paraId="33092A5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106 ± 24</w:t>
            </w:r>
          </w:p>
        </w:tc>
        <w:tc>
          <w:tcPr>
            <w:tcW w:w="1460" w:type="dxa"/>
            <w:tcBorders>
              <w:top w:val="nil"/>
              <w:left w:val="nil"/>
              <w:bottom w:val="nil"/>
              <w:right w:val="single" w:sz="4" w:space="0" w:color="auto"/>
            </w:tcBorders>
            <w:shd w:val="clear" w:color="000000" w:fill="FFFFFF"/>
            <w:noWrap/>
            <w:vAlign w:val="center"/>
            <w:hideMark/>
          </w:tcPr>
          <w:p w14:paraId="01AADD9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126 ± 79</w:t>
            </w:r>
          </w:p>
        </w:tc>
        <w:tc>
          <w:tcPr>
            <w:tcW w:w="972" w:type="dxa"/>
            <w:tcBorders>
              <w:top w:val="nil"/>
              <w:left w:val="nil"/>
              <w:bottom w:val="nil"/>
              <w:right w:val="nil"/>
            </w:tcBorders>
            <w:shd w:val="clear" w:color="000000" w:fill="FFFFFF"/>
            <w:noWrap/>
            <w:vAlign w:val="center"/>
            <w:hideMark/>
          </w:tcPr>
          <w:p w14:paraId="1304DA3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0.92</w:t>
            </w:r>
          </w:p>
        </w:tc>
        <w:tc>
          <w:tcPr>
            <w:tcW w:w="948" w:type="dxa"/>
            <w:tcBorders>
              <w:top w:val="nil"/>
              <w:left w:val="nil"/>
              <w:bottom w:val="nil"/>
              <w:right w:val="nil"/>
            </w:tcBorders>
            <w:shd w:val="clear" w:color="000000" w:fill="FFFFFF"/>
            <w:noWrap/>
            <w:vAlign w:val="center"/>
            <w:hideMark/>
          </w:tcPr>
          <w:p w14:paraId="3C33D4A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1.02</w:t>
            </w:r>
          </w:p>
        </w:tc>
      </w:tr>
      <w:tr w:rsidR="00797994" w:rsidRPr="005F4A48" w14:paraId="0F936CC2"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3054180F"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[h]</w:t>
            </w:r>
          </w:p>
        </w:tc>
        <w:tc>
          <w:tcPr>
            <w:tcW w:w="1403" w:type="dxa"/>
            <w:tcBorders>
              <w:top w:val="nil"/>
              <w:left w:val="nil"/>
              <w:bottom w:val="nil"/>
              <w:right w:val="nil"/>
            </w:tcBorders>
            <w:shd w:val="clear" w:color="000000" w:fill="FFFFFF"/>
            <w:noWrap/>
            <w:vAlign w:val="center"/>
            <w:hideMark/>
          </w:tcPr>
          <w:p w14:paraId="252BBC03"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2.4 ± 0.4</w:t>
            </w:r>
          </w:p>
        </w:tc>
        <w:tc>
          <w:tcPr>
            <w:tcW w:w="1517" w:type="dxa"/>
            <w:tcBorders>
              <w:top w:val="nil"/>
              <w:left w:val="nil"/>
              <w:bottom w:val="nil"/>
              <w:right w:val="single" w:sz="4" w:space="0" w:color="auto"/>
            </w:tcBorders>
            <w:shd w:val="clear" w:color="000000" w:fill="FFFFFF"/>
            <w:noWrap/>
            <w:vAlign w:val="center"/>
            <w:hideMark/>
          </w:tcPr>
          <w:p w14:paraId="19D87A4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2.3 ± 0.4</w:t>
            </w:r>
          </w:p>
        </w:tc>
        <w:tc>
          <w:tcPr>
            <w:tcW w:w="1460" w:type="dxa"/>
            <w:tcBorders>
              <w:top w:val="nil"/>
              <w:left w:val="nil"/>
              <w:bottom w:val="nil"/>
              <w:right w:val="nil"/>
            </w:tcBorders>
            <w:shd w:val="clear" w:color="000000" w:fill="FFFFFF"/>
            <w:noWrap/>
            <w:vAlign w:val="center"/>
            <w:hideMark/>
          </w:tcPr>
          <w:p w14:paraId="20D8090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 ± 0.1</w:t>
            </w:r>
          </w:p>
        </w:tc>
        <w:tc>
          <w:tcPr>
            <w:tcW w:w="1460" w:type="dxa"/>
            <w:tcBorders>
              <w:top w:val="nil"/>
              <w:left w:val="nil"/>
              <w:bottom w:val="nil"/>
              <w:right w:val="single" w:sz="4" w:space="0" w:color="auto"/>
            </w:tcBorders>
            <w:shd w:val="clear" w:color="000000" w:fill="FFFFFF"/>
            <w:noWrap/>
            <w:vAlign w:val="center"/>
            <w:hideMark/>
          </w:tcPr>
          <w:p w14:paraId="1ADF287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2.3 ± 0.4</w:t>
            </w:r>
          </w:p>
        </w:tc>
        <w:tc>
          <w:tcPr>
            <w:tcW w:w="972" w:type="dxa"/>
            <w:tcBorders>
              <w:top w:val="nil"/>
              <w:left w:val="nil"/>
              <w:bottom w:val="nil"/>
              <w:right w:val="nil"/>
            </w:tcBorders>
            <w:shd w:val="clear" w:color="000000" w:fill="FFFFFF"/>
            <w:noWrap/>
            <w:vAlign w:val="center"/>
            <w:hideMark/>
          </w:tcPr>
          <w:p w14:paraId="7E20055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0.50</w:t>
            </w:r>
          </w:p>
        </w:tc>
        <w:tc>
          <w:tcPr>
            <w:tcW w:w="948" w:type="dxa"/>
            <w:tcBorders>
              <w:top w:val="nil"/>
              <w:left w:val="nil"/>
              <w:bottom w:val="nil"/>
              <w:right w:val="nil"/>
            </w:tcBorders>
            <w:shd w:val="clear" w:color="000000" w:fill="FFFFFF"/>
            <w:noWrap/>
            <w:vAlign w:val="center"/>
            <w:hideMark/>
          </w:tcPr>
          <w:p w14:paraId="2D78D51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1.00</w:t>
            </w:r>
          </w:p>
        </w:tc>
      </w:tr>
      <w:tr w:rsidR="00797994" w:rsidRPr="005F4A48" w14:paraId="1CEA9A64"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25C0180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AUC [ng*h/mL]</w:t>
            </w:r>
          </w:p>
        </w:tc>
        <w:tc>
          <w:tcPr>
            <w:tcW w:w="1403" w:type="dxa"/>
            <w:tcBorders>
              <w:top w:val="nil"/>
              <w:left w:val="nil"/>
              <w:bottom w:val="nil"/>
              <w:right w:val="nil"/>
            </w:tcBorders>
            <w:shd w:val="clear" w:color="000000" w:fill="FFFFFF"/>
            <w:noWrap/>
            <w:vAlign w:val="center"/>
            <w:hideMark/>
          </w:tcPr>
          <w:p w14:paraId="5567B92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1,048 ± 196</w:t>
            </w:r>
          </w:p>
        </w:tc>
        <w:tc>
          <w:tcPr>
            <w:tcW w:w="1517" w:type="dxa"/>
            <w:tcBorders>
              <w:top w:val="nil"/>
              <w:left w:val="nil"/>
              <w:bottom w:val="nil"/>
              <w:right w:val="single" w:sz="4" w:space="0" w:color="auto"/>
            </w:tcBorders>
            <w:shd w:val="clear" w:color="000000" w:fill="FFFFFF"/>
            <w:noWrap/>
            <w:vAlign w:val="center"/>
            <w:hideMark/>
          </w:tcPr>
          <w:p w14:paraId="07373F3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878 ± 559</w:t>
            </w:r>
          </w:p>
        </w:tc>
        <w:tc>
          <w:tcPr>
            <w:tcW w:w="1460" w:type="dxa"/>
            <w:tcBorders>
              <w:top w:val="nil"/>
              <w:left w:val="nil"/>
              <w:bottom w:val="nil"/>
              <w:right w:val="nil"/>
            </w:tcBorders>
            <w:shd w:val="clear" w:color="000000" w:fill="FFFFFF"/>
            <w:noWrap/>
            <w:vAlign w:val="center"/>
            <w:hideMark/>
          </w:tcPr>
          <w:p w14:paraId="6D80512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1,021 ± 105</w:t>
            </w:r>
          </w:p>
        </w:tc>
        <w:tc>
          <w:tcPr>
            <w:tcW w:w="1460" w:type="dxa"/>
            <w:tcBorders>
              <w:top w:val="nil"/>
              <w:left w:val="nil"/>
              <w:bottom w:val="nil"/>
              <w:right w:val="single" w:sz="4" w:space="0" w:color="auto"/>
            </w:tcBorders>
            <w:shd w:val="clear" w:color="000000" w:fill="FFFFFF"/>
            <w:noWrap/>
            <w:vAlign w:val="center"/>
            <w:hideMark/>
          </w:tcPr>
          <w:p w14:paraId="6EB740C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910 ± 754</w:t>
            </w:r>
          </w:p>
        </w:tc>
        <w:tc>
          <w:tcPr>
            <w:tcW w:w="972" w:type="dxa"/>
            <w:tcBorders>
              <w:top w:val="nil"/>
              <w:left w:val="nil"/>
              <w:bottom w:val="nil"/>
              <w:right w:val="nil"/>
            </w:tcBorders>
            <w:shd w:val="clear" w:color="000000" w:fill="FFFFFF"/>
            <w:noWrap/>
            <w:vAlign w:val="center"/>
            <w:hideMark/>
          </w:tcPr>
          <w:p w14:paraId="073C0D73"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0.97</w:t>
            </w:r>
          </w:p>
        </w:tc>
        <w:tc>
          <w:tcPr>
            <w:tcW w:w="948" w:type="dxa"/>
            <w:tcBorders>
              <w:top w:val="nil"/>
              <w:left w:val="nil"/>
              <w:bottom w:val="nil"/>
              <w:right w:val="nil"/>
            </w:tcBorders>
            <w:shd w:val="clear" w:color="000000" w:fill="FFFFFF"/>
            <w:noWrap/>
            <w:vAlign w:val="center"/>
            <w:hideMark/>
          </w:tcPr>
          <w:p w14:paraId="25DCA67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1.04</w:t>
            </w:r>
          </w:p>
        </w:tc>
      </w:tr>
      <w:tr w:rsidR="00797994" w:rsidRPr="005F4A48" w14:paraId="3D4B8969" w14:textId="77777777" w:rsidTr="004459B5">
        <w:trPr>
          <w:trHeight w:val="264"/>
        </w:trPr>
        <w:tc>
          <w:tcPr>
            <w:tcW w:w="1300" w:type="dxa"/>
            <w:tcBorders>
              <w:top w:val="nil"/>
              <w:left w:val="nil"/>
              <w:bottom w:val="single" w:sz="4" w:space="0" w:color="auto"/>
              <w:right w:val="single" w:sz="4" w:space="0" w:color="auto"/>
            </w:tcBorders>
            <w:shd w:val="clear" w:color="000000" w:fill="FFFFFF"/>
            <w:noWrap/>
            <w:vAlign w:val="center"/>
            <w:hideMark/>
          </w:tcPr>
          <w:p w14:paraId="6F31B78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1/2</w:t>
            </w:r>
            <w:r w:rsidRPr="005F4A48">
              <w:rPr>
                <w:rFonts w:eastAsia="Times New Roman" w:cs="Arial"/>
                <w:color w:val="000000"/>
                <w:sz w:val="16"/>
                <w:szCs w:val="16"/>
                <w:lang w:val="en-GB" w:eastAsia="de-DE"/>
              </w:rPr>
              <w:t xml:space="preserve"> [h]</w:t>
            </w:r>
          </w:p>
        </w:tc>
        <w:tc>
          <w:tcPr>
            <w:tcW w:w="1403" w:type="dxa"/>
            <w:tcBorders>
              <w:top w:val="nil"/>
              <w:left w:val="nil"/>
              <w:bottom w:val="single" w:sz="4" w:space="0" w:color="auto"/>
              <w:right w:val="nil"/>
            </w:tcBorders>
            <w:shd w:val="clear" w:color="000000" w:fill="FFFFFF"/>
            <w:noWrap/>
            <w:vAlign w:val="center"/>
            <w:hideMark/>
          </w:tcPr>
          <w:p w14:paraId="615AC80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9.9 ± 0.3</w:t>
            </w:r>
          </w:p>
        </w:tc>
        <w:tc>
          <w:tcPr>
            <w:tcW w:w="1517" w:type="dxa"/>
            <w:tcBorders>
              <w:top w:val="nil"/>
              <w:left w:val="nil"/>
              <w:bottom w:val="single" w:sz="4" w:space="0" w:color="auto"/>
              <w:right w:val="single" w:sz="4" w:space="0" w:color="auto"/>
            </w:tcBorders>
            <w:shd w:val="clear" w:color="000000" w:fill="FFFFFF"/>
            <w:noWrap/>
            <w:vAlign w:val="center"/>
            <w:hideMark/>
          </w:tcPr>
          <w:p w14:paraId="72B7A1E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8.8 ± 2.9</w:t>
            </w:r>
          </w:p>
        </w:tc>
        <w:tc>
          <w:tcPr>
            <w:tcW w:w="1460" w:type="dxa"/>
            <w:tcBorders>
              <w:top w:val="nil"/>
              <w:left w:val="nil"/>
              <w:bottom w:val="single" w:sz="4" w:space="0" w:color="auto"/>
              <w:right w:val="nil"/>
            </w:tcBorders>
            <w:shd w:val="clear" w:color="000000" w:fill="FFFFFF"/>
            <w:noWrap/>
            <w:vAlign w:val="center"/>
            <w:hideMark/>
          </w:tcPr>
          <w:p w14:paraId="09CB2F6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9.6 ± 0.4</w:t>
            </w:r>
          </w:p>
        </w:tc>
        <w:tc>
          <w:tcPr>
            <w:tcW w:w="1460" w:type="dxa"/>
            <w:tcBorders>
              <w:top w:val="nil"/>
              <w:left w:val="nil"/>
              <w:bottom w:val="single" w:sz="4" w:space="0" w:color="auto"/>
              <w:right w:val="single" w:sz="4" w:space="0" w:color="auto"/>
            </w:tcBorders>
            <w:shd w:val="clear" w:color="000000" w:fill="FFFFFF"/>
            <w:noWrap/>
            <w:vAlign w:val="center"/>
            <w:hideMark/>
          </w:tcPr>
          <w:p w14:paraId="52E7430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8.3 ± 2.1</w:t>
            </w:r>
          </w:p>
        </w:tc>
        <w:tc>
          <w:tcPr>
            <w:tcW w:w="972" w:type="dxa"/>
            <w:tcBorders>
              <w:top w:val="nil"/>
              <w:left w:val="nil"/>
              <w:bottom w:val="single" w:sz="4" w:space="0" w:color="auto"/>
              <w:right w:val="nil"/>
            </w:tcBorders>
            <w:shd w:val="clear" w:color="000000" w:fill="FFFFFF"/>
            <w:noWrap/>
            <w:vAlign w:val="center"/>
            <w:hideMark/>
          </w:tcPr>
          <w:p w14:paraId="0D03935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0.97</w:t>
            </w:r>
          </w:p>
        </w:tc>
        <w:tc>
          <w:tcPr>
            <w:tcW w:w="948" w:type="dxa"/>
            <w:tcBorders>
              <w:top w:val="nil"/>
              <w:left w:val="nil"/>
              <w:bottom w:val="single" w:sz="4" w:space="0" w:color="auto"/>
              <w:right w:val="nil"/>
            </w:tcBorders>
            <w:shd w:val="clear" w:color="000000" w:fill="FFFFFF"/>
            <w:noWrap/>
            <w:vAlign w:val="center"/>
            <w:hideMark/>
          </w:tcPr>
          <w:p w14:paraId="5D37B5E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0.94</w:t>
            </w:r>
          </w:p>
        </w:tc>
      </w:tr>
      <w:tr w:rsidR="00797994" w:rsidRPr="005F4A48" w14:paraId="697B4813" w14:textId="77777777" w:rsidTr="004459B5">
        <w:trPr>
          <w:trHeight w:val="264"/>
        </w:trPr>
        <w:tc>
          <w:tcPr>
            <w:tcW w:w="1300" w:type="dxa"/>
            <w:tcBorders>
              <w:top w:val="nil"/>
              <w:left w:val="nil"/>
              <w:bottom w:val="nil"/>
              <w:right w:val="single" w:sz="4" w:space="0" w:color="auto"/>
            </w:tcBorders>
            <w:shd w:val="clear" w:color="000000" w:fill="D9D9D9"/>
            <w:noWrap/>
            <w:vAlign w:val="center"/>
            <w:hideMark/>
          </w:tcPr>
          <w:p w14:paraId="15E35717" w14:textId="77777777" w:rsidR="00797994" w:rsidRPr="005F4A48" w:rsidRDefault="00797994" w:rsidP="004459B5">
            <w:pPr>
              <w:spacing w:line="240" w:lineRule="auto"/>
              <w:jc w:val="left"/>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Lisinopril</w:t>
            </w:r>
          </w:p>
        </w:tc>
        <w:tc>
          <w:tcPr>
            <w:tcW w:w="1403" w:type="dxa"/>
            <w:tcBorders>
              <w:top w:val="nil"/>
              <w:left w:val="nil"/>
              <w:bottom w:val="nil"/>
              <w:right w:val="nil"/>
            </w:tcBorders>
            <w:shd w:val="clear" w:color="000000" w:fill="D9D9D9"/>
            <w:noWrap/>
            <w:vAlign w:val="center"/>
            <w:hideMark/>
          </w:tcPr>
          <w:p w14:paraId="4D90CDF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517" w:type="dxa"/>
            <w:tcBorders>
              <w:top w:val="nil"/>
              <w:left w:val="nil"/>
              <w:bottom w:val="nil"/>
              <w:right w:val="single" w:sz="4" w:space="0" w:color="auto"/>
            </w:tcBorders>
            <w:shd w:val="clear" w:color="000000" w:fill="D9D9D9"/>
            <w:noWrap/>
            <w:vAlign w:val="center"/>
            <w:hideMark/>
          </w:tcPr>
          <w:p w14:paraId="4739866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nil"/>
            </w:tcBorders>
            <w:shd w:val="clear" w:color="000000" w:fill="D9D9D9"/>
            <w:noWrap/>
            <w:vAlign w:val="center"/>
            <w:hideMark/>
          </w:tcPr>
          <w:p w14:paraId="04E697F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single" w:sz="4" w:space="0" w:color="auto"/>
            </w:tcBorders>
            <w:shd w:val="clear" w:color="000000" w:fill="D9D9D9"/>
            <w:noWrap/>
            <w:vAlign w:val="center"/>
            <w:hideMark/>
          </w:tcPr>
          <w:p w14:paraId="1D613B3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72" w:type="dxa"/>
            <w:tcBorders>
              <w:top w:val="nil"/>
              <w:left w:val="nil"/>
              <w:bottom w:val="nil"/>
              <w:right w:val="nil"/>
            </w:tcBorders>
            <w:shd w:val="clear" w:color="000000" w:fill="D9D9D9"/>
            <w:noWrap/>
            <w:vAlign w:val="center"/>
            <w:hideMark/>
          </w:tcPr>
          <w:p w14:paraId="362AA92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48" w:type="dxa"/>
            <w:tcBorders>
              <w:top w:val="nil"/>
              <w:left w:val="nil"/>
              <w:bottom w:val="nil"/>
              <w:right w:val="nil"/>
            </w:tcBorders>
            <w:shd w:val="clear" w:color="000000" w:fill="D9D9D9"/>
            <w:noWrap/>
            <w:vAlign w:val="center"/>
            <w:hideMark/>
          </w:tcPr>
          <w:p w14:paraId="1DA8A2D3" w14:textId="77777777" w:rsidR="00797994" w:rsidRPr="005F4A48" w:rsidRDefault="00797994" w:rsidP="004459B5">
            <w:pPr>
              <w:spacing w:line="240" w:lineRule="auto"/>
              <w:jc w:val="left"/>
              <w:rPr>
                <w:rFonts w:eastAsia="Times New Roman" w:cs="Arial"/>
                <w:color w:val="000000"/>
                <w:szCs w:val="20"/>
                <w:lang w:val="en-GB" w:eastAsia="de-DE"/>
              </w:rPr>
            </w:pPr>
            <w:r w:rsidRPr="005F4A48">
              <w:rPr>
                <w:rFonts w:eastAsia="Times New Roman" w:cs="Arial"/>
                <w:color w:val="000000"/>
                <w:szCs w:val="20"/>
                <w:lang w:val="en-GB" w:eastAsia="de-DE"/>
              </w:rPr>
              <w:t> </w:t>
            </w:r>
          </w:p>
        </w:tc>
      </w:tr>
      <w:tr w:rsidR="00797994" w:rsidRPr="005F4A48" w14:paraId="07912FC6"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3988EF6C"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C</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[ng/mL]</w:t>
            </w:r>
          </w:p>
        </w:tc>
        <w:tc>
          <w:tcPr>
            <w:tcW w:w="1403" w:type="dxa"/>
            <w:tcBorders>
              <w:top w:val="nil"/>
              <w:left w:val="nil"/>
              <w:bottom w:val="nil"/>
              <w:right w:val="nil"/>
            </w:tcBorders>
            <w:shd w:val="clear" w:color="000000" w:fill="FFFFFF"/>
            <w:noWrap/>
            <w:vAlign w:val="center"/>
            <w:hideMark/>
          </w:tcPr>
          <w:p w14:paraId="5555D90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87.4</w:t>
            </w:r>
          </w:p>
        </w:tc>
        <w:tc>
          <w:tcPr>
            <w:tcW w:w="1517" w:type="dxa"/>
            <w:tcBorders>
              <w:top w:val="nil"/>
              <w:left w:val="nil"/>
              <w:bottom w:val="nil"/>
              <w:right w:val="single" w:sz="4" w:space="0" w:color="auto"/>
            </w:tcBorders>
            <w:shd w:val="clear" w:color="000000" w:fill="FFFFFF"/>
            <w:noWrap/>
            <w:vAlign w:val="center"/>
            <w:hideMark/>
          </w:tcPr>
          <w:p w14:paraId="5972BBE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83.3 ± 23.3</w:t>
            </w:r>
          </w:p>
        </w:tc>
        <w:tc>
          <w:tcPr>
            <w:tcW w:w="1460" w:type="dxa"/>
            <w:tcBorders>
              <w:top w:val="nil"/>
              <w:left w:val="nil"/>
              <w:bottom w:val="nil"/>
              <w:right w:val="nil"/>
            </w:tcBorders>
            <w:shd w:val="clear" w:color="000000" w:fill="FFFFFF"/>
            <w:noWrap/>
            <w:vAlign w:val="center"/>
            <w:hideMark/>
          </w:tcPr>
          <w:p w14:paraId="219E694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132.1</w:t>
            </w:r>
          </w:p>
        </w:tc>
        <w:tc>
          <w:tcPr>
            <w:tcW w:w="1460" w:type="dxa"/>
            <w:tcBorders>
              <w:top w:val="nil"/>
              <w:left w:val="nil"/>
              <w:bottom w:val="nil"/>
              <w:right w:val="single" w:sz="4" w:space="0" w:color="auto"/>
            </w:tcBorders>
            <w:shd w:val="clear" w:color="000000" w:fill="FFFFFF"/>
            <w:noWrap/>
            <w:vAlign w:val="center"/>
            <w:hideMark/>
          </w:tcPr>
          <w:p w14:paraId="553987A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90.4 ± 34.9</w:t>
            </w:r>
          </w:p>
        </w:tc>
        <w:tc>
          <w:tcPr>
            <w:tcW w:w="972" w:type="dxa"/>
            <w:tcBorders>
              <w:top w:val="nil"/>
              <w:left w:val="nil"/>
              <w:bottom w:val="nil"/>
              <w:right w:val="nil"/>
            </w:tcBorders>
            <w:shd w:val="clear" w:color="000000" w:fill="FFFFFF"/>
            <w:noWrap/>
            <w:vAlign w:val="center"/>
            <w:hideMark/>
          </w:tcPr>
          <w:p w14:paraId="1B16211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1.51</w:t>
            </w:r>
          </w:p>
        </w:tc>
        <w:tc>
          <w:tcPr>
            <w:tcW w:w="948" w:type="dxa"/>
            <w:tcBorders>
              <w:top w:val="nil"/>
              <w:left w:val="nil"/>
              <w:bottom w:val="nil"/>
              <w:right w:val="nil"/>
            </w:tcBorders>
            <w:shd w:val="clear" w:color="000000" w:fill="FFFFFF"/>
            <w:noWrap/>
            <w:vAlign w:val="center"/>
            <w:hideMark/>
          </w:tcPr>
          <w:p w14:paraId="3AFFEF6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1.09</w:t>
            </w:r>
          </w:p>
        </w:tc>
      </w:tr>
      <w:tr w:rsidR="00797994" w:rsidRPr="005F4A48" w14:paraId="0D67B7EC"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67E2661D"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[h]</w:t>
            </w:r>
          </w:p>
        </w:tc>
        <w:tc>
          <w:tcPr>
            <w:tcW w:w="1403" w:type="dxa"/>
            <w:tcBorders>
              <w:top w:val="nil"/>
              <w:left w:val="nil"/>
              <w:bottom w:val="nil"/>
              <w:right w:val="nil"/>
            </w:tcBorders>
            <w:shd w:val="clear" w:color="000000" w:fill="FFFFFF"/>
            <w:noWrap/>
            <w:vAlign w:val="center"/>
            <w:hideMark/>
          </w:tcPr>
          <w:p w14:paraId="737466A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7.0</w:t>
            </w:r>
          </w:p>
        </w:tc>
        <w:tc>
          <w:tcPr>
            <w:tcW w:w="1517" w:type="dxa"/>
            <w:tcBorders>
              <w:top w:val="nil"/>
              <w:left w:val="nil"/>
              <w:bottom w:val="nil"/>
              <w:right w:val="single" w:sz="4" w:space="0" w:color="auto"/>
            </w:tcBorders>
            <w:shd w:val="clear" w:color="000000" w:fill="FFFFFF"/>
            <w:noWrap/>
            <w:vAlign w:val="center"/>
            <w:hideMark/>
          </w:tcPr>
          <w:p w14:paraId="5393527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6.2 ± 0.4</w:t>
            </w:r>
          </w:p>
        </w:tc>
        <w:tc>
          <w:tcPr>
            <w:tcW w:w="1460" w:type="dxa"/>
            <w:tcBorders>
              <w:top w:val="nil"/>
              <w:left w:val="nil"/>
              <w:bottom w:val="nil"/>
              <w:right w:val="nil"/>
            </w:tcBorders>
            <w:shd w:val="clear" w:color="000000" w:fill="FFFFFF"/>
            <w:noWrap/>
            <w:vAlign w:val="center"/>
            <w:hideMark/>
          </w:tcPr>
          <w:p w14:paraId="55CF567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7.3</w:t>
            </w:r>
          </w:p>
        </w:tc>
        <w:tc>
          <w:tcPr>
            <w:tcW w:w="1460" w:type="dxa"/>
            <w:tcBorders>
              <w:top w:val="nil"/>
              <w:left w:val="nil"/>
              <w:bottom w:val="nil"/>
              <w:right w:val="single" w:sz="4" w:space="0" w:color="auto"/>
            </w:tcBorders>
            <w:shd w:val="clear" w:color="000000" w:fill="FFFFFF"/>
            <w:noWrap/>
            <w:vAlign w:val="center"/>
            <w:hideMark/>
          </w:tcPr>
          <w:p w14:paraId="0E3474F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7.1 ± 0.6</w:t>
            </w:r>
          </w:p>
        </w:tc>
        <w:tc>
          <w:tcPr>
            <w:tcW w:w="972" w:type="dxa"/>
            <w:tcBorders>
              <w:top w:val="nil"/>
              <w:left w:val="nil"/>
              <w:bottom w:val="nil"/>
              <w:right w:val="nil"/>
            </w:tcBorders>
            <w:shd w:val="clear" w:color="000000" w:fill="FFFFFF"/>
            <w:noWrap/>
            <w:vAlign w:val="center"/>
            <w:hideMark/>
          </w:tcPr>
          <w:p w14:paraId="0D77CC8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1.04</w:t>
            </w:r>
          </w:p>
        </w:tc>
        <w:tc>
          <w:tcPr>
            <w:tcW w:w="948" w:type="dxa"/>
            <w:tcBorders>
              <w:top w:val="nil"/>
              <w:left w:val="nil"/>
              <w:bottom w:val="nil"/>
              <w:right w:val="nil"/>
            </w:tcBorders>
            <w:shd w:val="clear" w:color="000000" w:fill="FFFFFF"/>
            <w:noWrap/>
            <w:vAlign w:val="center"/>
            <w:hideMark/>
          </w:tcPr>
          <w:p w14:paraId="47EDEB4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1.15</w:t>
            </w:r>
          </w:p>
        </w:tc>
      </w:tr>
      <w:tr w:rsidR="00797994" w:rsidRPr="005F4A48" w14:paraId="2F075D60"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5F0783E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AUC [ng*h/mL]</w:t>
            </w:r>
          </w:p>
        </w:tc>
        <w:tc>
          <w:tcPr>
            <w:tcW w:w="1403" w:type="dxa"/>
            <w:tcBorders>
              <w:top w:val="nil"/>
              <w:left w:val="nil"/>
              <w:bottom w:val="nil"/>
              <w:right w:val="nil"/>
            </w:tcBorders>
            <w:shd w:val="clear" w:color="000000" w:fill="FFFFFF"/>
            <w:noWrap/>
            <w:vAlign w:val="center"/>
            <w:hideMark/>
          </w:tcPr>
          <w:p w14:paraId="3E5BB3A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1,399</w:t>
            </w:r>
          </w:p>
        </w:tc>
        <w:tc>
          <w:tcPr>
            <w:tcW w:w="1517" w:type="dxa"/>
            <w:tcBorders>
              <w:top w:val="nil"/>
              <w:left w:val="nil"/>
              <w:bottom w:val="nil"/>
              <w:right w:val="single" w:sz="4" w:space="0" w:color="auto"/>
            </w:tcBorders>
            <w:shd w:val="clear" w:color="000000" w:fill="FFFFFF"/>
            <w:noWrap/>
            <w:vAlign w:val="center"/>
            <w:hideMark/>
          </w:tcPr>
          <w:p w14:paraId="5F07976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1,339 ± 359</w:t>
            </w:r>
          </w:p>
        </w:tc>
        <w:tc>
          <w:tcPr>
            <w:tcW w:w="1460" w:type="dxa"/>
            <w:tcBorders>
              <w:top w:val="nil"/>
              <w:left w:val="nil"/>
              <w:bottom w:val="nil"/>
              <w:right w:val="nil"/>
            </w:tcBorders>
            <w:shd w:val="clear" w:color="000000" w:fill="FFFFFF"/>
            <w:noWrap/>
            <w:vAlign w:val="center"/>
            <w:hideMark/>
          </w:tcPr>
          <w:p w14:paraId="4148622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1,736</w:t>
            </w:r>
          </w:p>
        </w:tc>
        <w:tc>
          <w:tcPr>
            <w:tcW w:w="1460" w:type="dxa"/>
            <w:tcBorders>
              <w:top w:val="nil"/>
              <w:left w:val="nil"/>
              <w:bottom w:val="nil"/>
              <w:right w:val="single" w:sz="4" w:space="0" w:color="auto"/>
            </w:tcBorders>
            <w:shd w:val="clear" w:color="000000" w:fill="FFFFFF"/>
            <w:noWrap/>
            <w:vAlign w:val="center"/>
            <w:hideMark/>
          </w:tcPr>
          <w:p w14:paraId="10EA1ED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1,577 ± 566</w:t>
            </w:r>
          </w:p>
        </w:tc>
        <w:tc>
          <w:tcPr>
            <w:tcW w:w="972" w:type="dxa"/>
            <w:tcBorders>
              <w:top w:val="nil"/>
              <w:left w:val="nil"/>
              <w:bottom w:val="nil"/>
              <w:right w:val="nil"/>
            </w:tcBorders>
            <w:shd w:val="clear" w:color="000000" w:fill="FFFFFF"/>
            <w:noWrap/>
            <w:vAlign w:val="center"/>
            <w:hideMark/>
          </w:tcPr>
          <w:p w14:paraId="00AD6863"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1.24</w:t>
            </w:r>
          </w:p>
        </w:tc>
        <w:tc>
          <w:tcPr>
            <w:tcW w:w="948" w:type="dxa"/>
            <w:tcBorders>
              <w:top w:val="nil"/>
              <w:left w:val="nil"/>
              <w:bottom w:val="nil"/>
              <w:right w:val="nil"/>
            </w:tcBorders>
            <w:shd w:val="clear" w:color="000000" w:fill="FFFFFF"/>
            <w:noWrap/>
            <w:vAlign w:val="center"/>
            <w:hideMark/>
          </w:tcPr>
          <w:p w14:paraId="178A486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1.18</w:t>
            </w:r>
          </w:p>
        </w:tc>
      </w:tr>
      <w:tr w:rsidR="00797994" w:rsidRPr="005F4A48" w14:paraId="01202CC2" w14:textId="77777777" w:rsidTr="004459B5">
        <w:trPr>
          <w:trHeight w:val="264"/>
        </w:trPr>
        <w:tc>
          <w:tcPr>
            <w:tcW w:w="1300" w:type="dxa"/>
            <w:tcBorders>
              <w:top w:val="nil"/>
              <w:left w:val="nil"/>
              <w:bottom w:val="single" w:sz="4" w:space="0" w:color="auto"/>
              <w:right w:val="single" w:sz="4" w:space="0" w:color="auto"/>
            </w:tcBorders>
            <w:shd w:val="clear" w:color="000000" w:fill="FFFFFF"/>
            <w:noWrap/>
            <w:vAlign w:val="center"/>
            <w:hideMark/>
          </w:tcPr>
          <w:p w14:paraId="4895EA5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1/2</w:t>
            </w:r>
            <w:r w:rsidRPr="005F4A48">
              <w:rPr>
                <w:rFonts w:eastAsia="Times New Roman" w:cs="Arial"/>
                <w:color w:val="000000"/>
                <w:sz w:val="16"/>
                <w:szCs w:val="16"/>
                <w:lang w:val="en-GB" w:eastAsia="de-DE"/>
              </w:rPr>
              <w:t xml:space="preserve"> [h]</w:t>
            </w:r>
          </w:p>
        </w:tc>
        <w:tc>
          <w:tcPr>
            <w:tcW w:w="1403" w:type="dxa"/>
            <w:tcBorders>
              <w:top w:val="nil"/>
              <w:left w:val="nil"/>
              <w:bottom w:val="single" w:sz="4" w:space="0" w:color="auto"/>
              <w:right w:val="nil"/>
            </w:tcBorders>
            <w:shd w:val="clear" w:color="000000" w:fill="FFFFFF"/>
            <w:noWrap/>
            <w:vAlign w:val="center"/>
            <w:hideMark/>
          </w:tcPr>
          <w:p w14:paraId="3A4B6E6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24.4</w:t>
            </w:r>
          </w:p>
        </w:tc>
        <w:tc>
          <w:tcPr>
            <w:tcW w:w="1517" w:type="dxa"/>
            <w:tcBorders>
              <w:top w:val="nil"/>
              <w:left w:val="nil"/>
              <w:bottom w:val="single" w:sz="4" w:space="0" w:color="auto"/>
              <w:right w:val="single" w:sz="4" w:space="0" w:color="auto"/>
            </w:tcBorders>
            <w:shd w:val="clear" w:color="000000" w:fill="FFFFFF"/>
            <w:noWrap/>
            <w:vAlign w:val="center"/>
            <w:hideMark/>
          </w:tcPr>
          <w:p w14:paraId="7AD7F58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17.0 ± 2.4</w:t>
            </w:r>
          </w:p>
        </w:tc>
        <w:tc>
          <w:tcPr>
            <w:tcW w:w="1460" w:type="dxa"/>
            <w:tcBorders>
              <w:top w:val="nil"/>
              <w:left w:val="nil"/>
              <w:bottom w:val="single" w:sz="4" w:space="0" w:color="auto"/>
              <w:right w:val="nil"/>
            </w:tcBorders>
            <w:shd w:val="clear" w:color="000000" w:fill="FFFFFF"/>
            <w:noWrap/>
            <w:vAlign w:val="center"/>
            <w:hideMark/>
          </w:tcPr>
          <w:p w14:paraId="49F43E0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w:t>
            </w:r>
          </w:p>
        </w:tc>
        <w:tc>
          <w:tcPr>
            <w:tcW w:w="1460" w:type="dxa"/>
            <w:tcBorders>
              <w:top w:val="nil"/>
              <w:left w:val="nil"/>
              <w:bottom w:val="single" w:sz="4" w:space="0" w:color="auto"/>
              <w:right w:val="single" w:sz="4" w:space="0" w:color="auto"/>
            </w:tcBorders>
            <w:shd w:val="clear" w:color="000000" w:fill="FFFFFF"/>
            <w:noWrap/>
            <w:vAlign w:val="center"/>
            <w:hideMark/>
          </w:tcPr>
          <w:p w14:paraId="39FB51C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23.2 ± 5.0</w:t>
            </w:r>
          </w:p>
        </w:tc>
        <w:tc>
          <w:tcPr>
            <w:tcW w:w="972" w:type="dxa"/>
            <w:tcBorders>
              <w:top w:val="nil"/>
              <w:left w:val="nil"/>
              <w:bottom w:val="single" w:sz="4" w:space="0" w:color="auto"/>
              <w:right w:val="nil"/>
            </w:tcBorders>
            <w:shd w:val="clear" w:color="000000" w:fill="FFFFFF"/>
            <w:noWrap/>
            <w:vAlign w:val="center"/>
            <w:hideMark/>
          </w:tcPr>
          <w:p w14:paraId="797C251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w:t>
            </w:r>
          </w:p>
        </w:tc>
        <w:tc>
          <w:tcPr>
            <w:tcW w:w="948" w:type="dxa"/>
            <w:tcBorders>
              <w:top w:val="nil"/>
              <w:left w:val="nil"/>
              <w:bottom w:val="single" w:sz="4" w:space="0" w:color="auto"/>
              <w:right w:val="nil"/>
            </w:tcBorders>
            <w:shd w:val="clear" w:color="000000" w:fill="FFFFFF"/>
            <w:noWrap/>
            <w:vAlign w:val="center"/>
            <w:hideMark/>
          </w:tcPr>
          <w:p w14:paraId="2AA7C43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1.36</w:t>
            </w:r>
          </w:p>
        </w:tc>
      </w:tr>
      <w:tr w:rsidR="00797994" w:rsidRPr="005F4A48" w14:paraId="3977C727" w14:textId="77777777" w:rsidTr="004459B5">
        <w:trPr>
          <w:trHeight w:val="264"/>
        </w:trPr>
        <w:tc>
          <w:tcPr>
            <w:tcW w:w="1300" w:type="dxa"/>
            <w:tcBorders>
              <w:top w:val="nil"/>
              <w:left w:val="nil"/>
              <w:bottom w:val="nil"/>
              <w:right w:val="single" w:sz="4" w:space="0" w:color="auto"/>
            </w:tcBorders>
            <w:shd w:val="clear" w:color="000000" w:fill="D9D9D9"/>
            <w:noWrap/>
            <w:vAlign w:val="center"/>
            <w:hideMark/>
          </w:tcPr>
          <w:p w14:paraId="4A61C4B9" w14:textId="77777777" w:rsidR="00797994" w:rsidRPr="005F4A48" w:rsidRDefault="00797994" w:rsidP="004459B5">
            <w:pPr>
              <w:spacing w:line="240" w:lineRule="auto"/>
              <w:jc w:val="left"/>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Amlodipine</w:t>
            </w:r>
          </w:p>
        </w:tc>
        <w:tc>
          <w:tcPr>
            <w:tcW w:w="1403" w:type="dxa"/>
            <w:tcBorders>
              <w:top w:val="nil"/>
              <w:left w:val="nil"/>
              <w:bottom w:val="nil"/>
              <w:right w:val="nil"/>
            </w:tcBorders>
            <w:shd w:val="clear" w:color="000000" w:fill="D9D9D9"/>
            <w:noWrap/>
            <w:vAlign w:val="center"/>
            <w:hideMark/>
          </w:tcPr>
          <w:p w14:paraId="23C4DA8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517" w:type="dxa"/>
            <w:tcBorders>
              <w:top w:val="nil"/>
              <w:left w:val="nil"/>
              <w:bottom w:val="nil"/>
              <w:right w:val="single" w:sz="4" w:space="0" w:color="auto"/>
            </w:tcBorders>
            <w:shd w:val="clear" w:color="000000" w:fill="D9D9D9"/>
            <w:noWrap/>
            <w:vAlign w:val="center"/>
            <w:hideMark/>
          </w:tcPr>
          <w:p w14:paraId="520052D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nil"/>
            </w:tcBorders>
            <w:shd w:val="clear" w:color="000000" w:fill="D9D9D9"/>
            <w:noWrap/>
            <w:vAlign w:val="center"/>
            <w:hideMark/>
          </w:tcPr>
          <w:p w14:paraId="7178091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single" w:sz="4" w:space="0" w:color="auto"/>
            </w:tcBorders>
            <w:shd w:val="clear" w:color="000000" w:fill="D9D9D9"/>
            <w:noWrap/>
            <w:vAlign w:val="center"/>
            <w:hideMark/>
          </w:tcPr>
          <w:p w14:paraId="25013CD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72" w:type="dxa"/>
            <w:tcBorders>
              <w:top w:val="nil"/>
              <w:left w:val="nil"/>
              <w:bottom w:val="nil"/>
              <w:right w:val="nil"/>
            </w:tcBorders>
            <w:shd w:val="clear" w:color="000000" w:fill="D9D9D9"/>
            <w:noWrap/>
            <w:vAlign w:val="center"/>
            <w:hideMark/>
          </w:tcPr>
          <w:p w14:paraId="3B874E8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48" w:type="dxa"/>
            <w:tcBorders>
              <w:top w:val="nil"/>
              <w:left w:val="nil"/>
              <w:bottom w:val="nil"/>
              <w:right w:val="nil"/>
            </w:tcBorders>
            <w:shd w:val="clear" w:color="000000" w:fill="D9D9D9"/>
            <w:noWrap/>
            <w:vAlign w:val="center"/>
            <w:hideMark/>
          </w:tcPr>
          <w:p w14:paraId="50DC961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r>
      <w:tr w:rsidR="00797994" w:rsidRPr="005F4A48" w14:paraId="6ED29356"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431FFD3B"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C</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[ng/mL]</w:t>
            </w:r>
          </w:p>
        </w:tc>
        <w:tc>
          <w:tcPr>
            <w:tcW w:w="1403" w:type="dxa"/>
            <w:tcBorders>
              <w:top w:val="nil"/>
              <w:left w:val="nil"/>
              <w:bottom w:val="nil"/>
              <w:right w:val="nil"/>
            </w:tcBorders>
            <w:shd w:val="clear" w:color="000000" w:fill="FFFFFF"/>
            <w:noWrap/>
            <w:vAlign w:val="center"/>
            <w:hideMark/>
          </w:tcPr>
          <w:p w14:paraId="3D42A703"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4.2 ± 1.1</w:t>
            </w:r>
          </w:p>
        </w:tc>
        <w:tc>
          <w:tcPr>
            <w:tcW w:w="1517" w:type="dxa"/>
            <w:tcBorders>
              <w:top w:val="nil"/>
              <w:left w:val="nil"/>
              <w:bottom w:val="nil"/>
              <w:right w:val="single" w:sz="4" w:space="0" w:color="auto"/>
            </w:tcBorders>
            <w:shd w:val="clear" w:color="000000" w:fill="FFFFFF"/>
            <w:noWrap/>
            <w:vAlign w:val="center"/>
            <w:hideMark/>
          </w:tcPr>
          <w:p w14:paraId="410DEB1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4.1 ± 1.0</w:t>
            </w:r>
          </w:p>
        </w:tc>
        <w:tc>
          <w:tcPr>
            <w:tcW w:w="1460" w:type="dxa"/>
            <w:tcBorders>
              <w:top w:val="nil"/>
              <w:left w:val="nil"/>
              <w:bottom w:val="nil"/>
              <w:right w:val="nil"/>
            </w:tcBorders>
            <w:shd w:val="clear" w:color="000000" w:fill="FFFFFF"/>
            <w:noWrap/>
            <w:vAlign w:val="center"/>
            <w:hideMark/>
          </w:tcPr>
          <w:p w14:paraId="4E01AD3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5.8 ± 1.7</w:t>
            </w:r>
          </w:p>
        </w:tc>
        <w:tc>
          <w:tcPr>
            <w:tcW w:w="1460" w:type="dxa"/>
            <w:tcBorders>
              <w:top w:val="nil"/>
              <w:left w:val="nil"/>
              <w:bottom w:val="nil"/>
              <w:right w:val="single" w:sz="4" w:space="0" w:color="auto"/>
            </w:tcBorders>
            <w:shd w:val="clear" w:color="000000" w:fill="FFFFFF"/>
            <w:noWrap/>
            <w:vAlign w:val="center"/>
            <w:hideMark/>
          </w:tcPr>
          <w:p w14:paraId="3160317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5.3 ± 1.2</w:t>
            </w:r>
          </w:p>
        </w:tc>
        <w:tc>
          <w:tcPr>
            <w:tcW w:w="972" w:type="dxa"/>
            <w:tcBorders>
              <w:top w:val="nil"/>
              <w:left w:val="nil"/>
              <w:bottom w:val="nil"/>
              <w:right w:val="nil"/>
            </w:tcBorders>
            <w:shd w:val="clear" w:color="000000" w:fill="FFFFFF"/>
            <w:noWrap/>
            <w:vAlign w:val="center"/>
            <w:hideMark/>
          </w:tcPr>
          <w:p w14:paraId="52557093"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1.38</w:t>
            </w:r>
          </w:p>
        </w:tc>
        <w:tc>
          <w:tcPr>
            <w:tcW w:w="948" w:type="dxa"/>
            <w:tcBorders>
              <w:top w:val="nil"/>
              <w:left w:val="nil"/>
              <w:bottom w:val="nil"/>
              <w:right w:val="nil"/>
            </w:tcBorders>
            <w:shd w:val="clear" w:color="000000" w:fill="FFFFFF"/>
            <w:noWrap/>
            <w:vAlign w:val="center"/>
            <w:hideMark/>
          </w:tcPr>
          <w:p w14:paraId="32CC9DE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1.30</w:t>
            </w:r>
          </w:p>
        </w:tc>
      </w:tr>
      <w:tr w:rsidR="00797994" w:rsidRPr="005F4A48" w14:paraId="1BF01B37"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1F6B4414"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[h]</w:t>
            </w:r>
          </w:p>
        </w:tc>
        <w:tc>
          <w:tcPr>
            <w:tcW w:w="1403" w:type="dxa"/>
            <w:tcBorders>
              <w:top w:val="nil"/>
              <w:left w:val="nil"/>
              <w:bottom w:val="nil"/>
              <w:right w:val="nil"/>
            </w:tcBorders>
            <w:shd w:val="clear" w:color="000000" w:fill="FFFFFF"/>
            <w:noWrap/>
            <w:vAlign w:val="center"/>
            <w:hideMark/>
          </w:tcPr>
          <w:p w14:paraId="711F743A"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7.0 ± 2.0</w:t>
            </w:r>
          </w:p>
        </w:tc>
        <w:tc>
          <w:tcPr>
            <w:tcW w:w="1517" w:type="dxa"/>
            <w:tcBorders>
              <w:top w:val="nil"/>
              <w:left w:val="nil"/>
              <w:bottom w:val="nil"/>
              <w:right w:val="single" w:sz="4" w:space="0" w:color="auto"/>
            </w:tcBorders>
            <w:shd w:val="clear" w:color="000000" w:fill="FFFFFF"/>
            <w:noWrap/>
            <w:vAlign w:val="center"/>
            <w:hideMark/>
          </w:tcPr>
          <w:p w14:paraId="5EBAC16A"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xml:space="preserve">3.5 </w:t>
            </w:r>
            <w:proofErr w:type="gramStart"/>
            <w:r w:rsidRPr="005F4A48">
              <w:rPr>
                <w:rFonts w:eastAsia="Times New Roman" w:cs="Arial"/>
                <w:color w:val="000000"/>
                <w:sz w:val="16"/>
                <w:szCs w:val="16"/>
                <w:lang w:val="en-GB" w:eastAsia="de-DE"/>
              </w:rPr>
              <w:t>±  0</w:t>
            </w:r>
            <w:proofErr w:type="gramEnd"/>
            <w:r w:rsidRPr="005F4A48">
              <w:rPr>
                <w:rFonts w:eastAsia="Times New Roman" w:cs="Arial"/>
                <w:color w:val="000000"/>
                <w:sz w:val="16"/>
                <w:szCs w:val="16"/>
                <w:lang w:val="en-GB" w:eastAsia="de-DE"/>
              </w:rPr>
              <w:t>.5</w:t>
            </w:r>
          </w:p>
        </w:tc>
        <w:tc>
          <w:tcPr>
            <w:tcW w:w="1460" w:type="dxa"/>
            <w:tcBorders>
              <w:top w:val="nil"/>
              <w:left w:val="nil"/>
              <w:bottom w:val="nil"/>
              <w:right w:val="nil"/>
            </w:tcBorders>
            <w:shd w:val="clear" w:color="000000" w:fill="FFFFFF"/>
            <w:noWrap/>
            <w:vAlign w:val="center"/>
            <w:hideMark/>
          </w:tcPr>
          <w:p w14:paraId="3D9AF28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8.0 ± 2.0</w:t>
            </w:r>
          </w:p>
        </w:tc>
        <w:tc>
          <w:tcPr>
            <w:tcW w:w="1460" w:type="dxa"/>
            <w:tcBorders>
              <w:top w:val="nil"/>
              <w:left w:val="nil"/>
              <w:bottom w:val="nil"/>
              <w:right w:val="single" w:sz="4" w:space="0" w:color="auto"/>
            </w:tcBorders>
            <w:shd w:val="clear" w:color="000000" w:fill="FFFFFF"/>
            <w:noWrap/>
            <w:vAlign w:val="center"/>
            <w:hideMark/>
          </w:tcPr>
          <w:p w14:paraId="7C56D18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4.0 ± 0.6</w:t>
            </w:r>
          </w:p>
        </w:tc>
        <w:tc>
          <w:tcPr>
            <w:tcW w:w="972" w:type="dxa"/>
            <w:tcBorders>
              <w:top w:val="nil"/>
              <w:left w:val="nil"/>
              <w:bottom w:val="nil"/>
              <w:right w:val="nil"/>
            </w:tcBorders>
            <w:shd w:val="clear" w:color="000000" w:fill="FFFFFF"/>
            <w:noWrap/>
            <w:vAlign w:val="center"/>
            <w:hideMark/>
          </w:tcPr>
          <w:p w14:paraId="29B1E40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1.14</w:t>
            </w:r>
          </w:p>
        </w:tc>
        <w:tc>
          <w:tcPr>
            <w:tcW w:w="948" w:type="dxa"/>
            <w:tcBorders>
              <w:top w:val="nil"/>
              <w:left w:val="nil"/>
              <w:bottom w:val="nil"/>
              <w:right w:val="nil"/>
            </w:tcBorders>
            <w:shd w:val="clear" w:color="000000" w:fill="FFFFFF"/>
            <w:noWrap/>
            <w:vAlign w:val="center"/>
            <w:hideMark/>
          </w:tcPr>
          <w:p w14:paraId="2885468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1.14</w:t>
            </w:r>
          </w:p>
        </w:tc>
      </w:tr>
      <w:tr w:rsidR="00797994" w:rsidRPr="005F4A48" w14:paraId="5CB0196F"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6550C2DA"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AUC [ng*h/mL]</w:t>
            </w:r>
          </w:p>
        </w:tc>
        <w:tc>
          <w:tcPr>
            <w:tcW w:w="1403" w:type="dxa"/>
            <w:tcBorders>
              <w:top w:val="nil"/>
              <w:left w:val="nil"/>
              <w:bottom w:val="nil"/>
              <w:right w:val="nil"/>
            </w:tcBorders>
            <w:shd w:val="clear" w:color="000000" w:fill="FFFFFF"/>
            <w:noWrap/>
            <w:vAlign w:val="center"/>
            <w:hideMark/>
          </w:tcPr>
          <w:p w14:paraId="6650160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81 ± 22</w:t>
            </w:r>
          </w:p>
        </w:tc>
        <w:tc>
          <w:tcPr>
            <w:tcW w:w="1517" w:type="dxa"/>
            <w:tcBorders>
              <w:top w:val="nil"/>
              <w:left w:val="nil"/>
              <w:bottom w:val="nil"/>
              <w:right w:val="single" w:sz="4" w:space="0" w:color="auto"/>
            </w:tcBorders>
            <w:shd w:val="clear" w:color="000000" w:fill="FFFFFF"/>
            <w:noWrap/>
            <w:vAlign w:val="center"/>
            <w:hideMark/>
          </w:tcPr>
          <w:p w14:paraId="296A463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86 ± 22</w:t>
            </w:r>
          </w:p>
        </w:tc>
        <w:tc>
          <w:tcPr>
            <w:tcW w:w="1460" w:type="dxa"/>
            <w:tcBorders>
              <w:top w:val="nil"/>
              <w:left w:val="nil"/>
              <w:bottom w:val="nil"/>
              <w:right w:val="nil"/>
            </w:tcBorders>
            <w:shd w:val="clear" w:color="000000" w:fill="FFFFFF"/>
            <w:noWrap/>
            <w:vAlign w:val="center"/>
            <w:hideMark/>
          </w:tcPr>
          <w:p w14:paraId="6D156C5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112 ± 40</w:t>
            </w:r>
          </w:p>
        </w:tc>
        <w:tc>
          <w:tcPr>
            <w:tcW w:w="1460" w:type="dxa"/>
            <w:tcBorders>
              <w:top w:val="nil"/>
              <w:left w:val="nil"/>
              <w:bottom w:val="nil"/>
              <w:right w:val="single" w:sz="4" w:space="0" w:color="auto"/>
            </w:tcBorders>
            <w:shd w:val="clear" w:color="000000" w:fill="FFFFFF"/>
            <w:noWrap/>
            <w:vAlign w:val="center"/>
            <w:hideMark/>
          </w:tcPr>
          <w:p w14:paraId="69EB6D0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113 ± 26</w:t>
            </w:r>
          </w:p>
        </w:tc>
        <w:tc>
          <w:tcPr>
            <w:tcW w:w="972" w:type="dxa"/>
            <w:tcBorders>
              <w:top w:val="nil"/>
              <w:left w:val="nil"/>
              <w:bottom w:val="nil"/>
              <w:right w:val="nil"/>
            </w:tcBorders>
            <w:shd w:val="clear" w:color="000000" w:fill="FFFFFF"/>
            <w:noWrap/>
            <w:vAlign w:val="center"/>
            <w:hideMark/>
          </w:tcPr>
          <w:p w14:paraId="07C26A6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1.38</w:t>
            </w:r>
          </w:p>
        </w:tc>
        <w:tc>
          <w:tcPr>
            <w:tcW w:w="948" w:type="dxa"/>
            <w:tcBorders>
              <w:top w:val="nil"/>
              <w:left w:val="nil"/>
              <w:bottom w:val="nil"/>
              <w:right w:val="nil"/>
            </w:tcBorders>
            <w:shd w:val="clear" w:color="000000" w:fill="FFFFFF"/>
            <w:noWrap/>
            <w:vAlign w:val="center"/>
            <w:hideMark/>
          </w:tcPr>
          <w:p w14:paraId="4878C87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1.31</w:t>
            </w:r>
          </w:p>
        </w:tc>
      </w:tr>
      <w:tr w:rsidR="00797994" w:rsidRPr="005F4A48" w14:paraId="42C0794B" w14:textId="77777777" w:rsidTr="004459B5">
        <w:trPr>
          <w:trHeight w:val="264"/>
        </w:trPr>
        <w:tc>
          <w:tcPr>
            <w:tcW w:w="1300" w:type="dxa"/>
            <w:tcBorders>
              <w:top w:val="nil"/>
              <w:left w:val="nil"/>
              <w:bottom w:val="single" w:sz="4" w:space="0" w:color="auto"/>
              <w:right w:val="single" w:sz="4" w:space="0" w:color="auto"/>
            </w:tcBorders>
            <w:shd w:val="clear" w:color="000000" w:fill="FFFFFF"/>
            <w:noWrap/>
            <w:vAlign w:val="center"/>
            <w:hideMark/>
          </w:tcPr>
          <w:p w14:paraId="6ACC8FB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1/2</w:t>
            </w:r>
            <w:r w:rsidRPr="005F4A48">
              <w:rPr>
                <w:rFonts w:eastAsia="Times New Roman" w:cs="Arial"/>
                <w:color w:val="000000"/>
                <w:sz w:val="16"/>
                <w:szCs w:val="16"/>
                <w:lang w:val="en-GB" w:eastAsia="de-DE"/>
              </w:rPr>
              <w:t xml:space="preserve"> [h]</w:t>
            </w:r>
          </w:p>
        </w:tc>
        <w:tc>
          <w:tcPr>
            <w:tcW w:w="1403" w:type="dxa"/>
            <w:tcBorders>
              <w:top w:val="nil"/>
              <w:left w:val="nil"/>
              <w:bottom w:val="single" w:sz="4" w:space="0" w:color="auto"/>
              <w:right w:val="nil"/>
            </w:tcBorders>
            <w:shd w:val="clear" w:color="000000" w:fill="FFFFFF"/>
            <w:noWrap/>
            <w:vAlign w:val="center"/>
            <w:hideMark/>
          </w:tcPr>
          <w:p w14:paraId="44B32C63"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53 ± 14</w:t>
            </w:r>
          </w:p>
        </w:tc>
        <w:tc>
          <w:tcPr>
            <w:tcW w:w="1517" w:type="dxa"/>
            <w:tcBorders>
              <w:top w:val="nil"/>
              <w:left w:val="nil"/>
              <w:bottom w:val="single" w:sz="4" w:space="0" w:color="auto"/>
              <w:right w:val="single" w:sz="4" w:space="0" w:color="auto"/>
            </w:tcBorders>
            <w:shd w:val="clear" w:color="000000" w:fill="FFFFFF"/>
            <w:noWrap/>
            <w:vAlign w:val="center"/>
            <w:hideMark/>
          </w:tcPr>
          <w:p w14:paraId="28BAAD0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66 ± 6</w:t>
            </w:r>
          </w:p>
        </w:tc>
        <w:tc>
          <w:tcPr>
            <w:tcW w:w="1460" w:type="dxa"/>
            <w:tcBorders>
              <w:top w:val="nil"/>
              <w:left w:val="nil"/>
              <w:bottom w:val="single" w:sz="4" w:space="0" w:color="auto"/>
              <w:right w:val="nil"/>
            </w:tcBorders>
            <w:shd w:val="clear" w:color="000000" w:fill="FFFFFF"/>
            <w:noWrap/>
            <w:vAlign w:val="center"/>
            <w:hideMark/>
          </w:tcPr>
          <w:p w14:paraId="1C8BCD7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69 ± 20</w:t>
            </w:r>
          </w:p>
        </w:tc>
        <w:tc>
          <w:tcPr>
            <w:tcW w:w="1460" w:type="dxa"/>
            <w:tcBorders>
              <w:top w:val="nil"/>
              <w:left w:val="nil"/>
              <w:bottom w:val="single" w:sz="4" w:space="0" w:color="auto"/>
              <w:right w:val="single" w:sz="4" w:space="0" w:color="auto"/>
            </w:tcBorders>
            <w:shd w:val="clear" w:color="000000" w:fill="FFFFFF"/>
            <w:noWrap/>
            <w:vAlign w:val="center"/>
            <w:hideMark/>
          </w:tcPr>
          <w:p w14:paraId="3A5525D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79 ± 6</w:t>
            </w:r>
          </w:p>
        </w:tc>
        <w:tc>
          <w:tcPr>
            <w:tcW w:w="972" w:type="dxa"/>
            <w:tcBorders>
              <w:top w:val="nil"/>
              <w:left w:val="nil"/>
              <w:bottom w:val="single" w:sz="4" w:space="0" w:color="auto"/>
              <w:right w:val="nil"/>
            </w:tcBorders>
            <w:shd w:val="clear" w:color="000000" w:fill="FFFFFF"/>
            <w:noWrap/>
            <w:vAlign w:val="center"/>
            <w:hideMark/>
          </w:tcPr>
          <w:p w14:paraId="6F9A89D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1.30</w:t>
            </w:r>
          </w:p>
        </w:tc>
        <w:tc>
          <w:tcPr>
            <w:tcW w:w="948" w:type="dxa"/>
            <w:tcBorders>
              <w:top w:val="nil"/>
              <w:left w:val="nil"/>
              <w:bottom w:val="single" w:sz="4" w:space="0" w:color="auto"/>
              <w:right w:val="nil"/>
            </w:tcBorders>
            <w:shd w:val="clear" w:color="000000" w:fill="FFFFFF"/>
            <w:noWrap/>
            <w:vAlign w:val="center"/>
            <w:hideMark/>
          </w:tcPr>
          <w:p w14:paraId="16A7E9C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1.19</w:t>
            </w:r>
          </w:p>
        </w:tc>
      </w:tr>
      <w:tr w:rsidR="00797994" w:rsidRPr="005F4A48" w14:paraId="4B2BE159" w14:textId="77777777" w:rsidTr="004459B5">
        <w:trPr>
          <w:trHeight w:val="264"/>
        </w:trPr>
        <w:tc>
          <w:tcPr>
            <w:tcW w:w="1300" w:type="dxa"/>
            <w:tcBorders>
              <w:top w:val="nil"/>
              <w:left w:val="nil"/>
              <w:bottom w:val="nil"/>
              <w:right w:val="single" w:sz="4" w:space="0" w:color="auto"/>
            </w:tcBorders>
            <w:shd w:val="clear" w:color="000000" w:fill="D9D9D9"/>
            <w:noWrap/>
            <w:vAlign w:val="center"/>
            <w:hideMark/>
          </w:tcPr>
          <w:p w14:paraId="6CFA11B4" w14:textId="77777777" w:rsidR="00797994" w:rsidRPr="005F4A48" w:rsidRDefault="00797994" w:rsidP="004459B5">
            <w:pPr>
              <w:spacing w:line="240" w:lineRule="auto"/>
              <w:jc w:val="left"/>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Rivaroxaban</w:t>
            </w:r>
          </w:p>
        </w:tc>
        <w:tc>
          <w:tcPr>
            <w:tcW w:w="1403" w:type="dxa"/>
            <w:tcBorders>
              <w:top w:val="nil"/>
              <w:left w:val="nil"/>
              <w:bottom w:val="nil"/>
              <w:right w:val="nil"/>
            </w:tcBorders>
            <w:shd w:val="clear" w:color="000000" w:fill="D9D9D9"/>
            <w:noWrap/>
            <w:vAlign w:val="center"/>
            <w:hideMark/>
          </w:tcPr>
          <w:p w14:paraId="50860FF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517" w:type="dxa"/>
            <w:tcBorders>
              <w:top w:val="nil"/>
              <w:left w:val="nil"/>
              <w:bottom w:val="nil"/>
              <w:right w:val="single" w:sz="4" w:space="0" w:color="auto"/>
            </w:tcBorders>
            <w:shd w:val="clear" w:color="000000" w:fill="D9D9D9"/>
            <w:noWrap/>
            <w:vAlign w:val="center"/>
            <w:hideMark/>
          </w:tcPr>
          <w:p w14:paraId="421F4E0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nil"/>
            </w:tcBorders>
            <w:shd w:val="clear" w:color="000000" w:fill="D9D9D9"/>
            <w:noWrap/>
            <w:vAlign w:val="center"/>
            <w:hideMark/>
          </w:tcPr>
          <w:p w14:paraId="4601071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single" w:sz="4" w:space="0" w:color="auto"/>
            </w:tcBorders>
            <w:shd w:val="clear" w:color="000000" w:fill="D9D9D9"/>
            <w:noWrap/>
            <w:vAlign w:val="center"/>
            <w:hideMark/>
          </w:tcPr>
          <w:p w14:paraId="307A893A"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72" w:type="dxa"/>
            <w:tcBorders>
              <w:top w:val="nil"/>
              <w:left w:val="nil"/>
              <w:bottom w:val="nil"/>
              <w:right w:val="nil"/>
            </w:tcBorders>
            <w:shd w:val="clear" w:color="000000" w:fill="D9D9D9"/>
            <w:noWrap/>
            <w:vAlign w:val="center"/>
            <w:hideMark/>
          </w:tcPr>
          <w:p w14:paraId="67EF378E" w14:textId="77777777" w:rsidR="00797994" w:rsidRPr="005F4A48" w:rsidRDefault="00797994" w:rsidP="004459B5">
            <w:pPr>
              <w:spacing w:line="240" w:lineRule="auto"/>
              <w:jc w:val="left"/>
              <w:rPr>
                <w:rFonts w:eastAsia="Times New Roman" w:cs="Arial"/>
                <w:color w:val="000000"/>
                <w:szCs w:val="20"/>
                <w:lang w:val="en-GB" w:eastAsia="de-DE"/>
              </w:rPr>
            </w:pPr>
            <w:r w:rsidRPr="005F4A48">
              <w:rPr>
                <w:rFonts w:eastAsia="Times New Roman" w:cs="Arial"/>
                <w:color w:val="000000"/>
                <w:szCs w:val="20"/>
                <w:lang w:val="en-GB" w:eastAsia="de-DE"/>
              </w:rPr>
              <w:t> </w:t>
            </w:r>
          </w:p>
        </w:tc>
        <w:tc>
          <w:tcPr>
            <w:tcW w:w="948" w:type="dxa"/>
            <w:tcBorders>
              <w:top w:val="nil"/>
              <w:left w:val="nil"/>
              <w:bottom w:val="nil"/>
              <w:right w:val="nil"/>
            </w:tcBorders>
            <w:shd w:val="clear" w:color="000000" w:fill="D9D9D9"/>
            <w:noWrap/>
            <w:vAlign w:val="center"/>
            <w:hideMark/>
          </w:tcPr>
          <w:p w14:paraId="5F333958" w14:textId="77777777" w:rsidR="00797994" w:rsidRPr="005F4A48" w:rsidRDefault="00797994" w:rsidP="004459B5">
            <w:pPr>
              <w:spacing w:line="240" w:lineRule="auto"/>
              <w:jc w:val="left"/>
              <w:rPr>
                <w:rFonts w:eastAsia="Times New Roman" w:cs="Arial"/>
                <w:color w:val="000000"/>
                <w:szCs w:val="20"/>
                <w:lang w:val="en-GB" w:eastAsia="de-DE"/>
              </w:rPr>
            </w:pPr>
            <w:r w:rsidRPr="005F4A48">
              <w:rPr>
                <w:rFonts w:eastAsia="Times New Roman" w:cs="Arial"/>
                <w:color w:val="000000"/>
                <w:szCs w:val="20"/>
                <w:lang w:val="en-GB" w:eastAsia="de-DE"/>
              </w:rPr>
              <w:t> </w:t>
            </w:r>
          </w:p>
        </w:tc>
      </w:tr>
      <w:tr w:rsidR="00797994" w:rsidRPr="005F4A48" w14:paraId="7499C338"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6D710140"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C</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[ng/mL]</w:t>
            </w:r>
          </w:p>
        </w:tc>
        <w:tc>
          <w:tcPr>
            <w:tcW w:w="1403" w:type="dxa"/>
            <w:tcBorders>
              <w:top w:val="nil"/>
              <w:left w:val="nil"/>
              <w:bottom w:val="nil"/>
              <w:right w:val="nil"/>
            </w:tcBorders>
            <w:shd w:val="clear" w:color="000000" w:fill="FFFFFF"/>
            <w:noWrap/>
            <w:vAlign w:val="center"/>
            <w:hideMark/>
          </w:tcPr>
          <w:p w14:paraId="2349E00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190 ± 54</w:t>
            </w:r>
          </w:p>
        </w:tc>
        <w:tc>
          <w:tcPr>
            <w:tcW w:w="1517" w:type="dxa"/>
            <w:tcBorders>
              <w:top w:val="nil"/>
              <w:left w:val="nil"/>
              <w:bottom w:val="nil"/>
              <w:right w:val="single" w:sz="4" w:space="0" w:color="auto"/>
            </w:tcBorders>
            <w:shd w:val="clear" w:color="000000" w:fill="FFFFFF"/>
            <w:noWrap/>
            <w:vAlign w:val="center"/>
            <w:hideMark/>
          </w:tcPr>
          <w:p w14:paraId="64231B4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191 ± 33</w:t>
            </w:r>
          </w:p>
        </w:tc>
        <w:tc>
          <w:tcPr>
            <w:tcW w:w="1460" w:type="dxa"/>
            <w:tcBorders>
              <w:top w:val="nil"/>
              <w:left w:val="nil"/>
              <w:bottom w:val="nil"/>
              <w:right w:val="nil"/>
            </w:tcBorders>
            <w:shd w:val="clear" w:color="000000" w:fill="FFFFFF"/>
            <w:noWrap/>
            <w:vAlign w:val="center"/>
            <w:hideMark/>
          </w:tcPr>
          <w:p w14:paraId="31D9F38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237 ± 50</w:t>
            </w:r>
          </w:p>
        </w:tc>
        <w:tc>
          <w:tcPr>
            <w:tcW w:w="1460" w:type="dxa"/>
            <w:tcBorders>
              <w:top w:val="nil"/>
              <w:left w:val="nil"/>
              <w:bottom w:val="nil"/>
              <w:right w:val="single" w:sz="4" w:space="0" w:color="auto"/>
            </w:tcBorders>
            <w:shd w:val="clear" w:color="000000" w:fill="FFFFFF"/>
            <w:noWrap/>
            <w:vAlign w:val="center"/>
            <w:hideMark/>
          </w:tcPr>
          <w:p w14:paraId="1160EE4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213 ± 40</w:t>
            </w:r>
          </w:p>
        </w:tc>
        <w:tc>
          <w:tcPr>
            <w:tcW w:w="972" w:type="dxa"/>
            <w:tcBorders>
              <w:top w:val="nil"/>
              <w:left w:val="nil"/>
              <w:bottom w:val="nil"/>
              <w:right w:val="nil"/>
            </w:tcBorders>
            <w:shd w:val="clear" w:color="000000" w:fill="FFFFFF"/>
            <w:noWrap/>
            <w:vAlign w:val="center"/>
            <w:hideMark/>
          </w:tcPr>
          <w:p w14:paraId="4EA2821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1.25</w:t>
            </w:r>
          </w:p>
        </w:tc>
        <w:tc>
          <w:tcPr>
            <w:tcW w:w="948" w:type="dxa"/>
            <w:tcBorders>
              <w:top w:val="nil"/>
              <w:left w:val="nil"/>
              <w:bottom w:val="nil"/>
              <w:right w:val="nil"/>
            </w:tcBorders>
            <w:shd w:val="clear" w:color="000000" w:fill="FFFFFF"/>
            <w:noWrap/>
            <w:vAlign w:val="center"/>
            <w:hideMark/>
          </w:tcPr>
          <w:p w14:paraId="4B64C9A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1.12</w:t>
            </w:r>
          </w:p>
        </w:tc>
      </w:tr>
      <w:tr w:rsidR="00797994" w:rsidRPr="005F4A48" w14:paraId="67A5577B"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49E31F39"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[h]</w:t>
            </w:r>
          </w:p>
        </w:tc>
        <w:tc>
          <w:tcPr>
            <w:tcW w:w="1403" w:type="dxa"/>
            <w:tcBorders>
              <w:top w:val="nil"/>
              <w:left w:val="nil"/>
              <w:bottom w:val="nil"/>
              <w:right w:val="nil"/>
            </w:tcBorders>
            <w:shd w:val="clear" w:color="000000" w:fill="FFFFFF"/>
            <w:noWrap/>
            <w:vAlign w:val="center"/>
            <w:hideMark/>
          </w:tcPr>
          <w:p w14:paraId="2931AC7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2.3 ± 0.6</w:t>
            </w:r>
          </w:p>
        </w:tc>
        <w:tc>
          <w:tcPr>
            <w:tcW w:w="1517" w:type="dxa"/>
            <w:tcBorders>
              <w:top w:val="nil"/>
              <w:left w:val="nil"/>
              <w:bottom w:val="nil"/>
              <w:right w:val="single" w:sz="4" w:space="0" w:color="auto"/>
            </w:tcBorders>
            <w:shd w:val="clear" w:color="000000" w:fill="FFFFFF"/>
            <w:noWrap/>
            <w:vAlign w:val="center"/>
            <w:hideMark/>
          </w:tcPr>
          <w:p w14:paraId="71B32EF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 ± 0.2</w:t>
            </w:r>
          </w:p>
        </w:tc>
        <w:tc>
          <w:tcPr>
            <w:tcW w:w="1460" w:type="dxa"/>
            <w:tcBorders>
              <w:top w:val="nil"/>
              <w:left w:val="nil"/>
              <w:bottom w:val="nil"/>
              <w:right w:val="nil"/>
            </w:tcBorders>
            <w:shd w:val="clear" w:color="000000" w:fill="FFFFFF"/>
            <w:noWrap/>
            <w:vAlign w:val="center"/>
            <w:hideMark/>
          </w:tcPr>
          <w:p w14:paraId="021EC29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2.6 ± 0.1</w:t>
            </w:r>
          </w:p>
        </w:tc>
        <w:tc>
          <w:tcPr>
            <w:tcW w:w="1460" w:type="dxa"/>
            <w:tcBorders>
              <w:top w:val="nil"/>
              <w:left w:val="nil"/>
              <w:bottom w:val="nil"/>
              <w:right w:val="single" w:sz="4" w:space="0" w:color="auto"/>
            </w:tcBorders>
            <w:shd w:val="clear" w:color="000000" w:fill="FFFFFF"/>
            <w:noWrap/>
            <w:vAlign w:val="center"/>
            <w:hideMark/>
          </w:tcPr>
          <w:p w14:paraId="711B8ECA"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 ± 0.2</w:t>
            </w:r>
          </w:p>
        </w:tc>
        <w:tc>
          <w:tcPr>
            <w:tcW w:w="972" w:type="dxa"/>
            <w:tcBorders>
              <w:top w:val="nil"/>
              <w:left w:val="nil"/>
              <w:bottom w:val="nil"/>
              <w:right w:val="nil"/>
            </w:tcBorders>
            <w:shd w:val="clear" w:color="000000" w:fill="FFFFFF"/>
            <w:noWrap/>
            <w:vAlign w:val="center"/>
            <w:hideMark/>
          </w:tcPr>
          <w:p w14:paraId="4941D23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1.12</w:t>
            </w:r>
          </w:p>
        </w:tc>
        <w:tc>
          <w:tcPr>
            <w:tcW w:w="948" w:type="dxa"/>
            <w:tcBorders>
              <w:top w:val="nil"/>
              <w:left w:val="nil"/>
              <w:bottom w:val="nil"/>
              <w:right w:val="nil"/>
            </w:tcBorders>
            <w:shd w:val="clear" w:color="000000" w:fill="FFFFFF"/>
            <w:noWrap/>
            <w:vAlign w:val="center"/>
            <w:hideMark/>
          </w:tcPr>
          <w:p w14:paraId="7D2AA26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1.12</w:t>
            </w:r>
          </w:p>
        </w:tc>
      </w:tr>
      <w:tr w:rsidR="00797994" w:rsidRPr="005F4A48" w14:paraId="3AE06795"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4D19F28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AUC [ng*h/mL]</w:t>
            </w:r>
          </w:p>
        </w:tc>
        <w:tc>
          <w:tcPr>
            <w:tcW w:w="1403" w:type="dxa"/>
            <w:tcBorders>
              <w:top w:val="nil"/>
              <w:left w:val="nil"/>
              <w:bottom w:val="nil"/>
              <w:right w:val="nil"/>
            </w:tcBorders>
            <w:shd w:val="clear" w:color="000000" w:fill="FFFFFF"/>
            <w:noWrap/>
            <w:vAlign w:val="center"/>
            <w:hideMark/>
          </w:tcPr>
          <w:p w14:paraId="7779437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1,245 ± 417</w:t>
            </w:r>
          </w:p>
        </w:tc>
        <w:tc>
          <w:tcPr>
            <w:tcW w:w="1517" w:type="dxa"/>
            <w:tcBorders>
              <w:top w:val="nil"/>
              <w:left w:val="nil"/>
              <w:bottom w:val="nil"/>
              <w:right w:val="single" w:sz="4" w:space="0" w:color="auto"/>
            </w:tcBorders>
            <w:shd w:val="clear" w:color="000000" w:fill="FFFFFF"/>
            <w:noWrap/>
            <w:vAlign w:val="center"/>
            <w:hideMark/>
          </w:tcPr>
          <w:p w14:paraId="021ED93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1,262 ± 348</w:t>
            </w:r>
          </w:p>
        </w:tc>
        <w:tc>
          <w:tcPr>
            <w:tcW w:w="1460" w:type="dxa"/>
            <w:tcBorders>
              <w:top w:val="nil"/>
              <w:left w:val="nil"/>
              <w:bottom w:val="nil"/>
              <w:right w:val="nil"/>
            </w:tcBorders>
            <w:shd w:val="clear" w:color="000000" w:fill="FFFFFF"/>
            <w:noWrap/>
            <w:vAlign w:val="center"/>
            <w:hideMark/>
          </w:tcPr>
          <w:p w14:paraId="748005D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1,890 ± 432</w:t>
            </w:r>
          </w:p>
        </w:tc>
        <w:tc>
          <w:tcPr>
            <w:tcW w:w="1460" w:type="dxa"/>
            <w:tcBorders>
              <w:top w:val="nil"/>
              <w:left w:val="nil"/>
              <w:bottom w:val="nil"/>
              <w:right w:val="single" w:sz="4" w:space="0" w:color="auto"/>
            </w:tcBorders>
            <w:shd w:val="clear" w:color="000000" w:fill="FFFFFF"/>
            <w:noWrap/>
            <w:vAlign w:val="center"/>
            <w:hideMark/>
          </w:tcPr>
          <w:p w14:paraId="6E6D1AC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1,604 ± 347</w:t>
            </w:r>
          </w:p>
        </w:tc>
        <w:tc>
          <w:tcPr>
            <w:tcW w:w="972" w:type="dxa"/>
            <w:tcBorders>
              <w:top w:val="nil"/>
              <w:left w:val="nil"/>
              <w:bottom w:val="nil"/>
              <w:right w:val="nil"/>
            </w:tcBorders>
            <w:shd w:val="clear" w:color="000000" w:fill="FFFFFF"/>
            <w:noWrap/>
            <w:vAlign w:val="center"/>
            <w:hideMark/>
          </w:tcPr>
          <w:p w14:paraId="6AA8C65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1.52</w:t>
            </w:r>
          </w:p>
        </w:tc>
        <w:tc>
          <w:tcPr>
            <w:tcW w:w="948" w:type="dxa"/>
            <w:tcBorders>
              <w:top w:val="nil"/>
              <w:left w:val="nil"/>
              <w:bottom w:val="nil"/>
              <w:right w:val="nil"/>
            </w:tcBorders>
            <w:shd w:val="clear" w:color="000000" w:fill="FFFFFF"/>
            <w:noWrap/>
            <w:vAlign w:val="center"/>
            <w:hideMark/>
          </w:tcPr>
          <w:p w14:paraId="67CCE7A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1.27</w:t>
            </w:r>
          </w:p>
        </w:tc>
      </w:tr>
      <w:tr w:rsidR="00797994" w:rsidRPr="005F4A48" w14:paraId="0C8065B6" w14:textId="77777777" w:rsidTr="004459B5">
        <w:trPr>
          <w:trHeight w:val="264"/>
        </w:trPr>
        <w:tc>
          <w:tcPr>
            <w:tcW w:w="1300" w:type="dxa"/>
            <w:tcBorders>
              <w:top w:val="nil"/>
              <w:left w:val="nil"/>
              <w:bottom w:val="single" w:sz="4" w:space="0" w:color="auto"/>
              <w:right w:val="single" w:sz="4" w:space="0" w:color="auto"/>
            </w:tcBorders>
            <w:shd w:val="clear" w:color="000000" w:fill="FFFFFF"/>
            <w:noWrap/>
            <w:vAlign w:val="center"/>
            <w:hideMark/>
          </w:tcPr>
          <w:p w14:paraId="4DF29E83"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1/2</w:t>
            </w:r>
            <w:r w:rsidRPr="005F4A48">
              <w:rPr>
                <w:rFonts w:eastAsia="Times New Roman" w:cs="Arial"/>
                <w:color w:val="000000"/>
                <w:sz w:val="16"/>
                <w:szCs w:val="16"/>
                <w:lang w:val="en-GB" w:eastAsia="de-DE"/>
              </w:rPr>
              <w:t xml:space="preserve"> [h]</w:t>
            </w:r>
          </w:p>
        </w:tc>
        <w:tc>
          <w:tcPr>
            <w:tcW w:w="1403" w:type="dxa"/>
            <w:tcBorders>
              <w:top w:val="nil"/>
              <w:left w:val="nil"/>
              <w:bottom w:val="single" w:sz="4" w:space="0" w:color="auto"/>
              <w:right w:val="nil"/>
            </w:tcBorders>
            <w:shd w:val="clear" w:color="000000" w:fill="FFFFFF"/>
            <w:noWrap/>
            <w:vAlign w:val="center"/>
            <w:hideMark/>
          </w:tcPr>
          <w:p w14:paraId="6FB7EA3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9.0 ± 6.4</w:t>
            </w:r>
          </w:p>
        </w:tc>
        <w:tc>
          <w:tcPr>
            <w:tcW w:w="1517" w:type="dxa"/>
            <w:tcBorders>
              <w:top w:val="nil"/>
              <w:left w:val="nil"/>
              <w:bottom w:val="single" w:sz="4" w:space="0" w:color="auto"/>
              <w:right w:val="single" w:sz="4" w:space="0" w:color="auto"/>
            </w:tcBorders>
            <w:shd w:val="clear" w:color="000000" w:fill="FFFFFF"/>
            <w:noWrap/>
            <w:vAlign w:val="center"/>
            <w:hideMark/>
          </w:tcPr>
          <w:p w14:paraId="7DA05B8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10.5 ± 2.9</w:t>
            </w:r>
          </w:p>
        </w:tc>
        <w:tc>
          <w:tcPr>
            <w:tcW w:w="1460" w:type="dxa"/>
            <w:tcBorders>
              <w:top w:val="nil"/>
              <w:left w:val="nil"/>
              <w:bottom w:val="single" w:sz="4" w:space="0" w:color="auto"/>
              <w:right w:val="nil"/>
            </w:tcBorders>
            <w:shd w:val="clear" w:color="000000" w:fill="FFFFFF"/>
            <w:noWrap/>
            <w:vAlign w:val="center"/>
            <w:hideMark/>
          </w:tcPr>
          <w:p w14:paraId="0BE3278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11.6 ± 3.7</w:t>
            </w:r>
          </w:p>
        </w:tc>
        <w:tc>
          <w:tcPr>
            <w:tcW w:w="1460" w:type="dxa"/>
            <w:tcBorders>
              <w:top w:val="nil"/>
              <w:left w:val="nil"/>
              <w:bottom w:val="single" w:sz="4" w:space="0" w:color="auto"/>
              <w:right w:val="single" w:sz="4" w:space="0" w:color="auto"/>
            </w:tcBorders>
            <w:shd w:val="clear" w:color="000000" w:fill="FFFFFF"/>
            <w:noWrap/>
            <w:vAlign w:val="center"/>
            <w:hideMark/>
          </w:tcPr>
          <w:p w14:paraId="24701A6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13.2 ± 2.8</w:t>
            </w:r>
          </w:p>
        </w:tc>
        <w:tc>
          <w:tcPr>
            <w:tcW w:w="972" w:type="dxa"/>
            <w:tcBorders>
              <w:top w:val="nil"/>
              <w:left w:val="nil"/>
              <w:bottom w:val="single" w:sz="4" w:space="0" w:color="auto"/>
              <w:right w:val="nil"/>
            </w:tcBorders>
            <w:shd w:val="clear" w:color="000000" w:fill="FFFFFF"/>
            <w:noWrap/>
            <w:vAlign w:val="center"/>
            <w:hideMark/>
          </w:tcPr>
          <w:p w14:paraId="7BB2536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1.29</w:t>
            </w:r>
          </w:p>
        </w:tc>
        <w:tc>
          <w:tcPr>
            <w:tcW w:w="948" w:type="dxa"/>
            <w:tcBorders>
              <w:top w:val="nil"/>
              <w:left w:val="nil"/>
              <w:bottom w:val="single" w:sz="4" w:space="0" w:color="auto"/>
              <w:right w:val="nil"/>
            </w:tcBorders>
            <w:shd w:val="clear" w:color="000000" w:fill="FFFFFF"/>
            <w:noWrap/>
            <w:vAlign w:val="center"/>
            <w:hideMark/>
          </w:tcPr>
          <w:p w14:paraId="0337BDF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1.26</w:t>
            </w:r>
          </w:p>
        </w:tc>
      </w:tr>
      <w:tr w:rsidR="00797994" w:rsidRPr="005F4A48" w14:paraId="3370FC42" w14:textId="77777777" w:rsidTr="004459B5">
        <w:trPr>
          <w:trHeight w:val="264"/>
        </w:trPr>
        <w:tc>
          <w:tcPr>
            <w:tcW w:w="1300" w:type="dxa"/>
            <w:tcBorders>
              <w:top w:val="nil"/>
              <w:left w:val="nil"/>
              <w:bottom w:val="nil"/>
              <w:right w:val="single" w:sz="4" w:space="0" w:color="auto"/>
            </w:tcBorders>
            <w:shd w:val="clear" w:color="000000" w:fill="D9D9D9"/>
            <w:noWrap/>
            <w:vAlign w:val="center"/>
            <w:hideMark/>
          </w:tcPr>
          <w:p w14:paraId="34CA9F95" w14:textId="77777777" w:rsidR="00797994" w:rsidRPr="005F4A48" w:rsidRDefault="00797994" w:rsidP="004459B5">
            <w:pPr>
              <w:spacing w:line="240" w:lineRule="auto"/>
              <w:jc w:val="left"/>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Repaglinide</w:t>
            </w:r>
          </w:p>
        </w:tc>
        <w:tc>
          <w:tcPr>
            <w:tcW w:w="1403" w:type="dxa"/>
            <w:tcBorders>
              <w:top w:val="nil"/>
              <w:left w:val="nil"/>
              <w:bottom w:val="nil"/>
              <w:right w:val="nil"/>
            </w:tcBorders>
            <w:shd w:val="clear" w:color="000000" w:fill="D9D9D9"/>
            <w:noWrap/>
            <w:vAlign w:val="center"/>
            <w:hideMark/>
          </w:tcPr>
          <w:p w14:paraId="5C58E4E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517" w:type="dxa"/>
            <w:tcBorders>
              <w:top w:val="nil"/>
              <w:left w:val="nil"/>
              <w:bottom w:val="nil"/>
              <w:right w:val="single" w:sz="4" w:space="0" w:color="auto"/>
            </w:tcBorders>
            <w:shd w:val="clear" w:color="000000" w:fill="D9D9D9"/>
            <w:noWrap/>
            <w:vAlign w:val="center"/>
            <w:hideMark/>
          </w:tcPr>
          <w:p w14:paraId="5952049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nil"/>
            </w:tcBorders>
            <w:shd w:val="clear" w:color="000000" w:fill="D9D9D9"/>
            <w:noWrap/>
            <w:vAlign w:val="center"/>
            <w:hideMark/>
          </w:tcPr>
          <w:p w14:paraId="3A87CDE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single" w:sz="4" w:space="0" w:color="auto"/>
            </w:tcBorders>
            <w:shd w:val="clear" w:color="000000" w:fill="D9D9D9"/>
            <w:noWrap/>
            <w:vAlign w:val="center"/>
            <w:hideMark/>
          </w:tcPr>
          <w:p w14:paraId="06F3131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72" w:type="dxa"/>
            <w:tcBorders>
              <w:top w:val="nil"/>
              <w:left w:val="nil"/>
              <w:bottom w:val="nil"/>
              <w:right w:val="nil"/>
            </w:tcBorders>
            <w:shd w:val="clear" w:color="000000" w:fill="D9D9D9"/>
            <w:noWrap/>
            <w:vAlign w:val="center"/>
            <w:hideMark/>
          </w:tcPr>
          <w:p w14:paraId="362F98EB" w14:textId="77777777" w:rsidR="00797994" w:rsidRPr="005F4A48" w:rsidRDefault="00797994" w:rsidP="004459B5">
            <w:pPr>
              <w:spacing w:line="240" w:lineRule="auto"/>
              <w:jc w:val="left"/>
              <w:rPr>
                <w:rFonts w:eastAsia="Times New Roman" w:cs="Arial"/>
                <w:color w:val="000000"/>
                <w:szCs w:val="20"/>
                <w:lang w:val="en-GB" w:eastAsia="de-DE"/>
              </w:rPr>
            </w:pPr>
            <w:r w:rsidRPr="005F4A48">
              <w:rPr>
                <w:rFonts w:eastAsia="Times New Roman" w:cs="Arial"/>
                <w:color w:val="000000"/>
                <w:szCs w:val="20"/>
                <w:lang w:val="en-GB" w:eastAsia="de-DE"/>
              </w:rPr>
              <w:t> </w:t>
            </w:r>
          </w:p>
        </w:tc>
        <w:tc>
          <w:tcPr>
            <w:tcW w:w="948" w:type="dxa"/>
            <w:tcBorders>
              <w:top w:val="nil"/>
              <w:left w:val="nil"/>
              <w:bottom w:val="nil"/>
              <w:right w:val="nil"/>
            </w:tcBorders>
            <w:shd w:val="clear" w:color="000000" w:fill="D9D9D9"/>
            <w:noWrap/>
            <w:vAlign w:val="center"/>
            <w:hideMark/>
          </w:tcPr>
          <w:p w14:paraId="5B0A411E" w14:textId="77777777" w:rsidR="00797994" w:rsidRPr="005F4A48" w:rsidRDefault="00797994" w:rsidP="004459B5">
            <w:pPr>
              <w:spacing w:line="240" w:lineRule="auto"/>
              <w:jc w:val="left"/>
              <w:rPr>
                <w:rFonts w:eastAsia="Times New Roman" w:cs="Arial"/>
                <w:color w:val="000000"/>
                <w:szCs w:val="20"/>
                <w:lang w:val="en-GB" w:eastAsia="de-DE"/>
              </w:rPr>
            </w:pPr>
            <w:r w:rsidRPr="005F4A48">
              <w:rPr>
                <w:rFonts w:eastAsia="Times New Roman" w:cs="Arial"/>
                <w:color w:val="000000"/>
                <w:szCs w:val="20"/>
                <w:lang w:val="en-GB" w:eastAsia="de-DE"/>
              </w:rPr>
              <w:t> </w:t>
            </w:r>
          </w:p>
        </w:tc>
      </w:tr>
      <w:tr w:rsidR="00797994" w:rsidRPr="005F4A48" w14:paraId="30B3E0B3"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108A3A15"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C</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[ng/mL]</w:t>
            </w:r>
          </w:p>
        </w:tc>
        <w:tc>
          <w:tcPr>
            <w:tcW w:w="1403" w:type="dxa"/>
            <w:tcBorders>
              <w:top w:val="nil"/>
              <w:left w:val="nil"/>
              <w:bottom w:val="nil"/>
              <w:right w:val="nil"/>
            </w:tcBorders>
            <w:shd w:val="clear" w:color="000000" w:fill="FFFFFF"/>
            <w:noWrap/>
            <w:vAlign w:val="center"/>
            <w:hideMark/>
          </w:tcPr>
          <w:p w14:paraId="21E303C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38.0 ± 20.7</w:t>
            </w:r>
          </w:p>
        </w:tc>
        <w:tc>
          <w:tcPr>
            <w:tcW w:w="1517" w:type="dxa"/>
            <w:tcBorders>
              <w:top w:val="nil"/>
              <w:left w:val="nil"/>
              <w:bottom w:val="nil"/>
              <w:right w:val="single" w:sz="4" w:space="0" w:color="auto"/>
            </w:tcBorders>
            <w:shd w:val="clear" w:color="000000" w:fill="FFFFFF"/>
            <w:noWrap/>
            <w:vAlign w:val="center"/>
            <w:hideMark/>
          </w:tcPr>
          <w:p w14:paraId="1D13F1E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31.9 ± 8.0</w:t>
            </w:r>
          </w:p>
        </w:tc>
        <w:tc>
          <w:tcPr>
            <w:tcW w:w="1460" w:type="dxa"/>
            <w:tcBorders>
              <w:top w:val="nil"/>
              <w:left w:val="nil"/>
              <w:bottom w:val="nil"/>
              <w:right w:val="nil"/>
            </w:tcBorders>
            <w:shd w:val="clear" w:color="000000" w:fill="FFFFFF"/>
            <w:noWrap/>
            <w:vAlign w:val="center"/>
            <w:hideMark/>
          </w:tcPr>
          <w:p w14:paraId="21352A1A"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47.5 ± 29.3</w:t>
            </w:r>
          </w:p>
        </w:tc>
        <w:tc>
          <w:tcPr>
            <w:tcW w:w="1460" w:type="dxa"/>
            <w:tcBorders>
              <w:top w:val="nil"/>
              <w:left w:val="nil"/>
              <w:bottom w:val="nil"/>
              <w:right w:val="single" w:sz="4" w:space="0" w:color="auto"/>
            </w:tcBorders>
            <w:shd w:val="clear" w:color="000000" w:fill="FFFFFF"/>
            <w:noWrap/>
            <w:vAlign w:val="center"/>
            <w:hideMark/>
          </w:tcPr>
          <w:p w14:paraId="0F9CFDD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38.2 ± 8.9</w:t>
            </w:r>
          </w:p>
        </w:tc>
        <w:tc>
          <w:tcPr>
            <w:tcW w:w="972" w:type="dxa"/>
            <w:tcBorders>
              <w:top w:val="nil"/>
              <w:left w:val="nil"/>
              <w:bottom w:val="nil"/>
              <w:right w:val="nil"/>
            </w:tcBorders>
            <w:shd w:val="clear" w:color="000000" w:fill="FFFFFF"/>
            <w:noWrap/>
            <w:vAlign w:val="center"/>
            <w:hideMark/>
          </w:tcPr>
          <w:p w14:paraId="14C2E52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1.25</w:t>
            </w:r>
          </w:p>
        </w:tc>
        <w:tc>
          <w:tcPr>
            <w:tcW w:w="948" w:type="dxa"/>
            <w:tcBorders>
              <w:top w:val="nil"/>
              <w:left w:val="nil"/>
              <w:bottom w:val="nil"/>
              <w:right w:val="nil"/>
            </w:tcBorders>
            <w:shd w:val="clear" w:color="000000" w:fill="FFFFFF"/>
            <w:noWrap/>
            <w:vAlign w:val="center"/>
            <w:hideMark/>
          </w:tcPr>
          <w:p w14:paraId="13DD6D3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1.20</w:t>
            </w:r>
          </w:p>
        </w:tc>
      </w:tr>
      <w:tr w:rsidR="00797994" w:rsidRPr="005F4A48" w14:paraId="5800CB9A"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7FC00751"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[h]</w:t>
            </w:r>
          </w:p>
        </w:tc>
        <w:tc>
          <w:tcPr>
            <w:tcW w:w="1403" w:type="dxa"/>
            <w:tcBorders>
              <w:top w:val="nil"/>
              <w:left w:val="nil"/>
              <w:bottom w:val="nil"/>
              <w:right w:val="nil"/>
            </w:tcBorders>
            <w:shd w:val="clear" w:color="000000" w:fill="FFFFFF"/>
            <w:noWrap/>
            <w:vAlign w:val="center"/>
            <w:hideMark/>
          </w:tcPr>
          <w:p w14:paraId="04E5BBE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0.7 ± 0.4</w:t>
            </w:r>
          </w:p>
        </w:tc>
        <w:tc>
          <w:tcPr>
            <w:tcW w:w="1517" w:type="dxa"/>
            <w:tcBorders>
              <w:top w:val="nil"/>
              <w:left w:val="nil"/>
              <w:bottom w:val="nil"/>
              <w:right w:val="single" w:sz="4" w:space="0" w:color="auto"/>
            </w:tcBorders>
            <w:shd w:val="clear" w:color="000000" w:fill="FFFFFF"/>
            <w:noWrap/>
            <w:vAlign w:val="center"/>
            <w:hideMark/>
          </w:tcPr>
          <w:p w14:paraId="7C65F14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0.6 ± 0.1</w:t>
            </w:r>
          </w:p>
        </w:tc>
        <w:tc>
          <w:tcPr>
            <w:tcW w:w="1460" w:type="dxa"/>
            <w:tcBorders>
              <w:top w:val="nil"/>
              <w:left w:val="nil"/>
              <w:bottom w:val="nil"/>
              <w:right w:val="nil"/>
            </w:tcBorders>
            <w:shd w:val="clear" w:color="000000" w:fill="FFFFFF"/>
            <w:noWrap/>
            <w:vAlign w:val="center"/>
            <w:hideMark/>
          </w:tcPr>
          <w:p w14:paraId="6DE5BCE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0.7 ± 0.2</w:t>
            </w:r>
          </w:p>
        </w:tc>
        <w:tc>
          <w:tcPr>
            <w:tcW w:w="1460" w:type="dxa"/>
            <w:tcBorders>
              <w:top w:val="nil"/>
              <w:left w:val="nil"/>
              <w:bottom w:val="nil"/>
              <w:right w:val="single" w:sz="4" w:space="0" w:color="auto"/>
            </w:tcBorders>
            <w:shd w:val="clear" w:color="000000" w:fill="FFFFFF"/>
            <w:noWrap/>
            <w:vAlign w:val="center"/>
            <w:hideMark/>
          </w:tcPr>
          <w:p w14:paraId="218DE0C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0.7 ± 0.1</w:t>
            </w:r>
          </w:p>
        </w:tc>
        <w:tc>
          <w:tcPr>
            <w:tcW w:w="972" w:type="dxa"/>
            <w:tcBorders>
              <w:top w:val="nil"/>
              <w:left w:val="nil"/>
              <w:bottom w:val="nil"/>
              <w:right w:val="nil"/>
            </w:tcBorders>
            <w:shd w:val="clear" w:color="000000" w:fill="FFFFFF"/>
            <w:noWrap/>
            <w:vAlign w:val="center"/>
            <w:hideMark/>
          </w:tcPr>
          <w:p w14:paraId="5AF54F4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1.00</w:t>
            </w:r>
          </w:p>
        </w:tc>
        <w:tc>
          <w:tcPr>
            <w:tcW w:w="948" w:type="dxa"/>
            <w:tcBorders>
              <w:top w:val="nil"/>
              <w:left w:val="nil"/>
              <w:bottom w:val="nil"/>
              <w:right w:val="nil"/>
            </w:tcBorders>
            <w:shd w:val="clear" w:color="000000" w:fill="FFFFFF"/>
            <w:noWrap/>
            <w:vAlign w:val="center"/>
            <w:hideMark/>
          </w:tcPr>
          <w:p w14:paraId="0FEED22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1.17</w:t>
            </w:r>
          </w:p>
        </w:tc>
      </w:tr>
      <w:tr w:rsidR="00797994" w:rsidRPr="005F4A48" w14:paraId="08D2BF07"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318FBDF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AUC [ng*h/mL]</w:t>
            </w:r>
          </w:p>
        </w:tc>
        <w:tc>
          <w:tcPr>
            <w:tcW w:w="1403" w:type="dxa"/>
            <w:tcBorders>
              <w:top w:val="nil"/>
              <w:left w:val="nil"/>
              <w:bottom w:val="nil"/>
              <w:right w:val="nil"/>
            </w:tcBorders>
            <w:shd w:val="clear" w:color="000000" w:fill="FFFFFF"/>
            <w:noWrap/>
            <w:vAlign w:val="center"/>
            <w:hideMark/>
          </w:tcPr>
          <w:p w14:paraId="7276AF13"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43.9 ± 36.7</w:t>
            </w:r>
          </w:p>
        </w:tc>
        <w:tc>
          <w:tcPr>
            <w:tcW w:w="1517" w:type="dxa"/>
            <w:tcBorders>
              <w:top w:val="nil"/>
              <w:left w:val="nil"/>
              <w:bottom w:val="nil"/>
              <w:right w:val="single" w:sz="4" w:space="0" w:color="auto"/>
            </w:tcBorders>
            <w:shd w:val="clear" w:color="000000" w:fill="FFFFFF"/>
            <w:noWrap/>
            <w:vAlign w:val="center"/>
            <w:hideMark/>
          </w:tcPr>
          <w:p w14:paraId="4E2754A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51.7 ± 19.7</w:t>
            </w:r>
          </w:p>
        </w:tc>
        <w:tc>
          <w:tcPr>
            <w:tcW w:w="1460" w:type="dxa"/>
            <w:tcBorders>
              <w:top w:val="nil"/>
              <w:left w:val="nil"/>
              <w:bottom w:val="nil"/>
              <w:right w:val="nil"/>
            </w:tcBorders>
            <w:shd w:val="clear" w:color="000000" w:fill="FFFFFF"/>
            <w:noWrap/>
            <w:vAlign w:val="center"/>
            <w:hideMark/>
          </w:tcPr>
          <w:p w14:paraId="55E7621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78.7 ± 48.7</w:t>
            </w:r>
          </w:p>
        </w:tc>
        <w:tc>
          <w:tcPr>
            <w:tcW w:w="1460" w:type="dxa"/>
            <w:tcBorders>
              <w:top w:val="nil"/>
              <w:left w:val="nil"/>
              <w:bottom w:val="nil"/>
              <w:right w:val="single" w:sz="4" w:space="0" w:color="auto"/>
            </w:tcBorders>
            <w:shd w:val="clear" w:color="000000" w:fill="FFFFFF"/>
            <w:noWrap/>
            <w:vAlign w:val="center"/>
            <w:hideMark/>
          </w:tcPr>
          <w:p w14:paraId="28ABA50A"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83.5 ± 23.4</w:t>
            </w:r>
          </w:p>
        </w:tc>
        <w:tc>
          <w:tcPr>
            <w:tcW w:w="972" w:type="dxa"/>
            <w:tcBorders>
              <w:top w:val="nil"/>
              <w:left w:val="nil"/>
              <w:bottom w:val="nil"/>
              <w:right w:val="nil"/>
            </w:tcBorders>
            <w:shd w:val="clear" w:color="000000" w:fill="FFFFFF"/>
            <w:noWrap/>
            <w:vAlign w:val="center"/>
            <w:hideMark/>
          </w:tcPr>
          <w:p w14:paraId="5BE7347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1.79</w:t>
            </w:r>
          </w:p>
        </w:tc>
        <w:tc>
          <w:tcPr>
            <w:tcW w:w="948" w:type="dxa"/>
            <w:tcBorders>
              <w:top w:val="nil"/>
              <w:left w:val="nil"/>
              <w:bottom w:val="nil"/>
              <w:right w:val="nil"/>
            </w:tcBorders>
            <w:shd w:val="clear" w:color="000000" w:fill="FFFFFF"/>
            <w:noWrap/>
            <w:vAlign w:val="center"/>
            <w:hideMark/>
          </w:tcPr>
          <w:p w14:paraId="4FD3BBA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1.62</w:t>
            </w:r>
          </w:p>
        </w:tc>
      </w:tr>
      <w:tr w:rsidR="00797994" w:rsidRPr="005F4A48" w14:paraId="4F5DC9F0" w14:textId="77777777" w:rsidTr="004459B5">
        <w:trPr>
          <w:trHeight w:val="264"/>
        </w:trPr>
        <w:tc>
          <w:tcPr>
            <w:tcW w:w="1300" w:type="dxa"/>
            <w:tcBorders>
              <w:top w:val="nil"/>
              <w:left w:val="nil"/>
              <w:bottom w:val="single" w:sz="4" w:space="0" w:color="auto"/>
              <w:right w:val="single" w:sz="4" w:space="0" w:color="auto"/>
            </w:tcBorders>
            <w:shd w:val="clear" w:color="000000" w:fill="FFFFFF"/>
            <w:noWrap/>
            <w:vAlign w:val="center"/>
            <w:hideMark/>
          </w:tcPr>
          <w:p w14:paraId="17F71C5A"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1/2</w:t>
            </w:r>
            <w:r w:rsidRPr="005F4A48">
              <w:rPr>
                <w:rFonts w:eastAsia="Times New Roman" w:cs="Arial"/>
                <w:color w:val="000000"/>
                <w:sz w:val="16"/>
                <w:szCs w:val="16"/>
                <w:lang w:val="en-GB" w:eastAsia="de-DE"/>
              </w:rPr>
              <w:t xml:space="preserve"> [h]</w:t>
            </w:r>
          </w:p>
        </w:tc>
        <w:tc>
          <w:tcPr>
            <w:tcW w:w="1403" w:type="dxa"/>
            <w:tcBorders>
              <w:top w:val="nil"/>
              <w:left w:val="nil"/>
              <w:bottom w:val="single" w:sz="4" w:space="0" w:color="auto"/>
              <w:right w:val="nil"/>
            </w:tcBorders>
            <w:shd w:val="clear" w:color="000000" w:fill="FFFFFF"/>
            <w:noWrap/>
            <w:vAlign w:val="center"/>
            <w:hideMark/>
          </w:tcPr>
          <w:p w14:paraId="7E0773F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 ± 0.3</w:t>
            </w:r>
          </w:p>
        </w:tc>
        <w:tc>
          <w:tcPr>
            <w:tcW w:w="1517" w:type="dxa"/>
            <w:tcBorders>
              <w:top w:val="nil"/>
              <w:left w:val="nil"/>
              <w:bottom w:val="single" w:sz="4" w:space="0" w:color="auto"/>
              <w:right w:val="single" w:sz="4" w:space="0" w:color="auto"/>
            </w:tcBorders>
            <w:shd w:val="clear" w:color="000000" w:fill="FFFFFF"/>
            <w:noWrap/>
            <w:vAlign w:val="center"/>
            <w:hideMark/>
          </w:tcPr>
          <w:p w14:paraId="7EF9EC8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2.3 ± 0.6</w:t>
            </w:r>
          </w:p>
        </w:tc>
        <w:tc>
          <w:tcPr>
            <w:tcW w:w="1460" w:type="dxa"/>
            <w:tcBorders>
              <w:top w:val="nil"/>
              <w:left w:val="nil"/>
              <w:bottom w:val="single" w:sz="4" w:space="0" w:color="auto"/>
              <w:right w:val="nil"/>
            </w:tcBorders>
            <w:shd w:val="clear" w:color="000000" w:fill="FFFFFF"/>
            <w:noWrap/>
            <w:vAlign w:val="center"/>
            <w:hideMark/>
          </w:tcPr>
          <w:p w14:paraId="54F3F0A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1.9 ± 0.4</w:t>
            </w:r>
          </w:p>
        </w:tc>
        <w:tc>
          <w:tcPr>
            <w:tcW w:w="1460" w:type="dxa"/>
            <w:tcBorders>
              <w:top w:val="nil"/>
              <w:left w:val="nil"/>
              <w:bottom w:val="single" w:sz="4" w:space="0" w:color="auto"/>
              <w:right w:val="single" w:sz="4" w:space="0" w:color="auto"/>
            </w:tcBorders>
            <w:shd w:val="clear" w:color="000000" w:fill="FFFFFF"/>
            <w:noWrap/>
            <w:vAlign w:val="center"/>
            <w:hideMark/>
          </w:tcPr>
          <w:p w14:paraId="2D64090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3.0 ± 0.6</w:t>
            </w:r>
          </w:p>
        </w:tc>
        <w:tc>
          <w:tcPr>
            <w:tcW w:w="972" w:type="dxa"/>
            <w:tcBorders>
              <w:top w:val="nil"/>
              <w:left w:val="nil"/>
              <w:bottom w:val="single" w:sz="4" w:space="0" w:color="auto"/>
              <w:right w:val="nil"/>
            </w:tcBorders>
            <w:shd w:val="clear" w:color="000000" w:fill="FFFFFF"/>
            <w:noWrap/>
            <w:vAlign w:val="center"/>
            <w:hideMark/>
          </w:tcPr>
          <w:p w14:paraId="71BAA9D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1.46</w:t>
            </w:r>
          </w:p>
        </w:tc>
        <w:tc>
          <w:tcPr>
            <w:tcW w:w="948" w:type="dxa"/>
            <w:tcBorders>
              <w:top w:val="nil"/>
              <w:left w:val="nil"/>
              <w:bottom w:val="single" w:sz="4" w:space="0" w:color="auto"/>
              <w:right w:val="nil"/>
            </w:tcBorders>
            <w:shd w:val="clear" w:color="000000" w:fill="FFFFFF"/>
            <w:noWrap/>
            <w:vAlign w:val="center"/>
            <w:hideMark/>
          </w:tcPr>
          <w:p w14:paraId="21121FE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1.30</w:t>
            </w:r>
          </w:p>
        </w:tc>
      </w:tr>
      <w:tr w:rsidR="00797994" w:rsidRPr="005F4A48" w14:paraId="11C7DAA6" w14:textId="77777777" w:rsidTr="004459B5">
        <w:trPr>
          <w:trHeight w:val="264"/>
        </w:trPr>
        <w:tc>
          <w:tcPr>
            <w:tcW w:w="1300" w:type="dxa"/>
            <w:tcBorders>
              <w:top w:val="nil"/>
              <w:left w:val="nil"/>
              <w:bottom w:val="nil"/>
              <w:right w:val="single" w:sz="4" w:space="0" w:color="auto"/>
            </w:tcBorders>
            <w:shd w:val="clear" w:color="000000" w:fill="D9D9D9"/>
            <w:noWrap/>
            <w:vAlign w:val="center"/>
            <w:hideMark/>
          </w:tcPr>
          <w:p w14:paraId="5C18D5CD" w14:textId="77777777" w:rsidR="00797994" w:rsidRPr="005F4A48" w:rsidRDefault="00797994" w:rsidP="004459B5">
            <w:pPr>
              <w:spacing w:line="240" w:lineRule="auto"/>
              <w:jc w:val="left"/>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Atorvastatin</w:t>
            </w:r>
          </w:p>
        </w:tc>
        <w:tc>
          <w:tcPr>
            <w:tcW w:w="1403" w:type="dxa"/>
            <w:tcBorders>
              <w:top w:val="nil"/>
              <w:left w:val="nil"/>
              <w:bottom w:val="nil"/>
              <w:right w:val="nil"/>
            </w:tcBorders>
            <w:shd w:val="clear" w:color="000000" w:fill="D9D9D9"/>
            <w:noWrap/>
            <w:vAlign w:val="center"/>
            <w:hideMark/>
          </w:tcPr>
          <w:p w14:paraId="3FCEFC9A"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517" w:type="dxa"/>
            <w:tcBorders>
              <w:top w:val="nil"/>
              <w:left w:val="nil"/>
              <w:bottom w:val="nil"/>
              <w:right w:val="single" w:sz="4" w:space="0" w:color="auto"/>
            </w:tcBorders>
            <w:shd w:val="clear" w:color="000000" w:fill="D9D9D9"/>
            <w:noWrap/>
            <w:vAlign w:val="center"/>
            <w:hideMark/>
          </w:tcPr>
          <w:p w14:paraId="02BD85B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nil"/>
            </w:tcBorders>
            <w:shd w:val="clear" w:color="000000" w:fill="D9D9D9"/>
            <w:noWrap/>
            <w:vAlign w:val="center"/>
            <w:hideMark/>
          </w:tcPr>
          <w:p w14:paraId="3BBEF12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single" w:sz="4" w:space="0" w:color="auto"/>
            </w:tcBorders>
            <w:shd w:val="clear" w:color="000000" w:fill="D9D9D9"/>
            <w:noWrap/>
            <w:vAlign w:val="center"/>
            <w:hideMark/>
          </w:tcPr>
          <w:p w14:paraId="2735554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72" w:type="dxa"/>
            <w:tcBorders>
              <w:top w:val="nil"/>
              <w:left w:val="nil"/>
              <w:bottom w:val="nil"/>
              <w:right w:val="nil"/>
            </w:tcBorders>
            <w:shd w:val="clear" w:color="000000" w:fill="D9D9D9"/>
            <w:noWrap/>
            <w:vAlign w:val="center"/>
            <w:hideMark/>
          </w:tcPr>
          <w:p w14:paraId="44168BC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48" w:type="dxa"/>
            <w:tcBorders>
              <w:top w:val="nil"/>
              <w:left w:val="nil"/>
              <w:bottom w:val="nil"/>
              <w:right w:val="nil"/>
            </w:tcBorders>
            <w:shd w:val="clear" w:color="000000" w:fill="D9D9D9"/>
            <w:noWrap/>
            <w:vAlign w:val="center"/>
            <w:hideMark/>
          </w:tcPr>
          <w:p w14:paraId="2FFCD6C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r>
      <w:tr w:rsidR="00797994" w:rsidRPr="005F4A48" w14:paraId="7B8934F6"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3B1BC3AF"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C</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[ng/mL]</w:t>
            </w:r>
          </w:p>
        </w:tc>
        <w:tc>
          <w:tcPr>
            <w:tcW w:w="1403" w:type="dxa"/>
            <w:tcBorders>
              <w:top w:val="nil"/>
              <w:left w:val="nil"/>
              <w:bottom w:val="nil"/>
              <w:right w:val="nil"/>
            </w:tcBorders>
            <w:shd w:val="clear" w:color="000000" w:fill="FFFFFF"/>
            <w:noWrap/>
            <w:vAlign w:val="center"/>
            <w:hideMark/>
          </w:tcPr>
          <w:p w14:paraId="332EDEF3"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14.8 ± 7.6</w:t>
            </w:r>
          </w:p>
        </w:tc>
        <w:tc>
          <w:tcPr>
            <w:tcW w:w="1517" w:type="dxa"/>
            <w:tcBorders>
              <w:top w:val="nil"/>
              <w:left w:val="nil"/>
              <w:bottom w:val="nil"/>
              <w:right w:val="single" w:sz="4" w:space="0" w:color="auto"/>
            </w:tcBorders>
            <w:shd w:val="clear" w:color="000000" w:fill="FFFFFF"/>
            <w:noWrap/>
            <w:vAlign w:val="center"/>
            <w:hideMark/>
          </w:tcPr>
          <w:p w14:paraId="282BE9F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16.2 ± 8.0</w:t>
            </w:r>
          </w:p>
        </w:tc>
        <w:tc>
          <w:tcPr>
            <w:tcW w:w="1460" w:type="dxa"/>
            <w:tcBorders>
              <w:top w:val="nil"/>
              <w:left w:val="nil"/>
              <w:bottom w:val="nil"/>
              <w:right w:val="nil"/>
            </w:tcBorders>
            <w:shd w:val="clear" w:color="000000" w:fill="FFFFFF"/>
            <w:noWrap/>
            <w:vAlign w:val="center"/>
            <w:hideMark/>
          </w:tcPr>
          <w:p w14:paraId="37BB92D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18.1</w:t>
            </w:r>
          </w:p>
        </w:tc>
        <w:tc>
          <w:tcPr>
            <w:tcW w:w="1460" w:type="dxa"/>
            <w:tcBorders>
              <w:top w:val="nil"/>
              <w:left w:val="nil"/>
              <w:bottom w:val="nil"/>
              <w:right w:val="single" w:sz="4" w:space="0" w:color="auto"/>
            </w:tcBorders>
            <w:shd w:val="clear" w:color="000000" w:fill="FFFFFF"/>
            <w:noWrap/>
            <w:vAlign w:val="center"/>
            <w:hideMark/>
          </w:tcPr>
          <w:p w14:paraId="31FCB0A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15.2 ± 8.9</w:t>
            </w:r>
          </w:p>
        </w:tc>
        <w:tc>
          <w:tcPr>
            <w:tcW w:w="972" w:type="dxa"/>
            <w:tcBorders>
              <w:top w:val="nil"/>
              <w:left w:val="nil"/>
              <w:bottom w:val="nil"/>
              <w:right w:val="nil"/>
            </w:tcBorders>
            <w:shd w:val="clear" w:color="000000" w:fill="FFFFFF"/>
            <w:noWrap/>
            <w:vAlign w:val="center"/>
            <w:hideMark/>
          </w:tcPr>
          <w:p w14:paraId="46119DC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1.22</w:t>
            </w:r>
          </w:p>
        </w:tc>
        <w:tc>
          <w:tcPr>
            <w:tcW w:w="948" w:type="dxa"/>
            <w:tcBorders>
              <w:top w:val="nil"/>
              <w:left w:val="nil"/>
              <w:bottom w:val="nil"/>
              <w:right w:val="nil"/>
            </w:tcBorders>
            <w:shd w:val="clear" w:color="000000" w:fill="FFFFFF"/>
            <w:noWrap/>
            <w:vAlign w:val="center"/>
            <w:hideMark/>
          </w:tcPr>
          <w:p w14:paraId="2CDED47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0.94</w:t>
            </w:r>
          </w:p>
        </w:tc>
      </w:tr>
      <w:tr w:rsidR="00797994" w:rsidRPr="005F4A48" w14:paraId="1B9943E5"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59C1C4DD"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[h]</w:t>
            </w:r>
          </w:p>
        </w:tc>
        <w:tc>
          <w:tcPr>
            <w:tcW w:w="1403" w:type="dxa"/>
            <w:tcBorders>
              <w:top w:val="nil"/>
              <w:left w:val="nil"/>
              <w:bottom w:val="nil"/>
              <w:right w:val="nil"/>
            </w:tcBorders>
            <w:shd w:val="clear" w:color="000000" w:fill="FFFFFF"/>
            <w:noWrap/>
            <w:vAlign w:val="center"/>
            <w:hideMark/>
          </w:tcPr>
          <w:p w14:paraId="79AA4A1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 ± 0.3</w:t>
            </w:r>
          </w:p>
        </w:tc>
        <w:tc>
          <w:tcPr>
            <w:tcW w:w="1517" w:type="dxa"/>
            <w:tcBorders>
              <w:top w:val="nil"/>
              <w:left w:val="nil"/>
              <w:bottom w:val="nil"/>
              <w:right w:val="single" w:sz="4" w:space="0" w:color="auto"/>
            </w:tcBorders>
            <w:shd w:val="clear" w:color="000000" w:fill="FFFFFF"/>
            <w:noWrap/>
            <w:vAlign w:val="center"/>
            <w:hideMark/>
          </w:tcPr>
          <w:p w14:paraId="14E9659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1.4 ± 0.4</w:t>
            </w:r>
          </w:p>
        </w:tc>
        <w:tc>
          <w:tcPr>
            <w:tcW w:w="1460" w:type="dxa"/>
            <w:tcBorders>
              <w:top w:val="nil"/>
              <w:left w:val="nil"/>
              <w:bottom w:val="nil"/>
              <w:right w:val="nil"/>
            </w:tcBorders>
            <w:shd w:val="clear" w:color="000000" w:fill="FFFFFF"/>
            <w:noWrap/>
            <w:vAlign w:val="center"/>
            <w:hideMark/>
          </w:tcPr>
          <w:p w14:paraId="58EA466A"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1.8</w:t>
            </w:r>
          </w:p>
        </w:tc>
        <w:tc>
          <w:tcPr>
            <w:tcW w:w="1460" w:type="dxa"/>
            <w:tcBorders>
              <w:top w:val="nil"/>
              <w:left w:val="nil"/>
              <w:bottom w:val="nil"/>
              <w:right w:val="single" w:sz="4" w:space="0" w:color="auto"/>
            </w:tcBorders>
            <w:shd w:val="clear" w:color="000000" w:fill="FFFFFF"/>
            <w:noWrap/>
            <w:vAlign w:val="center"/>
            <w:hideMark/>
          </w:tcPr>
          <w:p w14:paraId="2E9C2913"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1.5 ± 0.5</w:t>
            </w:r>
          </w:p>
        </w:tc>
        <w:tc>
          <w:tcPr>
            <w:tcW w:w="972" w:type="dxa"/>
            <w:tcBorders>
              <w:top w:val="nil"/>
              <w:left w:val="nil"/>
              <w:bottom w:val="nil"/>
              <w:right w:val="nil"/>
            </w:tcBorders>
            <w:shd w:val="clear" w:color="000000" w:fill="FFFFFF"/>
            <w:noWrap/>
            <w:vAlign w:val="center"/>
            <w:hideMark/>
          </w:tcPr>
          <w:p w14:paraId="37E08C3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1.8</w:t>
            </w:r>
          </w:p>
        </w:tc>
        <w:tc>
          <w:tcPr>
            <w:tcW w:w="948" w:type="dxa"/>
            <w:tcBorders>
              <w:top w:val="nil"/>
              <w:left w:val="nil"/>
              <w:bottom w:val="nil"/>
              <w:right w:val="nil"/>
            </w:tcBorders>
            <w:shd w:val="clear" w:color="000000" w:fill="FFFFFF"/>
            <w:noWrap/>
            <w:vAlign w:val="center"/>
            <w:hideMark/>
          </w:tcPr>
          <w:p w14:paraId="3C6F799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1.07</w:t>
            </w:r>
          </w:p>
        </w:tc>
      </w:tr>
      <w:tr w:rsidR="00797994" w:rsidRPr="005F4A48" w14:paraId="4DB756D2"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61CE631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AUC [ng*h/mL]</w:t>
            </w:r>
          </w:p>
        </w:tc>
        <w:tc>
          <w:tcPr>
            <w:tcW w:w="1403" w:type="dxa"/>
            <w:tcBorders>
              <w:top w:val="nil"/>
              <w:left w:val="nil"/>
              <w:bottom w:val="nil"/>
              <w:right w:val="nil"/>
            </w:tcBorders>
            <w:shd w:val="clear" w:color="000000" w:fill="FFFFFF"/>
            <w:noWrap/>
            <w:vAlign w:val="center"/>
            <w:hideMark/>
          </w:tcPr>
          <w:p w14:paraId="45BC13F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77.9 ± 30.9</w:t>
            </w:r>
          </w:p>
        </w:tc>
        <w:tc>
          <w:tcPr>
            <w:tcW w:w="1517" w:type="dxa"/>
            <w:tcBorders>
              <w:top w:val="nil"/>
              <w:left w:val="nil"/>
              <w:bottom w:val="nil"/>
              <w:right w:val="single" w:sz="4" w:space="0" w:color="auto"/>
            </w:tcBorders>
            <w:shd w:val="clear" w:color="000000" w:fill="FFFFFF"/>
            <w:noWrap/>
            <w:vAlign w:val="center"/>
            <w:hideMark/>
          </w:tcPr>
          <w:p w14:paraId="5B57B84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86.3 ± 50.3</w:t>
            </w:r>
          </w:p>
        </w:tc>
        <w:tc>
          <w:tcPr>
            <w:tcW w:w="1460" w:type="dxa"/>
            <w:tcBorders>
              <w:top w:val="nil"/>
              <w:left w:val="nil"/>
              <w:bottom w:val="nil"/>
              <w:right w:val="nil"/>
            </w:tcBorders>
            <w:shd w:val="clear" w:color="000000" w:fill="FFFFFF"/>
            <w:noWrap/>
            <w:vAlign w:val="center"/>
            <w:hideMark/>
          </w:tcPr>
          <w:p w14:paraId="4F46A203"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107.8</w:t>
            </w:r>
          </w:p>
        </w:tc>
        <w:tc>
          <w:tcPr>
            <w:tcW w:w="1460" w:type="dxa"/>
            <w:tcBorders>
              <w:top w:val="nil"/>
              <w:left w:val="nil"/>
              <w:bottom w:val="nil"/>
              <w:right w:val="single" w:sz="4" w:space="0" w:color="auto"/>
            </w:tcBorders>
            <w:shd w:val="clear" w:color="000000" w:fill="FFFFFF"/>
            <w:noWrap/>
            <w:vAlign w:val="center"/>
            <w:hideMark/>
          </w:tcPr>
          <w:p w14:paraId="63C23BD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114.1 ± 68.7</w:t>
            </w:r>
          </w:p>
        </w:tc>
        <w:tc>
          <w:tcPr>
            <w:tcW w:w="972" w:type="dxa"/>
            <w:tcBorders>
              <w:top w:val="nil"/>
              <w:left w:val="nil"/>
              <w:bottom w:val="nil"/>
              <w:right w:val="nil"/>
            </w:tcBorders>
            <w:shd w:val="clear" w:color="000000" w:fill="FFFFFF"/>
            <w:noWrap/>
            <w:vAlign w:val="center"/>
            <w:hideMark/>
          </w:tcPr>
          <w:p w14:paraId="2D7E460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1.38</w:t>
            </w:r>
          </w:p>
        </w:tc>
        <w:tc>
          <w:tcPr>
            <w:tcW w:w="948" w:type="dxa"/>
            <w:tcBorders>
              <w:top w:val="nil"/>
              <w:left w:val="nil"/>
              <w:bottom w:val="nil"/>
              <w:right w:val="nil"/>
            </w:tcBorders>
            <w:shd w:val="clear" w:color="000000" w:fill="FFFFFF"/>
            <w:noWrap/>
            <w:vAlign w:val="center"/>
            <w:hideMark/>
          </w:tcPr>
          <w:p w14:paraId="60523B3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1.32</w:t>
            </w:r>
          </w:p>
        </w:tc>
      </w:tr>
      <w:tr w:rsidR="00797994" w:rsidRPr="005F4A48" w14:paraId="4BF49D44" w14:textId="77777777" w:rsidTr="004459B5">
        <w:trPr>
          <w:trHeight w:val="264"/>
        </w:trPr>
        <w:tc>
          <w:tcPr>
            <w:tcW w:w="1300" w:type="dxa"/>
            <w:tcBorders>
              <w:top w:val="nil"/>
              <w:left w:val="nil"/>
              <w:bottom w:val="single" w:sz="4" w:space="0" w:color="auto"/>
              <w:right w:val="single" w:sz="4" w:space="0" w:color="auto"/>
            </w:tcBorders>
            <w:shd w:val="clear" w:color="000000" w:fill="FFFFFF"/>
            <w:noWrap/>
            <w:vAlign w:val="center"/>
            <w:hideMark/>
          </w:tcPr>
          <w:p w14:paraId="0D8A90F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1/2</w:t>
            </w:r>
            <w:r w:rsidRPr="005F4A48">
              <w:rPr>
                <w:rFonts w:eastAsia="Times New Roman" w:cs="Arial"/>
                <w:color w:val="000000"/>
                <w:sz w:val="16"/>
                <w:szCs w:val="16"/>
                <w:lang w:val="en-GB" w:eastAsia="de-DE"/>
              </w:rPr>
              <w:t xml:space="preserve"> [h]</w:t>
            </w:r>
          </w:p>
        </w:tc>
        <w:tc>
          <w:tcPr>
            <w:tcW w:w="1403" w:type="dxa"/>
            <w:tcBorders>
              <w:top w:val="nil"/>
              <w:left w:val="nil"/>
              <w:bottom w:val="single" w:sz="4" w:space="0" w:color="auto"/>
              <w:right w:val="nil"/>
            </w:tcBorders>
            <w:shd w:val="clear" w:color="000000" w:fill="FFFFFF"/>
            <w:noWrap/>
            <w:vAlign w:val="center"/>
            <w:hideMark/>
          </w:tcPr>
          <w:p w14:paraId="17E7B23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9.2 ± 3.6</w:t>
            </w:r>
          </w:p>
        </w:tc>
        <w:tc>
          <w:tcPr>
            <w:tcW w:w="1517" w:type="dxa"/>
            <w:tcBorders>
              <w:top w:val="nil"/>
              <w:left w:val="nil"/>
              <w:bottom w:val="single" w:sz="4" w:space="0" w:color="auto"/>
              <w:right w:val="single" w:sz="4" w:space="0" w:color="auto"/>
            </w:tcBorders>
            <w:shd w:val="clear" w:color="000000" w:fill="FFFFFF"/>
            <w:noWrap/>
            <w:vAlign w:val="center"/>
            <w:hideMark/>
          </w:tcPr>
          <w:p w14:paraId="2EADA09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13.1 ± 3.7</w:t>
            </w:r>
          </w:p>
        </w:tc>
        <w:tc>
          <w:tcPr>
            <w:tcW w:w="1460" w:type="dxa"/>
            <w:tcBorders>
              <w:top w:val="nil"/>
              <w:left w:val="nil"/>
              <w:bottom w:val="single" w:sz="4" w:space="0" w:color="auto"/>
              <w:right w:val="nil"/>
            </w:tcBorders>
            <w:shd w:val="clear" w:color="000000" w:fill="FFFFFF"/>
            <w:noWrap/>
            <w:vAlign w:val="center"/>
            <w:hideMark/>
          </w:tcPr>
          <w:p w14:paraId="55F6467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18.8</w:t>
            </w:r>
          </w:p>
        </w:tc>
        <w:tc>
          <w:tcPr>
            <w:tcW w:w="1460" w:type="dxa"/>
            <w:tcBorders>
              <w:top w:val="nil"/>
              <w:left w:val="nil"/>
              <w:bottom w:val="single" w:sz="4" w:space="0" w:color="auto"/>
              <w:right w:val="single" w:sz="4" w:space="0" w:color="auto"/>
            </w:tcBorders>
            <w:shd w:val="clear" w:color="000000" w:fill="FFFFFF"/>
            <w:noWrap/>
            <w:vAlign w:val="center"/>
            <w:hideMark/>
          </w:tcPr>
          <w:p w14:paraId="63FA81B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16.1 ± 4.5</w:t>
            </w:r>
          </w:p>
        </w:tc>
        <w:tc>
          <w:tcPr>
            <w:tcW w:w="972" w:type="dxa"/>
            <w:tcBorders>
              <w:top w:val="nil"/>
              <w:left w:val="nil"/>
              <w:bottom w:val="single" w:sz="4" w:space="0" w:color="auto"/>
              <w:right w:val="nil"/>
            </w:tcBorders>
            <w:shd w:val="clear" w:color="000000" w:fill="FFFFFF"/>
            <w:noWrap/>
            <w:vAlign w:val="center"/>
            <w:hideMark/>
          </w:tcPr>
          <w:p w14:paraId="1C4E7F8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2.04</w:t>
            </w:r>
          </w:p>
        </w:tc>
        <w:tc>
          <w:tcPr>
            <w:tcW w:w="948" w:type="dxa"/>
            <w:tcBorders>
              <w:top w:val="nil"/>
              <w:left w:val="nil"/>
              <w:bottom w:val="single" w:sz="4" w:space="0" w:color="auto"/>
              <w:right w:val="nil"/>
            </w:tcBorders>
            <w:shd w:val="clear" w:color="000000" w:fill="FFFFFF"/>
            <w:noWrap/>
            <w:vAlign w:val="center"/>
            <w:hideMark/>
          </w:tcPr>
          <w:p w14:paraId="0A7F2D2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1.23</w:t>
            </w:r>
          </w:p>
        </w:tc>
      </w:tr>
      <w:tr w:rsidR="00797994" w:rsidRPr="005F4A48" w14:paraId="53052629" w14:textId="77777777" w:rsidTr="004459B5">
        <w:trPr>
          <w:trHeight w:val="264"/>
        </w:trPr>
        <w:tc>
          <w:tcPr>
            <w:tcW w:w="1300" w:type="dxa"/>
            <w:tcBorders>
              <w:top w:val="nil"/>
              <w:left w:val="nil"/>
              <w:bottom w:val="nil"/>
              <w:right w:val="single" w:sz="4" w:space="0" w:color="auto"/>
            </w:tcBorders>
            <w:shd w:val="clear" w:color="000000" w:fill="D9D9D9"/>
            <w:noWrap/>
            <w:vAlign w:val="center"/>
            <w:hideMark/>
          </w:tcPr>
          <w:p w14:paraId="024220F5" w14:textId="77777777" w:rsidR="00797994" w:rsidRPr="005F4A48" w:rsidRDefault="00797994" w:rsidP="004459B5">
            <w:pPr>
              <w:spacing w:line="240" w:lineRule="auto"/>
              <w:jc w:val="left"/>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Rosuvastatin</w:t>
            </w:r>
          </w:p>
        </w:tc>
        <w:tc>
          <w:tcPr>
            <w:tcW w:w="1403" w:type="dxa"/>
            <w:tcBorders>
              <w:top w:val="nil"/>
              <w:left w:val="nil"/>
              <w:bottom w:val="nil"/>
              <w:right w:val="nil"/>
            </w:tcBorders>
            <w:shd w:val="clear" w:color="000000" w:fill="D9D9D9"/>
            <w:noWrap/>
            <w:vAlign w:val="center"/>
            <w:hideMark/>
          </w:tcPr>
          <w:p w14:paraId="3DF7160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517" w:type="dxa"/>
            <w:tcBorders>
              <w:top w:val="nil"/>
              <w:left w:val="nil"/>
              <w:bottom w:val="nil"/>
              <w:right w:val="single" w:sz="4" w:space="0" w:color="auto"/>
            </w:tcBorders>
            <w:shd w:val="clear" w:color="000000" w:fill="D9D9D9"/>
            <w:noWrap/>
            <w:vAlign w:val="center"/>
            <w:hideMark/>
          </w:tcPr>
          <w:p w14:paraId="4B148E7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nil"/>
            </w:tcBorders>
            <w:shd w:val="clear" w:color="000000" w:fill="D9D9D9"/>
            <w:noWrap/>
            <w:vAlign w:val="center"/>
            <w:hideMark/>
          </w:tcPr>
          <w:p w14:paraId="6EA9609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single" w:sz="4" w:space="0" w:color="auto"/>
            </w:tcBorders>
            <w:shd w:val="clear" w:color="000000" w:fill="D9D9D9"/>
            <w:noWrap/>
            <w:vAlign w:val="center"/>
            <w:hideMark/>
          </w:tcPr>
          <w:p w14:paraId="72EC3F8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72" w:type="dxa"/>
            <w:tcBorders>
              <w:top w:val="nil"/>
              <w:left w:val="nil"/>
              <w:bottom w:val="nil"/>
              <w:right w:val="nil"/>
            </w:tcBorders>
            <w:shd w:val="clear" w:color="000000" w:fill="D9D9D9"/>
            <w:noWrap/>
            <w:vAlign w:val="center"/>
            <w:hideMark/>
          </w:tcPr>
          <w:p w14:paraId="6C4DE57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48" w:type="dxa"/>
            <w:tcBorders>
              <w:top w:val="nil"/>
              <w:left w:val="nil"/>
              <w:bottom w:val="nil"/>
              <w:right w:val="nil"/>
            </w:tcBorders>
            <w:shd w:val="clear" w:color="000000" w:fill="D9D9D9"/>
            <w:noWrap/>
            <w:vAlign w:val="center"/>
            <w:hideMark/>
          </w:tcPr>
          <w:p w14:paraId="03684AA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r>
      <w:tr w:rsidR="00797994" w:rsidRPr="005F4A48" w14:paraId="1B6D1F98"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0795DAE6"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C</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[ng/mL]</w:t>
            </w:r>
          </w:p>
        </w:tc>
        <w:tc>
          <w:tcPr>
            <w:tcW w:w="1403" w:type="dxa"/>
            <w:tcBorders>
              <w:top w:val="nil"/>
              <w:left w:val="nil"/>
              <w:bottom w:val="nil"/>
              <w:right w:val="nil"/>
            </w:tcBorders>
            <w:shd w:val="clear" w:color="000000" w:fill="FFFFFF"/>
            <w:noWrap/>
            <w:vAlign w:val="center"/>
            <w:hideMark/>
          </w:tcPr>
          <w:p w14:paraId="1AFB618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20.9 ± 10.6</w:t>
            </w:r>
          </w:p>
        </w:tc>
        <w:tc>
          <w:tcPr>
            <w:tcW w:w="1517" w:type="dxa"/>
            <w:tcBorders>
              <w:top w:val="nil"/>
              <w:left w:val="nil"/>
              <w:bottom w:val="nil"/>
              <w:right w:val="single" w:sz="4" w:space="0" w:color="auto"/>
            </w:tcBorders>
            <w:shd w:val="clear" w:color="000000" w:fill="FFFFFF"/>
            <w:noWrap/>
            <w:vAlign w:val="center"/>
            <w:hideMark/>
          </w:tcPr>
          <w:p w14:paraId="38D945D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16.2 ± 5.7</w:t>
            </w:r>
          </w:p>
        </w:tc>
        <w:tc>
          <w:tcPr>
            <w:tcW w:w="1460" w:type="dxa"/>
            <w:tcBorders>
              <w:top w:val="nil"/>
              <w:left w:val="nil"/>
              <w:bottom w:val="nil"/>
              <w:right w:val="nil"/>
            </w:tcBorders>
            <w:shd w:val="clear" w:color="000000" w:fill="FFFFFF"/>
            <w:noWrap/>
            <w:vAlign w:val="center"/>
            <w:hideMark/>
          </w:tcPr>
          <w:p w14:paraId="0258519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19.9 ± 7.4</w:t>
            </w:r>
          </w:p>
        </w:tc>
        <w:tc>
          <w:tcPr>
            <w:tcW w:w="1460" w:type="dxa"/>
            <w:tcBorders>
              <w:top w:val="nil"/>
              <w:left w:val="nil"/>
              <w:bottom w:val="nil"/>
              <w:right w:val="single" w:sz="4" w:space="0" w:color="auto"/>
            </w:tcBorders>
            <w:shd w:val="clear" w:color="000000" w:fill="FFFFFF"/>
            <w:noWrap/>
            <w:vAlign w:val="center"/>
            <w:hideMark/>
          </w:tcPr>
          <w:p w14:paraId="113F18E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14.8 ± 5.0</w:t>
            </w:r>
          </w:p>
        </w:tc>
        <w:tc>
          <w:tcPr>
            <w:tcW w:w="972" w:type="dxa"/>
            <w:tcBorders>
              <w:top w:val="nil"/>
              <w:left w:val="nil"/>
              <w:bottom w:val="nil"/>
              <w:right w:val="nil"/>
            </w:tcBorders>
            <w:shd w:val="clear" w:color="000000" w:fill="FFFFFF"/>
            <w:noWrap/>
            <w:vAlign w:val="center"/>
            <w:hideMark/>
          </w:tcPr>
          <w:p w14:paraId="3CABF45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0.95</w:t>
            </w:r>
          </w:p>
        </w:tc>
        <w:tc>
          <w:tcPr>
            <w:tcW w:w="948" w:type="dxa"/>
            <w:tcBorders>
              <w:top w:val="nil"/>
              <w:left w:val="nil"/>
              <w:bottom w:val="nil"/>
              <w:right w:val="nil"/>
            </w:tcBorders>
            <w:shd w:val="clear" w:color="000000" w:fill="FFFFFF"/>
            <w:noWrap/>
            <w:vAlign w:val="center"/>
            <w:hideMark/>
          </w:tcPr>
          <w:p w14:paraId="2BCABAC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0.91</w:t>
            </w:r>
          </w:p>
        </w:tc>
      </w:tr>
      <w:tr w:rsidR="00797994" w:rsidRPr="005F4A48" w14:paraId="489DCB2B"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4461CAE2"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[h]</w:t>
            </w:r>
          </w:p>
        </w:tc>
        <w:tc>
          <w:tcPr>
            <w:tcW w:w="1403" w:type="dxa"/>
            <w:tcBorders>
              <w:top w:val="nil"/>
              <w:left w:val="nil"/>
              <w:bottom w:val="nil"/>
              <w:right w:val="nil"/>
            </w:tcBorders>
            <w:shd w:val="clear" w:color="000000" w:fill="FFFFFF"/>
            <w:noWrap/>
            <w:vAlign w:val="center"/>
            <w:hideMark/>
          </w:tcPr>
          <w:p w14:paraId="76B1109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5.0 ± 1.6</w:t>
            </w:r>
          </w:p>
        </w:tc>
        <w:tc>
          <w:tcPr>
            <w:tcW w:w="1517" w:type="dxa"/>
            <w:tcBorders>
              <w:top w:val="nil"/>
              <w:left w:val="nil"/>
              <w:bottom w:val="nil"/>
              <w:right w:val="single" w:sz="4" w:space="0" w:color="auto"/>
            </w:tcBorders>
            <w:shd w:val="clear" w:color="000000" w:fill="FFFFFF"/>
            <w:noWrap/>
            <w:vAlign w:val="center"/>
            <w:hideMark/>
          </w:tcPr>
          <w:p w14:paraId="01D5B46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2.5 ± 0.5</w:t>
            </w:r>
          </w:p>
        </w:tc>
        <w:tc>
          <w:tcPr>
            <w:tcW w:w="1460" w:type="dxa"/>
            <w:tcBorders>
              <w:top w:val="nil"/>
              <w:left w:val="nil"/>
              <w:bottom w:val="nil"/>
              <w:right w:val="nil"/>
            </w:tcBorders>
            <w:shd w:val="clear" w:color="000000" w:fill="FFFFFF"/>
            <w:noWrap/>
            <w:vAlign w:val="center"/>
            <w:hideMark/>
          </w:tcPr>
          <w:p w14:paraId="7E7623D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4.0 ± 1.2</w:t>
            </w:r>
          </w:p>
        </w:tc>
        <w:tc>
          <w:tcPr>
            <w:tcW w:w="1460" w:type="dxa"/>
            <w:tcBorders>
              <w:top w:val="nil"/>
              <w:left w:val="nil"/>
              <w:bottom w:val="nil"/>
              <w:right w:val="single" w:sz="4" w:space="0" w:color="auto"/>
            </w:tcBorders>
            <w:shd w:val="clear" w:color="000000" w:fill="FFFFFF"/>
            <w:noWrap/>
            <w:vAlign w:val="center"/>
            <w:hideMark/>
          </w:tcPr>
          <w:p w14:paraId="1549BBD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3.0 ± 0.7</w:t>
            </w:r>
          </w:p>
        </w:tc>
        <w:tc>
          <w:tcPr>
            <w:tcW w:w="972" w:type="dxa"/>
            <w:tcBorders>
              <w:top w:val="nil"/>
              <w:left w:val="nil"/>
              <w:bottom w:val="nil"/>
              <w:right w:val="nil"/>
            </w:tcBorders>
            <w:shd w:val="clear" w:color="000000" w:fill="FFFFFF"/>
            <w:noWrap/>
            <w:vAlign w:val="center"/>
            <w:hideMark/>
          </w:tcPr>
          <w:p w14:paraId="48B7CB4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0.8</w:t>
            </w:r>
          </w:p>
        </w:tc>
        <w:tc>
          <w:tcPr>
            <w:tcW w:w="948" w:type="dxa"/>
            <w:tcBorders>
              <w:top w:val="nil"/>
              <w:left w:val="nil"/>
              <w:bottom w:val="nil"/>
              <w:right w:val="nil"/>
            </w:tcBorders>
            <w:shd w:val="clear" w:color="000000" w:fill="FFFFFF"/>
            <w:noWrap/>
            <w:vAlign w:val="center"/>
            <w:hideMark/>
          </w:tcPr>
          <w:p w14:paraId="4DFEF22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w:t>
            </w:r>
          </w:p>
        </w:tc>
      </w:tr>
      <w:tr w:rsidR="00797994" w:rsidRPr="005F4A48" w14:paraId="431473B2"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6887FF2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AUC [ng*h/mL]</w:t>
            </w:r>
          </w:p>
        </w:tc>
        <w:tc>
          <w:tcPr>
            <w:tcW w:w="1403" w:type="dxa"/>
            <w:tcBorders>
              <w:top w:val="nil"/>
              <w:left w:val="nil"/>
              <w:bottom w:val="nil"/>
              <w:right w:val="nil"/>
            </w:tcBorders>
            <w:shd w:val="clear" w:color="000000" w:fill="FFFFFF"/>
            <w:noWrap/>
            <w:vAlign w:val="center"/>
            <w:hideMark/>
          </w:tcPr>
          <w:p w14:paraId="4454161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188 ± 78</w:t>
            </w:r>
          </w:p>
        </w:tc>
        <w:tc>
          <w:tcPr>
            <w:tcW w:w="1517" w:type="dxa"/>
            <w:tcBorders>
              <w:top w:val="nil"/>
              <w:left w:val="nil"/>
              <w:bottom w:val="nil"/>
              <w:right w:val="single" w:sz="4" w:space="0" w:color="auto"/>
            </w:tcBorders>
            <w:shd w:val="clear" w:color="000000" w:fill="FFFFFF"/>
            <w:noWrap/>
            <w:vAlign w:val="center"/>
            <w:hideMark/>
          </w:tcPr>
          <w:p w14:paraId="68DF6C0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188 ± 59</w:t>
            </w:r>
          </w:p>
        </w:tc>
        <w:tc>
          <w:tcPr>
            <w:tcW w:w="1460" w:type="dxa"/>
            <w:tcBorders>
              <w:top w:val="nil"/>
              <w:left w:val="nil"/>
              <w:bottom w:val="nil"/>
              <w:right w:val="nil"/>
            </w:tcBorders>
            <w:shd w:val="clear" w:color="000000" w:fill="FFFFFF"/>
            <w:noWrap/>
            <w:vAlign w:val="center"/>
            <w:hideMark/>
          </w:tcPr>
          <w:p w14:paraId="5E40514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194 ± 28</w:t>
            </w:r>
          </w:p>
        </w:tc>
        <w:tc>
          <w:tcPr>
            <w:tcW w:w="1460" w:type="dxa"/>
            <w:tcBorders>
              <w:top w:val="nil"/>
              <w:left w:val="nil"/>
              <w:bottom w:val="nil"/>
              <w:right w:val="single" w:sz="4" w:space="0" w:color="auto"/>
            </w:tcBorders>
            <w:shd w:val="clear" w:color="000000" w:fill="FFFFFF"/>
            <w:noWrap/>
            <w:vAlign w:val="center"/>
            <w:hideMark/>
          </w:tcPr>
          <w:p w14:paraId="647B4A5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233 ± 92</w:t>
            </w:r>
          </w:p>
        </w:tc>
        <w:tc>
          <w:tcPr>
            <w:tcW w:w="972" w:type="dxa"/>
            <w:tcBorders>
              <w:top w:val="nil"/>
              <w:left w:val="nil"/>
              <w:bottom w:val="nil"/>
              <w:right w:val="nil"/>
            </w:tcBorders>
            <w:shd w:val="clear" w:color="000000" w:fill="FFFFFF"/>
            <w:noWrap/>
            <w:vAlign w:val="center"/>
            <w:hideMark/>
          </w:tcPr>
          <w:p w14:paraId="68DED55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1.03</w:t>
            </w:r>
          </w:p>
        </w:tc>
        <w:tc>
          <w:tcPr>
            <w:tcW w:w="948" w:type="dxa"/>
            <w:tcBorders>
              <w:top w:val="nil"/>
              <w:left w:val="nil"/>
              <w:bottom w:val="nil"/>
              <w:right w:val="nil"/>
            </w:tcBorders>
            <w:shd w:val="clear" w:color="000000" w:fill="FFFFFF"/>
            <w:noWrap/>
            <w:vAlign w:val="center"/>
            <w:hideMark/>
          </w:tcPr>
          <w:p w14:paraId="47AC967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1.24</w:t>
            </w:r>
          </w:p>
        </w:tc>
      </w:tr>
      <w:tr w:rsidR="00797994" w:rsidRPr="005F4A48" w14:paraId="56C2CB46" w14:textId="77777777" w:rsidTr="004459B5">
        <w:trPr>
          <w:trHeight w:val="264"/>
        </w:trPr>
        <w:tc>
          <w:tcPr>
            <w:tcW w:w="1300" w:type="dxa"/>
            <w:tcBorders>
              <w:top w:val="nil"/>
              <w:left w:val="nil"/>
              <w:bottom w:val="single" w:sz="4" w:space="0" w:color="auto"/>
              <w:right w:val="single" w:sz="4" w:space="0" w:color="auto"/>
            </w:tcBorders>
            <w:shd w:val="clear" w:color="000000" w:fill="FFFFFF"/>
            <w:noWrap/>
            <w:vAlign w:val="center"/>
            <w:hideMark/>
          </w:tcPr>
          <w:p w14:paraId="02A75D2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1/2</w:t>
            </w:r>
            <w:r w:rsidRPr="005F4A48">
              <w:rPr>
                <w:rFonts w:eastAsia="Times New Roman" w:cs="Arial"/>
                <w:color w:val="000000"/>
                <w:sz w:val="16"/>
                <w:szCs w:val="16"/>
                <w:lang w:val="en-GB" w:eastAsia="de-DE"/>
              </w:rPr>
              <w:t xml:space="preserve"> [h]</w:t>
            </w:r>
          </w:p>
        </w:tc>
        <w:tc>
          <w:tcPr>
            <w:tcW w:w="1403" w:type="dxa"/>
            <w:tcBorders>
              <w:top w:val="nil"/>
              <w:left w:val="nil"/>
              <w:bottom w:val="single" w:sz="4" w:space="0" w:color="auto"/>
              <w:right w:val="nil"/>
            </w:tcBorders>
            <w:shd w:val="clear" w:color="000000" w:fill="FFFFFF"/>
            <w:noWrap/>
            <w:vAlign w:val="center"/>
            <w:hideMark/>
          </w:tcPr>
          <w:p w14:paraId="69ADE48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18.6 ± 4.8</w:t>
            </w:r>
          </w:p>
        </w:tc>
        <w:tc>
          <w:tcPr>
            <w:tcW w:w="1517" w:type="dxa"/>
            <w:tcBorders>
              <w:top w:val="nil"/>
              <w:left w:val="nil"/>
              <w:bottom w:val="single" w:sz="4" w:space="0" w:color="auto"/>
              <w:right w:val="single" w:sz="4" w:space="0" w:color="auto"/>
            </w:tcBorders>
            <w:shd w:val="clear" w:color="000000" w:fill="FFFFFF"/>
            <w:noWrap/>
            <w:vAlign w:val="center"/>
            <w:hideMark/>
          </w:tcPr>
          <w:p w14:paraId="4F24174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14.8 ± 4.9</w:t>
            </w:r>
          </w:p>
        </w:tc>
        <w:tc>
          <w:tcPr>
            <w:tcW w:w="1460" w:type="dxa"/>
            <w:tcBorders>
              <w:top w:val="nil"/>
              <w:left w:val="nil"/>
              <w:bottom w:val="single" w:sz="4" w:space="0" w:color="auto"/>
              <w:right w:val="nil"/>
            </w:tcBorders>
            <w:shd w:val="clear" w:color="000000" w:fill="FFFFFF"/>
            <w:noWrap/>
            <w:vAlign w:val="center"/>
            <w:hideMark/>
          </w:tcPr>
          <w:p w14:paraId="369F188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24.4 ± 12.5</w:t>
            </w:r>
          </w:p>
        </w:tc>
        <w:tc>
          <w:tcPr>
            <w:tcW w:w="1460" w:type="dxa"/>
            <w:tcBorders>
              <w:top w:val="nil"/>
              <w:left w:val="nil"/>
              <w:bottom w:val="single" w:sz="4" w:space="0" w:color="auto"/>
              <w:right w:val="single" w:sz="4" w:space="0" w:color="auto"/>
            </w:tcBorders>
            <w:shd w:val="clear" w:color="000000" w:fill="FFFFFF"/>
            <w:noWrap/>
            <w:vAlign w:val="center"/>
            <w:hideMark/>
          </w:tcPr>
          <w:p w14:paraId="107BC86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16.8 ± 6.4</w:t>
            </w:r>
          </w:p>
        </w:tc>
        <w:tc>
          <w:tcPr>
            <w:tcW w:w="972" w:type="dxa"/>
            <w:tcBorders>
              <w:top w:val="nil"/>
              <w:left w:val="nil"/>
              <w:bottom w:val="single" w:sz="4" w:space="0" w:color="auto"/>
              <w:right w:val="nil"/>
            </w:tcBorders>
            <w:shd w:val="clear" w:color="000000" w:fill="FFFFFF"/>
            <w:noWrap/>
            <w:vAlign w:val="center"/>
            <w:hideMark/>
          </w:tcPr>
          <w:p w14:paraId="77C50D4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1.31</w:t>
            </w:r>
          </w:p>
        </w:tc>
        <w:tc>
          <w:tcPr>
            <w:tcW w:w="948" w:type="dxa"/>
            <w:tcBorders>
              <w:top w:val="nil"/>
              <w:left w:val="nil"/>
              <w:bottom w:val="single" w:sz="4" w:space="0" w:color="auto"/>
              <w:right w:val="nil"/>
            </w:tcBorders>
            <w:shd w:val="clear" w:color="000000" w:fill="FFFFFF"/>
            <w:noWrap/>
            <w:vAlign w:val="center"/>
            <w:hideMark/>
          </w:tcPr>
          <w:p w14:paraId="5D9C785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1.14</w:t>
            </w:r>
          </w:p>
        </w:tc>
      </w:tr>
      <w:tr w:rsidR="00797994" w:rsidRPr="005F4A48" w14:paraId="00F2D8FE" w14:textId="77777777" w:rsidTr="004459B5">
        <w:trPr>
          <w:trHeight w:val="264"/>
        </w:trPr>
        <w:tc>
          <w:tcPr>
            <w:tcW w:w="1300" w:type="dxa"/>
            <w:tcBorders>
              <w:top w:val="nil"/>
              <w:left w:val="nil"/>
              <w:bottom w:val="nil"/>
              <w:right w:val="single" w:sz="4" w:space="0" w:color="auto"/>
            </w:tcBorders>
            <w:shd w:val="clear" w:color="000000" w:fill="D9D9D9"/>
            <w:noWrap/>
            <w:vAlign w:val="center"/>
            <w:hideMark/>
          </w:tcPr>
          <w:p w14:paraId="09FD1273" w14:textId="77777777" w:rsidR="00797994" w:rsidRPr="005F4A48" w:rsidRDefault="00797994" w:rsidP="004459B5">
            <w:pPr>
              <w:spacing w:line="240" w:lineRule="auto"/>
              <w:jc w:val="left"/>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Clarithromycin</w:t>
            </w:r>
          </w:p>
        </w:tc>
        <w:tc>
          <w:tcPr>
            <w:tcW w:w="1403" w:type="dxa"/>
            <w:tcBorders>
              <w:top w:val="nil"/>
              <w:left w:val="nil"/>
              <w:bottom w:val="nil"/>
              <w:right w:val="nil"/>
            </w:tcBorders>
            <w:shd w:val="clear" w:color="000000" w:fill="D9D9D9"/>
            <w:noWrap/>
            <w:vAlign w:val="center"/>
            <w:hideMark/>
          </w:tcPr>
          <w:p w14:paraId="4CB98D5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517" w:type="dxa"/>
            <w:tcBorders>
              <w:top w:val="nil"/>
              <w:left w:val="nil"/>
              <w:bottom w:val="nil"/>
              <w:right w:val="single" w:sz="4" w:space="0" w:color="auto"/>
            </w:tcBorders>
            <w:shd w:val="clear" w:color="000000" w:fill="D9D9D9"/>
            <w:noWrap/>
            <w:vAlign w:val="center"/>
            <w:hideMark/>
          </w:tcPr>
          <w:p w14:paraId="056FE1A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nil"/>
            </w:tcBorders>
            <w:shd w:val="clear" w:color="000000" w:fill="D9D9D9"/>
            <w:noWrap/>
            <w:vAlign w:val="center"/>
            <w:hideMark/>
          </w:tcPr>
          <w:p w14:paraId="302F989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single" w:sz="4" w:space="0" w:color="auto"/>
            </w:tcBorders>
            <w:shd w:val="clear" w:color="000000" w:fill="D9D9D9"/>
            <w:noWrap/>
            <w:vAlign w:val="center"/>
            <w:hideMark/>
          </w:tcPr>
          <w:p w14:paraId="2CFE583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72" w:type="dxa"/>
            <w:tcBorders>
              <w:top w:val="nil"/>
              <w:left w:val="nil"/>
              <w:bottom w:val="nil"/>
              <w:right w:val="nil"/>
            </w:tcBorders>
            <w:shd w:val="clear" w:color="000000" w:fill="D9D9D9"/>
            <w:noWrap/>
            <w:vAlign w:val="center"/>
            <w:hideMark/>
          </w:tcPr>
          <w:p w14:paraId="348AEAA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48" w:type="dxa"/>
            <w:tcBorders>
              <w:top w:val="nil"/>
              <w:left w:val="nil"/>
              <w:bottom w:val="nil"/>
              <w:right w:val="nil"/>
            </w:tcBorders>
            <w:shd w:val="clear" w:color="000000" w:fill="D9D9D9"/>
            <w:noWrap/>
            <w:vAlign w:val="center"/>
            <w:hideMark/>
          </w:tcPr>
          <w:p w14:paraId="5058FD1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r>
      <w:tr w:rsidR="00797994" w:rsidRPr="005F4A48" w14:paraId="4ED4ED2A"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7F7B3620"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C</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[ng/mL]</w:t>
            </w:r>
          </w:p>
        </w:tc>
        <w:tc>
          <w:tcPr>
            <w:tcW w:w="1403" w:type="dxa"/>
            <w:tcBorders>
              <w:top w:val="nil"/>
              <w:left w:val="nil"/>
              <w:bottom w:val="nil"/>
              <w:right w:val="nil"/>
            </w:tcBorders>
            <w:shd w:val="clear" w:color="000000" w:fill="FFFFFF"/>
            <w:noWrap/>
            <w:vAlign w:val="center"/>
            <w:hideMark/>
          </w:tcPr>
          <w:p w14:paraId="34D8702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2,410 ± 670</w:t>
            </w:r>
          </w:p>
        </w:tc>
        <w:tc>
          <w:tcPr>
            <w:tcW w:w="1517" w:type="dxa"/>
            <w:tcBorders>
              <w:top w:val="nil"/>
              <w:left w:val="nil"/>
              <w:bottom w:val="nil"/>
              <w:right w:val="single" w:sz="4" w:space="0" w:color="auto"/>
            </w:tcBorders>
            <w:shd w:val="clear" w:color="000000" w:fill="FFFFFF"/>
            <w:noWrap/>
            <w:vAlign w:val="center"/>
            <w:hideMark/>
          </w:tcPr>
          <w:p w14:paraId="6E523C6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2,570 ± 497</w:t>
            </w:r>
          </w:p>
        </w:tc>
        <w:tc>
          <w:tcPr>
            <w:tcW w:w="1460" w:type="dxa"/>
            <w:tcBorders>
              <w:top w:val="nil"/>
              <w:left w:val="nil"/>
              <w:bottom w:val="nil"/>
              <w:right w:val="nil"/>
            </w:tcBorders>
            <w:shd w:val="clear" w:color="000000" w:fill="FFFFFF"/>
            <w:noWrap/>
            <w:vAlign w:val="center"/>
            <w:hideMark/>
          </w:tcPr>
          <w:p w14:paraId="63E5731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3,217 ± 927</w:t>
            </w:r>
          </w:p>
        </w:tc>
        <w:tc>
          <w:tcPr>
            <w:tcW w:w="1460" w:type="dxa"/>
            <w:tcBorders>
              <w:top w:val="nil"/>
              <w:left w:val="nil"/>
              <w:bottom w:val="nil"/>
              <w:right w:val="single" w:sz="4" w:space="0" w:color="auto"/>
            </w:tcBorders>
            <w:shd w:val="clear" w:color="000000" w:fill="FFFFFF"/>
            <w:noWrap/>
            <w:vAlign w:val="center"/>
            <w:hideMark/>
          </w:tcPr>
          <w:p w14:paraId="747D5AD3"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3,672 ± 764</w:t>
            </w:r>
          </w:p>
        </w:tc>
        <w:tc>
          <w:tcPr>
            <w:tcW w:w="972" w:type="dxa"/>
            <w:tcBorders>
              <w:top w:val="nil"/>
              <w:left w:val="nil"/>
              <w:bottom w:val="nil"/>
              <w:right w:val="nil"/>
            </w:tcBorders>
            <w:shd w:val="clear" w:color="000000" w:fill="FFFFFF"/>
            <w:noWrap/>
            <w:vAlign w:val="center"/>
            <w:hideMark/>
          </w:tcPr>
          <w:p w14:paraId="08123B3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1.33</w:t>
            </w:r>
          </w:p>
        </w:tc>
        <w:tc>
          <w:tcPr>
            <w:tcW w:w="948" w:type="dxa"/>
            <w:tcBorders>
              <w:top w:val="nil"/>
              <w:left w:val="nil"/>
              <w:bottom w:val="nil"/>
              <w:right w:val="nil"/>
            </w:tcBorders>
            <w:shd w:val="clear" w:color="000000" w:fill="FFFFFF"/>
            <w:noWrap/>
            <w:vAlign w:val="center"/>
            <w:hideMark/>
          </w:tcPr>
          <w:p w14:paraId="3E75F8C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1.43</w:t>
            </w:r>
          </w:p>
        </w:tc>
      </w:tr>
      <w:tr w:rsidR="00797994" w:rsidRPr="005F4A48" w14:paraId="12F4DDBB"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599B310F"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[h]</w:t>
            </w:r>
          </w:p>
        </w:tc>
        <w:tc>
          <w:tcPr>
            <w:tcW w:w="1403" w:type="dxa"/>
            <w:tcBorders>
              <w:top w:val="nil"/>
              <w:left w:val="nil"/>
              <w:bottom w:val="nil"/>
              <w:right w:val="nil"/>
            </w:tcBorders>
            <w:shd w:val="clear" w:color="000000" w:fill="FFFFFF"/>
            <w:noWrap/>
            <w:vAlign w:val="center"/>
            <w:hideMark/>
          </w:tcPr>
          <w:p w14:paraId="31B5ED4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2.1</w:t>
            </w:r>
          </w:p>
        </w:tc>
        <w:tc>
          <w:tcPr>
            <w:tcW w:w="1517" w:type="dxa"/>
            <w:tcBorders>
              <w:top w:val="nil"/>
              <w:left w:val="nil"/>
              <w:bottom w:val="nil"/>
              <w:right w:val="single" w:sz="4" w:space="0" w:color="auto"/>
            </w:tcBorders>
            <w:shd w:val="clear" w:color="000000" w:fill="FFFFFF"/>
            <w:noWrap/>
            <w:vAlign w:val="center"/>
            <w:hideMark/>
          </w:tcPr>
          <w:p w14:paraId="2B5BCA8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2.3</w:t>
            </w:r>
          </w:p>
        </w:tc>
        <w:tc>
          <w:tcPr>
            <w:tcW w:w="1460" w:type="dxa"/>
            <w:tcBorders>
              <w:top w:val="nil"/>
              <w:left w:val="nil"/>
              <w:bottom w:val="nil"/>
              <w:right w:val="nil"/>
            </w:tcBorders>
            <w:shd w:val="clear" w:color="000000" w:fill="FFFFFF"/>
            <w:noWrap/>
            <w:vAlign w:val="center"/>
            <w:hideMark/>
          </w:tcPr>
          <w:p w14:paraId="7B7576C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3.1</w:t>
            </w:r>
          </w:p>
        </w:tc>
        <w:tc>
          <w:tcPr>
            <w:tcW w:w="1460" w:type="dxa"/>
            <w:tcBorders>
              <w:top w:val="nil"/>
              <w:left w:val="nil"/>
              <w:bottom w:val="nil"/>
              <w:right w:val="single" w:sz="4" w:space="0" w:color="auto"/>
            </w:tcBorders>
            <w:shd w:val="clear" w:color="000000" w:fill="FFFFFF"/>
            <w:noWrap/>
            <w:vAlign w:val="center"/>
            <w:hideMark/>
          </w:tcPr>
          <w:p w14:paraId="645BADE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2.5</w:t>
            </w:r>
          </w:p>
        </w:tc>
        <w:tc>
          <w:tcPr>
            <w:tcW w:w="972" w:type="dxa"/>
            <w:tcBorders>
              <w:top w:val="nil"/>
              <w:left w:val="nil"/>
              <w:bottom w:val="nil"/>
              <w:right w:val="nil"/>
            </w:tcBorders>
            <w:shd w:val="clear" w:color="000000" w:fill="FFFFFF"/>
            <w:noWrap/>
            <w:vAlign w:val="center"/>
            <w:hideMark/>
          </w:tcPr>
          <w:p w14:paraId="2C2B548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1.45</w:t>
            </w:r>
          </w:p>
        </w:tc>
        <w:tc>
          <w:tcPr>
            <w:tcW w:w="948" w:type="dxa"/>
            <w:tcBorders>
              <w:top w:val="nil"/>
              <w:left w:val="nil"/>
              <w:bottom w:val="nil"/>
              <w:right w:val="nil"/>
            </w:tcBorders>
            <w:shd w:val="clear" w:color="000000" w:fill="FFFFFF"/>
            <w:noWrap/>
            <w:vAlign w:val="center"/>
            <w:hideMark/>
          </w:tcPr>
          <w:p w14:paraId="1555ADA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1.07</w:t>
            </w:r>
          </w:p>
        </w:tc>
      </w:tr>
      <w:tr w:rsidR="00797994" w:rsidRPr="005F4A48" w14:paraId="6149D295"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56EB098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AUC [ng*h/mL]</w:t>
            </w:r>
          </w:p>
        </w:tc>
        <w:tc>
          <w:tcPr>
            <w:tcW w:w="1403" w:type="dxa"/>
            <w:tcBorders>
              <w:top w:val="nil"/>
              <w:left w:val="nil"/>
              <w:bottom w:val="nil"/>
              <w:right w:val="nil"/>
            </w:tcBorders>
            <w:shd w:val="clear" w:color="000000" w:fill="FFFFFF"/>
            <w:noWrap/>
            <w:vAlign w:val="center"/>
            <w:hideMark/>
          </w:tcPr>
          <w:p w14:paraId="11D95B8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18,870 ± 5,550</w:t>
            </w:r>
          </w:p>
        </w:tc>
        <w:tc>
          <w:tcPr>
            <w:tcW w:w="1517" w:type="dxa"/>
            <w:tcBorders>
              <w:top w:val="nil"/>
              <w:left w:val="nil"/>
              <w:bottom w:val="nil"/>
              <w:right w:val="single" w:sz="4" w:space="0" w:color="auto"/>
            </w:tcBorders>
            <w:shd w:val="clear" w:color="000000" w:fill="FFFFFF"/>
            <w:noWrap/>
            <w:vAlign w:val="center"/>
            <w:hideMark/>
          </w:tcPr>
          <w:p w14:paraId="5A9941E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20,227 ± 4,116</w:t>
            </w:r>
          </w:p>
        </w:tc>
        <w:tc>
          <w:tcPr>
            <w:tcW w:w="1460" w:type="dxa"/>
            <w:tcBorders>
              <w:top w:val="nil"/>
              <w:left w:val="nil"/>
              <w:bottom w:val="nil"/>
              <w:right w:val="nil"/>
            </w:tcBorders>
            <w:shd w:val="clear" w:color="000000" w:fill="FFFFFF"/>
            <w:noWrap/>
            <w:vAlign w:val="center"/>
            <w:hideMark/>
          </w:tcPr>
          <w:p w14:paraId="448312EA"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28,840 ± 9,549</w:t>
            </w:r>
          </w:p>
        </w:tc>
        <w:tc>
          <w:tcPr>
            <w:tcW w:w="1460" w:type="dxa"/>
            <w:tcBorders>
              <w:top w:val="nil"/>
              <w:left w:val="nil"/>
              <w:bottom w:val="nil"/>
              <w:right w:val="single" w:sz="4" w:space="0" w:color="auto"/>
            </w:tcBorders>
            <w:shd w:val="clear" w:color="000000" w:fill="FFFFFF"/>
            <w:noWrap/>
            <w:vAlign w:val="center"/>
            <w:hideMark/>
          </w:tcPr>
          <w:p w14:paraId="7379717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29,940 ± 5,260</w:t>
            </w:r>
          </w:p>
        </w:tc>
        <w:tc>
          <w:tcPr>
            <w:tcW w:w="972" w:type="dxa"/>
            <w:tcBorders>
              <w:top w:val="nil"/>
              <w:left w:val="nil"/>
              <w:bottom w:val="nil"/>
              <w:right w:val="nil"/>
            </w:tcBorders>
            <w:shd w:val="clear" w:color="000000" w:fill="FFFFFF"/>
            <w:noWrap/>
            <w:vAlign w:val="center"/>
            <w:hideMark/>
          </w:tcPr>
          <w:p w14:paraId="1503205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1.53</w:t>
            </w:r>
          </w:p>
        </w:tc>
        <w:tc>
          <w:tcPr>
            <w:tcW w:w="948" w:type="dxa"/>
            <w:tcBorders>
              <w:top w:val="nil"/>
              <w:left w:val="nil"/>
              <w:bottom w:val="nil"/>
              <w:right w:val="nil"/>
            </w:tcBorders>
            <w:shd w:val="clear" w:color="000000" w:fill="FFFFFF"/>
            <w:noWrap/>
            <w:vAlign w:val="center"/>
            <w:hideMark/>
          </w:tcPr>
          <w:p w14:paraId="33FBE34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1.48</w:t>
            </w:r>
          </w:p>
        </w:tc>
      </w:tr>
      <w:tr w:rsidR="00797994" w:rsidRPr="005F4A48" w14:paraId="223282EA" w14:textId="77777777" w:rsidTr="004459B5">
        <w:trPr>
          <w:trHeight w:val="264"/>
        </w:trPr>
        <w:tc>
          <w:tcPr>
            <w:tcW w:w="1300" w:type="dxa"/>
            <w:tcBorders>
              <w:top w:val="nil"/>
              <w:left w:val="nil"/>
              <w:bottom w:val="single" w:sz="4" w:space="0" w:color="auto"/>
              <w:right w:val="single" w:sz="4" w:space="0" w:color="auto"/>
            </w:tcBorders>
            <w:shd w:val="clear" w:color="000000" w:fill="FFFFFF"/>
            <w:noWrap/>
            <w:vAlign w:val="center"/>
            <w:hideMark/>
          </w:tcPr>
          <w:p w14:paraId="6820912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1/2</w:t>
            </w:r>
            <w:r w:rsidRPr="005F4A48">
              <w:rPr>
                <w:rFonts w:eastAsia="Times New Roman" w:cs="Arial"/>
                <w:color w:val="000000"/>
                <w:sz w:val="16"/>
                <w:szCs w:val="16"/>
                <w:lang w:val="en-GB" w:eastAsia="de-DE"/>
              </w:rPr>
              <w:t xml:space="preserve"> [h]</w:t>
            </w:r>
          </w:p>
        </w:tc>
        <w:tc>
          <w:tcPr>
            <w:tcW w:w="1403" w:type="dxa"/>
            <w:tcBorders>
              <w:top w:val="nil"/>
              <w:left w:val="nil"/>
              <w:bottom w:val="single" w:sz="4" w:space="0" w:color="auto"/>
              <w:right w:val="nil"/>
            </w:tcBorders>
            <w:shd w:val="clear" w:color="000000" w:fill="FFFFFF"/>
            <w:noWrap/>
            <w:vAlign w:val="center"/>
            <w:hideMark/>
          </w:tcPr>
          <w:p w14:paraId="446D0B5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11.7 ± 3.4</w:t>
            </w:r>
          </w:p>
        </w:tc>
        <w:tc>
          <w:tcPr>
            <w:tcW w:w="1517" w:type="dxa"/>
            <w:tcBorders>
              <w:top w:val="nil"/>
              <w:left w:val="nil"/>
              <w:bottom w:val="single" w:sz="4" w:space="0" w:color="auto"/>
              <w:right w:val="single" w:sz="4" w:space="0" w:color="auto"/>
            </w:tcBorders>
            <w:shd w:val="clear" w:color="000000" w:fill="FFFFFF"/>
            <w:noWrap/>
            <w:vAlign w:val="center"/>
            <w:hideMark/>
          </w:tcPr>
          <w:p w14:paraId="2657D1D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13.8 ± 2.2</w:t>
            </w:r>
          </w:p>
        </w:tc>
        <w:tc>
          <w:tcPr>
            <w:tcW w:w="1460" w:type="dxa"/>
            <w:tcBorders>
              <w:top w:val="nil"/>
              <w:left w:val="nil"/>
              <w:bottom w:val="single" w:sz="4" w:space="0" w:color="auto"/>
              <w:right w:val="nil"/>
            </w:tcBorders>
            <w:shd w:val="clear" w:color="000000" w:fill="FFFFFF"/>
            <w:noWrap/>
            <w:vAlign w:val="center"/>
            <w:hideMark/>
          </w:tcPr>
          <w:p w14:paraId="121A979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21.3 ± 8.0</w:t>
            </w:r>
          </w:p>
        </w:tc>
        <w:tc>
          <w:tcPr>
            <w:tcW w:w="1460" w:type="dxa"/>
            <w:tcBorders>
              <w:top w:val="nil"/>
              <w:left w:val="nil"/>
              <w:bottom w:val="single" w:sz="4" w:space="0" w:color="auto"/>
              <w:right w:val="single" w:sz="4" w:space="0" w:color="auto"/>
            </w:tcBorders>
            <w:shd w:val="clear" w:color="000000" w:fill="FFFFFF"/>
            <w:noWrap/>
            <w:vAlign w:val="center"/>
            <w:hideMark/>
          </w:tcPr>
          <w:p w14:paraId="2135B42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17.7 ± 2.9</w:t>
            </w:r>
          </w:p>
        </w:tc>
        <w:tc>
          <w:tcPr>
            <w:tcW w:w="972" w:type="dxa"/>
            <w:tcBorders>
              <w:top w:val="nil"/>
              <w:left w:val="nil"/>
              <w:bottom w:val="single" w:sz="4" w:space="0" w:color="auto"/>
              <w:right w:val="nil"/>
            </w:tcBorders>
            <w:shd w:val="clear" w:color="000000" w:fill="FFFFFF"/>
            <w:noWrap/>
            <w:vAlign w:val="center"/>
            <w:hideMark/>
          </w:tcPr>
          <w:p w14:paraId="244CF62A"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1.82</w:t>
            </w:r>
          </w:p>
        </w:tc>
        <w:tc>
          <w:tcPr>
            <w:tcW w:w="948" w:type="dxa"/>
            <w:tcBorders>
              <w:top w:val="nil"/>
              <w:left w:val="nil"/>
              <w:bottom w:val="single" w:sz="4" w:space="0" w:color="auto"/>
              <w:right w:val="nil"/>
            </w:tcBorders>
            <w:shd w:val="clear" w:color="000000" w:fill="FFFFFF"/>
            <w:noWrap/>
            <w:vAlign w:val="center"/>
            <w:hideMark/>
          </w:tcPr>
          <w:p w14:paraId="378C735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1.28</w:t>
            </w:r>
          </w:p>
        </w:tc>
      </w:tr>
      <w:tr w:rsidR="00797994" w:rsidRPr="005F4A48" w14:paraId="5716740C" w14:textId="77777777" w:rsidTr="004459B5">
        <w:trPr>
          <w:trHeight w:val="264"/>
        </w:trPr>
        <w:tc>
          <w:tcPr>
            <w:tcW w:w="1300" w:type="dxa"/>
            <w:tcBorders>
              <w:top w:val="nil"/>
              <w:left w:val="nil"/>
              <w:bottom w:val="nil"/>
              <w:right w:val="single" w:sz="4" w:space="0" w:color="auto"/>
            </w:tcBorders>
            <w:shd w:val="clear" w:color="000000" w:fill="D9D9D9"/>
            <w:noWrap/>
            <w:vAlign w:val="center"/>
            <w:hideMark/>
          </w:tcPr>
          <w:p w14:paraId="06D51378" w14:textId="77777777" w:rsidR="00797994" w:rsidRPr="005F4A48" w:rsidRDefault="00797994" w:rsidP="004459B5">
            <w:pPr>
              <w:spacing w:line="240" w:lineRule="auto"/>
              <w:jc w:val="left"/>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Rifampicin</w:t>
            </w:r>
          </w:p>
        </w:tc>
        <w:tc>
          <w:tcPr>
            <w:tcW w:w="1403" w:type="dxa"/>
            <w:tcBorders>
              <w:top w:val="nil"/>
              <w:left w:val="nil"/>
              <w:bottom w:val="nil"/>
              <w:right w:val="nil"/>
            </w:tcBorders>
            <w:shd w:val="clear" w:color="000000" w:fill="D9D9D9"/>
            <w:noWrap/>
            <w:vAlign w:val="center"/>
            <w:hideMark/>
          </w:tcPr>
          <w:p w14:paraId="37588882"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517" w:type="dxa"/>
            <w:tcBorders>
              <w:top w:val="nil"/>
              <w:left w:val="nil"/>
              <w:bottom w:val="nil"/>
              <w:right w:val="single" w:sz="4" w:space="0" w:color="auto"/>
            </w:tcBorders>
            <w:shd w:val="clear" w:color="000000" w:fill="D9D9D9"/>
            <w:noWrap/>
            <w:vAlign w:val="center"/>
            <w:hideMark/>
          </w:tcPr>
          <w:p w14:paraId="5A79B99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nil"/>
            </w:tcBorders>
            <w:shd w:val="clear" w:color="000000" w:fill="D9D9D9"/>
            <w:noWrap/>
            <w:vAlign w:val="center"/>
            <w:hideMark/>
          </w:tcPr>
          <w:p w14:paraId="0AD2CCC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single" w:sz="4" w:space="0" w:color="auto"/>
            </w:tcBorders>
            <w:shd w:val="clear" w:color="000000" w:fill="D9D9D9"/>
            <w:noWrap/>
            <w:vAlign w:val="center"/>
            <w:hideMark/>
          </w:tcPr>
          <w:p w14:paraId="54078540"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72" w:type="dxa"/>
            <w:tcBorders>
              <w:top w:val="nil"/>
              <w:left w:val="nil"/>
              <w:bottom w:val="nil"/>
              <w:right w:val="nil"/>
            </w:tcBorders>
            <w:shd w:val="clear" w:color="000000" w:fill="D9D9D9"/>
            <w:noWrap/>
            <w:vAlign w:val="center"/>
            <w:hideMark/>
          </w:tcPr>
          <w:p w14:paraId="3F8FCB9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948" w:type="dxa"/>
            <w:tcBorders>
              <w:top w:val="nil"/>
              <w:left w:val="nil"/>
              <w:bottom w:val="nil"/>
              <w:right w:val="nil"/>
            </w:tcBorders>
            <w:shd w:val="clear" w:color="000000" w:fill="D9D9D9"/>
            <w:noWrap/>
            <w:vAlign w:val="center"/>
            <w:hideMark/>
          </w:tcPr>
          <w:p w14:paraId="0A82CD9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r>
      <w:tr w:rsidR="00797994" w:rsidRPr="005F4A48" w14:paraId="04F6E30E"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136EC7CE"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lastRenderedPageBreak/>
              <w:t>C</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[ng/mL]</w:t>
            </w:r>
          </w:p>
        </w:tc>
        <w:tc>
          <w:tcPr>
            <w:tcW w:w="1403" w:type="dxa"/>
            <w:tcBorders>
              <w:top w:val="nil"/>
              <w:left w:val="nil"/>
              <w:bottom w:val="nil"/>
              <w:right w:val="nil"/>
            </w:tcBorders>
            <w:shd w:val="clear" w:color="000000" w:fill="FFFFFF"/>
            <w:noWrap/>
            <w:vAlign w:val="center"/>
            <w:hideMark/>
          </w:tcPr>
          <w:p w14:paraId="1BF3DC57"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5.570 ± 2,200</w:t>
            </w:r>
          </w:p>
        </w:tc>
        <w:tc>
          <w:tcPr>
            <w:tcW w:w="1517" w:type="dxa"/>
            <w:tcBorders>
              <w:top w:val="nil"/>
              <w:left w:val="nil"/>
              <w:bottom w:val="nil"/>
              <w:right w:val="single" w:sz="4" w:space="0" w:color="auto"/>
            </w:tcBorders>
            <w:shd w:val="clear" w:color="000000" w:fill="FFFFFF"/>
            <w:noWrap/>
            <w:vAlign w:val="center"/>
            <w:hideMark/>
          </w:tcPr>
          <w:p w14:paraId="7558B96A"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7,841 ± 2,230</w:t>
            </w:r>
          </w:p>
        </w:tc>
        <w:tc>
          <w:tcPr>
            <w:tcW w:w="1460" w:type="dxa"/>
            <w:tcBorders>
              <w:top w:val="nil"/>
              <w:left w:val="nil"/>
              <w:bottom w:val="nil"/>
              <w:right w:val="nil"/>
            </w:tcBorders>
            <w:shd w:val="clear" w:color="000000" w:fill="FFFFFF"/>
            <w:noWrap/>
            <w:vAlign w:val="center"/>
            <w:hideMark/>
          </w:tcPr>
          <w:p w14:paraId="67CE001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7,300 ± 2,300</w:t>
            </w:r>
          </w:p>
        </w:tc>
        <w:tc>
          <w:tcPr>
            <w:tcW w:w="1460" w:type="dxa"/>
            <w:tcBorders>
              <w:top w:val="nil"/>
              <w:left w:val="nil"/>
              <w:bottom w:val="nil"/>
              <w:right w:val="single" w:sz="4" w:space="0" w:color="auto"/>
            </w:tcBorders>
            <w:shd w:val="clear" w:color="000000" w:fill="FFFFFF"/>
            <w:noWrap/>
            <w:vAlign w:val="center"/>
            <w:hideMark/>
          </w:tcPr>
          <w:p w14:paraId="64E6FB8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8,310 ± 1,977</w:t>
            </w:r>
          </w:p>
        </w:tc>
        <w:tc>
          <w:tcPr>
            <w:tcW w:w="972" w:type="dxa"/>
            <w:tcBorders>
              <w:top w:val="nil"/>
              <w:left w:val="nil"/>
              <w:bottom w:val="nil"/>
              <w:right w:val="nil"/>
            </w:tcBorders>
            <w:shd w:val="clear" w:color="000000" w:fill="FFFFFF"/>
            <w:noWrap/>
            <w:vAlign w:val="center"/>
            <w:hideMark/>
          </w:tcPr>
          <w:p w14:paraId="0C4C3D3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1.31</w:t>
            </w:r>
          </w:p>
        </w:tc>
        <w:tc>
          <w:tcPr>
            <w:tcW w:w="948" w:type="dxa"/>
            <w:tcBorders>
              <w:top w:val="nil"/>
              <w:left w:val="nil"/>
              <w:bottom w:val="nil"/>
              <w:right w:val="nil"/>
            </w:tcBorders>
            <w:shd w:val="clear" w:color="000000" w:fill="FFFFFF"/>
            <w:noWrap/>
            <w:vAlign w:val="center"/>
            <w:hideMark/>
          </w:tcPr>
          <w:p w14:paraId="63D5324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1.06</w:t>
            </w:r>
          </w:p>
        </w:tc>
      </w:tr>
      <w:tr w:rsidR="00797994" w:rsidRPr="005F4A48" w14:paraId="07B676BC"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0E713CF9" w14:textId="77777777" w:rsidR="00797994" w:rsidRPr="005F4A48" w:rsidRDefault="00797994" w:rsidP="004459B5">
            <w:pPr>
              <w:spacing w:line="240" w:lineRule="auto"/>
              <w:jc w:val="left"/>
              <w:rPr>
                <w:rFonts w:eastAsia="Times New Roman" w:cs="Arial"/>
                <w:color w:val="000000"/>
                <w:sz w:val="16"/>
                <w:szCs w:val="16"/>
                <w:lang w:val="en-GB" w:eastAsia="de-DE"/>
              </w:rPr>
            </w:pPr>
            <w:proofErr w:type="spellStart"/>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max</w:t>
            </w:r>
            <w:proofErr w:type="spellEnd"/>
            <w:r w:rsidRPr="005F4A48">
              <w:rPr>
                <w:rFonts w:eastAsia="Times New Roman" w:cs="Arial"/>
                <w:color w:val="000000"/>
                <w:sz w:val="16"/>
                <w:szCs w:val="16"/>
                <w:lang w:val="en-GB" w:eastAsia="de-DE"/>
              </w:rPr>
              <w:t xml:space="preserve"> [h]</w:t>
            </w:r>
          </w:p>
        </w:tc>
        <w:tc>
          <w:tcPr>
            <w:tcW w:w="1403" w:type="dxa"/>
            <w:tcBorders>
              <w:top w:val="nil"/>
              <w:left w:val="nil"/>
              <w:bottom w:val="nil"/>
              <w:right w:val="nil"/>
            </w:tcBorders>
            <w:shd w:val="clear" w:color="000000" w:fill="FFFFFF"/>
            <w:noWrap/>
            <w:vAlign w:val="center"/>
            <w:hideMark/>
          </w:tcPr>
          <w:p w14:paraId="293CC85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w:t>
            </w:r>
          </w:p>
        </w:tc>
        <w:tc>
          <w:tcPr>
            <w:tcW w:w="1517" w:type="dxa"/>
            <w:tcBorders>
              <w:top w:val="nil"/>
              <w:left w:val="nil"/>
              <w:bottom w:val="nil"/>
              <w:right w:val="single" w:sz="4" w:space="0" w:color="auto"/>
            </w:tcBorders>
            <w:shd w:val="clear" w:color="000000" w:fill="FFFFFF"/>
            <w:noWrap/>
            <w:vAlign w:val="center"/>
            <w:hideMark/>
          </w:tcPr>
          <w:p w14:paraId="1BDF828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1.4 ± 0.3</w:t>
            </w:r>
          </w:p>
        </w:tc>
        <w:tc>
          <w:tcPr>
            <w:tcW w:w="1460" w:type="dxa"/>
            <w:tcBorders>
              <w:top w:val="nil"/>
              <w:left w:val="nil"/>
              <w:bottom w:val="nil"/>
              <w:right w:val="nil"/>
            </w:tcBorders>
            <w:shd w:val="clear" w:color="000000" w:fill="FFFFFF"/>
            <w:noWrap/>
            <w:vAlign w:val="center"/>
            <w:hideMark/>
          </w:tcPr>
          <w:p w14:paraId="68A07B9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1.5 ± 1.1</w:t>
            </w:r>
          </w:p>
        </w:tc>
        <w:tc>
          <w:tcPr>
            <w:tcW w:w="1460" w:type="dxa"/>
            <w:tcBorders>
              <w:top w:val="nil"/>
              <w:left w:val="nil"/>
              <w:bottom w:val="nil"/>
              <w:right w:val="single" w:sz="4" w:space="0" w:color="auto"/>
            </w:tcBorders>
            <w:shd w:val="clear" w:color="000000" w:fill="FFFFFF"/>
            <w:noWrap/>
            <w:vAlign w:val="center"/>
            <w:hideMark/>
          </w:tcPr>
          <w:p w14:paraId="6FB15EC9"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1.5 ± 0.3</w:t>
            </w:r>
          </w:p>
        </w:tc>
        <w:tc>
          <w:tcPr>
            <w:tcW w:w="972" w:type="dxa"/>
            <w:tcBorders>
              <w:top w:val="nil"/>
              <w:left w:val="nil"/>
              <w:bottom w:val="nil"/>
              <w:right w:val="nil"/>
            </w:tcBorders>
            <w:shd w:val="clear" w:color="000000" w:fill="FFFFFF"/>
            <w:noWrap/>
            <w:vAlign w:val="center"/>
            <w:hideMark/>
          </w:tcPr>
          <w:p w14:paraId="028E418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1.46</w:t>
            </w:r>
          </w:p>
        </w:tc>
        <w:tc>
          <w:tcPr>
            <w:tcW w:w="948" w:type="dxa"/>
            <w:tcBorders>
              <w:top w:val="nil"/>
              <w:left w:val="nil"/>
              <w:bottom w:val="nil"/>
              <w:right w:val="nil"/>
            </w:tcBorders>
            <w:shd w:val="clear" w:color="000000" w:fill="FFFFFF"/>
            <w:noWrap/>
            <w:vAlign w:val="center"/>
            <w:hideMark/>
          </w:tcPr>
          <w:p w14:paraId="267593DE"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1..07</w:t>
            </w:r>
          </w:p>
        </w:tc>
      </w:tr>
      <w:tr w:rsidR="00797994" w:rsidRPr="005F4A48" w14:paraId="60A0FC2A" w14:textId="77777777" w:rsidTr="004459B5">
        <w:trPr>
          <w:trHeight w:val="264"/>
        </w:trPr>
        <w:tc>
          <w:tcPr>
            <w:tcW w:w="1300" w:type="dxa"/>
            <w:tcBorders>
              <w:top w:val="nil"/>
              <w:left w:val="nil"/>
              <w:bottom w:val="nil"/>
              <w:right w:val="single" w:sz="4" w:space="0" w:color="auto"/>
            </w:tcBorders>
            <w:shd w:val="clear" w:color="000000" w:fill="FFFFFF"/>
            <w:noWrap/>
            <w:vAlign w:val="center"/>
            <w:hideMark/>
          </w:tcPr>
          <w:p w14:paraId="7DF5AE8F"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AUC [ng*h/mL]</w:t>
            </w:r>
          </w:p>
        </w:tc>
        <w:tc>
          <w:tcPr>
            <w:tcW w:w="1403" w:type="dxa"/>
            <w:tcBorders>
              <w:top w:val="nil"/>
              <w:left w:val="nil"/>
              <w:bottom w:val="nil"/>
              <w:right w:val="nil"/>
            </w:tcBorders>
            <w:shd w:val="clear" w:color="000000" w:fill="FFFFFF"/>
            <w:noWrap/>
            <w:vAlign w:val="center"/>
            <w:hideMark/>
          </w:tcPr>
          <w:p w14:paraId="5536A0D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21,428 ± 7,648</w:t>
            </w:r>
          </w:p>
        </w:tc>
        <w:tc>
          <w:tcPr>
            <w:tcW w:w="1517" w:type="dxa"/>
            <w:tcBorders>
              <w:top w:val="nil"/>
              <w:left w:val="nil"/>
              <w:bottom w:val="nil"/>
              <w:right w:val="single" w:sz="4" w:space="0" w:color="auto"/>
            </w:tcBorders>
            <w:shd w:val="clear" w:color="000000" w:fill="FFFFFF"/>
            <w:noWrap/>
            <w:vAlign w:val="center"/>
            <w:hideMark/>
          </w:tcPr>
          <w:p w14:paraId="2BC5C39B"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23,608 ± 15,742</w:t>
            </w:r>
          </w:p>
        </w:tc>
        <w:tc>
          <w:tcPr>
            <w:tcW w:w="1460" w:type="dxa"/>
            <w:tcBorders>
              <w:top w:val="nil"/>
              <w:left w:val="nil"/>
              <w:bottom w:val="nil"/>
              <w:right w:val="nil"/>
            </w:tcBorders>
            <w:shd w:val="clear" w:color="000000" w:fill="FFFFFF"/>
            <w:noWrap/>
            <w:vAlign w:val="center"/>
            <w:hideMark/>
          </w:tcPr>
          <w:p w14:paraId="5CEDE72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37,342 ± 16,485</w:t>
            </w:r>
          </w:p>
        </w:tc>
        <w:tc>
          <w:tcPr>
            <w:tcW w:w="1460" w:type="dxa"/>
            <w:tcBorders>
              <w:top w:val="nil"/>
              <w:left w:val="nil"/>
              <w:bottom w:val="nil"/>
              <w:right w:val="single" w:sz="4" w:space="0" w:color="auto"/>
            </w:tcBorders>
            <w:shd w:val="clear" w:color="000000" w:fill="FFFFFF"/>
            <w:noWrap/>
            <w:vAlign w:val="center"/>
            <w:hideMark/>
          </w:tcPr>
          <w:p w14:paraId="2DCA895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36,793 ± 20,424</w:t>
            </w:r>
          </w:p>
        </w:tc>
        <w:tc>
          <w:tcPr>
            <w:tcW w:w="972" w:type="dxa"/>
            <w:tcBorders>
              <w:top w:val="nil"/>
              <w:left w:val="nil"/>
              <w:bottom w:val="nil"/>
              <w:right w:val="nil"/>
            </w:tcBorders>
            <w:shd w:val="clear" w:color="000000" w:fill="FFFFFF"/>
            <w:noWrap/>
            <w:vAlign w:val="center"/>
            <w:hideMark/>
          </w:tcPr>
          <w:p w14:paraId="4E034F8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1.74</w:t>
            </w:r>
          </w:p>
        </w:tc>
        <w:tc>
          <w:tcPr>
            <w:tcW w:w="948" w:type="dxa"/>
            <w:tcBorders>
              <w:top w:val="nil"/>
              <w:left w:val="nil"/>
              <w:bottom w:val="nil"/>
              <w:right w:val="nil"/>
            </w:tcBorders>
            <w:shd w:val="clear" w:color="000000" w:fill="FFFFFF"/>
            <w:noWrap/>
            <w:vAlign w:val="center"/>
            <w:hideMark/>
          </w:tcPr>
          <w:p w14:paraId="700DE898"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1.56</w:t>
            </w:r>
          </w:p>
        </w:tc>
      </w:tr>
      <w:tr w:rsidR="00797994" w:rsidRPr="005F4A48" w14:paraId="1807A90B" w14:textId="77777777" w:rsidTr="004459B5">
        <w:trPr>
          <w:trHeight w:val="276"/>
        </w:trPr>
        <w:tc>
          <w:tcPr>
            <w:tcW w:w="1300" w:type="dxa"/>
            <w:tcBorders>
              <w:top w:val="nil"/>
              <w:left w:val="nil"/>
              <w:bottom w:val="single" w:sz="8" w:space="0" w:color="auto"/>
              <w:right w:val="single" w:sz="4" w:space="0" w:color="auto"/>
            </w:tcBorders>
            <w:shd w:val="clear" w:color="000000" w:fill="FFFFFF"/>
            <w:noWrap/>
            <w:vAlign w:val="center"/>
            <w:hideMark/>
          </w:tcPr>
          <w:p w14:paraId="1AF6B54C"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t</w:t>
            </w:r>
            <w:r w:rsidRPr="005F4A48">
              <w:rPr>
                <w:rFonts w:eastAsia="Times New Roman" w:cs="Arial"/>
                <w:color w:val="000000"/>
                <w:sz w:val="16"/>
                <w:szCs w:val="16"/>
                <w:vertAlign w:val="subscript"/>
                <w:lang w:val="en-GB" w:eastAsia="de-DE"/>
              </w:rPr>
              <w:t>1/2</w:t>
            </w:r>
            <w:r w:rsidRPr="005F4A48">
              <w:rPr>
                <w:rFonts w:eastAsia="Times New Roman" w:cs="Arial"/>
                <w:color w:val="000000"/>
                <w:sz w:val="16"/>
                <w:szCs w:val="16"/>
                <w:lang w:val="en-GB" w:eastAsia="de-DE"/>
              </w:rPr>
              <w:t xml:space="preserve"> [h]</w:t>
            </w:r>
          </w:p>
        </w:tc>
        <w:tc>
          <w:tcPr>
            <w:tcW w:w="1403" w:type="dxa"/>
            <w:tcBorders>
              <w:top w:val="nil"/>
              <w:left w:val="nil"/>
              <w:bottom w:val="single" w:sz="8" w:space="0" w:color="auto"/>
              <w:right w:val="nil"/>
            </w:tcBorders>
            <w:shd w:val="clear" w:color="000000" w:fill="FFFFFF"/>
            <w:noWrap/>
            <w:vAlign w:val="center"/>
            <w:hideMark/>
          </w:tcPr>
          <w:p w14:paraId="0595D684"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4.9 ± 1.7</w:t>
            </w:r>
          </w:p>
        </w:tc>
        <w:tc>
          <w:tcPr>
            <w:tcW w:w="1517" w:type="dxa"/>
            <w:tcBorders>
              <w:top w:val="nil"/>
              <w:left w:val="nil"/>
              <w:bottom w:val="single" w:sz="8" w:space="0" w:color="auto"/>
              <w:right w:val="single" w:sz="4" w:space="0" w:color="auto"/>
            </w:tcBorders>
            <w:shd w:val="clear" w:color="000000" w:fill="FFFFFF"/>
            <w:noWrap/>
            <w:vAlign w:val="center"/>
            <w:hideMark/>
          </w:tcPr>
          <w:p w14:paraId="6053386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4.3 ± 1.5</w:t>
            </w:r>
          </w:p>
        </w:tc>
        <w:tc>
          <w:tcPr>
            <w:tcW w:w="1460" w:type="dxa"/>
            <w:tcBorders>
              <w:top w:val="nil"/>
              <w:left w:val="nil"/>
              <w:bottom w:val="single" w:sz="8" w:space="0" w:color="auto"/>
              <w:right w:val="nil"/>
            </w:tcBorders>
            <w:shd w:val="clear" w:color="000000" w:fill="FFFFFF"/>
            <w:noWrap/>
            <w:vAlign w:val="center"/>
            <w:hideMark/>
          </w:tcPr>
          <w:p w14:paraId="73A6C471"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7.9 ± 3.5</w:t>
            </w:r>
          </w:p>
        </w:tc>
        <w:tc>
          <w:tcPr>
            <w:tcW w:w="1460" w:type="dxa"/>
            <w:tcBorders>
              <w:top w:val="nil"/>
              <w:left w:val="nil"/>
              <w:bottom w:val="single" w:sz="8" w:space="0" w:color="auto"/>
              <w:right w:val="single" w:sz="4" w:space="0" w:color="auto"/>
            </w:tcBorders>
            <w:shd w:val="clear" w:color="000000" w:fill="FFFFFF"/>
            <w:noWrap/>
            <w:vAlign w:val="center"/>
            <w:hideMark/>
          </w:tcPr>
          <w:p w14:paraId="5FCB0FC5"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6.0 ± 2.0</w:t>
            </w:r>
          </w:p>
        </w:tc>
        <w:tc>
          <w:tcPr>
            <w:tcW w:w="972" w:type="dxa"/>
            <w:tcBorders>
              <w:top w:val="nil"/>
              <w:left w:val="nil"/>
              <w:bottom w:val="single" w:sz="8" w:space="0" w:color="auto"/>
              <w:right w:val="nil"/>
            </w:tcBorders>
            <w:shd w:val="clear" w:color="000000" w:fill="FFFFFF"/>
            <w:noWrap/>
            <w:vAlign w:val="center"/>
            <w:hideMark/>
          </w:tcPr>
          <w:p w14:paraId="0C28E7FD"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1.62</w:t>
            </w:r>
          </w:p>
        </w:tc>
        <w:tc>
          <w:tcPr>
            <w:tcW w:w="948" w:type="dxa"/>
            <w:tcBorders>
              <w:top w:val="nil"/>
              <w:left w:val="nil"/>
              <w:bottom w:val="single" w:sz="8" w:space="0" w:color="auto"/>
              <w:right w:val="nil"/>
            </w:tcBorders>
            <w:shd w:val="clear" w:color="000000" w:fill="FFFFFF"/>
            <w:noWrap/>
            <w:vAlign w:val="center"/>
            <w:hideMark/>
          </w:tcPr>
          <w:p w14:paraId="18588C36" w14:textId="77777777" w:rsidR="00797994" w:rsidRPr="005F4A48" w:rsidRDefault="00797994" w:rsidP="004459B5">
            <w:pPr>
              <w:spacing w:line="24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1..40</w:t>
            </w:r>
          </w:p>
        </w:tc>
      </w:tr>
    </w:tbl>
    <w:p w14:paraId="2AC4998E" w14:textId="1D3CF79B" w:rsidR="00144354" w:rsidRPr="009440AD" w:rsidRDefault="00144354" w:rsidP="00FA087B">
      <w:pPr>
        <w:rPr>
          <w:lang w:val="en-US"/>
        </w:rPr>
      </w:pPr>
      <w:r w:rsidRPr="009440AD">
        <w:rPr>
          <w:lang w:val="en-US"/>
        </w:rPr>
        <w:t xml:space="preserve">Key: </w:t>
      </w:r>
      <w:proofErr w:type="spellStart"/>
      <w:r w:rsidRPr="009440AD">
        <w:rPr>
          <w:lang w:val="en-US"/>
        </w:rPr>
        <w:t>C</w:t>
      </w:r>
      <w:r w:rsidRPr="009440AD">
        <w:rPr>
          <w:vertAlign w:val="subscript"/>
          <w:lang w:val="en-US"/>
        </w:rPr>
        <w:t>max</w:t>
      </w:r>
      <w:proofErr w:type="spellEnd"/>
      <w:r w:rsidRPr="009440AD">
        <w:rPr>
          <w:lang w:val="en-US"/>
        </w:rPr>
        <w:t xml:space="preserve"> = maximal concentration, </w:t>
      </w:r>
      <w:proofErr w:type="spellStart"/>
      <w:r w:rsidRPr="009440AD">
        <w:rPr>
          <w:lang w:val="en-US"/>
        </w:rPr>
        <w:t>t</w:t>
      </w:r>
      <w:r w:rsidRPr="009440AD">
        <w:rPr>
          <w:vertAlign w:val="subscript"/>
          <w:lang w:val="en-US"/>
        </w:rPr>
        <w:t>max</w:t>
      </w:r>
      <w:proofErr w:type="spellEnd"/>
      <w:r w:rsidRPr="009440AD">
        <w:rPr>
          <w:lang w:val="en-US"/>
        </w:rPr>
        <w:t xml:space="preserve"> = time to </w:t>
      </w:r>
      <w:proofErr w:type="spellStart"/>
      <w:r w:rsidR="005825B8" w:rsidRPr="009440AD">
        <w:rPr>
          <w:lang w:val="en-US"/>
        </w:rPr>
        <w:t>C</w:t>
      </w:r>
      <w:r w:rsidR="005825B8" w:rsidRPr="009440AD">
        <w:rPr>
          <w:vertAlign w:val="subscript"/>
          <w:lang w:val="en-US"/>
        </w:rPr>
        <w:t>max</w:t>
      </w:r>
      <w:proofErr w:type="spellEnd"/>
      <w:r w:rsidRPr="009440AD">
        <w:rPr>
          <w:lang w:val="en-US"/>
        </w:rPr>
        <w:t>, AUC = area under the curve, t</w:t>
      </w:r>
      <w:r w:rsidRPr="009440AD">
        <w:rPr>
          <w:vertAlign w:val="subscript"/>
          <w:lang w:val="en-US"/>
        </w:rPr>
        <w:t>1/2</w:t>
      </w:r>
      <w:r w:rsidRPr="009440AD">
        <w:rPr>
          <w:lang w:val="en-US"/>
        </w:rPr>
        <w:t xml:space="preserve"> = elimination half-life</w:t>
      </w:r>
    </w:p>
    <w:p w14:paraId="2DA70B89" w14:textId="77777777" w:rsidR="00797994" w:rsidRDefault="00797994" w:rsidP="007603D0">
      <w:pPr>
        <w:rPr>
          <w:lang w:val="en-US"/>
        </w:rPr>
        <w:sectPr w:rsidR="00797994" w:rsidSect="002016E8">
          <w:footerReference w:type="default" r:id="rId20"/>
          <w:pgSz w:w="11906" w:h="16838"/>
          <w:pgMar w:top="1417" w:right="1417" w:bottom="1134" w:left="1417" w:header="708" w:footer="708" w:gutter="0"/>
          <w:lnNumType w:countBy="1" w:restart="continuous"/>
          <w:pgNumType w:fmt="numberInDash"/>
          <w:cols w:space="708"/>
          <w:docGrid w:linePitch="360"/>
        </w:sectPr>
      </w:pPr>
    </w:p>
    <w:p w14:paraId="7069C3E4" w14:textId="07EDF21B" w:rsidR="00EE6BAB" w:rsidRDefault="00EE6BAB" w:rsidP="007603D0">
      <w:pPr>
        <w:rPr>
          <w:lang w:val="en-US"/>
        </w:rPr>
      </w:pPr>
      <w:r w:rsidRPr="00797994">
        <w:rPr>
          <w:b/>
          <w:bCs/>
          <w:lang w:val="en-US"/>
        </w:rPr>
        <w:lastRenderedPageBreak/>
        <w:t>Tab. 2:</w:t>
      </w:r>
      <w:r w:rsidRPr="006B495B">
        <w:rPr>
          <w:lang w:val="en-US"/>
        </w:rPr>
        <w:t xml:space="preserve"> Results of the Pearson correlation for continuous variables to explain age-related pharmacokinetic changes of the clinical data for 52 drugs additionally collected.</w:t>
      </w:r>
    </w:p>
    <w:tbl>
      <w:tblPr>
        <w:tblW w:w="10560" w:type="dxa"/>
        <w:tblCellMar>
          <w:left w:w="70" w:type="dxa"/>
          <w:right w:w="70" w:type="dxa"/>
        </w:tblCellMar>
        <w:tblLook w:val="04A0" w:firstRow="1" w:lastRow="0" w:firstColumn="1" w:lastColumn="0" w:noHBand="0" w:noVBand="1"/>
      </w:tblPr>
      <w:tblGrid>
        <w:gridCol w:w="1700"/>
        <w:gridCol w:w="1480"/>
        <w:gridCol w:w="1480"/>
        <w:gridCol w:w="1480"/>
        <w:gridCol w:w="1460"/>
        <w:gridCol w:w="1480"/>
        <w:gridCol w:w="1480"/>
      </w:tblGrid>
      <w:tr w:rsidR="00797994" w:rsidRPr="005F4A48" w14:paraId="2F66B8AE" w14:textId="77777777" w:rsidTr="004459B5">
        <w:trPr>
          <w:trHeight w:val="276"/>
        </w:trPr>
        <w:tc>
          <w:tcPr>
            <w:tcW w:w="1700" w:type="dxa"/>
            <w:tcBorders>
              <w:top w:val="single" w:sz="8" w:space="0" w:color="auto"/>
              <w:left w:val="nil"/>
              <w:bottom w:val="single" w:sz="8" w:space="0" w:color="auto"/>
              <w:right w:val="single" w:sz="4" w:space="0" w:color="auto"/>
            </w:tcBorders>
            <w:shd w:val="clear" w:color="000000" w:fill="FFFFFF"/>
            <w:noWrap/>
            <w:vAlign w:val="center"/>
            <w:hideMark/>
          </w:tcPr>
          <w:p w14:paraId="2D20E720" w14:textId="77777777" w:rsidR="00797994" w:rsidRPr="005F4A48" w:rsidRDefault="00797994" w:rsidP="004459B5">
            <w:pPr>
              <w:spacing w:line="360" w:lineRule="auto"/>
              <w:jc w:val="center"/>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Variable</w:t>
            </w:r>
          </w:p>
        </w:tc>
        <w:tc>
          <w:tcPr>
            <w:tcW w:w="1480" w:type="dxa"/>
            <w:tcBorders>
              <w:top w:val="single" w:sz="8" w:space="0" w:color="auto"/>
              <w:left w:val="nil"/>
              <w:bottom w:val="single" w:sz="8" w:space="0" w:color="auto"/>
              <w:right w:val="single" w:sz="4" w:space="0" w:color="auto"/>
            </w:tcBorders>
            <w:shd w:val="clear" w:color="000000" w:fill="FFFFFF"/>
            <w:noWrap/>
            <w:vAlign w:val="center"/>
            <w:hideMark/>
          </w:tcPr>
          <w:p w14:paraId="624F92DC" w14:textId="77777777" w:rsidR="00797994" w:rsidRPr="005F4A48" w:rsidRDefault="00797994" w:rsidP="004459B5">
            <w:pPr>
              <w:spacing w:line="360" w:lineRule="auto"/>
              <w:jc w:val="center"/>
              <w:rPr>
                <w:rFonts w:eastAsia="Times New Roman" w:cs="Arial"/>
                <w:b/>
                <w:bCs/>
                <w:color w:val="000000"/>
                <w:sz w:val="16"/>
                <w:szCs w:val="16"/>
                <w:lang w:val="en-GB" w:eastAsia="de-DE"/>
              </w:rPr>
            </w:pPr>
            <w:proofErr w:type="spellStart"/>
            <w:r w:rsidRPr="005F4A48">
              <w:rPr>
                <w:rFonts w:eastAsia="Times New Roman" w:cs="Arial"/>
                <w:b/>
                <w:bCs/>
                <w:color w:val="000000"/>
                <w:sz w:val="16"/>
                <w:szCs w:val="16"/>
                <w:lang w:val="en-GB" w:eastAsia="de-DE"/>
              </w:rPr>
              <w:t>C</w:t>
            </w:r>
            <w:r w:rsidRPr="005F4A48">
              <w:rPr>
                <w:rFonts w:eastAsia="Times New Roman" w:cs="Arial"/>
                <w:b/>
                <w:bCs/>
                <w:color w:val="000000"/>
                <w:sz w:val="16"/>
                <w:szCs w:val="16"/>
                <w:vertAlign w:val="subscript"/>
                <w:lang w:val="en-GB" w:eastAsia="de-DE"/>
              </w:rPr>
              <w:t>max</w:t>
            </w:r>
            <w:proofErr w:type="spellEnd"/>
          </w:p>
        </w:tc>
        <w:tc>
          <w:tcPr>
            <w:tcW w:w="1480" w:type="dxa"/>
            <w:tcBorders>
              <w:top w:val="single" w:sz="8" w:space="0" w:color="auto"/>
              <w:left w:val="nil"/>
              <w:bottom w:val="single" w:sz="8" w:space="0" w:color="auto"/>
              <w:right w:val="single" w:sz="4" w:space="0" w:color="auto"/>
            </w:tcBorders>
            <w:shd w:val="clear" w:color="000000" w:fill="FFFFFF"/>
            <w:noWrap/>
            <w:vAlign w:val="center"/>
            <w:hideMark/>
          </w:tcPr>
          <w:p w14:paraId="21C1F2C4" w14:textId="77777777" w:rsidR="00797994" w:rsidRPr="005F4A48" w:rsidRDefault="00797994" w:rsidP="004459B5">
            <w:pPr>
              <w:spacing w:line="360" w:lineRule="auto"/>
              <w:jc w:val="center"/>
              <w:rPr>
                <w:rFonts w:eastAsia="Times New Roman" w:cs="Arial"/>
                <w:b/>
                <w:bCs/>
                <w:color w:val="000000"/>
                <w:sz w:val="16"/>
                <w:szCs w:val="16"/>
                <w:lang w:val="en-GB" w:eastAsia="de-DE"/>
              </w:rPr>
            </w:pPr>
            <w:proofErr w:type="spellStart"/>
            <w:r w:rsidRPr="005F4A48">
              <w:rPr>
                <w:rFonts w:eastAsia="Times New Roman" w:cs="Arial"/>
                <w:b/>
                <w:bCs/>
                <w:color w:val="000000"/>
                <w:sz w:val="16"/>
                <w:szCs w:val="16"/>
                <w:lang w:val="en-GB" w:eastAsia="de-DE"/>
              </w:rPr>
              <w:t>t</w:t>
            </w:r>
            <w:r w:rsidRPr="005F4A48">
              <w:rPr>
                <w:rFonts w:eastAsia="Times New Roman" w:cs="Arial"/>
                <w:b/>
                <w:bCs/>
                <w:color w:val="000000"/>
                <w:sz w:val="16"/>
                <w:szCs w:val="16"/>
                <w:vertAlign w:val="subscript"/>
                <w:lang w:val="en-GB" w:eastAsia="de-DE"/>
              </w:rPr>
              <w:t>max</w:t>
            </w:r>
            <w:proofErr w:type="spellEnd"/>
          </w:p>
        </w:tc>
        <w:tc>
          <w:tcPr>
            <w:tcW w:w="1480" w:type="dxa"/>
            <w:tcBorders>
              <w:top w:val="single" w:sz="8" w:space="0" w:color="auto"/>
              <w:left w:val="nil"/>
              <w:bottom w:val="single" w:sz="8" w:space="0" w:color="auto"/>
              <w:right w:val="single" w:sz="4" w:space="0" w:color="auto"/>
            </w:tcBorders>
            <w:shd w:val="clear" w:color="000000" w:fill="FFFFFF"/>
            <w:noWrap/>
            <w:vAlign w:val="center"/>
            <w:hideMark/>
          </w:tcPr>
          <w:p w14:paraId="288B11CF" w14:textId="77777777" w:rsidR="00797994" w:rsidRPr="005F4A48" w:rsidRDefault="00797994" w:rsidP="004459B5">
            <w:pPr>
              <w:spacing w:line="360" w:lineRule="auto"/>
              <w:jc w:val="center"/>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AUC</w:t>
            </w:r>
          </w:p>
        </w:tc>
        <w:tc>
          <w:tcPr>
            <w:tcW w:w="1460" w:type="dxa"/>
            <w:tcBorders>
              <w:top w:val="single" w:sz="8" w:space="0" w:color="auto"/>
              <w:left w:val="nil"/>
              <w:bottom w:val="single" w:sz="8" w:space="0" w:color="auto"/>
              <w:right w:val="single" w:sz="4" w:space="0" w:color="auto"/>
            </w:tcBorders>
            <w:shd w:val="clear" w:color="000000" w:fill="FFFFFF"/>
            <w:noWrap/>
            <w:vAlign w:val="center"/>
            <w:hideMark/>
          </w:tcPr>
          <w:p w14:paraId="7A370C69" w14:textId="77777777" w:rsidR="00797994" w:rsidRPr="005F4A48" w:rsidRDefault="00797994" w:rsidP="004459B5">
            <w:pPr>
              <w:spacing w:line="360" w:lineRule="auto"/>
              <w:jc w:val="center"/>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CLF</w:t>
            </w:r>
          </w:p>
        </w:tc>
        <w:tc>
          <w:tcPr>
            <w:tcW w:w="1480" w:type="dxa"/>
            <w:tcBorders>
              <w:top w:val="single" w:sz="8" w:space="0" w:color="auto"/>
              <w:left w:val="nil"/>
              <w:bottom w:val="single" w:sz="8" w:space="0" w:color="auto"/>
              <w:right w:val="single" w:sz="4" w:space="0" w:color="auto"/>
            </w:tcBorders>
            <w:shd w:val="clear" w:color="000000" w:fill="FFFFFF"/>
            <w:noWrap/>
            <w:vAlign w:val="center"/>
            <w:hideMark/>
          </w:tcPr>
          <w:p w14:paraId="2CE40CA9" w14:textId="77777777" w:rsidR="00797994" w:rsidRPr="005F4A48" w:rsidRDefault="00797994" w:rsidP="004459B5">
            <w:pPr>
              <w:spacing w:line="360" w:lineRule="auto"/>
              <w:jc w:val="center"/>
              <w:rPr>
                <w:rFonts w:eastAsia="Times New Roman" w:cs="Arial"/>
                <w:b/>
                <w:bCs/>
                <w:color w:val="000000"/>
                <w:sz w:val="16"/>
                <w:szCs w:val="16"/>
                <w:lang w:val="en-GB" w:eastAsia="de-DE"/>
              </w:rPr>
            </w:pPr>
            <w:proofErr w:type="spellStart"/>
            <w:r w:rsidRPr="005F4A48">
              <w:rPr>
                <w:rFonts w:eastAsia="Times New Roman" w:cs="Arial"/>
                <w:b/>
                <w:bCs/>
                <w:color w:val="000000"/>
                <w:sz w:val="16"/>
                <w:szCs w:val="16"/>
                <w:lang w:val="en-GB" w:eastAsia="de-DE"/>
              </w:rPr>
              <w:t>VdF</w:t>
            </w:r>
            <w:proofErr w:type="spellEnd"/>
          </w:p>
        </w:tc>
        <w:tc>
          <w:tcPr>
            <w:tcW w:w="1480" w:type="dxa"/>
            <w:tcBorders>
              <w:top w:val="single" w:sz="8" w:space="0" w:color="auto"/>
              <w:left w:val="nil"/>
              <w:bottom w:val="single" w:sz="8" w:space="0" w:color="auto"/>
              <w:right w:val="nil"/>
            </w:tcBorders>
            <w:shd w:val="clear" w:color="000000" w:fill="FFFFFF"/>
            <w:noWrap/>
            <w:vAlign w:val="center"/>
            <w:hideMark/>
          </w:tcPr>
          <w:p w14:paraId="43C67441" w14:textId="77777777" w:rsidR="00797994" w:rsidRPr="005F4A48" w:rsidRDefault="00797994" w:rsidP="004459B5">
            <w:pPr>
              <w:spacing w:line="360" w:lineRule="auto"/>
              <w:jc w:val="center"/>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t</w:t>
            </w:r>
            <w:r w:rsidRPr="005F4A48">
              <w:rPr>
                <w:rFonts w:eastAsia="Times New Roman" w:cs="Arial"/>
                <w:b/>
                <w:bCs/>
                <w:color w:val="000000"/>
                <w:sz w:val="16"/>
                <w:szCs w:val="16"/>
                <w:vertAlign w:val="subscript"/>
                <w:lang w:val="en-GB" w:eastAsia="de-DE"/>
              </w:rPr>
              <w:t>1/2</w:t>
            </w:r>
          </w:p>
        </w:tc>
      </w:tr>
      <w:tr w:rsidR="00797994" w:rsidRPr="005F4A48" w14:paraId="244FF244" w14:textId="77777777" w:rsidTr="004459B5">
        <w:trPr>
          <w:trHeight w:val="264"/>
        </w:trPr>
        <w:tc>
          <w:tcPr>
            <w:tcW w:w="1700" w:type="dxa"/>
            <w:tcBorders>
              <w:top w:val="nil"/>
              <w:left w:val="nil"/>
              <w:bottom w:val="nil"/>
              <w:right w:val="single" w:sz="4" w:space="0" w:color="auto"/>
            </w:tcBorders>
            <w:shd w:val="clear" w:color="000000" w:fill="D9D9D9"/>
            <w:noWrap/>
            <w:vAlign w:val="center"/>
            <w:hideMark/>
          </w:tcPr>
          <w:p w14:paraId="12C7C79A" w14:textId="77777777" w:rsidR="00797994" w:rsidRPr="005F4A48" w:rsidRDefault="00797994" w:rsidP="004459B5">
            <w:pPr>
              <w:spacing w:line="360" w:lineRule="auto"/>
              <w:jc w:val="left"/>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Age</w:t>
            </w:r>
          </w:p>
        </w:tc>
        <w:tc>
          <w:tcPr>
            <w:tcW w:w="1480" w:type="dxa"/>
            <w:tcBorders>
              <w:top w:val="nil"/>
              <w:left w:val="nil"/>
              <w:bottom w:val="nil"/>
              <w:right w:val="single" w:sz="4" w:space="0" w:color="auto"/>
            </w:tcBorders>
            <w:shd w:val="clear" w:color="000000" w:fill="D9D9D9"/>
            <w:noWrap/>
            <w:vAlign w:val="center"/>
            <w:hideMark/>
          </w:tcPr>
          <w:p w14:paraId="15411100"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7C35ED5C"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3BDFE3C0"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single" w:sz="4" w:space="0" w:color="auto"/>
            </w:tcBorders>
            <w:shd w:val="clear" w:color="000000" w:fill="D9D9D9"/>
            <w:noWrap/>
            <w:vAlign w:val="center"/>
            <w:hideMark/>
          </w:tcPr>
          <w:p w14:paraId="17310402"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4E739099"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nil"/>
            </w:tcBorders>
            <w:shd w:val="clear" w:color="000000" w:fill="D9D9D9"/>
            <w:noWrap/>
            <w:vAlign w:val="center"/>
            <w:hideMark/>
          </w:tcPr>
          <w:p w14:paraId="427F2F8C"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r>
      <w:tr w:rsidR="00797994" w:rsidRPr="005F4A48" w14:paraId="5BD3CCBB" w14:textId="77777777" w:rsidTr="004459B5">
        <w:trPr>
          <w:trHeight w:val="264"/>
        </w:trPr>
        <w:tc>
          <w:tcPr>
            <w:tcW w:w="1700" w:type="dxa"/>
            <w:tcBorders>
              <w:top w:val="nil"/>
              <w:left w:val="nil"/>
              <w:bottom w:val="nil"/>
              <w:right w:val="single" w:sz="4" w:space="0" w:color="auto"/>
            </w:tcBorders>
            <w:shd w:val="clear" w:color="000000" w:fill="FFFFFF"/>
            <w:noWrap/>
            <w:vAlign w:val="center"/>
            <w:hideMark/>
          </w:tcPr>
          <w:p w14:paraId="2A0DDD77"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Correlation coefficient</w:t>
            </w:r>
          </w:p>
        </w:tc>
        <w:tc>
          <w:tcPr>
            <w:tcW w:w="1480" w:type="dxa"/>
            <w:tcBorders>
              <w:top w:val="nil"/>
              <w:left w:val="nil"/>
              <w:bottom w:val="nil"/>
              <w:right w:val="single" w:sz="4" w:space="0" w:color="auto"/>
            </w:tcBorders>
            <w:shd w:val="clear" w:color="000000" w:fill="FFFFFF"/>
            <w:noWrap/>
            <w:vAlign w:val="center"/>
            <w:hideMark/>
          </w:tcPr>
          <w:p w14:paraId="70F5F1FF"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0.21 [0, 0.40]</w:t>
            </w:r>
          </w:p>
        </w:tc>
        <w:tc>
          <w:tcPr>
            <w:tcW w:w="1480" w:type="dxa"/>
            <w:tcBorders>
              <w:top w:val="nil"/>
              <w:left w:val="nil"/>
              <w:bottom w:val="nil"/>
              <w:right w:val="single" w:sz="4" w:space="0" w:color="auto"/>
            </w:tcBorders>
            <w:shd w:val="clear" w:color="000000" w:fill="FFFFFF"/>
            <w:noWrap/>
            <w:vAlign w:val="center"/>
            <w:hideMark/>
          </w:tcPr>
          <w:p w14:paraId="2651C6B0"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0.18 [-0.05, 0.39]</w:t>
            </w:r>
          </w:p>
        </w:tc>
        <w:tc>
          <w:tcPr>
            <w:tcW w:w="1480" w:type="dxa"/>
            <w:tcBorders>
              <w:top w:val="nil"/>
              <w:left w:val="nil"/>
              <w:bottom w:val="nil"/>
              <w:right w:val="single" w:sz="4" w:space="0" w:color="auto"/>
            </w:tcBorders>
            <w:shd w:val="clear" w:color="000000" w:fill="FFFFFF"/>
            <w:noWrap/>
            <w:vAlign w:val="center"/>
            <w:hideMark/>
          </w:tcPr>
          <w:p w14:paraId="2A401BF1"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0.35 [0.17, 0.51]</w:t>
            </w:r>
          </w:p>
        </w:tc>
        <w:tc>
          <w:tcPr>
            <w:tcW w:w="1460" w:type="dxa"/>
            <w:tcBorders>
              <w:top w:val="nil"/>
              <w:left w:val="nil"/>
              <w:bottom w:val="nil"/>
              <w:right w:val="single" w:sz="4" w:space="0" w:color="auto"/>
            </w:tcBorders>
            <w:shd w:val="clear" w:color="000000" w:fill="FFFFFF"/>
            <w:noWrap/>
            <w:vAlign w:val="center"/>
            <w:hideMark/>
          </w:tcPr>
          <w:p w14:paraId="787CA365"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-0.31 [-0.47, -0.12]</w:t>
            </w:r>
          </w:p>
        </w:tc>
        <w:tc>
          <w:tcPr>
            <w:tcW w:w="1480" w:type="dxa"/>
            <w:tcBorders>
              <w:top w:val="nil"/>
              <w:left w:val="nil"/>
              <w:bottom w:val="nil"/>
              <w:right w:val="single" w:sz="4" w:space="0" w:color="auto"/>
            </w:tcBorders>
            <w:shd w:val="clear" w:color="000000" w:fill="FFFFFF"/>
            <w:noWrap/>
            <w:vAlign w:val="center"/>
            <w:hideMark/>
          </w:tcPr>
          <w:p w14:paraId="60955865"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-0.22 [-0.40, -0.02]</w:t>
            </w:r>
          </w:p>
        </w:tc>
        <w:tc>
          <w:tcPr>
            <w:tcW w:w="1480" w:type="dxa"/>
            <w:tcBorders>
              <w:top w:val="nil"/>
              <w:left w:val="nil"/>
              <w:bottom w:val="nil"/>
              <w:right w:val="nil"/>
            </w:tcBorders>
            <w:shd w:val="clear" w:color="000000" w:fill="FFFFFF"/>
            <w:noWrap/>
            <w:vAlign w:val="center"/>
            <w:hideMark/>
          </w:tcPr>
          <w:p w14:paraId="5C6CFA86"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0.09 [-0.11, 0.28]</w:t>
            </w:r>
          </w:p>
        </w:tc>
      </w:tr>
      <w:tr w:rsidR="00797994" w:rsidRPr="005F4A48" w14:paraId="650A611D" w14:textId="77777777" w:rsidTr="004459B5">
        <w:trPr>
          <w:trHeight w:val="264"/>
        </w:trPr>
        <w:tc>
          <w:tcPr>
            <w:tcW w:w="1700" w:type="dxa"/>
            <w:tcBorders>
              <w:top w:val="nil"/>
              <w:left w:val="nil"/>
              <w:bottom w:val="single" w:sz="4" w:space="0" w:color="auto"/>
              <w:right w:val="single" w:sz="4" w:space="0" w:color="auto"/>
            </w:tcBorders>
            <w:shd w:val="clear" w:color="000000" w:fill="FFFFFF"/>
            <w:noWrap/>
            <w:vAlign w:val="center"/>
            <w:hideMark/>
          </w:tcPr>
          <w:p w14:paraId="67620AE8"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p value</w:t>
            </w:r>
          </w:p>
        </w:tc>
        <w:tc>
          <w:tcPr>
            <w:tcW w:w="1480" w:type="dxa"/>
            <w:tcBorders>
              <w:top w:val="nil"/>
              <w:left w:val="nil"/>
              <w:bottom w:val="single" w:sz="4" w:space="0" w:color="auto"/>
              <w:right w:val="single" w:sz="4" w:space="0" w:color="auto"/>
            </w:tcBorders>
            <w:shd w:val="clear" w:color="000000" w:fill="FFFFFF"/>
            <w:noWrap/>
            <w:vAlign w:val="center"/>
            <w:hideMark/>
          </w:tcPr>
          <w:p w14:paraId="3749527B"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0.05</w:t>
            </w:r>
          </w:p>
        </w:tc>
        <w:tc>
          <w:tcPr>
            <w:tcW w:w="1480" w:type="dxa"/>
            <w:tcBorders>
              <w:top w:val="nil"/>
              <w:left w:val="nil"/>
              <w:bottom w:val="single" w:sz="4" w:space="0" w:color="auto"/>
              <w:right w:val="single" w:sz="4" w:space="0" w:color="auto"/>
            </w:tcBorders>
            <w:shd w:val="clear" w:color="000000" w:fill="FFFFFF"/>
            <w:noWrap/>
            <w:vAlign w:val="center"/>
            <w:hideMark/>
          </w:tcPr>
          <w:p w14:paraId="12EDF740"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0.12</w:t>
            </w:r>
          </w:p>
        </w:tc>
        <w:tc>
          <w:tcPr>
            <w:tcW w:w="1480" w:type="dxa"/>
            <w:tcBorders>
              <w:top w:val="nil"/>
              <w:left w:val="nil"/>
              <w:bottom w:val="single" w:sz="4" w:space="0" w:color="auto"/>
              <w:right w:val="single" w:sz="4" w:space="0" w:color="auto"/>
            </w:tcBorders>
            <w:shd w:val="clear" w:color="000000" w:fill="FFFFFF"/>
            <w:noWrap/>
            <w:vAlign w:val="center"/>
            <w:hideMark/>
          </w:tcPr>
          <w:p w14:paraId="4E331F6D"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0.0003</w:t>
            </w:r>
          </w:p>
        </w:tc>
        <w:tc>
          <w:tcPr>
            <w:tcW w:w="1460" w:type="dxa"/>
            <w:tcBorders>
              <w:top w:val="nil"/>
              <w:left w:val="nil"/>
              <w:bottom w:val="single" w:sz="4" w:space="0" w:color="auto"/>
              <w:right w:val="single" w:sz="4" w:space="0" w:color="auto"/>
            </w:tcBorders>
            <w:shd w:val="clear" w:color="000000" w:fill="FFFFFF"/>
            <w:noWrap/>
            <w:vAlign w:val="center"/>
            <w:hideMark/>
          </w:tcPr>
          <w:p w14:paraId="1A4975E3"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0.002</w:t>
            </w:r>
          </w:p>
        </w:tc>
        <w:tc>
          <w:tcPr>
            <w:tcW w:w="1480" w:type="dxa"/>
            <w:tcBorders>
              <w:top w:val="nil"/>
              <w:left w:val="nil"/>
              <w:bottom w:val="single" w:sz="4" w:space="0" w:color="auto"/>
              <w:right w:val="single" w:sz="4" w:space="0" w:color="auto"/>
            </w:tcBorders>
            <w:shd w:val="clear" w:color="000000" w:fill="FFFFFF"/>
            <w:noWrap/>
            <w:vAlign w:val="center"/>
            <w:hideMark/>
          </w:tcPr>
          <w:p w14:paraId="0F3C3E6A"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0.03</w:t>
            </w:r>
          </w:p>
        </w:tc>
        <w:tc>
          <w:tcPr>
            <w:tcW w:w="1480" w:type="dxa"/>
            <w:tcBorders>
              <w:top w:val="nil"/>
              <w:left w:val="nil"/>
              <w:bottom w:val="single" w:sz="4" w:space="0" w:color="auto"/>
              <w:right w:val="nil"/>
            </w:tcBorders>
            <w:shd w:val="clear" w:color="000000" w:fill="FFFFFF"/>
            <w:noWrap/>
            <w:vAlign w:val="center"/>
            <w:hideMark/>
          </w:tcPr>
          <w:p w14:paraId="15331DC9"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0.39</w:t>
            </w:r>
          </w:p>
        </w:tc>
      </w:tr>
      <w:tr w:rsidR="00797994" w:rsidRPr="005F4A48" w14:paraId="0A1FCA23" w14:textId="77777777" w:rsidTr="004459B5">
        <w:trPr>
          <w:trHeight w:val="264"/>
        </w:trPr>
        <w:tc>
          <w:tcPr>
            <w:tcW w:w="1700" w:type="dxa"/>
            <w:tcBorders>
              <w:top w:val="nil"/>
              <w:left w:val="nil"/>
              <w:bottom w:val="nil"/>
              <w:right w:val="single" w:sz="4" w:space="0" w:color="auto"/>
            </w:tcBorders>
            <w:shd w:val="clear" w:color="000000" w:fill="D9D9D9"/>
            <w:noWrap/>
            <w:vAlign w:val="center"/>
            <w:hideMark/>
          </w:tcPr>
          <w:p w14:paraId="5A3C7F1C" w14:textId="77777777" w:rsidR="00797994" w:rsidRPr="005F4A48" w:rsidRDefault="00797994" w:rsidP="004459B5">
            <w:pPr>
              <w:spacing w:line="360" w:lineRule="auto"/>
              <w:jc w:val="left"/>
              <w:rPr>
                <w:rFonts w:eastAsia="Times New Roman" w:cs="Arial"/>
                <w:b/>
                <w:bCs/>
                <w:color w:val="000000"/>
                <w:sz w:val="16"/>
                <w:szCs w:val="16"/>
                <w:lang w:val="en-GB" w:eastAsia="de-DE"/>
              </w:rPr>
            </w:pPr>
            <w:proofErr w:type="spellStart"/>
            <w:r w:rsidRPr="005F4A48">
              <w:rPr>
                <w:rFonts w:eastAsia="Times New Roman" w:cs="Arial"/>
                <w:b/>
                <w:bCs/>
                <w:color w:val="000000"/>
                <w:sz w:val="16"/>
                <w:szCs w:val="16"/>
                <w:lang w:val="en-GB" w:eastAsia="de-DE"/>
              </w:rPr>
              <w:t>logP</w:t>
            </w:r>
            <w:proofErr w:type="spellEnd"/>
          </w:p>
        </w:tc>
        <w:tc>
          <w:tcPr>
            <w:tcW w:w="1480" w:type="dxa"/>
            <w:tcBorders>
              <w:top w:val="nil"/>
              <w:left w:val="nil"/>
              <w:bottom w:val="nil"/>
              <w:right w:val="single" w:sz="4" w:space="0" w:color="auto"/>
            </w:tcBorders>
            <w:shd w:val="clear" w:color="000000" w:fill="D9D9D9"/>
            <w:noWrap/>
            <w:vAlign w:val="center"/>
            <w:hideMark/>
          </w:tcPr>
          <w:p w14:paraId="5DE52C63"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3BE4BC4A"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5118330E"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single" w:sz="4" w:space="0" w:color="auto"/>
            </w:tcBorders>
            <w:shd w:val="clear" w:color="000000" w:fill="D9D9D9"/>
            <w:noWrap/>
            <w:vAlign w:val="center"/>
            <w:hideMark/>
          </w:tcPr>
          <w:p w14:paraId="286B8790"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403C733C"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nil"/>
            </w:tcBorders>
            <w:shd w:val="clear" w:color="000000" w:fill="D9D9D9"/>
            <w:noWrap/>
            <w:vAlign w:val="center"/>
            <w:hideMark/>
          </w:tcPr>
          <w:p w14:paraId="6A1D890E"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r>
      <w:tr w:rsidR="00797994" w:rsidRPr="005F4A48" w14:paraId="49E420AD" w14:textId="77777777" w:rsidTr="004459B5">
        <w:trPr>
          <w:trHeight w:val="264"/>
        </w:trPr>
        <w:tc>
          <w:tcPr>
            <w:tcW w:w="1700" w:type="dxa"/>
            <w:tcBorders>
              <w:top w:val="nil"/>
              <w:left w:val="nil"/>
              <w:bottom w:val="nil"/>
              <w:right w:val="single" w:sz="4" w:space="0" w:color="auto"/>
            </w:tcBorders>
            <w:shd w:val="clear" w:color="000000" w:fill="FFFFFF"/>
            <w:noWrap/>
            <w:vAlign w:val="center"/>
            <w:hideMark/>
          </w:tcPr>
          <w:p w14:paraId="009A5159"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Correlation coefficient</w:t>
            </w:r>
          </w:p>
        </w:tc>
        <w:tc>
          <w:tcPr>
            <w:tcW w:w="1480" w:type="dxa"/>
            <w:tcBorders>
              <w:top w:val="nil"/>
              <w:left w:val="nil"/>
              <w:bottom w:val="nil"/>
              <w:right w:val="single" w:sz="4" w:space="0" w:color="auto"/>
            </w:tcBorders>
            <w:shd w:val="clear" w:color="000000" w:fill="FFFFFF"/>
            <w:noWrap/>
            <w:vAlign w:val="center"/>
            <w:hideMark/>
          </w:tcPr>
          <w:p w14:paraId="3B2F7263"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0.04 [-0.17, 0.25]</w:t>
            </w:r>
          </w:p>
        </w:tc>
        <w:tc>
          <w:tcPr>
            <w:tcW w:w="1480" w:type="dxa"/>
            <w:tcBorders>
              <w:top w:val="nil"/>
              <w:left w:val="nil"/>
              <w:bottom w:val="nil"/>
              <w:right w:val="single" w:sz="4" w:space="0" w:color="auto"/>
            </w:tcBorders>
            <w:shd w:val="clear" w:color="000000" w:fill="FFFFFF"/>
            <w:noWrap/>
            <w:vAlign w:val="center"/>
            <w:hideMark/>
          </w:tcPr>
          <w:p w14:paraId="26441C81"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-0.04 [-0.27, 0.19]</w:t>
            </w:r>
          </w:p>
        </w:tc>
        <w:tc>
          <w:tcPr>
            <w:tcW w:w="1480" w:type="dxa"/>
            <w:tcBorders>
              <w:top w:val="nil"/>
              <w:left w:val="nil"/>
              <w:bottom w:val="nil"/>
              <w:right w:val="single" w:sz="4" w:space="0" w:color="auto"/>
            </w:tcBorders>
            <w:shd w:val="clear" w:color="000000" w:fill="FFFFFF"/>
            <w:noWrap/>
            <w:vAlign w:val="center"/>
            <w:hideMark/>
          </w:tcPr>
          <w:p w14:paraId="1E064C52"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-0.10 [-0.28, 0.10]</w:t>
            </w:r>
          </w:p>
        </w:tc>
        <w:tc>
          <w:tcPr>
            <w:tcW w:w="1460" w:type="dxa"/>
            <w:tcBorders>
              <w:top w:val="nil"/>
              <w:left w:val="nil"/>
              <w:bottom w:val="nil"/>
              <w:right w:val="single" w:sz="4" w:space="0" w:color="auto"/>
            </w:tcBorders>
            <w:shd w:val="clear" w:color="000000" w:fill="FFFFFF"/>
            <w:noWrap/>
            <w:vAlign w:val="center"/>
            <w:hideMark/>
          </w:tcPr>
          <w:p w14:paraId="72AA95E4"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0.13 [-0.08, 0.31]</w:t>
            </w:r>
          </w:p>
        </w:tc>
        <w:tc>
          <w:tcPr>
            <w:tcW w:w="1480" w:type="dxa"/>
            <w:tcBorders>
              <w:top w:val="nil"/>
              <w:left w:val="nil"/>
              <w:bottom w:val="nil"/>
              <w:right w:val="single" w:sz="4" w:space="0" w:color="auto"/>
            </w:tcBorders>
            <w:shd w:val="clear" w:color="000000" w:fill="FFFFFF"/>
            <w:noWrap/>
            <w:vAlign w:val="center"/>
            <w:hideMark/>
          </w:tcPr>
          <w:p w14:paraId="15453D33"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0.12 [-0.08, 0.31]</w:t>
            </w:r>
          </w:p>
        </w:tc>
        <w:tc>
          <w:tcPr>
            <w:tcW w:w="1480" w:type="dxa"/>
            <w:tcBorders>
              <w:top w:val="nil"/>
              <w:left w:val="nil"/>
              <w:bottom w:val="nil"/>
              <w:right w:val="nil"/>
            </w:tcBorders>
            <w:shd w:val="clear" w:color="000000" w:fill="FFFFFF"/>
            <w:noWrap/>
            <w:vAlign w:val="center"/>
            <w:hideMark/>
          </w:tcPr>
          <w:p w14:paraId="1C497A43"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-0.05 [-0.24, 0.15]</w:t>
            </w:r>
          </w:p>
        </w:tc>
      </w:tr>
      <w:tr w:rsidR="00797994" w:rsidRPr="005F4A48" w14:paraId="0C200761" w14:textId="77777777" w:rsidTr="004459B5">
        <w:trPr>
          <w:trHeight w:val="264"/>
        </w:trPr>
        <w:tc>
          <w:tcPr>
            <w:tcW w:w="1700" w:type="dxa"/>
            <w:tcBorders>
              <w:top w:val="nil"/>
              <w:left w:val="nil"/>
              <w:bottom w:val="single" w:sz="4" w:space="0" w:color="auto"/>
              <w:right w:val="single" w:sz="4" w:space="0" w:color="auto"/>
            </w:tcBorders>
            <w:shd w:val="clear" w:color="000000" w:fill="FFFFFF"/>
            <w:noWrap/>
            <w:vAlign w:val="center"/>
            <w:hideMark/>
          </w:tcPr>
          <w:p w14:paraId="4FC65980"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p value</w:t>
            </w:r>
          </w:p>
        </w:tc>
        <w:tc>
          <w:tcPr>
            <w:tcW w:w="1480" w:type="dxa"/>
            <w:tcBorders>
              <w:top w:val="nil"/>
              <w:left w:val="nil"/>
              <w:bottom w:val="single" w:sz="4" w:space="0" w:color="auto"/>
              <w:right w:val="single" w:sz="4" w:space="0" w:color="auto"/>
            </w:tcBorders>
            <w:shd w:val="clear" w:color="000000" w:fill="FFFFFF"/>
            <w:noWrap/>
            <w:vAlign w:val="center"/>
            <w:hideMark/>
          </w:tcPr>
          <w:p w14:paraId="07645660"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0.71</w:t>
            </w:r>
          </w:p>
        </w:tc>
        <w:tc>
          <w:tcPr>
            <w:tcW w:w="1480" w:type="dxa"/>
            <w:tcBorders>
              <w:top w:val="nil"/>
              <w:left w:val="nil"/>
              <w:bottom w:val="single" w:sz="4" w:space="0" w:color="auto"/>
              <w:right w:val="single" w:sz="4" w:space="0" w:color="auto"/>
            </w:tcBorders>
            <w:shd w:val="clear" w:color="000000" w:fill="FFFFFF"/>
            <w:noWrap/>
            <w:vAlign w:val="center"/>
            <w:hideMark/>
          </w:tcPr>
          <w:p w14:paraId="2F52504E"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0.74</w:t>
            </w:r>
          </w:p>
        </w:tc>
        <w:tc>
          <w:tcPr>
            <w:tcW w:w="1480" w:type="dxa"/>
            <w:tcBorders>
              <w:top w:val="nil"/>
              <w:left w:val="nil"/>
              <w:bottom w:val="single" w:sz="4" w:space="0" w:color="auto"/>
              <w:right w:val="single" w:sz="4" w:space="0" w:color="auto"/>
            </w:tcBorders>
            <w:shd w:val="clear" w:color="000000" w:fill="FFFFFF"/>
            <w:noWrap/>
            <w:vAlign w:val="center"/>
            <w:hideMark/>
          </w:tcPr>
          <w:p w14:paraId="03DF995B"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0.33</w:t>
            </w:r>
          </w:p>
        </w:tc>
        <w:tc>
          <w:tcPr>
            <w:tcW w:w="1460" w:type="dxa"/>
            <w:tcBorders>
              <w:top w:val="nil"/>
              <w:left w:val="nil"/>
              <w:bottom w:val="single" w:sz="4" w:space="0" w:color="auto"/>
              <w:right w:val="single" w:sz="4" w:space="0" w:color="auto"/>
            </w:tcBorders>
            <w:shd w:val="clear" w:color="000000" w:fill="FFFFFF"/>
            <w:noWrap/>
            <w:vAlign w:val="center"/>
            <w:hideMark/>
          </w:tcPr>
          <w:p w14:paraId="340AE371"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0.19</w:t>
            </w:r>
          </w:p>
        </w:tc>
        <w:tc>
          <w:tcPr>
            <w:tcW w:w="1480" w:type="dxa"/>
            <w:tcBorders>
              <w:top w:val="nil"/>
              <w:left w:val="nil"/>
              <w:bottom w:val="single" w:sz="4" w:space="0" w:color="auto"/>
              <w:right w:val="single" w:sz="4" w:space="0" w:color="auto"/>
            </w:tcBorders>
            <w:shd w:val="clear" w:color="000000" w:fill="FFFFFF"/>
            <w:noWrap/>
            <w:vAlign w:val="center"/>
            <w:hideMark/>
          </w:tcPr>
          <w:p w14:paraId="20C44669"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0.22</w:t>
            </w:r>
          </w:p>
        </w:tc>
        <w:tc>
          <w:tcPr>
            <w:tcW w:w="1480" w:type="dxa"/>
            <w:tcBorders>
              <w:top w:val="nil"/>
              <w:left w:val="nil"/>
              <w:bottom w:val="single" w:sz="4" w:space="0" w:color="auto"/>
              <w:right w:val="nil"/>
            </w:tcBorders>
            <w:shd w:val="clear" w:color="000000" w:fill="FFFFFF"/>
            <w:noWrap/>
            <w:vAlign w:val="center"/>
            <w:hideMark/>
          </w:tcPr>
          <w:p w14:paraId="24CDF440"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0.64</w:t>
            </w:r>
          </w:p>
        </w:tc>
      </w:tr>
      <w:tr w:rsidR="00797994" w:rsidRPr="005F4A48" w14:paraId="539A2AE3" w14:textId="77777777" w:rsidTr="004459B5">
        <w:trPr>
          <w:trHeight w:val="264"/>
        </w:trPr>
        <w:tc>
          <w:tcPr>
            <w:tcW w:w="1700" w:type="dxa"/>
            <w:tcBorders>
              <w:top w:val="nil"/>
              <w:left w:val="nil"/>
              <w:bottom w:val="nil"/>
              <w:right w:val="single" w:sz="4" w:space="0" w:color="auto"/>
            </w:tcBorders>
            <w:shd w:val="clear" w:color="000000" w:fill="D9D9D9"/>
            <w:noWrap/>
            <w:vAlign w:val="center"/>
            <w:hideMark/>
          </w:tcPr>
          <w:p w14:paraId="43C7DCB2" w14:textId="77777777" w:rsidR="00797994" w:rsidRPr="005F4A48" w:rsidRDefault="00797994" w:rsidP="004459B5">
            <w:pPr>
              <w:spacing w:line="360" w:lineRule="auto"/>
              <w:jc w:val="left"/>
              <w:rPr>
                <w:rFonts w:eastAsia="Times New Roman" w:cs="Arial"/>
                <w:b/>
                <w:bCs/>
                <w:color w:val="000000"/>
                <w:sz w:val="16"/>
                <w:szCs w:val="16"/>
                <w:lang w:val="en-GB" w:eastAsia="de-DE"/>
              </w:rPr>
            </w:pPr>
            <w:proofErr w:type="spellStart"/>
            <w:r w:rsidRPr="005F4A48">
              <w:rPr>
                <w:rFonts w:eastAsia="Times New Roman" w:cs="Arial"/>
                <w:b/>
                <w:bCs/>
                <w:color w:val="000000"/>
                <w:sz w:val="16"/>
                <w:szCs w:val="16"/>
                <w:lang w:val="en-GB" w:eastAsia="de-DE"/>
              </w:rPr>
              <w:t>fup</w:t>
            </w:r>
            <w:proofErr w:type="spellEnd"/>
          </w:p>
        </w:tc>
        <w:tc>
          <w:tcPr>
            <w:tcW w:w="1480" w:type="dxa"/>
            <w:tcBorders>
              <w:top w:val="nil"/>
              <w:left w:val="nil"/>
              <w:bottom w:val="nil"/>
              <w:right w:val="single" w:sz="4" w:space="0" w:color="auto"/>
            </w:tcBorders>
            <w:shd w:val="clear" w:color="000000" w:fill="D9D9D9"/>
            <w:noWrap/>
            <w:vAlign w:val="center"/>
            <w:hideMark/>
          </w:tcPr>
          <w:p w14:paraId="656A64F0"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3DAF47F2"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0867D2F4"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single" w:sz="4" w:space="0" w:color="auto"/>
            </w:tcBorders>
            <w:shd w:val="clear" w:color="000000" w:fill="D9D9D9"/>
            <w:noWrap/>
            <w:vAlign w:val="center"/>
            <w:hideMark/>
          </w:tcPr>
          <w:p w14:paraId="12148B6C"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39356B3A"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nil"/>
            </w:tcBorders>
            <w:shd w:val="clear" w:color="000000" w:fill="D9D9D9"/>
            <w:noWrap/>
            <w:vAlign w:val="center"/>
            <w:hideMark/>
          </w:tcPr>
          <w:p w14:paraId="515F645D"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r>
      <w:tr w:rsidR="00797994" w:rsidRPr="005F4A48" w14:paraId="7E17B227" w14:textId="77777777" w:rsidTr="004459B5">
        <w:trPr>
          <w:trHeight w:val="264"/>
        </w:trPr>
        <w:tc>
          <w:tcPr>
            <w:tcW w:w="1700" w:type="dxa"/>
            <w:tcBorders>
              <w:top w:val="nil"/>
              <w:left w:val="nil"/>
              <w:bottom w:val="nil"/>
              <w:right w:val="single" w:sz="4" w:space="0" w:color="auto"/>
            </w:tcBorders>
            <w:shd w:val="clear" w:color="000000" w:fill="FFFFFF"/>
            <w:noWrap/>
            <w:vAlign w:val="center"/>
            <w:hideMark/>
          </w:tcPr>
          <w:p w14:paraId="5C6C1DE8"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Correlation coefficient</w:t>
            </w:r>
          </w:p>
        </w:tc>
        <w:tc>
          <w:tcPr>
            <w:tcW w:w="1480" w:type="dxa"/>
            <w:tcBorders>
              <w:top w:val="nil"/>
              <w:left w:val="nil"/>
              <w:bottom w:val="nil"/>
              <w:right w:val="single" w:sz="4" w:space="0" w:color="auto"/>
            </w:tcBorders>
            <w:shd w:val="clear" w:color="000000" w:fill="FFFFFF"/>
            <w:noWrap/>
            <w:vAlign w:val="center"/>
            <w:hideMark/>
          </w:tcPr>
          <w:p w14:paraId="3AC42626"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-0.14 [-0.34, 0.07]</w:t>
            </w:r>
          </w:p>
        </w:tc>
        <w:tc>
          <w:tcPr>
            <w:tcW w:w="1480" w:type="dxa"/>
            <w:tcBorders>
              <w:top w:val="nil"/>
              <w:left w:val="nil"/>
              <w:bottom w:val="nil"/>
              <w:right w:val="single" w:sz="4" w:space="0" w:color="auto"/>
            </w:tcBorders>
            <w:shd w:val="clear" w:color="000000" w:fill="FFFFFF"/>
            <w:noWrap/>
            <w:vAlign w:val="center"/>
            <w:hideMark/>
          </w:tcPr>
          <w:p w14:paraId="11F8439E"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 [-0.23, 0.24]</w:t>
            </w:r>
          </w:p>
        </w:tc>
        <w:tc>
          <w:tcPr>
            <w:tcW w:w="1480" w:type="dxa"/>
            <w:tcBorders>
              <w:top w:val="nil"/>
              <w:left w:val="nil"/>
              <w:bottom w:val="nil"/>
              <w:right w:val="single" w:sz="4" w:space="0" w:color="auto"/>
            </w:tcBorders>
            <w:shd w:val="clear" w:color="000000" w:fill="FFFFFF"/>
            <w:noWrap/>
            <w:vAlign w:val="center"/>
            <w:hideMark/>
          </w:tcPr>
          <w:p w14:paraId="7C46C6A2"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-0.07 [-0.26, 0.12]</w:t>
            </w:r>
          </w:p>
        </w:tc>
        <w:tc>
          <w:tcPr>
            <w:tcW w:w="1460" w:type="dxa"/>
            <w:tcBorders>
              <w:top w:val="nil"/>
              <w:left w:val="nil"/>
              <w:bottom w:val="nil"/>
              <w:right w:val="single" w:sz="4" w:space="0" w:color="auto"/>
            </w:tcBorders>
            <w:shd w:val="clear" w:color="000000" w:fill="FFFFFF"/>
            <w:noWrap/>
            <w:vAlign w:val="center"/>
            <w:hideMark/>
          </w:tcPr>
          <w:p w14:paraId="423F2492"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0.06 [-0.14, 0.25]</w:t>
            </w:r>
          </w:p>
        </w:tc>
        <w:tc>
          <w:tcPr>
            <w:tcW w:w="1480" w:type="dxa"/>
            <w:tcBorders>
              <w:top w:val="nil"/>
              <w:left w:val="nil"/>
              <w:bottom w:val="nil"/>
              <w:right w:val="single" w:sz="4" w:space="0" w:color="auto"/>
            </w:tcBorders>
            <w:shd w:val="clear" w:color="000000" w:fill="FFFFFF"/>
            <w:noWrap/>
            <w:vAlign w:val="center"/>
            <w:hideMark/>
          </w:tcPr>
          <w:p w14:paraId="0B6AC84A"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-0.15 [-0.34, 0.05]</w:t>
            </w:r>
          </w:p>
        </w:tc>
        <w:tc>
          <w:tcPr>
            <w:tcW w:w="1480" w:type="dxa"/>
            <w:tcBorders>
              <w:top w:val="nil"/>
              <w:left w:val="nil"/>
              <w:bottom w:val="nil"/>
              <w:right w:val="nil"/>
            </w:tcBorders>
            <w:shd w:val="clear" w:color="000000" w:fill="FFFFFF"/>
            <w:noWrap/>
            <w:vAlign w:val="center"/>
            <w:hideMark/>
          </w:tcPr>
          <w:p w14:paraId="1A926ACB"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-0.08 [-0.27, 0.12]</w:t>
            </w:r>
          </w:p>
        </w:tc>
      </w:tr>
      <w:tr w:rsidR="00797994" w:rsidRPr="005F4A48" w14:paraId="6929627C" w14:textId="77777777" w:rsidTr="004459B5">
        <w:trPr>
          <w:trHeight w:val="264"/>
        </w:trPr>
        <w:tc>
          <w:tcPr>
            <w:tcW w:w="1700" w:type="dxa"/>
            <w:tcBorders>
              <w:top w:val="nil"/>
              <w:left w:val="nil"/>
              <w:bottom w:val="single" w:sz="4" w:space="0" w:color="auto"/>
              <w:right w:val="single" w:sz="4" w:space="0" w:color="auto"/>
            </w:tcBorders>
            <w:shd w:val="clear" w:color="000000" w:fill="FFFFFF"/>
            <w:noWrap/>
            <w:vAlign w:val="center"/>
            <w:hideMark/>
          </w:tcPr>
          <w:p w14:paraId="6E1A7C26"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p value</w:t>
            </w:r>
          </w:p>
        </w:tc>
        <w:tc>
          <w:tcPr>
            <w:tcW w:w="1480" w:type="dxa"/>
            <w:tcBorders>
              <w:top w:val="nil"/>
              <w:left w:val="nil"/>
              <w:bottom w:val="single" w:sz="4" w:space="0" w:color="auto"/>
              <w:right w:val="single" w:sz="4" w:space="0" w:color="auto"/>
            </w:tcBorders>
            <w:shd w:val="clear" w:color="000000" w:fill="FFFFFF"/>
            <w:noWrap/>
            <w:vAlign w:val="center"/>
            <w:hideMark/>
          </w:tcPr>
          <w:p w14:paraId="0919B2EC"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0.18</w:t>
            </w:r>
          </w:p>
        </w:tc>
        <w:tc>
          <w:tcPr>
            <w:tcW w:w="1480" w:type="dxa"/>
            <w:tcBorders>
              <w:top w:val="nil"/>
              <w:left w:val="nil"/>
              <w:bottom w:val="single" w:sz="4" w:space="0" w:color="auto"/>
              <w:right w:val="single" w:sz="4" w:space="0" w:color="auto"/>
            </w:tcBorders>
            <w:shd w:val="clear" w:color="000000" w:fill="FFFFFF"/>
            <w:noWrap/>
            <w:vAlign w:val="center"/>
            <w:hideMark/>
          </w:tcPr>
          <w:p w14:paraId="39F1B79D"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0.97</w:t>
            </w:r>
          </w:p>
        </w:tc>
        <w:tc>
          <w:tcPr>
            <w:tcW w:w="1480" w:type="dxa"/>
            <w:tcBorders>
              <w:top w:val="nil"/>
              <w:left w:val="nil"/>
              <w:bottom w:val="single" w:sz="4" w:space="0" w:color="auto"/>
              <w:right w:val="single" w:sz="4" w:space="0" w:color="auto"/>
            </w:tcBorders>
            <w:shd w:val="clear" w:color="000000" w:fill="FFFFFF"/>
            <w:noWrap/>
            <w:vAlign w:val="center"/>
            <w:hideMark/>
          </w:tcPr>
          <w:p w14:paraId="091DDE80"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0.46</w:t>
            </w:r>
          </w:p>
        </w:tc>
        <w:tc>
          <w:tcPr>
            <w:tcW w:w="1460" w:type="dxa"/>
            <w:tcBorders>
              <w:top w:val="nil"/>
              <w:left w:val="nil"/>
              <w:bottom w:val="single" w:sz="4" w:space="0" w:color="auto"/>
              <w:right w:val="single" w:sz="4" w:space="0" w:color="auto"/>
            </w:tcBorders>
            <w:shd w:val="clear" w:color="000000" w:fill="FFFFFF"/>
            <w:noWrap/>
            <w:vAlign w:val="center"/>
            <w:hideMark/>
          </w:tcPr>
          <w:p w14:paraId="59ED8D85"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0.58</w:t>
            </w:r>
          </w:p>
        </w:tc>
        <w:tc>
          <w:tcPr>
            <w:tcW w:w="1480" w:type="dxa"/>
            <w:tcBorders>
              <w:top w:val="nil"/>
              <w:left w:val="nil"/>
              <w:bottom w:val="single" w:sz="4" w:space="0" w:color="auto"/>
              <w:right w:val="single" w:sz="4" w:space="0" w:color="auto"/>
            </w:tcBorders>
            <w:shd w:val="clear" w:color="000000" w:fill="FFFFFF"/>
            <w:noWrap/>
            <w:vAlign w:val="center"/>
            <w:hideMark/>
          </w:tcPr>
          <w:p w14:paraId="095B09ED"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0.15</w:t>
            </w:r>
          </w:p>
        </w:tc>
        <w:tc>
          <w:tcPr>
            <w:tcW w:w="1480" w:type="dxa"/>
            <w:tcBorders>
              <w:top w:val="nil"/>
              <w:left w:val="nil"/>
              <w:bottom w:val="single" w:sz="4" w:space="0" w:color="auto"/>
              <w:right w:val="nil"/>
            </w:tcBorders>
            <w:shd w:val="clear" w:color="000000" w:fill="FFFFFF"/>
            <w:noWrap/>
            <w:vAlign w:val="center"/>
            <w:hideMark/>
          </w:tcPr>
          <w:p w14:paraId="04987E13"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0.46</w:t>
            </w:r>
          </w:p>
        </w:tc>
      </w:tr>
      <w:tr w:rsidR="00797994" w:rsidRPr="005F4A48" w14:paraId="47476A09" w14:textId="77777777" w:rsidTr="004459B5">
        <w:trPr>
          <w:trHeight w:val="264"/>
        </w:trPr>
        <w:tc>
          <w:tcPr>
            <w:tcW w:w="1700" w:type="dxa"/>
            <w:tcBorders>
              <w:top w:val="nil"/>
              <w:left w:val="nil"/>
              <w:bottom w:val="nil"/>
              <w:right w:val="single" w:sz="4" w:space="0" w:color="auto"/>
            </w:tcBorders>
            <w:shd w:val="clear" w:color="000000" w:fill="D9D9D9"/>
            <w:noWrap/>
            <w:vAlign w:val="center"/>
            <w:hideMark/>
          </w:tcPr>
          <w:p w14:paraId="73B4291A" w14:textId="77777777" w:rsidR="00797994" w:rsidRPr="005F4A48" w:rsidRDefault="00797994" w:rsidP="004459B5">
            <w:pPr>
              <w:spacing w:line="360" w:lineRule="auto"/>
              <w:jc w:val="left"/>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QLI</w:t>
            </w:r>
          </w:p>
        </w:tc>
        <w:tc>
          <w:tcPr>
            <w:tcW w:w="1480" w:type="dxa"/>
            <w:tcBorders>
              <w:top w:val="nil"/>
              <w:left w:val="nil"/>
              <w:bottom w:val="nil"/>
              <w:right w:val="single" w:sz="4" w:space="0" w:color="auto"/>
            </w:tcBorders>
            <w:shd w:val="clear" w:color="000000" w:fill="D9D9D9"/>
            <w:noWrap/>
            <w:vAlign w:val="center"/>
            <w:hideMark/>
          </w:tcPr>
          <w:p w14:paraId="6199C686"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6361FB16"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40EA7739"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single" w:sz="4" w:space="0" w:color="auto"/>
            </w:tcBorders>
            <w:shd w:val="clear" w:color="000000" w:fill="D9D9D9"/>
            <w:noWrap/>
            <w:vAlign w:val="center"/>
            <w:hideMark/>
          </w:tcPr>
          <w:p w14:paraId="7DECA5B0"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7A9D44EC"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nil"/>
            </w:tcBorders>
            <w:shd w:val="clear" w:color="000000" w:fill="D9D9D9"/>
            <w:noWrap/>
            <w:vAlign w:val="center"/>
            <w:hideMark/>
          </w:tcPr>
          <w:p w14:paraId="7E6A18D4"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r>
      <w:tr w:rsidR="00797994" w:rsidRPr="005F4A48" w14:paraId="40900F37" w14:textId="77777777" w:rsidTr="004459B5">
        <w:trPr>
          <w:trHeight w:val="264"/>
        </w:trPr>
        <w:tc>
          <w:tcPr>
            <w:tcW w:w="1700" w:type="dxa"/>
            <w:tcBorders>
              <w:top w:val="nil"/>
              <w:left w:val="nil"/>
              <w:bottom w:val="nil"/>
              <w:right w:val="single" w:sz="4" w:space="0" w:color="auto"/>
            </w:tcBorders>
            <w:shd w:val="clear" w:color="000000" w:fill="FFFFFF"/>
            <w:noWrap/>
            <w:vAlign w:val="center"/>
            <w:hideMark/>
          </w:tcPr>
          <w:p w14:paraId="19BBC033"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Correlation coefficient</w:t>
            </w:r>
          </w:p>
        </w:tc>
        <w:tc>
          <w:tcPr>
            <w:tcW w:w="1480" w:type="dxa"/>
            <w:tcBorders>
              <w:top w:val="nil"/>
              <w:left w:val="nil"/>
              <w:bottom w:val="nil"/>
              <w:right w:val="single" w:sz="4" w:space="0" w:color="auto"/>
            </w:tcBorders>
            <w:shd w:val="clear" w:color="000000" w:fill="FFFFFF"/>
            <w:noWrap/>
            <w:vAlign w:val="center"/>
            <w:hideMark/>
          </w:tcPr>
          <w:p w14:paraId="52C931B4"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-0.32 [-0.53, -0.06]</w:t>
            </w:r>
          </w:p>
        </w:tc>
        <w:tc>
          <w:tcPr>
            <w:tcW w:w="1480" w:type="dxa"/>
            <w:tcBorders>
              <w:top w:val="nil"/>
              <w:left w:val="nil"/>
              <w:bottom w:val="nil"/>
              <w:right w:val="single" w:sz="4" w:space="0" w:color="auto"/>
            </w:tcBorders>
            <w:shd w:val="clear" w:color="000000" w:fill="FFFFFF"/>
            <w:noWrap/>
            <w:vAlign w:val="center"/>
            <w:hideMark/>
          </w:tcPr>
          <w:p w14:paraId="0B84A3AE"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-0.08 [-0.35, 0.19]</w:t>
            </w:r>
          </w:p>
        </w:tc>
        <w:tc>
          <w:tcPr>
            <w:tcW w:w="1480" w:type="dxa"/>
            <w:tcBorders>
              <w:top w:val="nil"/>
              <w:left w:val="nil"/>
              <w:bottom w:val="nil"/>
              <w:right w:val="single" w:sz="4" w:space="0" w:color="auto"/>
            </w:tcBorders>
            <w:shd w:val="clear" w:color="000000" w:fill="FFFFFF"/>
            <w:noWrap/>
            <w:vAlign w:val="center"/>
            <w:hideMark/>
          </w:tcPr>
          <w:p w14:paraId="7A880327"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-0.30 [-0.49, -0.07]</w:t>
            </w:r>
          </w:p>
        </w:tc>
        <w:tc>
          <w:tcPr>
            <w:tcW w:w="1460" w:type="dxa"/>
            <w:tcBorders>
              <w:top w:val="nil"/>
              <w:left w:val="nil"/>
              <w:bottom w:val="nil"/>
              <w:right w:val="single" w:sz="4" w:space="0" w:color="auto"/>
            </w:tcBorders>
            <w:shd w:val="clear" w:color="000000" w:fill="FFFFFF"/>
            <w:noWrap/>
            <w:vAlign w:val="center"/>
            <w:hideMark/>
          </w:tcPr>
          <w:p w14:paraId="4EEDF12B"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0.27 [0.05, 0.47]</w:t>
            </w:r>
          </w:p>
        </w:tc>
        <w:tc>
          <w:tcPr>
            <w:tcW w:w="1480" w:type="dxa"/>
            <w:tcBorders>
              <w:top w:val="nil"/>
              <w:left w:val="nil"/>
              <w:bottom w:val="nil"/>
              <w:right w:val="single" w:sz="4" w:space="0" w:color="auto"/>
            </w:tcBorders>
            <w:shd w:val="clear" w:color="000000" w:fill="FFFFFF"/>
            <w:noWrap/>
            <w:vAlign w:val="center"/>
            <w:hideMark/>
          </w:tcPr>
          <w:p w14:paraId="1949DE28"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0.07 [-0.17, 030]</w:t>
            </w:r>
          </w:p>
        </w:tc>
        <w:tc>
          <w:tcPr>
            <w:tcW w:w="1480" w:type="dxa"/>
            <w:tcBorders>
              <w:top w:val="nil"/>
              <w:left w:val="nil"/>
              <w:bottom w:val="nil"/>
              <w:right w:val="nil"/>
            </w:tcBorders>
            <w:shd w:val="clear" w:color="000000" w:fill="FFFFFF"/>
            <w:noWrap/>
            <w:vAlign w:val="center"/>
            <w:hideMark/>
          </w:tcPr>
          <w:p w14:paraId="41DC6EB6"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-0.09 [-0.32, 0.14]</w:t>
            </w:r>
          </w:p>
        </w:tc>
      </w:tr>
      <w:tr w:rsidR="00797994" w:rsidRPr="005F4A48" w14:paraId="2019C4AF" w14:textId="77777777" w:rsidTr="004459B5">
        <w:trPr>
          <w:trHeight w:val="264"/>
        </w:trPr>
        <w:tc>
          <w:tcPr>
            <w:tcW w:w="1700" w:type="dxa"/>
            <w:tcBorders>
              <w:top w:val="nil"/>
              <w:left w:val="nil"/>
              <w:bottom w:val="single" w:sz="4" w:space="0" w:color="auto"/>
              <w:right w:val="single" w:sz="4" w:space="0" w:color="auto"/>
            </w:tcBorders>
            <w:shd w:val="clear" w:color="000000" w:fill="FFFFFF"/>
            <w:noWrap/>
            <w:vAlign w:val="center"/>
            <w:hideMark/>
          </w:tcPr>
          <w:p w14:paraId="71A47550"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p value</w:t>
            </w:r>
          </w:p>
        </w:tc>
        <w:tc>
          <w:tcPr>
            <w:tcW w:w="1480" w:type="dxa"/>
            <w:tcBorders>
              <w:top w:val="nil"/>
              <w:left w:val="nil"/>
              <w:bottom w:val="single" w:sz="4" w:space="0" w:color="auto"/>
              <w:right w:val="single" w:sz="4" w:space="0" w:color="auto"/>
            </w:tcBorders>
            <w:shd w:val="clear" w:color="000000" w:fill="FFFFFF"/>
            <w:noWrap/>
            <w:vAlign w:val="center"/>
            <w:hideMark/>
          </w:tcPr>
          <w:p w14:paraId="4D357114"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0.01</w:t>
            </w:r>
          </w:p>
        </w:tc>
        <w:tc>
          <w:tcPr>
            <w:tcW w:w="1480" w:type="dxa"/>
            <w:tcBorders>
              <w:top w:val="nil"/>
              <w:left w:val="nil"/>
              <w:bottom w:val="single" w:sz="4" w:space="0" w:color="auto"/>
              <w:right w:val="single" w:sz="4" w:space="0" w:color="auto"/>
            </w:tcBorders>
            <w:shd w:val="clear" w:color="000000" w:fill="FFFFFF"/>
            <w:noWrap/>
            <w:vAlign w:val="center"/>
            <w:hideMark/>
          </w:tcPr>
          <w:p w14:paraId="163FDF37"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0.56</w:t>
            </w:r>
          </w:p>
        </w:tc>
        <w:tc>
          <w:tcPr>
            <w:tcW w:w="1480" w:type="dxa"/>
            <w:tcBorders>
              <w:top w:val="nil"/>
              <w:left w:val="nil"/>
              <w:bottom w:val="single" w:sz="4" w:space="0" w:color="auto"/>
              <w:right w:val="single" w:sz="4" w:space="0" w:color="auto"/>
            </w:tcBorders>
            <w:shd w:val="clear" w:color="000000" w:fill="FFFFFF"/>
            <w:noWrap/>
            <w:vAlign w:val="center"/>
            <w:hideMark/>
          </w:tcPr>
          <w:p w14:paraId="2B62F761"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0.01</w:t>
            </w:r>
          </w:p>
        </w:tc>
        <w:tc>
          <w:tcPr>
            <w:tcW w:w="1460" w:type="dxa"/>
            <w:tcBorders>
              <w:top w:val="nil"/>
              <w:left w:val="nil"/>
              <w:bottom w:val="single" w:sz="4" w:space="0" w:color="auto"/>
              <w:right w:val="single" w:sz="4" w:space="0" w:color="auto"/>
            </w:tcBorders>
            <w:shd w:val="clear" w:color="000000" w:fill="FFFFFF"/>
            <w:noWrap/>
            <w:vAlign w:val="center"/>
            <w:hideMark/>
          </w:tcPr>
          <w:p w14:paraId="0EB91923"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0.02</w:t>
            </w:r>
          </w:p>
        </w:tc>
        <w:tc>
          <w:tcPr>
            <w:tcW w:w="1480" w:type="dxa"/>
            <w:tcBorders>
              <w:top w:val="nil"/>
              <w:left w:val="nil"/>
              <w:bottom w:val="single" w:sz="4" w:space="0" w:color="auto"/>
              <w:right w:val="single" w:sz="4" w:space="0" w:color="auto"/>
            </w:tcBorders>
            <w:shd w:val="clear" w:color="000000" w:fill="FFFFFF"/>
            <w:noWrap/>
            <w:vAlign w:val="center"/>
            <w:hideMark/>
          </w:tcPr>
          <w:p w14:paraId="6E05FF78"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0.56</w:t>
            </w:r>
          </w:p>
        </w:tc>
        <w:tc>
          <w:tcPr>
            <w:tcW w:w="1480" w:type="dxa"/>
            <w:tcBorders>
              <w:top w:val="nil"/>
              <w:left w:val="nil"/>
              <w:bottom w:val="single" w:sz="4" w:space="0" w:color="auto"/>
              <w:right w:val="nil"/>
            </w:tcBorders>
            <w:shd w:val="clear" w:color="000000" w:fill="FFFFFF"/>
            <w:noWrap/>
            <w:vAlign w:val="center"/>
            <w:hideMark/>
          </w:tcPr>
          <w:p w14:paraId="7726A1CA"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0.44</w:t>
            </w:r>
          </w:p>
        </w:tc>
      </w:tr>
      <w:tr w:rsidR="00797994" w:rsidRPr="005F4A48" w14:paraId="1FCB8406" w14:textId="77777777" w:rsidTr="004459B5">
        <w:trPr>
          <w:trHeight w:val="264"/>
        </w:trPr>
        <w:tc>
          <w:tcPr>
            <w:tcW w:w="1700" w:type="dxa"/>
            <w:tcBorders>
              <w:top w:val="nil"/>
              <w:left w:val="nil"/>
              <w:bottom w:val="nil"/>
              <w:right w:val="single" w:sz="4" w:space="0" w:color="auto"/>
            </w:tcBorders>
            <w:shd w:val="clear" w:color="000000" w:fill="D9D9D9"/>
            <w:noWrap/>
            <w:vAlign w:val="center"/>
            <w:hideMark/>
          </w:tcPr>
          <w:p w14:paraId="179B429F" w14:textId="77777777" w:rsidR="00797994" w:rsidRPr="005F4A48" w:rsidRDefault="00797994" w:rsidP="004459B5">
            <w:pPr>
              <w:spacing w:line="360" w:lineRule="auto"/>
              <w:jc w:val="left"/>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QKI</w:t>
            </w:r>
          </w:p>
        </w:tc>
        <w:tc>
          <w:tcPr>
            <w:tcW w:w="1480" w:type="dxa"/>
            <w:tcBorders>
              <w:top w:val="nil"/>
              <w:left w:val="nil"/>
              <w:bottom w:val="nil"/>
              <w:right w:val="single" w:sz="4" w:space="0" w:color="auto"/>
            </w:tcBorders>
            <w:shd w:val="clear" w:color="000000" w:fill="D9D9D9"/>
            <w:noWrap/>
            <w:vAlign w:val="center"/>
            <w:hideMark/>
          </w:tcPr>
          <w:p w14:paraId="3A578775"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4AF46819"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1D4A63B2"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single" w:sz="4" w:space="0" w:color="auto"/>
            </w:tcBorders>
            <w:shd w:val="clear" w:color="000000" w:fill="D9D9D9"/>
            <w:noWrap/>
            <w:vAlign w:val="center"/>
            <w:hideMark/>
          </w:tcPr>
          <w:p w14:paraId="49DF6A9F"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1B0A3021"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nil"/>
            </w:tcBorders>
            <w:shd w:val="clear" w:color="000000" w:fill="D9D9D9"/>
            <w:noWrap/>
            <w:vAlign w:val="center"/>
            <w:hideMark/>
          </w:tcPr>
          <w:p w14:paraId="70E517B6"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r>
      <w:tr w:rsidR="00797994" w:rsidRPr="005F4A48" w14:paraId="0AD76E0C" w14:textId="77777777" w:rsidTr="004459B5">
        <w:trPr>
          <w:trHeight w:val="264"/>
        </w:trPr>
        <w:tc>
          <w:tcPr>
            <w:tcW w:w="1700" w:type="dxa"/>
            <w:tcBorders>
              <w:top w:val="nil"/>
              <w:left w:val="nil"/>
              <w:bottom w:val="nil"/>
              <w:right w:val="single" w:sz="4" w:space="0" w:color="auto"/>
            </w:tcBorders>
            <w:shd w:val="clear" w:color="000000" w:fill="FFFFFF"/>
            <w:noWrap/>
            <w:vAlign w:val="center"/>
            <w:hideMark/>
          </w:tcPr>
          <w:p w14:paraId="5D94AB07"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Correlation coefficient</w:t>
            </w:r>
          </w:p>
        </w:tc>
        <w:tc>
          <w:tcPr>
            <w:tcW w:w="1480" w:type="dxa"/>
            <w:tcBorders>
              <w:top w:val="nil"/>
              <w:left w:val="nil"/>
              <w:bottom w:val="nil"/>
              <w:right w:val="single" w:sz="4" w:space="0" w:color="auto"/>
            </w:tcBorders>
            <w:shd w:val="clear" w:color="000000" w:fill="FFFFFF"/>
            <w:noWrap/>
            <w:vAlign w:val="center"/>
            <w:hideMark/>
          </w:tcPr>
          <w:p w14:paraId="2B720502"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-0.40 [-0.67, -0.03]</w:t>
            </w:r>
          </w:p>
        </w:tc>
        <w:tc>
          <w:tcPr>
            <w:tcW w:w="1480" w:type="dxa"/>
            <w:tcBorders>
              <w:top w:val="nil"/>
              <w:left w:val="nil"/>
              <w:bottom w:val="nil"/>
              <w:right w:val="single" w:sz="4" w:space="0" w:color="auto"/>
            </w:tcBorders>
            <w:shd w:val="clear" w:color="000000" w:fill="FFFFFF"/>
            <w:noWrap/>
            <w:vAlign w:val="center"/>
            <w:hideMark/>
          </w:tcPr>
          <w:p w14:paraId="5036F2EB"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0.20 [-0.28, 0.60]</w:t>
            </w:r>
          </w:p>
        </w:tc>
        <w:tc>
          <w:tcPr>
            <w:tcW w:w="1480" w:type="dxa"/>
            <w:tcBorders>
              <w:top w:val="nil"/>
              <w:left w:val="nil"/>
              <w:bottom w:val="nil"/>
              <w:right w:val="single" w:sz="4" w:space="0" w:color="auto"/>
            </w:tcBorders>
            <w:shd w:val="clear" w:color="000000" w:fill="FFFFFF"/>
            <w:noWrap/>
            <w:vAlign w:val="center"/>
            <w:hideMark/>
          </w:tcPr>
          <w:p w14:paraId="67120F5D"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-0.56 [-0.77, -0.24]</w:t>
            </w:r>
          </w:p>
        </w:tc>
        <w:tc>
          <w:tcPr>
            <w:tcW w:w="1460" w:type="dxa"/>
            <w:tcBorders>
              <w:top w:val="nil"/>
              <w:left w:val="nil"/>
              <w:bottom w:val="nil"/>
              <w:right w:val="single" w:sz="4" w:space="0" w:color="auto"/>
            </w:tcBorders>
            <w:shd w:val="clear" w:color="000000" w:fill="FFFFFF"/>
            <w:noWrap/>
            <w:vAlign w:val="center"/>
            <w:hideMark/>
          </w:tcPr>
          <w:p w14:paraId="3AE45580"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0.60 [0.30, 0.79]</w:t>
            </w:r>
          </w:p>
        </w:tc>
        <w:tc>
          <w:tcPr>
            <w:tcW w:w="1480" w:type="dxa"/>
            <w:tcBorders>
              <w:top w:val="nil"/>
              <w:left w:val="nil"/>
              <w:bottom w:val="nil"/>
              <w:right w:val="single" w:sz="4" w:space="0" w:color="auto"/>
            </w:tcBorders>
            <w:shd w:val="clear" w:color="000000" w:fill="FFFFFF"/>
            <w:noWrap/>
            <w:vAlign w:val="center"/>
            <w:hideMark/>
          </w:tcPr>
          <w:p w14:paraId="64B0ECDC"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0.54 [0.21, 0.76]</w:t>
            </w:r>
          </w:p>
        </w:tc>
        <w:tc>
          <w:tcPr>
            <w:tcW w:w="1480" w:type="dxa"/>
            <w:tcBorders>
              <w:top w:val="nil"/>
              <w:left w:val="nil"/>
              <w:bottom w:val="nil"/>
              <w:right w:val="nil"/>
            </w:tcBorders>
            <w:shd w:val="clear" w:color="000000" w:fill="FFFFFF"/>
            <w:noWrap/>
            <w:vAlign w:val="center"/>
            <w:hideMark/>
          </w:tcPr>
          <w:p w14:paraId="727B9A32"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0.05 [-0.33, 0.41]</w:t>
            </w:r>
          </w:p>
        </w:tc>
      </w:tr>
      <w:tr w:rsidR="00797994" w:rsidRPr="005F4A48" w14:paraId="05C5EBD0" w14:textId="77777777" w:rsidTr="004459B5">
        <w:trPr>
          <w:trHeight w:val="264"/>
        </w:trPr>
        <w:tc>
          <w:tcPr>
            <w:tcW w:w="1700" w:type="dxa"/>
            <w:tcBorders>
              <w:top w:val="nil"/>
              <w:left w:val="nil"/>
              <w:bottom w:val="single" w:sz="4" w:space="0" w:color="auto"/>
              <w:right w:val="single" w:sz="4" w:space="0" w:color="auto"/>
            </w:tcBorders>
            <w:shd w:val="clear" w:color="000000" w:fill="FFFFFF"/>
            <w:noWrap/>
            <w:vAlign w:val="center"/>
            <w:hideMark/>
          </w:tcPr>
          <w:p w14:paraId="05A57BD5"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p value</w:t>
            </w:r>
          </w:p>
        </w:tc>
        <w:tc>
          <w:tcPr>
            <w:tcW w:w="1480" w:type="dxa"/>
            <w:tcBorders>
              <w:top w:val="nil"/>
              <w:left w:val="nil"/>
              <w:bottom w:val="single" w:sz="4" w:space="0" w:color="auto"/>
              <w:right w:val="single" w:sz="4" w:space="0" w:color="auto"/>
            </w:tcBorders>
            <w:shd w:val="clear" w:color="000000" w:fill="FFFFFF"/>
            <w:noWrap/>
            <w:vAlign w:val="center"/>
            <w:hideMark/>
          </w:tcPr>
          <w:p w14:paraId="388C5A12"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0.03</w:t>
            </w:r>
          </w:p>
        </w:tc>
        <w:tc>
          <w:tcPr>
            <w:tcW w:w="1480" w:type="dxa"/>
            <w:tcBorders>
              <w:top w:val="nil"/>
              <w:left w:val="nil"/>
              <w:bottom w:val="single" w:sz="4" w:space="0" w:color="auto"/>
              <w:right w:val="single" w:sz="4" w:space="0" w:color="auto"/>
            </w:tcBorders>
            <w:shd w:val="clear" w:color="000000" w:fill="FFFFFF"/>
            <w:noWrap/>
            <w:vAlign w:val="center"/>
            <w:hideMark/>
          </w:tcPr>
          <w:p w14:paraId="7B682726"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0.41</w:t>
            </w:r>
          </w:p>
        </w:tc>
        <w:tc>
          <w:tcPr>
            <w:tcW w:w="1480" w:type="dxa"/>
            <w:tcBorders>
              <w:top w:val="nil"/>
              <w:left w:val="nil"/>
              <w:bottom w:val="single" w:sz="4" w:space="0" w:color="auto"/>
              <w:right w:val="single" w:sz="4" w:space="0" w:color="auto"/>
            </w:tcBorders>
            <w:shd w:val="clear" w:color="000000" w:fill="FFFFFF"/>
            <w:noWrap/>
            <w:vAlign w:val="center"/>
            <w:hideMark/>
          </w:tcPr>
          <w:p w14:paraId="65B2C900"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0.002</w:t>
            </w:r>
          </w:p>
        </w:tc>
        <w:tc>
          <w:tcPr>
            <w:tcW w:w="1460" w:type="dxa"/>
            <w:tcBorders>
              <w:top w:val="nil"/>
              <w:left w:val="nil"/>
              <w:bottom w:val="single" w:sz="4" w:space="0" w:color="auto"/>
              <w:right w:val="single" w:sz="4" w:space="0" w:color="auto"/>
            </w:tcBorders>
            <w:shd w:val="clear" w:color="000000" w:fill="FFFFFF"/>
            <w:noWrap/>
            <w:vAlign w:val="center"/>
            <w:hideMark/>
          </w:tcPr>
          <w:p w14:paraId="16D5E9EE"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0.01</w:t>
            </w:r>
          </w:p>
        </w:tc>
        <w:tc>
          <w:tcPr>
            <w:tcW w:w="1480" w:type="dxa"/>
            <w:tcBorders>
              <w:top w:val="nil"/>
              <w:left w:val="nil"/>
              <w:bottom w:val="single" w:sz="4" w:space="0" w:color="auto"/>
              <w:right w:val="single" w:sz="4" w:space="0" w:color="auto"/>
            </w:tcBorders>
            <w:shd w:val="clear" w:color="000000" w:fill="FFFFFF"/>
            <w:noWrap/>
            <w:vAlign w:val="center"/>
            <w:hideMark/>
          </w:tcPr>
          <w:p w14:paraId="277C1CA4"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0.003</w:t>
            </w:r>
          </w:p>
        </w:tc>
        <w:tc>
          <w:tcPr>
            <w:tcW w:w="1480" w:type="dxa"/>
            <w:tcBorders>
              <w:top w:val="nil"/>
              <w:left w:val="nil"/>
              <w:bottom w:val="single" w:sz="4" w:space="0" w:color="auto"/>
              <w:right w:val="nil"/>
            </w:tcBorders>
            <w:shd w:val="clear" w:color="000000" w:fill="FFFFFF"/>
            <w:noWrap/>
            <w:vAlign w:val="center"/>
            <w:hideMark/>
          </w:tcPr>
          <w:p w14:paraId="5F637680"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0.81</w:t>
            </w:r>
          </w:p>
        </w:tc>
      </w:tr>
      <w:tr w:rsidR="00797994" w:rsidRPr="005F4A48" w14:paraId="11CA21D9" w14:textId="77777777" w:rsidTr="004459B5">
        <w:trPr>
          <w:trHeight w:val="264"/>
        </w:trPr>
        <w:tc>
          <w:tcPr>
            <w:tcW w:w="1700" w:type="dxa"/>
            <w:tcBorders>
              <w:top w:val="nil"/>
              <w:left w:val="nil"/>
              <w:bottom w:val="nil"/>
              <w:right w:val="single" w:sz="4" w:space="0" w:color="auto"/>
            </w:tcBorders>
            <w:shd w:val="clear" w:color="000000" w:fill="D9D9D9"/>
            <w:noWrap/>
            <w:vAlign w:val="center"/>
            <w:hideMark/>
          </w:tcPr>
          <w:p w14:paraId="14F43FD7" w14:textId="77777777" w:rsidR="00797994" w:rsidRPr="005F4A48" w:rsidRDefault="00797994" w:rsidP="004459B5">
            <w:pPr>
              <w:spacing w:line="360" w:lineRule="auto"/>
              <w:jc w:val="left"/>
              <w:rPr>
                <w:rFonts w:eastAsia="Times New Roman" w:cs="Arial"/>
                <w:b/>
                <w:bCs/>
                <w:color w:val="000000"/>
                <w:sz w:val="16"/>
                <w:szCs w:val="16"/>
                <w:lang w:val="en-GB" w:eastAsia="de-DE"/>
              </w:rPr>
            </w:pPr>
            <w:r w:rsidRPr="005F4A48">
              <w:rPr>
                <w:rFonts w:eastAsia="Times New Roman" w:cs="Arial"/>
                <w:b/>
                <w:bCs/>
                <w:color w:val="000000"/>
                <w:sz w:val="16"/>
                <w:szCs w:val="16"/>
                <w:lang w:val="en-GB" w:eastAsia="de-DE"/>
              </w:rPr>
              <w:t>GFR</w:t>
            </w:r>
          </w:p>
        </w:tc>
        <w:tc>
          <w:tcPr>
            <w:tcW w:w="1480" w:type="dxa"/>
            <w:tcBorders>
              <w:top w:val="nil"/>
              <w:left w:val="nil"/>
              <w:bottom w:val="nil"/>
              <w:right w:val="single" w:sz="4" w:space="0" w:color="auto"/>
            </w:tcBorders>
            <w:shd w:val="clear" w:color="000000" w:fill="D9D9D9"/>
            <w:noWrap/>
            <w:vAlign w:val="center"/>
            <w:hideMark/>
          </w:tcPr>
          <w:p w14:paraId="7941D433"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6D769219"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78CFC6BC"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60" w:type="dxa"/>
            <w:tcBorders>
              <w:top w:val="nil"/>
              <w:left w:val="nil"/>
              <w:bottom w:val="nil"/>
              <w:right w:val="single" w:sz="4" w:space="0" w:color="auto"/>
            </w:tcBorders>
            <w:shd w:val="clear" w:color="000000" w:fill="D9D9D9"/>
            <w:noWrap/>
            <w:vAlign w:val="center"/>
            <w:hideMark/>
          </w:tcPr>
          <w:p w14:paraId="56080BAA"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single" w:sz="4" w:space="0" w:color="auto"/>
            </w:tcBorders>
            <w:shd w:val="clear" w:color="000000" w:fill="D9D9D9"/>
            <w:noWrap/>
            <w:vAlign w:val="center"/>
            <w:hideMark/>
          </w:tcPr>
          <w:p w14:paraId="0DB44BDB"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c>
          <w:tcPr>
            <w:tcW w:w="1480" w:type="dxa"/>
            <w:tcBorders>
              <w:top w:val="nil"/>
              <w:left w:val="nil"/>
              <w:bottom w:val="nil"/>
              <w:right w:val="nil"/>
            </w:tcBorders>
            <w:shd w:val="clear" w:color="000000" w:fill="D9D9D9"/>
            <w:noWrap/>
            <w:vAlign w:val="center"/>
            <w:hideMark/>
          </w:tcPr>
          <w:p w14:paraId="58CED4E4"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 </w:t>
            </w:r>
          </w:p>
        </w:tc>
      </w:tr>
      <w:tr w:rsidR="00797994" w:rsidRPr="005F4A48" w14:paraId="439C36C4" w14:textId="77777777" w:rsidTr="004459B5">
        <w:trPr>
          <w:trHeight w:val="264"/>
        </w:trPr>
        <w:tc>
          <w:tcPr>
            <w:tcW w:w="1700" w:type="dxa"/>
            <w:tcBorders>
              <w:top w:val="nil"/>
              <w:left w:val="nil"/>
              <w:bottom w:val="nil"/>
              <w:right w:val="single" w:sz="4" w:space="0" w:color="auto"/>
            </w:tcBorders>
            <w:shd w:val="clear" w:color="000000" w:fill="FFFFFF"/>
            <w:noWrap/>
            <w:vAlign w:val="center"/>
            <w:hideMark/>
          </w:tcPr>
          <w:p w14:paraId="12812E58"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Correlation coefficient</w:t>
            </w:r>
          </w:p>
        </w:tc>
        <w:tc>
          <w:tcPr>
            <w:tcW w:w="1480" w:type="dxa"/>
            <w:tcBorders>
              <w:top w:val="nil"/>
              <w:left w:val="nil"/>
              <w:bottom w:val="nil"/>
              <w:right w:val="single" w:sz="4" w:space="0" w:color="auto"/>
            </w:tcBorders>
            <w:shd w:val="clear" w:color="000000" w:fill="FFFFFF"/>
            <w:noWrap/>
            <w:vAlign w:val="center"/>
            <w:hideMark/>
          </w:tcPr>
          <w:p w14:paraId="00DB9567"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-0.38 [-0.66, -0.01]</w:t>
            </w:r>
          </w:p>
        </w:tc>
        <w:tc>
          <w:tcPr>
            <w:tcW w:w="1480" w:type="dxa"/>
            <w:tcBorders>
              <w:top w:val="nil"/>
              <w:left w:val="nil"/>
              <w:bottom w:val="nil"/>
              <w:right w:val="single" w:sz="4" w:space="0" w:color="auto"/>
            </w:tcBorders>
            <w:shd w:val="clear" w:color="000000" w:fill="FFFFFF"/>
            <w:noWrap/>
            <w:vAlign w:val="center"/>
            <w:hideMark/>
          </w:tcPr>
          <w:p w14:paraId="02FF4313"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0.23 [-0.25, 0.62]</w:t>
            </w:r>
          </w:p>
        </w:tc>
        <w:tc>
          <w:tcPr>
            <w:tcW w:w="1480" w:type="dxa"/>
            <w:tcBorders>
              <w:top w:val="nil"/>
              <w:left w:val="nil"/>
              <w:bottom w:val="nil"/>
              <w:right w:val="single" w:sz="4" w:space="0" w:color="auto"/>
            </w:tcBorders>
            <w:shd w:val="clear" w:color="000000" w:fill="FFFFFF"/>
            <w:noWrap/>
            <w:vAlign w:val="center"/>
            <w:hideMark/>
          </w:tcPr>
          <w:p w14:paraId="15BCDB4A"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-0.64 [-0.81, -0.35]</w:t>
            </w:r>
          </w:p>
        </w:tc>
        <w:tc>
          <w:tcPr>
            <w:tcW w:w="1460" w:type="dxa"/>
            <w:tcBorders>
              <w:top w:val="nil"/>
              <w:left w:val="nil"/>
              <w:bottom w:val="nil"/>
              <w:right w:val="single" w:sz="4" w:space="0" w:color="auto"/>
            </w:tcBorders>
            <w:shd w:val="clear" w:color="000000" w:fill="FFFFFF"/>
            <w:noWrap/>
            <w:vAlign w:val="center"/>
            <w:hideMark/>
          </w:tcPr>
          <w:p w14:paraId="09356B61"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0.65 [0.38, 0.82]</w:t>
            </w:r>
          </w:p>
        </w:tc>
        <w:tc>
          <w:tcPr>
            <w:tcW w:w="1480" w:type="dxa"/>
            <w:tcBorders>
              <w:top w:val="nil"/>
              <w:left w:val="nil"/>
              <w:bottom w:val="nil"/>
              <w:right w:val="single" w:sz="4" w:space="0" w:color="auto"/>
            </w:tcBorders>
            <w:shd w:val="clear" w:color="000000" w:fill="FFFFFF"/>
            <w:noWrap/>
            <w:vAlign w:val="center"/>
            <w:hideMark/>
          </w:tcPr>
          <w:p w14:paraId="616529FC"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0.52 [0.19, 0.75]</w:t>
            </w:r>
          </w:p>
        </w:tc>
        <w:tc>
          <w:tcPr>
            <w:tcW w:w="1480" w:type="dxa"/>
            <w:tcBorders>
              <w:top w:val="nil"/>
              <w:left w:val="nil"/>
              <w:bottom w:val="nil"/>
              <w:right w:val="nil"/>
            </w:tcBorders>
            <w:shd w:val="clear" w:color="000000" w:fill="FFFFFF"/>
            <w:noWrap/>
            <w:vAlign w:val="center"/>
            <w:hideMark/>
          </w:tcPr>
          <w:p w14:paraId="0108A485"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-0.04 [-0.41, 0.34]</w:t>
            </w:r>
          </w:p>
        </w:tc>
      </w:tr>
      <w:tr w:rsidR="00797994" w:rsidRPr="005F4A48" w14:paraId="62A1F2C7" w14:textId="77777777" w:rsidTr="004459B5">
        <w:trPr>
          <w:trHeight w:val="276"/>
        </w:trPr>
        <w:tc>
          <w:tcPr>
            <w:tcW w:w="1700" w:type="dxa"/>
            <w:tcBorders>
              <w:top w:val="nil"/>
              <w:left w:val="nil"/>
              <w:bottom w:val="single" w:sz="8" w:space="0" w:color="auto"/>
              <w:right w:val="single" w:sz="4" w:space="0" w:color="auto"/>
            </w:tcBorders>
            <w:shd w:val="clear" w:color="000000" w:fill="FFFFFF"/>
            <w:noWrap/>
            <w:vAlign w:val="center"/>
            <w:hideMark/>
          </w:tcPr>
          <w:p w14:paraId="5AEDDCBD"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p value</w:t>
            </w:r>
          </w:p>
        </w:tc>
        <w:tc>
          <w:tcPr>
            <w:tcW w:w="1480" w:type="dxa"/>
            <w:tcBorders>
              <w:top w:val="nil"/>
              <w:left w:val="nil"/>
              <w:bottom w:val="single" w:sz="8" w:space="0" w:color="auto"/>
              <w:right w:val="single" w:sz="4" w:space="0" w:color="auto"/>
            </w:tcBorders>
            <w:shd w:val="clear" w:color="000000" w:fill="FFFFFF"/>
            <w:noWrap/>
            <w:vAlign w:val="center"/>
            <w:hideMark/>
          </w:tcPr>
          <w:p w14:paraId="723A144D"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0.04</w:t>
            </w:r>
          </w:p>
        </w:tc>
        <w:tc>
          <w:tcPr>
            <w:tcW w:w="1480" w:type="dxa"/>
            <w:tcBorders>
              <w:top w:val="nil"/>
              <w:left w:val="nil"/>
              <w:bottom w:val="single" w:sz="8" w:space="0" w:color="auto"/>
              <w:right w:val="single" w:sz="4" w:space="0" w:color="auto"/>
            </w:tcBorders>
            <w:shd w:val="clear" w:color="000000" w:fill="FFFFFF"/>
            <w:noWrap/>
            <w:vAlign w:val="center"/>
            <w:hideMark/>
          </w:tcPr>
          <w:p w14:paraId="3929BF6A"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0.35</w:t>
            </w:r>
          </w:p>
        </w:tc>
        <w:tc>
          <w:tcPr>
            <w:tcW w:w="1480" w:type="dxa"/>
            <w:tcBorders>
              <w:top w:val="nil"/>
              <w:left w:val="nil"/>
              <w:bottom w:val="single" w:sz="8" w:space="0" w:color="auto"/>
              <w:right w:val="single" w:sz="4" w:space="0" w:color="auto"/>
            </w:tcBorders>
            <w:shd w:val="clear" w:color="000000" w:fill="FFFFFF"/>
            <w:noWrap/>
            <w:vAlign w:val="center"/>
            <w:hideMark/>
          </w:tcPr>
          <w:p w14:paraId="11A11FA6"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0.0002</w:t>
            </w:r>
          </w:p>
        </w:tc>
        <w:tc>
          <w:tcPr>
            <w:tcW w:w="1460" w:type="dxa"/>
            <w:tcBorders>
              <w:top w:val="nil"/>
              <w:left w:val="nil"/>
              <w:bottom w:val="single" w:sz="8" w:space="0" w:color="auto"/>
              <w:right w:val="single" w:sz="4" w:space="0" w:color="auto"/>
            </w:tcBorders>
            <w:shd w:val="clear" w:color="000000" w:fill="FFFFFF"/>
            <w:noWrap/>
            <w:vAlign w:val="center"/>
            <w:hideMark/>
          </w:tcPr>
          <w:p w14:paraId="6D47EA7C"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0.001</w:t>
            </w:r>
          </w:p>
        </w:tc>
        <w:tc>
          <w:tcPr>
            <w:tcW w:w="1480" w:type="dxa"/>
            <w:tcBorders>
              <w:top w:val="nil"/>
              <w:left w:val="nil"/>
              <w:bottom w:val="single" w:sz="8" w:space="0" w:color="auto"/>
              <w:right w:val="single" w:sz="4" w:space="0" w:color="auto"/>
            </w:tcBorders>
            <w:shd w:val="clear" w:color="000000" w:fill="FFFFFF"/>
            <w:noWrap/>
            <w:vAlign w:val="center"/>
            <w:hideMark/>
          </w:tcPr>
          <w:p w14:paraId="7AFB8650"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0.004</w:t>
            </w:r>
          </w:p>
        </w:tc>
        <w:tc>
          <w:tcPr>
            <w:tcW w:w="1480" w:type="dxa"/>
            <w:tcBorders>
              <w:top w:val="nil"/>
              <w:left w:val="nil"/>
              <w:bottom w:val="single" w:sz="8" w:space="0" w:color="auto"/>
              <w:right w:val="nil"/>
            </w:tcBorders>
            <w:shd w:val="clear" w:color="000000" w:fill="FFFFFF"/>
            <w:noWrap/>
            <w:vAlign w:val="center"/>
            <w:hideMark/>
          </w:tcPr>
          <w:p w14:paraId="1E5CA13A" w14:textId="77777777" w:rsidR="00797994" w:rsidRPr="005F4A48" w:rsidRDefault="00797994" w:rsidP="004459B5">
            <w:pPr>
              <w:spacing w:line="360" w:lineRule="auto"/>
              <w:jc w:val="left"/>
              <w:rPr>
                <w:rFonts w:eastAsia="Times New Roman" w:cs="Arial"/>
                <w:color w:val="000000"/>
                <w:sz w:val="16"/>
                <w:szCs w:val="16"/>
                <w:lang w:val="en-GB" w:eastAsia="de-DE"/>
              </w:rPr>
            </w:pPr>
            <w:r w:rsidRPr="005F4A48">
              <w:rPr>
                <w:rFonts w:eastAsia="Times New Roman" w:cs="Arial"/>
                <w:color w:val="000000"/>
                <w:sz w:val="16"/>
                <w:szCs w:val="16"/>
                <w:lang w:val="en-GB" w:eastAsia="de-DE"/>
              </w:rPr>
              <w:t>0.83</w:t>
            </w:r>
          </w:p>
        </w:tc>
      </w:tr>
    </w:tbl>
    <w:p w14:paraId="4E6DB798" w14:textId="77777777" w:rsidR="00797994" w:rsidRPr="006B495B" w:rsidRDefault="00797994" w:rsidP="007603D0">
      <w:pPr>
        <w:rPr>
          <w:lang w:val="en-US"/>
        </w:rPr>
      </w:pPr>
    </w:p>
    <w:p w14:paraId="6C4268A6" w14:textId="4D0A3BFD" w:rsidR="00EE6BAB" w:rsidRPr="006B495B" w:rsidRDefault="00EE6BAB" w:rsidP="007603D0">
      <w:pPr>
        <w:rPr>
          <w:lang w:val="en-US"/>
        </w:rPr>
      </w:pPr>
      <w:r w:rsidRPr="006B495B">
        <w:rPr>
          <w:lang w:val="en-US"/>
        </w:rPr>
        <w:t xml:space="preserve">Key: </w:t>
      </w:r>
      <w:proofErr w:type="spellStart"/>
      <w:r w:rsidR="00B8285F" w:rsidRPr="009440AD">
        <w:rPr>
          <w:lang w:val="en-US"/>
        </w:rPr>
        <w:t>C</w:t>
      </w:r>
      <w:r w:rsidR="00B8285F" w:rsidRPr="009440AD">
        <w:rPr>
          <w:vertAlign w:val="subscript"/>
          <w:lang w:val="en-US"/>
        </w:rPr>
        <w:t>max</w:t>
      </w:r>
      <w:proofErr w:type="spellEnd"/>
      <w:r w:rsidR="00B8285F" w:rsidRPr="009440AD">
        <w:rPr>
          <w:lang w:val="en-US"/>
        </w:rPr>
        <w:t xml:space="preserve"> = maximal concentration, </w:t>
      </w:r>
      <w:proofErr w:type="spellStart"/>
      <w:r w:rsidR="00B8285F" w:rsidRPr="009440AD">
        <w:rPr>
          <w:lang w:val="en-US"/>
        </w:rPr>
        <w:t>t</w:t>
      </w:r>
      <w:r w:rsidR="00B8285F" w:rsidRPr="009440AD">
        <w:rPr>
          <w:vertAlign w:val="subscript"/>
          <w:lang w:val="en-US"/>
        </w:rPr>
        <w:t>max</w:t>
      </w:r>
      <w:proofErr w:type="spellEnd"/>
      <w:r w:rsidR="00B8285F" w:rsidRPr="009440AD">
        <w:rPr>
          <w:lang w:val="en-US"/>
        </w:rPr>
        <w:t xml:space="preserve"> = time to </w:t>
      </w:r>
      <w:proofErr w:type="spellStart"/>
      <w:r w:rsidR="00B8285F" w:rsidRPr="009440AD">
        <w:rPr>
          <w:lang w:val="en-US"/>
        </w:rPr>
        <w:t>C</w:t>
      </w:r>
      <w:r w:rsidR="00B8285F" w:rsidRPr="009440AD">
        <w:rPr>
          <w:vertAlign w:val="subscript"/>
          <w:lang w:val="en-US"/>
        </w:rPr>
        <w:t>max</w:t>
      </w:r>
      <w:proofErr w:type="spellEnd"/>
      <w:r w:rsidR="00B8285F" w:rsidRPr="005902A1">
        <w:rPr>
          <w:lang w:val="en-US"/>
        </w:rPr>
        <w:t>, A</w:t>
      </w:r>
      <w:r w:rsidR="00B8285F" w:rsidRPr="00540E3C">
        <w:rPr>
          <w:lang w:val="en-US"/>
        </w:rPr>
        <w:t xml:space="preserve">UC = area under the curve, CLF = clearance, </w:t>
      </w:r>
      <w:proofErr w:type="spellStart"/>
      <w:r w:rsidR="00B8285F" w:rsidRPr="00540E3C">
        <w:rPr>
          <w:lang w:val="en-US"/>
        </w:rPr>
        <w:t>VdF</w:t>
      </w:r>
      <w:proofErr w:type="spellEnd"/>
      <w:r w:rsidR="00B8285F" w:rsidRPr="00540E3C">
        <w:rPr>
          <w:lang w:val="en-US"/>
        </w:rPr>
        <w:t xml:space="preserve"> = apparent volume of distribution, t</w:t>
      </w:r>
      <w:r w:rsidR="00B8285F" w:rsidRPr="0065491D">
        <w:rPr>
          <w:vertAlign w:val="subscript"/>
          <w:lang w:val="en-US"/>
        </w:rPr>
        <w:t>1/2</w:t>
      </w:r>
      <w:r w:rsidR="00B8285F" w:rsidRPr="009440AD">
        <w:rPr>
          <w:lang w:val="en-US"/>
        </w:rPr>
        <w:t xml:space="preserve"> = elimination half-life, </w:t>
      </w:r>
      <w:proofErr w:type="spellStart"/>
      <w:r w:rsidR="00B8285F" w:rsidRPr="009440AD">
        <w:rPr>
          <w:lang w:val="en-US"/>
        </w:rPr>
        <w:t>logP</w:t>
      </w:r>
      <w:proofErr w:type="spellEnd"/>
      <w:r w:rsidR="00B8285F" w:rsidRPr="009440AD">
        <w:rPr>
          <w:lang w:val="en-US"/>
        </w:rPr>
        <w:t xml:space="preserve"> = octanol-water partition coefficient, </w:t>
      </w:r>
      <w:proofErr w:type="spellStart"/>
      <w:r w:rsidR="00B8285F" w:rsidRPr="009440AD">
        <w:rPr>
          <w:lang w:val="en-US"/>
        </w:rPr>
        <w:t>fu</w:t>
      </w:r>
      <w:proofErr w:type="spellEnd"/>
      <w:r w:rsidR="00B8285F" w:rsidRPr="009440AD">
        <w:rPr>
          <w:lang w:val="en-US"/>
        </w:rPr>
        <w:t xml:space="preserve"> = fraction unbound, QLI = hepatic blood flow, QKI = renal blood flow, GFR = glomerular filtration rate, corr. </w:t>
      </w:r>
      <w:proofErr w:type="spellStart"/>
      <w:r w:rsidR="00B8285F" w:rsidRPr="009440AD">
        <w:rPr>
          <w:lang w:val="en-US"/>
        </w:rPr>
        <w:t>coef</w:t>
      </w:r>
      <w:proofErr w:type="spellEnd"/>
      <w:r w:rsidR="00B8285F" w:rsidRPr="009440AD">
        <w:rPr>
          <w:lang w:val="en-US"/>
        </w:rPr>
        <w:t xml:space="preserve"> = correlation coefficient.</w:t>
      </w:r>
    </w:p>
    <w:sectPr w:rsidR="00EE6BAB" w:rsidRPr="006B495B" w:rsidSect="00797994">
      <w:pgSz w:w="16838" w:h="11906" w:orient="landscape"/>
      <w:pgMar w:top="1417" w:right="1134" w:bottom="1417" w:left="1417" w:header="708" w:footer="708" w:gutter="0"/>
      <w:lnNumType w:countBy="1" w:restart="continuous"/>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3C4A6" w14:textId="77777777" w:rsidR="007D0F57" w:rsidRDefault="007D0F57" w:rsidP="002016E8">
      <w:pPr>
        <w:spacing w:line="240" w:lineRule="auto"/>
      </w:pPr>
      <w:r>
        <w:separator/>
      </w:r>
    </w:p>
  </w:endnote>
  <w:endnote w:type="continuationSeparator" w:id="0">
    <w:p w14:paraId="548CF14E" w14:textId="77777777" w:rsidR="007D0F57" w:rsidRDefault="007D0F57" w:rsidP="002016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IX-Regular">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80460" w14:textId="64E072F4" w:rsidR="009A0F14" w:rsidRPr="002016E8" w:rsidRDefault="009A0F14" w:rsidP="002016E8">
    <w:pPr>
      <w:pStyle w:val="Footer"/>
      <w:pBdr>
        <w:top w:val="single" w:sz="4" w:space="1" w:color="auto"/>
      </w:pBdr>
      <w:rPr>
        <w:b/>
        <w:sz w:val="18"/>
      </w:rPr>
    </w:pPr>
    <w:r>
      <w:tab/>
    </w:r>
    <w:r w:rsidRPr="002016E8">
      <w:rPr>
        <w:b/>
        <w:sz w:val="18"/>
      </w:rPr>
      <w:fldChar w:fldCharType="begin"/>
    </w:r>
    <w:r w:rsidRPr="002016E8">
      <w:rPr>
        <w:b/>
        <w:sz w:val="18"/>
      </w:rPr>
      <w:instrText>PAGE   \* MERGEFORMAT</w:instrText>
    </w:r>
    <w:r w:rsidRPr="002016E8">
      <w:rPr>
        <w:b/>
        <w:sz w:val="18"/>
      </w:rPr>
      <w:fldChar w:fldCharType="separate"/>
    </w:r>
    <w:r>
      <w:rPr>
        <w:b/>
        <w:noProof/>
        <w:sz w:val="18"/>
      </w:rPr>
      <w:t>- 23 -</w:t>
    </w:r>
    <w:r w:rsidRPr="002016E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25A3D" w14:textId="77777777" w:rsidR="007D0F57" w:rsidRDefault="007D0F57" w:rsidP="002016E8">
      <w:pPr>
        <w:spacing w:line="240" w:lineRule="auto"/>
      </w:pPr>
      <w:r>
        <w:separator/>
      </w:r>
    </w:p>
  </w:footnote>
  <w:footnote w:type="continuationSeparator" w:id="0">
    <w:p w14:paraId="422DC4B8" w14:textId="77777777" w:rsidR="007D0F57" w:rsidRDefault="007D0F57" w:rsidP="002016E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B1427"/>
    <w:multiLevelType w:val="hybridMultilevel"/>
    <w:tmpl w:val="86E45DE4"/>
    <w:lvl w:ilvl="0" w:tplc="9B1E6CDA">
      <w:start w:val="1"/>
      <w:numFmt w:val="bullet"/>
      <w:lvlText w:val=""/>
      <w:lvlJc w:val="left"/>
      <w:pPr>
        <w:ind w:left="1440" w:hanging="360"/>
      </w:pPr>
      <w:rPr>
        <w:rFonts w:ascii="Wingdings" w:eastAsiaTheme="minorHAnsi" w:hAnsi="Wingdings" w:cstheme="minorBid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1D5E625C"/>
    <w:multiLevelType w:val="hybridMultilevel"/>
    <w:tmpl w:val="D384F01E"/>
    <w:lvl w:ilvl="0" w:tplc="51020E24">
      <w:start w:val="3"/>
      <w:numFmt w:val="bullet"/>
      <w:lvlText w:val="-"/>
      <w:lvlJc w:val="left"/>
      <w:pPr>
        <w:ind w:left="1571" w:hanging="360"/>
      </w:pPr>
      <w:rPr>
        <w:rFonts w:ascii="Arial" w:eastAsiaTheme="minorHAnsi" w:hAnsi="Arial" w:cs="Aria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2" w15:restartNumberingAfterBreak="0">
    <w:nsid w:val="218B04D1"/>
    <w:multiLevelType w:val="hybridMultilevel"/>
    <w:tmpl w:val="3DB831D6"/>
    <w:lvl w:ilvl="0" w:tplc="E72663CE">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 w15:restartNumberingAfterBreak="0">
    <w:nsid w:val="31624604"/>
    <w:multiLevelType w:val="hybridMultilevel"/>
    <w:tmpl w:val="5298FB60"/>
    <w:lvl w:ilvl="0" w:tplc="D554923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070193"/>
    <w:multiLevelType w:val="hybridMultilevel"/>
    <w:tmpl w:val="A0BE4B68"/>
    <w:lvl w:ilvl="0" w:tplc="AC6677C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6F10267"/>
    <w:multiLevelType w:val="hybridMultilevel"/>
    <w:tmpl w:val="83327D4A"/>
    <w:lvl w:ilvl="0" w:tplc="9CD07622">
      <w:start w:val="1"/>
      <w:numFmt w:val="bullet"/>
      <w:lvlText w:val=""/>
      <w:lvlJc w:val="left"/>
      <w:pPr>
        <w:ind w:left="1211" w:hanging="360"/>
      </w:pPr>
      <w:rPr>
        <w:rFonts w:ascii="Symbol" w:eastAsiaTheme="minorHAnsi" w:hAnsi="Symbol" w:cstheme="minorBidi"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6" w15:restartNumberingAfterBreak="0">
    <w:nsid w:val="3A614CB4"/>
    <w:multiLevelType w:val="multilevel"/>
    <w:tmpl w:val="AF223E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B1D77E7"/>
    <w:multiLevelType w:val="multilevel"/>
    <w:tmpl w:val="4D66BE4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7850367"/>
    <w:multiLevelType w:val="hybridMultilevel"/>
    <w:tmpl w:val="43B26B36"/>
    <w:lvl w:ilvl="0" w:tplc="49CEEDEE">
      <w:start w:val="1"/>
      <w:numFmt w:val="bullet"/>
      <w:lvlText w:val=""/>
      <w:lvlJc w:val="left"/>
      <w:pPr>
        <w:ind w:left="1571" w:hanging="360"/>
      </w:pPr>
      <w:rPr>
        <w:rFonts w:ascii="Wingdings" w:eastAsiaTheme="minorHAnsi" w:hAnsi="Wingdings" w:cstheme="minorBidi"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9" w15:restartNumberingAfterBreak="0">
    <w:nsid w:val="4CE108FD"/>
    <w:multiLevelType w:val="hybridMultilevel"/>
    <w:tmpl w:val="8DD22964"/>
    <w:lvl w:ilvl="0" w:tplc="E0A0FB76">
      <w:start w:val="3"/>
      <w:numFmt w:val="bullet"/>
      <w:lvlText w:val=""/>
      <w:lvlJc w:val="left"/>
      <w:pPr>
        <w:ind w:left="1211" w:hanging="360"/>
      </w:pPr>
      <w:rPr>
        <w:rFonts w:ascii="Symbol" w:eastAsiaTheme="minorHAnsi" w:hAnsi="Symbol"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52ED1F03"/>
    <w:multiLevelType w:val="hybridMultilevel"/>
    <w:tmpl w:val="8FAAD4B2"/>
    <w:lvl w:ilvl="0" w:tplc="3E583AE4">
      <w:start w:val="373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410DCD"/>
    <w:multiLevelType w:val="hybridMultilevel"/>
    <w:tmpl w:val="E4E02AE2"/>
    <w:lvl w:ilvl="0" w:tplc="F4561332">
      <w:start w:val="1"/>
      <w:numFmt w:val="bullet"/>
      <w:lvlText w:val=""/>
      <w:lvlJc w:val="left"/>
      <w:pPr>
        <w:ind w:left="1080" w:hanging="360"/>
      </w:pPr>
      <w:rPr>
        <w:rFonts w:ascii="Symbol" w:eastAsiaTheme="minorHAnsi" w:hAnsi="Symbol"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9"/>
  </w:num>
  <w:num w:numId="8">
    <w:abstractNumId w:val="5"/>
  </w:num>
  <w:num w:numId="9">
    <w:abstractNumId w:val="1"/>
  </w:num>
  <w:num w:numId="10">
    <w:abstractNumId w:val="6"/>
  </w:num>
  <w:num w:numId="11">
    <w:abstractNumId w:val="3"/>
  </w:num>
  <w:num w:numId="12">
    <w:abstractNumId w:val="8"/>
  </w:num>
  <w:num w:numId="13">
    <w:abstractNumId w:val="4"/>
  </w:num>
  <w:num w:numId="14">
    <w:abstractNumId w:val="11"/>
  </w:num>
  <w:num w:numId="15">
    <w:abstractNumId w:val="0"/>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 Pharmacokinetic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A05C8"/>
    <w:rsid w:val="000002B4"/>
    <w:rsid w:val="00003E05"/>
    <w:rsid w:val="00013BE9"/>
    <w:rsid w:val="00023FF1"/>
    <w:rsid w:val="00031A3F"/>
    <w:rsid w:val="00032B98"/>
    <w:rsid w:val="0003394C"/>
    <w:rsid w:val="00035B5A"/>
    <w:rsid w:val="00036D47"/>
    <w:rsid w:val="00040DB5"/>
    <w:rsid w:val="00041611"/>
    <w:rsid w:val="00041DDD"/>
    <w:rsid w:val="00044E50"/>
    <w:rsid w:val="000525C1"/>
    <w:rsid w:val="00057484"/>
    <w:rsid w:val="0006530F"/>
    <w:rsid w:val="00066BB9"/>
    <w:rsid w:val="000810D8"/>
    <w:rsid w:val="00084953"/>
    <w:rsid w:val="00086DB2"/>
    <w:rsid w:val="00096B46"/>
    <w:rsid w:val="000A12AD"/>
    <w:rsid w:val="000A3C8D"/>
    <w:rsid w:val="000A4ECB"/>
    <w:rsid w:val="000A552D"/>
    <w:rsid w:val="000C04B9"/>
    <w:rsid w:val="000C3E1A"/>
    <w:rsid w:val="000C6788"/>
    <w:rsid w:val="000D7E13"/>
    <w:rsid w:val="000E04EA"/>
    <w:rsid w:val="000E0DA0"/>
    <w:rsid w:val="000F04E7"/>
    <w:rsid w:val="000F6816"/>
    <w:rsid w:val="000F6D47"/>
    <w:rsid w:val="00102496"/>
    <w:rsid w:val="00103BD4"/>
    <w:rsid w:val="001074EC"/>
    <w:rsid w:val="00107DAA"/>
    <w:rsid w:val="00113E19"/>
    <w:rsid w:val="001163A3"/>
    <w:rsid w:val="00117104"/>
    <w:rsid w:val="001244B3"/>
    <w:rsid w:val="0013628F"/>
    <w:rsid w:val="00144354"/>
    <w:rsid w:val="001460DC"/>
    <w:rsid w:val="00146385"/>
    <w:rsid w:val="00147802"/>
    <w:rsid w:val="001520A3"/>
    <w:rsid w:val="0015230A"/>
    <w:rsid w:val="00153C33"/>
    <w:rsid w:val="0015477A"/>
    <w:rsid w:val="00162722"/>
    <w:rsid w:val="00163061"/>
    <w:rsid w:val="00163A14"/>
    <w:rsid w:val="001646E6"/>
    <w:rsid w:val="00165813"/>
    <w:rsid w:val="001666A1"/>
    <w:rsid w:val="00172713"/>
    <w:rsid w:val="001738E9"/>
    <w:rsid w:val="00180C24"/>
    <w:rsid w:val="00182FBF"/>
    <w:rsid w:val="001902D5"/>
    <w:rsid w:val="00190E24"/>
    <w:rsid w:val="00193DD2"/>
    <w:rsid w:val="00197EC1"/>
    <w:rsid w:val="001A05C8"/>
    <w:rsid w:val="001A22A3"/>
    <w:rsid w:val="001A4038"/>
    <w:rsid w:val="001B7184"/>
    <w:rsid w:val="001C333D"/>
    <w:rsid w:val="001E0007"/>
    <w:rsid w:val="001E07CC"/>
    <w:rsid w:val="001E2BF4"/>
    <w:rsid w:val="001F7EF9"/>
    <w:rsid w:val="002016E8"/>
    <w:rsid w:val="00203958"/>
    <w:rsid w:val="002100DF"/>
    <w:rsid w:val="00211386"/>
    <w:rsid w:val="00235456"/>
    <w:rsid w:val="00254F08"/>
    <w:rsid w:val="00255369"/>
    <w:rsid w:val="00263D40"/>
    <w:rsid w:val="00267ABB"/>
    <w:rsid w:val="00277EBB"/>
    <w:rsid w:val="002813A5"/>
    <w:rsid w:val="00281E86"/>
    <w:rsid w:val="00281F64"/>
    <w:rsid w:val="00291F57"/>
    <w:rsid w:val="00294765"/>
    <w:rsid w:val="002A3CBF"/>
    <w:rsid w:val="002B2AE0"/>
    <w:rsid w:val="002B56C1"/>
    <w:rsid w:val="002C0EDC"/>
    <w:rsid w:val="002C4E36"/>
    <w:rsid w:val="002D4340"/>
    <w:rsid w:val="002D6BE5"/>
    <w:rsid w:val="002D7ABD"/>
    <w:rsid w:val="002F092D"/>
    <w:rsid w:val="002F40E6"/>
    <w:rsid w:val="0030558A"/>
    <w:rsid w:val="00307F34"/>
    <w:rsid w:val="003169F1"/>
    <w:rsid w:val="003171AE"/>
    <w:rsid w:val="00320E24"/>
    <w:rsid w:val="00326273"/>
    <w:rsid w:val="00330AE2"/>
    <w:rsid w:val="00334007"/>
    <w:rsid w:val="00343856"/>
    <w:rsid w:val="003516FD"/>
    <w:rsid w:val="00353695"/>
    <w:rsid w:val="00353FF8"/>
    <w:rsid w:val="003546F6"/>
    <w:rsid w:val="00357E1E"/>
    <w:rsid w:val="0036074C"/>
    <w:rsid w:val="00361151"/>
    <w:rsid w:val="0036378F"/>
    <w:rsid w:val="00381395"/>
    <w:rsid w:val="00390FC4"/>
    <w:rsid w:val="003923EB"/>
    <w:rsid w:val="00392F4C"/>
    <w:rsid w:val="00393419"/>
    <w:rsid w:val="003A1CD2"/>
    <w:rsid w:val="003A6938"/>
    <w:rsid w:val="003B3D2C"/>
    <w:rsid w:val="003B55CB"/>
    <w:rsid w:val="003C3913"/>
    <w:rsid w:val="003C44C1"/>
    <w:rsid w:val="003C7443"/>
    <w:rsid w:val="003D72DC"/>
    <w:rsid w:val="003E065B"/>
    <w:rsid w:val="003E06ED"/>
    <w:rsid w:val="003E1C2B"/>
    <w:rsid w:val="003E5423"/>
    <w:rsid w:val="003E6B4F"/>
    <w:rsid w:val="003F2F4A"/>
    <w:rsid w:val="003F7AAC"/>
    <w:rsid w:val="00400DCE"/>
    <w:rsid w:val="00401194"/>
    <w:rsid w:val="00415403"/>
    <w:rsid w:val="004168DB"/>
    <w:rsid w:val="0042170C"/>
    <w:rsid w:val="004227D5"/>
    <w:rsid w:val="0042529C"/>
    <w:rsid w:val="004258B1"/>
    <w:rsid w:val="00430DF4"/>
    <w:rsid w:val="00430EB1"/>
    <w:rsid w:val="004335F4"/>
    <w:rsid w:val="00433993"/>
    <w:rsid w:val="00434760"/>
    <w:rsid w:val="00434F69"/>
    <w:rsid w:val="0043533C"/>
    <w:rsid w:val="004358AA"/>
    <w:rsid w:val="004360C3"/>
    <w:rsid w:val="00443015"/>
    <w:rsid w:val="0044375A"/>
    <w:rsid w:val="00444D91"/>
    <w:rsid w:val="0044562C"/>
    <w:rsid w:val="00450FF8"/>
    <w:rsid w:val="0045397C"/>
    <w:rsid w:val="0046783D"/>
    <w:rsid w:val="004721FE"/>
    <w:rsid w:val="00474789"/>
    <w:rsid w:val="004805B4"/>
    <w:rsid w:val="00486277"/>
    <w:rsid w:val="0049284B"/>
    <w:rsid w:val="00492FFC"/>
    <w:rsid w:val="00496B02"/>
    <w:rsid w:val="004B7EFC"/>
    <w:rsid w:val="004C28BB"/>
    <w:rsid w:val="004D70C6"/>
    <w:rsid w:val="004E3130"/>
    <w:rsid w:val="004E5019"/>
    <w:rsid w:val="004E5785"/>
    <w:rsid w:val="004E64A2"/>
    <w:rsid w:val="004F206F"/>
    <w:rsid w:val="004F42E9"/>
    <w:rsid w:val="004F4B9A"/>
    <w:rsid w:val="004F68F4"/>
    <w:rsid w:val="004F745C"/>
    <w:rsid w:val="005044A1"/>
    <w:rsid w:val="0050505D"/>
    <w:rsid w:val="0050587F"/>
    <w:rsid w:val="00507BE3"/>
    <w:rsid w:val="0051085F"/>
    <w:rsid w:val="00511903"/>
    <w:rsid w:val="00513379"/>
    <w:rsid w:val="00513E9E"/>
    <w:rsid w:val="005148C5"/>
    <w:rsid w:val="0052163A"/>
    <w:rsid w:val="00523DF4"/>
    <w:rsid w:val="005268BB"/>
    <w:rsid w:val="005268E6"/>
    <w:rsid w:val="00530592"/>
    <w:rsid w:val="00531541"/>
    <w:rsid w:val="00540C98"/>
    <w:rsid w:val="00540E3C"/>
    <w:rsid w:val="0055445D"/>
    <w:rsid w:val="005560CC"/>
    <w:rsid w:val="00562D5C"/>
    <w:rsid w:val="00564634"/>
    <w:rsid w:val="005652E8"/>
    <w:rsid w:val="005654DD"/>
    <w:rsid w:val="00565FDC"/>
    <w:rsid w:val="00566C51"/>
    <w:rsid w:val="00571D69"/>
    <w:rsid w:val="00580768"/>
    <w:rsid w:val="005825B8"/>
    <w:rsid w:val="005828E6"/>
    <w:rsid w:val="0058664E"/>
    <w:rsid w:val="00586DDA"/>
    <w:rsid w:val="005902A1"/>
    <w:rsid w:val="00591634"/>
    <w:rsid w:val="00595A13"/>
    <w:rsid w:val="0059693F"/>
    <w:rsid w:val="00597235"/>
    <w:rsid w:val="005A25AB"/>
    <w:rsid w:val="005A2C8B"/>
    <w:rsid w:val="005A5ECC"/>
    <w:rsid w:val="005C457D"/>
    <w:rsid w:val="005C4A78"/>
    <w:rsid w:val="005D6900"/>
    <w:rsid w:val="005E2E07"/>
    <w:rsid w:val="005F29A1"/>
    <w:rsid w:val="005F6D0E"/>
    <w:rsid w:val="0060168A"/>
    <w:rsid w:val="00603EF5"/>
    <w:rsid w:val="00604A32"/>
    <w:rsid w:val="00604F36"/>
    <w:rsid w:val="006136DA"/>
    <w:rsid w:val="0062135C"/>
    <w:rsid w:val="00622CDE"/>
    <w:rsid w:val="00632B87"/>
    <w:rsid w:val="006352E7"/>
    <w:rsid w:val="006412A2"/>
    <w:rsid w:val="00644C22"/>
    <w:rsid w:val="00650DC1"/>
    <w:rsid w:val="0065426E"/>
    <w:rsid w:val="0065491D"/>
    <w:rsid w:val="00661B60"/>
    <w:rsid w:val="006629A4"/>
    <w:rsid w:val="006630C4"/>
    <w:rsid w:val="00667BF2"/>
    <w:rsid w:val="00670E28"/>
    <w:rsid w:val="00671B30"/>
    <w:rsid w:val="00671CB7"/>
    <w:rsid w:val="00671CE1"/>
    <w:rsid w:val="0067201F"/>
    <w:rsid w:val="00687309"/>
    <w:rsid w:val="00687EFC"/>
    <w:rsid w:val="0069553C"/>
    <w:rsid w:val="006B414F"/>
    <w:rsid w:val="006B495B"/>
    <w:rsid w:val="006C0D39"/>
    <w:rsid w:val="006C1352"/>
    <w:rsid w:val="006C16C2"/>
    <w:rsid w:val="006C367A"/>
    <w:rsid w:val="006C64D5"/>
    <w:rsid w:val="006C7985"/>
    <w:rsid w:val="006D20BC"/>
    <w:rsid w:val="006E0B4F"/>
    <w:rsid w:val="006E4265"/>
    <w:rsid w:val="006E5F48"/>
    <w:rsid w:val="006E6A9F"/>
    <w:rsid w:val="006F60B3"/>
    <w:rsid w:val="006F68B0"/>
    <w:rsid w:val="0070083A"/>
    <w:rsid w:val="00701574"/>
    <w:rsid w:val="00706BCF"/>
    <w:rsid w:val="007126EA"/>
    <w:rsid w:val="0071427D"/>
    <w:rsid w:val="00724BFF"/>
    <w:rsid w:val="007343B7"/>
    <w:rsid w:val="00735893"/>
    <w:rsid w:val="00747009"/>
    <w:rsid w:val="00752A50"/>
    <w:rsid w:val="007603D0"/>
    <w:rsid w:val="007616E1"/>
    <w:rsid w:val="00762E49"/>
    <w:rsid w:val="00763837"/>
    <w:rsid w:val="00766898"/>
    <w:rsid w:val="00772FD0"/>
    <w:rsid w:val="00774EE3"/>
    <w:rsid w:val="00780DA9"/>
    <w:rsid w:val="00780E1E"/>
    <w:rsid w:val="0078637F"/>
    <w:rsid w:val="0079150B"/>
    <w:rsid w:val="00793A48"/>
    <w:rsid w:val="00793FF2"/>
    <w:rsid w:val="00797994"/>
    <w:rsid w:val="007A0D2A"/>
    <w:rsid w:val="007A4757"/>
    <w:rsid w:val="007B0E21"/>
    <w:rsid w:val="007C1CB1"/>
    <w:rsid w:val="007C29DB"/>
    <w:rsid w:val="007D0F57"/>
    <w:rsid w:val="007D4E6F"/>
    <w:rsid w:val="007D70BD"/>
    <w:rsid w:val="007E647C"/>
    <w:rsid w:val="007E71A2"/>
    <w:rsid w:val="007F289E"/>
    <w:rsid w:val="007F484E"/>
    <w:rsid w:val="0080061E"/>
    <w:rsid w:val="00803342"/>
    <w:rsid w:val="008037AF"/>
    <w:rsid w:val="00806DBA"/>
    <w:rsid w:val="00807A56"/>
    <w:rsid w:val="00810EF6"/>
    <w:rsid w:val="0081687A"/>
    <w:rsid w:val="0082131F"/>
    <w:rsid w:val="00821DA1"/>
    <w:rsid w:val="0084231B"/>
    <w:rsid w:val="00842D02"/>
    <w:rsid w:val="00851C81"/>
    <w:rsid w:val="00863861"/>
    <w:rsid w:val="00863A6E"/>
    <w:rsid w:val="008678FA"/>
    <w:rsid w:val="00876872"/>
    <w:rsid w:val="00876FB3"/>
    <w:rsid w:val="00885D12"/>
    <w:rsid w:val="008879EB"/>
    <w:rsid w:val="00897D4A"/>
    <w:rsid w:val="008A00D0"/>
    <w:rsid w:val="008A2795"/>
    <w:rsid w:val="008A5F58"/>
    <w:rsid w:val="008B0C30"/>
    <w:rsid w:val="008B0E2F"/>
    <w:rsid w:val="008B15B1"/>
    <w:rsid w:val="008B6F5B"/>
    <w:rsid w:val="008C157A"/>
    <w:rsid w:val="008C289C"/>
    <w:rsid w:val="008C340A"/>
    <w:rsid w:val="008C69E2"/>
    <w:rsid w:val="008D2770"/>
    <w:rsid w:val="008D2E0C"/>
    <w:rsid w:val="008D32D4"/>
    <w:rsid w:val="008D7346"/>
    <w:rsid w:val="008E484D"/>
    <w:rsid w:val="008F2566"/>
    <w:rsid w:val="008F2988"/>
    <w:rsid w:val="008F4E61"/>
    <w:rsid w:val="008F63A8"/>
    <w:rsid w:val="008F6970"/>
    <w:rsid w:val="009005A4"/>
    <w:rsid w:val="009013A3"/>
    <w:rsid w:val="00901ECE"/>
    <w:rsid w:val="00904C94"/>
    <w:rsid w:val="00906BBC"/>
    <w:rsid w:val="00913925"/>
    <w:rsid w:val="00913A62"/>
    <w:rsid w:val="0091500D"/>
    <w:rsid w:val="0091529A"/>
    <w:rsid w:val="00916592"/>
    <w:rsid w:val="00916A03"/>
    <w:rsid w:val="00923222"/>
    <w:rsid w:val="00930391"/>
    <w:rsid w:val="00930550"/>
    <w:rsid w:val="0093590E"/>
    <w:rsid w:val="009440AD"/>
    <w:rsid w:val="00944930"/>
    <w:rsid w:val="00944979"/>
    <w:rsid w:val="009457C7"/>
    <w:rsid w:val="00945A4E"/>
    <w:rsid w:val="00947632"/>
    <w:rsid w:val="00950CEF"/>
    <w:rsid w:val="00951108"/>
    <w:rsid w:val="00955D3A"/>
    <w:rsid w:val="00955E66"/>
    <w:rsid w:val="00961472"/>
    <w:rsid w:val="009623FA"/>
    <w:rsid w:val="0096599E"/>
    <w:rsid w:val="00971C8D"/>
    <w:rsid w:val="00972477"/>
    <w:rsid w:val="00973617"/>
    <w:rsid w:val="00984C96"/>
    <w:rsid w:val="00992E17"/>
    <w:rsid w:val="00993769"/>
    <w:rsid w:val="009946C4"/>
    <w:rsid w:val="009955AC"/>
    <w:rsid w:val="009A0F14"/>
    <w:rsid w:val="009A4C29"/>
    <w:rsid w:val="009A5CD8"/>
    <w:rsid w:val="009A6D4E"/>
    <w:rsid w:val="009A6DB8"/>
    <w:rsid w:val="009A7610"/>
    <w:rsid w:val="009B10CB"/>
    <w:rsid w:val="009B712A"/>
    <w:rsid w:val="009C75FF"/>
    <w:rsid w:val="009C7BEF"/>
    <w:rsid w:val="009D090A"/>
    <w:rsid w:val="009D0FCE"/>
    <w:rsid w:val="009D1C21"/>
    <w:rsid w:val="009E412A"/>
    <w:rsid w:val="009F3672"/>
    <w:rsid w:val="00A1328B"/>
    <w:rsid w:val="00A16587"/>
    <w:rsid w:val="00A16661"/>
    <w:rsid w:val="00A207C1"/>
    <w:rsid w:val="00A276AA"/>
    <w:rsid w:val="00A34BF2"/>
    <w:rsid w:val="00A3799E"/>
    <w:rsid w:val="00A44946"/>
    <w:rsid w:val="00A462BE"/>
    <w:rsid w:val="00A5306E"/>
    <w:rsid w:val="00A60ACE"/>
    <w:rsid w:val="00A62EEB"/>
    <w:rsid w:val="00A65C54"/>
    <w:rsid w:val="00A67839"/>
    <w:rsid w:val="00A720AD"/>
    <w:rsid w:val="00A73626"/>
    <w:rsid w:val="00A74090"/>
    <w:rsid w:val="00A740DE"/>
    <w:rsid w:val="00A834B6"/>
    <w:rsid w:val="00A836B3"/>
    <w:rsid w:val="00A9787F"/>
    <w:rsid w:val="00AA1549"/>
    <w:rsid w:val="00AA2D40"/>
    <w:rsid w:val="00AA59A9"/>
    <w:rsid w:val="00AA5AB9"/>
    <w:rsid w:val="00AB134B"/>
    <w:rsid w:val="00AB14B5"/>
    <w:rsid w:val="00AB3317"/>
    <w:rsid w:val="00AB4A43"/>
    <w:rsid w:val="00AB50D0"/>
    <w:rsid w:val="00AC254C"/>
    <w:rsid w:val="00AC2B66"/>
    <w:rsid w:val="00AD63D4"/>
    <w:rsid w:val="00AE139B"/>
    <w:rsid w:val="00AF0C4A"/>
    <w:rsid w:val="00B00635"/>
    <w:rsid w:val="00B060A7"/>
    <w:rsid w:val="00B06395"/>
    <w:rsid w:val="00B070F9"/>
    <w:rsid w:val="00B1391D"/>
    <w:rsid w:val="00B159A2"/>
    <w:rsid w:val="00B20094"/>
    <w:rsid w:val="00B23708"/>
    <w:rsid w:val="00B266DA"/>
    <w:rsid w:val="00B30591"/>
    <w:rsid w:val="00B33689"/>
    <w:rsid w:val="00B34760"/>
    <w:rsid w:val="00B378A5"/>
    <w:rsid w:val="00B44B42"/>
    <w:rsid w:val="00B46327"/>
    <w:rsid w:val="00B47697"/>
    <w:rsid w:val="00B476A8"/>
    <w:rsid w:val="00B51E94"/>
    <w:rsid w:val="00B565C3"/>
    <w:rsid w:val="00B5670F"/>
    <w:rsid w:val="00B61ED1"/>
    <w:rsid w:val="00B66DE1"/>
    <w:rsid w:val="00B74CBB"/>
    <w:rsid w:val="00B8285F"/>
    <w:rsid w:val="00B84F9E"/>
    <w:rsid w:val="00B851B9"/>
    <w:rsid w:val="00BA1FCA"/>
    <w:rsid w:val="00BB6194"/>
    <w:rsid w:val="00BB6B4E"/>
    <w:rsid w:val="00BC0B45"/>
    <w:rsid w:val="00BC4B32"/>
    <w:rsid w:val="00BC51CA"/>
    <w:rsid w:val="00BD1035"/>
    <w:rsid w:val="00BE13DB"/>
    <w:rsid w:val="00BE40BA"/>
    <w:rsid w:val="00BE6D6C"/>
    <w:rsid w:val="00BF1ACC"/>
    <w:rsid w:val="00BF5D27"/>
    <w:rsid w:val="00C006CF"/>
    <w:rsid w:val="00C11F6F"/>
    <w:rsid w:val="00C21896"/>
    <w:rsid w:val="00C25D42"/>
    <w:rsid w:val="00C26D07"/>
    <w:rsid w:val="00C53C2F"/>
    <w:rsid w:val="00C56536"/>
    <w:rsid w:val="00C61D4C"/>
    <w:rsid w:val="00C629A2"/>
    <w:rsid w:val="00C66714"/>
    <w:rsid w:val="00C676AD"/>
    <w:rsid w:val="00C67718"/>
    <w:rsid w:val="00C72B30"/>
    <w:rsid w:val="00C775B2"/>
    <w:rsid w:val="00C81294"/>
    <w:rsid w:val="00C8378F"/>
    <w:rsid w:val="00C83A4E"/>
    <w:rsid w:val="00C863F2"/>
    <w:rsid w:val="00C9267D"/>
    <w:rsid w:val="00C96812"/>
    <w:rsid w:val="00CA638D"/>
    <w:rsid w:val="00CB2739"/>
    <w:rsid w:val="00CB4BB2"/>
    <w:rsid w:val="00CB7243"/>
    <w:rsid w:val="00CC0BC8"/>
    <w:rsid w:val="00CC328C"/>
    <w:rsid w:val="00CC35C2"/>
    <w:rsid w:val="00CD18FC"/>
    <w:rsid w:val="00CD32B1"/>
    <w:rsid w:val="00CD4CF1"/>
    <w:rsid w:val="00CD60FD"/>
    <w:rsid w:val="00CD764F"/>
    <w:rsid w:val="00CD7A13"/>
    <w:rsid w:val="00D017C6"/>
    <w:rsid w:val="00D04792"/>
    <w:rsid w:val="00D14AB0"/>
    <w:rsid w:val="00D24F98"/>
    <w:rsid w:val="00D370AB"/>
    <w:rsid w:val="00D41797"/>
    <w:rsid w:val="00D44DFE"/>
    <w:rsid w:val="00D503F8"/>
    <w:rsid w:val="00D53614"/>
    <w:rsid w:val="00D7082E"/>
    <w:rsid w:val="00D72382"/>
    <w:rsid w:val="00D73C07"/>
    <w:rsid w:val="00D81FD9"/>
    <w:rsid w:val="00D822DD"/>
    <w:rsid w:val="00D8483C"/>
    <w:rsid w:val="00D868FE"/>
    <w:rsid w:val="00D908E3"/>
    <w:rsid w:val="00D917B5"/>
    <w:rsid w:val="00D97E84"/>
    <w:rsid w:val="00DA42AE"/>
    <w:rsid w:val="00DA54A3"/>
    <w:rsid w:val="00DA5CEA"/>
    <w:rsid w:val="00DB4D69"/>
    <w:rsid w:val="00DB6FE2"/>
    <w:rsid w:val="00DB7D1E"/>
    <w:rsid w:val="00DC0CA5"/>
    <w:rsid w:val="00DE2844"/>
    <w:rsid w:val="00DE5B04"/>
    <w:rsid w:val="00DE696F"/>
    <w:rsid w:val="00DF38DA"/>
    <w:rsid w:val="00DF4EDE"/>
    <w:rsid w:val="00DF5DFC"/>
    <w:rsid w:val="00E02AB5"/>
    <w:rsid w:val="00E126BB"/>
    <w:rsid w:val="00E13C9A"/>
    <w:rsid w:val="00E14E92"/>
    <w:rsid w:val="00E30DCF"/>
    <w:rsid w:val="00E34C52"/>
    <w:rsid w:val="00E373F7"/>
    <w:rsid w:val="00E4235C"/>
    <w:rsid w:val="00E428E1"/>
    <w:rsid w:val="00E539D5"/>
    <w:rsid w:val="00E56516"/>
    <w:rsid w:val="00E81E8F"/>
    <w:rsid w:val="00E82096"/>
    <w:rsid w:val="00E82879"/>
    <w:rsid w:val="00E82E3C"/>
    <w:rsid w:val="00E85808"/>
    <w:rsid w:val="00E85A1D"/>
    <w:rsid w:val="00E87930"/>
    <w:rsid w:val="00E90153"/>
    <w:rsid w:val="00E92C90"/>
    <w:rsid w:val="00EA0B76"/>
    <w:rsid w:val="00EA29CA"/>
    <w:rsid w:val="00EB394B"/>
    <w:rsid w:val="00EC0678"/>
    <w:rsid w:val="00EC0CA0"/>
    <w:rsid w:val="00EC3247"/>
    <w:rsid w:val="00EC5620"/>
    <w:rsid w:val="00EC5909"/>
    <w:rsid w:val="00EE11B8"/>
    <w:rsid w:val="00EE6BAB"/>
    <w:rsid w:val="00F02F02"/>
    <w:rsid w:val="00F03754"/>
    <w:rsid w:val="00F0546C"/>
    <w:rsid w:val="00F1419D"/>
    <w:rsid w:val="00F1562B"/>
    <w:rsid w:val="00F165D3"/>
    <w:rsid w:val="00F304AE"/>
    <w:rsid w:val="00F3086A"/>
    <w:rsid w:val="00F33B9C"/>
    <w:rsid w:val="00F362B3"/>
    <w:rsid w:val="00F461EF"/>
    <w:rsid w:val="00F54181"/>
    <w:rsid w:val="00F5424D"/>
    <w:rsid w:val="00F57222"/>
    <w:rsid w:val="00F61068"/>
    <w:rsid w:val="00F64273"/>
    <w:rsid w:val="00F73F98"/>
    <w:rsid w:val="00F74BC7"/>
    <w:rsid w:val="00F81024"/>
    <w:rsid w:val="00F84593"/>
    <w:rsid w:val="00F9592E"/>
    <w:rsid w:val="00FA087B"/>
    <w:rsid w:val="00FA22DD"/>
    <w:rsid w:val="00FB1A92"/>
    <w:rsid w:val="00FC32CE"/>
    <w:rsid w:val="00FC6BEC"/>
    <w:rsid w:val="00FC7668"/>
    <w:rsid w:val="00FD6220"/>
    <w:rsid w:val="00FE1A00"/>
    <w:rsid w:val="00FE475B"/>
    <w:rsid w:val="00FF23E2"/>
  </w:rsids>
  <m:mathPr>
    <m:mathFont m:val="Cambria Math"/>
    <m:brkBin m:val="before"/>
    <m:brkBinSub m:val="--"/>
    <m:smallFrac m:val="0"/>
    <m:dispDef/>
    <m:lMargin m:val="0"/>
    <m:rMargin m:val="0"/>
    <m:defJc m:val="centerGroup"/>
    <m:wrapIndent m:val="1440"/>
    <m:intLim m:val="subSup"/>
    <m:naryLim m:val="undOvr"/>
  </m:mathPr>
  <w:themeFontLang w:val="de-DE" w:eastAsia="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2F3A8"/>
  <w15:chartTrackingRefBased/>
  <w15:docId w15:val="{EEA5E2F1-DC82-4983-887E-1004EA774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8E6"/>
    <w:pPr>
      <w:spacing w:after="0" w:line="480" w:lineRule="auto"/>
      <w:jc w:val="both"/>
    </w:pPr>
    <w:rPr>
      <w:rFonts w:ascii="Arial" w:hAnsi="Arial"/>
      <w:sz w:val="20"/>
    </w:rPr>
  </w:style>
  <w:style w:type="paragraph" w:styleId="Heading1">
    <w:name w:val="heading 1"/>
    <w:basedOn w:val="Normal"/>
    <w:next w:val="Normal"/>
    <w:link w:val="Heading1Char"/>
    <w:uiPriority w:val="9"/>
    <w:qFormat/>
    <w:rsid w:val="00797994"/>
    <w:pPr>
      <w:keepNext/>
      <w:keepLines/>
      <w:pageBreakBefore/>
      <w:numPr>
        <w:numId w:val="6"/>
      </w:numPr>
      <w:spacing w:before="240"/>
      <w:ind w:left="431" w:hanging="431"/>
      <w:outlineLvl w:val="0"/>
    </w:pPr>
    <w:rPr>
      <w:rFonts w:eastAsiaTheme="majorEastAsia" w:cstheme="majorBidi"/>
      <w:b/>
      <w:i/>
      <w:sz w:val="22"/>
      <w:szCs w:val="32"/>
    </w:rPr>
  </w:style>
  <w:style w:type="paragraph" w:styleId="Heading2">
    <w:name w:val="heading 2"/>
    <w:basedOn w:val="Normal"/>
    <w:next w:val="Normal"/>
    <w:link w:val="Heading2Char"/>
    <w:uiPriority w:val="9"/>
    <w:unhideWhenUsed/>
    <w:qFormat/>
    <w:rsid w:val="002016E8"/>
    <w:pPr>
      <w:keepNext/>
      <w:keepLines/>
      <w:numPr>
        <w:ilvl w:val="1"/>
        <w:numId w:val="6"/>
      </w:numPr>
      <w:spacing w:before="480" w:after="240"/>
      <w:outlineLvl w:val="1"/>
    </w:pPr>
    <w:rPr>
      <w:rFonts w:eastAsiaTheme="majorEastAsia" w:cstheme="majorBidi"/>
      <w:b/>
      <w:szCs w:val="26"/>
      <w:u w:val="double"/>
    </w:rPr>
  </w:style>
  <w:style w:type="paragraph" w:styleId="Heading3">
    <w:name w:val="heading 3"/>
    <w:basedOn w:val="Normal"/>
    <w:next w:val="Normal"/>
    <w:link w:val="Heading3Char"/>
    <w:uiPriority w:val="9"/>
    <w:unhideWhenUsed/>
    <w:qFormat/>
    <w:rsid w:val="00343856"/>
    <w:pPr>
      <w:keepNext/>
      <w:keepLines/>
      <w:numPr>
        <w:ilvl w:val="2"/>
        <w:numId w:val="6"/>
      </w:numPr>
      <w:spacing w:before="480" w:after="240"/>
      <w:ind w:left="0" w:firstLine="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9D1C21"/>
    <w:pPr>
      <w:keepNext/>
      <w:keepLines/>
      <w:numPr>
        <w:ilvl w:val="3"/>
        <w:numId w:val="1"/>
      </w:numPr>
      <w:spacing w:before="360" w:after="120"/>
      <w:ind w:left="862" w:hanging="862"/>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Zusammenfassung"/>
    <w:uiPriority w:val="1"/>
    <w:qFormat/>
    <w:rsid w:val="00182FBF"/>
    <w:pPr>
      <w:spacing w:after="0" w:line="240" w:lineRule="auto"/>
      <w:jc w:val="both"/>
    </w:pPr>
    <w:rPr>
      <w:rFonts w:ascii="Arial" w:hAnsi="Arial"/>
    </w:rPr>
  </w:style>
  <w:style w:type="character" w:customStyle="1" w:styleId="Heading1Char">
    <w:name w:val="Heading 1 Char"/>
    <w:basedOn w:val="DefaultParagraphFont"/>
    <w:link w:val="Heading1"/>
    <w:uiPriority w:val="9"/>
    <w:rsid w:val="00797994"/>
    <w:rPr>
      <w:rFonts w:ascii="Arial" w:eastAsiaTheme="majorEastAsia" w:hAnsi="Arial" w:cstheme="majorBidi"/>
      <w:b/>
      <w:i/>
      <w:szCs w:val="32"/>
    </w:rPr>
  </w:style>
  <w:style w:type="character" w:customStyle="1" w:styleId="Heading2Char">
    <w:name w:val="Heading 2 Char"/>
    <w:basedOn w:val="DefaultParagraphFont"/>
    <w:link w:val="Heading2"/>
    <w:uiPriority w:val="9"/>
    <w:rsid w:val="002016E8"/>
    <w:rPr>
      <w:rFonts w:ascii="Arial" w:eastAsiaTheme="majorEastAsia" w:hAnsi="Arial" w:cstheme="majorBidi"/>
      <w:b/>
      <w:sz w:val="20"/>
      <w:szCs w:val="26"/>
      <w:u w:val="double"/>
    </w:rPr>
  </w:style>
  <w:style w:type="paragraph" w:styleId="Caption">
    <w:name w:val="caption"/>
    <w:basedOn w:val="Normal"/>
    <w:next w:val="Normal"/>
    <w:uiPriority w:val="35"/>
    <w:unhideWhenUsed/>
    <w:qFormat/>
    <w:rsid w:val="00604F36"/>
    <w:pPr>
      <w:spacing w:after="480" w:line="240" w:lineRule="auto"/>
    </w:pPr>
    <w:rPr>
      <w:iCs/>
      <w:sz w:val="18"/>
      <w:szCs w:val="18"/>
    </w:rPr>
  </w:style>
  <w:style w:type="character" w:customStyle="1" w:styleId="Heading3Char">
    <w:name w:val="Heading 3 Char"/>
    <w:basedOn w:val="DefaultParagraphFont"/>
    <w:link w:val="Heading3"/>
    <w:uiPriority w:val="9"/>
    <w:rsid w:val="00343856"/>
    <w:rPr>
      <w:rFonts w:ascii="Arial" w:eastAsiaTheme="majorEastAsia" w:hAnsi="Arial" w:cstheme="majorBidi"/>
      <w:b/>
      <w:sz w:val="20"/>
      <w:szCs w:val="24"/>
    </w:rPr>
  </w:style>
  <w:style w:type="character" w:customStyle="1" w:styleId="Heading4Char">
    <w:name w:val="Heading 4 Char"/>
    <w:basedOn w:val="DefaultParagraphFont"/>
    <w:link w:val="Heading4"/>
    <w:uiPriority w:val="9"/>
    <w:rsid w:val="009D1C21"/>
    <w:rPr>
      <w:rFonts w:ascii="Arial" w:eastAsiaTheme="majorEastAsia" w:hAnsi="Arial" w:cstheme="majorBidi"/>
      <w:i/>
      <w:iCs/>
      <w:sz w:val="20"/>
    </w:rPr>
  </w:style>
  <w:style w:type="paragraph" w:styleId="ListParagraph">
    <w:name w:val="List Paragraph"/>
    <w:basedOn w:val="Normal"/>
    <w:uiPriority w:val="34"/>
    <w:qFormat/>
    <w:rsid w:val="001A05C8"/>
    <w:pPr>
      <w:ind w:left="720"/>
      <w:contextualSpacing/>
    </w:pPr>
  </w:style>
  <w:style w:type="paragraph" w:customStyle="1" w:styleId="EndNoteBibliographyTitle">
    <w:name w:val="EndNote Bibliography Title"/>
    <w:basedOn w:val="Normal"/>
    <w:link w:val="EndNoteBibliographyTitleChar"/>
    <w:rsid w:val="00CB2739"/>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CB2739"/>
    <w:rPr>
      <w:rFonts w:ascii="Arial" w:hAnsi="Arial" w:cs="Arial"/>
      <w:noProof/>
      <w:sz w:val="20"/>
      <w:lang w:val="en-US"/>
    </w:rPr>
  </w:style>
  <w:style w:type="paragraph" w:customStyle="1" w:styleId="EndNoteBibliography">
    <w:name w:val="EndNote Bibliography"/>
    <w:basedOn w:val="Normal"/>
    <w:link w:val="EndNoteBibliographyChar"/>
    <w:rsid w:val="00CB2739"/>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CB2739"/>
    <w:rPr>
      <w:rFonts w:ascii="Arial" w:hAnsi="Arial" w:cs="Arial"/>
      <w:noProof/>
      <w:sz w:val="20"/>
      <w:lang w:val="en-US"/>
    </w:rPr>
  </w:style>
  <w:style w:type="character" w:styleId="Hyperlink">
    <w:name w:val="Hyperlink"/>
    <w:basedOn w:val="DefaultParagraphFont"/>
    <w:uiPriority w:val="99"/>
    <w:unhideWhenUsed/>
    <w:rsid w:val="00CB2739"/>
    <w:rPr>
      <w:color w:val="0563C1" w:themeColor="hyperlink"/>
      <w:u w:val="single"/>
    </w:rPr>
  </w:style>
  <w:style w:type="character" w:customStyle="1" w:styleId="UnresolvedMention1">
    <w:name w:val="Unresolved Mention1"/>
    <w:basedOn w:val="DefaultParagraphFont"/>
    <w:uiPriority w:val="99"/>
    <w:semiHidden/>
    <w:unhideWhenUsed/>
    <w:rsid w:val="00CB2739"/>
    <w:rPr>
      <w:color w:val="605E5C"/>
      <w:shd w:val="clear" w:color="auto" w:fill="E1DFDD"/>
    </w:rPr>
  </w:style>
  <w:style w:type="paragraph" w:styleId="Header">
    <w:name w:val="header"/>
    <w:basedOn w:val="Normal"/>
    <w:link w:val="HeaderChar"/>
    <w:uiPriority w:val="99"/>
    <w:unhideWhenUsed/>
    <w:rsid w:val="002016E8"/>
    <w:pPr>
      <w:tabs>
        <w:tab w:val="center" w:pos="4536"/>
        <w:tab w:val="right" w:pos="9072"/>
      </w:tabs>
      <w:spacing w:line="240" w:lineRule="auto"/>
    </w:pPr>
  </w:style>
  <w:style w:type="character" w:customStyle="1" w:styleId="HeaderChar">
    <w:name w:val="Header Char"/>
    <w:basedOn w:val="DefaultParagraphFont"/>
    <w:link w:val="Header"/>
    <w:uiPriority w:val="99"/>
    <w:rsid w:val="002016E8"/>
    <w:rPr>
      <w:rFonts w:ascii="Arial" w:hAnsi="Arial"/>
      <w:sz w:val="20"/>
    </w:rPr>
  </w:style>
  <w:style w:type="paragraph" w:styleId="Footer">
    <w:name w:val="footer"/>
    <w:basedOn w:val="Normal"/>
    <w:link w:val="FooterChar"/>
    <w:uiPriority w:val="99"/>
    <w:unhideWhenUsed/>
    <w:rsid w:val="002016E8"/>
    <w:pPr>
      <w:tabs>
        <w:tab w:val="center" w:pos="4536"/>
        <w:tab w:val="right" w:pos="9072"/>
      </w:tabs>
      <w:spacing w:line="240" w:lineRule="auto"/>
    </w:pPr>
  </w:style>
  <w:style w:type="character" w:customStyle="1" w:styleId="FooterChar">
    <w:name w:val="Footer Char"/>
    <w:basedOn w:val="DefaultParagraphFont"/>
    <w:link w:val="Footer"/>
    <w:uiPriority w:val="99"/>
    <w:rsid w:val="002016E8"/>
    <w:rPr>
      <w:rFonts w:ascii="Arial" w:hAnsi="Arial"/>
      <w:sz w:val="20"/>
    </w:rPr>
  </w:style>
  <w:style w:type="character" w:styleId="LineNumber">
    <w:name w:val="line number"/>
    <w:basedOn w:val="DefaultParagraphFont"/>
    <w:uiPriority w:val="99"/>
    <w:semiHidden/>
    <w:unhideWhenUsed/>
    <w:rsid w:val="002016E8"/>
  </w:style>
  <w:style w:type="paragraph" w:styleId="BalloonText">
    <w:name w:val="Balloon Text"/>
    <w:basedOn w:val="Normal"/>
    <w:link w:val="BalloonTextChar"/>
    <w:uiPriority w:val="99"/>
    <w:semiHidden/>
    <w:unhideWhenUsed/>
    <w:rsid w:val="00D868F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8FE"/>
    <w:rPr>
      <w:rFonts w:ascii="Segoe UI" w:hAnsi="Segoe UI" w:cs="Segoe UI"/>
      <w:sz w:val="18"/>
      <w:szCs w:val="18"/>
    </w:rPr>
  </w:style>
  <w:style w:type="character" w:styleId="CommentReference">
    <w:name w:val="annotation reference"/>
    <w:basedOn w:val="DefaultParagraphFont"/>
    <w:uiPriority w:val="99"/>
    <w:semiHidden/>
    <w:unhideWhenUsed/>
    <w:rsid w:val="00670E28"/>
    <w:rPr>
      <w:sz w:val="16"/>
      <w:szCs w:val="16"/>
    </w:rPr>
  </w:style>
  <w:style w:type="paragraph" w:styleId="CommentText">
    <w:name w:val="annotation text"/>
    <w:basedOn w:val="Normal"/>
    <w:link w:val="CommentTextChar"/>
    <w:uiPriority w:val="99"/>
    <w:unhideWhenUsed/>
    <w:rsid w:val="00670E28"/>
    <w:pPr>
      <w:spacing w:line="240" w:lineRule="auto"/>
    </w:pPr>
    <w:rPr>
      <w:szCs w:val="20"/>
    </w:rPr>
  </w:style>
  <w:style w:type="character" w:customStyle="1" w:styleId="CommentTextChar">
    <w:name w:val="Comment Text Char"/>
    <w:basedOn w:val="DefaultParagraphFont"/>
    <w:link w:val="CommentText"/>
    <w:uiPriority w:val="99"/>
    <w:rsid w:val="00670E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70E28"/>
    <w:rPr>
      <w:b/>
      <w:bCs/>
    </w:rPr>
  </w:style>
  <w:style w:type="character" w:customStyle="1" w:styleId="CommentSubjectChar">
    <w:name w:val="Comment Subject Char"/>
    <w:basedOn w:val="CommentTextChar"/>
    <w:link w:val="CommentSubject"/>
    <w:uiPriority w:val="99"/>
    <w:semiHidden/>
    <w:rsid w:val="00670E28"/>
    <w:rPr>
      <w:rFonts w:ascii="Arial" w:hAnsi="Arial"/>
      <w:b/>
      <w:bCs/>
      <w:sz w:val="20"/>
      <w:szCs w:val="20"/>
    </w:rPr>
  </w:style>
  <w:style w:type="character" w:styleId="PlaceholderText">
    <w:name w:val="Placeholder Text"/>
    <w:basedOn w:val="DefaultParagraphFont"/>
    <w:uiPriority w:val="99"/>
    <w:semiHidden/>
    <w:rsid w:val="0036378F"/>
    <w:rPr>
      <w:color w:val="808080"/>
    </w:rPr>
  </w:style>
  <w:style w:type="character" w:customStyle="1" w:styleId="UnresolvedMention2">
    <w:name w:val="Unresolved Mention2"/>
    <w:basedOn w:val="DefaultParagraphFont"/>
    <w:uiPriority w:val="99"/>
    <w:semiHidden/>
    <w:unhideWhenUsed/>
    <w:rsid w:val="00BE6D6C"/>
    <w:rPr>
      <w:color w:val="605E5C"/>
      <w:shd w:val="clear" w:color="auto" w:fill="E1DFDD"/>
    </w:rPr>
  </w:style>
  <w:style w:type="character" w:customStyle="1" w:styleId="UnresolvedMention3">
    <w:name w:val="Unresolved Mention3"/>
    <w:basedOn w:val="DefaultParagraphFont"/>
    <w:uiPriority w:val="99"/>
    <w:semiHidden/>
    <w:unhideWhenUsed/>
    <w:rsid w:val="0058664E"/>
    <w:rPr>
      <w:color w:val="605E5C"/>
      <w:shd w:val="clear" w:color="auto" w:fill="E1DFDD"/>
    </w:rPr>
  </w:style>
  <w:style w:type="character" w:customStyle="1" w:styleId="UnresolvedMention4">
    <w:name w:val="Unresolved Mention4"/>
    <w:basedOn w:val="DefaultParagraphFont"/>
    <w:uiPriority w:val="99"/>
    <w:rsid w:val="00C8378F"/>
    <w:rPr>
      <w:color w:val="605E5C"/>
      <w:shd w:val="clear" w:color="auto" w:fill="E1DFDD"/>
    </w:rPr>
  </w:style>
  <w:style w:type="character" w:styleId="UnresolvedMention">
    <w:name w:val="Unresolved Mention"/>
    <w:basedOn w:val="DefaultParagraphFont"/>
    <w:uiPriority w:val="99"/>
    <w:semiHidden/>
    <w:unhideWhenUsed/>
    <w:rsid w:val="00586DDA"/>
    <w:rPr>
      <w:color w:val="605E5C"/>
      <w:shd w:val="clear" w:color="auto" w:fill="E1DFDD"/>
    </w:rPr>
  </w:style>
  <w:style w:type="character" w:customStyle="1" w:styleId="fontstyle01">
    <w:name w:val="fontstyle01"/>
    <w:basedOn w:val="DefaultParagraphFont"/>
    <w:rsid w:val="00945A4E"/>
    <w:rPr>
      <w:rFonts w:ascii="STIX-Regular" w:hAnsi="STIX-Regular"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eurostat/statistics-explained/index.php/People_in_the_EU_-_population_projections" TargetMode="Externa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https://www.fda.gov/ForConsumers/ConsumerUpdates/ucm535306.htm" TargetMode="External"/><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hyperlink" Target="https://ec.europa.eu/eurostat/statistics-explained/index.php/Medicine_use_statistics" TargetMode="External"/><Relationship Id="rId14" Type="http://schemas.openxmlformats.org/officeDocument/2006/relationships/image" Target="media/image4.tiff"/><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D5F5F-30F8-4144-BA89-A569D2606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18593</Words>
  <Characters>117137</Characters>
  <Application>Microsoft Office Word</Application>
  <DocSecurity>0</DocSecurity>
  <Lines>976</Lines>
  <Paragraphs>270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Stader</dc:creator>
  <cp:keywords/>
  <dc:description/>
  <cp:lastModifiedBy>Felix Stader</cp:lastModifiedBy>
  <cp:revision>2</cp:revision>
  <cp:lastPrinted>2019-06-03T04:27:00Z</cp:lastPrinted>
  <dcterms:created xsi:type="dcterms:W3CDTF">2019-11-25T19:21:00Z</dcterms:created>
  <dcterms:modified xsi:type="dcterms:W3CDTF">2019-11-25T19:21:00Z</dcterms:modified>
</cp:coreProperties>
</file>