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05BFC" w14:textId="77777777" w:rsidR="00D7508E" w:rsidRPr="00622F6C" w:rsidRDefault="00D7508E" w:rsidP="00D7508E">
      <w:pPr>
        <w:spacing w:after="0" w:line="240" w:lineRule="auto"/>
        <w:jc w:val="center"/>
        <w:rPr>
          <w:rFonts w:ascii="Times New Roman" w:hAnsi="Times New Roman" w:cs="Times New Roman"/>
          <w:b/>
          <w:sz w:val="24"/>
          <w:szCs w:val="24"/>
          <w:lang w:val="en-US"/>
        </w:rPr>
      </w:pPr>
      <w:bookmarkStart w:id="0" w:name="_GoBack"/>
      <w:bookmarkEnd w:id="0"/>
    </w:p>
    <w:p w14:paraId="12A5A6D8" w14:textId="77777777" w:rsidR="00D7508E" w:rsidRPr="00622F6C" w:rsidRDefault="00D7508E" w:rsidP="00D7508E">
      <w:pPr>
        <w:spacing w:after="0" w:line="240" w:lineRule="auto"/>
        <w:jc w:val="center"/>
        <w:rPr>
          <w:rFonts w:ascii="Times New Roman" w:hAnsi="Times New Roman" w:cs="Times New Roman"/>
          <w:b/>
          <w:sz w:val="24"/>
          <w:szCs w:val="24"/>
          <w:lang w:val="en-US"/>
        </w:rPr>
      </w:pPr>
    </w:p>
    <w:p w14:paraId="77FE6D34" w14:textId="77777777" w:rsidR="00D7508E" w:rsidRPr="00622F6C" w:rsidRDefault="00D7508E" w:rsidP="00D7508E">
      <w:pPr>
        <w:spacing w:after="0" w:line="240" w:lineRule="auto"/>
        <w:jc w:val="center"/>
        <w:rPr>
          <w:rFonts w:ascii="Times New Roman" w:hAnsi="Times New Roman" w:cs="Times New Roman"/>
          <w:b/>
          <w:sz w:val="24"/>
          <w:szCs w:val="24"/>
          <w:lang w:val="en-US"/>
        </w:rPr>
      </w:pPr>
    </w:p>
    <w:p w14:paraId="76B061B1" w14:textId="77777777" w:rsidR="00D7508E" w:rsidRPr="00622F6C" w:rsidRDefault="002B62C5" w:rsidP="00D7508E">
      <w:pPr>
        <w:spacing w:after="0" w:line="240" w:lineRule="auto"/>
        <w:jc w:val="center"/>
        <w:rPr>
          <w:rFonts w:ascii="Times New Roman" w:hAnsi="Times New Roman" w:cs="Times New Roman"/>
          <w:b/>
          <w:sz w:val="28"/>
          <w:szCs w:val="28"/>
          <w:lang w:val="en-US"/>
        </w:rPr>
      </w:pPr>
      <w:r w:rsidRPr="00622F6C">
        <w:rPr>
          <w:rFonts w:ascii="Times New Roman" w:hAnsi="Times New Roman" w:cs="Times New Roman"/>
          <w:b/>
          <w:sz w:val="28"/>
          <w:szCs w:val="28"/>
          <w:lang w:val="en-US"/>
        </w:rPr>
        <w:t>S</w:t>
      </w:r>
      <w:r w:rsidR="00D7508E" w:rsidRPr="00622F6C">
        <w:rPr>
          <w:rFonts w:ascii="Times New Roman" w:hAnsi="Times New Roman" w:cs="Times New Roman"/>
          <w:b/>
          <w:sz w:val="28"/>
          <w:szCs w:val="28"/>
          <w:lang w:val="en-US"/>
        </w:rPr>
        <w:t xml:space="preserve">hareholder wealth effects of </w:t>
      </w:r>
      <w:r w:rsidR="00046F75" w:rsidRPr="00622F6C">
        <w:rPr>
          <w:rFonts w:ascii="Times New Roman" w:hAnsi="Times New Roman" w:cs="Times New Roman"/>
          <w:b/>
          <w:sz w:val="28"/>
          <w:szCs w:val="28"/>
          <w:lang w:val="en-US"/>
        </w:rPr>
        <w:t>modern slavery regulation</w:t>
      </w:r>
    </w:p>
    <w:p w14:paraId="67A0C29A" w14:textId="77777777" w:rsidR="00D7508E" w:rsidRPr="00622F6C" w:rsidRDefault="00D7508E" w:rsidP="00D7508E">
      <w:pPr>
        <w:spacing w:after="0" w:line="240" w:lineRule="auto"/>
        <w:jc w:val="center"/>
        <w:rPr>
          <w:rFonts w:ascii="Times New Roman" w:hAnsi="Times New Roman" w:cs="Times New Roman"/>
          <w:b/>
          <w:sz w:val="28"/>
          <w:szCs w:val="28"/>
          <w:lang w:val="en-US"/>
        </w:rPr>
      </w:pPr>
    </w:p>
    <w:p w14:paraId="1D567F2A" w14:textId="7E905A43" w:rsidR="00D7508E" w:rsidRPr="00622F6C" w:rsidRDefault="007F4FAA" w:rsidP="00D7508E">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July </w:t>
      </w:r>
      <w:r w:rsidR="00366AC7">
        <w:rPr>
          <w:rFonts w:ascii="Times New Roman" w:hAnsi="Times New Roman" w:cs="Times New Roman"/>
          <w:i/>
          <w:sz w:val="28"/>
          <w:szCs w:val="28"/>
          <w:lang w:val="en-US"/>
        </w:rPr>
        <w:t>22</w:t>
      </w:r>
      <w:r w:rsidR="007166B0">
        <w:rPr>
          <w:rFonts w:ascii="Times New Roman" w:hAnsi="Times New Roman" w:cs="Times New Roman"/>
          <w:i/>
          <w:sz w:val="28"/>
          <w:szCs w:val="28"/>
          <w:lang w:val="en-US"/>
        </w:rPr>
        <w:t>, 2019</w:t>
      </w:r>
    </w:p>
    <w:p w14:paraId="1A593358" w14:textId="77777777" w:rsidR="00D7508E" w:rsidRPr="00622F6C" w:rsidRDefault="00D7508E" w:rsidP="00D7508E">
      <w:pPr>
        <w:spacing w:after="0" w:line="240" w:lineRule="auto"/>
        <w:jc w:val="center"/>
        <w:rPr>
          <w:rFonts w:ascii="Times New Roman" w:hAnsi="Times New Roman" w:cs="Times New Roman"/>
          <w:b/>
          <w:lang w:val="en-US"/>
        </w:rPr>
      </w:pPr>
    </w:p>
    <w:p w14:paraId="6B137C93" w14:textId="77777777" w:rsidR="00D7508E" w:rsidRPr="00622F6C" w:rsidRDefault="00D7508E" w:rsidP="00D7508E">
      <w:pPr>
        <w:spacing w:after="0" w:line="240" w:lineRule="auto"/>
        <w:jc w:val="center"/>
        <w:rPr>
          <w:rFonts w:ascii="Times New Roman" w:hAnsi="Times New Roman" w:cs="Times New Roman"/>
          <w:b/>
          <w:lang w:val="en-US"/>
        </w:rPr>
      </w:pPr>
    </w:p>
    <w:p w14:paraId="659F09C9" w14:textId="50CB684C" w:rsidR="00D7508E" w:rsidRPr="00622F6C" w:rsidRDefault="008B6F0E" w:rsidP="00D7508E">
      <w:pPr>
        <w:spacing w:after="0" w:line="240" w:lineRule="auto"/>
        <w:jc w:val="center"/>
        <w:rPr>
          <w:rFonts w:ascii="Times New Roman" w:hAnsi="Times New Roman" w:cs="Times New Roman"/>
          <w:vertAlign w:val="superscript"/>
          <w:lang w:val="en-US"/>
        </w:rPr>
      </w:pPr>
      <w:r w:rsidRPr="00622F6C">
        <w:rPr>
          <w:rFonts w:ascii="Times New Roman" w:hAnsi="Times New Roman" w:cs="Times New Roman"/>
          <w:lang w:val="en-US"/>
        </w:rPr>
        <w:t>Paul Cousins</w:t>
      </w:r>
      <w:r w:rsidR="00D7508E" w:rsidRPr="00622F6C">
        <w:rPr>
          <w:rFonts w:ascii="Times New Roman" w:hAnsi="Times New Roman" w:cs="Times New Roman"/>
          <w:vertAlign w:val="superscript"/>
          <w:lang w:val="en-US"/>
        </w:rPr>
        <w:t>a *</w:t>
      </w:r>
      <w:r w:rsidRPr="00622F6C">
        <w:rPr>
          <w:rFonts w:ascii="Times New Roman" w:hAnsi="Times New Roman" w:cs="Times New Roman"/>
          <w:lang w:val="en-US"/>
        </w:rPr>
        <w:t>, Marie Dutordoir</w:t>
      </w:r>
      <w:r w:rsidR="00E863AA" w:rsidRPr="00622F6C">
        <w:rPr>
          <w:rFonts w:ascii="Times New Roman" w:hAnsi="Times New Roman" w:cs="Times New Roman"/>
          <w:vertAlign w:val="superscript"/>
          <w:lang w:val="en-US"/>
        </w:rPr>
        <w:t>b</w:t>
      </w:r>
      <w:r w:rsidRPr="00622F6C">
        <w:rPr>
          <w:rFonts w:ascii="Times New Roman" w:hAnsi="Times New Roman" w:cs="Times New Roman"/>
          <w:lang w:val="en-US"/>
        </w:rPr>
        <w:t>, Benn Lawson</w:t>
      </w:r>
      <w:r w:rsidR="00E863AA" w:rsidRPr="00622F6C">
        <w:rPr>
          <w:rFonts w:ascii="Times New Roman" w:hAnsi="Times New Roman" w:cs="Times New Roman"/>
          <w:vertAlign w:val="superscript"/>
          <w:lang w:val="en-US"/>
        </w:rPr>
        <w:t>c</w:t>
      </w:r>
      <w:r w:rsidR="00061441">
        <w:rPr>
          <w:rFonts w:ascii="Times New Roman" w:hAnsi="Times New Roman" w:cs="Times New Roman"/>
          <w:lang w:val="en-US"/>
        </w:rPr>
        <w:t>, Jo</w:t>
      </w:r>
      <w:r w:rsidR="00061441" w:rsidRPr="00061441">
        <w:rPr>
          <w:rFonts w:ascii="Calibri" w:hAnsi="Calibri" w:cs="Calibri"/>
        </w:rPr>
        <w:t>ã</w:t>
      </w:r>
      <w:r w:rsidRPr="00622F6C">
        <w:rPr>
          <w:rFonts w:ascii="Times New Roman" w:hAnsi="Times New Roman" w:cs="Times New Roman"/>
          <w:lang w:val="en-US"/>
        </w:rPr>
        <w:t>o Quariguasi Frota Neto</w:t>
      </w:r>
      <w:r w:rsidR="00E863AA" w:rsidRPr="00622F6C">
        <w:rPr>
          <w:rFonts w:ascii="Times New Roman" w:hAnsi="Times New Roman" w:cs="Times New Roman"/>
          <w:vertAlign w:val="superscript"/>
          <w:lang w:val="en-US"/>
        </w:rPr>
        <w:t>b</w:t>
      </w:r>
    </w:p>
    <w:p w14:paraId="214763ED" w14:textId="77777777" w:rsidR="00E863AA" w:rsidRPr="00622F6C" w:rsidRDefault="00E863AA" w:rsidP="00D7508E">
      <w:pPr>
        <w:spacing w:after="0" w:line="240" w:lineRule="auto"/>
        <w:jc w:val="center"/>
        <w:rPr>
          <w:rFonts w:ascii="Times New Roman" w:hAnsi="Times New Roman" w:cs="Times New Roman"/>
          <w:vertAlign w:val="superscript"/>
          <w:lang w:val="en-US"/>
        </w:rPr>
      </w:pPr>
    </w:p>
    <w:p w14:paraId="4AD130E5" w14:textId="0DC2C4F3" w:rsidR="00E863AA" w:rsidRPr="00622F6C" w:rsidRDefault="00E863AA" w:rsidP="00E863AA">
      <w:pPr>
        <w:spacing w:after="0" w:line="240" w:lineRule="auto"/>
        <w:jc w:val="center"/>
        <w:rPr>
          <w:rFonts w:ascii="Times New Roman" w:hAnsi="Times New Roman" w:cs="Times New Roman"/>
          <w:i/>
          <w:lang w:val="en-US"/>
        </w:rPr>
      </w:pPr>
      <w:r w:rsidRPr="00622F6C">
        <w:rPr>
          <w:rFonts w:ascii="Times New Roman" w:hAnsi="Times New Roman" w:cs="Times New Roman"/>
          <w:i/>
          <w:vertAlign w:val="superscript"/>
          <w:lang w:val="en-US"/>
        </w:rPr>
        <w:t>a</w:t>
      </w:r>
      <w:r w:rsidR="00A11EDE" w:rsidRPr="00622F6C">
        <w:rPr>
          <w:rFonts w:ascii="Times New Roman" w:hAnsi="Times New Roman" w:cs="Times New Roman"/>
          <w:i/>
          <w:lang w:val="en-US"/>
        </w:rPr>
        <w:t>School of Management, University</w:t>
      </w:r>
      <w:r w:rsidR="00071B18">
        <w:rPr>
          <w:rFonts w:ascii="Times New Roman" w:hAnsi="Times New Roman" w:cs="Times New Roman"/>
          <w:i/>
          <w:lang w:val="en-US"/>
        </w:rPr>
        <w:t xml:space="preserve"> of Liverpool</w:t>
      </w:r>
      <w:r w:rsidRPr="00622F6C">
        <w:rPr>
          <w:rFonts w:ascii="Times New Roman" w:hAnsi="Times New Roman" w:cs="Times New Roman"/>
          <w:i/>
          <w:lang w:val="en-US"/>
        </w:rPr>
        <w:t>, UK.</w:t>
      </w:r>
    </w:p>
    <w:p w14:paraId="564DAB10" w14:textId="77777777" w:rsidR="00D7508E" w:rsidRPr="00622F6C" w:rsidRDefault="00E863AA" w:rsidP="00D7508E">
      <w:pPr>
        <w:spacing w:after="0" w:line="240" w:lineRule="auto"/>
        <w:jc w:val="center"/>
        <w:rPr>
          <w:rFonts w:ascii="Times New Roman" w:hAnsi="Times New Roman" w:cs="Times New Roman"/>
          <w:i/>
          <w:lang w:val="en-US"/>
        </w:rPr>
      </w:pPr>
      <w:r w:rsidRPr="00622F6C">
        <w:rPr>
          <w:rFonts w:ascii="Times New Roman" w:hAnsi="Times New Roman" w:cs="Times New Roman"/>
          <w:i/>
          <w:vertAlign w:val="superscript"/>
          <w:lang w:val="en-US"/>
        </w:rPr>
        <w:t>b</w:t>
      </w:r>
      <w:r w:rsidR="00D7508E" w:rsidRPr="00622F6C">
        <w:rPr>
          <w:rFonts w:ascii="Times New Roman" w:hAnsi="Times New Roman" w:cs="Times New Roman"/>
          <w:i/>
          <w:lang w:val="en-US"/>
        </w:rPr>
        <w:t>Alliance Manchester Business School, University of Manchester, UK.</w:t>
      </w:r>
    </w:p>
    <w:p w14:paraId="7CA877E6" w14:textId="77777777" w:rsidR="00D7508E" w:rsidRPr="00622F6C" w:rsidRDefault="00E863AA" w:rsidP="00D7508E">
      <w:pPr>
        <w:spacing w:after="0" w:line="240" w:lineRule="auto"/>
        <w:jc w:val="center"/>
        <w:rPr>
          <w:rFonts w:ascii="Times New Roman" w:hAnsi="Times New Roman" w:cs="Times New Roman"/>
          <w:i/>
          <w:lang w:val="en-US"/>
        </w:rPr>
      </w:pPr>
      <w:r w:rsidRPr="00622F6C">
        <w:rPr>
          <w:rFonts w:ascii="Times New Roman" w:hAnsi="Times New Roman" w:cs="Times New Roman"/>
          <w:i/>
          <w:vertAlign w:val="superscript"/>
          <w:lang w:val="en-US"/>
        </w:rPr>
        <w:t>c</w:t>
      </w:r>
      <w:r w:rsidR="00D7508E" w:rsidRPr="00622F6C">
        <w:rPr>
          <w:rFonts w:ascii="Times New Roman" w:hAnsi="Times New Roman" w:cs="Times New Roman"/>
          <w:i/>
          <w:lang w:val="en-US"/>
        </w:rPr>
        <w:t>Judge Business School, University of Cambridge, UK.</w:t>
      </w:r>
    </w:p>
    <w:p w14:paraId="660CB2C1" w14:textId="77777777" w:rsidR="00D7508E" w:rsidRPr="00622F6C" w:rsidRDefault="00D7508E" w:rsidP="00D7508E">
      <w:pPr>
        <w:spacing w:after="0" w:line="240" w:lineRule="auto"/>
        <w:jc w:val="center"/>
        <w:rPr>
          <w:rFonts w:ascii="Times New Roman" w:hAnsi="Times New Roman" w:cs="Times New Roman"/>
          <w:b/>
          <w:lang w:val="en-US"/>
        </w:rPr>
      </w:pPr>
    </w:p>
    <w:p w14:paraId="10328E3A" w14:textId="77777777" w:rsidR="00D7508E" w:rsidRPr="00622F6C" w:rsidRDefault="00D7508E" w:rsidP="00D7508E">
      <w:pPr>
        <w:spacing w:after="0" w:line="240" w:lineRule="auto"/>
        <w:jc w:val="center"/>
        <w:rPr>
          <w:rFonts w:ascii="Times New Roman" w:hAnsi="Times New Roman" w:cs="Times New Roman"/>
          <w:b/>
          <w:sz w:val="24"/>
          <w:szCs w:val="24"/>
          <w:lang w:val="en-US"/>
        </w:rPr>
      </w:pPr>
    </w:p>
    <w:p w14:paraId="7E870110" w14:textId="77777777" w:rsidR="00D7508E" w:rsidRPr="00622F6C" w:rsidRDefault="00D7508E" w:rsidP="00D7508E">
      <w:pPr>
        <w:spacing w:after="0" w:line="240" w:lineRule="auto"/>
        <w:jc w:val="center"/>
        <w:rPr>
          <w:rFonts w:ascii="Times New Roman" w:hAnsi="Times New Roman" w:cs="Times New Roman"/>
          <w:b/>
          <w:sz w:val="24"/>
          <w:szCs w:val="24"/>
          <w:lang w:val="en-US"/>
        </w:rPr>
      </w:pPr>
      <w:r w:rsidRPr="00622F6C">
        <w:rPr>
          <w:rFonts w:ascii="Times New Roman" w:hAnsi="Times New Roman" w:cs="Times New Roman"/>
          <w:b/>
          <w:sz w:val="24"/>
          <w:szCs w:val="24"/>
          <w:lang w:val="en-US"/>
        </w:rPr>
        <w:t>Abstract</w:t>
      </w:r>
    </w:p>
    <w:p w14:paraId="1C40B348" w14:textId="77777777" w:rsidR="00D7508E" w:rsidRPr="00622F6C" w:rsidRDefault="00D7508E" w:rsidP="00D7508E">
      <w:pPr>
        <w:spacing w:after="0" w:line="240" w:lineRule="auto"/>
        <w:jc w:val="center"/>
        <w:rPr>
          <w:rFonts w:ascii="Times New Roman" w:hAnsi="Times New Roman" w:cs="Times New Roman"/>
          <w:b/>
          <w:sz w:val="24"/>
          <w:szCs w:val="24"/>
          <w:lang w:val="en-US"/>
        </w:rPr>
      </w:pPr>
    </w:p>
    <w:p w14:paraId="792A9D5B" w14:textId="5C94AF01" w:rsidR="00D7508E" w:rsidRPr="00622F6C" w:rsidRDefault="00D7508E" w:rsidP="00D7508E">
      <w:pPr>
        <w:spacing w:after="0" w:line="240" w:lineRule="auto"/>
        <w:jc w:val="both"/>
        <w:rPr>
          <w:rFonts w:ascii="Times New Roman" w:eastAsia="Times New Roman" w:hAnsi="Times New Roman" w:cs="Times New Roman"/>
          <w:lang w:val="en-US" w:eastAsia="en-GB"/>
        </w:rPr>
      </w:pPr>
      <w:r w:rsidRPr="00622F6C">
        <w:rPr>
          <w:rFonts w:ascii="Times New Roman" w:hAnsi="Times New Roman" w:cs="Times New Roman"/>
          <w:lang w:val="en-US"/>
        </w:rPr>
        <w:t xml:space="preserve">We examine the shareholder wealth effects of the adoption of the </w:t>
      </w:r>
      <w:r w:rsidR="00E863AA" w:rsidRPr="00622F6C">
        <w:rPr>
          <w:rFonts w:ascii="Times New Roman" w:hAnsi="Times New Roman" w:cs="Times New Roman"/>
          <w:lang w:val="en-US"/>
        </w:rPr>
        <w:t xml:space="preserve">UK </w:t>
      </w:r>
      <w:bookmarkStart w:id="1" w:name="_Hlk523925280"/>
      <w:r w:rsidR="00E863AA" w:rsidRPr="00622F6C">
        <w:rPr>
          <w:rFonts w:ascii="Times New Roman" w:hAnsi="Times New Roman" w:cs="Times New Roman"/>
          <w:lang w:val="en-US"/>
        </w:rPr>
        <w:t xml:space="preserve">Modern Slavery Act </w:t>
      </w:r>
      <w:bookmarkEnd w:id="1"/>
      <w:r w:rsidR="00E863AA" w:rsidRPr="00622F6C">
        <w:rPr>
          <w:rFonts w:ascii="Times New Roman" w:hAnsi="Times New Roman" w:cs="Times New Roman"/>
          <w:lang w:val="en-US"/>
        </w:rPr>
        <w:t>2015</w:t>
      </w:r>
      <w:r w:rsidR="003C6016">
        <w:rPr>
          <w:rFonts w:ascii="Times New Roman" w:hAnsi="Times New Roman" w:cs="Times New Roman"/>
          <w:lang w:val="en-US"/>
        </w:rPr>
        <w:t xml:space="preserve"> (MSA)</w:t>
      </w:r>
      <w:r w:rsidRPr="00622F6C">
        <w:rPr>
          <w:rFonts w:ascii="Times New Roman" w:hAnsi="Times New Roman" w:cs="Times New Roman"/>
          <w:lang w:val="en-US"/>
        </w:rPr>
        <w:t xml:space="preserve">. The </w:t>
      </w:r>
      <w:r w:rsidR="00E863AA" w:rsidRPr="00622F6C">
        <w:rPr>
          <w:rFonts w:ascii="Times New Roman" w:hAnsi="Times New Roman" w:cs="Times New Roman"/>
          <w:lang w:val="en-US"/>
        </w:rPr>
        <w:t xml:space="preserve">MSA’s </w:t>
      </w:r>
      <w:bookmarkStart w:id="2" w:name="_Hlk5258167"/>
      <w:r w:rsidR="00E863AA" w:rsidRPr="00622F6C">
        <w:rPr>
          <w:rFonts w:ascii="Times New Roman" w:hAnsi="Times New Roman" w:cs="Times New Roman"/>
          <w:lang w:val="en-US"/>
        </w:rPr>
        <w:t xml:space="preserve">Transparency in Supply Chains </w:t>
      </w:r>
      <w:r w:rsidRPr="00622F6C">
        <w:rPr>
          <w:rFonts w:ascii="Times New Roman" w:hAnsi="Times New Roman" w:cs="Times New Roman"/>
          <w:lang w:val="en-US"/>
        </w:rPr>
        <w:t xml:space="preserve">clause </w:t>
      </w:r>
      <w:bookmarkEnd w:id="2"/>
      <w:r w:rsidRPr="00622F6C">
        <w:rPr>
          <w:rFonts w:ascii="Times New Roman" w:hAnsi="Times New Roman" w:cs="Times New Roman"/>
          <w:lang w:val="en-US"/>
        </w:rPr>
        <w:t xml:space="preserve">introduced new reporting requirements mandating certain firms to provide an annual statement </w:t>
      </w:r>
      <w:r w:rsidR="00A36310">
        <w:rPr>
          <w:rFonts w:ascii="Times New Roman" w:hAnsi="Times New Roman" w:cs="Times New Roman"/>
          <w:lang w:val="en-US"/>
        </w:rPr>
        <w:t>outlining</w:t>
      </w:r>
      <w:r w:rsidRPr="00622F6C">
        <w:rPr>
          <w:rFonts w:ascii="Times New Roman" w:hAnsi="Times New Roman" w:cs="Times New Roman"/>
          <w:lang w:val="en-US"/>
        </w:rPr>
        <w:t xml:space="preserve"> </w:t>
      </w:r>
      <w:r w:rsidR="00672ECD">
        <w:rPr>
          <w:rFonts w:ascii="Times New Roman" w:hAnsi="Times New Roman" w:cs="Times New Roman"/>
          <w:lang w:val="en-US"/>
        </w:rPr>
        <w:t>how they identify and mitigate</w:t>
      </w:r>
      <w:r w:rsidRPr="00622F6C">
        <w:rPr>
          <w:rFonts w:ascii="Times New Roman" w:hAnsi="Times New Roman" w:cs="Times New Roman"/>
          <w:lang w:val="en-US"/>
        </w:rPr>
        <w:t xml:space="preserve"> modern slavery in </w:t>
      </w:r>
      <w:r w:rsidR="00594F11">
        <w:rPr>
          <w:rFonts w:ascii="Times New Roman" w:hAnsi="Times New Roman" w:cs="Times New Roman"/>
          <w:lang w:val="en-US"/>
        </w:rPr>
        <w:t>their business and supply chain</w:t>
      </w:r>
      <w:r w:rsidRPr="00622F6C">
        <w:rPr>
          <w:rFonts w:ascii="Times New Roman" w:hAnsi="Times New Roman" w:cs="Times New Roman"/>
          <w:lang w:val="en-US"/>
        </w:rPr>
        <w:t xml:space="preserve">. An event study of stock </w:t>
      </w:r>
      <w:r w:rsidR="008B33AA" w:rsidRPr="00622F6C">
        <w:rPr>
          <w:rFonts w:ascii="Times New Roman" w:hAnsi="Times New Roman" w:cs="Times New Roman"/>
          <w:lang w:val="en-US"/>
        </w:rPr>
        <w:t>price</w:t>
      </w:r>
      <w:r w:rsidRPr="00622F6C">
        <w:rPr>
          <w:rFonts w:ascii="Times New Roman" w:hAnsi="Times New Roman" w:cs="Times New Roman"/>
          <w:lang w:val="en-US"/>
        </w:rPr>
        <w:t xml:space="preserve"> reactions</w:t>
      </w:r>
      <w:r w:rsidR="00E863AA" w:rsidRPr="00622F6C">
        <w:rPr>
          <w:rFonts w:ascii="Times New Roman" w:hAnsi="Times New Roman" w:cs="Times New Roman"/>
          <w:lang w:val="en-US"/>
        </w:rPr>
        <w:t xml:space="preserve"> of UK firms</w:t>
      </w:r>
      <w:r w:rsidRPr="00622F6C">
        <w:rPr>
          <w:rFonts w:ascii="Times New Roman" w:hAnsi="Times New Roman" w:cs="Times New Roman"/>
          <w:lang w:val="en-US"/>
        </w:rPr>
        <w:t xml:space="preserve"> </w:t>
      </w:r>
      <w:r w:rsidR="007E30C2" w:rsidRPr="00622F6C">
        <w:rPr>
          <w:rFonts w:ascii="Times New Roman" w:hAnsi="Times New Roman" w:cs="Times New Roman"/>
          <w:lang w:val="en-US"/>
        </w:rPr>
        <w:t xml:space="preserve">covered by the MSA </w:t>
      </w:r>
      <w:r w:rsidRPr="00622F6C">
        <w:rPr>
          <w:rFonts w:ascii="Times New Roman" w:hAnsi="Times New Roman" w:cs="Times New Roman"/>
          <w:lang w:val="en-US"/>
        </w:rPr>
        <w:t xml:space="preserve">to eight events associated with </w:t>
      </w:r>
      <w:r w:rsidR="00E95467" w:rsidRPr="00622F6C">
        <w:rPr>
          <w:rFonts w:ascii="Times New Roman" w:hAnsi="Times New Roman" w:cs="Times New Roman"/>
          <w:lang w:val="en-US"/>
        </w:rPr>
        <w:t>its</w:t>
      </w:r>
      <w:r w:rsidRPr="00622F6C">
        <w:rPr>
          <w:rFonts w:ascii="Times New Roman" w:hAnsi="Times New Roman" w:cs="Times New Roman"/>
          <w:lang w:val="en-US"/>
        </w:rPr>
        <w:t xml:space="preserve"> adoption provides no ev</w:t>
      </w:r>
      <w:r w:rsidR="00E95467" w:rsidRPr="00622F6C">
        <w:rPr>
          <w:rFonts w:ascii="Times New Roman" w:hAnsi="Times New Roman" w:cs="Times New Roman"/>
          <w:lang w:val="en-US"/>
        </w:rPr>
        <w:t xml:space="preserve">idence of </w:t>
      </w:r>
      <w:r w:rsidR="002A2BEC">
        <w:rPr>
          <w:rFonts w:ascii="Times New Roman" w:hAnsi="Times New Roman" w:cs="Times New Roman"/>
          <w:lang w:val="en-US"/>
        </w:rPr>
        <w:t>abnormal stock returns</w:t>
      </w:r>
      <w:r w:rsidRPr="00622F6C">
        <w:rPr>
          <w:rFonts w:ascii="Times New Roman" w:hAnsi="Times New Roman" w:cs="Times New Roman"/>
          <w:lang w:val="en-US"/>
        </w:rPr>
        <w:t>. We do, however,</w:t>
      </w:r>
      <w:r w:rsidR="00046F75" w:rsidRPr="00622F6C">
        <w:rPr>
          <w:rFonts w:ascii="Times New Roman" w:hAnsi="Times New Roman" w:cs="Times New Roman"/>
          <w:lang w:val="en-US"/>
        </w:rPr>
        <w:t xml:space="preserve"> uncover significant cross-sectional differences in </w:t>
      </w:r>
      <w:bookmarkStart w:id="3" w:name="_Hlk5258220"/>
      <w:r w:rsidR="00046F75" w:rsidRPr="00622F6C">
        <w:rPr>
          <w:rFonts w:ascii="Times New Roman" w:hAnsi="Times New Roman" w:cs="Times New Roman"/>
          <w:lang w:val="en-US"/>
        </w:rPr>
        <w:t>s</w:t>
      </w:r>
      <w:r w:rsidR="002424D4" w:rsidRPr="00622F6C">
        <w:rPr>
          <w:rFonts w:ascii="Times New Roman" w:hAnsi="Times New Roman" w:cs="Times New Roman"/>
          <w:lang w:val="en-US"/>
        </w:rPr>
        <w:t>tock price reactions</w:t>
      </w:r>
      <w:bookmarkEnd w:id="3"/>
      <w:r w:rsidR="001708FE">
        <w:rPr>
          <w:rFonts w:ascii="Times New Roman" w:hAnsi="Times New Roman" w:cs="Times New Roman"/>
          <w:lang w:val="en-US"/>
        </w:rPr>
        <w:t>, with results suggesting</w:t>
      </w:r>
      <w:r w:rsidR="002424D4" w:rsidRPr="00622F6C">
        <w:rPr>
          <w:rFonts w:ascii="Times New Roman" w:hAnsi="Times New Roman" w:cs="Times New Roman"/>
          <w:lang w:val="en-US"/>
        </w:rPr>
        <w:t xml:space="preserve"> that the MSA provides a competitive advantage to firms with a demonstrated track record of addressing slavery risk</w:t>
      </w:r>
      <w:r w:rsidRPr="00622F6C">
        <w:rPr>
          <w:rFonts w:ascii="Times New Roman" w:hAnsi="Times New Roman" w:cs="Times New Roman"/>
          <w:lang w:val="en-US"/>
        </w:rPr>
        <w:t xml:space="preserve">. </w:t>
      </w:r>
      <w:r w:rsidR="007F4FAA">
        <w:rPr>
          <w:rFonts w:ascii="Times New Roman" w:hAnsi="Times New Roman" w:cs="Times New Roman"/>
          <w:lang w:val="en-US"/>
        </w:rPr>
        <w:t>W</w:t>
      </w:r>
      <w:r w:rsidR="00201F66" w:rsidRPr="00622F6C">
        <w:rPr>
          <w:rFonts w:ascii="Times New Roman" w:hAnsi="Times New Roman" w:cs="Times New Roman"/>
          <w:lang w:val="en-US"/>
        </w:rPr>
        <w:t xml:space="preserve">e find </w:t>
      </w:r>
      <w:r w:rsidR="00672ECD">
        <w:rPr>
          <w:rFonts w:ascii="Times New Roman" w:hAnsi="Times New Roman" w:cs="Times New Roman"/>
          <w:lang w:val="en-US"/>
        </w:rPr>
        <w:t>no effects for</w:t>
      </w:r>
      <w:r w:rsidR="00E95467" w:rsidRPr="00622F6C">
        <w:rPr>
          <w:rFonts w:ascii="Times New Roman" w:hAnsi="Times New Roman" w:cs="Times New Roman"/>
          <w:lang w:val="en-US"/>
        </w:rPr>
        <w:t xml:space="preserve"> pre-regulatory </w:t>
      </w:r>
      <w:bookmarkStart w:id="4" w:name="_Hlk5258254"/>
      <w:r w:rsidR="00D81F64" w:rsidRPr="00672ECD">
        <w:rPr>
          <w:rFonts w:ascii="Times New Roman" w:hAnsi="Times New Roman" w:cs="Times New Roman"/>
          <w:lang w:val="en-US"/>
        </w:rPr>
        <w:t>Corporate Social Responsibility</w:t>
      </w:r>
      <w:r w:rsidR="00672ECD" w:rsidRPr="00672ECD">
        <w:rPr>
          <w:rFonts w:ascii="Times New Roman" w:hAnsi="Times New Roman" w:cs="Times New Roman"/>
          <w:lang w:val="en-US"/>
        </w:rPr>
        <w:t xml:space="preserve"> </w:t>
      </w:r>
      <w:r w:rsidR="002424D4" w:rsidRPr="002D0714">
        <w:rPr>
          <w:rFonts w:ascii="Times New Roman" w:hAnsi="Times New Roman" w:cs="Times New Roman"/>
          <w:lang w:val="en-US"/>
        </w:rPr>
        <w:t>disclosure</w:t>
      </w:r>
      <w:r w:rsidR="00201F66" w:rsidRPr="00622F6C">
        <w:rPr>
          <w:rFonts w:ascii="Times New Roman" w:hAnsi="Times New Roman" w:cs="Times New Roman"/>
          <w:lang w:val="en-US"/>
        </w:rPr>
        <w:t xml:space="preserve"> </w:t>
      </w:r>
      <w:bookmarkEnd w:id="4"/>
      <w:r w:rsidR="00672ECD">
        <w:rPr>
          <w:rFonts w:ascii="Times New Roman" w:hAnsi="Times New Roman" w:cs="Times New Roman"/>
          <w:lang w:val="en-US"/>
        </w:rPr>
        <w:t xml:space="preserve">levels </w:t>
      </w:r>
      <w:r w:rsidR="00201F66" w:rsidRPr="00622F6C">
        <w:rPr>
          <w:rFonts w:ascii="Times New Roman" w:hAnsi="Times New Roman" w:cs="Times New Roman"/>
          <w:lang w:val="en-US"/>
        </w:rPr>
        <w:t xml:space="preserve">on stock price reactions. </w:t>
      </w:r>
      <w:r w:rsidRPr="00622F6C">
        <w:rPr>
          <w:rFonts w:ascii="Times New Roman" w:hAnsi="Times New Roman" w:cs="Times New Roman"/>
          <w:lang w:val="en-US"/>
        </w:rPr>
        <w:t xml:space="preserve">Our </w:t>
      </w:r>
      <w:r w:rsidR="00E95467" w:rsidRPr="00622F6C">
        <w:rPr>
          <w:rFonts w:ascii="Times New Roman" w:hAnsi="Times New Roman" w:cs="Times New Roman"/>
          <w:lang w:val="en-US"/>
        </w:rPr>
        <w:t xml:space="preserve">findings </w:t>
      </w:r>
      <w:r w:rsidRPr="00622F6C">
        <w:rPr>
          <w:rFonts w:ascii="Times New Roman" w:hAnsi="Times New Roman" w:cs="Times New Roman"/>
          <w:lang w:val="en-US"/>
        </w:rPr>
        <w:t xml:space="preserve">highlight the economic value </w:t>
      </w:r>
      <w:r w:rsidRPr="00622F6C">
        <w:rPr>
          <w:rFonts w:ascii="Times New Roman" w:eastAsia="Times New Roman" w:hAnsi="Times New Roman" w:cs="Times New Roman"/>
          <w:lang w:val="en-US" w:eastAsia="en-GB"/>
        </w:rPr>
        <w:t xml:space="preserve">of maintaining </w:t>
      </w:r>
      <w:r w:rsidR="002E23A2" w:rsidRPr="00622F6C">
        <w:rPr>
          <w:rFonts w:ascii="Times New Roman" w:eastAsia="Times New Roman" w:hAnsi="Times New Roman" w:cs="Times New Roman"/>
          <w:lang w:val="en-US" w:eastAsia="en-GB"/>
        </w:rPr>
        <w:t>socially responsible</w:t>
      </w:r>
      <w:r w:rsidRPr="00622F6C">
        <w:rPr>
          <w:rFonts w:ascii="Times New Roman" w:eastAsia="Times New Roman" w:hAnsi="Times New Roman" w:cs="Times New Roman"/>
          <w:lang w:val="en-US" w:eastAsia="en-GB"/>
        </w:rPr>
        <w:t xml:space="preserve"> sourcing practices, and inform the current policy debate on the importance of greater transparency in corporate supply chains. </w:t>
      </w:r>
    </w:p>
    <w:p w14:paraId="72E3A1D8" w14:textId="77777777" w:rsidR="00D7508E" w:rsidRPr="00622F6C" w:rsidRDefault="00D7508E" w:rsidP="00201F66">
      <w:pPr>
        <w:spacing w:after="0" w:line="240" w:lineRule="auto"/>
        <w:rPr>
          <w:rFonts w:ascii="Times New Roman" w:hAnsi="Times New Roman" w:cs="Times New Roman"/>
          <w:b/>
          <w:sz w:val="24"/>
          <w:szCs w:val="24"/>
          <w:lang w:val="en-US"/>
        </w:rPr>
      </w:pPr>
    </w:p>
    <w:p w14:paraId="21C4C9FD" w14:textId="77777777" w:rsidR="00201F66" w:rsidRPr="00622F6C" w:rsidRDefault="00201F66" w:rsidP="000F2774">
      <w:pPr>
        <w:spacing w:after="0" w:line="240" w:lineRule="auto"/>
        <w:jc w:val="both"/>
        <w:rPr>
          <w:rFonts w:ascii="Times New Roman" w:hAnsi="Times New Roman" w:cs="Times New Roman"/>
          <w:lang w:val="en-US"/>
        </w:rPr>
      </w:pPr>
      <w:r w:rsidRPr="00622F6C">
        <w:rPr>
          <w:rFonts w:ascii="Times New Roman" w:hAnsi="Times New Roman" w:cs="Times New Roman"/>
          <w:b/>
          <w:lang w:val="en-US"/>
        </w:rPr>
        <w:t xml:space="preserve">Key words: </w:t>
      </w:r>
      <w:r w:rsidR="002E23A2" w:rsidRPr="00622F6C">
        <w:rPr>
          <w:rFonts w:ascii="Times New Roman" w:hAnsi="Times New Roman" w:cs="Times New Roman"/>
          <w:lang w:val="en-US"/>
        </w:rPr>
        <w:t>Modern Slavery Act;</w:t>
      </w:r>
      <w:r w:rsidRPr="00622F6C">
        <w:rPr>
          <w:rFonts w:ascii="Times New Roman" w:hAnsi="Times New Roman" w:cs="Times New Roman"/>
          <w:lang w:val="en-US"/>
        </w:rPr>
        <w:t xml:space="preserve"> </w:t>
      </w:r>
      <w:r w:rsidR="002E23A2" w:rsidRPr="00622F6C">
        <w:rPr>
          <w:rFonts w:ascii="Times New Roman" w:hAnsi="Times New Roman" w:cs="Times New Roman"/>
          <w:lang w:val="en-US"/>
        </w:rPr>
        <w:t xml:space="preserve">supply chain transparency; </w:t>
      </w:r>
      <w:r w:rsidRPr="00622F6C">
        <w:rPr>
          <w:rFonts w:ascii="Times New Roman" w:hAnsi="Times New Roman" w:cs="Times New Roman"/>
          <w:lang w:val="en-US"/>
        </w:rPr>
        <w:t>event stud</w:t>
      </w:r>
      <w:r w:rsidR="002E23A2" w:rsidRPr="00622F6C">
        <w:rPr>
          <w:rFonts w:ascii="Times New Roman" w:hAnsi="Times New Roman" w:cs="Times New Roman"/>
          <w:lang w:val="en-US"/>
        </w:rPr>
        <w:t>y; socially responsible sourcing;</w:t>
      </w:r>
      <w:r w:rsidRPr="00622F6C">
        <w:rPr>
          <w:rFonts w:ascii="Times New Roman" w:hAnsi="Times New Roman" w:cs="Times New Roman"/>
          <w:lang w:val="en-US"/>
        </w:rPr>
        <w:t xml:space="preserve"> </w:t>
      </w:r>
      <w:r w:rsidR="002E23A2" w:rsidRPr="00622F6C">
        <w:rPr>
          <w:rFonts w:ascii="Times New Roman" w:hAnsi="Times New Roman" w:cs="Times New Roman"/>
          <w:lang w:val="en-US"/>
        </w:rPr>
        <w:t xml:space="preserve">CSR </w:t>
      </w:r>
      <w:r w:rsidRPr="00622F6C">
        <w:rPr>
          <w:rFonts w:ascii="Times New Roman" w:hAnsi="Times New Roman" w:cs="Times New Roman"/>
          <w:lang w:val="en-US"/>
        </w:rPr>
        <w:t>disclosure</w:t>
      </w:r>
    </w:p>
    <w:p w14:paraId="1585C5C1" w14:textId="77777777" w:rsidR="00D7508E" w:rsidRPr="00622F6C" w:rsidRDefault="00D7508E" w:rsidP="00D7508E">
      <w:pPr>
        <w:spacing w:after="0" w:line="240" w:lineRule="auto"/>
        <w:jc w:val="center"/>
        <w:rPr>
          <w:rFonts w:ascii="Times New Roman" w:hAnsi="Times New Roman" w:cs="Times New Roman"/>
          <w:b/>
          <w:sz w:val="24"/>
          <w:szCs w:val="24"/>
          <w:lang w:val="en-US"/>
        </w:rPr>
      </w:pPr>
    </w:p>
    <w:p w14:paraId="48004498" w14:textId="77777777" w:rsidR="00D7508E" w:rsidRPr="003C6016" w:rsidRDefault="00D7508E" w:rsidP="00D7508E">
      <w:pPr>
        <w:spacing w:after="0" w:line="240" w:lineRule="auto"/>
        <w:rPr>
          <w:rFonts w:ascii="Times New Roman" w:hAnsi="Times New Roman" w:cs="Times New Roman"/>
          <w:lang w:val="en-US"/>
        </w:rPr>
      </w:pPr>
      <w:r w:rsidRPr="003C6016">
        <w:rPr>
          <w:rFonts w:ascii="Times New Roman" w:hAnsi="Times New Roman" w:cs="Times New Roman"/>
          <w:lang w:val="en-US"/>
        </w:rPr>
        <w:t xml:space="preserve">* Corresponding author. </w:t>
      </w:r>
    </w:p>
    <w:p w14:paraId="4D545FFF" w14:textId="08B9A780" w:rsidR="00D7508E" w:rsidRPr="003C6016" w:rsidRDefault="00D7508E" w:rsidP="00D7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en-US"/>
        </w:rPr>
      </w:pPr>
      <w:r w:rsidRPr="00F6665B">
        <w:rPr>
          <w:rFonts w:ascii="Times New Roman" w:eastAsia="Times New Roman" w:hAnsi="Times New Roman" w:cs="Times New Roman"/>
          <w:bCs/>
          <w:lang w:val="en-US"/>
        </w:rPr>
        <w:t xml:space="preserve">Paul D. Cousins, </w:t>
      </w:r>
      <w:r w:rsidR="008A5057" w:rsidRPr="00F6665B">
        <w:rPr>
          <w:rFonts w:ascii="Times New Roman" w:eastAsia="Times New Roman" w:hAnsi="Times New Roman" w:cs="Times New Roman"/>
          <w:bCs/>
          <w:lang w:val="en-US"/>
        </w:rPr>
        <w:t xml:space="preserve">School of </w:t>
      </w:r>
      <w:r w:rsidR="0003236B" w:rsidRPr="00F6665B">
        <w:rPr>
          <w:rFonts w:ascii="Times New Roman" w:eastAsia="Times New Roman" w:hAnsi="Times New Roman" w:cs="Times New Roman"/>
          <w:bCs/>
          <w:lang w:val="en-US"/>
        </w:rPr>
        <w:t>Management</w:t>
      </w:r>
      <w:r w:rsidR="008A5057" w:rsidRPr="00955DFE">
        <w:rPr>
          <w:rFonts w:ascii="Times New Roman" w:eastAsia="Times New Roman" w:hAnsi="Times New Roman" w:cs="Times New Roman"/>
          <w:bCs/>
          <w:lang w:val="en-US"/>
        </w:rPr>
        <w:t xml:space="preserve">, University of </w:t>
      </w:r>
      <w:r w:rsidR="0003236B" w:rsidRPr="00955DFE">
        <w:rPr>
          <w:rFonts w:ascii="Times New Roman" w:eastAsia="Times New Roman" w:hAnsi="Times New Roman" w:cs="Times New Roman"/>
          <w:bCs/>
          <w:lang w:val="en-US"/>
        </w:rPr>
        <w:t>Liverpool</w:t>
      </w:r>
      <w:r w:rsidR="008A5057" w:rsidRPr="00955DFE">
        <w:rPr>
          <w:rFonts w:ascii="Times New Roman" w:eastAsia="Times New Roman" w:hAnsi="Times New Roman" w:cs="Times New Roman"/>
          <w:bCs/>
          <w:lang w:val="en-US"/>
        </w:rPr>
        <w:t xml:space="preserve">, </w:t>
      </w:r>
      <w:r w:rsidR="0003236B" w:rsidRPr="00955DFE">
        <w:rPr>
          <w:rFonts w:ascii="Times New Roman" w:eastAsia="Times New Roman" w:hAnsi="Times New Roman" w:cs="Times New Roman"/>
          <w:bCs/>
          <w:lang w:val="en-US"/>
        </w:rPr>
        <w:t>Liverpool</w:t>
      </w:r>
      <w:r w:rsidR="008A5057" w:rsidRPr="00955DFE">
        <w:rPr>
          <w:rFonts w:ascii="Times New Roman" w:eastAsia="Times New Roman" w:hAnsi="Times New Roman" w:cs="Times New Roman"/>
          <w:bCs/>
          <w:lang w:val="en-US"/>
        </w:rPr>
        <w:t>, United Kingdom,</w:t>
      </w:r>
      <w:r w:rsidR="0003236B" w:rsidRPr="00955DFE">
        <w:rPr>
          <w:rFonts w:ascii="Times New Roman" w:eastAsia="Times New Roman" w:hAnsi="Times New Roman" w:cs="Times New Roman"/>
          <w:bCs/>
          <w:lang w:val="en-US"/>
        </w:rPr>
        <w:t xml:space="preserve"> </w:t>
      </w:r>
      <w:hyperlink r:id="rId8" w:history="1">
        <w:r w:rsidR="0003236B" w:rsidRPr="00955DFE">
          <w:rPr>
            <w:rFonts w:ascii="Times New Roman" w:hAnsi="Times New Roman" w:cs="Times New Roman"/>
          </w:rPr>
          <w:t>L69 7ZX</w:t>
        </w:r>
      </w:hyperlink>
      <w:r w:rsidR="008A5057" w:rsidRPr="003C6016">
        <w:rPr>
          <w:rFonts w:ascii="Times New Roman" w:eastAsia="Times New Roman" w:hAnsi="Times New Roman" w:cs="Times New Roman"/>
          <w:bCs/>
          <w:lang w:val="en-US"/>
        </w:rPr>
        <w:t>. Email: paul.cousins@</w:t>
      </w:r>
      <w:r w:rsidR="003C6016">
        <w:rPr>
          <w:rFonts w:ascii="Times New Roman" w:eastAsia="Times New Roman" w:hAnsi="Times New Roman" w:cs="Times New Roman"/>
          <w:bCs/>
          <w:lang w:val="en-US"/>
        </w:rPr>
        <w:t>liverpool</w:t>
      </w:r>
      <w:r w:rsidR="008A5057" w:rsidRPr="003C6016">
        <w:rPr>
          <w:rFonts w:ascii="Times New Roman" w:eastAsia="Times New Roman" w:hAnsi="Times New Roman" w:cs="Times New Roman"/>
          <w:bCs/>
          <w:lang w:val="en-US"/>
        </w:rPr>
        <w:t>.ac.uk.</w:t>
      </w:r>
      <w:r w:rsidRPr="003C6016">
        <w:rPr>
          <w:rFonts w:ascii="Times New Roman" w:eastAsia="Times New Roman" w:hAnsi="Times New Roman" w:cs="Times New Roman"/>
          <w:bCs/>
          <w:lang w:val="en-US"/>
        </w:rPr>
        <w:t xml:space="preserve"> </w:t>
      </w:r>
    </w:p>
    <w:p w14:paraId="38F39F3E" w14:textId="77777777" w:rsidR="00D7508E" w:rsidRPr="00622F6C" w:rsidRDefault="00D7508E" w:rsidP="00D7508E">
      <w:pPr>
        <w:spacing w:after="0" w:line="240" w:lineRule="auto"/>
        <w:jc w:val="center"/>
        <w:rPr>
          <w:rFonts w:ascii="Times New Roman" w:hAnsi="Times New Roman" w:cs="Times New Roman"/>
          <w:lang w:val="en-US"/>
        </w:rPr>
      </w:pPr>
    </w:p>
    <w:p w14:paraId="7530CCAF" w14:textId="01DCC0AB" w:rsidR="00D7508E" w:rsidRPr="00622F6C" w:rsidRDefault="009B23B3" w:rsidP="00D7508E">
      <w:pPr>
        <w:spacing w:after="0" w:line="240" w:lineRule="auto"/>
        <w:jc w:val="both"/>
        <w:rPr>
          <w:rFonts w:ascii="Times New Roman" w:hAnsi="Times New Roman" w:cs="Times New Roman"/>
          <w:lang w:val="en-US"/>
        </w:rPr>
      </w:pPr>
      <w:r w:rsidRPr="00622F6C">
        <w:rPr>
          <w:rFonts w:ascii="Times New Roman" w:hAnsi="Times New Roman" w:cs="Times New Roman"/>
          <w:b/>
          <w:lang w:val="en-US"/>
        </w:rPr>
        <w:t xml:space="preserve">Acknowledgements: </w:t>
      </w:r>
      <w:r w:rsidR="00D7508E" w:rsidRPr="00622F6C">
        <w:rPr>
          <w:rFonts w:ascii="Times New Roman" w:hAnsi="Times New Roman" w:cs="Times New Roman"/>
          <w:lang w:val="en-US"/>
        </w:rPr>
        <w:t xml:space="preserve">The authors thank Amedeo de Cesari, </w:t>
      </w:r>
      <w:r w:rsidR="004841B1">
        <w:rPr>
          <w:rFonts w:ascii="Times New Roman" w:hAnsi="Times New Roman" w:cs="Times New Roman"/>
          <w:lang w:val="en-US"/>
        </w:rPr>
        <w:t xml:space="preserve">Abe de Jong, </w:t>
      </w:r>
      <w:r w:rsidR="00D7508E" w:rsidRPr="00622F6C">
        <w:rPr>
          <w:rFonts w:ascii="Times New Roman" w:hAnsi="Times New Roman" w:cs="Times New Roman"/>
          <w:lang w:val="en-US"/>
        </w:rPr>
        <w:t xml:space="preserve">Ming Dong, </w:t>
      </w:r>
      <w:r w:rsidRPr="00622F6C">
        <w:rPr>
          <w:rFonts w:ascii="Times New Roman" w:hAnsi="Times New Roman" w:cs="Times New Roman"/>
          <w:lang w:val="en-US"/>
        </w:rPr>
        <w:t xml:space="preserve">Jas Kalra, </w:t>
      </w:r>
      <w:r w:rsidR="00D7508E" w:rsidRPr="00622F6C">
        <w:rPr>
          <w:rFonts w:ascii="Times New Roman" w:hAnsi="Times New Roman" w:cs="Times New Roman"/>
          <w:lang w:val="en-US"/>
        </w:rPr>
        <w:t>Maria Teresa</w:t>
      </w:r>
      <w:r w:rsidR="0074301A" w:rsidRPr="00622F6C">
        <w:rPr>
          <w:rFonts w:ascii="Times New Roman" w:hAnsi="Times New Roman" w:cs="Times New Roman"/>
          <w:lang w:val="en-US"/>
        </w:rPr>
        <w:t xml:space="preserve"> Marchica,</w:t>
      </w:r>
      <w:r w:rsidR="00205B17" w:rsidRPr="00622F6C">
        <w:rPr>
          <w:rFonts w:ascii="Times New Roman" w:hAnsi="Times New Roman" w:cs="Times New Roman"/>
          <w:lang w:val="en-US"/>
        </w:rPr>
        <w:t xml:space="preserve"> Brendan O’Dwyer,</w:t>
      </w:r>
      <w:r w:rsidR="00D7508E" w:rsidRPr="00622F6C">
        <w:rPr>
          <w:rFonts w:ascii="Times New Roman" w:hAnsi="Times New Roman" w:cs="Times New Roman"/>
          <w:lang w:val="en-US"/>
        </w:rPr>
        <w:t xml:space="preserve"> Norman Strong</w:t>
      </w:r>
      <w:r w:rsidR="0074301A" w:rsidRPr="00622F6C">
        <w:rPr>
          <w:rFonts w:ascii="Times New Roman" w:hAnsi="Times New Roman" w:cs="Times New Roman"/>
          <w:lang w:val="en-US"/>
        </w:rPr>
        <w:t xml:space="preserve">, </w:t>
      </w:r>
      <w:r w:rsidR="004841B1">
        <w:rPr>
          <w:rFonts w:ascii="Times New Roman" w:hAnsi="Times New Roman" w:cs="Times New Roman"/>
          <w:lang w:val="en-US"/>
        </w:rPr>
        <w:t xml:space="preserve">Chris Veld, </w:t>
      </w:r>
      <w:r w:rsidR="00073CEA">
        <w:rPr>
          <w:rFonts w:ascii="Times New Roman" w:hAnsi="Times New Roman" w:cs="Times New Roman"/>
          <w:lang w:val="en-US"/>
        </w:rPr>
        <w:t xml:space="preserve">Patrick Verwijmeren, </w:t>
      </w:r>
      <w:r w:rsidR="0074301A" w:rsidRPr="00622F6C">
        <w:rPr>
          <w:rFonts w:ascii="Times New Roman" w:hAnsi="Times New Roman" w:cs="Times New Roman"/>
          <w:lang w:val="en-US"/>
        </w:rPr>
        <w:t xml:space="preserve">as well as participants at </w:t>
      </w:r>
      <w:r w:rsidRPr="00622F6C">
        <w:rPr>
          <w:rFonts w:ascii="Times New Roman" w:hAnsi="Times New Roman" w:cs="Times New Roman"/>
          <w:lang w:val="en-US"/>
        </w:rPr>
        <w:t xml:space="preserve">research seminars at </w:t>
      </w:r>
      <w:r w:rsidR="009F5679">
        <w:rPr>
          <w:rFonts w:ascii="Times New Roman" w:hAnsi="Times New Roman" w:cs="Times New Roman"/>
          <w:lang w:val="en-US"/>
        </w:rPr>
        <w:t xml:space="preserve">the </w:t>
      </w:r>
      <w:r w:rsidRPr="00622F6C">
        <w:rPr>
          <w:rFonts w:ascii="Times New Roman" w:hAnsi="Times New Roman" w:cs="Times New Roman"/>
          <w:lang w:val="en-US"/>
        </w:rPr>
        <w:t xml:space="preserve">IESEG School of Management, Open University, University of Surrey, </w:t>
      </w:r>
      <w:r w:rsidR="00245CAE">
        <w:rPr>
          <w:rFonts w:ascii="Times New Roman" w:hAnsi="Times New Roman" w:cs="Times New Roman"/>
          <w:lang w:val="en-US"/>
        </w:rPr>
        <w:t xml:space="preserve">University of Oxford, </w:t>
      </w:r>
      <w:r w:rsidRPr="00622F6C">
        <w:rPr>
          <w:rFonts w:ascii="Times New Roman" w:hAnsi="Times New Roman" w:cs="Times New Roman"/>
          <w:lang w:val="en-US"/>
        </w:rPr>
        <w:t>Vlerick Business School</w:t>
      </w:r>
      <w:r w:rsidR="001708FE">
        <w:rPr>
          <w:rFonts w:ascii="Times New Roman" w:hAnsi="Times New Roman" w:cs="Times New Roman"/>
          <w:lang w:val="en-US"/>
        </w:rPr>
        <w:t>,</w:t>
      </w:r>
      <w:r w:rsidRPr="00622F6C">
        <w:rPr>
          <w:rFonts w:ascii="Times New Roman" w:hAnsi="Times New Roman" w:cs="Times New Roman"/>
          <w:lang w:val="en-US"/>
        </w:rPr>
        <w:t xml:space="preserve"> and </w:t>
      </w:r>
      <w:r w:rsidR="0074301A" w:rsidRPr="00622F6C">
        <w:rPr>
          <w:rFonts w:ascii="Times New Roman" w:hAnsi="Times New Roman" w:cs="Times New Roman"/>
          <w:lang w:val="en-US"/>
        </w:rPr>
        <w:t>the Paris Financial Management Conference</w:t>
      </w:r>
      <w:r w:rsidR="00D7508E" w:rsidRPr="00622F6C">
        <w:rPr>
          <w:rFonts w:ascii="Times New Roman" w:hAnsi="Times New Roman" w:cs="Times New Roman"/>
          <w:lang w:val="en-US"/>
        </w:rPr>
        <w:t xml:space="preserve"> for their </w:t>
      </w:r>
      <w:r w:rsidR="002A2BEC">
        <w:rPr>
          <w:rFonts w:ascii="Times New Roman" w:hAnsi="Times New Roman" w:cs="Times New Roman"/>
          <w:lang w:val="en-US"/>
        </w:rPr>
        <w:t xml:space="preserve">useful </w:t>
      </w:r>
      <w:r w:rsidR="00D7508E" w:rsidRPr="00622F6C">
        <w:rPr>
          <w:rFonts w:ascii="Times New Roman" w:hAnsi="Times New Roman" w:cs="Times New Roman"/>
          <w:lang w:val="en-US"/>
        </w:rPr>
        <w:t xml:space="preserve">comments and suggestions. </w:t>
      </w:r>
      <w:r w:rsidR="00A66950">
        <w:rPr>
          <w:rFonts w:ascii="Times New Roman" w:hAnsi="Times New Roman" w:cs="Times New Roman"/>
          <w:lang w:val="en-US"/>
        </w:rPr>
        <w:t>They would like to thank Anmol Arora for</w:t>
      </w:r>
      <w:r w:rsidR="00073CEA">
        <w:rPr>
          <w:rFonts w:ascii="Times New Roman" w:hAnsi="Times New Roman" w:cs="Times New Roman"/>
          <w:lang w:val="en-US"/>
        </w:rPr>
        <w:t xml:space="preserve"> his</w:t>
      </w:r>
      <w:r w:rsidR="00A66950">
        <w:rPr>
          <w:rFonts w:ascii="Times New Roman" w:hAnsi="Times New Roman" w:cs="Times New Roman"/>
          <w:lang w:val="en-US"/>
        </w:rPr>
        <w:t xml:space="preserve"> excellent </w:t>
      </w:r>
      <w:r w:rsidR="00226952">
        <w:rPr>
          <w:rFonts w:ascii="Times New Roman" w:hAnsi="Times New Roman" w:cs="Times New Roman"/>
          <w:lang w:val="en-US"/>
        </w:rPr>
        <w:t>help</w:t>
      </w:r>
      <w:r w:rsidR="00A66950">
        <w:rPr>
          <w:rFonts w:ascii="Times New Roman" w:hAnsi="Times New Roman" w:cs="Times New Roman"/>
          <w:lang w:val="en-US"/>
        </w:rPr>
        <w:t xml:space="preserve"> in </w:t>
      </w:r>
      <w:r w:rsidR="00226952">
        <w:rPr>
          <w:rFonts w:ascii="Times New Roman" w:hAnsi="Times New Roman" w:cs="Times New Roman"/>
          <w:lang w:val="en-US"/>
        </w:rPr>
        <w:t xml:space="preserve">downloading </w:t>
      </w:r>
      <w:r w:rsidR="000B4DA1">
        <w:rPr>
          <w:rFonts w:ascii="Times New Roman" w:hAnsi="Times New Roman" w:cs="Times New Roman"/>
          <w:lang w:val="en-US"/>
        </w:rPr>
        <w:t>contaminating announcements</w:t>
      </w:r>
      <w:r w:rsidR="00A66950">
        <w:rPr>
          <w:rFonts w:ascii="Times New Roman" w:hAnsi="Times New Roman" w:cs="Times New Roman"/>
          <w:lang w:val="en-US"/>
        </w:rPr>
        <w:t xml:space="preserve"> from Factiva. </w:t>
      </w:r>
      <w:r w:rsidR="0074301A" w:rsidRPr="00622F6C">
        <w:rPr>
          <w:rFonts w:ascii="Times New Roman" w:hAnsi="Times New Roman" w:cs="Times New Roman"/>
          <w:lang w:val="en-US"/>
        </w:rPr>
        <w:t>They would also like</w:t>
      </w:r>
      <w:r w:rsidR="00EC1E1A" w:rsidRPr="00622F6C">
        <w:rPr>
          <w:rFonts w:ascii="Times New Roman" w:hAnsi="Times New Roman" w:cs="Times New Roman"/>
          <w:lang w:val="en-US"/>
        </w:rPr>
        <w:t xml:space="preserve"> to thank</w:t>
      </w:r>
      <w:r w:rsidR="0074301A" w:rsidRPr="00622F6C">
        <w:rPr>
          <w:rFonts w:ascii="Times New Roman" w:hAnsi="Times New Roman" w:cs="Times New Roman"/>
          <w:lang w:val="en-US"/>
        </w:rPr>
        <w:t xml:space="preserve"> the following </w:t>
      </w:r>
      <w:r w:rsidR="00667210" w:rsidRPr="00622F6C">
        <w:rPr>
          <w:rFonts w:ascii="Times New Roman" w:hAnsi="Times New Roman" w:cs="Times New Roman"/>
          <w:lang w:val="en-US"/>
        </w:rPr>
        <w:t>practitioners</w:t>
      </w:r>
      <w:r w:rsidR="0074301A" w:rsidRPr="00622F6C">
        <w:rPr>
          <w:rFonts w:ascii="Times New Roman" w:hAnsi="Times New Roman" w:cs="Times New Roman"/>
          <w:lang w:val="en-US"/>
        </w:rPr>
        <w:t xml:space="preserve"> for their valuable insights: </w:t>
      </w:r>
      <w:r w:rsidRPr="00622F6C">
        <w:rPr>
          <w:rFonts w:ascii="Times New Roman" w:hAnsi="Times New Roman" w:cs="Times New Roman"/>
          <w:lang w:val="en-US"/>
        </w:rPr>
        <w:t>Patricia Carrier, Harrison Cooter, Matt Crossman, Michael Drewe, Richard Martin, Ita McMahon, Nicola Pike</w:t>
      </w:r>
      <w:r w:rsidR="00667210" w:rsidRPr="00622F6C">
        <w:rPr>
          <w:rFonts w:ascii="Times New Roman" w:hAnsi="Times New Roman" w:cs="Times New Roman"/>
          <w:lang w:val="en-US"/>
        </w:rPr>
        <w:t>, and Phil Reed</w:t>
      </w:r>
      <w:r w:rsidRPr="00622F6C">
        <w:rPr>
          <w:rFonts w:ascii="Times New Roman" w:hAnsi="Times New Roman" w:cs="Times New Roman"/>
          <w:lang w:val="en-US"/>
        </w:rPr>
        <w:t xml:space="preserve">. </w:t>
      </w:r>
      <w:r w:rsidR="006557EA">
        <w:rPr>
          <w:rFonts w:ascii="Times New Roman" w:hAnsi="Times New Roman" w:cs="Times New Roman"/>
          <w:lang w:val="en-US"/>
        </w:rPr>
        <w:t xml:space="preserve">Furthermore, they thank two anonymous referees, the Associate Editor, and the Editor for their very </w:t>
      </w:r>
      <w:r w:rsidR="00C86337">
        <w:rPr>
          <w:rFonts w:ascii="Times New Roman" w:hAnsi="Times New Roman" w:cs="Times New Roman"/>
          <w:lang w:val="en-US"/>
        </w:rPr>
        <w:t>useful</w:t>
      </w:r>
      <w:r w:rsidR="006557EA">
        <w:rPr>
          <w:rFonts w:ascii="Times New Roman" w:hAnsi="Times New Roman" w:cs="Times New Roman"/>
          <w:lang w:val="en-US"/>
        </w:rPr>
        <w:t xml:space="preserve"> comments. </w:t>
      </w:r>
    </w:p>
    <w:p w14:paraId="6C295A7F" w14:textId="77777777" w:rsidR="00D7508E" w:rsidRPr="00622F6C" w:rsidRDefault="00D7508E" w:rsidP="00D7508E">
      <w:pPr>
        <w:spacing w:after="0" w:line="240" w:lineRule="auto"/>
        <w:jc w:val="both"/>
        <w:rPr>
          <w:rFonts w:ascii="Times New Roman" w:hAnsi="Times New Roman" w:cs="Times New Roman"/>
          <w:lang w:val="en-US"/>
        </w:rPr>
      </w:pPr>
    </w:p>
    <w:p w14:paraId="09819CF9" w14:textId="77777777" w:rsidR="00D7508E" w:rsidRPr="00622F6C" w:rsidRDefault="009B23B3" w:rsidP="00D7508E">
      <w:pPr>
        <w:spacing w:after="0" w:line="240" w:lineRule="auto"/>
        <w:jc w:val="both"/>
        <w:rPr>
          <w:rFonts w:ascii="Times New Roman" w:hAnsi="Times New Roman" w:cs="Times New Roman"/>
          <w:b/>
          <w:lang w:val="en-US"/>
        </w:rPr>
      </w:pPr>
      <w:r w:rsidRPr="00622F6C">
        <w:rPr>
          <w:rFonts w:ascii="Times New Roman" w:hAnsi="Times New Roman" w:cs="Times New Roman"/>
          <w:b/>
          <w:lang w:val="en-US"/>
        </w:rPr>
        <w:t xml:space="preserve">Funding: </w:t>
      </w:r>
      <w:r w:rsidR="00D7508E" w:rsidRPr="00622F6C">
        <w:rPr>
          <w:rFonts w:ascii="Times New Roman" w:hAnsi="Times New Roman" w:cs="Times New Roman"/>
          <w:lang w:val="en-US"/>
        </w:rPr>
        <w:t>The authors gratefully acknowledge the support of The University of Manchester</w:t>
      </w:r>
      <w:r w:rsidR="00D976DF">
        <w:rPr>
          <w:rFonts w:ascii="Times New Roman" w:hAnsi="Times New Roman" w:cs="Times New Roman"/>
          <w:lang w:val="en-US"/>
        </w:rPr>
        <w:t>’s</w:t>
      </w:r>
      <w:r w:rsidR="00D7508E" w:rsidRPr="00622F6C">
        <w:rPr>
          <w:rFonts w:ascii="Times New Roman" w:hAnsi="Times New Roman" w:cs="Times New Roman"/>
          <w:lang w:val="en-US"/>
        </w:rPr>
        <w:t xml:space="preserve"> Faculty of Humanities Strategic Investment Fund</w:t>
      </w:r>
      <w:r w:rsidR="00A36310">
        <w:rPr>
          <w:rFonts w:ascii="Times New Roman" w:hAnsi="Times New Roman" w:cs="Times New Roman"/>
          <w:lang w:val="en-US"/>
        </w:rPr>
        <w:t>.</w:t>
      </w:r>
      <w:r w:rsidR="00D7508E" w:rsidRPr="00622F6C">
        <w:rPr>
          <w:rFonts w:ascii="Times New Roman" w:hAnsi="Times New Roman" w:cs="Times New Roman"/>
          <w:lang w:val="en-US"/>
        </w:rPr>
        <w:t xml:space="preserve"> </w:t>
      </w:r>
    </w:p>
    <w:p w14:paraId="4C6FA00C" w14:textId="77777777" w:rsidR="00B00DB9" w:rsidRPr="00622F6C" w:rsidRDefault="00B00DB9">
      <w:pPr>
        <w:rPr>
          <w:rFonts w:ascii="Times New Roman" w:hAnsi="Times New Roman" w:cs="Times New Roman"/>
          <w:lang w:val="en-US"/>
        </w:rPr>
      </w:pPr>
    </w:p>
    <w:p w14:paraId="715BD0E9" w14:textId="77777777" w:rsidR="001D10EC" w:rsidRPr="00622F6C" w:rsidRDefault="001D10EC">
      <w:pPr>
        <w:rPr>
          <w:rFonts w:ascii="Times New Roman" w:hAnsi="Times New Roman" w:cs="Times New Roman"/>
          <w:lang w:val="en-US"/>
        </w:rPr>
      </w:pPr>
      <w:r w:rsidRPr="00622F6C">
        <w:rPr>
          <w:rFonts w:ascii="Times New Roman" w:hAnsi="Times New Roman" w:cs="Times New Roman"/>
          <w:lang w:val="en-US"/>
        </w:rPr>
        <w:br w:type="page"/>
      </w:r>
    </w:p>
    <w:p w14:paraId="6A6A71B4" w14:textId="77777777" w:rsidR="00DA0AEB" w:rsidRPr="00622F6C" w:rsidRDefault="00DA0AEB" w:rsidP="00D7508E">
      <w:pPr>
        <w:spacing w:after="0" w:line="240" w:lineRule="auto"/>
        <w:rPr>
          <w:rFonts w:ascii="Times New Roman" w:hAnsi="Times New Roman" w:cs="Times New Roman"/>
          <w:lang w:val="en-US"/>
        </w:rPr>
        <w:sectPr w:rsidR="00DA0AEB" w:rsidRPr="00622F6C" w:rsidSect="00107077">
          <w:headerReference w:type="default" r:id="rId9"/>
          <w:type w:val="continuous"/>
          <w:pgSz w:w="11906" w:h="16838"/>
          <w:pgMar w:top="1440" w:right="1440" w:bottom="1440" w:left="1440" w:header="708" w:footer="708" w:gutter="0"/>
          <w:cols w:space="708"/>
          <w:docGrid w:linePitch="360"/>
        </w:sectPr>
      </w:pPr>
    </w:p>
    <w:p w14:paraId="1098F85C" w14:textId="77777777" w:rsidR="00DA0AEB" w:rsidRPr="00622F6C" w:rsidRDefault="00DA0AEB" w:rsidP="00D7508E">
      <w:pPr>
        <w:spacing w:after="0" w:line="240" w:lineRule="auto"/>
        <w:rPr>
          <w:rFonts w:ascii="Times New Roman" w:hAnsi="Times New Roman" w:cs="Times New Roman"/>
          <w:lang w:val="en-US"/>
        </w:rPr>
        <w:sectPr w:rsidR="00DA0AEB" w:rsidRPr="00622F6C" w:rsidSect="00DA0AEB">
          <w:headerReference w:type="default" r:id="rId10"/>
          <w:type w:val="continuous"/>
          <w:pgSz w:w="11906" w:h="16838"/>
          <w:pgMar w:top="1440" w:right="1440" w:bottom="1440" w:left="1440" w:header="708" w:footer="708" w:gutter="0"/>
          <w:pgNumType w:start="1"/>
          <w:cols w:space="708"/>
          <w:docGrid w:linePitch="360"/>
        </w:sectPr>
      </w:pPr>
    </w:p>
    <w:p w14:paraId="577C9F76" w14:textId="77777777" w:rsidR="006E6FAF" w:rsidRPr="00622F6C" w:rsidRDefault="006E6FAF" w:rsidP="006E6FAF">
      <w:pPr>
        <w:numPr>
          <w:ilvl w:val="0"/>
          <w:numId w:val="3"/>
        </w:numPr>
        <w:spacing w:line="480" w:lineRule="auto"/>
        <w:ind w:left="426" w:hanging="426"/>
        <w:contextualSpacing/>
        <w:rPr>
          <w:rFonts w:ascii="Times New Roman" w:hAnsi="Times New Roman" w:cs="Times New Roman"/>
          <w:b/>
          <w:lang w:val="en-US"/>
        </w:rPr>
      </w:pPr>
      <w:r w:rsidRPr="00622F6C">
        <w:rPr>
          <w:rFonts w:ascii="Times New Roman" w:hAnsi="Times New Roman" w:cs="Times New Roman"/>
          <w:b/>
          <w:lang w:val="en-US"/>
        </w:rPr>
        <w:t>Introduction</w:t>
      </w:r>
    </w:p>
    <w:p w14:paraId="62FE5AFD" w14:textId="77777777" w:rsidR="006E6FAF" w:rsidRPr="00622F6C" w:rsidRDefault="006E6FAF" w:rsidP="006E6FAF">
      <w:pPr>
        <w:spacing w:after="0" w:line="480" w:lineRule="auto"/>
        <w:jc w:val="both"/>
        <w:rPr>
          <w:rFonts w:ascii="Times New Roman" w:hAnsi="Times New Roman" w:cs="Times New Roman"/>
          <w:lang w:val="en-US"/>
        </w:rPr>
      </w:pPr>
      <w:r w:rsidRPr="00622F6C">
        <w:rPr>
          <w:rFonts w:ascii="Times New Roman" w:hAnsi="Times New Roman" w:cs="Times New Roman"/>
          <w:lang w:val="en-US"/>
        </w:rPr>
        <w:t xml:space="preserve">Modern slavery </w:t>
      </w:r>
      <w:r w:rsidR="004B5618" w:rsidRPr="00622F6C">
        <w:rPr>
          <w:rFonts w:ascii="Times New Roman" w:hAnsi="Times New Roman" w:cs="Times New Roman"/>
          <w:lang w:val="en-US"/>
        </w:rPr>
        <w:t xml:space="preserve">is </w:t>
      </w:r>
      <w:r w:rsidR="00A17057" w:rsidRPr="00622F6C">
        <w:rPr>
          <w:rFonts w:ascii="Times New Roman" w:hAnsi="Times New Roman" w:cs="Times New Roman"/>
          <w:lang w:val="en-US"/>
        </w:rPr>
        <w:t xml:space="preserve">a </w:t>
      </w:r>
      <w:r w:rsidRPr="00622F6C">
        <w:rPr>
          <w:rFonts w:ascii="Times New Roman" w:hAnsi="Times New Roman" w:cs="Times New Roman"/>
          <w:lang w:val="en-US"/>
        </w:rPr>
        <w:t xml:space="preserve">broad concept describing </w:t>
      </w:r>
      <w:r w:rsidR="0008299A" w:rsidRPr="00622F6C">
        <w:rPr>
          <w:rFonts w:ascii="Times New Roman" w:hAnsi="Times New Roman" w:cs="Times New Roman"/>
          <w:lang w:val="en-US"/>
        </w:rPr>
        <w:t xml:space="preserve">a </w:t>
      </w:r>
      <w:r w:rsidR="008333A3" w:rsidRPr="00622F6C">
        <w:rPr>
          <w:rFonts w:ascii="Times New Roman" w:hAnsi="Times New Roman" w:cs="Times New Roman"/>
          <w:lang w:val="en-US"/>
        </w:rPr>
        <w:t>set of disparate but related</w:t>
      </w:r>
      <w:r w:rsidRPr="00622F6C">
        <w:rPr>
          <w:rFonts w:ascii="Times New Roman" w:hAnsi="Times New Roman" w:cs="Times New Roman"/>
          <w:lang w:val="en-US"/>
        </w:rPr>
        <w:t xml:space="preserve"> offences of </w:t>
      </w:r>
      <w:r w:rsidR="00667210" w:rsidRPr="00622F6C">
        <w:rPr>
          <w:rFonts w:ascii="Times New Roman" w:hAnsi="Times New Roman" w:cs="Times New Roman"/>
          <w:lang w:val="en-US"/>
        </w:rPr>
        <w:t>slavery, servitude, forced labo</w:t>
      </w:r>
      <w:r w:rsidRPr="00622F6C">
        <w:rPr>
          <w:rFonts w:ascii="Times New Roman" w:hAnsi="Times New Roman" w:cs="Times New Roman"/>
          <w:lang w:val="en-US"/>
        </w:rPr>
        <w:t xml:space="preserve">r, and human trafficking (Haynes, 2016). People in modern slavery are ‘owned’ by their employers, deprived of their individual liberty, and often controlled with large recruitment debts </w:t>
      </w:r>
      <w:r w:rsidR="005A4B69" w:rsidRPr="00622F6C">
        <w:rPr>
          <w:rFonts w:ascii="Times New Roman" w:hAnsi="Times New Roman" w:cs="Times New Roman"/>
          <w:lang w:val="en-US"/>
        </w:rPr>
        <w:t xml:space="preserve">or threats of harm if they </w:t>
      </w:r>
      <w:r w:rsidR="001F70D1">
        <w:rPr>
          <w:rFonts w:ascii="Times New Roman" w:hAnsi="Times New Roman" w:cs="Times New Roman"/>
          <w:lang w:val="en-US"/>
        </w:rPr>
        <w:t xml:space="preserve">should </w:t>
      </w:r>
      <w:r w:rsidR="005A4B69" w:rsidRPr="00622F6C">
        <w:rPr>
          <w:rFonts w:ascii="Times New Roman" w:hAnsi="Times New Roman" w:cs="Times New Roman"/>
          <w:lang w:val="en-US"/>
        </w:rPr>
        <w:t>leave (</w:t>
      </w:r>
      <w:bookmarkStart w:id="5" w:name="_Hlk523925615"/>
      <w:r w:rsidR="001F70D1" w:rsidRPr="00622F6C">
        <w:rPr>
          <w:rFonts w:ascii="Times New Roman" w:eastAsia="Times New Roman" w:hAnsi="Times New Roman" w:cs="Times New Roman"/>
          <w:lang w:val="en-US"/>
        </w:rPr>
        <w:t>Chartered Institute of Procurement and Supply</w:t>
      </w:r>
      <w:r w:rsidR="001F70D1" w:rsidRPr="00622F6C">
        <w:rPr>
          <w:rFonts w:ascii="Times New Roman" w:hAnsi="Times New Roman" w:cs="Times New Roman"/>
          <w:lang w:val="en-US"/>
        </w:rPr>
        <w:t xml:space="preserve"> </w:t>
      </w:r>
      <w:r w:rsidR="001F70D1">
        <w:rPr>
          <w:rFonts w:ascii="Times New Roman" w:hAnsi="Times New Roman" w:cs="Times New Roman"/>
          <w:lang w:val="en-US"/>
        </w:rPr>
        <w:t>[</w:t>
      </w:r>
      <w:r w:rsidR="005A4B69" w:rsidRPr="00622F6C">
        <w:rPr>
          <w:rFonts w:ascii="Times New Roman" w:hAnsi="Times New Roman" w:cs="Times New Roman"/>
          <w:lang w:val="en-US"/>
        </w:rPr>
        <w:t>CIPS</w:t>
      </w:r>
      <w:r w:rsidR="001F70D1">
        <w:rPr>
          <w:rFonts w:ascii="Times New Roman" w:hAnsi="Times New Roman" w:cs="Times New Roman"/>
          <w:lang w:val="en-US"/>
        </w:rPr>
        <w:t>]</w:t>
      </w:r>
      <w:bookmarkEnd w:id="5"/>
      <w:r w:rsidR="008B6F0E" w:rsidRPr="00622F6C">
        <w:rPr>
          <w:rFonts w:ascii="Times New Roman" w:hAnsi="Times New Roman" w:cs="Times New Roman"/>
          <w:lang w:val="en-US"/>
        </w:rPr>
        <w:t xml:space="preserve"> and Walk Free Foundation</w:t>
      </w:r>
      <w:r w:rsidRPr="00622F6C">
        <w:rPr>
          <w:rFonts w:ascii="Times New Roman" w:hAnsi="Times New Roman" w:cs="Times New Roman"/>
          <w:lang w:val="en-US"/>
        </w:rPr>
        <w:t>, 201</w:t>
      </w:r>
      <w:r w:rsidR="005A4B69" w:rsidRPr="00622F6C">
        <w:rPr>
          <w:rFonts w:ascii="Times New Roman" w:hAnsi="Times New Roman" w:cs="Times New Roman"/>
          <w:lang w:val="en-US"/>
        </w:rPr>
        <w:t>3</w:t>
      </w:r>
      <w:r w:rsidR="004C77D3" w:rsidRPr="00622F6C">
        <w:rPr>
          <w:rFonts w:ascii="Times New Roman" w:hAnsi="Times New Roman" w:cs="Times New Roman"/>
          <w:lang w:val="en-US"/>
        </w:rPr>
        <w:t>). Conservative e</w:t>
      </w:r>
      <w:r w:rsidRPr="00622F6C">
        <w:rPr>
          <w:rFonts w:ascii="Times New Roman" w:hAnsi="Times New Roman" w:cs="Times New Roman"/>
          <w:lang w:val="en-US"/>
        </w:rPr>
        <w:t>stimates suggest</w:t>
      </w:r>
      <w:r w:rsidR="004C77D3" w:rsidRPr="00622F6C">
        <w:rPr>
          <w:rFonts w:ascii="Times New Roman" w:hAnsi="Times New Roman" w:cs="Times New Roman"/>
          <w:lang w:val="en-US"/>
        </w:rPr>
        <w:t xml:space="preserve"> that</w:t>
      </w:r>
      <w:r w:rsidR="00D110C1" w:rsidRPr="00622F6C">
        <w:rPr>
          <w:rFonts w:ascii="Times New Roman" w:hAnsi="Times New Roman" w:cs="Times New Roman"/>
          <w:lang w:val="en-US"/>
        </w:rPr>
        <w:t xml:space="preserve">, </w:t>
      </w:r>
      <w:r w:rsidR="004C77D3" w:rsidRPr="00622F6C">
        <w:rPr>
          <w:rFonts w:ascii="Times New Roman" w:hAnsi="Times New Roman" w:cs="Times New Roman"/>
          <w:lang w:val="en-US"/>
        </w:rPr>
        <w:t xml:space="preserve">on any given day in 2016, 40.3 million people worldwide were </w:t>
      </w:r>
      <w:r w:rsidR="00202440" w:rsidRPr="00622F6C">
        <w:rPr>
          <w:rFonts w:ascii="Times New Roman" w:hAnsi="Times New Roman" w:cs="Times New Roman"/>
          <w:lang w:val="en-US"/>
        </w:rPr>
        <w:t>victims of modern slavery</w:t>
      </w:r>
      <w:r w:rsidR="004C77D3" w:rsidRPr="00622F6C">
        <w:rPr>
          <w:rFonts w:ascii="Times New Roman" w:hAnsi="Times New Roman" w:cs="Times New Roman"/>
          <w:lang w:val="en-US"/>
        </w:rPr>
        <w:t xml:space="preserve"> (</w:t>
      </w:r>
      <w:bookmarkStart w:id="6" w:name="_Hlk523925728"/>
      <w:r w:rsidR="001F70D1" w:rsidRPr="00622F6C">
        <w:rPr>
          <w:rFonts w:ascii="Times New Roman" w:hAnsi="Times New Roman" w:cs="Times New Roman"/>
          <w:shd w:val="clear" w:color="auto" w:fill="FFFFFF"/>
          <w:lang w:val="en-US"/>
        </w:rPr>
        <w:t>International Labour Organization</w:t>
      </w:r>
      <w:r w:rsidR="001F70D1">
        <w:rPr>
          <w:rFonts w:ascii="Times New Roman" w:hAnsi="Times New Roman" w:cs="Times New Roman"/>
          <w:shd w:val="clear" w:color="auto" w:fill="FFFFFF"/>
          <w:lang w:val="en-US"/>
        </w:rPr>
        <w:t xml:space="preserve"> [</w:t>
      </w:r>
      <w:r w:rsidR="004C77D3" w:rsidRPr="00622F6C">
        <w:rPr>
          <w:rFonts w:ascii="Times New Roman" w:hAnsi="Times New Roman" w:cs="Times New Roman"/>
          <w:lang w:val="en-US"/>
        </w:rPr>
        <w:t>ILO</w:t>
      </w:r>
      <w:r w:rsidR="001F70D1">
        <w:rPr>
          <w:rFonts w:ascii="Times New Roman" w:hAnsi="Times New Roman" w:cs="Times New Roman"/>
          <w:lang w:val="en-US"/>
        </w:rPr>
        <w:t>]</w:t>
      </w:r>
      <w:bookmarkEnd w:id="6"/>
      <w:r w:rsidR="004C77D3" w:rsidRPr="00622F6C">
        <w:rPr>
          <w:rFonts w:ascii="Times New Roman" w:hAnsi="Times New Roman" w:cs="Times New Roman"/>
          <w:lang w:val="en-US"/>
        </w:rPr>
        <w:t xml:space="preserve"> </w:t>
      </w:r>
      <w:r w:rsidR="00202440" w:rsidRPr="00622F6C">
        <w:rPr>
          <w:rFonts w:ascii="Times New Roman" w:hAnsi="Times New Roman" w:cs="Times New Roman"/>
          <w:lang w:val="en-US"/>
        </w:rPr>
        <w:t>and Walk Free Foundation, 2017), with profits obtai</w:t>
      </w:r>
      <w:r w:rsidR="00667210" w:rsidRPr="00622F6C">
        <w:rPr>
          <w:rFonts w:ascii="Times New Roman" w:hAnsi="Times New Roman" w:cs="Times New Roman"/>
          <w:lang w:val="en-US"/>
        </w:rPr>
        <w:t>ned from the use of forced labo</w:t>
      </w:r>
      <w:r w:rsidR="00202440" w:rsidRPr="00622F6C">
        <w:rPr>
          <w:rFonts w:ascii="Times New Roman" w:hAnsi="Times New Roman" w:cs="Times New Roman"/>
          <w:lang w:val="en-US"/>
        </w:rPr>
        <w:t xml:space="preserve">r in the private economy amounting to </w:t>
      </w:r>
      <w:bookmarkStart w:id="7" w:name="_Hlk523925716"/>
      <w:r w:rsidR="00202440" w:rsidRPr="00622F6C">
        <w:rPr>
          <w:rFonts w:ascii="Times New Roman" w:hAnsi="Times New Roman" w:cs="Times New Roman"/>
          <w:lang w:val="en-US"/>
        </w:rPr>
        <w:t xml:space="preserve">$150 billion </w:t>
      </w:r>
      <w:bookmarkEnd w:id="7"/>
      <w:r w:rsidR="00202440" w:rsidRPr="00622F6C">
        <w:rPr>
          <w:rFonts w:ascii="Times New Roman" w:hAnsi="Times New Roman" w:cs="Times New Roman"/>
          <w:lang w:val="en-US"/>
        </w:rPr>
        <w:t>a year (ILO</w:t>
      </w:r>
      <w:r w:rsidR="0041144E" w:rsidRPr="00622F6C">
        <w:rPr>
          <w:rFonts w:ascii="Times New Roman" w:hAnsi="Times New Roman" w:cs="Times New Roman"/>
          <w:lang w:val="en-US"/>
        </w:rPr>
        <w:t>,</w:t>
      </w:r>
      <w:r w:rsidR="00202440" w:rsidRPr="00622F6C">
        <w:rPr>
          <w:rFonts w:ascii="Times New Roman" w:hAnsi="Times New Roman" w:cs="Times New Roman"/>
          <w:lang w:val="en-US"/>
        </w:rPr>
        <w:t xml:space="preserve"> 2014).</w:t>
      </w:r>
      <w:r w:rsidR="004C77D3" w:rsidRPr="00622F6C">
        <w:rPr>
          <w:rFonts w:ascii="Times New Roman" w:hAnsi="Times New Roman" w:cs="Times New Roman"/>
          <w:lang w:val="en-US"/>
        </w:rPr>
        <w:t xml:space="preserve"> </w:t>
      </w:r>
      <w:r w:rsidRPr="00622F6C">
        <w:rPr>
          <w:rFonts w:ascii="Times New Roman" w:hAnsi="Times New Roman" w:cs="Times New Roman"/>
          <w:lang w:val="en-US"/>
        </w:rPr>
        <w:t>Scandals involving multinational corporations sourcing products m</w:t>
      </w:r>
      <w:r w:rsidR="00EE3125" w:rsidRPr="00622F6C">
        <w:rPr>
          <w:rFonts w:ascii="Times New Roman" w:hAnsi="Times New Roman" w:cs="Times New Roman"/>
          <w:lang w:val="en-US"/>
        </w:rPr>
        <w:t>ade with the use of forced labo</w:t>
      </w:r>
      <w:r w:rsidRPr="00622F6C">
        <w:rPr>
          <w:rFonts w:ascii="Times New Roman" w:hAnsi="Times New Roman" w:cs="Times New Roman"/>
          <w:lang w:val="en-US"/>
        </w:rPr>
        <w:t xml:space="preserve">r have featured frequently and prominently in the popular press. For example, in 2014 it emerged that high-profile companies such as </w:t>
      </w:r>
      <w:r w:rsidR="00411DFF" w:rsidRPr="00622F6C">
        <w:rPr>
          <w:rFonts w:ascii="Times New Roman" w:hAnsi="Times New Roman" w:cs="Times New Roman"/>
          <w:lang w:val="en-US"/>
        </w:rPr>
        <w:t xml:space="preserve">Walmart and </w:t>
      </w:r>
      <w:r w:rsidRPr="00622F6C">
        <w:rPr>
          <w:rFonts w:ascii="Times New Roman" w:hAnsi="Times New Roman" w:cs="Times New Roman"/>
          <w:lang w:val="en-US"/>
        </w:rPr>
        <w:t>Tesco had purchased prawns from a Thai company that relied on fishing boats manned by slaves for its fish</w:t>
      </w:r>
      <w:r w:rsidR="00FD534E" w:rsidRPr="00622F6C">
        <w:rPr>
          <w:rFonts w:ascii="Times New Roman" w:hAnsi="Times New Roman" w:cs="Times New Roman"/>
          <w:lang w:val="en-US"/>
        </w:rPr>
        <w:t xml:space="preserve">meal supply (Gentleman, 2015). </w:t>
      </w:r>
    </w:p>
    <w:p w14:paraId="52F5960B" w14:textId="70D24AA2" w:rsidR="00D016C0" w:rsidRPr="00622F6C" w:rsidRDefault="006E6FAF" w:rsidP="00D016C0">
      <w:pPr>
        <w:spacing w:after="0" w:line="480" w:lineRule="auto"/>
        <w:ind w:firstLine="426"/>
        <w:jc w:val="both"/>
        <w:rPr>
          <w:rFonts w:ascii="Times New Roman" w:eastAsia="Times New Roman" w:hAnsi="Times New Roman" w:cs="Times New Roman"/>
          <w:lang w:val="en-US" w:eastAsia="en-GB"/>
        </w:rPr>
      </w:pPr>
      <w:r w:rsidRPr="00622F6C">
        <w:rPr>
          <w:rFonts w:ascii="Times New Roman" w:hAnsi="Times New Roman" w:cs="Times New Roman"/>
          <w:lang w:val="en-US"/>
        </w:rPr>
        <w:t xml:space="preserve">Against this backdrop, </w:t>
      </w:r>
      <w:r w:rsidR="00411DFF" w:rsidRPr="00622F6C">
        <w:rPr>
          <w:rFonts w:ascii="Times New Roman" w:hAnsi="Times New Roman" w:cs="Times New Roman"/>
          <w:lang w:val="en-US"/>
        </w:rPr>
        <w:t xml:space="preserve">in March 2015 </w:t>
      </w:r>
      <w:r w:rsidRPr="00622F6C">
        <w:rPr>
          <w:rFonts w:ascii="Times New Roman" w:hAnsi="Times New Roman" w:cs="Times New Roman"/>
          <w:lang w:val="en-US"/>
        </w:rPr>
        <w:t xml:space="preserve">the </w:t>
      </w:r>
      <w:bookmarkStart w:id="8" w:name="_Hlk523925815"/>
      <w:r w:rsidRPr="00622F6C">
        <w:rPr>
          <w:rFonts w:ascii="Times New Roman" w:hAnsi="Times New Roman" w:cs="Times New Roman"/>
          <w:lang w:val="en-US"/>
        </w:rPr>
        <w:t>U</w:t>
      </w:r>
      <w:r w:rsidR="00973D26" w:rsidRPr="00622F6C">
        <w:rPr>
          <w:rFonts w:ascii="Times New Roman" w:hAnsi="Times New Roman" w:cs="Times New Roman"/>
          <w:lang w:val="en-US"/>
        </w:rPr>
        <w:t>nited Kingdom (UK)</w:t>
      </w:r>
      <w:bookmarkEnd w:id="8"/>
      <w:r w:rsidR="00973D26" w:rsidRPr="00622F6C">
        <w:rPr>
          <w:rFonts w:ascii="Times New Roman" w:hAnsi="Times New Roman" w:cs="Times New Roman"/>
          <w:lang w:val="en-US"/>
        </w:rPr>
        <w:t xml:space="preserve"> </w:t>
      </w:r>
      <w:r w:rsidRPr="00622F6C">
        <w:rPr>
          <w:rFonts w:ascii="Times New Roman" w:hAnsi="Times New Roman" w:cs="Times New Roman"/>
          <w:lang w:val="en-US"/>
        </w:rPr>
        <w:t xml:space="preserve">passed the Modern Slavery Act </w:t>
      </w:r>
      <w:r w:rsidR="003C6016">
        <w:rPr>
          <w:rFonts w:ascii="Times New Roman" w:hAnsi="Times New Roman" w:cs="Times New Roman"/>
          <w:lang w:val="en-US"/>
        </w:rPr>
        <w:t xml:space="preserve">2015 </w:t>
      </w:r>
      <w:r w:rsidRPr="00622F6C">
        <w:rPr>
          <w:rFonts w:ascii="Times New Roman" w:hAnsi="Times New Roman" w:cs="Times New Roman"/>
          <w:lang w:val="en-US"/>
        </w:rPr>
        <w:t>(</w:t>
      </w:r>
      <w:r w:rsidR="003C6016">
        <w:rPr>
          <w:rFonts w:ascii="Times New Roman" w:hAnsi="Times New Roman" w:cs="Times New Roman"/>
          <w:lang w:val="en-US"/>
        </w:rPr>
        <w:t xml:space="preserve">henceforth </w:t>
      </w:r>
      <w:r w:rsidR="0040210E" w:rsidRPr="00622F6C">
        <w:rPr>
          <w:rFonts w:ascii="Times New Roman" w:hAnsi="Times New Roman" w:cs="Times New Roman"/>
          <w:lang w:val="en-US"/>
        </w:rPr>
        <w:t>MSA</w:t>
      </w:r>
      <w:r w:rsidRPr="00622F6C">
        <w:rPr>
          <w:rFonts w:ascii="Times New Roman" w:hAnsi="Times New Roman" w:cs="Times New Roman"/>
          <w:lang w:val="en-US"/>
        </w:rPr>
        <w:t xml:space="preserve">), the first law of its kind in Europe. </w:t>
      </w:r>
      <w:r w:rsidR="0040210E" w:rsidRPr="00622F6C">
        <w:rPr>
          <w:rFonts w:ascii="Times New Roman" w:hAnsi="Times New Roman" w:cs="Times New Roman"/>
          <w:lang w:val="en-US"/>
        </w:rPr>
        <w:t xml:space="preserve">Section 54 of the MSA, entitled </w:t>
      </w:r>
      <w:bookmarkStart w:id="9" w:name="_Hlk523925855"/>
      <w:r w:rsidR="0040210E" w:rsidRPr="00622F6C">
        <w:rPr>
          <w:rFonts w:ascii="Times New Roman" w:hAnsi="Times New Roman" w:cs="Times New Roman"/>
          <w:lang w:val="en-US"/>
        </w:rPr>
        <w:t xml:space="preserve">‘Transparency in </w:t>
      </w:r>
      <w:r w:rsidR="00D86194">
        <w:rPr>
          <w:rFonts w:ascii="Times New Roman" w:hAnsi="Times New Roman" w:cs="Times New Roman"/>
          <w:lang w:val="en-US"/>
        </w:rPr>
        <w:t>S</w:t>
      </w:r>
      <w:r w:rsidR="0040210E" w:rsidRPr="00622F6C">
        <w:rPr>
          <w:rFonts w:ascii="Times New Roman" w:hAnsi="Times New Roman" w:cs="Times New Roman"/>
          <w:lang w:val="en-US"/>
        </w:rPr>
        <w:t xml:space="preserve">upply </w:t>
      </w:r>
      <w:r w:rsidR="00D86194">
        <w:rPr>
          <w:rFonts w:ascii="Times New Roman" w:hAnsi="Times New Roman" w:cs="Times New Roman"/>
          <w:lang w:val="en-US"/>
        </w:rPr>
        <w:t>C</w:t>
      </w:r>
      <w:r w:rsidR="0040210E" w:rsidRPr="00622F6C">
        <w:rPr>
          <w:rFonts w:ascii="Times New Roman" w:hAnsi="Times New Roman" w:cs="Times New Roman"/>
          <w:lang w:val="en-US"/>
        </w:rPr>
        <w:t>hains, etc.’ (TISC)</w:t>
      </w:r>
      <w:bookmarkEnd w:id="9"/>
      <w:r w:rsidR="00A0349F">
        <w:rPr>
          <w:rFonts w:ascii="Times New Roman" w:hAnsi="Times New Roman" w:cs="Times New Roman"/>
          <w:lang w:val="en-US"/>
        </w:rPr>
        <w:t>,</w:t>
      </w:r>
      <w:r w:rsidR="0040210E" w:rsidRPr="00622F6C">
        <w:rPr>
          <w:rFonts w:ascii="Times New Roman" w:hAnsi="Times New Roman" w:cs="Times New Roman"/>
          <w:lang w:val="en-US"/>
        </w:rPr>
        <w:t xml:space="preserve"> is the </w:t>
      </w:r>
      <w:r w:rsidR="007E30C2" w:rsidRPr="00622F6C">
        <w:rPr>
          <w:rFonts w:ascii="Times New Roman" w:hAnsi="Times New Roman" w:cs="Times New Roman"/>
          <w:lang w:val="en-US"/>
        </w:rPr>
        <w:t>MSA</w:t>
      </w:r>
      <w:r w:rsidR="0040210E" w:rsidRPr="00622F6C">
        <w:rPr>
          <w:rFonts w:ascii="Times New Roman" w:hAnsi="Times New Roman" w:cs="Times New Roman"/>
          <w:lang w:val="en-US"/>
        </w:rPr>
        <w:t xml:space="preserve">’s only provision that explicitly addresses the private sector. The TISC clause </w:t>
      </w:r>
      <w:r w:rsidR="007113D0" w:rsidRPr="00622F6C">
        <w:rPr>
          <w:rFonts w:ascii="Times New Roman" w:hAnsi="Times New Roman" w:cs="Times New Roman"/>
          <w:lang w:val="en-US"/>
        </w:rPr>
        <w:t>places</w:t>
      </w:r>
      <w:r w:rsidRPr="00622F6C">
        <w:rPr>
          <w:rFonts w:ascii="Times New Roman" w:hAnsi="Times New Roman" w:cs="Times New Roman"/>
          <w:lang w:val="en-US"/>
        </w:rPr>
        <w:t xml:space="preserve"> new reporting requirements on firms with a total global annual turnover of </w:t>
      </w:r>
      <w:r w:rsidR="00667210" w:rsidRPr="00622F6C">
        <w:rPr>
          <w:rFonts w:ascii="Times New Roman" w:hAnsi="Times New Roman" w:cs="Times New Roman"/>
          <w:lang w:val="en-US"/>
        </w:rPr>
        <w:t xml:space="preserve">at least </w:t>
      </w:r>
      <w:bookmarkStart w:id="10" w:name="_Hlk523925934"/>
      <w:r w:rsidRPr="00622F6C">
        <w:rPr>
          <w:rFonts w:ascii="Times New Roman" w:hAnsi="Times New Roman" w:cs="Times New Roman"/>
          <w:lang w:val="en-US"/>
        </w:rPr>
        <w:t>£36</w:t>
      </w:r>
      <w:r w:rsidR="006E0DBC">
        <w:rPr>
          <w:rFonts w:ascii="Times New Roman" w:hAnsi="Times New Roman" w:cs="Times New Roman"/>
          <w:lang w:val="en-US"/>
        </w:rPr>
        <w:t xml:space="preserve"> </w:t>
      </w:r>
      <w:r w:rsidRPr="00622F6C">
        <w:rPr>
          <w:rFonts w:ascii="Times New Roman" w:hAnsi="Times New Roman" w:cs="Times New Roman"/>
          <w:lang w:val="en-US"/>
        </w:rPr>
        <w:t>m</w:t>
      </w:r>
      <w:r w:rsidR="006E0DBC">
        <w:rPr>
          <w:rFonts w:ascii="Times New Roman" w:hAnsi="Times New Roman" w:cs="Times New Roman"/>
          <w:lang w:val="en-US"/>
        </w:rPr>
        <w:t>illion</w:t>
      </w:r>
      <w:bookmarkEnd w:id="10"/>
      <w:r w:rsidRPr="00622F6C">
        <w:rPr>
          <w:rFonts w:ascii="Times New Roman" w:hAnsi="Times New Roman" w:cs="Times New Roman"/>
          <w:lang w:val="en-US"/>
        </w:rPr>
        <w:t xml:space="preserve"> that conduct (part of) their business in the UK. In particular, </w:t>
      </w:r>
      <w:r w:rsidR="00D80496">
        <w:rPr>
          <w:rFonts w:ascii="Times New Roman" w:hAnsi="Times New Roman" w:cs="Times New Roman"/>
          <w:lang w:val="en-US"/>
        </w:rPr>
        <w:t>it</w:t>
      </w:r>
      <w:r w:rsidRPr="00622F6C">
        <w:rPr>
          <w:rFonts w:ascii="Times New Roman" w:hAnsi="Times New Roman" w:cs="Times New Roman"/>
          <w:lang w:val="en-US"/>
        </w:rPr>
        <w:t xml:space="preserve"> requires the production of an annual slavery and </w:t>
      </w:r>
      <w:bookmarkStart w:id="11" w:name="_Hlk5258962"/>
      <w:r w:rsidRPr="00622F6C">
        <w:rPr>
          <w:rFonts w:ascii="Times New Roman" w:hAnsi="Times New Roman" w:cs="Times New Roman"/>
          <w:lang w:val="en-US"/>
        </w:rPr>
        <w:t xml:space="preserve">human trafficking </w:t>
      </w:r>
      <w:bookmarkEnd w:id="11"/>
      <w:r w:rsidRPr="00622F6C">
        <w:rPr>
          <w:rFonts w:ascii="Times New Roman" w:hAnsi="Times New Roman" w:cs="Times New Roman"/>
          <w:lang w:val="en-US"/>
        </w:rPr>
        <w:t>statement describing the actions the firm has taken that year to identify and eradicate modern slavery from its business and supply chain</w:t>
      </w:r>
      <w:r w:rsidR="00547165" w:rsidRPr="00622F6C">
        <w:rPr>
          <w:rFonts w:ascii="Times New Roman" w:hAnsi="Times New Roman" w:cs="Times New Roman"/>
          <w:lang w:val="en-US"/>
        </w:rPr>
        <w:t xml:space="preserve"> (</w:t>
      </w:r>
      <w:r w:rsidR="006C5322" w:rsidRPr="00622F6C">
        <w:rPr>
          <w:rFonts w:ascii="Times New Roman" w:hAnsi="Times New Roman" w:cs="Times New Roman"/>
          <w:lang w:val="en-US"/>
        </w:rPr>
        <w:t>MSA</w:t>
      </w:r>
      <w:r w:rsidR="00547165" w:rsidRPr="00622F6C">
        <w:rPr>
          <w:rFonts w:ascii="Times New Roman" w:hAnsi="Times New Roman" w:cs="Times New Roman"/>
          <w:lang w:val="en-US"/>
        </w:rPr>
        <w:t>, 2015a</w:t>
      </w:r>
      <w:r w:rsidR="00B32E69" w:rsidRPr="00622F6C">
        <w:rPr>
          <w:rFonts w:ascii="Times New Roman" w:hAnsi="Times New Roman" w:cs="Times New Roman"/>
          <w:lang w:val="en-US"/>
        </w:rPr>
        <w:t>)</w:t>
      </w:r>
      <w:r w:rsidRPr="00622F6C">
        <w:rPr>
          <w:rFonts w:ascii="Times New Roman" w:hAnsi="Times New Roman" w:cs="Times New Roman"/>
          <w:lang w:val="en-US"/>
        </w:rPr>
        <w:t xml:space="preserve">. The </w:t>
      </w:r>
      <w:bookmarkStart w:id="12" w:name="_Hlk5258997"/>
      <w:r w:rsidR="00E025EC" w:rsidRPr="00622F6C">
        <w:rPr>
          <w:rFonts w:ascii="Times New Roman" w:hAnsi="Times New Roman" w:cs="Times New Roman"/>
          <w:lang w:val="en-US"/>
        </w:rPr>
        <w:t>UK G</w:t>
      </w:r>
      <w:r w:rsidRPr="00622F6C">
        <w:rPr>
          <w:rFonts w:ascii="Times New Roman" w:hAnsi="Times New Roman" w:cs="Times New Roman"/>
          <w:lang w:val="en-US"/>
        </w:rPr>
        <w:t xml:space="preserve">overnment’s </w:t>
      </w:r>
      <w:bookmarkEnd w:id="12"/>
      <w:r w:rsidR="002B0736" w:rsidRPr="00622F6C">
        <w:rPr>
          <w:rFonts w:ascii="Times New Roman" w:hAnsi="Times New Roman" w:cs="Times New Roman"/>
          <w:lang w:val="en-US"/>
        </w:rPr>
        <w:t xml:space="preserve">stated </w:t>
      </w:r>
      <w:r w:rsidRPr="00622F6C">
        <w:rPr>
          <w:rFonts w:ascii="Times New Roman" w:hAnsi="Times New Roman" w:cs="Times New Roman"/>
          <w:lang w:val="en-US"/>
        </w:rPr>
        <w:t xml:space="preserve">intent </w:t>
      </w:r>
      <w:r w:rsidR="00112F21" w:rsidRPr="00622F6C">
        <w:rPr>
          <w:rFonts w:ascii="Times New Roman" w:hAnsi="Times New Roman" w:cs="Times New Roman"/>
          <w:lang w:val="en-US"/>
        </w:rPr>
        <w:t>for</w:t>
      </w:r>
      <w:r w:rsidRPr="00622F6C">
        <w:rPr>
          <w:rFonts w:ascii="Times New Roman" w:hAnsi="Times New Roman" w:cs="Times New Roman"/>
          <w:lang w:val="en-US"/>
        </w:rPr>
        <w:t xml:space="preserve"> the TISC clause is </w:t>
      </w:r>
      <w:r w:rsidR="00112F21" w:rsidRPr="00622F6C">
        <w:rPr>
          <w:rFonts w:ascii="Times New Roman" w:hAnsi="Times New Roman" w:cs="Times New Roman"/>
          <w:lang w:val="en-US"/>
        </w:rPr>
        <w:t>“</w:t>
      </w:r>
      <w:r w:rsidR="00112F21" w:rsidRPr="00622F6C">
        <w:rPr>
          <w:rFonts w:ascii="Times New Roman" w:hAnsi="Times New Roman" w:cs="Times New Roman"/>
          <w:i/>
          <w:lang w:val="en-US"/>
        </w:rPr>
        <w:t xml:space="preserve">to </w:t>
      </w:r>
      <w:r w:rsidRPr="00622F6C">
        <w:rPr>
          <w:rFonts w:ascii="Times New Roman" w:hAnsi="Times New Roman" w:cs="Times New Roman"/>
          <w:i/>
          <w:lang w:val="en-US"/>
        </w:rPr>
        <w:t>make it absolutely transparent what action a busin</w:t>
      </w:r>
      <w:r w:rsidR="008333A3" w:rsidRPr="00622F6C">
        <w:rPr>
          <w:rFonts w:ascii="Times New Roman" w:hAnsi="Times New Roman" w:cs="Times New Roman"/>
          <w:i/>
          <w:lang w:val="en-US"/>
        </w:rPr>
        <w:t>ess is or is not taking and (…)</w:t>
      </w:r>
      <w:r w:rsidRPr="00622F6C">
        <w:rPr>
          <w:rFonts w:ascii="Times New Roman" w:hAnsi="Times New Roman" w:cs="Times New Roman"/>
          <w:i/>
          <w:lang w:val="en-US"/>
        </w:rPr>
        <w:t xml:space="preserve"> allow investors, consumers and the general public to decide who they should and should not do business with</w:t>
      </w:r>
      <w:r w:rsidRPr="00622F6C">
        <w:rPr>
          <w:rFonts w:ascii="Times New Roman" w:hAnsi="Times New Roman" w:cs="Times New Roman"/>
          <w:lang w:val="en-US"/>
        </w:rPr>
        <w:t>”</w:t>
      </w:r>
      <w:r w:rsidR="009C0889" w:rsidRPr="00622F6C">
        <w:rPr>
          <w:rFonts w:ascii="Times New Roman" w:hAnsi="Times New Roman" w:cs="Times New Roman"/>
          <w:lang w:val="en-US"/>
        </w:rPr>
        <w:t xml:space="preserve"> (Home Office, 2015</w:t>
      </w:r>
      <w:r w:rsidR="00070B5B" w:rsidRPr="00622F6C">
        <w:rPr>
          <w:rFonts w:ascii="Times New Roman" w:hAnsi="Times New Roman" w:cs="Times New Roman"/>
          <w:lang w:val="en-US"/>
        </w:rPr>
        <w:t>a</w:t>
      </w:r>
      <w:r w:rsidR="009C0889" w:rsidRPr="00622F6C">
        <w:rPr>
          <w:rFonts w:ascii="Times New Roman" w:hAnsi="Times New Roman" w:cs="Times New Roman"/>
          <w:lang w:val="en-US"/>
        </w:rPr>
        <w:t>)</w:t>
      </w:r>
      <w:r w:rsidR="008E62D8" w:rsidRPr="00622F6C">
        <w:rPr>
          <w:rFonts w:ascii="Times New Roman" w:hAnsi="Times New Roman" w:cs="Times New Roman"/>
          <w:lang w:val="en-US"/>
        </w:rPr>
        <w:t xml:space="preserve">. </w:t>
      </w:r>
      <w:r w:rsidR="00D07152" w:rsidRPr="00622F6C">
        <w:rPr>
          <w:rFonts w:ascii="Times New Roman" w:eastAsia="Times New Roman" w:hAnsi="Times New Roman" w:cs="Times New Roman"/>
          <w:lang w:val="en-US" w:eastAsia="en-GB"/>
        </w:rPr>
        <w:t xml:space="preserve">The remaining </w:t>
      </w:r>
      <w:r w:rsidR="00F11797" w:rsidRPr="00622F6C">
        <w:rPr>
          <w:rFonts w:ascii="Times New Roman" w:eastAsia="Times New Roman" w:hAnsi="Times New Roman" w:cs="Times New Roman"/>
          <w:lang w:val="en-US" w:eastAsia="en-GB"/>
        </w:rPr>
        <w:t xml:space="preserve">parts </w:t>
      </w:r>
      <w:r w:rsidR="00D07152" w:rsidRPr="00622F6C">
        <w:rPr>
          <w:rFonts w:ascii="Times New Roman" w:eastAsia="Times New Roman" w:hAnsi="Times New Roman" w:cs="Times New Roman"/>
          <w:lang w:val="en-US" w:eastAsia="en-GB"/>
        </w:rPr>
        <w:t xml:space="preserve">of the MSA </w:t>
      </w:r>
      <w:r w:rsidR="00672ECD">
        <w:rPr>
          <w:rFonts w:ascii="Times New Roman" w:eastAsia="Times New Roman" w:hAnsi="Times New Roman" w:cs="Times New Roman"/>
          <w:lang w:val="en-US" w:eastAsia="en-GB"/>
        </w:rPr>
        <w:t>primarily</w:t>
      </w:r>
      <w:r w:rsidR="00672ECD" w:rsidRPr="00622F6C">
        <w:rPr>
          <w:rFonts w:ascii="Times New Roman" w:eastAsia="Times New Roman" w:hAnsi="Times New Roman" w:cs="Times New Roman"/>
          <w:lang w:val="en-US" w:eastAsia="en-GB"/>
        </w:rPr>
        <w:t xml:space="preserve"> </w:t>
      </w:r>
      <w:r w:rsidR="0085506A" w:rsidRPr="00622F6C">
        <w:rPr>
          <w:rFonts w:ascii="Times New Roman" w:eastAsia="Times New Roman" w:hAnsi="Times New Roman" w:cs="Times New Roman"/>
          <w:lang w:val="en-US" w:eastAsia="en-GB"/>
        </w:rPr>
        <w:t>consolidate and improve existing pieces of legi</w:t>
      </w:r>
      <w:r w:rsidR="00667210" w:rsidRPr="00622F6C">
        <w:rPr>
          <w:rFonts w:ascii="Times New Roman" w:eastAsia="Times New Roman" w:hAnsi="Times New Roman" w:cs="Times New Roman"/>
          <w:lang w:val="en-US" w:eastAsia="en-GB"/>
        </w:rPr>
        <w:t>slation on slavery</w:t>
      </w:r>
      <w:r w:rsidR="00DC7306" w:rsidRPr="00622F6C">
        <w:rPr>
          <w:rFonts w:ascii="Times New Roman" w:eastAsia="Times New Roman" w:hAnsi="Times New Roman" w:cs="Times New Roman"/>
          <w:lang w:val="en-US" w:eastAsia="en-GB"/>
        </w:rPr>
        <w:t>-related offences</w:t>
      </w:r>
      <w:r w:rsidR="00C064B7" w:rsidRPr="00622F6C">
        <w:rPr>
          <w:rFonts w:ascii="Times New Roman" w:eastAsia="Times New Roman" w:hAnsi="Times New Roman" w:cs="Times New Roman"/>
          <w:lang w:val="en-US" w:eastAsia="en-GB"/>
        </w:rPr>
        <w:t xml:space="preserve"> by individuals</w:t>
      </w:r>
      <w:r w:rsidR="0085506A" w:rsidRPr="00622F6C">
        <w:rPr>
          <w:rFonts w:ascii="Times New Roman" w:eastAsia="Times New Roman" w:hAnsi="Times New Roman" w:cs="Times New Roman"/>
          <w:lang w:val="en-US" w:eastAsia="en-GB"/>
        </w:rPr>
        <w:t xml:space="preserve">, with the aims of increasing the number of </w:t>
      </w:r>
      <w:r w:rsidR="0085506A" w:rsidRPr="00622F6C">
        <w:rPr>
          <w:rFonts w:ascii="Times New Roman" w:hAnsi="Times New Roman" w:cs="Times New Roman"/>
          <w:lang w:val="en-US"/>
        </w:rPr>
        <w:t>successful prosecutions and improving the wider understanding of the crime of modern slavery</w:t>
      </w:r>
      <w:r w:rsidR="00107077" w:rsidRPr="00622F6C">
        <w:rPr>
          <w:rFonts w:ascii="Times New Roman" w:hAnsi="Times New Roman" w:cs="Times New Roman"/>
          <w:lang w:val="en-US"/>
        </w:rPr>
        <w:t xml:space="preserve"> (Butler-Sloss et al., 2015)</w:t>
      </w:r>
      <w:r w:rsidR="0085506A" w:rsidRPr="00622F6C">
        <w:rPr>
          <w:rFonts w:ascii="Times New Roman" w:hAnsi="Times New Roman" w:cs="Times New Roman"/>
          <w:lang w:val="en-US"/>
        </w:rPr>
        <w:t xml:space="preserve">. </w:t>
      </w:r>
      <w:r w:rsidR="00D016C0" w:rsidRPr="00622F6C">
        <w:rPr>
          <w:rFonts w:ascii="Times New Roman" w:eastAsia="Times New Roman" w:hAnsi="Times New Roman" w:cs="Times New Roman"/>
          <w:lang w:val="en-US" w:eastAsia="en-GB"/>
        </w:rPr>
        <w:t>Since its inception, the MSA has been highly controversial, with some parties hailing it as “</w:t>
      </w:r>
      <w:r w:rsidR="00D016C0" w:rsidRPr="00622F6C">
        <w:rPr>
          <w:rFonts w:ascii="Times New Roman" w:eastAsia="Times New Roman" w:hAnsi="Times New Roman" w:cs="Times New Roman"/>
          <w:i/>
          <w:lang w:val="en-US" w:eastAsia="en-GB"/>
        </w:rPr>
        <w:t xml:space="preserve">a unique opportunity to make </w:t>
      </w:r>
      <w:r w:rsidR="00D016C0" w:rsidRPr="00622F6C">
        <w:rPr>
          <w:rFonts w:ascii="Times New Roman" w:eastAsia="Times New Roman" w:hAnsi="Times New Roman" w:cs="Times New Roman"/>
          <w:i/>
          <w:lang w:val="en-US" w:eastAsia="en-GB"/>
        </w:rPr>
        <w:lastRenderedPageBreak/>
        <w:t>Britain once again a world leader in the fight against slavery</w:t>
      </w:r>
      <w:r w:rsidR="00D016C0" w:rsidRPr="00622F6C">
        <w:rPr>
          <w:rFonts w:ascii="Times New Roman" w:eastAsia="Times New Roman" w:hAnsi="Times New Roman" w:cs="Times New Roman"/>
          <w:lang w:val="en-US" w:eastAsia="en-GB"/>
        </w:rPr>
        <w:t>” (Butler-Sloss et al., 2015), and others calling it a “</w:t>
      </w:r>
      <w:r w:rsidR="00D016C0" w:rsidRPr="00622F6C">
        <w:rPr>
          <w:rFonts w:ascii="Times New Roman" w:eastAsia="Times New Roman" w:hAnsi="Times New Roman" w:cs="Times New Roman"/>
          <w:i/>
          <w:lang w:val="en-US" w:eastAsia="en-GB"/>
        </w:rPr>
        <w:t>vanity project</w:t>
      </w:r>
      <w:r w:rsidR="00D016C0" w:rsidRPr="00622F6C">
        <w:rPr>
          <w:rFonts w:ascii="Times New Roman" w:eastAsia="Times New Roman" w:hAnsi="Times New Roman" w:cs="Times New Roman"/>
          <w:lang w:val="en-US" w:eastAsia="en-GB"/>
        </w:rPr>
        <w:t>” that was “</w:t>
      </w:r>
      <w:r w:rsidR="00D016C0" w:rsidRPr="00622F6C">
        <w:rPr>
          <w:rFonts w:ascii="Times New Roman" w:eastAsia="Times New Roman" w:hAnsi="Times New Roman" w:cs="Times New Roman"/>
          <w:i/>
          <w:lang w:val="en-US" w:eastAsia="en-GB"/>
        </w:rPr>
        <w:t>being rushed through Parliament without proper consultation</w:t>
      </w:r>
      <w:r w:rsidR="00D016C0" w:rsidRPr="00622F6C">
        <w:rPr>
          <w:rFonts w:ascii="Times New Roman" w:eastAsia="Times New Roman" w:hAnsi="Times New Roman" w:cs="Times New Roman"/>
          <w:lang w:val="en-US" w:eastAsia="en-GB"/>
        </w:rPr>
        <w:t xml:space="preserve">” and </w:t>
      </w:r>
      <w:r w:rsidR="00A0349F">
        <w:rPr>
          <w:rFonts w:ascii="Times New Roman" w:eastAsia="Times New Roman" w:hAnsi="Times New Roman" w:cs="Times New Roman"/>
          <w:lang w:val="en-US" w:eastAsia="en-GB"/>
        </w:rPr>
        <w:t xml:space="preserve">that </w:t>
      </w:r>
      <w:r w:rsidR="006E0DBC">
        <w:rPr>
          <w:rFonts w:ascii="Times New Roman" w:eastAsia="Times New Roman" w:hAnsi="Times New Roman" w:cs="Times New Roman"/>
          <w:lang w:val="en-US" w:eastAsia="en-GB"/>
        </w:rPr>
        <w:t xml:space="preserve">would </w:t>
      </w:r>
      <w:r w:rsidR="00D016C0" w:rsidRPr="00622F6C">
        <w:rPr>
          <w:rFonts w:ascii="Times New Roman" w:eastAsia="Times New Roman" w:hAnsi="Times New Roman" w:cs="Times New Roman"/>
          <w:lang w:val="en-US" w:eastAsia="en-GB"/>
        </w:rPr>
        <w:t>“</w:t>
      </w:r>
      <w:r w:rsidR="00D016C0" w:rsidRPr="00622F6C">
        <w:rPr>
          <w:rFonts w:ascii="Times New Roman" w:eastAsia="Times New Roman" w:hAnsi="Times New Roman" w:cs="Times New Roman"/>
          <w:i/>
          <w:lang w:val="en-US" w:eastAsia="en-GB"/>
        </w:rPr>
        <w:t>offer almost no help to the victims of the crime</w:t>
      </w:r>
      <w:r w:rsidR="00D016C0" w:rsidRPr="00622F6C">
        <w:rPr>
          <w:rFonts w:ascii="Times New Roman" w:eastAsia="Times New Roman" w:hAnsi="Times New Roman" w:cs="Times New Roman"/>
          <w:lang w:val="en-US" w:eastAsia="en-GB"/>
        </w:rPr>
        <w:t xml:space="preserve">” (Dugan, 2012). </w:t>
      </w:r>
    </w:p>
    <w:p w14:paraId="328A00AF" w14:textId="77777777" w:rsidR="00D016C0" w:rsidRPr="00622F6C" w:rsidRDefault="00D016C0" w:rsidP="00D016C0">
      <w:pPr>
        <w:spacing w:after="0" w:line="480" w:lineRule="auto"/>
        <w:ind w:firstLine="426"/>
        <w:jc w:val="both"/>
        <w:rPr>
          <w:rFonts w:ascii="Times New Roman" w:eastAsia="Times New Roman" w:hAnsi="Times New Roman" w:cs="Times New Roman"/>
          <w:lang w:val="en-US" w:eastAsia="en-GB"/>
        </w:rPr>
      </w:pPr>
      <w:r w:rsidRPr="00622F6C">
        <w:rPr>
          <w:rFonts w:ascii="Times New Roman" w:hAnsi="Times New Roman" w:cs="Times New Roman"/>
          <w:lang w:val="en-US"/>
        </w:rPr>
        <w:t xml:space="preserve">The objective of our paper is to examine the effects of the introduction of </w:t>
      </w:r>
      <w:r w:rsidR="00EE3125" w:rsidRPr="00622F6C">
        <w:rPr>
          <w:rFonts w:ascii="Times New Roman" w:hAnsi="Times New Roman" w:cs="Times New Roman"/>
          <w:lang w:val="en-US"/>
        </w:rPr>
        <w:t xml:space="preserve">the </w:t>
      </w:r>
      <w:r w:rsidR="00D618B1" w:rsidRPr="00622F6C">
        <w:rPr>
          <w:rFonts w:ascii="Times New Roman" w:hAnsi="Times New Roman" w:cs="Times New Roman"/>
          <w:lang w:val="en-US"/>
        </w:rPr>
        <w:t>MSA</w:t>
      </w:r>
      <w:r w:rsidRPr="00622F6C">
        <w:rPr>
          <w:rFonts w:ascii="Times New Roman" w:hAnsi="Times New Roman" w:cs="Times New Roman"/>
          <w:lang w:val="en-US"/>
        </w:rPr>
        <w:t xml:space="preserve"> on shareholder wealth.</w:t>
      </w:r>
      <w:r w:rsidR="00672ECD" w:rsidRPr="00622F6C">
        <w:rPr>
          <w:rFonts w:ascii="Times New Roman" w:hAnsi="Times New Roman" w:cs="Times New Roman"/>
          <w:vertAlign w:val="superscript"/>
          <w:lang w:val="en-US"/>
        </w:rPr>
        <w:footnoteReference w:id="1"/>
      </w:r>
      <w:r w:rsidR="0000470C" w:rsidRPr="00622F6C" w:rsidDel="0000470C">
        <w:rPr>
          <w:rFonts w:ascii="Times New Roman" w:hAnsi="Times New Roman" w:cs="Times New Roman"/>
          <w:vertAlign w:val="superscript"/>
          <w:lang w:val="en-US"/>
        </w:rPr>
        <w:t xml:space="preserve"> </w:t>
      </w:r>
      <w:r w:rsidR="000933B5" w:rsidRPr="00622F6C">
        <w:rPr>
          <w:rFonts w:ascii="Times New Roman" w:hAnsi="Times New Roman" w:cs="Times New Roman"/>
          <w:lang w:val="en-US"/>
        </w:rPr>
        <w:t>T</w:t>
      </w:r>
      <w:r w:rsidRPr="00622F6C">
        <w:rPr>
          <w:rFonts w:ascii="Times New Roman" w:hAnsi="Times New Roman" w:cs="Times New Roman"/>
          <w:lang w:val="en-US"/>
        </w:rPr>
        <w:t xml:space="preserve">he TISC clause is the </w:t>
      </w:r>
      <w:r w:rsidR="004C07D4" w:rsidRPr="00622F6C">
        <w:rPr>
          <w:rFonts w:ascii="Times New Roman" w:hAnsi="Times New Roman" w:cs="Times New Roman"/>
          <w:lang w:val="en-US"/>
        </w:rPr>
        <w:t xml:space="preserve">only </w:t>
      </w:r>
      <w:r w:rsidRPr="00622F6C">
        <w:rPr>
          <w:rFonts w:ascii="Times New Roman" w:hAnsi="Times New Roman" w:cs="Times New Roman"/>
          <w:lang w:val="en-US"/>
        </w:rPr>
        <w:t xml:space="preserve">part of the MSA that </w:t>
      </w:r>
      <w:r w:rsidR="00EE3125" w:rsidRPr="00622F6C">
        <w:rPr>
          <w:rFonts w:ascii="Times New Roman" w:hAnsi="Times New Roman" w:cs="Times New Roman"/>
          <w:lang w:val="en-US"/>
        </w:rPr>
        <w:t xml:space="preserve">imposes new requirements on </w:t>
      </w:r>
      <w:r w:rsidR="001C6E8E">
        <w:rPr>
          <w:rFonts w:ascii="Times New Roman" w:hAnsi="Times New Roman" w:cs="Times New Roman"/>
          <w:lang w:val="en-US"/>
        </w:rPr>
        <w:t>firms</w:t>
      </w:r>
      <w:r w:rsidRPr="00622F6C">
        <w:rPr>
          <w:rFonts w:ascii="Times New Roman" w:hAnsi="Times New Roman" w:cs="Times New Roman"/>
          <w:lang w:val="en-US"/>
        </w:rPr>
        <w:t>.</w:t>
      </w:r>
      <w:r w:rsidR="000933B5" w:rsidRPr="00622F6C">
        <w:rPr>
          <w:rStyle w:val="FootnoteReference"/>
          <w:rFonts w:ascii="Times New Roman" w:hAnsi="Times New Roman" w:cs="Times New Roman"/>
          <w:lang w:val="en-US"/>
        </w:rPr>
        <w:footnoteReference w:id="2"/>
      </w:r>
      <w:r w:rsidRPr="00622F6C">
        <w:rPr>
          <w:rFonts w:ascii="Times New Roman" w:hAnsi="Times New Roman" w:cs="Times New Roman"/>
          <w:lang w:val="en-US"/>
        </w:rPr>
        <w:t xml:space="preserve"> </w:t>
      </w:r>
      <w:r w:rsidR="00DC7306" w:rsidRPr="00622F6C">
        <w:rPr>
          <w:rFonts w:ascii="Times New Roman" w:hAnsi="Times New Roman" w:cs="Times New Roman"/>
          <w:lang w:val="en-US"/>
        </w:rPr>
        <w:t>Nevertheless</w:t>
      </w:r>
      <w:r w:rsidRPr="00622F6C">
        <w:rPr>
          <w:rFonts w:ascii="Times New Roman" w:hAnsi="Times New Roman" w:cs="Times New Roman"/>
          <w:lang w:val="en-US"/>
        </w:rPr>
        <w:t>, we cannot completely rule</w:t>
      </w:r>
      <w:r w:rsidR="0009361B">
        <w:rPr>
          <w:rFonts w:ascii="Times New Roman" w:hAnsi="Times New Roman" w:cs="Times New Roman"/>
          <w:lang w:val="en-US"/>
        </w:rPr>
        <w:t xml:space="preserve"> out that stock prices </w:t>
      </w:r>
      <w:r w:rsidRPr="00622F6C">
        <w:rPr>
          <w:rFonts w:ascii="Times New Roman" w:hAnsi="Times New Roman" w:cs="Times New Roman"/>
          <w:lang w:val="en-US"/>
        </w:rPr>
        <w:t xml:space="preserve">are also affected by </w:t>
      </w:r>
      <w:r w:rsidR="00EE3125" w:rsidRPr="00622F6C">
        <w:rPr>
          <w:rFonts w:ascii="Times New Roman" w:hAnsi="Times New Roman" w:cs="Times New Roman"/>
          <w:lang w:val="en-US"/>
        </w:rPr>
        <w:t>non-TISC elements of</w:t>
      </w:r>
      <w:r w:rsidRPr="00622F6C">
        <w:rPr>
          <w:rFonts w:ascii="Times New Roman" w:hAnsi="Times New Roman" w:cs="Times New Roman"/>
          <w:lang w:val="en-US"/>
        </w:rPr>
        <w:t xml:space="preserve"> the MSA</w:t>
      </w:r>
      <w:r w:rsidR="00592329" w:rsidRPr="00622F6C">
        <w:rPr>
          <w:rFonts w:ascii="Times New Roman" w:hAnsi="Times New Roman" w:cs="Times New Roman"/>
          <w:lang w:val="en-US"/>
        </w:rPr>
        <w:t>. For example, investors may anticipate an</w:t>
      </w:r>
      <w:r w:rsidRPr="00622F6C">
        <w:rPr>
          <w:rFonts w:ascii="Times New Roman" w:hAnsi="Times New Roman" w:cs="Times New Roman"/>
          <w:lang w:val="en-US"/>
        </w:rPr>
        <w:t xml:space="preserve"> increase in </w:t>
      </w:r>
      <w:r w:rsidR="00EE3125" w:rsidRPr="00622F6C">
        <w:rPr>
          <w:rFonts w:ascii="Times New Roman" w:hAnsi="Times New Roman" w:cs="Times New Roman"/>
          <w:lang w:val="en-US"/>
        </w:rPr>
        <w:t>firms’</w:t>
      </w:r>
      <w:r w:rsidRPr="00622F6C">
        <w:rPr>
          <w:rFonts w:ascii="Times New Roman" w:hAnsi="Times New Roman" w:cs="Times New Roman"/>
          <w:lang w:val="en-US"/>
        </w:rPr>
        <w:t xml:space="preserve"> risk of </w:t>
      </w:r>
      <w:r w:rsidR="00592329" w:rsidRPr="00622F6C">
        <w:rPr>
          <w:rFonts w:ascii="Times New Roman" w:hAnsi="Times New Roman" w:cs="Times New Roman"/>
          <w:lang w:val="en-US"/>
        </w:rPr>
        <w:t xml:space="preserve">reputational damage </w:t>
      </w:r>
      <w:r w:rsidR="00EE3125" w:rsidRPr="00622F6C">
        <w:rPr>
          <w:rFonts w:ascii="Times New Roman" w:hAnsi="Times New Roman" w:cs="Times New Roman"/>
          <w:lang w:val="en-US"/>
        </w:rPr>
        <w:t xml:space="preserve">due to a higher </w:t>
      </w:r>
      <w:r w:rsidR="00411DFF" w:rsidRPr="00622F6C">
        <w:rPr>
          <w:rFonts w:ascii="Times New Roman" w:hAnsi="Times New Roman" w:cs="Times New Roman"/>
          <w:lang w:val="en-US"/>
        </w:rPr>
        <w:t xml:space="preserve">likelihood </w:t>
      </w:r>
      <w:r w:rsidR="00EE3125" w:rsidRPr="00622F6C">
        <w:rPr>
          <w:rFonts w:ascii="Times New Roman" w:hAnsi="Times New Roman" w:cs="Times New Roman"/>
          <w:lang w:val="en-US"/>
        </w:rPr>
        <w:t>of convictions under other parts of the</w:t>
      </w:r>
      <w:r w:rsidR="007C2C4D" w:rsidRPr="00622F6C">
        <w:rPr>
          <w:rFonts w:ascii="Times New Roman" w:hAnsi="Times New Roman" w:cs="Times New Roman"/>
          <w:lang w:val="en-US"/>
        </w:rPr>
        <w:t xml:space="preserve"> MSA</w:t>
      </w:r>
      <w:r w:rsidRPr="00622F6C">
        <w:rPr>
          <w:rFonts w:ascii="Times New Roman" w:hAnsi="Times New Roman" w:cs="Times New Roman"/>
          <w:lang w:val="en-US"/>
        </w:rPr>
        <w:t>.</w:t>
      </w:r>
      <w:r w:rsidR="00592329" w:rsidRPr="00622F6C">
        <w:rPr>
          <w:rStyle w:val="FootnoteReference"/>
          <w:rFonts w:ascii="Times New Roman" w:hAnsi="Times New Roman" w:cs="Times New Roman"/>
          <w:lang w:val="en-US"/>
        </w:rPr>
        <w:footnoteReference w:id="3"/>
      </w:r>
      <w:r w:rsidR="00D618B1" w:rsidRPr="00622F6C">
        <w:rPr>
          <w:rFonts w:ascii="Times New Roman" w:hAnsi="Times New Roman" w:cs="Times New Roman"/>
          <w:vertAlign w:val="superscript"/>
          <w:lang w:val="en-US"/>
        </w:rPr>
        <w:t xml:space="preserve"> </w:t>
      </w:r>
      <w:r w:rsidR="007058CD" w:rsidRPr="00622F6C">
        <w:rPr>
          <w:rFonts w:ascii="Times New Roman" w:hAnsi="Times New Roman" w:cs="Times New Roman"/>
          <w:lang w:val="en-US"/>
        </w:rPr>
        <w:t xml:space="preserve">For this reason, </w:t>
      </w:r>
      <w:r w:rsidR="007E30C2" w:rsidRPr="00622F6C">
        <w:rPr>
          <w:rFonts w:ascii="Times New Roman" w:hAnsi="Times New Roman" w:cs="Times New Roman"/>
          <w:lang w:val="en-US"/>
        </w:rPr>
        <w:t>we refer to the MSA in its entirety throug</w:t>
      </w:r>
      <w:r w:rsidR="00FB0A51" w:rsidRPr="00622F6C">
        <w:rPr>
          <w:rFonts w:ascii="Times New Roman" w:hAnsi="Times New Roman" w:cs="Times New Roman"/>
          <w:lang w:val="en-US"/>
        </w:rPr>
        <w:t>h</w:t>
      </w:r>
      <w:r w:rsidR="007E30C2" w:rsidRPr="00622F6C">
        <w:rPr>
          <w:rFonts w:ascii="Times New Roman" w:hAnsi="Times New Roman" w:cs="Times New Roman"/>
          <w:lang w:val="en-US"/>
        </w:rPr>
        <w:t xml:space="preserve">out </w:t>
      </w:r>
      <w:r w:rsidR="00FB0A51" w:rsidRPr="00622F6C">
        <w:rPr>
          <w:rFonts w:ascii="Times New Roman" w:hAnsi="Times New Roman" w:cs="Times New Roman"/>
          <w:lang w:val="en-US"/>
        </w:rPr>
        <w:t>the paper,</w:t>
      </w:r>
      <w:r w:rsidR="008C590E" w:rsidRPr="00622F6C">
        <w:rPr>
          <w:rFonts w:ascii="Times New Roman" w:hAnsi="Times New Roman" w:cs="Times New Roman"/>
          <w:lang w:val="en-US"/>
        </w:rPr>
        <w:t xml:space="preserve"> </w:t>
      </w:r>
      <w:r w:rsidR="00FB0A51" w:rsidRPr="00622F6C">
        <w:rPr>
          <w:rFonts w:ascii="Times New Roman" w:hAnsi="Times New Roman" w:cs="Times New Roman"/>
          <w:lang w:val="en-US"/>
        </w:rPr>
        <w:t>except where</w:t>
      </w:r>
      <w:r w:rsidR="008C590E" w:rsidRPr="00622F6C">
        <w:rPr>
          <w:rFonts w:ascii="Times New Roman" w:hAnsi="Times New Roman" w:cs="Times New Roman"/>
          <w:lang w:val="en-US"/>
        </w:rPr>
        <w:t xml:space="preserve"> </w:t>
      </w:r>
      <w:r w:rsidR="00B00DB9" w:rsidRPr="00622F6C">
        <w:rPr>
          <w:rFonts w:ascii="Times New Roman" w:hAnsi="Times New Roman" w:cs="Times New Roman"/>
          <w:lang w:val="en-US"/>
        </w:rPr>
        <w:t>analyses</w:t>
      </w:r>
      <w:r w:rsidR="008C590E" w:rsidRPr="00622F6C">
        <w:rPr>
          <w:rFonts w:ascii="Times New Roman" w:hAnsi="Times New Roman" w:cs="Times New Roman"/>
          <w:lang w:val="en-US"/>
        </w:rPr>
        <w:t xml:space="preserve"> allow us to focus </w:t>
      </w:r>
      <w:r w:rsidR="007E30C2" w:rsidRPr="00622F6C">
        <w:rPr>
          <w:rFonts w:ascii="Times New Roman" w:hAnsi="Times New Roman" w:cs="Times New Roman"/>
          <w:lang w:val="en-US"/>
        </w:rPr>
        <w:t xml:space="preserve">more narrowly </w:t>
      </w:r>
      <w:r w:rsidR="008C590E" w:rsidRPr="00622F6C">
        <w:rPr>
          <w:rFonts w:ascii="Times New Roman" w:hAnsi="Times New Roman" w:cs="Times New Roman"/>
          <w:lang w:val="en-US"/>
        </w:rPr>
        <w:t xml:space="preserve">on the </w:t>
      </w:r>
      <w:r w:rsidR="00587548" w:rsidRPr="00622F6C">
        <w:rPr>
          <w:rFonts w:ascii="Times New Roman" w:hAnsi="Times New Roman" w:cs="Times New Roman"/>
          <w:lang w:val="en-US"/>
        </w:rPr>
        <w:t xml:space="preserve">TISC clause. </w:t>
      </w:r>
    </w:p>
    <w:p w14:paraId="7349077F" w14:textId="3B7B9D41" w:rsidR="00102CD4" w:rsidRPr="00622F6C" w:rsidRDefault="007058CD" w:rsidP="006E6FAF">
      <w:pPr>
        <w:tabs>
          <w:tab w:val="left" w:pos="567"/>
        </w:tabs>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If markets are </w:t>
      </w:r>
      <w:bookmarkStart w:id="13" w:name="_Hlk5259300"/>
      <w:r w:rsidRPr="00622F6C">
        <w:rPr>
          <w:rFonts w:ascii="Times New Roman" w:hAnsi="Times New Roman" w:cs="Times New Roman"/>
          <w:lang w:val="en-US"/>
        </w:rPr>
        <w:t>semi-strong form efficient</w:t>
      </w:r>
      <w:bookmarkEnd w:id="13"/>
      <w:r w:rsidRPr="00622F6C">
        <w:rPr>
          <w:rFonts w:ascii="Times New Roman" w:hAnsi="Times New Roman" w:cs="Times New Roman"/>
          <w:lang w:val="en-US"/>
        </w:rPr>
        <w:t xml:space="preserve">, abnormal stock returns following the announcement of </w:t>
      </w:r>
      <w:r w:rsidR="007E30C2" w:rsidRPr="00622F6C">
        <w:rPr>
          <w:rFonts w:ascii="Times New Roman" w:hAnsi="Times New Roman" w:cs="Times New Roman"/>
          <w:lang w:val="en-US"/>
        </w:rPr>
        <w:t>new regulations</w:t>
      </w:r>
      <w:r w:rsidR="00B00DB9" w:rsidRPr="00622F6C">
        <w:rPr>
          <w:rFonts w:ascii="Times New Roman" w:hAnsi="Times New Roman" w:cs="Times New Roman"/>
          <w:lang w:val="en-US"/>
        </w:rPr>
        <w:t xml:space="preserve"> should</w:t>
      </w:r>
      <w:r w:rsidRPr="00622F6C">
        <w:rPr>
          <w:rFonts w:ascii="Times New Roman" w:hAnsi="Times New Roman" w:cs="Times New Roman"/>
          <w:lang w:val="en-US"/>
        </w:rPr>
        <w:t xml:space="preserve"> reflect investor</w:t>
      </w:r>
      <w:r w:rsidR="00A54E37">
        <w:rPr>
          <w:rFonts w:ascii="Times New Roman" w:hAnsi="Times New Roman" w:cs="Times New Roman"/>
          <w:lang w:val="en-US"/>
        </w:rPr>
        <w:t>s’</w:t>
      </w:r>
      <w:r w:rsidRPr="00622F6C">
        <w:rPr>
          <w:rFonts w:ascii="Times New Roman" w:hAnsi="Times New Roman" w:cs="Times New Roman"/>
          <w:lang w:val="en-US"/>
        </w:rPr>
        <w:t xml:space="preserve"> perceptions </w:t>
      </w:r>
      <w:r w:rsidR="000D6A2B" w:rsidRPr="00622F6C">
        <w:rPr>
          <w:rFonts w:ascii="Times New Roman" w:hAnsi="Times New Roman" w:cs="Times New Roman"/>
          <w:lang w:val="en-US"/>
        </w:rPr>
        <w:t xml:space="preserve">of </w:t>
      </w:r>
      <w:r w:rsidR="0000470C">
        <w:rPr>
          <w:rFonts w:ascii="Times New Roman" w:hAnsi="Times New Roman" w:cs="Times New Roman"/>
          <w:lang w:val="en-US"/>
        </w:rPr>
        <w:t>the</w:t>
      </w:r>
      <w:r w:rsidR="0000470C" w:rsidRPr="00622F6C">
        <w:rPr>
          <w:rFonts w:ascii="Times New Roman" w:hAnsi="Times New Roman" w:cs="Times New Roman"/>
          <w:lang w:val="en-US"/>
        </w:rPr>
        <w:t xml:space="preserve"> </w:t>
      </w:r>
      <w:r w:rsidR="000D6A2B" w:rsidRPr="00622F6C">
        <w:rPr>
          <w:rFonts w:ascii="Times New Roman" w:hAnsi="Times New Roman" w:cs="Times New Roman"/>
          <w:lang w:val="en-US"/>
        </w:rPr>
        <w:t>anticipated</w:t>
      </w:r>
      <w:r w:rsidRPr="00622F6C">
        <w:rPr>
          <w:rFonts w:ascii="Times New Roman" w:hAnsi="Times New Roman" w:cs="Times New Roman"/>
          <w:lang w:val="en-US"/>
        </w:rPr>
        <w:t xml:space="preserve"> net benefits or costs for the individual companies affected (</w:t>
      </w:r>
      <w:r w:rsidR="000110B2" w:rsidRPr="00622F6C">
        <w:rPr>
          <w:rFonts w:ascii="Times New Roman" w:hAnsi="Times New Roman" w:cs="Times New Roman"/>
          <w:lang w:val="en-US"/>
        </w:rPr>
        <w:t>Fama, 1970</w:t>
      </w:r>
      <w:r w:rsidRPr="00622F6C">
        <w:rPr>
          <w:rFonts w:ascii="Times New Roman" w:hAnsi="Times New Roman" w:cs="Times New Roman"/>
          <w:lang w:val="en-US"/>
        </w:rPr>
        <w:t xml:space="preserve">). </w:t>
      </w:r>
      <w:r w:rsidR="008B33AA" w:rsidRPr="00622F6C">
        <w:rPr>
          <w:rFonts w:ascii="Times New Roman" w:hAnsi="Times New Roman" w:cs="Times New Roman"/>
          <w:lang w:val="en-US"/>
        </w:rPr>
        <w:t xml:space="preserve">The sign of the average stock price effect of the MSA for the entire population of firms affected by the </w:t>
      </w:r>
      <w:r w:rsidR="000C4E1A">
        <w:rPr>
          <w:rFonts w:ascii="Times New Roman" w:hAnsi="Times New Roman" w:cs="Times New Roman"/>
          <w:lang w:val="en-US"/>
        </w:rPr>
        <w:t>A</w:t>
      </w:r>
      <w:r w:rsidR="00A54E37" w:rsidRPr="00622F6C">
        <w:rPr>
          <w:rFonts w:ascii="Times New Roman" w:hAnsi="Times New Roman" w:cs="Times New Roman"/>
          <w:lang w:val="en-US"/>
        </w:rPr>
        <w:t xml:space="preserve">ct </w:t>
      </w:r>
      <w:r w:rsidR="008B33AA" w:rsidRPr="00622F6C">
        <w:rPr>
          <w:rFonts w:ascii="Times New Roman" w:hAnsi="Times New Roman" w:cs="Times New Roman"/>
          <w:lang w:val="en-US"/>
        </w:rPr>
        <w:t>is an empirical question</w:t>
      </w:r>
      <w:r w:rsidR="00D00DB9" w:rsidRPr="00622F6C">
        <w:rPr>
          <w:rFonts w:ascii="Times New Roman" w:hAnsi="Times New Roman" w:cs="Times New Roman"/>
          <w:lang w:val="en-US"/>
        </w:rPr>
        <w:t xml:space="preserve">, as it depends on investors’ netting of </w:t>
      </w:r>
      <w:r w:rsidR="0009361B">
        <w:rPr>
          <w:rFonts w:ascii="Times New Roman" w:hAnsi="Times New Roman" w:cs="Times New Roman"/>
          <w:lang w:val="en-US"/>
        </w:rPr>
        <w:t xml:space="preserve">any </w:t>
      </w:r>
      <w:r w:rsidR="00D00DB9" w:rsidRPr="00622F6C">
        <w:rPr>
          <w:rFonts w:ascii="Times New Roman" w:hAnsi="Times New Roman" w:cs="Times New Roman"/>
          <w:lang w:val="en-US"/>
        </w:rPr>
        <w:t>perceived benefits and costs</w:t>
      </w:r>
      <w:r w:rsidR="0000470C">
        <w:rPr>
          <w:rFonts w:ascii="Times New Roman" w:hAnsi="Times New Roman" w:cs="Times New Roman"/>
          <w:lang w:val="en-US"/>
        </w:rPr>
        <w:t xml:space="preserve"> associated with the MSA</w:t>
      </w:r>
      <w:r w:rsidR="008B33AA" w:rsidRPr="00622F6C">
        <w:rPr>
          <w:rFonts w:ascii="Times New Roman" w:hAnsi="Times New Roman" w:cs="Times New Roman"/>
          <w:lang w:val="en-US"/>
        </w:rPr>
        <w:t xml:space="preserve">. </w:t>
      </w:r>
      <w:r w:rsidR="00D00DB9" w:rsidRPr="00622F6C">
        <w:rPr>
          <w:rFonts w:ascii="Times New Roman" w:hAnsi="Times New Roman" w:cs="Times New Roman"/>
          <w:lang w:val="en-US"/>
        </w:rPr>
        <w:t>The literature on socially responsible sourcing and corporate disclosure suggest</w:t>
      </w:r>
      <w:r w:rsidR="00496851">
        <w:rPr>
          <w:rFonts w:ascii="Times New Roman" w:hAnsi="Times New Roman" w:cs="Times New Roman"/>
          <w:lang w:val="en-US"/>
        </w:rPr>
        <w:t>s</w:t>
      </w:r>
      <w:r w:rsidR="00D00DB9" w:rsidRPr="00622F6C">
        <w:rPr>
          <w:rFonts w:ascii="Times New Roman" w:hAnsi="Times New Roman" w:cs="Times New Roman"/>
          <w:lang w:val="en-US"/>
        </w:rPr>
        <w:t xml:space="preserve"> two main </w:t>
      </w:r>
      <w:r w:rsidR="00667210" w:rsidRPr="00622F6C">
        <w:rPr>
          <w:rFonts w:ascii="Times New Roman" w:hAnsi="Times New Roman" w:cs="Times New Roman"/>
          <w:lang w:val="en-US"/>
        </w:rPr>
        <w:t xml:space="preserve">mechanisms affecting </w:t>
      </w:r>
      <w:r w:rsidR="00496851">
        <w:rPr>
          <w:rFonts w:ascii="Times New Roman" w:hAnsi="Times New Roman" w:cs="Times New Roman"/>
          <w:lang w:val="en-US"/>
        </w:rPr>
        <w:t xml:space="preserve">MSA-related shareholder wealth effects. </w:t>
      </w:r>
      <w:r w:rsidR="008B33AA" w:rsidRPr="00622F6C">
        <w:rPr>
          <w:rFonts w:ascii="Times New Roman" w:hAnsi="Times New Roman" w:cs="Times New Roman"/>
          <w:lang w:val="en-US"/>
        </w:rPr>
        <w:t xml:space="preserve">Firstly, </w:t>
      </w:r>
      <w:r w:rsidR="00A720AD" w:rsidRPr="00622F6C">
        <w:rPr>
          <w:rFonts w:ascii="Times New Roman" w:hAnsi="Times New Roman" w:cs="Times New Roman"/>
          <w:lang w:val="en-US"/>
        </w:rPr>
        <w:t xml:space="preserve">investors’ expectations of </w:t>
      </w:r>
      <w:r w:rsidR="00A0349F">
        <w:rPr>
          <w:rFonts w:ascii="Times New Roman" w:hAnsi="Times New Roman" w:cs="Times New Roman"/>
          <w:lang w:val="en-US"/>
        </w:rPr>
        <w:t xml:space="preserve">the </w:t>
      </w:r>
      <w:r w:rsidR="00B00DB9" w:rsidRPr="00622F6C">
        <w:rPr>
          <w:rFonts w:ascii="Times New Roman" w:hAnsi="Times New Roman" w:cs="Times New Roman"/>
          <w:lang w:val="en-US"/>
        </w:rPr>
        <w:t xml:space="preserve">net </w:t>
      </w:r>
      <w:r w:rsidR="000933B5" w:rsidRPr="00622F6C">
        <w:rPr>
          <w:rFonts w:ascii="Times New Roman" w:hAnsi="Times New Roman" w:cs="Times New Roman"/>
          <w:lang w:val="en-US"/>
        </w:rPr>
        <w:t xml:space="preserve">benefits and costs </w:t>
      </w:r>
      <w:r w:rsidR="007E30C2" w:rsidRPr="00622F6C">
        <w:rPr>
          <w:rFonts w:ascii="Times New Roman" w:hAnsi="Times New Roman" w:cs="Times New Roman"/>
          <w:lang w:val="en-US"/>
        </w:rPr>
        <w:t xml:space="preserve">of the MSA </w:t>
      </w:r>
      <w:r w:rsidR="00587548" w:rsidRPr="00622F6C">
        <w:rPr>
          <w:rFonts w:ascii="Times New Roman" w:hAnsi="Times New Roman" w:cs="Times New Roman"/>
          <w:lang w:val="en-US"/>
        </w:rPr>
        <w:t xml:space="preserve">are likely to be </w:t>
      </w:r>
      <w:r w:rsidR="00667660">
        <w:rPr>
          <w:rFonts w:ascii="Times New Roman" w:hAnsi="Times New Roman" w:cs="Times New Roman"/>
          <w:lang w:val="en-US"/>
        </w:rPr>
        <w:t>influenced</w:t>
      </w:r>
      <w:r w:rsidR="00667660" w:rsidRPr="00622F6C">
        <w:rPr>
          <w:rFonts w:ascii="Times New Roman" w:hAnsi="Times New Roman" w:cs="Times New Roman"/>
          <w:lang w:val="en-US"/>
        </w:rPr>
        <w:t xml:space="preserve"> </w:t>
      </w:r>
      <w:r w:rsidR="00587548" w:rsidRPr="00622F6C">
        <w:rPr>
          <w:rFonts w:ascii="Times New Roman" w:hAnsi="Times New Roman" w:cs="Times New Roman"/>
          <w:lang w:val="en-US"/>
        </w:rPr>
        <w:t xml:space="preserve">by </w:t>
      </w:r>
      <w:r w:rsidR="00AD17E0">
        <w:rPr>
          <w:rFonts w:ascii="Times New Roman" w:hAnsi="Times New Roman" w:cs="Times New Roman"/>
          <w:lang w:val="en-US"/>
        </w:rPr>
        <w:t xml:space="preserve">a firm’s </w:t>
      </w:r>
      <w:r w:rsidR="000933B5" w:rsidRPr="00622F6C">
        <w:rPr>
          <w:rFonts w:ascii="Times New Roman" w:hAnsi="Times New Roman" w:cs="Times New Roman"/>
          <w:lang w:val="en-US"/>
        </w:rPr>
        <w:t>pre-regulatory</w:t>
      </w:r>
      <w:r w:rsidR="00587548" w:rsidRPr="00622F6C">
        <w:rPr>
          <w:rFonts w:ascii="Times New Roman" w:hAnsi="Times New Roman" w:cs="Times New Roman"/>
          <w:lang w:val="en-US"/>
        </w:rPr>
        <w:t xml:space="preserve"> </w:t>
      </w:r>
      <w:r w:rsidR="00A720AD" w:rsidRPr="00622F6C">
        <w:rPr>
          <w:rFonts w:ascii="Times New Roman" w:hAnsi="Times New Roman" w:cs="Times New Roman"/>
          <w:lang w:val="en-US"/>
        </w:rPr>
        <w:t>likelihood</w:t>
      </w:r>
      <w:r w:rsidR="00587548" w:rsidRPr="00622F6C">
        <w:rPr>
          <w:rFonts w:ascii="Times New Roman" w:hAnsi="Times New Roman" w:cs="Times New Roman"/>
          <w:lang w:val="en-US"/>
        </w:rPr>
        <w:t xml:space="preserve"> of having </w:t>
      </w:r>
      <w:bookmarkStart w:id="14" w:name="_Hlk5259413"/>
      <w:r w:rsidR="00667210" w:rsidRPr="00622F6C">
        <w:rPr>
          <w:rFonts w:ascii="Times New Roman" w:hAnsi="Times New Roman" w:cs="Times New Roman"/>
          <w:lang w:val="en-US"/>
        </w:rPr>
        <w:t>modern</w:t>
      </w:r>
      <w:r w:rsidR="00A54E37">
        <w:rPr>
          <w:rFonts w:ascii="Times New Roman" w:hAnsi="Times New Roman" w:cs="Times New Roman"/>
          <w:lang w:val="en-US"/>
        </w:rPr>
        <w:t>-</w:t>
      </w:r>
      <w:r w:rsidR="00587548" w:rsidRPr="00622F6C">
        <w:rPr>
          <w:rFonts w:ascii="Times New Roman" w:hAnsi="Times New Roman" w:cs="Times New Roman"/>
          <w:lang w:val="en-US"/>
        </w:rPr>
        <w:t xml:space="preserve">slavery-related </w:t>
      </w:r>
      <w:bookmarkEnd w:id="14"/>
      <w:r w:rsidR="00587548" w:rsidRPr="00622F6C">
        <w:rPr>
          <w:rFonts w:ascii="Times New Roman" w:hAnsi="Times New Roman" w:cs="Times New Roman"/>
          <w:lang w:val="en-US"/>
        </w:rPr>
        <w:t xml:space="preserve">incidents in </w:t>
      </w:r>
      <w:r w:rsidR="00AD17E0">
        <w:rPr>
          <w:rFonts w:ascii="Times New Roman" w:hAnsi="Times New Roman" w:cs="Times New Roman"/>
          <w:lang w:val="en-US"/>
        </w:rPr>
        <w:t>its</w:t>
      </w:r>
      <w:r w:rsidR="00AD17E0" w:rsidRPr="00622F6C">
        <w:rPr>
          <w:rFonts w:ascii="Times New Roman" w:hAnsi="Times New Roman" w:cs="Times New Roman"/>
          <w:lang w:val="en-US"/>
        </w:rPr>
        <w:t xml:space="preserve"> </w:t>
      </w:r>
      <w:r w:rsidR="00667210" w:rsidRPr="00622F6C">
        <w:rPr>
          <w:rFonts w:ascii="Times New Roman" w:hAnsi="Times New Roman" w:cs="Times New Roman"/>
          <w:lang w:val="en-US"/>
        </w:rPr>
        <w:t xml:space="preserve">focal </w:t>
      </w:r>
      <w:r w:rsidR="00587548" w:rsidRPr="00622F6C">
        <w:rPr>
          <w:rFonts w:ascii="Times New Roman" w:hAnsi="Times New Roman" w:cs="Times New Roman"/>
          <w:lang w:val="en-US"/>
        </w:rPr>
        <w:t>business or supply chain (‘slavery risk’</w:t>
      </w:r>
      <w:r w:rsidR="00EC1E1A" w:rsidRPr="00622F6C">
        <w:rPr>
          <w:rFonts w:ascii="Times New Roman" w:hAnsi="Times New Roman" w:cs="Times New Roman"/>
          <w:lang w:val="en-US"/>
        </w:rPr>
        <w:t>)</w:t>
      </w:r>
      <w:r w:rsidR="008B33AA" w:rsidRPr="00622F6C">
        <w:rPr>
          <w:rFonts w:ascii="Times New Roman" w:hAnsi="Times New Roman" w:cs="Times New Roman"/>
          <w:lang w:val="en-US"/>
        </w:rPr>
        <w:t xml:space="preserve">. </w:t>
      </w:r>
      <w:r w:rsidR="00194FC2">
        <w:rPr>
          <w:rFonts w:ascii="Times New Roman" w:hAnsi="Times New Roman" w:cs="Times New Roman"/>
          <w:lang w:val="en-US"/>
        </w:rPr>
        <w:t>T</w:t>
      </w:r>
      <w:r w:rsidR="0009361B" w:rsidRPr="00622F6C">
        <w:rPr>
          <w:rFonts w:ascii="Times New Roman" w:hAnsi="Times New Roman" w:cs="Times New Roman"/>
          <w:lang w:val="en-US"/>
        </w:rPr>
        <w:t xml:space="preserve">he direction of the effect of </w:t>
      </w:r>
      <w:r w:rsidR="0000470C">
        <w:rPr>
          <w:rFonts w:ascii="Times New Roman" w:hAnsi="Times New Roman" w:cs="Times New Roman"/>
          <w:lang w:val="en-US"/>
        </w:rPr>
        <w:t>slavery risk</w:t>
      </w:r>
      <w:r w:rsidR="0009361B" w:rsidRPr="00622F6C">
        <w:rPr>
          <w:rFonts w:ascii="Times New Roman" w:hAnsi="Times New Roman" w:cs="Times New Roman"/>
          <w:lang w:val="en-US"/>
        </w:rPr>
        <w:t xml:space="preserve"> is unclear a priori. </w:t>
      </w:r>
      <w:r w:rsidR="004D3D46">
        <w:rPr>
          <w:rFonts w:ascii="Times New Roman" w:hAnsi="Times New Roman" w:cs="Times New Roman"/>
          <w:lang w:val="en-US"/>
        </w:rPr>
        <w:t>On the one hand, i</w:t>
      </w:r>
      <w:r w:rsidR="008C590E" w:rsidRPr="00622F6C">
        <w:rPr>
          <w:rFonts w:ascii="Times New Roman" w:hAnsi="Times New Roman" w:cs="Times New Roman"/>
          <w:lang w:val="en-US"/>
        </w:rPr>
        <w:t xml:space="preserve">nvestors might expect heightened </w:t>
      </w:r>
      <w:r w:rsidR="00A30959" w:rsidRPr="00622F6C">
        <w:rPr>
          <w:rFonts w:ascii="Times New Roman" w:hAnsi="Times New Roman" w:cs="Times New Roman"/>
          <w:lang w:val="en-US"/>
        </w:rPr>
        <w:t>public</w:t>
      </w:r>
      <w:r w:rsidR="008C590E" w:rsidRPr="00622F6C">
        <w:rPr>
          <w:rFonts w:ascii="Times New Roman" w:hAnsi="Times New Roman" w:cs="Times New Roman"/>
          <w:lang w:val="en-US"/>
        </w:rPr>
        <w:t xml:space="preserve"> awareness of </w:t>
      </w:r>
      <w:r w:rsidR="0083719F" w:rsidRPr="00622F6C">
        <w:rPr>
          <w:rFonts w:ascii="Times New Roman" w:hAnsi="Times New Roman" w:cs="Times New Roman"/>
          <w:lang w:val="en-US"/>
        </w:rPr>
        <w:t xml:space="preserve">the </w:t>
      </w:r>
      <w:r w:rsidR="001C288F">
        <w:rPr>
          <w:rFonts w:ascii="Times New Roman" w:hAnsi="Times New Roman" w:cs="Times New Roman"/>
          <w:lang w:val="en-US"/>
        </w:rPr>
        <w:t xml:space="preserve">degree </w:t>
      </w:r>
      <w:r w:rsidR="0083719F" w:rsidRPr="00622F6C">
        <w:rPr>
          <w:rFonts w:ascii="Times New Roman" w:hAnsi="Times New Roman" w:cs="Times New Roman"/>
          <w:lang w:val="en-US"/>
        </w:rPr>
        <w:t xml:space="preserve">to which </w:t>
      </w:r>
      <w:r w:rsidR="008C590E" w:rsidRPr="00622F6C">
        <w:rPr>
          <w:rFonts w:ascii="Times New Roman" w:hAnsi="Times New Roman" w:cs="Times New Roman"/>
          <w:lang w:val="en-US"/>
        </w:rPr>
        <w:t>modern slavery issues</w:t>
      </w:r>
      <w:r w:rsidR="005D27BA" w:rsidRPr="00622F6C">
        <w:rPr>
          <w:rFonts w:ascii="Times New Roman" w:hAnsi="Times New Roman" w:cs="Times New Roman"/>
          <w:lang w:val="en-US"/>
        </w:rPr>
        <w:t xml:space="preserve"> </w:t>
      </w:r>
      <w:r w:rsidR="0083719F" w:rsidRPr="00622F6C">
        <w:rPr>
          <w:rFonts w:ascii="Times New Roman" w:hAnsi="Times New Roman" w:cs="Times New Roman"/>
          <w:lang w:val="en-US"/>
        </w:rPr>
        <w:t xml:space="preserve">are </w:t>
      </w:r>
      <w:r w:rsidR="005D27BA" w:rsidRPr="00622F6C">
        <w:rPr>
          <w:rFonts w:ascii="Times New Roman" w:hAnsi="Times New Roman" w:cs="Times New Roman"/>
          <w:lang w:val="en-US"/>
        </w:rPr>
        <w:t xml:space="preserve">affecting </w:t>
      </w:r>
      <w:r w:rsidR="0083719F" w:rsidRPr="00622F6C">
        <w:rPr>
          <w:rFonts w:ascii="Times New Roman" w:hAnsi="Times New Roman" w:cs="Times New Roman"/>
          <w:lang w:val="en-US"/>
        </w:rPr>
        <w:t xml:space="preserve">certain </w:t>
      </w:r>
      <w:r w:rsidR="005D27BA" w:rsidRPr="00622F6C">
        <w:rPr>
          <w:rFonts w:ascii="Times New Roman" w:hAnsi="Times New Roman" w:cs="Times New Roman"/>
          <w:lang w:val="en-US"/>
        </w:rPr>
        <w:t>firms</w:t>
      </w:r>
      <w:r w:rsidR="00EC1E1A" w:rsidRPr="00622F6C">
        <w:rPr>
          <w:rFonts w:ascii="Times New Roman" w:hAnsi="Times New Roman" w:cs="Times New Roman"/>
          <w:lang w:val="en-US"/>
        </w:rPr>
        <w:t xml:space="preserve"> following the </w:t>
      </w:r>
      <w:r w:rsidR="007C2C4D" w:rsidRPr="00622F6C">
        <w:rPr>
          <w:rFonts w:ascii="Times New Roman" w:hAnsi="Times New Roman" w:cs="Times New Roman"/>
          <w:lang w:val="en-US"/>
        </w:rPr>
        <w:t>MSA’s adoption</w:t>
      </w:r>
      <w:r w:rsidR="00EC1E1A" w:rsidRPr="00622F6C">
        <w:rPr>
          <w:rFonts w:ascii="Times New Roman" w:hAnsi="Times New Roman" w:cs="Times New Roman"/>
          <w:lang w:val="en-US"/>
        </w:rPr>
        <w:t xml:space="preserve">. </w:t>
      </w:r>
      <w:r w:rsidR="003F4FEA" w:rsidRPr="00622F6C">
        <w:rPr>
          <w:rFonts w:ascii="Times New Roman" w:hAnsi="Times New Roman" w:cs="Times New Roman"/>
          <w:lang w:val="en-US"/>
        </w:rPr>
        <w:t>Th</w:t>
      </w:r>
      <w:r w:rsidR="001708FE">
        <w:rPr>
          <w:rFonts w:ascii="Times New Roman" w:hAnsi="Times New Roman" w:cs="Times New Roman"/>
          <w:lang w:val="en-US"/>
        </w:rPr>
        <w:t>is</w:t>
      </w:r>
      <w:r w:rsidR="003F4FEA" w:rsidRPr="00622F6C">
        <w:rPr>
          <w:rFonts w:ascii="Times New Roman" w:hAnsi="Times New Roman" w:cs="Times New Roman"/>
          <w:lang w:val="en-US"/>
        </w:rPr>
        <w:t xml:space="preserve"> enhance</w:t>
      </w:r>
      <w:r w:rsidR="00D67EA8" w:rsidRPr="00622F6C">
        <w:rPr>
          <w:rFonts w:ascii="Times New Roman" w:hAnsi="Times New Roman" w:cs="Times New Roman"/>
          <w:lang w:val="en-US"/>
        </w:rPr>
        <w:t>d</w:t>
      </w:r>
      <w:r w:rsidR="003F4FEA" w:rsidRPr="00622F6C">
        <w:rPr>
          <w:rFonts w:ascii="Times New Roman" w:hAnsi="Times New Roman" w:cs="Times New Roman"/>
          <w:lang w:val="en-US"/>
        </w:rPr>
        <w:t xml:space="preserve"> salience of modern slavery </w:t>
      </w:r>
      <w:r w:rsidR="008C590E" w:rsidRPr="00622F6C">
        <w:rPr>
          <w:rFonts w:ascii="Times New Roman" w:hAnsi="Times New Roman" w:cs="Times New Roman"/>
          <w:lang w:val="en-US"/>
        </w:rPr>
        <w:t>might</w:t>
      </w:r>
      <w:r w:rsidR="005D27BA" w:rsidRPr="00622F6C">
        <w:rPr>
          <w:rFonts w:ascii="Times New Roman" w:hAnsi="Times New Roman" w:cs="Times New Roman"/>
          <w:lang w:val="en-US"/>
        </w:rPr>
        <w:t xml:space="preserve"> </w:t>
      </w:r>
      <w:r w:rsidR="00B82255" w:rsidRPr="00622F6C">
        <w:rPr>
          <w:rFonts w:ascii="Times New Roman" w:hAnsi="Times New Roman" w:cs="Times New Roman"/>
          <w:lang w:val="en-US"/>
        </w:rPr>
        <w:t xml:space="preserve">lead </w:t>
      </w:r>
      <w:r w:rsidR="000252B2" w:rsidRPr="00622F6C">
        <w:rPr>
          <w:rFonts w:ascii="Times New Roman" w:hAnsi="Times New Roman" w:cs="Times New Roman"/>
          <w:lang w:val="en-US"/>
        </w:rPr>
        <w:t>i</w:t>
      </w:r>
      <w:r w:rsidR="00194FC2">
        <w:rPr>
          <w:rFonts w:ascii="Times New Roman" w:hAnsi="Times New Roman" w:cs="Times New Roman"/>
          <w:lang w:val="en-US"/>
        </w:rPr>
        <w:t>nvestors</w:t>
      </w:r>
      <w:r w:rsidR="000252B2" w:rsidRPr="00622F6C">
        <w:rPr>
          <w:rFonts w:ascii="Times New Roman" w:hAnsi="Times New Roman" w:cs="Times New Roman"/>
          <w:lang w:val="en-US"/>
        </w:rPr>
        <w:t xml:space="preserve"> to expect</w:t>
      </w:r>
      <w:r w:rsidR="00B82255" w:rsidRPr="00622F6C">
        <w:rPr>
          <w:rFonts w:ascii="Times New Roman" w:hAnsi="Times New Roman" w:cs="Times New Roman"/>
          <w:lang w:val="en-US"/>
        </w:rPr>
        <w:t xml:space="preserve"> </w:t>
      </w:r>
      <w:r w:rsidR="00667210" w:rsidRPr="00622F6C">
        <w:rPr>
          <w:rFonts w:ascii="Times New Roman" w:hAnsi="Times New Roman" w:cs="Times New Roman"/>
          <w:lang w:val="en-US"/>
        </w:rPr>
        <w:t xml:space="preserve">incremental </w:t>
      </w:r>
      <w:r w:rsidR="00B82255" w:rsidRPr="00622F6C">
        <w:rPr>
          <w:rFonts w:ascii="Times New Roman" w:hAnsi="Times New Roman" w:cs="Times New Roman"/>
          <w:lang w:val="en-US"/>
        </w:rPr>
        <w:t xml:space="preserve">cash flow gains for firms </w:t>
      </w:r>
      <w:r w:rsidR="00205B17" w:rsidRPr="00622F6C">
        <w:rPr>
          <w:rFonts w:ascii="Times New Roman" w:hAnsi="Times New Roman" w:cs="Times New Roman"/>
          <w:lang w:val="en-US"/>
        </w:rPr>
        <w:t>with</w:t>
      </w:r>
      <w:r w:rsidR="00B82255" w:rsidRPr="00622F6C">
        <w:rPr>
          <w:rFonts w:ascii="Times New Roman" w:hAnsi="Times New Roman" w:cs="Times New Roman"/>
          <w:lang w:val="en-US"/>
        </w:rPr>
        <w:t xml:space="preserve"> a good </w:t>
      </w:r>
      <w:r w:rsidR="00B82255" w:rsidRPr="00622F6C">
        <w:rPr>
          <w:rFonts w:ascii="Times New Roman" w:hAnsi="Times New Roman" w:cs="Times New Roman"/>
          <w:lang w:val="en-US"/>
        </w:rPr>
        <w:lastRenderedPageBreak/>
        <w:t xml:space="preserve">track record </w:t>
      </w:r>
      <w:r w:rsidR="00930D32" w:rsidRPr="00622F6C">
        <w:rPr>
          <w:rFonts w:ascii="Times New Roman" w:hAnsi="Times New Roman" w:cs="Times New Roman"/>
          <w:lang w:val="en-US"/>
        </w:rPr>
        <w:t>of</w:t>
      </w:r>
      <w:r w:rsidR="00B82255" w:rsidRPr="00622F6C">
        <w:rPr>
          <w:rFonts w:ascii="Times New Roman" w:hAnsi="Times New Roman" w:cs="Times New Roman"/>
          <w:lang w:val="en-US"/>
        </w:rPr>
        <w:t xml:space="preserve"> </w:t>
      </w:r>
      <w:r w:rsidR="00930D32" w:rsidRPr="00622F6C">
        <w:rPr>
          <w:rFonts w:ascii="Times New Roman" w:hAnsi="Times New Roman" w:cs="Times New Roman"/>
          <w:lang w:val="en-US"/>
        </w:rPr>
        <w:t>addressing the risk of slave labor in their business or supply chains</w:t>
      </w:r>
      <w:r w:rsidR="004D3D46">
        <w:rPr>
          <w:rFonts w:ascii="Times New Roman" w:hAnsi="Times New Roman" w:cs="Times New Roman"/>
          <w:lang w:val="en-US"/>
        </w:rPr>
        <w:t>, and incremental cash flow losses for firms with a bad track record of addressing this risk</w:t>
      </w:r>
      <w:r w:rsidR="00EC1E1A" w:rsidRPr="00622F6C">
        <w:rPr>
          <w:rFonts w:ascii="Times New Roman" w:hAnsi="Times New Roman" w:cs="Times New Roman"/>
          <w:lang w:val="en-US"/>
        </w:rPr>
        <w:t xml:space="preserve">. </w:t>
      </w:r>
      <w:r w:rsidR="004D3D46">
        <w:rPr>
          <w:rFonts w:ascii="Times New Roman" w:hAnsi="Times New Roman" w:cs="Times New Roman"/>
          <w:lang w:val="en-US"/>
        </w:rPr>
        <w:t>For example</w:t>
      </w:r>
      <w:r w:rsidR="001708FE">
        <w:rPr>
          <w:rFonts w:ascii="Times New Roman" w:hAnsi="Times New Roman" w:cs="Times New Roman"/>
          <w:lang w:val="en-US"/>
        </w:rPr>
        <w:t xml:space="preserve">, </w:t>
      </w:r>
      <w:bookmarkStart w:id="15" w:name="_Hlk5259493"/>
      <w:r w:rsidR="001708FE">
        <w:rPr>
          <w:rFonts w:ascii="Times New Roman" w:hAnsi="Times New Roman" w:cs="Times New Roman"/>
          <w:lang w:val="en-US"/>
        </w:rPr>
        <w:t>l</w:t>
      </w:r>
      <w:r w:rsidR="00D00DB9" w:rsidRPr="00622F6C">
        <w:rPr>
          <w:rFonts w:ascii="Times New Roman" w:hAnsi="Times New Roman" w:cs="Times New Roman"/>
          <w:lang w:val="en-US"/>
        </w:rPr>
        <w:t>ow</w:t>
      </w:r>
      <w:r w:rsidR="00A54E37">
        <w:rPr>
          <w:rFonts w:ascii="Times New Roman" w:hAnsi="Times New Roman" w:cs="Times New Roman"/>
          <w:lang w:val="en-US"/>
        </w:rPr>
        <w:t>-</w:t>
      </w:r>
      <w:r w:rsidR="000252B2" w:rsidRPr="00622F6C">
        <w:rPr>
          <w:rFonts w:ascii="Times New Roman" w:hAnsi="Times New Roman" w:cs="Times New Roman"/>
          <w:lang w:val="en-US"/>
        </w:rPr>
        <w:t>slavery</w:t>
      </w:r>
      <w:r w:rsidR="00A54E37">
        <w:rPr>
          <w:rFonts w:ascii="Times New Roman" w:hAnsi="Times New Roman" w:cs="Times New Roman"/>
          <w:lang w:val="en-US"/>
        </w:rPr>
        <w:t>-</w:t>
      </w:r>
      <w:r w:rsidR="000252B2" w:rsidRPr="00622F6C">
        <w:rPr>
          <w:rFonts w:ascii="Times New Roman" w:hAnsi="Times New Roman" w:cs="Times New Roman"/>
          <w:lang w:val="en-US"/>
        </w:rPr>
        <w:t>risk</w:t>
      </w:r>
      <w:r w:rsidR="00EC1E1A" w:rsidRPr="00622F6C">
        <w:rPr>
          <w:rFonts w:ascii="Times New Roman" w:hAnsi="Times New Roman" w:cs="Times New Roman"/>
          <w:lang w:val="en-US"/>
        </w:rPr>
        <w:t xml:space="preserve"> </w:t>
      </w:r>
      <w:bookmarkEnd w:id="15"/>
      <w:r w:rsidR="00EC1E1A" w:rsidRPr="00622F6C">
        <w:rPr>
          <w:rFonts w:ascii="Times New Roman" w:hAnsi="Times New Roman" w:cs="Times New Roman"/>
          <w:lang w:val="en-US"/>
        </w:rPr>
        <w:t xml:space="preserve">firms might be able to charge higher prices to </w:t>
      </w:r>
      <w:r w:rsidR="000C4E1A">
        <w:rPr>
          <w:rFonts w:ascii="Times New Roman" w:hAnsi="Times New Roman" w:cs="Times New Roman"/>
          <w:lang w:val="en-US"/>
        </w:rPr>
        <w:t>customers</w:t>
      </w:r>
      <w:r w:rsidR="00D00DB9" w:rsidRPr="00622F6C">
        <w:rPr>
          <w:rFonts w:ascii="Times New Roman" w:hAnsi="Times New Roman" w:cs="Times New Roman"/>
          <w:lang w:val="en-US"/>
        </w:rPr>
        <w:t xml:space="preserve"> </w:t>
      </w:r>
      <w:r w:rsidR="00EC1E1A" w:rsidRPr="00622F6C">
        <w:rPr>
          <w:rFonts w:ascii="Times New Roman" w:hAnsi="Times New Roman" w:cs="Times New Roman"/>
          <w:lang w:val="en-US"/>
        </w:rPr>
        <w:t xml:space="preserve">and </w:t>
      </w:r>
      <w:r w:rsidR="00930D32" w:rsidRPr="00622F6C">
        <w:rPr>
          <w:rFonts w:ascii="Times New Roman" w:hAnsi="Times New Roman" w:cs="Times New Roman"/>
          <w:lang w:val="en-US"/>
        </w:rPr>
        <w:t>have more motivated employees</w:t>
      </w:r>
      <w:r w:rsidR="00EC1E1A" w:rsidRPr="00622F6C">
        <w:rPr>
          <w:rFonts w:ascii="Times New Roman" w:hAnsi="Times New Roman" w:cs="Times New Roman"/>
          <w:lang w:val="en-US"/>
        </w:rPr>
        <w:t xml:space="preserve"> </w:t>
      </w:r>
      <w:r w:rsidR="00716351">
        <w:rPr>
          <w:rFonts w:ascii="Times New Roman" w:hAnsi="Times New Roman" w:cs="Times New Roman"/>
          <w:lang w:val="en-US"/>
        </w:rPr>
        <w:t xml:space="preserve">through reputation </w:t>
      </w:r>
      <w:r w:rsidR="000C33AA">
        <w:rPr>
          <w:rFonts w:ascii="Times New Roman" w:hAnsi="Times New Roman" w:cs="Times New Roman"/>
          <w:lang w:val="en-US"/>
        </w:rPr>
        <w:t xml:space="preserve">enhancement </w:t>
      </w:r>
      <w:r w:rsidR="00B0231C" w:rsidRPr="00622F6C">
        <w:rPr>
          <w:rFonts w:ascii="Times New Roman" w:hAnsi="Times New Roman" w:cs="Times New Roman"/>
          <w:lang w:val="en-US"/>
        </w:rPr>
        <w:t>(</w:t>
      </w:r>
      <w:r w:rsidR="00930D32" w:rsidRPr="00622F6C">
        <w:rPr>
          <w:rFonts w:ascii="Times New Roman" w:hAnsi="Times New Roman" w:cs="Times New Roman"/>
          <w:lang w:val="en-US"/>
        </w:rPr>
        <w:t>Flammer, 2015</w:t>
      </w:r>
      <w:r w:rsidR="00716351">
        <w:rPr>
          <w:rFonts w:ascii="Times New Roman" w:hAnsi="Times New Roman" w:cs="Times New Roman"/>
          <w:lang w:val="en-US"/>
        </w:rPr>
        <w:t xml:space="preserve">; </w:t>
      </w:r>
      <w:r w:rsidR="00716351" w:rsidRPr="00622F6C">
        <w:rPr>
          <w:rFonts w:ascii="Times New Roman" w:hAnsi="Times New Roman" w:cs="Times New Roman"/>
          <w:lang w:val="en-US"/>
        </w:rPr>
        <w:t xml:space="preserve">Pigors and Rockenbach, </w:t>
      </w:r>
      <w:r w:rsidR="00716351">
        <w:rPr>
          <w:rFonts w:ascii="Times New Roman" w:hAnsi="Times New Roman" w:cs="Times New Roman"/>
          <w:lang w:val="en-US"/>
        </w:rPr>
        <w:t>2016</w:t>
      </w:r>
      <w:r w:rsidR="00B0231C" w:rsidRPr="00622F6C">
        <w:rPr>
          <w:rFonts w:ascii="Times New Roman" w:hAnsi="Times New Roman" w:cs="Times New Roman"/>
          <w:lang w:val="en-US"/>
        </w:rPr>
        <w:t>)</w:t>
      </w:r>
      <w:r w:rsidR="004D3D46">
        <w:rPr>
          <w:rFonts w:ascii="Times New Roman" w:hAnsi="Times New Roman" w:cs="Times New Roman"/>
          <w:lang w:val="en-US"/>
        </w:rPr>
        <w:t xml:space="preserve">, while high-slavery-risk firms may become more vulnerable to </w:t>
      </w:r>
      <w:r w:rsidR="000252B2" w:rsidRPr="00622F6C">
        <w:rPr>
          <w:rFonts w:ascii="Times New Roman" w:hAnsi="Times New Roman" w:cs="Times New Roman"/>
          <w:lang w:val="en-US"/>
        </w:rPr>
        <w:t xml:space="preserve">stakeholder actions </w:t>
      </w:r>
      <w:r w:rsidR="00D00DB9" w:rsidRPr="00622F6C">
        <w:rPr>
          <w:rFonts w:ascii="Times New Roman" w:hAnsi="Times New Roman" w:cs="Times New Roman"/>
          <w:lang w:val="en-US"/>
        </w:rPr>
        <w:t xml:space="preserve">such as protests and litigation </w:t>
      </w:r>
      <w:r w:rsidR="00347978">
        <w:rPr>
          <w:rFonts w:ascii="Times New Roman" w:hAnsi="Times New Roman" w:cs="Times New Roman"/>
          <w:lang w:val="en-US"/>
        </w:rPr>
        <w:t>following the MSA’s adoption</w:t>
      </w:r>
      <w:r w:rsidR="00D00DB9" w:rsidRPr="00622F6C">
        <w:rPr>
          <w:rFonts w:ascii="Times New Roman" w:hAnsi="Times New Roman" w:cs="Times New Roman"/>
          <w:lang w:val="en-US"/>
        </w:rPr>
        <w:t xml:space="preserve"> </w:t>
      </w:r>
      <w:r w:rsidR="00B0231C" w:rsidRPr="00622F6C">
        <w:rPr>
          <w:rFonts w:ascii="Times New Roman" w:hAnsi="Times New Roman" w:cs="Times New Roman"/>
          <w:lang w:val="en-US"/>
        </w:rPr>
        <w:t>(King and Soule, 2007; Koh et al., 2014</w:t>
      </w:r>
      <w:r w:rsidR="00552C26">
        <w:rPr>
          <w:rFonts w:ascii="Times New Roman" w:hAnsi="Times New Roman" w:cs="Times New Roman"/>
          <w:lang w:val="en-US"/>
        </w:rPr>
        <w:t>)</w:t>
      </w:r>
      <w:r w:rsidR="005D27BA" w:rsidRPr="00622F6C">
        <w:rPr>
          <w:rFonts w:ascii="Times New Roman" w:hAnsi="Times New Roman" w:cs="Times New Roman"/>
          <w:lang w:val="en-US"/>
        </w:rPr>
        <w:t>.</w:t>
      </w:r>
      <w:r w:rsidR="00552C26">
        <w:rPr>
          <w:rFonts w:ascii="Times New Roman" w:hAnsi="Times New Roman" w:cs="Times New Roman"/>
          <w:lang w:val="en-US"/>
        </w:rPr>
        <w:t xml:space="preserve"> To the extent that high-slavery-risk firms find it too difficult or costly to reduce their slavery risk</w:t>
      </w:r>
      <w:r w:rsidR="004D3D46">
        <w:rPr>
          <w:rFonts w:ascii="Times New Roman" w:hAnsi="Times New Roman" w:cs="Times New Roman"/>
          <w:lang w:val="en-US"/>
        </w:rPr>
        <w:t>, demonstrated low slavery risk may</w:t>
      </w:r>
      <w:r w:rsidR="001C288F">
        <w:rPr>
          <w:rFonts w:ascii="Times New Roman" w:hAnsi="Times New Roman" w:cs="Times New Roman"/>
          <w:lang w:val="en-US"/>
        </w:rPr>
        <w:t xml:space="preserve"> </w:t>
      </w:r>
      <w:r w:rsidR="004D3D46">
        <w:rPr>
          <w:rFonts w:ascii="Times New Roman" w:hAnsi="Times New Roman" w:cs="Times New Roman"/>
          <w:lang w:val="en-US"/>
        </w:rPr>
        <w:t xml:space="preserve">provide a long-term competitive advantage to firms </w:t>
      </w:r>
      <w:r w:rsidR="00552C26">
        <w:rPr>
          <w:rFonts w:ascii="Times New Roman" w:hAnsi="Times New Roman" w:cs="Times New Roman"/>
          <w:lang w:val="en-US"/>
        </w:rPr>
        <w:t xml:space="preserve">following the adoption of the MSA </w:t>
      </w:r>
      <w:r w:rsidR="004D3D46" w:rsidRPr="00622F6C">
        <w:rPr>
          <w:rFonts w:ascii="Times New Roman" w:hAnsi="Times New Roman" w:cs="Times New Roman"/>
          <w:lang w:val="en-US"/>
        </w:rPr>
        <w:t xml:space="preserve">(Hart, 1995; </w:t>
      </w:r>
      <w:r w:rsidR="004D3D46">
        <w:rPr>
          <w:rFonts w:ascii="Times New Roman" w:hAnsi="Times New Roman" w:cs="Times New Roman"/>
          <w:lang w:val="en-US"/>
        </w:rPr>
        <w:t xml:space="preserve">Porter and Van der Linde, 1995; </w:t>
      </w:r>
      <w:r w:rsidR="004D3D46" w:rsidRPr="00622F6C">
        <w:rPr>
          <w:rFonts w:ascii="Times New Roman" w:hAnsi="Times New Roman" w:cs="Times New Roman"/>
          <w:lang w:val="en-US"/>
        </w:rPr>
        <w:t>Hart and Dowell, 2011</w:t>
      </w:r>
      <w:r w:rsidR="004D3D46">
        <w:rPr>
          <w:rFonts w:ascii="Times New Roman" w:hAnsi="Times New Roman" w:cs="Times New Roman"/>
          <w:lang w:val="en-US"/>
        </w:rPr>
        <w:t>; Flammer, 2013</w:t>
      </w:r>
      <w:r w:rsidR="00194FC2">
        <w:rPr>
          <w:rFonts w:ascii="Times New Roman" w:hAnsi="Times New Roman" w:cs="Times New Roman"/>
          <w:lang w:val="en-US"/>
        </w:rPr>
        <w:t>; Grewal et al., 2018</w:t>
      </w:r>
      <w:r w:rsidR="004D3D46" w:rsidRPr="00622F6C">
        <w:rPr>
          <w:rFonts w:ascii="Times New Roman" w:hAnsi="Times New Roman" w:cs="Times New Roman"/>
          <w:lang w:val="en-US"/>
        </w:rPr>
        <w:t>)</w:t>
      </w:r>
      <w:r w:rsidR="00194FC2">
        <w:rPr>
          <w:rFonts w:ascii="Times New Roman" w:hAnsi="Times New Roman" w:cs="Times New Roman"/>
          <w:lang w:val="en-US"/>
        </w:rPr>
        <w:t xml:space="preserve">. We thus obtain an </w:t>
      </w:r>
      <w:r w:rsidR="000C33AA">
        <w:rPr>
          <w:rFonts w:ascii="Times New Roman" w:hAnsi="Times New Roman" w:cs="Times New Roman"/>
          <w:lang w:val="en-US"/>
        </w:rPr>
        <w:t>expectation of more favorable MSA-related stock price reactions for low-slavery-risk firms</w:t>
      </w:r>
      <w:r w:rsidR="004D3D46" w:rsidRPr="00622F6C">
        <w:rPr>
          <w:rFonts w:ascii="Times New Roman" w:hAnsi="Times New Roman" w:cs="Times New Roman"/>
          <w:lang w:val="en-US"/>
        </w:rPr>
        <w:t>.</w:t>
      </w:r>
      <w:r w:rsidR="004D3D46">
        <w:rPr>
          <w:rFonts w:ascii="Times New Roman" w:hAnsi="Times New Roman" w:cs="Times New Roman"/>
          <w:lang w:val="en-US"/>
        </w:rPr>
        <w:t xml:space="preserve"> </w:t>
      </w:r>
      <w:r w:rsidR="00716351">
        <w:rPr>
          <w:rFonts w:ascii="Times New Roman" w:hAnsi="Times New Roman" w:cs="Times New Roman"/>
          <w:lang w:val="en-US"/>
        </w:rPr>
        <w:t xml:space="preserve">On the other hand, </w:t>
      </w:r>
      <w:r w:rsidR="00552C26">
        <w:rPr>
          <w:rFonts w:ascii="Times New Roman" w:hAnsi="Times New Roman" w:cs="Times New Roman"/>
          <w:lang w:val="en-US"/>
        </w:rPr>
        <w:t xml:space="preserve">investors might believe that </w:t>
      </w:r>
      <w:r w:rsidR="00716351">
        <w:rPr>
          <w:rFonts w:ascii="Times New Roman" w:hAnsi="Times New Roman" w:cs="Times New Roman"/>
          <w:lang w:val="en-US"/>
        </w:rPr>
        <w:t xml:space="preserve">high-slavery-risk firms </w:t>
      </w:r>
      <w:r w:rsidR="00552C26">
        <w:rPr>
          <w:rFonts w:ascii="Times New Roman" w:hAnsi="Times New Roman" w:cs="Times New Roman"/>
          <w:lang w:val="en-US"/>
        </w:rPr>
        <w:t>will be</w:t>
      </w:r>
      <w:r w:rsidR="00194FC2">
        <w:rPr>
          <w:rFonts w:ascii="Times New Roman" w:hAnsi="Times New Roman" w:cs="Times New Roman"/>
          <w:lang w:val="en-US"/>
        </w:rPr>
        <w:t xml:space="preserve"> </w:t>
      </w:r>
      <w:r w:rsidR="0033763E">
        <w:rPr>
          <w:rFonts w:ascii="Times New Roman" w:hAnsi="Times New Roman" w:cs="Times New Roman"/>
          <w:lang w:val="en-US"/>
        </w:rPr>
        <w:t xml:space="preserve">successful at taking </w:t>
      </w:r>
      <w:r w:rsidR="001C288F">
        <w:rPr>
          <w:rFonts w:ascii="Times New Roman" w:hAnsi="Times New Roman" w:cs="Times New Roman"/>
          <w:lang w:val="en-US"/>
        </w:rPr>
        <w:t xml:space="preserve">slavery-risk-reducing </w:t>
      </w:r>
      <w:r w:rsidR="0033763E">
        <w:rPr>
          <w:rFonts w:ascii="Times New Roman" w:hAnsi="Times New Roman" w:cs="Times New Roman"/>
          <w:lang w:val="en-US"/>
        </w:rPr>
        <w:t>actions</w:t>
      </w:r>
      <w:r w:rsidR="00716351">
        <w:rPr>
          <w:rFonts w:ascii="Times New Roman" w:hAnsi="Times New Roman" w:cs="Times New Roman"/>
          <w:lang w:val="en-US"/>
        </w:rPr>
        <w:t xml:space="preserve"> </w:t>
      </w:r>
      <w:r w:rsidR="007142DF">
        <w:rPr>
          <w:rFonts w:ascii="Times New Roman" w:hAnsi="Times New Roman" w:cs="Times New Roman"/>
          <w:lang w:val="en-US"/>
        </w:rPr>
        <w:t>following the MSA’s adoption</w:t>
      </w:r>
      <w:r w:rsidR="000C33AA">
        <w:rPr>
          <w:rFonts w:ascii="Times New Roman" w:hAnsi="Times New Roman" w:cs="Times New Roman"/>
          <w:lang w:val="en-US"/>
        </w:rPr>
        <w:t xml:space="preserve">, thereby avoiding the negative cash flow effects associated with </w:t>
      </w:r>
      <w:r w:rsidR="00552C26">
        <w:rPr>
          <w:rFonts w:ascii="Times New Roman" w:hAnsi="Times New Roman" w:cs="Times New Roman"/>
          <w:lang w:val="en-US"/>
        </w:rPr>
        <w:t>the risk of slave labor,</w:t>
      </w:r>
      <w:r w:rsidR="00194FC2">
        <w:rPr>
          <w:rFonts w:ascii="Times New Roman" w:hAnsi="Times New Roman" w:cs="Times New Roman"/>
          <w:lang w:val="en-US"/>
        </w:rPr>
        <w:t xml:space="preserve"> and potentially increasing their operational efficiency (</w:t>
      </w:r>
      <w:r w:rsidR="00194FC2" w:rsidRPr="00622F6C">
        <w:rPr>
          <w:rFonts w:ascii="Times New Roman" w:hAnsi="Times New Roman" w:cs="Times New Roman"/>
          <w:lang w:val="en-US"/>
        </w:rPr>
        <w:t>Shleifer, 2004; Gualandris et al., 2015)</w:t>
      </w:r>
      <w:r w:rsidR="00552C26">
        <w:rPr>
          <w:rFonts w:ascii="Times New Roman" w:hAnsi="Times New Roman" w:cs="Times New Roman"/>
          <w:lang w:val="en-US"/>
        </w:rPr>
        <w:t xml:space="preserve">. As such, </w:t>
      </w:r>
      <w:r w:rsidR="00716351">
        <w:rPr>
          <w:rFonts w:ascii="Times New Roman" w:hAnsi="Times New Roman" w:cs="Times New Roman"/>
          <w:lang w:val="en-US"/>
        </w:rPr>
        <w:t xml:space="preserve">investors might perceive the incremental benefits of the </w:t>
      </w:r>
      <w:r w:rsidR="00552C26">
        <w:rPr>
          <w:rFonts w:ascii="Times New Roman" w:hAnsi="Times New Roman" w:cs="Times New Roman"/>
          <w:lang w:val="en-US"/>
        </w:rPr>
        <w:t>MSA</w:t>
      </w:r>
      <w:r w:rsidR="000C33AA">
        <w:rPr>
          <w:rFonts w:ascii="Times New Roman" w:hAnsi="Times New Roman" w:cs="Times New Roman"/>
          <w:lang w:val="en-US"/>
        </w:rPr>
        <w:t xml:space="preserve"> </w:t>
      </w:r>
      <w:r w:rsidR="00347978">
        <w:rPr>
          <w:rFonts w:ascii="Times New Roman" w:hAnsi="Times New Roman" w:cs="Times New Roman"/>
          <w:lang w:val="en-US"/>
        </w:rPr>
        <w:t xml:space="preserve">to be higher </w:t>
      </w:r>
      <w:r w:rsidR="000C33AA">
        <w:rPr>
          <w:rFonts w:ascii="Times New Roman" w:hAnsi="Times New Roman" w:cs="Times New Roman"/>
          <w:lang w:val="en-US"/>
        </w:rPr>
        <w:t xml:space="preserve">for </w:t>
      </w:r>
      <w:r w:rsidR="00552C26">
        <w:rPr>
          <w:rFonts w:ascii="Times New Roman" w:hAnsi="Times New Roman" w:cs="Times New Roman"/>
          <w:lang w:val="en-US"/>
        </w:rPr>
        <w:t>high-slavery-risk</w:t>
      </w:r>
      <w:r w:rsidR="00716351">
        <w:rPr>
          <w:rFonts w:ascii="Times New Roman" w:hAnsi="Times New Roman" w:cs="Times New Roman"/>
          <w:lang w:val="en-US"/>
        </w:rPr>
        <w:t xml:space="preserve"> firms than for their lower-risk counterparts. </w:t>
      </w:r>
      <w:r w:rsidR="00552C26">
        <w:rPr>
          <w:rFonts w:ascii="Times New Roman" w:hAnsi="Times New Roman" w:cs="Times New Roman"/>
          <w:lang w:val="en-US"/>
        </w:rPr>
        <w:t xml:space="preserve">Under this viewpoint, we obtain </w:t>
      </w:r>
      <w:r w:rsidR="00AD17E0">
        <w:rPr>
          <w:rFonts w:ascii="Times New Roman" w:hAnsi="Times New Roman" w:cs="Times New Roman"/>
          <w:lang w:val="en-US"/>
        </w:rPr>
        <w:t>a prediction</w:t>
      </w:r>
      <w:r w:rsidR="00552C26">
        <w:rPr>
          <w:rFonts w:ascii="Times New Roman" w:hAnsi="Times New Roman" w:cs="Times New Roman"/>
          <w:lang w:val="en-US"/>
        </w:rPr>
        <w:t xml:space="preserve"> of more favorable MSA-related stock price reactions for high-slavery-risk firms</w:t>
      </w:r>
      <w:r w:rsidR="00552C26" w:rsidRPr="00622F6C">
        <w:rPr>
          <w:rFonts w:ascii="Times New Roman" w:hAnsi="Times New Roman" w:cs="Times New Roman"/>
          <w:lang w:val="en-US"/>
        </w:rPr>
        <w:t>.</w:t>
      </w:r>
      <w:r w:rsidR="00552C26">
        <w:rPr>
          <w:rFonts w:ascii="Times New Roman" w:hAnsi="Times New Roman" w:cs="Times New Roman"/>
          <w:lang w:val="en-US"/>
        </w:rPr>
        <w:t xml:space="preserve"> </w:t>
      </w:r>
      <w:r w:rsidR="00716351">
        <w:rPr>
          <w:rFonts w:ascii="Times New Roman" w:hAnsi="Times New Roman" w:cs="Times New Roman"/>
          <w:lang w:val="en-US"/>
        </w:rPr>
        <w:t>Moreover</w:t>
      </w:r>
      <w:r w:rsidR="002E7EEF" w:rsidRPr="00622F6C">
        <w:rPr>
          <w:rFonts w:ascii="Times New Roman" w:hAnsi="Times New Roman" w:cs="Times New Roman"/>
          <w:lang w:val="en-US"/>
        </w:rPr>
        <w:t xml:space="preserve">, investors might expect the MSA to be </w:t>
      </w:r>
      <w:r w:rsidR="00B65080">
        <w:rPr>
          <w:rFonts w:ascii="Times New Roman" w:hAnsi="Times New Roman" w:cs="Times New Roman"/>
          <w:lang w:val="en-US"/>
        </w:rPr>
        <w:t>a</w:t>
      </w:r>
      <w:r w:rsidR="00B65080" w:rsidRPr="00622F6C">
        <w:rPr>
          <w:rFonts w:ascii="Times New Roman" w:hAnsi="Times New Roman" w:cs="Times New Roman"/>
          <w:lang w:val="en-US"/>
        </w:rPr>
        <w:t xml:space="preserve"> </w:t>
      </w:r>
      <w:r w:rsidR="002E7EEF" w:rsidRPr="00622F6C">
        <w:rPr>
          <w:rFonts w:ascii="Times New Roman" w:hAnsi="Times New Roman" w:cs="Times New Roman"/>
          <w:lang w:val="en-US"/>
        </w:rPr>
        <w:t>cat</w:t>
      </w:r>
      <w:r w:rsidR="00FD0CF0" w:rsidRPr="00622F6C">
        <w:rPr>
          <w:rFonts w:ascii="Times New Roman" w:hAnsi="Times New Roman" w:cs="Times New Roman"/>
          <w:lang w:val="en-US"/>
        </w:rPr>
        <w:t xml:space="preserve">alyst </w:t>
      </w:r>
      <w:r w:rsidR="00B65080">
        <w:rPr>
          <w:rFonts w:ascii="Times New Roman" w:hAnsi="Times New Roman" w:cs="Times New Roman"/>
          <w:lang w:val="en-US"/>
        </w:rPr>
        <w:t>for</w:t>
      </w:r>
      <w:r w:rsidR="00B65080" w:rsidRPr="00622F6C">
        <w:rPr>
          <w:rFonts w:ascii="Times New Roman" w:hAnsi="Times New Roman" w:cs="Times New Roman"/>
          <w:lang w:val="en-US"/>
        </w:rPr>
        <w:t xml:space="preserve"> </w:t>
      </w:r>
      <w:r w:rsidR="00FD0CF0" w:rsidRPr="00622F6C">
        <w:rPr>
          <w:rFonts w:ascii="Times New Roman" w:hAnsi="Times New Roman" w:cs="Times New Roman"/>
          <w:lang w:val="en-US"/>
        </w:rPr>
        <w:t>future, potentially more stringent</w:t>
      </w:r>
      <w:r w:rsidR="003F4FEA" w:rsidRPr="00622F6C">
        <w:rPr>
          <w:rFonts w:ascii="Times New Roman" w:hAnsi="Times New Roman" w:cs="Times New Roman"/>
          <w:lang w:val="en-US"/>
        </w:rPr>
        <w:t xml:space="preserve"> government </w:t>
      </w:r>
      <w:r w:rsidR="002E7EEF" w:rsidRPr="00622F6C">
        <w:rPr>
          <w:rFonts w:ascii="Times New Roman" w:hAnsi="Times New Roman" w:cs="Times New Roman"/>
          <w:lang w:val="en-US"/>
        </w:rPr>
        <w:t>regulation</w:t>
      </w:r>
      <w:r w:rsidR="003F4FEA" w:rsidRPr="00622F6C">
        <w:rPr>
          <w:rFonts w:ascii="Times New Roman" w:hAnsi="Times New Roman" w:cs="Times New Roman"/>
          <w:lang w:val="en-US"/>
        </w:rPr>
        <w:t>s</w:t>
      </w:r>
      <w:r w:rsidR="00B413E0" w:rsidRPr="00622F6C">
        <w:rPr>
          <w:rFonts w:ascii="Times New Roman" w:hAnsi="Times New Roman" w:cs="Times New Roman"/>
          <w:lang w:val="en-US"/>
        </w:rPr>
        <w:t xml:space="preserve"> regarding modern slavery issues</w:t>
      </w:r>
      <w:r w:rsidR="00A30959" w:rsidRPr="00622F6C">
        <w:rPr>
          <w:rFonts w:ascii="Times New Roman" w:hAnsi="Times New Roman" w:cs="Times New Roman"/>
          <w:lang w:val="en-US"/>
        </w:rPr>
        <w:t xml:space="preserve">, which may provoke additional positive and negative cash flow effects </w:t>
      </w:r>
      <w:r w:rsidR="002E7EEF" w:rsidRPr="00622F6C">
        <w:rPr>
          <w:rFonts w:ascii="Times New Roman" w:hAnsi="Times New Roman" w:cs="Times New Roman"/>
          <w:lang w:val="en-US"/>
        </w:rPr>
        <w:t>(</w:t>
      </w:r>
      <w:r w:rsidR="00D67EA8" w:rsidRPr="00622F6C">
        <w:rPr>
          <w:rFonts w:ascii="Times New Roman" w:hAnsi="Times New Roman" w:cs="Times New Roman"/>
          <w:lang w:val="en-US"/>
        </w:rPr>
        <w:t>Thomson Reuters, 2015</w:t>
      </w:r>
      <w:r w:rsidR="002E7EEF" w:rsidRPr="00622F6C">
        <w:rPr>
          <w:rFonts w:ascii="Times New Roman" w:hAnsi="Times New Roman" w:cs="Times New Roman"/>
          <w:lang w:val="en-US"/>
        </w:rPr>
        <w:t>)</w:t>
      </w:r>
      <w:r w:rsidR="00B413E0" w:rsidRPr="00622F6C">
        <w:rPr>
          <w:rFonts w:ascii="Times New Roman" w:hAnsi="Times New Roman" w:cs="Times New Roman"/>
          <w:lang w:val="en-US"/>
        </w:rPr>
        <w:t>.</w:t>
      </w:r>
      <w:r w:rsidR="00113D4C" w:rsidRPr="00622F6C">
        <w:rPr>
          <w:rFonts w:ascii="Times New Roman" w:hAnsi="Times New Roman" w:cs="Times New Roman"/>
          <w:lang w:val="en-US"/>
        </w:rPr>
        <w:t xml:space="preserve"> </w:t>
      </w:r>
    </w:p>
    <w:p w14:paraId="53B18FBE" w14:textId="77777777" w:rsidR="000968A6" w:rsidRPr="00622F6C" w:rsidRDefault="00EC1E1A" w:rsidP="000968A6">
      <w:pPr>
        <w:tabs>
          <w:tab w:val="left" w:pos="567"/>
        </w:tabs>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Secondly, we expect </w:t>
      </w:r>
      <w:r w:rsidR="00AD17E0">
        <w:rPr>
          <w:rFonts w:ascii="Times New Roman" w:hAnsi="Times New Roman" w:cs="Times New Roman"/>
          <w:lang w:val="en-US"/>
        </w:rPr>
        <w:t>stock price reactions to be influenced by a firm’s</w:t>
      </w:r>
      <w:r w:rsidRPr="00622F6C">
        <w:rPr>
          <w:rFonts w:ascii="Times New Roman" w:hAnsi="Times New Roman" w:cs="Times New Roman"/>
          <w:lang w:val="en-US"/>
        </w:rPr>
        <w:t xml:space="preserve"> pre-regulatory </w:t>
      </w:r>
      <w:bookmarkStart w:id="16" w:name="_Hlk523926608"/>
      <w:r w:rsidR="002353E0" w:rsidRPr="00267A6D">
        <w:rPr>
          <w:rFonts w:ascii="Times New Roman" w:hAnsi="Times New Roman" w:cs="Times New Roman"/>
          <w:lang w:val="en-US"/>
        </w:rPr>
        <w:t>Corporate Social Responsibility</w:t>
      </w:r>
      <w:r w:rsidR="002353E0" w:rsidRPr="00622F6C">
        <w:rPr>
          <w:rFonts w:ascii="Times New Roman" w:hAnsi="Times New Roman" w:cs="Times New Roman"/>
          <w:lang w:val="en-US"/>
        </w:rPr>
        <w:t xml:space="preserve"> (</w:t>
      </w:r>
      <w:r w:rsidRPr="00622F6C">
        <w:rPr>
          <w:rFonts w:ascii="Times New Roman" w:hAnsi="Times New Roman" w:cs="Times New Roman"/>
          <w:lang w:val="en-US"/>
        </w:rPr>
        <w:t>CSR</w:t>
      </w:r>
      <w:r w:rsidR="002353E0" w:rsidRPr="00622F6C">
        <w:rPr>
          <w:rFonts w:ascii="Times New Roman" w:hAnsi="Times New Roman" w:cs="Times New Roman"/>
          <w:lang w:val="en-US"/>
        </w:rPr>
        <w:t>)</w:t>
      </w:r>
      <w:bookmarkEnd w:id="16"/>
      <w:r w:rsidRPr="00622F6C">
        <w:rPr>
          <w:rFonts w:ascii="Times New Roman" w:hAnsi="Times New Roman" w:cs="Times New Roman"/>
          <w:lang w:val="en-US"/>
        </w:rPr>
        <w:t xml:space="preserve"> disclosure levels. </w:t>
      </w:r>
      <w:r w:rsidR="00D67EA8" w:rsidRPr="00622F6C">
        <w:rPr>
          <w:rFonts w:ascii="Times New Roman" w:hAnsi="Times New Roman" w:cs="Times New Roman"/>
          <w:lang w:val="en-US"/>
        </w:rPr>
        <w:t xml:space="preserve">In contrast </w:t>
      </w:r>
      <w:r w:rsidR="00B65080">
        <w:rPr>
          <w:rFonts w:ascii="Times New Roman" w:hAnsi="Times New Roman" w:cs="Times New Roman"/>
          <w:lang w:val="en-US"/>
        </w:rPr>
        <w:t>to</w:t>
      </w:r>
      <w:r w:rsidR="00B65080" w:rsidRPr="00622F6C">
        <w:rPr>
          <w:rFonts w:ascii="Times New Roman" w:hAnsi="Times New Roman" w:cs="Times New Roman"/>
          <w:lang w:val="en-US"/>
        </w:rPr>
        <w:t xml:space="preserve"> </w:t>
      </w:r>
      <w:r w:rsidR="00D67EA8" w:rsidRPr="00622F6C">
        <w:rPr>
          <w:rFonts w:ascii="Times New Roman" w:hAnsi="Times New Roman" w:cs="Times New Roman"/>
          <w:lang w:val="en-US"/>
        </w:rPr>
        <w:t xml:space="preserve">our first </w:t>
      </w:r>
      <w:r w:rsidR="000252B2" w:rsidRPr="00622F6C">
        <w:rPr>
          <w:rFonts w:ascii="Times New Roman" w:hAnsi="Times New Roman" w:cs="Times New Roman"/>
          <w:lang w:val="en-US"/>
        </w:rPr>
        <w:t xml:space="preserve">cross-sectional </w:t>
      </w:r>
      <w:r w:rsidR="00D67EA8" w:rsidRPr="00622F6C">
        <w:rPr>
          <w:rFonts w:ascii="Times New Roman" w:hAnsi="Times New Roman" w:cs="Times New Roman"/>
          <w:lang w:val="en-US"/>
        </w:rPr>
        <w:t xml:space="preserve">hypothesis, this </w:t>
      </w:r>
      <w:r w:rsidR="00AA510B" w:rsidRPr="00622F6C">
        <w:rPr>
          <w:rFonts w:ascii="Times New Roman" w:hAnsi="Times New Roman" w:cs="Times New Roman"/>
          <w:lang w:val="en-US"/>
        </w:rPr>
        <w:t>prediction</w:t>
      </w:r>
      <w:r w:rsidR="00D67EA8" w:rsidRPr="00622F6C">
        <w:rPr>
          <w:rFonts w:ascii="Times New Roman" w:hAnsi="Times New Roman" w:cs="Times New Roman"/>
          <w:lang w:val="en-US"/>
        </w:rPr>
        <w:t xml:space="preserve"> pertains specifically to the TISC clause, as </w:t>
      </w:r>
      <w:r w:rsidR="00347978">
        <w:rPr>
          <w:rFonts w:ascii="Times New Roman" w:hAnsi="Times New Roman" w:cs="Times New Roman"/>
          <w:lang w:val="en-US"/>
        </w:rPr>
        <w:t>no</w:t>
      </w:r>
      <w:r w:rsidR="00D67EA8" w:rsidRPr="00622F6C">
        <w:rPr>
          <w:rFonts w:ascii="Times New Roman" w:hAnsi="Times New Roman" w:cs="Times New Roman"/>
          <w:lang w:val="en-US"/>
        </w:rPr>
        <w:t xml:space="preserve"> o</w:t>
      </w:r>
      <w:r w:rsidR="00B413E0" w:rsidRPr="00622F6C">
        <w:rPr>
          <w:rFonts w:ascii="Times New Roman" w:hAnsi="Times New Roman" w:cs="Times New Roman"/>
          <w:lang w:val="en-US"/>
        </w:rPr>
        <w:t xml:space="preserve">ther </w:t>
      </w:r>
      <w:r w:rsidR="00FD0CF0" w:rsidRPr="00622F6C">
        <w:rPr>
          <w:rFonts w:ascii="Times New Roman" w:hAnsi="Times New Roman" w:cs="Times New Roman"/>
          <w:lang w:val="en-US"/>
        </w:rPr>
        <w:t>part</w:t>
      </w:r>
      <w:r w:rsidR="00B413E0" w:rsidRPr="00622F6C">
        <w:rPr>
          <w:rFonts w:ascii="Times New Roman" w:hAnsi="Times New Roman" w:cs="Times New Roman"/>
          <w:lang w:val="en-US"/>
        </w:rPr>
        <w:t xml:space="preserve"> of the </w:t>
      </w:r>
      <w:r w:rsidR="000968A6" w:rsidRPr="00622F6C">
        <w:rPr>
          <w:rFonts w:ascii="Times New Roman" w:hAnsi="Times New Roman" w:cs="Times New Roman"/>
          <w:lang w:val="en-US"/>
        </w:rPr>
        <w:t>MSA</w:t>
      </w:r>
      <w:r w:rsidR="00D67EA8" w:rsidRPr="00622F6C">
        <w:rPr>
          <w:rFonts w:ascii="Times New Roman" w:hAnsi="Times New Roman" w:cs="Times New Roman"/>
          <w:lang w:val="en-US"/>
        </w:rPr>
        <w:t xml:space="preserve"> </w:t>
      </w:r>
      <w:r w:rsidR="00113D4C" w:rsidRPr="00622F6C">
        <w:rPr>
          <w:rFonts w:ascii="Times New Roman" w:hAnsi="Times New Roman" w:cs="Times New Roman"/>
          <w:lang w:val="en-US"/>
        </w:rPr>
        <w:t>place</w:t>
      </w:r>
      <w:r w:rsidR="00347978">
        <w:rPr>
          <w:rFonts w:ascii="Times New Roman" w:hAnsi="Times New Roman" w:cs="Times New Roman"/>
          <w:lang w:val="en-US"/>
        </w:rPr>
        <w:t>s</w:t>
      </w:r>
      <w:r w:rsidR="00113D4C" w:rsidRPr="00622F6C">
        <w:rPr>
          <w:rFonts w:ascii="Times New Roman" w:hAnsi="Times New Roman" w:cs="Times New Roman"/>
          <w:lang w:val="en-US"/>
        </w:rPr>
        <w:t xml:space="preserve"> enhanced</w:t>
      </w:r>
      <w:r w:rsidR="00D67EA8" w:rsidRPr="00622F6C">
        <w:rPr>
          <w:rFonts w:ascii="Times New Roman" w:hAnsi="Times New Roman" w:cs="Times New Roman"/>
          <w:lang w:val="en-US"/>
        </w:rPr>
        <w:t xml:space="preserve"> disclosure </w:t>
      </w:r>
      <w:r w:rsidR="00B413E0" w:rsidRPr="00622F6C">
        <w:rPr>
          <w:rFonts w:ascii="Times New Roman" w:hAnsi="Times New Roman" w:cs="Times New Roman"/>
          <w:lang w:val="en-US"/>
        </w:rPr>
        <w:t>requirements on</w:t>
      </w:r>
      <w:r w:rsidR="00D67EA8" w:rsidRPr="00622F6C">
        <w:rPr>
          <w:rFonts w:ascii="Times New Roman" w:hAnsi="Times New Roman" w:cs="Times New Roman"/>
          <w:lang w:val="en-US"/>
        </w:rPr>
        <w:t xml:space="preserve"> firms. </w:t>
      </w:r>
      <w:r w:rsidR="0033763E">
        <w:rPr>
          <w:rFonts w:ascii="Times New Roman" w:hAnsi="Times New Roman" w:cs="Times New Roman"/>
          <w:lang w:val="en-US"/>
        </w:rPr>
        <w:t>T</w:t>
      </w:r>
      <w:r w:rsidR="0033763E" w:rsidRPr="00622F6C">
        <w:rPr>
          <w:rFonts w:ascii="Times New Roman" w:hAnsi="Times New Roman" w:cs="Times New Roman"/>
          <w:lang w:val="en-US"/>
        </w:rPr>
        <w:t xml:space="preserve">he </w:t>
      </w:r>
      <w:r w:rsidR="00267A6D">
        <w:rPr>
          <w:rFonts w:ascii="Times New Roman" w:hAnsi="Times New Roman" w:cs="Times New Roman"/>
          <w:lang w:val="en-US"/>
        </w:rPr>
        <w:t xml:space="preserve">direction of the </w:t>
      </w:r>
      <w:r w:rsidR="0033763E" w:rsidRPr="00622F6C">
        <w:rPr>
          <w:rFonts w:ascii="Times New Roman" w:hAnsi="Times New Roman" w:cs="Times New Roman"/>
          <w:lang w:val="en-US"/>
        </w:rPr>
        <w:t xml:space="preserve">expected impact of CSR disclosure on stock price reactions is </w:t>
      </w:r>
      <w:r w:rsidR="0033763E">
        <w:rPr>
          <w:rFonts w:ascii="Times New Roman" w:hAnsi="Times New Roman" w:cs="Times New Roman"/>
          <w:lang w:val="en-US"/>
        </w:rPr>
        <w:t xml:space="preserve">also </w:t>
      </w:r>
      <w:r w:rsidR="0033763E" w:rsidRPr="00622F6C">
        <w:rPr>
          <w:rFonts w:ascii="Times New Roman" w:hAnsi="Times New Roman" w:cs="Times New Roman"/>
          <w:lang w:val="en-US"/>
        </w:rPr>
        <w:t>unclear a priori.</w:t>
      </w:r>
      <w:r w:rsidR="0033763E">
        <w:rPr>
          <w:rFonts w:ascii="Times New Roman" w:hAnsi="Times New Roman" w:cs="Times New Roman"/>
          <w:lang w:val="en-US"/>
        </w:rPr>
        <w:t xml:space="preserve"> </w:t>
      </w:r>
      <w:r w:rsidR="00D55BFD" w:rsidRPr="00622F6C">
        <w:rPr>
          <w:rFonts w:ascii="Times New Roman" w:hAnsi="Times New Roman" w:cs="Times New Roman"/>
          <w:lang w:val="en-US"/>
        </w:rPr>
        <w:t>To the extent that CSR disclosures were already at optimal levels prior to the TISC clause</w:t>
      </w:r>
      <w:r w:rsidR="00B65080">
        <w:rPr>
          <w:rFonts w:ascii="Times New Roman" w:hAnsi="Times New Roman" w:cs="Times New Roman"/>
          <w:lang w:val="en-US"/>
        </w:rPr>
        <w:t>’s</w:t>
      </w:r>
      <w:r w:rsidR="00D55BFD" w:rsidRPr="00622F6C">
        <w:rPr>
          <w:rFonts w:ascii="Times New Roman" w:hAnsi="Times New Roman" w:cs="Times New Roman"/>
          <w:lang w:val="en-US"/>
        </w:rPr>
        <w:t xml:space="preserve"> introduction, stock price reactions should be less favorable for firms with lower CSR disclosure levels, as these firms </w:t>
      </w:r>
      <w:r w:rsidR="00347978" w:rsidRPr="00622F6C">
        <w:rPr>
          <w:rFonts w:ascii="Times New Roman" w:hAnsi="Times New Roman" w:cs="Times New Roman"/>
          <w:lang w:val="en-US"/>
        </w:rPr>
        <w:t>w</w:t>
      </w:r>
      <w:r w:rsidR="00347978">
        <w:rPr>
          <w:rFonts w:ascii="Times New Roman" w:hAnsi="Times New Roman" w:cs="Times New Roman"/>
          <w:lang w:val="en-US"/>
        </w:rPr>
        <w:t>ould</w:t>
      </w:r>
      <w:r w:rsidR="00347978" w:rsidRPr="00622F6C">
        <w:rPr>
          <w:rFonts w:ascii="Times New Roman" w:hAnsi="Times New Roman" w:cs="Times New Roman"/>
          <w:lang w:val="en-US"/>
        </w:rPr>
        <w:t xml:space="preserve"> </w:t>
      </w:r>
      <w:r w:rsidR="00D55BFD" w:rsidRPr="00622F6C">
        <w:rPr>
          <w:rFonts w:ascii="Times New Roman" w:hAnsi="Times New Roman" w:cs="Times New Roman"/>
          <w:lang w:val="en-US"/>
        </w:rPr>
        <w:t xml:space="preserve">likely face higher costs associated with new disclosure requirements. In the context of the TISC clause, disclosure costs could take the </w:t>
      </w:r>
      <w:r w:rsidR="00AE6940" w:rsidRPr="00622F6C">
        <w:rPr>
          <w:rFonts w:ascii="Times New Roman" w:hAnsi="Times New Roman" w:cs="Times New Roman"/>
          <w:lang w:val="en-US"/>
        </w:rPr>
        <w:t xml:space="preserve">form </w:t>
      </w:r>
      <w:r w:rsidR="00D55BFD" w:rsidRPr="00622F6C">
        <w:rPr>
          <w:rFonts w:ascii="Times New Roman" w:hAnsi="Times New Roman" w:cs="Times New Roman"/>
          <w:lang w:val="en-US"/>
        </w:rPr>
        <w:t>of propri</w:t>
      </w:r>
      <w:r w:rsidR="00FD0CF0" w:rsidRPr="00622F6C">
        <w:rPr>
          <w:rFonts w:ascii="Times New Roman" w:hAnsi="Times New Roman" w:cs="Times New Roman"/>
          <w:lang w:val="en-US"/>
        </w:rPr>
        <w:t>etary costs (Verrecchia, 1983)</w:t>
      </w:r>
      <w:r w:rsidR="00381377">
        <w:rPr>
          <w:rFonts w:ascii="Times New Roman" w:hAnsi="Times New Roman" w:cs="Times New Roman"/>
          <w:lang w:val="en-US"/>
        </w:rPr>
        <w:t xml:space="preserve">, </w:t>
      </w:r>
      <w:r w:rsidR="00D55BFD" w:rsidRPr="00622F6C">
        <w:rPr>
          <w:rFonts w:ascii="Times New Roman" w:hAnsi="Times New Roman" w:cs="Times New Roman"/>
          <w:lang w:val="en-US"/>
        </w:rPr>
        <w:t>political costs (Watts and Zimmerman, 1978)</w:t>
      </w:r>
      <w:r w:rsidR="00381377">
        <w:rPr>
          <w:rFonts w:ascii="Times New Roman" w:hAnsi="Times New Roman" w:cs="Times New Roman"/>
          <w:lang w:val="en-US"/>
        </w:rPr>
        <w:t xml:space="preserve">, and direct costs associated with </w:t>
      </w:r>
      <w:r w:rsidR="00381377">
        <w:rPr>
          <w:rFonts w:ascii="Times New Roman" w:hAnsi="Times New Roman" w:cs="Times New Roman"/>
          <w:lang w:val="en-US"/>
        </w:rPr>
        <w:lastRenderedPageBreak/>
        <w:t>drafting the statements</w:t>
      </w:r>
      <w:r w:rsidR="00D55BFD" w:rsidRPr="00622F6C">
        <w:rPr>
          <w:rFonts w:ascii="Times New Roman" w:hAnsi="Times New Roman" w:cs="Times New Roman"/>
          <w:lang w:val="en-US"/>
        </w:rPr>
        <w:t xml:space="preserve">. </w:t>
      </w:r>
      <w:r w:rsidR="00113D4C" w:rsidRPr="00622F6C">
        <w:rPr>
          <w:rFonts w:ascii="Times New Roman" w:hAnsi="Times New Roman" w:cs="Times New Roman"/>
          <w:lang w:val="en-US"/>
        </w:rPr>
        <w:t xml:space="preserve">To the extent that </w:t>
      </w:r>
      <w:r w:rsidR="00E95467" w:rsidRPr="00622F6C">
        <w:rPr>
          <w:rFonts w:ascii="Times New Roman" w:hAnsi="Times New Roman" w:cs="Times New Roman"/>
          <w:lang w:val="en-US"/>
        </w:rPr>
        <w:t>CSR</w:t>
      </w:r>
      <w:r w:rsidR="008B33AA" w:rsidRPr="00622F6C">
        <w:rPr>
          <w:rFonts w:ascii="Times New Roman" w:hAnsi="Times New Roman" w:cs="Times New Roman"/>
          <w:lang w:val="en-US"/>
        </w:rPr>
        <w:t xml:space="preserve"> disclosure </w:t>
      </w:r>
      <w:r w:rsidR="00E95467" w:rsidRPr="00622F6C">
        <w:rPr>
          <w:rFonts w:ascii="Times New Roman" w:hAnsi="Times New Roman" w:cs="Times New Roman"/>
          <w:lang w:val="en-US"/>
        </w:rPr>
        <w:t>levels</w:t>
      </w:r>
      <w:r w:rsidR="00FB0A51" w:rsidRPr="00622F6C">
        <w:rPr>
          <w:rFonts w:ascii="Times New Roman" w:hAnsi="Times New Roman" w:cs="Times New Roman"/>
          <w:lang w:val="en-US"/>
        </w:rPr>
        <w:t xml:space="preserve"> </w:t>
      </w:r>
      <w:r w:rsidR="00E95467" w:rsidRPr="00622F6C">
        <w:rPr>
          <w:rFonts w:ascii="Times New Roman" w:hAnsi="Times New Roman" w:cs="Times New Roman"/>
          <w:lang w:val="en-US"/>
        </w:rPr>
        <w:t xml:space="preserve">were </w:t>
      </w:r>
      <w:r w:rsidR="008B33AA" w:rsidRPr="00622F6C">
        <w:rPr>
          <w:rFonts w:ascii="Times New Roman" w:hAnsi="Times New Roman" w:cs="Times New Roman"/>
          <w:lang w:val="en-US"/>
        </w:rPr>
        <w:t xml:space="preserve">inefficiently </w:t>
      </w:r>
      <w:r w:rsidR="00E95467" w:rsidRPr="00622F6C">
        <w:rPr>
          <w:rFonts w:ascii="Times New Roman" w:hAnsi="Times New Roman" w:cs="Times New Roman"/>
          <w:lang w:val="en-US"/>
        </w:rPr>
        <w:t>low</w:t>
      </w:r>
      <w:r w:rsidR="00AA510B" w:rsidRPr="00622F6C">
        <w:rPr>
          <w:rFonts w:ascii="Times New Roman" w:hAnsi="Times New Roman" w:cs="Times New Roman"/>
          <w:lang w:val="en-US"/>
        </w:rPr>
        <w:t xml:space="preserve"> prior to the </w:t>
      </w:r>
      <w:r w:rsidR="000968A6" w:rsidRPr="00622F6C">
        <w:rPr>
          <w:rFonts w:ascii="Times New Roman" w:hAnsi="Times New Roman" w:cs="Times New Roman"/>
          <w:lang w:val="en-US"/>
        </w:rPr>
        <w:t>TISC clause</w:t>
      </w:r>
      <w:r w:rsidR="00B65080">
        <w:rPr>
          <w:rFonts w:ascii="Times New Roman" w:hAnsi="Times New Roman" w:cs="Times New Roman"/>
          <w:lang w:val="en-US"/>
        </w:rPr>
        <w:t>’s</w:t>
      </w:r>
      <w:r w:rsidR="000968A6" w:rsidRPr="00622F6C">
        <w:rPr>
          <w:rFonts w:ascii="Times New Roman" w:hAnsi="Times New Roman" w:cs="Times New Roman"/>
          <w:lang w:val="en-US"/>
        </w:rPr>
        <w:t xml:space="preserve"> introduction</w:t>
      </w:r>
      <w:r w:rsidR="00113D4C" w:rsidRPr="00622F6C">
        <w:rPr>
          <w:rFonts w:ascii="Times New Roman" w:hAnsi="Times New Roman" w:cs="Times New Roman"/>
          <w:lang w:val="en-US"/>
        </w:rPr>
        <w:t xml:space="preserve">, </w:t>
      </w:r>
      <w:r w:rsidR="00D55BFD" w:rsidRPr="00622F6C">
        <w:rPr>
          <w:rFonts w:ascii="Times New Roman" w:hAnsi="Times New Roman" w:cs="Times New Roman"/>
          <w:lang w:val="en-US"/>
        </w:rPr>
        <w:t xml:space="preserve">however, </w:t>
      </w:r>
      <w:r w:rsidR="00113D4C" w:rsidRPr="00622F6C">
        <w:rPr>
          <w:rFonts w:ascii="Times New Roman" w:hAnsi="Times New Roman" w:cs="Times New Roman"/>
          <w:lang w:val="en-US"/>
        </w:rPr>
        <w:t xml:space="preserve">stock price reactions </w:t>
      </w:r>
      <w:r w:rsidR="000968A6" w:rsidRPr="00622F6C">
        <w:rPr>
          <w:rFonts w:ascii="Times New Roman" w:hAnsi="Times New Roman" w:cs="Times New Roman"/>
          <w:lang w:val="en-US"/>
        </w:rPr>
        <w:t>should</w:t>
      </w:r>
      <w:r w:rsidR="00E95467" w:rsidRPr="00622F6C">
        <w:rPr>
          <w:rFonts w:ascii="Times New Roman" w:hAnsi="Times New Roman" w:cs="Times New Roman"/>
          <w:lang w:val="en-US"/>
        </w:rPr>
        <w:t xml:space="preserve"> be more favo</w:t>
      </w:r>
      <w:r w:rsidR="00113D4C" w:rsidRPr="00622F6C">
        <w:rPr>
          <w:rFonts w:ascii="Times New Roman" w:hAnsi="Times New Roman" w:cs="Times New Roman"/>
          <w:lang w:val="en-US"/>
        </w:rPr>
        <w:t>rable for</w:t>
      </w:r>
      <w:r w:rsidR="00AA510B" w:rsidRPr="00622F6C">
        <w:rPr>
          <w:rFonts w:ascii="Times New Roman" w:hAnsi="Times New Roman" w:cs="Times New Roman"/>
          <w:lang w:val="en-US"/>
        </w:rPr>
        <w:t xml:space="preserve"> </w:t>
      </w:r>
      <w:r w:rsidR="00E95467" w:rsidRPr="00622F6C">
        <w:rPr>
          <w:rFonts w:ascii="Times New Roman" w:hAnsi="Times New Roman" w:cs="Times New Roman"/>
          <w:lang w:val="en-US"/>
        </w:rPr>
        <w:t>firms with lower levels of CSR disclosure</w:t>
      </w:r>
      <w:r w:rsidR="000968A6" w:rsidRPr="00622F6C">
        <w:rPr>
          <w:rFonts w:ascii="Times New Roman" w:hAnsi="Times New Roman" w:cs="Times New Roman"/>
          <w:lang w:val="en-US"/>
        </w:rPr>
        <w:t xml:space="preserve">. These </w:t>
      </w:r>
      <w:r w:rsidR="00721FB2" w:rsidRPr="00622F6C">
        <w:rPr>
          <w:rFonts w:ascii="Times New Roman" w:hAnsi="Times New Roman" w:cs="Times New Roman"/>
          <w:lang w:val="en-US"/>
        </w:rPr>
        <w:t>firms shou</w:t>
      </w:r>
      <w:r w:rsidR="000968A6" w:rsidRPr="00622F6C">
        <w:rPr>
          <w:rFonts w:ascii="Times New Roman" w:hAnsi="Times New Roman" w:cs="Times New Roman"/>
          <w:lang w:val="en-US"/>
        </w:rPr>
        <w:t xml:space="preserve">ld be able to realize higher net cash flow </w:t>
      </w:r>
      <w:r w:rsidR="00FB0A51" w:rsidRPr="00622F6C">
        <w:rPr>
          <w:rFonts w:ascii="Times New Roman" w:hAnsi="Times New Roman" w:cs="Times New Roman"/>
          <w:lang w:val="en-US"/>
        </w:rPr>
        <w:t>gains</w:t>
      </w:r>
      <w:r w:rsidR="000968A6" w:rsidRPr="00622F6C">
        <w:rPr>
          <w:rFonts w:ascii="Times New Roman" w:hAnsi="Times New Roman" w:cs="Times New Roman"/>
          <w:lang w:val="en-US"/>
        </w:rPr>
        <w:t xml:space="preserve"> </w:t>
      </w:r>
      <w:r w:rsidR="00721FB2" w:rsidRPr="00622F6C">
        <w:rPr>
          <w:rFonts w:ascii="Times New Roman" w:hAnsi="Times New Roman" w:cs="Times New Roman"/>
          <w:lang w:val="en-US"/>
        </w:rPr>
        <w:t xml:space="preserve">from </w:t>
      </w:r>
      <w:r w:rsidR="000968A6" w:rsidRPr="00622F6C">
        <w:rPr>
          <w:rFonts w:ascii="Times New Roman" w:hAnsi="Times New Roman" w:cs="Times New Roman"/>
          <w:lang w:val="en-US"/>
        </w:rPr>
        <w:t xml:space="preserve">improving </w:t>
      </w:r>
      <w:r w:rsidR="00721FB2" w:rsidRPr="00622F6C">
        <w:rPr>
          <w:rFonts w:ascii="Times New Roman" w:hAnsi="Times New Roman" w:cs="Times New Roman"/>
          <w:lang w:val="en-US"/>
        </w:rPr>
        <w:t xml:space="preserve">their </w:t>
      </w:r>
      <w:r w:rsidR="0085236D" w:rsidRPr="00622F6C">
        <w:rPr>
          <w:rFonts w:ascii="Times New Roman" w:hAnsi="Times New Roman" w:cs="Times New Roman"/>
          <w:lang w:val="en-US"/>
        </w:rPr>
        <w:t xml:space="preserve">CSR </w:t>
      </w:r>
      <w:r w:rsidR="00721FB2" w:rsidRPr="00622F6C">
        <w:rPr>
          <w:rFonts w:ascii="Times New Roman" w:hAnsi="Times New Roman" w:cs="Times New Roman"/>
          <w:lang w:val="en-US"/>
        </w:rPr>
        <w:t xml:space="preserve">disclosure </w:t>
      </w:r>
      <w:r w:rsidR="000968A6" w:rsidRPr="00622F6C">
        <w:rPr>
          <w:rFonts w:ascii="Times New Roman" w:hAnsi="Times New Roman" w:cs="Times New Roman"/>
          <w:lang w:val="en-US"/>
        </w:rPr>
        <w:t xml:space="preserve">quality, including </w:t>
      </w:r>
      <w:r w:rsidR="00FD0CF0" w:rsidRPr="00622F6C">
        <w:rPr>
          <w:rFonts w:ascii="Times New Roman" w:hAnsi="Times New Roman" w:cs="Times New Roman"/>
          <w:lang w:val="en-US"/>
        </w:rPr>
        <w:t>benefits</w:t>
      </w:r>
      <w:r w:rsidR="000968A6" w:rsidRPr="00622F6C">
        <w:rPr>
          <w:rFonts w:ascii="Times New Roman" w:hAnsi="Times New Roman" w:cs="Times New Roman"/>
          <w:lang w:val="en-US"/>
        </w:rPr>
        <w:t xml:space="preserve"> from</w:t>
      </w:r>
      <w:r w:rsidR="00721FB2" w:rsidRPr="00622F6C">
        <w:rPr>
          <w:rFonts w:ascii="Times New Roman" w:hAnsi="Times New Roman" w:cs="Times New Roman"/>
          <w:lang w:val="en-US"/>
        </w:rPr>
        <w:t xml:space="preserve"> cost of capital </w:t>
      </w:r>
      <w:r w:rsidR="00FD0CF0" w:rsidRPr="00622F6C">
        <w:rPr>
          <w:rFonts w:ascii="Times New Roman" w:hAnsi="Times New Roman" w:cs="Times New Roman"/>
          <w:lang w:val="en-US"/>
        </w:rPr>
        <w:t xml:space="preserve">reductions </w:t>
      </w:r>
      <w:r w:rsidR="00721FB2" w:rsidRPr="00622F6C">
        <w:rPr>
          <w:rFonts w:ascii="Times New Roman" w:hAnsi="Times New Roman" w:cs="Times New Roman"/>
          <w:lang w:val="en-US"/>
        </w:rPr>
        <w:t>(</w:t>
      </w:r>
      <w:r w:rsidR="006D59C5" w:rsidRPr="00622F6C">
        <w:rPr>
          <w:rFonts w:ascii="Times New Roman" w:hAnsi="Times New Roman" w:cs="Times New Roman"/>
          <w:lang w:val="en-US"/>
        </w:rPr>
        <w:t>Lambert et al., 2007</w:t>
      </w:r>
      <w:r w:rsidR="00FD0CF0" w:rsidRPr="00622F6C">
        <w:rPr>
          <w:rFonts w:ascii="Times New Roman" w:hAnsi="Times New Roman" w:cs="Times New Roman"/>
          <w:lang w:val="en-US"/>
        </w:rPr>
        <w:t>)</w:t>
      </w:r>
      <w:r w:rsidR="00721FB2" w:rsidRPr="00622F6C">
        <w:rPr>
          <w:rFonts w:ascii="Times New Roman" w:hAnsi="Times New Roman" w:cs="Times New Roman"/>
          <w:lang w:val="en-US"/>
        </w:rPr>
        <w:t xml:space="preserve"> </w:t>
      </w:r>
      <w:r w:rsidR="000968A6" w:rsidRPr="00622F6C">
        <w:rPr>
          <w:rFonts w:ascii="Times New Roman" w:hAnsi="Times New Roman" w:cs="Times New Roman"/>
          <w:lang w:val="en-US"/>
        </w:rPr>
        <w:t>and</w:t>
      </w:r>
      <w:r w:rsidR="00721FB2" w:rsidRPr="00622F6C">
        <w:rPr>
          <w:rFonts w:ascii="Times New Roman" w:hAnsi="Times New Roman" w:cs="Times New Roman"/>
          <w:lang w:val="en-US"/>
        </w:rPr>
        <w:t xml:space="preserve"> </w:t>
      </w:r>
      <w:r w:rsidR="000968A6" w:rsidRPr="00622F6C">
        <w:rPr>
          <w:rFonts w:ascii="Times New Roman" w:hAnsi="Times New Roman" w:cs="Times New Roman"/>
          <w:lang w:val="en-US"/>
        </w:rPr>
        <w:t xml:space="preserve">operational </w:t>
      </w:r>
      <w:r w:rsidR="00721FB2" w:rsidRPr="00622F6C">
        <w:rPr>
          <w:rFonts w:ascii="Times New Roman" w:hAnsi="Times New Roman" w:cs="Times New Roman"/>
          <w:lang w:val="en-US"/>
        </w:rPr>
        <w:t xml:space="preserve">efficiency </w:t>
      </w:r>
      <w:r w:rsidR="00FD0CF0" w:rsidRPr="00622F6C">
        <w:rPr>
          <w:rFonts w:ascii="Times New Roman" w:hAnsi="Times New Roman" w:cs="Times New Roman"/>
          <w:lang w:val="en-US"/>
        </w:rPr>
        <w:t xml:space="preserve">increases associated with improved monitoring </w:t>
      </w:r>
      <w:r w:rsidR="00721FB2" w:rsidRPr="00622F6C">
        <w:rPr>
          <w:rFonts w:ascii="Times New Roman" w:hAnsi="Times New Roman" w:cs="Times New Roman"/>
          <w:lang w:val="en-US"/>
        </w:rPr>
        <w:t xml:space="preserve">(Grewal et al., 2018). </w:t>
      </w:r>
    </w:p>
    <w:p w14:paraId="5DE4488F" w14:textId="2466D81A" w:rsidR="006E6FAF" w:rsidRPr="00622F6C" w:rsidRDefault="00851140" w:rsidP="0041144E">
      <w:pPr>
        <w:tabs>
          <w:tab w:val="left" w:pos="567"/>
        </w:tabs>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Our baseline sample consists of UK-domiciled firms included in the </w:t>
      </w:r>
      <w:bookmarkStart w:id="17" w:name="_Hlk523926774"/>
      <w:r w:rsidRPr="00622F6C">
        <w:rPr>
          <w:rFonts w:ascii="Times New Roman" w:hAnsi="Times New Roman" w:cs="Times New Roman"/>
          <w:lang w:val="en-US"/>
        </w:rPr>
        <w:t>FTSE All-Share Index</w:t>
      </w:r>
      <w:bookmarkEnd w:id="17"/>
      <w:r w:rsidRPr="00622F6C">
        <w:rPr>
          <w:rFonts w:ascii="Times New Roman" w:hAnsi="Times New Roman" w:cs="Times New Roman"/>
          <w:lang w:val="en-US"/>
        </w:rPr>
        <w:t xml:space="preserve">. The sample for the univariate analysis of stock price reactions consists of 357 firms. The sample for the </w:t>
      </w:r>
      <w:r w:rsidR="0041144E" w:rsidRPr="00622F6C">
        <w:rPr>
          <w:rFonts w:ascii="Times New Roman" w:hAnsi="Times New Roman" w:cs="Times New Roman"/>
          <w:lang w:val="en-US"/>
        </w:rPr>
        <w:t xml:space="preserve">cross-sectional analysis reduces to 205 firms, due to more stringent data </w:t>
      </w:r>
      <w:r w:rsidR="00FB0A51" w:rsidRPr="00622F6C">
        <w:rPr>
          <w:rFonts w:ascii="Times New Roman" w:hAnsi="Times New Roman" w:cs="Times New Roman"/>
          <w:lang w:val="en-US"/>
        </w:rPr>
        <w:t xml:space="preserve">availability </w:t>
      </w:r>
      <w:r w:rsidR="0041144E" w:rsidRPr="00622F6C">
        <w:rPr>
          <w:rFonts w:ascii="Times New Roman" w:hAnsi="Times New Roman" w:cs="Times New Roman"/>
          <w:lang w:val="en-US"/>
        </w:rPr>
        <w:t xml:space="preserve">requirements. </w:t>
      </w:r>
      <w:r w:rsidR="006E6FAF" w:rsidRPr="00622F6C">
        <w:rPr>
          <w:rFonts w:ascii="Times New Roman" w:hAnsi="Times New Roman" w:cs="Times New Roman"/>
          <w:lang w:val="en-US"/>
        </w:rPr>
        <w:t xml:space="preserve">The adoption of the </w:t>
      </w:r>
      <w:r w:rsidR="0041144E" w:rsidRPr="00622F6C">
        <w:rPr>
          <w:rFonts w:ascii="Times New Roman" w:hAnsi="Times New Roman" w:cs="Times New Roman"/>
          <w:lang w:val="en-US"/>
        </w:rPr>
        <w:t>MSA</w:t>
      </w:r>
      <w:r w:rsidR="006E6FAF" w:rsidRPr="00622F6C">
        <w:rPr>
          <w:rFonts w:ascii="Times New Roman" w:hAnsi="Times New Roman" w:cs="Times New Roman"/>
          <w:lang w:val="en-US"/>
        </w:rPr>
        <w:t xml:space="preserve"> resulted from a process that evolved over several years and </w:t>
      </w:r>
      <w:r w:rsidR="00F515F5" w:rsidRPr="00622F6C">
        <w:rPr>
          <w:rFonts w:ascii="Times New Roman" w:hAnsi="Times New Roman" w:cs="Times New Roman"/>
          <w:lang w:val="en-US"/>
        </w:rPr>
        <w:t>include</w:t>
      </w:r>
      <w:r w:rsidR="00F515F5">
        <w:rPr>
          <w:rFonts w:ascii="Times New Roman" w:hAnsi="Times New Roman" w:cs="Times New Roman"/>
          <w:lang w:val="en-US"/>
        </w:rPr>
        <w:t>d</w:t>
      </w:r>
      <w:r w:rsidR="00F515F5"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eight potentially relevant events. We </w:t>
      </w:r>
      <w:r w:rsidR="007014A1">
        <w:rPr>
          <w:rFonts w:ascii="Times New Roman" w:hAnsi="Times New Roman" w:cs="Times New Roman"/>
          <w:lang w:val="en-US"/>
        </w:rPr>
        <w:t>use a</w:t>
      </w:r>
      <w:r w:rsidR="00923A88">
        <w:rPr>
          <w:rFonts w:ascii="Times New Roman" w:hAnsi="Times New Roman" w:cs="Times New Roman"/>
          <w:lang w:val="en-US"/>
        </w:rPr>
        <w:t xml:space="preserve"> policy event study</w:t>
      </w:r>
      <w:r w:rsidR="007014A1">
        <w:rPr>
          <w:rFonts w:ascii="Times New Roman" w:hAnsi="Times New Roman" w:cs="Times New Roman"/>
          <w:lang w:val="en-US"/>
        </w:rPr>
        <w:t xml:space="preserve"> approach based on</w:t>
      </w:r>
      <w:r w:rsidR="0033763E">
        <w:rPr>
          <w:rFonts w:ascii="Times New Roman" w:hAnsi="Times New Roman" w:cs="Times New Roman"/>
          <w:lang w:val="en-US"/>
        </w:rPr>
        <w:t xml:space="preserve"> </w:t>
      </w:r>
      <w:r w:rsidR="006E6FAF" w:rsidRPr="00622F6C">
        <w:rPr>
          <w:rFonts w:ascii="Times New Roman" w:hAnsi="Times New Roman" w:cs="Times New Roman"/>
          <w:lang w:val="en-US"/>
        </w:rPr>
        <w:t xml:space="preserve">Schipper and Thompson’s (1983) </w:t>
      </w:r>
      <w:r w:rsidR="00FB0A51" w:rsidRPr="00622F6C">
        <w:rPr>
          <w:rFonts w:ascii="Times New Roman" w:hAnsi="Times New Roman" w:cs="Times New Roman"/>
          <w:lang w:val="en-US"/>
        </w:rPr>
        <w:t xml:space="preserve">event study </w:t>
      </w:r>
      <w:r w:rsidR="001C288F">
        <w:rPr>
          <w:rFonts w:ascii="Times New Roman" w:hAnsi="Times New Roman" w:cs="Times New Roman"/>
          <w:lang w:val="en-US"/>
        </w:rPr>
        <w:t>methodology</w:t>
      </w:r>
      <w:r w:rsidR="006E6FAF" w:rsidRPr="00622F6C">
        <w:rPr>
          <w:rFonts w:ascii="Times New Roman" w:hAnsi="Times New Roman" w:cs="Times New Roman"/>
          <w:lang w:val="en-US"/>
        </w:rPr>
        <w:t xml:space="preserve"> to account for the fact that all events occur on the same trading dates for all firms</w:t>
      </w:r>
      <w:r w:rsidR="00923A88">
        <w:rPr>
          <w:rFonts w:ascii="Times New Roman" w:hAnsi="Times New Roman" w:cs="Times New Roman"/>
          <w:lang w:val="en-US"/>
        </w:rPr>
        <w:t xml:space="preserve"> (Lewis and Verwijmeren, 2014)</w:t>
      </w:r>
      <w:r w:rsidR="006E6FAF" w:rsidRPr="00622F6C">
        <w:rPr>
          <w:rFonts w:ascii="Times New Roman" w:hAnsi="Times New Roman" w:cs="Times New Roman"/>
          <w:lang w:val="en-US"/>
        </w:rPr>
        <w:t xml:space="preserve">. </w:t>
      </w:r>
      <w:r w:rsidR="0041144E" w:rsidRPr="00622F6C">
        <w:rPr>
          <w:rFonts w:ascii="Times New Roman" w:hAnsi="Times New Roman" w:cs="Times New Roman"/>
          <w:lang w:val="en-US"/>
        </w:rPr>
        <w:t>W</w:t>
      </w:r>
      <w:r w:rsidR="006E6FAF" w:rsidRPr="00622F6C">
        <w:rPr>
          <w:rFonts w:ascii="Times New Roman" w:hAnsi="Times New Roman" w:cs="Times New Roman"/>
          <w:lang w:val="en-US"/>
        </w:rPr>
        <w:t xml:space="preserve">e detect no significant </w:t>
      </w:r>
      <w:r w:rsidR="00195455" w:rsidRPr="00622F6C">
        <w:rPr>
          <w:rFonts w:ascii="Times New Roman" w:hAnsi="Times New Roman" w:cs="Times New Roman"/>
          <w:lang w:val="en-US"/>
        </w:rPr>
        <w:t>stock price reaction</w:t>
      </w:r>
      <w:r w:rsidR="006E6FAF" w:rsidRPr="00622F6C">
        <w:rPr>
          <w:rFonts w:ascii="Times New Roman" w:hAnsi="Times New Roman" w:cs="Times New Roman"/>
          <w:lang w:val="en-US"/>
        </w:rPr>
        <w:t xml:space="preserve"> for the eight </w:t>
      </w:r>
      <w:r w:rsidR="008B5412" w:rsidRPr="00622F6C">
        <w:rPr>
          <w:rFonts w:ascii="Times New Roman" w:hAnsi="Times New Roman" w:cs="Times New Roman"/>
          <w:lang w:val="en-US"/>
        </w:rPr>
        <w:t>MSA adoption</w:t>
      </w:r>
      <w:r w:rsidR="00195455"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events combined, </w:t>
      </w:r>
      <w:r w:rsidR="0041144E" w:rsidRPr="00622F6C">
        <w:rPr>
          <w:rFonts w:ascii="Times New Roman" w:hAnsi="Times New Roman" w:cs="Times New Roman"/>
          <w:lang w:val="en-US"/>
        </w:rPr>
        <w:t xml:space="preserve">nor for any individual event date. </w:t>
      </w:r>
      <w:r w:rsidR="006A73BE">
        <w:rPr>
          <w:rFonts w:ascii="Times New Roman" w:hAnsi="Times New Roman" w:cs="Times New Roman"/>
          <w:lang w:val="en-US"/>
        </w:rPr>
        <w:t>We report</w:t>
      </w:r>
      <w:r w:rsidR="000C33AA">
        <w:rPr>
          <w:rFonts w:ascii="Times New Roman" w:hAnsi="Times New Roman" w:cs="Times New Roman"/>
          <w:lang w:val="en-US"/>
        </w:rPr>
        <w:t xml:space="preserve"> a large battery of robustness tests, which all confirm that </w:t>
      </w:r>
      <w:r w:rsidR="00F515F5">
        <w:rPr>
          <w:rFonts w:ascii="Times New Roman" w:hAnsi="Times New Roman" w:cs="Times New Roman"/>
          <w:lang w:val="en-US"/>
        </w:rPr>
        <w:t xml:space="preserve">the </w:t>
      </w:r>
      <w:r w:rsidR="000C33AA">
        <w:rPr>
          <w:rFonts w:ascii="Times New Roman" w:hAnsi="Times New Roman" w:cs="Times New Roman"/>
          <w:lang w:val="en-US"/>
        </w:rPr>
        <w:t xml:space="preserve">stock price reactions are insignificant. </w:t>
      </w:r>
    </w:p>
    <w:p w14:paraId="19C07C4E" w14:textId="6D3FAFC0" w:rsidR="001457F9" w:rsidRDefault="0041144E" w:rsidP="006E6FAF">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Our key focus is on the role of slavery risk and </w:t>
      </w:r>
      <w:r w:rsidR="00685E8B" w:rsidRPr="00622F6C">
        <w:rPr>
          <w:rFonts w:ascii="Times New Roman" w:hAnsi="Times New Roman" w:cs="Times New Roman"/>
          <w:lang w:val="en-US"/>
        </w:rPr>
        <w:t>CSR disclosure levels</w:t>
      </w:r>
      <w:r w:rsidRPr="00622F6C">
        <w:rPr>
          <w:rFonts w:ascii="Times New Roman" w:hAnsi="Times New Roman" w:cs="Times New Roman"/>
          <w:lang w:val="en-US"/>
        </w:rPr>
        <w:t xml:space="preserve"> in explaining stock price reactions to the MSA. </w:t>
      </w:r>
      <w:r w:rsidR="00685E8B" w:rsidRPr="00622F6C">
        <w:rPr>
          <w:rFonts w:ascii="Times New Roman" w:hAnsi="Times New Roman" w:cs="Times New Roman"/>
          <w:lang w:val="en-US"/>
        </w:rPr>
        <w:t>W</w:t>
      </w:r>
      <w:r w:rsidR="006E6FAF" w:rsidRPr="00622F6C">
        <w:rPr>
          <w:rFonts w:ascii="Times New Roman" w:hAnsi="Times New Roman" w:cs="Times New Roman"/>
          <w:lang w:val="en-US"/>
        </w:rPr>
        <w:t xml:space="preserve">e find that </w:t>
      </w:r>
      <w:r w:rsidR="009F36A8" w:rsidRPr="00622F6C">
        <w:rPr>
          <w:rFonts w:ascii="Times New Roman" w:hAnsi="Times New Roman" w:cs="Times New Roman"/>
          <w:lang w:val="en-US"/>
        </w:rPr>
        <w:t>abnormal stock returns</w:t>
      </w:r>
      <w:r w:rsidR="006E6FAF" w:rsidRPr="00622F6C">
        <w:rPr>
          <w:rFonts w:ascii="Times New Roman" w:hAnsi="Times New Roman" w:cs="Times New Roman"/>
          <w:lang w:val="en-US"/>
        </w:rPr>
        <w:t xml:space="preserve"> are more </w:t>
      </w:r>
      <w:r w:rsidR="0082657B">
        <w:rPr>
          <w:rFonts w:ascii="Times New Roman" w:hAnsi="Times New Roman" w:cs="Times New Roman"/>
          <w:lang w:val="en-US"/>
        </w:rPr>
        <w:t>favorable</w:t>
      </w:r>
      <w:r w:rsidR="006E6FAF" w:rsidRPr="00622F6C">
        <w:rPr>
          <w:rFonts w:ascii="Times New Roman" w:hAnsi="Times New Roman" w:cs="Times New Roman"/>
          <w:lang w:val="en-US"/>
        </w:rPr>
        <w:t xml:space="preserve"> for firms with </w:t>
      </w:r>
      <w:r w:rsidRPr="00622F6C">
        <w:rPr>
          <w:rFonts w:ascii="Times New Roman" w:hAnsi="Times New Roman" w:cs="Times New Roman"/>
          <w:lang w:val="en-US"/>
        </w:rPr>
        <w:t>lower slavery risk</w:t>
      </w:r>
      <w:r w:rsidR="00336E0B" w:rsidRPr="00622F6C">
        <w:rPr>
          <w:rFonts w:ascii="Times New Roman" w:hAnsi="Times New Roman" w:cs="Times New Roman"/>
          <w:lang w:val="en-US"/>
        </w:rPr>
        <w:t xml:space="preserve"> in their </w:t>
      </w:r>
      <w:r w:rsidR="002E04E2">
        <w:rPr>
          <w:rFonts w:ascii="Times New Roman" w:hAnsi="Times New Roman" w:cs="Times New Roman"/>
          <w:lang w:val="en-US"/>
        </w:rPr>
        <w:t>focal business and supply chains</w:t>
      </w:r>
      <w:r w:rsidRPr="00622F6C">
        <w:rPr>
          <w:rFonts w:ascii="Times New Roman" w:hAnsi="Times New Roman" w:cs="Times New Roman"/>
          <w:lang w:val="en-US"/>
        </w:rPr>
        <w:t>, as proxied by pre-regulatory e</w:t>
      </w:r>
      <w:r w:rsidR="00CE21F0" w:rsidRPr="00622F6C">
        <w:rPr>
          <w:rFonts w:ascii="Times New Roman" w:hAnsi="Times New Roman" w:cs="Times New Roman"/>
          <w:lang w:val="en-US"/>
        </w:rPr>
        <w:t>xposure to social incidents and</w:t>
      </w:r>
      <w:r w:rsidR="00D91634">
        <w:rPr>
          <w:rFonts w:ascii="Times New Roman" w:hAnsi="Times New Roman" w:cs="Times New Roman"/>
          <w:lang w:val="en-US"/>
        </w:rPr>
        <w:t xml:space="preserve"> by</w:t>
      </w:r>
      <w:r w:rsidR="00FD0CF0" w:rsidRPr="00622F6C">
        <w:rPr>
          <w:rFonts w:ascii="Times New Roman" w:hAnsi="Times New Roman" w:cs="Times New Roman"/>
          <w:lang w:val="en-US"/>
        </w:rPr>
        <w:t xml:space="preserve"> </w:t>
      </w:r>
      <w:r w:rsidR="00103B81">
        <w:rPr>
          <w:rFonts w:ascii="Times New Roman" w:hAnsi="Times New Roman" w:cs="Times New Roman"/>
          <w:lang w:val="en-US"/>
        </w:rPr>
        <w:t>labor</w:t>
      </w:r>
      <w:r w:rsidR="00113F3F">
        <w:rPr>
          <w:rFonts w:ascii="Times New Roman" w:hAnsi="Times New Roman" w:cs="Times New Roman"/>
          <w:lang w:val="en-US"/>
        </w:rPr>
        <w:t xml:space="preserve"> </w:t>
      </w:r>
      <w:r w:rsidR="00103B81">
        <w:rPr>
          <w:rFonts w:ascii="Times New Roman" w:hAnsi="Times New Roman" w:cs="Times New Roman"/>
          <w:lang w:val="en-US"/>
        </w:rPr>
        <w:t>standard</w:t>
      </w:r>
      <w:r w:rsidR="0068625B">
        <w:rPr>
          <w:rFonts w:ascii="Times New Roman" w:hAnsi="Times New Roman" w:cs="Times New Roman"/>
          <w:lang w:val="en-US"/>
        </w:rPr>
        <w:t>s</w:t>
      </w:r>
      <w:r w:rsidRPr="00622F6C">
        <w:rPr>
          <w:rFonts w:ascii="Times New Roman" w:hAnsi="Times New Roman" w:cs="Times New Roman"/>
          <w:lang w:val="en-US"/>
        </w:rPr>
        <w:t xml:space="preserve"> </w:t>
      </w:r>
      <w:r w:rsidRPr="00860F0F">
        <w:rPr>
          <w:rFonts w:ascii="Times New Roman" w:hAnsi="Times New Roman" w:cs="Times New Roman"/>
          <w:lang w:val="en-US"/>
        </w:rPr>
        <w:t>policies</w:t>
      </w:r>
      <w:r w:rsidR="00643218">
        <w:rPr>
          <w:rFonts w:ascii="Times New Roman" w:hAnsi="Times New Roman" w:cs="Times New Roman"/>
          <w:lang w:val="en-US"/>
        </w:rPr>
        <w:t>. This result is consistent with low slavery risk providing a competitive advantage to firms</w:t>
      </w:r>
      <w:r w:rsidR="009F36A8" w:rsidRPr="00622F6C">
        <w:rPr>
          <w:rFonts w:ascii="Times New Roman" w:hAnsi="Times New Roman" w:cs="Times New Roman"/>
          <w:lang w:val="en-US"/>
        </w:rPr>
        <w:t xml:space="preserve">. </w:t>
      </w:r>
      <w:r w:rsidR="00B35A88" w:rsidRPr="00622F6C">
        <w:rPr>
          <w:rFonts w:ascii="Times New Roman" w:hAnsi="Times New Roman" w:cs="Times New Roman"/>
          <w:lang w:val="en-US"/>
        </w:rPr>
        <w:t>S</w:t>
      </w:r>
      <w:r w:rsidR="006E6FAF" w:rsidRPr="00622F6C">
        <w:rPr>
          <w:rFonts w:ascii="Times New Roman" w:hAnsi="Times New Roman" w:cs="Times New Roman"/>
          <w:lang w:val="en-US"/>
        </w:rPr>
        <w:t xml:space="preserve">tock </w:t>
      </w:r>
      <w:r w:rsidR="00930624" w:rsidRPr="00622F6C">
        <w:rPr>
          <w:rFonts w:ascii="Times New Roman" w:hAnsi="Times New Roman" w:cs="Times New Roman"/>
          <w:lang w:val="en-US"/>
        </w:rPr>
        <w:t xml:space="preserve">price </w:t>
      </w:r>
      <w:r w:rsidR="006E6FAF" w:rsidRPr="00622F6C">
        <w:rPr>
          <w:rFonts w:ascii="Times New Roman" w:hAnsi="Times New Roman" w:cs="Times New Roman"/>
          <w:lang w:val="en-US"/>
        </w:rPr>
        <w:t>reactions are</w:t>
      </w:r>
      <w:r w:rsidR="007F7470" w:rsidRPr="00622F6C">
        <w:rPr>
          <w:rFonts w:ascii="Times New Roman" w:hAnsi="Times New Roman" w:cs="Times New Roman"/>
          <w:lang w:val="en-US"/>
        </w:rPr>
        <w:t xml:space="preserve"> </w:t>
      </w:r>
      <w:r w:rsidR="00E37DA9">
        <w:rPr>
          <w:rFonts w:ascii="Times New Roman" w:hAnsi="Times New Roman" w:cs="Times New Roman"/>
          <w:lang w:val="en-US"/>
        </w:rPr>
        <w:t>un</w:t>
      </w:r>
      <w:r w:rsidR="006E6FAF" w:rsidRPr="00622F6C">
        <w:rPr>
          <w:rFonts w:ascii="Times New Roman" w:hAnsi="Times New Roman" w:cs="Times New Roman"/>
          <w:lang w:val="en-US"/>
        </w:rPr>
        <w:t xml:space="preserve">affected </w:t>
      </w:r>
      <w:r w:rsidR="00643218">
        <w:rPr>
          <w:rFonts w:ascii="Times New Roman" w:hAnsi="Times New Roman" w:cs="Times New Roman"/>
          <w:lang w:val="en-US"/>
        </w:rPr>
        <w:t xml:space="preserve">by </w:t>
      </w:r>
      <w:r w:rsidR="0033763E">
        <w:rPr>
          <w:rFonts w:ascii="Times New Roman" w:hAnsi="Times New Roman" w:cs="Times New Roman"/>
          <w:lang w:val="en-US"/>
        </w:rPr>
        <w:t>variables</w:t>
      </w:r>
      <w:r w:rsidR="00643218">
        <w:rPr>
          <w:rFonts w:ascii="Times New Roman" w:hAnsi="Times New Roman" w:cs="Times New Roman"/>
          <w:lang w:val="en-US"/>
        </w:rPr>
        <w:t xml:space="preserve"> capturing </w:t>
      </w:r>
      <w:r w:rsidR="00205B17" w:rsidRPr="00622F6C">
        <w:rPr>
          <w:rFonts w:ascii="Times New Roman" w:hAnsi="Times New Roman" w:cs="Times New Roman"/>
          <w:lang w:val="en-US"/>
        </w:rPr>
        <w:t xml:space="preserve">CSR </w:t>
      </w:r>
      <w:r w:rsidR="00643218">
        <w:rPr>
          <w:rFonts w:ascii="Times New Roman" w:hAnsi="Times New Roman" w:cs="Times New Roman"/>
          <w:lang w:val="en-US"/>
        </w:rPr>
        <w:t xml:space="preserve">and overall </w:t>
      </w:r>
      <w:r w:rsidR="00205B17" w:rsidRPr="00622F6C">
        <w:rPr>
          <w:rFonts w:ascii="Times New Roman" w:hAnsi="Times New Roman" w:cs="Times New Roman"/>
          <w:lang w:val="en-US"/>
        </w:rPr>
        <w:t>disclosure levels</w:t>
      </w:r>
      <w:r w:rsidR="009F36A8" w:rsidRPr="00622F6C">
        <w:rPr>
          <w:rFonts w:ascii="Times New Roman" w:hAnsi="Times New Roman" w:cs="Times New Roman"/>
          <w:lang w:val="en-US"/>
        </w:rPr>
        <w:t>.</w:t>
      </w:r>
      <w:r w:rsidR="00643218" w:rsidRPr="00643218">
        <w:rPr>
          <w:rFonts w:ascii="Times New Roman" w:hAnsi="Times New Roman" w:cs="Times New Roman"/>
          <w:lang w:val="en-US"/>
        </w:rPr>
        <w:t xml:space="preserve"> </w:t>
      </w:r>
      <w:r w:rsidR="00643218">
        <w:rPr>
          <w:rFonts w:ascii="Times New Roman" w:hAnsi="Times New Roman" w:cs="Times New Roman"/>
          <w:lang w:val="en-US"/>
        </w:rPr>
        <w:t xml:space="preserve">One explanation </w:t>
      </w:r>
      <w:r w:rsidR="001C288F">
        <w:rPr>
          <w:rFonts w:ascii="Times New Roman" w:hAnsi="Times New Roman" w:cs="Times New Roman"/>
          <w:lang w:val="en-US"/>
        </w:rPr>
        <w:t xml:space="preserve">for the latter result </w:t>
      </w:r>
      <w:r w:rsidR="00F515F5">
        <w:rPr>
          <w:rFonts w:ascii="Times New Roman" w:hAnsi="Times New Roman" w:cs="Times New Roman"/>
          <w:lang w:val="en-US"/>
        </w:rPr>
        <w:t xml:space="preserve">may be </w:t>
      </w:r>
      <w:r w:rsidR="00643218">
        <w:rPr>
          <w:rFonts w:ascii="Times New Roman" w:hAnsi="Times New Roman" w:cs="Times New Roman"/>
          <w:lang w:val="en-US"/>
        </w:rPr>
        <w:t xml:space="preserve">that investors believe </w:t>
      </w:r>
      <w:r w:rsidR="002A6738">
        <w:rPr>
          <w:rFonts w:ascii="Times New Roman" w:hAnsi="Times New Roman" w:cs="Times New Roman"/>
          <w:lang w:val="en-US"/>
        </w:rPr>
        <w:t>pre-regulatory</w:t>
      </w:r>
      <w:r w:rsidR="001C288F">
        <w:rPr>
          <w:rFonts w:ascii="Times New Roman" w:hAnsi="Times New Roman" w:cs="Times New Roman"/>
          <w:lang w:val="en-US"/>
        </w:rPr>
        <w:t xml:space="preserve"> information</w:t>
      </w:r>
      <w:r w:rsidR="002A6738">
        <w:rPr>
          <w:rFonts w:ascii="Times New Roman" w:hAnsi="Times New Roman" w:cs="Times New Roman"/>
          <w:lang w:val="en-US"/>
        </w:rPr>
        <w:t xml:space="preserve"> disclosures do</w:t>
      </w:r>
      <w:r w:rsidR="00643218">
        <w:rPr>
          <w:rFonts w:ascii="Times New Roman" w:hAnsi="Times New Roman" w:cs="Times New Roman"/>
          <w:lang w:val="en-US"/>
        </w:rPr>
        <w:t xml:space="preserve"> not cover the additional elements required by the TISC clause, so that </w:t>
      </w:r>
      <w:r w:rsidR="007014A1">
        <w:rPr>
          <w:rFonts w:ascii="Times New Roman" w:hAnsi="Times New Roman" w:cs="Times New Roman"/>
          <w:lang w:val="en-US"/>
        </w:rPr>
        <w:t xml:space="preserve">a firm’s </w:t>
      </w:r>
      <w:r w:rsidR="006C41D8">
        <w:rPr>
          <w:rFonts w:ascii="Times New Roman" w:hAnsi="Times New Roman" w:cs="Times New Roman"/>
          <w:lang w:val="en-US"/>
        </w:rPr>
        <w:t>prior</w:t>
      </w:r>
      <w:r w:rsidR="00643218">
        <w:rPr>
          <w:rFonts w:ascii="Times New Roman" w:hAnsi="Times New Roman" w:cs="Times New Roman"/>
          <w:lang w:val="en-US"/>
        </w:rPr>
        <w:t xml:space="preserve"> disclosure levels are </w:t>
      </w:r>
      <w:r w:rsidR="002A6738">
        <w:rPr>
          <w:rFonts w:ascii="Times New Roman" w:hAnsi="Times New Roman" w:cs="Times New Roman"/>
          <w:lang w:val="en-US"/>
        </w:rPr>
        <w:t xml:space="preserve">largely </w:t>
      </w:r>
      <w:r w:rsidR="00643218">
        <w:rPr>
          <w:rFonts w:ascii="Times New Roman" w:hAnsi="Times New Roman" w:cs="Times New Roman"/>
          <w:lang w:val="en-US"/>
        </w:rPr>
        <w:t xml:space="preserve">irrelevant </w:t>
      </w:r>
      <w:r w:rsidR="00F515F5">
        <w:rPr>
          <w:rFonts w:ascii="Times New Roman" w:hAnsi="Times New Roman" w:cs="Times New Roman"/>
          <w:lang w:val="en-US"/>
        </w:rPr>
        <w:t xml:space="preserve">to the assessment of </w:t>
      </w:r>
      <w:r w:rsidR="00643218">
        <w:rPr>
          <w:rFonts w:ascii="Times New Roman" w:hAnsi="Times New Roman" w:cs="Times New Roman"/>
          <w:lang w:val="en-US"/>
        </w:rPr>
        <w:t>the incremental costs and benefits of the clause. Interestingly</w:t>
      </w:r>
      <w:r w:rsidR="00643218" w:rsidRPr="00622F6C">
        <w:rPr>
          <w:rFonts w:ascii="Times New Roman" w:hAnsi="Times New Roman" w:cs="Times New Roman"/>
          <w:lang w:val="en-US"/>
        </w:rPr>
        <w:t xml:space="preserve">, results for </w:t>
      </w:r>
      <w:r w:rsidR="007014A1">
        <w:rPr>
          <w:rFonts w:ascii="Times New Roman" w:hAnsi="Times New Roman" w:cs="Times New Roman"/>
          <w:lang w:val="en-US"/>
        </w:rPr>
        <w:t>industry-</w:t>
      </w:r>
      <w:r w:rsidR="007A6973">
        <w:rPr>
          <w:rFonts w:ascii="Times New Roman" w:hAnsi="Times New Roman" w:cs="Times New Roman"/>
          <w:lang w:val="en-US"/>
        </w:rPr>
        <w:t>specific</w:t>
      </w:r>
      <w:r w:rsidR="007014A1">
        <w:rPr>
          <w:rFonts w:ascii="Times New Roman" w:hAnsi="Times New Roman" w:cs="Times New Roman"/>
          <w:lang w:val="en-US"/>
        </w:rPr>
        <w:t xml:space="preserve"> </w:t>
      </w:r>
      <w:r w:rsidR="00E37DA9">
        <w:rPr>
          <w:rFonts w:ascii="Times New Roman" w:hAnsi="Times New Roman" w:cs="Times New Roman"/>
          <w:lang w:val="en-US"/>
        </w:rPr>
        <w:t>slavery risk proxies</w:t>
      </w:r>
      <w:r w:rsidR="00643218" w:rsidRPr="00622F6C">
        <w:rPr>
          <w:rFonts w:ascii="Times New Roman" w:hAnsi="Times New Roman" w:cs="Times New Roman"/>
          <w:lang w:val="en-US"/>
        </w:rPr>
        <w:t xml:space="preserve"> suggest that stock price reactions are more </w:t>
      </w:r>
      <w:r w:rsidR="00643218">
        <w:rPr>
          <w:rFonts w:ascii="Times New Roman" w:hAnsi="Times New Roman" w:cs="Times New Roman"/>
          <w:lang w:val="en-US"/>
        </w:rPr>
        <w:t>favorable</w:t>
      </w:r>
      <w:r w:rsidR="00643218" w:rsidRPr="00622F6C">
        <w:rPr>
          <w:rFonts w:ascii="Times New Roman" w:hAnsi="Times New Roman" w:cs="Times New Roman"/>
          <w:lang w:val="en-US"/>
        </w:rPr>
        <w:t xml:space="preserve"> for </w:t>
      </w:r>
      <w:r w:rsidR="0033763E">
        <w:rPr>
          <w:rFonts w:ascii="Times New Roman" w:hAnsi="Times New Roman" w:cs="Times New Roman"/>
          <w:lang w:val="en-US"/>
        </w:rPr>
        <w:t>firms in industries</w:t>
      </w:r>
      <w:r w:rsidR="00643218" w:rsidRPr="00622F6C">
        <w:rPr>
          <w:rFonts w:ascii="Times New Roman" w:hAnsi="Times New Roman" w:cs="Times New Roman"/>
          <w:lang w:val="en-US"/>
        </w:rPr>
        <w:t xml:space="preserve"> with a higher risk of slave labor. Investors </w:t>
      </w:r>
      <w:r w:rsidR="0033763E">
        <w:rPr>
          <w:rFonts w:ascii="Times New Roman" w:hAnsi="Times New Roman" w:cs="Times New Roman"/>
          <w:lang w:val="en-US"/>
        </w:rPr>
        <w:t xml:space="preserve">may </w:t>
      </w:r>
      <w:r w:rsidR="00643218" w:rsidRPr="00622F6C">
        <w:rPr>
          <w:rFonts w:ascii="Times New Roman" w:hAnsi="Times New Roman" w:cs="Times New Roman"/>
          <w:lang w:val="en-US"/>
        </w:rPr>
        <w:t>expect high</w:t>
      </w:r>
      <w:r w:rsidR="00643218">
        <w:rPr>
          <w:rFonts w:ascii="Times New Roman" w:hAnsi="Times New Roman" w:cs="Times New Roman"/>
          <w:lang w:val="en-US"/>
        </w:rPr>
        <w:t>-</w:t>
      </w:r>
      <w:r w:rsidR="00643218" w:rsidRPr="00622F6C">
        <w:rPr>
          <w:rFonts w:ascii="Times New Roman" w:hAnsi="Times New Roman" w:cs="Times New Roman"/>
          <w:lang w:val="en-US"/>
        </w:rPr>
        <w:t>slavery</w:t>
      </w:r>
      <w:r w:rsidR="00643218">
        <w:rPr>
          <w:rFonts w:ascii="Times New Roman" w:hAnsi="Times New Roman" w:cs="Times New Roman"/>
          <w:lang w:val="en-US"/>
        </w:rPr>
        <w:t>-</w:t>
      </w:r>
      <w:r w:rsidR="00643218" w:rsidRPr="00622F6C">
        <w:rPr>
          <w:rFonts w:ascii="Times New Roman" w:hAnsi="Times New Roman" w:cs="Times New Roman"/>
          <w:lang w:val="en-US"/>
        </w:rPr>
        <w:t xml:space="preserve">risk </w:t>
      </w:r>
      <w:r w:rsidR="004F7CB9">
        <w:rPr>
          <w:rFonts w:ascii="Times New Roman" w:hAnsi="Times New Roman" w:cs="Times New Roman"/>
          <w:lang w:val="en-US"/>
        </w:rPr>
        <w:t>industries</w:t>
      </w:r>
      <w:r w:rsidR="00643218" w:rsidRPr="00622F6C">
        <w:rPr>
          <w:rFonts w:ascii="Times New Roman" w:hAnsi="Times New Roman" w:cs="Times New Roman"/>
          <w:lang w:val="en-US"/>
        </w:rPr>
        <w:t xml:space="preserve"> to</w:t>
      </w:r>
      <w:r w:rsidR="006C41D8">
        <w:rPr>
          <w:rFonts w:ascii="Times New Roman" w:hAnsi="Times New Roman" w:cs="Times New Roman"/>
          <w:lang w:val="en-US"/>
        </w:rPr>
        <w:t xml:space="preserve"> realize cash flow benefits by</w:t>
      </w:r>
      <w:r w:rsidR="00643218" w:rsidRPr="00622F6C">
        <w:rPr>
          <w:rFonts w:ascii="Times New Roman" w:hAnsi="Times New Roman" w:cs="Times New Roman"/>
          <w:lang w:val="en-US"/>
        </w:rPr>
        <w:t xml:space="preserve"> </w:t>
      </w:r>
      <w:r w:rsidR="00643218">
        <w:rPr>
          <w:rFonts w:ascii="Times New Roman" w:hAnsi="Times New Roman" w:cs="Times New Roman"/>
          <w:lang w:val="en-US"/>
        </w:rPr>
        <w:t>‘clean</w:t>
      </w:r>
      <w:r w:rsidR="006C41D8">
        <w:rPr>
          <w:rFonts w:ascii="Times New Roman" w:hAnsi="Times New Roman" w:cs="Times New Roman"/>
          <w:lang w:val="en-US"/>
        </w:rPr>
        <w:t>ing</w:t>
      </w:r>
      <w:r w:rsidR="00643218">
        <w:rPr>
          <w:rFonts w:ascii="Times New Roman" w:hAnsi="Times New Roman" w:cs="Times New Roman"/>
          <w:lang w:val="en-US"/>
        </w:rPr>
        <w:t xml:space="preserve"> up their act’</w:t>
      </w:r>
      <w:r w:rsidR="00643218" w:rsidRPr="00622F6C">
        <w:rPr>
          <w:rFonts w:ascii="Times New Roman" w:hAnsi="Times New Roman" w:cs="Times New Roman"/>
          <w:lang w:val="en-US"/>
        </w:rPr>
        <w:t xml:space="preserve"> following the </w:t>
      </w:r>
      <w:r w:rsidR="00643218">
        <w:rPr>
          <w:rFonts w:ascii="Times New Roman" w:hAnsi="Times New Roman" w:cs="Times New Roman"/>
          <w:lang w:val="en-US"/>
        </w:rPr>
        <w:t>passing of the MSA</w:t>
      </w:r>
      <w:r w:rsidR="00643218" w:rsidRPr="00622F6C">
        <w:rPr>
          <w:rFonts w:ascii="Times New Roman" w:hAnsi="Times New Roman" w:cs="Times New Roman"/>
          <w:lang w:val="en-US"/>
        </w:rPr>
        <w:t xml:space="preserve">. </w:t>
      </w:r>
      <w:r w:rsidR="00685E8B" w:rsidRPr="00622F6C">
        <w:rPr>
          <w:rFonts w:ascii="Times New Roman" w:hAnsi="Times New Roman" w:cs="Times New Roman"/>
          <w:lang w:val="en-US"/>
        </w:rPr>
        <w:t xml:space="preserve">Our cross-sectional results are </w:t>
      </w:r>
      <w:r w:rsidR="00B35A88" w:rsidRPr="00622F6C">
        <w:rPr>
          <w:rFonts w:ascii="Times New Roman" w:hAnsi="Times New Roman" w:cs="Times New Roman"/>
          <w:lang w:val="en-US"/>
        </w:rPr>
        <w:t xml:space="preserve">stable across </w:t>
      </w:r>
      <w:r w:rsidR="00685E8B" w:rsidRPr="00622F6C">
        <w:rPr>
          <w:rFonts w:ascii="Times New Roman" w:hAnsi="Times New Roman" w:cs="Times New Roman"/>
          <w:lang w:val="en-US"/>
        </w:rPr>
        <w:t xml:space="preserve">a wide range of robustness tests. </w:t>
      </w:r>
      <w:r w:rsidR="00CE21F0" w:rsidRPr="00622F6C">
        <w:rPr>
          <w:rFonts w:ascii="Times New Roman" w:hAnsi="Times New Roman" w:cs="Times New Roman"/>
          <w:lang w:val="en-US"/>
        </w:rPr>
        <w:t>Reassuringly, a</w:t>
      </w:r>
      <w:r w:rsidR="00685E8B" w:rsidRPr="00622F6C">
        <w:rPr>
          <w:rFonts w:ascii="Times New Roman" w:hAnsi="Times New Roman" w:cs="Times New Roman"/>
          <w:lang w:val="en-US"/>
        </w:rPr>
        <w:t xml:space="preserve"> placebo test indicates that our cross-sectional</w:t>
      </w:r>
      <w:r w:rsidR="00CE21F0" w:rsidRPr="00622F6C">
        <w:rPr>
          <w:rFonts w:ascii="Times New Roman" w:hAnsi="Times New Roman" w:cs="Times New Roman"/>
          <w:lang w:val="en-US"/>
        </w:rPr>
        <w:t xml:space="preserve"> findings do not occur on non-event dates</w:t>
      </w:r>
      <w:r w:rsidR="00685E8B" w:rsidRPr="00622F6C">
        <w:rPr>
          <w:rFonts w:ascii="Times New Roman" w:hAnsi="Times New Roman" w:cs="Times New Roman"/>
          <w:lang w:val="en-US"/>
        </w:rPr>
        <w:t xml:space="preserve">. </w:t>
      </w:r>
    </w:p>
    <w:p w14:paraId="086D7476" w14:textId="1264A36A" w:rsidR="006E6FAF" w:rsidRPr="00622F6C" w:rsidRDefault="00C45CB9" w:rsidP="006E6FAF">
      <w:pPr>
        <w:spacing w:after="0" w:line="480" w:lineRule="auto"/>
        <w:ind w:firstLine="425"/>
        <w:jc w:val="both"/>
        <w:rPr>
          <w:rFonts w:ascii="Times New Roman" w:hAnsi="Times New Roman" w:cs="Times New Roman"/>
          <w:lang w:val="en-US"/>
        </w:rPr>
      </w:pPr>
      <w:r w:rsidRPr="004C7B14">
        <w:rPr>
          <w:rFonts w:ascii="Times New Roman" w:hAnsi="Times New Roman" w:cs="Times New Roman"/>
          <w:shd w:val="clear" w:color="auto" w:fill="FFFFFF"/>
        </w:rPr>
        <w:lastRenderedPageBreak/>
        <w:t xml:space="preserve">While a large body of literature examines modern slavery from historical, philosophical, and social scientific perspectives, the management literature has been largely silent on this issue (Crane, 2013; New, 2015). </w:t>
      </w:r>
      <w:r>
        <w:rPr>
          <w:rFonts w:ascii="Times New Roman" w:hAnsi="Times New Roman" w:cs="Times New Roman"/>
        </w:rPr>
        <w:t>Our paper contributes to the literature by examining</w:t>
      </w:r>
      <w:r w:rsidRPr="004C7B14">
        <w:rPr>
          <w:rFonts w:ascii="Times New Roman" w:hAnsi="Times New Roman" w:cs="Times New Roman"/>
        </w:rPr>
        <w:t xml:space="preserve"> stock </w:t>
      </w:r>
      <w:r>
        <w:rPr>
          <w:rFonts w:ascii="Times New Roman" w:hAnsi="Times New Roman" w:cs="Times New Roman"/>
        </w:rPr>
        <w:t xml:space="preserve">price </w:t>
      </w:r>
      <w:r w:rsidRPr="004C7B14">
        <w:rPr>
          <w:rFonts w:ascii="Times New Roman" w:hAnsi="Times New Roman" w:cs="Times New Roman"/>
        </w:rPr>
        <w:t xml:space="preserve">reactions to the adoption of </w:t>
      </w:r>
      <w:r>
        <w:rPr>
          <w:rFonts w:ascii="Times New Roman" w:hAnsi="Times New Roman" w:cs="Times New Roman"/>
        </w:rPr>
        <w:t>modern slavery regulation</w:t>
      </w:r>
      <w:r w:rsidRPr="004C7B14">
        <w:rPr>
          <w:rFonts w:ascii="Times New Roman" w:hAnsi="Times New Roman" w:cs="Times New Roman"/>
        </w:rPr>
        <w:t xml:space="preserve">. </w:t>
      </w:r>
      <w:r w:rsidR="002A2BEC" w:rsidRPr="00C45CB9">
        <w:rPr>
          <w:rFonts w:ascii="Times New Roman" w:hAnsi="Times New Roman" w:cs="Times New Roman"/>
          <w:lang w:val="en-US"/>
        </w:rPr>
        <w:t xml:space="preserve">Overall, </w:t>
      </w:r>
      <w:r w:rsidR="001457F9" w:rsidRPr="00C45CB9">
        <w:rPr>
          <w:rFonts w:ascii="Times New Roman" w:hAnsi="Times New Roman" w:cs="Times New Roman"/>
          <w:lang w:val="en-US"/>
        </w:rPr>
        <w:t xml:space="preserve">our findings </w:t>
      </w:r>
      <w:r w:rsidR="002A6738" w:rsidRPr="00C45CB9">
        <w:rPr>
          <w:rFonts w:ascii="Times New Roman" w:hAnsi="Times New Roman" w:cs="Times New Roman"/>
          <w:lang w:val="en-US"/>
        </w:rPr>
        <w:t>suggest that the MSA has heightened investor concerns abo</w:t>
      </w:r>
      <w:r w:rsidR="001C288F" w:rsidRPr="00C45CB9">
        <w:rPr>
          <w:rFonts w:ascii="Times New Roman" w:hAnsi="Times New Roman" w:cs="Times New Roman"/>
          <w:lang w:val="en-US"/>
        </w:rPr>
        <w:t>ut the cash flow implications</w:t>
      </w:r>
      <w:r w:rsidR="001C288F">
        <w:rPr>
          <w:rFonts w:ascii="Times New Roman" w:hAnsi="Times New Roman" w:cs="Times New Roman"/>
          <w:lang w:val="en-US"/>
        </w:rPr>
        <w:t xml:space="preserve"> of having slave labor in firms’ focal businesses or supply chains</w:t>
      </w:r>
      <w:r w:rsidR="002A6738">
        <w:rPr>
          <w:rFonts w:ascii="Times New Roman" w:hAnsi="Times New Roman" w:cs="Times New Roman"/>
          <w:lang w:val="en-US"/>
        </w:rPr>
        <w:t xml:space="preserve">. </w:t>
      </w:r>
      <w:r w:rsidR="001C288F">
        <w:rPr>
          <w:rFonts w:ascii="Times New Roman" w:hAnsi="Times New Roman" w:cs="Times New Roman"/>
          <w:lang w:val="en-US"/>
        </w:rPr>
        <w:t xml:space="preserve">While the average stock price reaction to the MSA adoption is insignificant, our analysis uncovers a significant moderating role of slavery risk measures. </w:t>
      </w:r>
      <w:r w:rsidR="00E37DA9">
        <w:rPr>
          <w:rFonts w:ascii="Times New Roman" w:hAnsi="Times New Roman" w:cs="Times New Roman"/>
          <w:lang w:val="en-US"/>
        </w:rPr>
        <w:t xml:space="preserve">Firms with low </w:t>
      </w:r>
      <w:r w:rsidR="002E04E2">
        <w:rPr>
          <w:rFonts w:ascii="Times New Roman" w:hAnsi="Times New Roman" w:cs="Times New Roman"/>
          <w:lang w:val="en-US"/>
        </w:rPr>
        <w:t>firm-specific</w:t>
      </w:r>
      <w:r w:rsidR="001C288F">
        <w:rPr>
          <w:rFonts w:ascii="Times New Roman" w:hAnsi="Times New Roman" w:cs="Times New Roman"/>
          <w:lang w:val="en-US"/>
        </w:rPr>
        <w:t xml:space="preserve"> </w:t>
      </w:r>
      <w:r w:rsidR="00E37DA9">
        <w:rPr>
          <w:rFonts w:ascii="Times New Roman" w:hAnsi="Times New Roman" w:cs="Times New Roman"/>
          <w:lang w:val="en-US"/>
        </w:rPr>
        <w:t>slavery risk, operating in high-slavery-risk industries</w:t>
      </w:r>
      <w:r w:rsidR="001C288F">
        <w:rPr>
          <w:rFonts w:ascii="Times New Roman" w:hAnsi="Times New Roman" w:cs="Times New Roman"/>
          <w:lang w:val="en-US"/>
        </w:rPr>
        <w:t>,</w:t>
      </w:r>
      <w:r w:rsidR="00E37DA9">
        <w:rPr>
          <w:rFonts w:ascii="Times New Roman" w:hAnsi="Times New Roman" w:cs="Times New Roman"/>
          <w:lang w:val="en-US"/>
        </w:rPr>
        <w:t xml:space="preserve"> have the most favorable </w:t>
      </w:r>
      <w:r w:rsidR="00073CEA">
        <w:rPr>
          <w:rFonts w:ascii="Times New Roman" w:hAnsi="Times New Roman" w:cs="Times New Roman"/>
          <w:lang w:val="en-US"/>
        </w:rPr>
        <w:t xml:space="preserve">cumulative abnormal stock return associated with the </w:t>
      </w:r>
      <w:r w:rsidR="001C288F">
        <w:rPr>
          <w:rFonts w:ascii="Times New Roman" w:hAnsi="Times New Roman" w:cs="Times New Roman"/>
          <w:lang w:val="en-US"/>
        </w:rPr>
        <w:t>MSA</w:t>
      </w:r>
      <w:r w:rsidR="00F515F5">
        <w:rPr>
          <w:rFonts w:ascii="Times New Roman" w:hAnsi="Times New Roman" w:cs="Times New Roman"/>
          <w:lang w:val="en-US"/>
        </w:rPr>
        <w:t>’s</w:t>
      </w:r>
      <w:r w:rsidR="001C288F">
        <w:rPr>
          <w:rFonts w:ascii="Times New Roman" w:hAnsi="Times New Roman" w:cs="Times New Roman"/>
          <w:lang w:val="en-US"/>
        </w:rPr>
        <w:t xml:space="preserve"> adoption, while fi</w:t>
      </w:r>
      <w:r w:rsidR="00E37DA9">
        <w:rPr>
          <w:rFonts w:ascii="Times New Roman" w:hAnsi="Times New Roman" w:cs="Times New Roman"/>
          <w:lang w:val="en-US"/>
        </w:rPr>
        <w:t xml:space="preserve">rms with high </w:t>
      </w:r>
      <w:r w:rsidR="002E04E2">
        <w:rPr>
          <w:rFonts w:ascii="Times New Roman" w:hAnsi="Times New Roman" w:cs="Times New Roman"/>
          <w:lang w:val="en-US"/>
        </w:rPr>
        <w:t>firm-specific</w:t>
      </w:r>
      <w:r w:rsidR="001C288F">
        <w:rPr>
          <w:rFonts w:ascii="Times New Roman" w:hAnsi="Times New Roman" w:cs="Times New Roman"/>
          <w:lang w:val="en-US"/>
        </w:rPr>
        <w:t xml:space="preserve"> </w:t>
      </w:r>
      <w:r w:rsidR="00E37DA9">
        <w:rPr>
          <w:rFonts w:ascii="Times New Roman" w:hAnsi="Times New Roman" w:cs="Times New Roman"/>
          <w:lang w:val="en-US"/>
        </w:rPr>
        <w:t>slavery risk, operating in low-slavery-risk industries</w:t>
      </w:r>
      <w:r w:rsidR="001C288F">
        <w:rPr>
          <w:rFonts w:ascii="Times New Roman" w:hAnsi="Times New Roman" w:cs="Times New Roman"/>
          <w:lang w:val="en-US"/>
        </w:rPr>
        <w:t>,</w:t>
      </w:r>
      <w:r w:rsidR="00E37DA9">
        <w:rPr>
          <w:rFonts w:ascii="Times New Roman" w:hAnsi="Times New Roman" w:cs="Times New Roman"/>
          <w:lang w:val="en-US"/>
        </w:rPr>
        <w:t xml:space="preserve"> have the least favorable </w:t>
      </w:r>
      <w:r w:rsidR="00073CEA">
        <w:rPr>
          <w:rFonts w:ascii="Times New Roman" w:hAnsi="Times New Roman" w:cs="Times New Roman"/>
          <w:lang w:val="en-US"/>
        </w:rPr>
        <w:t>cumulative abnormal stock return</w:t>
      </w:r>
      <w:r w:rsidR="001C288F">
        <w:rPr>
          <w:rFonts w:ascii="Times New Roman" w:hAnsi="Times New Roman" w:cs="Times New Roman"/>
          <w:lang w:val="en-US"/>
        </w:rPr>
        <w:t>.</w:t>
      </w:r>
      <w:r w:rsidR="00E37DA9">
        <w:rPr>
          <w:rFonts w:ascii="Times New Roman" w:hAnsi="Times New Roman" w:cs="Times New Roman"/>
          <w:lang w:val="en-US"/>
        </w:rPr>
        <w:t xml:space="preserve"> </w:t>
      </w:r>
      <w:r w:rsidR="002A6738">
        <w:rPr>
          <w:rFonts w:ascii="Times New Roman" w:hAnsi="Times New Roman" w:cs="Times New Roman"/>
          <w:lang w:val="en-US"/>
        </w:rPr>
        <w:t xml:space="preserve">We hope that our study </w:t>
      </w:r>
      <w:r w:rsidR="002A2BEC" w:rsidRPr="00622F6C">
        <w:rPr>
          <w:rFonts w:ascii="Times New Roman" w:hAnsi="Times New Roman" w:cs="Times New Roman"/>
          <w:lang w:val="en-US"/>
        </w:rPr>
        <w:t xml:space="preserve">may be relevant for </w:t>
      </w:r>
      <w:bookmarkStart w:id="18" w:name="_Hlk523927027"/>
      <w:r w:rsidR="002A2BEC" w:rsidRPr="00622F6C">
        <w:rPr>
          <w:rFonts w:ascii="Times New Roman" w:hAnsi="Times New Roman" w:cs="Times New Roman"/>
          <w:lang w:val="en-US"/>
        </w:rPr>
        <w:t xml:space="preserve">policy makers </w:t>
      </w:r>
      <w:bookmarkEnd w:id="18"/>
      <w:r w:rsidR="002A2BEC" w:rsidRPr="00622F6C">
        <w:rPr>
          <w:rFonts w:ascii="Times New Roman" w:hAnsi="Times New Roman" w:cs="Times New Roman"/>
          <w:lang w:val="en-US"/>
        </w:rPr>
        <w:t xml:space="preserve">who are considering similar </w:t>
      </w:r>
      <w:r w:rsidR="001C288F">
        <w:rPr>
          <w:rFonts w:ascii="Times New Roman" w:hAnsi="Times New Roman" w:cs="Times New Roman"/>
          <w:lang w:val="en-US"/>
        </w:rPr>
        <w:t xml:space="preserve">modern slavery </w:t>
      </w:r>
      <w:r w:rsidR="002A2BEC" w:rsidRPr="00622F6C">
        <w:rPr>
          <w:rFonts w:ascii="Times New Roman" w:hAnsi="Times New Roman" w:cs="Times New Roman"/>
          <w:lang w:val="en-US"/>
        </w:rPr>
        <w:t>regulations</w:t>
      </w:r>
      <w:r w:rsidR="002D0714">
        <w:rPr>
          <w:rFonts w:ascii="Times New Roman" w:hAnsi="Times New Roman" w:cs="Times New Roman"/>
          <w:lang w:val="en-US"/>
        </w:rPr>
        <w:t xml:space="preserve"> to the UK</w:t>
      </w:r>
      <w:r w:rsidR="002A2BEC" w:rsidRPr="00622F6C">
        <w:rPr>
          <w:rFonts w:ascii="Times New Roman" w:hAnsi="Times New Roman" w:cs="Times New Roman"/>
          <w:lang w:val="en-US"/>
        </w:rPr>
        <w:t>.</w:t>
      </w:r>
    </w:p>
    <w:p w14:paraId="6A198837" w14:textId="77777777" w:rsidR="006E6FAF" w:rsidRPr="00622F6C" w:rsidRDefault="006E6FAF" w:rsidP="001708FE">
      <w:pPr>
        <w:tabs>
          <w:tab w:val="left" w:pos="426"/>
        </w:tabs>
        <w:spacing w:after="0" w:line="480" w:lineRule="auto"/>
        <w:ind w:firstLine="425"/>
        <w:jc w:val="both"/>
        <w:rPr>
          <w:rFonts w:ascii="Times New Roman" w:hAnsi="Times New Roman" w:cs="Times New Roman"/>
          <w:lang w:val="en-US"/>
        </w:rPr>
      </w:pPr>
    </w:p>
    <w:p w14:paraId="708B8C68" w14:textId="77777777" w:rsidR="006E6FAF" w:rsidRPr="00622F6C" w:rsidRDefault="006E6FAF" w:rsidP="006E6FAF">
      <w:pPr>
        <w:numPr>
          <w:ilvl w:val="0"/>
          <w:numId w:val="3"/>
        </w:numPr>
        <w:spacing w:after="0" w:line="480" w:lineRule="auto"/>
        <w:ind w:left="426" w:hanging="426"/>
        <w:contextualSpacing/>
        <w:rPr>
          <w:rFonts w:ascii="Times New Roman" w:hAnsi="Times New Roman" w:cs="Times New Roman"/>
          <w:b/>
          <w:lang w:val="en-US"/>
        </w:rPr>
      </w:pPr>
      <w:r w:rsidRPr="00622F6C">
        <w:rPr>
          <w:rFonts w:ascii="Times New Roman" w:hAnsi="Times New Roman" w:cs="Times New Roman"/>
          <w:b/>
          <w:lang w:val="en-US"/>
        </w:rPr>
        <w:t xml:space="preserve">Related literature </w:t>
      </w:r>
    </w:p>
    <w:p w14:paraId="3496573C" w14:textId="77777777" w:rsidR="006E6FAF" w:rsidRPr="00622F6C" w:rsidRDefault="00010361" w:rsidP="006E6FAF">
      <w:pPr>
        <w:spacing w:after="0" w:line="480" w:lineRule="auto"/>
        <w:jc w:val="both"/>
        <w:rPr>
          <w:rFonts w:ascii="Times New Roman" w:hAnsi="Times New Roman" w:cs="Times New Roman"/>
          <w:lang w:val="en-US"/>
        </w:rPr>
      </w:pPr>
      <w:r w:rsidRPr="00622F6C">
        <w:rPr>
          <w:rFonts w:ascii="Times New Roman" w:hAnsi="Times New Roman" w:cs="Times New Roman"/>
          <w:lang w:val="en-US"/>
        </w:rPr>
        <w:t>The MSA</w:t>
      </w:r>
      <w:r w:rsidR="0056694D" w:rsidRPr="00622F6C">
        <w:rPr>
          <w:rFonts w:ascii="Times New Roman" w:hAnsi="Times New Roman" w:cs="Times New Roman"/>
          <w:lang w:val="en-US"/>
        </w:rPr>
        <w:t xml:space="preserve"> and its TISC clause address</w:t>
      </w:r>
      <w:r w:rsidRPr="00622F6C">
        <w:rPr>
          <w:rFonts w:ascii="Times New Roman" w:hAnsi="Times New Roman" w:cs="Times New Roman"/>
          <w:lang w:val="en-US"/>
        </w:rPr>
        <w:t xml:space="preserve"> </w:t>
      </w:r>
      <w:r w:rsidR="0056694D" w:rsidRPr="00622F6C">
        <w:rPr>
          <w:rFonts w:ascii="Times New Roman" w:hAnsi="Times New Roman" w:cs="Times New Roman"/>
          <w:lang w:val="en-US"/>
        </w:rPr>
        <w:t>labor conditions in firms’ focal business</w:t>
      </w:r>
      <w:r w:rsidR="00F515F5">
        <w:rPr>
          <w:rFonts w:ascii="Times New Roman" w:hAnsi="Times New Roman" w:cs="Times New Roman"/>
          <w:lang w:val="en-US"/>
        </w:rPr>
        <w:t>es</w:t>
      </w:r>
      <w:r w:rsidR="0056694D" w:rsidRPr="00622F6C">
        <w:rPr>
          <w:rFonts w:ascii="Times New Roman" w:hAnsi="Times New Roman" w:cs="Times New Roman"/>
          <w:lang w:val="en-US"/>
        </w:rPr>
        <w:t xml:space="preserve"> and supply chains</w:t>
      </w:r>
      <w:r w:rsidRPr="00622F6C">
        <w:rPr>
          <w:rFonts w:ascii="Times New Roman" w:hAnsi="Times New Roman" w:cs="Times New Roman"/>
          <w:lang w:val="en-US"/>
        </w:rPr>
        <w:t xml:space="preserve">, as well as transparency regarding </w:t>
      </w:r>
      <w:r w:rsidR="0056694D" w:rsidRPr="00622F6C">
        <w:rPr>
          <w:rFonts w:ascii="Times New Roman" w:hAnsi="Times New Roman" w:cs="Times New Roman"/>
          <w:lang w:val="en-US"/>
        </w:rPr>
        <w:t>these conditions</w:t>
      </w:r>
      <w:r w:rsidRPr="00622F6C">
        <w:rPr>
          <w:rFonts w:ascii="Times New Roman" w:hAnsi="Times New Roman" w:cs="Times New Roman"/>
          <w:lang w:val="en-US"/>
        </w:rPr>
        <w:t>. As such, o</w:t>
      </w:r>
      <w:r w:rsidR="006E6FAF" w:rsidRPr="00622F6C">
        <w:rPr>
          <w:rFonts w:ascii="Times New Roman" w:hAnsi="Times New Roman" w:cs="Times New Roman"/>
          <w:lang w:val="en-US"/>
        </w:rPr>
        <w:t xml:space="preserve">ur work is positioned within the literature on </w:t>
      </w:r>
      <w:r w:rsidRPr="00622F6C">
        <w:rPr>
          <w:rFonts w:ascii="Times New Roman" w:hAnsi="Times New Roman" w:cs="Times New Roman"/>
          <w:lang w:val="en-US"/>
        </w:rPr>
        <w:t>socially responsible sourcing and</w:t>
      </w:r>
      <w:r w:rsidR="00A96077" w:rsidRPr="00622F6C">
        <w:rPr>
          <w:rFonts w:ascii="Times New Roman" w:hAnsi="Times New Roman" w:cs="Times New Roman"/>
          <w:lang w:val="en-US"/>
        </w:rPr>
        <w:t xml:space="preserve"> </w:t>
      </w:r>
      <w:r w:rsidR="00C2615E" w:rsidRPr="00622F6C">
        <w:rPr>
          <w:rFonts w:ascii="Times New Roman" w:hAnsi="Times New Roman" w:cs="Times New Roman"/>
          <w:lang w:val="en-US"/>
        </w:rPr>
        <w:t>corporate disclosure</w:t>
      </w:r>
      <w:r w:rsidR="0056694D" w:rsidRPr="00622F6C">
        <w:rPr>
          <w:rFonts w:ascii="Times New Roman" w:hAnsi="Times New Roman" w:cs="Times New Roman"/>
          <w:lang w:val="en-US"/>
        </w:rPr>
        <w:t>. The remainder of this section</w:t>
      </w:r>
      <w:r w:rsidR="006E6FAF" w:rsidRPr="00622F6C">
        <w:rPr>
          <w:rFonts w:ascii="Times New Roman" w:hAnsi="Times New Roman" w:cs="Times New Roman"/>
          <w:lang w:val="en-US"/>
        </w:rPr>
        <w:t xml:space="preserve"> briefly discuss</w:t>
      </w:r>
      <w:r w:rsidR="0056694D" w:rsidRPr="00622F6C">
        <w:rPr>
          <w:rFonts w:ascii="Times New Roman" w:hAnsi="Times New Roman" w:cs="Times New Roman"/>
          <w:lang w:val="en-US"/>
        </w:rPr>
        <w:t>es</w:t>
      </w:r>
      <w:r w:rsidR="006E6FAF" w:rsidRPr="00622F6C">
        <w:rPr>
          <w:rFonts w:ascii="Times New Roman" w:hAnsi="Times New Roman" w:cs="Times New Roman"/>
          <w:lang w:val="en-US"/>
        </w:rPr>
        <w:t xml:space="preserve"> the most relevant papers in each of these two strands of literature, and </w:t>
      </w:r>
      <w:r w:rsidR="00FA72B3">
        <w:rPr>
          <w:rFonts w:ascii="Times New Roman" w:hAnsi="Times New Roman" w:cs="Times New Roman"/>
          <w:lang w:val="en-US"/>
        </w:rPr>
        <w:t>explains</w:t>
      </w:r>
      <w:r w:rsidR="00FA72B3"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how our paper contributes to these areas of research. </w:t>
      </w:r>
    </w:p>
    <w:p w14:paraId="069D708B" w14:textId="77777777" w:rsidR="006E6FAF" w:rsidRPr="00622F6C" w:rsidRDefault="006E6FAF" w:rsidP="006E6FAF">
      <w:pPr>
        <w:spacing w:after="0" w:line="480" w:lineRule="auto"/>
        <w:jc w:val="both"/>
        <w:rPr>
          <w:rFonts w:ascii="Times New Roman" w:hAnsi="Times New Roman" w:cs="Times New Roman"/>
          <w:lang w:val="en-US"/>
        </w:rPr>
      </w:pPr>
    </w:p>
    <w:p w14:paraId="60F32C82" w14:textId="77777777" w:rsidR="006E6FAF" w:rsidRPr="00622F6C" w:rsidRDefault="00D91634" w:rsidP="00D91634">
      <w:pPr>
        <w:tabs>
          <w:tab w:val="left" w:pos="426"/>
        </w:tabs>
        <w:spacing w:after="0" w:line="480" w:lineRule="auto"/>
        <w:jc w:val="both"/>
        <w:rPr>
          <w:rFonts w:ascii="Times New Roman" w:hAnsi="Times New Roman" w:cs="Times New Roman"/>
          <w:i/>
          <w:lang w:val="en-US"/>
        </w:rPr>
      </w:pPr>
      <w:bookmarkStart w:id="19" w:name="_Hlk523927078"/>
      <w:r>
        <w:rPr>
          <w:rFonts w:ascii="Times New Roman" w:hAnsi="Times New Roman" w:cs="Times New Roman"/>
          <w:i/>
          <w:lang w:val="en-US"/>
        </w:rPr>
        <w:t>2.1.</w:t>
      </w:r>
      <w:r>
        <w:rPr>
          <w:rFonts w:ascii="Times New Roman" w:hAnsi="Times New Roman" w:cs="Times New Roman"/>
          <w:i/>
          <w:lang w:val="en-US"/>
        </w:rPr>
        <w:tab/>
      </w:r>
      <w:r w:rsidR="006E6FAF" w:rsidRPr="00622F6C">
        <w:rPr>
          <w:rFonts w:ascii="Times New Roman" w:hAnsi="Times New Roman" w:cs="Times New Roman"/>
          <w:i/>
          <w:lang w:val="en-US"/>
        </w:rPr>
        <w:t xml:space="preserve">Literature on socially responsible sourcing </w:t>
      </w:r>
    </w:p>
    <w:bookmarkEnd w:id="19"/>
    <w:p w14:paraId="6BFF50EA" w14:textId="05B5FE16" w:rsidR="006E6FAF" w:rsidRPr="00622F6C" w:rsidRDefault="006E6FAF" w:rsidP="00054EFA">
      <w:pPr>
        <w:spacing w:after="0" w:line="480" w:lineRule="auto"/>
        <w:ind w:firstLine="426"/>
        <w:jc w:val="both"/>
        <w:rPr>
          <w:rFonts w:ascii="Times New Roman" w:hAnsi="Times New Roman" w:cs="Times New Roman"/>
          <w:lang w:val="en-US"/>
        </w:rPr>
      </w:pPr>
      <w:r w:rsidRPr="00622F6C">
        <w:rPr>
          <w:rFonts w:ascii="Times New Roman" w:hAnsi="Times New Roman" w:cs="Times New Roman"/>
          <w:shd w:val="clear" w:color="auto" w:fill="FFFFFF"/>
          <w:lang w:val="en-US"/>
        </w:rPr>
        <w:t>Social responsibility in supply chains has received growing attention</w:t>
      </w:r>
      <w:r w:rsidR="00466680" w:rsidRPr="00622F6C">
        <w:rPr>
          <w:rFonts w:ascii="Times New Roman" w:hAnsi="Times New Roman" w:cs="Times New Roman"/>
          <w:shd w:val="clear" w:color="auto" w:fill="FFFFFF"/>
          <w:lang w:val="en-US"/>
        </w:rPr>
        <w:t xml:space="preserve"> in the academic community</w:t>
      </w:r>
      <w:r w:rsidR="00C45CB9">
        <w:rPr>
          <w:rFonts w:ascii="Times New Roman" w:hAnsi="Times New Roman" w:cs="Times New Roman"/>
          <w:shd w:val="clear" w:color="auto" w:fill="FFFFFF"/>
          <w:lang w:val="en-US"/>
        </w:rPr>
        <w:t>.</w:t>
      </w:r>
      <w:r w:rsidRPr="00622F6C">
        <w:rPr>
          <w:rFonts w:ascii="Times New Roman" w:hAnsi="Times New Roman" w:cs="Times New Roman"/>
          <w:shd w:val="clear" w:color="auto" w:fill="FFFFFF"/>
          <w:vertAlign w:val="superscript"/>
          <w:lang w:val="en-US"/>
        </w:rPr>
        <w:footnoteReference w:id="4"/>
      </w:r>
      <w:r w:rsidRPr="00622F6C">
        <w:rPr>
          <w:rFonts w:ascii="Times New Roman" w:hAnsi="Times New Roman" w:cs="Times New Roman"/>
          <w:shd w:val="clear" w:color="auto" w:fill="FFFFFF"/>
          <w:lang w:val="en-US"/>
        </w:rPr>
        <w:t xml:space="preserve"> </w:t>
      </w:r>
      <w:r w:rsidR="00010361" w:rsidRPr="00622F6C">
        <w:rPr>
          <w:rFonts w:ascii="Times New Roman" w:hAnsi="Times New Roman" w:cs="Times New Roman"/>
          <w:shd w:val="clear" w:color="auto" w:fill="FFFFFF"/>
          <w:lang w:val="en-US"/>
        </w:rPr>
        <w:t xml:space="preserve">A first stream of work within this literature </w:t>
      </w:r>
      <w:r w:rsidR="00466680" w:rsidRPr="00622F6C">
        <w:rPr>
          <w:rFonts w:ascii="Times New Roman" w:hAnsi="Times New Roman" w:cs="Times New Roman"/>
          <w:shd w:val="clear" w:color="auto" w:fill="FFFFFF"/>
          <w:lang w:val="en-US"/>
        </w:rPr>
        <w:t xml:space="preserve">focuses on the </w:t>
      </w:r>
      <w:r w:rsidR="00010361" w:rsidRPr="00622F6C">
        <w:rPr>
          <w:rFonts w:ascii="Times New Roman" w:hAnsi="Times New Roman" w:cs="Times New Roman"/>
          <w:shd w:val="clear" w:color="auto" w:fill="FFFFFF"/>
          <w:lang w:val="en-US"/>
        </w:rPr>
        <w:t xml:space="preserve">antecedents of </w:t>
      </w:r>
      <w:r w:rsidR="002E23A2" w:rsidRPr="00622F6C">
        <w:rPr>
          <w:rFonts w:ascii="Times New Roman" w:hAnsi="Times New Roman" w:cs="Times New Roman"/>
          <w:shd w:val="clear" w:color="auto" w:fill="FFFFFF"/>
          <w:lang w:val="en-US"/>
        </w:rPr>
        <w:t xml:space="preserve">socially responsible </w:t>
      </w:r>
      <w:r w:rsidR="00010361" w:rsidRPr="00622F6C">
        <w:rPr>
          <w:rFonts w:ascii="Times New Roman" w:hAnsi="Times New Roman" w:cs="Times New Roman"/>
          <w:shd w:val="clear" w:color="auto" w:fill="FFFFFF"/>
          <w:lang w:val="en-US"/>
        </w:rPr>
        <w:t>sourcing practices</w:t>
      </w:r>
      <w:r w:rsidR="00C967BB" w:rsidRPr="00622F6C">
        <w:rPr>
          <w:rFonts w:ascii="Times New Roman" w:hAnsi="Times New Roman" w:cs="Times New Roman"/>
          <w:shd w:val="clear" w:color="auto" w:fill="FFFFFF"/>
          <w:lang w:val="en-US"/>
        </w:rPr>
        <w:t xml:space="preserve"> (Jiang, 2009; Distelhorst et al., 2016)</w:t>
      </w:r>
      <w:r w:rsidR="00010361" w:rsidRPr="00622F6C">
        <w:rPr>
          <w:rFonts w:ascii="Times New Roman" w:hAnsi="Times New Roman" w:cs="Times New Roman"/>
          <w:shd w:val="clear" w:color="auto" w:fill="FFFFFF"/>
          <w:lang w:val="en-US"/>
        </w:rPr>
        <w:t xml:space="preserve">. </w:t>
      </w:r>
      <w:r w:rsidR="00CF1CA3">
        <w:rPr>
          <w:rFonts w:ascii="Times New Roman" w:hAnsi="Times New Roman" w:cs="Times New Roman"/>
          <w:shd w:val="clear" w:color="auto" w:fill="FFFFFF"/>
          <w:lang w:val="en-US"/>
        </w:rPr>
        <w:t xml:space="preserve">A second stream, more relevant to our work, </w:t>
      </w:r>
      <w:r w:rsidR="00ED2E70" w:rsidRPr="00622F6C">
        <w:rPr>
          <w:rFonts w:ascii="Times New Roman" w:hAnsi="Times New Roman" w:cs="Times New Roman"/>
          <w:shd w:val="clear" w:color="auto" w:fill="FFFFFF"/>
          <w:lang w:val="en-US"/>
        </w:rPr>
        <w:t>examines</w:t>
      </w:r>
      <w:r w:rsidR="00010361" w:rsidRPr="00622F6C">
        <w:rPr>
          <w:rFonts w:ascii="Times New Roman" w:hAnsi="Times New Roman" w:cs="Times New Roman"/>
          <w:shd w:val="clear" w:color="auto" w:fill="FFFFFF"/>
          <w:lang w:val="en-US"/>
        </w:rPr>
        <w:t xml:space="preserve"> the consequences of </w:t>
      </w:r>
      <w:r w:rsidR="004F10A8" w:rsidRPr="00622F6C">
        <w:rPr>
          <w:rFonts w:ascii="Times New Roman" w:hAnsi="Times New Roman" w:cs="Times New Roman"/>
          <w:shd w:val="clear" w:color="auto" w:fill="FFFFFF"/>
          <w:lang w:val="en-US"/>
        </w:rPr>
        <w:t>socially responsible</w:t>
      </w:r>
      <w:r w:rsidR="006E4BB8" w:rsidRPr="00622F6C">
        <w:rPr>
          <w:rFonts w:ascii="Times New Roman" w:hAnsi="Times New Roman" w:cs="Times New Roman"/>
          <w:shd w:val="clear" w:color="auto" w:fill="FFFFFF"/>
          <w:lang w:val="en-US"/>
        </w:rPr>
        <w:t xml:space="preserve"> sourcing approaches</w:t>
      </w:r>
      <w:r w:rsidR="00466680" w:rsidRPr="00622F6C">
        <w:rPr>
          <w:rFonts w:ascii="Times New Roman" w:hAnsi="Times New Roman" w:cs="Times New Roman"/>
          <w:shd w:val="clear" w:color="auto" w:fill="FFFFFF"/>
          <w:lang w:val="en-US"/>
        </w:rPr>
        <w:t xml:space="preserve">. </w:t>
      </w:r>
      <w:r w:rsidR="00F7440D">
        <w:rPr>
          <w:rFonts w:ascii="Times New Roman" w:hAnsi="Times New Roman" w:cs="Times New Roman"/>
          <w:shd w:val="clear" w:color="auto" w:fill="FFFFFF"/>
          <w:lang w:val="en-US"/>
        </w:rPr>
        <w:t>Within this stream, s</w:t>
      </w:r>
      <w:r w:rsidR="0056694D" w:rsidRPr="00622F6C">
        <w:rPr>
          <w:rFonts w:ascii="Times New Roman" w:hAnsi="Times New Roman" w:cs="Times New Roman"/>
          <w:shd w:val="clear" w:color="auto" w:fill="FFFFFF"/>
          <w:lang w:val="en-US"/>
        </w:rPr>
        <w:t>everal t</w:t>
      </w:r>
      <w:r w:rsidR="00466680" w:rsidRPr="00622F6C">
        <w:rPr>
          <w:rFonts w:ascii="Times New Roman" w:hAnsi="Times New Roman" w:cs="Times New Roman"/>
          <w:shd w:val="clear" w:color="auto" w:fill="FFFFFF"/>
          <w:lang w:val="en-US"/>
        </w:rPr>
        <w:t xml:space="preserve">heoretical </w:t>
      </w:r>
      <w:r w:rsidR="00474A33" w:rsidRPr="00622F6C">
        <w:rPr>
          <w:rFonts w:ascii="Times New Roman" w:hAnsi="Times New Roman" w:cs="Times New Roman"/>
          <w:shd w:val="clear" w:color="auto" w:fill="FFFFFF"/>
          <w:lang w:val="en-US"/>
        </w:rPr>
        <w:lastRenderedPageBreak/>
        <w:t>studies</w:t>
      </w:r>
      <w:r w:rsidR="00466680" w:rsidRPr="00622F6C">
        <w:rPr>
          <w:rFonts w:ascii="Times New Roman" w:hAnsi="Times New Roman" w:cs="Times New Roman"/>
          <w:shd w:val="clear" w:color="auto" w:fill="FFFFFF"/>
          <w:lang w:val="en-US"/>
        </w:rPr>
        <w:t xml:space="preserve"> </w:t>
      </w:r>
      <w:r w:rsidR="00474A33" w:rsidRPr="00622F6C">
        <w:rPr>
          <w:rFonts w:ascii="Times New Roman" w:hAnsi="Times New Roman" w:cs="Times New Roman"/>
          <w:shd w:val="clear" w:color="auto" w:fill="FFFFFF"/>
          <w:lang w:val="en-US"/>
        </w:rPr>
        <w:t>document that</w:t>
      </w:r>
      <w:r w:rsidR="00466680" w:rsidRPr="00622F6C">
        <w:rPr>
          <w:rFonts w:ascii="Times New Roman" w:hAnsi="Times New Roman" w:cs="Times New Roman"/>
          <w:lang w:val="en-US"/>
        </w:rPr>
        <w:t xml:space="preserve"> consumer and policy initiatives </w:t>
      </w:r>
      <w:r w:rsidR="006E4BB8" w:rsidRPr="00622F6C">
        <w:rPr>
          <w:rFonts w:ascii="Times New Roman" w:hAnsi="Times New Roman" w:cs="Times New Roman"/>
          <w:lang w:val="en-US"/>
        </w:rPr>
        <w:t>aimed at improving</w:t>
      </w:r>
      <w:r w:rsidR="00466680" w:rsidRPr="00622F6C">
        <w:rPr>
          <w:rFonts w:ascii="Times New Roman" w:hAnsi="Times New Roman" w:cs="Times New Roman"/>
          <w:lang w:val="en-US"/>
        </w:rPr>
        <w:t xml:space="preserve"> supplier social responsibility </w:t>
      </w:r>
      <w:r w:rsidR="00474A33" w:rsidRPr="00622F6C">
        <w:rPr>
          <w:rFonts w:ascii="Times New Roman" w:hAnsi="Times New Roman" w:cs="Times New Roman"/>
          <w:lang w:val="en-US"/>
        </w:rPr>
        <w:t>can have unintended social outcomes, such as increase</w:t>
      </w:r>
      <w:r w:rsidR="007E047E">
        <w:rPr>
          <w:rFonts w:ascii="Times New Roman" w:hAnsi="Times New Roman" w:cs="Times New Roman"/>
          <w:lang w:val="en-US"/>
        </w:rPr>
        <w:t>d</w:t>
      </w:r>
      <w:r w:rsidR="00474A33" w:rsidRPr="00622F6C">
        <w:rPr>
          <w:rFonts w:ascii="Times New Roman" w:hAnsi="Times New Roman" w:cs="Times New Roman"/>
          <w:lang w:val="en-US"/>
        </w:rPr>
        <w:t xml:space="preserve"> use of child labor </w:t>
      </w:r>
      <w:r w:rsidR="00466680" w:rsidRPr="00622F6C">
        <w:rPr>
          <w:rFonts w:ascii="Times New Roman" w:hAnsi="Times New Roman" w:cs="Times New Roman"/>
          <w:lang w:val="en-US"/>
        </w:rPr>
        <w:t>(Basu and Zarg</w:t>
      </w:r>
      <w:r w:rsidR="007E047E">
        <w:rPr>
          <w:rFonts w:ascii="Times New Roman" w:hAnsi="Times New Roman" w:cs="Times New Roman"/>
          <w:lang w:val="en-US"/>
        </w:rPr>
        <w:t>ha</w:t>
      </w:r>
      <w:r w:rsidR="00466680" w:rsidRPr="00622F6C">
        <w:rPr>
          <w:rFonts w:ascii="Times New Roman" w:hAnsi="Times New Roman" w:cs="Times New Roman"/>
          <w:lang w:val="en-US"/>
        </w:rPr>
        <w:t>mee, 2009</w:t>
      </w:r>
      <w:r w:rsidR="004F7CB9">
        <w:rPr>
          <w:rFonts w:ascii="Times New Roman" w:hAnsi="Times New Roman" w:cs="Times New Roman"/>
          <w:lang w:val="en-US"/>
        </w:rPr>
        <w:t xml:space="preserve">; </w:t>
      </w:r>
      <w:r w:rsidR="00A17DC0">
        <w:rPr>
          <w:rFonts w:ascii="Times New Roman" w:hAnsi="Times New Roman" w:cs="Times New Roman"/>
          <w:lang w:val="en-US"/>
        </w:rPr>
        <w:t xml:space="preserve">Cho et al., 2015; </w:t>
      </w:r>
      <w:r w:rsidR="004F7CB9" w:rsidRPr="00622F6C">
        <w:rPr>
          <w:rFonts w:ascii="Times New Roman" w:hAnsi="Times New Roman" w:cs="Times New Roman"/>
          <w:lang w:val="en-US"/>
        </w:rPr>
        <w:t xml:space="preserve">Plambeck and Taylor, 2015; </w:t>
      </w:r>
      <w:r w:rsidR="00466680" w:rsidRPr="00622F6C">
        <w:rPr>
          <w:rFonts w:ascii="Times New Roman" w:hAnsi="Times New Roman" w:cs="Times New Roman"/>
          <w:lang w:val="en-US"/>
        </w:rPr>
        <w:t xml:space="preserve">Guo et al., 2016). </w:t>
      </w:r>
      <w:r w:rsidR="00E84209">
        <w:rPr>
          <w:rFonts w:ascii="Times New Roman" w:hAnsi="Times New Roman" w:cs="Times New Roman"/>
          <w:lang w:val="en-US"/>
        </w:rPr>
        <w:t xml:space="preserve">Another thread focuses specifically on labor standards, </w:t>
      </w:r>
      <w:r w:rsidR="00923A88">
        <w:rPr>
          <w:rFonts w:ascii="Times New Roman" w:hAnsi="Times New Roman" w:cs="Times New Roman"/>
          <w:lang w:val="en-US"/>
        </w:rPr>
        <w:t>such as</w:t>
      </w:r>
      <w:r w:rsidR="00E84209">
        <w:rPr>
          <w:rFonts w:ascii="Times New Roman" w:hAnsi="Times New Roman" w:cs="Times New Roman"/>
          <w:lang w:val="en-US"/>
        </w:rPr>
        <w:t xml:space="preserve"> the effects of supplier codes of conduct</w:t>
      </w:r>
      <w:r w:rsidR="00A62330" w:rsidRPr="00D91634">
        <w:rPr>
          <w:rFonts w:ascii="Times New Roman" w:hAnsi="Times New Roman" w:cs="Times New Roman"/>
          <w:lang w:val="en-US"/>
        </w:rPr>
        <w:t xml:space="preserve"> (Yu, 2008; Jiang, 2009; Huq et al., 2016)</w:t>
      </w:r>
      <w:r w:rsidR="00923A88">
        <w:rPr>
          <w:rFonts w:ascii="Times New Roman" w:hAnsi="Times New Roman" w:cs="Times New Roman"/>
          <w:lang w:val="en-US"/>
        </w:rPr>
        <w:t>,</w:t>
      </w:r>
      <w:r w:rsidR="00E84209">
        <w:rPr>
          <w:rFonts w:ascii="Times New Roman" w:hAnsi="Times New Roman" w:cs="Times New Roman"/>
          <w:lang w:val="en-US"/>
        </w:rPr>
        <w:t xml:space="preserve"> or the introduction of new management systems such as lean manufac</w:t>
      </w:r>
      <w:r w:rsidR="00BA6218">
        <w:rPr>
          <w:rFonts w:ascii="Times New Roman" w:hAnsi="Times New Roman" w:cs="Times New Roman"/>
          <w:lang w:val="en-US"/>
        </w:rPr>
        <w:t>turing (Distelhorst et al., 2016</w:t>
      </w:r>
      <w:r w:rsidR="00E84209">
        <w:rPr>
          <w:rFonts w:ascii="Times New Roman" w:hAnsi="Times New Roman" w:cs="Times New Roman"/>
          <w:lang w:val="en-US"/>
        </w:rPr>
        <w:t>)</w:t>
      </w:r>
      <w:r w:rsidR="00A62330" w:rsidRPr="00D91634">
        <w:rPr>
          <w:rFonts w:ascii="Times New Roman" w:hAnsi="Times New Roman" w:cs="Times New Roman"/>
          <w:lang w:val="en-US"/>
        </w:rPr>
        <w:t xml:space="preserve">. </w:t>
      </w:r>
      <w:r w:rsidR="00E84209">
        <w:rPr>
          <w:rFonts w:ascii="Times New Roman" w:hAnsi="Times New Roman" w:cs="Times New Roman"/>
          <w:lang w:val="en-US"/>
        </w:rPr>
        <w:t>Other studies have addressed the effects of socially responsible sourcing initiatives on firm performance, mostly via survey methods</w:t>
      </w:r>
      <w:r w:rsidR="00076E4E" w:rsidRPr="00D91634">
        <w:rPr>
          <w:rFonts w:ascii="Times New Roman" w:hAnsi="Times New Roman" w:cs="Times New Roman"/>
          <w:lang w:val="en-US"/>
        </w:rPr>
        <w:t xml:space="preserve"> </w:t>
      </w:r>
      <w:r w:rsidRPr="00C32DF6">
        <w:rPr>
          <w:rFonts w:ascii="Times New Roman" w:hAnsi="Times New Roman" w:cs="Times New Roman"/>
          <w:spacing w:val="2"/>
          <w:lang w:val="en-US"/>
        </w:rPr>
        <w:t xml:space="preserve">(Gallear et al., </w:t>
      </w:r>
      <w:hyperlink r:id="rId11" w:anchor="CR37" w:tooltip="View reference" w:history="1">
        <w:r w:rsidRPr="00C32DF6">
          <w:rPr>
            <w:rFonts w:ascii="Times New Roman" w:hAnsi="Times New Roman" w:cs="Times New Roman"/>
            <w:spacing w:val="2"/>
            <w:lang w:val="en-US"/>
          </w:rPr>
          <w:t>2012</w:t>
        </w:r>
      </w:hyperlink>
      <w:r w:rsidRPr="00C32DF6">
        <w:rPr>
          <w:rFonts w:ascii="Times New Roman" w:hAnsi="Times New Roman" w:cs="Times New Roman"/>
          <w:spacing w:val="2"/>
          <w:lang w:val="en-US"/>
        </w:rPr>
        <w:t xml:space="preserve">; Hollos et al., </w:t>
      </w:r>
      <w:hyperlink r:id="rId12" w:anchor="CR46" w:tooltip="View reference" w:history="1">
        <w:r w:rsidRPr="00C32DF6">
          <w:rPr>
            <w:rFonts w:ascii="Times New Roman" w:hAnsi="Times New Roman" w:cs="Times New Roman"/>
            <w:spacing w:val="2"/>
            <w:lang w:val="en-US"/>
          </w:rPr>
          <w:t>2012</w:t>
        </w:r>
      </w:hyperlink>
      <w:r w:rsidRPr="00C32DF6">
        <w:rPr>
          <w:rFonts w:ascii="Times New Roman" w:hAnsi="Times New Roman" w:cs="Times New Roman"/>
          <w:spacing w:val="2"/>
          <w:lang w:val="en-US"/>
        </w:rPr>
        <w:t xml:space="preserve">; Lee et al., </w:t>
      </w:r>
      <w:hyperlink r:id="rId13" w:anchor="CR59" w:tooltip="View reference" w:history="1">
        <w:r w:rsidRPr="00C32DF6">
          <w:rPr>
            <w:rFonts w:ascii="Times New Roman" w:hAnsi="Times New Roman" w:cs="Times New Roman"/>
            <w:spacing w:val="2"/>
            <w:lang w:val="en-US"/>
          </w:rPr>
          <w:t>2013</w:t>
        </w:r>
      </w:hyperlink>
      <w:r w:rsidR="00A62330" w:rsidRPr="00C32DF6">
        <w:rPr>
          <w:rFonts w:ascii="Times New Roman" w:hAnsi="Times New Roman" w:cs="Times New Roman"/>
          <w:spacing w:val="2"/>
          <w:lang w:val="en-US"/>
        </w:rPr>
        <w:t>; Porteous et al., 2015</w:t>
      </w:r>
      <w:r w:rsidRPr="00C32DF6">
        <w:rPr>
          <w:rFonts w:ascii="Times New Roman" w:hAnsi="Times New Roman" w:cs="Times New Roman"/>
          <w:spacing w:val="2"/>
          <w:lang w:val="en-US"/>
        </w:rPr>
        <w:t>)</w:t>
      </w:r>
      <w:r w:rsidRPr="00C32DF6">
        <w:rPr>
          <w:rFonts w:ascii="Times New Roman" w:hAnsi="Times New Roman" w:cs="Times New Roman"/>
          <w:lang w:val="en-US"/>
        </w:rPr>
        <w:t>.</w:t>
      </w:r>
      <w:r w:rsidRPr="00D91634">
        <w:rPr>
          <w:rFonts w:ascii="Times New Roman" w:hAnsi="Times New Roman" w:cs="Times New Roman"/>
          <w:lang w:val="en-US"/>
        </w:rPr>
        <w:t xml:space="preserve"> </w:t>
      </w:r>
      <w:r w:rsidR="0067650B" w:rsidRPr="00D91634">
        <w:rPr>
          <w:rFonts w:ascii="Times New Roman" w:hAnsi="Times New Roman" w:cs="Times New Roman"/>
          <w:lang w:val="en-US"/>
        </w:rPr>
        <w:t>Most</w:t>
      </w:r>
      <w:r w:rsidR="00C967BB" w:rsidRPr="00D91634">
        <w:rPr>
          <w:rFonts w:ascii="Times New Roman" w:hAnsi="Times New Roman" w:cs="Times New Roman"/>
          <w:lang w:val="en-US"/>
        </w:rPr>
        <w:t xml:space="preserve"> closely</w:t>
      </w:r>
      <w:r w:rsidR="0067650B" w:rsidRPr="00D91634">
        <w:rPr>
          <w:rFonts w:ascii="Times New Roman" w:hAnsi="Times New Roman" w:cs="Times New Roman"/>
          <w:lang w:val="en-US"/>
        </w:rPr>
        <w:t xml:space="preserve"> related to our </w:t>
      </w:r>
      <w:r w:rsidR="00A62330" w:rsidRPr="00D91634">
        <w:rPr>
          <w:rFonts w:ascii="Times New Roman" w:hAnsi="Times New Roman" w:cs="Times New Roman"/>
          <w:lang w:val="en-US"/>
        </w:rPr>
        <w:t>work</w:t>
      </w:r>
      <w:r w:rsidR="0067650B" w:rsidRPr="00D91634">
        <w:rPr>
          <w:rFonts w:ascii="Times New Roman" w:hAnsi="Times New Roman" w:cs="Times New Roman"/>
          <w:lang w:val="en-US"/>
        </w:rPr>
        <w:t>, Jacobs and Singhal (2017) use</w:t>
      </w:r>
      <w:r w:rsidR="00357771" w:rsidRPr="00D91634">
        <w:rPr>
          <w:rFonts w:ascii="Times New Roman" w:hAnsi="Times New Roman" w:cs="Times New Roman"/>
          <w:lang w:val="en-US"/>
        </w:rPr>
        <w:t xml:space="preserve"> </w:t>
      </w:r>
      <w:r w:rsidRPr="00D91634">
        <w:rPr>
          <w:rFonts w:ascii="Times New Roman" w:hAnsi="Times New Roman" w:cs="Times New Roman"/>
          <w:lang w:val="en-US"/>
        </w:rPr>
        <w:t xml:space="preserve">event study methodology to examine </w:t>
      </w:r>
      <w:r w:rsidR="00C45CB9">
        <w:rPr>
          <w:rFonts w:ascii="Times New Roman" w:hAnsi="Times New Roman" w:cs="Times New Roman"/>
          <w:lang w:val="en-US"/>
        </w:rPr>
        <w:t>stock price reactions</w:t>
      </w:r>
      <w:r w:rsidRPr="00D91634">
        <w:rPr>
          <w:rFonts w:ascii="Times New Roman" w:hAnsi="Times New Roman" w:cs="Times New Roman"/>
          <w:lang w:val="en-US"/>
        </w:rPr>
        <w:t xml:space="preserve"> to the Rana Plaza factory disaster for a sample of</w:t>
      </w:r>
      <w:r w:rsidRPr="00622F6C">
        <w:rPr>
          <w:rFonts w:ascii="Times New Roman" w:hAnsi="Times New Roman" w:cs="Times New Roman"/>
          <w:lang w:val="en-US"/>
        </w:rPr>
        <w:t xml:space="preserve"> 39 global apparel retailers with significant sourcing in Bangladesh. They find that the total shareholder wealth effect of the disaster is insignificant, and there is no stock price impact for voluntar</w:t>
      </w:r>
      <w:r w:rsidR="007E047E">
        <w:rPr>
          <w:rFonts w:ascii="Times New Roman" w:hAnsi="Times New Roman" w:cs="Times New Roman"/>
          <w:lang w:val="en-US"/>
        </w:rPr>
        <w:t>il</w:t>
      </w:r>
      <w:r w:rsidRPr="00622F6C">
        <w:rPr>
          <w:rFonts w:ascii="Times New Roman" w:hAnsi="Times New Roman" w:cs="Times New Roman"/>
          <w:lang w:val="en-US"/>
        </w:rPr>
        <w:t>y</w:t>
      </w:r>
      <w:r w:rsidR="007014A1">
        <w:rPr>
          <w:rFonts w:ascii="Times New Roman" w:hAnsi="Times New Roman" w:cs="Times New Roman"/>
          <w:lang w:val="en-US"/>
        </w:rPr>
        <w:t>-</w:t>
      </w:r>
      <w:r w:rsidRPr="00622F6C">
        <w:rPr>
          <w:rFonts w:ascii="Times New Roman" w:hAnsi="Times New Roman" w:cs="Times New Roman"/>
          <w:lang w:val="en-US"/>
        </w:rPr>
        <w:t xml:space="preserve">adopted </w:t>
      </w:r>
      <w:r w:rsidR="00ED30A2" w:rsidRPr="00622F6C">
        <w:rPr>
          <w:rFonts w:ascii="Times New Roman" w:hAnsi="Times New Roman" w:cs="Times New Roman"/>
          <w:lang w:val="en-US"/>
        </w:rPr>
        <w:t xml:space="preserve">worker and factory safety </w:t>
      </w:r>
      <w:r w:rsidRPr="00622F6C">
        <w:rPr>
          <w:rFonts w:ascii="Times New Roman" w:hAnsi="Times New Roman" w:cs="Times New Roman"/>
          <w:lang w:val="en-US"/>
        </w:rPr>
        <w:t xml:space="preserve">agreements following the </w:t>
      </w:r>
      <w:r w:rsidR="00112356" w:rsidRPr="00622F6C">
        <w:rPr>
          <w:rFonts w:ascii="Times New Roman" w:hAnsi="Times New Roman" w:cs="Times New Roman"/>
          <w:lang w:val="en-US"/>
        </w:rPr>
        <w:t>event</w:t>
      </w:r>
      <w:r w:rsidRPr="00622F6C">
        <w:rPr>
          <w:rFonts w:ascii="Times New Roman" w:hAnsi="Times New Roman" w:cs="Times New Roman"/>
          <w:lang w:val="en-US"/>
        </w:rPr>
        <w:t>. Different</w:t>
      </w:r>
      <w:r w:rsidR="007E047E">
        <w:rPr>
          <w:rFonts w:ascii="Times New Roman" w:hAnsi="Times New Roman" w:cs="Times New Roman"/>
          <w:lang w:val="en-US"/>
        </w:rPr>
        <w:t>ly</w:t>
      </w:r>
      <w:r w:rsidRPr="00622F6C">
        <w:rPr>
          <w:rFonts w:ascii="Times New Roman" w:hAnsi="Times New Roman" w:cs="Times New Roman"/>
          <w:lang w:val="en-US"/>
        </w:rPr>
        <w:t xml:space="preserve"> </w:t>
      </w:r>
      <w:r w:rsidR="007E047E">
        <w:rPr>
          <w:rFonts w:ascii="Times New Roman" w:hAnsi="Times New Roman" w:cs="Times New Roman"/>
          <w:lang w:val="en-US"/>
        </w:rPr>
        <w:t>to</w:t>
      </w:r>
      <w:r w:rsidR="007E047E" w:rsidRPr="00622F6C">
        <w:rPr>
          <w:rFonts w:ascii="Times New Roman" w:hAnsi="Times New Roman" w:cs="Times New Roman"/>
          <w:lang w:val="en-US"/>
        </w:rPr>
        <w:t xml:space="preserve"> </w:t>
      </w:r>
      <w:r w:rsidR="007E047E">
        <w:rPr>
          <w:rFonts w:ascii="Times New Roman" w:hAnsi="Times New Roman" w:cs="Times New Roman"/>
          <w:lang w:val="en-US"/>
        </w:rPr>
        <w:t>them</w:t>
      </w:r>
      <w:r w:rsidRPr="00622F6C">
        <w:rPr>
          <w:rFonts w:ascii="Times New Roman" w:hAnsi="Times New Roman" w:cs="Times New Roman"/>
          <w:lang w:val="en-US"/>
        </w:rPr>
        <w:t xml:space="preserve">, we focus on the stock price effects of </w:t>
      </w:r>
      <w:r w:rsidR="00ED30A2" w:rsidRPr="00622F6C">
        <w:rPr>
          <w:rFonts w:ascii="Times New Roman" w:hAnsi="Times New Roman" w:cs="Times New Roman"/>
          <w:lang w:val="en-US"/>
        </w:rPr>
        <w:t>government-imposed</w:t>
      </w:r>
      <w:r w:rsidR="00357771" w:rsidRPr="00622F6C">
        <w:rPr>
          <w:rFonts w:ascii="Times New Roman" w:hAnsi="Times New Roman" w:cs="Times New Roman"/>
          <w:lang w:val="en-US"/>
        </w:rPr>
        <w:t>,</w:t>
      </w:r>
      <w:r w:rsidR="00973D26" w:rsidRPr="00622F6C">
        <w:rPr>
          <w:rFonts w:ascii="Times New Roman" w:hAnsi="Times New Roman" w:cs="Times New Roman"/>
          <w:lang w:val="en-US"/>
        </w:rPr>
        <w:t xml:space="preserve"> </w:t>
      </w:r>
      <w:r w:rsidR="007224CE" w:rsidRPr="00622F6C">
        <w:rPr>
          <w:rFonts w:ascii="Times New Roman" w:hAnsi="Times New Roman" w:cs="Times New Roman"/>
          <w:lang w:val="en-US"/>
        </w:rPr>
        <w:t>rather than voluntary</w:t>
      </w:r>
      <w:r w:rsidR="007014A1">
        <w:rPr>
          <w:rFonts w:ascii="Times New Roman" w:hAnsi="Times New Roman" w:cs="Times New Roman"/>
          <w:lang w:val="en-US"/>
        </w:rPr>
        <w:t>-adopted</w:t>
      </w:r>
      <w:r w:rsidR="00357771" w:rsidRPr="00622F6C">
        <w:rPr>
          <w:rFonts w:ascii="Times New Roman" w:hAnsi="Times New Roman" w:cs="Times New Roman"/>
          <w:lang w:val="en-US"/>
        </w:rPr>
        <w:t>,</w:t>
      </w:r>
      <w:r w:rsidR="00973D26" w:rsidRPr="00622F6C">
        <w:rPr>
          <w:rFonts w:ascii="Times New Roman" w:hAnsi="Times New Roman" w:cs="Times New Roman"/>
          <w:lang w:val="en-US"/>
        </w:rPr>
        <w:t xml:space="preserve"> rules </w:t>
      </w:r>
      <w:r w:rsidR="007E047E">
        <w:rPr>
          <w:rFonts w:ascii="Times New Roman" w:hAnsi="Times New Roman" w:cs="Times New Roman"/>
          <w:lang w:val="en-US"/>
        </w:rPr>
        <w:t>aimed at</w:t>
      </w:r>
      <w:r w:rsidR="007E047E" w:rsidRPr="00622F6C">
        <w:rPr>
          <w:rFonts w:ascii="Times New Roman" w:hAnsi="Times New Roman" w:cs="Times New Roman"/>
          <w:lang w:val="en-US"/>
        </w:rPr>
        <w:t xml:space="preserve"> reduc</w:t>
      </w:r>
      <w:r w:rsidR="007E047E">
        <w:rPr>
          <w:rFonts w:ascii="Times New Roman" w:hAnsi="Times New Roman" w:cs="Times New Roman"/>
          <w:lang w:val="en-US"/>
        </w:rPr>
        <w:t>ing</w:t>
      </w:r>
      <w:r w:rsidR="007E047E" w:rsidRPr="00622F6C">
        <w:rPr>
          <w:rFonts w:ascii="Times New Roman" w:hAnsi="Times New Roman" w:cs="Times New Roman"/>
          <w:lang w:val="en-US"/>
        </w:rPr>
        <w:t xml:space="preserve"> </w:t>
      </w:r>
      <w:r w:rsidR="00973D26" w:rsidRPr="00622F6C">
        <w:rPr>
          <w:rFonts w:ascii="Times New Roman" w:hAnsi="Times New Roman" w:cs="Times New Roman"/>
          <w:lang w:val="en-US"/>
        </w:rPr>
        <w:t>social violations</w:t>
      </w:r>
      <w:r w:rsidRPr="00622F6C">
        <w:rPr>
          <w:rFonts w:ascii="Times New Roman" w:hAnsi="Times New Roman" w:cs="Times New Roman"/>
          <w:lang w:val="en-US"/>
        </w:rPr>
        <w:t xml:space="preserve">. </w:t>
      </w:r>
    </w:p>
    <w:p w14:paraId="3CD00B1B" w14:textId="77777777" w:rsidR="006E4BB8" w:rsidRPr="00622F6C" w:rsidRDefault="00097D43" w:rsidP="006E4BB8">
      <w:pPr>
        <w:tabs>
          <w:tab w:val="left" w:pos="567"/>
        </w:tabs>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On a broader level, our </w:t>
      </w:r>
      <w:r w:rsidR="001D303A" w:rsidRPr="00622F6C">
        <w:rPr>
          <w:rFonts w:ascii="Times New Roman" w:hAnsi="Times New Roman" w:cs="Times New Roman"/>
          <w:lang w:val="en-US"/>
        </w:rPr>
        <w:t>paper</w:t>
      </w:r>
      <w:r w:rsidRPr="00622F6C">
        <w:rPr>
          <w:rFonts w:ascii="Times New Roman" w:hAnsi="Times New Roman" w:cs="Times New Roman"/>
          <w:lang w:val="en-US"/>
        </w:rPr>
        <w:t xml:space="preserve"> </w:t>
      </w:r>
      <w:r w:rsidR="00B411C9" w:rsidRPr="00622F6C">
        <w:rPr>
          <w:rFonts w:ascii="Times New Roman" w:hAnsi="Times New Roman" w:cs="Times New Roman"/>
          <w:lang w:val="en-US"/>
        </w:rPr>
        <w:t>relates to studies</w:t>
      </w:r>
      <w:r w:rsidRPr="00622F6C">
        <w:rPr>
          <w:rFonts w:ascii="Times New Roman" w:hAnsi="Times New Roman" w:cs="Times New Roman"/>
          <w:lang w:val="en-US"/>
        </w:rPr>
        <w:t xml:space="preserve"> on the link between </w:t>
      </w:r>
      <w:r w:rsidR="002353E0" w:rsidRPr="00622F6C">
        <w:rPr>
          <w:rFonts w:ascii="Times New Roman" w:hAnsi="Times New Roman" w:cs="Times New Roman"/>
          <w:lang w:val="en-US"/>
        </w:rPr>
        <w:t>CSR</w:t>
      </w:r>
      <w:r w:rsidRPr="00622F6C">
        <w:rPr>
          <w:rFonts w:ascii="Times New Roman" w:hAnsi="Times New Roman" w:cs="Times New Roman"/>
          <w:lang w:val="en-US"/>
        </w:rPr>
        <w:t xml:space="preserve"> and </w:t>
      </w:r>
      <w:bookmarkStart w:id="20" w:name="_Hlk523928681"/>
      <w:r w:rsidRPr="00622F6C">
        <w:rPr>
          <w:rFonts w:ascii="Times New Roman" w:hAnsi="Times New Roman" w:cs="Times New Roman"/>
          <w:lang w:val="en-US"/>
        </w:rPr>
        <w:t>corpor</w:t>
      </w:r>
      <w:r w:rsidR="00054EFA" w:rsidRPr="00622F6C">
        <w:rPr>
          <w:rFonts w:ascii="Times New Roman" w:hAnsi="Times New Roman" w:cs="Times New Roman"/>
          <w:lang w:val="en-US"/>
        </w:rPr>
        <w:t>ate financial performance</w:t>
      </w:r>
      <w:bookmarkEnd w:id="20"/>
      <w:r w:rsidR="00054EFA" w:rsidRPr="00622F6C">
        <w:rPr>
          <w:rFonts w:ascii="Times New Roman" w:hAnsi="Times New Roman" w:cs="Times New Roman"/>
          <w:lang w:val="en-US"/>
        </w:rPr>
        <w:t xml:space="preserve">. A meta-analysis of 52 </w:t>
      </w:r>
      <w:r w:rsidR="006C2AA0" w:rsidRPr="00622F6C">
        <w:rPr>
          <w:rFonts w:ascii="Times New Roman" w:hAnsi="Times New Roman" w:cs="Times New Roman"/>
          <w:lang w:val="en-US"/>
        </w:rPr>
        <w:t>papers</w:t>
      </w:r>
      <w:r w:rsidR="00054EFA" w:rsidRPr="00622F6C">
        <w:rPr>
          <w:rFonts w:ascii="Times New Roman" w:hAnsi="Times New Roman" w:cs="Times New Roman"/>
          <w:lang w:val="en-US"/>
        </w:rPr>
        <w:t xml:space="preserve"> suggests a positive relation between </w:t>
      </w:r>
      <w:r w:rsidR="007E047E">
        <w:rPr>
          <w:rFonts w:ascii="Times New Roman" w:hAnsi="Times New Roman" w:cs="Times New Roman"/>
          <w:lang w:val="en-US"/>
        </w:rPr>
        <w:t>the two</w:t>
      </w:r>
      <w:r w:rsidR="00054EFA" w:rsidRPr="00622F6C">
        <w:rPr>
          <w:rFonts w:ascii="Times New Roman" w:hAnsi="Times New Roman" w:cs="Times New Roman"/>
          <w:lang w:val="en-US"/>
        </w:rPr>
        <w:t xml:space="preserve"> </w:t>
      </w:r>
      <w:r w:rsidRPr="00622F6C">
        <w:rPr>
          <w:rFonts w:ascii="Times New Roman" w:hAnsi="Times New Roman" w:cs="Times New Roman"/>
          <w:lang w:val="en-US"/>
        </w:rPr>
        <w:t xml:space="preserve">(Orlitzky et al., 2003). </w:t>
      </w:r>
      <w:r w:rsidR="004A15CE">
        <w:rPr>
          <w:rFonts w:ascii="Times New Roman" w:hAnsi="Times New Roman" w:cs="Times New Roman"/>
          <w:lang w:val="en-US"/>
        </w:rPr>
        <w:t>A</w:t>
      </w:r>
      <w:r w:rsidR="004A15CE" w:rsidRPr="00622F6C">
        <w:rPr>
          <w:rFonts w:ascii="Times New Roman" w:hAnsi="Times New Roman" w:cs="Times New Roman"/>
          <w:lang w:val="en-US"/>
        </w:rPr>
        <w:t xml:space="preserve"> </w:t>
      </w:r>
      <w:r w:rsidR="00B411C9" w:rsidRPr="00622F6C">
        <w:rPr>
          <w:rFonts w:ascii="Times New Roman" w:hAnsi="Times New Roman" w:cs="Times New Roman"/>
          <w:lang w:val="en-US"/>
        </w:rPr>
        <w:t>resource-based</w:t>
      </w:r>
      <w:r w:rsidR="006E4BB8" w:rsidRPr="00622F6C">
        <w:rPr>
          <w:rFonts w:ascii="Times New Roman" w:hAnsi="Times New Roman" w:cs="Times New Roman"/>
          <w:lang w:val="en-US"/>
        </w:rPr>
        <w:t xml:space="preserve"> explanation for this positive relation holds that strong CSR performance </w:t>
      </w:r>
      <w:r w:rsidR="00E84209">
        <w:rPr>
          <w:rFonts w:ascii="Times New Roman" w:hAnsi="Times New Roman" w:cs="Times New Roman"/>
          <w:lang w:val="en-US"/>
        </w:rPr>
        <w:t xml:space="preserve">provides </w:t>
      </w:r>
      <w:r w:rsidR="006E4BB8" w:rsidRPr="00622F6C">
        <w:rPr>
          <w:rFonts w:ascii="Times New Roman" w:hAnsi="Times New Roman" w:cs="Times New Roman"/>
          <w:lang w:val="en-US"/>
        </w:rPr>
        <w:t xml:space="preserve">a sustainable competitive advantage </w:t>
      </w:r>
      <w:r w:rsidR="00054EFA" w:rsidRPr="00622F6C">
        <w:rPr>
          <w:rFonts w:ascii="Times New Roman" w:hAnsi="Times New Roman" w:cs="Times New Roman"/>
          <w:lang w:val="en-US"/>
        </w:rPr>
        <w:t xml:space="preserve">(Hart, </w:t>
      </w:r>
      <w:r w:rsidR="006E4BB8" w:rsidRPr="00622F6C">
        <w:rPr>
          <w:rFonts w:ascii="Times New Roman" w:hAnsi="Times New Roman" w:cs="Times New Roman"/>
          <w:lang w:val="en-US"/>
        </w:rPr>
        <w:t>1995;</w:t>
      </w:r>
      <w:r w:rsidR="00D66995">
        <w:rPr>
          <w:rFonts w:ascii="Times New Roman" w:hAnsi="Times New Roman" w:cs="Times New Roman"/>
          <w:lang w:val="en-US"/>
        </w:rPr>
        <w:t xml:space="preserve"> Porter and Van der Linde, 1995;</w:t>
      </w:r>
      <w:r w:rsidR="006E4BB8" w:rsidRPr="00622F6C">
        <w:rPr>
          <w:rFonts w:ascii="Times New Roman" w:hAnsi="Times New Roman" w:cs="Times New Roman"/>
          <w:lang w:val="en-US"/>
        </w:rPr>
        <w:t xml:space="preserve"> Hart and Dowell, 2011). </w:t>
      </w:r>
      <w:r w:rsidR="0056694D" w:rsidRPr="00622F6C">
        <w:rPr>
          <w:rFonts w:ascii="Times New Roman" w:hAnsi="Times New Roman" w:cs="Times New Roman"/>
          <w:lang w:val="en-US"/>
        </w:rPr>
        <w:t>Another</w:t>
      </w:r>
      <w:r w:rsidR="00D66995">
        <w:rPr>
          <w:rFonts w:ascii="Times New Roman" w:hAnsi="Times New Roman" w:cs="Times New Roman"/>
          <w:lang w:val="en-US"/>
        </w:rPr>
        <w:t>, non-mutually exclusive</w:t>
      </w:r>
      <w:r w:rsidR="0056694D" w:rsidRPr="00622F6C">
        <w:rPr>
          <w:rFonts w:ascii="Times New Roman" w:hAnsi="Times New Roman" w:cs="Times New Roman"/>
          <w:lang w:val="en-US"/>
        </w:rPr>
        <w:t xml:space="preserve"> explanation</w:t>
      </w:r>
      <w:r w:rsidR="00054EFA" w:rsidRPr="00622F6C">
        <w:rPr>
          <w:rFonts w:ascii="Times New Roman" w:hAnsi="Times New Roman" w:cs="Times New Roman"/>
          <w:lang w:val="en-US"/>
        </w:rPr>
        <w:t xml:space="preserve"> </w:t>
      </w:r>
      <w:r w:rsidR="006E4BB8" w:rsidRPr="00622F6C">
        <w:rPr>
          <w:rFonts w:ascii="Times New Roman" w:hAnsi="Times New Roman" w:cs="Times New Roman"/>
          <w:lang w:val="en-US"/>
        </w:rPr>
        <w:t>maintains</w:t>
      </w:r>
      <w:r w:rsidR="00054EFA" w:rsidRPr="00622F6C">
        <w:rPr>
          <w:rFonts w:ascii="Times New Roman" w:hAnsi="Times New Roman" w:cs="Times New Roman"/>
          <w:lang w:val="en-US"/>
        </w:rPr>
        <w:t xml:space="preserve"> that </w:t>
      </w:r>
      <w:r w:rsidR="00487BB4" w:rsidRPr="00622F6C">
        <w:rPr>
          <w:rFonts w:ascii="Times New Roman" w:hAnsi="Times New Roman" w:cs="Times New Roman"/>
          <w:lang w:val="en-US"/>
        </w:rPr>
        <w:t xml:space="preserve">CSR </w:t>
      </w:r>
      <w:r w:rsidR="006E4BB8" w:rsidRPr="00622F6C">
        <w:rPr>
          <w:rFonts w:ascii="Times New Roman" w:hAnsi="Times New Roman" w:cs="Times New Roman"/>
          <w:lang w:val="en-US"/>
        </w:rPr>
        <w:t xml:space="preserve">can </w:t>
      </w:r>
      <w:r w:rsidR="00A53B9F" w:rsidRPr="00622F6C">
        <w:rPr>
          <w:rFonts w:ascii="Times New Roman" w:hAnsi="Times New Roman" w:cs="Times New Roman"/>
          <w:lang w:val="en-US"/>
        </w:rPr>
        <w:t>positively affect firm value by acting as a</w:t>
      </w:r>
      <w:r w:rsidR="00487BB4" w:rsidRPr="00622F6C">
        <w:rPr>
          <w:rFonts w:ascii="Times New Roman" w:hAnsi="Times New Roman" w:cs="Times New Roman"/>
          <w:lang w:val="en-US"/>
        </w:rPr>
        <w:t xml:space="preserve"> risk management tool</w:t>
      </w:r>
      <w:r w:rsidR="001D303A" w:rsidRPr="00622F6C">
        <w:rPr>
          <w:rFonts w:ascii="Times New Roman" w:hAnsi="Times New Roman" w:cs="Times New Roman"/>
          <w:lang w:val="en-US"/>
        </w:rPr>
        <w:t xml:space="preserve"> (</w:t>
      </w:r>
      <w:r w:rsidR="001D303A" w:rsidRPr="00D86194">
        <w:rPr>
          <w:rFonts w:ascii="Times New Roman" w:hAnsi="Times New Roman" w:cs="Times New Roman"/>
          <w:lang w:val="en-US"/>
        </w:rPr>
        <w:t>Heal, 200</w:t>
      </w:r>
      <w:r w:rsidR="00CF1CA3" w:rsidRPr="00E54777">
        <w:rPr>
          <w:rFonts w:ascii="Times New Roman" w:hAnsi="Times New Roman" w:cs="Times New Roman"/>
          <w:lang w:val="en-US"/>
        </w:rPr>
        <w:t>5</w:t>
      </w:r>
      <w:r w:rsidR="001D303A" w:rsidRPr="00622F6C">
        <w:rPr>
          <w:rFonts w:ascii="Times New Roman" w:hAnsi="Times New Roman" w:cs="Times New Roman"/>
          <w:lang w:val="en-US"/>
        </w:rPr>
        <w:t xml:space="preserve">; </w:t>
      </w:r>
      <w:r w:rsidR="00112356" w:rsidRPr="00622F6C">
        <w:rPr>
          <w:rFonts w:ascii="Times New Roman" w:hAnsi="Times New Roman" w:cs="Times New Roman"/>
          <w:lang w:val="en-US"/>
        </w:rPr>
        <w:t>El Ghoul et al., 2011</w:t>
      </w:r>
      <w:r w:rsidR="001D303A" w:rsidRPr="00622F6C">
        <w:rPr>
          <w:rFonts w:ascii="Times New Roman" w:hAnsi="Times New Roman" w:cs="Times New Roman"/>
          <w:lang w:val="en-US"/>
        </w:rPr>
        <w:t>)</w:t>
      </w:r>
      <w:r w:rsidR="00C122C0" w:rsidRPr="00622F6C">
        <w:rPr>
          <w:rFonts w:ascii="Times New Roman" w:hAnsi="Times New Roman" w:cs="Times New Roman"/>
          <w:lang w:val="en-US"/>
        </w:rPr>
        <w:t xml:space="preserve">. The </w:t>
      </w:r>
      <w:r w:rsidR="0056694D" w:rsidRPr="00622F6C">
        <w:rPr>
          <w:rFonts w:ascii="Times New Roman" w:hAnsi="Times New Roman" w:cs="Times New Roman"/>
          <w:lang w:val="en-US"/>
        </w:rPr>
        <w:t xml:space="preserve">rationale behind this ‘risk management’ view </w:t>
      </w:r>
      <w:r w:rsidR="00C122C0" w:rsidRPr="00622F6C">
        <w:rPr>
          <w:rFonts w:ascii="Times New Roman" w:hAnsi="Times New Roman" w:cs="Times New Roman"/>
          <w:lang w:val="en-US"/>
        </w:rPr>
        <w:t xml:space="preserve">is that </w:t>
      </w:r>
      <w:r w:rsidR="006E4BB8" w:rsidRPr="00622F6C">
        <w:rPr>
          <w:rFonts w:ascii="Times New Roman" w:hAnsi="Times New Roman" w:cs="Times New Roman"/>
          <w:lang w:val="en-US"/>
        </w:rPr>
        <w:t>strong</w:t>
      </w:r>
      <w:r w:rsidR="00312815" w:rsidRPr="00622F6C">
        <w:rPr>
          <w:rFonts w:ascii="Times New Roman" w:hAnsi="Times New Roman" w:cs="Times New Roman"/>
          <w:lang w:val="en-US"/>
        </w:rPr>
        <w:t xml:space="preserve"> CSR performance can </w:t>
      </w:r>
      <w:r w:rsidR="006E4BB8" w:rsidRPr="00622F6C">
        <w:rPr>
          <w:rFonts w:ascii="Times New Roman" w:hAnsi="Times New Roman" w:cs="Times New Roman"/>
          <w:lang w:val="en-US"/>
        </w:rPr>
        <w:t>reduce</w:t>
      </w:r>
      <w:r w:rsidR="00312815" w:rsidRPr="00622F6C">
        <w:rPr>
          <w:rFonts w:ascii="Times New Roman" w:hAnsi="Times New Roman" w:cs="Times New Roman"/>
          <w:lang w:val="en-US"/>
        </w:rPr>
        <w:t xml:space="preserve"> the company’s risk of getting involved in cost</w:t>
      </w:r>
      <w:r w:rsidR="006E4BB8" w:rsidRPr="00622F6C">
        <w:rPr>
          <w:rFonts w:ascii="Times New Roman" w:hAnsi="Times New Roman" w:cs="Times New Roman"/>
          <w:lang w:val="en-US"/>
        </w:rPr>
        <w:t>ly</w:t>
      </w:r>
      <w:r w:rsidR="00312815" w:rsidRPr="00622F6C">
        <w:rPr>
          <w:rFonts w:ascii="Times New Roman" w:hAnsi="Times New Roman" w:cs="Times New Roman"/>
          <w:lang w:val="en-US"/>
        </w:rPr>
        <w:t xml:space="preserve"> </w:t>
      </w:r>
      <w:r w:rsidR="006E4BB8" w:rsidRPr="00622F6C">
        <w:rPr>
          <w:rFonts w:ascii="Times New Roman" w:hAnsi="Times New Roman" w:cs="Times New Roman"/>
          <w:lang w:val="en-US"/>
        </w:rPr>
        <w:t>conflicts</w:t>
      </w:r>
      <w:r w:rsidR="00312815" w:rsidRPr="00622F6C">
        <w:rPr>
          <w:rFonts w:ascii="Times New Roman" w:hAnsi="Times New Roman" w:cs="Times New Roman"/>
          <w:lang w:val="en-US"/>
        </w:rPr>
        <w:t xml:space="preserve"> with societal </w:t>
      </w:r>
      <w:r w:rsidR="00054EFA" w:rsidRPr="00622F6C">
        <w:rPr>
          <w:rFonts w:ascii="Times New Roman" w:hAnsi="Times New Roman" w:cs="Times New Roman"/>
          <w:lang w:val="en-US"/>
        </w:rPr>
        <w:t>stakeholders</w:t>
      </w:r>
      <w:r w:rsidR="006E4BB8" w:rsidRPr="00622F6C">
        <w:rPr>
          <w:rFonts w:ascii="Times New Roman" w:hAnsi="Times New Roman" w:cs="Times New Roman"/>
          <w:lang w:val="en-US"/>
        </w:rPr>
        <w:t xml:space="preserve"> (King and Soule, 2007; Koh et al., 2014). </w:t>
      </w:r>
    </w:p>
    <w:p w14:paraId="1446EC71" w14:textId="77777777" w:rsidR="00097D43" w:rsidRPr="00622F6C" w:rsidRDefault="00097D43" w:rsidP="00054EFA">
      <w:pPr>
        <w:spacing w:after="0" w:line="480" w:lineRule="auto"/>
        <w:ind w:firstLine="426"/>
        <w:jc w:val="both"/>
        <w:rPr>
          <w:rFonts w:ascii="Times New Roman" w:hAnsi="Times New Roman" w:cs="Times New Roman"/>
          <w:lang w:val="en-US"/>
        </w:rPr>
      </w:pPr>
    </w:p>
    <w:p w14:paraId="7FE97886" w14:textId="77777777" w:rsidR="006E6FAF" w:rsidRPr="00622F6C" w:rsidRDefault="006E6FAF" w:rsidP="00D91634">
      <w:pPr>
        <w:tabs>
          <w:tab w:val="left" w:pos="426"/>
        </w:tabs>
        <w:rPr>
          <w:rFonts w:ascii="Times New Roman" w:hAnsi="Times New Roman" w:cs="Times New Roman"/>
          <w:i/>
          <w:lang w:val="en-US"/>
        </w:rPr>
      </w:pPr>
      <w:r w:rsidRPr="00622F6C">
        <w:rPr>
          <w:rFonts w:ascii="Times New Roman" w:hAnsi="Times New Roman" w:cs="Times New Roman"/>
          <w:i/>
          <w:lang w:val="en-US"/>
        </w:rPr>
        <w:t>2.2.</w:t>
      </w:r>
      <w:r w:rsidRPr="00622F6C">
        <w:rPr>
          <w:rFonts w:ascii="Times New Roman" w:hAnsi="Times New Roman" w:cs="Times New Roman"/>
          <w:i/>
          <w:lang w:val="en-US"/>
        </w:rPr>
        <w:tab/>
        <w:t xml:space="preserve">Literature on </w:t>
      </w:r>
      <w:r w:rsidR="00C2615E" w:rsidRPr="00622F6C">
        <w:rPr>
          <w:rFonts w:ascii="Times New Roman" w:hAnsi="Times New Roman" w:cs="Times New Roman"/>
          <w:i/>
          <w:lang w:val="en-US"/>
        </w:rPr>
        <w:t>corporate</w:t>
      </w:r>
      <w:r w:rsidR="00A96077" w:rsidRPr="00622F6C">
        <w:rPr>
          <w:rFonts w:ascii="Times New Roman" w:hAnsi="Times New Roman" w:cs="Times New Roman"/>
          <w:i/>
          <w:lang w:val="en-US"/>
        </w:rPr>
        <w:t xml:space="preserve"> disclosure</w:t>
      </w:r>
      <w:r w:rsidRPr="00622F6C">
        <w:rPr>
          <w:rFonts w:ascii="Times New Roman" w:hAnsi="Times New Roman" w:cs="Times New Roman"/>
          <w:i/>
          <w:lang w:val="en-US"/>
        </w:rPr>
        <w:t xml:space="preserve"> </w:t>
      </w:r>
    </w:p>
    <w:p w14:paraId="3AC1A5D7" w14:textId="77777777" w:rsidR="00C2615E" w:rsidRPr="00622F6C" w:rsidRDefault="00A53B9F" w:rsidP="00492A65">
      <w:pPr>
        <w:shd w:val="clear" w:color="auto" w:fill="FFFFFF"/>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T</w:t>
      </w:r>
      <w:r w:rsidR="006A63AA" w:rsidRPr="00622F6C">
        <w:rPr>
          <w:rFonts w:ascii="Times New Roman" w:hAnsi="Times New Roman" w:cs="Times New Roman"/>
          <w:lang w:val="en-US"/>
        </w:rPr>
        <w:t xml:space="preserve">wo streams of research </w:t>
      </w:r>
      <w:r w:rsidRPr="00622F6C">
        <w:rPr>
          <w:rFonts w:ascii="Times New Roman" w:hAnsi="Times New Roman" w:cs="Times New Roman"/>
          <w:lang w:val="en-US"/>
        </w:rPr>
        <w:t xml:space="preserve">on corporate disclosure </w:t>
      </w:r>
      <w:r w:rsidR="006A63AA" w:rsidRPr="00622F6C">
        <w:rPr>
          <w:rFonts w:ascii="Times New Roman" w:hAnsi="Times New Roman" w:cs="Times New Roman"/>
          <w:lang w:val="en-US"/>
        </w:rPr>
        <w:t xml:space="preserve">are relevant to our work. </w:t>
      </w:r>
      <w:r w:rsidRPr="00622F6C">
        <w:rPr>
          <w:rFonts w:ascii="Times New Roman" w:hAnsi="Times New Roman" w:cs="Times New Roman"/>
          <w:lang w:val="en-US"/>
        </w:rPr>
        <w:t xml:space="preserve">Firstly, our paper relates to studies on </w:t>
      </w:r>
      <w:r w:rsidR="0056694D" w:rsidRPr="00622F6C">
        <w:rPr>
          <w:rFonts w:ascii="Times New Roman" w:hAnsi="Times New Roman" w:cs="Times New Roman"/>
          <w:lang w:val="en-US"/>
        </w:rPr>
        <w:t>firms’</w:t>
      </w:r>
      <w:r w:rsidRPr="00622F6C">
        <w:rPr>
          <w:rFonts w:ascii="Times New Roman" w:hAnsi="Times New Roman" w:cs="Times New Roman"/>
          <w:lang w:val="en-US"/>
        </w:rPr>
        <w:t xml:space="preserve"> disclosure</w:t>
      </w:r>
      <w:r w:rsidR="0056694D" w:rsidRPr="00622F6C">
        <w:rPr>
          <w:rFonts w:ascii="Times New Roman" w:hAnsi="Times New Roman" w:cs="Times New Roman"/>
          <w:lang w:val="en-US"/>
        </w:rPr>
        <w:t xml:space="preserve"> of their CSR activit</w:t>
      </w:r>
      <w:r w:rsidR="00BE5E4D">
        <w:rPr>
          <w:rFonts w:ascii="Times New Roman" w:hAnsi="Times New Roman" w:cs="Times New Roman"/>
          <w:lang w:val="en-US"/>
        </w:rPr>
        <w:t>ies</w:t>
      </w:r>
      <w:r w:rsidR="0056694D" w:rsidRPr="00622F6C">
        <w:rPr>
          <w:rFonts w:ascii="Times New Roman" w:hAnsi="Times New Roman" w:cs="Times New Roman"/>
          <w:lang w:val="en-US"/>
        </w:rPr>
        <w:t xml:space="preserve"> (‘CSR disclosure’)</w:t>
      </w:r>
      <w:r w:rsidR="006A63AA" w:rsidRPr="00622F6C">
        <w:rPr>
          <w:rFonts w:ascii="Times New Roman" w:hAnsi="Times New Roman" w:cs="Times New Roman"/>
          <w:lang w:val="en-US"/>
        </w:rPr>
        <w:t xml:space="preserve">. </w:t>
      </w:r>
      <w:r w:rsidR="00554406" w:rsidRPr="00622F6C">
        <w:rPr>
          <w:rFonts w:ascii="Times New Roman" w:hAnsi="Times New Roman" w:cs="Times New Roman"/>
          <w:lang w:val="en-US"/>
        </w:rPr>
        <w:t>Within this litera</w:t>
      </w:r>
      <w:r w:rsidR="00285C4D" w:rsidRPr="00622F6C">
        <w:rPr>
          <w:rFonts w:ascii="Times New Roman" w:hAnsi="Times New Roman" w:cs="Times New Roman"/>
          <w:lang w:val="en-US"/>
        </w:rPr>
        <w:t xml:space="preserve">ture, most studies focus on determinants </w:t>
      </w:r>
      <w:r w:rsidR="00594F11">
        <w:rPr>
          <w:rFonts w:ascii="Times New Roman" w:hAnsi="Times New Roman" w:cs="Times New Roman"/>
          <w:lang w:val="en-US"/>
        </w:rPr>
        <w:t>of the level and extent of</w:t>
      </w:r>
      <w:r w:rsidR="00554406" w:rsidRPr="00622F6C">
        <w:rPr>
          <w:rFonts w:ascii="Times New Roman" w:hAnsi="Times New Roman" w:cs="Times New Roman"/>
          <w:lang w:val="en-US"/>
        </w:rPr>
        <w:t xml:space="preserve"> CSR disclosure (Gray et al., </w:t>
      </w:r>
      <w:r w:rsidR="00FE297A" w:rsidRPr="00622F6C">
        <w:rPr>
          <w:rFonts w:ascii="Times New Roman" w:hAnsi="Times New Roman" w:cs="Times New Roman"/>
          <w:lang w:val="en-US"/>
        </w:rPr>
        <w:t>1995</w:t>
      </w:r>
      <w:r w:rsidR="00554406" w:rsidRPr="00622F6C">
        <w:rPr>
          <w:rFonts w:ascii="Times New Roman" w:hAnsi="Times New Roman" w:cs="Times New Roman"/>
          <w:lang w:val="en-US"/>
        </w:rPr>
        <w:t>;</w:t>
      </w:r>
      <w:r w:rsidR="00FE297A" w:rsidRPr="00622F6C">
        <w:rPr>
          <w:rFonts w:ascii="Times New Roman" w:hAnsi="Times New Roman" w:cs="Times New Roman"/>
          <w:lang w:val="en-US"/>
        </w:rPr>
        <w:t xml:space="preserve"> </w:t>
      </w:r>
      <w:r w:rsidR="00554406" w:rsidRPr="00622F6C">
        <w:rPr>
          <w:rFonts w:ascii="Times New Roman" w:hAnsi="Times New Roman" w:cs="Times New Roman"/>
          <w:lang w:val="en-US"/>
        </w:rPr>
        <w:t xml:space="preserve">Fifka, </w:t>
      </w:r>
      <w:r w:rsidR="004A52CB" w:rsidRPr="00622F6C">
        <w:rPr>
          <w:rFonts w:ascii="Times New Roman" w:hAnsi="Times New Roman" w:cs="Times New Roman"/>
          <w:lang w:val="en-US"/>
        </w:rPr>
        <w:t>2013)</w:t>
      </w:r>
      <w:r w:rsidR="00554406" w:rsidRPr="00622F6C">
        <w:rPr>
          <w:rFonts w:ascii="Times New Roman" w:hAnsi="Times New Roman" w:cs="Times New Roman"/>
          <w:lang w:val="en-US"/>
        </w:rPr>
        <w:t>.</w:t>
      </w:r>
      <w:r w:rsidR="00C122C0" w:rsidRPr="00622F6C">
        <w:rPr>
          <w:rFonts w:ascii="Times New Roman" w:hAnsi="Times New Roman" w:cs="Times New Roman"/>
          <w:lang w:val="en-US"/>
        </w:rPr>
        <w:t xml:space="preserve"> Specific e</w:t>
      </w:r>
      <w:r w:rsidR="004A52CB" w:rsidRPr="00622F6C">
        <w:rPr>
          <w:rFonts w:ascii="Times New Roman" w:hAnsi="Times New Roman" w:cs="Times New Roman"/>
          <w:lang w:val="en-US"/>
        </w:rPr>
        <w:t xml:space="preserve">xamples of studies in this area include </w:t>
      </w:r>
      <w:r w:rsidRPr="00622F6C">
        <w:rPr>
          <w:rFonts w:ascii="Times New Roman" w:hAnsi="Times New Roman" w:cs="Times New Roman"/>
          <w:lang w:val="en-US"/>
        </w:rPr>
        <w:t xml:space="preserve">O’Dwyer (2002), who examines managerial </w:t>
      </w:r>
      <w:r w:rsidRPr="00622F6C">
        <w:rPr>
          <w:rFonts w:ascii="Times New Roman" w:hAnsi="Times New Roman" w:cs="Times New Roman"/>
          <w:lang w:val="en-US"/>
        </w:rPr>
        <w:lastRenderedPageBreak/>
        <w:t xml:space="preserve">perceptions </w:t>
      </w:r>
      <w:r w:rsidR="00EF6998" w:rsidRPr="00622F6C">
        <w:rPr>
          <w:rFonts w:ascii="Times New Roman" w:hAnsi="Times New Roman" w:cs="Times New Roman"/>
          <w:lang w:val="en-US"/>
        </w:rPr>
        <w:t>o</w:t>
      </w:r>
      <w:r w:rsidR="00EF6998">
        <w:rPr>
          <w:rFonts w:ascii="Times New Roman" w:hAnsi="Times New Roman" w:cs="Times New Roman"/>
          <w:lang w:val="en-US"/>
        </w:rPr>
        <w:t>f</w:t>
      </w:r>
      <w:r w:rsidR="00EF6998" w:rsidRPr="00622F6C">
        <w:rPr>
          <w:rFonts w:ascii="Times New Roman" w:hAnsi="Times New Roman" w:cs="Times New Roman"/>
          <w:lang w:val="en-US"/>
        </w:rPr>
        <w:t xml:space="preserve"> </w:t>
      </w:r>
      <w:r w:rsidRPr="00622F6C">
        <w:rPr>
          <w:rFonts w:ascii="Times New Roman" w:hAnsi="Times New Roman" w:cs="Times New Roman"/>
          <w:lang w:val="en-US"/>
        </w:rPr>
        <w:t xml:space="preserve">CSR disclosure, </w:t>
      </w:r>
      <w:r w:rsidR="004A52CB" w:rsidRPr="00622F6C">
        <w:rPr>
          <w:rFonts w:ascii="Times New Roman" w:hAnsi="Times New Roman" w:cs="Times New Roman"/>
          <w:lang w:val="en-US"/>
        </w:rPr>
        <w:t xml:space="preserve">Perego and Kolk (2012), who </w:t>
      </w:r>
      <w:r w:rsidRPr="00622F6C">
        <w:rPr>
          <w:rFonts w:ascii="Times New Roman" w:hAnsi="Times New Roman" w:cs="Times New Roman"/>
          <w:lang w:val="en-US"/>
        </w:rPr>
        <w:t xml:space="preserve">document </w:t>
      </w:r>
      <w:r w:rsidR="004A52CB" w:rsidRPr="00622F6C">
        <w:rPr>
          <w:rFonts w:ascii="Times New Roman" w:hAnsi="Times New Roman" w:cs="Times New Roman"/>
          <w:lang w:val="en-US"/>
        </w:rPr>
        <w:t>t</w:t>
      </w:r>
      <w:r w:rsidR="00FE297A" w:rsidRPr="00622F6C">
        <w:rPr>
          <w:rFonts w:ascii="Times New Roman" w:hAnsi="Times New Roman" w:cs="Times New Roman"/>
          <w:lang w:val="en-US"/>
        </w:rPr>
        <w:t xml:space="preserve">he drivers of third-party assurances </w:t>
      </w:r>
      <w:r w:rsidR="00A25C5C">
        <w:rPr>
          <w:rFonts w:ascii="Times New Roman" w:hAnsi="Times New Roman" w:cs="Times New Roman"/>
          <w:lang w:val="en-US"/>
        </w:rPr>
        <w:t xml:space="preserve">in </w:t>
      </w:r>
      <w:r w:rsidR="00FE297A" w:rsidRPr="00622F6C">
        <w:rPr>
          <w:rFonts w:ascii="Times New Roman" w:hAnsi="Times New Roman" w:cs="Times New Roman"/>
          <w:lang w:val="en-US"/>
        </w:rPr>
        <w:t xml:space="preserve">sustainability reports, and </w:t>
      </w:r>
      <w:r w:rsidRPr="00622F6C">
        <w:rPr>
          <w:rFonts w:ascii="Times New Roman" w:hAnsi="Times New Roman" w:cs="Times New Roman"/>
          <w:color w:val="222222"/>
          <w:shd w:val="clear" w:color="auto" w:fill="FFFFFF"/>
          <w:lang w:val="en-US"/>
        </w:rPr>
        <w:t>Rimmel and Jonäll</w:t>
      </w:r>
      <w:r w:rsidR="004A52CB" w:rsidRPr="00622F6C">
        <w:rPr>
          <w:rFonts w:ascii="Times New Roman" w:hAnsi="Times New Roman" w:cs="Times New Roman"/>
          <w:lang w:val="en-US"/>
        </w:rPr>
        <w:t xml:space="preserve"> </w:t>
      </w:r>
      <w:r w:rsidRPr="00622F6C">
        <w:rPr>
          <w:rFonts w:ascii="Times New Roman" w:hAnsi="Times New Roman" w:cs="Times New Roman"/>
          <w:lang w:val="en-US"/>
        </w:rPr>
        <w:t xml:space="preserve">(2013), </w:t>
      </w:r>
      <w:r w:rsidR="004A52CB" w:rsidRPr="00622F6C">
        <w:rPr>
          <w:rFonts w:ascii="Times New Roman" w:hAnsi="Times New Roman" w:cs="Times New Roman"/>
          <w:lang w:val="en-US"/>
        </w:rPr>
        <w:t xml:space="preserve">who analyze </w:t>
      </w:r>
      <w:r w:rsidRPr="00622F6C">
        <w:rPr>
          <w:rFonts w:ascii="Times New Roman" w:hAnsi="Times New Roman" w:cs="Times New Roman"/>
          <w:lang w:val="en-US"/>
        </w:rPr>
        <w:t xml:space="preserve">Swedish firms’ biodiversity reporting practices. Particularly relevant to our study, </w:t>
      </w:r>
      <w:r w:rsidR="006017E4" w:rsidRPr="00622F6C">
        <w:rPr>
          <w:rFonts w:ascii="Times New Roman" w:hAnsi="Times New Roman" w:cs="Times New Roman"/>
          <w:lang w:val="en-US"/>
        </w:rPr>
        <w:t>a few papers analyze disclosure</w:t>
      </w:r>
      <w:r w:rsidR="00285C4D" w:rsidRPr="00622F6C">
        <w:rPr>
          <w:rFonts w:ascii="Times New Roman" w:hAnsi="Times New Roman" w:cs="Times New Roman"/>
          <w:lang w:val="en-US"/>
        </w:rPr>
        <w:t xml:space="preserve"> pra</w:t>
      </w:r>
      <w:r w:rsidR="00C122C0" w:rsidRPr="00622F6C">
        <w:rPr>
          <w:rFonts w:ascii="Times New Roman" w:hAnsi="Times New Roman" w:cs="Times New Roman"/>
          <w:lang w:val="en-US"/>
        </w:rPr>
        <w:t>c</w:t>
      </w:r>
      <w:r w:rsidR="00285C4D" w:rsidRPr="00622F6C">
        <w:rPr>
          <w:rFonts w:ascii="Times New Roman" w:hAnsi="Times New Roman" w:cs="Times New Roman"/>
          <w:lang w:val="en-US"/>
        </w:rPr>
        <w:t>tices</w:t>
      </w:r>
      <w:r w:rsidR="006017E4" w:rsidRPr="00622F6C">
        <w:rPr>
          <w:rFonts w:ascii="Times New Roman" w:hAnsi="Times New Roman" w:cs="Times New Roman"/>
          <w:lang w:val="en-US"/>
        </w:rPr>
        <w:t xml:space="preserve"> in the context of firms’ supply chains. </w:t>
      </w:r>
      <w:r w:rsidR="00312C31" w:rsidRPr="00622F6C">
        <w:rPr>
          <w:rFonts w:ascii="Times New Roman" w:hAnsi="Times New Roman" w:cs="Times New Roman"/>
          <w:lang w:val="en-US"/>
        </w:rPr>
        <w:t xml:space="preserve">Doorey (2011) </w:t>
      </w:r>
      <w:r w:rsidRPr="00622F6C">
        <w:rPr>
          <w:rFonts w:ascii="Times New Roman" w:hAnsi="Times New Roman" w:cs="Times New Roman"/>
          <w:lang w:val="en-US"/>
        </w:rPr>
        <w:t>provides case studies of</w:t>
      </w:r>
      <w:r w:rsidR="00DD77FF" w:rsidRPr="00622F6C">
        <w:rPr>
          <w:rFonts w:ascii="Times New Roman" w:hAnsi="Times New Roman" w:cs="Times New Roman"/>
          <w:lang w:val="en-US"/>
        </w:rPr>
        <w:t xml:space="preserve"> Nike’s and Levi</w:t>
      </w:r>
      <w:r w:rsidR="00D86194">
        <w:rPr>
          <w:rFonts w:ascii="Times New Roman" w:hAnsi="Times New Roman" w:cs="Times New Roman"/>
          <w:lang w:val="en-US"/>
        </w:rPr>
        <w:t>’</w:t>
      </w:r>
      <w:r w:rsidR="00663231">
        <w:rPr>
          <w:rFonts w:ascii="Times New Roman" w:hAnsi="Times New Roman" w:cs="Times New Roman"/>
          <w:lang w:val="en-US"/>
        </w:rPr>
        <w:t>s</w:t>
      </w:r>
      <w:r w:rsidR="004255C4" w:rsidRPr="00622F6C">
        <w:rPr>
          <w:rFonts w:ascii="Times New Roman" w:hAnsi="Times New Roman" w:cs="Times New Roman"/>
          <w:lang w:val="en-US"/>
        </w:rPr>
        <w:t xml:space="preserve"> </w:t>
      </w:r>
      <w:r w:rsidR="00312C31" w:rsidRPr="00622F6C">
        <w:rPr>
          <w:rFonts w:ascii="Times New Roman" w:hAnsi="Times New Roman" w:cs="Times New Roman"/>
          <w:lang w:val="en-US"/>
        </w:rPr>
        <w:t>decision</w:t>
      </w:r>
      <w:r w:rsidR="00CB1B2C">
        <w:rPr>
          <w:rFonts w:ascii="Times New Roman" w:hAnsi="Times New Roman" w:cs="Times New Roman"/>
          <w:lang w:val="en-US"/>
        </w:rPr>
        <w:t>s</w:t>
      </w:r>
      <w:r w:rsidR="00312C31" w:rsidRPr="00622F6C">
        <w:rPr>
          <w:rFonts w:ascii="Times New Roman" w:hAnsi="Times New Roman" w:cs="Times New Roman"/>
          <w:lang w:val="en-US"/>
        </w:rPr>
        <w:t xml:space="preserve"> to provide full disclosure of their factory lists</w:t>
      </w:r>
      <w:r w:rsidR="006017E4" w:rsidRPr="00622F6C">
        <w:rPr>
          <w:rFonts w:ascii="Times New Roman" w:hAnsi="Times New Roman" w:cs="Times New Roman"/>
          <w:lang w:val="en-US"/>
        </w:rPr>
        <w:t xml:space="preserve">. </w:t>
      </w:r>
      <w:r w:rsidR="00FF529C">
        <w:rPr>
          <w:rFonts w:ascii="Times New Roman" w:hAnsi="Times New Roman" w:cs="Times New Roman"/>
          <w:lang w:val="en-US"/>
        </w:rPr>
        <w:t xml:space="preserve">Kalkanci and Plambeck (2018) </w:t>
      </w:r>
      <w:r w:rsidR="00C644EB">
        <w:rPr>
          <w:rFonts w:ascii="Times New Roman" w:hAnsi="Times New Roman" w:cs="Times New Roman"/>
          <w:lang w:val="en-US"/>
        </w:rPr>
        <w:t xml:space="preserve">develop </w:t>
      </w:r>
      <w:r w:rsidR="00FF529C">
        <w:rPr>
          <w:rFonts w:ascii="Times New Roman" w:hAnsi="Times New Roman" w:cs="Times New Roman"/>
          <w:lang w:val="en-US"/>
        </w:rPr>
        <w:t xml:space="preserve">a game theoretic model of a firm’s </w:t>
      </w:r>
      <w:r w:rsidR="00BA6218">
        <w:rPr>
          <w:rFonts w:ascii="Times New Roman" w:hAnsi="Times New Roman" w:cs="Times New Roman"/>
          <w:lang w:val="en-US"/>
        </w:rPr>
        <w:t>voluntary disclosure of its</w:t>
      </w:r>
      <w:r w:rsidR="00FF529C">
        <w:rPr>
          <w:rFonts w:ascii="Times New Roman" w:hAnsi="Times New Roman" w:cs="Times New Roman"/>
          <w:lang w:val="en-US"/>
        </w:rPr>
        <w:t xml:space="preserve"> suppliers’ social and environmental impacts. They document that, under certain conditions, mandatory disclosure requirements can backfire in that they might increase suppliers’ impacts. </w:t>
      </w:r>
      <w:r w:rsidR="006017E4" w:rsidRPr="00622F6C">
        <w:rPr>
          <w:rFonts w:ascii="Times New Roman" w:hAnsi="Times New Roman" w:cs="Times New Roman"/>
          <w:lang w:val="en-US"/>
        </w:rPr>
        <w:t xml:space="preserve">Gualandris et al. (2015) argue that </w:t>
      </w:r>
      <w:r w:rsidR="00D66995">
        <w:rPr>
          <w:rFonts w:ascii="Times New Roman" w:hAnsi="Times New Roman" w:cs="Times New Roman"/>
          <w:lang w:val="en-US"/>
        </w:rPr>
        <w:t xml:space="preserve">accounting </w:t>
      </w:r>
      <w:r w:rsidR="006017E4" w:rsidRPr="00622F6C">
        <w:rPr>
          <w:rFonts w:ascii="Times New Roman" w:hAnsi="Times New Roman" w:cs="Times New Roman"/>
          <w:lang w:val="en-US"/>
        </w:rPr>
        <w:t xml:space="preserve">for sustainability issues in supply chains can </w:t>
      </w:r>
      <w:r w:rsidR="00D66995">
        <w:rPr>
          <w:rFonts w:ascii="Times New Roman" w:hAnsi="Times New Roman" w:cs="Times New Roman"/>
          <w:lang w:val="en-US"/>
        </w:rPr>
        <w:t>reduce</w:t>
      </w:r>
      <w:r w:rsidR="006017E4" w:rsidRPr="00622F6C">
        <w:rPr>
          <w:rFonts w:ascii="Times New Roman" w:hAnsi="Times New Roman" w:cs="Times New Roman"/>
          <w:lang w:val="en-US"/>
        </w:rPr>
        <w:t xml:space="preserve"> </w:t>
      </w:r>
      <w:r w:rsidR="001C6E8E">
        <w:rPr>
          <w:rFonts w:ascii="Times New Roman" w:hAnsi="Times New Roman" w:cs="Times New Roman"/>
          <w:lang w:val="en-US"/>
        </w:rPr>
        <w:t>the risk of</w:t>
      </w:r>
      <w:r w:rsidR="006017E4" w:rsidRPr="00622F6C">
        <w:rPr>
          <w:rFonts w:ascii="Times New Roman" w:hAnsi="Times New Roman" w:cs="Times New Roman"/>
          <w:lang w:val="en-US"/>
        </w:rPr>
        <w:t xml:space="preserve"> supply chain disruptions. </w:t>
      </w:r>
      <w:r w:rsidR="00554406" w:rsidRPr="00622F6C">
        <w:rPr>
          <w:rFonts w:ascii="Times New Roman" w:hAnsi="Times New Roman" w:cs="Times New Roman"/>
          <w:lang w:val="en-US"/>
        </w:rPr>
        <w:t xml:space="preserve">A </w:t>
      </w:r>
      <w:r w:rsidR="004F10A8" w:rsidRPr="00622F6C">
        <w:rPr>
          <w:rFonts w:ascii="Times New Roman" w:hAnsi="Times New Roman" w:cs="Times New Roman"/>
          <w:lang w:val="en-US"/>
        </w:rPr>
        <w:t>limited</w:t>
      </w:r>
      <w:r w:rsidR="00554406" w:rsidRPr="00622F6C">
        <w:rPr>
          <w:rFonts w:ascii="Times New Roman" w:hAnsi="Times New Roman" w:cs="Times New Roman"/>
          <w:lang w:val="en-US"/>
        </w:rPr>
        <w:t xml:space="preserve"> number of studies examine the </w:t>
      </w:r>
      <w:r w:rsidR="00D75147" w:rsidRPr="00622F6C">
        <w:rPr>
          <w:rFonts w:ascii="Times New Roman" w:hAnsi="Times New Roman" w:cs="Times New Roman"/>
          <w:lang w:val="en-US"/>
        </w:rPr>
        <w:t>economic consequences of</w:t>
      </w:r>
      <w:r w:rsidR="00554406" w:rsidRPr="00622F6C">
        <w:rPr>
          <w:rFonts w:ascii="Times New Roman" w:hAnsi="Times New Roman" w:cs="Times New Roman"/>
          <w:lang w:val="en-US"/>
        </w:rPr>
        <w:t xml:space="preserve"> CSR disclosure </w:t>
      </w:r>
      <w:r w:rsidR="00D75147" w:rsidRPr="00622F6C">
        <w:rPr>
          <w:rFonts w:ascii="Times New Roman" w:hAnsi="Times New Roman" w:cs="Times New Roman"/>
          <w:lang w:val="en-US"/>
        </w:rPr>
        <w:t>in terms of its impact on</w:t>
      </w:r>
      <w:r w:rsidR="00554406" w:rsidRPr="00622F6C">
        <w:rPr>
          <w:rFonts w:ascii="Times New Roman" w:hAnsi="Times New Roman" w:cs="Times New Roman"/>
          <w:lang w:val="en-US"/>
        </w:rPr>
        <w:t xml:space="preserve"> firm value (</w:t>
      </w:r>
      <w:r w:rsidR="00E54899" w:rsidRPr="00622F6C">
        <w:rPr>
          <w:rFonts w:ascii="Times New Roman" w:hAnsi="Times New Roman" w:cs="Times New Roman"/>
          <w:lang w:val="en-US"/>
        </w:rPr>
        <w:t>Belkaoui, 1976; Ingram, 1978</w:t>
      </w:r>
      <w:r w:rsidR="00554406" w:rsidRPr="00622F6C">
        <w:rPr>
          <w:rFonts w:ascii="Times New Roman" w:hAnsi="Times New Roman" w:cs="Times New Roman"/>
          <w:lang w:val="en-US"/>
        </w:rPr>
        <w:t xml:space="preserve">), </w:t>
      </w:r>
      <w:r w:rsidR="00E54899" w:rsidRPr="00622F6C">
        <w:rPr>
          <w:rFonts w:ascii="Times New Roman" w:hAnsi="Times New Roman" w:cs="Times New Roman"/>
          <w:lang w:val="en-US"/>
        </w:rPr>
        <w:t>capital constraints (Cheng et al., 2014)</w:t>
      </w:r>
      <w:r w:rsidR="00554406" w:rsidRPr="00622F6C">
        <w:rPr>
          <w:rFonts w:ascii="Times New Roman" w:hAnsi="Times New Roman" w:cs="Times New Roman"/>
          <w:lang w:val="en-US"/>
        </w:rPr>
        <w:t>, and cost of capital (</w:t>
      </w:r>
      <w:r w:rsidR="00E54899" w:rsidRPr="00622F6C">
        <w:rPr>
          <w:rFonts w:ascii="Times New Roman" w:hAnsi="Times New Roman" w:cs="Times New Roman"/>
          <w:lang w:val="en-US"/>
        </w:rPr>
        <w:t>Dhaliwal et al., 2011</w:t>
      </w:r>
      <w:r w:rsidR="00554406" w:rsidRPr="00622F6C">
        <w:rPr>
          <w:rFonts w:ascii="Times New Roman" w:hAnsi="Times New Roman" w:cs="Times New Roman"/>
          <w:lang w:val="en-US"/>
        </w:rPr>
        <w:t>).</w:t>
      </w:r>
      <w:r w:rsidR="00E54899" w:rsidRPr="00622F6C">
        <w:rPr>
          <w:rFonts w:ascii="Times New Roman" w:hAnsi="Times New Roman" w:cs="Times New Roman"/>
          <w:lang w:val="en-US"/>
        </w:rPr>
        <w:t xml:space="preserve"> Our work complements these studies </w:t>
      </w:r>
      <w:r w:rsidR="00CB1B2C">
        <w:rPr>
          <w:rFonts w:ascii="Times New Roman" w:hAnsi="Times New Roman" w:cs="Times New Roman"/>
          <w:lang w:val="en-US"/>
        </w:rPr>
        <w:t>with an</w:t>
      </w:r>
      <w:r w:rsidR="00CB1B2C" w:rsidRPr="00622F6C">
        <w:rPr>
          <w:rFonts w:ascii="Times New Roman" w:hAnsi="Times New Roman" w:cs="Times New Roman"/>
          <w:lang w:val="en-US"/>
        </w:rPr>
        <w:t xml:space="preserve"> analysi</w:t>
      </w:r>
      <w:r w:rsidR="00CB1B2C">
        <w:rPr>
          <w:rFonts w:ascii="Times New Roman" w:hAnsi="Times New Roman" w:cs="Times New Roman"/>
          <w:lang w:val="en-US"/>
        </w:rPr>
        <w:t>s of</w:t>
      </w:r>
      <w:r w:rsidR="00CB1B2C" w:rsidRPr="00622F6C">
        <w:rPr>
          <w:rFonts w:ascii="Times New Roman" w:hAnsi="Times New Roman" w:cs="Times New Roman"/>
          <w:lang w:val="en-US"/>
        </w:rPr>
        <w:t xml:space="preserve"> </w:t>
      </w:r>
      <w:r w:rsidR="00E54899" w:rsidRPr="00622F6C">
        <w:rPr>
          <w:rFonts w:ascii="Times New Roman" w:hAnsi="Times New Roman" w:cs="Times New Roman"/>
          <w:lang w:val="en-US"/>
        </w:rPr>
        <w:t xml:space="preserve">the </w:t>
      </w:r>
      <w:r w:rsidR="00D75147" w:rsidRPr="00622F6C">
        <w:rPr>
          <w:rFonts w:ascii="Times New Roman" w:hAnsi="Times New Roman" w:cs="Times New Roman"/>
          <w:lang w:val="en-US"/>
        </w:rPr>
        <w:t>stock price effects</w:t>
      </w:r>
      <w:r w:rsidR="00E54899" w:rsidRPr="00622F6C">
        <w:rPr>
          <w:rFonts w:ascii="Times New Roman" w:hAnsi="Times New Roman" w:cs="Times New Roman"/>
          <w:lang w:val="en-US"/>
        </w:rPr>
        <w:t xml:space="preserve"> of </w:t>
      </w:r>
      <w:r w:rsidR="00BE5E4D">
        <w:rPr>
          <w:rFonts w:ascii="Times New Roman" w:hAnsi="Times New Roman" w:cs="Times New Roman"/>
          <w:lang w:val="en-US"/>
        </w:rPr>
        <w:t>governmental</w:t>
      </w:r>
      <w:r w:rsidR="00BE5E4D" w:rsidRPr="00622F6C">
        <w:rPr>
          <w:rFonts w:ascii="Times New Roman" w:hAnsi="Times New Roman" w:cs="Times New Roman"/>
          <w:lang w:val="en-US"/>
        </w:rPr>
        <w:t xml:space="preserve"> </w:t>
      </w:r>
      <w:r w:rsidR="00E54899" w:rsidRPr="00622F6C">
        <w:rPr>
          <w:rFonts w:ascii="Times New Roman" w:hAnsi="Times New Roman" w:cs="Times New Roman"/>
          <w:lang w:val="en-US"/>
        </w:rPr>
        <w:t>supply chain transparency regulation</w:t>
      </w:r>
      <w:r w:rsidR="002A6738">
        <w:rPr>
          <w:rFonts w:ascii="Times New Roman" w:hAnsi="Times New Roman" w:cs="Times New Roman"/>
          <w:lang w:val="en-US"/>
        </w:rPr>
        <w:t>,</w:t>
      </w:r>
      <w:r w:rsidR="00E54899" w:rsidRPr="00622F6C">
        <w:rPr>
          <w:rFonts w:ascii="Times New Roman" w:hAnsi="Times New Roman" w:cs="Times New Roman"/>
          <w:lang w:val="en-US"/>
        </w:rPr>
        <w:t xml:space="preserve"> rather than voluntary CSR disclosure initiatives.</w:t>
      </w:r>
    </w:p>
    <w:p w14:paraId="3203F802" w14:textId="77777777" w:rsidR="006E6FAF" w:rsidRPr="00622F6C" w:rsidRDefault="00E54899" w:rsidP="00BD6F3E">
      <w:pPr>
        <w:shd w:val="clear" w:color="auto" w:fill="FFFFFF"/>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As such</w:t>
      </w:r>
      <w:r w:rsidR="004255C4" w:rsidRPr="00622F6C">
        <w:rPr>
          <w:rFonts w:ascii="Times New Roman" w:hAnsi="Times New Roman" w:cs="Times New Roman"/>
          <w:lang w:val="en-US"/>
        </w:rPr>
        <w:t>, our work</w:t>
      </w:r>
      <w:r w:rsidRPr="00622F6C">
        <w:rPr>
          <w:rFonts w:ascii="Times New Roman" w:hAnsi="Times New Roman" w:cs="Times New Roman"/>
          <w:lang w:val="en-US"/>
        </w:rPr>
        <w:t xml:space="preserve"> </w:t>
      </w:r>
      <w:r w:rsidR="00DD77FF" w:rsidRPr="00622F6C">
        <w:rPr>
          <w:rFonts w:ascii="Times New Roman" w:hAnsi="Times New Roman" w:cs="Times New Roman"/>
          <w:lang w:val="en-US"/>
        </w:rPr>
        <w:t xml:space="preserve">also </w:t>
      </w:r>
      <w:r w:rsidR="004255C4" w:rsidRPr="00622F6C">
        <w:rPr>
          <w:rFonts w:ascii="Times New Roman" w:hAnsi="Times New Roman" w:cs="Times New Roman"/>
          <w:lang w:val="en-US"/>
        </w:rPr>
        <w:t xml:space="preserve">relates to a stream of </w:t>
      </w:r>
      <w:r w:rsidR="00C545E8" w:rsidRPr="00622F6C">
        <w:rPr>
          <w:rFonts w:ascii="Times New Roman" w:hAnsi="Times New Roman" w:cs="Times New Roman"/>
          <w:lang w:val="en-US"/>
        </w:rPr>
        <w:t xml:space="preserve">policy </w:t>
      </w:r>
      <w:r w:rsidR="004255C4" w:rsidRPr="00622F6C">
        <w:rPr>
          <w:rFonts w:ascii="Times New Roman" w:hAnsi="Times New Roman" w:cs="Times New Roman"/>
          <w:lang w:val="en-US"/>
        </w:rPr>
        <w:t xml:space="preserve">event studies on the stock price effects of </w:t>
      </w:r>
      <w:r w:rsidR="00ED30A2" w:rsidRPr="00622F6C">
        <w:rPr>
          <w:rFonts w:ascii="Times New Roman" w:hAnsi="Times New Roman" w:cs="Times New Roman"/>
          <w:lang w:val="en-US"/>
        </w:rPr>
        <w:t xml:space="preserve">mandatory </w:t>
      </w:r>
      <w:r w:rsidR="004255C4" w:rsidRPr="00622F6C">
        <w:rPr>
          <w:rFonts w:ascii="Times New Roman" w:hAnsi="Times New Roman" w:cs="Times New Roman"/>
          <w:lang w:val="en-US"/>
        </w:rPr>
        <w:t xml:space="preserve">corporate disclosure. </w:t>
      </w:r>
      <w:r w:rsidR="00F30EF4" w:rsidRPr="00622F6C">
        <w:rPr>
          <w:rFonts w:ascii="Times New Roman" w:hAnsi="Times New Roman" w:cs="Times New Roman"/>
          <w:lang w:val="en-US"/>
        </w:rPr>
        <w:t xml:space="preserve">Recent years have seen a substantial increase in </w:t>
      </w:r>
      <w:r w:rsidR="00F6639B" w:rsidRPr="00622F6C">
        <w:rPr>
          <w:rFonts w:ascii="Times New Roman" w:hAnsi="Times New Roman" w:cs="Times New Roman"/>
          <w:lang w:val="en-US"/>
        </w:rPr>
        <w:t xml:space="preserve">disclosure </w:t>
      </w:r>
      <w:r w:rsidR="00F30EF4" w:rsidRPr="00622F6C">
        <w:rPr>
          <w:rFonts w:ascii="Times New Roman" w:hAnsi="Times New Roman" w:cs="Times New Roman"/>
          <w:lang w:val="en-US"/>
        </w:rPr>
        <w:t xml:space="preserve">regulation (Doshi et al., 2013). </w:t>
      </w:r>
      <w:r w:rsidR="00C545E8" w:rsidRPr="00622F6C">
        <w:rPr>
          <w:rFonts w:ascii="Times New Roman" w:hAnsi="Times New Roman" w:cs="Times New Roman"/>
          <w:lang w:val="en-US"/>
        </w:rPr>
        <w:t>Examples of regulations covered in event studies include fair value accounting</w:t>
      </w:r>
      <w:r w:rsidR="00256CF9" w:rsidRPr="00622F6C">
        <w:rPr>
          <w:rFonts w:ascii="Times New Roman" w:hAnsi="Times New Roman" w:cs="Times New Roman"/>
          <w:lang w:val="en-US"/>
        </w:rPr>
        <w:t xml:space="preserve"> rules</w:t>
      </w:r>
      <w:r w:rsidR="00C545E8" w:rsidRPr="00622F6C">
        <w:rPr>
          <w:rFonts w:ascii="Times New Roman" w:hAnsi="Times New Roman" w:cs="Times New Roman"/>
          <w:lang w:val="en-US"/>
        </w:rPr>
        <w:t xml:space="preserve"> (Beatty et al., 1996; Cornett et al., 1996), International Financial Reporting Standards (Armstrong et al., 2010; Joos and Leung,</w:t>
      </w:r>
      <w:r w:rsidR="00CF1CA3">
        <w:rPr>
          <w:rFonts w:ascii="Times New Roman" w:hAnsi="Times New Roman" w:cs="Times New Roman"/>
          <w:lang w:val="en-US"/>
        </w:rPr>
        <w:t xml:space="preserve"> 2012</w:t>
      </w:r>
      <w:r w:rsidR="00C545E8" w:rsidRPr="00622F6C">
        <w:rPr>
          <w:rFonts w:ascii="Times New Roman" w:hAnsi="Times New Roman" w:cs="Times New Roman"/>
          <w:lang w:val="en-US"/>
        </w:rPr>
        <w:t xml:space="preserve">), </w:t>
      </w:r>
      <w:r w:rsidR="006C2AA0" w:rsidRPr="00622F6C">
        <w:rPr>
          <w:rFonts w:ascii="Times New Roman" w:hAnsi="Times New Roman" w:cs="Times New Roman"/>
          <w:lang w:val="en-US"/>
        </w:rPr>
        <w:t xml:space="preserve">and </w:t>
      </w:r>
      <w:r w:rsidR="00C545E8" w:rsidRPr="00622F6C">
        <w:rPr>
          <w:rFonts w:ascii="Times New Roman" w:hAnsi="Times New Roman" w:cs="Times New Roman"/>
          <w:lang w:val="en-US"/>
        </w:rPr>
        <w:t>the Sarbanes-Oxley Act (</w:t>
      </w:r>
      <w:r w:rsidR="00C644EB" w:rsidRPr="00622F6C">
        <w:rPr>
          <w:rFonts w:ascii="Times New Roman" w:hAnsi="Times New Roman" w:cs="Times New Roman"/>
          <w:lang w:val="en-US"/>
        </w:rPr>
        <w:t>Jain and Rezaee,</w:t>
      </w:r>
      <w:r w:rsidR="00C644EB">
        <w:rPr>
          <w:rFonts w:ascii="Times New Roman" w:hAnsi="Times New Roman" w:cs="Times New Roman"/>
          <w:lang w:val="en-US"/>
        </w:rPr>
        <w:t xml:space="preserve"> 2006; </w:t>
      </w:r>
      <w:r w:rsidR="00C545E8" w:rsidRPr="00622F6C">
        <w:rPr>
          <w:rFonts w:ascii="Times New Roman" w:hAnsi="Times New Roman" w:cs="Times New Roman"/>
          <w:lang w:val="en-US"/>
        </w:rPr>
        <w:t xml:space="preserve">Zhang, 2007; Li et al., 2008). </w:t>
      </w:r>
      <w:r w:rsidR="00256CF9" w:rsidRPr="00622F6C">
        <w:rPr>
          <w:rFonts w:ascii="Times New Roman" w:hAnsi="Times New Roman" w:cs="Times New Roman"/>
          <w:lang w:val="en-US"/>
        </w:rPr>
        <w:t>While these regulations pertain to</w:t>
      </w:r>
      <w:r w:rsidR="00D75147" w:rsidRPr="00622F6C">
        <w:rPr>
          <w:rFonts w:ascii="Times New Roman" w:hAnsi="Times New Roman" w:cs="Times New Roman"/>
          <w:lang w:val="en-US"/>
        </w:rPr>
        <w:t xml:space="preserve"> the disclosure of</w:t>
      </w:r>
      <w:r w:rsidR="00256CF9" w:rsidRPr="00622F6C">
        <w:rPr>
          <w:rFonts w:ascii="Times New Roman" w:hAnsi="Times New Roman" w:cs="Times New Roman"/>
          <w:lang w:val="en-US"/>
        </w:rPr>
        <w:t xml:space="preserve"> financial information</w:t>
      </w:r>
      <w:r w:rsidR="00C545E8" w:rsidRPr="00622F6C">
        <w:rPr>
          <w:rFonts w:ascii="Times New Roman" w:hAnsi="Times New Roman" w:cs="Times New Roman"/>
          <w:lang w:val="en-US"/>
        </w:rPr>
        <w:t xml:space="preserve">, </w:t>
      </w:r>
      <w:r w:rsidR="00F30EF4" w:rsidRPr="00622F6C">
        <w:rPr>
          <w:rFonts w:ascii="Times New Roman" w:hAnsi="Times New Roman" w:cs="Times New Roman"/>
          <w:lang w:val="en-US"/>
        </w:rPr>
        <w:t>Grewal et al. (2018</w:t>
      </w:r>
      <w:r w:rsidR="00ED30A2"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examine the stock price effects of the </w:t>
      </w:r>
      <w:r w:rsidR="00666B2E" w:rsidRPr="00622F6C">
        <w:rPr>
          <w:rFonts w:ascii="Times New Roman" w:hAnsi="Times New Roman" w:cs="Times New Roman"/>
          <w:lang w:val="en-US"/>
        </w:rPr>
        <w:t>pass</w:t>
      </w:r>
      <w:r w:rsidR="00666B2E">
        <w:rPr>
          <w:rFonts w:ascii="Times New Roman" w:hAnsi="Times New Roman" w:cs="Times New Roman"/>
          <w:lang w:val="en-US"/>
        </w:rPr>
        <w:t>ing</w:t>
      </w:r>
      <w:r w:rsidR="00666B2E"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of </w:t>
      </w:r>
      <w:bookmarkStart w:id="21" w:name="_Hlk5284036"/>
      <w:r w:rsidR="006E6FAF" w:rsidRPr="00622F6C">
        <w:rPr>
          <w:rFonts w:ascii="Times New Roman" w:hAnsi="Times New Roman" w:cs="Times New Roman"/>
          <w:lang w:val="en-US"/>
        </w:rPr>
        <w:t xml:space="preserve">European Union </w:t>
      </w:r>
      <w:r w:rsidR="006344B3">
        <w:rPr>
          <w:rFonts w:ascii="Times New Roman" w:hAnsi="Times New Roman" w:cs="Times New Roman"/>
          <w:lang w:val="en-US"/>
        </w:rPr>
        <w:t xml:space="preserve">(EU) </w:t>
      </w:r>
      <w:bookmarkEnd w:id="21"/>
      <w:r w:rsidR="006E6FAF" w:rsidRPr="00622F6C">
        <w:rPr>
          <w:rFonts w:ascii="Times New Roman" w:hAnsi="Times New Roman" w:cs="Times New Roman"/>
          <w:lang w:val="en-US"/>
        </w:rPr>
        <w:t xml:space="preserve">regulation requiring new </w:t>
      </w:r>
      <w:r w:rsidR="00C545E8" w:rsidRPr="00622F6C">
        <w:rPr>
          <w:rFonts w:ascii="Times New Roman" w:hAnsi="Times New Roman" w:cs="Times New Roman"/>
          <w:lang w:val="en-US"/>
        </w:rPr>
        <w:t>disclosure related to firms’</w:t>
      </w:r>
      <w:r w:rsidR="006E6FAF" w:rsidRPr="00622F6C">
        <w:rPr>
          <w:rFonts w:ascii="Times New Roman" w:hAnsi="Times New Roman" w:cs="Times New Roman"/>
          <w:lang w:val="en-US"/>
        </w:rPr>
        <w:t xml:space="preserve"> </w:t>
      </w:r>
      <w:bookmarkStart w:id="22" w:name="_Hlk523929339"/>
      <w:r w:rsidR="006E6FAF" w:rsidRPr="00622F6C">
        <w:rPr>
          <w:rFonts w:ascii="Times New Roman" w:hAnsi="Times New Roman" w:cs="Times New Roman"/>
          <w:lang w:val="en-US"/>
        </w:rPr>
        <w:t xml:space="preserve">environmental, social, and governance </w:t>
      </w:r>
      <w:r w:rsidR="00ED30A2" w:rsidRPr="00622F6C">
        <w:rPr>
          <w:rFonts w:ascii="Times New Roman" w:hAnsi="Times New Roman" w:cs="Times New Roman"/>
          <w:lang w:val="en-US"/>
        </w:rPr>
        <w:t>(ESG)</w:t>
      </w:r>
      <w:bookmarkEnd w:id="22"/>
      <w:r w:rsidR="00ED30A2" w:rsidRPr="00622F6C">
        <w:rPr>
          <w:rFonts w:ascii="Times New Roman" w:hAnsi="Times New Roman" w:cs="Times New Roman"/>
          <w:lang w:val="en-US"/>
        </w:rPr>
        <w:t xml:space="preserve"> </w:t>
      </w:r>
      <w:r w:rsidR="006E6FAF" w:rsidRPr="00622F6C">
        <w:rPr>
          <w:rFonts w:ascii="Times New Roman" w:hAnsi="Times New Roman" w:cs="Times New Roman"/>
          <w:lang w:val="en-US"/>
        </w:rPr>
        <w:t>performance. They do not</w:t>
      </w:r>
      <w:r w:rsidR="0042547B"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examine modern slavery disclosure regulation. </w:t>
      </w:r>
    </w:p>
    <w:p w14:paraId="5D4E2277" w14:textId="77777777" w:rsidR="006E6FAF" w:rsidRPr="00622F6C" w:rsidRDefault="006E6FAF" w:rsidP="00BD6F3E">
      <w:pPr>
        <w:autoSpaceDE w:val="0"/>
        <w:autoSpaceDN w:val="0"/>
        <w:adjustRightInd w:val="0"/>
        <w:spacing w:after="0" w:line="480" w:lineRule="auto"/>
        <w:rPr>
          <w:rFonts w:ascii="Times New Roman" w:hAnsi="Times New Roman" w:cs="Times New Roman"/>
          <w:lang w:val="en-US"/>
        </w:rPr>
      </w:pPr>
    </w:p>
    <w:p w14:paraId="198D22D9" w14:textId="77777777" w:rsidR="00803FC1" w:rsidRDefault="00803FC1" w:rsidP="00BD6F3E">
      <w:pPr>
        <w:spacing w:after="0" w:line="480" w:lineRule="auto"/>
        <w:jc w:val="both"/>
        <w:rPr>
          <w:rFonts w:ascii="Times New Roman" w:hAnsi="Times New Roman" w:cs="Times New Roman"/>
          <w:b/>
          <w:lang w:val="en-US"/>
        </w:rPr>
      </w:pPr>
      <w:r>
        <w:rPr>
          <w:rFonts w:ascii="Times New Roman" w:hAnsi="Times New Roman" w:cs="Times New Roman"/>
          <w:b/>
          <w:lang w:val="en-US"/>
        </w:rPr>
        <w:br w:type="page"/>
      </w:r>
    </w:p>
    <w:p w14:paraId="567E9CB9" w14:textId="77777777" w:rsidR="006E6FAF" w:rsidRPr="00622F6C" w:rsidRDefault="006E6FAF" w:rsidP="00BD6F3E">
      <w:pPr>
        <w:spacing w:after="0" w:line="480" w:lineRule="auto"/>
        <w:jc w:val="both"/>
        <w:rPr>
          <w:rFonts w:ascii="Times New Roman" w:hAnsi="Times New Roman" w:cs="Times New Roman"/>
          <w:b/>
          <w:lang w:val="en-US"/>
        </w:rPr>
      </w:pPr>
      <w:r w:rsidRPr="00622F6C">
        <w:rPr>
          <w:rFonts w:ascii="Times New Roman" w:hAnsi="Times New Roman" w:cs="Times New Roman"/>
          <w:b/>
          <w:lang w:val="en-US"/>
        </w:rPr>
        <w:lastRenderedPageBreak/>
        <w:t xml:space="preserve">3. Event definition and history </w:t>
      </w:r>
    </w:p>
    <w:p w14:paraId="524F4065" w14:textId="31E13E80" w:rsidR="006E6FAF" w:rsidRPr="00622F6C" w:rsidRDefault="006E6FAF" w:rsidP="006E6FAF">
      <w:pPr>
        <w:spacing w:after="0" w:line="480" w:lineRule="auto"/>
        <w:jc w:val="both"/>
        <w:rPr>
          <w:rFonts w:ascii="Times New Roman" w:hAnsi="Times New Roman" w:cs="Times New Roman"/>
          <w:lang w:val="en-US"/>
        </w:rPr>
      </w:pPr>
      <w:r w:rsidRPr="00622F6C">
        <w:rPr>
          <w:rFonts w:ascii="Times New Roman" w:hAnsi="Times New Roman" w:cs="Times New Roman"/>
          <w:lang w:val="en-US"/>
        </w:rPr>
        <w:t xml:space="preserve">In this section, we describe the MSA </w:t>
      </w:r>
      <w:r w:rsidR="00D75147" w:rsidRPr="00622F6C">
        <w:rPr>
          <w:rFonts w:ascii="Times New Roman" w:hAnsi="Times New Roman" w:cs="Times New Roman"/>
          <w:lang w:val="en-US"/>
        </w:rPr>
        <w:t>and</w:t>
      </w:r>
      <w:r w:rsidRPr="00622F6C">
        <w:rPr>
          <w:rFonts w:ascii="Times New Roman" w:hAnsi="Times New Roman" w:cs="Times New Roman"/>
          <w:lang w:val="en-US"/>
        </w:rPr>
        <w:t xml:space="preserve"> outline the </w:t>
      </w:r>
      <w:r w:rsidR="004F7CB9">
        <w:rPr>
          <w:rFonts w:ascii="Times New Roman" w:hAnsi="Times New Roman" w:cs="Times New Roman"/>
          <w:lang w:val="en-US"/>
        </w:rPr>
        <w:t xml:space="preserve">relevant </w:t>
      </w:r>
      <w:r w:rsidRPr="00622F6C">
        <w:rPr>
          <w:rFonts w:ascii="Times New Roman" w:hAnsi="Times New Roman" w:cs="Times New Roman"/>
          <w:lang w:val="en-US"/>
        </w:rPr>
        <w:t xml:space="preserve">events associated </w:t>
      </w:r>
      <w:r w:rsidR="00D75147" w:rsidRPr="00622F6C">
        <w:rPr>
          <w:rFonts w:ascii="Times New Roman" w:hAnsi="Times New Roman" w:cs="Times New Roman"/>
          <w:lang w:val="en-US"/>
        </w:rPr>
        <w:t xml:space="preserve">with its </w:t>
      </w:r>
      <w:r w:rsidRPr="00622F6C">
        <w:rPr>
          <w:rFonts w:ascii="Times New Roman" w:hAnsi="Times New Roman" w:cs="Times New Roman"/>
          <w:lang w:val="en-US"/>
        </w:rPr>
        <w:t>adoption.</w:t>
      </w:r>
    </w:p>
    <w:p w14:paraId="45663EB4" w14:textId="77777777" w:rsidR="002B5E6E" w:rsidRPr="00622F6C" w:rsidRDefault="002B5E6E">
      <w:pPr>
        <w:rPr>
          <w:rFonts w:ascii="Times New Roman" w:hAnsi="Times New Roman" w:cs="Times New Roman"/>
          <w:i/>
          <w:lang w:val="en-US"/>
        </w:rPr>
      </w:pPr>
    </w:p>
    <w:p w14:paraId="7E805B53" w14:textId="77777777" w:rsidR="006E6FAF" w:rsidRPr="00622F6C" w:rsidRDefault="006E6FAF" w:rsidP="006E6FAF">
      <w:pPr>
        <w:spacing w:after="0" w:line="480" w:lineRule="auto"/>
        <w:jc w:val="both"/>
        <w:rPr>
          <w:rFonts w:ascii="Times New Roman" w:hAnsi="Times New Roman" w:cs="Times New Roman"/>
          <w:i/>
          <w:lang w:val="en-US"/>
        </w:rPr>
      </w:pPr>
      <w:r w:rsidRPr="00622F6C">
        <w:rPr>
          <w:rFonts w:ascii="Times New Roman" w:hAnsi="Times New Roman" w:cs="Times New Roman"/>
          <w:i/>
          <w:lang w:val="en-US"/>
        </w:rPr>
        <w:t>3.1. The MSA and its TISC clause</w:t>
      </w:r>
    </w:p>
    <w:p w14:paraId="1D3C7A7D" w14:textId="77777777" w:rsidR="006E6FAF" w:rsidRPr="00622F6C" w:rsidRDefault="006E6FAF" w:rsidP="006E6FAF">
      <w:pPr>
        <w:spacing w:after="0" w:line="480" w:lineRule="auto"/>
        <w:ind w:firstLine="425"/>
        <w:jc w:val="both"/>
        <w:rPr>
          <w:rFonts w:ascii="Times New Roman" w:hAnsi="Times New Roman" w:cs="Times New Roman"/>
          <w:lang w:val="en-US"/>
        </w:rPr>
      </w:pPr>
      <w:r w:rsidRPr="00622F6C">
        <w:rPr>
          <w:rFonts w:ascii="Times New Roman" w:hAnsi="Times New Roman" w:cs="Times New Roman"/>
          <w:color w:val="000000"/>
          <w:lang w:val="en-US"/>
        </w:rPr>
        <w:t xml:space="preserve">The UK </w:t>
      </w:r>
      <w:r w:rsidR="00B836B7">
        <w:rPr>
          <w:rFonts w:ascii="Times New Roman" w:hAnsi="Times New Roman" w:cs="Times New Roman"/>
          <w:color w:val="000000"/>
          <w:lang w:val="en-US"/>
        </w:rPr>
        <w:t>was</w:t>
      </w:r>
      <w:r w:rsidRPr="00622F6C">
        <w:rPr>
          <w:rFonts w:ascii="Times New Roman" w:hAnsi="Times New Roman" w:cs="Times New Roman"/>
          <w:color w:val="000000"/>
          <w:lang w:val="en-US"/>
        </w:rPr>
        <w:t xml:space="preserve"> a global pioneer </w:t>
      </w:r>
      <w:r w:rsidR="00B836B7">
        <w:rPr>
          <w:rFonts w:ascii="Times New Roman" w:hAnsi="Times New Roman" w:cs="Times New Roman"/>
          <w:color w:val="000000"/>
          <w:lang w:val="en-US"/>
        </w:rPr>
        <w:t>in</w:t>
      </w:r>
      <w:r w:rsidRPr="00622F6C">
        <w:rPr>
          <w:rFonts w:ascii="Times New Roman" w:hAnsi="Times New Roman" w:cs="Times New Roman"/>
          <w:color w:val="000000"/>
          <w:lang w:val="en-US"/>
        </w:rPr>
        <w:t xml:space="preserve">, at least in theory, abolishing the slave trade in 1807. Nevertheless, slavery practices continue </w:t>
      </w:r>
      <w:r w:rsidR="0042547B" w:rsidRPr="00622F6C">
        <w:rPr>
          <w:rFonts w:ascii="Times New Roman" w:hAnsi="Times New Roman" w:cs="Times New Roman"/>
          <w:color w:val="000000"/>
          <w:lang w:val="en-US"/>
        </w:rPr>
        <w:t xml:space="preserve">to exist </w:t>
      </w:r>
      <w:r w:rsidRPr="00622F6C">
        <w:rPr>
          <w:rFonts w:ascii="Times New Roman" w:hAnsi="Times New Roman" w:cs="Times New Roman"/>
          <w:color w:val="000000"/>
          <w:lang w:val="en-US"/>
        </w:rPr>
        <w:t>in the UK today (Haynes, 2016).</w:t>
      </w:r>
      <w:r w:rsidRPr="00622F6C">
        <w:rPr>
          <w:rFonts w:ascii="Times New Roman" w:hAnsi="Times New Roman" w:cs="Times New Roman"/>
          <w:color w:val="0000FF"/>
          <w:lang w:val="en-US"/>
        </w:rPr>
        <w:t xml:space="preserve"> </w:t>
      </w:r>
      <w:r w:rsidR="0067650B" w:rsidRPr="00622F6C">
        <w:rPr>
          <w:rFonts w:ascii="Times New Roman" w:hAnsi="Times New Roman" w:cs="Times New Roman"/>
          <w:color w:val="000000"/>
          <w:lang w:val="en-US"/>
        </w:rPr>
        <w:t xml:space="preserve">An estimated </w:t>
      </w:r>
      <w:r w:rsidR="001A3BFE" w:rsidRPr="00622F6C">
        <w:rPr>
          <w:rFonts w:ascii="Times New Roman" w:hAnsi="Times New Roman" w:cs="Times New Roman"/>
          <w:color w:val="000000"/>
          <w:lang w:val="en-US"/>
        </w:rPr>
        <w:t>3,266</w:t>
      </w:r>
      <w:r w:rsidRPr="00622F6C">
        <w:rPr>
          <w:rFonts w:ascii="Times New Roman" w:hAnsi="Times New Roman" w:cs="Times New Roman"/>
          <w:color w:val="000000"/>
          <w:lang w:val="en-US"/>
        </w:rPr>
        <w:t xml:space="preserve"> potential slavery victims from </w:t>
      </w:r>
      <w:r w:rsidR="001A3BFE" w:rsidRPr="00622F6C">
        <w:rPr>
          <w:rFonts w:ascii="Times New Roman" w:hAnsi="Times New Roman" w:cs="Times New Roman"/>
          <w:color w:val="000000"/>
          <w:lang w:val="en-US"/>
        </w:rPr>
        <w:t>103</w:t>
      </w:r>
      <w:r w:rsidRPr="00622F6C">
        <w:rPr>
          <w:rFonts w:ascii="Times New Roman" w:hAnsi="Times New Roman" w:cs="Times New Roman"/>
          <w:color w:val="000000"/>
          <w:lang w:val="en-US"/>
        </w:rPr>
        <w:t xml:space="preserve"> different countries of origin were referred to the </w:t>
      </w:r>
      <w:bookmarkStart w:id="23" w:name="_Hlk523988605"/>
      <w:r w:rsidRPr="00622F6C">
        <w:rPr>
          <w:rFonts w:ascii="Times New Roman" w:hAnsi="Times New Roman" w:cs="Times New Roman"/>
          <w:color w:val="000000"/>
          <w:lang w:val="en-US"/>
        </w:rPr>
        <w:t>National Ref</w:t>
      </w:r>
      <w:r w:rsidR="001A3BFE" w:rsidRPr="00622F6C">
        <w:rPr>
          <w:rFonts w:ascii="Times New Roman" w:hAnsi="Times New Roman" w:cs="Times New Roman"/>
          <w:color w:val="000000"/>
          <w:lang w:val="en-US"/>
        </w:rPr>
        <w:t xml:space="preserve">erral Mechanism </w:t>
      </w:r>
      <w:bookmarkEnd w:id="23"/>
      <w:r w:rsidR="001A3BFE" w:rsidRPr="00622F6C">
        <w:rPr>
          <w:rFonts w:ascii="Times New Roman" w:hAnsi="Times New Roman" w:cs="Times New Roman"/>
          <w:color w:val="000000"/>
          <w:lang w:val="en-US"/>
        </w:rPr>
        <w:t>in 2015 (</w:t>
      </w:r>
      <w:bookmarkStart w:id="24" w:name="_Hlk523988630"/>
      <w:r w:rsidR="00B836B7">
        <w:rPr>
          <w:rFonts w:ascii="Times New Roman" w:hAnsi="Times New Roman" w:cs="Times New Roman"/>
          <w:shd w:val="clear" w:color="auto" w:fill="FFFFFF"/>
          <w:lang w:val="en-US"/>
        </w:rPr>
        <w:t>National Crime Agency [</w:t>
      </w:r>
      <w:r w:rsidR="001A3BFE" w:rsidRPr="00622F6C">
        <w:rPr>
          <w:rFonts w:ascii="Times New Roman" w:hAnsi="Times New Roman" w:cs="Times New Roman"/>
          <w:color w:val="000000"/>
          <w:lang w:val="en-US"/>
        </w:rPr>
        <w:t>NCA</w:t>
      </w:r>
      <w:r w:rsidR="00B836B7">
        <w:rPr>
          <w:rFonts w:ascii="Times New Roman" w:hAnsi="Times New Roman" w:cs="Times New Roman"/>
          <w:color w:val="000000"/>
          <w:lang w:val="en-US"/>
        </w:rPr>
        <w:t>]</w:t>
      </w:r>
      <w:bookmarkEnd w:id="24"/>
      <w:r w:rsidR="001A3BFE" w:rsidRPr="00622F6C">
        <w:rPr>
          <w:rFonts w:ascii="Times New Roman" w:hAnsi="Times New Roman" w:cs="Times New Roman"/>
          <w:color w:val="000000"/>
          <w:lang w:val="en-US"/>
        </w:rPr>
        <w:t>, 2016</w:t>
      </w:r>
      <w:r w:rsidR="00973D26" w:rsidRPr="00622F6C">
        <w:rPr>
          <w:rFonts w:ascii="Times New Roman" w:hAnsi="Times New Roman" w:cs="Times New Roman"/>
          <w:color w:val="000000"/>
          <w:lang w:val="en-US"/>
        </w:rPr>
        <w:t>)</w:t>
      </w:r>
      <w:r w:rsidRPr="00622F6C">
        <w:rPr>
          <w:rFonts w:ascii="Times New Roman" w:hAnsi="Times New Roman" w:cs="Times New Roman"/>
          <w:color w:val="000000"/>
          <w:lang w:val="en-US"/>
        </w:rPr>
        <w:t xml:space="preserve">. </w:t>
      </w:r>
      <w:r w:rsidR="00112F21" w:rsidRPr="00622F6C">
        <w:rPr>
          <w:rFonts w:ascii="Times New Roman" w:hAnsi="Times New Roman" w:cs="Times New Roman"/>
          <w:color w:val="000000"/>
          <w:lang w:val="en-US"/>
        </w:rPr>
        <w:t>Against this backdrop</w:t>
      </w:r>
      <w:r w:rsidRPr="00622F6C">
        <w:rPr>
          <w:rFonts w:ascii="Times New Roman" w:hAnsi="Times New Roman" w:cs="Times New Roman"/>
          <w:color w:val="000000"/>
          <w:lang w:val="en-US"/>
        </w:rPr>
        <w:t xml:space="preserve">, the UK Government introduced the </w:t>
      </w:r>
      <w:r w:rsidRPr="00622F6C">
        <w:rPr>
          <w:rFonts w:ascii="Times New Roman" w:hAnsi="Times New Roman" w:cs="Times New Roman"/>
          <w:lang w:val="en-US"/>
        </w:rPr>
        <w:t xml:space="preserve">MSA with the intention </w:t>
      </w:r>
      <w:r w:rsidR="00D75147" w:rsidRPr="00622F6C">
        <w:rPr>
          <w:rFonts w:ascii="Times New Roman" w:hAnsi="Times New Roman" w:cs="Times New Roman"/>
          <w:lang w:val="en-US"/>
        </w:rPr>
        <w:t>of curbing</w:t>
      </w:r>
      <w:r w:rsidRPr="00622F6C">
        <w:rPr>
          <w:rFonts w:ascii="Times New Roman" w:hAnsi="Times New Roman" w:cs="Times New Roman"/>
          <w:lang w:val="en-US"/>
        </w:rPr>
        <w:t xml:space="preserve"> modern slavery in corporate businesses and s</w:t>
      </w:r>
      <w:r w:rsidR="00C545E8" w:rsidRPr="00622F6C">
        <w:rPr>
          <w:rFonts w:ascii="Times New Roman" w:hAnsi="Times New Roman" w:cs="Times New Roman"/>
          <w:lang w:val="en-US"/>
        </w:rPr>
        <w:t>upply chains</w:t>
      </w:r>
      <w:r w:rsidR="002114BE" w:rsidRPr="00622F6C">
        <w:rPr>
          <w:rFonts w:ascii="Times New Roman" w:hAnsi="Times New Roman" w:cs="Times New Roman"/>
          <w:lang w:val="en-US"/>
        </w:rPr>
        <w:t>.</w:t>
      </w:r>
      <w:r w:rsidRPr="00622F6C">
        <w:rPr>
          <w:rFonts w:ascii="Times New Roman" w:hAnsi="Times New Roman" w:cs="Times New Roman"/>
          <w:lang w:val="en-US"/>
        </w:rPr>
        <w:t xml:space="preserve"> </w:t>
      </w:r>
    </w:p>
    <w:p w14:paraId="3433C04A" w14:textId="77777777" w:rsidR="002D1BBD" w:rsidRPr="00622F6C" w:rsidRDefault="006E6FAF" w:rsidP="00112F21">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The first five parts of the MSA are primarily aimed at governments, law enforcement agencies, and non-governmental organi</w:t>
      </w:r>
      <w:r w:rsidR="001832BC">
        <w:rPr>
          <w:rFonts w:ascii="Times New Roman" w:hAnsi="Times New Roman" w:cs="Times New Roman"/>
          <w:lang w:val="en-US"/>
        </w:rPr>
        <w:t>z</w:t>
      </w:r>
      <w:r w:rsidRPr="00622F6C">
        <w:rPr>
          <w:rFonts w:ascii="Times New Roman" w:hAnsi="Times New Roman" w:cs="Times New Roman"/>
          <w:lang w:val="en-US"/>
        </w:rPr>
        <w:t xml:space="preserve">ations. They outline modern slavery offences, slavery and trafficking prevention orders, enforcement actions, and victim protection measures previously located within two separate </w:t>
      </w:r>
      <w:r w:rsidR="00F7440D">
        <w:rPr>
          <w:rFonts w:ascii="Times New Roman" w:hAnsi="Times New Roman" w:cs="Times New Roman"/>
          <w:lang w:val="en-US"/>
        </w:rPr>
        <w:t>A</w:t>
      </w:r>
      <w:r w:rsidR="00B836B7" w:rsidRPr="00622F6C">
        <w:rPr>
          <w:rFonts w:ascii="Times New Roman" w:hAnsi="Times New Roman" w:cs="Times New Roman"/>
          <w:lang w:val="en-US"/>
        </w:rPr>
        <w:t xml:space="preserve">cts </w:t>
      </w:r>
      <w:r w:rsidR="002114BE" w:rsidRPr="00622F6C">
        <w:rPr>
          <w:rFonts w:ascii="Times New Roman" w:hAnsi="Times New Roman" w:cs="Times New Roman"/>
          <w:lang w:val="en-US"/>
        </w:rPr>
        <w:t>(</w:t>
      </w:r>
      <w:r w:rsidR="002C3AB9">
        <w:rPr>
          <w:rFonts w:ascii="Times New Roman" w:hAnsi="Times New Roman" w:cs="Times New Roman"/>
          <w:lang w:val="en-US"/>
        </w:rPr>
        <w:t xml:space="preserve">Mantouvalou, 2010; </w:t>
      </w:r>
      <w:r w:rsidR="002114BE" w:rsidRPr="00622F6C">
        <w:rPr>
          <w:rFonts w:ascii="Times New Roman" w:hAnsi="Times New Roman" w:cs="Times New Roman"/>
          <w:lang w:val="en-US"/>
        </w:rPr>
        <w:t>MSA, 2015a)</w:t>
      </w:r>
      <w:r w:rsidRPr="00622F6C">
        <w:rPr>
          <w:rFonts w:ascii="Times New Roman" w:hAnsi="Times New Roman" w:cs="Times New Roman"/>
          <w:lang w:val="en-US"/>
        </w:rPr>
        <w:t xml:space="preserve">. </w:t>
      </w:r>
      <w:bookmarkStart w:id="25" w:name="_Hlk523988689"/>
      <w:r w:rsidRPr="00622F6C">
        <w:rPr>
          <w:rFonts w:ascii="Times New Roman" w:hAnsi="Times New Roman" w:cs="Times New Roman"/>
          <w:lang w:val="en-US"/>
        </w:rPr>
        <w:t>Part 6 (Section 54)</w:t>
      </w:r>
      <w:bookmarkEnd w:id="25"/>
      <w:r w:rsidRPr="00622F6C">
        <w:rPr>
          <w:rFonts w:ascii="Times New Roman" w:hAnsi="Times New Roman" w:cs="Times New Roman"/>
          <w:lang w:val="en-US"/>
        </w:rPr>
        <w:t xml:space="preserve"> of the </w:t>
      </w:r>
      <w:r w:rsidR="005A2506">
        <w:rPr>
          <w:rFonts w:ascii="Times New Roman" w:hAnsi="Times New Roman" w:cs="Times New Roman"/>
          <w:lang w:val="en-US"/>
        </w:rPr>
        <w:t>MSA</w:t>
      </w:r>
      <w:r w:rsidRPr="00622F6C">
        <w:rPr>
          <w:rFonts w:ascii="Times New Roman" w:hAnsi="Times New Roman" w:cs="Times New Roman"/>
          <w:lang w:val="en-US"/>
        </w:rPr>
        <w:t xml:space="preserve">, </w:t>
      </w:r>
      <w:bookmarkStart w:id="26" w:name="_Hlk523988697"/>
      <w:r w:rsidRPr="00622F6C">
        <w:rPr>
          <w:rFonts w:ascii="Times New Roman" w:hAnsi="Times New Roman" w:cs="Times New Roman"/>
          <w:lang w:val="en-US"/>
        </w:rPr>
        <w:t xml:space="preserve">labelled </w:t>
      </w:r>
      <w:bookmarkEnd w:id="26"/>
      <w:r w:rsidRPr="00622F6C">
        <w:rPr>
          <w:rFonts w:ascii="Times New Roman" w:hAnsi="Times New Roman" w:cs="Times New Roman"/>
          <w:lang w:val="en-US"/>
        </w:rPr>
        <w:t xml:space="preserve">the Transparency </w:t>
      </w:r>
      <w:r w:rsidR="00D66995">
        <w:rPr>
          <w:rFonts w:ascii="Times New Roman" w:hAnsi="Times New Roman" w:cs="Times New Roman"/>
          <w:lang w:val="en-US"/>
        </w:rPr>
        <w:t xml:space="preserve">in Supply Chains (TISC) clause, is aimed at companies. It </w:t>
      </w:r>
      <w:r w:rsidRPr="00622F6C">
        <w:rPr>
          <w:rFonts w:ascii="Times New Roman" w:hAnsi="Times New Roman" w:cs="Times New Roman"/>
          <w:lang w:val="en-US"/>
        </w:rPr>
        <w:t>requires</w:t>
      </w:r>
      <w:r w:rsidR="002114BE" w:rsidRPr="00622F6C">
        <w:rPr>
          <w:rFonts w:ascii="Times New Roman" w:hAnsi="Times New Roman" w:cs="Times New Roman"/>
          <w:lang w:val="en-US"/>
        </w:rPr>
        <w:t xml:space="preserve"> all</w:t>
      </w:r>
      <w:r w:rsidRPr="00622F6C">
        <w:rPr>
          <w:rFonts w:ascii="Times New Roman" w:hAnsi="Times New Roman" w:cs="Times New Roman"/>
          <w:lang w:val="en-US"/>
        </w:rPr>
        <w:t xml:space="preserve"> </w:t>
      </w:r>
      <w:r w:rsidR="002114BE" w:rsidRPr="00622F6C">
        <w:rPr>
          <w:rFonts w:ascii="Times New Roman" w:hAnsi="Times New Roman" w:cs="Times New Roman"/>
          <w:lang w:val="en-US"/>
        </w:rPr>
        <w:t>organ</w:t>
      </w:r>
      <w:r w:rsidR="00B836B7">
        <w:rPr>
          <w:rFonts w:ascii="Times New Roman" w:hAnsi="Times New Roman" w:cs="Times New Roman"/>
          <w:lang w:val="en-US"/>
        </w:rPr>
        <w:t>izat</w:t>
      </w:r>
      <w:r w:rsidR="002114BE" w:rsidRPr="00622F6C">
        <w:rPr>
          <w:rFonts w:ascii="Times New Roman" w:hAnsi="Times New Roman" w:cs="Times New Roman"/>
          <w:lang w:val="en-US"/>
        </w:rPr>
        <w:t>ions</w:t>
      </w:r>
      <w:r w:rsidRPr="00622F6C">
        <w:rPr>
          <w:rFonts w:ascii="Times New Roman" w:hAnsi="Times New Roman" w:cs="Times New Roman"/>
          <w:lang w:val="en-US"/>
        </w:rPr>
        <w:t xml:space="preserve"> </w:t>
      </w:r>
      <w:r w:rsidR="002114BE" w:rsidRPr="00622F6C">
        <w:rPr>
          <w:rFonts w:ascii="Times New Roman" w:hAnsi="Times New Roman" w:cs="Times New Roman"/>
          <w:lang w:val="en-US"/>
        </w:rPr>
        <w:t xml:space="preserve">with a minimum turnover of £36 million </w:t>
      </w:r>
      <w:r w:rsidR="00B836B7">
        <w:rPr>
          <w:rFonts w:ascii="Times New Roman" w:hAnsi="Times New Roman" w:cs="Times New Roman"/>
          <w:lang w:val="en-US"/>
        </w:rPr>
        <w:t xml:space="preserve">and </w:t>
      </w:r>
      <w:r w:rsidR="002114BE" w:rsidRPr="00622F6C">
        <w:rPr>
          <w:rFonts w:ascii="Times New Roman" w:hAnsi="Times New Roman" w:cs="Times New Roman"/>
          <w:lang w:val="en-US"/>
        </w:rPr>
        <w:t xml:space="preserve">carrying out any part of their business in the UK </w:t>
      </w:r>
      <w:r w:rsidRPr="00622F6C">
        <w:rPr>
          <w:rFonts w:ascii="Times New Roman" w:hAnsi="Times New Roman" w:cs="Times New Roman"/>
          <w:lang w:val="en-US"/>
        </w:rPr>
        <w:t xml:space="preserve">to provide an annual statement on their websites and in their annual reports about what they are doing to </w:t>
      </w:r>
      <w:r w:rsidR="00756DE4">
        <w:rPr>
          <w:rFonts w:ascii="Times New Roman" w:hAnsi="Times New Roman" w:cs="Times New Roman"/>
          <w:lang w:val="en-US"/>
        </w:rPr>
        <w:t>address</w:t>
      </w:r>
      <w:r w:rsidR="00756DE4" w:rsidRPr="00622F6C">
        <w:rPr>
          <w:rFonts w:ascii="Times New Roman" w:hAnsi="Times New Roman" w:cs="Times New Roman"/>
          <w:lang w:val="en-US"/>
        </w:rPr>
        <w:t xml:space="preserve"> </w:t>
      </w:r>
      <w:r w:rsidRPr="00622F6C">
        <w:rPr>
          <w:rFonts w:ascii="Times New Roman" w:hAnsi="Times New Roman" w:cs="Times New Roman"/>
          <w:lang w:val="en-US"/>
        </w:rPr>
        <w:t xml:space="preserve">modern slavery in their business and supply chains. </w:t>
      </w:r>
      <w:r w:rsidR="00125302">
        <w:rPr>
          <w:rFonts w:ascii="Times New Roman" w:hAnsi="Times New Roman" w:cs="Times New Roman"/>
          <w:lang w:val="en-US"/>
        </w:rPr>
        <w:t>This</w:t>
      </w:r>
      <w:r w:rsidR="00547165" w:rsidRPr="00622F6C">
        <w:rPr>
          <w:rFonts w:ascii="Times New Roman" w:hAnsi="Times New Roman" w:cs="Times New Roman"/>
          <w:lang w:val="en-US"/>
        </w:rPr>
        <w:t xml:space="preserve"> TISC statement</w:t>
      </w:r>
      <w:r w:rsidRPr="00622F6C">
        <w:rPr>
          <w:rFonts w:ascii="Times New Roman" w:hAnsi="Times New Roman" w:cs="Times New Roman"/>
          <w:lang w:val="en-US"/>
        </w:rPr>
        <w:t xml:space="preserve"> should be approved by the board of directors or </w:t>
      </w:r>
      <w:r w:rsidR="005C6F13">
        <w:rPr>
          <w:rFonts w:ascii="Times New Roman" w:hAnsi="Times New Roman" w:cs="Times New Roman"/>
          <w:lang w:val="en-US"/>
        </w:rPr>
        <w:t xml:space="preserve">an </w:t>
      </w:r>
      <w:r w:rsidRPr="00622F6C">
        <w:rPr>
          <w:rFonts w:ascii="Times New Roman" w:hAnsi="Times New Roman" w:cs="Times New Roman"/>
          <w:lang w:val="en-US"/>
        </w:rPr>
        <w:t>equivalent management body, and signed by a designated non-executive company director or a general par</w:t>
      </w:r>
      <w:r w:rsidR="007E6881" w:rsidRPr="00622F6C">
        <w:rPr>
          <w:rFonts w:ascii="Times New Roman" w:hAnsi="Times New Roman" w:cs="Times New Roman"/>
          <w:lang w:val="en-US"/>
        </w:rPr>
        <w:t xml:space="preserve">tner in </w:t>
      </w:r>
      <w:r w:rsidR="00B836B7">
        <w:rPr>
          <w:rFonts w:ascii="Times New Roman" w:hAnsi="Times New Roman" w:cs="Times New Roman"/>
          <w:lang w:val="en-US"/>
        </w:rPr>
        <w:t>the case of a l</w:t>
      </w:r>
      <w:r w:rsidR="00B836B7" w:rsidRPr="00622F6C">
        <w:rPr>
          <w:rFonts w:ascii="Times New Roman" w:hAnsi="Times New Roman" w:cs="Times New Roman"/>
          <w:lang w:val="en-US"/>
        </w:rPr>
        <w:t xml:space="preserve">imited </w:t>
      </w:r>
      <w:r w:rsidR="00B836B7">
        <w:rPr>
          <w:rFonts w:ascii="Times New Roman" w:hAnsi="Times New Roman" w:cs="Times New Roman"/>
          <w:lang w:val="en-US"/>
        </w:rPr>
        <w:t>p</w:t>
      </w:r>
      <w:r w:rsidR="00B836B7" w:rsidRPr="00622F6C">
        <w:rPr>
          <w:rFonts w:ascii="Times New Roman" w:hAnsi="Times New Roman" w:cs="Times New Roman"/>
          <w:lang w:val="en-US"/>
        </w:rPr>
        <w:t xml:space="preserve">artnership </w:t>
      </w:r>
      <w:r w:rsidR="007E6881" w:rsidRPr="00622F6C">
        <w:rPr>
          <w:rFonts w:ascii="Times New Roman" w:hAnsi="Times New Roman" w:cs="Times New Roman"/>
          <w:lang w:val="en-US"/>
        </w:rPr>
        <w:t>(</w:t>
      </w:r>
      <w:r w:rsidR="006C5322" w:rsidRPr="00622F6C">
        <w:rPr>
          <w:rFonts w:ascii="Times New Roman" w:hAnsi="Times New Roman" w:cs="Times New Roman"/>
          <w:lang w:val="en-US"/>
        </w:rPr>
        <w:t>MSA</w:t>
      </w:r>
      <w:r w:rsidR="006C2AA0" w:rsidRPr="00622F6C">
        <w:rPr>
          <w:rFonts w:ascii="Times New Roman" w:hAnsi="Times New Roman" w:cs="Times New Roman"/>
          <w:lang w:val="en-US"/>
        </w:rPr>
        <w:t>, 2015b</w:t>
      </w:r>
      <w:r w:rsidRPr="00622F6C">
        <w:rPr>
          <w:rFonts w:ascii="Times New Roman" w:hAnsi="Times New Roman" w:cs="Times New Roman"/>
          <w:lang w:val="en-US"/>
        </w:rPr>
        <w:t xml:space="preserve">). </w:t>
      </w:r>
    </w:p>
    <w:p w14:paraId="4064972C" w14:textId="77777777" w:rsidR="002D1BBD" w:rsidRPr="00622F6C" w:rsidRDefault="002D1BBD" w:rsidP="00112F21">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The MSA does not dictate what a TISC</w:t>
      </w:r>
      <w:r w:rsidR="00D23F1A" w:rsidRPr="00622F6C">
        <w:rPr>
          <w:rFonts w:ascii="Times New Roman" w:hAnsi="Times New Roman" w:cs="Times New Roman"/>
          <w:lang w:val="en-US"/>
        </w:rPr>
        <w:t xml:space="preserve"> </w:t>
      </w:r>
      <w:r w:rsidRPr="00622F6C">
        <w:rPr>
          <w:rFonts w:ascii="Times New Roman" w:hAnsi="Times New Roman" w:cs="Times New Roman"/>
          <w:lang w:val="en-US"/>
        </w:rPr>
        <w:t xml:space="preserve">statement must include or how it should be structured. </w:t>
      </w:r>
      <w:r w:rsidR="00D23F1A" w:rsidRPr="00622F6C">
        <w:rPr>
          <w:rFonts w:ascii="Times New Roman" w:hAnsi="Times New Roman" w:cs="Times New Roman"/>
          <w:lang w:val="en-US"/>
        </w:rPr>
        <w:t>It does</w:t>
      </w:r>
      <w:r w:rsidRPr="00622F6C">
        <w:rPr>
          <w:rFonts w:ascii="Times New Roman" w:hAnsi="Times New Roman" w:cs="Times New Roman"/>
          <w:lang w:val="en-US"/>
        </w:rPr>
        <w:t xml:space="preserve">, however, provide a non-exhaustive list of information that may be included. More particularly, a </w:t>
      </w:r>
      <w:r w:rsidR="00D66995">
        <w:rPr>
          <w:rFonts w:ascii="Times New Roman" w:hAnsi="Times New Roman" w:cs="Times New Roman"/>
          <w:lang w:val="en-US"/>
        </w:rPr>
        <w:t xml:space="preserve">TISC </w:t>
      </w:r>
      <w:r w:rsidRPr="00622F6C">
        <w:rPr>
          <w:rFonts w:ascii="Times New Roman" w:hAnsi="Times New Roman" w:cs="Times New Roman"/>
          <w:lang w:val="en-US"/>
        </w:rPr>
        <w:t xml:space="preserve">statement should aim to </w:t>
      </w:r>
      <w:r w:rsidR="00D23F1A" w:rsidRPr="00622F6C">
        <w:rPr>
          <w:rFonts w:ascii="Times New Roman" w:hAnsi="Times New Roman" w:cs="Times New Roman"/>
          <w:lang w:val="en-US"/>
        </w:rPr>
        <w:t xml:space="preserve">provide </w:t>
      </w:r>
      <w:r w:rsidRPr="00622F6C">
        <w:rPr>
          <w:rFonts w:ascii="Times New Roman" w:hAnsi="Times New Roman" w:cs="Times New Roman"/>
          <w:lang w:val="en-US"/>
        </w:rPr>
        <w:t>information in the following reporting areas: (i) the organi</w:t>
      </w:r>
      <w:r w:rsidR="001832BC">
        <w:rPr>
          <w:rFonts w:ascii="Times New Roman" w:hAnsi="Times New Roman" w:cs="Times New Roman"/>
          <w:lang w:val="en-US"/>
        </w:rPr>
        <w:t>z</w:t>
      </w:r>
      <w:r w:rsidRPr="00622F6C">
        <w:rPr>
          <w:rFonts w:ascii="Times New Roman" w:hAnsi="Times New Roman" w:cs="Times New Roman"/>
          <w:lang w:val="en-US"/>
        </w:rPr>
        <w:t xml:space="preserve">ation’s structure, its business and its supply chains; (ii) its policies in relation to slavery and human trafficking; (iii) its due diligence processes in relation to slavery and human trafficking; (iv) the parts of its business and supply chains where there is a risk of slavery and human trafficking, and the steps it has taken to assess and manage that risk; (v) its effectiveness in ensuring that slavery and human trafficking </w:t>
      </w:r>
      <w:r w:rsidR="00642B55">
        <w:rPr>
          <w:rFonts w:ascii="Times New Roman" w:hAnsi="Times New Roman" w:cs="Times New Roman"/>
          <w:lang w:val="en-US"/>
        </w:rPr>
        <w:t>are</w:t>
      </w:r>
      <w:r w:rsidR="00642B55" w:rsidRPr="00622F6C">
        <w:rPr>
          <w:rFonts w:ascii="Times New Roman" w:hAnsi="Times New Roman" w:cs="Times New Roman"/>
          <w:lang w:val="en-US"/>
        </w:rPr>
        <w:t xml:space="preserve"> </w:t>
      </w:r>
      <w:r w:rsidRPr="00622F6C">
        <w:rPr>
          <w:rFonts w:ascii="Times New Roman" w:hAnsi="Times New Roman" w:cs="Times New Roman"/>
          <w:lang w:val="en-US"/>
        </w:rPr>
        <w:t xml:space="preserve">not taking place in its business or supply chains; </w:t>
      </w:r>
      <w:r w:rsidR="002231D7" w:rsidRPr="00622F6C">
        <w:rPr>
          <w:rFonts w:ascii="Times New Roman" w:hAnsi="Times New Roman" w:cs="Times New Roman"/>
          <w:lang w:val="en-US"/>
        </w:rPr>
        <w:t xml:space="preserve">and </w:t>
      </w:r>
      <w:r w:rsidRPr="00622F6C">
        <w:rPr>
          <w:rFonts w:ascii="Times New Roman" w:hAnsi="Times New Roman" w:cs="Times New Roman"/>
          <w:lang w:val="en-US"/>
        </w:rPr>
        <w:t xml:space="preserve">(vi) the training and capacity building </w:t>
      </w:r>
      <w:r w:rsidR="00B836B7">
        <w:rPr>
          <w:rFonts w:ascii="Times New Roman" w:hAnsi="Times New Roman" w:cs="Times New Roman"/>
          <w:lang w:val="en-US"/>
        </w:rPr>
        <w:t>regarding</w:t>
      </w:r>
      <w:r w:rsidR="00B836B7" w:rsidRPr="00622F6C">
        <w:rPr>
          <w:rFonts w:ascii="Times New Roman" w:hAnsi="Times New Roman" w:cs="Times New Roman"/>
          <w:lang w:val="en-US"/>
        </w:rPr>
        <w:t xml:space="preserve"> </w:t>
      </w:r>
      <w:r w:rsidRPr="00622F6C">
        <w:rPr>
          <w:rFonts w:ascii="Times New Roman" w:hAnsi="Times New Roman" w:cs="Times New Roman"/>
          <w:lang w:val="en-US"/>
        </w:rPr>
        <w:t xml:space="preserve">slavery and human trafficking available to its staff (MSA, 2015b). </w:t>
      </w:r>
    </w:p>
    <w:p w14:paraId="6E0846FA" w14:textId="77777777" w:rsidR="006E6FAF" w:rsidRDefault="006E6FAF" w:rsidP="00112F21">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lastRenderedPageBreak/>
        <w:t xml:space="preserve">In principle, </w:t>
      </w:r>
      <w:r w:rsidR="00C545E8" w:rsidRPr="00622F6C">
        <w:rPr>
          <w:rFonts w:ascii="Times New Roman" w:hAnsi="Times New Roman" w:cs="Times New Roman"/>
          <w:lang w:val="en-US"/>
        </w:rPr>
        <w:t>firms</w:t>
      </w:r>
      <w:r w:rsidRPr="00622F6C">
        <w:rPr>
          <w:rFonts w:ascii="Times New Roman" w:hAnsi="Times New Roman" w:cs="Times New Roman"/>
          <w:lang w:val="en-US"/>
        </w:rPr>
        <w:t xml:space="preserve"> can comply with the TISC clause by </w:t>
      </w:r>
      <w:r w:rsidR="0067650B" w:rsidRPr="00622F6C">
        <w:rPr>
          <w:rFonts w:ascii="Times New Roman" w:hAnsi="Times New Roman" w:cs="Times New Roman"/>
          <w:lang w:val="en-US"/>
        </w:rPr>
        <w:t>stating</w:t>
      </w:r>
      <w:r w:rsidRPr="00622F6C">
        <w:rPr>
          <w:rFonts w:ascii="Times New Roman" w:hAnsi="Times New Roman" w:cs="Times New Roman"/>
          <w:lang w:val="en-US"/>
        </w:rPr>
        <w:t xml:space="preserve"> that they have taken no steps to ensure that their business and supply chains are slavery free. </w:t>
      </w:r>
      <w:r w:rsidR="00BA4A17" w:rsidRPr="00622F6C">
        <w:rPr>
          <w:rFonts w:ascii="Times New Roman" w:hAnsi="Times New Roman" w:cs="Times New Roman"/>
          <w:lang w:val="en-US"/>
        </w:rPr>
        <w:t xml:space="preserve">If a firm </w:t>
      </w:r>
      <w:r w:rsidR="00A373B2" w:rsidRPr="00622F6C">
        <w:rPr>
          <w:rFonts w:ascii="Times New Roman" w:hAnsi="Times New Roman" w:cs="Times New Roman"/>
          <w:lang w:val="en-US"/>
        </w:rPr>
        <w:t>does not</w:t>
      </w:r>
      <w:r w:rsidR="00BA4A17" w:rsidRPr="00622F6C">
        <w:rPr>
          <w:rFonts w:ascii="Times New Roman" w:hAnsi="Times New Roman" w:cs="Times New Roman"/>
          <w:lang w:val="en-US"/>
        </w:rPr>
        <w:t xml:space="preserve"> produce a</w:t>
      </w:r>
      <w:r w:rsidR="001832BC">
        <w:rPr>
          <w:rFonts w:ascii="Times New Roman" w:hAnsi="Times New Roman" w:cs="Times New Roman"/>
          <w:lang w:val="en-US"/>
        </w:rPr>
        <w:t>ny</w:t>
      </w:r>
      <w:r w:rsidR="00BA4A17" w:rsidRPr="00622F6C">
        <w:rPr>
          <w:rFonts w:ascii="Times New Roman" w:hAnsi="Times New Roman" w:cs="Times New Roman"/>
          <w:lang w:val="en-US"/>
        </w:rPr>
        <w:t xml:space="preserve"> TISC statement for a particular financial year, it may receive an injunction through the High Court requiring compliance. Failure to comply with the injunction </w:t>
      </w:r>
      <w:r w:rsidR="00642B55">
        <w:rPr>
          <w:rFonts w:ascii="Times New Roman" w:hAnsi="Times New Roman" w:cs="Times New Roman"/>
          <w:lang w:val="en-US"/>
        </w:rPr>
        <w:t xml:space="preserve">would </w:t>
      </w:r>
      <w:r w:rsidR="00642B55" w:rsidRPr="00622F6C">
        <w:rPr>
          <w:rFonts w:ascii="Times New Roman" w:hAnsi="Times New Roman" w:cs="Times New Roman"/>
          <w:lang w:val="en-US"/>
        </w:rPr>
        <w:t>impl</w:t>
      </w:r>
      <w:r w:rsidR="00642B55">
        <w:rPr>
          <w:rFonts w:ascii="Times New Roman" w:hAnsi="Times New Roman" w:cs="Times New Roman"/>
          <w:lang w:val="en-US"/>
        </w:rPr>
        <w:t>y</w:t>
      </w:r>
      <w:r w:rsidR="00642B55" w:rsidRPr="00622F6C">
        <w:rPr>
          <w:rFonts w:ascii="Times New Roman" w:hAnsi="Times New Roman" w:cs="Times New Roman"/>
          <w:lang w:val="en-US"/>
        </w:rPr>
        <w:t xml:space="preserve"> </w:t>
      </w:r>
      <w:r w:rsidR="00BA4A17" w:rsidRPr="00622F6C">
        <w:rPr>
          <w:rFonts w:ascii="Times New Roman" w:hAnsi="Times New Roman" w:cs="Times New Roman"/>
          <w:lang w:val="en-US"/>
        </w:rPr>
        <w:t>contempt of a court order, punishable by an unlimited fine (</w:t>
      </w:r>
      <w:r w:rsidR="006C5322" w:rsidRPr="00622F6C">
        <w:rPr>
          <w:rFonts w:ascii="Times New Roman" w:hAnsi="Times New Roman" w:cs="Times New Roman"/>
          <w:lang w:val="en-US"/>
        </w:rPr>
        <w:t>MSA</w:t>
      </w:r>
      <w:r w:rsidR="00BA4A17" w:rsidRPr="00622F6C">
        <w:rPr>
          <w:rFonts w:ascii="Times New Roman" w:hAnsi="Times New Roman" w:cs="Times New Roman"/>
          <w:lang w:val="en-US"/>
        </w:rPr>
        <w:t>, 2015b).</w:t>
      </w:r>
      <w:r w:rsidRPr="00622F6C">
        <w:rPr>
          <w:rFonts w:ascii="Times New Roman" w:hAnsi="Times New Roman" w:cs="Times New Roman"/>
          <w:lang w:val="en-US"/>
        </w:rPr>
        <w:t xml:space="preserve"> </w:t>
      </w:r>
    </w:p>
    <w:p w14:paraId="4E97D669" w14:textId="77777777" w:rsidR="00756DE4" w:rsidRDefault="00756DE4" w:rsidP="00112F21">
      <w:pPr>
        <w:spacing w:after="0" w:line="480" w:lineRule="auto"/>
        <w:ind w:firstLine="426"/>
        <w:jc w:val="both"/>
        <w:rPr>
          <w:rFonts w:ascii="Times New Roman" w:hAnsi="Times New Roman" w:cs="Times New Roman"/>
          <w:lang w:val="en-US"/>
        </w:rPr>
      </w:pPr>
    </w:p>
    <w:p w14:paraId="32096212" w14:textId="77777777" w:rsidR="006E6FAF" w:rsidRPr="00622F6C" w:rsidRDefault="006E6FAF" w:rsidP="006E6FAF">
      <w:pPr>
        <w:tabs>
          <w:tab w:val="left" w:pos="426"/>
        </w:tabs>
        <w:spacing w:after="0" w:line="480" w:lineRule="auto"/>
        <w:jc w:val="both"/>
        <w:rPr>
          <w:rFonts w:ascii="Times New Roman" w:hAnsi="Times New Roman" w:cs="Times New Roman"/>
          <w:i/>
          <w:lang w:val="en-US"/>
        </w:rPr>
      </w:pPr>
      <w:r w:rsidRPr="00622F6C">
        <w:rPr>
          <w:rFonts w:ascii="Times New Roman" w:hAnsi="Times New Roman" w:cs="Times New Roman"/>
          <w:i/>
          <w:lang w:val="en-US"/>
        </w:rPr>
        <w:t xml:space="preserve">3.2. Event history </w:t>
      </w:r>
    </w:p>
    <w:p w14:paraId="2D0423E8" w14:textId="2141C274" w:rsidR="006E6FAF" w:rsidRPr="00622F6C" w:rsidRDefault="006E6FAF" w:rsidP="00B0231C">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We obtain </w:t>
      </w:r>
      <w:r w:rsidR="007467A6">
        <w:rPr>
          <w:rFonts w:ascii="Times New Roman" w:hAnsi="Times New Roman" w:cs="Times New Roman"/>
          <w:lang w:val="en-US"/>
        </w:rPr>
        <w:t xml:space="preserve">the </w:t>
      </w:r>
      <w:r w:rsidRPr="00622F6C">
        <w:rPr>
          <w:rFonts w:ascii="Times New Roman" w:hAnsi="Times New Roman" w:cs="Times New Roman"/>
          <w:lang w:val="en-US"/>
        </w:rPr>
        <w:t xml:space="preserve">event dates </w:t>
      </w:r>
      <w:r w:rsidR="00860A05">
        <w:rPr>
          <w:rFonts w:ascii="Times New Roman" w:hAnsi="Times New Roman" w:cs="Times New Roman"/>
          <w:lang w:val="en-US"/>
        </w:rPr>
        <w:t xml:space="preserve">for our study </w:t>
      </w:r>
      <w:r w:rsidRPr="00622F6C">
        <w:rPr>
          <w:rFonts w:ascii="Times New Roman" w:hAnsi="Times New Roman" w:cs="Times New Roman"/>
          <w:lang w:val="en-US"/>
        </w:rPr>
        <w:t xml:space="preserve">through a search </w:t>
      </w:r>
      <w:r w:rsidR="00C545E8" w:rsidRPr="00622F6C">
        <w:rPr>
          <w:rFonts w:ascii="Times New Roman" w:hAnsi="Times New Roman" w:cs="Times New Roman"/>
          <w:lang w:val="en-US"/>
        </w:rPr>
        <w:t>on</w:t>
      </w:r>
      <w:r w:rsidR="007E4446" w:rsidRPr="00622F6C">
        <w:rPr>
          <w:rFonts w:ascii="Times New Roman" w:hAnsi="Times New Roman" w:cs="Times New Roman"/>
          <w:lang w:val="en-US"/>
        </w:rPr>
        <w:t xml:space="preserve"> Factiva</w:t>
      </w:r>
      <w:r w:rsidR="001A3BFE" w:rsidRPr="00622F6C">
        <w:rPr>
          <w:rFonts w:ascii="Times New Roman" w:hAnsi="Times New Roman" w:cs="Times New Roman"/>
          <w:lang w:val="en-US"/>
        </w:rPr>
        <w:t xml:space="preserve"> </w:t>
      </w:r>
      <w:r w:rsidR="00C545E8" w:rsidRPr="00622F6C">
        <w:rPr>
          <w:rFonts w:ascii="Times New Roman" w:hAnsi="Times New Roman" w:cs="Times New Roman"/>
          <w:lang w:val="en-US"/>
        </w:rPr>
        <w:t>and</w:t>
      </w:r>
      <w:r w:rsidR="00D75147" w:rsidRPr="00622F6C">
        <w:rPr>
          <w:rFonts w:ascii="Times New Roman" w:hAnsi="Times New Roman" w:cs="Times New Roman"/>
          <w:lang w:val="en-US"/>
        </w:rPr>
        <w:t xml:space="preserve"> </w:t>
      </w:r>
      <w:r w:rsidR="0062759F">
        <w:rPr>
          <w:rFonts w:ascii="Times New Roman" w:hAnsi="Times New Roman" w:cs="Times New Roman"/>
          <w:lang w:val="en-US"/>
        </w:rPr>
        <w:t>other online</w:t>
      </w:r>
      <w:r w:rsidR="005C6F13" w:rsidRPr="00622F6C">
        <w:rPr>
          <w:rFonts w:ascii="Times New Roman" w:hAnsi="Times New Roman" w:cs="Times New Roman"/>
          <w:lang w:val="en-US"/>
        </w:rPr>
        <w:t xml:space="preserve"> </w:t>
      </w:r>
      <w:r w:rsidR="00C545E8" w:rsidRPr="00622F6C">
        <w:rPr>
          <w:rFonts w:ascii="Times New Roman" w:hAnsi="Times New Roman" w:cs="Times New Roman"/>
          <w:lang w:val="en-US"/>
        </w:rPr>
        <w:t xml:space="preserve">sources such as the </w:t>
      </w:r>
      <w:bookmarkStart w:id="27" w:name="_Hlk5281288"/>
      <w:r w:rsidR="00C545E8" w:rsidRPr="00622F6C">
        <w:rPr>
          <w:rFonts w:ascii="Times New Roman" w:hAnsi="Times New Roman" w:cs="Times New Roman"/>
          <w:lang w:val="en-US"/>
        </w:rPr>
        <w:t>UK Parliament</w:t>
      </w:r>
      <w:r w:rsidR="00D75147" w:rsidRPr="00622F6C">
        <w:rPr>
          <w:rFonts w:ascii="Times New Roman" w:hAnsi="Times New Roman" w:cs="Times New Roman"/>
          <w:lang w:val="en-US"/>
        </w:rPr>
        <w:t>’s</w:t>
      </w:r>
      <w:r w:rsidR="00C545E8" w:rsidRPr="00622F6C">
        <w:rPr>
          <w:rFonts w:ascii="Times New Roman" w:hAnsi="Times New Roman" w:cs="Times New Roman"/>
          <w:lang w:val="en-US"/>
        </w:rPr>
        <w:t xml:space="preserve"> </w:t>
      </w:r>
      <w:bookmarkEnd w:id="27"/>
      <w:r w:rsidR="00C545E8" w:rsidRPr="00622F6C">
        <w:rPr>
          <w:rFonts w:ascii="Times New Roman" w:hAnsi="Times New Roman" w:cs="Times New Roman"/>
          <w:lang w:val="en-US"/>
        </w:rPr>
        <w:t>website</w:t>
      </w:r>
      <w:r w:rsidR="002114BE" w:rsidRPr="00622F6C">
        <w:rPr>
          <w:rFonts w:ascii="Times New Roman" w:hAnsi="Times New Roman" w:cs="Times New Roman"/>
          <w:lang w:val="en-US"/>
        </w:rPr>
        <w:t>, using</w:t>
      </w:r>
      <w:r w:rsidR="00C545E8" w:rsidRPr="00622F6C">
        <w:rPr>
          <w:rFonts w:ascii="Times New Roman" w:hAnsi="Times New Roman" w:cs="Times New Roman"/>
          <w:lang w:val="en-US"/>
        </w:rPr>
        <w:t xml:space="preserve"> re</w:t>
      </w:r>
      <w:r w:rsidR="002114BE" w:rsidRPr="00622F6C">
        <w:rPr>
          <w:rFonts w:ascii="Times New Roman" w:hAnsi="Times New Roman" w:cs="Times New Roman"/>
          <w:lang w:val="en-US"/>
        </w:rPr>
        <w:t xml:space="preserve">levant </w:t>
      </w:r>
      <w:bookmarkStart w:id="28" w:name="_Hlk5281299"/>
      <w:r w:rsidR="002114BE" w:rsidRPr="00622F6C">
        <w:rPr>
          <w:rFonts w:ascii="Times New Roman" w:hAnsi="Times New Roman" w:cs="Times New Roman"/>
          <w:lang w:val="en-US"/>
        </w:rPr>
        <w:t xml:space="preserve">key words </w:t>
      </w:r>
      <w:bookmarkEnd w:id="28"/>
      <w:r w:rsidR="002114BE" w:rsidRPr="00622F6C">
        <w:rPr>
          <w:rFonts w:ascii="Times New Roman" w:hAnsi="Times New Roman" w:cs="Times New Roman"/>
          <w:lang w:val="en-US"/>
        </w:rPr>
        <w:t>and acronyms (</w:t>
      </w:r>
      <w:r w:rsidR="00860A05">
        <w:rPr>
          <w:rFonts w:ascii="Times New Roman" w:hAnsi="Times New Roman" w:cs="Times New Roman"/>
          <w:lang w:val="en-US"/>
        </w:rPr>
        <w:t xml:space="preserve">e.g., </w:t>
      </w:r>
      <w:r w:rsidR="001C43DE" w:rsidRPr="00622F6C">
        <w:rPr>
          <w:rFonts w:ascii="Times New Roman" w:hAnsi="Times New Roman" w:cs="Times New Roman"/>
          <w:lang w:val="en-US"/>
        </w:rPr>
        <w:t>‘Modern Slavery Bill’, ‘</w:t>
      </w:r>
      <w:r w:rsidR="001E799D" w:rsidRPr="00622F6C">
        <w:rPr>
          <w:rFonts w:ascii="Times New Roman" w:hAnsi="Times New Roman" w:cs="Times New Roman"/>
          <w:lang w:val="en-US"/>
        </w:rPr>
        <w:t>Modern Slavery Act</w:t>
      </w:r>
      <w:r w:rsidR="001C43DE" w:rsidRPr="00622F6C">
        <w:rPr>
          <w:rFonts w:ascii="Times New Roman" w:hAnsi="Times New Roman" w:cs="Times New Roman"/>
          <w:lang w:val="en-US"/>
        </w:rPr>
        <w:t>’</w:t>
      </w:r>
      <w:r w:rsidR="001E799D" w:rsidRPr="00622F6C">
        <w:rPr>
          <w:rFonts w:ascii="Times New Roman" w:hAnsi="Times New Roman" w:cs="Times New Roman"/>
          <w:lang w:val="en-US"/>
        </w:rPr>
        <w:t xml:space="preserve">, </w:t>
      </w:r>
      <w:r w:rsidR="001C43DE" w:rsidRPr="00622F6C">
        <w:rPr>
          <w:rFonts w:ascii="Times New Roman" w:hAnsi="Times New Roman" w:cs="Times New Roman"/>
          <w:lang w:val="en-US"/>
        </w:rPr>
        <w:t>‘</w:t>
      </w:r>
      <w:r w:rsidR="001E799D" w:rsidRPr="00622F6C">
        <w:rPr>
          <w:rFonts w:ascii="Times New Roman" w:hAnsi="Times New Roman" w:cs="Times New Roman"/>
          <w:lang w:val="en-US"/>
        </w:rPr>
        <w:t>MSA</w:t>
      </w:r>
      <w:r w:rsidR="001C43DE" w:rsidRPr="00622F6C">
        <w:rPr>
          <w:rFonts w:ascii="Times New Roman" w:hAnsi="Times New Roman" w:cs="Times New Roman"/>
          <w:lang w:val="en-US"/>
        </w:rPr>
        <w:t>’</w:t>
      </w:r>
      <w:r w:rsidR="001E799D" w:rsidRPr="00622F6C">
        <w:rPr>
          <w:rFonts w:ascii="Times New Roman" w:hAnsi="Times New Roman" w:cs="Times New Roman"/>
          <w:lang w:val="en-US"/>
        </w:rPr>
        <w:t xml:space="preserve">, </w:t>
      </w:r>
      <w:r w:rsidR="001C43DE" w:rsidRPr="00622F6C">
        <w:rPr>
          <w:rFonts w:ascii="Times New Roman" w:hAnsi="Times New Roman" w:cs="Times New Roman"/>
          <w:lang w:val="en-US"/>
        </w:rPr>
        <w:t>‘</w:t>
      </w:r>
      <w:r w:rsidR="001E799D" w:rsidRPr="00622F6C">
        <w:rPr>
          <w:rFonts w:ascii="Times New Roman" w:hAnsi="Times New Roman" w:cs="Times New Roman"/>
          <w:lang w:val="en-US"/>
        </w:rPr>
        <w:t>Transparency in Supply Chains</w:t>
      </w:r>
      <w:r w:rsidR="001C43DE" w:rsidRPr="00622F6C">
        <w:rPr>
          <w:rFonts w:ascii="Times New Roman" w:hAnsi="Times New Roman" w:cs="Times New Roman"/>
          <w:lang w:val="en-US"/>
        </w:rPr>
        <w:t>’</w:t>
      </w:r>
      <w:r w:rsidR="002114BE" w:rsidRPr="00622F6C">
        <w:rPr>
          <w:rFonts w:ascii="Times New Roman" w:hAnsi="Times New Roman" w:cs="Times New Roman"/>
          <w:lang w:val="en-US"/>
        </w:rPr>
        <w:t xml:space="preserve">, </w:t>
      </w:r>
      <w:r w:rsidR="001C43DE" w:rsidRPr="00622F6C">
        <w:rPr>
          <w:rFonts w:ascii="Times New Roman" w:hAnsi="Times New Roman" w:cs="Times New Roman"/>
          <w:lang w:val="en-US"/>
        </w:rPr>
        <w:t>‘</w:t>
      </w:r>
      <w:r w:rsidR="00C545E8" w:rsidRPr="00622F6C">
        <w:rPr>
          <w:rFonts w:ascii="Times New Roman" w:hAnsi="Times New Roman" w:cs="Times New Roman"/>
          <w:lang w:val="en-US"/>
        </w:rPr>
        <w:t>TISC</w:t>
      </w:r>
      <w:r w:rsidR="001C43DE" w:rsidRPr="00622F6C">
        <w:rPr>
          <w:rFonts w:ascii="Times New Roman" w:hAnsi="Times New Roman" w:cs="Times New Roman"/>
          <w:lang w:val="en-US"/>
        </w:rPr>
        <w:t>’</w:t>
      </w:r>
      <w:r w:rsidR="002114BE" w:rsidRPr="00622F6C">
        <w:rPr>
          <w:rFonts w:ascii="Times New Roman" w:hAnsi="Times New Roman" w:cs="Times New Roman"/>
          <w:lang w:val="en-US"/>
        </w:rPr>
        <w:t>)</w:t>
      </w:r>
      <w:r w:rsidR="007E4446" w:rsidRPr="00622F6C">
        <w:rPr>
          <w:rFonts w:ascii="Times New Roman" w:hAnsi="Times New Roman" w:cs="Times New Roman"/>
          <w:lang w:val="en-US"/>
        </w:rPr>
        <w:t>. We identify a relevant event date</w:t>
      </w:r>
      <w:r w:rsidRPr="00622F6C">
        <w:rPr>
          <w:rFonts w:ascii="Times New Roman" w:hAnsi="Times New Roman" w:cs="Times New Roman"/>
          <w:lang w:val="en-US"/>
        </w:rPr>
        <w:t xml:space="preserve"> as a day on which incremental information related to the adoption of the MSA and its TISC clause (as </w:t>
      </w:r>
      <w:r w:rsidR="00B836B7">
        <w:rPr>
          <w:rFonts w:ascii="Times New Roman" w:hAnsi="Times New Roman" w:cs="Times New Roman"/>
          <w:lang w:val="en-US"/>
        </w:rPr>
        <w:t>the two</w:t>
      </w:r>
      <w:r w:rsidR="00B836B7" w:rsidRPr="00622F6C">
        <w:rPr>
          <w:rFonts w:ascii="Times New Roman" w:hAnsi="Times New Roman" w:cs="Times New Roman"/>
          <w:lang w:val="en-US"/>
        </w:rPr>
        <w:t xml:space="preserve"> </w:t>
      </w:r>
      <w:r w:rsidRPr="00622F6C">
        <w:rPr>
          <w:rFonts w:ascii="Times New Roman" w:hAnsi="Times New Roman" w:cs="Times New Roman"/>
          <w:lang w:val="en-US"/>
        </w:rPr>
        <w:t xml:space="preserve">cannot be disentangled) was publicly revealed. </w:t>
      </w:r>
      <w:r w:rsidR="002E23A2" w:rsidRPr="00622F6C">
        <w:rPr>
          <w:rFonts w:ascii="Times New Roman" w:hAnsi="Times New Roman" w:cs="Times New Roman"/>
          <w:lang w:val="en-US"/>
        </w:rPr>
        <w:t xml:space="preserve">In line with Hendricks et al. (2015), we use time stamp information on the press releases associated with the announcements to convert calendar dates into event dates. If the announcement occurs before the stock market closes on a trading day, we use that calendar day as the announcement date. If the announcement is made after the stock market closes on a trading day, or at any time on a non-trading day, we use the next trading day as the relevant event date. For example, </w:t>
      </w:r>
      <w:r w:rsidR="002114BE" w:rsidRPr="00622F6C">
        <w:rPr>
          <w:rFonts w:ascii="Times New Roman" w:hAnsi="Times New Roman" w:cs="Times New Roman"/>
          <w:lang w:val="en-US"/>
        </w:rPr>
        <w:t>one of the events (</w:t>
      </w:r>
      <w:bookmarkStart w:id="29" w:name="_Hlk523989048"/>
      <w:r w:rsidR="002114BE" w:rsidRPr="00622F6C">
        <w:rPr>
          <w:rFonts w:ascii="Times New Roman" w:hAnsi="Times New Roman" w:cs="Times New Roman"/>
          <w:lang w:val="en-US"/>
        </w:rPr>
        <w:t>event 2</w:t>
      </w:r>
      <w:bookmarkEnd w:id="29"/>
      <w:r w:rsidR="002114BE" w:rsidRPr="00622F6C">
        <w:rPr>
          <w:rFonts w:ascii="Times New Roman" w:hAnsi="Times New Roman" w:cs="Times New Roman"/>
          <w:lang w:val="en-US"/>
        </w:rPr>
        <w:t>)</w:t>
      </w:r>
      <w:r w:rsidR="002E23A2" w:rsidRPr="00622F6C">
        <w:rPr>
          <w:rFonts w:ascii="Times New Roman" w:hAnsi="Times New Roman" w:cs="Times New Roman"/>
          <w:lang w:val="en-US"/>
        </w:rPr>
        <w:t xml:space="preserve"> represents a newspaper article published on </w:t>
      </w:r>
      <w:bookmarkStart w:id="30" w:name="_Hlk523989060"/>
      <w:r w:rsidR="002E23A2" w:rsidRPr="00622F6C">
        <w:rPr>
          <w:rFonts w:ascii="Times New Roman" w:hAnsi="Times New Roman" w:cs="Times New Roman"/>
          <w:lang w:val="en-US"/>
        </w:rPr>
        <w:t>Sunday August 25, 2013</w:t>
      </w:r>
      <w:bookmarkEnd w:id="30"/>
      <w:r w:rsidR="002E23A2" w:rsidRPr="00622F6C">
        <w:rPr>
          <w:rFonts w:ascii="Times New Roman" w:hAnsi="Times New Roman" w:cs="Times New Roman"/>
          <w:lang w:val="en-US"/>
        </w:rPr>
        <w:t xml:space="preserve">. As the subsequent day was a </w:t>
      </w:r>
      <w:r w:rsidR="00A373B2" w:rsidRPr="00622F6C">
        <w:rPr>
          <w:rFonts w:ascii="Times New Roman" w:hAnsi="Times New Roman" w:cs="Times New Roman"/>
          <w:lang w:val="en-US"/>
        </w:rPr>
        <w:t xml:space="preserve">UK </w:t>
      </w:r>
      <w:r w:rsidR="002E23A2" w:rsidRPr="00622F6C">
        <w:rPr>
          <w:rFonts w:ascii="Times New Roman" w:hAnsi="Times New Roman" w:cs="Times New Roman"/>
          <w:lang w:val="en-US"/>
        </w:rPr>
        <w:t xml:space="preserve">bank holiday, the relevant event date corresponding </w:t>
      </w:r>
      <w:r w:rsidR="004131F7">
        <w:rPr>
          <w:rFonts w:ascii="Times New Roman" w:hAnsi="Times New Roman" w:cs="Times New Roman"/>
          <w:lang w:val="en-US"/>
        </w:rPr>
        <w:t>to</w:t>
      </w:r>
      <w:r w:rsidR="004131F7" w:rsidRPr="00622F6C">
        <w:rPr>
          <w:rFonts w:ascii="Times New Roman" w:hAnsi="Times New Roman" w:cs="Times New Roman"/>
          <w:lang w:val="en-US"/>
        </w:rPr>
        <w:t xml:space="preserve"> </w:t>
      </w:r>
      <w:r w:rsidR="002E23A2" w:rsidRPr="00622F6C">
        <w:rPr>
          <w:rFonts w:ascii="Times New Roman" w:hAnsi="Times New Roman" w:cs="Times New Roman"/>
          <w:lang w:val="en-US"/>
        </w:rPr>
        <w:t xml:space="preserve">that event is Tuesday August 27, 2013. We presented an initial list of event dates to the UK Parliament and the </w:t>
      </w:r>
      <w:bookmarkStart w:id="31" w:name="_Hlk5281395"/>
      <w:r w:rsidR="002E23A2" w:rsidRPr="00622F6C">
        <w:rPr>
          <w:rFonts w:ascii="Times New Roman" w:hAnsi="Times New Roman" w:cs="Times New Roman"/>
          <w:lang w:val="en-US"/>
        </w:rPr>
        <w:t xml:space="preserve">UK Home Office </w:t>
      </w:r>
      <w:bookmarkEnd w:id="31"/>
      <w:r w:rsidR="002E23A2" w:rsidRPr="00622F6C">
        <w:rPr>
          <w:rFonts w:ascii="Times New Roman" w:hAnsi="Times New Roman" w:cs="Times New Roman"/>
          <w:lang w:val="en-US"/>
        </w:rPr>
        <w:t xml:space="preserve">in the </w:t>
      </w:r>
      <w:r w:rsidR="004131F7">
        <w:rPr>
          <w:rFonts w:ascii="Times New Roman" w:hAnsi="Times New Roman" w:cs="Times New Roman"/>
          <w:lang w:val="en-US"/>
        </w:rPr>
        <w:t>a</w:t>
      </w:r>
      <w:r w:rsidR="004131F7" w:rsidRPr="00622F6C">
        <w:rPr>
          <w:rFonts w:ascii="Times New Roman" w:hAnsi="Times New Roman" w:cs="Times New Roman"/>
          <w:lang w:val="en-US"/>
        </w:rPr>
        <w:t xml:space="preserve">utumn </w:t>
      </w:r>
      <w:r w:rsidR="002E23A2" w:rsidRPr="00622F6C">
        <w:rPr>
          <w:rFonts w:ascii="Times New Roman" w:hAnsi="Times New Roman" w:cs="Times New Roman"/>
          <w:lang w:val="en-US"/>
        </w:rPr>
        <w:t>of 2015. With the help of their representatives, we further refined the list.</w:t>
      </w:r>
      <w:r w:rsidR="00A373B2" w:rsidRPr="00622F6C">
        <w:rPr>
          <w:rFonts w:ascii="Times New Roman" w:hAnsi="Times New Roman" w:cs="Times New Roman"/>
          <w:lang w:val="en-US"/>
        </w:rPr>
        <w:t xml:space="preserve"> </w:t>
      </w:r>
      <w:bookmarkStart w:id="32" w:name="_Hlk523989137"/>
      <w:r w:rsidRPr="00622F6C">
        <w:rPr>
          <w:rFonts w:ascii="Times New Roman" w:hAnsi="Times New Roman" w:cs="Times New Roman"/>
          <w:lang w:val="en-US"/>
        </w:rPr>
        <w:t>Table 1</w:t>
      </w:r>
      <w:r w:rsidR="00C545E8" w:rsidRPr="00622F6C">
        <w:rPr>
          <w:rFonts w:ascii="Times New Roman" w:hAnsi="Times New Roman" w:cs="Times New Roman"/>
          <w:lang w:val="en-US"/>
        </w:rPr>
        <w:t>, Panel A</w:t>
      </w:r>
      <w:r w:rsidRPr="00622F6C">
        <w:rPr>
          <w:rFonts w:ascii="Times New Roman" w:hAnsi="Times New Roman" w:cs="Times New Roman"/>
          <w:lang w:val="en-US"/>
        </w:rPr>
        <w:t xml:space="preserve"> </w:t>
      </w:r>
      <w:bookmarkEnd w:id="32"/>
      <w:r w:rsidRPr="00622F6C">
        <w:rPr>
          <w:rFonts w:ascii="Times New Roman" w:hAnsi="Times New Roman" w:cs="Times New Roman"/>
          <w:lang w:val="en-US"/>
        </w:rPr>
        <w:t xml:space="preserve">provides an overview of the eight relevant event dates resulting from this exercise. </w:t>
      </w:r>
      <w:r w:rsidR="002E23A2" w:rsidRPr="00622F6C">
        <w:rPr>
          <w:rFonts w:ascii="Times New Roman" w:hAnsi="Times New Roman" w:cs="Times New Roman"/>
          <w:lang w:val="en-US"/>
        </w:rPr>
        <w:t>We now describe each of the event dates in more detail.</w:t>
      </w:r>
    </w:p>
    <w:p w14:paraId="12E24D2E" w14:textId="77777777" w:rsidR="006E6FAF" w:rsidRPr="00622F6C" w:rsidRDefault="006E6FAF" w:rsidP="00B0231C">
      <w:pPr>
        <w:spacing w:after="0" w:line="480" w:lineRule="auto"/>
        <w:jc w:val="center"/>
        <w:rPr>
          <w:rFonts w:ascii="Times New Roman" w:hAnsi="Times New Roman" w:cs="Times New Roman"/>
          <w:lang w:val="en-US"/>
        </w:rPr>
      </w:pPr>
      <w:r w:rsidRPr="00622F6C">
        <w:rPr>
          <w:rFonts w:ascii="Times New Roman" w:hAnsi="Times New Roman" w:cs="Times New Roman"/>
          <w:lang w:val="en-US"/>
        </w:rPr>
        <w:t>&lt;&lt; Please insert Table 1 about here &gt;&gt;</w:t>
      </w:r>
    </w:p>
    <w:p w14:paraId="0EB7A5A5" w14:textId="79B2BFAD" w:rsidR="006E6FAF" w:rsidRPr="00622F6C" w:rsidRDefault="006E6FAF" w:rsidP="00B0231C">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On March 11, 2013 (</w:t>
      </w:r>
      <w:r w:rsidR="00EF13F0" w:rsidRPr="00622F6C">
        <w:rPr>
          <w:rFonts w:ascii="Times New Roman" w:hAnsi="Times New Roman" w:cs="Times New Roman"/>
          <w:lang w:val="en-US"/>
        </w:rPr>
        <w:t>e</w:t>
      </w:r>
      <w:r w:rsidRPr="00622F6C">
        <w:rPr>
          <w:rFonts w:ascii="Times New Roman" w:hAnsi="Times New Roman" w:cs="Times New Roman"/>
          <w:lang w:val="en-US"/>
        </w:rPr>
        <w:t xml:space="preserve">vent 1), the </w:t>
      </w:r>
      <w:bookmarkStart w:id="33" w:name="_Hlk523989161"/>
      <w:r w:rsidRPr="00622F6C">
        <w:rPr>
          <w:rFonts w:ascii="Times New Roman" w:hAnsi="Times New Roman" w:cs="Times New Roman"/>
          <w:lang w:val="en-US"/>
        </w:rPr>
        <w:t>Centre for Social Justice</w:t>
      </w:r>
      <w:r w:rsidR="009A400E" w:rsidRPr="00622F6C">
        <w:rPr>
          <w:rFonts w:ascii="Times New Roman" w:hAnsi="Times New Roman" w:cs="Times New Roman"/>
          <w:lang w:val="en-US"/>
        </w:rPr>
        <w:t xml:space="preserve"> (CSJ)</w:t>
      </w:r>
      <w:bookmarkEnd w:id="33"/>
      <w:r w:rsidR="009A400E" w:rsidRPr="00622F6C">
        <w:rPr>
          <w:rFonts w:ascii="Times New Roman" w:hAnsi="Times New Roman" w:cs="Times New Roman"/>
          <w:lang w:val="en-US"/>
        </w:rPr>
        <w:t xml:space="preserve">, </w:t>
      </w:r>
      <w:r w:rsidRPr="00622F6C">
        <w:rPr>
          <w:rFonts w:ascii="Times New Roman" w:hAnsi="Times New Roman" w:cs="Times New Roman"/>
          <w:lang w:val="en-US"/>
        </w:rPr>
        <w:t>an independent think tank, released a report titled ‘It Happens Here’ on its website</w:t>
      </w:r>
      <w:r w:rsidR="00D95715" w:rsidRPr="00622F6C">
        <w:rPr>
          <w:rFonts w:ascii="Times New Roman" w:hAnsi="Times New Roman" w:cs="Times New Roman"/>
          <w:lang w:val="en-US"/>
        </w:rPr>
        <w:t xml:space="preserve"> (CSJ, 2013)</w:t>
      </w:r>
      <w:r w:rsidRPr="00622F6C">
        <w:rPr>
          <w:rFonts w:ascii="Times New Roman" w:hAnsi="Times New Roman" w:cs="Times New Roman"/>
          <w:lang w:val="en-US"/>
        </w:rPr>
        <w:t>. The</w:t>
      </w:r>
      <w:r w:rsidR="009A400E" w:rsidRPr="00622F6C">
        <w:rPr>
          <w:rFonts w:ascii="Times New Roman" w:hAnsi="Times New Roman" w:cs="Times New Roman"/>
          <w:lang w:val="en-US"/>
        </w:rPr>
        <w:t xml:space="preserve"> CSJ’s</w:t>
      </w:r>
      <w:r w:rsidRPr="00622F6C">
        <w:rPr>
          <w:rFonts w:ascii="Times New Roman" w:hAnsi="Times New Roman" w:cs="Times New Roman"/>
          <w:lang w:val="en-US"/>
        </w:rPr>
        <w:t xml:space="preserve"> report </w:t>
      </w:r>
      <w:r w:rsidR="006262E5">
        <w:rPr>
          <w:rFonts w:ascii="Times New Roman" w:hAnsi="Times New Roman" w:cs="Times New Roman"/>
          <w:lang w:val="en-US"/>
        </w:rPr>
        <w:t xml:space="preserve">outlined proposed </w:t>
      </w:r>
      <w:r w:rsidRPr="00622F6C">
        <w:rPr>
          <w:rFonts w:ascii="Times New Roman" w:hAnsi="Times New Roman" w:cs="Times New Roman"/>
          <w:lang w:val="en-US"/>
        </w:rPr>
        <w:t xml:space="preserve">legislation tackling modern slavery, including supply chain disclosure requirements similar to </w:t>
      </w:r>
      <w:r w:rsidR="004131F7">
        <w:rPr>
          <w:rFonts w:ascii="Times New Roman" w:hAnsi="Times New Roman" w:cs="Times New Roman"/>
          <w:lang w:val="en-US"/>
        </w:rPr>
        <w:t xml:space="preserve">those in </w:t>
      </w:r>
      <w:r w:rsidRPr="00622F6C">
        <w:rPr>
          <w:rFonts w:ascii="Times New Roman" w:hAnsi="Times New Roman" w:cs="Times New Roman"/>
          <w:lang w:val="en-US"/>
        </w:rPr>
        <w:t>the TISC clause</w:t>
      </w:r>
      <w:r w:rsidR="000C399E">
        <w:rPr>
          <w:rFonts w:ascii="Times New Roman" w:hAnsi="Times New Roman" w:cs="Times New Roman"/>
          <w:lang w:val="en-US"/>
        </w:rPr>
        <w:t xml:space="preserve">, </w:t>
      </w:r>
      <w:r w:rsidR="006262E5">
        <w:rPr>
          <w:rFonts w:ascii="Times New Roman" w:hAnsi="Times New Roman" w:cs="Times New Roman"/>
          <w:lang w:val="en-US"/>
        </w:rPr>
        <w:t xml:space="preserve">and recommended for this </w:t>
      </w:r>
      <w:r w:rsidR="000C399E">
        <w:rPr>
          <w:rFonts w:ascii="Times New Roman" w:hAnsi="Times New Roman" w:cs="Times New Roman"/>
          <w:lang w:val="en-US"/>
        </w:rPr>
        <w:t>to be enacted</w:t>
      </w:r>
      <w:r w:rsidRPr="00622F6C">
        <w:rPr>
          <w:rFonts w:ascii="Times New Roman" w:hAnsi="Times New Roman" w:cs="Times New Roman"/>
          <w:lang w:val="en-US"/>
        </w:rPr>
        <w:t xml:space="preserve">. </w:t>
      </w:r>
      <w:r w:rsidR="00EB32AF">
        <w:rPr>
          <w:rFonts w:ascii="Times New Roman" w:hAnsi="Times New Roman" w:cs="Times New Roman"/>
          <w:lang w:val="en-US"/>
        </w:rPr>
        <w:t>While a wide range of organi</w:t>
      </w:r>
      <w:r w:rsidR="00245CAE">
        <w:rPr>
          <w:rFonts w:ascii="Times New Roman" w:hAnsi="Times New Roman" w:cs="Times New Roman"/>
          <w:lang w:val="en-US"/>
        </w:rPr>
        <w:t>z</w:t>
      </w:r>
      <w:r w:rsidR="00EB32AF">
        <w:rPr>
          <w:rFonts w:ascii="Times New Roman" w:hAnsi="Times New Roman" w:cs="Times New Roman"/>
          <w:lang w:val="en-US"/>
        </w:rPr>
        <w:t xml:space="preserve">ations </w:t>
      </w:r>
      <w:r w:rsidR="00742E91">
        <w:rPr>
          <w:rFonts w:ascii="Times New Roman" w:hAnsi="Times New Roman" w:cs="Times New Roman"/>
          <w:lang w:val="en-US"/>
        </w:rPr>
        <w:t xml:space="preserve">and individuals </w:t>
      </w:r>
      <w:r w:rsidR="00EB32AF">
        <w:rPr>
          <w:rFonts w:ascii="Times New Roman" w:hAnsi="Times New Roman" w:cs="Times New Roman"/>
          <w:lang w:val="en-US"/>
        </w:rPr>
        <w:t xml:space="preserve">called for </w:t>
      </w:r>
      <w:r w:rsidR="00742E91">
        <w:rPr>
          <w:rFonts w:ascii="Times New Roman" w:hAnsi="Times New Roman" w:cs="Times New Roman"/>
          <w:lang w:val="en-US"/>
        </w:rPr>
        <w:t xml:space="preserve">supply chain </w:t>
      </w:r>
      <w:r w:rsidR="00EB32AF">
        <w:rPr>
          <w:rFonts w:ascii="Times New Roman" w:hAnsi="Times New Roman" w:cs="Times New Roman"/>
          <w:lang w:val="en-US"/>
        </w:rPr>
        <w:t xml:space="preserve">transparency legislation, this report in particular </w:t>
      </w:r>
      <w:r w:rsidR="00EA3540" w:rsidRPr="00622F6C">
        <w:rPr>
          <w:rFonts w:ascii="Times New Roman" w:hAnsi="Times New Roman" w:cs="Times New Roman"/>
          <w:lang w:val="en-US"/>
        </w:rPr>
        <w:t xml:space="preserve">is regarded </w:t>
      </w:r>
      <w:r w:rsidRPr="00622F6C">
        <w:rPr>
          <w:rFonts w:ascii="Times New Roman" w:hAnsi="Times New Roman" w:cs="Times New Roman"/>
          <w:lang w:val="en-US"/>
        </w:rPr>
        <w:t xml:space="preserve">as </w:t>
      </w:r>
      <w:r w:rsidR="004131F7">
        <w:rPr>
          <w:rFonts w:ascii="Times New Roman" w:hAnsi="Times New Roman" w:cs="Times New Roman"/>
          <w:lang w:val="en-US"/>
        </w:rPr>
        <w:lastRenderedPageBreak/>
        <w:t xml:space="preserve">having been </w:t>
      </w:r>
      <w:r w:rsidR="004F7CB9">
        <w:rPr>
          <w:rFonts w:ascii="Times New Roman" w:hAnsi="Times New Roman" w:cs="Times New Roman"/>
          <w:lang w:val="en-US"/>
        </w:rPr>
        <w:t>a major</w:t>
      </w:r>
      <w:r w:rsidRPr="00622F6C">
        <w:rPr>
          <w:rFonts w:ascii="Times New Roman" w:hAnsi="Times New Roman" w:cs="Times New Roman"/>
          <w:lang w:val="en-US"/>
        </w:rPr>
        <w:t xml:space="preserve"> catalyst for the MSA and its TISC clause</w:t>
      </w:r>
      <w:r w:rsidR="004F7CB9">
        <w:rPr>
          <w:rFonts w:ascii="Times New Roman" w:hAnsi="Times New Roman" w:cs="Times New Roman"/>
          <w:lang w:val="en-US"/>
        </w:rPr>
        <w:t xml:space="preserve">, and therefore chosen as the first relevant MSA adoption event </w:t>
      </w:r>
      <w:r w:rsidR="00EA3540" w:rsidRPr="00622F6C">
        <w:rPr>
          <w:rFonts w:ascii="Times New Roman" w:hAnsi="Times New Roman" w:cs="Times New Roman"/>
          <w:lang w:val="en-US"/>
        </w:rPr>
        <w:t>(</w:t>
      </w:r>
      <w:r w:rsidR="00AF48EA" w:rsidRPr="00622F6C">
        <w:rPr>
          <w:rFonts w:ascii="Times New Roman" w:hAnsi="Times New Roman" w:cs="Times New Roman"/>
          <w:lang w:val="en-US"/>
        </w:rPr>
        <w:t>Wallis, 2015)</w:t>
      </w:r>
      <w:r w:rsidRPr="00622F6C">
        <w:rPr>
          <w:rFonts w:ascii="Times New Roman" w:hAnsi="Times New Roman" w:cs="Times New Roman"/>
          <w:lang w:val="en-US"/>
        </w:rPr>
        <w:t xml:space="preserve">. Event 2, on August 27, 2013, consists of Theresa May’s announcement that there </w:t>
      </w:r>
      <w:r w:rsidR="004131F7" w:rsidRPr="00622F6C">
        <w:rPr>
          <w:rFonts w:ascii="Times New Roman" w:hAnsi="Times New Roman" w:cs="Times New Roman"/>
          <w:lang w:val="en-US"/>
        </w:rPr>
        <w:t>w</w:t>
      </w:r>
      <w:r w:rsidR="004131F7">
        <w:rPr>
          <w:rFonts w:ascii="Times New Roman" w:hAnsi="Times New Roman" w:cs="Times New Roman"/>
          <w:lang w:val="en-US"/>
        </w:rPr>
        <w:t>ould</w:t>
      </w:r>
      <w:r w:rsidR="004131F7" w:rsidRPr="00622F6C">
        <w:rPr>
          <w:rFonts w:ascii="Times New Roman" w:hAnsi="Times New Roman" w:cs="Times New Roman"/>
          <w:lang w:val="en-US"/>
        </w:rPr>
        <w:t xml:space="preserve"> </w:t>
      </w:r>
      <w:r w:rsidRPr="00622F6C">
        <w:rPr>
          <w:rFonts w:ascii="Times New Roman" w:hAnsi="Times New Roman" w:cs="Times New Roman"/>
          <w:lang w:val="en-US"/>
        </w:rPr>
        <w:t>be a Modern Slavery Bill</w:t>
      </w:r>
      <w:r w:rsidR="00292836" w:rsidRPr="00622F6C">
        <w:rPr>
          <w:rFonts w:ascii="Times New Roman" w:hAnsi="Times New Roman" w:cs="Times New Roman"/>
          <w:lang w:val="en-US"/>
        </w:rPr>
        <w:t xml:space="preserve"> (Leppard, 2013)</w:t>
      </w:r>
      <w:r w:rsidRPr="00622F6C">
        <w:rPr>
          <w:rFonts w:ascii="Times New Roman" w:hAnsi="Times New Roman" w:cs="Times New Roman"/>
          <w:lang w:val="en-US"/>
        </w:rPr>
        <w:t>.</w:t>
      </w:r>
      <w:r w:rsidRPr="00622F6C">
        <w:rPr>
          <w:rFonts w:ascii="Times New Roman" w:hAnsi="Times New Roman" w:cs="Times New Roman"/>
          <w:vertAlign w:val="superscript"/>
          <w:lang w:val="en-US"/>
        </w:rPr>
        <w:footnoteReference w:id="5"/>
      </w:r>
      <w:r w:rsidRPr="00622F6C">
        <w:rPr>
          <w:rFonts w:ascii="Times New Roman" w:hAnsi="Times New Roman" w:cs="Times New Roman"/>
          <w:lang w:val="en-US"/>
        </w:rPr>
        <w:t xml:space="preserve"> In the same newspaper article, she mentioned the main disclosure requirements of the TISC clause, but did not explicitly name the clause. On October 11, 2013 (</w:t>
      </w:r>
      <w:r w:rsidR="00EF13F0" w:rsidRPr="00622F6C">
        <w:rPr>
          <w:rFonts w:ascii="Times New Roman" w:hAnsi="Times New Roman" w:cs="Times New Roman"/>
          <w:lang w:val="en-US"/>
        </w:rPr>
        <w:t>e</w:t>
      </w:r>
      <w:r w:rsidRPr="00622F6C">
        <w:rPr>
          <w:rFonts w:ascii="Times New Roman" w:hAnsi="Times New Roman" w:cs="Times New Roman"/>
          <w:lang w:val="en-US"/>
        </w:rPr>
        <w:t xml:space="preserve">vent 3), </w:t>
      </w:r>
      <w:r w:rsidRPr="00622F6C">
        <w:rPr>
          <w:rFonts w:ascii="Times New Roman" w:eastAsia="Times New Roman" w:hAnsi="Times New Roman" w:cs="Times New Roman"/>
          <w:bCs/>
          <w:bdr w:val="none" w:sz="0" w:space="0" w:color="auto" w:frame="1"/>
          <w:lang w:val="en-US" w:eastAsia="en-GB"/>
        </w:rPr>
        <w:t>Theresa May</w:t>
      </w:r>
      <w:r w:rsidRPr="00622F6C">
        <w:rPr>
          <w:rFonts w:ascii="Times New Roman" w:eastAsia="Times New Roman" w:hAnsi="Times New Roman" w:cs="Times New Roman"/>
          <w:lang w:val="en-US" w:eastAsia="en-GB"/>
        </w:rPr>
        <w:t xml:space="preserve"> asked Labour MP Frank Field to chair an evidence review in preparation for the introduction of a new Modern Slavery Bill</w:t>
      </w:r>
      <w:r w:rsidR="00FA5CC8" w:rsidRPr="00622F6C">
        <w:rPr>
          <w:rFonts w:ascii="Times New Roman" w:eastAsia="Times New Roman" w:hAnsi="Times New Roman" w:cs="Times New Roman"/>
          <w:lang w:val="en-US" w:eastAsia="en-GB"/>
        </w:rPr>
        <w:t xml:space="preserve"> (Grierson, 2013)</w:t>
      </w:r>
      <w:r w:rsidRPr="00622F6C">
        <w:rPr>
          <w:rFonts w:ascii="Times New Roman" w:eastAsia="Times New Roman" w:hAnsi="Times New Roman" w:cs="Times New Roman"/>
          <w:lang w:val="en-US" w:eastAsia="en-GB"/>
        </w:rPr>
        <w:t xml:space="preserve">. Experts from the UK </w:t>
      </w:r>
      <w:r w:rsidR="00A373B2" w:rsidRPr="00622F6C">
        <w:rPr>
          <w:rFonts w:ascii="Times New Roman" w:eastAsia="Times New Roman" w:hAnsi="Times New Roman" w:cs="Times New Roman"/>
          <w:lang w:val="en-US" w:eastAsia="en-GB"/>
        </w:rPr>
        <w:t xml:space="preserve">and the international community </w:t>
      </w:r>
      <w:r w:rsidRPr="00622F6C">
        <w:rPr>
          <w:rFonts w:ascii="Times New Roman" w:eastAsia="Times New Roman" w:hAnsi="Times New Roman" w:cs="Times New Roman"/>
          <w:lang w:val="en-US" w:eastAsia="en-GB"/>
        </w:rPr>
        <w:t>were invited to outline what they thought should be included in the legislation. On December 16, 2013 (</w:t>
      </w:r>
      <w:r w:rsidR="00EF13F0" w:rsidRPr="00622F6C">
        <w:rPr>
          <w:rFonts w:ascii="Times New Roman" w:eastAsia="Times New Roman" w:hAnsi="Times New Roman" w:cs="Times New Roman"/>
          <w:lang w:val="en-US" w:eastAsia="en-GB"/>
        </w:rPr>
        <w:t>e</w:t>
      </w:r>
      <w:r w:rsidRPr="00622F6C">
        <w:rPr>
          <w:rFonts w:ascii="Times New Roman" w:eastAsia="Times New Roman" w:hAnsi="Times New Roman" w:cs="Times New Roman"/>
          <w:lang w:val="en-US" w:eastAsia="en-GB"/>
        </w:rPr>
        <w:t>vent 4), a d</w:t>
      </w:r>
      <w:r w:rsidRPr="00622F6C">
        <w:rPr>
          <w:rFonts w:ascii="Times New Roman" w:hAnsi="Times New Roman" w:cs="Times New Roman"/>
          <w:lang w:val="en-US"/>
        </w:rPr>
        <w:t>raft Modern Slavery Bill was published and submitted for pre-legislative scrutiny</w:t>
      </w:r>
      <w:r w:rsidR="005943A1" w:rsidRPr="00622F6C">
        <w:rPr>
          <w:rFonts w:ascii="Times New Roman" w:hAnsi="Times New Roman" w:cs="Times New Roman"/>
          <w:lang w:val="en-US"/>
        </w:rPr>
        <w:t xml:space="preserve"> (Morris, 2013)</w:t>
      </w:r>
      <w:r w:rsidRPr="00622F6C">
        <w:rPr>
          <w:rFonts w:ascii="Times New Roman" w:hAnsi="Times New Roman" w:cs="Times New Roman"/>
          <w:lang w:val="en-US"/>
        </w:rPr>
        <w:t xml:space="preserve">. The draft </w:t>
      </w:r>
      <w:r w:rsidR="00BA2BCD">
        <w:rPr>
          <w:rFonts w:ascii="Times New Roman" w:hAnsi="Times New Roman" w:cs="Times New Roman"/>
          <w:lang w:val="en-US"/>
        </w:rPr>
        <w:t>B</w:t>
      </w:r>
      <w:r w:rsidR="00BF2819" w:rsidRPr="00622F6C">
        <w:rPr>
          <w:rFonts w:ascii="Times New Roman" w:hAnsi="Times New Roman" w:cs="Times New Roman"/>
          <w:lang w:val="en-US"/>
        </w:rPr>
        <w:t xml:space="preserve">ill </w:t>
      </w:r>
      <w:r w:rsidRPr="00622F6C">
        <w:rPr>
          <w:rFonts w:ascii="Times New Roman" w:hAnsi="Times New Roman" w:cs="Times New Roman"/>
          <w:lang w:val="en-US"/>
        </w:rPr>
        <w:t xml:space="preserve">recommended that the </w:t>
      </w:r>
      <w:r w:rsidR="00E025EC" w:rsidRPr="00622F6C">
        <w:rPr>
          <w:rFonts w:ascii="Times New Roman" w:hAnsi="Times New Roman" w:cs="Times New Roman"/>
          <w:lang w:val="en-US"/>
        </w:rPr>
        <w:t xml:space="preserve">UK </w:t>
      </w:r>
      <w:r w:rsidRPr="00622F6C">
        <w:rPr>
          <w:rFonts w:ascii="Times New Roman" w:hAnsi="Times New Roman" w:cs="Times New Roman"/>
          <w:lang w:val="en-US"/>
        </w:rPr>
        <w:t xml:space="preserve">Government adopt legislation regarding the disclosure of modern slavery issues, </w:t>
      </w:r>
      <w:r w:rsidR="004F659C">
        <w:rPr>
          <w:rFonts w:ascii="Times New Roman" w:hAnsi="Times New Roman" w:cs="Times New Roman"/>
          <w:lang w:val="en-US"/>
        </w:rPr>
        <w:t>to</w:t>
      </w:r>
      <w:r w:rsidRPr="00622F6C">
        <w:rPr>
          <w:rFonts w:ascii="Times New Roman" w:hAnsi="Times New Roman" w:cs="Times New Roman"/>
          <w:lang w:val="en-US"/>
        </w:rPr>
        <w:t xml:space="preserve"> apply to all companies over a certain size do</w:t>
      </w:r>
      <w:r w:rsidR="00BF2819">
        <w:rPr>
          <w:rFonts w:ascii="Times New Roman" w:hAnsi="Times New Roman" w:cs="Times New Roman"/>
          <w:lang w:val="en-US"/>
        </w:rPr>
        <w:t>ing</w:t>
      </w:r>
      <w:r w:rsidRPr="00622F6C">
        <w:rPr>
          <w:rFonts w:ascii="Times New Roman" w:hAnsi="Times New Roman" w:cs="Times New Roman"/>
          <w:lang w:val="en-US"/>
        </w:rPr>
        <w:t xml:space="preserve"> business in the UK and </w:t>
      </w:r>
      <w:r w:rsidR="004F659C">
        <w:rPr>
          <w:rFonts w:ascii="Times New Roman" w:hAnsi="Times New Roman" w:cs="Times New Roman"/>
          <w:lang w:val="en-US"/>
        </w:rPr>
        <w:t>to</w:t>
      </w:r>
      <w:r w:rsidR="00BF2819">
        <w:rPr>
          <w:rFonts w:ascii="Times New Roman" w:hAnsi="Times New Roman" w:cs="Times New Roman"/>
          <w:lang w:val="en-US"/>
        </w:rPr>
        <w:t xml:space="preserve"> </w:t>
      </w:r>
      <w:r w:rsidR="00A338B1">
        <w:rPr>
          <w:rFonts w:ascii="Times New Roman" w:hAnsi="Times New Roman" w:cs="Times New Roman"/>
          <w:lang w:val="en-US"/>
        </w:rPr>
        <w:t>build and improve on</w:t>
      </w:r>
      <w:r w:rsidR="002114BE" w:rsidRPr="00622F6C">
        <w:rPr>
          <w:rFonts w:ascii="Times New Roman" w:hAnsi="Times New Roman" w:cs="Times New Roman"/>
          <w:lang w:val="en-US"/>
        </w:rPr>
        <w:t xml:space="preserve"> Californian modern slavery disclosure regulation</w:t>
      </w:r>
      <w:r w:rsidRPr="00622F6C">
        <w:rPr>
          <w:rFonts w:ascii="Times New Roman" w:hAnsi="Times New Roman" w:cs="Times New Roman"/>
          <w:lang w:val="en-US"/>
        </w:rPr>
        <w:t>. Events 1 to 4 have the common characteristic of being associated with an increase</w:t>
      </w:r>
      <w:r w:rsidR="004F659C">
        <w:rPr>
          <w:rFonts w:ascii="Times New Roman" w:hAnsi="Times New Roman" w:cs="Times New Roman"/>
          <w:lang w:val="en-US"/>
        </w:rPr>
        <w:t>d</w:t>
      </w:r>
      <w:r w:rsidRPr="00622F6C">
        <w:rPr>
          <w:rFonts w:ascii="Times New Roman" w:hAnsi="Times New Roman" w:cs="Times New Roman"/>
          <w:lang w:val="en-US"/>
        </w:rPr>
        <w:t xml:space="preserve"> likelihood of the adoption of the </w:t>
      </w:r>
      <w:r w:rsidR="00EF13F0" w:rsidRPr="00622F6C">
        <w:rPr>
          <w:rFonts w:ascii="Times New Roman" w:hAnsi="Times New Roman" w:cs="Times New Roman"/>
          <w:lang w:val="en-US"/>
        </w:rPr>
        <w:t>MSA and its TISC clause</w:t>
      </w:r>
      <w:r w:rsidRPr="00622F6C">
        <w:rPr>
          <w:rFonts w:ascii="Times New Roman" w:hAnsi="Times New Roman" w:cs="Times New Roman"/>
          <w:lang w:val="en-US"/>
        </w:rPr>
        <w:t>. In contrast, on April 8, 2014 (</w:t>
      </w:r>
      <w:r w:rsidR="00EF13F0" w:rsidRPr="00622F6C">
        <w:rPr>
          <w:rFonts w:ascii="Times New Roman" w:hAnsi="Times New Roman" w:cs="Times New Roman"/>
          <w:lang w:val="en-US"/>
        </w:rPr>
        <w:t>e</w:t>
      </w:r>
      <w:r w:rsidRPr="00622F6C">
        <w:rPr>
          <w:rFonts w:ascii="Times New Roman" w:hAnsi="Times New Roman" w:cs="Times New Roman"/>
          <w:lang w:val="en-US"/>
        </w:rPr>
        <w:t xml:space="preserve">vent 5), an event </w:t>
      </w:r>
      <w:r w:rsidR="00ED00DF" w:rsidRPr="00622F6C">
        <w:rPr>
          <w:rFonts w:ascii="Times New Roman" w:hAnsi="Times New Roman" w:cs="Times New Roman"/>
          <w:lang w:val="en-US"/>
        </w:rPr>
        <w:t xml:space="preserve">occurred that </w:t>
      </w:r>
      <w:r w:rsidRPr="00622F6C">
        <w:rPr>
          <w:rFonts w:ascii="Times New Roman" w:hAnsi="Times New Roman" w:cs="Times New Roman"/>
          <w:lang w:val="en-US"/>
        </w:rPr>
        <w:t xml:space="preserve">might have reduced the perceived likelihood of </w:t>
      </w:r>
      <w:r w:rsidR="004159F8" w:rsidRPr="00622F6C">
        <w:rPr>
          <w:rFonts w:ascii="Times New Roman" w:hAnsi="Times New Roman" w:cs="Times New Roman"/>
          <w:lang w:val="en-US"/>
        </w:rPr>
        <w:t>the TISC clause</w:t>
      </w:r>
      <w:r w:rsidR="00BF2819">
        <w:rPr>
          <w:rFonts w:ascii="Times New Roman" w:hAnsi="Times New Roman" w:cs="Times New Roman"/>
          <w:lang w:val="en-US"/>
        </w:rPr>
        <w:t>’s</w:t>
      </w:r>
      <w:r w:rsidRPr="00622F6C">
        <w:rPr>
          <w:rFonts w:ascii="Times New Roman" w:hAnsi="Times New Roman" w:cs="Times New Roman"/>
          <w:lang w:val="en-US"/>
        </w:rPr>
        <w:t xml:space="preserve"> adoption. On that day, the </w:t>
      </w:r>
      <w:bookmarkStart w:id="34" w:name="_Hlk5282682"/>
      <w:r w:rsidRPr="00622F6C">
        <w:rPr>
          <w:rFonts w:ascii="Times New Roman" w:hAnsi="Times New Roman" w:cs="Times New Roman"/>
          <w:lang w:val="en-US"/>
        </w:rPr>
        <w:t xml:space="preserve">pre-legislative </w:t>
      </w:r>
      <w:bookmarkEnd w:id="34"/>
      <w:r w:rsidRPr="00622F6C">
        <w:rPr>
          <w:rFonts w:ascii="Times New Roman" w:hAnsi="Times New Roman" w:cs="Times New Roman"/>
          <w:lang w:val="en-US"/>
        </w:rPr>
        <w:t xml:space="preserve">scrutiny committee published a report on the draft </w:t>
      </w:r>
      <w:r w:rsidR="009D36C4">
        <w:rPr>
          <w:rFonts w:ascii="Times New Roman" w:hAnsi="Times New Roman" w:cs="Times New Roman"/>
          <w:lang w:val="en-US"/>
        </w:rPr>
        <w:t>B</w:t>
      </w:r>
      <w:r w:rsidR="00BF2819" w:rsidRPr="00622F6C">
        <w:rPr>
          <w:rFonts w:ascii="Times New Roman" w:hAnsi="Times New Roman" w:cs="Times New Roman"/>
          <w:lang w:val="en-US"/>
        </w:rPr>
        <w:t xml:space="preserve">ill </w:t>
      </w:r>
      <w:r w:rsidR="006C6B2B" w:rsidRPr="00622F6C">
        <w:rPr>
          <w:rFonts w:ascii="Times New Roman" w:hAnsi="Times New Roman" w:cs="Times New Roman"/>
          <w:lang w:val="en-US"/>
        </w:rPr>
        <w:t>(</w:t>
      </w:r>
      <w:r w:rsidR="00867F0C" w:rsidRPr="00622F6C">
        <w:rPr>
          <w:rFonts w:ascii="Times New Roman" w:hAnsi="Times New Roman" w:cs="Times New Roman"/>
          <w:lang w:val="en-US"/>
        </w:rPr>
        <w:t>UK</w:t>
      </w:r>
      <w:r w:rsidR="006C6B2B" w:rsidRPr="00622F6C">
        <w:rPr>
          <w:rFonts w:ascii="Times New Roman" w:hAnsi="Times New Roman" w:cs="Times New Roman"/>
          <w:lang w:val="en-US"/>
        </w:rPr>
        <w:t xml:space="preserve"> Parliament, 2014</w:t>
      </w:r>
      <w:r w:rsidR="00EE478C" w:rsidRPr="00622F6C">
        <w:rPr>
          <w:rFonts w:ascii="Times New Roman" w:hAnsi="Times New Roman" w:cs="Times New Roman"/>
          <w:lang w:val="en-US"/>
        </w:rPr>
        <w:t>a</w:t>
      </w:r>
      <w:r w:rsidR="006C6B2B" w:rsidRPr="00622F6C">
        <w:rPr>
          <w:rFonts w:ascii="Times New Roman" w:hAnsi="Times New Roman" w:cs="Times New Roman"/>
          <w:lang w:val="en-US"/>
        </w:rPr>
        <w:t>)</w:t>
      </w:r>
      <w:r w:rsidRPr="00622F6C">
        <w:rPr>
          <w:rFonts w:ascii="Times New Roman" w:hAnsi="Times New Roman" w:cs="Times New Roman"/>
          <w:lang w:val="en-US"/>
        </w:rPr>
        <w:t xml:space="preserve">. While the committee </w:t>
      </w:r>
      <w:r w:rsidR="009A400E" w:rsidRPr="00622F6C">
        <w:rPr>
          <w:rFonts w:ascii="Times New Roman" w:hAnsi="Times New Roman" w:cs="Times New Roman"/>
          <w:lang w:val="en-US"/>
        </w:rPr>
        <w:t xml:space="preserve">members </w:t>
      </w:r>
      <w:r w:rsidRPr="00622F6C">
        <w:rPr>
          <w:rFonts w:ascii="Times New Roman" w:hAnsi="Times New Roman" w:cs="Times New Roman"/>
          <w:lang w:val="en-US"/>
        </w:rPr>
        <w:t xml:space="preserve">agreed with the principle of </w:t>
      </w:r>
      <w:r w:rsidR="004F659C">
        <w:rPr>
          <w:rFonts w:ascii="Times New Roman" w:hAnsi="Times New Roman" w:cs="Times New Roman"/>
          <w:lang w:val="en-US"/>
        </w:rPr>
        <w:t>requiring</w:t>
      </w:r>
      <w:r w:rsidR="004F659C" w:rsidRPr="00622F6C">
        <w:rPr>
          <w:rFonts w:ascii="Times New Roman" w:hAnsi="Times New Roman" w:cs="Times New Roman"/>
          <w:lang w:val="en-US"/>
        </w:rPr>
        <w:t xml:space="preserve"> </w:t>
      </w:r>
      <w:r w:rsidRPr="00622F6C">
        <w:rPr>
          <w:rFonts w:ascii="Times New Roman" w:hAnsi="Times New Roman" w:cs="Times New Roman"/>
          <w:lang w:val="en-US"/>
        </w:rPr>
        <w:t xml:space="preserve">companies to provide a supply chain transparency statement, they suggested </w:t>
      </w:r>
      <w:r w:rsidR="00BF2819">
        <w:rPr>
          <w:rFonts w:ascii="Times New Roman" w:hAnsi="Times New Roman" w:cs="Times New Roman"/>
          <w:lang w:val="en-US"/>
        </w:rPr>
        <w:t>it</w:t>
      </w:r>
      <w:r w:rsidRPr="00622F6C">
        <w:rPr>
          <w:rFonts w:ascii="Times New Roman" w:hAnsi="Times New Roman" w:cs="Times New Roman"/>
          <w:lang w:val="en-US"/>
        </w:rPr>
        <w:t xml:space="preserve"> could be included as part of the strategic information in companies’ annual reports, rather than as a separate item. </w:t>
      </w:r>
      <w:r w:rsidR="00EA3540" w:rsidRPr="00622F6C">
        <w:rPr>
          <w:rFonts w:ascii="Times New Roman" w:hAnsi="Times New Roman" w:cs="Times New Roman"/>
          <w:lang w:val="en-US"/>
        </w:rPr>
        <w:t>T</w:t>
      </w:r>
      <w:r w:rsidRPr="00622F6C">
        <w:rPr>
          <w:rFonts w:ascii="Times New Roman" w:hAnsi="Times New Roman" w:cs="Times New Roman"/>
          <w:lang w:val="en-US"/>
        </w:rPr>
        <w:t>his recommendation went against one of the key elements of the TISC</w:t>
      </w:r>
      <w:r w:rsidR="004F659C">
        <w:rPr>
          <w:rFonts w:ascii="Times New Roman" w:hAnsi="Times New Roman" w:cs="Times New Roman"/>
          <w:lang w:val="en-US"/>
        </w:rPr>
        <w:t xml:space="preserve"> clause</w:t>
      </w:r>
      <w:r w:rsidRPr="00622F6C">
        <w:rPr>
          <w:rFonts w:ascii="Times New Roman" w:hAnsi="Times New Roman" w:cs="Times New Roman"/>
          <w:lang w:val="en-US"/>
        </w:rPr>
        <w:t xml:space="preserve">, that the supply chain transparency statement should feature </w:t>
      </w:r>
      <w:r w:rsidRPr="00622F6C">
        <w:rPr>
          <w:rFonts w:ascii="Times New Roman" w:hAnsi="Times New Roman" w:cs="Times New Roman"/>
          <w:i/>
          <w:lang w:val="en-US"/>
        </w:rPr>
        <w:t>prominently</w:t>
      </w:r>
      <w:r w:rsidRPr="00622F6C">
        <w:rPr>
          <w:rFonts w:ascii="Times New Roman" w:hAnsi="Times New Roman" w:cs="Times New Roman"/>
          <w:lang w:val="en-US"/>
        </w:rPr>
        <w:t xml:space="preserve"> and </w:t>
      </w:r>
      <w:r w:rsidRPr="00622F6C">
        <w:rPr>
          <w:rFonts w:ascii="Times New Roman" w:hAnsi="Times New Roman" w:cs="Times New Roman"/>
          <w:i/>
          <w:lang w:val="en-US"/>
        </w:rPr>
        <w:t>as an independent item</w:t>
      </w:r>
      <w:r w:rsidRPr="00622F6C">
        <w:rPr>
          <w:rFonts w:ascii="Times New Roman" w:hAnsi="Times New Roman" w:cs="Times New Roman"/>
          <w:lang w:val="en-US"/>
        </w:rPr>
        <w:t xml:space="preserve"> in corporate annual reports and on corporate websites. Moreover, the committee recommended against making individual company directors responsible for the annual supply chain transparency statement, arguing “</w:t>
      </w:r>
      <w:r w:rsidRPr="00622F6C">
        <w:rPr>
          <w:rFonts w:ascii="Times New Roman" w:hAnsi="Times New Roman" w:cs="Times New Roman"/>
          <w:i/>
          <w:shd w:val="clear" w:color="auto" w:fill="FFFFFF"/>
          <w:lang w:val="en-US"/>
        </w:rPr>
        <w:t>At this stage, legislating to specify companies' internal accountability arrangements for modern slavery eradication is not justified.”</w:t>
      </w:r>
      <w:r w:rsidRPr="00622F6C">
        <w:rPr>
          <w:rFonts w:ascii="Times New Roman" w:hAnsi="Times New Roman" w:cs="Times New Roman"/>
          <w:lang w:val="en-US"/>
        </w:rPr>
        <w:t xml:space="preserve"> We therefore consider this an event that </w:t>
      </w:r>
      <w:r w:rsidR="004F659C">
        <w:rPr>
          <w:rFonts w:ascii="Times New Roman" w:hAnsi="Times New Roman" w:cs="Times New Roman"/>
          <w:lang w:val="en-US"/>
        </w:rPr>
        <w:t xml:space="preserve">would have </w:t>
      </w:r>
      <w:r w:rsidRPr="00622F6C">
        <w:rPr>
          <w:rFonts w:ascii="Times New Roman" w:hAnsi="Times New Roman" w:cs="Times New Roman"/>
          <w:lang w:val="en-US"/>
        </w:rPr>
        <w:t xml:space="preserve">decreased the likelihood of </w:t>
      </w:r>
      <w:r w:rsidR="00432695" w:rsidRPr="00622F6C">
        <w:rPr>
          <w:rFonts w:ascii="Times New Roman" w:hAnsi="Times New Roman" w:cs="Times New Roman"/>
          <w:lang w:val="en-US"/>
        </w:rPr>
        <w:t>full</w:t>
      </w:r>
      <w:r w:rsidRPr="00622F6C">
        <w:rPr>
          <w:rFonts w:ascii="Times New Roman" w:hAnsi="Times New Roman" w:cs="Times New Roman"/>
          <w:lang w:val="en-US"/>
        </w:rPr>
        <w:t xml:space="preserve"> adoption of </w:t>
      </w:r>
      <w:r w:rsidR="004F659C">
        <w:rPr>
          <w:rFonts w:ascii="Times New Roman" w:hAnsi="Times New Roman" w:cs="Times New Roman"/>
          <w:lang w:val="en-US"/>
        </w:rPr>
        <w:t>the</w:t>
      </w:r>
      <w:r w:rsidR="004F659C" w:rsidRPr="00622F6C">
        <w:rPr>
          <w:rFonts w:ascii="Times New Roman" w:hAnsi="Times New Roman" w:cs="Times New Roman"/>
          <w:lang w:val="en-US"/>
        </w:rPr>
        <w:t xml:space="preserve"> </w:t>
      </w:r>
      <w:r w:rsidRPr="00622F6C">
        <w:rPr>
          <w:rFonts w:ascii="Times New Roman" w:hAnsi="Times New Roman" w:cs="Times New Roman"/>
          <w:lang w:val="en-US"/>
        </w:rPr>
        <w:t xml:space="preserve">TISC clause in the eyes of investors. </w:t>
      </w:r>
    </w:p>
    <w:p w14:paraId="365A6CCE" w14:textId="77777777" w:rsidR="006E6FAF" w:rsidRPr="00622F6C" w:rsidRDefault="006E6FAF" w:rsidP="006E6FAF">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lastRenderedPageBreak/>
        <w:t xml:space="preserve">After this apparent </w:t>
      </w:r>
      <w:bookmarkStart w:id="35" w:name="_Hlk5282950"/>
      <w:r w:rsidRPr="00622F6C">
        <w:rPr>
          <w:rFonts w:ascii="Times New Roman" w:hAnsi="Times New Roman" w:cs="Times New Roman"/>
          <w:lang w:val="en-US"/>
        </w:rPr>
        <w:t>setback</w:t>
      </w:r>
      <w:bookmarkEnd w:id="35"/>
      <w:r w:rsidRPr="00622F6C">
        <w:rPr>
          <w:rFonts w:ascii="Times New Roman" w:hAnsi="Times New Roman" w:cs="Times New Roman"/>
          <w:lang w:val="en-US"/>
        </w:rPr>
        <w:t>, the final three events again increased the likelihood of full adoption of the MSA and its TISC clause. On June 10, 2014 (</w:t>
      </w:r>
      <w:r w:rsidR="00452039" w:rsidRPr="00622F6C">
        <w:rPr>
          <w:rFonts w:ascii="Times New Roman" w:hAnsi="Times New Roman" w:cs="Times New Roman"/>
          <w:lang w:val="en-US"/>
        </w:rPr>
        <w:t>e</w:t>
      </w:r>
      <w:r w:rsidRPr="00622F6C">
        <w:rPr>
          <w:rFonts w:ascii="Times New Roman" w:hAnsi="Times New Roman" w:cs="Times New Roman"/>
          <w:lang w:val="en-US"/>
        </w:rPr>
        <w:t xml:space="preserve">vent 6), the </w:t>
      </w:r>
      <w:r w:rsidR="00E025EC" w:rsidRPr="00622F6C">
        <w:rPr>
          <w:rFonts w:ascii="Times New Roman" w:hAnsi="Times New Roman" w:cs="Times New Roman"/>
          <w:lang w:val="en-US"/>
        </w:rPr>
        <w:t xml:space="preserve">UK </w:t>
      </w:r>
      <w:r w:rsidRPr="00622F6C">
        <w:rPr>
          <w:rFonts w:ascii="Times New Roman" w:hAnsi="Times New Roman" w:cs="Times New Roman"/>
          <w:lang w:val="en-US"/>
        </w:rPr>
        <w:t>Government published a response to the pre-legislative committee’s report</w:t>
      </w:r>
      <w:r w:rsidR="00BF2819">
        <w:rPr>
          <w:rFonts w:ascii="Times New Roman" w:hAnsi="Times New Roman" w:cs="Times New Roman"/>
          <w:lang w:val="en-US"/>
        </w:rPr>
        <w:t>,</w:t>
      </w:r>
      <w:r w:rsidRPr="00622F6C">
        <w:rPr>
          <w:rFonts w:ascii="Times New Roman" w:hAnsi="Times New Roman" w:cs="Times New Roman"/>
          <w:lang w:val="en-US"/>
        </w:rPr>
        <w:t xml:space="preserve"> alongside the introduction of the Modern Slavery Bill to Parliament</w:t>
      </w:r>
      <w:r w:rsidR="00432695" w:rsidRPr="00622F6C">
        <w:rPr>
          <w:rFonts w:ascii="Times New Roman" w:hAnsi="Times New Roman" w:cs="Times New Roman"/>
          <w:lang w:val="en-US"/>
        </w:rPr>
        <w:t xml:space="preserve"> (Home Office, 2014)</w:t>
      </w:r>
      <w:r w:rsidRPr="00622F6C">
        <w:rPr>
          <w:rFonts w:ascii="Times New Roman" w:hAnsi="Times New Roman" w:cs="Times New Roman"/>
          <w:lang w:val="en-US"/>
        </w:rPr>
        <w:t xml:space="preserve">. The </w:t>
      </w:r>
      <w:r w:rsidR="009D36C4">
        <w:rPr>
          <w:rFonts w:ascii="Times New Roman" w:hAnsi="Times New Roman" w:cs="Times New Roman"/>
          <w:lang w:val="en-US"/>
        </w:rPr>
        <w:t>B</w:t>
      </w:r>
      <w:r w:rsidR="00BF2819" w:rsidRPr="00622F6C">
        <w:rPr>
          <w:rFonts w:ascii="Times New Roman" w:hAnsi="Times New Roman" w:cs="Times New Roman"/>
          <w:lang w:val="en-US"/>
        </w:rPr>
        <w:t xml:space="preserve">ill </w:t>
      </w:r>
      <w:r w:rsidRPr="00622F6C">
        <w:rPr>
          <w:rFonts w:ascii="Times New Roman" w:hAnsi="Times New Roman" w:cs="Times New Roman"/>
          <w:lang w:val="en-US"/>
        </w:rPr>
        <w:t>was close in spirit to the original recommendations made by the CSJ report (i.e., it was not a watered-down version). On November 4, 2014 (</w:t>
      </w:r>
      <w:r w:rsidR="004159F8" w:rsidRPr="00622F6C">
        <w:rPr>
          <w:rFonts w:ascii="Times New Roman" w:hAnsi="Times New Roman" w:cs="Times New Roman"/>
          <w:lang w:val="en-US"/>
        </w:rPr>
        <w:t>e</w:t>
      </w:r>
      <w:r w:rsidRPr="00622F6C">
        <w:rPr>
          <w:rFonts w:ascii="Times New Roman" w:hAnsi="Times New Roman" w:cs="Times New Roman"/>
          <w:lang w:val="en-US"/>
        </w:rPr>
        <w:t xml:space="preserve">vent 7), the TISC provision was formally added to the Modern Slavery Bill by </w:t>
      </w:r>
      <w:r w:rsidR="00BF2819">
        <w:rPr>
          <w:rFonts w:ascii="Times New Roman" w:hAnsi="Times New Roman" w:cs="Times New Roman"/>
          <w:lang w:val="en-US"/>
        </w:rPr>
        <w:t xml:space="preserve">a </w:t>
      </w:r>
      <w:r w:rsidR="009D36C4">
        <w:rPr>
          <w:rFonts w:ascii="Times New Roman" w:hAnsi="Times New Roman" w:cs="Times New Roman"/>
          <w:lang w:val="en-US"/>
        </w:rPr>
        <w:t>G</w:t>
      </w:r>
      <w:r w:rsidR="00BF2819" w:rsidRPr="00622F6C">
        <w:rPr>
          <w:rFonts w:ascii="Times New Roman" w:hAnsi="Times New Roman" w:cs="Times New Roman"/>
          <w:lang w:val="en-US"/>
        </w:rPr>
        <w:t xml:space="preserve">overnment </w:t>
      </w:r>
      <w:r w:rsidRPr="00622F6C">
        <w:rPr>
          <w:rFonts w:ascii="Times New Roman" w:hAnsi="Times New Roman" w:cs="Times New Roman"/>
          <w:lang w:val="en-US"/>
        </w:rPr>
        <w:t xml:space="preserve">amendment at the Commons </w:t>
      </w:r>
      <w:r w:rsidR="00BF2819">
        <w:rPr>
          <w:rFonts w:ascii="Times New Roman" w:hAnsi="Times New Roman" w:cs="Times New Roman"/>
          <w:lang w:val="en-US"/>
        </w:rPr>
        <w:t>r</w:t>
      </w:r>
      <w:r w:rsidR="00BF2819" w:rsidRPr="00622F6C">
        <w:rPr>
          <w:rFonts w:ascii="Times New Roman" w:hAnsi="Times New Roman" w:cs="Times New Roman"/>
          <w:lang w:val="en-US"/>
        </w:rPr>
        <w:t xml:space="preserve">eport </w:t>
      </w:r>
      <w:r w:rsidR="00BF2819">
        <w:rPr>
          <w:rFonts w:ascii="Times New Roman" w:hAnsi="Times New Roman" w:cs="Times New Roman"/>
          <w:lang w:val="en-US"/>
        </w:rPr>
        <w:t>s</w:t>
      </w:r>
      <w:r w:rsidR="00BF2819" w:rsidRPr="00622F6C">
        <w:rPr>
          <w:rFonts w:ascii="Times New Roman" w:hAnsi="Times New Roman" w:cs="Times New Roman"/>
          <w:lang w:val="en-US"/>
        </w:rPr>
        <w:t xml:space="preserve">tage </w:t>
      </w:r>
      <w:r w:rsidR="00EE478C" w:rsidRPr="00622F6C">
        <w:rPr>
          <w:rFonts w:ascii="Times New Roman" w:hAnsi="Times New Roman" w:cs="Times New Roman"/>
          <w:lang w:val="en-US"/>
        </w:rPr>
        <w:t>(</w:t>
      </w:r>
      <w:r w:rsidR="00867F0C" w:rsidRPr="00622F6C">
        <w:rPr>
          <w:rFonts w:ascii="Times New Roman" w:hAnsi="Times New Roman" w:cs="Times New Roman"/>
          <w:lang w:val="en-US"/>
        </w:rPr>
        <w:t>UK</w:t>
      </w:r>
      <w:r w:rsidR="00EE478C" w:rsidRPr="00622F6C">
        <w:rPr>
          <w:rFonts w:ascii="Times New Roman" w:hAnsi="Times New Roman" w:cs="Times New Roman"/>
          <w:lang w:val="en-US"/>
        </w:rPr>
        <w:t xml:space="preserve"> Parliament, 2014b)</w:t>
      </w:r>
      <w:r w:rsidRPr="00622F6C">
        <w:rPr>
          <w:rFonts w:ascii="Times New Roman" w:hAnsi="Times New Roman" w:cs="Times New Roman"/>
          <w:lang w:val="en-US"/>
        </w:rPr>
        <w:t>. Finally, on March 2</w:t>
      </w:r>
      <w:r w:rsidR="00EE478C" w:rsidRPr="00622F6C">
        <w:rPr>
          <w:rFonts w:ascii="Times New Roman" w:hAnsi="Times New Roman" w:cs="Times New Roman"/>
          <w:lang w:val="en-US"/>
        </w:rPr>
        <w:t>5</w:t>
      </w:r>
      <w:r w:rsidRPr="00622F6C">
        <w:rPr>
          <w:rFonts w:ascii="Times New Roman" w:hAnsi="Times New Roman" w:cs="Times New Roman"/>
          <w:lang w:val="en-US"/>
        </w:rPr>
        <w:t>, 2015</w:t>
      </w:r>
      <w:r w:rsidR="00BF2819">
        <w:rPr>
          <w:rFonts w:ascii="Times New Roman" w:hAnsi="Times New Roman" w:cs="Times New Roman"/>
          <w:lang w:val="en-US"/>
        </w:rPr>
        <w:t>,</w:t>
      </w:r>
      <w:r w:rsidRPr="00622F6C">
        <w:rPr>
          <w:rFonts w:ascii="Times New Roman" w:hAnsi="Times New Roman" w:cs="Times New Roman"/>
          <w:lang w:val="en-US"/>
        </w:rPr>
        <w:t xml:space="preserve"> </w:t>
      </w:r>
      <w:r w:rsidR="00EE478C" w:rsidRPr="00622F6C">
        <w:rPr>
          <w:rFonts w:ascii="Times New Roman" w:hAnsi="Times New Roman" w:cs="Times New Roman"/>
          <w:lang w:val="en-US"/>
        </w:rPr>
        <w:t xml:space="preserve">after stock market closure </w:t>
      </w:r>
      <w:r w:rsidRPr="00622F6C">
        <w:rPr>
          <w:rFonts w:ascii="Times New Roman" w:hAnsi="Times New Roman" w:cs="Times New Roman"/>
          <w:lang w:val="en-US"/>
        </w:rPr>
        <w:t>(</w:t>
      </w:r>
      <w:r w:rsidR="004159F8" w:rsidRPr="00622F6C">
        <w:rPr>
          <w:rFonts w:ascii="Times New Roman" w:hAnsi="Times New Roman" w:cs="Times New Roman"/>
          <w:lang w:val="en-US"/>
        </w:rPr>
        <w:t>e</w:t>
      </w:r>
      <w:r w:rsidRPr="00622F6C">
        <w:rPr>
          <w:rFonts w:ascii="Times New Roman" w:hAnsi="Times New Roman" w:cs="Times New Roman"/>
          <w:lang w:val="en-US"/>
        </w:rPr>
        <w:t>vent 8), the MSA received Royal Assent in Parliament</w:t>
      </w:r>
      <w:r w:rsidR="00EE478C" w:rsidRPr="00622F6C">
        <w:rPr>
          <w:rFonts w:ascii="Times New Roman" w:hAnsi="Times New Roman" w:cs="Times New Roman"/>
          <w:lang w:val="en-US"/>
        </w:rPr>
        <w:t xml:space="preserve"> (Nguyen and Guilbert, 2015)</w:t>
      </w:r>
      <w:r w:rsidRPr="00622F6C">
        <w:rPr>
          <w:rFonts w:ascii="Times New Roman" w:hAnsi="Times New Roman" w:cs="Times New Roman"/>
          <w:lang w:val="en-US"/>
        </w:rPr>
        <w:t xml:space="preserve">. </w:t>
      </w:r>
    </w:p>
    <w:p w14:paraId="460CE7B6" w14:textId="4DC7D68F" w:rsidR="004159F8" w:rsidRPr="00622F6C" w:rsidRDefault="004159F8" w:rsidP="00860A05">
      <w:pPr>
        <w:spacing w:after="0" w:line="480" w:lineRule="auto"/>
        <w:ind w:firstLine="425"/>
        <w:jc w:val="both"/>
        <w:rPr>
          <w:rFonts w:ascii="Times New Roman" w:hAnsi="Times New Roman" w:cs="Times New Roman"/>
          <w:lang w:val="en-US"/>
        </w:rPr>
      </w:pPr>
      <w:r w:rsidRPr="00103B81">
        <w:rPr>
          <w:rFonts w:ascii="Times New Roman" w:hAnsi="Times New Roman" w:cs="Times New Roman"/>
          <w:lang w:val="en-US"/>
        </w:rPr>
        <w:t xml:space="preserve">Table 1, Panel B </w:t>
      </w:r>
      <w:r w:rsidR="00D73FD4" w:rsidRPr="00103B81">
        <w:rPr>
          <w:rFonts w:ascii="Times New Roman" w:hAnsi="Times New Roman" w:cs="Times New Roman"/>
          <w:lang w:val="en-US"/>
        </w:rPr>
        <w:t xml:space="preserve">also includes </w:t>
      </w:r>
      <w:r w:rsidR="00AE7377">
        <w:rPr>
          <w:rFonts w:ascii="Times New Roman" w:hAnsi="Times New Roman" w:cs="Times New Roman"/>
          <w:lang w:val="en-US"/>
        </w:rPr>
        <w:t xml:space="preserve">the </w:t>
      </w:r>
      <w:r w:rsidR="00BF2819">
        <w:rPr>
          <w:rFonts w:ascii="Times New Roman" w:hAnsi="Times New Roman" w:cs="Times New Roman"/>
          <w:lang w:val="en-US"/>
        </w:rPr>
        <w:t xml:space="preserve">dates of </w:t>
      </w:r>
      <w:r w:rsidRPr="00103B81">
        <w:rPr>
          <w:rFonts w:ascii="Times New Roman" w:hAnsi="Times New Roman" w:cs="Times New Roman"/>
          <w:lang w:val="en-US"/>
        </w:rPr>
        <w:t xml:space="preserve">four </w:t>
      </w:r>
      <w:r w:rsidR="000C399E">
        <w:rPr>
          <w:rFonts w:ascii="Times New Roman" w:hAnsi="Times New Roman" w:cs="Times New Roman"/>
          <w:lang w:val="en-US"/>
        </w:rPr>
        <w:t xml:space="preserve">additional </w:t>
      </w:r>
      <w:r w:rsidRPr="00103B81">
        <w:rPr>
          <w:rFonts w:ascii="Times New Roman" w:hAnsi="Times New Roman" w:cs="Times New Roman"/>
          <w:lang w:val="en-US"/>
        </w:rPr>
        <w:t>event</w:t>
      </w:r>
      <w:r w:rsidR="00BF2819">
        <w:rPr>
          <w:rFonts w:ascii="Times New Roman" w:hAnsi="Times New Roman" w:cs="Times New Roman"/>
          <w:lang w:val="en-US"/>
        </w:rPr>
        <w:t>s</w:t>
      </w:r>
      <w:r w:rsidRPr="00103B81">
        <w:rPr>
          <w:rFonts w:ascii="Times New Roman" w:hAnsi="Times New Roman" w:cs="Times New Roman"/>
          <w:lang w:val="en-US"/>
        </w:rPr>
        <w:t xml:space="preserve"> </w:t>
      </w:r>
      <w:r w:rsidR="000C399E">
        <w:rPr>
          <w:rFonts w:ascii="Times New Roman" w:hAnsi="Times New Roman" w:cs="Times New Roman"/>
          <w:lang w:val="en-US"/>
        </w:rPr>
        <w:t xml:space="preserve">following event 1 </w:t>
      </w:r>
      <w:r w:rsidR="00452039" w:rsidRPr="00103B81">
        <w:rPr>
          <w:rFonts w:ascii="Times New Roman" w:hAnsi="Times New Roman" w:cs="Times New Roman"/>
          <w:lang w:val="en-US"/>
        </w:rPr>
        <w:t xml:space="preserve">identified </w:t>
      </w:r>
      <w:r w:rsidR="00A338B1">
        <w:rPr>
          <w:rFonts w:ascii="Times New Roman" w:hAnsi="Times New Roman" w:cs="Times New Roman"/>
          <w:lang w:val="en-US"/>
        </w:rPr>
        <w:t>through</w:t>
      </w:r>
      <w:r w:rsidR="00D73FD4" w:rsidRPr="00103B81">
        <w:rPr>
          <w:rFonts w:ascii="Times New Roman" w:hAnsi="Times New Roman" w:cs="Times New Roman"/>
          <w:lang w:val="en-US"/>
        </w:rPr>
        <w:t xml:space="preserve"> our </w:t>
      </w:r>
      <w:r w:rsidR="00452039" w:rsidRPr="00103B81">
        <w:rPr>
          <w:rFonts w:ascii="Times New Roman" w:hAnsi="Times New Roman" w:cs="Times New Roman"/>
          <w:lang w:val="en-US"/>
        </w:rPr>
        <w:t>key word search</w:t>
      </w:r>
      <w:r w:rsidR="000C399E">
        <w:rPr>
          <w:rFonts w:ascii="Times New Roman" w:hAnsi="Times New Roman" w:cs="Times New Roman"/>
          <w:lang w:val="en-US"/>
        </w:rPr>
        <w:t>,</w:t>
      </w:r>
      <w:r w:rsidR="00452039" w:rsidRPr="00103B81">
        <w:rPr>
          <w:rFonts w:ascii="Times New Roman" w:hAnsi="Times New Roman" w:cs="Times New Roman"/>
          <w:lang w:val="en-US"/>
        </w:rPr>
        <w:t xml:space="preserve"> but </w:t>
      </w:r>
      <w:r w:rsidRPr="00103B81">
        <w:rPr>
          <w:rFonts w:ascii="Times New Roman" w:hAnsi="Times New Roman" w:cs="Times New Roman"/>
          <w:lang w:val="en-US"/>
        </w:rPr>
        <w:t xml:space="preserve">omitted from our </w:t>
      </w:r>
      <w:r w:rsidR="00452039" w:rsidRPr="00103B81">
        <w:rPr>
          <w:rFonts w:ascii="Times New Roman" w:hAnsi="Times New Roman" w:cs="Times New Roman"/>
          <w:lang w:val="en-US"/>
        </w:rPr>
        <w:t xml:space="preserve">baseline </w:t>
      </w:r>
      <w:r w:rsidRPr="00103B81">
        <w:rPr>
          <w:rFonts w:ascii="Times New Roman" w:hAnsi="Times New Roman" w:cs="Times New Roman"/>
          <w:lang w:val="en-US"/>
        </w:rPr>
        <w:t xml:space="preserve">event study </w:t>
      </w:r>
      <w:r w:rsidR="00452039" w:rsidRPr="00103B81">
        <w:rPr>
          <w:rFonts w:ascii="Times New Roman" w:hAnsi="Times New Roman" w:cs="Times New Roman"/>
          <w:lang w:val="en-US"/>
        </w:rPr>
        <w:t>analysis</w:t>
      </w:r>
      <w:r w:rsidR="00103B81">
        <w:rPr>
          <w:rFonts w:ascii="Times New Roman" w:hAnsi="Times New Roman" w:cs="Times New Roman"/>
          <w:lang w:val="en-US"/>
        </w:rPr>
        <w:t xml:space="preserve"> because they </w:t>
      </w:r>
      <w:r w:rsidR="00BF2819">
        <w:rPr>
          <w:rFonts w:ascii="Times New Roman" w:hAnsi="Times New Roman" w:cs="Times New Roman"/>
          <w:lang w:val="en-US"/>
        </w:rPr>
        <w:t xml:space="preserve">did </w:t>
      </w:r>
      <w:r w:rsidR="00103B81">
        <w:rPr>
          <w:rFonts w:ascii="Times New Roman" w:hAnsi="Times New Roman" w:cs="Times New Roman"/>
          <w:lang w:val="en-US"/>
        </w:rPr>
        <w:t>not provide</w:t>
      </w:r>
      <w:r w:rsidR="002A2BEC" w:rsidRPr="00103B81">
        <w:rPr>
          <w:rFonts w:ascii="Times New Roman" w:hAnsi="Times New Roman" w:cs="Times New Roman"/>
          <w:lang w:val="en-US"/>
        </w:rPr>
        <w:t xml:space="preserve"> new information</w:t>
      </w:r>
      <w:r w:rsidR="00103B81">
        <w:rPr>
          <w:rFonts w:ascii="Times New Roman" w:hAnsi="Times New Roman" w:cs="Times New Roman"/>
          <w:lang w:val="en-US"/>
        </w:rPr>
        <w:t xml:space="preserve"> related to the likelihood of the MSA’s adoption</w:t>
      </w:r>
      <w:r w:rsidR="00452039" w:rsidRPr="00103B81">
        <w:rPr>
          <w:rFonts w:ascii="Times New Roman" w:hAnsi="Times New Roman" w:cs="Times New Roman"/>
          <w:lang w:val="en-US"/>
        </w:rPr>
        <w:t xml:space="preserve">. </w:t>
      </w:r>
      <w:r w:rsidR="002A2BEC" w:rsidRPr="00103B81">
        <w:rPr>
          <w:rFonts w:ascii="Times New Roman" w:hAnsi="Times New Roman" w:cs="Times New Roman"/>
          <w:lang w:val="en-US"/>
        </w:rPr>
        <w:t>More particularly, e</w:t>
      </w:r>
      <w:r w:rsidRPr="00103B81">
        <w:rPr>
          <w:rFonts w:ascii="Times New Roman" w:hAnsi="Times New Roman" w:cs="Times New Roman"/>
          <w:lang w:val="en-US"/>
        </w:rPr>
        <w:t xml:space="preserve">vents 9 and 10 involved a </w:t>
      </w:r>
      <w:r w:rsidR="00256CF9" w:rsidRPr="00103B81">
        <w:rPr>
          <w:rFonts w:ascii="Times New Roman" w:hAnsi="Times New Roman" w:cs="Times New Roman"/>
          <w:lang w:val="en-US"/>
        </w:rPr>
        <w:t xml:space="preserve">mere </w:t>
      </w:r>
      <w:r w:rsidRPr="00103B81">
        <w:rPr>
          <w:rFonts w:ascii="Times New Roman" w:hAnsi="Times New Roman" w:cs="Times New Roman"/>
          <w:lang w:val="en-US"/>
        </w:rPr>
        <w:t xml:space="preserve">mention of the </w:t>
      </w:r>
      <w:r w:rsidR="00256CF9" w:rsidRPr="00103B81">
        <w:rPr>
          <w:rFonts w:ascii="Times New Roman" w:hAnsi="Times New Roman" w:cs="Times New Roman"/>
          <w:lang w:val="en-US"/>
        </w:rPr>
        <w:t xml:space="preserve">Modern Slavery Bill in speeches, </w:t>
      </w:r>
      <w:r w:rsidRPr="00103B81">
        <w:rPr>
          <w:rFonts w:ascii="Times New Roman" w:hAnsi="Times New Roman" w:cs="Times New Roman"/>
          <w:lang w:val="en-US"/>
        </w:rPr>
        <w:t xml:space="preserve">without accompanying relevant </w:t>
      </w:r>
      <w:r w:rsidR="00BF2819">
        <w:rPr>
          <w:rFonts w:ascii="Times New Roman" w:hAnsi="Times New Roman" w:cs="Times New Roman"/>
          <w:lang w:val="en-US"/>
        </w:rPr>
        <w:t xml:space="preserve">and </w:t>
      </w:r>
      <w:r w:rsidRPr="00103B81">
        <w:rPr>
          <w:rFonts w:ascii="Times New Roman" w:hAnsi="Times New Roman" w:cs="Times New Roman"/>
          <w:lang w:val="en-US"/>
        </w:rPr>
        <w:t>incremental information</w:t>
      </w:r>
      <w:r w:rsidR="00452039" w:rsidRPr="00103B81">
        <w:rPr>
          <w:rFonts w:ascii="Times New Roman" w:hAnsi="Times New Roman" w:cs="Times New Roman"/>
          <w:lang w:val="en-US"/>
        </w:rPr>
        <w:t xml:space="preserve">. </w:t>
      </w:r>
      <w:r w:rsidR="00BF2819">
        <w:rPr>
          <w:rFonts w:ascii="Times New Roman" w:hAnsi="Times New Roman" w:cs="Times New Roman"/>
          <w:lang w:val="en-US"/>
        </w:rPr>
        <w:t>E</w:t>
      </w:r>
      <w:r w:rsidRPr="00103B81">
        <w:rPr>
          <w:rFonts w:ascii="Times New Roman" w:hAnsi="Times New Roman" w:cs="Times New Roman"/>
          <w:lang w:val="en-US"/>
        </w:rPr>
        <w:t>vent 11</w:t>
      </w:r>
      <w:r w:rsidR="00BF2819">
        <w:rPr>
          <w:rFonts w:ascii="Times New Roman" w:hAnsi="Times New Roman" w:cs="Times New Roman"/>
          <w:lang w:val="en-US"/>
        </w:rPr>
        <w:t xml:space="preserve"> was when</w:t>
      </w:r>
      <w:r w:rsidRPr="00103B81">
        <w:rPr>
          <w:rFonts w:ascii="Times New Roman" w:hAnsi="Times New Roman" w:cs="Times New Roman"/>
          <w:lang w:val="en-US"/>
        </w:rPr>
        <w:t xml:space="preserve"> the MSA</w:t>
      </w:r>
      <w:r w:rsidR="00452039" w:rsidRPr="00103B81">
        <w:rPr>
          <w:rFonts w:ascii="Times New Roman" w:hAnsi="Times New Roman" w:cs="Times New Roman"/>
          <w:lang w:val="en-US"/>
        </w:rPr>
        <w:t xml:space="preserve"> formally </w:t>
      </w:r>
      <w:r w:rsidR="00BF2819" w:rsidRPr="00103B81">
        <w:rPr>
          <w:rFonts w:ascii="Times New Roman" w:hAnsi="Times New Roman" w:cs="Times New Roman"/>
          <w:lang w:val="en-US"/>
        </w:rPr>
        <w:t xml:space="preserve">came </w:t>
      </w:r>
      <w:r w:rsidR="00452039" w:rsidRPr="00103B81">
        <w:rPr>
          <w:rFonts w:ascii="Times New Roman" w:hAnsi="Times New Roman" w:cs="Times New Roman"/>
          <w:lang w:val="en-US"/>
        </w:rPr>
        <w:t>into force</w:t>
      </w:r>
      <w:r w:rsidR="00256CF9" w:rsidRPr="00103B81">
        <w:rPr>
          <w:rFonts w:ascii="Times New Roman" w:hAnsi="Times New Roman" w:cs="Times New Roman"/>
          <w:lang w:val="en-US"/>
        </w:rPr>
        <w:t>. This event</w:t>
      </w:r>
      <w:r w:rsidRPr="00103B81">
        <w:rPr>
          <w:rFonts w:ascii="Times New Roman" w:hAnsi="Times New Roman" w:cs="Times New Roman"/>
          <w:lang w:val="en-US"/>
        </w:rPr>
        <w:t xml:space="preserve"> </w:t>
      </w:r>
      <w:r w:rsidR="00452039" w:rsidRPr="00103B81">
        <w:rPr>
          <w:rFonts w:ascii="Times New Roman" w:hAnsi="Times New Roman" w:cs="Times New Roman"/>
          <w:lang w:val="en-US"/>
        </w:rPr>
        <w:t xml:space="preserve">should have been fully anticipated by </w:t>
      </w:r>
      <w:r w:rsidRPr="00103B81">
        <w:rPr>
          <w:rFonts w:ascii="Times New Roman" w:hAnsi="Times New Roman" w:cs="Times New Roman"/>
          <w:lang w:val="en-US"/>
        </w:rPr>
        <w:t xml:space="preserve">investors given that </w:t>
      </w:r>
      <w:r w:rsidR="00A373B2" w:rsidRPr="00103B81">
        <w:rPr>
          <w:rFonts w:ascii="Times New Roman" w:hAnsi="Times New Roman" w:cs="Times New Roman"/>
          <w:lang w:val="en-US"/>
        </w:rPr>
        <w:t xml:space="preserve">the </w:t>
      </w:r>
      <w:r w:rsidR="009D36C4">
        <w:rPr>
          <w:rFonts w:ascii="Times New Roman" w:hAnsi="Times New Roman" w:cs="Times New Roman"/>
          <w:lang w:val="en-US"/>
        </w:rPr>
        <w:t>A</w:t>
      </w:r>
      <w:r w:rsidR="00BF2819" w:rsidRPr="00103B81">
        <w:rPr>
          <w:rFonts w:ascii="Times New Roman" w:hAnsi="Times New Roman" w:cs="Times New Roman"/>
          <w:lang w:val="en-US"/>
        </w:rPr>
        <w:t xml:space="preserve">ct </w:t>
      </w:r>
      <w:r w:rsidR="00BF2819">
        <w:rPr>
          <w:rFonts w:ascii="Times New Roman" w:hAnsi="Times New Roman" w:cs="Times New Roman"/>
          <w:lang w:val="en-US"/>
        </w:rPr>
        <w:t xml:space="preserve">had </w:t>
      </w:r>
      <w:r w:rsidRPr="00103B81">
        <w:rPr>
          <w:rFonts w:ascii="Times New Roman" w:hAnsi="Times New Roman" w:cs="Times New Roman"/>
          <w:lang w:val="en-US"/>
        </w:rPr>
        <w:t>receiv</w:t>
      </w:r>
      <w:r w:rsidR="00A373B2" w:rsidRPr="00103B81">
        <w:rPr>
          <w:rFonts w:ascii="Times New Roman" w:hAnsi="Times New Roman" w:cs="Times New Roman"/>
          <w:lang w:val="en-US"/>
        </w:rPr>
        <w:t>ed Royal Assent as of event 8</w:t>
      </w:r>
      <w:r w:rsidRPr="00103B81">
        <w:rPr>
          <w:rFonts w:ascii="Times New Roman" w:hAnsi="Times New Roman" w:cs="Times New Roman"/>
          <w:lang w:val="en-US"/>
        </w:rPr>
        <w:t xml:space="preserve">. We mention event 12 last </w:t>
      </w:r>
      <w:r w:rsidR="00AE7377">
        <w:rPr>
          <w:rFonts w:ascii="Times New Roman" w:hAnsi="Times New Roman" w:cs="Times New Roman"/>
          <w:lang w:val="en-US"/>
        </w:rPr>
        <w:t xml:space="preserve">of all </w:t>
      </w:r>
      <w:r w:rsidRPr="00103B81">
        <w:rPr>
          <w:rFonts w:ascii="Times New Roman" w:hAnsi="Times New Roman" w:cs="Times New Roman"/>
          <w:lang w:val="en-US"/>
        </w:rPr>
        <w:t>because it only pertains to</w:t>
      </w:r>
      <w:r w:rsidR="00256CF9" w:rsidRPr="00103B81">
        <w:rPr>
          <w:rFonts w:ascii="Times New Roman" w:hAnsi="Times New Roman" w:cs="Times New Roman"/>
          <w:lang w:val="en-US"/>
        </w:rPr>
        <w:t xml:space="preserve"> a subset of our sample firms. For completeness, w</w:t>
      </w:r>
      <w:r w:rsidRPr="00103B81">
        <w:rPr>
          <w:rFonts w:ascii="Times New Roman" w:hAnsi="Times New Roman" w:cs="Times New Roman"/>
          <w:lang w:val="en-US"/>
        </w:rPr>
        <w:t>e examine the stock price effe</w:t>
      </w:r>
      <w:r w:rsidR="002114BE" w:rsidRPr="00103B81">
        <w:rPr>
          <w:rFonts w:ascii="Times New Roman" w:hAnsi="Times New Roman" w:cs="Times New Roman"/>
          <w:lang w:val="en-US"/>
        </w:rPr>
        <w:t xml:space="preserve">cts of these four additional events </w:t>
      </w:r>
      <w:r w:rsidR="00452039" w:rsidRPr="00103B81">
        <w:rPr>
          <w:rFonts w:ascii="Times New Roman" w:hAnsi="Times New Roman" w:cs="Times New Roman"/>
          <w:lang w:val="en-US"/>
        </w:rPr>
        <w:t xml:space="preserve">in robustness tests discussed in Section 5 of </w:t>
      </w:r>
      <w:r w:rsidR="000E7793" w:rsidRPr="00103B81">
        <w:rPr>
          <w:rFonts w:ascii="Times New Roman" w:hAnsi="Times New Roman" w:cs="Times New Roman"/>
          <w:lang w:val="en-US"/>
        </w:rPr>
        <w:t>th</w:t>
      </w:r>
      <w:r w:rsidR="000E7793">
        <w:rPr>
          <w:rFonts w:ascii="Times New Roman" w:hAnsi="Times New Roman" w:cs="Times New Roman"/>
          <w:lang w:val="en-US"/>
        </w:rPr>
        <w:t>is</w:t>
      </w:r>
      <w:r w:rsidR="000E7793" w:rsidRPr="00103B81">
        <w:rPr>
          <w:rFonts w:ascii="Times New Roman" w:hAnsi="Times New Roman" w:cs="Times New Roman"/>
          <w:lang w:val="en-US"/>
        </w:rPr>
        <w:t xml:space="preserve"> </w:t>
      </w:r>
      <w:r w:rsidR="00452039" w:rsidRPr="00103B81">
        <w:rPr>
          <w:rFonts w:ascii="Times New Roman" w:hAnsi="Times New Roman" w:cs="Times New Roman"/>
          <w:lang w:val="en-US"/>
        </w:rPr>
        <w:t>paper.</w:t>
      </w:r>
      <w:r w:rsidR="00452039" w:rsidRPr="00622F6C">
        <w:rPr>
          <w:rFonts w:ascii="Times New Roman" w:hAnsi="Times New Roman" w:cs="Times New Roman"/>
          <w:lang w:val="en-US"/>
        </w:rPr>
        <w:t xml:space="preserve">  </w:t>
      </w:r>
    </w:p>
    <w:p w14:paraId="782218E4" w14:textId="77777777" w:rsidR="00C122C0" w:rsidRPr="00622F6C" w:rsidRDefault="00C122C0">
      <w:pPr>
        <w:rPr>
          <w:rFonts w:ascii="Times New Roman" w:hAnsi="Times New Roman" w:cs="Times New Roman"/>
          <w:lang w:val="en-US"/>
        </w:rPr>
      </w:pPr>
    </w:p>
    <w:p w14:paraId="4F21D29F" w14:textId="77777777" w:rsidR="006E6FAF" w:rsidRPr="00622F6C" w:rsidRDefault="006E6FAF" w:rsidP="006E6FAF">
      <w:pPr>
        <w:numPr>
          <w:ilvl w:val="0"/>
          <w:numId w:val="12"/>
        </w:numPr>
        <w:spacing w:after="0" w:line="480" w:lineRule="auto"/>
        <w:ind w:left="567" w:hanging="567"/>
        <w:contextualSpacing/>
        <w:jc w:val="both"/>
        <w:rPr>
          <w:rFonts w:ascii="Times New Roman" w:hAnsi="Times New Roman" w:cs="Times New Roman"/>
          <w:b/>
          <w:lang w:val="en-US"/>
        </w:rPr>
      </w:pPr>
      <w:r w:rsidRPr="00622F6C">
        <w:rPr>
          <w:rFonts w:ascii="Times New Roman" w:hAnsi="Times New Roman" w:cs="Times New Roman"/>
          <w:b/>
          <w:lang w:val="en-US"/>
        </w:rPr>
        <w:t xml:space="preserve">Hypothesis development </w:t>
      </w:r>
    </w:p>
    <w:p w14:paraId="5F99F7E6" w14:textId="77777777" w:rsidR="009167FC" w:rsidRDefault="004F10A8" w:rsidP="000E3E4D">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The literature</w:t>
      </w:r>
      <w:r w:rsidR="00C122C0" w:rsidRPr="00622F6C">
        <w:rPr>
          <w:rFonts w:ascii="Times New Roman" w:hAnsi="Times New Roman" w:cs="Times New Roman"/>
          <w:lang w:val="en-US"/>
        </w:rPr>
        <w:t xml:space="preserve"> on socially responsible sourcing and corporate disclosure</w:t>
      </w:r>
      <w:r w:rsidRPr="00622F6C">
        <w:rPr>
          <w:rFonts w:ascii="Times New Roman" w:hAnsi="Times New Roman" w:cs="Times New Roman"/>
          <w:lang w:val="en-US"/>
        </w:rPr>
        <w:t xml:space="preserve"> suggests a range of channels through which the MSA </w:t>
      </w:r>
      <w:r w:rsidR="000E7793" w:rsidRPr="00622F6C">
        <w:rPr>
          <w:rFonts w:ascii="Times New Roman" w:hAnsi="Times New Roman" w:cs="Times New Roman"/>
          <w:lang w:val="en-US"/>
        </w:rPr>
        <w:t>c</w:t>
      </w:r>
      <w:r w:rsidR="000E7793">
        <w:rPr>
          <w:rFonts w:ascii="Times New Roman" w:hAnsi="Times New Roman" w:cs="Times New Roman"/>
          <w:lang w:val="en-US"/>
        </w:rPr>
        <w:t>ould</w:t>
      </w:r>
      <w:r w:rsidR="000E7793" w:rsidRPr="00622F6C">
        <w:rPr>
          <w:rFonts w:ascii="Times New Roman" w:hAnsi="Times New Roman" w:cs="Times New Roman"/>
          <w:lang w:val="en-US"/>
        </w:rPr>
        <w:t xml:space="preserve"> </w:t>
      </w:r>
      <w:r w:rsidRPr="00622F6C">
        <w:rPr>
          <w:rFonts w:ascii="Times New Roman" w:hAnsi="Times New Roman" w:cs="Times New Roman"/>
          <w:lang w:val="en-US"/>
        </w:rPr>
        <w:t xml:space="preserve">affect investors’ perceptions of </w:t>
      </w:r>
      <w:r w:rsidR="00E9570B" w:rsidRPr="00622F6C">
        <w:rPr>
          <w:rFonts w:ascii="Times New Roman" w:hAnsi="Times New Roman" w:cs="Times New Roman"/>
          <w:lang w:val="en-US"/>
        </w:rPr>
        <w:t xml:space="preserve">affected firms’ </w:t>
      </w:r>
      <w:r w:rsidRPr="00622F6C">
        <w:rPr>
          <w:rFonts w:ascii="Times New Roman" w:hAnsi="Times New Roman" w:cs="Times New Roman"/>
          <w:lang w:val="en-US"/>
        </w:rPr>
        <w:t xml:space="preserve">discounted future cash flows. </w:t>
      </w:r>
      <w:r w:rsidR="00A373B2" w:rsidRPr="00622F6C">
        <w:rPr>
          <w:rFonts w:ascii="Times New Roman" w:hAnsi="Times New Roman" w:cs="Times New Roman"/>
          <w:lang w:val="en-US"/>
        </w:rPr>
        <w:t>For example, t</w:t>
      </w:r>
      <w:r w:rsidR="002F181F" w:rsidRPr="00622F6C">
        <w:rPr>
          <w:rFonts w:ascii="Times New Roman" w:hAnsi="Times New Roman" w:cs="Times New Roman"/>
          <w:lang w:val="en-US"/>
        </w:rPr>
        <w:t xml:space="preserve">he MSA </w:t>
      </w:r>
      <w:r w:rsidR="002114BE" w:rsidRPr="00622F6C">
        <w:rPr>
          <w:rFonts w:ascii="Times New Roman" w:hAnsi="Times New Roman" w:cs="Times New Roman"/>
          <w:lang w:val="en-US"/>
        </w:rPr>
        <w:t>may i</w:t>
      </w:r>
      <w:r w:rsidR="002F181F" w:rsidRPr="00622F6C">
        <w:rPr>
          <w:rFonts w:ascii="Times New Roman" w:hAnsi="Times New Roman" w:cs="Times New Roman"/>
          <w:lang w:val="en-US"/>
        </w:rPr>
        <w:t xml:space="preserve">ncrease public awareness of </w:t>
      </w:r>
      <w:r w:rsidR="00647793" w:rsidRPr="00622F6C">
        <w:rPr>
          <w:rFonts w:ascii="Times New Roman" w:hAnsi="Times New Roman" w:cs="Times New Roman"/>
          <w:lang w:val="en-US"/>
        </w:rPr>
        <w:t>the extent to which firms are affected by slavery issues</w:t>
      </w:r>
      <w:r w:rsidR="002F181F" w:rsidRPr="00622F6C">
        <w:rPr>
          <w:rFonts w:ascii="Times New Roman" w:hAnsi="Times New Roman" w:cs="Times New Roman"/>
          <w:lang w:val="en-US"/>
        </w:rPr>
        <w:t xml:space="preserve">. This could in turn result in </w:t>
      </w:r>
      <w:r w:rsidR="006B32A2" w:rsidRPr="00622F6C">
        <w:rPr>
          <w:rFonts w:ascii="Times New Roman" w:hAnsi="Times New Roman" w:cs="Times New Roman"/>
          <w:lang w:val="en-US"/>
        </w:rPr>
        <w:t>cash</w:t>
      </w:r>
      <w:r w:rsidR="000E7793">
        <w:rPr>
          <w:rFonts w:ascii="Times New Roman" w:hAnsi="Times New Roman" w:cs="Times New Roman"/>
          <w:lang w:val="en-US"/>
        </w:rPr>
        <w:t>-</w:t>
      </w:r>
      <w:r w:rsidR="006B32A2" w:rsidRPr="00622F6C">
        <w:rPr>
          <w:rFonts w:ascii="Times New Roman" w:hAnsi="Times New Roman" w:cs="Times New Roman"/>
          <w:lang w:val="en-US"/>
        </w:rPr>
        <w:t>flow</w:t>
      </w:r>
      <w:r w:rsidR="000E7793">
        <w:rPr>
          <w:rFonts w:ascii="Times New Roman" w:hAnsi="Times New Roman" w:cs="Times New Roman"/>
          <w:lang w:val="en-US"/>
        </w:rPr>
        <w:t>-</w:t>
      </w:r>
      <w:r w:rsidR="006B32A2" w:rsidRPr="00622F6C">
        <w:rPr>
          <w:rFonts w:ascii="Times New Roman" w:hAnsi="Times New Roman" w:cs="Times New Roman"/>
          <w:lang w:val="en-US"/>
        </w:rPr>
        <w:t>enhancing</w:t>
      </w:r>
      <w:r w:rsidR="00C064E0">
        <w:rPr>
          <w:rFonts w:ascii="Times New Roman" w:hAnsi="Times New Roman" w:cs="Times New Roman"/>
          <w:lang w:val="en-US"/>
        </w:rPr>
        <w:t xml:space="preserve"> stakeholder actions (e.g.</w:t>
      </w:r>
      <w:r w:rsidR="002F181F" w:rsidRPr="00622F6C">
        <w:rPr>
          <w:rFonts w:ascii="Times New Roman" w:hAnsi="Times New Roman" w:cs="Times New Roman"/>
          <w:lang w:val="en-US"/>
        </w:rPr>
        <w:t xml:space="preserve"> a willingness to pay a premium price) towards firms able to demonstrate low slavery</w:t>
      </w:r>
      <w:r w:rsidR="00AE7377">
        <w:rPr>
          <w:rFonts w:ascii="Times New Roman" w:hAnsi="Times New Roman" w:cs="Times New Roman"/>
          <w:lang w:val="en-US"/>
        </w:rPr>
        <w:t>-</w:t>
      </w:r>
      <w:r w:rsidR="002F181F" w:rsidRPr="00622F6C">
        <w:rPr>
          <w:rFonts w:ascii="Times New Roman" w:hAnsi="Times New Roman" w:cs="Times New Roman"/>
          <w:lang w:val="en-US"/>
        </w:rPr>
        <w:t xml:space="preserve">risk exposure, and </w:t>
      </w:r>
      <w:r w:rsidR="006B32A2" w:rsidRPr="00622F6C">
        <w:rPr>
          <w:rFonts w:ascii="Times New Roman" w:hAnsi="Times New Roman" w:cs="Times New Roman"/>
          <w:lang w:val="en-US"/>
        </w:rPr>
        <w:t>cash</w:t>
      </w:r>
      <w:r w:rsidR="000E7793">
        <w:rPr>
          <w:rFonts w:ascii="Times New Roman" w:hAnsi="Times New Roman" w:cs="Times New Roman"/>
          <w:lang w:val="en-US"/>
        </w:rPr>
        <w:t>-</w:t>
      </w:r>
      <w:r w:rsidR="006B32A2" w:rsidRPr="00622F6C">
        <w:rPr>
          <w:rFonts w:ascii="Times New Roman" w:hAnsi="Times New Roman" w:cs="Times New Roman"/>
          <w:lang w:val="en-US"/>
        </w:rPr>
        <w:t>flow</w:t>
      </w:r>
      <w:r w:rsidR="000E7793">
        <w:rPr>
          <w:rFonts w:ascii="Times New Roman" w:hAnsi="Times New Roman" w:cs="Times New Roman"/>
          <w:lang w:val="en-US"/>
        </w:rPr>
        <w:t>-</w:t>
      </w:r>
      <w:r w:rsidR="006B32A2" w:rsidRPr="00622F6C">
        <w:rPr>
          <w:rFonts w:ascii="Times New Roman" w:hAnsi="Times New Roman" w:cs="Times New Roman"/>
          <w:lang w:val="en-US"/>
        </w:rPr>
        <w:t>decreasing stakeholder actions</w:t>
      </w:r>
      <w:r w:rsidR="002F181F" w:rsidRPr="00622F6C">
        <w:rPr>
          <w:rFonts w:ascii="Times New Roman" w:hAnsi="Times New Roman" w:cs="Times New Roman"/>
          <w:lang w:val="en-US"/>
        </w:rPr>
        <w:t xml:space="preserve"> (e.g. </w:t>
      </w:r>
      <w:r w:rsidR="00F16A85" w:rsidRPr="00622F6C">
        <w:rPr>
          <w:rFonts w:ascii="Times New Roman" w:hAnsi="Times New Roman" w:cs="Times New Roman"/>
          <w:lang w:val="en-US"/>
        </w:rPr>
        <w:t xml:space="preserve">consumer </w:t>
      </w:r>
      <w:r w:rsidR="002F181F" w:rsidRPr="00622F6C">
        <w:rPr>
          <w:rFonts w:ascii="Times New Roman" w:hAnsi="Times New Roman" w:cs="Times New Roman"/>
          <w:lang w:val="en-US"/>
        </w:rPr>
        <w:t>boycotts) towards firms perceived as having high slavery</w:t>
      </w:r>
      <w:r w:rsidR="00AE7377">
        <w:rPr>
          <w:rFonts w:ascii="Times New Roman" w:hAnsi="Times New Roman" w:cs="Times New Roman"/>
          <w:lang w:val="en-US"/>
        </w:rPr>
        <w:t>-</w:t>
      </w:r>
      <w:r w:rsidR="002F181F" w:rsidRPr="00622F6C">
        <w:rPr>
          <w:rFonts w:ascii="Times New Roman" w:hAnsi="Times New Roman" w:cs="Times New Roman"/>
          <w:lang w:val="en-US"/>
        </w:rPr>
        <w:t xml:space="preserve">risk exposure. The MSA could </w:t>
      </w:r>
      <w:r w:rsidR="006B32A2" w:rsidRPr="00622F6C">
        <w:rPr>
          <w:rFonts w:ascii="Times New Roman" w:hAnsi="Times New Roman" w:cs="Times New Roman"/>
          <w:lang w:val="en-US"/>
        </w:rPr>
        <w:t xml:space="preserve">also </w:t>
      </w:r>
      <w:r w:rsidR="002F181F" w:rsidRPr="00622F6C">
        <w:rPr>
          <w:rFonts w:ascii="Times New Roman" w:hAnsi="Times New Roman" w:cs="Times New Roman"/>
          <w:lang w:val="en-US"/>
        </w:rPr>
        <w:t xml:space="preserve">result in corporate actions </w:t>
      </w:r>
      <w:r w:rsidR="00AE7377">
        <w:rPr>
          <w:rFonts w:ascii="Times New Roman" w:hAnsi="Times New Roman" w:cs="Times New Roman"/>
          <w:lang w:val="en-US"/>
        </w:rPr>
        <w:t xml:space="preserve">aimed at </w:t>
      </w:r>
      <w:r w:rsidR="00F16A85" w:rsidRPr="00622F6C">
        <w:rPr>
          <w:rFonts w:ascii="Times New Roman" w:hAnsi="Times New Roman" w:cs="Times New Roman"/>
          <w:lang w:val="en-US"/>
        </w:rPr>
        <w:t>reduc</w:t>
      </w:r>
      <w:r w:rsidR="00AE7377">
        <w:rPr>
          <w:rFonts w:ascii="Times New Roman" w:hAnsi="Times New Roman" w:cs="Times New Roman"/>
          <w:lang w:val="en-US"/>
        </w:rPr>
        <w:t>ing</w:t>
      </w:r>
      <w:r w:rsidR="00F16A85" w:rsidRPr="00622F6C">
        <w:rPr>
          <w:rFonts w:ascii="Times New Roman" w:hAnsi="Times New Roman" w:cs="Times New Roman"/>
          <w:lang w:val="en-US"/>
        </w:rPr>
        <w:t xml:space="preserve"> slavery risk</w:t>
      </w:r>
      <w:r w:rsidR="00824FBD" w:rsidRPr="00622F6C">
        <w:rPr>
          <w:rFonts w:ascii="Times New Roman" w:hAnsi="Times New Roman" w:cs="Times New Roman"/>
          <w:lang w:val="en-US"/>
        </w:rPr>
        <w:t>, which may yield benefits in the form of more efficient operations</w:t>
      </w:r>
      <w:r w:rsidR="000E7793">
        <w:rPr>
          <w:rFonts w:ascii="Times New Roman" w:hAnsi="Times New Roman" w:cs="Times New Roman"/>
          <w:lang w:val="en-US"/>
        </w:rPr>
        <w:t>,</w:t>
      </w:r>
      <w:r w:rsidR="005279D2" w:rsidRPr="00622F6C">
        <w:rPr>
          <w:rFonts w:ascii="Times New Roman" w:hAnsi="Times New Roman" w:cs="Times New Roman"/>
          <w:lang w:val="en-US"/>
        </w:rPr>
        <w:t xml:space="preserve"> </w:t>
      </w:r>
      <w:r w:rsidR="0084780B">
        <w:rPr>
          <w:rFonts w:ascii="Times New Roman" w:hAnsi="Times New Roman" w:cs="Times New Roman"/>
          <w:lang w:val="en-US"/>
        </w:rPr>
        <w:t>and</w:t>
      </w:r>
      <w:r w:rsidR="005279D2" w:rsidRPr="00622F6C">
        <w:rPr>
          <w:rFonts w:ascii="Times New Roman" w:hAnsi="Times New Roman" w:cs="Times New Roman"/>
          <w:lang w:val="en-US"/>
        </w:rPr>
        <w:t xml:space="preserve"> </w:t>
      </w:r>
      <w:r w:rsidR="00824FBD" w:rsidRPr="00622F6C">
        <w:rPr>
          <w:rFonts w:ascii="Times New Roman" w:hAnsi="Times New Roman" w:cs="Times New Roman"/>
          <w:lang w:val="en-US"/>
        </w:rPr>
        <w:t xml:space="preserve">costs in the form of higher </w:t>
      </w:r>
      <w:r w:rsidR="00824FBD" w:rsidRPr="00622F6C">
        <w:rPr>
          <w:rFonts w:ascii="Times New Roman" w:hAnsi="Times New Roman" w:cs="Times New Roman"/>
          <w:lang w:val="en-US"/>
        </w:rPr>
        <w:lastRenderedPageBreak/>
        <w:t>input prices</w:t>
      </w:r>
      <w:r w:rsidR="002F181F" w:rsidRPr="00622F6C">
        <w:rPr>
          <w:rFonts w:ascii="Times New Roman" w:hAnsi="Times New Roman" w:cs="Times New Roman"/>
          <w:lang w:val="en-US"/>
        </w:rPr>
        <w:t xml:space="preserve">. Moreover, investors may perceive the MSA as a catalyst for future </w:t>
      </w:r>
      <w:r w:rsidR="00F16A85" w:rsidRPr="00622F6C">
        <w:rPr>
          <w:rFonts w:ascii="Times New Roman" w:hAnsi="Times New Roman" w:cs="Times New Roman"/>
          <w:lang w:val="en-US"/>
        </w:rPr>
        <w:t xml:space="preserve">modern slavery </w:t>
      </w:r>
      <w:r w:rsidR="002F181F" w:rsidRPr="00622F6C">
        <w:rPr>
          <w:rFonts w:ascii="Times New Roman" w:hAnsi="Times New Roman" w:cs="Times New Roman"/>
          <w:lang w:val="en-US"/>
        </w:rPr>
        <w:t>regulations</w:t>
      </w:r>
      <w:r w:rsidR="00E9570B" w:rsidRPr="00622F6C">
        <w:rPr>
          <w:rFonts w:ascii="Times New Roman" w:hAnsi="Times New Roman" w:cs="Times New Roman"/>
          <w:lang w:val="en-US"/>
        </w:rPr>
        <w:t>, which may bring additional benefits and costs</w:t>
      </w:r>
      <w:r w:rsidR="002F181F" w:rsidRPr="00622F6C">
        <w:rPr>
          <w:rFonts w:ascii="Times New Roman" w:hAnsi="Times New Roman" w:cs="Times New Roman"/>
          <w:lang w:val="en-US"/>
        </w:rPr>
        <w:t xml:space="preserve">. </w:t>
      </w:r>
    </w:p>
    <w:p w14:paraId="30C8201A" w14:textId="77777777" w:rsidR="006344B3" w:rsidRDefault="002F181F" w:rsidP="000E3E4D">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While these </w:t>
      </w:r>
      <w:r w:rsidR="00F16A85" w:rsidRPr="00622F6C">
        <w:rPr>
          <w:rFonts w:ascii="Times New Roman" w:hAnsi="Times New Roman" w:cs="Times New Roman"/>
          <w:lang w:val="en-US"/>
        </w:rPr>
        <w:t xml:space="preserve">examples </w:t>
      </w:r>
      <w:r w:rsidRPr="00622F6C">
        <w:rPr>
          <w:rFonts w:ascii="Times New Roman" w:hAnsi="Times New Roman" w:cs="Times New Roman"/>
          <w:lang w:val="en-US"/>
        </w:rPr>
        <w:t xml:space="preserve">pertain to both the MSA and its TISC clause, the </w:t>
      </w:r>
      <w:r w:rsidR="001D10EC" w:rsidRPr="00622F6C">
        <w:rPr>
          <w:rFonts w:ascii="Times New Roman" w:hAnsi="Times New Roman" w:cs="Times New Roman"/>
          <w:lang w:val="en-US"/>
        </w:rPr>
        <w:t>additional disclosure requirements under the TISC clause might also affect shareholder wealth. The traditional theoretical view of corporate disclosure regulation is that government intervention is at best ineffective and at worst harmful to shareholder value</w:t>
      </w:r>
      <w:r w:rsidR="00C122C0" w:rsidRPr="00622F6C">
        <w:rPr>
          <w:rFonts w:ascii="Times New Roman" w:hAnsi="Times New Roman" w:cs="Times New Roman"/>
          <w:lang w:val="en-US"/>
        </w:rPr>
        <w:t xml:space="preserve"> (Coase, 1960; Stigler, 1964)</w:t>
      </w:r>
      <w:r w:rsidR="00F16A85" w:rsidRPr="00622F6C">
        <w:rPr>
          <w:rFonts w:ascii="Times New Roman" w:hAnsi="Times New Roman" w:cs="Times New Roman"/>
          <w:lang w:val="en-US"/>
        </w:rPr>
        <w:t xml:space="preserve">, since firms voluntarily adopt </w:t>
      </w:r>
      <w:r w:rsidR="001D10EC" w:rsidRPr="00622F6C">
        <w:rPr>
          <w:rFonts w:ascii="Times New Roman" w:hAnsi="Times New Roman" w:cs="Times New Roman"/>
          <w:lang w:val="en-US"/>
        </w:rPr>
        <w:t>efficient corporate disclosure practices. In this setting, mandatory disclosure regulations force some firms to disclose a larger than optimal amount of information. An alternative view holds that firms’ voluntary disclosure levels are insufficient</w:t>
      </w:r>
      <w:r w:rsidR="004C07D4" w:rsidRPr="00622F6C">
        <w:rPr>
          <w:rFonts w:ascii="Times New Roman" w:hAnsi="Times New Roman" w:cs="Times New Roman"/>
          <w:lang w:val="en-US"/>
        </w:rPr>
        <w:t>, potentially due to agency costs</w:t>
      </w:r>
      <w:r w:rsidR="001D10EC" w:rsidRPr="00622F6C">
        <w:rPr>
          <w:rFonts w:ascii="Times New Roman" w:hAnsi="Times New Roman" w:cs="Times New Roman"/>
          <w:lang w:val="en-US"/>
        </w:rPr>
        <w:t xml:space="preserve"> (Greenstone et al., 2006)</w:t>
      </w:r>
      <w:r w:rsidR="00F16A85" w:rsidRPr="00622F6C">
        <w:rPr>
          <w:rFonts w:ascii="Times New Roman" w:hAnsi="Times New Roman" w:cs="Times New Roman"/>
          <w:lang w:val="en-US"/>
        </w:rPr>
        <w:t xml:space="preserve">, which may </w:t>
      </w:r>
      <w:r w:rsidR="000E7793">
        <w:rPr>
          <w:rFonts w:ascii="Times New Roman" w:hAnsi="Times New Roman" w:cs="Times New Roman"/>
          <w:lang w:val="en-US"/>
        </w:rPr>
        <w:t>mean that</w:t>
      </w:r>
      <w:r w:rsidR="00F16A85" w:rsidRPr="00622F6C">
        <w:rPr>
          <w:rFonts w:ascii="Times New Roman" w:hAnsi="Times New Roman" w:cs="Times New Roman"/>
          <w:lang w:val="en-US"/>
        </w:rPr>
        <w:t xml:space="preserve"> mandatory disclosure requirements</w:t>
      </w:r>
      <w:r w:rsidR="000E7793">
        <w:rPr>
          <w:rFonts w:ascii="Times New Roman" w:hAnsi="Times New Roman" w:cs="Times New Roman"/>
          <w:lang w:val="en-US"/>
        </w:rPr>
        <w:t xml:space="preserve"> produce </w:t>
      </w:r>
      <w:r w:rsidR="000E7793" w:rsidRPr="00622F6C">
        <w:rPr>
          <w:rFonts w:ascii="Times New Roman" w:hAnsi="Times New Roman" w:cs="Times New Roman"/>
          <w:lang w:val="en-US"/>
        </w:rPr>
        <w:t>positive shareholder wealth effects</w:t>
      </w:r>
      <w:r w:rsidR="001D10EC" w:rsidRPr="00622F6C">
        <w:rPr>
          <w:rFonts w:ascii="Times New Roman" w:hAnsi="Times New Roman" w:cs="Times New Roman"/>
          <w:lang w:val="en-US"/>
        </w:rPr>
        <w:t xml:space="preserve">. </w:t>
      </w:r>
    </w:p>
    <w:p w14:paraId="08844E5B" w14:textId="2E2620D3" w:rsidR="002A6738" w:rsidRDefault="00996DBA" w:rsidP="000E3E4D">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T</w:t>
      </w:r>
      <w:r w:rsidR="002A6738">
        <w:rPr>
          <w:rFonts w:ascii="Times New Roman" w:hAnsi="Times New Roman" w:cs="Times New Roman"/>
          <w:lang w:val="en-US"/>
        </w:rPr>
        <w:t xml:space="preserve">here is </w:t>
      </w:r>
      <w:r>
        <w:rPr>
          <w:rFonts w:ascii="Times New Roman" w:hAnsi="Times New Roman" w:cs="Times New Roman"/>
          <w:lang w:val="en-US"/>
        </w:rPr>
        <w:t xml:space="preserve">also </w:t>
      </w:r>
      <w:r w:rsidR="002A6738">
        <w:rPr>
          <w:rFonts w:ascii="Times New Roman" w:hAnsi="Times New Roman" w:cs="Times New Roman"/>
          <w:lang w:val="en-US"/>
        </w:rPr>
        <w:t xml:space="preserve">a possibility that </w:t>
      </w:r>
      <w:r w:rsidR="00FE323E">
        <w:rPr>
          <w:rFonts w:ascii="Times New Roman" w:hAnsi="Times New Roman" w:cs="Times New Roman"/>
          <w:lang w:val="en-US"/>
        </w:rPr>
        <w:t xml:space="preserve">the MSA generates no significant stock price reaction at all. For this prediction to hold, investors would have to </w:t>
      </w:r>
      <w:r w:rsidR="00063E4F">
        <w:rPr>
          <w:rFonts w:ascii="Times New Roman" w:hAnsi="Times New Roman" w:cs="Times New Roman"/>
          <w:lang w:val="en-US"/>
        </w:rPr>
        <w:t>anticipate</w:t>
      </w:r>
      <w:r w:rsidR="00FE323E">
        <w:rPr>
          <w:rFonts w:ascii="Times New Roman" w:hAnsi="Times New Roman" w:cs="Times New Roman"/>
          <w:lang w:val="en-US"/>
        </w:rPr>
        <w:t xml:space="preserve"> no </w:t>
      </w:r>
      <w:r w:rsidR="008C6301">
        <w:rPr>
          <w:rFonts w:ascii="Times New Roman" w:hAnsi="Times New Roman" w:cs="Times New Roman"/>
          <w:lang w:val="en-US"/>
        </w:rPr>
        <w:t xml:space="preserve">cash-flow-affecting </w:t>
      </w:r>
      <w:r w:rsidR="00FE323E">
        <w:rPr>
          <w:rFonts w:ascii="Times New Roman" w:hAnsi="Times New Roman" w:cs="Times New Roman"/>
          <w:lang w:val="en-US"/>
        </w:rPr>
        <w:t xml:space="preserve">stakeholder actions towards firms, nor any adjustments in corporate (disclosure) behavior following the </w:t>
      </w:r>
      <w:r w:rsidR="00AE7377">
        <w:rPr>
          <w:rFonts w:ascii="Times New Roman" w:hAnsi="Times New Roman" w:cs="Times New Roman"/>
          <w:lang w:val="en-US"/>
        </w:rPr>
        <w:t xml:space="preserve">passing of the </w:t>
      </w:r>
      <w:r w:rsidR="00FE323E">
        <w:rPr>
          <w:rFonts w:ascii="Times New Roman" w:hAnsi="Times New Roman" w:cs="Times New Roman"/>
          <w:lang w:val="en-US"/>
        </w:rPr>
        <w:t xml:space="preserve">Act. </w:t>
      </w:r>
      <w:r w:rsidR="00B44AE7">
        <w:rPr>
          <w:rFonts w:ascii="Times New Roman" w:hAnsi="Times New Roman" w:cs="Times New Roman"/>
          <w:lang w:val="en-US"/>
        </w:rPr>
        <w:t>In support of this view</w:t>
      </w:r>
      <w:r w:rsidR="00905411">
        <w:rPr>
          <w:rFonts w:ascii="Times New Roman" w:hAnsi="Times New Roman" w:cs="Times New Roman"/>
          <w:lang w:val="en-US"/>
        </w:rPr>
        <w:t>point</w:t>
      </w:r>
      <w:r w:rsidR="00B44AE7">
        <w:rPr>
          <w:rFonts w:ascii="Times New Roman" w:hAnsi="Times New Roman" w:cs="Times New Roman"/>
          <w:lang w:val="en-US"/>
        </w:rPr>
        <w:t xml:space="preserve">, </w:t>
      </w:r>
      <w:r w:rsidR="00E87E14">
        <w:rPr>
          <w:rFonts w:ascii="Times New Roman" w:hAnsi="Times New Roman" w:cs="Times New Roman"/>
          <w:lang w:val="en-US"/>
        </w:rPr>
        <w:t>an initial report on</w:t>
      </w:r>
      <w:r w:rsidR="00E562C9">
        <w:rPr>
          <w:rFonts w:ascii="Times New Roman" w:hAnsi="Times New Roman" w:cs="Times New Roman"/>
          <w:lang w:val="en-US"/>
        </w:rPr>
        <w:t xml:space="preserve"> </w:t>
      </w:r>
      <w:r w:rsidR="00D733D4">
        <w:rPr>
          <w:rFonts w:ascii="Times New Roman" w:hAnsi="Times New Roman" w:cs="Times New Roman"/>
          <w:lang w:val="en-US"/>
        </w:rPr>
        <w:t xml:space="preserve">the content of </w:t>
      </w:r>
      <w:r w:rsidR="00E562C9">
        <w:rPr>
          <w:rFonts w:ascii="Times New Roman" w:hAnsi="Times New Roman" w:cs="Times New Roman"/>
          <w:lang w:val="en-US"/>
        </w:rPr>
        <w:t>TISC statements</w:t>
      </w:r>
      <w:r w:rsidR="00252675">
        <w:rPr>
          <w:rFonts w:ascii="Times New Roman" w:eastAsia="Times New Roman" w:hAnsi="Times New Roman" w:cs="Times New Roman"/>
          <w:lang w:val="en-US"/>
        </w:rPr>
        <w:t xml:space="preserve"> </w:t>
      </w:r>
      <w:r w:rsidR="00E562C9">
        <w:rPr>
          <w:rFonts w:ascii="Times New Roman" w:eastAsia="Times New Roman" w:hAnsi="Times New Roman" w:cs="Times New Roman"/>
          <w:lang w:val="en-US"/>
        </w:rPr>
        <w:t>sugge</w:t>
      </w:r>
      <w:r w:rsidR="00E87E14">
        <w:rPr>
          <w:rFonts w:ascii="Times New Roman" w:eastAsia="Times New Roman" w:hAnsi="Times New Roman" w:cs="Times New Roman"/>
          <w:lang w:val="en-US"/>
        </w:rPr>
        <w:t>sts</w:t>
      </w:r>
      <w:r w:rsidR="00E562C9">
        <w:rPr>
          <w:rFonts w:ascii="Times New Roman" w:eastAsia="Times New Roman" w:hAnsi="Times New Roman" w:cs="Times New Roman"/>
          <w:lang w:val="en-US"/>
        </w:rPr>
        <w:t xml:space="preserve"> that</w:t>
      </w:r>
      <w:r w:rsidR="008C6301">
        <w:rPr>
          <w:rFonts w:ascii="Times New Roman" w:eastAsia="Times New Roman" w:hAnsi="Times New Roman" w:cs="Times New Roman"/>
          <w:lang w:val="en-US"/>
        </w:rPr>
        <w:t xml:space="preserve"> most firms adopt</w:t>
      </w:r>
      <w:r w:rsidR="00252675">
        <w:rPr>
          <w:rFonts w:ascii="Times New Roman" w:eastAsia="Times New Roman" w:hAnsi="Times New Roman" w:cs="Times New Roman"/>
          <w:lang w:val="en-US"/>
        </w:rPr>
        <w:t xml:space="preserve"> a mechanical ‘box ticking</w:t>
      </w:r>
      <w:r w:rsidR="00905411">
        <w:rPr>
          <w:rFonts w:ascii="Times New Roman" w:eastAsia="Times New Roman" w:hAnsi="Times New Roman" w:cs="Times New Roman"/>
          <w:lang w:val="en-US"/>
        </w:rPr>
        <w:t>’ approach</w:t>
      </w:r>
      <w:r w:rsidR="00252675">
        <w:rPr>
          <w:rFonts w:ascii="Times New Roman" w:eastAsia="Times New Roman" w:hAnsi="Times New Roman" w:cs="Times New Roman"/>
          <w:lang w:val="en-US"/>
        </w:rPr>
        <w:t>, w</w:t>
      </w:r>
      <w:r w:rsidR="00B44AE7" w:rsidRPr="00622F6C">
        <w:rPr>
          <w:rFonts w:ascii="Times New Roman" w:eastAsia="Times New Roman" w:hAnsi="Times New Roman" w:cs="Times New Roman"/>
          <w:lang w:val="en-US"/>
        </w:rPr>
        <w:t xml:space="preserve">ith the majority of the FTSE 100 constituents producing statements </w:t>
      </w:r>
      <w:r w:rsidR="00B44AE7">
        <w:rPr>
          <w:rFonts w:ascii="Times New Roman" w:eastAsia="Times New Roman" w:hAnsi="Times New Roman" w:cs="Times New Roman"/>
          <w:lang w:val="en-US"/>
        </w:rPr>
        <w:t>lacking</w:t>
      </w:r>
      <w:r w:rsidR="00B44AE7" w:rsidRPr="00622F6C">
        <w:rPr>
          <w:rFonts w:ascii="Times New Roman" w:eastAsia="Times New Roman" w:hAnsi="Times New Roman" w:cs="Times New Roman"/>
          <w:lang w:val="en-US"/>
        </w:rPr>
        <w:t xml:space="preserve"> </w:t>
      </w:r>
      <w:r w:rsidR="00E562C9">
        <w:rPr>
          <w:rFonts w:ascii="Times New Roman" w:eastAsia="Times New Roman" w:hAnsi="Times New Roman" w:cs="Times New Roman"/>
          <w:lang w:val="en-US"/>
        </w:rPr>
        <w:t>meaningful information</w:t>
      </w:r>
      <w:r w:rsidR="00E87E14">
        <w:rPr>
          <w:rFonts w:ascii="Times New Roman" w:eastAsia="Times New Roman" w:hAnsi="Times New Roman" w:cs="Times New Roman"/>
          <w:lang w:val="en-US"/>
        </w:rPr>
        <w:t xml:space="preserve"> (</w:t>
      </w:r>
      <w:bookmarkStart w:id="36" w:name="_Hlk5283485"/>
      <w:r w:rsidR="00D733D4" w:rsidRPr="00622F6C">
        <w:rPr>
          <w:rFonts w:ascii="Times New Roman" w:hAnsi="Times New Roman" w:cs="Times New Roman"/>
          <w:lang w:val="en-US"/>
        </w:rPr>
        <w:t>Business &amp; Human Rights Resource Centre [BHR</w:t>
      </w:r>
      <w:r w:rsidR="00D733D4">
        <w:rPr>
          <w:rFonts w:ascii="Times New Roman" w:hAnsi="Times New Roman" w:cs="Times New Roman"/>
          <w:lang w:val="en-US"/>
        </w:rPr>
        <w:t>R</w:t>
      </w:r>
      <w:r w:rsidR="00D733D4" w:rsidRPr="00622F6C">
        <w:rPr>
          <w:rFonts w:ascii="Times New Roman" w:hAnsi="Times New Roman" w:cs="Times New Roman"/>
          <w:lang w:val="en-US"/>
        </w:rPr>
        <w:t>C]</w:t>
      </w:r>
      <w:bookmarkEnd w:id="36"/>
      <w:r w:rsidR="00E87E14">
        <w:rPr>
          <w:rFonts w:ascii="Times New Roman" w:eastAsia="Times New Roman" w:hAnsi="Times New Roman" w:cs="Times New Roman"/>
          <w:lang w:val="en-US"/>
        </w:rPr>
        <w:t>, 2018)</w:t>
      </w:r>
      <w:r w:rsidR="00E562C9">
        <w:rPr>
          <w:rFonts w:ascii="Times New Roman" w:eastAsia="Times New Roman" w:hAnsi="Times New Roman" w:cs="Times New Roman"/>
          <w:lang w:val="en-US"/>
        </w:rPr>
        <w:t xml:space="preserve">. </w:t>
      </w:r>
      <w:r w:rsidR="00E87E14">
        <w:rPr>
          <w:rFonts w:ascii="Times New Roman" w:eastAsia="Times New Roman" w:hAnsi="Times New Roman" w:cs="Times New Roman"/>
          <w:lang w:val="en-US"/>
        </w:rPr>
        <w:t>Mantouvalou (2018)</w:t>
      </w:r>
      <w:r w:rsidR="008C6301">
        <w:rPr>
          <w:rFonts w:ascii="Times New Roman" w:eastAsia="Times New Roman" w:hAnsi="Times New Roman" w:cs="Times New Roman"/>
          <w:lang w:val="en-US"/>
        </w:rPr>
        <w:t xml:space="preserve"> argues that the </w:t>
      </w:r>
      <w:r w:rsidR="002C3AB9">
        <w:rPr>
          <w:rFonts w:ascii="Times New Roman" w:eastAsia="Times New Roman" w:hAnsi="Times New Roman" w:cs="Times New Roman"/>
          <w:lang w:val="en-US"/>
        </w:rPr>
        <w:t>minimalist, soft</w:t>
      </w:r>
      <w:r w:rsidR="00AE7377">
        <w:rPr>
          <w:rFonts w:ascii="Times New Roman" w:eastAsia="Times New Roman" w:hAnsi="Times New Roman" w:cs="Times New Roman"/>
          <w:lang w:val="en-US"/>
        </w:rPr>
        <w:t>-</w:t>
      </w:r>
      <w:r w:rsidR="002C3AB9">
        <w:rPr>
          <w:rFonts w:ascii="Times New Roman" w:eastAsia="Times New Roman" w:hAnsi="Times New Roman" w:cs="Times New Roman"/>
          <w:lang w:val="en-US"/>
        </w:rPr>
        <w:t>t</w:t>
      </w:r>
      <w:r w:rsidR="00E562C9">
        <w:rPr>
          <w:rFonts w:ascii="Times New Roman" w:eastAsia="Times New Roman" w:hAnsi="Times New Roman" w:cs="Times New Roman"/>
          <w:lang w:val="en-US"/>
        </w:rPr>
        <w:t>ouch approach of the MSA might create the impression</w:t>
      </w:r>
      <w:r w:rsidR="002C3AB9">
        <w:rPr>
          <w:rFonts w:ascii="Times New Roman" w:eastAsia="Times New Roman" w:hAnsi="Times New Roman" w:cs="Times New Roman"/>
          <w:lang w:val="en-US"/>
        </w:rPr>
        <w:t xml:space="preserve"> </w:t>
      </w:r>
      <w:r w:rsidR="00AE7377">
        <w:rPr>
          <w:rFonts w:ascii="Times New Roman" w:eastAsia="Times New Roman" w:hAnsi="Times New Roman" w:cs="Times New Roman"/>
          <w:lang w:val="en-US"/>
        </w:rPr>
        <w:t xml:space="preserve">among </w:t>
      </w:r>
      <w:r w:rsidR="002C3AB9">
        <w:rPr>
          <w:rFonts w:ascii="Times New Roman" w:eastAsia="Times New Roman" w:hAnsi="Times New Roman" w:cs="Times New Roman"/>
          <w:lang w:val="en-US"/>
        </w:rPr>
        <w:t>firms that they can get away unscathed, even if they do not take serious steps to address modern slavery.</w:t>
      </w:r>
      <w:r w:rsidR="00252675">
        <w:rPr>
          <w:rFonts w:ascii="Times New Roman" w:eastAsia="Times New Roman" w:hAnsi="Times New Roman" w:cs="Times New Roman"/>
          <w:lang w:val="en-US"/>
        </w:rPr>
        <w:t xml:space="preserve"> </w:t>
      </w:r>
      <w:r w:rsidR="009167FC">
        <w:rPr>
          <w:rFonts w:ascii="Times New Roman" w:eastAsia="Times New Roman" w:hAnsi="Times New Roman" w:cs="Times New Roman"/>
          <w:lang w:val="en-US"/>
        </w:rPr>
        <w:t>However, i</w:t>
      </w:r>
      <w:r w:rsidR="00905411">
        <w:rPr>
          <w:rFonts w:ascii="Times New Roman" w:eastAsia="Times New Roman" w:hAnsi="Times New Roman" w:cs="Times New Roman"/>
          <w:lang w:val="en-US"/>
        </w:rPr>
        <w:t xml:space="preserve">nconsistent with </w:t>
      </w:r>
      <w:r w:rsidR="000E3E4D">
        <w:rPr>
          <w:rFonts w:ascii="Times New Roman" w:eastAsia="Times New Roman" w:hAnsi="Times New Roman" w:cs="Times New Roman"/>
          <w:lang w:val="en-US"/>
        </w:rPr>
        <w:t>the view</w:t>
      </w:r>
      <w:r w:rsidR="00905411">
        <w:rPr>
          <w:rFonts w:ascii="Times New Roman" w:eastAsia="Times New Roman" w:hAnsi="Times New Roman" w:cs="Times New Roman"/>
          <w:lang w:val="en-US"/>
        </w:rPr>
        <w:t>point</w:t>
      </w:r>
      <w:r w:rsidR="000E3E4D">
        <w:rPr>
          <w:rFonts w:ascii="Times New Roman" w:eastAsia="Times New Roman" w:hAnsi="Times New Roman" w:cs="Times New Roman"/>
          <w:lang w:val="en-US"/>
        </w:rPr>
        <w:t xml:space="preserve"> that the MSA and its TISC clause do not matter, </w:t>
      </w:r>
      <w:r w:rsidR="000B2F86" w:rsidRPr="00622F6C">
        <w:rPr>
          <w:rFonts w:ascii="Times New Roman" w:hAnsi="Times New Roman" w:cs="Times New Roman"/>
          <w:lang w:val="en-US"/>
        </w:rPr>
        <w:t xml:space="preserve">slightly more than 50% of the UK firms required to comply with the TISC clause </w:t>
      </w:r>
      <w:r w:rsidR="000B2F86">
        <w:rPr>
          <w:rFonts w:ascii="Times New Roman" w:hAnsi="Times New Roman" w:cs="Times New Roman"/>
          <w:lang w:val="en-US"/>
        </w:rPr>
        <w:t xml:space="preserve">had </w:t>
      </w:r>
      <w:r w:rsidR="000B2F86" w:rsidRPr="00622F6C">
        <w:rPr>
          <w:rFonts w:ascii="Times New Roman" w:hAnsi="Times New Roman" w:cs="Times New Roman"/>
          <w:lang w:val="en-US"/>
        </w:rPr>
        <w:t xml:space="preserve">provided at least one TISC statement as of the end of 2017 (Tiscreport.org, 2018). </w:t>
      </w:r>
      <w:r w:rsidR="009167FC">
        <w:rPr>
          <w:rFonts w:ascii="Times New Roman" w:hAnsi="Times New Roman" w:cs="Times New Roman"/>
          <w:lang w:val="en-US"/>
        </w:rPr>
        <w:t>T</w:t>
      </w:r>
      <w:r w:rsidR="00E87E14">
        <w:rPr>
          <w:rFonts w:ascii="Times New Roman" w:hAnsi="Times New Roman" w:cs="Times New Roman"/>
          <w:lang w:val="en-US"/>
        </w:rPr>
        <w:t>he same recent</w:t>
      </w:r>
      <w:r w:rsidR="000B2F86" w:rsidRPr="00622F6C">
        <w:rPr>
          <w:rFonts w:ascii="Times New Roman" w:hAnsi="Times New Roman" w:cs="Times New Roman"/>
          <w:lang w:val="en-US"/>
        </w:rPr>
        <w:t xml:space="preserve"> </w:t>
      </w:r>
      <w:r w:rsidR="00E562C9">
        <w:rPr>
          <w:rFonts w:ascii="Times New Roman" w:hAnsi="Times New Roman" w:cs="Times New Roman"/>
          <w:lang w:val="en-US"/>
        </w:rPr>
        <w:t>BHRRC</w:t>
      </w:r>
      <w:r w:rsidR="000B2F86">
        <w:rPr>
          <w:rFonts w:ascii="Times New Roman" w:hAnsi="Times New Roman" w:cs="Times New Roman"/>
          <w:lang w:val="en-US"/>
        </w:rPr>
        <w:t xml:space="preserve"> </w:t>
      </w:r>
      <w:r w:rsidR="000B2F86" w:rsidRPr="00622F6C">
        <w:rPr>
          <w:rFonts w:ascii="Times New Roman" w:eastAsia="Times New Roman" w:hAnsi="Times New Roman" w:cs="Times New Roman"/>
          <w:lang w:val="en-US"/>
        </w:rPr>
        <w:t>report finds encouraging improvements in firms’ TISC reporting practices in 2017, compared with the year before. It notes that an effective approach towards modern slavery takes time to develop, with many companies having only jus</w:t>
      </w:r>
      <w:r w:rsidR="00821C71">
        <w:rPr>
          <w:rFonts w:ascii="Times New Roman" w:eastAsia="Times New Roman" w:hAnsi="Times New Roman" w:cs="Times New Roman"/>
          <w:lang w:val="en-US"/>
        </w:rPr>
        <w:t>t started to implement policies. The report also demonstrates that some leading firms show strong engagement with the requirements of the TISC clause (</w:t>
      </w:r>
      <w:r w:rsidR="00E562C9">
        <w:rPr>
          <w:rFonts w:ascii="Times New Roman" w:eastAsia="Times New Roman" w:hAnsi="Times New Roman" w:cs="Times New Roman"/>
          <w:lang w:val="en-US"/>
        </w:rPr>
        <w:t>BHRRC</w:t>
      </w:r>
      <w:r w:rsidR="00821C71">
        <w:rPr>
          <w:rFonts w:ascii="Times New Roman" w:eastAsia="Times New Roman" w:hAnsi="Times New Roman" w:cs="Times New Roman"/>
          <w:lang w:val="en-US"/>
        </w:rPr>
        <w:t>, 2018)</w:t>
      </w:r>
      <w:r w:rsidR="000E3E4D" w:rsidRPr="00622F6C">
        <w:rPr>
          <w:rFonts w:ascii="Times New Roman" w:eastAsia="Times New Roman" w:hAnsi="Times New Roman" w:cs="Times New Roman"/>
          <w:lang w:val="en-US"/>
        </w:rPr>
        <w:t>.</w:t>
      </w:r>
      <w:r w:rsidR="000E3E4D" w:rsidRPr="000E3E4D">
        <w:rPr>
          <w:rFonts w:ascii="Times New Roman" w:eastAsia="Times New Roman" w:hAnsi="Times New Roman" w:cs="Times New Roman"/>
          <w:vertAlign w:val="superscript"/>
          <w:lang w:val="en-US"/>
        </w:rPr>
        <w:footnoteReference w:id="6"/>
      </w:r>
      <w:r w:rsidR="000E3E4D">
        <w:rPr>
          <w:rFonts w:ascii="Times New Roman" w:eastAsia="Times New Roman" w:hAnsi="Times New Roman" w:cs="Times New Roman"/>
          <w:lang w:val="en-US"/>
        </w:rPr>
        <w:t xml:space="preserve"> </w:t>
      </w:r>
      <w:r w:rsidR="00E87E14">
        <w:rPr>
          <w:rFonts w:ascii="Times New Roman" w:eastAsia="Times New Roman" w:hAnsi="Times New Roman" w:cs="Times New Roman"/>
          <w:lang w:val="en-US"/>
        </w:rPr>
        <w:t>In conclusion</w:t>
      </w:r>
      <w:r w:rsidR="000E3E4D">
        <w:rPr>
          <w:rFonts w:ascii="Times New Roman" w:eastAsia="Times New Roman" w:hAnsi="Times New Roman" w:cs="Times New Roman"/>
          <w:lang w:val="en-US"/>
        </w:rPr>
        <w:t>, w</w:t>
      </w:r>
      <w:r w:rsidR="000E3E4D" w:rsidRPr="00622F6C">
        <w:rPr>
          <w:rFonts w:ascii="Times New Roman" w:eastAsia="Times New Roman" w:hAnsi="Times New Roman" w:cs="Times New Roman"/>
          <w:lang w:val="en-US"/>
        </w:rPr>
        <w:t xml:space="preserve">hile </w:t>
      </w:r>
      <w:r w:rsidR="000E3E4D">
        <w:rPr>
          <w:rFonts w:ascii="Times New Roman" w:eastAsia="Times New Roman" w:hAnsi="Times New Roman" w:cs="Times New Roman"/>
          <w:lang w:val="en-US"/>
        </w:rPr>
        <w:t xml:space="preserve">actual </w:t>
      </w:r>
      <w:r w:rsidR="000E3E4D" w:rsidRPr="00622F6C">
        <w:rPr>
          <w:rFonts w:ascii="Times New Roman" w:eastAsia="Times New Roman" w:hAnsi="Times New Roman" w:cs="Times New Roman"/>
          <w:lang w:val="en-US"/>
        </w:rPr>
        <w:t>compliance seems patchy</w:t>
      </w:r>
      <w:r w:rsidR="000E3E4D">
        <w:rPr>
          <w:rFonts w:ascii="Times New Roman" w:eastAsia="Times New Roman" w:hAnsi="Times New Roman" w:cs="Times New Roman"/>
          <w:lang w:val="en-US"/>
        </w:rPr>
        <w:t>,</w:t>
      </w:r>
      <w:r w:rsidR="000E3E4D" w:rsidRPr="00622F6C">
        <w:rPr>
          <w:rFonts w:ascii="Times New Roman" w:eastAsia="Times New Roman" w:hAnsi="Times New Roman" w:cs="Times New Roman"/>
          <w:lang w:val="en-US"/>
        </w:rPr>
        <w:t xml:space="preserve"> and </w:t>
      </w:r>
      <w:r w:rsidR="000E3E4D">
        <w:rPr>
          <w:rFonts w:ascii="Times New Roman" w:eastAsia="Times New Roman" w:hAnsi="Times New Roman" w:cs="Times New Roman"/>
          <w:lang w:val="en-US"/>
        </w:rPr>
        <w:t xml:space="preserve">there is </w:t>
      </w:r>
      <w:r w:rsidR="000E3E4D" w:rsidRPr="00622F6C">
        <w:rPr>
          <w:rFonts w:ascii="Times New Roman" w:eastAsia="Times New Roman" w:hAnsi="Times New Roman" w:cs="Times New Roman"/>
          <w:lang w:val="en-US"/>
        </w:rPr>
        <w:t xml:space="preserve">room for improvement in </w:t>
      </w:r>
      <w:r w:rsidR="000E3E4D" w:rsidRPr="00622F6C">
        <w:rPr>
          <w:rFonts w:ascii="Times New Roman" w:eastAsia="Times New Roman" w:hAnsi="Times New Roman" w:cs="Times New Roman"/>
          <w:lang w:val="en-US"/>
        </w:rPr>
        <w:lastRenderedPageBreak/>
        <w:t xml:space="preserve">firms’ TISC statements, it </w:t>
      </w:r>
      <w:r w:rsidR="000E3E4D">
        <w:rPr>
          <w:rFonts w:ascii="Times New Roman" w:eastAsia="Times New Roman" w:hAnsi="Times New Roman" w:cs="Times New Roman"/>
          <w:lang w:val="en-US"/>
        </w:rPr>
        <w:t xml:space="preserve">is </w:t>
      </w:r>
      <w:r w:rsidR="000E3E4D" w:rsidRPr="00622F6C">
        <w:rPr>
          <w:rFonts w:ascii="Times New Roman" w:eastAsia="Times New Roman" w:hAnsi="Times New Roman" w:cs="Times New Roman"/>
          <w:lang w:val="en-US"/>
        </w:rPr>
        <w:t xml:space="preserve">unlikely that investors </w:t>
      </w:r>
      <w:r w:rsidR="000E3E4D">
        <w:rPr>
          <w:rFonts w:ascii="Times New Roman" w:eastAsia="Times New Roman" w:hAnsi="Times New Roman" w:cs="Times New Roman"/>
          <w:lang w:val="en-US"/>
        </w:rPr>
        <w:t xml:space="preserve">would have </w:t>
      </w:r>
      <w:r w:rsidR="000E3E4D" w:rsidRPr="00622F6C">
        <w:rPr>
          <w:rFonts w:ascii="Times New Roman" w:eastAsia="Times New Roman" w:hAnsi="Times New Roman" w:cs="Times New Roman"/>
          <w:lang w:val="en-US"/>
        </w:rPr>
        <w:t>expected widespread non-compliance with the clause at the time of our eight MSA adoption events.</w:t>
      </w:r>
      <w:r w:rsidR="000E3E4D">
        <w:rPr>
          <w:rFonts w:ascii="Times New Roman" w:eastAsia="Times New Roman" w:hAnsi="Times New Roman" w:cs="Times New Roman"/>
          <w:lang w:val="en-US"/>
        </w:rPr>
        <w:t xml:space="preserve"> Investors might also not </w:t>
      </w:r>
      <w:r w:rsidR="006344B3">
        <w:rPr>
          <w:rFonts w:ascii="Times New Roman" w:eastAsia="Times New Roman" w:hAnsi="Times New Roman" w:cs="Times New Roman"/>
          <w:lang w:val="en-US"/>
        </w:rPr>
        <w:t xml:space="preserve">have </w:t>
      </w:r>
      <w:r w:rsidR="000E3E4D">
        <w:rPr>
          <w:rFonts w:ascii="Times New Roman" w:eastAsia="Times New Roman" w:hAnsi="Times New Roman" w:cs="Times New Roman"/>
          <w:lang w:val="en-US"/>
        </w:rPr>
        <w:t>react</w:t>
      </w:r>
      <w:r w:rsidR="006344B3">
        <w:rPr>
          <w:rFonts w:ascii="Times New Roman" w:eastAsia="Times New Roman" w:hAnsi="Times New Roman" w:cs="Times New Roman"/>
          <w:lang w:val="en-US"/>
        </w:rPr>
        <w:t>ed</w:t>
      </w:r>
      <w:r w:rsidR="000E3E4D">
        <w:rPr>
          <w:rFonts w:ascii="Times New Roman" w:eastAsia="Times New Roman" w:hAnsi="Times New Roman" w:cs="Times New Roman"/>
          <w:lang w:val="en-US"/>
        </w:rPr>
        <w:t xml:space="preserve"> to the MSA because they </w:t>
      </w:r>
      <w:r w:rsidR="006344B3">
        <w:rPr>
          <w:rFonts w:ascii="Times New Roman" w:eastAsia="Times New Roman" w:hAnsi="Times New Roman" w:cs="Times New Roman"/>
          <w:lang w:val="en-US"/>
        </w:rPr>
        <w:t xml:space="preserve">were </w:t>
      </w:r>
      <w:r w:rsidR="000E3E4D">
        <w:rPr>
          <w:rFonts w:ascii="Times New Roman" w:eastAsia="Times New Roman" w:hAnsi="Times New Roman" w:cs="Times New Roman"/>
          <w:lang w:val="en-US"/>
        </w:rPr>
        <w:t xml:space="preserve">unaware of </w:t>
      </w:r>
      <w:r w:rsidR="006344B3">
        <w:rPr>
          <w:rFonts w:ascii="Times New Roman" w:eastAsia="Times New Roman" w:hAnsi="Times New Roman" w:cs="Times New Roman"/>
          <w:lang w:val="en-US"/>
        </w:rPr>
        <w:t>it</w:t>
      </w:r>
      <w:r w:rsidR="000E3E4D">
        <w:rPr>
          <w:rFonts w:ascii="Times New Roman" w:eastAsia="Times New Roman" w:hAnsi="Times New Roman" w:cs="Times New Roman"/>
          <w:lang w:val="en-US"/>
        </w:rPr>
        <w:t>, or expect</w:t>
      </w:r>
      <w:r w:rsidR="006344B3">
        <w:rPr>
          <w:rFonts w:ascii="Times New Roman" w:eastAsia="Times New Roman" w:hAnsi="Times New Roman" w:cs="Times New Roman"/>
          <w:lang w:val="en-US"/>
        </w:rPr>
        <w:t>ed</w:t>
      </w:r>
      <w:r w:rsidR="000E3E4D">
        <w:rPr>
          <w:rFonts w:ascii="Times New Roman" w:eastAsia="Times New Roman" w:hAnsi="Times New Roman" w:cs="Times New Roman"/>
          <w:lang w:val="en-US"/>
        </w:rPr>
        <w:t xml:space="preserve"> firms and their stakeholders to be unaware of it. While some firms indeed seem to have no knowledge of the implications of the Act</w:t>
      </w:r>
      <w:r w:rsidR="000E49B9">
        <w:rPr>
          <w:rFonts w:ascii="Times New Roman" w:eastAsia="Times New Roman" w:hAnsi="Times New Roman" w:cs="Times New Roman"/>
          <w:lang w:val="en-US"/>
        </w:rPr>
        <w:t xml:space="preserve"> (</w:t>
      </w:r>
      <w:r w:rsidR="00E562C9">
        <w:rPr>
          <w:rFonts w:ascii="Times New Roman" w:eastAsia="Times New Roman" w:hAnsi="Times New Roman" w:cs="Times New Roman"/>
          <w:lang w:val="en-US"/>
        </w:rPr>
        <w:t xml:space="preserve">Ergon Associates, 2017; </w:t>
      </w:r>
      <w:r w:rsidR="002E3947">
        <w:rPr>
          <w:rFonts w:ascii="Times New Roman" w:eastAsia="Times New Roman" w:hAnsi="Times New Roman" w:cs="Times New Roman"/>
          <w:lang w:val="en-US"/>
        </w:rPr>
        <w:t>Mantouvalou</w:t>
      </w:r>
      <w:r w:rsidR="000E49B9">
        <w:rPr>
          <w:rFonts w:ascii="Times New Roman" w:eastAsia="Times New Roman" w:hAnsi="Times New Roman" w:cs="Times New Roman"/>
          <w:lang w:val="en-US"/>
        </w:rPr>
        <w:t>, 2018)</w:t>
      </w:r>
      <w:r w:rsidR="000E3E4D">
        <w:rPr>
          <w:rFonts w:ascii="Times New Roman" w:eastAsia="Times New Roman" w:hAnsi="Times New Roman" w:cs="Times New Roman"/>
          <w:lang w:val="en-US"/>
        </w:rPr>
        <w:t>, a key word search we conducted in Factiva suggests the MSA and its TISC clause received widespread media attention during our abnormal stock return estimation period</w:t>
      </w:r>
      <w:r w:rsidR="00E562C9">
        <w:rPr>
          <w:rFonts w:ascii="Times New Roman" w:eastAsia="Times New Roman" w:hAnsi="Times New Roman" w:cs="Times New Roman"/>
          <w:lang w:val="en-US"/>
        </w:rPr>
        <w:t>. This makes</w:t>
      </w:r>
      <w:r w:rsidR="000E3E4D">
        <w:rPr>
          <w:rFonts w:ascii="Times New Roman" w:eastAsia="Times New Roman" w:hAnsi="Times New Roman" w:cs="Times New Roman"/>
          <w:lang w:val="en-US"/>
        </w:rPr>
        <w:t xml:space="preserve"> it unlikely that the parties relevant </w:t>
      </w:r>
      <w:r w:rsidR="006344B3">
        <w:rPr>
          <w:rFonts w:ascii="Times New Roman" w:eastAsia="Times New Roman" w:hAnsi="Times New Roman" w:cs="Times New Roman"/>
          <w:lang w:val="en-US"/>
        </w:rPr>
        <w:t xml:space="preserve">to </w:t>
      </w:r>
      <w:r w:rsidR="000E3E4D">
        <w:rPr>
          <w:rFonts w:ascii="Times New Roman" w:eastAsia="Times New Roman" w:hAnsi="Times New Roman" w:cs="Times New Roman"/>
          <w:lang w:val="en-US"/>
        </w:rPr>
        <w:t>our research were unaware of the new regulation.</w:t>
      </w:r>
      <w:r w:rsidR="00186BE6" w:rsidRPr="00622F6C">
        <w:rPr>
          <w:rStyle w:val="FootnoteReference"/>
          <w:rFonts w:ascii="Times New Roman" w:hAnsi="Times New Roman" w:cs="Times New Roman"/>
          <w:lang w:val="en-US"/>
        </w:rPr>
        <w:footnoteReference w:id="7"/>
      </w:r>
      <w:r w:rsidR="00186BE6">
        <w:rPr>
          <w:rFonts w:ascii="Times New Roman" w:hAnsi="Times New Roman" w:cs="Times New Roman"/>
          <w:lang w:val="en-US"/>
        </w:rPr>
        <w:t xml:space="preserve"> </w:t>
      </w:r>
    </w:p>
    <w:p w14:paraId="56BEA26B" w14:textId="5AA21AEA" w:rsidR="001C2578" w:rsidRPr="00622F6C" w:rsidRDefault="0084044A" w:rsidP="001C2578">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In summary</w:t>
      </w:r>
      <w:r w:rsidR="00E9570B" w:rsidRPr="00622F6C">
        <w:rPr>
          <w:rFonts w:ascii="Times New Roman" w:hAnsi="Times New Roman" w:cs="Times New Roman"/>
          <w:lang w:val="en-US"/>
        </w:rPr>
        <w:t>, we do not have a clear prediction regarding the sign</w:t>
      </w:r>
      <w:r w:rsidR="001C2578" w:rsidRPr="00622F6C">
        <w:rPr>
          <w:rFonts w:ascii="Times New Roman" w:hAnsi="Times New Roman" w:cs="Times New Roman"/>
          <w:lang w:val="en-US"/>
        </w:rPr>
        <w:t xml:space="preserve"> of the average stock price reaction to the MSA. </w:t>
      </w:r>
      <w:r w:rsidR="000E49B9">
        <w:rPr>
          <w:rFonts w:ascii="Times New Roman" w:hAnsi="Times New Roman" w:cs="Times New Roman"/>
          <w:lang w:val="en-US"/>
        </w:rPr>
        <w:t>While we believe it is unlikely the MSA has no predicted cash flow implications</w:t>
      </w:r>
      <w:r w:rsidR="0084780B">
        <w:rPr>
          <w:rFonts w:ascii="Times New Roman" w:hAnsi="Times New Roman" w:cs="Times New Roman"/>
          <w:lang w:val="en-US"/>
        </w:rPr>
        <w:t xml:space="preserve">, or that </w:t>
      </w:r>
      <w:r w:rsidR="000E49B9">
        <w:rPr>
          <w:rFonts w:ascii="Times New Roman" w:hAnsi="Times New Roman" w:cs="Times New Roman"/>
          <w:lang w:val="en-US"/>
        </w:rPr>
        <w:t>relevant parties</w:t>
      </w:r>
      <w:r w:rsidR="0084780B">
        <w:rPr>
          <w:rFonts w:ascii="Times New Roman" w:hAnsi="Times New Roman" w:cs="Times New Roman"/>
          <w:lang w:val="en-US"/>
        </w:rPr>
        <w:t xml:space="preserve"> </w:t>
      </w:r>
      <w:r w:rsidR="00D56D83">
        <w:rPr>
          <w:rFonts w:ascii="Times New Roman" w:hAnsi="Times New Roman" w:cs="Times New Roman"/>
          <w:lang w:val="en-US"/>
        </w:rPr>
        <w:t>have no knowledge</w:t>
      </w:r>
      <w:r w:rsidR="0084780B">
        <w:rPr>
          <w:rFonts w:ascii="Times New Roman" w:hAnsi="Times New Roman" w:cs="Times New Roman"/>
          <w:lang w:val="en-US"/>
        </w:rPr>
        <w:t xml:space="preserve"> of the Act</w:t>
      </w:r>
      <w:r w:rsidR="000E49B9">
        <w:rPr>
          <w:rFonts w:ascii="Times New Roman" w:hAnsi="Times New Roman" w:cs="Times New Roman"/>
          <w:lang w:val="en-US"/>
        </w:rPr>
        <w:t xml:space="preserve">, we keep a ‘no result’ option open as well. </w:t>
      </w:r>
      <w:r w:rsidR="00B43252">
        <w:rPr>
          <w:rFonts w:ascii="Times New Roman" w:hAnsi="Times New Roman" w:cs="Times New Roman"/>
          <w:lang w:val="en-US"/>
        </w:rPr>
        <w:t>If</w:t>
      </w:r>
      <w:r w:rsidR="002A6738">
        <w:rPr>
          <w:rFonts w:ascii="Times New Roman" w:hAnsi="Times New Roman" w:cs="Times New Roman"/>
          <w:lang w:val="en-US"/>
        </w:rPr>
        <w:t xml:space="preserve"> investors do expect </w:t>
      </w:r>
      <w:r w:rsidR="00FE323E">
        <w:rPr>
          <w:rFonts w:ascii="Times New Roman" w:hAnsi="Times New Roman" w:cs="Times New Roman"/>
          <w:lang w:val="en-US"/>
        </w:rPr>
        <w:t xml:space="preserve">the MSA to be relevant to </w:t>
      </w:r>
      <w:r w:rsidR="000E49B9">
        <w:rPr>
          <w:rFonts w:ascii="Times New Roman" w:hAnsi="Times New Roman" w:cs="Times New Roman"/>
          <w:lang w:val="en-US"/>
        </w:rPr>
        <w:t>future</w:t>
      </w:r>
      <w:r w:rsidR="00FE323E">
        <w:rPr>
          <w:rFonts w:ascii="Times New Roman" w:hAnsi="Times New Roman" w:cs="Times New Roman"/>
          <w:lang w:val="en-US"/>
        </w:rPr>
        <w:t xml:space="preserve"> cash flows</w:t>
      </w:r>
      <w:r w:rsidR="00063E4F">
        <w:rPr>
          <w:rFonts w:ascii="Times New Roman" w:hAnsi="Times New Roman" w:cs="Times New Roman"/>
          <w:lang w:val="en-US"/>
        </w:rPr>
        <w:t xml:space="preserve">, </w:t>
      </w:r>
      <w:r w:rsidR="00FE323E">
        <w:rPr>
          <w:rFonts w:ascii="Times New Roman" w:hAnsi="Times New Roman" w:cs="Times New Roman"/>
          <w:lang w:val="en-US"/>
        </w:rPr>
        <w:t xml:space="preserve">we expect their reaction to be </w:t>
      </w:r>
      <w:r>
        <w:rPr>
          <w:rFonts w:ascii="Times New Roman" w:hAnsi="Times New Roman" w:cs="Times New Roman"/>
          <w:lang w:val="en-US"/>
        </w:rPr>
        <w:t xml:space="preserve">influenced </w:t>
      </w:r>
      <w:r w:rsidR="00FE323E">
        <w:rPr>
          <w:rFonts w:ascii="Times New Roman" w:hAnsi="Times New Roman" w:cs="Times New Roman"/>
          <w:lang w:val="en-US"/>
        </w:rPr>
        <w:t>by two factors</w:t>
      </w:r>
      <w:r w:rsidR="001C2578" w:rsidRPr="00622F6C">
        <w:rPr>
          <w:rFonts w:ascii="Times New Roman" w:hAnsi="Times New Roman" w:cs="Times New Roman"/>
          <w:lang w:val="en-US"/>
        </w:rPr>
        <w:t>, i.e. slavery risk and CSR disclosure</w:t>
      </w:r>
      <w:r>
        <w:rPr>
          <w:rFonts w:ascii="Times New Roman" w:hAnsi="Times New Roman" w:cs="Times New Roman"/>
          <w:lang w:val="en-US"/>
        </w:rPr>
        <w:t xml:space="preserve"> levels</w:t>
      </w:r>
      <w:r w:rsidR="00F16A85" w:rsidRPr="00622F6C">
        <w:rPr>
          <w:rFonts w:ascii="Times New Roman" w:hAnsi="Times New Roman" w:cs="Times New Roman"/>
          <w:lang w:val="en-US"/>
        </w:rPr>
        <w:t xml:space="preserve">. We </w:t>
      </w:r>
      <w:r w:rsidR="000E7793">
        <w:rPr>
          <w:rFonts w:ascii="Times New Roman" w:hAnsi="Times New Roman" w:cs="Times New Roman"/>
          <w:lang w:val="en-US"/>
        </w:rPr>
        <w:t>further justify</w:t>
      </w:r>
      <w:r w:rsidR="000E7793" w:rsidRPr="00622F6C">
        <w:rPr>
          <w:rFonts w:ascii="Times New Roman" w:hAnsi="Times New Roman" w:cs="Times New Roman"/>
          <w:lang w:val="en-US"/>
        </w:rPr>
        <w:t xml:space="preserve"> </w:t>
      </w:r>
      <w:r w:rsidR="00F16A85" w:rsidRPr="00622F6C">
        <w:rPr>
          <w:rFonts w:ascii="Times New Roman" w:hAnsi="Times New Roman" w:cs="Times New Roman"/>
          <w:lang w:val="en-US"/>
        </w:rPr>
        <w:t xml:space="preserve">these </w:t>
      </w:r>
      <w:r w:rsidR="00D56D83">
        <w:rPr>
          <w:rFonts w:ascii="Times New Roman" w:hAnsi="Times New Roman" w:cs="Times New Roman"/>
          <w:lang w:val="en-US"/>
        </w:rPr>
        <w:t>potential stock price reaction determinants</w:t>
      </w:r>
      <w:r w:rsidR="00F16A85" w:rsidRPr="00622F6C">
        <w:rPr>
          <w:rFonts w:ascii="Times New Roman" w:hAnsi="Times New Roman" w:cs="Times New Roman"/>
          <w:lang w:val="en-US"/>
        </w:rPr>
        <w:t>, which</w:t>
      </w:r>
      <w:r w:rsidR="00252675">
        <w:rPr>
          <w:rFonts w:ascii="Times New Roman" w:hAnsi="Times New Roman" w:cs="Times New Roman"/>
          <w:lang w:val="en-US"/>
        </w:rPr>
        <w:t xml:space="preserve"> both have a sound foundation in the literature and</w:t>
      </w:r>
      <w:r w:rsidR="00F16A85" w:rsidRPr="00622F6C">
        <w:rPr>
          <w:rFonts w:ascii="Times New Roman" w:hAnsi="Times New Roman" w:cs="Times New Roman"/>
          <w:lang w:val="en-US"/>
        </w:rPr>
        <w:t xml:space="preserve"> </w:t>
      </w:r>
      <w:r w:rsidR="002114BE" w:rsidRPr="00622F6C">
        <w:rPr>
          <w:rFonts w:ascii="Times New Roman" w:hAnsi="Times New Roman" w:cs="Times New Roman"/>
          <w:lang w:val="en-US"/>
        </w:rPr>
        <w:t>are</w:t>
      </w:r>
      <w:r w:rsidR="00F16A85" w:rsidRPr="00622F6C">
        <w:rPr>
          <w:rFonts w:ascii="Times New Roman" w:hAnsi="Times New Roman" w:cs="Times New Roman"/>
          <w:lang w:val="en-US"/>
        </w:rPr>
        <w:t xml:space="preserve"> the key focus of our empirical tests, in the </w:t>
      </w:r>
      <w:r w:rsidR="000E7793">
        <w:rPr>
          <w:rFonts w:ascii="Times New Roman" w:hAnsi="Times New Roman" w:cs="Times New Roman"/>
          <w:lang w:val="en-US"/>
        </w:rPr>
        <w:t>following</w:t>
      </w:r>
      <w:r w:rsidR="000E7793" w:rsidRPr="00622F6C">
        <w:rPr>
          <w:rFonts w:ascii="Times New Roman" w:hAnsi="Times New Roman" w:cs="Times New Roman"/>
          <w:lang w:val="en-US"/>
        </w:rPr>
        <w:t xml:space="preserve"> </w:t>
      </w:r>
      <w:bookmarkStart w:id="37" w:name="_Hlk5283988"/>
      <w:r w:rsidR="00F16A85" w:rsidRPr="00622F6C">
        <w:rPr>
          <w:rFonts w:ascii="Times New Roman" w:hAnsi="Times New Roman" w:cs="Times New Roman"/>
          <w:lang w:val="en-US"/>
        </w:rPr>
        <w:t>subsections</w:t>
      </w:r>
      <w:bookmarkEnd w:id="37"/>
      <w:r w:rsidR="00F16A85" w:rsidRPr="00622F6C">
        <w:rPr>
          <w:rFonts w:ascii="Times New Roman" w:hAnsi="Times New Roman" w:cs="Times New Roman"/>
          <w:lang w:val="en-US"/>
        </w:rPr>
        <w:t xml:space="preserve">. </w:t>
      </w:r>
    </w:p>
    <w:p w14:paraId="6A69C6E6" w14:textId="77777777" w:rsidR="001B4E23" w:rsidRDefault="001B4E23" w:rsidP="000F29D6">
      <w:pPr>
        <w:spacing w:after="0" w:line="480" w:lineRule="auto"/>
        <w:jc w:val="both"/>
        <w:rPr>
          <w:rFonts w:ascii="Times New Roman" w:hAnsi="Times New Roman" w:cs="Times New Roman"/>
          <w:i/>
          <w:lang w:val="en-US"/>
        </w:rPr>
      </w:pPr>
    </w:p>
    <w:p w14:paraId="77005233" w14:textId="77777777" w:rsidR="000F29D6" w:rsidRPr="00622F6C" w:rsidRDefault="006B0CC0" w:rsidP="000F29D6">
      <w:pPr>
        <w:spacing w:after="0" w:line="480" w:lineRule="auto"/>
        <w:jc w:val="both"/>
        <w:rPr>
          <w:rFonts w:ascii="Times New Roman" w:hAnsi="Times New Roman" w:cs="Times New Roman"/>
          <w:i/>
          <w:lang w:val="en-US"/>
        </w:rPr>
      </w:pPr>
      <w:r w:rsidRPr="00622F6C">
        <w:rPr>
          <w:rFonts w:ascii="Times New Roman" w:hAnsi="Times New Roman" w:cs="Times New Roman"/>
          <w:i/>
          <w:lang w:val="en-US"/>
        </w:rPr>
        <w:t>4</w:t>
      </w:r>
      <w:r w:rsidR="004C07D4" w:rsidRPr="00622F6C">
        <w:rPr>
          <w:rFonts w:ascii="Times New Roman" w:hAnsi="Times New Roman" w:cs="Times New Roman"/>
          <w:i/>
          <w:lang w:val="en-US"/>
        </w:rPr>
        <w:t>.</w:t>
      </w:r>
      <w:r w:rsidR="00C122C0" w:rsidRPr="00622F6C">
        <w:rPr>
          <w:rFonts w:ascii="Times New Roman" w:hAnsi="Times New Roman" w:cs="Times New Roman"/>
          <w:i/>
          <w:lang w:val="en-US"/>
        </w:rPr>
        <w:t>1</w:t>
      </w:r>
      <w:r w:rsidR="000F29D6" w:rsidRPr="00622F6C">
        <w:rPr>
          <w:rFonts w:ascii="Times New Roman" w:hAnsi="Times New Roman" w:cs="Times New Roman"/>
          <w:i/>
          <w:lang w:val="en-US"/>
        </w:rPr>
        <w:t xml:space="preserve">. </w:t>
      </w:r>
      <w:r w:rsidR="0084044A">
        <w:rPr>
          <w:rFonts w:ascii="Times New Roman" w:hAnsi="Times New Roman" w:cs="Times New Roman"/>
          <w:i/>
          <w:lang w:val="en-US"/>
        </w:rPr>
        <w:t xml:space="preserve">Impact of </w:t>
      </w:r>
      <w:r w:rsidR="000F29D6" w:rsidRPr="00622F6C">
        <w:rPr>
          <w:rFonts w:ascii="Times New Roman" w:hAnsi="Times New Roman" w:cs="Times New Roman"/>
          <w:i/>
          <w:lang w:val="en-US"/>
        </w:rPr>
        <w:t>slavery risk</w:t>
      </w:r>
      <w:r w:rsidR="0084044A">
        <w:rPr>
          <w:rFonts w:ascii="Times New Roman" w:hAnsi="Times New Roman" w:cs="Times New Roman"/>
          <w:i/>
          <w:lang w:val="en-US"/>
        </w:rPr>
        <w:t xml:space="preserve"> on stock price reactions </w:t>
      </w:r>
    </w:p>
    <w:p w14:paraId="625E56E7" w14:textId="77777777" w:rsidR="00792754" w:rsidRDefault="00987AE9" w:rsidP="00792754">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 xml:space="preserve">We define slavery risk </w:t>
      </w:r>
      <w:r w:rsidR="009843E0" w:rsidRPr="00622F6C">
        <w:rPr>
          <w:rFonts w:ascii="Times New Roman" w:hAnsi="Times New Roman" w:cs="Times New Roman"/>
          <w:lang w:val="en-US"/>
        </w:rPr>
        <w:t xml:space="preserve">as </w:t>
      </w:r>
      <w:r w:rsidR="0084044A">
        <w:rPr>
          <w:rFonts w:ascii="Times New Roman" w:hAnsi="Times New Roman" w:cs="Times New Roman"/>
          <w:lang w:val="en-US"/>
        </w:rPr>
        <w:t>a firm’s</w:t>
      </w:r>
      <w:r w:rsidR="0084044A" w:rsidRPr="00622F6C">
        <w:rPr>
          <w:rFonts w:ascii="Times New Roman" w:hAnsi="Times New Roman" w:cs="Times New Roman"/>
          <w:lang w:val="en-US"/>
        </w:rPr>
        <w:t xml:space="preserve"> </w:t>
      </w:r>
      <w:r w:rsidR="009843E0" w:rsidRPr="00622F6C">
        <w:rPr>
          <w:rFonts w:ascii="Times New Roman" w:hAnsi="Times New Roman" w:cs="Times New Roman"/>
          <w:lang w:val="en-US"/>
        </w:rPr>
        <w:t xml:space="preserve">ex-ante (pre-regulatory) </w:t>
      </w:r>
      <w:r w:rsidR="005D27BA" w:rsidRPr="00622F6C">
        <w:rPr>
          <w:rFonts w:ascii="Times New Roman" w:hAnsi="Times New Roman" w:cs="Times New Roman"/>
          <w:lang w:val="en-US"/>
        </w:rPr>
        <w:t xml:space="preserve">likelihood of </w:t>
      </w:r>
      <w:r w:rsidR="00E87E14">
        <w:rPr>
          <w:rFonts w:ascii="Times New Roman" w:hAnsi="Times New Roman" w:cs="Times New Roman"/>
          <w:lang w:val="en-US"/>
        </w:rPr>
        <w:t>exposure</w:t>
      </w:r>
      <w:r w:rsidR="005D27BA" w:rsidRPr="00622F6C">
        <w:rPr>
          <w:rFonts w:ascii="Times New Roman" w:hAnsi="Times New Roman" w:cs="Times New Roman"/>
          <w:lang w:val="en-US"/>
        </w:rPr>
        <w:t xml:space="preserve"> to</w:t>
      </w:r>
      <w:r w:rsidR="000F29D6" w:rsidRPr="00622F6C">
        <w:rPr>
          <w:rFonts w:ascii="Times New Roman" w:hAnsi="Times New Roman" w:cs="Times New Roman"/>
          <w:lang w:val="en-US"/>
        </w:rPr>
        <w:t xml:space="preserve"> </w:t>
      </w:r>
      <w:r w:rsidR="00F16A85" w:rsidRPr="00622F6C">
        <w:rPr>
          <w:rFonts w:ascii="Times New Roman" w:hAnsi="Times New Roman" w:cs="Times New Roman"/>
          <w:lang w:val="en-US"/>
        </w:rPr>
        <w:t xml:space="preserve">modern </w:t>
      </w:r>
      <w:r w:rsidR="000F29D6" w:rsidRPr="00622F6C">
        <w:rPr>
          <w:rFonts w:ascii="Times New Roman" w:hAnsi="Times New Roman" w:cs="Times New Roman"/>
          <w:lang w:val="en-US"/>
        </w:rPr>
        <w:t>slavery incidents</w:t>
      </w:r>
      <w:r w:rsidR="000E7793">
        <w:rPr>
          <w:rFonts w:ascii="Times New Roman" w:hAnsi="Times New Roman" w:cs="Times New Roman"/>
          <w:lang w:val="en-US"/>
        </w:rPr>
        <w:t>,</w:t>
      </w:r>
      <w:r w:rsidR="00256CF9" w:rsidRPr="00622F6C">
        <w:rPr>
          <w:rFonts w:ascii="Times New Roman" w:hAnsi="Times New Roman" w:cs="Times New Roman"/>
          <w:lang w:val="en-US"/>
        </w:rPr>
        <w:t xml:space="preserve"> through </w:t>
      </w:r>
      <w:r w:rsidR="0084044A">
        <w:rPr>
          <w:rFonts w:ascii="Times New Roman" w:hAnsi="Times New Roman" w:cs="Times New Roman"/>
          <w:lang w:val="en-US"/>
        </w:rPr>
        <w:t xml:space="preserve">its </w:t>
      </w:r>
      <w:r w:rsidR="001B4E23">
        <w:rPr>
          <w:rFonts w:ascii="Times New Roman" w:hAnsi="Times New Roman" w:cs="Times New Roman"/>
          <w:lang w:val="en-US"/>
        </w:rPr>
        <w:t>focal</w:t>
      </w:r>
      <w:r w:rsidR="00256CF9" w:rsidRPr="00622F6C">
        <w:rPr>
          <w:rFonts w:ascii="Times New Roman" w:hAnsi="Times New Roman" w:cs="Times New Roman"/>
          <w:lang w:val="en-US"/>
        </w:rPr>
        <w:t xml:space="preserve"> business or</w:t>
      </w:r>
      <w:r w:rsidR="000E7793">
        <w:rPr>
          <w:rFonts w:ascii="Times New Roman" w:hAnsi="Times New Roman" w:cs="Times New Roman"/>
          <w:lang w:val="en-US"/>
        </w:rPr>
        <w:t xml:space="preserve"> </w:t>
      </w:r>
      <w:r w:rsidR="00256CF9" w:rsidRPr="00622F6C">
        <w:rPr>
          <w:rFonts w:ascii="Times New Roman" w:hAnsi="Times New Roman" w:cs="Times New Roman"/>
          <w:lang w:val="en-US"/>
        </w:rPr>
        <w:t>supply chain</w:t>
      </w:r>
      <w:r w:rsidR="005D27BA" w:rsidRPr="00622F6C">
        <w:rPr>
          <w:rFonts w:ascii="Times New Roman" w:hAnsi="Times New Roman" w:cs="Times New Roman"/>
          <w:lang w:val="en-US"/>
        </w:rPr>
        <w:t xml:space="preserve">. </w:t>
      </w:r>
      <w:r w:rsidR="009843E0" w:rsidRPr="00622F6C">
        <w:rPr>
          <w:rFonts w:ascii="Times New Roman" w:hAnsi="Times New Roman" w:cs="Times New Roman"/>
          <w:lang w:val="en-US"/>
        </w:rPr>
        <w:t xml:space="preserve">Grewal et al. (2018) argue that new EU regulation regarding the disclosure of non-financial information might make investors more sensitive to non-financial information </w:t>
      </w:r>
      <w:r w:rsidR="00455203" w:rsidRPr="00622F6C">
        <w:rPr>
          <w:rFonts w:ascii="Times New Roman" w:hAnsi="Times New Roman" w:cs="Times New Roman"/>
          <w:lang w:val="en-US"/>
        </w:rPr>
        <w:t>when selecting stocks</w:t>
      </w:r>
      <w:r w:rsidR="009843E0" w:rsidRPr="00622F6C">
        <w:rPr>
          <w:rFonts w:ascii="Times New Roman" w:hAnsi="Times New Roman" w:cs="Times New Roman"/>
          <w:lang w:val="en-US"/>
        </w:rPr>
        <w:t>.</w:t>
      </w:r>
      <w:r w:rsidR="00256CF9" w:rsidRPr="00622F6C">
        <w:rPr>
          <w:rFonts w:ascii="Times New Roman" w:hAnsi="Times New Roman" w:cs="Times New Roman"/>
          <w:lang w:val="en-US"/>
        </w:rPr>
        <w:t xml:space="preserve"> </w:t>
      </w:r>
      <w:r w:rsidR="002353E0" w:rsidRPr="00622F6C">
        <w:rPr>
          <w:rFonts w:ascii="Times New Roman" w:hAnsi="Times New Roman" w:cs="Times New Roman"/>
          <w:lang w:val="en-US"/>
        </w:rPr>
        <w:t>In a similar vein</w:t>
      </w:r>
      <w:r w:rsidR="009843E0" w:rsidRPr="00622F6C">
        <w:rPr>
          <w:rFonts w:ascii="Times New Roman" w:hAnsi="Times New Roman" w:cs="Times New Roman"/>
          <w:lang w:val="en-US"/>
        </w:rPr>
        <w:t xml:space="preserve">, we predict that </w:t>
      </w:r>
      <w:r w:rsidR="005D27BA" w:rsidRPr="00622F6C">
        <w:rPr>
          <w:rFonts w:ascii="Times New Roman" w:hAnsi="Times New Roman" w:cs="Times New Roman"/>
          <w:lang w:val="en-US"/>
        </w:rPr>
        <w:t xml:space="preserve">the MSA </w:t>
      </w:r>
      <w:r w:rsidR="009843E0" w:rsidRPr="00622F6C">
        <w:rPr>
          <w:rFonts w:ascii="Times New Roman" w:hAnsi="Times New Roman" w:cs="Times New Roman"/>
          <w:lang w:val="en-US"/>
        </w:rPr>
        <w:t>will cause</w:t>
      </w:r>
      <w:r w:rsidR="005D27BA" w:rsidRPr="00622F6C">
        <w:rPr>
          <w:rFonts w:ascii="Times New Roman" w:hAnsi="Times New Roman" w:cs="Times New Roman"/>
          <w:lang w:val="en-US"/>
        </w:rPr>
        <w:t xml:space="preserve"> investors to place a higher weight on</w:t>
      </w:r>
      <w:r w:rsidR="00B0231C" w:rsidRPr="00622F6C">
        <w:rPr>
          <w:rFonts w:ascii="Times New Roman" w:hAnsi="Times New Roman" w:cs="Times New Roman"/>
          <w:lang w:val="en-US"/>
        </w:rPr>
        <w:t xml:space="preserve"> slavery risk</w:t>
      </w:r>
      <w:r w:rsidR="00370C08" w:rsidRPr="00622F6C">
        <w:rPr>
          <w:rFonts w:ascii="Times New Roman" w:hAnsi="Times New Roman" w:cs="Times New Roman"/>
          <w:lang w:val="en-US"/>
        </w:rPr>
        <w:t xml:space="preserve"> in their </w:t>
      </w:r>
      <w:r w:rsidR="00792754">
        <w:rPr>
          <w:rFonts w:ascii="Times New Roman" w:hAnsi="Times New Roman" w:cs="Times New Roman"/>
          <w:lang w:val="en-US"/>
        </w:rPr>
        <w:t xml:space="preserve">portfolio allocation </w:t>
      </w:r>
      <w:r w:rsidR="00370C08" w:rsidRPr="00622F6C">
        <w:rPr>
          <w:rFonts w:ascii="Times New Roman" w:hAnsi="Times New Roman" w:cs="Times New Roman"/>
          <w:lang w:val="en-US"/>
        </w:rPr>
        <w:t>decision</w:t>
      </w:r>
      <w:r w:rsidR="000E7793">
        <w:rPr>
          <w:rFonts w:ascii="Times New Roman" w:hAnsi="Times New Roman" w:cs="Times New Roman"/>
          <w:lang w:val="en-US"/>
        </w:rPr>
        <w:t>s</w:t>
      </w:r>
      <w:r w:rsidR="00792754">
        <w:rPr>
          <w:rFonts w:ascii="Times New Roman" w:hAnsi="Times New Roman" w:cs="Times New Roman"/>
          <w:lang w:val="en-US"/>
        </w:rPr>
        <w:t xml:space="preserve">, for the </w:t>
      </w:r>
      <w:r w:rsidR="0084044A">
        <w:rPr>
          <w:rFonts w:ascii="Times New Roman" w:hAnsi="Times New Roman" w:cs="Times New Roman"/>
          <w:lang w:val="en-US"/>
        </w:rPr>
        <w:t xml:space="preserve">following three potential reasons. </w:t>
      </w:r>
    </w:p>
    <w:p w14:paraId="5838B6CE" w14:textId="77777777" w:rsidR="00D56D83" w:rsidRDefault="00792754" w:rsidP="00D56D83">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 xml:space="preserve">First, </w:t>
      </w:r>
      <w:r w:rsidR="001B4E23">
        <w:rPr>
          <w:rFonts w:ascii="Times New Roman" w:hAnsi="Times New Roman" w:cs="Times New Roman"/>
          <w:lang w:val="en-US"/>
        </w:rPr>
        <w:t>the MSA could result in cash-flow-affecting actions</w:t>
      </w:r>
      <w:r w:rsidR="006E2109">
        <w:rPr>
          <w:rFonts w:ascii="Times New Roman" w:hAnsi="Times New Roman" w:cs="Times New Roman"/>
          <w:lang w:val="en-US"/>
        </w:rPr>
        <w:t xml:space="preserve"> by a range of stakeholders of the firm</w:t>
      </w:r>
      <w:r w:rsidR="001B4E23">
        <w:rPr>
          <w:rFonts w:ascii="Times New Roman" w:hAnsi="Times New Roman" w:cs="Times New Roman"/>
          <w:lang w:val="en-US"/>
        </w:rPr>
        <w:t xml:space="preserve">. </w:t>
      </w:r>
      <w:r w:rsidR="00D56D83">
        <w:rPr>
          <w:rFonts w:ascii="Times New Roman" w:hAnsi="Times New Roman" w:cs="Times New Roman"/>
          <w:lang w:val="en-US"/>
        </w:rPr>
        <w:t>C</w:t>
      </w:r>
      <w:r w:rsidR="00803FC1">
        <w:rPr>
          <w:rFonts w:ascii="Times New Roman" w:hAnsi="Times New Roman" w:cs="Times New Roman"/>
          <w:lang w:val="en-US"/>
        </w:rPr>
        <w:t>ustomers are a first important group</w:t>
      </w:r>
      <w:r w:rsidR="006B0CC0" w:rsidRPr="00622F6C">
        <w:rPr>
          <w:rFonts w:ascii="Times New Roman" w:hAnsi="Times New Roman" w:cs="Times New Roman"/>
          <w:lang w:val="en-US"/>
        </w:rPr>
        <w:t xml:space="preserve"> of stakeholders </w:t>
      </w:r>
      <w:r w:rsidR="00A71CDB">
        <w:rPr>
          <w:rFonts w:ascii="Times New Roman" w:hAnsi="Times New Roman" w:cs="Times New Roman"/>
          <w:lang w:val="en-US"/>
        </w:rPr>
        <w:t>who may be affected by the MSA</w:t>
      </w:r>
      <w:r w:rsidR="006B0CC0" w:rsidRPr="00622F6C">
        <w:rPr>
          <w:rFonts w:ascii="Times New Roman" w:hAnsi="Times New Roman" w:cs="Times New Roman"/>
          <w:lang w:val="en-US"/>
        </w:rPr>
        <w:t xml:space="preserve">. </w:t>
      </w:r>
      <w:r w:rsidR="00995A9A" w:rsidRPr="00622F6C">
        <w:rPr>
          <w:rFonts w:ascii="Times New Roman" w:hAnsi="Times New Roman" w:cs="Times New Roman"/>
          <w:lang w:val="en-US"/>
        </w:rPr>
        <w:t xml:space="preserve">While there is </w:t>
      </w:r>
      <w:r w:rsidR="00995A9A" w:rsidRPr="00622F6C">
        <w:rPr>
          <w:rFonts w:ascii="Times New Roman" w:hAnsi="Times New Roman" w:cs="Times New Roman"/>
          <w:lang w:val="en-US"/>
        </w:rPr>
        <w:lastRenderedPageBreak/>
        <w:t xml:space="preserve">no literature so far on the relation between </w:t>
      </w:r>
      <w:r w:rsidR="00D56D83">
        <w:rPr>
          <w:rFonts w:ascii="Times New Roman" w:hAnsi="Times New Roman" w:cs="Times New Roman"/>
          <w:lang w:val="en-US"/>
        </w:rPr>
        <w:t>a firm’s</w:t>
      </w:r>
      <w:r w:rsidR="00D56D83" w:rsidRPr="00622F6C">
        <w:rPr>
          <w:rFonts w:ascii="Times New Roman" w:hAnsi="Times New Roman" w:cs="Times New Roman"/>
          <w:lang w:val="en-US"/>
        </w:rPr>
        <w:t xml:space="preserve"> </w:t>
      </w:r>
      <w:r w:rsidR="00995A9A" w:rsidRPr="00622F6C">
        <w:rPr>
          <w:rFonts w:ascii="Times New Roman" w:hAnsi="Times New Roman" w:cs="Times New Roman"/>
          <w:lang w:val="en-US"/>
        </w:rPr>
        <w:t xml:space="preserve">exposure to slavery incidents and </w:t>
      </w:r>
      <w:r w:rsidR="006B0CC0" w:rsidRPr="00622F6C">
        <w:rPr>
          <w:rFonts w:ascii="Times New Roman" w:hAnsi="Times New Roman" w:cs="Times New Roman"/>
          <w:lang w:val="en-US"/>
        </w:rPr>
        <w:t xml:space="preserve">customer </w:t>
      </w:r>
      <w:r w:rsidR="00995A9A" w:rsidRPr="00622F6C">
        <w:rPr>
          <w:rFonts w:ascii="Times New Roman" w:hAnsi="Times New Roman" w:cs="Times New Roman"/>
          <w:lang w:val="en-US"/>
        </w:rPr>
        <w:t xml:space="preserve">actions, the preponderance of empirical evidence suggests that CSR activities in general generate </w:t>
      </w:r>
      <w:r w:rsidR="00FA340B" w:rsidRPr="00622F6C">
        <w:rPr>
          <w:rFonts w:ascii="Times New Roman" w:hAnsi="Times New Roman" w:cs="Times New Roman"/>
          <w:lang w:val="en-US"/>
        </w:rPr>
        <w:t>stronger</w:t>
      </w:r>
      <w:r w:rsidR="00995A9A" w:rsidRPr="00622F6C">
        <w:rPr>
          <w:rFonts w:ascii="Times New Roman" w:hAnsi="Times New Roman" w:cs="Times New Roman"/>
          <w:lang w:val="en-US"/>
        </w:rPr>
        <w:t xml:space="preserve"> purchase intentions and brand loyalty (</w:t>
      </w:r>
      <w:r w:rsidR="006B0CC0" w:rsidRPr="00622F6C">
        <w:rPr>
          <w:rFonts w:ascii="Times New Roman" w:hAnsi="Times New Roman" w:cs="Times New Roman"/>
          <w:lang w:val="en-US"/>
        </w:rPr>
        <w:t>Bhattacharya and Sen, 2004</w:t>
      </w:r>
      <w:r w:rsidR="00995A9A" w:rsidRPr="00622F6C">
        <w:rPr>
          <w:rFonts w:ascii="Times New Roman" w:hAnsi="Times New Roman" w:cs="Times New Roman"/>
          <w:lang w:val="en-US"/>
        </w:rPr>
        <w:t xml:space="preserve">), </w:t>
      </w:r>
      <w:r w:rsidR="006B0CC0" w:rsidRPr="00622F6C">
        <w:rPr>
          <w:rFonts w:ascii="Times New Roman" w:hAnsi="Times New Roman" w:cs="Times New Roman"/>
          <w:lang w:val="en-US"/>
        </w:rPr>
        <w:t>as well as</w:t>
      </w:r>
      <w:r w:rsidR="00995A9A" w:rsidRPr="00622F6C">
        <w:rPr>
          <w:rFonts w:ascii="Times New Roman" w:hAnsi="Times New Roman" w:cs="Times New Roman"/>
          <w:lang w:val="en-US"/>
        </w:rPr>
        <w:t xml:space="preserve"> a higher willingness to pay (</w:t>
      </w:r>
      <w:r w:rsidR="006B0CC0" w:rsidRPr="00622F6C">
        <w:rPr>
          <w:rFonts w:ascii="Times New Roman" w:hAnsi="Times New Roman" w:cs="Times New Roman"/>
          <w:lang w:val="en-US"/>
        </w:rPr>
        <w:t>Pigors and Rockenbach, 2016).</w:t>
      </w:r>
      <w:r w:rsidR="002A3193" w:rsidRPr="00622F6C">
        <w:rPr>
          <w:rFonts w:ascii="Times New Roman" w:hAnsi="Times New Roman" w:cs="Times New Roman"/>
          <w:lang w:val="en-US"/>
        </w:rPr>
        <w:t xml:space="preserve"> </w:t>
      </w:r>
      <w:r w:rsidR="006E2109">
        <w:rPr>
          <w:rFonts w:ascii="Times New Roman" w:hAnsi="Times New Roman" w:cs="Times New Roman"/>
          <w:lang w:val="en-US"/>
        </w:rPr>
        <w:t>C</w:t>
      </w:r>
      <w:r w:rsidR="006363AE">
        <w:rPr>
          <w:rFonts w:ascii="Times New Roman" w:hAnsi="Times New Roman" w:cs="Times New Roman"/>
          <w:lang w:val="en-US"/>
        </w:rPr>
        <w:t xml:space="preserve">ustomers </w:t>
      </w:r>
      <w:r w:rsidR="006363AE" w:rsidRPr="00622F6C">
        <w:rPr>
          <w:rFonts w:ascii="Times New Roman" w:hAnsi="Times New Roman" w:cs="Times New Roman"/>
          <w:lang w:val="en-US"/>
        </w:rPr>
        <w:t>may be more favorably inclined towards low</w:t>
      </w:r>
      <w:r w:rsidR="006363AE">
        <w:rPr>
          <w:rFonts w:ascii="Times New Roman" w:hAnsi="Times New Roman" w:cs="Times New Roman"/>
          <w:lang w:val="en-US"/>
        </w:rPr>
        <w:t>-</w:t>
      </w:r>
      <w:r w:rsidR="006363AE" w:rsidRPr="00622F6C">
        <w:rPr>
          <w:rFonts w:ascii="Times New Roman" w:hAnsi="Times New Roman" w:cs="Times New Roman"/>
          <w:lang w:val="en-US"/>
        </w:rPr>
        <w:t>slavery</w:t>
      </w:r>
      <w:r w:rsidR="006363AE">
        <w:rPr>
          <w:rFonts w:ascii="Times New Roman" w:hAnsi="Times New Roman" w:cs="Times New Roman"/>
          <w:lang w:val="en-US"/>
        </w:rPr>
        <w:t>-</w:t>
      </w:r>
      <w:r w:rsidR="006363AE" w:rsidRPr="00622F6C">
        <w:rPr>
          <w:rFonts w:ascii="Times New Roman" w:hAnsi="Times New Roman" w:cs="Times New Roman"/>
          <w:lang w:val="en-US"/>
        </w:rPr>
        <w:t>risk firms following the MSA</w:t>
      </w:r>
      <w:r w:rsidR="006E2109">
        <w:rPr>
          <w:rFonts w:ascii="Times New Roman" w:hAnsi="Times New Roman" w:cs="Times New Roman"/>
          <w:lang w:val="en-US"/>
        </w:rPr>
        <w:t>, as these firms may find it easier to produce TISC statements demonstrating a low likelihood of involvement in modern slavery, and face a lower risk of being named in the contact of MSA-related convictions</w:t>
      </w:r>
      <w:r w:rsidR="006363AE">
        <w:rPr>
          <w:rFonts w:ascii="Times New Roman" w:hAnsi="Times New Roman" w:cs="Times New Roman"/>
          <w:lang w:val="en-US"/>
        </w:rPr>
        <w:t>.</w:t>
      </w:r>
      <w:r w:rsidR="006363AE" w:rsidRPr="00622F6C">
        <w:rPr>
          <w:rFonts w:ascii="Times New Roman" w:hAnsi="Times New Roman" w:cs="Times New Roman"/>
          <w:lang w:val="en-US"/>
        </w:rPr>
        <w:t xml:space="preserve"> </w:t>
      </w:r>
      <w:r w:rsidR="006B0CC0" w:rsidRPr="00622F6C">
        <w:rPr>
          <w:rFonts w:ascii="Times New Roman" w:hAnsi="Times New Roman" w:cs="Times New Roman"/>
          <w:lang w:val="en-US"/>
        </w:rPr>
        <w:t>O</w:t>
      </w:r>
      <w:r w:rsidR="00A01691" w:rsidRPr="00622F6C">
        <w:rPr>
          <w:rFonts w:ascii="Times New Roman" w:hAnsi="Times New Roman" w:cs="Times New Roman"/>
          <w:lang w:val="en-US"/>
        </w:rPr>
        <w:t>ther stakeholders whose behavio</w:t>
      </w:r>
      <w:r w:rsidR="006B0CC0" w:rsidRPr="00622F6C">
        <w:rPr>
          <w:rFonts w:ascii="Times New Roman" w:hAnsi="Times New Roman" w:cs="Times New Roman"/>
          <w:lang w:val="en-US"/>
        </w:rPr>
        <w:t xml:space="preserve">r may be affected by the MSA </w:t>
      </w:r>
      <w:r w:rsidR="00C67EF2">
        <w:rPr>
          <w:rFonts w:ascii="Times New Roman" w:hAnsi="Times New Roman" w:cs="Times New Roman"/>
          <w:lang w:val="en-US"/>
        </w:rPr>
        <w:t>are</w:t>
      </w:r>
      <w:r w:rsidR="006B0CC0" w:rsidRPr="00622F6C">
        <w:rPr>
          <w:rFonts w:ascii="Times New Roman" w:hAnsi="Times New Roman" w:cs="Times New Roman"/>
          <w:lang w:val="en-US"/>
        </w:rPr>
        <w:t xml:space="preserve"> employees</w:t>
      </w:r>
      <w:r w:rsidR="00C67EF2">
        <w:rPr>
          <w:rFonts w:ascii="Times New Roman" w:hAnsi="Times New Roman" w:cs="Times New Roman"/>
          <w:lang w:val="en-US"/>
        </w:rPr>
        <w:t xml:space="preserve">. Following the enhanced </w:t>
      </w:r>
      <w:r w:rsidR="006E2109">
        <w:rPr>
          <w:rFonts w:ascii="Times New Roman" w:hAnsi="Times New Roman" w:cs="Times New Roman"/>
          <w:lang w:val="en-US"/>
        </w:rPr>
        <w:t xml:space="preserve">societal awareness </w:t>
      </w:r>
      <w:r w:rsidR="00C67EF2">
        <w:rPr>
          <w:rFonts w:ascii="Times New Roman" w:hAnsi="Times New Roman" w:cs="Times New Roman"/>
          <w:lang w:val="en-US"/>
        </w:rPr>
        <w:t>of modern slavery induced by the MSA, employees might have a higher willingness to work for low-slavery-risk firms, and exhibit higher labor productivity in such firms</w:t>
      </w:r>
      <w:r w:rsidR="00F46EBE" w:rsidRPr="00622F6C">
        <w:rPr>
          <w:rFonts w:ascii="Times New Roman" w:hAnsi="Times New Roman" w:cs="Times New Roman"/>
          <w:lang w:val="en-US"/>
        </w:rPr>
        <w:t xml:space="preserve"> (</w:t>
      </w:r>
      <w:r w:rsidR="001C1B5F" w:rsidRPr="00622F6C">
        <w:rPr>
          <w:rFonts w:ascii="Times New Roman" w:hAnsi="Times New Roman" w:cs="Times New Roman"/>
          <w:lang w:val="en-US"/>
        </w:rPr>
        <w:t>Flammer, 2015</w:t>
      </w:r>
      <w:r w:rsidR="006B0CC0" w:rsidRPr="00622F6C">
        <w:rPr>
          <w:rFonts w:ascii="Times New Roman" w:hAnsi="Times New Roman" w:cs="Times New Roman"/>
          <w:lang w:val="en-US"/>
        </w:rPr>
        <w:t xml:space="preserve">). Finally, capital market </w:t>
      </w:r>
      <w:r w:rsidR="0008177C" w:rsidRPr="00622F6C">
        <w:rPr>
          <w:rFonts w:ascii="Times New Roman" w:hAnsi="Times New Roman" w:cs="Times New Roman"/>
          <w:lang w:val="en-US"/>
        </w:rPr>
        <w:t>participants</w:t>
      </w:r>
      <w:r w:rsidR="006B0CC0" w:rsidRPr="00622F6C">
        <w:rPr>
          <w:rFonts w:ascii="Times New Roman" w:hAnsi="Times New Roman" w:cs="Times New Roman"/>
          <w:lang w:val="en-US"/>
        </w:rPr>
        <w:t xml:space="preserve"> themselves may be more willing to extend financing to low</w:t>
      </w:r>
      <w:r w:rsidR="00713AEE">
        <w:rPr>
          <w:rFonts w:ascii="Times New Roman" w:hAnsi="Times New Roman" w:cs="Times New Roman"/>
          <w:lang w:val="en-US"/>
        </w:rPr>
        <w:t>-</w:t>
      </w:r>
      <w:r w:rsidR="006B0CC0" w:rsidRPr="00622F6C">
        <w:rPr>
          <w:rFonts w:ascii="Times New Roman" w:hAnsi="Times New Roman" w:cs="Times New Roman"/>
          <w:lang w:val="en-US"/>
        </w:rPr>
        <w:t>slavery</w:t>
      </w:r>
      <w:r w:rsidR="00713AEE">
        <w:rPr>
          <w:rFonts w:ascii="Times New Roman" w:hAnsi="Times New Roman" w:cs="Times New Roman"/>
          <w:lang w:val="en-US"/>
        </w:rPr>
        <w:t>-</w:t>
      </w:r>
      <w:r w:rsidR="006B0CC0" w:rsidRPr="00622F6C">
        <w:rPr>
          <w:rFonts w:ascii="Times New Roman" w:hAnsi="Times New Roman" w:cs="Times New Roman"/>
          <w:lang w:val="en-US"/>
        </w:rPr>
        <w:t xml:space="preserve">risk firms following </w:t>
      </w:r>
      <w:r w:rsidR="00F16A85" w:rsidRPr="00622F6C">
        <w:rPr>
          <w:rFonts w:ascii="Times New Roman" w:hAnsi="Times New Roman" w:cs="Times New Roman"/>
          <w:lang w:val="en-US"/>
        </w:rPr>
        <w:t xml:space="preserve">the </w:t>
      </w:r>
      <w:r w:rsidR="00C67EF2">
        <w:rPr>
          <w:rFonts w:ascii="Times New Roman" w:hAnsi="Times New Roman" w:cs="Times New Roman"/>
          <w:lang w:val="en-US"/>
        </w:rPr>
        <w:t xml:space="preserve">increased </w:t>
      </w:r>
      <w:r w:rsidR="006E2109">
        <w:rPr>
          <w:rFonts w:ascii="Times New Roman" w:hAnsi="Times New Roman" w:cs="Times New Roman"/>
          <w:lang w:val="en-US"/>
        </w:rPr>
        <w:t>salience</w:t>
      </w:r>
      <w:r w:rsidR="00F16A85" w:rsidRPr="00622F6C">
        <w:rPr>
          <w:rFonts w:ascii="Times New Roman" w:hAnsi="Times New Roman" w:cs="Times New Roman"/>
          <w:lang w:val="en-US"/>
        </w:rPr>
        <w:t xml:space="preserve"> </w:t>
      </w:r>
      <w:r w:rsidR="00C67EF2">
        <w:rPr>
          <w:rFonts w:ascii="Times New Roman" w:hAnsi="Times New Roman" w:cs="Times New Roman"/>
          <w:lang w:val="en-US"/>
        </w:rPr>
        <w:t xml:space="preserve">of </w:t>
      </w:r>
      <w:r w:rsidR="00F16A85" w:rsidRPr="00622F6C">
        <w:rPr>
          <w:rFonts w:ascii="Times New Roman" w:hAnsi="Times New Roman" w:cs="Times New Roman"/>
          <w:lang w:val="en-US"/>
        </w:rPr>
        <w:t xml:space="preserve">modern slavery </w:t>
      </w:r>
      <w:r w:rsidR="00C67EF2">
        <w:rPr>
          <w:rFonts w:ascii="Times New Roman" w:hAnsi="Times New Roman" w:cs="Times New Roman"/>
          <w:lang w:val="en-US"/>
        </w:rPr>
        <w:t xml:space="preserve">issues after </w:t>
      </w:r>
      <w:r w:rsidR="00F16A85" w:rsidRPr="00622F6C">
        <w:rPr>
          <w:rFonts w:ascii="Times New Roman" w:hAnsi="Times New Roman" w:cs="Times New Roman"/>
          <w:lang w:val="en-US"/>
        </w:rPr>
        <w:t>the</w:t>
      </w:r>
      <w:r w:rsidR="006B0CC0" w:rsidRPr="00622F6C">
        <w:rPr>
          <w:rFonts w:ascii="Times New Roman" w:hAnsi="Times New Roman" w:cs="Times New Roman"/>
          <w:lang w:val="en-US"/>
        </w:rPr>
        <w:t xml:space="preserve"> MSA</w:t>
      </w:r>
      <w:r w:rsidR="00C67EF2">
        <w:rPr>
          <w:rFonts w:ascii="Times New Roman" w:hAnsi="Times New Roman" w:cs="Times New Roman"/>
          <w:lang w:val="en-US"/>
        </w:rPr>
        <w:t>’s introduction</w:t>
      </w:r>
      <w:r w:rsidR="006B0CC0" w:rsidRPr="00622F6C">
        <w:rPr>
          <w:rFonts w:ascii="Times New Roman" w:hAnsi="Times New Roman" w:cs="Times New Roman"/>
          <w:lang w:val="en-US"/>
        </w:rPr>
        <w:t xml:space="preserve"> (</w:t>
      </w:r>
      <w:r w:rsidR="0008177C" w:rsidRPr="00622F6C">
        <w:rPr>
          <w:rFonts w:ascii="Times New Roman" w:hAnsi="Times New Roman" w:cs="Times New Roman"/>
          <w:color w:val="222222"/>
          <w:shd w:val="clear" w:color="auto" w:fill="FFFFFF"/>
          <w:lang w:val="en-US"/>
        </w:rPr>
        <w:t>Beatty and Ritter, 1986; Hong and Kacperczyk, 2009</w:t>
      </w:r>
      <w:r w:rsidR="00BD53AB" w:rsidRPr="00622F6C">
        <w:rPr>
          <w:rFonts w:ascii="Times New Roman" w:hAnsi="Times New Roman" w:cs="Times New Roman"/>
          <w:color w:val="222222"/>
          <w:shd w:val="clear" w:color="auto" w:fill="FFFFFF"/>
          <w:lang w:val="en-US"/>
        </w:rPr>
        <w:t>; Cheng et al., 2014</w:t>
      </w:r>
      <w:r w:rsidR="0008177C" w:rsidRPr="00622F6C">
        <w:rPr>
          <w:rFonts w:ascii="Times New Roman" w:hAnsi="Times New Roman" w:cs="Times New Roman"/>
          <w:color w:val="222222"/>
          <w:shd w:val="clear" w:color="auto" w:fill="FFFFFF"/>
          <w:lang w:val="en-US"/>
        </w:rPr>
        <w:t>).</w:t>
      </w:r>
      <w:r w:rsidR="00A01691" w:rsidRPr="00622F6C">
        <w:rPr>
          <w:rFonts w:ascii="Times New Roman" w:hAnsi="Times New Roman" w:cs="Times New Roman"/>
          <w:lang w:val="en-US"/>
        </w:rPr>
        <w:t xml:space="preserve"> </w:t>
      </w:r>
      <w:r w:rsidR="00A71CDB" w:rsidRPr="00622F6C">
        <w:rPr>
          <w:rFonts w:ascii="Times New Roman" w:hAnsi="Times New Roman" w:cs="Times New Roman"/>
          <w:lang w:val="en-US"/>
        </w:rPr>
        <w:t xml:space="preserve">Conversely, firms with a poor track record of addressing slavery issues in their business and supply chains might be forced to </w:t>
      </w:r>
      <w:r w:rsidR="00A71CDB">
        <w:rPr>
          <w:rFonts w:ascii="Times New Roman" w:hAnsi="Times New Roman" w:cs="Times New Roman"/>
          <w:lang w:val="en-US"/>
        </w:rPr>
        <w:t>reveal</w:t>
      </w:r>
      <w:r w:rsidR="00A71CDB" w:rsidRPr="00622F6C">
        <w:rPr>
          <w:rFonts w:ascii="Times New Roman" w:hAnsi="Times New Roman" w:cs="Times New Roman"/>
          <w:lang w:val="en-US"/>
        </w:rPr>
        <w:t xml:space="preserve"> their poor performance under the TISC clause. High</w:t>
      </w:r>
      <w:r w:rsidR="00A71CDB">
        <w:rPr>
          <w:rFonts w:ascii="Times New Roman" w:hAnsi="Times New Roman" w:cs="Times New Roman"/>
          <w:lang w:val="en-US"/>
        </w:rPr>
        <w:t>-</w:t>
      </w:r>
      <w:r w:rsidR="00A71CDB" w:rsidRPr="00622F6C">
        <w:rPr>
          <w:rFonts w:ascii="Times New Roman" w:hAnsi="Times New Roman" w:cs="Times New Roman"/>
          <w:lang w:val="en-US"/>
        </w:rPr>
        <w:t>slavery</w:t>
      </w:r>
      <w:r w:rsidR="00A71CDB">
        <w:rPr>
          <w:rFonts w:ascii="Times New Roman" w:hAnsi="Times New Roman" w:cs="Times New Roman"/>
          <w:lang w:val="en-US"/>
        </w:rPr>
        <w:t>-</w:t>
      </w:r>
      <w:r w:rsidR="00A71CDB" w:rsidRPr="00622F6C">
        <w:rPr>
          <w:rFonts w:ascii="Times New Roman" w:hAnsi="Times New Roman" w:cs="Times New Roman"/>
          <w:lang w:val="en-US"/>
        </w:rPr>
        <w:t xml:space="preserve">risk firms also face a higher </w:t>
      </w:r>
      <w:r w:rsidR="00D2399A">
        <w:rPr>
          <w:rFonts w:ascii="Times New Roman" w:hAnsi="Times New Roman" w:cs="Times New Roman"/>
          <w:lang w:val="en-US"/>
        </w:rPr>
        <w:t>ex-</w:t>
      </w:r>
      <w:r w:rsidR="00A71CDB" w:rsidRPr="00067E82">
        <w:rPr>
          <w:rFonts w:ascii="Times New Roman" w:hAnsi="Times New Roman" w:cs="Times New Roman"/>
          <w:lang w:val="en-US"/>
        </w:rPr>
        <w:t>ante</w:t>
      </w:r>
      <w:r w:rsidR="00A71CDB" w:rsidRPr="00622F6C">
        <w:rPr>
          <w:rFonts w:ascii="Times New Roman" w:hAnsi="Times New Roman" w:cs="Times New Roman"/>
          <w:lang w:val="en-US"/>
        </w:rPr>
        <w:t xml:space="preserve"> risk of being named in the context of MSA-related slavery convictions</w:t>
      </w:r>
      <w:r w:rsidR="00A71CDB">
        <w:rPr>
          <w:rFonts w:ascii="Times New Roman" w:hAnsi="Times New Roman" w:cs="Times New Roman"/>
          <w:lang w:val="en-US"/>
        </w:rPr>
        <w:t xml:space="preserve">, and may suffer </w:t>
      </w:r>
      <w:r w:rsidR="006E2109">
        <w:rPr>
          <w:rFonts w:ascii="Times New Roman" w:hAnsi="Times New Roman" w:cs="Times New Roman"/>
          <w:lang w:val="en-US"/>
        </w:rPr>
        <w:t>from adverse stakeholder actions</w:t>
      </w:r>
      <w:r w:rsidR="00E87E14">
        <w:rPr>
          <w:rFonts w:ascii="Times New Roman" w:hAnsi="Times New Roman" w:cs="Times New Roman"/>
          <w:lang w:val="en-US"/>
        </w:rPr>
        <w:t xml:space="preserve"> resulting </w:t>
      </w:r>
      <w:r w:rsidR="00A71CDB">
        <w:rPr>
          <w:rFonts w:ascii="Times New Roman" w:hAnsi="Times New Roman" w:cs="Times New Roman"/>
          <w:lang w:val="en-US"/>
        </w:rPr>
        <w:t xml:space="preserve">from a heightened </w:t>
      </w:r>
      <w:r w:rsidR="00205509">
        <w:rPr>
          <w:rFonts w:ascii="Times New Roman" w:hAnsi="Times New Roman" w:cs="Times New Roman"/>
          <w:lang w:val="en-US"/>
        </w:rPr>
        <w:t>societal</w:t>
      </w:r>
      <w:r w:rsidR="00A71CDB">
        <w:rPr>
          <w:rFonts w:ascii="Times New Roman" w:hAnsi="Times New Roman" w:cs="Times New Roman"/>
          <w:lang w:val="en-US"/>
        </w:rPr>
        <w:t xml:space="preserve"> awareness of modern slavery issues following the Act</w:t>
      </w:r>
      <w:r w:rsidR="00C412B2">
        <w:rPr>
          <w:rFonts w:ascii="Times New Roman" w:hAnsi="Times New Roman" w:cs="Times New Roman"/>
          <w:lang w:val="en-US"/>
        </w:rPr>
        <w:t>’s introduction</w:t>
      </w:r>
      <w:r w:rsidR="00A01691" w:rsidRPr="00622F6C">
        <w:rPr>
          <w:rFonts w:ascii="Times New Roman" w:hAnsi="Times New Roman" w:cs="Times New Roman"/>
          <w:lang w:val="en-US"/>
        </w:rPr>
        <w:t xml:space="preserve"> </w:t>
      </w:r>
      <w:r w:rsidR="00205509">
        <w:rPr>
          <w:rFonts w:ascii="Times New Roman" w:hAnsi="Times New Roman" w:cs="Times New Roman"/>
          <w:lang w:val="en-US"/>
        </w:rPr>
        <w:t>(Flammer, 2013)</w:t>
      </w:r>
      <w:r w:rsidR="00A01691" w:rsidRPr="00622F6C">
        <w:rPr>
          <w:rFonts w:ascii="Times New Roman" w:hAnsi="Times New Roman" w:cs="Times New Roman"/>
          <w:lang w:val="en-US"/>
        </w:rPr>
        <w:t xml:space="preserve">. Examples of such </w:t>
      </w:r>
      <w:r w:rsidR="006E2109">
        <w:rPr>
          <w:rFonts w:ascii="Times New Roman" w:hAnsi="Times New Roman" w:cs="Times New Roman"/>
          <w:lang w:val="en-US"/>
        </w:rPr>
        <w:t xml:space="preserve">actions </w:t>
      </w:r>
      <w:r w:rsidR="00A01691" w:rsidRPr="00622F6C">
        <w:rPr>
          <w:rFonts w:ascii="Times New Roman" w:hAnsi="Times New Roman" w:cs="Times New Roman"/>
          <w:lang w:val="en-US"/>
        </w:rPr>
        <w:t>include consumer boycotts (Creyer,</w:t>
      </w:r>
      <w:r w:rsidR="008E21EE">
        <w:rPr>
          <w:rFonts w:ascii="Times New Roman" w:hAnsi="Times New Roman" w:cs="Times New Roman"/>
          <w:lang w:val="en-US"/>
        </w:rPr>
        <w:t xml:space="preserve"> </w:t>
      </w:r>
      <w:r w:rsidR="002A3193">
        <w:rPr>
          <w:rFonts w:ascii="Times New Roman" w:hAnsi="Times New Roman" w:cs="Times New Roman"/>
          <w:lang w:val="en-US"/>
        </w:rPr>
        <w:t>1997)</w:t>
      </w:r>
      <w:r w:rsidR="00A01691" w:rsidRPr="00622F6C">
        <w:rPr>
          <w:rFonts w:ascii="Times New Roman" w:hAnsi="Times New Roman" w:cs="Times New Roman"/>
          <w:lang w:val="en-US"/>
        </w:rPr>
        <w:t xml:space="preserve">, social protests (King and Soule, 2007), and litigation (Koh et al., 2014). </w:t>
      </w:r>
      <w:r w:rsidR="00A25D94">
        <w:rPr>
          <w:rFonts w:ascii="Times New Roman" w:hAnsi="Times New Roman" w:cs="Times New Roman"/>
          <w:lang w:val="en-US"/>
        </w:rPr>
        <w:t>In conclusion</w:t>
      </w:r>
      <w:r w:rsidR="00A058C1">
        <w:rPr>
          <w:rFonts w:ascii="Times New Roman" w:hAnsi="Times New Roman" w:cs="Times New Roman"/>
          <w:lang w:val="en-US"/>
        </w:rPr>
        <w:t xml:space="preserve">, low slavery risk </w:t>
      </w:r>
      <w:r w:rsidR="00957ACB">
        <w:rPr>
          <w:rFonts w:ascii="Times New Roman" w:hAnsi="Times New Roman" w:cs="Times New Roman"/>
          <w:lang w:val="en-US"/>
        </w:rPr>
        <w:t>might generate</w:t>
      </w:r>
      <w:r w:rsidR="00A058C1">
        <w:rPr>
          <w:rFonts w:ascii="Times New Roman" w:hAnsi="Times New Roman" w:cs="Times New Roman"/>
          <w:lang w:val="en-US"/>
        </w:rPr>
        <w:t xml:space="preserve"> various benefits</w:t>
      </w:r>
      <w:r w:rsidR="004B607A">
        <w:rPr>
          <w:rFonts w:ascii="Times New Roman" w:hAnsi="Times New Roman" w:cs="Times New Roman"/>
          <w:lang w:val="en-US"/>
        </w:rPr>
        <w:t>,</w:t>
      </w:r>
      <w:r w:rsidR="00063E4F">
        <w:rPr>
          <w:rFonts w:ascii="Times New Roman" w:hAnsi="Times New Roman" w:cs="Times New Roman"/>
          <w:lang w:val="en-US"/>
        </w:rPr>
        <w:t xml:space="preserve"> resulting from positive stakeholder actions and a lower risk of adverse stakeholder actions</w:t>
      </w:r>
      <w:r w:rsidR="00D56D83">
        <w:rPr>
          <w:rFonts w:ascii="Times New Roman" w:hAnsi="Times New Roman" w:cs="Times New Roman"/>
          <w:lang w:val="en-US"/>
        </w:rPr>
        <w:t xml:space="preserve">, and as such result in a competitive advantage for firms. </w:t>
      </w:r>
    </w:p>
    <w:p w14:paraId="12C9E357" w14:textId="77777777" w:rsidR="00824FBD" w:rsidRPr="00622F6C" w:rsidRDefault="006E2109" w:rsidP="00D733D4">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 xml:space="preserve">Second, </w:t>
      </w:r>
      <w:r w:rsidR="00D56D83">
        <w:rPr>
          <w:rFonts w:ascii="Times New Roman" w:hAnsi="Times New Roman" w:cs="Times New Roman"/>
          <w:lang w:val="en-US"/>
        </w:rPr>
        <w:t xml:space="preserve">in addition to stakeholder actions, </w:t>
      </w:r>
      <w:r>
        <w:rPr>
          <w:rFonts w:ascii="Times New Roman" w:hAnsi="Times New Roman" w:cs="Times New Roman"/>
          <w:lang w:val="en-US"/>
        </w:rPr>
        <w:t>the MSA could</w:t>
      </w:r>
      <w:r w:rsidR="00D56D83">
        <w:rPr>
          <w:rFonts w:ascii="Times New Roman" w:hAnsi="Times New Roman" w:cs="Times New Roman"/>
          <w:lang w:val="en-US"/>
        </w:rPr>
        <w:t xml:space="preserve"> also</w:t>
      </w:r>
      <w:r>
        <w:rPr>
          <w:rFonts w:ascii="Times New Roman" w:hAnsi="Times New Roman" w:cs="Times New Roman"/>
          <w:lang w:val="en-US"/>
        </w:rPr>
        <w:t xml:space="preserve"> result in cash-flow-affecting actions taken by firms</w:t>
      </w:r>
      <w:r w:rsidR="00D56D83">
        <w:rPr>
          <w:rFonts w:ascii="Times New Roman" w:hAnsi="Times New Roman" w:cs="Times New Roman"/>
          <w:lang w:val="en-US"/>
        </w:rPr>
        <w:t xml:space="preserve"> themselves</w:t>
      </w:r>
      <w:r>
        <w:rPr>
          <w:rFonts w:ascii="Times New Roman" w:hAnsi="Times New Roman" w:cs="Times New Roman"/>
          <w:lang w:val="en-US"/>
        </w:rPr>
        <w:t xml:space="preserve">. </w:t>
      </w:r>
      <w:r w:rsidR="00824FBD" w:rsidRPr="00622F6C">
        <w:rPr>
          <w:rFonts w:ascii="Times New Roman" w:hAnsi="Times New Roman" w:cs="Times New Roman"/>
          <w:lang w:val="en-US"/>
        </w:rPr>
        <w:t>Indeed, t</w:t>
      </w:r>
      <w:r w:rsidR="00721952" w:rsidRPr="00622F6C">
        <w:rPr>
          <w:rFonts w:ascii="Times New Roman" w:hAnsi="Times New Roman" w:cs="Times New Roman"/>
          <w:lang w:val="en-US"/>
        </w:rPr>
        <w:t xml:space="preserve">he UK Government explicitly expressed hopes that the TISC clause would create a ‘race to the top’ and encourage firms to take steps to eradicate modern slavery, </w:t>
      </w:r>
      <w:r w:rsidR="00721952" w:rsidRPr="00622F6C">
        <w:rPr>
          <w:rFonts w:ascii="Times New Roman" w:hAnsi="Times New Roman" w:cs="Times New Roman"/>
          <w:i/>
          <w:lang w:val="en-US"/>
        </w:rPr>
        <w:t>“(…) so that they have more to disclose in their annual transparency statements”</w:t>
      </w:r>
      <w:r w:rsidR="00721952" w:rsidRPr="00622F6C">
        <w:rPr>
          <w:rFonts w:ascii="Times New Roman" w:hAnsi="Times New Roman" w:cs="Times New Roman"/>
          <w:lang w:val="en-US"/>
        </w:rPr>
        <w:t xml:space="preserve"> (Home Office, 2015b). </w:t>
      </w:r>
      <w:r w:rsidR="00D733D4">
        <w:rPr>
          <w:rFonts w:ascii="Times New Roman" w:hAnsi="Times New Roman" w:cs="Times New Roman"/>
          <w:lang w:val="en-US"/>
        </w:rPr>
        <w:t>S</w:t>
      </w:r>
      <w:r w:rsidR="00721952" w:rsidRPr="00622F6C">
        <w:rPr>
          <w:rFonts w:ascii="Times New Roman" w:hAnsi="Times New Roman" w:cs="Times New Roman"/>
          <w:lang w:val="en-US"/>
        </w:rPr>
        <w:t xml:space="preserve">lavery-reducing </w:t>
      </w:r>
      <w:r w:rsidR="00D733D4">
        <w:rPr>
          <w:rFonts w:ascii="Times New Roman" w:hAnsi="Times New Roman" w:cs="Times New Roman"/>
          <w:lang w:val="en-US"/>
        </w:rPr>
        <w:t xml:space="preserve">corporate </w:t>
      </w:r>
      <w:r w:rsidR="00721952" w:rsidRPr="00622F6C">
        <w:rPr>
          <w:rFonts w:ascii="Times New Roman" w:hAnsi="Times New Roman" w:cs="Times New Roman"/>
          <w:lang w:val="en-US"/>
        </w:rPr>
        <w:t xml:space="preserve">actions could </w:t>
      </w:r>
      <w:r w:rsidR="00C80DF0" w:rsidRPr="00622F6C">
        <w:rPr>
          <w:rFonts w:ascii="Times New Roman" w:hAnsi="Times New Roman" w:cs="Times New Roman"/>
          <w:lang w:val="en-US"/>
        </w:rPr>
        <w:t>lead</w:t>
      </w:r>
      <w:r w:rsidR="00721952" w:rsidRPr="00622F6C">
        <w:rPr>
          <w:rFonts w:ascii="Times New Roman" w:hAnsi="Times New Roman" w:cs="Times New Roman"/>
          <w:lang w:val="en-US"/>
        </w:rPr>
        <w:t xml:space="preserve"> to higher expected cash flows </w:t>
      </w:r>
      <w:r w:rsidR="00DB68E1">
        <w:rPr>
          <w:rFonts w:ascii="Times New Roman" w:hAnsi="Times New Roman" w:cs="Times New Roman"/>
          <w:lang w:val="en-US"/>
        </w:rPr>
        <w:t>by encouraging</w:t>
      </w:r>
      <w:r w:rsidR="00285C4D" w:rsidRPr="00622F6C">
        <w:rPr>
          <w:rFonts w:ascii="Times New Roman" w:hAnsi="Times New Roman" w:cs="Times New Roman"/>
          <w:lang w:val="en-US"/>
        </w:rPr>
        <w:t xml:space="preserve"> </w:t>
      </w:r>
      <w:r w:rsidR="00D55BFD" w:rsidRPr="00622F6C">
        <w:rPr>
          <w:rFonts w:ascii="Times New Roman" w:hAnsi="Times New Roman" w:cs="Times New Roman"/>
          <w:lang w:val="en-US"/>
        </w:rPr>
        <w:t xml:space="preserve">positive </w:t>
      </w:r>
      <w:r w:rsidR="00285C4D" w:rsidRPr="00622F6C">
        <w:rPr>
          <w:rFonts w:ascii="Times New Roman" w:hAnsi="Times New Roman" w:cs="Times New Roman"/>
          <w:lang w:val="en-US"/>
        </w:rPr>
        <w:t xml:space="preserve">stakeholder actions </w:t>
      </w:r>
      <w:r w:rsidR="00DB68E1">
        <w:rPr>
          <w:rFonts w:ascii="Times New Roman" w:hAnsi="Times New Roman" w:cs="Times New Roman"/>
          <w:lang w:val="en-US"/>
        </w:rPr>
        <w:t>and reducing negative stakeholder actions towards the firm</w:t>
      </w:r>
      <w:r w:rsidR="00721952" w:rsidRPr="00622F6C">
        <w:rPr>
          <w:rFonts w:ascii="Times New Roman" w:hAnsi="Times New Roman" w:cs="Times New Roman"/>
          <w:lang w:val="en-US"/>
        </w:rPr>
        <w:t xml:space="preserve">. Corporate actions to reduce </w:t>
      </w:r>
      <w:r w:rsidR="00285C4D" w:rsidRPr="00622F6C">
        <w:rPr>
          <w:rFonts w:ascii="Times New Roman" w:hAnsi="Times New Roman" w:cs="Times New Roman"/>
          <w:lang w:val="en-US"/>
        </w:rPr>
        <w:t xml:space="preserve">slavery incidents </w:t>
      </w:r>
      <w:r w:rsidR="00721952" w:rsidRPr="00622F6C">
        <w:rPr>
          <w:rFonts w:ascii="Times New Roman" w:hAnsi="Times New Roman" w:cs="Times New Roman"/>
          <w:lang w:val="en-US"/>
        </w:rPr>
        <w:t xml:space="preserve">could also </w:t>
      </w:r>
      <w:r w:rsidR="00F81323" w:rsidRPr="00622F6C">
        <w:rPr>
          <w:rFonts w:ascii="Times New Roman" w:hAnsi="Times New Roman" w:cs="Times New Roman"/>
          <w:lang w:val="en-US"/>
        </w:rPr>
        <w:t>improve operational efficiency</w:t>
      </w:r>
      <w:r w:rsidR="00721952" w:rsidRPr="00622F6C">
        <w:rPr>
          <w:rFonts w:ascii="Times New Roman" w:hAnsi="Times New Roman" w:cs="Times New Roman"/>
          <w:lang w:val="en-US"/>
        </w:rPr>
        <w:t>,</w:t>
      </w:r>
      <w:r w:rsidR="00824FBD" w:rsidRPr="00622F6C">
        <w:rPr>
          <w:rFonts w:ascii="Times New Roman" w:hAnsi="Times New Roman" w:cs="Times New Roman"/>
          <w:lang w:val="en-US"/>
        </w:rPr>
        <w:t xml:space="preserve"> for example</w:t>
      </w:r>
      <w:r w:rsidR="00721952" w:rsidRPr="00622F6C">
        <w:rPr>
          <w:rFonts w:ascii="Times New Roman" w:hAnsi="Times New Roman" w:cs="Times New Roman"/>
          <w:lang w:val="en-US"/>
        </w:rPr>
        <w:t xml:space="preserve"> </w:t>
      </w:r>
      <w:r w:rsidR="00DB68E1">
        <w:rPr>
          <w:rFonts w:ascii="Times New Roman" w:hAnsi="Times New Roman" w:cs="Times New Roman"/>
          <w:lang w:val="en-US"/>
        </w:rPr>
        <w:t xml:space="preserve">through </w:t>
      </w:r>
      <w:r w:rsidR="00285C4D" w:rsidRPr="00622F6C">
        <w:rPr>
          <w:rFonts w:ascii="Times New Roman" w:hAnsi="Times New Roman" w:cs="Times New Roman"/>
          <w:lang w:val="en-US"/>
        </w:rPr>
        <w:t xml:space="preserve">reducing the </w:t>
      </w:r>
      <w:r w:rsidR="00285C4D" w:rsidRPr="00622F6C">
        <w:rPr>
          <w:rFonts w:ascii="Times New Roman" w:hAnsi="Times New Roman" w:cs="Times New Roman"/>
          <w:lang w:val="en-US"/>
        </w:rPr>
        <w:lastRenderedPageBreak/>
        <w:t>risk of supply chain disruptions</w:t>
      </w:r>
      <w:r w:rsidR="00721952" w:rsidRPr="00622F6C">
        <w:rPr>
          <w:rFonts w:ascii="Times New Roman" w:hAnsi="Times New Roman" w:cs="Times New Roman"/>
          <w:lang w:val="en-US"/>
        </w:rPr>
        <w:t xml:space="preserve"> </w:t>
      </w:r>
      <w:r w:rsidR="00DB68E1">
        <w:rPr>
          <w:rFonts w:ascii="Times New Roman" w:hAnsi="Times New Roman" w:cs="Times New Roman"/>
          <w:lang w:val="en-US"/>
        </w:rPr>
        <w:t xml:space="preserve">by </w:t>
      </w:r>
      <w:r w:rsidR="00D55BFD" w:rsidRPr="00622F6C">
        <w:rPr>
          <w:rFonts w:ascii="Times New Roman" w:hAnsi="Times New Roman" w:cs="Times New Roman"/>
          <w:lang w:val="en-US"/>
        </w:rPr>
        <w:t>moving</w:t>
      </w:r>
      <w:r w:rsidR="00BD53AB" w:rsidRPr="00622F6C">
        <w:rPr>
          <w:rFonts w:ascii="Times New Roman" w:hAnsi="Times New Roman" w:cs="Times New Roman"/>
          <w:lang w:val="en-US"/>
        </w:rPr>
        <w:t xml:space="preserve"> production to</w:t>
      </w:r>
      <w:r w:rsidR="00D55BFD" w:rsidRPr="00622F6C">
        <w:rPr>
          <w:rFonts w:ascii="Times New Roman" w:hAnsi="Times New Roman" w:cs="Times New Roman"/>
          <w:lang w:val="en-US"/>
        </w:rPr>
        <w:t>wards</w:t>
      </w:r>
      <w:r w:rsidR="00BD53AB" w:rsidRPr="00622F6C">
        <w:rPr>
          <w:rFonts w:ascii="Times New Roman" w:hAnsi="Times New Roman" w:cs="Times New Roman"/>
          <w:lang w:val="en-US"/>
        </w:rPr>
        <w:t xml:space="preserve"> ‘higher-cost’ manufacturing environments </w:t>
      </w:r>
      <w:r w:rsidR="00721952" w:rsidRPr="00622F6C">
        <w:rPr>
          <w:rFonts w:ascii="Times New Roman" w:hAnsi="Times New Roman" w:cs="Times New Roman"/>
          <w:lang w:val="en-US"/>
        </w:rPr>
        <w:t>(Brandon-Jones et al., 2017)</w:t>
      </w:r>
      <w:r w:rsidR="00263D3D">
        <w:rPr>
          <w:rFonts w:ascii="Times New Roman" w:hAnsi="Times New Roman" w:cs="Times New Roman"/>
          <w:lang w:val="en-US"/>
        </w:rPr>
        <w:t>, and lead to innovations (Porter and Van der Linde, 1995)</w:t>
      </w:r>
      <w:r>
        <w:rPr>
          <w:rFonts w:ascii="Times New Roman" w:hAnsi="Times New Roman" w:cs="Times New Roman"/>
          <w:lang w:val="en-US"/>
        </w:rPr>
        <w:t xml:space="preserve">. </w:t>
      </w:r>
      <w:r w:rsidR="00A25D94">
        <w:rPr>
          <w:rFonts w:ascii="Times New Roman" w:hAnsi="Times New Roman" w:cs="Times New Roman"/>
          <w:lang w:val="en-US"/>
        </w:rPr>
        <w:t>Obviously</w:t>
      </w:r>
      <w:r w:rsidR="00721952" w:rsidRPr="00622F6C">
        <w:rPr>
          <w:rFonts w:ascii="Times New Roman" w:hAnsi="Times New Roman" w:cs="Times New Roman"/>
          <w:lang w:val="en-US"/>
        </w:rPr>
        <w:t xml:space="preserve">, corporate actions </w:t>
      </w:r>
      <w:r w:rsidR="00AF59F7">
        <w:rPr>
          <w:rFonts w:ascii="Times New Roman" w:hAnsi="Times New Roman" w:cs="Times New Roman"/>
          <w:lang w:val="en-US"/>
        </w:rPr>
        <w:t xml:space="preserve">spurred by the MSA </w:t>
      </w:r>
      <w:r w:rsidR="00721952" w:rsidRPr="00622F6C">
        <w:rPr>
          <w:rFonts w:ascii="Times New Roman" w:hAnsi="Times New Roman" w:cs="Times New Roman"/>
          <w:lang w:val="en-US"/>
        </w:rPr>
        <w:t xml:space="preserve">could also </w:t>
      </w:r>
      <w:r w:rsidR="00F81323" w:rsidRPr="00622F6C">
        <w:rPr>
          <w:rFonts w:ascii="Times New Roman" w:hAnsi="Times New Roman" w:cs="Times New Roman"/>
          <w:lang w:val="en-US"/>
        </w:rPr>
        <w:t xml:space="preserve">result in </w:t>
      </w:r>
      <w:r w:rsidR="00D55BFD" w:rsidRPr="00622F6C">
        <w:rPr>
          <w:rFonts w:ascii="Times New Roman" w:hAnsi="Times New Roman" w:cs="Times New Roman"/>
          <w:lang w:val="en-US"/>
        </w:rPr>
        <w:t>higher costs,</w:t>
      </w:r>
      <w:r w:rsidR="00721952" w:rsidRPr="00622F6C">
        <w:rPr>
          <w:rFonts w:ascii="Times New Roman" w:hAnsi="Times New Roman" w:cs="Times New Roman"/>
          <w:lang w:val="en-US"/>
        </w:rPr>
        <w:t xml:space="preserve"> by reducing </w:t>
      </w:r>
      <w:r w:rsidR="00713AEE">
        <w:rPr>
          <w:rFonts w:ascii="Times New Roman" w:hAnsi="Times New Roman" w:cs="Times New Roman"/>
          <w:lang w:val="en-US"/>
        </w:rPr>
        <w:t xml:space="preserve">the use of </w:t>
      </w:r>
      <w:r w:rsidR="00721952" w:rsidRPr="00622F6C">
        <w:rPr>
          <w:rFonts w:ascii="Times New Roman" w:hAnsi="Times New Roman" w:cs="Times New Roman"/>
          <w:lang w:val="en-US"/>
        </w:rPr>
        <w:t>modern sl</w:t>
      </w:r>
      <w:r w:rsidR="00C80DF0" w:rsidRPr="00622F6C">
        <w:rPr>
          <w:rFonts w:ascii="Times New Roman" w:hAnsi="Times New Roman" w:cs="Times New Roman"/>
          <w:lang w:val="en-US"/>
        </w:rPr>
        <w:t>avery as a source of cheap labo</w:t>
      </w:r>
      <w:r w:rsidR="00721952" w:rsidRPr="00622F6C">
        <w:rPr>
          <w:rFonts w:ascii="Times New Roman" w:hAnsi="Times New Roman" w:cs="Times New Roman"/>
          <w:lang w:val="en-US"/>
        </w:rPr>
        <w:t>r (Shleifer, 2004).</w:t>
      </w:r>
      <w:r w:rsidR="00285C4D" w:rsidRPr="00622F6C">
        <w:rPr>
          <w:rFonts w:ascii="Times New Roman" w:hAnsi="Times New Roman" w:cs="Times New Roman"/>
          <w:lang w:val="en-US"/>
        </w:rPr>
        <w:t xml:space="preserve"> </w:t>
      </w:r>
      <w:r w:rsidR="00824FBD" w:rsidRPr="00622F6C">
        <w:rPr>
          <w:rFonts w:ascii="Times New Roman" w:hAnsi="Times New Roman" w:cs="Times New Roman"/>
          <w:lang w:val="en-US"/>
        </w:rPr>
        <w:t xml:space="preserve">However, under the widely (though not universally) shared presumption </w:t>
      </w:r>
      <w:r w:rsidR="00C80DF0" w:rsidRPr="00622F6C">
        <w:rPr>
          <w:rFonts w:ascii="Times New Roman" w:hAnsi="Times New Roman" w:cs="Times New Roman"/>
          <w:lang w:val="en-US"/>
        </w:rPr>
        <w:t>that managers act in the interests of shareholder wealth maximi</w:t>
      </w:r>
      <w:r w:rsidR="00DB68E1">
        <w:rPr>
          <w:rFonts w:ascii="Times New Roman" w:hAnsi="Times New Roman" w:cs="Times New Roman"/>
          <w:lang w:val="en-US"/>
        </w:rPr>
        <w:t>z</w:t>
      </w:r>
      <w:r w:rsidR="00C80DF0" w:rsidRPr="00622F6C">
        <w:rPr>
          <w:rFonts w:ascii="Times New Roman" w:hAnsi="Times New Roman" w:cs="Times New Roman"/>
          <w:lang w:val="en-US"/>
        </w:rPr>
        <w:t>ation</w:t>
      </w:r>
      <w:r w:rsidR="00D55BFD" w:rsidRPr="00622F6C">
        <w:rPr>
          <w:rFonts w:ascii="Times New Roman" w:hAnsi="Times New Roman" w:cs="Times New Roman"/>
          <w:lang w:val="en-US"/>
        </w:rPr>
        <w:t xml:space="preserve"> (McConnell and Muscarella, 1985)</w:t>
      </w:r>
      <w:r w:rsidR="00824FBD" w:rsidRPr="00622F6C">
        <w:rPr>
          <w:rFonts w:ascii="Times New Roman" w:hAnsi="Times New Roman" w:cs="Times New Roman"/>
          <w:lang w:val="en-US"/>
        </w:rPr>
        <w:t xml:space="preserve">, </w:t>
      </w:r>
      <w:r w:rsidR="00D55BFD" w:rsidRPr="00622F6C">
        <w:rPr>
          <w:rFonts w:ascii="Times New Roman" w:hAnsi="Times New Roman" w:cs="Times New Roman"/>
          <w:lang w:val="en-US"/>
        </w:rPr>
        <w:t xml:space="preserve">firms </w:t>
      </w:r>
      <w:r w:rsidR="00EC2019">
        <w:rPr>
          <w:rFonts w:ascii="Times New Roman" w:hAnsi="Times New Roman" w:cs="Times New Roman"/>
          <w:lang w:val="en-US"/>
        </w:rPr>
        <w:t xml:space="preserve">would </w:t>
      </w:r>
      <w:r w:rsidR="00957ACB">
        <w:rPr>
          <w:rFonts w:ascii="Times New Roman" w:hAnsi="Times New Roman" w:cs="Times New Roman"/>
          <w:lang w:val="en-US"/>
        </w:rPr>
        <w:t>only make changes in their focal business and supply chains</w:t>
      </w:r>
      <w:r w:rsidR="00824FBD" w:rsidRPr="00622F6C">
        <w:rPr>
          <w:rFonts w:ascii="Times New Roman" w:hAnsi="Times New Roman" w:cs="Times New Roman"/>
          <w:lang w:val="en-US"/>
        </w:rPr>
        <w:t xml:space="preserve"> insofar as the </w:t>
      </w:r>
      <w:r w:rsidR="00D55BFD" w:rsidRPr="00622F6C">
        <w:rPr>
          <w:rFonts w:ascii="Times New Roman" w:hAnsi="Times New Roman" w:cs="Times New Roman"/>
          <w:lang w:val="en-US"/>
        </w:rPr>
        <w:t xml:space="preserve">anticipated </w:t>
      </w:r>
      <w:r w:rsidR="00824FBD" w:rsidRPr="00622F6C">
        <w:rPr>
          <w:rFonts w:ascii="Times New Roman" w:hAnsi="Times New Roman" w:cs="Times New Roman"/>
          <w:lang w:val="en-US"/>
        </w:rPr>
        <w:t xml:space="preserve">benefits </w:t>
      </w:r>
      <w:r w:rsidR="002353E0" w:rsidRPr="00622F6C">
        <w:rPr>
          <w:rFonts w:ascii="Times New Roman" w:hAnsi="Times New Roman" w:cs="Times New Roman"/>
          <w:lang w:val="en-US"/>
        </w:rPr>
        <w:t xml:space="preserve">of these changes </w:t>
      </w:r>
      <w:r w:rsidR="00D55BFD" w:rsidRPr="00622F6C">
        <w:rPr>
          <w:rFonts w:ascii="Times New Roman" w:hAnsi="Times New Roman" w:cs="Times New Roman"/>
          <w:lang w:val="en-US"/>
        </w:rPr>
        <w:t>outweigh the</w:t>
      </w:r>
      <w:r w:rsidR="00824FBD" w:rsidRPr="00622F6C">
        <w:rPr>
          <w:rFonts w:ascii="Times New Roman" w:hAnsi="Times New Roman" w:cs="Times New Roman"/>
          <w:lang w:val="en-US"/>
        </w:rPr>
        <w:t xml:space="preserve"> costs. </w:t>
      </w:r>
      <w:r w:rsidR="00D733D4" w:rsidRPr="00622F6C">
        <w:rPr>
          <w:rFonts w:ascii="Times New Roman" w:hAnsi="Times New Roman" w:cs="Times New Roman"/>
          <w:lang w:val="en-US"/>
        </w:rPr>
        <w:t>Investors may thus predict cash</w:t>
      </w:r>
      <w:r w:rsidR="00D733D4">
        <w:rPr>
          <w:rFonts w:ascii="Times New Roman" w:hAnsi="Times New Roman" w:cs="Times New Roman"/>
          <w:lang w:val="en-US"/>
        </w:rPr>
        <w:t>-</w:t>
      </w:r>
      <w:r w:rsidR="00D733D4" w:rsidRPr="00622F6C">
        <w:rPr>
          <w:rFonts w:ascii="Times New Roman" w:hAnsi="Times New Roman" w:cs="Times New Roman"/>
          <w:lang w:val="en-US"/>
        </w:rPr>
        <w:t>flow</w:t>
      </w:r>
      <w:r w:rsidR="00D733D4">
        <w:rPr>
          <w:rFonts w:ascii="Times New Roman" w:hAnsi="Times New Roman" w:cs="Times New Roman"/>
          <w:lang w:val="en-US"/>
        </w:rPr>
        <w:t>-</w:t>
      </w:r>
      <w:r w:rsidR="00D733D4" w:rsidRPr="00622F6C">
        <w:rPr>
          <w:rFonts w:ascii="Times New Roman" w:hAnsi="Times New Roman" w:cs="Times New Roman"/>
          <w:lang w:val="en-US"/>
        </w:rPr>
        <w:t xml:space="preserve">enhancing </w:t>
      </w:r>
      <w:r w:rsidR="00D733D4">
        <w:rPr>
          <w:rFonts w:ascii="Times New Roman" w:hAnsi="Times New Roman" w:cs="Times New Roman"/>
          <w:lang w:val="en-US"/>
        </w:rPr>
        <w:t>corporate actions</w:t>
      </w:r>
      <w:r w:rsidR="00D733D4" w:rsidRPr="00622F6C">
        <w:rPr>
          <w:rFonts w:ascii="Times New Roman" w:hAnsi="Times New Roman" w:cs="Times New Roman"/>
          <w:lang w:val="en-US"/>
        </w:rPr>
        <w:t xml:space="preserve"> following the MSA</w:t>
      </w:r>
      <w:r w:rsidR="0039073F">
        <w:rPr>
          <w:rFonts w:ascii="Times New Roman" w:hAnsi="Times New Roman" w:cs="Times New Roman"/>
          <w:lang w:val="en-US"/>
        </w:rPr>
        <w:t>’s introduction</w:t>
      </w:r>
      <w:r w:rsidR="00D733D4" w:rsidRPr="00622F6C">
        <w:rPr>
          <w:rFonts w:ascii="Times New Roman" w:hAnsi="Times New Roman" w:cs="Times New Roman"/>
          <w:lang w:val="en-US"/>
        </w:rPr>
        <w:t xml:space="preserve">, the incremental benefits of which </w:t>
      </w:r>
      <w:r w:rsidR="00012FDB">
        <w:rPr>
          <w:rFonts w:ascii="Times New Roman" w:hAnsi="Times New Roman" w:cs="Times New Roman"/>
          <w:lang w:val="en-US"/>
        </w:rPr>
        <w:t xml:space="preserve">could </w:t>
      </w:r>
      <w:r w:rsidR="00D733D4" w:rsidRPr="00622F6C">
        <w:rPr>
          <w:rFonts w:ascii="Times New Roman" w:hAnsi="Times New Roman" w:cs="Times New Roman"/>
          <w:lang w:val="en-US"/>
        </w:rPr>
        <w:t>be stronger for high</w:t>
      </w:r>
      <w:r w:rsidR="00D733D4">
        <w:rPr>
          <w:rFonts w:ascii="Times New Roman" w:hAnsi="Times New Roman" w:cs="Times New Roman"/>
          <w:lang w:val="en-US"/>
        </w:rPr>
        <w:t>-</w:t>
      </w:r>
      <w:r w:rsidR="00D733D4" w:rsidRPr="00622F6C">
        <w:rPr>
          <w:rFonts w:ascii="Times New Roman" w:hAnsi="Times New Roman" w:cs="Times New Roman"/>
          <w:lang w:val="en-US"/>
        </w:rPr>
        <w:t>slavery</w:t>
      </w:r>
      <w:r w:rsidR="00D733D4">
        <w:rPr>
          <w:rFonts w:ascii="Times New Roman" w:hAnsi="Times New Roman" w:cs="Times New Roman"/>
          <w:lang w:val="en-US"/>
        </w:rPr>
        <w:t>-</w:t>
      </w:r>
      <w:r w:rsidR="00D733D4" w:rsidRPr="00622F6C">
        <w:rPr>
          <w:rFonts w:ascii="Times New Roman" w:hAnsi="Times New Roman" w:cs="Times New Roman"/>
          <w:lang w:val="en-US"/>
        </w:rPr>
        <w:t>risk firms.</w:t>
      </w:r>
    </w:p>
    <w:p w14:paraId="662346A9" w14:textId="77777777" w:rsidR="00D373A1" w:rsidRPr="00622F6C" w:rsidRDefault="006E2109" w:rsidP="004C7B14">
      <w:pPr>
        <w:pStyle w:val="Pa6"/>
        <w:spacing w:line="480" w:lineRule="auto"/>
        <w:ind w:firstLine="426"/>
        <w:jc w:val="both"/>
        <w:rPr>
          <w:rFonts w:ascii="Times New Roman" w:hAnsi="Times New Roman" w:cs="Times New Roman"/>
          <w:color w:val="000000"/>
          <w:sz w:val="22"/>
          <w:szCs w:val="22"/>
          <w:lang w:val="en-US"/>
        </w:rPr>
      </w:pPr>
      <w:r>
        <w:rPr>
          <w:rFonts w:ascii="Times New Roman" w:hAnsi="Times New Roman" w:cs="Times New Roman"/>
          <w:sz w:val="22"/>
          <w:szCs w:val="22"/>
          <w:lang w:val="en-US"/>
        </w:rPr>
        <w:t>Third</w:t>
      </w:r>
      <w:r w:rsidR="00DB68E1" w:rsidRPr="001708FE">
        <w:rPr>
          <w:rFonts w:ascii="Times New Roman" w:hAnsi="Times New Roman" w:cs="Times New Roman"/>
          <w:sz w:val="22"/>
          <w:szCs w:val="22"/>
          <w:lang w:val="en-US"/>
        </w:rPr>
        <w:t xml:space="preserve">, </w:t>
      </w:r>
      <w:r w:rsidR="00DB68E1">
        <w:rPr>
          <w:rFonts w:ascii="Times New Roman" w:hAnsi="Times New Roman" w:cs="Times New Roman"/>
          <w:sz w:val="22"/>
          <w:szCs w:val="22"/>
          <w:lang w:val="en-US"/>
        </w:rPr>
        <w:t>investors might expect t</w:t>
      </w:r>
      <w:r w:rsidR="00A30959" w:rsidRPr="00622F6C">
        <w:rPr>
          <w:rFonts w:ascii="Times New Roman" w:hAnsi="Times New Roman" w:cs="Times New Roman"/>
          <w:sz w:val="22"/>
          <w:szCs w:val="22"/>
          <w:lang w:val="en-US"/>
        </w:rPr>
        <w:t xml:space="preserve">he MSA </w:t>
      </w:r>
      <w:r w:rsidR="00DB68E1">
        <w:rPr>
          <w:rFonts w:ascii="Times New Roman" w:hAnsi="Times New Roman" w:cs="Times New Roman"/>
          <w:sz w:val="22"/>
          <w:szCs w:val="22"/>
          <w:lang w:val="en-US"/>
        </w:rPr>
        <w:t>to</w:t>
      </w:r>
      <w:r w:rsidR="00DB68E1" w:rsidRPr="00622F6C">
        <w:rPr>
          <w:rFonts w:ascii="Times New Roman" w:hAnsi="Times New Roman" w:cs="Times New Roman"/>
          <w:sz w:val="22"/>
          <w:szCs w:val="22"/>
          <w:lang w:val="en-US"/>
        </w:rPr>
        <w:t xml:space="preserve"> </w:t>
      </w:r>
      <w:r w:rsidR="00A058C1">
        <w:rPr>
          <w:rFonts w:ascii="Times New Roman" w:hAnsi="Times New Roman" w:cs="Times New Roman"/>
          <w:sz w:val="22"/>
          <w:szCs w:val="22"/>
          <w:lang w:val="en-US"/>
        </w:rPr>
        <w:t xml:space="preserve">be </w:t>
      </w:r>
      <w:r w:rsidR="0039073F">
        <w:rPr>
          <w:rFonts w:ascii="Times New Roman" w:hAnsi="Times New Roman" w:cs="Times New Roman"/>
          <w:sz w:val="22"/>
          <w:szCs w:val="22"/>
          <w:lang w:val="en-US"/>
        </w:rPr>
        <w:t xml:space="preserve">a </w:t>
      </w:r>
      <w:r w:rsidR="00A058C1">
        <w:rPr>
          <w:rFonts w:ascii="Times New Roman" w:hAnsi="Times New Roman" w:cs="Times New Roman"/>
          <w:sz w:val="22"/>
          <w:szCs w:val="22"/>
          <w:lang w:val="en-US"/>
        </w:rPr>
        <w:t xml:space="preserve">prelude </w:t>
      </w:r>
      <w:r w:rsidR="0039073F">
        <w:rPr>
          <w:rFonts w:ascii="Times New Roman" w:hAnsi="Times New Roman" w:cs="Times New Roman"/>
          <w:sz w:val="22"/>
          <w:szCs w:val="22"/>
          <w:lang w:val="en-US"/>
        </w:rPr>
        <w:t>to</w:t>
      </w:r>
      <w:r w:rsidR="0039073F" w:rsidRPr="00622F6C">
        <w:rPr>
          <w:rFonts w:ascii="Times New Roman" w:hAnsi="Times New Roman" w:cs="Times New Roman"/>
          <w:sz w:val="22"/>
          <w:szCs w:val="22"/>
          <w:lang w:val="en-US"/>
        </w:rPr>
        <w:t xml:space="preserve"> </w:t>
      </w:r>
      <w:r w:rsidR="00A058C1">
        <w:rPr>
          <w:rFonts w:ascii="Times New Roman" w:hAnsi="Times New Roman" w:cs="Times New Roman"/>
          <w:sz w:val="22"/>
          <w:szCs w:val="22"/>
          <w:lang w:val="en-US"/>
        </w:rPr>
        <w:t xml:space="preserve">other governmental actions aimed at reducing modern slavery. </w:t>
      </w:r>
      <w:r w:rsidR="003D48FB">
        <w:rPr>
          <w:rFonts w:ascii="Times New Roman" w:hAnsi="Times New Roman" w:cs="Times New Roman"/>
          <w:sz w:val="22"/>
          <w:szCs w:val="22"/>
          <w:lang w:val="en-US"/>
        </w:rPr>
        <w:t>More particularly</w:t>
      </w:r>
      <w:r w:rsidR="00A058C1">
        <w:rPr>
          <w:rFonts w:ascii="Times New Roman" w:hAnsi="Times New Roman" w:cs="Times New Roman"/>
          <w:sz w:val="22"/>
          <w:szCs w:val="22"/>
          <w:lang w:val="en-US"/>
        </w:rPr>
        <w:t xml:space="preserve">, they may expect the Act to be followed up by </w:t>
      </w:r>
      <w:r w:rsidR="00A30959" w:rsidRPr="00622F6C">
        <w:rPr>
          <w:rFonts w:ascii="Times New Roman" w:hAnsi="Times New Roman" w:cs="Times New Roman"/>
          <w:sz w:val="22"/>
          <w:szCs w:val="22"/>
          <w:lang w:val="en-US"/>
        </w:rPr>
        <w:t xml:space="preserve">potentially more stringent </w:t>
      </w:r>
      <w:r w:rsidR="00D55BFD" w:rsidRPr="00622F6C">
        <w:rPr>
          <w:rFonts w:ascii="Times New Roman" w:hAnsi="Times New Roman" w:cs="Times New Roman"/>
          <w:sz w:val="22"/>
          <w:szCs w:val="22"/>
          <w:lang w:val="en-US"/>
        </w:rPr>
        <w:t xml:space="preserve">slavery </w:t>
      </w:r>
      <w:r w:rsidR="00A30959" w:rsidRPr="00622F6C">
        <w:rPr>
          <w:rFonts w:ascii="Times New Roman" w:hAnsi="Times New Roman" w:cs="Times New Roman"/>
          <w:sz w:val="22"/>
          <w:szCs w:val="22"/>
          <w:lang w:val="en-US"/>
        </w:rPr>
        <w:t>regulation</w:t>
      </w:r>
      <w:r w:rsidR="00F81323" w:rsidRPr="00622F6C">
        <w:rPr>
          <w:rFonts w:ascii="Times New Roman" w:hAnsi="Times New Roman" w:cs="Times New Roman"/>
          <w:sz w:val="22"/>
          <w:szCs w:val="22"/>
          <w:lang w:val="en-US"/>
        </w:rPr>
        <w:t>, either in the UK or other countries where the companies have operations</w:t>
      </w:r>
      <w:r w:rsidR="00A30959" w:rsidRPr="00622F6C">
        <w:rPr>
          <w:rFonts w:ascii="Times New Roman" w:hAnsi="Times New Roman" w:cs="Times New Roman"/>
          <w:sz w:val="22"/>
          <w:szCs w:val="22"/>
          <w:lang w:val="en-US"/>
        </w:rPr>
        <w:t xml:space="preserve"> (</w:t>
      </w:r>
      <w:r w:rsidR="00D55BFD" w:rsidRPr="00622F6C">
        <w:rPr>
          <w:rFonts w:ascii="Times New Roman" w:hAnsi="Times New Roman" w:cs="Times New Roman"/>
          <w:sz w:val="22"/>
          <w:szCs w:val="22"/>
          <w:lang w:val="en-US"/>
        </w:rPr>
        <w:t>Thomson Reuters, 2015</w:t>
      </w:r>
      <w:r w:rsidR="00F81323" w:rsidRPr="00622F6C">
        <w:rPr>
          <w:rFonts w:ascii="Times New Roman" w:hAnsi="Times New Roman" w:cs="Times New Roman"/>
          <w:sz w:val="22"/>
          <w:szCs w:val="22"/>
          <w:lang w:val="en-US"/>
        </w:rPr>
        <w:t>;</w:t>
      </w:r>
      <w:r w:rsidR="00D733D4">
        <w:rPr>
          <w:rFonts w:ascii="Times New Roman" w:hAnsi="Times New Roman" w:cs="Times New Roman"/>
          <w:sz w:val="22"/>
          <w:szCs w:val="22"/>
          <w:lang w:val="en-US"/>
        </w:rPr>
        <w:t xml:space="preserve"> BHRRC</w:t>
      </w:r>
      <w:r w:rsidR="00BD450E" w:rsidRPr="00622F6C">
        <w:rPr>
          <w:rFonts w:ascii="Times New Roman" w:hAnsi="Times New Roman" w:cs="Times New Roman"/>
          <w:sz w:val="22"/>
          <w:szCs w:val="22"/>
          <w:lang w:val="en-US"/>
        </w:rPr>
        <w:t>, 2018</w:t>
      </w:r>
      <w:r w:rsidR="00D55BFD" w:rsidRPr="00622F6C">
        <w:rPr>
          <w:rFonts w:ascii="Times New Roman" w:hAnsi="Times New Roman" w:cs="Times New Roman"/>
          <w:sz w:val="22"/>
          <w:szCs w:val="22"/>
          <w:lang w:val="en-US"/>
        </w:rPr>
        <w:t xml:space="preserve">). </w:t>
      </w:r>
      <w:r w:rsidR="00DB68E1">
        <w:rPr>
          <w:rFonts w:ascii="Times New Roman" w:hAnsi="Times New Roman" w:cs="Times New Roman"/>
          <w:sz w:val="22"/>
          <w:szCs w:val="22"/>
          <w:lang w:val="en-US"/>
        </w:rPr>
        <w:t>T</w:t>
      </w:r>
      <w:r w:rsidR="00D55BFD" w:rsidRPr="00622F6C">
        <w:rPr>
          <w:rFonts w:ascii="Times New Roman" w:hAnsi="Times New Roman" w:cs="Times New Roman"/>
          <w:sz w:val="22"/>
          <w:szCs w:val="22"/>
          <w:lang w:val="en-US"/>
        </w:rPr>
        <w:t xml:space="preserve">he perceived </w:t>
      </w:r>
      <w:r w:rsidR="00E36B98" w:rsidRPr="00622F6C">
        <w:rPr>
          <w:rFonts w:ascii="Times New Roman" w:hAnsi="Times New Roman" w:cs="Times New Roman"/>
          <w:sz w:val="22"/>
          <w:szCs w:val="22"/>
          <w:lang w:val="en-US"/>
        </w:rPr>
        <w:t>net benefits of</w:t>
      </w:r>
      <w:r w:rsidR="00D55BFD" w:rsidRPr="00622F6C">
        <w:rPr>
          <w:rFonts w:ascii="Times New Roman" w:hAnsi="Times New Roman" w:cs="Times New Roman"/>
          <w:sz w:val="22"/>
          <w:szCs w:val="22"/>
          <w:lang w:val="en-US"/>
        </w:rPr>
        <w:t xml:space="preserve"> these additional regulations</w:t>
      </w:r>
      <w:r w:rsidR="00DB68E1">
        <w:rPr>
          <w:rFonts w:ascii="Times New Roman" w:hAnsi="Times New Roman" w:cs="Times New Roman"/>
          <w:sz w:val="22"/>
          <w:szCs w:val="22"/>
          <w:lang w:val="en-US"/>
        </w:rPr>
        <w:t xml:space="preserve"> </w:t>
      </w:r>
      <w:r w:rsidR="00E36B98" w:rsidRPr="00622F6C">
        <w:rPr>
          <w:rFonts w:ascii="Times New Roman" w:hAnsi="Times New Roman" w:cs="Times New Roman"/>
          <w:sz w:val="22"/>
          <w:szCs w:val="22"/>
          <w:lang w:val="en-US"/>
        </w:rPr>
        <w:t xml:space="preserve">are again likely to be </w:t>
      </w:r>
      <w:r w:rsidR="001C6E8E">
        <w:rPr>
          <w:rFonts w:ascii="Times New Roman" w:hAnsi="Times New Roman" w:cs="Times New Roman"/>
          <w:sz w:val="22"/>
          <w:szCs w:val="22"/>
          <w:lang w:val="en-US"/>
        </w:rPr>
        <w:t>influenced</w:t>
      </w:r>
      <w:r w:rsidR="001C6E8E" w:rsidRPr="00622F6C">
        <w:rPr>
          <w:rFonts w:ascii="Times New Roman" w:hAnsi="Times New Roman" w:cs="Times New Roman"/>
          <w:sz w:val="22"/>
          <w:szCs w:val="22"/>
          <w:lang w:val="en-US"/>
        </w:rPr>
        <w:t xml:space="preserve"> </w:t>
      </w:r>
      <w:r w:rsidR="00E36B98" w:rsidRPr="00622F6C">
        <w:rPr>
          <w:rFonts w:ascii="Times New Roman" w:hAnsi="Times New Roman" w:cs="Times New Roman"/>
          <w:sz w:val="22"/>
          <w:szCs w:val="22"/>
          <w:lang w:val="en-US"/>
        </w:rPr>
        <w:t xml:space="preserve">by </w:t>
      </w:r>
      <w:r w:rsidR="001C6E8E">
        <w:rPr>
          <w:rFonts w:ascii="Times New Roman" w:hAnsi="Times New Roman" w:cs="Times New Roman"/>
          <w:sz w:val="22"/>
          <w:szCs w:val="22"/>
          <w:lang w:val="en-US"/>
        </w:rPr>
        <w:t>a firm’s</w:t>
      </w:r>
      <w:r w:rsidR="001C6E8E" w:rsidRPr="00622F6C">
        <w:rPr>
          <w:rFonts w:ascii="Times New Roman" w:hAnsi="Times New Roman" w:cs="Times New Roman"/>
          <w:sz w:val="22"/>
          <w:szCs w:val="22"/>
          <w:lang w:val="en-US"/>
        </w:rPr>
        <w:t xml:space="preserve"> </w:t>
      </w:r>
      <w:r w:rsidR="00F81323" w:rsidRPr="00622F6C">
        <w:rPr>
          <w:rFonts w:ascii="Times New Roman" w:hAnsi="Times New Roman" w:cs="Times New Roman"/>
          <w:sz w:val="22"/>
          <w:szCs w:val="22"/>
          <w:lang w:val="en-US"/>
        </w:rPr>
        <w:t>slavery risk</w:t>
      </w:r>
      <w:r w:rsidR="00D55BFD" w:rsidRPr="00622F6C">
        <w:rPr>
          <w:rFonts w:ascii="Times New Roman" w:hAnsi="Times New Roman" w:cs="Times New Roman"/>
          <w:sz w:val="22"/>
          <w:szCs w:val="22"/>
          <w:lang w:val="en-US"/>
        </w:rPr>
        <w:t xml:space="preserve">. </w:t>
      </w:r>
      <w:r w:rsidR="003D48FB">
        <w:rPr>
          <w:rFonts w:ascii="Times New Roman" w:hAnsi="Times New Roman" w:cs="Times New Roman"/>
          <w:sz w:val="22"/>
          <w:szCs w:val="22"/>
          <w:lang w:val="en-US"/>
        </w:rPr>
        <w:t>Moreover</w:t>
      </w:r>
      <w:r w:rsidR="00A058C1">
        <w:rPr>
          <w:rFonts w:ascii="Times New Roman" w:hAnsi="Times New Roman" w:cs="Times New Roman"/>
          <w:sz w:val="22"/>
          <w:szCs w:val="22"/>
          <w:lang w:val="en-US"/>
        </w:rPr>
        <w:t>, i</w:t>
      </w:r>
      <w:r w:rsidR="00E36B98" w:rsidRPr="00622F6C">
        <w:rPr>
          <w:rFonts w:ascii="Times New Roman" w:hAnsi="Times New Roman" w:cs="Times New Roman"/>
          <w:sz w:val="22"/>
          <w:szCs w:val="22"/>
          <w:lang w:val="en-US"/>
        </w:rPr>
        <w:t xml:space="preserve">nvestors may expect increased </w:t>
      </w:r>
      <w:r w:rsidR="003D48FB">
        <w:rPr>
          <w:rFonts w:ascii="Times New Roman" w:hAnsi="Times New Roman" w:cs="Times New Roman"/>
          <w:sz w:val="22"/>
          <w:szCs w:val="22"/>
          <w:lang w:val="en-US"/>
        </w:rPr>
        <w:t xml:space="preserve">governmental </w:t>
      </w:r>
      <w:r w:rsidR="00E36B98" w:rsidRPr="00622F6C">
        <w:rPr>
          <w:rFonts w:ascii="Times New Roman" w:hAnsi="Times New Roman" w:cs="Times New Roman"/>
          <w:sz w:val="22"/>
          <w:szCs w:val="22"/>
          <w:lang w:val="en-US"/>
        </w:rPr>
        <w:t xml:space="preserve">scrutiny </w:t>
      </w:r>
      <w:r w:rsidR="00713AEE">
        <w:rPr>
          <w:rFonts w:ascii="Times New Roman" w:hAnsi="Times New Roman" w:cs="Times New Roman"/>
          <w:sz w:val="22"/>
          <w:szCs w:val="22"/>
          <w:lang w:val="en-US"/>
        </w:rPr>
        <w:t>of</w:t>
      </w:r>
      <w:r w:rsidR="00713AEE" w:rsidRPr="00622F6C">
        <w:rPr>
          <w:rFonts w:ascii="Times New Roman" w:hAnsi="Times New Roman" w:cs="Times New Roman"/>
          <w:sz w:val="22"/>
          <w:szCs w:val="22"/>
          <w:lang w:val="en-US"/>
        </w:rPr>
        <w:t xml:space="preserve"> </w:t>
      </w:r>
      <w:r w:rsidR="00381377">
        <w:rPr>
          <w:rFonts w:ascii="Times New Roman" w:hAnsi="Times New Roman" w:cs="Times New Roman"/>
          <w:sz w:val="22"/>
          <w:szCs w:val="22"/>
          <w:lang w:val="en-US"/>
        </w:rPr>
        <w:t>firms</w:t>
      </w:r>
      <w:r w:rsidR="00381377" w:rsidRPr="00622F6C">
        <w:rPr>
          <w:rFonts w:ascii="Times New Roman" w:hAnsi="Times New Roman" w:cs="Times New Roman"/>
          <w:sz w:val="22"/>
          <w:szCs w:val="22"/>
          <w:lang w:val="en-US"/>
        </w:rPr>
        <w:t xml:space="preserve"> </w:t>
      </w:r>
      <w:r w:rsidR="00E36B98" w:rsidRPr="00622F6C">
        <w:rPr>
          <w:rFonts w:ascii="Times New Roman" w:hAnsi="Times New Roman" w:cs="Times New Roman"/>
          <w:sz w:val="22"/>
          <w:szCs w:val="22"/>
          <w:lang w:val="en-US"/>
        </w:rPr>
        <w:t>not complying with the TISC cla</w:t>
      </w:r>
      <w:r w:rsidR="00F81323" w:rsidRPr="00622F6C">
        <w:rPr>
          <w:rFonts w:ascii="Times New Roman" w:hAnsi="Times New Roman" w:cs="Times New Roman"/>
          <w:sz w:val="22"/>
          <w:szCs w:val="22"/>
          <w:lang w:val="en-US"/>
        </w:rPr>
        <w:t xml:space="preserve">use. </w:t>
      </w:r>
      <w:r w:rsidR="00DB68E1">
        <w:rPr>
          <w:rFonts w:ascii="Times New Roman" w:hAnsi="Times New Roman" w:cs="Times New Roman"/>
          <w:sz w:val="22"/>
          <w:szCs w:val="22"/>
          <w:lang w:val="en-US"/>
        </w:rPr>
        <w:t xml:space="preserve">For example, </w:t>
      </w:r>
      <w:r w:rsidR="00594F11">
        <w:rPr>
          <w:rFonts w:ascii="Times New Roman" w:hAnsi="Times New Roman" w:cs="Times New Roman"/>
          <w:sz w:val="22"/>
          <w:szCs w:val="22"/>
          <w:lang w:val="en-US"/>
        </w:rPr>
        <w:t>some sources argue</w:t>
      </w:r>
      <w:r w:rsidR="00F81323" w:rsidRPr="00622F6C">
        <w:rPr>
          <w:rFonts w:ascii="Times New Roman" w:hAnsi="Times New Roman" w:cs="Times New Roman"/>
          <w:sz w:val="22"/>
          <w:szCs w:val="22"/>
          <w:lang w:val="en-US"/>
        </w:rPr>
        <w:t xml:space="preserve"> for </w:t>
      </w:r>
      <w:r w:rsidR="00D373A1" w:rsidRPr="00622F6C">
        <w:rPr>
          <w:rFonts w:ascii="Times New Roman" w:hAnsi="Times New Roman" w:cs="Times New Roman"/>
          <w:sz w:val="22"/>
          <w:szCs w:val="22"/>
          <w:lang w:val="en-US"/>
        </w:rPr>
        <w:t xml:space="preserve">public contract bids to </w:t>
      </w:r>
      <w:r w:rsidR="00E36B98" w:rsidRPr="00622F6C">
        <w:rPr>
          <w:rFonts w:ascii="Times New Roman" w:hAnsi="Times New Roman" w:cs="Times New Roman"/>
          <w:color w:val="000000"/>
          <w:sz w:val="22"/>
          <w:szCs w:val="22"/>
          <w:lang w:val="en-US"/>
        </w:rPr>
        <w:t xml:space="preserve">be </w:t>
      </w:r>
      <w:r w:rsidR="00D373A1" w:rsidRPr="00622F6C">
        <w:rPr>
          <w:rFonts w:ascii="Times New Roman" w:hAnsi="Times New Roman" w:cs="Times New Roman"/>
          <w:color w:val="000000"/>
          <w:sz w:val="22"/>
          <w:szCs w:val="22"/>
          <w:lang w:val="en-US"/>
        </w:rPr>
        <w:t>restricted to</w:t>
      </w:r>
      <w:r w:rsidR="00E36B98" w:rsidRPr="00622F6C">
        <w:rPr>
          <w:rFonts w:ascii="Times New Roman" w:hAnsi="Times New Roman" w:cs="Times New Roman"/>
          <w:color w:val="000000"/>
          <w:sz w:val="22"/>
          <w:szCs w:val="22"/>
          <w:lang w:val="en-US"/>
        </w:rPr>
        <w:t xml:space="preserve"> companies demonstrating due diligence in their modern slavery statements (</w:t>
      </w:r>
      <w:r w:rsidR="00E562C9">
        <w:rPr>
          <w:rFonts w:ascii="Times New Roman" w:hAnsi="Times New Roman" w:cs="Times New Roman"/>
          <w:sz w:val="22"/>
          <w:szCs w:val="22"/>
          <w:lang w:val="en-US"/>
        </w:rPr>
        <w:t>BHRRC</w:t>
      </w:r>
      <w:r w:rsidR="00031193" w:rsidRPr="00622F6C">
        <w:rPr>
          <w:rFonts w:ascii="Times New Roman" w:hAnsi="Times New Roman" w:cs="Times New Roman"/>
          <w:color w:val="000000"/>
          <w:sz w:val="22"/>
          <w:szCs w:val="22"/>
          <w:lang w:val="en-US"/>
        </w:rPr>
        <w:t>, 2018</w:t>
      </w:r>
      <w:r w:rsidR="00E36B98" w:rsidRPr="00622F6C">
        <w:rPr>
          <w:rFonts w:ascii="Times New Roman" w:hAnsi="Times New Roman" w:cs="Times New Roman"/>
          <w:color w:val="000000"/>
          <w:sz w:val="22"/>
          <w:szCs w:val="22"/>
          <w:lang w:val="en-US"/>
        </w:rPr>
        <w:t xml:space="preserve">). </w:t>
      </w:r>
      <w:r w:rsidR="00C80DF0" w:rsidRPr="00622F6C">
        <w:rPr>
          <w:rFonts w:ascii="Times New Roman" w:hAnsi="Times New Roman" w:cs="Times New Roman"/>
          <w:color w:val="000000"/>
          <w:sz w:val="22"/>
          <w:szCs w:val="22"/>
          <w:lang w:val="en-US"/>
        </w:rPr>
        <w:t>I</w:t>
      </w:r>
      <w:r w:rsidR="00F81323" w:rsidRPr="00622F6C">
        <w:rPr>
          <w:rFonts w:ascii="Times New Roman" w:hAnsi="Times New Roman" w:cs="Times New Roman"/>
          <w:color w:val="000000"/>
          <w:sz w:val="22"/>
          <w:szCs w:val="22"/>
          <w:lang w:val="en-US"/>
        </w:rPr>
        <w:t xml:space="preserve">nvestors </w:t>
      </w:r>
      <w:r w:rsidR="00024161" w:rsidRPr="00622F6C">
        <w:rPr>
          <w:rFonts w:ascii="Times New Roman" w:hAnsi="Times New Roman" w:cs="Times New Roman"/>
          <w:color w:val="000000"/>
          <w:sz w:val="22"/>
          <w:szCs w:val="22"/>
          <w:lang w:val="en-US"/>
        </w:rPr>
        <w:t>may anticipate</w:t>
      </w:r>
      <w:r w:rsidR="00E36B98" w:rsidRPr="00622F6C">
        <w:rPr>
          <w:rFonts w:ascii="Times New Roman" w:hAnsi="Times New Roman" w:cs="Times New Roman"/>
          <w:color w:val="000000"/>
          <w:sz w:val="22"/>
          <w:szCs w:val="22"/>
          <w:lang w:val="en-US"/>
        </w:rPr>
        <w:t xml:space="preserve"> such contractual constraints, which should be more binding for high</w:t>
      </w:r>
      <w:r w:rsidR="00713AEE">
        <w:rPr>
          <w:rFonts w:ascii="Times New Roman" w:hAnsi="Times New Roman" w:cs="Times New Roman"/>
          <w:color w:val="000000"/>
          <w:sz w:val="22"/>
          <w:szCs w:val="22"/>
          <w:lang w:val="en-US"/>
        </w:rPr>
        <w:t>-</w:t>
      </w:r>
      <w:r w:rsidR="00E36B98" w:rsidRPr="00622F6C">
        <w:rPr>
          <w:rFonts w:ascii="Times New Roman" w:hAnsi="Times New Roman" w:cs="Times New Roman"/>
          <w:color w:val="000000"/>
          <w:sz w:val="22"/>
          <w:szCs w:val="22"/>
          <w:lang w:val="en-US"/>
        </w:rPr>
        <w:t>slavery</w:t>
      </w:r>
      <w:r w:rsidR="00713AEE">
        <w:rPr>
          <w:rFonts w:ascii="Times New Roman" w:hAnsi="Times New Roman" w:cs="Times New Roman"/>
          <w:color w:val="000000"/>
          <w:sz w:val="22"/>
          <w:szCs w:val="22"/>
          <w:lang w:val="en-US"/>
        </w:rPr>
        <w:t>-</w:t>
      </w:r>
      <w:r w:rsidR="00E36B98" w:rsidRPr="00622F6C">
        <w:rPr>
          <w:rFonts w:ascii="Times New Roman" w:hAnsi="Times New Roman" w:cs="Times New Roman"/>
          <w:color w:val="000000"/>
          <w:sz w:val="22"/>
          <w:szCs w:val="22"/>
          <w:lang w:val="en-US"/>
        </w:rPr>
        <w:t xml:space="preserve">risk firms, </w:t>
      </w:r>
      <w:r w:rsidR="00713AEE">
        <w:rPr>
          <w:rFonts w:ascii="Times New Roman" w:hAnsi="Times New Roman" w:cs="Times New Roman"/>
          <w:color w:val="000000"/>
          <w:sz w:val="22"/>
          <w:szCs w:val="22"/>
          <w:lang w:val="en-US"/>
        </w:rPr>
        <w:t>to come in</w:t>
      </w:r>
      <w:r w:rsidR="00BD5BA1">
        <w:rPr>
          <w:rFonts w:ascii="Times New Roman" w:hAnsi="Times New Roman" w:cs="Times New Roman"/>
          <w:color w:val="000000"/>
          <w:sz w:val="22"/>
          <w:szCs w:val="22"/>
          <w:lang w:val="en-US"/>
        </w:rPr>
        <w:t>to effect</w:t>
      </w:r>
      <w:r w:rsidR="00713AEE">
        <w:rPr>
          <w:rFonts w:ascii="Times New Roman" w:hAnsi="Times New Roman" w:cs="Times New Roman"/>
          <w:color w:val="000000"/>
          <w:sz w:val="22"/>
          <w:szCs w:val="22"/>
          <w:lang w:val="en-US"/>
        </w:rPr>
        <w:t xml:space="preserve"> along with </w:t>
      </w:r>
      <w:r w:rsidR="00E36B98" w:rsidRPr="00622F6C">
        <w:rPr>
          <w:rFonts w:ascii="Times New Roman" w:hAnsi="Times New Roman" w:cs="Times New Roman"/>
          <w:color w:val="000000"/>
          <w:sz w:val="22"/>
          <w:szCs w:val="22"/>
          <w:lang w:val="en-US"/>
        </w:rPr>
        <w:t xml:space="preserve">the introduction of the MSA. </w:t>
      </w:r>
      <w:r w:rsidR="003D48FB">
        <w:rPr>
          <w:rFonts w:ascii="Times New Roman" w:hAnsi="Times New Roman" w:cs="Times New Roman"/>
          <w:color w:val="000000"/>
          <w:sz w:val="22"/>
          <w:szCs w:val="22"/>
          <w:lang w:val="en-US"/>
        </w:rPr>
        <w:t>Finally</w:t>
      </w:r>
      <w:r w:rsidR="00A058C1">
        <w:rPr>
          <w:rFonts w:ascii="Times New Roman" w:hAnsi="Times New Roman" w:cs="Times New Roman"/>
          <w:color w:val="000000"/>
          <w:sz w:val="22"/>
          <w:szCs w:val="22"/>
          <w:lang w:val="en-US"/>
        </w:rPr>
        <w:t>, investors might expect an increased likelihood of freight searches by government officials following the MSA</w:t>
      </w:r>
      <w:r w:rsidR="0039073F">
        <w:rPr>
          <w:rFonts w:ascii="Times New Roman" w:hAnsi="Times New Roman" w:cs="Times New Roman"/>
          <w:color w:val="000000"/>
          <w:sz w:val="22"/>
          <w:szCs w:val="22"/>
          <w:lang w:val="en-US"/>
        </w:rPr>
        <w:t>’s adoption</w:t>
      </w:r>
      <w:r w:rsidR="00A058C1">
        <w:rPr>
          <w:rFonts w:ascii="Times New Roman" w:hAnsi="Times New Roman" w:cs="Times New Roman"/>
          <w:color w:val="000000"/>
          <w:sz w:val="22"/>
          <w:szCs w:val="22"/>
          <w:lang w:val="en-US"/>
        </w:rPr>
        <w:t>, which might cause</w:t>
      </w:r>
      <w:r w:rsidR="000B60DF">
        <w:rPr>
          <w:rFonts w:ascii="Times New Roman" w:hAnsi="Times New Roman" w:cs="Times New Roman"/>
          <w:color w:val="000000"/>
          <w:sz w:val="22"/>
          <w:szCs w:val="22"/>
          <w:lang w:val="en-US"/>
        </w:rPr>
        <w:t xml:space="preserve"> costly delays and</w:t>
      </w:r>
      <w:r w:rsidR="00A058C1">
        <w:rPr>
          <w:rFonts w:ascii="Times New Roman" w:hAnsi="Times New Roman" w:cs="Times New Roman"/>
          <w:color w:val="000000"/>
          <w:sz w:val="22"/>
          <w:szCs w:val="22"/>
          <w:lang w:val="en-US"/>
        </w:rPr>
        <w:t xml:space="preserve"> supply chain disruptions</w:t>
      </w:r>
      <w:r w:rsidR="00381377">
        <w:rPr>
          <w:rFonts w:ascii="Times New Roman" w:hAnsi="Times New Roman" w:cs="Times New Roman"/>
          <w:color w:val="000000"/>
          <w:sz w:val="22"/>
          <w:szCs w:val="22"/>
          <w:lang w:val="en-US"/>
        </w:rPr>
        <w:t>, especially for high-slavery-risk firms</w:t>
      </w:r>
      <w:r w:rsidR="00A058C1">
        <w:rPr>
          <w:rFonts w:ascii="Times New Roman" w:hAnsi="Times New Roman" w:cs="Times New Roman"/>
          <w:color w:val="000000"/>
          <w:sz w:val="22"/>
          <w:szCs w:val="22"/>
          <w:lang w:val="en-US"/>
        </w:rPr>
        <w:t xml:space="preserve">. </w:t>
      </w:r>
    </w:p>
    <w:p w14:paraId="725ABB3A" w14:textId="77777777" w:rsidR="00D373A1" w:rsidRPr="00622F6C" w:rsidRDefault="00D373A1" w:rsidP="00D373A1">
      <w:pPr>
        <w:pStyle w:val="Default"/>
        <w:spacing w:line="480" w:lineRule="auto"/>
        <w:ind w:firstLine="426"/>
        <w:jc w:val="both"/>
        <w:rPr>
          <w:rFonts w:ascii="Times New Roman" w:hAnsi="Times New Roman" w:cs="Times New Roman"/>
          <w:color w:val="auto"/>
          <w:sz w:val="22"/>
          <w:szCs w:val="22"/>
          <w:lang w:val="en-US"/>
        </w:rPr>
      </w:pPr>
      <w:r w:rsidRPr="00622F6C">
        <w:rPr>
          <w:rFonts w:ascii="Times New Roman" w:hAnsi="Times New Roman" w:cs="Times New Roman"/>
          <w:color w:val="auto"/>
          <w:sz w:val="22"/>
          <w:szCs w:val="22"/>
          <w:lang w:val="en-US"/>
        </w:rPr>
        <w:t xml:space="preserve">To summarize, while we expect slavery risk </w:t>
      </w:r>
      <w:r w:rsidR="00BD5BA1">
        <w:rPr>
          <w:rFonts w:ascii="Times New Roman" w:hAnsi="Times New Roman" w:cs="Times New Roman"/>
          <w:color w:val="auto"/>
          <w:sz w:val="22"/>
          <w:szCs w:val="22"/>
          <w:lang w:val="en-US"/>
        </w:rPr>
        <w:t xml:space="preserve">to </w:t>
      </w:r>
      <w:r w:rsidR="003D48FB">
        <w:rPr>
          <w:rFonts w:ascii="Times New Roman" w:hAnsi="Times New Roman" w:cs="Times New Roman"/>
          <w:color w:val="auto"/>
          <w:sz w:val="22"/>
          <w:szCs w:val="22"/>
          <w:lang w:val="en-US"/>
        </w:rPr>
        <w:t>influence</w:t>
      </w:r>
      <w:r w:rsidRPr="00622F6C">
        <w:rPr>
          <w:rFonts w:ascii="Times New Roman" w:hAnsi="Times New Roman" w:cs="Times New Roman"/>
          <w:color w:val="auto"/>
          <w:sz w:val="22"/>
          <w:szCs w:val="22"/>
          <w:lang w:val="en-US"/>
        </w:rPr>
        <w:t xml:space="preserve"> stock price reactions to the MSA, the predicted direction of </w:t>
      </w:r>
      <w:r w:rsidR="003D48FB">
        <w:rPr>
          <w:rFonts w:ascii="Times New Roman" w:hAnsi="Times New Roman" w:cs="Times New Roman"/>
          <w:color w:val="auto"/>
          <w:sz w:val="22"/>
          <w:szCs w:val="22"/>
          <w:lang w:val="en-US"/>
        </w:rPr>
        <w:t>its</w:t>
      </w:r>
      <w:r w:rsidR="003D48FB" w:rsidRPr="00622F6C">
        <w:rPr>
          <w:rFonts w:ascii="Times New Roman" w:hAnsi="Times New Roman" w:cs="Times New Roman"/>
          <w:color w:val="auto"/>
          <w:sz w:val="22"/>
          <w:szCs w:val="22"/>
          <w:lang w:val="en-US"/>
        </w:rPr>
        <w:t xml:space="preserve"> </w:t>
      </w:r>
      <w:r w:rsidRPr="00622F6C">
        <w:rPr>
          <w:rFonts w:ascii="Times New Roman" w:hAnsi="Times New Roman" w:cs="Times New Roman"/>
          <w:color w:val="auto"/>
          <w:sz w:val="22"/>
          <w:szCs w:val="22"/>
          <w:lang w:val="en-US"/>
        </w:rPr>
        <w:t xml:space="preserve">effect is unclear. </w:t>
      </w:r>
      <w:r w:rsidR="003D48FB">
        <w:rPr>
          <w:rFonts w:ascii="Times New Roman" w:hAnsi="Times New Roman" w:cs="Times New Roman"/>
          <w:color w:val="auto"/>
          <w:sz w:val="22"/>
          <w:szCs w:val="22"/>
          <w:lang w:val="en-US"/>
        </w:rPr>
        <w:t>More particularly, h</w:t>
      </w:r>
      <w:r w:rsidRPr="00EC2019">
        <w:rPr>
          <w:rFonts w:ascii="Times New Roman" w:hAnsi="Times New Roman" w:cs="Times New Roman"/>
          <w:color w:val="auto"/>
          <w:sz w:val="22"/>
          <w:szCs w:val="22"/>
          <w:lang w:val="en-US"/>
        </w:rPr>
        <w:t>igh</w:t>
      </w:r>
      <w:r w:rsidR="00BD5BA1" w:rsidRPr="00EC2019">
        <w:rPr>
          <w:rFonts w:ascii="Times New Roman" w:hAnsi="Times New Roman" w:cs="Times New Roman"/>
          <w:color w:val="auto"/>
          <w:sz w:val="22"/>
          <w:szCs w:val="22"/>
          <w:lang w:val="en-US"/>
        </w:rPr>
        <w:t>-</w:t>
      </w:r>
      <w:r w:rsidRPr="00EC2019">
        <w:rPr>
          <w:rFonts w:ascii="Times New Roman" w:hAnsi="Times New Roman" w:cs="Times New Roman"/>
          <w:color w:val="auto"/>
          <w:sz w:val="22"/>
          <w:szCs w:val="22"/>
          <w:lang w:val="en-US"/>
        </w:rPr>
        <w:t>slavery</w:t>
      </w:r>
      <w:r w:rsidR="00BD5BA1" w:rsidRPr="00344FE9">
        <w:rPr>
          <w:rFonts w:ascii="Times New Roman" w:hAnsi="Times New Roman" w:cs="Times New Roman"/>
          <w:color w:val="auto"/>
          <w:sz w:val="22"/>
          <w:szCs w:val="22"/>
          <w:lang w:val="en-US"/>
        </w:rPr>
        <w:t>-</w:t>
      </w:r>
      <w:r w:rsidRPr="004C52C9">
        <w:rPr>
          <w:rFonts w:ascii="Times New Roman" w:hAnsi="Times New Roman" w:cs="Times New Roman"/>
          <w:color w:val="auto"/>
          <w:sz w:val="22"/>
          <w:szCs w:val="22"/>
          <w:lang w:val="en-US"/>
        </w:rPr>
        <w:t xml:space="preserve">risk firms </w:t>
      </w:r>
      <w:r w:rsidR="00EC2019">
        <w:rPr>
          <w:rFonts w:ascii="Times New Roman" w:hAnsi="Times New Roman" w:cs="Times New Roman"/>
          <w:color w:val="auto"/>
          <w:sz w:val="22"/>
          <w:szCs w:val="22"/>
          <w:lang w:val="en-US"/>
        </w:rPr>
        <w:t>are less</w:t>
      </w:r>
      <w:r w:rsidRPr="00EC2019">
        <w:rPr>
          <w:rFonts w:ascii="Times New Roman" w:hAnsi="Times New Roman" w:cs="Times New Roman"/>
          <w:color w:val="auto"/>
          <w:sz w:val="22"/>
          <w:szCs w:val="22"/>
          <w:lang w:val="en-US"/>
        </w:rPr>
        <w:t xml:space="preserve"> (more) likely to </w:t>
      </w:r>
      <w:r w:rsidR="00F81323" w:rsidRPr="00EC2019">
        <w:rPr>
          <w:rFonts w:ascii="Times New Roman" w:hAnsi="Times New Roman" w:cs="Times New Roman"/>
          <w:color w:val="auto"/>
          <w:sz w:val="22"/>
          <w:szCs w:val="22"/>
          <w:lang w:val="en-US"/>
        </w:rPr>
        <w:t>be targeted by</w:t>
      </w:r>
      <w:r w:rsidRPr="00EC2019">
        <w:rPr>
          <w:rFonts w:ascii="Times New Roman" w:hAnsi="Times New Roman" w:cs="Times New Roman"/>
          <w:color w:val="auto"/>
          <w:sz w:val="22"/>
          <w:szCs w:val="22"/>
          <w:lang w:val="en-US"/>
        </w:rPr>
        <w:t xml:space="preserve"> </w:t>
      </w:r>
      <w:r w:rsidR="00EC2019" w:rsidRPr="00E54777">
        <w:rPr>
          <w:rFonts w:ascii="Times New Roman" w:hAnsi="Times New Roman" w:cs="Times New Roman"/>
          <w:color w:val="auto"/>
          <w:sz w:val="22"/>
          <w:szCs w:val="22"/>
          <w:lang w:val="en-US"/>
        </w:rPr>
        <w:t>positive</w:t>
      </w:r>
      <w:r w:rsidR="00EC2019" w:rsidRPr="00EC2019">
        <w:rPr>
          <w:rFonts w:ascii="Times New Roman" w:hAnsi="Times New Roman" w:cs="Times New Roman"/>
          <w:color w:val="auto"/>
          <w:sz w:val="22"/>
          <w:szCs w:val="22"/>
          <w:lang w:val="en-US"/>
        </w:rPr>
        <w:t xml:space="preserve"> </w:t>
      </w:r>
      <w:r w:rsidRPr="00EC2019">
        <w:rPr>
          <w:rFonts w:ascii="Times New Roman" w:hAnsi="Times New Roman" w:cs="Times New Roman"/>
          <w:color w:val="auto"/>
          <w:sz w:val="22"/>
          <w:szCs w:val="22"/>
          <w:lang w:val="en-US"/>
        </w:rPr>
        <w:t>(</w:t>
      </w:r>
      <w:r w:rsidR="00EC2019" w:rsidRPr="00E54777">
        <w:rPr>
          <w:rFonts w:ascii="Times New Roman" w:hAnsi="Times New Roman" w:cs="Times New Roman"/>
          <w:color w:val="auto"/>
          <w:sz w:val="22"/>
          <w:szCs w:val="22"/>
          <w:lang w:val="en-US"/>
        </w:rPr>
        <w:t>negative</w:t>
      </w:r>
      <w:r w:rsidRPr="00EC2019">
        <w:rPr>
          <w:rFonts w:ascii="Times New Roman" w:hAnsi="Times New Roman" w:cs="Times New Roman"/>
          <w:color w:val="auto"/>
          <w:sz w:val="22"/>
          <w:szCs w:val="22"/>
          <w:lang w:val="en-US"/>
        </w:rPr>
        <w:t>) stakeholder actions</w:t>
      </w:r>
      <w:r w:rsidR="00F81323" w:rsidRPr="00EC2019">
        <w:rPr>
          <w:rFonts w:ascii="Times New Roman" w:hAnsi="Times New Roman" w:cs="Times New Roman"/>
          <w:color w:val="auto"/>
          <w:sz w:val="22"/>
          <w:szCs w:val="22"/>
          <w:lang w:val="en-US"/>
        </w:rPr>
        <w:t>,</w:t>
      </w:r>
      <w:r w:rsidR="00F81323" w:rsidRPr="00622F6C">
        <w:rPr>
          <w:rFonts w:ascii="Times New Roman" w:hAnsi="Times New Roman" w:cs="Times New Roman"/>
          <w:color w:val="auto"/>
          <w:sz w:val="22"/>
          <w:szCs w:val="22"/>
          <w:lang w:val="en-US"/>
        </w:rPr>
        <w:t xml:space="preserve"> but </w:t>
      </w:r>
      <w:r w:rsidR="00BD5BA1">
        <w:rPr>
          <w:rFonts w:ascii="Times New Roman" w:hAnsi="Times New Roman" w:cs="Times New Roman"/>
          <w:color w:val="auto"/>
          <w:sz w:val="22"/>
          <w:szCs w:val="22"/>
          <w:lang w:val="en-US"/>
        </w:rPr>
        <w:t xml:space="preserve">could </w:t>
      </w:r>
      <w:r w:rsidR="00EC2019">
        <w:rPr>
          <w:rFonts w:ascii="Times New Roman" w:hAnsi="Times New Roman" w:cs="Times New Roman"/>
          <w:color w:val="auto"/>
          <w:sz w:val="22"/>
          <w:szCs w:val="22"/>
          <w:lang w:val="en-US"/>
        </w:rPr>
        <w:t xml:space="preserve">also </w:t>
      </w:r>
      <w:r w:rsidRPr="00622F6C">
        <w:rPr>
          <w:rFonts w:ascii="Times New Roman" w:hAnsi="Times New Roman" w:cs="Times New Roman"/>
          <w:color w:val="auto"/>
          <w:sz w:val="22"/>
          <w:szCs w:val="22"/>
          <w:lang w:val="en-US"/>
        </w:rPr>
        <w:t>realize higher incremental benefits from adjustments</w:t>
      </w:r>
      <w:r w:rsidR="00A37DF3">
        <w:rPr>
          <w:rFonts w:ascii="Times New Roman" w:hAnsi="Times New Roman" w:cs="Times New Roman"/>
          <w:color w:val="auto"/>
          <w:sz w:val="22"/>
          <w:szCs w:val="22"/>
          <w:lang w:val="en-US"/>
        </w:rPr>
        <w:t xml:space="preserve"> in their focal business or supply chains</w:t>
      </w:r>
      <w:r w:rsidR="00F81323" w:rsidRPr="00622F6C">
        <w:rPr>
          <w:rFonts w:ascii="Times New Roman" w:hAnsi="Times New Roman" w:cs="Times New Roman"/>
          <w:color w:val="auto"/>
          <w:sz w:val="22"/>
          <w:szCs w:val="22"/>
          <w:lang w:val="en-US"/>
        </w:rPr>
        <w:t xml:space="preserve"> following the </w:t>
      </w:r>
      <w:r w:rsidR="0039073F">
        <w:rPr>
          <w:rFonts w:ascii="Times New Roman" w:hAnsi="Times New Roman" w:cs="Times New Roman"/>
          <w:color w:val="auto"/>
          <w:sz w:val="22"/>
          <w:szCs w:val="22"/>
          <w:lang w:val="en-US"/>
        </w:rPr>
        <w:t xml:space="preserve">introduction of the </w:t>
      </w:r>
      <w:r w:rsidR="00F81323" w:rsidRPr="00622F6C">
        <w:rPr>
          <w:rFonts w:ascii="Times New Roman" w:hAnsi="Times New Roman" w:cs="Times New Roman"/>
          <w:color w:val="auto"/>
          <w:sz w:val="22"/>
          <w:szCs w:val="22"/>
          <w:lang w:val="en-US"/>
        </w:rPr>
        <w:t>MSA</w:t>
      </w:r>
      <w:r w:rsidR="00BD5BA1">
        <w:rPr>
          <w:rFonts w:ascii="Times New Roman" w:hAnsi="Times New Roman" w:cs="Times New Roman"/>
          <w:color w:val="auto"/>
          <w:sz w:val="22"/>
          <w:szCs w:val="22"/>
          <w:lang w:val="en-US"/>
        </w:rPr>
        <w:t>,</w:t>
      </w:r>
      <w:r w:rsidR="00AB41DA">
        <w:rPr>
          <w:rFonts w:ascii="Times New Roman" w:hAnsi="Times New Roman" w:cs="Times New Roman"/>
          <w:color w:val="auto"/>
          <w:sz w:val="22"/>
          <w:szCs w:val="22"/>
          <w:lang w:val="en-US"/>
        </w:rPr>
        <w:t xml:space="preserve"> while g</w:t>
      </w:r>
      <w:r w:rsidRPr="00622F6C">
        <w:rPr>
          <w:rFonts w:ascii="Times New Roman" w:hAnsi="Times New Roman" w:cs="Times New Roman"/>
          <w:color w:val="auto"/>
          <w:sz w:val="22"/>
          <w:szCs w:val="22"/>
          <w:lang w:val="en-US"/>
        </w:rPr>
        <w:t>overnmental actions</w:t>
      </w:r>
      <w:r w:rsidR="00EC2019">
        <w:rPr>
          <w:rFonts w:ascii="Times New Roman" w:hAnsi="Times New Roman" w:cs="Times New Roman"/>
          <w:color w:val="auto"/>
          <w:sz w:val="22"/>
          <w:szCs w:val="22"/>
          <w:lang w:val="en-US"/>
        </w:rPr>
        <w:t xml:space="preserve"> such as additional regulation</w:t>
      </w:r>
      <w:r w:rsidR="00AB41DA" w:rsidRPr="00622F6C" w:rsidDel="00AB41DA">
        <w:rPr>
          <w:rFonts w:ascii="Times New Roman" w:hAnsi="Times New Roman" w:cs="Times New Roman"/>
          <w:color w:val="auto"/>
          <w:sz w:val="22"/>
          <w:szCs w:val="22"/>
          <w:lang w:val="en-US"/>
        </w:rPr>
        <w:t xml:space="preserve"> </w:t>
      </w:r>
      <w:r w:rsidRPr="00622F6C">
        <w:rPr>
          <w:rFonts w:ascii="Times New Roman" w:hAnsi="Times New Roman" w:cs="Times New Roman"/>
          <w:color w:val="auto"/>
          <w:sz w:val="22"/>
          <w:szCs w:val="22"/>
          <w:lang w:val="en-US"/>
        </w:rPr>
        <w:t>do not yield a clear prediction. We thus obtain the following dual hypothesis:</w:t>
      </w:r>
    </w:p>
    <w:p w14:paraId="1DCD8740" w14:textId="77777777" w:rsidR="00D373A1" w:rsidRPr="00622F6C" w:rsidRDefault="00D373A1" w:rsidP="00D373A1">
      <w:pPr>
        <w:spacing w:after="0" w:line="480" w:lineRule="auto"/>
        <w:ind w:left="567" w:hanging="567"/>
        <w:jc w:val="both"/>
        <w:rPr>
          <w:rFonts w:ascii="Times New Roman" w:hAnsi="Times New Roman" w:cs="Times New Roman"/>
          <w:i/>
          <w:lang w:val="en-US"/>
        </w:rPr>
      </w:pPr>
      <w:r w:rsidRPr="00622F6C">
        <w:rPr>
          <w:rFonts w:ascii="Times New Roman" w:hAnsi="Times New Roman" w:cs="Times New Roman"/>
          <w:i/>
          <w:lang w:val="en-US"/>
        </w:rPr>
        <w:t>H</w:t>
      </w:r>
      <w:r w:rsidR="001D10EC" w:rsidRPr="00622F6C">
        <w:rPr>
          <w:rFonts w:ascii="Times New Roman" w:hAnsi="Times New Roman" w:cs="Times New Roman"/>
          <w:i/>
          <w:vertAlign w:val="subscript"/>
          <w:lang w:val="en-US"/>
        </w:rPr>
        <w:t>1</w:t>
      </w:r>
      <w:r w:rsidRPr="00622F6C">
        <w:rPr>
          <w:rFonts w:ascii="Times New Roman" w:hAnsi="Times New Roman" w:cs="Times New Roman"/>
          <w:i/>
          <w:vertAlign w:val="subscript"/>
          <w:lang w:val="en-US"/>
        </w:rPr>
        <w:t>a</w:t>
      </w:r>
      <w:r w:rsidRPr="00622F6C">
        <w:rPr>
          <w:rFonts w:ascii="Times New Roman" w:hAnsi="Times New Roman" w:cs="Times New Roman"/>
          <w:i/>
          <w:lang w:val="en-US"/>
        </w:rPr>
        <w:t xml:space="preserve">: </w:t>
      </w:r>
      <w:r w:rsidRPr="00622F6C">
        <w:rPr>
          <w:rFonts w:ascii="Times New Roman" w:hAnsi="Times New Roman" w:cs="Times New Roman"/>
          <w:i/>
          <w:lang w:val="en-US"/>
        </w:rPr>
        <w:tab/>
        <w:t xml:space="preserve">Stock price reactions to the MSA are </w:t>
      </w:r>
      <w:r w:rsidR="00EC2019">
        <w:rPr>
          <w:rFonts w:ascii="Times New Roman" w:hAnsi="Times New Roman" w:cs="Times New Roman"/>
          <w:i/>
          <w:lang w:val="en-US"/>
        </w:rPr>
        <w:t>negatively</w:t>
      </w:r>
      <w:r w:rsidR="00EC2019" w:rsidRPr="00622F6C">
        <w:rPr>
          <w:rFonts w:ascii="Times New Roman" w:hAnsi="Times New Roman" w:cs="Times New Roman"/>
          <w:i/>
          <w:lang w:val="en-US"/>
        </w:rPr>
        <w:t xml:space="preserve"> </w:t>
      </w:r>
      <w:r w:rsidRPr="00622F6C">
        <w:rPr>
          <w:rFonts w:ascii="Times New Roman" w:hAnsi="Times New Roman" w:cs="Times New Roman"/>
          <w:i/>
          <w:lang w:val="en-US"/>
        </w:rPr>
        <w:t xml:space="preserve">affected by slavery risk. </w:t>
      </w:r>
    </w:p>
    <w:p w14:paraId="1DF9CA3A" w14:textId="0C689C3B" w:rsidR="00A37DF3" w:rsidRDefault="00D373A1" w:rsidP="00D373A1">
      <w:pPr>
        <w:spacing w:after="0" w:line="480" w:lineRule="auto"/>
        <w:ind w:left="567" w:hanging="567"/>
        <w:jc w:val="both"/>
        <w:rPr>
          <w:rFonts w:ascii="Times New Roman" w:hAnsi="Times New Roman" w:cs="Times New Roman"/>
          <w:i/>
          <w:lang w:val="en-US"/>
        </w:rPr>
      </w:pPr>
      <w:r w:rsidRPr="00622F6C">
        <w:rPr>
          <w:rFonts w:ascii="Times New Roman" w:hAnsi="Times New Roman" w:cs="Times New Roman"/>
          <w:i/>
          <w:lang w:val="en-US"/>
        </w:rPr>
        <w:lastRenderedPageBreak/>
        <w:t>H</w:t>
      </w:r>
      <w:r w:rsidR="001D10EC" w:rsidRPr="00622F6C">
        <w:rPr>
          <w:rFonts w:ascii="Times New Roman" w:hAnsi="Times New Roman" w:cs="Times New Roman"/>
          <w:i/>
          <w:vertAlign w:val="subscript"/>
          <w:lang w:val="en-US"/>
        </w:rPr>
        <w:t>1</w:t>
      </w:r>
      <w:r w:rsidRPr="00622F6C">
        <w:rPr>
          <w:rFonts w:ascii="Times New Roman" w:hAnsi="Times New Roman" w:cs="Times New Roman"/>
          <w:i/>
          <w:vertAlign w:val="subscript"/>
          <w:lang w:val="en-US"/>
        </w:rPr>
        <w:t>b</w:t>
      </w:r>
      <w:r w:rsidRPr="00622F6C">
        <w:rPr>
          <w:rFonts w:ascii="Times New Roman" w:hAnsi="Times New Roman" w:cs="Times New Roman"/>
          <w:i/>
          <w:lang w:val="en-US"/>
        </w:rPr>
        <w:t xml:space="preserve">: </w:t>
      </w:r>
      <w:r w:rsidRPr="00622F6C">
        <w:rPr>
          <w:rFonts w:ascii="Times New Roman" w:hAnsi="Times New Roman" w:cs="Times New Roman"/>
          <w:i/>
          <w:lang w:val="en-US"/>
        </w:rPr>
        <w:tab/>
        <w:t xml:space="preserve">Stock price reactions to the MSA are </w:t>
      </w:r>
      <w:r w:rsidR="00EC2019">
        <w:rPr>
          <w:rFonts w:ascii="Times New Roman" w:hAnsi="Times New Roman" w:cs="Times New Roman"/>
          <w:i/>
          <w:lang w:val="en-US"/>
        </w:rPr>
        <w:t>positively</w:t>
      </w:r>
      <w:r w:rsidR="00EC2019" w:rsidRPr="00622F6C">
        <w:rPr>
          <w:rFonts w:ascii="Times New Roman" w:hAnsi="Times New Roman" w:cs="Times New Roman"/>
          <w:i/>
          <w:lang w:val="en-US"/>
        </w:rPr>
        <w:t xml:space="preserve"> </w:t>
      </w:r>
      <w:r w:rsidRPr="00622F6C">
        <w:rPr>
          <w:rFonts w:ascii="Times New Roman" w:hAnsi="Times New Roman" w:cs="Times New Roman"/>
          <w:i/>
          <w:lang w:val="en-US"/>
        </w:rPr>
        <w:t xml:space="preserve">affected by slavery risk. </w:t>
      </w:r>
    </w:p>
    <w:p w14:paraId="12CFD323" w14:textId="243E4B38" w:rsidR="00381377" w:rsidRDefault="00381377" w:rsidP="00E54777">
      <w:pPr>
        <w:rPr>
          <w:rFonts w:ascii="Times New Roman" w:hAnsi="Times New Roman" w:cs="Times New Roman"/>
          <w:i/>
          <w:lang w:val="en-US"/>
        </w:rPr>
      </w:pPr>
    </w:p>
    <w:p w14:paraId="49E3A4CE" w14:textId="77777777" w:rsidR="001D10EC" w:rsidRPr="00622F6C" w:rsidRDefault="004C07D4" w:rsidP="00E54777">
      <w:pPr>
        <w:rPr>
          <w:rFonts w:ascii="Times New Roman" w:hAnsi="Times New Roman" w:cs="Times New Roman"/>
          <w:i/>
          <w:lang w:val="en-US"/>
        </w:rPr>
      </w:pPr>
      <w:r w:rsidRPr="00622F6C">
        <w:rPr>
          <w:rFonts w:ascii="Times New Roman" w:hAnsi="Times New Roman" w:cs="Times New Roman"/>
          <w:i/>
          <w:lang w:val="en-US"/>
        </w:rPr>
        <w:t>4.</w:t>
      </w:r>
      <w:r w:rsidR="00C122C0" w:rsidRPr="00622F6C">
        <w:rPr>
          <w:rFonts w:ascii="Times New Roman" w:hAnsi="Times New Roman" w:cs="Times New Roman"/>
          <w:i/>
          <w:lang w:val="en-US"/>
        </w:rPr>
        <w:t>2</w:t>
      </w:r>
      <w:r w:rsidR="001D10EC" w:rsidRPr="00622F6C">
        <w:rPr>
          <w:rFonts w:ascii="Times New Roman" w:hAnsi="Times New Roman" w:cs="Times New Roman"/>
          <w:i/>
          <w:lang w:val="en-US"/>
        </w:rPr>
        <w:t xml:space="preserve">. </w:t>
      </w:r>
      <w:r w:rsidR="0084044A">
        <w:rPr>
          <w:rFonts w:ascii="Times New Roman" w:hAnsi="Times New Roman" w:cs="Times New Roman"/>
          <w:i/>
          <w:lang w:val="en-US"/>
        </w:rPr>
        <w:t>Impact of</w:t>
      </w:r>
      <w:r w:rsidR="001D10EC" w:rsidRPr="00622F6C">
        <w:rPr>
          <w:rFonts w:ascii="Times New Roman" w:hAnsi="Times New Roman" w:cs="Times New Roman"/>
          <w:i/>
          <w:lang w:val="en-US"/>
        </w:rPr>
        <w:t xml:space="preserve"> CSR disclosure</w:t>
      </w:r>
      <w:r w:rsidR="0084044A">
        <w:rPr>
          <w:rFonts w:ascii="Times New Roman" w:hAnsi="Times New Roman" w:cs="Times New Roman"/>
          <w:i/>
          <w:lang w:val="en-US"/>
        </w:rPr>
        <w:t xml:space="preserve"> on stock price reactions </w:t>
      </w:r>
    </w:p>
    <w:p w14:paraId="3D364A6D" w14:textId="77777777" w:rsidR="002353E0" w:rsidRPr="00622F6C" w:rsidRDefault="00717DFD" w:rsidP="006E6FAF">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The MSA’s TISC clause imposes additional disclosure requirements on firms. Therefore, w</w:t>
      </w:r>
      <w:r w:rsidR="001D10EC" w:rsidRPr="00622F6C">
        <w:rPr>
          <w:rFonts w:ascii="Times New Roman" w:hAnsi="Times New Roman" w:cs="Times New Roman"/>
          <w:lang w:val="en-US"/>
        </w:rPr>
        <w:t xml:space="preserve">e expect stock price reactions to be affected by </w:t>
      </w:r>
      <w:r w:rsidR="00024161" w:rsidRPr="00622F6C">
        <w:rPr>
          <w:rFonts w:ascii="Times New Roman" w:hAnsi="Times New Roman" w:cs="Times New Roman"/>
          <w:lang w:val="en-US"/>
        </w:rPr>
        <w:t xml:space="preserve">the extent and level of </w:t>
      </w:r>
      <w:r w:rsidR="003D48FB">
        <w:rPr>
          <w:rFonts w:ascii="Times New Roman" w:hAnsi="Times New Roman" w:cs="Times New Roman"/>
          <w:lang w:val="en-US"/>
        </w:rPr>
        <w:t>a firm’s</w:t>
      </w:r>
      <w:r w:rsidR="003D48FB" w:rsidRPr="00622F6C">
        <w:rPr>
          <w:rFonts w:ascii="Times New Roman" w:hAnsi="Times New Roman" w:cs="Times New Roman"/>
          <w:lang w:val="en-US"/>
        </w:rPr>
        <w:t xml:space="preserve"> </w:t>
      </w:r>
      <w:r w:rsidR="001D10EC" w:rsidRPr="00622F6C">
        <w:rPr>
          <w:rFonts w:ascii="Times New Roman" w:hAnsi="Times New Roman" w:cs="Times New Roman"/>
          <w:lang w:val="en-US"/>
        </w:rPr>
        <w:t xml:space="preserve">pre-regulatory </w:t>
      </w:r>
      <w:r w:rsidR="00024161" w:rsidRPr="00622F6C">
        <w:rPr>
          <w:rFonts w:ascii="Times New Roman" w:hAnsi="Times New Roman" w:cs="Times New Roman"/>
          <w:lang w:val="en-US"/>
        </w:rPr>
        <w:t>disclosure of their CSR activity, which we label</w:t>
      </w:r>
      <w:r w:rsidR="004B3FDA" w:rsidRPr="00622F6C">
        <w:rPr>
          <w:rFonts w:ascii="Times New Roman" w:hAnsi="Times New Roman" w:cs="Times New Roman"/>
          <w:lang w:val="en-US"/>
        </w:rPr>
        <w:t xml:space="preserve"> ‘CSR disclosure’. The direction of the effect </w:t>
      </w:r>
      <w:r w:rsidR="00BD5BA1">
        <w:rPr>
          <w:rFonts w:ascii="Times New Roman" w:hAnsi="Times New Roman" w:cs="Times New Roman"/>
          <w:lang w:val="en-US"/>
        </w:rPr>
        <w:t xml:space="preserve">will </w:t>
      </w:r>
      <w:r w:rsidR="004B3FDA" w:rsidRPr="00622F6C">
        <w:rPr>
          <w:rFonts w:ascii="Times New Roman" w:hAnsi="Times New Roman" w:cs="Times New Roman"/>
          <w:lang w:val="en-US"/>
        </w:rPr>
        <w:t xml:space="preserve">depend on whether </w:t>
      </w:r>
      <w:r w:rsidRPr="00622F6C">
        <w:rPr>
          <w:rFonts w:ascii="Times New Roman" w:hAnsi="Times New Roman" w:cs="Times New Roman"/>
          <w:lang w:val="en-US"/>
        </w:rPr>
        <w:t xml:space="preserve">investors </w:t>
      </w:r>
      <w:r w:rsidR="00A37DF3">
        <w:rPr>
          <w:rFonts w:ascii="Times New Roman" w:hAnsi="Times New Roman" w:cs="Times New Roman"/>
          <w:lang w:val="en-US"/>
        </w:rPr>
        <w:t>believe</w:t>
      </w:r>
      <w:r w:rsidRPr="00622F6C">
        <w:rPr>
          <w:rFonts w:ascii="Times New Roman" w:hAnsi="Times New Roman" w:cs="Times New Roman"/>
          <w:lang w:val="en-US"/>
        </w:rPr>
        <w:t xml:space="preserve"> that </w:t>
      </w:r>
      <w:r w:rsidR="004B3FDA" w:rsidRPr="00622F6C">
        <w:rPr>
          <w:rFonts w:ascii="Times New Roman" w:hAnsi="Times New Roman" w:cs="Times New Roman"/>
          <w:lang w:val="en-US"/>
        </w:rPr>
        <w:t>firms provide</w:t>
      </w:r>
      <w:r w:rsidR="00D7239A">
        <w:rPr>
          <w:rFonts w:ascii="Times New Roman" w:hAnsi="Times New Roman" w:cs="Times New Roman"/>
          <w:lang w:val="en-US"/>
        </w:rPr>
        <w:t>d</w:t>
      </w:r>
      <w:r w:rsidR="004B3FDA" w:rsidRPr="00622F6C">
        <w:rPr>
          <w:rFonts w:ascii="Times New Roman" w:hAnsi="Times New Roman" w:cs="Times New Roman"/>
          <w:lang w:val="en-US"/>
        </w:rPr>
        <w:t xml:space="preserve"> </w:t>
      </w:r>
      <w:r w:rsidR="00024161" w:rsidRPr="00622F6C">
        <w:rPr>
          <w:rFonts w:ascii="Times New Roman" w:hAnsi="Times New Roman" w:cs="Times New Roman"/>
          <w:lang w:val="en-US"/>
        </w:rPr>
        <w:t>sufficient CSR disclosure</w:t>
      </w:r>
      <w:r w:rsidR="004B3FDA" w:rsidRPr="00622F6C">
        <w:rPr>
          <w:rFonts w:ascii="Times New Roman" w:hAnsi="Times New Roman" w:cs="Times New Roman"/>
          <w:lang w:val="en-US"/>
        </w:rPr>
        <w:t xml:space="preserve"> before the </w:t>
      </w:r>
      <w:r w:rsidR="00856B36">
        <w:rPr>
          <w:rFonts w:ascii="Times New Roman" w:hAnsi="Times New Roman" w:cs="Times New Roman"/>
          <w:lang w:val="en-US"/>
        </w:rPr>
        <w:t>introduction</w:t>
      </w:r>
      <w:r w:rsidR="0039073F">
        <w:rPr>
          <w:rFonts w:ascii="Times New Roman" w:hAnsi="Times New Roman" w:cs="Times New Roman"/>
          <w:lang w:val="en-US"/>
        </w:rPr>
        <w:t xml:space="preserve"> of the </w:t>
      </w:r>
      <w:r w:rsidR="004B3FDA" w:rsidRPr="00622F6C">
        <w:rPr>
          <w:rFonts w:ascii="Times New Roman" w:hAnsi="Times New Roman" w:cs="Times New Roman"/>
          <w:lang w:val="en-US"/>
        </w:rPr>
        <w:t xml:space="preserve">MSA. If </w:t>
      </w:r>
      <w:r w:rsidR="00C80DF0" w:rsidRPr="00622F6C">
        <w:rPr>
          <w:rFonts w:ascii="Times New Roman" w:hAnsi="Times New Roman" w:cs="Times New Roman"/>
          <w:lang w:val="en-US"/>
        </w:rPr>
        <w:t xml:space="preserve">investors perceive </w:t>
      </w:r>
      <w:r w:rsidR="004B3FDA" w:rsidRPr="00622F6C">
        <w:rPr>
          <w:rFonts w:ascii="Times New Roman" w:hAnsi="Times New Roman" w:cs="Times New Roman"/>
          <w:lang w:val="en-US"/>
        </w:rPr>
        <w:t>pre-</w:t>
      </w:r>
      <w:r w:rsidR="00BD5BA1" w:rsidRPr="00622F6C">
        <w:rPr>
          <w:rFonts w:ascii="Times New Roman" w:hAnsi="Times New Roman" w:cs="Times New Roman"/>
          <w:lang w:val="en-US"/>
        </w:rPr>
        <w:t>regulat</w:t>
      </w:r>
      <w:r w:rsidR="00A37DF3">
        <w:rPr>
          <w:rFonts w:ascii="Times New Roman" w:hAnsi="Times New Roman" w:cs="Times New Roman"/>
          <w:lang w:val="en-US"/>
        </w:rPr>
        <w:t>ory</w:t>
      </w:r>
      <w:r w:rsidR="00BD5BA1" w:rsidRPr="00622F6C">
        <w:rPr>
          <w:rFonts w:ascii="Times New Roman" w:hAnsi="Times New Roman" w:cs="Times New Roman"/>
          <w:lang w:val="en-US"/>
        </w:rPr>
        <w:t xml:space="preserve"> </w:t>
      </w:r>
      <w:r w:rsidRPr="00622F6C">
        <w:rPr>
          <w:rFonts w:ascii="Times New Roman" w:hAnsi="Times New Roman" w:cs="Times New Roman"/>
          <w:lang w:val="en-US"/>
        </w:rPr>
        <w:t xml:space="preserve">CSR </w:t>
      </w:r>
      <w:r w:rsidR="004B3FDA" w:rsidRPr="00622F6C">
        <w:rPr>
          <w:rFonts w:ascii="Times New Roman" w:hAnsi="Times New Roman" w:cs="Times New Roman"/>
          <w:lang w:val="en-US"/>
        </w:rPr>
        <w:t xml:space="preserve">disclosure </w:t>
      </w:r>
      <w:r w:rsidRPr="00622F6C">
        <w:rPr>
          <w:rFonts w:ascii="Times New Roman" w:hAnsi="Times New Roman" w:cs="Times New Roman"/>
          <w:lang w:val="en-US"/>
        </w:rPr>
        <w:t xml:space="preserve">to be </w:t>
      </w:r>
      <w:r w:rsidR="004B3FDA" w:rsidRPr="00622F6C">
        <w:rPr>
          <w:rFonts w:ascii="Times New Roman" w:hAnsi="Times New Roman" w:cs="Times New Roman"/>
          <w:lang w:val="en-US"/>
        </w:rPr>
        <w:t xml:space="preserve">at optimal levels, the TISC clause </w:t>
      </w:r>
      <w:r w:rsidR="00BD5BA1" w:rsidRPr="00622F6C">
        <w:rPr>
          <w:rFonts w:ascii="Times New Roman" w:hAnsi="Times New Roman" w:cs="Times New Roman"/>
          <w:lang w:val="en-US"/>
        </w:rPr>
        <w:t>w</w:t>
      </w:r>
      <w:r w:rsidR="00BD5BA1">
        <w:rPr>
          <w:rFonts w:ascii="Times New Roman" w:hAnsi="Times New Roman" w:cs="Times New Roman"/>
          <w:lang w:val="en-US"/>
        </w:rPr>
        <w:t>ill</w:t>
      </w:r>
      <w:r w:rsidR="00BD5BA1" w:rsidRPr="00622F6C">
        <w:rPr>
          <w:rFonts w:ascii="Times New Roman" w:hAnsi="Times New Roman" w:cs="Times New Roman"/>
          <w:lang w:val="en-US"/>
        </w:rPr>
        <w:t xml:space="preserve"> </w:t>
      </w:r>
      <w:r w:rsidR="004B3FDA" w:rsidRPr="00622F6C">
        <w:rPr>
          <w:rFonts w:ascii="Times New Roman" w:hAnsi="Times New Roman" w:cs="Times New Roman"/>
          <w:lang w:val="en-US"/>
        </w:rPr>
        <w:t>force</w:t>
      </w:r>
      <w:r w:rsidR="00C80DF0" w:rsidRPr="00622F6C">
        <w:rPr>
          <w:rFonts w:ascii="Times New Roman" w:hAnsi="Times New Roman" w:cs="Times New Roman"/>
          <w:lang w:val="en-US"/>
        </w:rPr>
        <w:t xml:space="preserve"> some</w:t>
      </w:r>
      <w:r w:rsidR="004B3FDA" w:rsidRPr="00622F6C">
        <w:rPr>
          <w:rFonts w:ascii="Times New Roman" w:hAnsi="Times New Roman" w:cs="Times New Roman"/>
          <w:lang w:val="en-US"/>
        </w:rPr>
        <w:t xml:space="preserve"> firms to disclose more than their optimal amount of CSR information,</w:t>
      </w:r>
      <w:r w:rsidR="002353E0" w:rsidRPr="00622F6C">
        <w:rPr>
          <w:rFonts w:ascii="Times New Roman" w:hAnsi="Times New Roman" w:cs="Times New Roman"/>
          <w:lang w:val="en-US"/>
        </w:rPr>
        <w:t xml:space="preserve"> which </w:t>
      </w:r>
      <w:r w:rsidRPr="00622F6C">
        <w:rPr>
          <w:rFonts w:ascii="Times New Roman" w:hAnsi="Times New Roman" w:cs="Times New Roman"/>
          <w:lang w:val="en-US"/>
        </w:rPr>
        <w:t>c</w:t>
      </w:r>
      <w:r w:rsidR="002353E0" w:rsidRPr="00622F6C">
        <w:rPr>
          <w:rFonts w:ascii="Times New Roman" w:hAnsi="Times New Roman" w:cs="Times New Roman"/>
          <w:lang w:val="en-US"/>
        </w:rPr>
        <w:t xml:space="preserve">ould have a negative </w:t>
      </w:r>
      <w:r w:rsidR="00464907">
        <w:rPr>
          <w:rFonts w:ascii="Times New Roman" w:hAnsi="Times New Roman" w:cs="Times New Roman"/>
          <w:lang w:val="en-US"/>
        </w:rPr>
        <w:t>impact</w:t>
      </w:r>
      <w:r w:rsidR="00464907" w:rsidRPr="00622F6C">
        <w:rPr>
          <w:rFonts w:ascii="Times New Roman" w:hAnsi="Times New Roman" w:cs="Times New Roman"/>
          <w:lang w:val="en-US"/>
        </w:rPr>
        <w:t xml:space="preserve"> </w:t>
      </w:r>
      <w:r w:rsidR="002353E0" w:rsidRPr="00622F6C">
        <w:rPr>
          <w:rFonts w:ascii="Times New Roman" w:hAnsi="Times New Roman" w:cs="Times New Roman"/>
          <w:lang w:val="en-US"/>
        </w:rPr>
        <w:t xml:space="preserve">on future cash flows </w:t>
      </w:r>
      <w:r w:rsidR="008B5C4B">
        <w:rPr>
          <w:rFonts w:ascii="Times New Roman" w:hAnsi="Times New Roman" w:cs="Times New Roman"/>
          <w:lang w:val="en-US"/>
        </w:rPr>
        <w:t>through various</w:t>
      </w:r>
      <w:r w:rsidR="002353E0" w:rsidRPr="00622F6C">
        <w:rPr>
          <w:rFonts w:ascii="Times New Roman" w:hAnsi="Times New Roman" w:cs="Times New Roman"/>
          <w:lang w:val="en-US"/>
        </w:rPr>
        <w:t xml:space="preserve"> disclosure costs</w:t>
      </w:r>
      <w:r w:rsidR="004B3FDA" w:rsidRPr="00622F6C">
        <w:rPr>
          <w:rFonts w:ascii="Times New Roman" w:hAnsi="Times New Roman" w:cs="Times New Roman"/>
          <w:lang w:val="en-US"/>
        </w:rPr>
        <w:t xml:space="preserve">. </w:t>
      </w:r>
      <w:r w:rsidR="00C80DF0" w:rsidRPr="00622F6C">
        <w:rPr>
          <w:rFonts w:ascii="Times New Roman" w:hAnsi="Times New Roman" w:cs="Times New Roman"/>
          <w:lang w:val="en-US"/>
        </w:rPr>
        <w:t>These</w:t>
      </w:r>
      <w:r w:rsidR="004B3FDA" w:rsidRPr="00622F6C">
        <w:rPr>
          <w:rFonts w:ascii="Times New Roman" w:hAnsi="Times New Roman" w:cs="Times New Roman"/>
          <w:lang w:val="en-US"/>
        </w:rPr>
        <w:t xml:space="preserve"> costs could take the form of proprietary costs </w:t>
      </w:r>
      <w:r w:rsidR="00EC2019">
        <w:rPr>
          <w:rFonts w:ascii="Times New Roman" w:hAnsi="Times New Roman" w:cs="Times New Roman"/>
          <w:lang w:val="en-US"/>
        </w:rPr>
        <w:t xml:space="preserve">resulting </w:t>
      </w:r>
      <w:r w:rsidR="004B3FDA" w:rsidRPr="00622F6C">
        <w:rPr>
          <w:rFonts w:ascii="Times New Roman" w:hAnsi="Times New Roman" w:cs="Times New Roman"/>
          <w:lang w:val="en-US"/>
        </w:rPr>
        <w:t>from having to share valuable supply chain information with competitors under the TISC clause</w:t>
      </w:r>
      <w:r w:rsidR="002353E0" w:rsidRPr="00622F6C">
        <w:rPr>
          <w:rFonts w:ascii="Times New Roman" w:hAnsi="Times New Roman" w:cs="Times New Roman"/>
          <w:lang w:val="en-US"/>
        </w:rPr>
        <w:t xml:space="preserve"> (Verrecchia, 1983)</w:t>
      </w:r>
      <w:r w:rsidR="004B3FDA" w:rsidRPr="00622F6C">
        <w:rPr>
          <w:rFonts w:ascii="Times New Roman" w:hAnsi="Times New Roman" w:cs="Times New Roman"/>
          <w:lang w:val="en-US"/>
        </w:rPr>
        <w:t xml:space="preserve">. However, Doorey (2011) argues that such costs are likely to be small in the context of supply chain transparency, since most firms have </w:t>
      </w:r>
      <w:r w:rsidRPr="00622F6C">
        <w:rPr>
          <w:rFonts w:ascii="Times New Roman" w:hAnsi="Times New Roman" w:cs="Times New Roman"/>
          <w:lang w:val="en-US"/>
        </w:rPr>
        <w:t xml:space="preserve">easy </w:t>
      </w:r>
      <w:r w:rsidR="004B3FDA" w:rsidRPr="00622F6C">
        <w:rPr>
          <w:rFonts w:ascii="Times New Roman" w:hAnsi="Times New Roman" w:cs="Times New Roman"/>
          <w:lang w:val="en-US"/>
        </w:rPr>
        <w:t xml:space="preserve">access to information about their industry peers’ supply chains. </w:t>
      </w:r>
      <w:r w:rsidR="00EC2019">
        <w:rPr>
          <w:rFonts w:ascii="Times New Roman" w:hAnsi="Times New Roman" w:cs="Times New Roman"/>
          <w:lang w:val="en-US"/>
        </w:rPr>
        <w:t>Firms may also incur</w:t>
      </w:r>
      <w:r w:rsidR="002353E0" w:rsidRPr="00622F6C">
        <w:rPr>
          <w:rFonts w:ascii="Times New Roman" w:hAnsi="Times New Roman" w:cs="Times New Roman"/>
          <w:lang w:val="en-US"/>
        </w:rPr>
        <w:t xml:space="preserve"> political c</w:t>
      </w:r>
      <w:r w:rsidR="00F46EBE" w:rsidRPr="00622F6C">
        <w:rPr>
          <w:rFonts w:ascii="Times New Roman" w:hAnsi="Times New Roman" w:cs="Times New Roman"/>
          <w:lang w:val="en-US"/>
        </w:rPr>
        <w:t>osts resulting from stakeholder</w:t>
      </w:r>
      <w:r w:rsidR="002353E0" w:rsidRPr="00622F6C">
        <w:rPr>
          <w:rFonts w:ascii="Times New Roman" w:hAnsi="Times New Roman" w:cs="Times New Roman"/>
          <w:lang w:val="en-US"/>
        </w:rPr>
        <w:t xml:space="preserve"> </w:t>
      </w:r>
      <w:r w:rsidRPr="00622F6C">
        <w:rPr>
          <w:rFonts w:ascii="Times New Roman" w:hAnsi="Times New Roman" w:cs="Times New Roman"/>
          <w:lang w:val="en-US"/>
        </w:rPr>
        <w:t>pressure to</w:t>
      </w:r>
      <w:r w:rsidR="002353E0" w:rsidRPr="00622F6C">
        <w:rPr>
          <w:rFonts w:ascii="Times New Roman" w:hAnsi="Times New Roman" w:cs="Times New Roman"/>
          <w:lang w:val="en-US"/>
        </w:rPr>
        <w:t xml:space="preserve"> undertake </w:t>
      </w:r>
      <w:r w:rsidR="00856B36">
        <w:rPr>
          <w:rFonts w:ascii="Times New Roman" w:hAnsi="Times New Roman" w:cs="Times New Roman"/>
          <w:lang w:val="en-US"/>
        </w:rPr>
        <w:t xml:space="preserve">projects with </w:t>
      </w:r>
      <w:r w:rsidR="002353E0" w:rsidRPr="00622F6C">
        <w:rPr>
          <w:rFonts w:ascii="Times New Roman" w:hAnsi="Times New Roman" w:cs="Times New Roman"/>
          <w:lang w:val="en-US"/>
        </w:rPr>
        <w:t>non-positive</w:t>
      </w:r>
      <w:r w:rsidR="00EC2019">
        <w:rPr>
          <w:rFonts w:ascii="Times New Roman" w:hAnsi="Times New Roman" w:cs="Times New Roman"/>
          <w:lang w:val="en-US"/>
        </w:rPr>
        <w:t xml:space="preserve"> </w:t>
      </w:r>
      <w:r w:rsidR="002353E0" w:rsidRPr="00622F6C">
        <w:rPr>
          <w:rFonts w:ascii="Times New Roman" w:hAnsi="Times New Roman" w:cs="Times New Roman"/>
          <w:lang w:val="en-US"/>
        </w:rPr>
        <w:t>net</w:t>
      </w:r>
      <w:r w:rsidR="00EC2019">
        <w:rPr>
          <w:rFonts w:ascii="Times New Roman" w:hAnsi="Times New Roman" w:cs="Times New Roman"/>
          <w:lang w:val="en-US"/>
        </w:rPr>
        <w:t xml:space="preserve"> </w:t>
      </w:r>
      <w:r w:rsidR="002353E0" w:rsidRPr="00622F6C">
        <w:rPr>
          <w:rFonts w:ascii="Times New Roman" w:hAnsi="Times New Roman" w:cs="Times New Roman"/>
          <w:lang w:val="en-US"/>
        </w:rPr>
        <w:t>present</w:t>
      </w:r>
      <w:r w:rsidR="00EC2019">
        <w:rPr>
          <w:rFonts w:ascii="Times New Roman" w:hAnsi="Times New Roman" w:cs="Times New Roman"/>
          <w:lang w:val="en-US"/>
        </w:rPr>
        <w:t xml:space="preserve"> </w:t>
      </w:r>
      <w:r w:rsidR="002353E0" w:rsidRPr="00622F6C">
        <w:rPr>
          <w:rFonts w:ascii="Times New Roman" w:hAnsi="Times New Roman" w:cs="Times New Roman"/>
          <w:lang w:val="en-US"/>
        </w:rPr>
        <w:t xml:space="preserve">value (Watts and Zimmerman, 1978). </w:t>
      </w:r>
      <w:r w:rsidR="00EC2019">
        <w:rPr>
          <w:rFonts w:ascii="Times New Roman" w:hAnsi="Times New Roman" w:cs="Times New Roman"/>
          <w:lang w:val="en-US"/>
        </w:rPr>
        <w:t>Furthermore, there may be</w:t>
      </w:r>
      <w:r w:rsidR="002353E0" w:rsidRPr="00622F6C">
        <w:rPr>
          <w:rFonts w:ascii="Times New Roman" w:hAnsi="Times New Roman" w:cs="Times New Roman"/>
          <w:lang w:val="en-US"/>
        </w:rPr>
        <w:t xml:space="preserve"> direct costs associated with </w:t>
      </w:r>
      <w:r w:rsidRPr="00622F6C">
        <w:rPr>
          <w:rFonts w:ascii="Times New Roman" w:hAnsi="Times New Roman" w:cs="Times New Roman"/>
          <w:lang w:val="en-US"/>
        </w:rPr>
        <w:t xml:space="preserve">drafting and publishing </w:t>
      </w:r>
      <w:r w:rsidR="00E0178E" w:rsidRPr="00622F6C">
        <w:rPr>
          <w:rFonts w:ascii="Times New Roman" w:hAnsi="Times New Roman" w:cs="Times New Roman"/>
          <w:lang w:val="en-US"/>
        </w:rPr>
        <w:t>TISC</w:t>
      </w:r>
      <w:r w:rsidRPr="00622F6C">
        <w:rPr>
          <w:rFonts w:ascii="Times New Roman" w:hAnsi="Times New Roman" w:cs="Times New Roman"/>
          <w:lang w:val="en-US"/>
        </w:rPr>
        <w:t xml:space="preserve"> statement</w:t>
      </w:r>
      <w:r w:rsidR="00E0178E" w:rsidRPr="00622F6C">
        <w:rPr>
          <w:rFonts w:ascii="Times New Roman" w:hAnsi="Times New Roman" w:cs="Times New Roman"/>
          <w:lang w:val="en-US"/>
        </w:rPr>
        <w:t>s</w:t>
      </w:r>
      <w:r w:rsidRPr="00622F6C">
        <w:rPr>
          <w:rFonts w:ascii="Times New Roman" w:hAnsi="Times New Roman" w:cs="Times New Roman"/>
          <w:lang w:val="en-US"/>
        </w:rPr>
        <w:t>. The UK Government argues these costs should be low, however, as the TISC clause is set up to be a ‘light touch’ reporting requirement.</w:t>
      </w:r>
      <w:r w:rsidRPr="00622F6C">
        <w:rPr>
          <w:rFonts w:ascii="Times New Roman" w:hAnsi="Times New Roman" w:cs="Times New Roman"/>
          <w:vertAlign w:val="superscript"/>
          <w:lang w:val="en-US"/>
        </w:rPr>
        <w:footnoteReference w:id="8"/>
      </w:r>
      <w:r w:rsidRPr="00622F6C">
        <w:rPr>
          <w:rFonts w:ascii="Times New Roman" w:hAnsi="Times New Roman" w:cs="Times New Roman"/>
          <w:lang w:val="en-US"/>
        </w:rPr>
        <w:t xml:space="preserve"> Under this optimal</w:t>
      </w:r>
      <w:r w:rsidR="00DB68E1">
        <w:rPr>
          <w:rFonts w:ascii="Times New Roman" w:hAnsi="Times New Roman" w:cs="Times New Roman"/>
          <w:lang w:val="en-US"/>
        </w:rPr>
        <w:t xml:space="preserve"> </w:t>
      </w:r>
      <w:r w:rsidRPr="00622F6C">
        <w:rPr>
          <w:rFonts w:ascii="Times New Roman" w:hAnsi="Times New Roman" w:cs="Times New Roman"/>
          <w:lang w:val="en-US"/>
        </w:rPr>
        <w:t xml:space="preserve">disclosure scenario, firms with low CSR disclosure levels are predicted to incur the strongest cash flow declines </w:t>
      </w:r>
      <w:r w:rsidR="00024161" w:rsidRPr="00622F6C">
        <w:rPr>
          <w:rFonts w:ascii="Times New Roman" w:hAnsi="Times New Roman" w:cs="Times New Roman"/>
          <w:lang w:val="en-US"/>
        </w:rPr>
        <w:t>caused by the TISC clause</w:t>
      </w:r>
      <w:r w:rsidRPr="00622F6C">
        <w:rPr>
          <w:rFonts w:ascii="Times New Roman" w:hAnsi="Times New Roman" w:cs="Times New Roman"/>
          <w:lang w:val="en-US"/>
        </w:rPr>
        <w:t>, as their low pre-</w:t>
      </w:r>
      <w:r w:rsidR="00BD5BA1" w:rsidRPr="00622F6C">
        <w:rPr>
          <w:rFonts w:ascii="Times New Roman" w:hAnsi="Times New Roman" w:cs="Times New Roman"/>
          <w:lang w:val="en-US"/>
        </w:rPr>
        <w:t>regulat</w:t>
      </w:r>
      <w:r w:rsidR="00A37DF3">
        <w:rPr>
          <w:rFonts w:ascii="Times New Roman" w:hAnsi="Times New Roman" w:cs="Times New Roman"/>
          <w:lang w:val="en-US"/>
        </w:rPr>
        <w:t>ory</w:t>
      </w:r>
      <w:r w:rsidR="00BD5BA1" w:rsidRPr="00622F6C">
        <w:rPr>
          <w:rFonts w:ascii="Times New Roman" w:hAnsi="Times New Roman" w:cs="Times New Roman"/>
          <w:lang w:val="en-US"/>
        </w:rPr>
        <w:t xml:space="preserve"> </w:t>
      </w:r>
      <w:r w:rsidRPr="00622F6C">
        <w:rPr>
          <w:rFonts w:ascii="Times New Roman" w:hAnsi="Times New Roman" w:cs="Times New Roman"/>
          <w:lang w:val="en-US"/>
        </w:rPr>
        <w:t xml:space="preserve">disclosure levels are likely driven by high disclosure costs. We thus obtain the following prediction: </w:t>
      </w:r>
    </w:p>
    <w:p w14:paraId="66D21E66" w14:textId="77777777" w:rsidR="00717DFD" w:rsidRPr="00622F6C" w:rsidRDefault="00717DFD" w:rsidP="00717DFD">
      <w:pPr>
        <w:spacing w:after="0" w:line="480" w:lineRule="auto"/>
        <w:ind w:left="567" w:hanging="567"/>
        <w:jc w:val="both"/>
        <w:rPr>
          <w:rFonts w:ascii="Times New Roman" w:hAnsi="Times New Roman" w:cs="Times New Roman"/>
          <w:i/>
          <w:lang w:val="en-US"/>
        </w:rPr>
      </w:pPr>
      <w:r w:rsidRPr="00622F6C">
        <w:rPr>
          <w:rFonts w:ascii="Times New Roman" w:hAnsi="Times New Roman" w:cs="Times New Roman"/>
          <w:i/>
          <w:lang w:val="en-US"/>
        </w:rPr>
        <w:t>H</w:t>
      </w:r>
      <w:r w:rsidR="00FA5184">
        <w:rPr>
          <w:rFonts w:ascii="Times New Roman" w:hAnsi="Times New Roman" w:cs="Times New Roman"/>
          <w:i/>
          <w:vertAlign w:val="subscript"/>
          <w:lang w:val="en-US"/>
        </w:rPr>
        <w:t>2</w:t>
      </w:r>
      <w:r w:rsidRPr="00622F6C">
        <w:rPr>
          <w:rFonts w:ascii="Times New Roman" w:hAnsi="Times New Roman" w:cs="Times New Roman"/>
          <w:i/>
          <w:vertAlign w:val="subscript"/>
          <w:lang w:val="en-US"/>
        </w:rPr>
        <w:t>a</w:t>
      </w:r>
      <w:r w:rsidRPr="00622F6C">
        <w:rPr>
          <w:rFonts w:ascii="Times New Roman" w:hAnsi="Times New Roman" w:cs="Times New Roman"/>
          <w:i/>
          <w:lang w:val="en-US"/>
        </w:rPr>
        <w:t xml:space="preserve">: </w:t>
      </w:r>
      <w:r w:rsidRPr="00622F6C">
        <w:rPr>
          <w:rFonts w:ascii="Times New Roman" w:hAnsi="Times New Roman" w:cs="Times New Roman"/>
          <w:i/>
          <w:lang w:val="en-US"/>
        </w:rPr>
        <w:tab/>
        <w:t xml:space="preserve">Stock price reactions to the </w:t>
      </w:r>
      <w:r w:rsidR="004805BD" w:rsidRPr="00622F6C">
        <w:rPr>
          <w:rFonts w:ascii="Times New Roman" w:hAnsi="Times New Roman" w:cs="Times New Roman"/>
          <w:i/>
          <w:lang w:val="en-US"/>
        </w:rPr>
        <w:t>TISC clause</w:t>
      </w:r>
      <w:r w:rsidRPr="00622F6C">
        <w:rPr>
          <w:rFonts w:ascii="Times New Roman" w:hAnsi="Times New Roman" w:cs="Times New Roman"/>
          <w:i/>
          <w:lang w:val="en-US"/>
        </w:rPr>
        <w:t xml:space="preserve"> are positively affected by CSR disclosure levels. </w:t>
      </w:r>
    </w:p>
    <w:p w14:paraId="25E510FD" w14:textId="77777777" w:rsidR="006E6FAF" w:rsidRPr="00622F6C" w:rsidRDefault="00717DFD" w:rsidP="006E6FAF">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If </w:t>
      </w:r>
      <w:r w:rsidR="00DB68E1">
        <w:rPr>
          <w:rFonts w:ascii="Times New Roman" w:hAnsi="Times New Roman" w:cs="Times New Roman"/>
          <w:lang w:val="en-US"/>
        </w:rPr>
        <w:t xml:space="preserve">investors perceive </w:t>
      </w:r>
      <w:r w:rsidRPr="00622F6C">
        <w:rPr>
          <w:rFonts w:ascii="Times New Roman" w:hAnsi="Times New Roman" w:cs="Times New Roman"/>
          <w:lang w:val="en-US"/>
        </w:rPr>
        <w:t xml:space="preserve">pre-regulatory CSR disclosure </w:t>
      </w:r>
      <w:r w:rsidR="00DB68E1">
        <w:rPr>
          <w:rFonts w:ascii="Times New Roman" w:hAnsi="Times New Roman" w:cs="Times New Roman"/>
          <w:lang w:val="en-US"/>
        </w:rPr>
        <w:t>to be</w:t>
      </w:r>
      <w:r w:rsidRPr="00622F6C">
        <w:rPr>
          <w:rFonts w:ascii="Times New Roman" w:hAnsi="Times New Roman" w:cs="Times New Roman"/>
          <w:lang w:val="en-US"/>
        </w:rPr>
        <w:t xml:space="preserve"> </w:t>
      </w:r>
      <w:bookmarkStart w:id="38" w:name="_Hlk5288412"/>
      <w:r w:rsidR="00DB68E1">
        <w:rPr>
          <w:rFonts w:ascii="Times New Roman" w:hAnsi="Times New Roman" w:cs="Times New Roman"/>
          <w:lang w:val="en-US"/>
        </w:rPr>
        <w:t>suboptimal</w:t>
      </w:r>
      <w:bookmarkEnd w:id="38"/>
      <w:r w:rsidR="00024161" w:rsidRPr="00622F6C">
        <w:rPr>
          <w:rFonts w:ascii="Times New Roman" w:hAnsi="Times New Roman" w:cs="Times New Roman"/>
          <w:lang w:val="en-US"/>
        </w:rPr>
        <w:t>, by contrast</w:t>
      </w:r>
      <w:r w:rsidR="00E0178E" w:rsidRPr="00622F6C">
        <w:rPr>
          <w:rFonts w:ascii="Times New Roman" w:hAnsi="Times New Roman" w:cs="Times New Roman"/>
          <w:lang w:val="en-US"/>
        </w:rPr>
        <w:t xml:space="preserve">, </w:t>
      </w:r>
      <w:r w:rsidRPr="00622F6C">
        <w:rPr>
          <w:rFonts w:ascii="Times New Roman" w:hAnsi="Times New Roman" w:cs="Times New Roman"/>
          <w:lang w:val="en-US"/>
        </w:rPr>
        <w:t xml:space="preserve">the </w:t>
      </w:r>
      <w:r w:rsidR="00E0178E" w:rsidRPr="00622F6C">
        <w:rPr>
          <w:rFonts w:ascii="Times New Roman" w:hAnsi="Times New Roman" w:cs="Times New Roman"/>
          <w:lang w:val="en-US"/>
        </w:rPr>
        <w:t>TISC clause c</w:t>
      </w:r>
      <w:r w:rsidRPr="00622F6C">
        <w:rPr>
          <w:rFonts w:ascii="Times New Roman" w:hAnsi="Times New Roman" w:cs="Times New Roman"/>
          <w:lang w:val="en-US"/>
        </w:rPr>
        <w:t>ould bring</w:t>
      </w:r>
      <w:r w:rsidR="00C80DF0" w:rsidRPr="00622F6C">
        <w:rPr>
          <w:rFonts w:ascii="Times New Roman" w:hAnsi="Times New Roman" w:cs="Times New Roman"/>
          <w:lang w:val="en-US"/>
        </w:rPr>
        <w:t xml:space="preserve"> some</w:t>
      </w:r>
      <w:r w:rsidRPr="00622F6C">
        <w:rPr>
          <w:rFonts w:ascii="Times New Roman" w:hAnsi="Times New Roman" w:cs="Times New Roman"/>
          <w:lang w:val="en-US"/>
        </w:rPr>
        <w:t xml:space="preserve"> firms closer to their optimal levels of disclosure. This could have a positive effect on future cash flows for the following reasons. First, </w:t>
      </w:r>
      <w:r w:rsidR="00BA5BC6" w:rsidRPr="00622F6C">
        <w:rPr>
          <w:rFonts w:ascii="Times New Roman" w:hAnsi="Times New Roman" w:cs="Times New Roman"/>
          <w:lang w:val="en-US"/>
        </w:rPr>
        <w:t xml:space="preserve">irrespective of its content, </w:t>
      </w:r>
      <w:r w:rsidRPr="00622F6C">
        <w:rPr>
          <w:rFonts w:ascii="Times New Roman" w:hAnsi="Times New Roman" w:cs="Times New Roman"/>
          <w:lang w:val="en-US"/>
        </w:rPr>
        <w:t xml:space="preserve">the provision of additional information could </w:t>
      </w:r>
      <w:r w:rsidR="00BA5BC6" w:rsidRPr="00622F6C">
        <w:rPr>
          <w:rFonts w:ascii="Times New Roman" w:hAnsi="Times New Roman" w:cs="Times New Roman"/>
          <w:lang w:val="en-US"/>
        </w:rPr>
        <w:t xml:space="preserve">in itself </w:t>
      </w:r>
      <w:r w:rsidR="006E6FAF" w:rsidRPr="00622F6C">
        <w:rPr>
          <w:rFonts w:ascii="Times New Roman" w:hAnsi="Times New Roman" w:cs="Times New Roman"/>
          <w:lang w:val="en-US"/>
        </w:rPr>
        <w:t xml:space="preserve">result in a reduced cost of capital by lowering information risk, </w:t>
      </w:r>
      <w:r w:rsidR="00C80DF0" w:rsidRPr="00622F6C">
        <w:rPr>
          <w:rFonts w:ascii="Times New Roman" w:hAnsi="Times New Roman" w:cs="Times New Roman"/>
          <w:lang w:val="en-US"/>
        </w:rPr>
        <w:t>since</w:t>
      </w:r>
      <w:r w:rsidR="006E6FAF" w:rsidRPr="00622F6C">
        <w:rPr>
          <w:rFonts w:ascii="Times New Roman" w:hAnsi="Times New Roman" w:cs="Times New Roman"/>
          <w:lang w:val="en-US"/>
        </w:rPr>
        <w:t xml:space="preserve"> private </w:t>
      </w:r>
      <w:r w:rsidR="006E6FAF" w:rsidRPr="00622F6C">
        <w:rPr>
          <w:rFonts w:ascii="Times New Roman" w:hAnsi="Times New Roman" w:cs="Times New Roman"/>
          <w:lang w:val="en-US"/>
        </w:rPr>
        <w:lastRenderedPageBreak/>
        <w:t>information is turned into public information (</w:t>
      </w:r>
      <w:r w:rsidR="00342E91">
        <w:rPr>
          <w:rFonts w:ascii="Times New Roman" w:hAnsi="Times New Roman" w:cs="Times New Roman"/>
          <w:lang w:val="en-US"/>
        </w:rPr>
        <w:t xml:space="preserve">Easley </w:t>
      </w:r>
      <w:r w:rsidR="006E6FAF" w:rsidRPr="00622F6C">
        <w:rPr>
          <w:rFonts w:ascii="Times New Roman" w:hAnsi="Times New Roman" w:cs="Times New Roman"/>
          <w:lang w:val="en-US"/>
        </w:rPr>
        <w:t>and O’Hara, 2004</w:t>
      </w:r>
      <w:r w:rsidR="006D59C5" w:rsidRPr="00622F6C">
        <w:rPr>
          <w:rFonts w:ascii="Times New Roman" w:hAnsi="Times New Roman" w:cs="Times New Roman"/>
          <w:lang w:val="en-US"/>
        </w:rPr>
        <w:t>; Lambert et al., 2007; El Ghoul et al., 2011</w:t>
      </w:r>
      <w:r w:rsidR="00C80DF0" w:rsidRPr="00622F6C">
        <w:rPr>
          <w:rFonts w:ascii="Times New Roman" w:hAnsi="Times New Roman" w:cs="Times New Roman"/>
          <w:lang w:val="en-US"/>
        </w:rPr>
        <w:t>)</w:t>
      </w:r>
      <w:r w:rsidR="006E6FAF" w:rsidRPr="00622F6C">
        <w:rPr>
          <w:rFonts w:ascii="Times New Roman" w:hAnsi="Times New Roman" w:cs="Times New Roman"/>
          <w:lang w:val="en-US"/>
        </w:rPr>
        <w:t xml:space="preserve">. </w:t>
      </w:r>
      <w:r w:rsidR="00323279" w:rsidRPr="00622F6C">
        <w:rPr>
          <w:rFonts w:ascii="Times New Roman" w:hAnsi="Times New Roman" w:cs="Times New Roman"/>
          <w:lang w:val="en-US"/>
        </w:rPr>
        <w:t>Second, the increased information provision under the TISC clause might enable firms to monitor their supply chains more closely, thereby making operations more efficient (Gualandris et al., 2015</w:t>
      </w:r>
      <w:r w:rsidR="00C80DF0" w:rsidRPr="00622F6C">
        <w:rPr>
          <w:rFonts w:ascii="Times New Roman" w:hAnsi="Times New Roman" w:cs="Times New Roman"/>
          <w:lang w:val="en-US"/>
        </w:rPr>
        <w:t>; Grewal et al., 2018</w:t>
      </w:r>
      <w:r w:rsidR="00323279" w:rsidRPr="00622F6C">
        <w:rPr>
          <w:rFonts w:ascii="Times New Roman" w:hAnsi="Times New Roman" w:cs="Times New Roman"/>
          <w:lang w:val="en-US"/>
        </w:rPr>
        <w:t xml:space="preserve">). </w:t>
      </w:r>
      <w:r w:rsidR="006E6FAF" w:rsidRPr="00622F6C">
        <w:rPr>
          <w:rFonts w:ascii="Times New Roman" w:hAnsi="Times New Roman" w:cs="Times New Roman"/>
          <w:lang w:val="en-US"/>
        </w:rPr>
        <w:t xml:space="preserve">Under this viewpoint, firms with </w:t>
      </w:r>
      <w:r w:rsidR="00323279" w:rsidRPr="00622F6C">
        <w:rPr>
          <w:rFonts w:ascii="Times New Roman" w:hAnsi="Times New Roman" w:cs="Times New Roman"/>
          <w:lang w:val="en-US"/>
        </w:rPr>
        <w:t>low CSR disclosure levels</w:t>
      </w:r>
      <w:r w:rsidR="006E6FAF" w:rsidRPr="00622F6C">
        <w:rPr>
          <w:rFonts w:ascii="Times New Roman" w:hAnsi="Times New Roman" w:cs="Times New Roman"/>
          <w:lang w:val="en-US"/>
        </w:rPr>
        <w:t xml:space="preserve"> </w:t>
      </w:r>
      <w:r w:rsidR="00323279" w:rsidRPr="00622F6C">
        <w:rPr>
          <w:rFonts w:ascii="Times New Roman" w:hAnsi="Times New Roman" w:cs="Times New Roman"/>
          <w:lang w:val="en-US"/>
        </w:rPr>
        <w:t>should</w:t>
      </w:r>
      <w:r w:rsidR="006E6FAF" w:rsidRPr="00622F6C">
        <w:rPr>
          <w:rFonts w:ascii="Times New Roman" w:hAnsi="Times New Roman" w:cs="Times New Roman"/>
          <w:lang w:val="en-US"/>
        </w:rPr>
        <w:t xml:space="preserve"> be able to realize larger incremental gains from the introduction of disclosure regulation</w:t>
      </w:r>
      <w:r w:rsidRPr="00622F6C">
        <w:rPr>
          <w:rFonts w:ascii="Times New Roman" w:hAnsi="Times New Roman" w:cs="Times New Roman"/>
          <w:lang w:val="en-US"/>
        </w:rPr>
        <w:t xml:space="preserve"> (Zhang, 2007)</w:t>
      </w:r>
      <w:r w:rsidR="006E6FAF" w:rsidRPr="00622F6C">
        <w:rPr>
          <w:rFonts w:ascii="Times New Roman" w:hAnsi="Times New Roman" w:cs="Times New Roman"/>
          <w:lang w:val="en-US"/>
        </w:rPr>
        <w:t xml:space="preserve">. </w:t>
      </w:r>
      <w:r w:rsidR="008B5C4B">
        <w:rPr>
          <w:rFonts w:ascii="Times New Roman" w:hAnsi="Times New Roman" w:cs="Times New Roman"/>
          <w:lang w:val="en-US"/>
        </w:rPr>
        <w:t>Hence:</w:t>
      </w:r>
    </w:p>
    <w:p w14:paraId="5FC97CE5" w14:textId="77777777" w:rsidR="006E6FAF" w:rsidRPr="00622F6C" w:rsidRDefault="006E6FAF" w:rsidP="00E863D6">
      <w:pPr>
        <w:spacing w:after="0" w:line="480" w:lineRule="auto"/>
        <w:ind w:left="567" w:hanging="567"/>
        <w:jc w:val="both"/>
        <w:rPr>
          <w:rFonts w:ascii="Times New Roman" w:hAnsi="Times New Roman" w:cs="Times New Roman"/>
          <w:i/>
          <w:lang w:val="en-US"/>
        </w:rPr>
      </w:pPr>
      <w:r w:rsidRPr="00622F6C">
        <w:rPr>
          <w:rFonts w:ascii="Times New Roman" w:hAnsi="Times New Roman" w:cs="Times New Roman"/>
          <w:i/>
          <w:lang w:val="en-US"/>
        </w:rPr>
        <w:t>H</w:t>
      </w:r>
      <w:r w:rsidR="00323279" w:rsidRPr="00622F6C">
        <w:rPr>
          <w:rFonts w:ascii="Times New Roman" w:hAnsi="Times New Roman" w:cs="Times New Roman"/>
          <w:i/>
          <w:vertAlign w:val="subscript"/>
          <w:lang w:val="en-US"/>
        </w:rPr>
        <w:t>2b</w:t>
      </w:r>
      <w:r w:rsidRPr="00622F6C">
        <w:rPr>
          <w:rFonts w:ascii="Times New Roman" w:hAnsi="Times New Roman" w:cs="Times New Roman"/>
          <w:i/>
          <w:lang w:val="en-US"/>
        </w:rPr>
        <w:t>:</w:t>
      </w:r>
      <w:r w:rsidR="00386A8D" w:rsidRPr="00622F6C">
        <w:rPr>
          <w:rFonts w:ascii="Times New Roman" w:hAnsi="Times New Roman" w:cs="Times New Roman"/>
          <w:i/>
          <w:lang w:val="en-US"/>
        </w:rPr>
        <w:tab/>
      </w:r>
      <w:r w:rsidRPr="00622F6C">
        <w:rPr>
          <w:rFonts w:ascii="Times New Roman" w:hAnsi="Times New Roman" w:cs="Times New Roman"/>
          <w:i/>
          <w:lang w:val="en-US"/>
        </w:rPr>
        <w:t xml:space="preserve">Stock </w:t>
      </w:r>
      <w:r w:rsidR="002B62C5" w:rsidRPr="00622F6C">
        <w:rPr>
          <w:rFonts w:ascii="Times New Roman" w:hAnsi="Times New Roman" w:cs="Times New Roman"/>
          <w:i/>
          <w:lang w:val="en-US"/>
        </w:rPr>
        <w:t>price</w:t>
      </w:r>
      <w:r w:rsidR="008C666B" w:rsidRPr="00622F6C">
        <w:rPr>
          <w:rFonts w:ascii="Times New Roman" w:hAnsi="Times New Roman" w:cs="Times New Roman"/>
          <w:i/>
          <w:lang w:val="en-US"/>
        </w:rPr>
        <w:t xml:space="preserve"> </w:t>
      </w:r>
      <w:r w:rsidRPr="00622F6C">
        <w:rPr>
          <w:rFonts w:ascii="Times New Roman" w:hAnsi="Times New Roman" w:cs="Times New Roman"/>
          <w:i/>
          <w:lang w:val="en-US"/>
        </w:rPr>
        <w:t xml:space="preserve">reactions to the </w:t>
      </w:r>
      <w:r w:rsidR="004805BD" w:rsidRPr="00622F6C">
        <w:rPr>
          <w:rFonts w:ascii="Times New Roman" w:hAnsi="Times New Roman" w:cs="Times New Roman"/>
          <w:i/>
          <w:lang w:val="en-US"/>
        </w:rPr>
        <w:t>TISC clause</w:t>
      </w:r>
      <w:r w:rsidRPr="00622F6C">
        <w:rPr>
          <w:rFonts w:ascii="Times New Roman" w:hAnsi="Times New Roman" w:cs="Times New Roman"/>
          <w:i/>
          <w:lang w:val="en-US"/>
        </w:rPr>
        <w:t xml:space="preserve"> are negatively affected </w:t>
      </w:r>
      <w:r w:rsidR="00323279" w:rsidRPr="00622F6C">
        <w:rPr>
          <w:rFonts w:ascii="Times New Roman" w:hAnsi="Times New Roman" w:cs="Times New Roman"/>
          <w:i/>
          <w:lang w:val="en-US"/>
        </w:rPr>
        <w:t xml:space="preserve">by CSR disclosure levels. </w:t>
      </w:r>
    </w:p>
    <w:p w14:paraId="4FC945DE" w14:textId="77777777" w:rsidR="00F46EBE" w:rsidRPr="00622F6C" w:rsidRDefault="00F46EBE" w:rsidP="00E863D6">
      <w:pPr>
        <w:spacing w:after="0" w:line="480" w:lineRule="auto"/>
        <w:ind w:left="567" w:hanging="567"/>
        <w:jc w:val="both"/>
        <w:rPr>
          <w:rFonts w:ascii="Times New Roman" w:hAnsi="Times New Roman" w:cs="Times New Roman"/>
          <w:i/>
          <w:lang w:val="en-US"/>
        </w:rPr>
      </w:pPr>
    </w:p>
    <w:p w14:paraId="778A25F8" w14:textId="77777777" w:rsidR="007C2C4D" w:rsidRPr="00622F6C" w:rsidRDefault="004818B1" w:rsidP="004818B1">
      <w:pPr>
        <w:spacing w:after="0" w:line="480" w:lineRule="auto"/>
        <w:contextualSpacing/>
        <w:jc w:val="both"/>
        <w:rPr>
          <w:rFonts w:ascii="Times New Roman" w:hAnsi="Times New Roman" w:cs="Times New Roman"/>
          <w:lang w:val="en-US"/>
        </w:rPr>
      </w:pPr>
      <w:r>
        <w:rPr>
          <w:rFonts w:ascii="Times New Roman" w:hAnsi="Times New Roman" w:cs="Times New Roman"/>
          <w:b/>
          <w:lang w:val="en-US"/>
        </w:rPr>
        <w:t xml:space="preserve">5. </w:t>
      </w:r>
      <w:r w:rsidR="008E6859" w:rsidRPr="00622F6C">
        <w:rPr>
          <w:rFonts w:ascii="Times New Roman" w:hAnsi="Times New Roman" w:cs="Times New Roman"/>
          <w:b/>
          <w:lang w:val="en-US"/>
        </w:rPr>
        <w:t>Average stock price reaction</w:t>
      </w:r>
      <w:r w:rsidR="00D961A5" w:rsidRPr="00622F6C">
        <w:rPr>
          <w:rFonts w:ascii="Times New Roman" w:hAnsi="Times New Roman" w:cs="Times New Roman"/>
          <w:b/>
          <w:lang w:val="en-US"/>
        </w:rPr>
        <w:t xml:space="preserve"> to the MSA </w:t>
      </w:r>
    </w:p>
    <w:p w14:paraId="09DF9083" w14:textId="77777777" w:rsidR="008E6859" w:rsidRPr="00622F6C" w:rsidRDefault="008E6859" w:rsidP="007C2C4D">
      <w:pPr>
        <w:spacing w:after="0" w:line="480" w:lineRule="auto"/>
        <w:contextualSpacing/>
        <w:jc w:val="both"/>
        <w:rPr>
          <w:rFonts w:ascii="Times New Roman" w:hAnsi="Times New Roman" w:cs="Times New Roman"/>
          <w:lang w:val="en-US"/>
        </w:rPr>
      </w:pPr>
      <w:r w:rsidRPr="00622F6C">
        <w:rPr>
          <w:rFonts w:ascii="Times New Roman" w:hAnsi="Times New Roman" w:cs="Times New Roman"/>
          <w:lang w:val="en-US"/>
        </w:rPr>
        <w:t>This section discusses the sample and methodology used for our univariate analysis of st</w:t>
      </w:r>
      <w:r w:rsidR="007C2C4D" w:rsidRPr="00622F6C">
        <w:rPr>
          <w:rFonts w:ascii="Times New Roman" w:hAnsi="Times New Roman" w:cs="Times New Roman"/>
          <w:lang w:val="en-US"/>
        </w:rPr>
        <w:t>ock price reactions to the MSA</w:t>
      </w:r>
      <w:r w:rsidRPr="00622F6C">
        <w:rPr>
          <w:rFonts w:ascii="Times New Roman" w:hAnsi="Times New Roman" w:cs="Times New Roman"/>
          <w:lang w:val="en-US"/>
        </w:rPr>
        <w:t xml:space="preserve">, as well as the results of this analysis. </w:t>
      </w:r>
    </w:p>
    <w:p w14:paraId="60B796FA" w14:textId="77777777" w:rsidR="000B7F4E" w:rsidRPr="00622F6C" w:rsidRDefault="000B7F4E" w:rsidP="007C2C4D">
      <w:pPr>
        <w:spacing w:after="0" w:line="480" w:lineRule="auto"/>
        <w:contextualSpacing/>
        <w:jc w:val="both"/>
        <w:rPr>
          <w:rFonts w:ascii="Times New Roman" w:hAnsi="Times New Roman" w:cs="Times New Roman"/>
          <w:lang w:val="en-US"/>
        </w:rPr>
      </w:pPr>
    </w:p>
    <w:p w14:paraId="7E27E728" w14:textId="77777777" w:rsidR="006E6FAF" w:rsidRPr="00622F6C" w:rsidRDefault="006E6FAF" w:rsidP="006E6FAF">
      <w:pPr>
        <w:numPr>
          <w:ilvl w:val="1"/>
          <w:numId w:val="21"/>
        </w:numPr>
        <w:tabs>
          <w:tab w:val="left" w:pos="567"/>
        </w:tabs>
        <w:spacing w:after="0" w:line="480" w:lineRule="auto"/>
        <w:ind w:left="426" w:hanging="426"/>
        <w:contextualSpacing/>
        <w:rPr>
          <w:rFonts w:ascii="Times New Roman" w:hAnsi="Times New Roman" w:cs="Times New Roman"/>
          <w:i/>
          <w:lang w:val="en-US"/>
        </w:rPr>
      </w:pPr>
      <w:r w:rsidRPr="00622F6C">
        <w:rPr>
          <w:rFonts w:ascii="Times New Roman" w:hAnsi="Times New Roman" w:cs="Times New Roman"/>
          <w:i/>
          <w:lang w:val="en-US"/>
        </w:rPr>
        <w:t>Sample construction</w:t>
      </w:r>
    </w:p>
    <w:p w14:paraId="5BDBF0C7" w14:textId="77777777" w:rsidR="006E6FAF" w:rsidRPr="00622F6C" w:rsidRDefault="00381377" w:rsidP="0033146B">
      <w:pPr>
        <w:spacing w:after="0" w:line="480" w:lineRule="auto"/>
        <w:ind w:firstLine="426"/>
        <w:jc w:val="both"/>
        <w:textAlignment w:val="baseline"/>
        <w:rPr>
          <w:rFonts w:ascii="Times New Roman" w:eastAsia="Times New Roman" w:hAnsi="Times New Roman" w:cs="Times New Roman"/>
          <w:lang w:val="en-US" w:eastAsia="en-GB"/>
        </w:rPr>
      </w:pPr>
      <w:r>
        <w:rPr>
          <w:rFonts w:ascii="Times New Roman" w:hAnsi="Times New Roman" w:cs="Times New Roman"/>
          <w:lang w:val="en-US"/>
        </w:rPr>
        <w:t>Since t</w:t>
      </w:r>
      <w:r w:rsidR="004C07D4" w:rsidRPr="00622F6C">
        <w:rPr>
          <w:rFonts w:ascii="Times New Roman" w:hAnsi="Times New Roman" w:cs="Times New Roman"/>
          <w:lang w:val="en-US"/>
        </w:rPr>
        <w:t xml:space="preserve">he TISC clause is the only part of the MSA </w:t>
      </w:r>
      <w:r w:rsidR="00DC3FBE">
        <w:rPr>
          <w:rFonts w:ascii="Times New Roman" w:hAnsi="Times New Roman" w:cs="Times New Roman"/>
          <w:lang w:val="en-US"/>
        </w:rPr>
        <w:t>directly aimed at companies</w:t>
      </w:r>
      <w:r>
        <w:rPr>
          <w:rFonts w:ascii="Times New Roman" w:hAnsi="Times New Roman" w:cs="Times New Roman"/>
          <w:lang w:val="en-US"/>
        </w:rPr>
        <w:t xml:space="preserve">, we </w:t>
      </w:r>
      <w:r w:rsidR="00F11797" w:rsidRPr="00622F6C">
        <w:rPr>
          <w:rFonts w:ascii="Times New Roman" w:hAnsi="Times New Roman" w:cs="Times New Roman"/>
          <w:lang w:val="en-US"/>
        </w:rPr>
        <w:t xml:space="preserve">restrict our baseline </w:t>
      </w:r>
      <w:r w:rsidR="00367EAA">
        <w:rPr>
          <w:rFonts w:ascii="Times New Roman" w:hAnsi="Times New Roman" w:cs="Times New Roman"/>
          <w:lang w:val="en-US"/>
        </w:rPr>
        <w:t xml:space="preserve">analysis </w:t>
      </w:r>
      <w:r w:rsidR="00F11797" w:rsidRPr="00622F6C">
        <w:rPr>
          <w:rFonts w:ascii="Times New Roman" w:hAnsi="Times New Roman" w:cs="Times New Roman"/>
          <w:lang w:val="en-US"/>
        </w:rPr>
        <w:t xml:space="preserve">to firms affected by the </w:t>
      </w:r>
      <w:r w:rsidR="006E6FAF" w:rsidRPr="00622F6C">
        <w:rPr>
          <w:rFonts w:ascii="Times New Roman" w:hAnsi="Times New Roman" w:cs="Times New Roman"/>
          <w:lang w:val="en-US"/>
        </w:rPr>
        <w:t>clause</w:t>
      </w:r>
      <w:r w:rsidR="00AF59F7">
        <w:rPr>
          <w:rFonts w:ascii="Times New Roman" w:hAnsi="Times New Roman" w:cs="Times New Roman"/>
          <w:lang w:val="en-US"/>
        </w:rPr>
        <w:t>.</w:t>
      </w:r>
      <w:r w:rsidR="00367EAA">
        <w:rPr>
          <w:rFonts w:ascii="Times New Roman" w:hAnsi="Times New Roman" w:cs="Times New Roman"/>
          <w:lang w:val="en-US"/>
        </w:rPr>
        <w:t xml:space="preserve"> </w:t>
      </w:r>
      <w:r w:rsidR="004C07D4" w:rsidRPr="00622F6C">
        <w:rPr>
          <w:rFonts w:ascii="Times New Roman" w:hAnsi="Times New Roman" w:cs="Times New Roman"/>
          <w:lang w:val="en-US"/>
        </w:rPr>
        <w:t>The TISC clause</w:t>
      </w:r>
      <w:r w:rsidR="006E6FAF" w:rsidRPr="00622F6C">
        <w:rPr>
          <w:rFonts w:ascii="Times New Roman" w:hAnsi="Times New Roman" w:cs="Times New Roman"/>
          <w:lang w:val="en-US"/>
        </w:rPr>
        <w:t xml:space="preserve"> pertains to any </w:t>
      </w:r>
      <w:r w:rsidR="006E6FAF" w:rsidRPr="00622F6C">
        <w:rPr>
          <w:rFonts w:ascii="Times New Roman" w:eastAsia="Times New Roman" w:hAnsi="Times New Roman" w:cs="Times New Roman"/>
          <w:lang w:val="en-US" w:eastAsia="en-GB"/>
        </w:rPr>
        <w:t>commercial organi</w:t>
      </w:r>
      <w:r w:rsidR="003261D5">
        <w:rPr>
          <w:rFonts w:ascii="Times New Roman" w:eastAsia="Times New Roman" w:hAnsi="Times New Roman" w:cs="Times New Roman"/>
          <w:lang w:val="en-US" w:eastAsia="en-GB"/>
        </w:rPr>
        <w:t>z</w:t>
      </w:r>
      <w:r w:rsidR="006E6FAF" w:rsidRPr="00622F6C">
        <w:rPr>
          <w:rFonts w:ascii="Times New Roman" w:eastAsia="Times New Roman" w:hAnsi="Times New Roman" w:cs="Times New Roman"/>
          <w:lang w:val="en-US" w:eastAsia="en-GB"/>
        </w:rPr>
        <w:t xml:space="preserve">ation </w:t>
      </w:r>
      <w:r w:rsidR="00024161" w:rsidRPr="00622F6C">
        <w:rPr>
          <w:rFonts w:ascii="Times New Roman" w:eastAsia="Times New Roman" w:hAnsi="Times New Roman" w:cs="Times New Roman"/>
          <w:lang w:val="en-US" w:eastAsia="en-GB"/>
        </w:rPr>
        <w:t xml:space="preserve">conducting </w:t>
      </w:r>
      <w:r w:rsidR="0033146B" w:rsidRPr="00622F6C">
        <w:rPr>
          <w:rFonts w:ascii="Times New Roman" w:eastAsia="Times New Roman" w:hAnsi="Times New Roman" w:cs="Times New Roman"/>
          <w:lang w:val="en-US" w:eastAsia="en-GB"/>
        </w:rPr>
        <w:t>(part of) its business</w:t>
      </w:r>
      <w:r w:rsidR="006E6FAF" w:rsidRPr="00622F6C">
        <w:rPr>
          <w:rFonts w:ascii="Times New Roman" w:eastAsia="Times New Roman" w:hAnsi="Times New Roman" w:cs="Times New Roman"/>
          <w:lang w:val="en-US" w:eastAsia="en-GB"/>
        </w:rPr>
        <w:t xml:space="preserve"> in the UK, </w:t>
      </w:r>
      <w:r w:rsidR="00162B04">
        <w:rPr>
          <w:rFonts w:ascii="Times New Roman" w:eastAsia="Times New Roman" w:hAnsi="Times New Roman" w:cs="Times New Roman"/>
          <w:lang w:val="en-US" w:eastAsia="en-GB"/>
        </w:rPr>
        <w:t xml:space="preserve">and </w:t>
      </w:r>
      <w:r w:rsidR="003261D5">
        <w:rPr>
          <w:rFonts w:ascii="Times New Roman" w:eastAsia="Times New Roman" w:hAnsi="Times New Roman" w:cs="Times New Roman"/>
          <w:lang w:val="en-US" w:eastAsia="en-GB"/>
        </w:rPr>
        <w:t xml:space="preserve">with a </w:t>
      </w:r>
      <w:r w:rsidR="006E6FAF" w:rsidRPr="00622F6C">
        <w:rPr>
          <w:rFonts w:ascii="Times New Roman" w:eastAsia="Times New Roman" w:hAnsi="Times New Roman" w:cs="Times New Roman"/>
          <w:lang w:val="en-US" w:eastAsia="en-GB"/>
        </w:rPr>
        <w:t>consolidated global turnover of £36 million or higher</w:t>
      </w:r>
      <w:r w:rsidR="00024161" w:rsidRPr="00622F6C">
        <w:rPr>
          <w:rFonts w:ascii="Times New Roman" w:eastAsia="Times New Roman" w:hAnsi="Times New Roman" w:cs="Times New Roman"/>
          <w:lang w:val="en-US" w:eastAsia="en-GB"/>
        </w:rPr>
        <w:t xml:space="preserve"> (MSA, 2015a)</w:t>
      </w:r>
      <w:r w:rsidR="006E6FAF" w:rsidRPr="00622F6C">
        <w:rPr>
          <w:rFonts w:ascii="Times New Roman" w:eastAsia="Times New Roman" w:hAnsi="Times New Roman" w:cs="Times New Roman"/>
          <w:lang w:val="en-US" w:eastAsia="en-GB"/>
        </w:rPr>
        <w:t xml:space="preserve">. According to official TISC guidance, the </w:t>
      </w:r>
      <w:r w:rsidR="00855019" w:rsidRPr="00622F6C">
        <w:rPr>
          <w:rFonts w:ascii="Times New Roman" w:eastAsia="Times New Roman" w:hAnsi="Times New Roman" w:cs="Times New Roman"/>
          <w:lang w:val="en-US" w:eastAsia="en-GB"/>
        </w:rPr>
        <w:t xml:space="preserve">UK </w:t>
      </w:r>
      <w:r w:rsidR="006E6FAF" w:rsidRPr="00622F6C">
        <w:rPr>
          <w:rFonts w:ascii="Times New Roman" w:eastAsia="Times New Roman" w:hAnsi="Times New Roman" w:cs="Times New Roman"/>
          <w:lang w:val="en-US" w:eastAsia="en-GB"/>
        </w:rPr>
        <w:t>Home Office expects a common</w:t>
      </w:r>
      <w:r w:rsidR="00856B36">
        <w:rPr>
          <w:rFonts w:ascii="Times New Roman" w:eastAsia="Times New Roman" w:hAnsi="Times New Roman" w:cs="Times New Roman"/>
          <w:lang w:val="en-US" w:eastAsia="en-GB"/>
        </w:rPr>
        <w:t>-</w:t>
      </w:r>
      <w:r w:rsidR="006E6FAF" w:rsidRPr="00622F6C">
        <w:rPr>
          <w:rFonts w:ascii="Times New Roman" w:eastAsia="Times New Roman" w:hAnsi="Times New Roman" w:cs="Times New Roman"/>
          <w:lang w:val="en-US" w:eastAsia="en-GB"/>
        </w:rPr>
        <w:t xml:space="preserve">sense approach </w:t>
      </w:r>
      <w:r w:rsidR="00D23F1A" w:rsidRPr="00622F6C">
        <w:rPr>
          <w:rFonts w:ascii="Times New Roman" w:eastAsia="Times New Roman" w:hAnsi="Times New Roman" w:cs="Times New Roman"/>
          <w:lang w:val="en-US" w:eastAsia="en-GB"/>
        </w:rPr>
        <w:t>to</w:t>
      </w:r>
      <w:r w:rsidR="006E6FAF" w:rsidRPr="00622F6C">
        <w:rPr>
          <w:rFonts w:ascii="Times New Roman" w:eastAsia="Times New Roman" w:hAnsi="Times New Roman" w:cs="Times New Roman"/>
          <w:lang w:val="en-US" w:eastAsia="en-GB"/>
        </w:rPr>
        <w:t xml:space="preserve"> prevail in </w:t>
      </w:r>
      <w:r w:rsidR="00856B36">
        <w:rPr>
          <w:rFonts w:ascii="Times New Roman" w:eastAsia="Times New Roman" w:hAnsi="Times New Roman" w:cs="Times New Roman"/>
          <w:lang w:val="en-US" w:eastAsia="en-GB"/>
        </w:rPr>
        <w:t xml:space="preserve">the </w:t>
      </w:r>
      <w:r w:rsidR="00856B36" w:rsidRPr="00622F6C">
        <w:rPr>
          <w:rFonts w:ascii="Times New Roman" w:eastAsia="Times New Roman" w:hAnsi="Times New Roman" w:cs="Times New Roman"/>
          <w:lang w:val="en-US" w:eastAsia="en-GB"/>
        </w:rPr>
        <w:t>determin</w:t>
      </w:r>
      <w:r w:rsidR="00856B36">
        <w:rPr>
          <w:rFonts w:ascii="Times New Roman" w:eastAsia="Times New Roman" w:hAnsi="Times New Roman" w:cs="Times New Roman"/>
          <w:lang w:val="en-US" w:eastAsia="en-GB"/>
        </w:rPr>
        <w:t>ation of</w:t>
      </w:r>
      <w:r w:rsidR="00856B36" w:rsidRPr="00622F6C">
        <w:rPr>
          <w:rFonts w:ascii="Times New Roman" w:eastAsia="Times New Roman" w:hAnsi="Times New Roman" w:cs="Times New Roman"/>
          <w:lang w:val="en-US" w:eastAsia="en-GB"/>
        </w:rPr>
        <w:t xml:space="preserve"> </w:t>
      </w:r>
      <w:r w:rsidR="0033146B" w:rsidRPr="00622F6C">
        <w:rPr>
          <w:rFonts w:ascii="Times New Roman" w:eastAsia="Times New Roman" w:hAnsi="Times New Roman" w:cs="Times New Roman"/>
          <w:lang w:val="en-US" w:eastAsia="en-GB"/>
        </w:rPr>
        <w:t>whether an organi</w:t>
      </w:r>
      <w:r w:rsidR="003261D5">
        <w:rPr>
          <w:rFonts w:ascii="Times New Roman" w:eastAsia="Times New Roman" w:hAnsi="Times New Roman" w:cs="Times New Roman"/>
          <w:lang w:val="en-US" w:eastAsia="en-GB"/>
        </w:rPr>
        <w:t>z</w:t>
      </w:r>
      <w:r w:rsidR="0033146B" w:rsidRPr="00622F6C">
        <w:rPr>
          <w:rFonts w:ascii="Times New Roman" w:eastAsia="Times New Roman" w:hAnsi="Times New Roman" w:cs="Times New Roman"/>
          <w:lang w:val="en-US" w:eastAsia="en-GB"/>
        </w:rPr>
        <w:t>ation has a demonstrable business presence</w:t>
      </w:r>
      <w:r w:rsidR="006E6FAF" w:rsidRPr="00622F6C">
        <w:rPr>
          <w:rFonts w:ascii="Times New Roman" w:eastAsia="Times New Roman" w:hAnsi="Times New Roman" w:cs="Times New Roman"/>
          <w:lang w:val="en-US" w:eastAsia="en-GB"/>
        </w:rPr>
        <w:t xml:space="preserve"> in the UK</w:t>
      </w:r>
      <w:r w:rsidR="00CF28A0" w:rsidRPr="00622F6C">
        <w:rPr>
          <w:rFonts w:ascii="Times New Roman" w:eastAsia="Times New Roman" w:hAnsi="Times New Roman" w:cs="Times New Roman"/>
          <w:lang w:val="en-US" w:eastAsia="en-GB"/>
        </w:rPr>
        <w:t xml:space="preserve"> (</w:t>
      </w:r>
      <w:r w:rsidR="006C5322" w:rsidRPr="00622F6C">
        <w:rPr>
          <w:rFonts w:ascii="Times New Roman" w:eastAsia="Times New Roman" w:hAnsi="Times New Roman" w:cs="Times New Roman"/>
          <w:lang w:val="en-US" w:eastAsia="en-GB"/>
        </w:rPr>
        <w:t>MSA</w:t>
      </w:r>
      <w:r w:rsidR="00CF28A0" w:rsidRPr="00622F6C">
        <w:rPr>
          <w:rFonts w:ascii="Times New Roman" w:eastAsia="Times New Roman" w:hAnsi="Times New Roman" w:cs="Times New Roman"/>
          <w:lang w:val="en-US" w:eastAsia="en-GB"/>
        </w:rPr>
        <w:t>, 2015</w:t>
      </w:r>
      <w:r w:rsidR="00BA4A17" w:rsidRPr="00622F6C">
        <w:rPr>
          <w:rFonts w:ascii="Times New Roman" w:eastAsia="Times New Roman" w:hAnsi="Times New Roman" w:cs="Times New Roman"/>
          <w:lang w:val="en-US" w:eastAsia="en-GB"/>
        </w:rPr>
        <w:t>b</w:t>
      </w:r>
      <w:r w:rsidR="00CF28A0" w:rsidRPr="00622F6C">
        <w:rPr>
          <w:rFonts w:ascii="Times New Roman" w:eastAsia="Times New Roman" w:hAnsi="Times New Roman" w:cs="Times New Roman"/>
          <w:lang w:val="en-US" w:eastAsia="en-GB"/>
        </w:rPr>
        <w:t>)</w:t>
      </w:r>
      <w:r w:rsidR="006E6FAF" w:rsidRPr="00622F6C">
        <w:rPr>
          <w:rFonts w:ascii="Times New Roman" w:eastAsia="Times New Roman" w:hAnsi="Times New Roman" w:cs="Times New Roman"/>
          <w:lang w:val="en-US" w:eastAsia="en-GB"/>
        </w:rPr>
        <w:t xml:space="preserve">. However, ‘common sense’ has widely </w:t>
      </w:r>
      <w:r w:rsidR="003261D5">
        <w:rPr>
          <w:rFonts w:ascii="Times New Roman" w:eastAsia="Times New Roman" w:hAnsi="Times New Roman" w:cs="Times New Roman"/>
          <w:lang w:val="en-US" w:eastAsia="en-GB"/>
        </w:rPr>
        <w:t>diverging</w:t>
      </w:r>
      <w:r w:rsidR="003261D5" w:rsidRPr="00622F6C">
        <w:rPr>
          <w:rFonts w:ascii="Times New Roman" w:eastAsia="Times New Roman" w:hAnsi="Times New Roman" w:cs="Times New Roman"/>
          <w:lang w:val="en-US" w:eastAsia="en-GB"/>
        </w:rPr>
        <w:t xml:space="preserve"> </w:t>
      </w:r>
      <w:r w:rsidR="006E6FAF" w:rsidRPr="00622F6C">
        <w:rPr>
          <w:rFonts w:ascii="Times New Roman" w:eastAsia="Times New Roman" w:hAnsi="Times New Roman" w:cs="Times New Roman"/>
          <w:lang w:val="en-US" w:eastAsia="en-GB"/>
        </w:rPr>
        <w:t xml:space="preserve">interpretations and may vary with the specific circumstances of </w:t>
      </w:r>
      <w:r w:rsidR="00162B04">
        <w:rPr>
          <w:rFonts w:ascii="Times New Roman" w:eastAsia="Times New Roman" w:hAnsi="Times New Roman" w:cs="Times New Roman"/>
          <w:lang w:val="en-US" w:eastAsia="en-GB"/>
        </w:rPr>
        <w:t>a</w:t>
      </w:r>
      <w:r w:rsidR="00162B04" w:rsidRPr="00622F6C">
        <w:rPr>
          <w:rFonts w:ascii="Times New Roman" w:eastAsia="Times New Roman" w:hAnsi="Times New Roman" w:cs="Times New Roman"/>
          <w:lang w:val="en-US" w:eastAsia="en-GB"/>
        </w:rPr>
        <w:t xml:space="preserve"> </w:t>
      </w:r>
      <w:r w:rsidR="006E6FAF" w:rsidRPr="00622F6C">
        <w:rPr>
          <w:rFonts w:ascii="Times New Roman" w:eastAsia="Times New Roman" w:hAnsi="Times New Roman" w:cs="Times New Roman"/>
          <w:lang w:val="en-US" w:eastAsia="en-GB"/>
        </w:rPr>
        <w:t>case</w:t>
      </w:r>
      <w:r w:rsidR="00472E03" w:rsidRPr="00622F6C">
        <w:rPr>
          <w:rFonts w:ascii="Times New Roman" w:eastAsia="Times New Roman" w:hAnsi="Times New Roman" w:cs="Times New Roman"/>
          <w:lang w:val="en-US" w:eastAsia="en-GB"/>
        </w:rPr>
        <w:t xml:space="preserve"> (Insight ResponsAbility, 2015)</w:t>
      </w:r>
      <w:r w:rsidR="006E6FAF" w:rsidRPr="00622F6C">
        <w:rPr>
          <w:rFonts w:ascii="Times New Roman" w:eastAsia="Times New Roman" w:hAnsi="Times New Roman" w:cs="Times New Roman"/>
          <w:lang w:val="en-US" w:eastAsia="en-GB"/>
        </w:rPr>
        <w:t xml:space="preserve">. Given the ambiguity associated with the identification of non-UK firms affected by the TISC clause, we </w:t>
      </w:r>
      <w:r w:rsidR="004C07D4" w:rsidRPr="00622F6C">
        <w:rPr>
          <w:rFonts w:ascii="Times New Roman" w:eastAsia="Times New Roman" w:hAnsi="Times New Roman" w:cs="Times New Roman"/>
          <w:lang w:val="en-US" w:eastAsia="en-GB"/>
        </w:rPr>
        <w:t>restrict our baseline analysis</w:t>
      </w:r>
      <w:r w:rsidR="006E6FAF" w:rsidRPr="00622F6C">
        <w:rPr>
          <w:rFonts w:ascii="Times New Roman" w:eastAsia="Times New Roman" w:hAnsi="Times New Roman" w:cs="Times New Roman"/>
          <w:lang w:val="en-US" w:eastAsia="en-GB"/>
        </w:rPr>
        <w:t xml:space="preserve"> </w:t>
      </w:r>
      <w:r w:rsidR="004C07D4" w:rsidRPr="00622F6C">
        <w:rPr>
          <w:rFonts w:ascii="Times New Roman" w:eastAsia="Times New Roman" w:hAnsi="Times New Roman" w:cs="Times New Roman"/>
          <w:lang w:val="en-US" w:eastAsia="en-GB"/>
        </w:rPr>
        <w:t>to</w:t>
      </w:r>
      <w:r w:rsidR="006E6FAF" w:rsidRPr="00622F6C">
        <w:rPr>
          <w:rFonts w:ascii="Times New Roman" w:eastAsia="Times New Roman" w:hAnsi="Times New Roman" w:cs="Times New Roman"/>
          <w:lang w:val="en-US" w:eastAsia="en-GB"/>
        </w:rPr>
        <w:t xml:space="preserve"> publicly quoted firms domiciled in the UK</w:t>
      </w:r>
      <w:r w:rsidR="0033146B" w:rsidRPr="00622F6C">
        <w:rPr>
          <w:rFonts w:ascii="Times New Roman" w:eastAsia="Times New Roman" w:hAnsi="Times New Roman" w:cs="Times New Roman"/>
          <w:lang w:val="en-US" w:eastAsia="en-GB"/>
        </w:rPr>
        <w:t>. W</w:t>
      </w:r>
      <w:r w:rsidR="004C07D4" w:rsidRPr="00622F6C">
        <w:rPr>
          <w:rFonts w:ascii="Times New Roman" w:eastAsia="Times New Roman" w:hAnsi="Times New Roman" w:cs="Times New Roman"/>
          <w:lang w:val="en-US" w:eastAsia="en-GB"/>
        </w:rPr>
        <w:t xml:space="preserve">e </w:t>
      </w:r>
      <w:r w:rsidR="00367EAA">
        <w:rPr>
          <w:rFonts w:ascii="Times New Roman" w:eastAsia="Times New Roman" w:hAnsi="Times New Roman" w:cs="Times New Roman"/>
          <w:lang w:val="en-US" w:eastAsia="en-GB"/>
        </w:rPr>
        <w:t>consider alternative samples of firms in robustness tests</w:t>
      </w:r>
      <w:r w:rsidR="006E6FAF" w:rsidRPr="00622F6C">
        <w:rPr>
          <w:rFonts w:ascii="Times New Roman" w:eastAsia="Times New Roman" w:hAnsi="Times New Roman" w:cs="Times New Roman"/>
          <w:lang w:val="en-US" w:eastAsia="en-GB"/>
        </w:rPr>
        <w:t xml:space="preserve">. </w:t>
      </w:r>
    </w:p>
    <w:p w14:paraId="1FB0D6E4" w14:textId="77777777" w:rsidR="009E5785" w:rsidRPr="00622F6C" w:rsidRDefault="006E6FAF" w:rsidP="009E5785">
      <w:pPr>
        <w:spacing w:after="0" w:line="480" w:lineRule="auto"/>
        <w:ind w:firstLine="426"/>
        <w:jc w:val="both"/>
        <w:textAlignment w:val="baseline"/>
        <w:rPr>
          <w:rFonts w:ascii="Times New Roman" w:hAnsi="Times New Roman" w:cs="Times New Roman"/>
          <w:lang w:val="en-US"/>
        </w:rPr>
      </w:pPr>
      <w:r w:rsidRPr="00622F6C">
        <w:rPr>
          <w:rFonts w:ascii="Times New Roman" w:eastAsia="Times New Roman" w:hAnsi="Times New Roman" w:cs="Times New Roman"/>
          <w:lang w:val="en-US" w:eastAsia="en-GB"/>
        </w:rPr>
        <w:t xml:space="preserve">As our initial </w:t>
      </w:r>
      <w:r w:rsidR="00C949FD">
        <w:rPr>
          <w:rFonts w:ascii="Times New Roman" w:eastAsia="Times New Roman" w:hAnsi="Times New Roman" w:cs="Times New Roman"/>
          <w:lang w:val="en-US" w:eastAsia="en-GB"/>
        </w:rPr>
        <w:t>dataset</w:t>
      </w:r>
      <w:r w:rsidRPr="00622F6C">
        <w:rPr>
          <w:rFonts w:ascii="Times New Roman" w:eastAsia="Times New Roman" w:hAnsi="Times New Roman" w:cs="Times New Roman"/>
          <w:lang w:val="en-US" w:eastAsia="en-GB"/>
        </w:rPr>
        <w:t xml:space="preserve">, we take the constituents of the FTSE All-Share Index as of March 11, 2013, the </w:t>
      </w:r>
      <w:r w:rsidR="00856B36">
        <w:rPr>
          <w:rFonts w:ascii="Times New Roman" w:eastAsia="Times New Roman" w:hAnsi="Times New Roman" w:cs="Times New Roman"/>
          <w:lang w:val="en-US" w:eastAsia="en-GB"/>
        </w:rPr>
        <w:t xml:space="preserve">date of the </w:t>
      </w:r>
      <w:r w:rsidRPr="00622F6C">
        <w:rPr>
          <w:rFonts w:ascii="Times New Roman" w:eastAsia="Times New Roman" w:hAnsi="Times New Roman" w:cs="Times New Roman"/>
          <w:lang w:val="en-US" w:eastAsia="en-GB"/>
        </w:rPr>
        <w:t>first event we examine (</w:t>
      </w:r>
      <w:r w:rsidR="004C07D4" w:rsidRPr="00622F6C">
        <w:rPr>
          <w:rFonts w:ascii="Times New Roman" w:eastAsia="Times New Roman" w:hAnsi="Times New Roman" w:cs="Times New Roman"/>
          <w:lang w:val="en-US" w:eastAsia="en-GB"/>
        </w:rPr>
        <w:t>e</w:t>
      </w:r>
      <w:r w:rsidRPr="00622F6C">
        <w:rPr>
          <w:rFonts w:ascii="Times New Roman" w:eastAsia="Times New Roman" w:hAnsi="Times New Roman" w:cs="Times New Roman"/>
          <w:lang w:val="en-US" w:eastAsia="en-GB"/>
        </w:rPr>
        <w:t xml:space="preserve">vent 1). </w:t>
      </w:r>
      <w:r w:rsidRPr="00622F6C">
        <w:rPr>
          <w:rFonts w:ascii="Times New Roman" w:hAnsi="Times New Roman" w:cs="Times New Roman"/>
          <w:lang w:val="en-US"/>
        </w:rPr>
        <w:t xml:space="preserve">The FTSE All-Share Index represents the performance of all eligible companies listed on the </w:t>
      </w:r>
      <w:bookmarkStart w:id="39" w:name="_Hlk523992222"/>
      <w:r w:rsidRPr="00622F6C">
        <w:rPr>
          <w:rFonts w:ascii="Times New Roman" w:hAnsi="Times New Roman" w:cs="Times New Roman"/>
          <w:lang w:val="en-US"/>
        </w:rPr>
        <w:t xml:space="preserve">London Stock Exchange’s </w:t>
      </w:r>
      <w:bookmarkStart w:id="40" w:name="_Hlk5288676"/>
      <w:bookmarkEnd w:id="39"/>
      <w:r w:rsidR="00C51586">
        <w:rPr>
          <w:rFonts w:ascii="Times New Roman" w:hAnsi="Times New Roman" w:cs="Times New Roman"/>
          <w:lang w:val="en-US"/>
        </w:rPr>
        <w:t>Main M</w:t>
      </w:r>
      <w:r w:rsidRPr="00622F6C">
        <w:rPr>
          <w:rFonts w:ascii="Times New Roman" w:hAnsi="Times New Roman" w:cs="Times New Roman"/>
          <w:lang w:val="en-US"/>
        </w:rPr>
        <w:t xml:space="preserve">arket </w:t>
      </w:r>
      <w:bookmarkEnd w:id="40"/>
      <w:r w:rsidRPr="00622F6C">
        <w:rPr>
          <w:rFonts w:ascii="Times New Roman" w:hAnsi="Times New Roman" w:cs="Times New Roman"/>
          <w:lang w:val="en-US"/>
        </w:rPr>
        <w:t xml:space="preserve">that pass screening for size and liquidity. It aggregates the </w:t>
      </w:r>
      <w:bookmarkStart w:id="41" w:name="_Hlk523992246"/>
      <w:r w:rsidRPr="00622F6C">
        <w:rPr>
          <w:rFonts w:ascii="Times New Roman" w:hAnsi="Times New Roman" w:cs="Times New Roman"/>
          <w:lang w:val="en-US"/>
        </w:rPr>
        <w:t xml:space="preserve">FTSE 100, 250, and </w:t>
      </w:r>
      <w:bookmarkStart w:id="42" w:name="_Hlk5288695"/>
      <w:r w:rsidRPr="00622F6C">
        <w:rPr>
          <w:rFonts w:ascii="Times New Roman" w:hAnsi="Times New Roman" w:cs="Times New Roman"/>
          <w:lang w:val="en-US"/>
        </w:rPr>
        <w:t xml:space="preserve">Small Caps </w:t>
      </w:r>
      <w:bookmarkEnd w:id="42"/>
      <w:r w:rsidRPr="00622F6C">
        <w:rPr>
          <w:rFonts w:ascii="Times New Roman" w:hAnsi="Times New Roman" w:cs="Times New Roman"/>
          <w:lang w:val="en-US"/>
        </w:rPr>
        <w:t>indices</w:t>
      </w:r>
      <w:bookmarkEnd w:id="41"/>
      <w:r w:rsidRPr="00622F6C">
        <w:rPr>
          <w:rFonts w:ascii="Times New Roman" w:hAnsi="Times New Roman" w:cs="Times New Roman"/>
          <w:lang w:val="en-US"/>
        </w:rPr>
        <w:t xml:space="preserve">, and aims to capture </w:t>
      </w:r>
      <w:r w:rsidR="004C07D4" w:rsidRPr="00622F6C">
        <w:rPr>
          <w:rFonts w:ascii="Times New Roman" w:hAnsi="Times New Roman" w:cs="Times New Roman"/>
          <w:lang w:val="en-US"/>
        </w:rPr>
        <w:t>98% of the full value of the UK’</w:t>
      </w:r>
      <w:r w:rsidRPr="00622F6C">
        <w:rPr>
          <w:rFonts w:ascii="Times New Roman" w:hAnsi="Times New Roman" w:cs="Times New Roman"/>
          <w:lang w:val="en-US"/>
        </w:rPr>
        <w:t>s market capitali</w:t>
      </w:r>
      <w:r w:rsidR="00DB68E1">
        <w:rPr>
          <w:rFonts w:ascii="Times New Roman" w:hAnsi="Times New Roman" w:cs="Times New Roman"/>
          <w:lang w:val="en-US"/>
        </w:rPr>
        <w:t>z</w:t>
      </w:r>
      <w:r w:rsidRPr="00622F6C">
        <w:rPr>
          <w:rFonts w:ascii="Times New Roman" w:hAnsi="Times New Roman" w:cs="Times New Roman"/>
          <w:lang w:val="en-US"/>
        </w:rPr>
        <w:t xml:space="preserve">ation. </w:t>
      </w:r>
      <w:r w:rsidRPr="00622F6C">
        <w:rPr>
          <w:rFonts w:ascii="Times New Roman" w:eastAsia="Times New Roman" w:hAnsi="Times New Roman" w:cs="Times New Roman"/>
          <w:lang w:val="en-US" w:eastAsia="en-GB"/>
        </w:rPr>
        <w:t xml:space="preserve">We obtain index constituents </w:t>
      </w:r>
      <w:r w:rsidR="004C07D4" w:rsidRPr="00622F6C">
        <w:rPr>
          <w:rFonts w:ascii="Times New Roman" w:eastAsia="Times New Roman" w:hAnsi="Times New Roman" w:cs="Times New Roman"/>
          <w:lang w:val="en-US" w:eastAsia="en-GB"/>
        </w:rPr>
        <w:t xml:space="preserve">from </w:t>
      </w:r>
      <w:bookmarkStart w:id="43" w:name="_Hlk523992269"/>
      <w:r w:rsidR="004C07D4" w:rsidRPr="00622F6C">
        <w:rPr>
          <w:rFonts w:ascii="Times New Roman" w:eastAsia="Times New Roman" w:hAnsi="Times New Roman" w:cs="Times New Roman"/>
          <w:lang w:val="en-US" w:eastAsia="en-GB"/>
        </w:rPr>
        <w:t>Datastream</w:t>
      </w:r>
      <w:bookmarkEnd w:id="43"/>
      <w:r w:rsidR="004C07D4" w:rsidRPr="00622F6C">
        <w:rPr>
          <w:rFonts w:ascii="Times New Roman" w:eastAsia="Times New Roman" w:hAnsi="Times New Roman" w:cs="Times New Roman"/>
          <w:lang w:val="en-US" w:eastAsia="en-GB"/>
        </w:rPr>
        <w:t xml:space="preserve">, </w:t>
      </w:r>
      <w:r w:rsidR="00856B36">
        <w:rPr>
          <w:rFonts w:ascii="Times New Roman" w:eastAsia="Times New Roman" w:hAnsi="Times New Roman" w:cs="Times New Roman"/>
          <w:lang w:val="en-US" w:eastAsia="en-GB"/>
        </w:rPr>
        <w:t>ending up with</w:t>
      </w:r>
      <w:r w:rsidR="00856B36" w:rsidRPr="00622F6C">
        <w:rPr>
          <w:rFonts w:ascii="Times New Roman" w:eastAsia="Times New Roman" w:hAnsi="Times New Roman" w:cs="Times New Roman"/>
          <w:lang w:val="en-US" w:eastAsia="en-GB"/>
        </w:rPr>
        <w:t xml:space="preserve"> </w:t>
      </w:r>
      <w:r w:rsidR="004C07D4" w:rsidRPr="00622F6C">
        <w:rPr>
          <w:rFonts w:ascii="Times New Roman" w:eastAsia="Times New Roman" w:hAnsi="Times New Roman" w:cs="Times New Roman"/>
          <w:lang w:val="en-US" w:eastAsia="en-GB"/>
        </w:rPr>
        <w:t>60</w:t>
      </w:r>
      <w:r w:rsidR="000045AF">
        <w:rPr>
          <w:rFonts w:ascii="Times New Roman" w:eastAsia="Times New Roman" w:hAnsi="Times New Roman" w:cs="Times New Roman"/>
          <w:lang w:val="en-US" w:eastAsia="en-GB"/>
        </w:rPr>
        <w:t>2</w:t>
      </w:r>
      <w:r w:rsidRPr="00622F6C">
        <w:rPr>
          <w:rFonts w:ascii="Times New Roman" w:eastAsia="Times New Roman" w:hAnsi="Times New Roman" w:cs="Times New Roman"/>
          <w:lang w:val="en-US" w:eastAsia="en-GB"/>
        </w:rPr>
        <w:t xml:space="preserve"> firms in total. </w:t>
      </w:r>
      <w:r w:rsidR="004C07D4" w:rsidRPr="00622F6C">
        <w:rPr>
          <w:rFonts w:ascii="Times New Roman" w:eastAsia="Times New Roman" w:hAnsi="Times New Roman" w:cs="Times New Roman"/>
          <w:lang w:val="en-US" w:eastAsia="en-GB"/>
        </w:rPr>
        <w:t xml:space="preserve">Table 2 </w:t>
      </w:r>
      <w:r w:rsidR="0033146B" w:rsidRPr="00622F6C">
        <w:rPr>
          <w:rFonts w:ascii="Times New Roman" w:eastAsia="Times New Roman" w:hAnsi="Times New Roman" w:cs="Times New Roman"/>
          <w:lang w:val="en-US" w:eastAsia="en-GB"/>
        </w:rPr>
        <w:t>summarizes</w:t>
      </w:r>
      <w:r w:rsidR="00C122C0" w:rsidRPr="00622F6C">
        <w:rPr>
          <w:rFonts w:ascii="Times New Roman" w:eastAsia="Times New Roman" w:hAnsi="Times New Roman" w:cs="Times New Roman"/>
          <w:lang w:val="en-US" w:eastAsia="en-GB"/>
        </w:rPr>
        <w:t xml:space="preserve"> </w:t>
      </w:r>
      <w:r w:rsidR="00162B04">
        <w:rPr>
          <w:rFonts w:ascii="Times New Roman" w:eastAsia="Times New Roman" w:hAnsi="Times New Roman" w:cs="Times New Roman"/>
          <w:lang w:val="en-US" w:eastAsia="en-GB"/>
        </w:rPr>
        <w:t xml:space="preserve">the </w:t>
      </w:r>
      <w:r w:rsidR="00C122C0" w:rsidRPr="00622F6C">
        <w:rPr>
          <w:rFonts w:ascii="Times New Roman" w:eastAsia="Times New Roman" w:hAnsi="Times New Roman" w:cs="Times New Roman"/>
          <w:lang w:val="en-US" w:eastAsia="en-GB"/>
        </w:rPr>
        <w:t>subsequent sample construction steps</w:t>
      </w:r>
      <w:r w:rsidR="00D961A5" w:rsidRPr="00622F6C">
        <w:rPr>
          <w:rFonts w:ascii="Times New Roman" w:eastAsia="Times New Roman" w:hAnsi="Times New Roman" w:cs="Times New Roman"/>
          <w:lang w:val="en-US" w:eastAsia="en-GB"/>
        </w:rPr>
        <w:t>,</w:t>
      </w:r>
      <w:r w:rsidR="00C122C0" w:rsidRPr="00622F6C">
        <w:rPr>
          <w:rFonts w:ascii="Times New Roman" w:eastAsia="Times New Roman" w:hAnsi="Times New Roman" w:cs="Times New Roman"/>
          <w:lang w:val="en-US" w:eastAsia="en-GB"/>
        </w:rPr>
        <w:t xml:space="preserve"> </w:t>
      </w:r>
      <w:r w:rsidR="00D961A5" w:rsidRPr="00622F6C">
        <w:rPr>
          <w:rFonts w:ascii="Times New Roman" w:eastAsia="Times New Roman" w:hAnsi="Times New Roman" w:cs="Times New Roman"/>
          <w:lang w:val="en-US" w:eastAsia="en-GB"/>
        </w:rPr>
        <w:t xml:space="preserve">as </w:t>
      </w:r>
      <w:r w:rsidR="00D961A5" w:rsidRPr="00622F6C">
        <w:rPr>
          <w:rFonts w:ascii="Times New Roman" w:eastAsia="Times New Roman" w:hAnsi="Times New Roman" w:cs="Times New Roman"/>
          <w:lang w:val="en-US" w:eastAsia="en-GB"/>
        </w:rPr>
        <w:lastRenderedPageBreak/>
        <w:t>well as</w:t>
      </w:r>
      <w:r w:rsidR="00C122C0" w:rsidRPr="00622F6C">
        <w:rPr>
          <w:rFonts w:ascii="Times New Roman" w:eastAsia="Times New Roman" w:hAnsi="Times New Roman" w:cs="Times New Roman"/>
          <w:lang w:val="en-US" w:eastAsia="en-GB"/>
        </w:rPr>
        <w:t xml:space="preserve"> the number of observations resulting from each step. We remove non-UK-domiciled companies, as well as companies without stock price information available </w:t>
      </w:r>
      <w:r w:rsidR="00024161" w:rsidRPr="00622F6C">
        <w:rPr>
          <w:rFonts w:ascii="Times New Roman" w:eastAsia="Times New Roman" w:hAnsi="Times New Roman" w:cs="Times New Roman"/>
          <w:lang w:val="en-US" w:eastAsia="en-GB"/>
        </w:rPr>
        <w:t>from the</w:t>
      </w:r>
      <w:r w:rsidR="00C122C0" w:rsidRPr="00622F6C">
        <w:rPr>
          <w:rFonts w:ascii="Times New Roman" w:eastAsia="Times New Roman" w:hAnsi="Times New Roman" w:cs="Times New Roman"/>
          <w:lang w:val="en-US" w:eastAsia="en-GB"/>
        </w:rPr>
        <w:t xml:space="preserve"> first </w:t>
      </w:r>
      <w:r w:rsidR="00162B04">
        <w:rPr>
          <w:rFonts w:ascii="Times New Roman" w:eastAsia="Times New Roman" w:hAnsi="Times New Roman" w:cs="Times New Roman"/>
          <w:lang w:val="en-US" w:eastAsia="en-GB"/>
        </w:rPr>
        <w:t>to</w:t>
      </w:r>
      <w:r w:rsidR="00162B04" w:rsidRPr="00622F6C">
        <w:rPr>
          <w:rFonts w:ascii="Times New Roman" w:eastAsia="Times New Roman" w:hAnsi="Times New Roman" w:cs="Times New Roman"/>
          <w:lang w:val="en-US" w:eastAsia="en-GB"/>
        </w:rPr>
        <w:t xml:space="preserve"> </w:t>
      </w:r>
      <w:r w:rsidR="00024161" w:rsidRPr="00622F6C">
        <w:rPr>
          <w:rFonts w:ascii="Times New Roman" w:eastAsia="Times New Roman" w:hAnsi="Times New Roman" w:cs="Times New Roman"/>
          <w:lang w:val="en-US" w:eastAsia="en-GB"/>
        </w:rPr>
        <w:t>the</w:t>
      </w:r>
      <w:r w:rsidR="00C122C0" w:rsidRPr="00622F6C">
        <w:rPr>
          <w:rFonts w:ascii="Times New Roman" w:eastAsia="Times New Roman" w:hAnsi="Times New Roman" w:cs="Times New Roman"/>
          <w:lang w:val="en-US" w:eastAsia="en-GB"/>
        </w:rPr>
        <w:t xml:space="preserve"> </w:t>
      </w:r>
      <w:r w:rsidR="00D961A5" w:rsidRPr="00622F6C">
        <w:rPr>
          <w:rFonts w:ascii="Times New Roman" w:eastAsia="Times New Roman" w:hAnsi="Times New Roman" w:cs="Times New Roman"/>
          <w:lang w:val="en-US" w:eastAsia="en-GB"/>
        </w:rPr>
        <w:t>ei</w:t>
      </w:r>
      <w:r w:rsidR="00DB68E1">
        <w:rPr>
          <w:rFonts w:ascii="Times New Roman" w:eastAsia="Times New Roman" w:hAnsi="Times New Roman" w:cs="Times New Roman"/>
          <w:lang w:val="en-US" w:eastAsia="en-GB"/>
        </w:rPr>
        <w:t>ght</w:t>
      </w:r>
      <w:r w:rsidR="00162B04">
        <w:rPr>
          <w:rFonts w:ascii="Times New Roman" w:eastAsia="Times New Roman" w:hAnsi="Times New Roman" w:cs="Times New Roman"/>
          <w:lang w:val="en-US" w:eastAsia="en-GB"/>
        </w:rPr>
        <w:t>h</w:t>
      </w:r>
      <w:r w:rsidR="00C122C0" w:rsidRPr="00622F6C">
        <w:rPr>
          <w:rFonts w:ascii="Times New Roman" w:eastAsia="Times New Roman" w:hAnsi="Times New Roman" w:cs="Times New Roman"/>
          <w:lang w:val="en-US" w:eastAsia="en-GB"/>
        </w:rPr>
        <w:t xml:space="preserve"> MSA adoption event. We also remove investment trusts and private equity firms, as </w:t>
      </w:r>
      <w:r w:rsidR="009E5785" w:rsidRPr="00622F6C">
        <w:rPr>
          <w:rFonts w:ascii="Times New Roman" w:eastAsia="Times New Roman" w:hAnsi="Times New Roman" w:cs="Times New Roman"/>
          <w:lang w:val="en-US" w:eastAsia="en-GB"/>
        </w:rPr>
        <w:t xml:space="preserve">our </w:t>
      </w:r>
      <w:r w:rsidR="00C122C0" w:rsidRPr="00622F6C">
        <w:rPr>
          <w:rFonts w:ascii="Times New Roman" w:eastAsia="Times New Roman" w:hAnsi="Times New Roman" w:cs="Times New Roman"/>
          <w:lang w:val="en-US" w:eastAsia="en-GB"/>
        </w:rPr>
        <w:t xml:space="preserve">unit of analysis is </w:t>
      </w:r>
      <w:r w:rsidR="00162B04">
        <w:rPr>
          <w:rFonts w:ascii="Times New Roman" w:eastAsia="Times New Roman" w:hAnsi="Times New Roman" w:cs="Times New Roman"/>
          <w:lang w:val="en-US" w:eastAsia="en-GB"/>
        </w:rPr>
        <w:t>the</w:t>
      </w:r>
      <w:r w:rsidR="00162B04" w:rsidRPr="00622F6C">
        <w:rPr>
          <w:rFonts w:ascii="Times New Roman" w:eastAsia="Times New Roman" w:hAnsi="Times New Roman" w:cs="Times New Roman"/>
          <w:lang w:val="en-US" w:eastAsia="en-GB"/>
        </w:rPr>
        <w:t xml:space="preserve"> </w:t>
      </w:r>
      <w:r w:rsidR="00C122C0" w:rsidRPr="00622F6C">
        <w:rPr>
          <w:rFonts w:ascii="Times New Roman" w:eastAsia="Times New Roman" w:hAnsi="Times New Roman" w:cs="Times New Roman"/>
          <w:lang w:val="en-US" w:eastAsia="en-GB"/>
        </w:rPr>
        <w:t xml:space="preserve">firm rather than an investment vehicle. After </w:t>
      </w:r>
      <w:r w:rsidR="00464907">
        <w:rPr>
          <w:rFonts w:ascii="Times New Roman" w:eastAsia="Times New Roman" w:hAnsi="Times New Roman" w:cs="Times New Roman"/>
          <w:lang w:val="en-US" w:eastAsia="en-GB"/>
        </w:rPr>
        <w:t>eliminating</w:t>
      </w:r>
      <w:r w:rsidR="00464907" w:rsidRPr="00622F6C">
        <w:rPr>
          <w:rFonts w:ascii="Times New Roman" w:eastAsia="Times New Roman" w:hAnsi="Times New Roman" w:cs="Times New Roman"/>
          <w:lang w:val="en-US" w:eastAsia="en-GB"/>
        </w:rPr>
        <w:t xml:space="preserve"> </w:t>
      </w:r>
      <w:r w:rsidR="00C122C0" w:rsidRPr="00622F6C">
        <w:rPr>
          <w:rFonts w:ascii="Times New Roman" w:eastAsia="Times New Roman" w:hAnsi="Times New Roman" w:cs="Times New Roman"/>
          <w:lang w:val="en-US" w:eastAsia="en-GB"/>
        </w:rPr>
        <w:t xml:space="preserve">firms with annual sales falling below the £36 million </w:t>
      </w:r>
      <w:r w:rsidR="009409CE" w:rsidRPr="00622F6C">
        <w:rPr>
          <w:rFonts w:ascii="Times New Roman" w:eastAsia="Times New Roman" w:hAnsi="Times New Roman" w:cs="Times New Roman"/>
          <w:lang w:val="en-US" w:eastAsia="en-GB"/>
        </w:rPr>
        <w:t xml:space="preserve">TISC </w:t>
      </w:r>
      <w:r w:rsidR="00C122C0" w:rsidRPr="00622F6C">
        <w:rPr>
          <w:rFonts w:ascii="Times New Roman" w:eastAsia="Times New Roman" w:hAnsi="Times New Roman" w:cs="Times New Roman"/>
          <w:lang w:val="en-US" w:eastAsia="en-GB"/>
        </w:rPr>
        <w:t xml:space="preserve">threshold, we </w:t>
      </w:r>
      <w:r w:rsidR="00020E83" w:rsidRPr="00622F6C">
        <w:rPr>
          <w:rFonts w:ascii="Times New Roman" w:eastAsia="Times New Roman" w:hAnsi="Times New Roman" w:cs="Times New Roman"/>
          <w:lang w:val="en-US" w:eastAsia="en-GB"/>
        </w:rPr>
        <w:t xml:space="preserve">obtain </w:t>
      </w:r>
      <w:r w:rsidR="0033146B" w:rsidRPr="00622F6C">
        <w:rPr>
          <w:rFonts w:ascii="Times New Roman" w:eastAsia="Times New Roman" w:hAnsi="Times New Roman" w:cs="Times New Roman"/>
          <w:lang w:val="en-US" w:eastAsia="en-GB"/>
        </w:rPr>
        <w:t>a</w:t>
      </w:r>
      <w:r w:rsidR="00020E83" w:rsidRPr="00622F6C">
        <w:rPr>
          <w:rFonts w:ascii="Times New Roman" w:eastAsia="Times New Roman" w:hAnsi="Times New Roman" w:cs="Times New Roman"/>
          <w:lang w:val="en-US" w:eastAsia="en-GB"/>
        </w:rPr>
        <w:t xml:space="preserve"> baseline sample consisting of 357 firms. </w:t>
      </w:r>
      <w:r w:rsidR="00D961A5" w:rsidRPr="00622F6C">
        <w:rPr>
          <w:rFonts w:ascii="Times New Roman" w:eastAsia="Times New Roman" w:hAnsi="Times New Roman" w:cs="Times New Roman"/>
          <w:lang w:val="en-US" w:eastAsia="en-GB"/>
        </w:rPr>
        <w:t>T</w:t>
      </w:r>
      <w:r w:rsidR="009E5785" w:rsidRPr="00622F6C">
        <w:rPr>
          <w:rFonts w:ascii="Times New Roman" w:eastAsia="Times New Roman" w:hAnsi="Times New Roman" w:cs="Times New Roman"/>
          <w:lang w:val="en-US" w:eastAsia="en-GB"/>
        </w:rPr>
        <w:t xml:space="preserve">his sample represents </w:t>
      </w:r>
      <w:r w:rsidR="0033146B" w:rsidRPr="00622F6C">
        <w:rPr>
          <w:rFonts w:ascii="Times New Roman" w:eastAsia="Times New Roman" w:hAnsi="Times New Roman" w:cs="Times New Roman"/>
          <w:lang w:val="en-US" w:eastAsia="en-GB"/>
        </w:rPr>
        <w:t>81%</w:t>
      </w:r>
      <w:r w:rsidR="00D961A5" w:rsidRPr="00622F6C">
        <w:rPr>
          <w:rFonts w:ascii="Times New Roman" w:eastAsia="Times New Roman" w:hAnsi="Times New Roman" w:cs="Times New Roman"/>
          <w:lang w:val="en-US" w:eastAsia="en-GB"/>
        </w:rPr>
        <w:t xml:space="preserve"> </w:t>
      </w:r>
      <w:r w:rsidR="009E5785" w:rsidRPr="00622F6C">
        <w:rPr>
          <w:rFonts w:ascii="Times New Roman" w:eastAsia="Times New Roman" w:hAnsi="Times New Roman" w:cs="Times New Roman"/>
          <w:lang w:val="en-US" w:eastAsia="en-GB"/>
        </w:rPr>
        <w:t>of the total m</w:t>
      </w:r>
      <w:r w:rsidR="00D961A5" w:rsidRPr="00622F6C">
        <w:rPr>
          <w:rFonts w:ascii="Times New Roman" w:eastAsia="Times New Roman" w:hAnsi="Times New Roman" w:cs="Times New Roman"/>
          <w:lang w:val="en-US" w:eastAsia="en-GB"/>
        </w:rPr>
        <w:t>arket capitali</w:t>
      </w:r>
      <w:r w:rsidR="00DB68E1">
        <w:rPr>
          <w:rFonts w:ascii="Times New Roman" w:eastAsia="Times New Roman" w:hAnsi="Times New Roman" w:cs="Times New Roman"/>
          <w:lang w:val="en-US" w:eastAsia="en-GB"/>
        </w:rPr>
        <w:t>z</w:t>
      </w:r>
      <w:r w:rsidR="00BC6014">
        <w:rPr>
          <w:rFonts w:ascii="Times New Roman" w:eastAsia="Times New Roman" w:hAnsi="Times New Roman" w:cs="Times New Roman"/>
          <w:lang w:val="en-US" w:eastAsia="en-GB"/>
        </w:rPr>
        <w:t>ation of the 602</w:t>
      </w:r>
      <w:r w:rsidR="00D961A5" w:rsidRPr="00622F6C">
        <w:rPr>
          <w:rFonts w:ascii="Times New Roman" w:eastAsia="Times New Roman" w:hAnsi="Times New Roman" w:cs="Times New Roman"/>
          <w:lang w:val="en-US" w:eastAsia="en-GB"/>
        </w:rPr>
        <w:t xml:space="preserve"> FTSE All-Share I</w:t>
      </w:r>
      <w:r w:rsidR="009E5785" w:rsidRPr="00622F6C">
        <w:rPr>
          <w:rFonts w:ascii="Times New Roman" w:eastAsia="Times New Roman" w:hAnsi="Times New Roman" w:cs="Times New Roman"/>
          <w:lang w:val="en-US" w:eastAsia="en-GB"/>
        </w:rPr>
        <w:t xml:space="preserve">ndex </w:t>
      </w:r>
      <w:r w:rsidR="004C27C8">
        <w:rPr>
          <w:rFonts w:ascii="Times New Roman" w:eastAsia="Times New Roman" w:hAnsi="Times New Roman" w:cs="Times New Roman"/>
          <w:lang w:val="en-US" w:eastAsia="en-GB"/>
        </w:rPr>
        <w:t>constituents</w:t>
      </w:r>
      <w:r w:rsidR="00162B04" w:rsidRPr="00622F6C">
        <w:rPr>
          <w:rFonts w:ascii="Times New Roman" w:eastAsia="Times New Roman" w:hAnsi="Times New Roman" w:cs="Times New Roman"/>
          <w:lang w:val="en-US" w:eastAsia="en-GB"/>
        </w:rPr>
        <w:t xml:space="preserve"> </w:t>
      </w:r>
      <w:r w:rsidR="00D961A5" w:rsidRPr="00622F6C">
        <w:rPr>
          <w:rFonts w:ascii="Times New Roman" w:eastAsia="Times New Roman" w:hAnsi="Times New Roman" w:cs="Times New Roman"/>
          <w:lang w:val="en-US" w:eastAsia="en-GB"/>
        </w:rPr>
        <w:t>in our initial sample</w:t>
      </w:r>
      <w:r w:rsidR="009E5785" w:rsidRPr="00622F6C">
        <w:rPr>
          <w:rFonts w:ascii="Times New Roman" w:eastAsia="Times New Roman" w:hAnsi="Times New Roman" w:cs="Times New Roman"/>
          <w:lang w:val="en-US" w:eastAsia="en-GB"/>
        </w:rPr>
        <w:t>.</w:t>
      </w:r>
      <w:r w:rsidR="009E5785" w:rsidRPr="00622F6C">
        <w:rPr>
          <w:rFonts w:ascii="Times New Roman" w:eastAsia="Times New Roman" w:hAnsi="Times New Roman" w:cs="Times New Roman"/>
          <w:vertAlign w:val="superscript"/>
          <w:lang w:val="en-US" w:eastAsia="en-GB"/>
        </w:rPr>
        <w:footnoteReference w:id="9"/>
      </w:r>
      <w:r w:rsidR="009E5785" w:rsidRPr="00622F6C">
        <w:rPr>
          <w:rFonts w:ascii="Times New Roman" w:eastAsia="Times New Roman" w:hAnsi="Times New Roman" w:cs="Times New Roman"/>
          <w:lang w:val="en-US" w:eastAsia="en-GB"/>
        </w:rPr>
        <w:t xml:space="preserve"> </w:t>
      </w:r>
      <w:r w:rsidR="00D961A5" w:rsidRPr="00622F6C">
        <w:rPr>
          <w:rFonts w:ascii="Times New Roman" w:eastAsia="Times New Roman" w:hAnsi="Times New Roman" w:cs="Times New Roman"/>
          <w:lang w:val="en-US" w:eastAsia="en-GB"/>
        </w:rPr>
        <w:t xml:space="preserve">The sample that </w:t>
      </w:r>
      <w:r w:rsidR="008B5C4B">
        <w:rPr>
          <w:rFonts w:ascii="Times New Roman" w:eastAsia="Times New Roman" w:hAnsi="Times New Roman" w:cs="Times New Roman"/>
          <w:lang w:val="en-US" w:eastAsia="en-GB"/>
        </w:rPr>
        <w:t>we can use</w:t>
      </w:r>
      <w:r w:rsidR="00D961A5" w:rsidRPr="00622F6C">
        <w:rPr>
          <w:rFonts w:ascii="Times New Roman" w:eastAsia="Times New Roman" w:hAnsi="Times New Roman" w:cs="Times New Roman"/>
          <w:lang w:val="en-US" w:eastAsia="en-GB"/>
        </w:rPr>
        <w:t xml:space="preserve"> in the baseline cross-sectional analysis </w:t>
      </w:r>
      <w:r w:rsidR="008B5C4B">
        <w:rPr>
          <w:rFonts w:ascii="Times New Roman" w:eastAsia="Times New Roman" w:hAnsi="Times New Roman" w:cs="Times New Roman"/>
          <w:lang w:val="en-US" w:eastAsia="en-GB"/>
        </w:rPr>
        <w:t xml:space="preserve">is smaller </w:t>
      </w:r>
      <w:r w:rsidR="00162B04">
        <w:rPr>
          <w:rFonts w:ascii="Times New Roman" w:eastAsia="Times New Roman" w:hAnsi="Times New Roman" w:cs="Times New Roman"/>
          <w:lang w:val="en-US" w:eastAsia="en-GB"/>
        </w:rPr>
        <w:t>due</w:t>
      </w:r>
      <w:r w:rsidR="00D961A5" w:rsidRPr="00622F6C">
        <w:rPr>
          <w:rFonts w:ascii="Times New Roman" w:eastAsia="Times New Roman" w:hAnsi="Times New Roman" w:cs="Times New Roman"/>
          <w:lang w:val="en-US" w:eastAsia="en-GB"/>
        </w:rPr>
        <w:t xml:space="preserve"> to additional data availability</w:t>
      </w:r>
      <w:r w:rsidR="00162B04" w:rsidRPr="00162B04">
        <w:rPr>
          <w:rFonts w:ascii="Times New Roman" w:eastAsia="Times New Roman" w:hAnsi="Times New Roman" w:cs="Times New Roman"/>
          <w:lang w:val="en-US" w:eastAsia="en-GB"/>
        </w:rPr>
        <w:t xml:space="preserve"> </w:t>
      </w:r>
      <w:r w:rsidR="00BC6014">
        <w:rPr>
          <w:rFonts w:ascii="Times New Roman" w:eastAsia="Times New Roman" w:hAnsi="Times New Roman" w:cs="Times New Roman"/>
          <w:lang w:val="en-US" w:eastAsia="en-GB"/>
        </w:rPr>
        <w:t>constraints</w:t>
      </w:r>
      <w:r w:rsidR="00381377">
        <w:rPr>
          <w:rFonts w:ascii="Times New Roman" w:eastAsia="Times New Roman" w:hAnsi="Times New Roman" w:cs="Times New Roman"/>
          <w:lang w:val="en-US" w:eastAsia="en-GB"/>
        </w:rPr>
        <w:t xml:space="preserve"> for the measures used in the cross-sectional analysis</w:t>
      </w:r>
      <w:r w:rsidR="00D961A5" w:rsidRPr="00622F6C">
        <w:rPr>
          <w:rFonts w:ascii="Times New Roman" w:eastAsia="Times New Roman" w:hAnsi="Times New Roman" w:cs="Times New Roman"/>
          <w:lang w:val="en-US" w:eastAsia="en-GB"/>
        </w:rPr>
        <w:t xml:space="preserve">. </w:t>
      </w:r>
      <w:r w:rsidR="004A606C">
        <w:rPr>
          <w:rFonts w:ascii="Times New Roman" w:eastAsia="Times New Roman" w:hAnsi="Times New Roman" w:cs="Times New Roman"/>
          <w:lang w:val="en-US" w:eastAsia="en-GB"/>
        </w:rPr>
        <w:t xml:space="preserve">More particularly, while </w:t>
      </w:r>
      <w:bookmarkStart w:id="44" w:name="_Hlk5288817"/>
      <w:r w:rsidR="004A606C">
        <w:rPr>
          <w:rFonts w:ascii="Times New Roman" w:eastAsia="Times New Roman" w:hAnsi="Times New Roman" w:cs="Times New Roman"/>
          <w:lang w:val="en-US" w:eastAsia="en-GB"/>
        </w:rPr>
        <w:t xml:space="preserve">Worldscope </w:t>
      </w:r>
      <w:bookmarkEnd w:id="44"/>
      <w:r w:rsidR="004A606C">
        <w:rPr>
          <w:rFonts w:ascii="Times New Roman" w:eastAsia="Times New Roman" w:hAnsi="Times New Roman" w:cs="Times New Roman"/>
          <w:lang w:val="en-US" w:eastAsia="en-GB"/>
        </w:rPr>
        <w:t xml:space="preserve">data are available for all of the 357 firms, </w:t>
      </w:r>
      <w:r w:rsidR="00AF59F7">
        <w:rPr>
          <w:rFonts w:ascii="Times New Roman" w:eastAsia="Times New Roman" w:hAnsi="Times New Roman" w:cs="Times New Roman"/>
          <w:lang w:val="en-US" w:eastAsia="en-GB"/>
        </w:rPr>
        <w:t>requiring</w:t>
      </w:r>
      <w:r w:rsidR="004A606C">
        <w:rPr>
          <w:rFonts w:ascii="Times New Roman" w:eastAsia="Times New Roman" w:hAnsi="Times New Roman" w:cs="Times New Roman"/>
          <w:lang w:val="en-US" w:eastAsia="en-GB"/>
        </w:rPr>
        <w:t xml:space="preserve"> data availability in </w:t>
      </w:r>
      <w:bookmarkStart w:id="45" w:name="_Hlk5288838"/>
      <w:r w:rsidR="004A606C">
        <w:rPr>
          <w:rFonts w:ascii="Times New Roman" w:eastAsia="Times New Roman" w:hAnsi="Times New Roman" w:cs="Times New Roman"/>
          <w:lang w:val="en-US" w:eastAsia="en-GB"/>
        </w:rPr>
        <w:t xml:space="preserve">Asset4 and Thomson Reuters ESG Research Data </w:t>
      </w:r>
      <w:bookmarkEnd w:id="45"/>
      <w:r w:rsidR="004A606C">
        <w:rPr>
          <w:rFonts w:ascii="Times New Roman" w:eastAsia="Times New Roman" w:hAnsi="Times New Roman" w:cs="Times New Roman"/>
          <w:lang w:val="en-US" w:eastAsia="en-GB"/>
        </w:rPr>
        <w:t xml:space="preserve">leads to a </w:t>
      </w:r>
      <w:r w:rsidR="00AF59F7">
        <w:rPr>
          <w:rFonts w:ascii="Times New Roman" w:eastAsia="Times New Roman" w:hAnsi="Times New Roman" w:cs="Times New Roman"/>
          <w:lang w:val="en-US" w:eastAsia="en-GB"/>
        </w:rPr>
        <w:t>decline</w:t>
      </w:r>
      <w:r w:rsidR="004A606C">
        <w:rPr>
          <w:rFonts w:ascii="Times New Roman" w:eastAsia="Times New Roman" w:hAnsi="Times New Roman" w:cs="Times New Roman"/>
          <w:lang w:val="en-US" w:eastAsia="en-GB"/>
        </w:rPr>
        <w:t xml:space="preserve"> in </w:t>
      </w:r>
      <w:r w:rsidR="00856B36">
        <w:rPr>
          <w:rFonts w:ascii="Times New Roman" w:eastAsia="Times New Roman" w:hAnsi="Times New Roman" w:cs="Times New Roman"/>
          <w:lang w:val="en-US" w:eastAsia="en-GB"/>
        </w:rPr>
        <w:t xml:space="preserve">the number of </w:t>
      </w:r>
      <w:r w:rsidR="004A606C">
        <w:rPr>
          <w:rFonts w:ascii="Times New Roman" w:eastAsia="Times New Roman" w:hAnsi="Times New Roman" w:cs="Times New Roman"/>
          <w:lang w:val="en-US" w:eastAsia="en-GB"/>
        </w:rPr>
        <w:t xml:space="preserve">usable observations to 283, and requiring </w:t>
      </w:r>
      <w:r w:rsidR="002D2333">
        <w:rPr>
          <w:rFonts w:ascii="Times New Roman" w:eastAsia="Times New Roman" w:hAnsi="Times New Roman" w:cs="Times New Roman"/>
          <w:lang w:val="en-US" w:eastAsia="en-GB"/>
        </w:rPr>
        <w:t xml:space="preserve">data availability in </w:t>
      </w:r>
      <w:r w:rsidR="004A606C">
        <w:rPr>
          <w:rFonts w:ascii="Times New Roman" w:eastAsia="Times New Roman" w:hAnsi="Times New Roman" w:cs="Times New Roman"/>
          <w:lang w:val="en-US" w:eastAsia="en-GB"/>
        </w:rPr>
        <w:t xml:space="preserve">RepRisk to a further drop to 205. </w:t>
      </w:r>
      <w:r w:rsidR="00D961A5" w:rsidRPr="00622F6C">
        <w:rPr>
          <w:rFonts w:ascii="Times New Roman" w:eastAsia="Times New Roman" w:hAnsi="Times New Roman" w:cs="Times New Roman"/>
          <w:lang w:val="en-US" w:eastAsia="en-GB"/>
        </w:rPr>
        <w:t xml:space="preserve">This </w:t>
      </w:r>
      <w:r w:rsidR="00AF59F7">
        <w:rPr>
          <w:rFonts w:ascii="Times New Roman" w:eastAsia="Times New Roman" w:hAnsi="Times New Roman" w:cs="Times New Roman"/>
          <w:lang w:val="en-US" w:eastAsia="en-GB"/>
        </w:rPr>
        <w:t xml:space="preserve">final </w:t>
      </w:r>
      <w:r w:rsidR="00D961A5" w:rsidRPr="00622F6C">
        <w:rPr>
          <w:rFonts w:ascii="Times New Roman" w:eastAsia="Times New Roman" w:hAnsi="Times New Roman" w:cs="Times New Roman"/>
          <w:lang w:val="en-US" w:eastAsia="en-GB"/>
        </w:rPr>
        <w:t>sample still represents 75% of the total market capitali</w:t>
      </w:r>
      <w:r w:rsidR="00DB68E1">
        <w:rPr>
          <w:rFonts w:ascii="Times New Roman" w:eastAsia="Times New Roman" w:hAnsi="Times New Roman" w:cs="Times New Roman"/>
          <w:lang w:val="en-US" w:eastAsia="en-GB"/>
        </w:rPr>
        <w:t>z</w:t>
      </w:r>
      <w:r w:rsidR="00D961A5" w:rsidRPr="00622F6C">
        <w:rPr>
          <w:rFonts w:ascii="Times New Roman" w:eastAsia="Times New Roman" w:hAnsi="Times New Roman" w:cs="Times New Roman"/>
          <w:lang w:val="en-US" w:eastAsia="en-GB"/>
        </w:rPr>
        <w:t xml:space="preserve">ation of </w:t>
      </w:r>
      <w:r w:rsidR="00B248ED" w:rsidRPr="00622F6C">
        <w:rPr>
          <w:rFonts w:ascii="Times New Roman" w:eastAsia="Times New Roman" w:hAnsi="Times New Roman" w:cs="Times New Roman"/>
          <w:lang w:val="en-US" w:eastAsia="en-GB"/>
        </w:rPr>
        <w:t>our raw sample</w:t>
      </w:r>
      <w:r w:rsidR="00D961A5" w:rsidRPr="00622F6C">
        <w:rPr>
          <w:rFonts w:ascii="Times New Roman" w:eastAsia="Times New Roman" w:hAnsi="Times New Roman" w:cs="Times New Roman"/>
          <w:lang w:val="en-US" w:eastAsia="en-GB"/>
        </w:rPr>
        <w:t>.</w:t>
      </w:r>
    </w:p>
    <w:p w14:paraId="5E309F13" w14:textId="77777777" w:rsidR="00C122C0" w:rsidRPr="00622F6C" w:rsidRDefault="00C122C0" w:rsidP="00C122C0">
      <w:pPr>
        <w:spacing w:after="0" w:line="480" w:lineRule="auto"/>
        <w:ind w:firstLine="426"/>
        <w:jc w:val="center"/>
        <w:textAlignment w:val="baseline"/>
        <w:rPr>
          <w:rFonts w:ascii="Times New Roman" w:eastAsia="Times New Roman" w:hAnsi="Times New Roman" w:cs="Times New Roman"/>
          <w:lang w:val="en-US" w:eastAsia="en-GB"/>
        </w:rPr>
      </w:pPr>
      <w:r w:rsidRPr="00622F6C">
        <w:rPr>
          <w:rFonts w:ascii="Times New Roman" w:eastAsia="Times New Roman" w:hAnsi="Times New Roman" w:cs="Times New Roman"/>
          <w:lang w:val="en-US" w:eastAsia="en-GB"/>
        </w:rPr>
        <w:t xml:space="preserve">&lt;&lt;Please insert Table 2 </w:t>
      </w:r>
      <w:r w:rsidR="00020E83" w:rsidRPr="00622F6C">
        <w:rPr>
          <w:rFonts w:ascii="Times New Roman" w:eastAsia="Times New Roman" w:hAnsi="Times New Roman" w:cs="Times New Roman"/>
          <w:lang w:val="en-US" w:eastAsia="en-GB"/>
        </w:rPr>
        <w:t xml:space="preserve">about </w:t>
      </w:r>
      <w:r w:rsidRPr="00622F6C">
        <w:rPr>
          <w:rFonts w:ascii="Times New Roman" w:eastAsia="Times New Roman" w:hAnsi="Times New Roman" w:cs="Times New Roman"/>
          <w:lang w:val="en-US" w:eastAsia="en-GB"/>
        </w:rPr>
        <w:t>here&gt;&gt;</w:t>
      </w:r>
    </w:p>
    <w:p w14:paraId="0A53893A" w14:textId="77777777" w:rsidR="008E01AC" w:rsidRDefault="008E01AC" w:rsidP="00C122C0">
      <w:pPr>
        <w:spacing w:after="0" w:line="480" w:lineRule="auto"/>
        <w:ind w:firstLine="426"/>
        <w:jc w:val="center"/>
        <w:textAlignment w:val="baseline"/>
        <w:rPr>
          <w:rFonts w:ascii="Times New Roman" w:eastAsia="Times New Roman" w:hAnsi="Times New Roman" w:cs="Times New Roman"/>
          <w:lang w:val="en-US" w:eastAsia="en-GB"/>
        </w:rPr>
      </w:pPr>
    </w:p>
    <w:p w14:paraId="41C42A12" w14:textId="77777777" w:rsidR="006E6FAF" w:rsidRPr="00622F6C" w:rsidRDefault="00D961A5" w:rsidP="006E6FAF">
      <w:pPr>
        <w:numPr>
          <w:ilvl w:val="1"/>
          <w:numId w:val="21"/>
        </w:numPr>
        <w:spacing w:line="480" w:lineRule="auto"/>
        <w:ind w:left="567" w:hanging="567"/>
        <w:contextualSpacing/>
        <w:jc w:val="both"/>
        <w:rPr>
          <w:rFonts w:ascii="Times New Roman" w:hAnsi="Times New Roman" w:cs="Times New Roman"/>
          <w:i/>
          <w:lang w:val="en-US"/>
        </w:rPr>
      </w:pPr>
      <w:r w:rsidRPr="00622F6C">
        <w:rPr>
          <w:rFonts w:ascii="Times New Roman" w:hAnsi="Times New Roman" w:cs="Times New Roman"/>
          <w:i/>
          <w:lang w:val="en-US"/>
        </w:rPr>
        <w:t>Methodology</w:t>
      </w:r>
    </w:p>
    <w:p w14:paraId="1D8ED0A1" w14:textId="57B27816" w:rsidR="006E6FAF" w:rsidRPr="00622F6C" w:rsidRDefault="000365BA" w:rsidP="006E6FAF">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 xml:space="preserve">For the univariate analysis of stock price reactions, we use </w:t>
      </w:r>
      <w:r w:rsidR="003C1305">
        <w:rPr>
          <w:rFonts w:ascii="Times New Roman" w:hAnsi="Times New Roman" w:cs="Times New Roman"/>
          <w:lang w:val="en-US"/>
        </w:rPr>
        <w:t>an approach based on</w:t>
      </w:r>
      <w:r w:rsidR="004841B1">
        <w:rPr>
          <w:rFonts w:ascii="Times New Roman" w:hAnsi="Times New Roman" w:cs="Times New Roman"/>
          <w:lang w:val="en-US"/>
        </w:rPr>
        <w:t xml:space="preserve"> </w:t>
      </w:r>
      <w:r w:rsidR="006E6FAF" w:rsidRPr="00622F6C">
        <w:rPr>
          <w:rFonts w:ascii="Times New Roman" w:hAnsi="Times New Roman" w:cs="Times New Roman"/>
          <w:lang w:val="en-US"/>
        </w:rPr>
        <w:t>Schipper and Thompson</w:t>
      </w:r>
      <w:r w:rsidR="00E20AED" w:rsidRPr="00622F6C">
        <w:rPr>
          <w:rFonts w:ascii="Times New Roman" w:hAnsi="Times New Roman" w:cs="Times New Roman"/>
          <w:lang w:val="en-US"/>
        </w:rPr>
        <w:t>’s</w:t>
      </w:r>
      <w:r w:rsidR="006E6FAF" w:rsidRPr="00622F6C">
        <w:rPr>
          <w:rFonts w:ascii="Times New Roman" w:hAnsi="Times New Roman" w:cs="Times New Roman"/>
          <w:lang w:val="en-US"/>
        </w:rPr>
        <w:t xml:space="preserve"> (1983) </w:t>
      </w:r>
      <w:r w:rsidR="003C1305">
        <w:rPr>
          <w:rFonts w:ascii="Times New Roman" w:hAnsi="Times New Roman" w:cs="Times New Roman"/>
          <w:lang w:val="en-US"/>
        </w:rPr>
        <w:t xml:space="preserve">event study </w:t>
      </w:r>
      <w:r w:rsidR="006E6FAF" w:rsidRPr="00622F6C">
        <w:rPr>
          <w:rFonts w:ascii="Times New Roman" w:hAnsi="Times New Roman" w:cs="Times New Roman"/>
          <w:lang w:val="en-US"/>
        </w:rPr>
        <w:t>methodology</w:t>
      </w:r>
      <w:r w:rsidR="00245CAE">
        <w:rPr>
          <w:rFonts w:ascii="Times New Roman" w:hAnsi="Times New Roman" w:cs="Times New Roman"/>
          <w:lang w:val="en-US"/>
        </w:rPr>
        <w:t xml:space="preserve">, consistent with </w:t>
      </w:r>
      <w:r w:rsidR="00620392">
        <w:rPr>
          <w:rFonts w:ascii="Times New Roman" w:hAnsi="Times New Roman" w:cs="Times New Roman"/>
          <w:lang w:val="en-US"/>
        </w:rPr>
        <w:t xml:space="preserve">several </w:t>
      </w:r>
      <w:r w:rsidR="00245CAE">
        <w:rPr>
          <w:rFonts w:ascii="Times New Roman" w:hAnsi="Times New Roman" w:cs="Times New Roman"/>
          <w:lang w:val="en-US"/>
        </w:rPr>
        <w:t xml:space="preserve">other event </w:t>
      </w:r>
      <w:r>
        <w:rPr>
          <w:rFonts w:ascii="Times New Roman" w:hAnsi="Times New Roman" w:cs="Times New Roman"/>
          <w:lang w:val="en-US"/>
        </w:rPr>
        <w:t xml:space="preserve">studies </w:t>
      </w:r>
      <w:r w:rsidR="00662551">
        <w:rPr>
          <w:rFonts w:ascii="Times New Roman" w:hAnsi="Times New Roman" w:cs="Times New Roman"/>
          <w:lang w:val="en-US"/>
        </w:rPr>
        <w:t xml:space="preserve">examining </w:t>
      </w:r>
      <w:r w:rsidR="00BE0451">
        <w:rPr>
          <w:rFonts w:ascii="Times New Roman" w:hAnsi="Times New Roman" w:cs="Times New Roman"/>
          <w:lang w:val="en-US"/>
        </w:rPr>
        <w:t>clustered events</w:t>
      </w:r>
      <w:r>
        <w:rPr>
          <w:rFonts w:ascii="Times New Roman" w:hAnsi="Times New Roman" w:cs="Times New Roman"/>
          <w:lang w:val="en-US"/>
        </w:rPr>
        <w:t xml:space="preserve"> </w:t>
      </w:r>
      <w:r w:rsidR="00EB32AF">
        <w:rPr>
          <w:rFonts w:ascii="Times New Roman" w:hAnsi="Times New Roman" w:cs="Times New Roman"/>
          <w:lang w:val="en-US"/>
        </w:rPr>
        <w:t>(Li et al., 2008</w:t>
      </w:r>
      <w:r w:rsidR="00C16411">
        <w:rPr>
          <w:rFonts w:ascii="Times New Roman" w:hAnsi="Times New Roman" w:cs="Times New Roman"/>
          <w:lang w:val="en-US"/>
        </w:rPr>
        <w:t>;</w:t>
      </w:r>
      <w:r w:rsidR="008E0F19">
        <w:rPr>
          <w:rFonts w:ascii="Times New Roman" w:hAnsi="Times New Roman" w:cs="Times New Roman"/>
          <w:lang w:val="en-US"/>
        </w:rPr>
        <w:t xml:space="preserve"> Knittel and Stango, 2013</w:t>
      </w:r>
      <w:r>
        <w:rPr>
          <w:rFonts w:ascii="Times New Roman" w:hAnsi="Times New Roman" w:cs="Times New Roman"/>
          <w:lang w:val="en-US"/>
        </w:rPr>
        <w:t>;</w:t>
      </w:r>
      <w:r w:rsidR="00C16411">
        <w:rPr>
          <w:rFonts w:ascii="Times New Roman" w:hAnsi="Times New Roman" w:cs="Times New Roman"/>
          <w:lang w:val="en-US"/>
        </w:rPr>
        <w:t xml:space="preserve"> Lewis and Verwijmeren, 2014)</w:t>
      </w:r>
      <w:r w:rsidR="006E6FAF" w:rsidRPr="00622F6C">
        <w:rPr>
          <w:rFonts w:ascii="Times New Roman" w:hAnsi="Times New Roman" w:cs="Times New Roman"/>
          <w:lang w:val="en-US"/>
        </w:rPr>
        <w:t xml:space="preserve">. </w:t>
      </w:r>
      <w:r w:rsidR="008E0F19">
        <w:rPr>
          <w:rFonts w:ascii="Times New Roman" w:hAnsi="Times New Roman" w:cs="Times New Roman"/>
          <w:lang w:val="en-US"/>
        </w:rPr>
        <w:t>Also f</w:t>
      </w:r>
      <w:r w:rsidR="003C11A2" w:rsidRPr="00622F6C">
        <w:rPr>
          <w:rFonts w:ascii="Times New Roman" w:hAnsi="Times New Roman" w:cs="Times New Roman"/>
          <w:lang w:val="en-US"/>
        </w:rPr>
        <w:t xml:space="preserve">ollowing previous policy event studies (Zhang, 2007; </w:t>
      </w:r>
      <w:r w:rsidR="00C16411">
        <w:rPr>
          <w:rFonts w:ascii="Times New Roman" w:hAnsi="Times New Roman" w:cs="Times New Roman"/>
          <w:lang w:val="en-US"/>
        </w:rPr>
        <w:t xml:space="preserve">Li et al., </w:t>
      </w:r>
      <w:r w:rsidR="002E32FE">
        <w:rPr>
          <w:rFonts w:ascii="Times New Roman" w:hAnsi="Times New Roman" w:cs="Times New Roman"/>
          <w:lang w:val="en-US"/>
        </w:rPr>
        <w:t>2008</w:t>
      </w:r>
      <w:r w:rsidR="00BE0451">
        <w:rPr>
          <w:rFonts w:ascii="Times New Roman" w:hAnsi="Times New Roman" w:cs="Times New Roman"/>
          <w:lang w:val="en-US"/>
        </w:rPr>
        <w:t xml:space="preserve">; </w:t>
      </w:r>
      <w:r w:rsidR="003C11A2" w:rsidRPr="00622F6C">
        <w:rPr>
          <w:rFonts w:ascii="Times New Roman" w:hAnsi="Times New Roman" w:cs="Times New Roman"/>
          <w:lang w:val="en-US"/>
        </w:rPr>
        <w:t>Armstrong et al., 2010; Lewis and Verwijmeren, 2014</w:t>
      </w:r>
      <w:r w:rsidR="00C44E3C" w:rsidRPr="00622F6C">
        <w:rPr>
          <w:rFonts w:ascii="Times New Roman" w:hAnsi="Times New Roman" w:cs="Times New Roman"/>
          <w:lang w:val="en-US"/>
        </w:rPr>
        <w:t>; Grewal et al., 2018</w:t>
      </w:r>
      <w:r w:rsidR="003C11A2" w:rsidRPr="00622F6C">
        <w:rPr>
          <w:rFonts w:ascii="Times New Roman" w:hAnsi="Times New Roman" w:cs="Times New Roman"/>
          <w:lang w:val="en-US"/>
        </w:rPr>
        <w:t xml:space="preserve">), our analysis focuses on </w:t>
      </w:r>
      <w:r w:rsidR="0014091E" w:rsidRPr="00622F6C">
        <w:rPr>
          <w:rFonts w:ascii="Times New Roman" w:hAnsi="Times New Roman" w:cs="Times New Roman"/>
          <w:lang w:val="en-US"/>
        </w:rPr>
        <w:t xml:space="preserve">the </w:t>
      </w:r>
      <w:r w:rsidR="008C666B" w:rsidRPr="00622F6C">
        <w:rPr>
          <w:rFonts w:ascii="Times New Roman" w:hAnsi="Times New Roman" w:cs="Times New Roman"/>
          <w:lang w:val="en-US"/>
        </w:rPr>
        <w:t xml:space="preserve">stock </w:t>
      </w:r>
      <w:r w:rsidR="00BB227D" w:rsidRPr="00622F6C">
        <w:rPr>
          <w:rFonts w:ascii="Times New Roman" w:hAnsi="Times New Roman" w:cs="Times New Roman"/>
          <w:lang w:val="en-US"/>
        </w:rPr>
        <w:t>price</w:t>
      </w:r>
      <w:r w:rsidR="008C666B" w:rsidRPr="00622F6C">
        <w:rPr>
          <w:rFonts w:ascii="Times New Roman" w:hAnsi="Times New Roman" w:cs="Times New Roman"/>
          <w:lang w:val="en-US"/>
        </w:rPr>
        <w:t xml:space="preserve"> reaction</w:t>
      </w:r>
      <w:r w:rsidR="003C11A2" w:rsidRPr="00622F6C">
        <w:rPr>
          <w:rFonts w:ascii="Times New Roman" w:hAnsi="Times New Roman" w:cs="Times New Roman"/>
          <w:lang w:val="en-US"/>
        </w:rPr>
        <w:t xml:space="preserve"> across the eight identified events associated with the adoption of the </w:t>
      </w:r>
      <w:r w:rsidR="00662551">
        <w:rPr>
          <w:rFonts w:ascii="Times New Roman" w:hAnsi="Times New Roman" w:cs="Times New Roman"/>
          <w:lang w:val="en-US"/>
        </w:rPr>
        <w:t>MSA</w:t>
      </w:r>
      <w:r w:rsidR="004841B1">
        <w:rPr>
          <w:rFonts w:ascii="Times New Roman" w:hAnsi="Times New Roman" w:cs="Times New Roman"/>
          <w:lang w:val="en-US"/>
        </w:rPr>
        <w:t xml:space="preserve"> combined</w:t>
      </w:r>
      <w:r w:rsidR="003C11A2" w:rsidRPr="00622F6C">
        <w:rPr>
          <w:rFonts w:ascii="Times New Roman" w:hAnsi="Times New Roman" w:cs="Times New Roman"/>
          <w:lang w:val="en-US"/>
        </w:rPr>
        <w:t>. Aggregation across events reduces noise that may result from any particular event</w:t>
      </w:r>
      <w:r w:rsidR="0033146B" w:rsidRPr="00622F6C">
        <w:rPr>
          <w:rFonts w:ascii="Times New Roman" w:hAnsi="Times New Roman" w:cs="Times New Roman"/>
          <w:lang w:val="en-US"/>
        </w:rPr>
        <w:t xml:space="preserve">. </w:t>
      </w:r>
      <w:r w:rsidR="003C11A2" w:rsidRPr="00622F6C">
        <w:rPr>
          <w:rFonts w:ascii="Times New Roman" w:hAnsi="Times New Roman" w:cs="Times New Roman"/>
          <w:lang w:val="en-US"/>
        </w:rPr>
        <w:t xml:space="preserve">We estimate </w:t>
      </w:r>
      <w:r w:rsidR="00B0758C" w:rsidRPr="00622F6C">
        <w:rPr>
          <w:rFonts w:ascii="Times New Roman" w:hAnsi="Times New Roman" w:cs="Times New Roman"/>
          <w:lang w:val="en-US"/>
        </w:rPr>
        <w:t>the following</w:t>
      </w:r>
      <w:r w:rsidR="006E6FAF" w:rsidRPr="00622F6C">
        <w:rPr>
          <w:rFonts w:ascii="Times New Roman" w:hAnsi="Times New Roman" w:cs="Times New Roman"/>
          <w:lang w:val="en-US"/>
        </w:rPr>
        <w:t xml:space="preserve"> regression analysis over the</w:t>
      </w:r>
      <w:r w:rsidR="00596F43" w:rsidRPr="00622F6C">
        <w:rPr>
          <w:rFonts w:ascii="Times New Roman" w:hAnsi="Times New Roman" w:cs="Times New Roman"/>
          <w:lang w:val="en-US"/>
        </w:rPr>
        <w:t xml:space="preserve"> period </w:t>
      </w:r>
      <w:r w:rsidR="002D321B">
        <w:rPr>
          <w:rFonts w:ascii="Times New Roman" w:hAnsi="Times New Roman" w:cs="Times New Roman"/>
          <w:lang w:val="en-US"/>
        </w:rPr>
        <w:t>July 1</w:t>
      </w:r>
      <w:r w:rsidR="00C44E3C" w:rsidRPr="00622F6C">
        <w:rPr>
          <w:rFonts w:ascii="Times New Roman" w:hAnsi="Times New Roman" w:cs="Times New Roman"/>
          <w:lang w:val="en-US"/>
        </w:rPr>
        <w:t>, 2012 to March 31</w:t>
      </w:r>
      <w:r w:rsidR="006E6FAF" w:rsidRPr="00622F6C">
        <w:rPr>
          <w:rFonts w:ascii="Times New Roman" w:hAnsi="Times New Roman" w:cs="Times New Roman"/>
          <w:lang w:val="en-US"/>
        </w:rPr>
        <w:t>, 2015:</w:t>
      </w:r>
      <w:r w:rsidR="006E6FAF" w:rsidRPr="00622F6C">
        <w:rPr>
          <w:rFonts w:ascii="Times New Roman" w:hAnsi="Times New Roman" w:cs="Times New Roman"/>
          <w:vertAlign w:val="superscript"/>
          <w:lang w:val="en-US"/>
        </w:rPr>
        <w:footnoteReference w:id="10"/>
      </w:r>
    </w:p>
    <w:p w14:paraId="0AE66D09" w14:textId="77777777" w:rsidR="006E6FAF" w:rsidRPr="00622F6C" w:rsidRDefault="00F9130B" w:rsidP="006E6FAF">
      <w:pPr>
        <w:spacing w:after="0" w:line="480" w:lineRule="auto"/>
        <w:ind w:firstLine="426"/>
        <w:jc w:val="center"/>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p</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p</m:t>
            </m:r>
          </m:sub>
        </m:sSub>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mt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m:t>
            </m:r>
          </m:sub>
        </m:sSub>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pt</m:t>
            </m:r>
          </m:sub>
        </m:sSub>
        <m:r>
          <w:rPr>
            <w:rFonts w:ascii="Cambria Math" w:hAnsi="Cambria Math" w:cs="Times New Roman"/>
            <w:lang w:val="en-US"/>
          </w:rPr>
          <m:t xml:space="preserve"> </m:t>
        </m:r>
      </m:oMath>
      <w:r w:rsidR="006E6FAF" w:rsidRPr="00622F6C">
        <w:rPr>
          <w:rFonts w:ascii="Times New Roman" w:eastAsiaTheme="minorEastAsia" w:hAnsi="Times New Roman" w:cs="Times New Roman"/>
          <w:lang w:val="en-US"/>
        </w:rPr>
        <w:tab/>
      </w:r>
      <w:r w:rsidR="006E6FAF" w:rsidRPr="00622F6C">
        <w:rPr>
          <w:rFonts w:ascii="Times New Roman" w:eastAsiaTheme="minorEastAsia" w:hAnsi="Times New Roman" w:cs="Times New Roman"/>
          <w:lang w:val="en-US"/>
        </w:rPr>
        <w:tab/>
      </w:r>
      <w:r w:rsidR="006E6FAF" w:rsidRPr="00622F6C">
        <w:rPr>
          <w:rFonts w:ascii="Times New Roman" w:eastAsiaTheme="minorEastAsia" w:hAnsi="Times New Roman" w:cs="Times New Roman"/>
          <w:lang w:val="en-US"/>
        </w:rPr>
        <w:tab/>
      </w:r>
      <w:r w:rsidR="006E6FAF" w:rsidRPr="00622F6C">
        <w:rPr>
          <w:rFonts w:ascii="Times New Roman" w:eastAsiaTheme="minorEastAsia" w:hAnsi="Times New Roman" w:cs="Times New Roman"/>
          <w:lang w:val="en-US"/>
        </w:rPr>
        <w:tab/>
      </w:r>
      <w:r w:rsidR="006E6FAF" w:rsidRPr="00622F6C">
        <w:rPr>
          <w:rFonts w:ascii="Times New Roman" w:eastAsiaTheme="minorEastAsia" w:hAnsi="Times New Roman" w:cs="Times New Roman"/>
          <w:lang w:val="en-US"/>
        </w:rPr>
        <w:tab/>
      </w:r>
      <w:r w:rsidR="006E6FAF" w:rsidRPr="00622F6C">
        <w:rPr>
          <w:rFonts w:ascii="Times New Roman" w:eastAsiaTheme="minorEastAsia" w:hAnsi="Times New Roman" w:cs="Times New Roman"/>
          <w:lang w:val="en-US"/>
        </w:rPr>
        <w:tab/>
        <w:t>(1)</w:t>
      </w:r>
    </w:p>
    <w:p w14:paraId="44F19CC1" w14:textId="77777777" w:rsidR="00D961A5" w:rsidRDefault="00F9130B" w:rsidP="00073CEA">
      <w:pPr>
        <w:spacing w:line="480" w:lineRule="auto"/>
        <w:jc w:val="both"/>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pt</m:t>
            </m:r>
          </m:sub>
        </m:sSub>
        <m:r>
          <w:rPr>
            <w:rFonts w:ascii="Cambria Math" w:hAnsi="Cambria Math" w:cs="Times New Roman"/>
            <w:lang w:val="en-US"/>
          </w:rPr>
          <m:t xml:space="preserve">  </m:t>
        </m:r>
      </m:oMath>
      <w:r w:rsidR="006E6FAF" w:rsidRPr="00622F6C">
        <w:rPr>
          <w:rFonts w:ascii="Times New Roman" w:eastAsiaTheme="minorEastAsia" w:hAnsi="Times New Roman" w:cs="Times New Roman"/>
          <w:lang w:val="en-US"/>
        </w:rPr>
        <w:t xml:space="preserve">is the value-weighted return on the portfolio of sample firms, with market values as of </w:t>
      </w:r>
      <w:r w:rsidR="0033146B" w:rsidRPr="00622F6C">
        <w:rPr>
          <w:rFonts w:ascii="Times New Roman" w:eastAsiaTheme="minorEastAsia" w:hAnsi="Times New Roman" w:cs="Times New Roman"/>
          <w:lang w:val="en-US"/>
        </w:rPr>
        <w:t>March 4, 2013</w:t>
      </w:r>
      <w:r w:rsidR="006E6FAF" w:rsidRPr="00622F6C">
        <w:rPr>
          <w:rFonts w:ascii="Times New Roman" w:eastAsiaTheme="minorEastAsia" w:hAnsi="Times New Roman" w:cs="Times New Roman"/>
          <w:lang w:val="en-US"/>
        </w:rPr>
        <w:t xml:space="preserve"> (obtained from Datastream) as weights.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mt</m:t>
            </m:r>
          </m:sub>
        </m:sSub>
      </m:oMath>
      <w:r w:rsidR="006E6FAF" w:rsidRPr="00622F6C">
        <w:rPr>
          <w:rFonts w:ascii="Times New Roman" w:eastAsiaTheme="minorEastAsia" w:hAnsi="Times New Roman" w:cs="Times New Roman"/>
          <w:lang w:val="en-US"/>
        </w:rPr>
        <w:t xml:space="preserve"> is the return on the market index.</w:t>
      </w:r>
      <w:r w:rsidR="003C11A2" w:rsidRPr="00622F6C">
        <w:rPr>
          <w:rFonts w:ascii="Times New Roman" w:eastAsiaTheme="minorEastAsia" w:hAnsi="Times New Roman" w:cs="Times New Roman"/>
          <w:lang w:val="en-US"/>
        </w:rPr>
        <w:t xml:space="preserve"> </w:t>
      </w:r>
      <w:r w:rsidR="003C11A2" w:rsidRPr="00622F6C">
        <w:rPr>
          <w:rFonts w:ascii="Times New Roman" w:hAnsi="Times New Roman" w:cs="Times New Roman"/>
          <w:lang w:val="en-US"/>
        </w:rPr>
        <w:t>In our baseline analysis, we</w:t>
      </w:r>
      <w:r w:rsidR="00161E49" w:rsidRPr="00622F6C">
        <w:rPr>
          <w:rFonts w:ascii="Times New Roman" w:hAnsi="Times New Roman" w:cs="Times New Roman"/>
          <w:lang w:val="en-US"/>
        </w:rPr>
        <w:t xml:space="preserve"> </w:t>
      </w:r>
      <w:r w:rsidR="003C11A2" w:rsidRPr="00622F6C">
        <w:rPr>
          <w:rFonts w:ascii="Times New Roman" w:hAnsi="Times New Roman" w:cs="Times New Roman"/>
          <w:lang w:val="en-US"/>
        </w:rPr>
        <w:t xml:space="preserve">use a </w:t>
      </w:r>
      <w:r w:rsidR="00471B1A" w:rsidRPr="00622F6C">
        <w:rPr>
          <w:rFonts w:ascii="Times New Roman" w:hAnsi="Times New Roman" w:cs="Times New Roman"/>
          <w:lang w:val="en-US"/>
        </w:rPr>
        <w:t xml:space="preserve">value-weighted </w:t>
      </w:r>
      <w:r w:rsidR="003C11A2" w:rsidRPr="00622F6C">
        <w:rPr>
          <w:rFonts w:ascii="Times New Roman" w:hAnsi="Times New Roman" w:cs="Times New Roman"/>
          <w:lang w:val="en-US"/>
        </w:rPr>
        <w:t xml:space="preserve">market index </w:t>
      </w:r>
      <w:r w:rsidR="00CC4D92">
        <w:rPr>
          <w:rFonts w:ascii="Times New Roman" w:hAnsi="Times New Roman" w:cs="Times New Roman"/>
          <w:lang w:val="en-US"/>
        </w:rPr>
        <w:t>obtained from Datastream</w:t>
      </w:r>
      <w:r w:rsidR="002A7D7E">
        <w:rPr>
          <w:rFonts w:ascii="Times New Roman" w:hAnsi="Times New Roman" w:cs="Times New Roman"/>
          <w:lang w:val="en-US"/>
        </w:rPr>
        <w:t>,</w:t>
      </w:r>
      <w:r w:rsidR="00CC4D92">
        <w:rPr>
          <w:rFonts w:ascii="Times New Roman" w:hAnsi="Times New Roman" w:cs="Times New Roman"/>
          <w:lang w:val="en-US"/>
        </w:rPr>
        <w:t xml:space="preserve"> </w:t>
      </w:r>
      <w:r w:rsidR="003C11A2" w:rsidRPr="00622F6C">
        <w:rPr>
          <w:rFonts w:ascii="Times New Roman" w:hAnsi="Times New Roman" w:cs="Times New Roman"/>
          <w:lang w:val="en-US"/>
        </w:rPr>
        <w:t>capturing European countries but excluding the UK</w:t>
      </w:r>
      <w:r w:rsidR="00FA66C3">
        <w:rPr>
          <w:rFonts w:ascii="Times New Roman" w:hAnsi="Times New Roman" w:cs="Times New Roman"/>
          <w:lang w:val="en-US"/>
        </w:rPr>
        <w:t xml:space="preserve"> (Datastream code TOTKMEX)</w:t>
      </w:r>
      <w:r w:rsidR="00B93222">
        <w:rPr>
          <w:rFonts w:ascii="Times New Roman" w:hAnsi="Times New Roman" w:cs="Times New Roman"/>
          <w:lang w:val="en-US"/>
        </w:rPr>
        <w:t xml:space="preserve">. </w:t>
      </w:r>
      <w:r w:rsidR="00CC4D92">
        <w:rPr>
          <w:rFonts w:ascii="Times New Roman" w:hAnsi="Times New Roman" w:cs="Times New Roman"/>
          <w:lang w:val="en-US"/>
        </w:rPr>
        <w:t>We express the market index</w:t>
      </w:r>
      <w:r w:rsidR="003C11A2" w:rsidRPr="00622F6C">
        <w:rPr>
          <w:rFonts w:ascii="Times New Roman" w:eastAsiaTheme="minorEastAsia" w:hAnsi="Times New Roman" w:cs="Times New Roman"/>
          <w:lang w:val="en-US"/>
        </w:rPr>
        <w:t xml:space="preserve"> in </w:t>
      </w:r>
      <w:r w:rsidR="00C44E3C" w:rsidRPr="00622F6C">
        <w:rPr>
          <w:rFonts w:ascii="Times New Roman" w:eastAsiaTheme="minorEastAsia" w:hAnsi="Times New Roman" w:cs="Times New Roman"/>
          <w:lang w:val="en-US"/>
        </w:rPr>
        <w:t xml:space="preserve">UK </w:t>
      </w:r>
      <w:r w:rsidR="003C11A2" w:rsidRPr="00622F6C">
        <w:rPr>
          <w:rFonts w:ascii="Times New Roman" w:eastAsiaTheme="minorEastAsia" w:hAnsi="Times New Roman" w:cs="Times New Roman"/>
          <w:lang w:val="en-US"/>
        </w:rPr>
        <w:t>pounds to mitigate the impact of currency fluctuations on our results. The Pears</w:t>
      </w:r>
      <w:r w:rsidR="00FD7244" w:rsidRPr="00622F6C">
        <w:rPr>
          <w:rFonts w:ascii="Times New Roman" w:eastAsiaTheme="minorEastAsia" w:hAnsi="Times New Roman" w:cs="Times New Roman"/>
          <w:lang w:val="en-US"/>
        </w:rPr>
        <w:t>on</w:t>
      </w:r>
      <w:r w:rsidR="003C11A2" w:rsidRPr="00622F6C">
        <w:rPr>
          <w:rFonts w:ascii="Times New Roman" w:eastAsiaTheme="minorEastAsia" w:hAnsi="Times New Roman" w:cs="Times New Roman"/>
          <w:lang w:val="en-US"/>
        </w:rPr>
        <w:t xml:space="preserve"> correlation between the returns on this market index and the value-weighted return on our sample firms over the </w:t>
      </w:r>
      <w:r w:rsidR="00822A38" w:rsidRPr="00622F6C">
        <w:rPr>
          <w:rFonts w:ascii="Times New Roman" w:eastAsiaTheme="minorEastAsia" w:hAnsi="Times New Roman" w:cs="Times New Roman"/>
          <w:lang w:val="en-US"/>
        </w:rPr>
        <w:t>estimation period</w:t>
      </w:r>
      <w:r w:rsidR="003C11A2" w:rsidRPr="00622F6C">
        <w:rPr>
          <w:rFonts w:ascii="Times New Roman" w:eastAsiaTheme="minorEastAsia" w:hAnsi="Times New Roman" w:cs="Times New Roman"/>
          <w:lang w:val="en-US"/>
        </w:rPr>
        <w:t>, excluding the</w:t>
      </w:r>
      <w:r w:rsidR="00596F43" w:rsidRPr="00622F6C">
        <w:rPr>
          <w:rFonts w:ascii="Times New Roman" w:eastAsiaTheme="minorEastAsia" w:hAnsi="Times New Roman" w:cs="Times New Roman"/>
          <w:lang w:val="en-US"/>
        </w:rPr>
        <w:t xml:space="preserve"> event dates, is very high (0.83</w:t>
      </w:r>
      <w:r w:rsidR="003C11A2" w:rsidRPr="00622F6C">
        <w:rPr>
          <w:rFonts w:ascii="Times New Roman" w:eastAsiaTheme="minorEastAsia" w:hAnsi="Times New Roman" w:cs="Times New Roman"/>
          <w:lang w:val="en-US"/>
        </w:rPr>
        <w:t>), suggesting that this index provides a good counterfactua</w:t>
      </w:r>
      <w:r w:rsidR="00F536C4" w:rsidRPr="00622F6C">
        <w:rPr>
          <w:rFonts w:ascii="Times New Roman" w:eastAsiaTheme="minorEastAsia" w:hAnsi="Times New Roman" w:cs="Times New Roman"/>
          <w:lang w:val="en-US"/>
        </w:rPr>
        <w:t>l for our event study an</w:t>
      </w:r>
      <w:r w:rsidR="00F536C4" w:rsidRPr="00073CEA">
        <w:rPr>
          <w:rFonts w:ascii="Times New Roman" w:eastAsiaTheme="minorEastAsia" w:hAnsi="Times New Roman" w:cs="Times New Roman"/>
          <w:lang w:val="en-US"/>
        </w:rPr>
        <w:t>alysis.</w:t>
      </w:r>
      <w:r w:rsidR="006E6FAF" w:rsidRPr="00073CEA">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r>
          <w:rPr>
            <w:rFonts w:ascii="Cambria Math" w:hAnsi="Cambria Math" w:cs="Times New Roman"/>
            <w:lang w:val="en-US"/>
          </w:rPr>
          <m:t xml:space="preserve">  </m:t>
        </m:r>
      </m:oMath>
      <w:r w:rsidR="006E6FAF" w:rsidRPr="00073CEA">
        <w:rPr>
          <w:rFonts w:ascii="Times New Roman" w:eastAsiaTheme="minorEastAsia" w:hAnsi="Times New Roman" w:cs="Times New Roman"/>
          <w:lang w:val="en-US"/>
        </w:rPr>
        <w:t xml:space="preserve">is a dummy variable capturing the </w:t>
      </w:r>
      <w:r w:rsidR="00C44E3C" w:rsidRPr="00073CEA">
        <w:rPr>
          <w:rFonts w:ascii="Times New Roman" w:eastAsiaTheme="minorEastAsia" w:hAnsi="Times New Roman" w:cs="Times New Roman"/>
          <w:lang w:val="en-US"/>
        </w:rPr>
        <w:t>eight MSA</w:t>
      </w:r>
      <w:r w:rsidR="008B5412" w:rsidRPr="00073CEA">
        <w:rPr>
          <w:rFonts w:ascii="Times New Roman" w:eastAsiaTheme="minorEastAsia" w:hAnsi="Times New Roman" w:cs="Times New Roman"/>
          <w:lang w:val="en-US"/>
        </w:rPr>
        <w:t xml:space="preserve"> adoption</w:t>
      </w:r>
      <w:r w:rsidR="006E6FAF" w:rsidRPr="00073CEA">
        <w:rPr>
          <w:rFonts w:ascii="Times New Roman" w:eastAsiaTheme="minorEastAsia" w:hAnsi="Times New Roman" w:cs="Times New Roman"/>
          <w:lang w:val="en-US"/>
        </w:rPr>
        <w:t xml:space="preserve"> announcements. </w:t>
      </w:r>
      <w:r w:rsidR="00073CEA">
        <w:rPr>
          <w:rFonts w:ascii="Times New Roman" w:eastAsiaTheme="minorEastAsia" w:hAnsi="Times New Roman" w:cs="Times New Roman"/>
          <w:lang w:val="en-US"/>
        </w:rPr>
        <w:t>W</w:t>
      </w:r>
      <w:r w:rsidR="00073CEA" w:rsidRPr="00073CEA">
        <w:rPr>
          <w:rFonts w:ascii="Times New Roman" w:hAnsi="Times New Roman" w:cs="Times New Roman"/>
          <w:lang w:val="en-US"/>
        </w:rPr>
        <w:t>e set</w:t>
      </w:r>
      <m:oMath>
        <m:r>
          <w:rPr>
            <w:rFonts w:ascii="Cambria Math" w:hAnsi="Cambria Math" w:cs="Times New Roman"/>
            <w:lang w:val="en-US"/>
          </w:rPr>
          <m:t xml:space="preserve"> </m:t>
        </m:r>
        <m:sSub>
          <m:sSubPr>
            <m:ctrlPr>
              <w:rPr>
                <w:rFonts w:ascii="Cambria Math" w:hAnsi="Cambria Math" w:cs="Times New Roman"/>
                <w:i/>
                <w:iCs/>
                <w:lang w:val="en-US"/>
              </w:rPr>
            </m:ctrlPr>
          </m:sSubPr>
          <m:e>
            <m:r>
              <w:rPr>
                <w:rFonts w:ascii="Cambria Math" w:hAnsi="Cambria Math" w:cs="Times New Roman"/>
                <w:lang w:val="en-US"/>
              </w:rPr>
              <m:t>D</m:t>
            </m:r>
          </m:e>
          <m:sub>
            <m:r>
              <w:rPr>
                <w:rFonts w:ascii="Cambria Math" w:hAnsi="Cambria Math" w:cs="Times New Roman"/>
                <w:lang w:val="en-US"/>
              </w:rPr>
              <m:t>t</m:t>
            </m:r>
          </m:sub>
        </m:sSub>
      </m:oMath>
      <w:r w:rsidR="00073CEA" w:rsidRPr="00073CEA">
        <w:rPr>
          <w:rFonts w:ascii="Times New Roman" w:hAnsi="Times New Roman" w:cs="Times New Roman"/>
          <w:lang w:val="en-US"/>
        </w:rPr>
        <w:t xml:space="preserve"> equal to one on the announcement dates of the events that increase the likelihood of full adoption of the TISC clause. Event 5 is the only event that we predict </w:t>
      </w:r>
      <w:r w:rsidR="00904FCF">
        <w:rPr>
          <w:rFonts w:ascii="Times New Roman" w:hAnsi="Times New Roman" w:cs="Times New Roman"/>
          <w:lang w:val="en-US"/>
        </w:rPr>
        <w:t>would have</w:t>
      </w:r>
      <w:r w:rsidR="00904FCF" w:rsidRPr="00073CEA">
        <w:rPr>
          <w:rFonts w:ascii="Times New Roman" w:hAnsi="Times New Roman" w:cs="Times New Roman"/>
          <w:lang w:val="en-US"/>
        </w:rPr>
        <w:t xml:space="preserve"> </w:t>
      </w:r>
      <w:r w:rsidR="00073CEA" w:rsidRPr="00073CEA">
        <w:rPr>
          <w:rFonts w:ascii="Times New Roman" w:hAnsi="Times New Roman" w:cs="Times New Roman"/>
          <w:lang w:val="en-US"/>
        </w:rPr>
        <w:t>decrease</w:t>
      </w:r>
      <w:r w:rsidR="00904FCF">
        <w:rPr>
          <w:rFonts w:ascii="Times New Roman" w:hAnsi="Times New Roman" w:cs="Times New Roman"/>
          <w:lang w:val="en-US"/>
        </w:rPr>
        <w:t>d</w:t>
      </w:r>
      <w:r w:rsidR="00073CEA" w:rsidRPr="00073CEA">
        <w:rPr>
          <w:rFonts w:ascii="Times New Roman" w:hAnsi="Times New Roman" w:cs="Times New Roman"/>
          <w:lang w:val="en-US"/>
        </w:rPr>
        <w:t xml:space="preserve"> rather than increase</w:t>
      </w:r>
      <w:r w:rsidR="00904FCF">
        <w:rPr>
          <w:rFonts w:ascii="Times New Roman" w:hAnsi="Times New Roman" w:cs="Times New Roman"/>
          <w:lang w:val="en-US"/>
        </w:rPr>
        <w:t>d</w:t>
      </w:r>
      <w:r w:rsidR="00073CEA" w:rsidRPr="00073CEA">
        <w:rPr>
          <w:rFonts w:ascii="Times New Roman" w:hAnsi="Times New Roman" w:cs="Times New Roman"/>
          <w:lang w:val="en-US"/>
        </w:rPr>
        <w:t xml:space="preserve"> this likelihood. For event 5, we therefore give</w:t>
      </w:r>
      <m:oMath>
        <m:r>
          <w:rPr>
            <w:rFonts w:ascii="Cambria Math" w:hAnsi="Cambria Math" w:cs="Times New Roman"/>
            <w:lang w:val="en-US"/>
          </w:rPr>
          <m:t xml:space="preserve"> </m:t>
        </m:r>
        <m:sSub>
          <m:sSubPr>
            <m:ctrlPr>
              <w:rPr>
                <w:rFonts w:ascii="Cambria Math" w:hAnsi="Cambria Math" w:cs="Times New Roman"/>
                <w:i/>
                <w:iCs/>
                <w:lang w:val="en-US"/>
              </w:rPr>
            </m:ctrlPr>
          </m:sSubPr>
          <m:e>
            <m:r>
              <w:rPr>
                <w:rFonts w:ascii="Cambria Math" w:hAnsi="Cambria Math" w:cs="Times New Roman"/>
                <w:lang w:val="en-US"/>
              </w:rPr>
              <m:t>D</m:t>
            </m:r>
          </m:e>
          <m:sub>
            <m:r>
              <w:rPr>
                <w:rFonts w:ascii="Cambria Math" w:hAnsi="Cambria Math" w:cs="Times New Roman"/>
                <w:lang w:val="en-US"/>
              </w:rPr>
              <m:t>t</m:t>
            </m:r>
          </m:sub>
        </m:sSub>
        <m:r>
          <w:rPr>
            <w:rFonts w:ascii="Cambria Math" w:hAnsi="Cambria Math" w:cs="Times New Roman"/>
            <w:lang w:val="en-US"/>
          </w:rPr>
          <m:t xml:space="preserve"> </m:t>
        </m:r>
      </m:oMath>
      <w:r w:rsidR="00073CEA" w:rsidRPr="00073CEA">
        <w:rPr>
          <w:rFonts w:ascii="Times New Roman" w:hAnsi="Times New Roman" w:cs="Times New Roman"/>
          <w:lang w:val="en-US"/>
        </w:rPr>
        <w:t xml:space="preserve">a value of </w:t>
      </w:r>
      <w:r w:rsidR="00904FCF">
        <w:rPr>
          <w:rFonts w:ascii="Times New Roman" w:hAnsi="Times New Roman" w:cs="Times New Roman"/>
          <w:lang w:val="en-US"/>
        </w:rPr>
        <w:t>minus one</w:t>
      </w:r>
      <w:r w:rsidR="00073CEA" w:rsidRPr="00073CEA">
        <w:rPr>
          <w:rFonts w:ascii="Times New Roman" w:hAnsi="Times New Roman" w:cs="Times New Roman"/>
          <w:lang w:val="en-US"/>
        </w:rPr>
        <w:t>, in line with Schipper and Thompson (1983).</w:t>
      </w:r>
      <m:oMath>
        <m:sSub>
          <m:sSubPr>
            <m:ctrlPr>
              <w:rPr>
                <w:rFonts w:ascii="Cambria Math" w:hAnsi="Cambria Math" w:cs="Times New Roman"/>
                <w:i/>
                <w:iCs/>
                <w:lang w:val="en-US"/>
              </w:rPr>
            </m:ctrlPr>
          </m:sSubPr>
          <m:e>
            <m:r>
              <w:rPr>
                <w:rFonts w:ascii="Cambria Math" w:hAnsi="Cambria Math" w:cs="Times New Roman"/>
                <w:lang w:val="en-US"/>
              </w:rPr>
              <m:t xml:space="preserve"> D</m:t>
            </m:r>
          </m:e>
          <m:sub>
            <m:r>
              <w:rPr>
                <w:rFonts w:ascii="Cambria Math" w:hAnsi="Cambria Math" w:cs="Times New Roman"/>
                <w:lang w:val="en-US"/>
              </w:rPr>
              <m:t>t</m:t>
            </m:r>
          </m:sub>
        </m:sSub>
      </m:oMath>
      <w:r w:rsidR="00073CEA" w:rsidRPr="00073CEA">
        <w:rPr>
          <w:rFonts w:ascii="Times New Roman" w:hAnsi="Times New Roman" w:cs="Times New Roman"/>
          <w:lang w:val="en-US"/>
        </w:rPr>
        <w:t xml:space="preserve"> is equal to zero on all other estimation </w:t>
      </w:r>
      <w:r w:rsidR="00073CEA">
        <w:rPr>
          <w:rFonts w:ascii="Times New Roman" w:hAnsi="Times New Roman" w:cs="Times New Roman"/>
          <w:lang w:val="en-US"/>
        </w:rPr>
        <w:t>period days.</w:t>
      </w:r>
      <w:r w:rsidR="00596F43" w:rsidRPr="00622F6C">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pt</m:t>
            </m:r>
          </m:sub>
        </m:sSub>
      </m:oMath>
      <w:r w:rsidR="006E6FAF" w:rsidRPr="00622F6C">
        <w:rPr>
          <w:rFonts w:ascii="Times New Roman" w:eastAsiaTheme="minorEastAsia" w:hAnsi="Times New Roman" w:cs="Times New Roman"/>
          <w:lang w:val="en-US"/>
        </w:rPr>
        <w:t xml:space="preserve"> is an error term.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oMath>
      <w:r w:rsidR="006E6FAF" w:rsidRPr="00622F6C">
        <w:rPr>
          <w:rFonts w:ascii="Times New Roman" w:eastAsiaTheme="minorEastAsia" w:hAnsi="Times New Roman" w:cs="Times New Roman"/>
          <w:lang w:val="en-US"/>
        </w:rPr>
        <w:t>’s coefficient</w:t>
      </w:r>
      <w:r w:rsidR="00471B1A" w:rsidRPr="00622F6C">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m:t>
            </m:r>
          </m:sub>
        </m:sSub>
      </m:oMath>
      <w:r w:rsidR="00BC6014">
        <w:rPr>
          <w:rFonts w:ascii="Times New Roman" w:eastAsiaTheme="minorEastAsia" w:hAnsi="Times New Roman" w:cs="Times New Roman"/>
          <w:lang w:val="en-US"/>
        </w:rPr>
        <w:t xml:space="preserve"> </w:t>
      </w:r>
      <w:r w:rsidR="006E6FAF" w:rsidRPr="00622F6C">
        <w:rPr>
          <w:rFonts w:ascii="Times New Roman" w:eastAsiaTheme="minorEastAsia" w:hAnsi="Times New Roman" w:cs="Times New Roman"/>
          <w:lang w:val="en-US"/>
        </w:rPr>
        <w:t xml:space="preserve">captures the </w:t>
      </w:r>
      <w:r w:rsidR="00BC6014">
        <w:rPr>
          <w:rFonts w:ascii="Times New Roman" w:eastAsiaTheme="minorEastAsia" w:hAnsi="Times New Roman" w:cs="Times New Roman"/>
          <w:lang w:val="en-US"/>
        </w:rPr>
        <w:t>average</w:t>
      </w:r>
      <w:r w:rsidR="006E6FAF" w:rsidRPr="00622F6C">
        <w:rPr>
          <w:rFonts w:ascii="Times New Roman" w:eastAsiaTheme="minorEastAsia" w:hAnsi="Times New Roman" w:cs="Times New Roman"/>
          <w:lang w:val="en-US"/>
        </w:rPr>
        <w:t xml:space="preserve"> abnormal </w:t>
      </w:r>
      <w:r w:rsidR="00471B1A" w:rsidRPr="00622F6C">
        <w:rPr>
          <w:rFonts w:ascii="Times New Roman" w:eastAsiaTheme="minorEastAsia" w:hAnsi="Times New Roman" w:cs="Times New Roman"/>
          <w:lang w:val="en-US"/>
        </w:rPr>
        <w:t xml:space="preserve">stock return </w:t>
      </w:r>
      <w:r w:rsidR="00BC6014">
        <w:rPr>
          <w:rFonts w:ascii="Times New Roman" w:eastAsiaTheme="minorEastAsia" w:hAnsi="Times New Roman" w:cs="Times New Roman"/>
          <w:lang w:val="en-US"/>
        </w:rPr>
        <w:t>per event</w:t>
      </w:r>
      <w:r w:rsidR="00FA66C3">
        <w:rPr>
          <w:rFonts w:ascii="Times New Roman" w:eastAsiaTheme="minorEastAsia" w:hAnsi="Times New Roman" w:cs="Times New Roman"/>
          <w:lang w:val="en-US"/>
        </w:rPr>
        <w:t xml:space="preserve"> date, estimated over the eight events combined (Akyol et al., 2012; Lewis and Verwijmeren, 2014)</w:t>
      </w:r>
      <w:r w:rsidR="00BC6014">
        <w:rPr>
          <w:rFonts w:ascii="Times New Roman" w:eastAsiaTheme="minorEastAsia" w:hAnsi="Times New Roman" w:cs="Times New Roman"/>
          <w:lang w:val="en-US"/>
        </w:rPr>
        <w:t>.</w:t>
      </w:r>
      <w:r w:rsidR="006E6FAF" w:rsidRPr="00622F6C">
        <w:rPr>
          <w:rFonts w:ascii="Times New Roman" w:eastAsiaTheme="minorEastAsia" w:hAnsi="Times New Roman" w:cs="Times New Roman"/>
          <w:lang w:val="en-US"/>
        </w:rPr>
        <w:t xml:space="preserve"> </w:t>
      </w:r>
    </w:p>
    <w:p w14:paraId="04177195" w14:textId="77777777" w:rsidR="00AF59F7" w:rsidRPr="00622F6C" w:rsidRDefault="00AF59F7" w:rsidP="006E6FAF">
      <w:pPr>
        <w:spacing w:after="0" w:line="480" w:lineRule="auto"/>
        <w:ind w:firstLine="426"/>
        <w:jc w:val="both"/>
        <w:rPr>
          <w:rFonts w:ascii="Times New Roman" w:eastAsiaTheme="minorEastAsia" w:hAnsi="Times New Roman" w:cs="Times New Roman"/>
          <w:lang w:val="en-US"/>
        </w:rPr>
      </w:pPr>
    </w:p>
    <w:p w14:paraId="126D0FF6" w14:textId="77777777" w:rsidR="00D961A5" w:rsidRPr="00622F6C" w:rsidRDefault="00D961A5" w:rsidP="00D961A5">
      <w:pPr>
        <w:pStyle w:val="ListParagraph"/>
        <w:numPr>
          <w:ilvl w:val="1"/>
          <w:numId w:val="21"/>
        </w:numPr>
        <w:spacing w:after="0" w:line="480" w:lineRule="auto"/>
        <w:ind w:left="426" w:hanging="426"/>
        <w:jc w:val="both"/>
        <w:rPr>
          <w:rFonts w:ascii="Times New Roman" w:eastAsiaTheme="minorEastAsia" w:hAnsi="Times New Roman" w:cs="Times New Roman"/>
          <w:i/>
          <w:lang w:val="en-US"/>
        </w:rPr>
      </w:pPr>
      <w:r w:rsidRPr="00622F6C">
        <w:rPr>
          <w:rFonts w:ascii="Times New Roman" w:eastAsiaTheme="minorEastAsia" w:hAnsi="Times New Roman" w:cs="Times New Roman"/>
          <w:i/>
          <w:lang w:val="en-US"/>
        </w:rPr>
        <w:t>Results</w:t>
      </w:r>
    </w:p>
    <w:p w14:paraId="7D0A17FF" w14:textId="77777777" w:rsidR="00FD2ACD" w:rsidRPr="00622F6C" w:rsidRDefault="00FD2ACD" w:rsidP="00822A38">
      <w:pPr>
        <w:spacing w:after="0" w:line="480" w:lineRule="auto"/>
        <w:ind w:firstLine="426"/>
        <w:jc w:val="both"/>
        <w:rPr>
          <w:rFonts w:ascii="Times New Roman" w:eastAsiaTheme="minorEastAsia" w:hAnsi="Times New Roman" w:cs="Times New Roman"/>
          <w:lang w:val="en-US"/>
        </w:rPr>
      </w:pPr>
      <w:r w:rsidRPr="00622F6C">
        <w:rPr>
          <w:rFonts w:ascii="Times New Roman" w:eastAsiaTheme="minorEastAsia" w:hAnsi="Times New Roman" w:cs="Times New Roman"/>
          <w:lang w:val="en-US"/>
        </w:rPr>
        <w:t xml:space="preserve">Table 3 reports the results of our univariate analysis of stock price reactions. </w:t>
      </w:r>
      <w:r w:rsidR="00A843DB" w:rsidRPr="00622F6C">
        <w:rPr>
          <w:rFonts w:ascii="Times New Roman" w:eastAsiaTheme="minorEastAsia" w:hAnsi="Times New Roman" w:cs="Times New Roman"/>
          <w:lang w:val="en-US"/>
        </w:rPr>
        <w:t xml:space="preserve">Panel A </w:t>
      </w:r>
      <w:r w:rsidR="0099538A" w:rsidRPr="00622F6C">
        <w:rPr>
          <w:rFonts w:ascii="Times New Roman" w:eastAsiaTheme="minorEastAsia" w:hAnsi="Times New Roman" w:cs="Times New Roman"/>
          <w:lang w:val="en-US"/>
        </w:rPr>
        <w:t xml:space="preserve">reports </w:t>
      </w:r>
      <w:r w:rsidR="00B0758C" w:rsidRPr="00622F6C">
        <w:rPr>
          <w:rFonts w:ascii="Times New Roman" w:eastAsiaTheme="minorEastAsia" w:hAnsi="Times New Roman" w:cs="Times New Roman"/>
          <w:lang w:val="en-US"/>
        </w:rPr>
        <w:t xml:space="preserve">the coefficient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m:t>
            </m:r>
          </m:sub>
        </m:sSub>
      </m:oMath>
      <w:r w:rsidR="00B0758C" w:rsidRPr="00622F6C">
        <w:rPr>
          <w:rFonts w:ascii="Times New Roman" w:eastAsiaTheme="minorEastAsia" w:hAnsi="Times New Roman" w:cs="Times New Roman"/>
          <w:lang w:val="en-US"/>
        </w:rPr>
        <w:t xml:space="preserve"> for </w:t>
      </w:r>
      <w:bookmarkStart w:id="46" w:name="_Hlk523995101"/>
      <w:r w:rsidR="00B0758C" w:rsidRPr="00622F6C">
        <w:rPr>
          <w:rFonts w:ascii="Times New Roman" w:eastAsiaTheme="minorEastAsia" w:hAnsi="Times New Roman" w:cs="Times New Roman"/>
          <w:lang w:val="en-US"/>
        </w:rPr>
        <w:t>Equation (1)</w:t>
      </w:r>
      <w:bookmarkEnd w:id="46"/>
      <w:r w:rsidR="00904FCF">
        <w:rPr>
          <w:rFonts w:ascii="Times New Roman" w:eastAsiaTheme="minorEastAsia" w:hAnsi="Times New Roman" w:cs="Times New Roman"/>
          <w:lang w:val="en-US"/>
        </w:rPr>
        <w:t>,</w:t>
      </w:r>
      <w:r w:rsidR="00B0758C" w:rsidRPr="00622F6C">
        <w:rPr>
          <w:rFonts w:ascii="Times New Roman" w:eastAsiaTheme="minorEastAsia" w:hAnsi="Times New Roman" w:cs="Times New Roman"/>
          <w:lang w:val="en-US"/>
        </w:rPr>
        <w:t xml:space="preserve"> estimated </w:t>
      </w:r>
      <w:r w:rsidRPr="00622F6C">
        <w:rPr>
          <w:rFonts w:ascii="Times New Roman" w:eastAsiaTheme="minorEastAsia" w:hAnsi="Times New Roman" w:cs="Times New Roman"/>
          <w:lang w:val="en-US"/>
        </w:rPr>
        <w:t>for our</w:t>
      </w:r>
      <w:r w:rsidR="00B0758C" w:rsidRPr="00622F6C">
        <w:rPr>
          <w:rFonts w:ascii="Times New Roman" w:eastAsiaTheme="minorEastAsia" w:hAnsi="Times New Roman" w:cs="Times New Roman"/>
          <w:lang w:val="en-US"/>
        </w:rPr>
        <w:t xml:space="preserve"> baseline sample.</w:t>
      </w:r>
      <w:r w:rsidR="00A843DB" w:rsidRPr="00622F6C">
        <w:rPr>
          <w:rFonts w:ascii="Times New Roman" w:eastAsiaTheme="minorEastAsia" w:hAnsi="Times New Roman" w:cs="Times New Roman"/>
          <w:lang w:val="en-US"/>
        </w:rPr>
        <w:t xml:space="preserve"> </w:t>
      </w:r>
      <w:r w:rsidRPr="00622F6C">
        <w:rPr>
          <w:rFonts w:ascii="Times New Roman" w:eastAsiaTheme="minorEastAsia" w:hAnsi="Times New Roman" w:cs="Times New Roman"/>
          <w:lang w:val="en-US"/>
        </w:rPr>
        <w:t xml:space="preserve">We test each of the time-series regressions for autocorrelation using a </w:t>
      </w:r>
      <w:bookmarkStart w:id="47" w:name="_Hlk5289235"/>
      <w:r w:rsidRPr="00622F6C">
        <w:rPr>
          <w:rFonts w:ascii="Times New Roman" w:eastAsiaTheme="minorEastAsia" w:hAnsi="Times New Roman" w:cs="Times New Roman"/>
          <w:lang w:val="en-US"/>
        </w:rPr>
        <w:t xml:space="preserve">Breusch-Godfrey </w:t>
      </w:r>
      <w:bookmarkEnd w:id="47"/>
      <w:r w:rsidRPr="00622F6C">
        <w:rPr>
          <w:rFonts w:ascii="Times New Roman" w:eastAsiaTheme="minorEastAsia" w:hAnsi="Times New Roman" w:cs="Times New Roman"/>
          <w:lang w:val="en-US"/>
        </w:rPr>
        <w:t xml:space="preserve">test with </w:t>
      </w:r>
      <w:r w:rsidR="008613A5" w:rsidRPr="00622F6C">
        <w:rPr>
          <w:rFonts w:ascii="Times New Roman" w:eastAsiaTheme="minorEastAsia" w:hAnsi="Times New Roman" w:cs="Times New Roman"/>
          <w:lang w:val="en-US"/>
        </w:rPr>
        <w:t xml:space="preserve">a </w:t>
      </w:r>
      <w:r w:rsidRPr="00622F6C">
        <w:rPr>
          <w:rFonts w:ascii="Times New Roman" w:eastAsiaTheme="minorEastAsia" w:hAnsi="Times New Roman" w:cs="Times New Roman"/>
          <w:lang w:val="en-US"/>
        </w:rPr>
        <w:t xml:space="preserve">lag length </w:t>
      </w:r>
      <w:r w:rsidR="008613A5" w:rsidRPr="00622F6C">
        <w:rPr>
          <w:rFonts w:ascii="Times New Roman" w:eastAsiaTheme="minorEastAsia" w:hAnsi="Times New Roman" w:cs="Times New Roman"/>
          <w:lang w:val="en-US"/>
        </w:rPr>
        <w:t xml:space="preserve">of </w:t>
      </w:r>
      <w:r w:rsidRPr="00622F6C">
        <w:rPr>
          <w:rFonts w:ascii="Times New Roman" w:eastAsiaTheme="minorEastAsia" w:hAnsi="Times New Roman" w:cs="Times New Roman"/>
          <w:lang w:val="en-US"/>
        </w:rPr>
        <w:t xml:space="preserve">two. If this test does not reject the null hypothesis of no autocorrelation, we base </w:t>
      </w:r>
      <w:r w:rsidR="002A7D7E">
        <w:rPr>
          <w:rFonts w:ascii="Times New Roman" w:eastAsiaTheme="minorEastAsia" w:hAnsi="Times New Roman" w:cs="Times New Roman"/>
          <w:lang w:val="en-US"/>
        </w:rPr>
        <w:t xml:space="preserve">our </w:t>
      </w:r>
      <w:r w:rsidRPr="00622F6C">
        <w:rPr>
          <w:rFonts w:ascii="Times New Roman" w:eastAsiaTheme="minorEastAsia" w:hAnsi="Times New Roman" w:cs="Times New Roman"/>
          <w:lang w:val="en-US"/>
        </w:rPr>
        <w:t xml:space="preserve">reported significance levels for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m:t>
            </m:r>
          </m:sub>
        </m:sSub>
      </m:oMath>
      <w:r w:rsidRPr="00622F6C">
        <w:rPr>
          <w:rFonts w:ascii="Times New Roman" w:eastAsiaTheme="minorEastAsia" w:hAnsi="Times New Roman" w:cs="Times New Roman"/>
          <w:lang w:val="en-US"/>
        </w:rPr>
        <w:t xml:space="preserve"> on unadjusted </w:t>
      </w:r>
      <w:bookmarkStart w:id="48" w:name="_Hlk523995159"/>
      <w:r w:rsidR="00904FCF">
        <w:rPr>
          <w:rFonts w:ascii="Times New Roman" w:eastAsiaTheme="minorEastAsia" w:hAnsi="Times New Roman" w:cs="Times New Roman"/>
          <w:lang w:val="en-US"/>
        </w:rPr>
        <w:t>o</w:t>
      </w:r>
      <w:r w:rsidR="00904FCF" w:rsidRPr="00622F6C">
        <w:rPr>
          <w:rFonts w:ascii="Times New Roman" w:eastAsiaTheme="minorEastAsia" w:hAnsi="Times New Roman" w:cs="Times New Roman"/>
          <w:lang w:val="en-US"/>
        </w:rPr>
        <w:t xml:space="preserve">rdinary </w:t>
      </w:r>
      <w:r w:rsidR="00904FCF">
        <w:rPr>
          <w:rFonts w:ascii="Times New Roman" w:eastAsiaTheme="minorEastAsia" w:hAnsi="Times New Roman" w:cs="Times New Roman"/>
          <w:lang w:val="en-US"/>
        </w:rPr>
        <w:t>l</w:t>
      </w:r>
      <w:r w:rsidR="00904FCF" w:rsidRPr="00622F6C">
        <w:rPr>
          <w:rFonts w:ascii="Times New Roman" w:eastAsiaTheme="minorEastAsia" w:hAnsi="Times New Roman" w:cs="Times New Roman"/>
          <w:lang w:val="en-US"/>
        </w:rPr>
        <w:t xml:space="preserve">east </w:t>
      </w:r>
      <w:r w:rsidR="00904FCF">
        <w:rPr>
          <w:rFonts w:ascii="Times New Roman" w:eastAsiaTheme="minorEastAsia" w:hAnsi="Times New Roman" w:cs="Times New Roman"/>
          <w:lang w:val="en-US"/>
        </w:rPr>
        <w:t>s</w:t>
      </w:r>
      <w:r w:rsidR="00904FCF" w:rsidRPr="00622F6C">
        <w:rPr>
          <w:rFonts w:ascii="Times New Roman" w:eastAsiaTheme="minorEastAsia" w:hAnsi="Times New Roman" w:cs="Times New Roman"/>
          <w:lang w:val="en-US"/>
        </w:rPr>
        <w:t xml:space="preserve">quares </w:t>
      </w:r>
      <w:r w:rsidR="0036445F" w:rsidRPr="00622F6C">
        <w:rPr>
          <w:rFonts w:ascii="Times New Roman" w:eastAsiaTheme="minorEastAsia" w:hAnsi="Times New Roman" w:cs="Times New Roman"/>
          <w:lang w:val="en-US"/>
        </w:rPr>
        <w:t>(</w:t>
      </w:r>
      <w:r w:rsidRPr="00622F6C">
        <w:rPr>
          <w:rFonts w:ascii="Times New Roman" w:eastAsiaTheme="minorEastAsia" w:hAnsi="Times New Roman" w:cs="Times New Roman"/>
          <w:lang w:val="en-US"/>
        </w:rPr>
        <w:t>OLS</w:t>
      </w:r>
      <w:r w:rsidR="0036445F" w:rsidRPr="00622F6C">
        <w:rPr>
          <w:rFonts w:ascii="Times New Roman" w:eastAsiaTheme="minorEastAsia" w:hAnsi="Times New Roman" w:cs="Times New Roman"/>
          <w:lang w:val="en-US"/>
        </w:rPr>
        <w:t>)</w:t>
      </w:r>
      <w:bookmarkEnd w:id="48"/>
      <w:r w:rsidRPr="00622F6C">
        <w:rPr>
          <w:rFonts w:ascii="Times New Roman" w:eastAsiaTheme="minorEastAsia" w:hAnsi="Times New Roman" w:cs="Times New Roman"/>
          <w:lang w:val="en-US"/>
        </w:rPr>
        <w:t xml:space="preserve"> standard errors. If the test does reject the null hypothesis, we base </w:t>
      </w:r>
      <w:r w:rsidR="002A7D7E">
        <w:rPr>
          <w:rFonts w:ascii="Times New Roman" w:eastAsiaTheme="minorEastAsia" w:hAnsi="Times New Roman" w:cs="Times New Roman"/>
          <w:lang w:val="en-US"/>
        </w:rPr>
        <w:t xml:space="preserve">the </w:t>
      </w:r>
      <w:r w:rsidRPr="00622F6C">
        <w:rPr>
          <w:rFonts w:ascii="Times New Roman" w:eastAsiaTheme="minorEastAsia" w:hAnsi="Times New Roman" w:cs="Times New Roman"/>
          <w:lang w:val="en-US"/>
        </w:rPr>
        <w:t xml:space="preserve">significance levels on Newey-West standard errors, using a lag length </w:t>
      </w:r>
      <w:r w:rsidR="008613A5" w:rsidRPr="00622F6C">
        <w:rPr>
          <w:rFonts w:ascii="Times New Roman" w:eastAsiaTheme="minorEastAsia" w:hAnsi="Times New Roman" w:cs="Times New Roman"/>
          <w:lang w:val="en-US"/>
        </w:rPr>
        <w:t xml:space="preserve">of </w:t>
      </w:r>
      <w:r w:rsidRPr="00622F6C">
        <w:rPr>
          <w:rFonts w:ascii="Times New Roman" w:eastAsiaTheme="minorEastAsia" w:hAnsi="Times New Roman" w:cs="Times New Roman"/>
          <w:lang w:val="en-US"/>
        </w:rPr>
        <w:t xml:space="preserve">two. </w:t>
      </w:r>
      <w:r w:rsidR="00B93222">
        <w:rPr>
          <w:rFonts w:ascii="Times New Roman" w:eastAsiaTheme="minorEastAsia" w:hAnsi="Times New Roman" w:cs="Times New Roman"/>
          <w:lang w:val="en-US"/>
        </w:rPr>
        <w:t xml:space="preserve">The latter instance occurs only for </w:t>
      </w:r>
      <w:r w:rsidR="00B248ED" w:rsidRPr="00622F6C">
        <w:rPr>
          <w:rFonts w:ascii="Times New Roman" w:eastAsiaTheme="minorEastAsia" w:hAnsi="Times New Roman" w:cs="Times New Roman"/>
          <w:lang w:val="en-US"/>
        </w:rPr>
        <w:t>a number of robustness tests</w:t>
      </w:r>
      <w:r w:rsidRPr="00622F6C">
        <w:rPr>
          <w:rFonts w:ascii="Times New Roman" w:eastAsiaTheme="minorEastAsia" w:hAnsi="Times New Roman" w:cs="Times New Roman"/>
          <w:lang w:val="en-US"/>
        </w:rPr>
        <w:t xml:space="preserve"> in which we use a world market index. </w:t>
      </w:r>
    </w:p>
    <w:p w14:paraId="0747845B" w14:textId="77777777" w:rsidR="00A843DB" w:rsidRPr="00622F6C" w:rsidRDefault="00B0758C" w:rsidP="00822A38">
      <w:pPr>
        <w:spacing w:after="0" w:line="480" w:lineRule="auto"/>
        <w:ind w:firstLine="426"/>
        <w:jc w:val="both"/>
        <w:rPr>
          <w:rFonts w:ascii="Times New Roman" w:eastAsiaTheme="minorEastAsia" w:hAnsi="Times New Roman" w:cs="Times New Roman"/>
          <w:lang w:val="en-US"/>
        </w:rPr>
      </w:pPr>
      <w:bookmarkStart w:id="49" w:name="_Hlk523995209"/>
      <w:r w:rsidRPr="00622F6C">
        <w:rPr>
          <w:rFonts w:ascii="Times New Roman" w:eastAsiaTheme="minorEastAsia" w:hAnsi="Times New Roman" w:cs="Times New Roman"/>
          <w:lang w:val="en-US"/>
        </w:rPr>
        <w:t>Row (1), Column (2)</w:t>
      </w:r>
      <w:bookmarkEnd w:id="49"/>
      <w:r w:rsidRPr="00622F6C">
        <w:rPr>
          <w:rFonts w:ascii="Times New Roman" w:eastAsiaTheme="minorEastAsia" w:hAnsi="Times New Roman" w:cs="Times New Roman"/>
          <w:lang w:val="en-US"/>
        </w:rPr>
        <w:t xml:space="preserve"> </w:t>
      </w:r>
      <w:r w:rsidR="00FD2ACD" w:rsidRPr="00622F6C">
        <w:rPr>
          <w:rFonts w:ascii="Times New Roman" w:eastAsiaTheme="minorEastAsia" w:hAnsi="Times New Roman" w:cs="Times New Roman"/>
          <w:lang w:val="en-US"/>
        </w:rPr>
        <w:t xml:space="preserve">provides the baseline results. It </w:t>
      </w:r>
      <w:r w:rsidR="00471B1A" w:rsidRPr="00622F6C">
        <w:rPr>
          <w:rFonts w:ascii="Times New Roman" w:eastAsiaTheme="minorEastAsia" w:hAnsi="Times New Roman" w:cs="Times New Roman"/>
          <w:lang w:val="en-US"/>
        </w:rPr>
        <w:t>shows a</w:t>
      </w:r>
      <w:r w:rsidR="002E42EB" w:rsidRPr="00622F6C">
        <w:rPr>
          <w:rFonts w:ascii="Times New Roman" w:eastAsiaTheme="minorEastAsia" w:hAnsi="Times New Roman" w:cs="Times New Roman"/>
          <w:lang w:val="en-US"/>
        </w:rPr>
        <w:t>n estimated</w:t>
      </w:r>
      <w:r w:rsidR="006E6FAF" w:rsidRPr="00622F6C">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m:t>
            </m:r>
          </m:sub>
        </m:sSub>
      </m:oMath>
      <w:r w:rsidR="00471B1A" w:rsidRPr="00622F6C">
        <w:rPr>
          <w:rFonts w:ascii="Times New Roman" w:eastAsiaTheme="minorEastAsia" w:hAnsi="Times New Roman" w:cs="Times New Roman"/>
          <w:lang w:val="en-US"/>
        </w:rPr>
        <w:t xml:space="preserve"> coefficient of </w:t>
      </w:r>
      <w:r w:rsidRPr="00622F6C">
        <w:rPr>
          <w:rFonts w:ascii="Times New Roman" w:eastAsiaTheme="minorEastAsia" w:hAnsi="Times New Roman" w:cs="Times New Roman"/>
          <w:lang w:val="en-US"/>
        </w:rPr>
        <w:t>0.0038</w:t>
      </w:r>
      <w:r w:rsidR="00F536C4" w:rsidRPr="00622F6C">
        <w:rPr>
          <w:rFonts w:ascii="Times New Roman" w:eastAsiaTheme="minorEastAsia" w:hAnsi="Times New Roman" w:cs="Times New Roman"/>
          <w:lang w:val="en-US"/>
        </w:rPr>
        <w:t>%, translating in</w:t>
      </w:r>
      <w:r w:rsidR="00B248ED" w:rsidRPr="00622F6C">
        <w:rPr>
          <w:rFonts w:ascii="Times New Roman" w:eastAsiaTheme="minorEastAsia" w:hAnsi="Times New Roman" w:cs="Times New Roman"/>
          <w:lang w:val="en-US"/>
        </w:rPr>
        <w:t>to</w:t>
      </w:r>
      <w:r w:rsidR="00F536C4" w:rsidRPr="00622F6C">
        <w:rPr>
          <w:rFonts w:ascii="Times New Roman" w:eastAsiaTheme="minorEastAsia" w:hAnsi="Times New Roman" w:cs="Times New Roman"/>
          <w:lang w:val="en-US"/>
        </w:rPr>
        <w:t xml:space="preserve"> a</w:t>
      </w:r>
      <w:r w:rsidR="0033146B" w:rsidRPr="00622F6C">
        <w:rPr>
          <w:rFonts w:ascii="Times New Roman" w:eastAsiaTheme="minorEastAsia" w:hAnsi="Times New Roman" w:cs="Times New Roman"/>
          <w:lang w:val="en-US"/>
        </w:rPr>
        <w:t xml:space="preserve"> very small</w:t>
      </w:r>
      <w:r w:rsidR="00B248ED" w:rsidRPr="00622F6C">
        <w:rPr>
          <w:rFonts w:ascii="Times New Roman" w:eastAsiaTheme="minorEastAsia" w:hAnsi="Times New Roman" w:cs="Times New Roman"/>
          <w:lang w:val="en-US"/>
        </w:rPr>
        <w:t xml:space="preserve"> total abnormal stock return</w:t>
      </w:r>
      <w:r w:rsidR="00F536C4" w:rsidRPr="00622F6C">
        <w:rPr>
          <w:rFonts w:ascii="Times New Roman" w:eastAsiaTheme="minorEastAsia" w:hAnsi="Times New Roman" w:cs="Times New Roman"/>
          <w:lang w:val="en-US"/>
        </w:rPr>
        <w:t xml:space="preserve"> of </w:t>
      </w:r>
      <w:r w:rsidR="005D58AC">
        <w:rPr>
          <w:rFonts w:ascii="Times New Roman" w:eastAsiaTheme="minorEastAsia" w:hAnsi="Times New Roman" w:cs="Times New Roman"/>
          <w:lang w:val="en-US"/>
        </w:rPr>
        <w:t>0.03</w:t>
      </w:r>
      <w:r w:rsidRPr="00622F6C">
        <w:rPr>
          <w:rFonts w:ascii="Times New Roman" w:eastAsiaTheme="minorEastAsia" w:hAnsi="Times New Roman" w:cs="Times New Roman"/>
          <w:lang w:val="en-US"/>
        </w:rPr>
        <w:t>% (0.0038</w:t>
      </w:r>
      <w:r w:rsidR="00BC6014">
        <w:rPr>
          <w:rFonts w:ascii="Times New Roman" w:eastAsiaTheme="minorEastAsia" w:hAnsi="Times New Roman" w:cs="Times New Roman"/>
          <w:lang w:val="en-US"/>
        </w:rPr>
        <w:t xml:space="preserve"> multiplied by 8</w:t>
      </w:r>
      <w:r w:rsidR="00F536C4" w:rsidRPr="00622F6C">
        <w:rPr>
          <w:rFonts w:ascii="Times New Roman" w:eastAsiaTheme="minorEastAsia" w:hAnsi="Times New Roman" w:cs="Times New Roman"/>
          <w:lang w:val="en-US"/>
        </w:rPr>
        <w:t xml:space="preserve">) for the </w:t>
      </w:r>
      <w:r w:rsidRPr="00622F6C">
        <w:rPr>
          <w:rFonts w:ascii="Times New Roman" w:eastAsiaTheme="minorEastAsia" w:hAnsi="Times New Roman" w:cs="Times New Roman"/>
          <w:lang w:val="en-US"/>
        </w:rPr>
        <w:t xml:space="preserve">eight </w:t>
      </w:r>
      <w:r w:rsidR="00F536C4" w:rsidRPr="00622F6C">
        <w:rPr>
          <w:rFonts w:ascii="Times New Roman" w:eastAsiaTheme="minorEastAsia" w:hAnsi="Times New Roman" w:cs="Times New Roman"/>
          <w:lang w:val="en-US"/>
        </w:rPr>
        <w:t xml:space="preserve">events combined. </w:t>
      </w:r>
      <w:r w:rsidR="0020262F" w:rsidRPr="00622F6C">
        <w:rPr>
          <w:rFonts w:ascii="Times New Roman" w:eastAsiaTheme="minorEastAsia" w:hAnsi="Times New Roman" w:cs="Times New Roman"/>
          <w:lang w:val="en-US"/>
        </w:rPr>
        <w:t>The coefficient is not statistically significant</w:t>
      </w:r>
      <w:r w:rsidRPr="00622F6C">
        <w:rPr>
          <w:rFonts w:ascii="Times New Roman" w:eastAsiaTheme="minorEastAsia" w:hAnsi="Times New Roman" w:cs="Times New Roman"/>
          <w:lang w:val="en-US"/>
        </w:rPr>
        <w:t xml:space="preserve">. Columns (3) to (5) </w:t>
      </w:r>
      <w:r w:rsidR="00B248ED" w:rsidRPr="00622F6C">
        <w:rPr>
          <w:rFonts w:ascii="Times New Roman" w:eastAsiaTheme="minorEastAsia" w:hAnsi="Times New Roman" w:cs="Times New Roman"/>
          <w:lang w:val="en-US"/>
        </w:rPr>
        <w:t>provide sensitivity tests of this baseline result</w:t>
      </w:r>
      <w:r w:rsidRPr="00622F6C">
        <w:rPr>
          <w:rFonts w:ascii="Times New Roman" w:eastAsiaTheme="minorEastAsia" w:hAnsi="Times New Roman" w:cs="Times New Roman"/>
          <w:lang w:val="en-US"/>
        </w:rPr>
        <w:t xml:space="preserve">. </w:t>
      </w:r>
      <w:r w:rsidR="00FD2ACD" w:rsidRPr="00622F6C">
        <w:rPr>
          <w:rFonts w:ascii="Times New Roman" w:eastAsiaTheme="minorEastAsia" w:hAnsi="Times New Roman" w:cs="Times New Roman"/>
          <w:lang w:val="en-US"/>
        </w:rPr>
        <w:t>Column (3) uses an</w:t>
      </w:r>
      <w:r w:rsidRPr="00622F6C">
        <w:rPr>
          <w:rFonts w:ascii="Times New Roman" w:eastAsiaTheme="minorEastAsia" w:hAnsi="Times New Roman" w:cs="Times New Roman"/>
          <w:lang w:val="en-US"/>
        </w:rPr>
        <w:t xml:space="preserve"> equal- instead of market</w:t>
      </w:r>
      <w:r w:rsidR="002A7D7E">
        <w:rPr>
          <w:rFonts w:ascii="Times New Roman" w:eastAsiaTheme="minorEastAsia" w:hAnsi="Times New Roman" w:cs="Times New Roman"/>
          <w:lang w:val="en-US"/>
        </w:rPr>
        <w:t>-</w:t>
      </w:r>
      <w:r w:rsidRPr="00622F6C">
        <w:rPr>
          <w:rFonts w:ascii="Times New Roman" w:eastAsiaTheme="minorEastAsia" w:hAnsi="Times New Roman" w:cs="Times New Roman"/>
          <w:lang w:val="en-US"/>
        </w:rPr>
        <w:t xml:space="preserve">value-weighted portfolio of </w:t>
      </w:r>
      <w:r w:rsidRPr="00622F6C">
        <w:rPr>
          <w:rFonts w:ascii="Times New Roman" w:eastAsiaTheme="minorEastAsia" w:hAnsi="Times New Roman" w:cs="Times New Roman"/>
          <w:lang w:val="en-US"/>
        </w:rPr>
        <w:lastRenderedPageBreak/>
        <w:t>the 357 sample firms. Column (4) uses a world market index</w:t>
      </w:r>
      <w:r w:rsidR="0033146B" w:rsidRPr="00622F6C">
        <w:rPr>
          <w:rFonts w:ascii="Times New Roman" w:eastAsiaTheme="minorEastAsia" w:hAnsi="Times New Roman" w:cs="Times New Roman"/>
          <w:lang w:val="en-US"/>
        </w:rPr>
        <w:t xml:space="preserve"> instead of a European market index</w:t>
      </w:r>
      <w:r w:rsidRPr="00622F6C">
        <w:rPr>
          <w:rFonts w:ascii="Times New Roman" w:eastAsiaTheme="minorEastAsia" w:hAnsi="Times New Roman" w:cs="Times New Roman"/>
          <w:lang w:val="en-US"/>
        </w:rPr>
        <w:t xml:space="preserve">. In Column (5), </w:t>
      </w:r>
      <w:r w:rsidR="00CC4D92">
        <w:rPr>
          <w:rFonts w:ascii="Times New Roman" w:eastAsiaTheme="minorEastAsia" w:hAnsi="Times New Roman" w:cs="Times New Roman"/>
          <w:lang w:val="en-US"/>
        </w:rPr>
        <w:t xml:space="preserve">we set </w:t>
      </w:r>
      <w:r w:rsidRPr="00622F6C">
        <w:rPr>
          <w:rFonts w:ascii="Times New Roman" w:eastAsiaTheme="minorEastAsia" w:hAnsi="Times New Roman" w:cs="Times New Roman"/>
          <w:lang w:val="en-US"/>
        </w:rPr>
        <w:t xml:space="preserve">the </w:t>
      </w:r>
      <w:r w:rsidR="0033146B" w:rsidRPr="00622F6C">
        <w:rPr>
          <w:rFonts w:ascii="Times New Roman" w:eastAsiaTheme="minorEastAsia" w:hAnsi="Times New Roman" w:cs="Times New Roman"/>
          <w:lang w:val="en-US"/>
        </w:rPr>
        <w:t>event</w:t>
      </w:r>
      <w:r w:rsidRPr="00622F6C">
        <w:rPr>
          <w:rFonts w:ascii="Times New Roman" w:eastAsiaTheme="minorEastAsia" w:hAnsi="Times New Roman" w:cs="Times New Roman"/>
          <w:lang w:val="en-US"/>
        </w:rPr>
        <w:t xml:space="preserve"> dummy variable </w:t>
      </w:r>
      <w:r w:rsidR="0033146B" w:rsidRPr="00622F6C">
        <w:rPr>
          <w:rFonts w:ascii="Times New Roman" w:eastAsiaTheme="minorEastAsia" w:hAnsi="Times New Roman" w:cs="Times New Roman"/>
          <w:lang w:val="en-US"/>
        </w:rPr>
        <w:t xml:space="preserve">in the time-series regression </w:t>
      </w:r>
      <w:r w:rsidRPr="00622F6C">
        <w:rPr>
          <w:rFonts w:ascii="Times New Roman" w:eastAsiaTheme="minorEastAsia" w:hAnsi="Times New Roman" w:cs="Times New Roman"/>
          <w:lang w:val="en-US"/>
        </w:rPr>
        <w:t xml:space="preserve">equal to one on the </w:t>
      </w:r>
      <w:r w:rsidR="00CC4D92">
        <w:rPr>
          <w:rFonts w:ascii="Times New Roman" w:eastAsiaTheme="minorEastAsia" w:hAnsi="Times New Roman" w:cs="Times New Roman"/>
          <w:lang w:val="en-US"/>
        </w:rPr>
        <w:t xml:space="preserve">eight event dates, as well as on the </w:t>
      </w:r>
      <w:r w:rsidRPr="00622F6C">
        <w:rPr>
          <w:rFonts w:ascii="Times New Roman" w:eastAsiaTheme="minorEastAsia" w:hAnsi="Times New Roman" w:cs="Times New Roman"/>
          <w:lang w:val="en-US"/>
        </w:rPr>
        <w:t xml:space="preserve">dates of the three </w:t>
      </w:r>
      <w:r w:rsidR="00B248ED" w:rsidRPr="00622F6C">
        <w:rPr>
          <w:rFonts w:ascii="Times New Roman" w:eastAsiaTheme="minorEastAsia" w:hAnsi="Times New Roman" w:cs="Times New Roman"/>
          <w:lang w:val="en-US"/>
        </w:rPr>
        <w:t>additional</w:t>
      </w:r>
      <w:r w:rsidRPr="00622F6C">
        <w:rPr>
          <w:rFonts w:ascii="Times New Roman" w:eastAsiaTheme="minorEastAsia" w:hAnsi="Times New Roman" w:cs="Times New Roman"/>
          <w:lang w:val="en-US"/>
        </w:rPr>
        <w:t xml:space="preserve"> events 9 to 11 outlined in Table 1. We estimate this regression over </w:t>
      </w:r>
      <w:r w:rsidR="00BC6014">
        <w:rPr>
          <w:rFonts w:ascii="Times New Roman" w:eastAsiaTheme="minorEastAsia" w:hAnsi="Times New Roman" w:cs="Times New Roman"/>
          <w:lang w:val="en-US"/>
        </w:rPr>
        <w:t>a</w:t>
      </w:r>
      <w:r w:rsidRPr="00622F6C">
        <w:rPr>
          <w:rFonts w:ascii="Times New Roman" w:eastAsiaTheme="minorEastAsia" w:hAnsi="Times New Roman" w:cs="Times New Roman"/>
          <w:lang w:val="en-US"/>
        </w:rPr>
        <w:t xml:space="preserve"> period extending until December 31, 2015. We again find no significant day-0 stock price reaction</w:t>
      </w:r>
      <w:r w:rsidR="00FD2ACD" w:rsidRPr="00622F6C">
        <w:rPr>
          <w:rFonts w:ascii="Times New Roman" w:eastAsiaTheme="minorEastAsia" w:hAnsi="Times New Roman" w:cs="Times New Roman"/>
          <w:lang w:val="en-US"/>
        </w:rPr>
        <w:t xml:space="preserve"> for these three alternative regressions</w:t>
      </w:r>
      <w:r w:rsidRPr="00622F6C">
        <w:rPr>
          <w:rFonts w:ascii="Times New Roman" w:eastAsiaTheme="minorEastAsia" w:hAnsi="Times New Roman" w:cs="Times New Roman"/>
          <w:lang w:val="en-US"/>
        </w:rPr>
        <w:t xml:space="preserve">. </w:t>
      </w:r>
    </w:p>
    <w:p w14:paraId="5DAD4E21" w14:textId="77777777" w:rsidR="00596F43" w:rsidRPr="00622F6C" w:rsidRDefault="00596F43" w:rsidP="00596F43">
      <w:pPr>
        <w:spacing w:after="0" w:line="480" w:lineRule="auto"/>
        <w:ind w:firstLine="426"/>
        <w:jc w:val="center"/>
        <w:textAlignment w:val="baseline"/>
        <w:rPr>
          <w:rFonts w:ascii="Times New Roman" w:eastAsia="Times New Roman" w:hAnsi="Times New Roman" w:cs="Times New Roman"/>
          <w:lang w:val="en-US" w:eastAsia="en-GB"/>
        </w:rPr>
      </w:pPr>
      <w:r w:rsidRPr="00622F6C">
        <w:rPr>
          <w:rFonts w:ascii="Times New Roman" w:eastAsia="Times New Roman" w:hAnsi="Times New Roman" w:cs="Times New Roman"/>
          <w:lang w:val="en-US" w:eastAsia="en-GB"/>
        </w:rPr>
        <w:t>&lt;&lt;Please insert Table 3 about here&gt;&gt;</w:t>
      </w:r>
    </w:p>
    <w:p w14:paraId="5C9B353B" w14:textId="43D458EA" w:rsidR="00A843DB" w:rsidRPr="00622F6C" w:rsidRDefault="00D423DE" w:rsidP="00F50E04">
      <w:pPr>
        <w:spacing w:after="0" w:line="480" w:lineRule="auto"/>
        <w:ind w:firstLine="426"/>
        <w:contextualSpacing/>
        <w:jc w:val="both"/>
        <w:rPr>
          <w:rFonts w:ascii="Times New Roman" w:hAnsi="Times New Roman" w:cs="Times New Roman"/>
          <w:lang w:val="en-US"/>
        </w:rPr>
      </w:pPr>
      <w:r>
        <w:rPr>
          <w:rFonts w:ascii="Times New Roman" w:hAnsi="Times New Roman" w:cs="Times New Roman"/>
          <w:lang w:val="en-US"/>
        </w:rPr>
        <w:t xml:space="preserve">Some event </w:t>
      </w:r>
      <w:r w:rsidR="00F52F93">
        <w:rPr>
          <w:rFonts w:ascii="Times New Roman" w:hAnsi="Times New Roman" w:cs="Times New Roman"/>
          <w:lang w:val="en-US"/>
        </w:rPr>
        <w:t>studies incorporate th</w:t>
      </w:r>
      <w:r>
        <w:rPr>
          <w:rFonts w:ascii="Times New Roman" w:hAnsi="Times New Roman" w:cs="Times New Roman"/>
          <w:lang w:val="en-US"/>
        </w:rPr>
        <w:t xml:space="preserve">e </w:t>
      </w:r>
      <w:r w:rsidR="00594F11">
        <w:rPr>
          <w:rFonts w:ascii="Times New Roman" w:hAnsi="Times New Roman" w:cs="Times New Roman"/>
          <w:lang w:val="en-US"/>
        </w:rPr>
        <w:t>trading day</w:t>
      </w:r>
      <w:r>
        <w:rPr>
          <w:rFonts w:ascii="Times New Roman" w:hAnsi="Times New Roman" w:cs="Times New Roman"/>
          <w:lang w:val="en-US"/>
        </w:rPr>
        <w:t xml:space="preserve"> following the event date</w:t>
      </w:r>
      <w:r w:rsidR="00F52F93">
        <w:rPr>
          <w:rFonts w:ascii="Times New Roman" w:hAnsi="Times New Roman" w:cs="Times New Roman"/>
          <w:lang w:val="en-US"/>
        </w:rPr>
        <w:t xml:space="preserve"> in their event window, to control for </w:t>
      </w:r>
      <w:r w:rsidR="00DE5C5C">
        <w:rPr>
          <w:rFonts w:ascii="Times New Roman" w:hAnsi="Times New Roman" w:cs="Times New Roman"/>
          <w:lang w:val="en-US"/>
        </w:rPr>
        <w:t>announcements taking place</w:t>
      </w:r>
      <w:r w:rsidR="00F52F93">
        <w:rPr>
          <w:rFonts w:ascii="Times New Roman" w:hAnsi="Times New Roman" w:cs="Times New Roman"/>
          <w:lang w:val="en-US"/>
        </w:rPr>
        <w:t xml:space="preserve"> post</w:t>
      </w:r>
      <w:r w:rsidR="00904FCF">
        <w:rPr>
          <w:rFonts w:ascii="Times New Roman" w:hAnsi="Times New Roman" w:cs="Times New Roman"/>
          <w:lang w:val="en-US"/>
        </w:rPr>
        <w:t xml:space="preserve"> </w:t>
      </w:r>
      <w:r w:rsidR="00F52F93">
        <w:rPr>
          <w:rFonts w:ascii="Times New Roman" w:hAnsi="Times New Roman" w:cs="Times New Roman"/>
          <w:lang w:val="en-US"/>
        </w:rPr>
        <w:t xml:space="preserve">stock market closure or on non-trading days (Kim and Klein, 2017). </w:t>
      </w:r>
      <w:r w:rsidR="00A72CF6">
        <w:rPr>
          <w:rFonts w:ascii="Times New Roman" w:hAnsi="Times New Roman" w:cs="Times New Roman"/>
        </w:rPr>
        <w:t>Some studies also include the trading day before the event date, to account for potential investor anticipation of th</w:t>
      </w:r>
      <w:r w:rsidR="00FB3591">
        <w:rPr>
          <w:rFonts w:ascii="Times New Roman" w:hAnsi="Times New Roman" w:cs="Times New Roman"/>
        </w:rPr>
        <w:t>e event (Gagnon and Karolyi, 201</w:t>
      </w:r>
      <w:r w:rsidR="00A72CF6">
        <w:rPr>
          <w:rFonts w:ascii="Times New Roman" w:hAnsi="Times New Roman" w:cs="Times New Roman"/>
        </w:rPr>
        <w:t xml:space="preserve">8). </w:t>
      </w:r>
      <w:r w:rsidR="00464907">
        <w:rPr>
          <w:rFonts w:ascii="Times New Roman" w:hAnsi="Times New Roman" w:cs="Times New Roman"/>
        </w:rPr>
        <w:t>For completeness, we</w:t>
      </w:r>
      <w:r w:rsidR="00A72CF6">
        <w:rPr>
          <w:rFonts w:ascii="Times New Roman" w:hAnsi="Times New Roman" w:cs="Times New Roman"/>
          <w:lang w:val="en-US"/>
        </w:rPr>
        <w:t xml:space="preserve"> </w:t>
      </w:r>
      <w:r w:rsidR="00C16411">
        <w:rPr>
          <w:rFonts w:ascii="Times New Roman" w:hAnsi="Times New Roman" w:cs="Times New Roman"/>
          <w:lang w:val="en-US"/>
        </w:rPr>
        <w:t xml:space="preserve">therefore </w:t>
      </w:r>
      <w:r w:rsidR="003A6AE3" w:rsidRPr="00622F6C">
        <w:rPr>
          <w:rFonts w:ascii="Times New Roman" w:hAnsi="Times New Roman" w:cs="Times New Roman"/>
          <w:lang w:val="en-US"/>
        </w:rPr>
        <w:t xml:space="preserve">test for abnormal stock returns on the trading days </w:t>
      </w:r>
      <w:r w:rsidR="00464907">
        <w:rPr>
          <w:rFonts w:ascii="Times New Roman" w:hAnsi="Times New Roman" w:cs="Times New Roman"/>
          <w:lang w:val="en-US"/>
        </w:rPr>
        <w:t xml:space="preserve">after </w:t>
      </w:r>
      <w:r w:rsidR="003A6AE3" w:rsidRPr="00622F6C">
        <w:rPr>
          <w:rFonts w:ascii="Times New Roman" w:hAnsi="Times New Roman" w:cs="Times New Roman"/>
          <w:lang w:val="en-US"/>
        </w:rPr>
        <w:t xml:space="preserve">and </w:t>
      </w:r>
      <w:r w:rsidR="00464907">
        <w:rPr>
          <w:rFonts w:ascii="Times New Roman" w:hAnsi="Times New Roman" w:cs="Times New Roman"/>
          <w:lang w:val="en-US"/>
        </w:rPr>
        <w:t>before</w:t>
      </w:r>
      <w:r w:rsidR="00464907" w:rsidRPr="00622F6C">
        <w:rPr>
          <w:rFonts w:ascii="Times New Roman" w:hAnsi="Times New Roman" w:cs="Times New Roman"/>
          <w:lang w:val="en-US"/>
        </w:rPr>
        <w:t xml:space="preserve"> </w:t>
      </w:r>
      <w:r w:rsidR="005838A7" w:rsidRPr="00622F6C">
        <w:rPr>
          <w:rFonts w:ascii="Times New Roman" w:hAnsi="Times New Roman" w:cs="Times New Roman"/>
          <w:lang w:val="en-US"/>
        </w:rPr>
        <w:t>the event</w:t>
      </w:r>
      <w:r w:rsidR="003A6AE3" w:rsidRPr="00622F6C">
        <w:rPr>
          <w:rFonts w:ascii="Times New Roman" w:hAnsi="Times New Roman" w:cs="Times New Roman"/>
          <w:lang w:val="en-US"/>
        </w:rPr>
        <w:t xml:space="preserve"> dates</w:t>
      </w:r>
      <w:r w:rsidR="00A72CF6">
        <w:rPr>
          <w:rFonts w:ascii="Times New Roman" w:hAnsi="Times New Roman" w:cs="Times New Roman"/>
          <w:lang w:val="en-US"/>
        </w:rPr>
        <w:t xml:space="preserve">, </w:t>
      </w:r>
      <w:r w:rsidR="003A6AE3" w:rsidRPr="00622F6C">
        <w:rPr>
          <w:rFonts w:ascii="Times New Roman" w:eastAsiaTheme="minorEastAsia" w:hAnsi="Times New Roman" w:cs="Times New Roman"/>
          <w:lang w:val="en-US"/>
        </w:rPr>
        <w:t>by re-estimating</w:t>
      </w:r>
      <w:r w:rsidR="00A843DB" w:rsidRPr="00622F6C">
        <w:rPr>
          <w:rFonts w:ascii="Times New Roman" w:eastAsiaTheme="minorEastAsia" w:hAnsi="Times New Roman" w:cs="Times New Roman"/>
          <w:lang w:val="en-US"/>
        </w:rPr>
        <w:t xml:space="preserve"> Equation (1) with different definitions of the event dummy variable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r>
          <w:rPr>
            <w:rFonts w:ascii="Cambria Math" w:hAnsi="Cambria Math" w:cs="Times New Roman"/>
            <w:lang w:val="en-US"/>
          </w:rPr>
          <m:t xml:space="preserve">  </m:t>
        </m:r>
      </m:oMath>
      <w:r w:rsidR="00A843DB" w:rsidRPr="00622F6C">
        <w:rPr>
          <w:rFonts w:ascii="Times New Roman" w:eastAsiaTheme="minorEastAsia" w:hAnsi="Times New Roman" w:cs="Times New Roman"/>
          <w:lang w:val="en-US"/>
        </w:rPr>
        <w:t xml:space="preserve">. In Row (2), we set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oMath>
      <w:r w:rsidR="00A843DB" w:rsidRPr="00622F6C">
        <w:rPr>
          <w:rFonts w:ascii="Times New Roman" w:eastAsiaTheme="minorEastAsia" w:hAnsi="Times New Roman" w:cs="Times New Roman"/>
          <w:lang w:val="en-US"/>
        </w:rPr>
        <w:t xml:space="preserve"> equal to one for the event date and the trading day </w:t>
      </w:r>
      <w:r w:rsidR="00BB1DDE">
        <w:rPr>
          <w:rFonts w:ascii="Times New Roman" w:eastAsiaTheme="minorEastAsia" w:hAnsi="Times New Roman" w:cs="Times New Roman"/>
          <w:lang w:val="en-US"/>
        </w:rPr>
        <w:t>after</w:t>
      </w:r>
      <w:r w:rsidR="00A843DB" w:rsidRPr="00622F6C">
        <w:rPr>
          <w:rFonts w:ascii="Times New Roman" w:eastAsiaTheme="minorEastAsia" w:hAnsi="Times New Roman" w:cs="Times New Roman"/>
          <w:lang w:val="en-US"/>
        </w:rPr>
        <w:t xml:space="preserve"> the event date, except </w:t>
      </w:r>
      <w:r w:rsidR="00904FCF">
        <w:rPr>
          <w:rFonts w:ascii="Times New Roman" w:eastAsiaTheme="minorEastAsia" w:hAnsi="Times New Roman" w:cs="Times New Roman"/>
          <w:lang w:val="en-US"/>
        </w:rPr>
        <w:t>in the case of</w:t>
      </w:r>
      <w:r w:rsidR="00904FCF" w:rsidRPr="00622F6C">
        <w:rPr>
          <w:rFonts w:ascii="Times New Roman" w:eastAsiaTheme="minorEastAsia" w:hAnsi="Times New Roman" w:cs="Times New Roman"/>
          <w:lang w:val="en-US"/>
        </w:rPr>
        <w:t xml:space="preserve"> </w:t>
      </w:r>
      <w:r w:rsidR="00FD2ACD" w:rsidRPr="00622F6C">
        <w:rPr>
          <w:rFonts w:ascii="Times New Roman" w:eastAsiaTheme="minorEastAsia" w:hAnsi="Times New Roman" w:cs="Times New Roman"/>
          <w:lang w:val="en-US"/>
        </w:rPr>
        <w:t>e</w:t>
      </w:r>
      <w:r w:rsidR="00A843DB" w:rsidRPr="00622F6C">
        <w:rPr>
          <w:rFonts w:ascii="Times New Roman" w:eastAsiaTheme="minorEastAsia" w:hAnsi="Times New Roman" w:cs="Times New Roman"/>
          <w:lang w:val="en-US"/>
        </w:rPr>
        <w:t xml:space="preserve">vent 5 where we set it equal to </w:t>
      </w:r>
      <w:r w:rsidR="00904FCF">
        <w:rPr>
          <w:rFonts w:ascii="Times New Roman" w:hAnsi="Times New Roman" w:cs="Times New Roman"/>
          <w:lang w:val="en-US"/>
        </w:rPr>
        <w:t>minus one</w:t>
      </w:r>
      <w:r w:rsidR="00A843DB" w:rsidRPr="00622F6C">
        <w:rPr>
          <w:rFonts w:ascii="Times New Roman" w:hAnsi="Times New Roman" w:cs="Times New Roman"/>
          <w:lang w:val="en-US"/>
        </w:rPr>
        <w:t xml:space="preserve"> on </w:t>
      </w:r>
      <w:r w:rsidR="00DE5C5C">
        <w:rPr>
          <w:rFonts w:ascii="Times New Roman" w:hAnsi="Times New Roman" w:cs="Times New Roman"/>
          <w:lang w:val="en-US"/>
        </w:rPr>
        <w:t>these days</w:t>
      </w:r>
      <w:r w:rsidR="00FD2ACD" w:rsidRPr="00622F6C">
        <w:rPr>
          <w:rFonts w:ascii="Times New Roman" w:hAnsi="Times New Roman" w:cs="Times New Roman"/>
          <w:lang w:val="en-US"/>
        </w:rPr>
        <w:t xml:space="preserve">. In Rows (3) and (4), we adopt analogous definitions of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oMath>
      <w:r w:rsidR="00FD2ACD" w:rsidRPr="00622F6C">
        <w:rPr>
          <w:rFonts w:ascii="Times New Roman" w:hAnsi="Times New Roman" w:cs="Times New Roman"/>
          <w:lang w:val="en-US"/>
        </w:rPr>
        <w:t xml:space="preserve"> for event windows</w:t>
      </w:r>
      <w:r w:rsidR="00BB1DDE">
        <w:rPr>
          <w:rFonts w:ascii="Times New Roman" w:hAnsi="Times New Roman" w:cs="Times New Roman"/>
          <w:lang w:val="en-US"/>
        </w:rPr>
        <w:t xml:space="preserve"> including the trading day before the event date</w:t>
      </w:r>
      <w:r w:rsidR="00FD2ACD" w:rsidRPr="00622F6C">
        <w:rPr>
          <w:rFonts w:ascii="Times New Roman" w:hAnsi="Times New Roman" w:cs="Times New Roman"/>
          <w:lang w:val="en-US"/>
        </w:rPr>
        <w:t xml:space="preserve">. </w:t>
      </w:r>
      <w:r w:rsidR="00DE5C5C">
        <w:rPr>
          <w:rFonts w:ascii="Times New Roman" w:hAnsi="Times New Roman" w:cs="Times New Roman"/>
          <w:lang w:val="en-US"/>
        </w:rPr>
        <w:t>T</w:t>
      </w:r>
      <w:r w:rsidR="003A6AE3" w:rsidRPr="00622F6C">
        <w:rPr>
          <w:rFonts w:ascii="Times New Roman" w:hAnsi="Times New Roman" w:cs="Times New Roman"/>
          <w:lang w:val="en-US"/>
        </w:rPr>
        <w:t>hese alternative event dummies have n</w:t>
      </w:r>
      <w:r w:rsidR="001A77ED" w:rsidRPr="00622F6C">
        <w:rPr>
          <w:rFonts w:ascii="Times New Roman" w:hAnsi="Times New Roman" w:cs="Times New Roman"/>
          <w:lang w:val="en-US"/>
        </w:rPr>
        <w:t>o significant coefficients either</w:t>
      </w:r>
      <w:r w:rsidR="003A6AE3" w:rsidRPr="00622F6C">
        <w:rPr>
          <w:rFonts w:ascii="Times New Roman" w:hAnsi="Times New Roman" w:cs="Times New Roman"/>
          <w:lang w:val="en-US"/>
        </w:rPr>
        <w:t xml:space="preserve">. </w:t>
      </w:r>
      <w:r w:rsidR="00A72CF6">
        <w:rPr>
          <w:rFonts w:ascii="Times New Roman" w:hAnsi="Times New Roman" w:cs="Times New Roman"/>
          <w:lang w:val="en-US"/>
        </w:rPr>
        <w:t xml:space="preserve">Following the general rule that event study windows should be as short as possible to mitigate contamination from surrounding events (McWilliams and Siegel, 1997), we use a one-day event window in the remainder of our study, consistent with several other </w:t>
      </w:r>
      <w:r w:rsidR="002D321B">
        <w:rPr>
          <w:rFonts w:ascii="Times New Roman" w:hAnsi="Times New Roman" w:cs="Times New Roman"/>
        </w:rPr>
        <w:t>policy event studies (Chh</w:t>
      </w:r>
      <w:r w:rsidR="00A72CF6" w:rsidRPr="00F52F93">
        <w:rPr>
          <w:rFonts w:ascii="Times New Roman" w:hAnsi="Times New Roman" w:cs="Times New Roman"/>
        </w:rPr>
        <w:t>aochharia and Grinstein, 2007;</w:t>
      </w:r>
      <w:r w:rsidR="00464907">
        <w:rPr>
          <w:rFonts w:ascii="Times New Roman" w:hAnsi="Times New Roman" w:cs="Times New Roman"/>
        </w:rPr>
        <w:t xml:space="preserve"> Larcker </w:t>
      </w:r>
      <w:r w:rsidR="00A72CF6" w:rsidRPr="00F52F93">
        <w:rPr>
          <w:rFonts w:ascii="Times New Roman" w:hAnsi="Times New Roman" w:cs="Times New Roman"/>
        </w:rPr>
        <w:t>et al., 2011).</w:t>
      </w:r>
      <w:r w:rsidR="003A6AE3" w:rsidRPr="00622F6C">
        <w:rPr>
          <w:rFonts w:ascii="Times New Roman" w:hAnsi="Times New Roman" w:cs="Times New Roman"/>
          <w:lang w:val="en-US"/>
        </w:rPr>
        <w:t xml:space="preserve"> </w:t>
      </w:r>
    </w:p>
    <w:p w14:paraId="49561231" w14:textId="77777777" w:rsidR="00A843DB" w:rsidRPr="00622F6C" w:rsidRDefault="003A6AE3" w:rsidP="006E6FAF">
      <w:pPr>
        <w:spacing w:after="0" w:line="480" w:lineRule="auto"/>
        <w:ind w:firstLine="426"/>
        <w:jc w:val="both"/>
        <w:rPr>
          <w:rFonts w:ascii="Times New Roman" w:eastAsiaTheme="minorEastAsia" w:hAnsi="Times New Roman" w:cs="Times New Roman"/>
          <w:lang w:val="en-US"/>
        </w:rPr>
      </w:pPr>
      <w:r w:rsidRPr="00622F6C">
        <w:rPr>
          <w:rFonts w:ascii="Times New Roman" w:eastAsiaTheme="minorEastAsia" w:hAnsi="Times New Roman" w:cs="Times New Roman"/>
          <w:lang w:val="en-US"/>
        </w:rPr>
        <w:t xml:space="preserve">Although </w:t>
      </w:r>
      <w:r w:rsidR="009C4422">
        <w:rPr>
          <w:rFonts w:ascii="Times New Roman" w:eastAsiaTheme="minorEastAsia" w:hAnsi="Times New Roman" w:cs="Times New Roman"/>
          <w:lang w:val="en-US"/>
        </w:rPr>
        <w:t>we are primarily interested in</w:t>
      </w:r>
      <w:r w:rsidRPr="00622F6C">
        <w:rPr>
          <w:rFonts w:ascii="Times New Roman" w:eastAsiaTheme="minorEastAsia" w:hAnsi="Times New Roman" w:cs="Times New Roman"/>
          <w:lang w:val="en-US"/>
        </w:rPr>
        <w:t xml:space="preserve"> the stock price effects of the eight </w:t>
      </w:r>
      <w:r w:rsidR="002C5BAD">
        <w:rPr>
          <w:rFonts w:ascii="Times New Roman" w:eastAsiaTheme="minorEastAsia" w:hAnsi="Times New Roman" w:cs="Times New Roman"/>
          <w:lang w:val="en-US"/>
        </w:rPr>
        <w:t>events</w:t>
      </w:r>
      <w:r w:rsidR="002C5BAD" w:rsidRPr="00622F6C">
        <w:rPr>
          <w:rFonts w:ascii="Times New Roman" w:eastAsiaTheme="minorEastAsia" w:hAnsi="Times New Roman" w:cs="Times New Roman"/>
          <w:lang w:val="en-US"/>
        </w:rPr>
        <w:t xml:space="preserve"> </w:t>
      </w:r>
      <w:r w:rsidRPr="00622F6C">
        <w:rPr>
          <w:rFonts w:ascii="Times New Roman" w:eastAsiaTheme="minorEastAsia" w:hAnsi="Times New Roman" w:cs="Times New Roman"/>
          <w:lang w:val="en-US"/>
        </w:rPr>
        <w:t xml:space="preserve">combined, we also verify the abnormal stock return associated with </w:t>
      </w:r>
      <w:r w:rsidR="002C5BAD">
        <w:rPr>
          <w:rFonts w:ascii="Times New Roman" w:eastAsiaTheme="minorEastAsia" w:hAnsi="Times New Roman" w:cs="Times New Roman"/>
          <w:lang w:val="en-US"/>
        </w:rPr>
        <w:t xml:space="preserve">each of </w:t>
      </w:r>
      <w:r w:rsidRPr="00622F6C">
        <w:rPr>
          <w:rFonts w:ascii="Times New Roman" w:eastAsiaTheme="minorEastAsia" w:hAnsi="Times New Roman" w:cs="Times New Roman"/>
          <w:lang w:val="en-US"/>
        </w:rPr>
        <w:t xml:space="preserve">the eight individual </w:t>
      </w:r>
      <w:r w:rsidR="00D62F42" w:rsidRPr="00622F6C">
        <w:rPr>
          <w:rFonts w:ascii="Times New Roman" w:eastAsiaTheme="minorEastAsia" w:hAnsi="Times New Roman" w:cs="Times New Roman"/>
          <w:lang w:val="en-US"/>
        </w:rPr>
        <w:t>events</w:t>
      </w:r>
      <w:r w:rsidRPr="00622F6C">
        <w:rPr>
          <w:rFonts w:ascii="Times New Roman" w:eastAsiaTheme="minorEastAsia" w:hAnsi="Times New Roman" w:cs="Times New Roman"/>
          <w:lang w:val="en-US"/>
        </w:rPr>
        <w:t xml:space="preserve"> by estimating the following regression: </w:t>
      </w:r>
    </w:p>
    <w:p w14:paraId="0604C203" w14:textId="77777777" w:rsidR="003A6AE3" w:rsidRPr="00622F6C" w:rsidRDefault="00F9130B" w:rsidP="00BB227D">
      <w:pPr>
        <w:tabs>
          <w:tab w:val="left" w:pos="8505"/>
        </w:tabs>
        <w:spacing w:after="0" w:line="480" w:lineRule="auto"/>
        <w:ind w:firstLine="426"/>
        <w:jc w:val="both"/>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pt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p</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p</m:t>
            </m:r>
          </m:sub>
        </m:sSub>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mt</m:t>
            </m:r>
          </m:sub>
        </m:sSub>
        <m:r>
          <w:rPr>
            <w:rFonts w:ascii="Cambria Math" w:hAnsi="Cambria Math" w:cs="Times New Roman"/>
            <w:lang w:val="en-US"/>
          </w:rPr>
          <m:t>+</m:t>
        </m:r>
        <m:nary>
          <m:naryPr>
            <m:chr m:val="∑"/>
            <m:limLoc m:val="undOvr"/>
            <m:ctrlPr>
              <w:rPr>
                <w:rFonts w:ascii="Cambria Math" w:hAnsi="Cambria Math" w:cs="Times New Roman"/>
                <w:i/>
                <w:lang w:val="en-US"/>
              </w:rPr>
            </m:ctrlPr>
          </m:naryPr>
          <m:sub>
            <m:r>
              <w:rPr>
                <w:rFonts w:ascii="Cambria Math" w:hAnsi="Cambria Math" w:cs="Times New Roman"/>
                <w:lang w:val="en-US"/>
              </w:rPr>
              <m:t>k=1</m:t>
            </m:r>
          </m:sub>
          <m:sup>
            <m:r>
              <w:rPr>
                <w:rFonts w:ascii="Cambria Math" w:hAnsi="Cambria Math" w:cs="Times New Roman"/>
                <w:lang w:val="en-US"/>
              </w:rPr>
              <m:t>8</m:t>
            </m:r>
          </m:sup>
          <m:e>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pk</m:t>
                </m:r>
              </m:sub>
            </m:sSub>
          </m:e>
        </m:nary>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kt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pt</m:t>
            </m:r>
          </m:sub>
        </m:sSub>
        <m:r>
          <w:rPr>
            <w:rFonts w:ascii="Cambria Math" w:hAnsi="Cambria Math" w:cs="Times New Roman"/>
            <w:lang w:val="en-US"/>
          </w:rPr>
          <m:t xml:space="preserve">  </m:t>
        </m:r>
      </m:oMath>
      <w:r w:rsidR="003A6AE3" w:rsidRPr="00622F6C">
        <w:rPr>
          <w:rFonts w:ascii="Times New Roman" w:eastAsiaTheme="minorEastAsia" w:hAnsi="Times New Roman" w:cs="Times New Roman"/>
          <w:lang w:val="en-US"/>
        </w:rPr>
        <w:t xml:space="preserve">                                                   </w:t>
      </w:r>
      <w:r w:rsidR="008E62D8" w:rsidRPr="00622F6C">
        <w:rPr>
          <w:rFonts w:ascii="Times New Roman" w:eastAsiaTheme="minorEastAsia" w:hAnsi="Times New Roman" w:cs="Times New Roman"/>
          <w:lang w:val="en-US"/>
        </w:rPr>
        <w:t xml:space="preserve">                            </w:t>
      </w:r>
      <w:r w:rsidR="003A6AE3" w:rsidRPr="00622F6C">
        <w:rPr>
          <w:rFonts w:ascii="Times New Roman" w:eastAsiaTheme="minorEastAsia" w:hAnsi="Times New Roman" w:cs="Times New Roman"/>
          <w:lang w:val="en-US"/>
        </w:rPr>
        <w:t>(2)</w:t>
      </w:r>
    </w:p>
    <w:p w14:paraId="2A01AE87" w14:textId="77777777" w:rsidR="002D321B" w:rsidRDefault="00F9130B" w:rsidP="00514388">
      <w:pPr>
        <w:spacing w:after="0" w:line="480" w:lineRule="auto"/>
        <w:ind w:firstLine="426"/>
        <w:jc w:val="both"/>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kt</m:t>
            </m:r>
          </m:sub>
        </m:sSub>
        <m:r>
          <w:rPr>
            <w:rFonts w:ascii="Cambria Math" w:hAnsi="Cambria Math" w:cs="Times New Roman"/>
            <w:lang w:val="en-US"/>
          </w:rPr>
          <m:t xml:space="preserve"> </m:t>
        </m:r>
      </m:oMath>
      <w:r w:rsidR="006E6FAF" w:rsidRPr="00622F6C">
        <w:rPr>
          <w:rFonts w:ascii="Times New Roman" w:eastAsiaTheme="minorEastAsia" w:hAnsi="Times New Roman" w:cs="Times New Roman"/>
          <w:lang w:val="en-US"/>
        </w:rPr>
        <w:t xml:space="preserve">is a dummy variable </w:t>
      </w:r>
      <w:r w:rsidR="00B248ED" w:rsidRPr="00622F6C">
        <w:rPr>
          <w:rFonts w:ascii="Times New Roman" w:eastAsiaTheme="minorEastAsia" w:hAnsi="Times New Roman" w:cs="Times New Roman"/>
          <w:lang w:val="en-US"/>
        </w:rPr>
        <w:t>equal to</w:t>
      </w:r>
      <w:r w:rsidR="006E6FAF" w:rsidRPr="00622F6C">
        <w:rPr>
          <w:rFonts w:ascii="Times New Roman" w:eastAsiaTheme="minorEastAsia" w:hAnsi="Times New Roman" w:cs="Times New Roman"/>
          <w:lang w:val="en-US"/>
        </w:rPr>
        <w:t xml:space="preserve"> one on the announcement date of event</w:t>
      </w:r>
      <w:r w:rsidR="003A6AE3" w:rsidRPr="00622F6C">
        <w:rPr>
          <w:rFonts w:ascii="Times New Roman" w:eastAsiaTheme="minorEastAsia" w:hAnsi="Times New Roman" w:cs="Times New Roman"/>
          <w:lang w:val="en-US"/>
        </w:rPr>
        <w:t xml:space="preserve"> </w:t>
      </w:r>
      <w:r w:rsidR="003A6AE3" w:rsidRPr="00622F6C">
        <w:rPr>
          <w:rFonts w:ascii="Times New Roman" w:eastAsiaTheme="minorEastAsia" w:hAnsi="Times New Roman" w:cs="Times New Roman"/>
          <w:i/>
          <w:lang w:val="en-US"/>
        </w:rPr>
        <w:t>k</w:t>
      </w:r>
      <w:r w:rsidR="006E6FAF" w:rsidRPr="00622F6C">
        <w:rPr>
          <w:rFonts w:ascii="Times New Roman" w:eastAsiaTheme="minorEastAsia" w:hAnsi="Times New Roman" w:cs="Times New Roman"/>
          <w:lang w:val="en-US"/>
        </w:rPr>
        <w:t xml:space="preserve">, and zero otherwise.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kt</m:t>
            </m:r>
          </m:sub>
        </m:sSub>
      </m:oMath>
      <w:r w:rsidR="009E3574" w:rsidRPr="00622F6C">
        <w:rPr>
          <w:rFonts w:ascii="Times New Roman" w:hAnsi="Times New Roman" w:cs="Times New Roman"/>
          <w:lang w:val="en-US"/>
        </w:rPr>
        <w:t>’s coefficient</w:t>
      </w:r>
      <w:r w:rsidR="006E6FAF" w:rsidRPr="00622F6C">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pk</m:t>
            </m:r>
          </m:sub>
        </m:sSub>
      </m:oMath>
      <w:r w:rsidR="00196EAA" w:rsidRPr="00622F6C">
        <w:rPr>
          <w:rFonts w:ascii="Times New Roman" w:eastAsiaTheme="minorEastAsia" w:hAnsi="Times New Roman" w:cs="Times New Roman"/>
          <w:lang w:val="en-US"/>
        </w:rPr>
        <w:t xml:space="preserve"> </w:t>
      </w:r>
      <w:r w:rsidR="006E6FAF" w:rsidRPr="00622F6C">
        <w:rPr>
          <w:rFonts w:ascii="Times New Roman" w:eastAsiaTheme="minorEastAsia" w:hAnsi="Times New Roman" w:cs="Times New Roman"/>
          <w:lang w:val="en-US"/>
        </w:rPr>
        <w:t xml:space="preserve">captures the </w:t>
      </w:r>
      <w:r w:rsidR="003A6AE3" w:rsidRPr="00622F6C">
        <w:rPr>
          <w:rFonts w:ascii="Times New Roman" w:eastAsiaTheme="minorEastAsia" w:hAnsi="Times New Roman" w:cs="Times New Roman"/>
          <w:lang w:val="en-US"/>
        </w:rPr>
        <w:t xml:space="preserve">abnormal </w:t>
      </w:r>
      <w:r w:rsidR="007C7AAE">
        <w:rPr>
          <w:rFonts w:ascii="Times New Roman" w:eastAsiaTheme="minorEastAsia" w:hAnsi="Times New Roman" w:cs="Times New Roman"/>
          <w:lang w:val="en-US"/>
        </w:rPr>
        <w:t>stock return</w:t>
      </w:r>
      <w:r w:rsidR="006E6FAF" w:rsidRPr="00622F6C">
        <w:rPr>
          <w:rFonts w:ascii="Times New Roman" w:eastAsiaTheme="minorEastAsia" w:hAnsi="Times New Roman" w:cs="Times New Roman"/>
          <w:lang w:val="en-US"/>
        </w:rPr>
        <w:t xml:space="preserve"> </w:t>
      </w:r>
      <w:r w:rsidR="00DE5C5C">
        <w:rPr>
          <w:rFonts w:ascii="Times New Roman" w:eastAsiaTheme="minorEastAsia" w:hAnsi="Times New Roman" w:cs="Times New Roman"/>
          <w:lang w:val="en-US"/>
        </w:rPr>
        <w:t>associated with</w:t>
      </w:r>
      <w:r w:rsidR="006E6FAF" w:rsidRPr="00622F6C">
        <w:rPr>
          <w:rFonts w:ascii="Times New Roman" w:eastAsiaTheme="minorEastAsia" w:hAnsi="Times New Roman" w:cs="Times New Roman"/>
          <w:lang w:val="en-US"/>
        </w:rPr>
        <w:t xml:space="preserve"> event </w:t>
      </w:r>
      <w:r w:rsidR="006E6FAF" w:rsidRPr="00622F6C">
        <w:rPr>
          <w:rFonts w:ascii="Times New Roman" w:eastAsiaTheme="minorEastAsia" w:hAnsi="Times New Roman" w:cs="Times New Roman"/>
          <w:i/>
          <w:lang w:val="en-US"/>
        </w:rPr>
        <w:t>k</w:t>
      </w:r>
      <w:r w:rsidR="00FD2ACD" w:rsidRPr="00622F6C">
        <w:rPr>
          <w:rFonts w:ascii="Times New Roman" w:eastAsiaTheme="minorEastAsia" w:hAnsi="Times New Roman" w:cs="Times New Roman"/>
          <w:lang w:val="en-US"/>
        </w:rPr>
        <w:t xml:space="preserve">, </w:t>
      </w:r>
      <w:r w:rsidR="009E3574" w:rsidRPr="00622F6C">
        <w:rPr>
          <w:rFonts w:ascii="Times New Roman" w:eastAsiaTheme="minorEastAsia" w:hAnsi="Times New Roman" w:cs="Times New Roman"/>
          <w:lang w:val="en-US"/>
        </w:rPr>
        <w:t xml:space="preserve">and is </w:t>
      </w:r>
      <w:r w:rsidR="00FD2ACD" w:rsidRPr="00622F6C">
        <w:rPr>
          <w:rFonts w:ascii="Times New Roman" w:eastAsiaTheme="minorEastAsia" w:hAnsi="Times New Roman" w:cs="Times New Roman"/>
          <w:lang w:val="en-US"/>
        </w:rPr>
        <w:t xml:space="preserve">therefore </w:t>
      </w:r>
      <w:r w:rsidR="009E3574" w:rsidRPr="00622F6C">
        <w:rPr>
          <w:rFonts w:ascii="Times New Roman" w:eastAsiaTheme="minorEastAsia" w:hAnsi="Times New Roman" w:cs="Times New Roman"/>
          <w:lang w:val="en-US"/>
        </w:rPr>
        <w:t xml:space="preserve">our </w:t>
      </w:r>
      <w:r w:rsidR="009C4422">
        <w:rPr>
          <w:rFonts w:ascii="Times New Roman" w:eastAsiaTheme="minorEastAsia" w:hAnsi="Times New Roman" w:cs="Times New Roman"/>
          <w:lang w:val="en-US"/>
        </w:rPr>
        <w:t xml:space="preserve">main </w:t>
      </w:r>
      <w:r w:rsidR="009E3574" w:rsidRPr="00622F6C">
        <w:rPr>
          <w:rFonts w:ascii="Times New Roman" w:eastAsiaTheme="minorEastAsia" w:hAnsi="Times New Roman" w:cs="Times New Roman"/>
          <w:lang w:val="en-US"/>
        </w:rPr>
        <w:t>coefficient of interest</w:t>
      </w:r>
      <w:r w:rsidR="003A6AE3" w:rsidRPr="00622F6C">
        <w:rPr>
          <w:rFonts w:ascii="Times New Roman" w:eastAsiaTheme="minorEastAsia" w:hAnsi="Times New Roman" w:cs="Times New Roman"/>
          <w:lang w:val="en-US"/>
        </w:rPr>
        <w:t xml:space="preserve">. </w:t>
      </w:r>
      <w:r w:rsidR="009E3574" w:rsidRPr="00622F6C">
        <w:rPr>
          <w:rFonts w:ascii="Times New Roman" w:eastAsiaTheme="minorEastAsia" w:hAnsi="Times New Roman" w:cs="Times New Roman"/>
          <w:lang w:val="en-US"/>
        </w:rPr>
        <w:t>All other regression parameters are defined as in</w:t>
      </w:r>
      <w:r w:rsidR="00B248ED" w:rsidRPr="00622F6C">
        <w:rPr>
          <w:rFonts w:ascii="Times New Roman" w:eastAsiaTheme="minorEastAsia" w:hAnsi="Times New Roman" w:cs="Times New Roman"/>
          <w:lang w:val="en-US"/>
        </w:rPr>
        <w:t xml:space="preserve"> Equation (1). Table 3, </w:t>
      </w:r>
      <w:r w:rsidR="00B248ED" w:rsidRPr="00622F6C">
        <w:rPr>
          <w:rFonts w:ascii="Times New Roman" w:eastAsiaTheme="minorEastAsia" w:hAnsi="Times New Roman" w:cs="Times New Roman"/>
          <w:lang w:val="en-US"/>
        </w:rPr>
        <w:lastRenderedPageBreak/>
        <w:t>Panel B</w:t>
      </w:r>
      <w:r w:rsidR="009E3574" w:rsidRPr="00622F6C">
        <w:rPr>
          <w:rFonts w:ascii="Times New Roman" w:eastAsiaTheme="minorEastAsia" w:hAnsi="Times New Roman" w:cs="Times New Roman"/>
          <w:lang w:val="en-US"/>
        </w:rPr>
        <w:t xml:space="preserve"> reports</w:t>
      </w:r>
      <w:r w:rsidR="002E42EB" w:rsidRPr="00622F6C">
        <w:rPr>
          <w:rFonts w:ascii="Times New Roman" w:eastAsiaTheme="minorEastAsia" w:hAnsi="Times New Roman" w:cs="Times New Roman"/>
          <w:lang w:val="en-US"/>
        </w:rPr>
        <w:t xml:space="preserve"> </w:t>
      </w:r>
      <w:r w:rsidR="002C5BAD">
        <w:rPr>
          <w:rFonts w:ascii="Times New Roman" w:eastAsiaTheme="minorEastAsia" w:hAnsi="Times New Roman" w:cs="Times New Roman"/>
          <w:lang w:val="en-US"/>
        </w:rPr>
        <w:t xml:space="preserve">the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pk</m:t>
            </m:r>
          </m:sub>
        </m:sSub>
      </m:oMath>
      <w:r w:rsidR="009E3574" w:rsidRPr="00622F6C">
        <w:rPr>
          <w:rFonts w:ascii="Times New Roman" w:eastAsiaTheme="minorEastAsia" w:hAnsi="Times New Roman" w:cs="Times New Roman"/>
          <w:lang w:val="en-US"/>
        </w:rPr>
        <w:t xml:space="preserve"> </w:t>
      </w:r>
      <w:r w:rsidR="003A6AE3" w:rsidRPr="00622F6C">
        <w:rPr>
          <w:rFonts w:ascii="Times New Roman" w:eastAsiaTheme="minorEastAsia" w:hAnsi="Times New Roman" w:cs="Times New Roman"/>
          <w:lang w:val="en-US"/>
        </w:rPr>
        <w:t xml:space="preserve">coefficients for the individual event dates. </w:t>
      </w:r>
      <w:r w:rsidR="005838A7" w:rsidRPr="00622F6C">
        <w:rPr>
          <w:rFonts w:ascii="Times New Roman" w:eastAsiaTheme="minorEastAsia" w:hAnsi="Times New Roman" w:cs="Times New Roman"/>
          <w:lang w:val="en-US"/>
        </w:rPr>
        <w:t xml:space="preserve">We do not find significant stock price reactions </w:t>
      </w:r>
      <w:r w:rsidR="002C5BAD">
        <w:rPr>
          <w:rFonts w:ascii="Times New Roman" w:eastAsiaTheme="minorEastAsia" w:hAnsi="Times New Roman" w:cs="Times New Roman"/>
          <w:lang w:val="en-US"/>
        </w:rPr>
        <w:t>to</w:t>
      </w:r>
      <w:r w:rsidR="002C5BAD" w:rsidRPr="00622F6C">
        <w:rPr>
          <w:rFonts w:ascii="Times New Roman" w:eastAsiaTheme="minorEastAsia" w:hAnsi="Times New Roman" w:cs="Times New Roman"/>
          <w:lang w:val="en-US"/>
        </w:rPr>
        <w:t xml:space="preserve"> </w:t>
      </w:r>
      <w:r w:rsidR="005838A7" w:rsidRPr="00622F6C">
        <w:rPr>
          <w:rFonts w:ascii="Times New Roman" w:eastAsiaTheme="minorEastAsia" w:hAnsi="Times New Roman" w:cs="Times New Roman"/>
          <w:lang w:val="en-US"/>
        </w:rPr>
        <w:t xml:space="preserve">any of the eight events. </w:t>
      </w:r>
    </w:p>
    <w:p w14:paraId="5ED11D58" w14:textId="4AF8131A" w:rsidR="00B248ED" w:rsidRPr="00622F6C" w:rsidRDefault="005F273B" w:rsidP="00514388">
      <w:pPr>
        <w:spacing w:after="0" w:line="480" w:lineRule="auto"/>
        <w:ind w:firstLine="426"/>
        <w:jc w:val="both"/>
        <w:rPr>
          <w:rFonts w:ascii="Times New Roman" w:eastAsiaTheme="minorEastAsia" w:hAnsi="Times New Roman" w:cs="Times New Roman"/>
          <w:lang w:val="en-US"/>
        </w:rPr>
      </w:pPr>
      <w:r w:rsidRPr="00622F6C">
        <w:rPr>
          <w:rFonts w:ascii="Times New Roman" w:hAnsi="Times New Roman" w:cs="Times New Roman"/>
          <w:lang w:val="en-US"/>
        </w:rPr>
        <w:t xml:space="preserve">Finally, </w:t>
      </w:r>
      <w:r w:rsidR="005838A7" w:rsidRPr="00622F6C">
        <w:rPr>
          <w:rFonts w:ascii="Times New Roman" w:hAnsi="Times New Roman" w:cs="Times New Roman"/>
          <w:lang w:val="en-US"/>
        </w:rPr>
        <w:t>Panel C</w:t>
      </w:r>
      <w:r w:rsidRPr="00622F6C">
        <w:rPr>
          <w:rFonts w:ascii="Times New Roman" w:hAnsi="Times New Roman" w:cs="Times New Roman"/>
          <w:lang w:val="en-US"/>
        </w:rPr>
        <w:t xml:space="preserve"> replicates the analysis in Panel A for a number of alternative samples. </w:t>
      </w:r>
      <w:r w:rsidR="00367EAA">
        <w:rPr>
          <w:rFonts w:ascii="Times New Roman" w:eastAsiaTheme="minorEastAsia" w:hAnsi="Times New Roman" w:cs="Times New Roman"/>
          <w:lang w:val="en-US"/>
        </w:rPr>
        <w:t xml:space="preserve">Firms that are too small to fall under the TISC clause might still want to comply with the requirements of the clause, following an increase in </w:t>
      </w:r>
      <w:r w:rsidR="009C4422">
        <w:rPr>
          <w:rFonts w:ascii="Times New Roman" w:eastAsiaTheme="minorEastAsia" w:hAnsi="Times New Roman" w:cs="Times New Roman"/>
          <w:lang w:val="en-US"/>
        </w:rPr>
        <w:t>societal</w:t>
      </w:r>
      <w:r w:rsidR="00367EAA">
        <w:rPr>
          <w:rFonts w:ascii="Times New Roman" w:eastAsiaTheme="minorEastAsia" w:hAnsi="Times New Roman" w:cs="Times New Roman"/>
          <w:lang w:val="en-US"/>
        </w:rPr>
        <w:t xml:space="preserve"> awareness around modern slavery issues resulting from the MSA. Consistent with this intuition, an initial analysis of TISC statements suggests that 9% of the</w:t>
      </w:r>
      <w:r w:rsidR="007C7AAE">
        <w:rPr>
          <w:rFonts w:ascii="Times New Roman" w:eastAsiaTheme="minorEastAsia" w:hAnsi="Times New Roman" w:cs="Times New Roman"/>
          <w:lang w:val="en-US"/>
        </w:rPr>
        <w:t>se</w:t>
      </w:r>
      <w:r w:rsidR="00367EAA">
        <w:rPr>
          <w:rFonts w:ascii="Times New Roman" w:eastAsiaTheme="minorEastAsia" w:hAnsi="Times New Roman" w:cs="Times New Roman"/>
          <w:lang w:val="en-US"/>
        </w:rPr>
        <w:t xml:space="preserve"> statements come from firms with sales below the TISC threshold (Ergon Associates, 2017). Moreover, firms that do not fall under the TISC clause </w:t>
      </w:r>
      <w:r w:rsidR="00150624">
        <w:rPr>
          <w:rFonts w:ascii="Times New Roman" w:eastAsiaTheme="minorEastAsia" w:hAnsi="Times New Roman" w:cs="Times New Roman"/>
          <w:lang w:val="en-US"/>
        </w:rPr>
        <w:t>may</w:t>
      </w:r>
      <w:r w:rsidR="00367EAA">
        <w:rPr>
          <w:rFonts w:ascii="Times New Roman" w:eastAsiaTheme="minorEastAsia" w:hAnsi="Times New Roman" w:cs="Times New Roman"/>
          <w:lang w:val="en-US"/>
        </w:rPr>
        <w:t xml:space="preserve"> still be affected by other elements of the MSA, such as </w:t>
      </w:r>
      <w:r w:rsidR="00DE5C5C">
        <w:rPr>
          <w:rFonts w:ascii="Times New Roman" w:eastAsiaTheme="minorEastAsia" w:hAnsi="Times New Roman" w:cs="Times New Roman"/>
          <w:lang w:val="en-US"/>
        </w:rPr>
        <w:t>an increased</w:t>
      </w:r>
      <w:r w:rsidR="00367EAA">
        <w:rPr>
          <w:rFonts w:ascii="Times New Roman" w:eastAsiaTheme="minorEastAsia" w:hAnsi="Times New Roman" w:cs="Times New Roman"/>
          <w:lang w:val="en-US"/>
        </w:rPr>
        <w:t xml:space="preserve"> risk of slavery-related convictions. </w:t>
      </w:r>
      <w:r w:rsidR="007C7AAE">
        <w:rPr>
          <w:rFonts w:ascii="Times New Roman" w:eastAsiaTheme="minorEastAsia" w:hAnsi="Times New Roman" w:cs="Times New Roman"/>
          <w:lang w:val="en-US"/>
        </w:rPr>
        <w:t>Row (1</w:t>
      </w:r>
      <w:r w:rsidR="00C65971" w:rsidRPr="00622F6C">
        <w:rPr>
          <w:rFonts w:ascii="Times New Roman" w:eastAsiaTheme="minorEastAsia" w:hAnsi="Times New Roman" w:cs="Times New Roman"/>
          <w:lang w:val="en-US"/>
        </w:rPr>
        <w:t xml:space="preserve">) </w:t>
      </w:r>
      <w:r w:rsidR="00150624">
        <w:rPr>
          <w:rFonts w:ascii="Times New Roman" w:eastAsiaTheme="minorEastAsia" w:hAnsi="Times New Roman" w:cs="Times New Roman"/>
          <w:lang w:val="en-US"/>
        </w:rPr>
        <w:t xml:space="preserve">therefore </w:t>
      </w:r>
      <w:r w:rsidR="00C65971" w:rsidRPr="00622F6C">
        <w:rPr>
          <w:rFonts w:ascii="Times New Roman" w:eastAsiaTheme="minorEastAsia" w:hAnsi="Times New Roman" w:cs="Times New Roman"/>
          <w:lang w:val="en-US"/>
        </w:rPr>
        <w:t>examines a portfolio of</w:t>
      </w:r>
      <w:r w:rsidR="00DE5C5C">
        <w:rPr>
          <w:rFonts w:ascii="Times New Roman" w:eastAsiaTheme="minorEastAsia" w:hAnsi="Times New Roman" w:cs="Times New Roman"/>
          <w:lang w:val="en-US"/>
        </w:rPr>
        <w:t xml:space="preserve"> UK</w:t>
      </w:r>
      <w:r w:rsidR="00C65971" w:rsidRPr="00622F6C">
        <w:rPr>
          <w:rFonts w:ascii="Times New Roman" w:eastAsiaTheme="minorEastAsia" w:hAnsi="Times New Roman" w:cs="Times New Roman"/>
          <w:lang w:val="en-US"/>
        </w:rPr>
        <w:t xml:space="preserve"> firms </w:t>
      </w:r>
      <w:r w:rsidR="008B6B6C" w:rsidRPr="00622F6C">
        <w:rPr>
          <w:rFonts w:ascii="Times New Roman" w:eastAsiaTheme="minorEastAsia" w:hAnsi="Times New Roman" w:cs="Times New Roman"/>
          <w:lang w:val="en-US"/>
        </w:rPr>
        <w:t xml:space="preserve">constructed following the cleaning steps </w:t>
      </w:r>
      <w:r w:rsidR="009C4422">
        <w:rPr>
          <w:rFonts w:ascii="Times New Roman" w:eastAsiaTheme="minorEastAsia" w:hAnsi="Times New Roman" w:cs="Times New Roman"/>
          <w:lang w:val="en-US"/>
        </w:rPr>
        <w:t xml:space="preserve">listed in </w:t>
      </w:r>
      <w:r w:rsidR="008B6B6C" w:rsidRPr="00622F6C">
        <w:rPr>
          <w:rFonts w:ascii="Times New Roman" w:eastAsiaTheme="minorEastAsia" w:hAnsi="Times New Roman" w:cs="Times New Roman"/>
          <w:lang w:val="en-US"/>
        </w:rPr>
        <w:t xml:space="preserve">Table 2, except that we impose the restriction </w:t>
      </w:r>
      <w:r w:rsidR="002C5BAD">
        <w:rPr>
          <w:rFonts w:ascii="Times New Roman" w:eastAsiaTheme="minorEastAsia" w:hAnsi="Times New Roman" w:cs="Times New Roman"/>
          <w:lang w:val="en-US"/>
        </w:rPr>
        <w:t>that they have</w:t>
      </w:r>
      <w:r w:rsidR="00305D64" w:rsidRPr="00622F6C">
        <w:rPr>
          <w:rFonts w:ascii="Times New Roman" w:eastAsiaTheme="minorEastAsia" w:hAnsi="Times New Roman" w:cs="Times New Roman"/>
          <w:lang w:val="en-US"/>
        </w:rPr>
        <w:t xml:space="preserve"> an</w:t>
      </w:r>
      <w:r w:rsidR="008B6B6C" w:rsidRPr="00622F6C">
        <w:rPr>
          <w:rFonts w:ascii="Times New Roman" w:eastAsiaTheme="minorEastAsia" w:hAnsi="Times New Roman" w:cs="Times New Roman"/>
          <w:lang w:val="en-US"/>
        </w:rPr>
        <w:t xml:space="preserve"> </w:t>
      </w:r>
      <w:r w:rsidR="00C65971" w:rsidRPr="00622F6C">
        <w:rPr>
          <w:rFonts w:ascii="Times New Roman" w:eastAsiaTheme="minorEastAsia" w:hAnsi="Times New Roman" w:cs="Times New Roman"/>
          <w:lang w:val="en-US"/>
        </w:rPr>
        <w:t xml:space="preserve">annual </w:t>
      </w:r>
      <w:r w:rsidR="00305D64" w:rsidRPr="00622F6C">
        <w:rPr>
          <w:rFonts w:ascii="Times New Roman" w:eastAsiaTheme="minorEastAsia" w:hAnsi="Times New Roman" w:cs="Times New Roman"/>
          <w:lang w:val="en-US"/>
        </w:rPr>
        <w:t xml:space="preserve">turnover </w:t>
      </w:r>
      <w:r w:rsidR="00C65971" w:rsidRPr="00622F6C">
        <w:rPr>
          <w:rFonts w:ascii="Times New Roman" w:eastAsiaTheme="minorEastAsia" w:hAnsi="Times New Roman" w:cs="Times New Roman"/>
          <w:lang w:val="en-US"/>
        </w:rPr>
        <w:t>lower than £36 million</w:t>
      </w:r>
      <w:r w:rsidR="008B6B6C" w:rsidRPr="00622F6C">
        <w:rPr>
          <w:rFonts w:ascii="Times New Roman" w:eastAsiaTheme="minorEastAsia" w:hAnsi="Times New Roman" w:cs="Times New Roman"/>
          <w:lang w:val="en-US"/>
        </w:rPr>
        <w:t xml:space="preserve">. </w:t>
      </w:r>
      <w:r w:rsidR="00AF499F" w:rsidRPr="00622F6C">
        <w:rPr>
          <w:rFonts w:ascii="Times New Roman" w:eastAsiaTheme="minorEastAsia" w:hAnsi="Times New Roman" w:cs="Times New Roman"/>
          <w:lang w:val="en-US"/>
        </w:rPr>
        <w:t>We do not find significant stock price reactions</w:t>
      </w:r>
      <w:r w:rsidR="0008126B">
        <w:rPr>
          <w:rFonts w:ascii="Times New Roman" w:eastAsiaTheme="minorEastAsia" w:hAnsi="Times New Roman" w:cs="Times New Roman"/>
          <w:lang w:val="en-US"/>
        </w:rPr>
        <w:t xml:space="preserve">. We note, however, </w:t>
      </w:r>
      <w:r w:rsidR="00AF499F" w:rsidRPr="00622F6C">
        <w:rPr>
          <w:rFonts w:ascii="Times New Roman" w:eastAsiaTheme="minorEastAsia" w:hAnsi="Times New Roman" w:cs="Times New Roman"/>
          <w:lang w:val="en-US"/>
        </w:rPr>
        <w:t>that this portfolio only includes 12 firm</w:t>
      </w:r>
      <w:r w:rsidR="00CE57EC" w:rsidRPr="00622F6C">
        <w:rPr>
          <w:rFonts w:ascii="Times New Roman" w:eastAsiaTheme="minorEastAsia" w:hAnsi="Times New Roman" w:cs="Times New Roman"/>
          <w:lang w:val="en-US"/>
        </w:rPr>
        <w:t>s</w:t>
      </w:r>
      <w:r w:rsidR="0008126B">
        <w:rPr>
          <w:rFonts w:ascii="Times New Roman" w:eastAsiaTheme="minorEastAsia" w:hAnsi="Times New Roman" w:cs="Times New Roman"/>
          <w:lang w:val="en-US"/>
        </w:rPr>
        <w:t>,</w:t>
      </w:r>
      <w:r w:rsidR="00CE57EC" w:rsidRPr="00622F6C">
        <w:rPr>
          <w:rFonts w:ascii="Times New Roman" w:eastAsiaTheme="minorEastAsia" w:hAnsi="Times New Roman" w:cs="Times New Roman"/>
          <w:lang w:val="en-US"/>
        </w:rPr>
        <w:t xml:space="preserve"> as</w:t>
      </w:r>
      <w:r w:rsidR="00CC3312">
        <w:rPr>
          <w:rFonts w:ascii="Times New Roman" w:eastAsiaTheme="minorEastAsia" w:hAnsi="Times New Roman" w:cs="Times New Roman"/>
          <w:lang w:val="en-US"/>
        </w:rPr>
        <w:t xml:space="preserve"> </w:t>
      </w:r>
      <w:r w:rsidR="00CE57EC" w:rsidRPr="00622F6C">
        <w:rPr>
          <w:rFonts w:ascii="Times New Roman" w:eastAsiaTheme="minorEastAsia" w:hAnsi="Times New Roman" w:cs="Times New Roman"/>
          <w:lang w:val="en-US"/>
        </w:rPr>
        <w:t>most FTSE All-Share Index constituent</w:t>
      </w:r>
      <w:r w:rsidR="00AF499F" w:rsidRPr="00622F6C">
        <w:rPr>
          <w:rFonts w:ascii="Times New Roman" w:eastAsiaTheme="minorEastAsia" w:hAnsi="Times New Roman" w:cs="Times New Roman"/>
          <w:lang w:val="en-US"/>
        </w:rPr>
        <w:t>s</w:t>
      </w:r>
      <w:r w:rsidR="00CC3312">
        <w:rPr>
          <w:rFonts w:ascii="Times New Roman" w:eastAsiaTheme="minorEastAsia" w:hAnsi="Times New Roman" w:cs="Times New Roman"/>
          <w:lang w:val="en-US"/>
        </w:rPr>
        <w:t xml:space="preserve"> </w:t>
      </w:r>
      <w:r w:rsidR="0008126B">
        <w:rPr>
          <w:rFonts w:ascii="Times New Roman" w:eastAsiaTheme="minorEastAsia" w:hAnsi="Times New Roman" w:cs="Times New Roman"/>
          <w:lang w:val="en-US"/>
        </w:rPr>
        <w:t xml:space="preserve">have a </w:t>
      </w:r>
      <w:r w:rsidR="004C52C9">
        <w:rPr>
          <w:rFonts w:ascii="Times New Roman" w:eastAsiaTheme="minorEastAsia" w:hAnsi="Times New Roman" w:cs="Times New Roman"/>
          <w:lang w:val="en-US"/>
        </w:rPr>
        <w:t xml:space="preserve">turnover </w:t>
      </w:r>
      <w:r w:rsidR="00AF499F" w:rsidRPr="00622F6C">
        <w:rPr>
          <w:rFonts w:ascii="Times New Roman" w:eastAsiaTheme="minorEastAsia" w:hAnsi="Times New Roman" w:cs="Times New Roman"/>
          <w:lang w:val="en-US"/>
        </w:rPr>
        <w:t xml:space="preserve">well above £36 million. </w:t>
      </w:r>
      <w:r w:rsidR="00ED529D" w:rsidRPr="00622F6C">
        <w:rPr>
          <w:rFonts w:ascii="Times New Roman" w:eastAsiaTheme="minorEastAsia" w:hAnsi="Times New Roman" w:cs="Times New Roman"/>
          <w:lang w:val="en-US"/>
        </w:rPr>
        <w:t>Th</w:t>
      </w:r>
      <w:r w:rsidR="0008126B">
        <w:rPr>
          <w:rFonts w:ascii="Times New Roman" w:eastAsiaTheme="minorEastAsia" w:hAnsi="Times New Roman" w:cs="Times New Roman"/>
          <w:lang w:val="en-US"/>
        </w:rPr>
        <w:t>is</w:t>
      </w:r>
      <w:r w:rsidR="00ED529D" w:rsidRPr="00622F6C">
        <w:rPr>
          <w:rFonts w:ascii="Times New Roman" w:eastAsiaTheme="minorEastAsia" w:hAnsi="Times New Roman" w:cs="Times New Roman"/>
          <w:lang w:val="en-US"/>
        </w:rPr>
        <w:t xml:space="preserve"> small number of uncovered firms </w:t>
      </w:r>
      <w:r w:rsidR="009C4422">
        <w:rPr>
          <w:rFonts w:ascii="Times New Roman" w:eastAsiaTheme="minorEastAsia" w:hAnsi="Times New Roman" w:cs="Times New Roman"/>
          <w:lang w:val="en-US"/>
        </w:rPr>
        <w:t>implies</w:t>
      </w:r>
      <w:r w:rsidR="002C5BAD" w:rsidRPr="00622F6C">
        <w:rPr>
          <w:rFonts w:ascii="Times New Roman" w:eastAsiaTheme="minorEastAsia" w:hAnsi="Times New Roman" w:cs="Times New Roman"/>
          <w:lang w:val="en-US"/>
        </w:rPr>
        <w:t xml:space="preserve"> </w:t>
      </w:r>
      <w:r w:rsidR="002C5BAD">
        <w:rPr>
          <w:rFonts w:ascii="Times New Roman" w:eastAsiaTheme="minorEastAsia" w:hAnsi="Times New Roman" w:cs="Times New Roman"/>
          <w:lang w:val="en-US"/>
        </w:rPr>
        <w:t>we cannot</w:t>
      </w:r>
      <w:r w:rsidR="00ED529D" w:rsidRPr="00622F6C">
        <w:rPr>
          <w:rFonts w:ascii="Times New Roman" w:eastAsiaTheme="minorEastAsia" w:hAnsi="Times New Roman" w:cs="Times New Roman"/>
          <w:lang w:val="en-US"/>
        </w:rPr>
        <w:t xml:space="preserve"> </w:t>
      </w:r>
      <w:r w:rsidR="00131A42" w:rsidRPr="00622F6C">
        <w:rPr>
          <w:rFonts w:ascii="Times New Roman" w:eastAsiaTheme="minorEastAsia" w:hAnsi="Times New Roman" w:cs="Times New Roman"/>
          <w:lang w:val="en-US"/>
        </w:rPr>
        <w:t>conduct a meaningful difference</w:t>
      </w:r>
      <w:r w:rsidR="00ED529D" w:rsidRPr="00622F6C">
        <w:rPr>
          <w:rFonts w:ascii="Times New Roman" w:eastAsiaTheme="minorEastAsia" w:hAnsi="Times New Roman" w:cs="Times New Roman"/>
          <w:lang w:val="en-US"/>
        </w:rPr>
        <w:t xml:space="preserve">-in-differences analysis with </w:t>
      </w:r>
      <w:r w:rsidR="002C5BAD">
        <w:rPr>
          <w:rFonts w:ascii="Times New Roman" w:eastAsiaTheme="minorEastAsia" w:hAnsi="Times New Roman" w:cs="Times New Roman"/>
          <w:lang w:val="en-US"/>
        </w:rPr>
        <w:t xml:space="preserve">respect to </w:t>
      </w:r>
      <w:r w:rsidR="00ED529D" w:rsidRPr="00622F6C">
        <w:rPr>
          <w:rFonts w:ascii="Times New Roman" w:eastAsiaTheme="minorEastAsia" w:hAnsi="Times New Roman" w:cs="Times New Roman"/>
          <w:lang w:val="en-US"/>
        </w:rPr>
        <w:t xml:space="preserve">the sample covered by the TISC clause. </w:t>
      </w:r>
    </w:p>
    <w:p w14:paraId="175FA731" w14:textId="77777777" w:rsidR="008B6B6C" w:rsidRDefault="00ED529D" w:rsidP="007C7AAE">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Firms </w:t>
      </w:r>
      <w:r w:rsidR="004C52C9">
        <w:rPr>
          <w:rFonts w:ascii="Times New Roman" w:hAnsi="Times New Roman" w:cs="Times New Roman"/>
          <w:lang w:val="en-US"/>
        </w:rPr>
        <w:t>with annual sales between</w:t>
      </w:r>
      <w:r w:rsidRPr="00622F6C">
        <w:rPr>
          <w:rFonts w:ascii="Times New Roman" w:hAnsi="Times New Roman" w:cs="Times New Roman"/>
          <w:lang w:val="en-US"/>
        </w:rPr>
        <w:t xml:space="preserve"> £36 million and £1 billion may still have faced some uncertainty </w:t>
      </w:r>
      <w:r w:rsidR="001B0CC4">
        <w:rPr>
          <w:rFonts w:ascii="Times New Roman" w:hAnsi="Times New Roman" w:cs="Times New Roman"/>
          <w:lang w:val="en-US"/>
        </w:rPr>
        <w:t xml:space="preserve">during our estimation period </w:t>
      </w:r>
      <w:r w:rsidRPr="00622F6C">
        <w:rPr>
          <w:rFonts w:ascii="Times New Roman" w:hAnsi="Times New Roman" w:cs="Times New Roman"/>
          <w:lang w:val="en-US"/>
        </w:rPr>
        <w:t xml:space="preserve">as to whether they would fall under the TISC clause. </w:t>
      </w:r>
      <w:r w:rsidR="008E5D46" w:rsidRPr="00622F6C">
        <w:rPr>
          <w:rFonts w:ascii="Times New Roman" w:eastAsiaTheme="minorEastAsia" w:hAnsi="Times New Roman" w:cs="Times New Roman"/>
          <w:lang w:val="en-US"/>
        </w:rPr>
        <w:t xml:space="preserve">The </w:t>
      </w:r>
      <w:r w:rsidRPr="00622F6C">
        <w:rPr>
          <w:rFonts w:ascii="Times New Roman" w:eastAsiaTheme="minorEastAsia" w:hAnsi="Times New Roman" w:cs="Times New Roman"/>
          <w:lang w:val="en-US"/>
        </w:rPr>
        <w:t xml:space="preserve">reason is that the </w:t>
      </w:r>
      <w:r w:rsidR="00AF499F" w:rsidRPr="00622F6C">
        <w:rPr>
          <w:rFonts w:ascii="Times New Roman" w:eastAsia="Times New Roman" w:hAnsi="Times New Roman" w:cs="Times New Roman"/>
          <w:color w:val="000000"/>
          <w:lang w:val="en-US" w:eastAsia="en-GB"/>
        </w:rPr>
        <w:t xml:space="preserve">UK Government ran a consultation exercise to </w:t>
      </w:r>
      <w:r w:rsidR="002C5BAD">
        <w:rPr>
          <w:rFonts w:ascii="Times New Roman" w:eastAsia="Times New Roman" w:hAnsi="Times New Roman" w:cs="Times New Roman"/>
          <w:color w:val="000000"/>
          <w:lang w:val="en-US" w:eastAsia="en-GB"/>
        </w:rPr>
        <w:t>determine</w:t>
      </w:r>
      <w:r w:rsidR="00AF499F" w:rsidRPr="00622F6C">
        <w:rPr>
          <w:rFonts w:ascii="Times New Roman" w:eastAsia="Times New Roman" w:hAnsi="Times New Roman" w:cs="Times New Roman"/>
          <w:color w:val="000000"/>
          <w:lang w:val="en-US" w:eastAsia="en-GB"/>
        </w:rPr>
        <w:t xml:space="preserve"> the TISC turnover threshold </w:t>
      </w:r>
      <w:r w:rsidR="002C5BAD">
        <w:rPr>
          <w:rFonts w:ascii="Times New Roman" w:eastAsia="Times New Roman" w:hAnsi="Times New Roman" w:cs="Times New Roman"/>
          <w:color w:val="000000"/>
          <w:lang w:val="en-US" w:eastAsia="en-GB"/>
        </w:rPr>
        <w:t>between</w:t>
      </w:r>
      <w:r w:rsidR="002C5BAD" w:rsidRPr="00622F6C">
        <w:rPr>
          <w:rFonts w:ascii="Times New Roman" w:eastAsia="Times New Roman" w:hAnsi="Times New Roman" w:cs="Times New Roman"/>
          <w:color w:val="000000"/>
          <w:lang w:val="en-US" w:eastAsia="en-GB"/>
        </w:rPr>
        <w:t xml:space="preserve"> </w:t>
      </w:r>
      <w:r w:rsidR="00AF499F" w:rsidRPr="00622F6C">
        <w:rPr>
          <w:rFonts w:ascii="Times New Roman" w:eastAsia="Times New Roman" w:hAnsi="Times New Roman" w:cs="Times New Roman"/>
          <w:color w:val="000000"/>
          <w:lang w:val="en-US" w:eastAsia="en-GB"/>
        </w:rPr>
        <w:t xml:space="preserve">February </w:t>
      </w:r>
      <w:r w:rsidR="002C5BAD">
        <w:rPr>
          <w:rFonts w:ascii="Times New Roman" w:eastAsia="Times New Roman" w:hAnsi="Times New Roman" w:cs="Times New Roman"/>
          <w:color w:val="000000"/>
          <w:lang w:val="en-US" w:eastAsia="en-GB"/>
        </w:rPr>
        <w:t>and</w:t>
      </w:r>
      <w:r w:rsidR="002C5BAD" w:rsidRPr="00622F6C">
        <w:rPr>
          <w:rFonts w:ascii="Times New Roman" w:eastAsia="Times New Roman" w:hAnsi="Times New Roman" w:cs="Times New Roman"/>
          <w:color w:val="000000"/>
          <w:lang w:val="en-US" w:eastAsia="en-GB"/>
        </w:rPr>
        <w:t xml:space="preserve"> </w:t>
      </w:r>
      <w:r w:rsidR="00AF499F" w:rsidRPr="00622F6C">
        <w:rPr>
          <w:rFonts w:ascii="Times New Roman" w:eastAsia="Times New Roman" w:hAnsi="Times New Roman" w:cs="Times New Roman"/>
          <w:color w:val="000000"/>
          <w:lang w:val="en-US" w:eastAsia="en-GB"/>
        </w:rPr>
        <w:t xml:space="preserve">May 2015. </w:t>
      </w:r>
      <w:r w:rsidR="00313A5B" w:rsidRPr="00622F6C">
        <w:rPr>
          <w:rFonts w:ascii="Times New Roman" w:eastAsia="Times New Roman" w:hAnsi="Times New Roman" w:cs="Times New Roman"/>
          <w:color w:val="000000"/>
          <w:lang w:val="en-US" w:eastAsia="en-GB"/>
        </w:rPr>
        <w:t xml:space="preserve">The four options for turnover thresholds provided to </w:t>
      </w:r>
      <w:r w:rsidR="002C5BAD">
        <w:rPr>
          <w:rFonts w:ascii="Times New Roman" w:eastAsia="Times New Roman" w:hAnsi="Times New Roman" w:cs="Times New Roman"/>
          <w:color w:val="000000"/>
          <w:lang w:val="en-US" w:eastAsia="en-GB"/>
        </w:rPr>
        <w:t xml:space="preserve">the </w:t>
      </w:r>
      <w:r w:rsidR="007C2C4D" w:rsidRPr="00622F6C">
        <w:rPr>
          <w:rFonts w:ascii="Times New Roman" w:eastAsia="Times New Roman" w:hAnsi="Times New Roman" w:cs="Times New Roman"/>
          <w:color w:val="000000"/>
          <w:lang w:val="en-US" w:eastAsia="en-GB"/>
        </w:rPr>
        <w:t>respondents</w:t>
      </w:r>
      <w:r w:rsidR="00313A5B" w:rsidRPr="00622F6C">
        <w:rPr>
          <w:rFonts w:ascii="Times New Roman" w:eastAsia="Times New Roman" w:hAnsi="Times New Roman" w:cs="Times New Roman"/>
          <w:color w:val="000000"/>
          <w:lang w:val="en-US" w:eastAsia="en-GB"/>
        </w:rPr>
        <w:t xml:space="preserve"> </w:t>
      </w:r>
      <w:r w:rsidR="002D1BBD" w:rsidRPr="00622F6C">
        <w:rPr>
          <w:rFonts w:ascii="Times New Roman" w:eastAsia="Times New Roman" w:hAnsi="Times New Roman" w:cs="Times New Roman"/>
          <w:color w:val="000000"/>
          <w:lang w:val="en-US" w:eastAsia="en-GB"/>
        </w:rPr>
        <w:t>ranged between £36 million and</w:t>
      </w:r>
      <w:r w:rsidR="00313A5B" w:rsidRPr="00622F6C">
        <w:rPr>
          <w:rFonts w:ascii="Times New Roman" w:eastAsia="Times New Roman" w:hAnsi="Times New Roman" w:cs="Times New Roman"/>
          <w:color w:val="000000"/>
          <w:lang w:val="en-US" w:eastAsia="en-GB"/>
        </w:rPr>
        <w:t xml:space="preserve"> £1 billion. On July 29, 2015, </w:t>
      </w:r>
      <w:r w:rsidR="008E5D46" w:rsidRPr="00622F6C">
        <w:rPr>
          <w:rFonts w:ascii="Times New Roman" w:eastAsia="Times New Roman" w:hAnsi="Times New Roman" w:cs="Times New Roman"/>
          <w:color w:val="000000"/>
          <w:lang w:val="en-US" w:eastAsia="en-GB"/>
        </w:rPr>
        <w:t>it was announced that</w:t>
      </w:r>
      <w:r w:rsidR="00313A5B" w:rsidRPr="00622F6C">
        <w:rPr>
          <w:rFonts w:ascii="Times New Roman" w:eastAsia="Times New Roman" w:hAnsi="Times New Roman" w:cs="Times New Roman"/>
          <w:color w:val="000000"/>
          <w:lang w:val="en-US" w:eastAsia="en-GB"/>
        </w:rPr>
        <w:t xml:space="preserve"> the threshold would be set at the </w:t>
      </w:r>
      <w:r w:rsidR="002C5BAD">
        <w:rPr>
          <w:rFonts w:ascii="Times New Roman" w:eastAsia="Times New Roman" w:hAnsi="Times New Roman" w:cs="Times New Roman"/>
          <w:color w:val="000000"/>
          <w:lang w:val="en-US" w:eastAsia="en-GB"/>
        </w:rPr>
        <w:t>lowest</w:t>
      </w:r>
      <w:r w:rsidR="00313A5B" w:rsidRPr="00622F6C">
        <w:rPr>
          <w:rFonts w:ascii="Times New Roman" w:eastAsia="Times New Roman" w:hAnsi="Times New Roman" w:cs="Times New Roman"/>
          <w:color w:val="000000"/>
          <w:lang w:val="en-US" w:eastAsia="en-GB"/>
        </w:rPr>
        <w:t xml:space="preserve"> of </w:t>
      </w:r>
      <w:r w:rsidR="002C5BAD">
        <w:rPr>
          <w:rFonts w:ascii="Times New Roman" w:eastAsia="Times New Roman" w:hAnsi="Times New Roman" w:cs="Times New Roman"/>
          <w:color w:val="000000"/>
          <w:lang w:val="en-US" w:eastAsia="en-GB"/>
        </w:rPr>
        <w:t xml:space="preserve">these, </w:t>
      </w:r>
      <w:r w:rsidR="00313A5B" w:rsidRPr="00622F6C">
        <w:rPr>
          <w:rFonts w:ascii="Times New Roman" w:eastAsia="Times New Roman" w:hAnsi="Times New Roman" w:cs="Times New Roman"/>
          <w:color w:val="000000"/>
          <w:lang w:val="en-US" w:eastAsia="en-GB"/>
        </w:rPr>
        <w:t xml:space="preserve">£36 million. </w:t>
      </w:r>
      <w:r w:rsidR="007C2C4D" w:rsidRPr="00622F6C">
        <w:rPr>
          <w:rFonts w:ascii="Times New Roman" w:hAnsi="Times New Roman" w:cs="Times New Roman"/>
          <w:lang w:val="en-US"/>
        </w:rPr>
        <w:t xml:space="preserve">This threshold was </w:t>
      </w:r>
      <w:r w:rsidR="008E5D46" w:rsidRPr="00622F6C">
        <w:rPr>
          <w:rFonts w:ascii="Times New Roman" w:hAnsi="Times New Roman" w:cs="Times New Roman"/>
          <w:lang w:val="en-US"/>
        </w:rPr>
        <w:t>arguably the most probable and therefore largely anticipated</w:t>
      </w:r>
      <w:r w:rsidR="007C2C4D" w:rsidRPr="00622F6C">
        <w:rPr>
          <w:rFonts w:ascii="Times New Roman" w:hAnsi="Times New Roman" w:cs="Times New Roman"/>
          <w:lang w:val="en-US"/>
        </w:rPr>
        <w:t xml:space="preserve">, as </w:t>
      </w:r>
      <w:r w:rsidR="00F06ACE">
        <w:rPr>
          <w:rFonts w:ascii="Times New Roman" w:hAnsi="Times New Roman" w:cs="Times New Roman"/>
          <w:lang w:val="en-US"/>
        </w:rPr>
        <w:t>£36</w:t>
      </w:r>
      <w:r w:rsidR="002E53AA">
        <w:rPr>
          <w:rFonts w:ascii="Times New Roman" w:hAnsi="Times New Roman" w:cs="Times New Roman"/>
          <w:lang w:val="en-US"/>
        </w:rPr>
        <w:t xml:space="preserve"> </w:t>
      </w:r>
      <w:r w:rsidR="00F06ACE">
        <w:rPr>
          <w:rFonts w:ascii="Times New Roman" w:hAnsi="Times New Roman" w:cs="Times New Roman"/>
          <w:lang w:val="en-US"/>
        </w:rPr>
        <w:t>m</w:t>
      </w:r>
      <w:r w:rsidR="002E53AA">
        <w:rPr>
          <w:rFonts w:ascii="Times New Roman" w:hAnsi="Times New Roman" w:cs="Times New Roman"/>
          <w:lang w:val="en-US"/>
        </w:rPr>
        <w:t>illion</w:t>
      </w:r>
      <w:r w:rsidR="00F06ACE">
        <w:rPr>
          <w:rFonts w:ascii="Times New Roman" w:hAnsi="Times New Roman" w:cs="Times New Roman"/>
          <w:lang w:val="en-US"/>
        </w:rPr>
        <w:t xml:space="preserve"> is also </w:t>
      </w:r>
      <w:r w:rsidR="00313A5B" w:rsidRPr="00622F6C">
        <w:rPr>
          <w:rFonts w:ascii="Times New Roman" w:hAnsi="Times New Roman" w:cs="Times New Roman"/>
          <w:lang w:val="en-US"/>
        </w:rPr>
        <w:t>used in the Companies Act 2006 to define large businesses for other reporting requirements</w:t>
      </w:r>
      <w:r w:rsidR="007C2C4D" w:rsidRPr="00622F6C">
        <w:rPr>
          <w:rFonts w:ascii="Times New Roman" w:hAnsi="Times New Roman" w:cs="Times New Roman"/>
          <w:lang w:val="en-US"/>
        </w:rPr>
        <w:t xml:space="preserve"> (Home Office, 2015c)</w:t>
      </w:r>
      <w:r w:rsidR="00313A5B" w:rsidRPr="00622F6C">
        <w:rPr>
          <w:rFonts w:ascii="Times New Roman" w:hAnsi="Times New Roman" w:cs="Times New Roman"/>
          <w:lang w:val="en-US"/>
        </w:rPr>
        <w:t xml:space="preserve">. </w:t>
      </w:r>
      <w:r w:rsidR="007C7AAE">
        <w:rPr>
          <w:rFonts w:ascii="Times New Roman" w:hAnsi="Times New Roman" w:cs="Times New Roman"/>
          <w:lang w:val="en-US"/>
        </w:rPr>
        <w:t>Row (2) shows that w</w:t>
      </w:r>
      <w:r w:rsidR="007C2C4D" w:rsidRPr="00622F6C">
        <w:rPr>
          <w:rFonts w:ascii="Times New Roman" w:hAnsi="Times New Roman" w:cs="Times New Roman"/>
          <w:lang w:val="en-US"/>
        </w:rPr>
        <w:t>e find no significant stock price reaction for</w:t>
      </w:r>
      <w:r w:rsidRPr="00622F6C">
        <w:rPr>
          <w:rFonts w:ascii="Times New Roman" w:hAnsi="Times New Roman" w:cs="Times New Roman"/>
          <w:lang w:val="en-US"/>
        </w:rPr>
        <w:t xml:space="preserve"> the subset of firms with sales between £36 million and £1 billion</w:t>
      </w:r>
      <w:r w:rsidR="007C2C4D" w:rsidRPr="00622F6C">
        <w:rPr>
          <w:rFonts w:ascii="Times New Roman" w:hAnsi="Times New Roman" w:cs="Times New Roman"/>
          <w:lang w:val="en-US"/>
        </w:rPr>
        <w:t xml:space="preserve">. </w:t>
      </w:r>
      <w:r w:rsidR="007C7AAE">
        <w:rPr>
          <w:rFonts w:ascii="Times New Roman" w:hAnsi="Times New Roman" w:cs="Times New Roman"/>
          <w:lang w:val="en-US"/>
        </w:rPr>
        <w:t>In an unreported test, w</w:t>
      </w:r>
      <w:r w:rsidR="007C2C4D" w:rsidRPr="00622F6C">
        <w:rPr>
          <w:rFonts w:ascii="Times New Roman" w:hAnsi="Times New Roman" w:cs="Times New Roman"/>
          <w:lang w:val="en-US"/>
        </w:rPr>
        <w:t xml:space="preserve">e also find </w:t>
      </w:r>
      <w:r w:rsidR="002C5BAD">
        <w:rPr>
          <w:rFonts w:ascii="Times New Roman" w:hAnsi="Times New Roman" w:cs="Times New Roman"/>
          <w:lang w:val="en-US"/>
        </w:rPr>
        <w:t>no</w:t>
      </w:r>
      <w:r w:rsidR="002C5BAD" w:rsidRPr="00622F6C">
        <w:rPr>
          <w:rFonts w:ascii="Times New Roman" w:hAnsi="Times New Roman" w:cs="Times New Roman"/>
          <w:lang w:val="en-US"/>
        </w:rPr>
        <w:t xml:space="preserve"> </w:t>
      </w:r>
      <w:r w:rsidR="007C2C4D" w:rsidRPr="00622F6C">
        <w:rPr>
          <w:rFonts w:ascii="Times New Roman" w:hAnsi="Times New Roman" w:cs="Times New Roman"/>
          <w:lang w:val="en-US"/>
        </w:rPr>
        <w:t xml:space="preserve">abnormal return for these firms on </w:t>
      </w:r>
      <w:r w:rsidR="008F1575" w:rsidRPr="00622F6C">
        <w:rPr>
          <w:rFonts w:ascii="Times New Roman" w:hAnsi="Times New Roman" w:cs="Times New Roman"/>
          <w:lang w:val="en-US"/>
        </w:rPr>
        <w:t xml:space="preserve">July 29, 2015, </w:t>
      </w:r>
      <w:r w:rsidR="008E5D46" w:rsidRPr="00622F6C">
        <w:rPr>
          <w:rFonts w:ascii="Times New Roman" w:hAnsi="Times New Roman" w:cs="Times New Roman"/>
          <w:lang w:val="en-US"/>
        </w:rPr>
        <w:t xml:space="preserve">which corresponds to </w:t>
      </w:r>
      <w:r w:rsidR="008F1575" w:rsidRPr="00622F6C">
        <w:rPr>
          <w:rFonts w:ascii="Times New Roman" w:hAnsi="Times New Roman" w:cs="Times New Roman"/>
          <w:lang w:val="en-US"/>
        </w:rPr>
        <w:t>event 12</w:t>
      </w:r>
      <w:r w:rsidR="002C5BAD">
        <w:rPr>
          <w:rFonts w:ascii="Times New Roman" w:hAnsi="Times New Roman" w:cs="Times New Roman"/>
          <w:lang w:val="en-US"/>
        </w:rPr>
        <w:t>,</w:t>
      </w:r>
      <w:r w:rsidR="008F1575" w:rsidRPr="00622F6C">
        <w:rPr>
          <w:rFonts w:ascii="Times New Roman" w:hAnsi="Times New Roman" w:cs="Times New Roman"/>
          <w:lang w:val="en-US"/>
        </w:rPr>
        <w:t xml:space="preserve"> outlined in Table 1</w:t>
      </w:r>
      <w:r w:rsidR="007C2C4D" w:rsidRPr="00622F6C">
        <w:rPr>
          <w:rFonts w:ascii="Times New Roman" w:hAnsi="Times New Roman" w:cs="Times New Roman"/>
          <w:lang w:val="en-US"/>
        </w:rPr>
        <w:t xml:space="preserve">. </w:t>
      </w:r>
      <w:r w:rsidR="007C7AAE">
        <w:rPr>
          <w:rFonts w:ascii="Times New Roman" w:eastAsiaTheme="minorEastAsia" w:hAnsi="Times New Roman" w:cs="Times New Roman"/>
          <w:lang w:val="en-US"/>
        </w:rPr>
        <w:t>Row (3</w:t>
      </w:r>
      <w:r w:rsidR="007C7AAE" w:rsidRPr="00622F6C">
        <w:rPr>
          <w:rFonts w:ascii="Times New Roman" w:eastAsiaTheme="minorEastAsia" w:hAnsi="Times New Roman" w:cs="Times New Roman"/>
          <w:lang w:val="en-US"/>
        </w:rPr>
        <w:t xml:space="preserve">) </w:t>
      </w:r>
      <w:r w:rsidR="007C7AAE">
        <w:rPr>
          <w:rFonts w:ascii="Times New Roman" w:eastAsiaTheme="minorEastAsia" w:hAnsi="Times New Roman" w:cs="Times New Roman"/>
          <w:lang w:val="en-US"/>
        </w:rPr>
        <w:t xml:space="preserve">limits the portfolio to the </w:t>
      </w:r>
      <w:r w:rsidR="007C7AAE" w:rsidRPr="00622F6C">
        <w:rPr>
          <w:rFonts w:ascii="Times New Roman" w:eastAsiaTheme="minorEastAsia" w:hAnsi="Times New Roman" w:cs="Times New Roman"/>
          <w:lang w:val="en-US"/>
        </w:rPr>
        <w:t>sample of 205 firms used in the baseline cross-sectional analysis</w:t>
      </w:r>
      <w:r w:rsidR="007C7AAE">
        <w:rPr>
          <w:rFonts w:ascii="Times New Roman" w:eastAsiaTheme="minorEastAsia" w:hAnsi="Times New Roman" w:cs="Times New Roman"/>
          <w:lang w:val="en-US"/>
        </w:rPr>
        <w:t xml:space="preserve">, </w:t>
      </w:r>
      <w:r w:rsidR="0008126B">
        <w:rPr>
          <w:rFonts w:ascii="Times New Roman" w:eastAsiaTheme="minorEastAsia" w:hAnsi="Times New Roman" w:cs="Times New Roman"/>
          <w:lang w:val="en-US"/>
        </w:rPr>
        <w:t>and</w:t>
      </w:r>
      <w:r w:rsidR="0044667D">
        <w:rPr>
          <w:rFonts w:ascii="Times New Roman" w:eastAsiaTheme="minorEastAsia" w:hAnsi="Times New Roman" w:cs="Times New Roman"/>
          <w:lang w:val="en-US"/>
        </w:rPr>
        <w:t xml:space="preserve"> </w:t>
      </w:r>
      <w:r w:rsidR="007C7AAE">
        <w:rPr>
          <w:rFonts w:ascii="Times New Roman" w:eastAsiaTheme="minorEastAsia" w:hAnsi="Times New Roman" w:cs="Times New Roman"/>
          <w:lang w:val="en-US"/>
        </w:rPr>
        <w:t>shows no significant abnormal stock returns for these firms</w:t>
      </w:r>
      <w:r w:rsidR="0008126B">
        <w:rPr>
          <w:rFonts w:ascii="Times New Roman" w:eastAsiaTheme="minorEastAsia" w:hAnsi="Times New Roman" w:cs="Times New Roman"/>
          <w:lang w:val="en-US"/>
        </w:rPr>
        <w:t xml:space="preserve"> either</w:t>
      </w:r>
      <w:r w:rsidR="007C7AAE" w:rsidRPr="00622F6C">
        <w:rPr>
          <w:rFonts w:ascii="Times New Roman" w:eastAsiaTheme="minorEastAsia" w:hAnsi="Times New Roman" w:cs="Times New Roman"/>
          <w:lang w:val="en-US"/>
        </w:rPr>
        <w:t>.</w:t>
      </w:r>
    </w:p>
    <w:p w14:paraId="4B9DBDB2" w14:textId="446575D9" w:rsidR="00D423DE" w:rsidRPr="00622F6C" w:rsidRDefault="0079482A" w:rsidP="00D423DE">
      <w:pPr>
        <w:spacing w:after="0" w:line="480" w:lineRule="auto"/>
        <w:ind w:firstLine="426"/>
        <w:jc w:val="both"/>
        <w:rPr>
          <w:rFonts w:ascii="Times New Roman" w:hAnsi="Times New Roman" w:cs="Times New Roman"/>
          <w:lang w:val="en-US"/>
        </w:rPr>
      </w:pPr>
      <w:r w:rsidRPr="00023BF0">
        <w:rPr>
          <w:rFonts w:ascii="Times New Roman" w:hAnsi="Times New Roman" w:cs="Times New Roman"/>
          <w:lang w:val="en-US"/>
        </w:rPr>
        <w:lastRenderedPageBreak/>
        <w:t>Since the timing of the MSA</w:t>
      </w:r>
      <w:r w:rsidR="00023BF0" w:rsidRPr="00023BF0">
        <w:rPr>
          <w:rFonts w:ascii="Times New Roman" w:hAnsi="Times New Roman" w:cs="Times New Roman"/>
          <w:lang w:val="en-US"/>
        </w:rPr>
        <w:t>-related</w:t>
      </w:r>
      <w:r w:rsidRPr="00023BF0">
        <w:rPr>
          <w:rFonts w:ascii="Times New Roman" w:hAnsi="Times New Roman" w:cs="Times New Roman"/>
          <w:lang w:val="en-US"/>
        </w:rPr>
        <w:t xml:space="preserve"> events examined in our study is likely to be exogenous to individual firms, </w:t>
      </w:r>
      <w:r w:rsidR="00602F6F" w:rsidRPr="00023BF0">
        <w:rPr>
          <w:rFonts w:ascii="Times New Roman" w:hAnsi="Times New Roman" w:cs="Times New Roman"/>
          <w:lang w:val="en-US"/>
        </w:rPr>
        <w:t>firms should not be able to</w:t>
      </w:r>
      <w:r w:rsidRPr="00023BF0">
        <w:rPr>
          <w:rFonts w:ascii="Times New Roman" w:hAnsi="Times New Roman" w:cs="Times New Roman"/>
          <w:lang w:val="en-US"/>
        </w:rPr>
        <w:t xml:space="preserve"> time certain types of ann</w:t>
      </w:r>
      <w:r w:rsidR="00023BF0" w:rsidRPr="00023BF0">
        <w:rPr>
          <w:rFonts w:ascii="Times New Roman" w:hAnsi="Times New Roman" w:cs="Times New Roman"/>
          <w:lang w:val="en-US"/>
        </w:rPr>
        <w:t>ouncements to coincide with these events</w:t>
      </w:r>
      <w:r w:rsidRPr="00023BF0">
        <w:rPr>
          <w:rFonts w:ascii="Times New Roman" w:hAnsi="Times New Roman" w:cs="Times New Roman"/>
          <w:lang w:val="en-US"/>
        </w:rPr>
        <w:t xml:space="preserve">. </w:t>
      </w:r>
      <w:r w:rsidR="00023BF0" w:rsidRPr="00023BF0">
        <w:rPr>
          <w:rFonts w:ascii="Times New Roman" w:hAnsi="Times New Roman" w:cs="Times New Roman"/>
          <w:lang w:val="en-US"/>
        </w:rPr>
        <w:t>W</w:t>
      </w:r>
      <w:r w:rsidRPr="00023BF0">
        <w:rPr>
          <w:rFonts w:ascii="Times New Roman" w:hAnsi="Times New Roman" w:cs="Times New Roman"/>
          <w:lang w:val="en-US"/>
        </w:rPr>
        <w:t xml:space="preserve">e </w:t>
      </w:r>
      <w:r w:rsidR="00023BF0" w:rsidRPr="00023BF0">
        <w:rPr>
          <w:rFonts w:ascii="Times New Roman" w:hAnsi="Times New Roman" w:cs="Times New Roman"/>
          <w:lang w:val="en-US"/>
        </w:rPr>
        <w:t xml:space="preserve">therefore </w:t>
      </w:r>
      <w:r w:rsidRPr="00023BF0">
        <w:rPr>
          <w:rFonts w:ascii="Times New Roman" w:hAnsi="Times New Roman" w:cs="Times New Roman"/>
          <w:lang w:val="en-US"/>
        </w:rPr>
        <w:t>do not expec</w:t>
      </w:r>
      <w:r w:rsidR="007C7AAE">
        <w:rPr>
          <w:rFonts w:ascii="Times New Roman" w:hAnsi="Times New Roman" w:cs="Times New Roman"/>
          <w:lang w:val="en-US"/>
        </w:rPr>
        <w:t>t our univariate results to be</w:t>
      </w:r>
      <w:r w:rsidRPr="00023BF0">
        <w:rPr>
          <w:rFonts w:ascii="Times New Roman" w:hAnsi="Times New Roman" w:cs="Times New Roman"/>
          <w:lang w:val="en-US"/>
        </w:rPr>
        <w:t xml:space="preserve"> biased due to the presence of contaminating firm-specific announcements. </w:t>
      </w:r>
      <w:r w:rsidR="005421A7">
        <w:rPr>
          <w:rFonts w:ascii="Times New Roman" w:hAnsi="Times New Roman" w:cs="Times New Roman"/>
          <w:lang w:val="en-US"/>
        </w:rPr>
        <w:t>Nevertheless, f</w:t>
      </w:r>
      <w:r w:rsidR="00602F6F" w:rsidRPr="00023BF0">
        <w:rPr>
          <w:rFonts w:ascii="Times New Roman" w:hAnsi="Times New Roman" w:cs="Times New Roman"/>
          <w:lang w:val="en-US"/>
        </w:rPr>
        <w:t xml:space="preserve">or completeness, </w:t>
      </w:r>
      <w:r w:rsidRPr="00023BF0">
        <w:rPr>
          <w:rFonts w:ascii="Times New Roman" w:hAnsi="Times New Roman" w:cs="Times New Roman"/>
          <w:lang w:val="en-US"/>
        </w:rPr>
        <w:t>we re-estimate t</w:t>
      </w:r>
      <w:r w:rsidR="00023BF0" w:rsidRPr="00023BF0">
        <w:rPr>
          <w:rFonts w:ascii="Times New Roman" w:hAnsi="Times New Roman" w:cs="Times New Roman"/>
          <w:lang w:val="en-US"/>
        </w:rPr>
        <w:t xml:space="preserve">he portfolio analysis excluding </w:t>
      </w:r>
      <w:r w:rsidRPr="00023BF0">
        <w:rPr>
          <w:rFonts w:ascii="Times New Roman" w:hAnsi="Times New Roman" w:cs="Times New Roman"/>
          <w:lang w:val="en-US"/>
        </w:rPr>
        <w:t xml:space="preserve">firms that have made at least one material announcement </w:t>
      </w:r>
      <w:r w:rsidR="007C7AAE">
        <w:rPr>
          <w:rFonts w:ascii="Times New Roman" w:hAnsi="Times New Roman" w:cs="Times New Roman"/>
          <w:lang w:val="en-US"/>
        </w:rPr>
        <w:t xml:space="preserve">on </w:t>
      </w:r>
      <w:r w:rsidRPr="00023BF0">
        <w:rPr>
          <w:rFonts w:ascii="Times New Roman" w:hAnsi="Times New Roman" w:cs="Times New Roman"/>
          <w:lang w:val="en-US"/>
        </w:rPr>
        <w:t>any of the eight MSA-related event dates.</w:t>
      </w:r>
      <w:r w:rsidR="00602F6F" w:rsidRPr="00023BF0">
        <w:rPr>
          <w:rFonts w:ascii="Times New Roman" w:hAnsi="Times New Roman" w:cs="Times New Roman"/>
          <w:lang w:val="en-US"/>
        </w:rPr>
        <w:t xml:space="preserve"> </w:t>
      </w:r>
      <w:r w:rsidR="00023BF0" w:rsidRPr="00023BF0">
        <w:rPr>
          <w:rFonts w:ascii="Times New Roman" w:hAnsi="Times New Roman" w:cs="Times New Roman"/>
          <w:lang w:val="en-US"/>
        </w:rPr>
        <w:t>Our definition of material announcements includes</w:t>
      </w:r>
      <w:r w:rsidR="00602F6F" w:rsidRPr="00023BF0">
        <w:rPr>
          <w:rFonts w:ascii="Times New Roman" w:hAnsi="Times New Roman" w:cs="Times New Roman"/>
          <w:lang w:val="en-US"/>
        </w:rPr>
        <w:t xml:space="preserve"> earnings, </w:t>
      </w:r>
      <w:r w:rsidR="00CC3312">
        <w:rPr>
          <w:rFonts w:ascii="Times New Roman" w:hAnsi="Times New Roman" w:cs="Times New Roman"/>
          <w:lang w:val="en-US"/>
        </w:rPr>
        <w:t>m</w:t>
      </w:r>
      <w:r w:rsidR="00CC3312" w:rsidRPr="00023BF0">
        <w:rPr>
          <w:rFonts w:ascii="Times New Roman" w:hAnsi="Times New Roman" w:cs="Times New Roman"/>
          <w:lang w:val="en-US"/>
        </w:rPr>
        <w:t xml:space="preserve">ergers </w:t>
      </w:r>
      <w:r w:rsidR="00602F6F" w:rsidRPr="00023BF0">
        <w:rPr>
          <w:rFonts w:ascii="Times New Roman" w:hAnsi="Times New Roman" w:cs="Times New Roman"/>
          <w:lang w:val="en-US"/>
        </w:rPr>
        <w:t xml:space="preserve">and </w:t>
      </w:r>
      <w:r w:rsidR="00CC3312">
        <w:rPr>
          <w:rFonts w:ascii="Times New Roman" w:hAnsi="Times New Roman" w:cs="Times New Roman"/>
          <w:lang w:val="en-US"/>
        </w:rPr>
        <w:t>a</w:t>
      </w:r>
      <w:r w:rsidR="00CC3312" w:rsidRPr="00023BF0">
        <w:rPr>
          <w:rFonts w:ascii="Times New Roman" w:hAnsi="Times New Roman" w:cs="Times New Roman"/>
          <w:lang w:val="en-US"/>
        </w:rPr>
        <w:t>cquisitions</w:t>
      </w:r>
      <w:r w:rsidR="00602F6F" w:rsidRPr="00023BF0">
        <w:rPr>
          <w:rFonts w:ascii="Times New Roman" w:hAnsi="Times New Roman" w:cs="Times New Roman"/>
          <w:lang w:val="en-US"/>
        </w:rPr>
        <w:t xml:space="preserve">, </w:t>
      </w:r>
      <w:r w:rsidR="00023BF0" w:rsidRPr="00023BF0">
        <w:rPr>
          <w:rFonts w:ascii="Times New Roman" w:hAnsi="Times New Roman" w:cs="Times New Roman"/>
          <w:lang w:val="en-US"/>
        </w:rPr>
        <w:t>share issuance</w:t>
      </w:r>
      <w:r w:rsidR="003802D6">
        <w:rPr>
          <w:rFonts w:ascii="Times New Roman" w:hAnsi="Times New Roman" w:cs="Times New Roman"/>
          <w:lang w:val="en-US"/>
        </w:rPr>
        <w:t>s</w:t>
      </w:r>
      <w:r w:rsidR="00023BF0" w:rsidRPr="00023BF0">
        <w:rPr>
          <w:rFonts w:ascii="Times New Roman" w:hAnsi="Times New Roman" w:cs="Times New Roman"/>
          <w:lang w:val="en-US"/>
        </w:rPr>
        <w:t>, (convertible) bond issuance</w:t>
      </w:r>
      <w:r w:rsidR="0008126B">
        <w:rPr>
          <w:rFonts w:ascii="Times New Roman" w:hAnsi="Times New Roman" w:cs="Times New Roman"/>
          <w:lang w:val="en-US"/>
        </w:rPr>
        <w:t>s</w:t>
      </w:r>
      <w:r w:rsidR="00023BF0" w:rsidRPr="00023BF0">
        <w:rPr>
          <w:rFonts w:ascii="Times New Roman" w:hAnsi="Times New Roman" w:cs="Times New Roman"/>
          <w:lang w:val="en-US"/>
        </w:rPr>
        <w:t>, loan initiations, debt redemptions, dividends, and stock splits</w:t>
      </w:r>
      <w:r w:rsidRPr="00023BF0">
        <w:rPr>
          <w:rFonts w:ascii="Times New Roman" w:hAnsi="Times New Roman" w:cs="Times New Roman"/>
          <w:lang w:val="en-US"/>
        </w:rPr>
        <w:t>. We ident</w:t>
      </w:r>
      <w:r w:rsidR="00023BF0" w:rsidRPr="00023BF0">
        <w:rPr>
          <w:rFonts w:ascii="Times New Roman" w:hAnsi="Times New Roman" w:cs="Times New Roman"/>
          <w:lang w:val="en-US"/>
        </w:rPr>
        <w:t xml:space="preserve">ify these announcements using a manual search in Factiva for each </w:t>
      </w:r>
      <w:r w:rsidR="009C4422">
        <w:rPr>
          <w:rFonts w:ascii="Times New Roman" w:hAnsi="Times New Roman" w:cs="Times New Roman"/>
          <w:lang w:val="en-US"/>
        </w:rPr>
        <w:t xml:space="preserve">of the 2,856 (i.e. 357 multiplied by 8) </w:t>
      </w:r>
      <w:r w:rsidR="00023BF0" w:rsidRPr="00023BF0">
        <w:rPr>
          <w:rFonts w:ascii="Times New Roman" w:hAnsi="Times New Roman" w:cs="Times New Roman"/>
          <w:lang w:val="en-US"/>
        </w:rPr>
        <w:t>firm</w:t>
      </w:r>
      <w:r w:rsidR="00023BF0" w:rsidRPr="00023BF0">
        <w:rPr>
          <w:lang w:val="en-US"/>
        </w:rPr>
        <w:t>–</w:t>
      </w:r>
      <w:r w:rsidR="00023BF0" w:rsidRPr="00023BF0">
        <w:rPr>
          <w:rFonts w:ascii="Times New Roman" w:hAnsi="Times New Roman" w:cs="Times New Roman"/>
          <w:lang w:val="en-US"/>
        </w:rPr>
        <w:t>event combination</w:t>
      </w:r>
      <w:r w:rsidR="009C4422">
        <w:rPr>
          <w:rFonts w:ascii="Times New Roman" w:hAnsi="Times New Roman" w:cs="Times New Roman"/>
          <w:lang w:val="en-US"/>
        </w:rPr>
        <w:t>s</w:t>
      </w:r>
      <w:r w:rsidR="00023BF0" w:rsidRPr="00023BF0">
        <w:rPr>
          <w:rFonts w:ascii="Times New Roman" w:hAnsi="Times New Roman" w:cs="Times New Roman"/>
          <w:lang w:val="en-US"/>
        </w:rPr>
        <w:t>. In total, 96 firms or 26.89% of our sample make at least one material announcement on any of the eight event dates. As Row (</w:t>
      </w:r>
      <w:r w:rsidR="009D26B3">
        <w:rPr>
          <w:rFonts w:ascii="Times New Roman" w:hAnsi="Times New Roman" w:cs="Times New Roman"/>
          <w:lang w:val="en-US"/>
        </w:rPr>
        <w:t>3</w:t>
      </w:r>
      <w:r w:rsidR="00023BF0" w:rsidRPr="00023BF0">
        <w:rPr>
          <w:rFonts w:ascii="Times New Roman" w:hAnsi="Times New Roman" w:cs="Times New Roman"/>
          <w:lang w:val="en-US"/>
        </w:rPr>
        <w:t>) shows, we do not find a significant stock price reaction for a portfolio excluding these firms</w:t>
      </w:r>
      <w:r w:rsidR="007C7AAE">
        <w:rPr>
          <w:rFonts w:ascii="Times New Roman" w:hAnsi="Times New Roman" w:cs="Times New Roman"/>
          <w:lang w:val="en-US"/>
        </w:rPr>
        <w:t>, suggesting</w:t>
      </w:r>
      <w:r w:rsidR="00023BF0" w:rsidRPr="00023BF0">
        <w:rPr>
          <w:rFonts w:ascii="Times New Roman" w:hAnsi="Times New Roman" w:cs="Times New Roman"/>
          <w:lang w:val="en-US"/>
        </w:rPr>
        <w:t xml:space="preserve"> that the lack of significance in our baseline univariate findings is not caused by the contaminating influence of material firm-specific announcements.</w:t>
      </w:r>
      <w:r w:rsidR="00D423DE" w:rsidRPr="00D423DE">
        <w:rPr>
          <w:rFonts w:ascii="Times New Roman" w:hAnsi="Times New Roman" w:cs="Times New Roman"/>
          <w:lang w:val="en-US"/>
        </w:rPr>
        <w:t xml:space="preserve"> </w:t>
      </w:r>
      <w:r w:rsidR="00D423DE" w:rsidRPr="00622F6C">
        <w:rPr>
          <w:rFonts w:ascii="Times New Roman" w:hAnsi="Times New Roman" w:cs="Times New Roman"/>
          <w:lang w:val="en-US"/>
        </w:rPr>
        <w:t xml:space="preserve">In line with </w:t>
      </w:r>
      <w:r w:rsidR="00D423DE">
        <w:rPr>
          <w:rFonts w:ascii="Times New Roman" w:hAnsi="Times New Roman" w:cs="Times New Roman"/>
          <w:lang w:val="en-US"/>
        </w:rPr>
        <w:t xml:space="preserve">some </w:t>
      </w:r>
      <w:r w:rsidR="00D423DE" w:rsidRPr="00622F6C">
        <w:rPr>
          <w:rFonts w:ascii="Times New Roman" w:hAnsi="Times New Roman" w:cs="Times New Roman"/>
          <w:lang w:val="en-US"/>
        </w:rPr>
        <w:t>other policy event studies</w:t>
      </w:r>
      <w:r w:rsidR="00D423DE">
        <w:rPr>
          <w:rFonts w:ascii="Times New Roman" w:hAnsi="Times New Roman" w:cs="Times New Roman"/>
          <w:lang w:val="en-US"/>
        </w:rPr>
        <w:t xml:space="preserve"> (</w:t>
      </w:r>
      <w:r w:rsidR="002E3947">
        <w:rPr>
          <w:rFonts w:ascii="Times New Roman" w:hAnsi="Times New Roman" w:cs="Times New Roman"/>
          <w:lang w:val="en-US"/>
        </w:rPr>
        <w:t>Akyol et al., 2012; Lewis</w:t>
      </w:r>
      <w:r w:rsidR="00D423DE">
        <w:rPr>
          <w:rFonts w:ascii="Times New Roman" w:hAnsi="Times New Roman" w:cs="Times New Roman"/>
          <w:lang w:val="en-US"/>
        </w:rPr>
        <w:t xml:space="preserve"> and Verwijmeren, 2014; Grewal et al., 2018)</w:t>
      </w:r>
      <w:r w:rsidR="00D423DE" w:rsidRPr="00622F6C">
        <w:rPr>
          <w:rFonts w:ascii="Times New Roman" w:hAnsi="Times New Roman" w:cs="Times New Roman"/>
          <w:lang w:val="en-US"/>
        </w:rPr>
        <w:t xml:space="preserve">, we </w:t>
      </w:r>
      <w:r w:rsidR="00D423DE">
        <w:rPr>
          <w:rFonts w:ascii="Times New Roman" w:hAnsi="Times New Roman" w:cs="Times New Roman"/>
          <w:lang w:val="en-US"/>
        </w:rPr>
        <w:t xml:space="preserve">also </w:t>
      </w:r>
      <w:r w:rsidR="00D423DE" w:rsidRPr="00622F6C">
        <w:rPr>
          <w:rFonts w:ascii="Times New Roman" w:hAnsi="Times New Roman" w:cs="Times New Roman"/>
          <w:lang w:val="en-US"/>
        </w:rPr>
        <w:t xml:space="preserve">examine whether important </w:t>
      </w:r>
      <w:bookmarkStart w:id="50" w:name="_Hlk523995490"/>
      <w:r w:rsidR="009C4422">
        <w:rPr>
          <w:rFonts w:ascii="Times New Roman" w:hAnsi="Times New Roman" w:cs="Times New Roman"/>
          <w:lang w:val="en-US"/>
        </w:rPr>
        <w:t>economy-wide</w:t>
      </w:r>
      <w:r w:rsidR="00D423DE" w:rsidRPr="00622F6C">
        <w:rPr>
          <w:rFonts w:ascii="Times New Roman" w:hAnsi="Times New Roman" w:cs="Times New Roman"/>
          <w:lang w:val="en-US"/>
        </w:rPr>
        <w:t xml:space="preserve"> </w:t>
      </w:r>
      <w:bookmarkEnd w:id="50"/>
      <w:r w:rsidR="00D423DE" w:rsidRPr="00622F6C">
        <w:rPr>
          <w:rFonts w:ascii="Times New Roman" w:hAnsi="Times New Roman" w:cs="Times New Roman"/>
          <w:lang w:val="en-US"/>
        </w:rPr>
        <w:t xml:space="preserve">news may have affected stock price reactions by </w:t>
      </w:r>
      <w:r w:rsidR="00D423DE">
        <w:rPr>
          <w:rFonts w:ascii="Times New Roman" w:hAnsi="Times New Roman" w:cs="Times New Roman"/>
          <w:lang w:val="en-US"/>
        </w:rPr>
        <w:t>checking</w:t>
      </w:r>
      <w:r w:rsidR="00D423DE" w:rsidRPr="00622F6C">
        <w:rPr>
          <w:rFonts w:ascii="Times New Roman" w:hAnsi="Times New Roman" w:cs="Times New Roman"/>
          <w:lang w:val="en-US"/>
        </w:rPr>
        <w:t xml:space="preserve"> the </w:t>
      </w:r>
      <w:r w:rsidR="00D423DE">
        <w:rPr>
          <w:rFonts w:ascii="Times New Roman" w:hAnsi="Times New Roman" w:cs="Times New Roman"/>
          <w:lang w:val="en-US"/>
        </w:rPr>
        <w:t xml:space="preserve">macroeconomic news portions </w:t>
      </w:r>
      <w:r w:rsidR="00D423DE" w:rsidRPr="00622F6C">
        <w:rPr>
          <w:rFonts w:ascii="Times New Roman" w:hAnsi="Times New Roman" w:cs="Times New Roman"/>
          <w:lang w:val="en-US"/>
        </w:rPr>
        <w:t>of the ‘Business and Finance’ section</w:t>
      </w:r>
      <w:r w:rsidR="00D423DE">
        <w:rPr>
          <w:rFonts w:ascii="Times New Roman" w:hAnsi="Times New Roman" w:cs="Times New Roman"/>
          <w:lang w:val="en-US"/>
        </w:rPr>
        <w:t>s</w:t>
      </w:r>
      <w:r w:rsidR="00D423DE" w:rsidRPr="00622F6C">
        <w:rPr>
          <w:rFonts w:ascii="Times New Roman" w:hAnsi="Times New Roman" w:cs="Times New Roman"/>
          <w:lang w:val="en-US"/>
        </w:rPr>
        <w:t xml:space="preserve"> of the Wall Street Journal and Wall Street Journal Europe (both accessed through Factiva). We do not find evidence of confounding macroeconomic news</w:t>
      </w:r>
      <w:r w:rsidR="00D423DE">
        <w:rPr>
          <w:rFonts w:ascii="Times New Roman" w:hAnsi="Times New Roman" w:cs="Times New Roman"/>
          <w:lang w:val="en-US"/>
        </w:rPr>
        <w:t xml:space="preserve"> on the event dates</w:t>
      </w:r>
      <w:r w:rsidR="00D423DE" w:rsidRPr="00622F6C">
        <w:rPr>
          <w:rFonts w:ascii="Times New Roman" w:hAnsi="Times New Roman" w:cs="Times New Roman"/>
          <w:lang w:val="en-US"/>
        </w:rPr>
        <w:t xml:space="preserve">. On the date of event 8, the UK Finance Bill received Royal Assent in Parliament. However, as this Bill had already </w:t>
      </w:r>
      <w:r w:rsidR="00D423DE">
        <w:rPr>
          <w:rFonts w:ascii="Times New Roman" w:hAnsi="Times New Roman" w:cs="Times New Roman"/>
          <w:lang w:val="en-US"/>
        </w:rPr>
        <w:t>ha</w:t>
      </w:r>
      <w:r w:rsidR="00D423DE" w:rsidRPr="00622F6C">
        <w:rPr>
          <w:rFonts w:ascii="Times New Roman" w:hAnsi="Times New Roman" w:cs="Times New Roman"/>
          <w:lang w:val="en-US"/>
        </w:rPr>
        <w:t xml:space="preserve">d various readings in the House of Commons and House of Lords, we do not consider this a major news event. Overall, we conclude that our event study results are unlikely to be contaminated by confounding news. </w:t>
      </w:r>
    </w:p>
    <w:p w14:paraId="7D8326A8" w14:textId="377FD6D8" w:rsidR="00284729" w:rsidRPr="00622F6C" w:rsidRDefault="00305D64" w:rsidP="00B248ED">
      <w:pPr>
        <w:spacing w:after="0" w:line="480" w:lineRule="auto"/>
        <w:ind w:firstLine="426"/>
        <w:jc w:val="both"/>
        <w:rPr>
          <w:rFonts w:ascii="Times New Roman" w:hAnsi="Times New Roman" w:cs="Times New Roman"/>
          <w:lang w:val="en-US"/>
        </w:rPr>
      </w:pPr>
      <w:r w:rsidRPr="00023BF0">
        <w:rPr>
          <w:rFonts w:ascii="Times New Roman" w:hAnsi="Times New Roman" w:cs="Times New Roman"/>
          <w:lang w:val="en-US"/>
        </w:rPr>
        <w:t>In a final univariate analysis</w:t>
      </w:r>
      <w:r w:rsidRPr="00622F6C">
        <w:rPr>
          <w:rFonts w:ascii="Times New Roman" w:hAnsi="Times New Roman" w:cs="Times New Roman"/>
          <w:lang w:val="en-US"/>
        </w:rPr>
        <w:t>, we examine n</w:t>
      </w:r>
      <w:r w:rsidR="008F1575" w:rsidRPr="00622F6C">
        <w:rPr>
          <w:rFonts w:ascii="Times New Roman" w:hAnsi="Times New Roman" w:cs="Times New Roman"/>
          <w:lang w:val="en-US"/>
        </w:rPr>
        <w:t xml:space="preserve">on-UK-domiciled firms </w:t>
      </w:r>
      <w:r w:rsidRPr="00622F6C">
        <w:rPr>
          <w:rFonts w:ascii="Times New Roman" w:hAnsi="Times New Roman" w:cs="Times New Roman"/>
          <w:lang w:val="en-US"/>
        </w:rPr>
        <w:t xml:space="preserve">that may fall under the TISC clause </w:t>
      </w:r>
      <w:r w:rsidR="002C5BAD">
        <w:rPr>
          <w:rFonts w:ascii="Times New Roman" w:hAnsi="Times New Roman" w:cs="Times New Roman"/>
          <w:lang w:val="en-US"/>
        </w:rPr>
        <w:t>because they</w:t>
      </w:r>
      <w:r w:rsidR="002C5BAD" w:rsidRPr="00622F6C">
        <w:rPr>
          <w:rFonts w:ascii="Times New Roman" w:hAnsi="Times New Roman" w:cs="Times New Roman"/>
          <w:lang w:val="en-US"/>
        </w:rPr>
        <w:t xml:space="preserve"> </w:t>
      </w:r>
      <w:r w:rsidRPr="00622F6C">
        <w:rPr>
          <w:rFonts w:ascii="Times New Roman" w:hAnsi="Times New Roman" w:cs="Times New Roman"/>
          <w:lang w:val="en-US"/>
        </w:rPr>
        <w:t>conduct part of their business in the UK and meet the £36 million annual turnover threshold</w:t>
      </w:r>
      <w:r w:rsidR="008F1575" w:rsidRPr="00622F6C">
        <w:rPr>
          <w:rFonts w:ascii="Times New Roman" w:hAnsi="Times New Roman" w:cs="Times New Roman"/>
          <w:lang w:val="en-US"/>
        </w:rPr>
        <w:t xml:space="preserve">. The UK Government does not provide any specific guidance </w:t>
      </w:r>
      <w:r w:rsidR="005576BE" w:rsidRPr="00622F6C">
        <w:rPr>
          <w:rFonts w:ascii="Times New Roman" w:hAnsi="Times New Roman" w:cs="Times New Roman"/>
          <w:lang w:val="en-US"/>
        </w:rPr>
        <w:t>for</w:t>
      </w:r>
      <w:r w:rsidR="008F1575" w:rsidRPr="00622F6C">
        <w:rPr>
          <w:rFonts w:ascii="Times New Roman" w:hAnsi="Times New Roman" w:cs="Times New Roman"/>
          <w:lang w:val="en-US"/>
        </w:rPr>
        <w:t xml:space="preserve"> identify</w:t>
      </w:r>
      <w:r w:rsidR="005576BE" w:rsidRPr="00622F6C">
        <w:rPr>
          <w:rFonts w:ascii="Times New Roman" w:hAnsi="Times New Roman" w:cs="Times New Roman"/>
          <w:lang w:val="en-US"/>
        </w:rPr>
        <w:t>ing</w:t>
      </w:r>
      <w:r w:rsidR="008F1575" w:rsidRPr="00622F6C">
        <w:rPr>
          <w:rFonts w:ascii="Times New Roman" w:hAnsi="Times New Roman" w:cs="Times New Roman"/>
          <w:lang w:val="en-US"/>
        </w:rPr>
        <w:t xml:space="preserve"> these companies.</w:t>
      </w:r>
      <w:r w:rsidR="00855019" w:rsidRPr="00622F6C">
        <w:rPr>
          <w:rFonts w:ascii="Times New Roman" w:hAnsi="Times New Roman" w:cs="Times New Roman"/>
          <w:lang w:val="en-US"/>
        </w:rPr>
        <w:t xml:space="preserve"> We construct three alternative samples of non-UK companies likely to </w:t>
      </w:r>
      <w:r w:rsidR="00315E26">
        <w:rPr>
          <w:rFonts w:ascii="Times New Roman" w:hAnsi="Times New Roman" w:cs="Times New Roman"/>
          <w:lang w:val="en-US"/>
        </w:rPr>
        <w:t>be covered by the TISC clause</w:t>
      </w:r>
      <w:r w:rsidR="00855019" w:rsidRPr="00622F6C">
        <w:rPr>
          <w:rFonts w:ascii="Times New Roman" w:hAnsi="Times New Roman" w:cs="Times New Roman"/>
          <w:lang w:val="en-US"/>
        </w:rPr>
        <w:t xml:space="preserve">. </w:t>
      </w:r>
      <w:r w:rsidR="00B248ED" w:rsidRPr="00622F6C">
        <w:rPr>
          <w:rFonts w:ascii="Times New Roman" w:hAnsi="Times New Roman" w:cs="Times New Roman"/>
          <w:lang w:val="en-US"/>
        </w:rPr>
        <w:t>Since f</w:t>
      </w:r>
      <w:r w:rsidR="007E6881" w:rsidRPr="00622F6C">
        <w:rPr>
          <w:rFonts w:ascii="Times New Roman" w:hAnsi="Times New Roman" w:cs="Times New Roman"/>
          <w:lang w:val="en-US"/>
        </w:rPr>
        <w:t>irms have considerable discretion regarding the level of aggregation in their geographical segment disclosures</w:t>
      </w:r>
      <w:r w:rsidR="00B248ED" w:rsidRPr="00622F6C">
        <w:rPr>
          <w:rFonts w:ascii="Times New Roman" w:hAnsi="Times New Roman" w:cs="Times New Roman"/>
          <w:lang w:val="en-US"/>
        </w:rPr>
        <w:t xml:space="preserve"> (Berger and Hann, 2007), w</w:t>
      </w:r>
      <w:r w:rsidR="009E3D47" w:rsidRPr="00622F6C">
        <w:rPr>
          <w:rFonts w:ascii="Times New Roman" w:hAnsi="Times New Roman" w:cs="Times New Roman"/>
          <w:lang w:val="en-US"/>
        </w:rPr>
        <w:t xml:space="preserve">e consider </w:t>
      </w:r>
      <w:r w:rsidR="001C6E8E">
        <w:rPr>
          <w:rFonts w:ascii="Times New Roman" w:hAnsi="Times New Roman" w:cs="Times New Roman"/>
          <w:lang w:val="en-US"/>
        </w:rPr>
        <w:t xml:space="preserve">a firm’s </w:t>
      </w:r>
      <w:r w:rsidR="009E3D47" w:rsidRPr="00622F6C">
        <w:rPr>
          <w:rFonts w:ascii="Times New Roman" w:hAnsi="Times New Roman" w:cs="Times New Roman"/>
          <w:lang w:val="en-US"/>
        </w:rPr>
        <w:t xml:space="preserve">decision to report accounting information separately for a UK segment as evidence of substantial exposure to the UK. Our first sample </w:t>
      </w:r>
      <w:r w:rsidR="009E3D47" w:rsidRPr="00622F6C">
        <w:rPr>
          <w:rFonts w:ascii="Times New Roman" w:hAnsi="Times New Roman" w:cs="Times New Roman"/>
          <w:lang w:val="en-US"/>
        </w:rPr>
        <w:lastRenderedPageBreak/>
        <w:t>t</w:t>
      </w:r>
      <w:r w:rsidR="00B248ED" w:rsidRPr="00622F6C">
        <w:rPr>
          <w:rFonts w:ascii="Times New Roman" w:hAnsi="Times New Roman" w:cs="Times New Roman"/>
          <w:lang w:val="en-US"/>
        </w:rPr>
        <w:t>hus</w:t>
      </w:r>
      <w:r w:rsidR="009E3D47" w:rsidRPr="00622F6C">
        <w:rPr>
          <w:rFonts w:ascii="Times New Roman" w:hAnsi="Times New Roman" w:cs="Times New Roman"/>
          <w:lang w:val="en-US"/>
        </w:rPr>
        <w:t xml:space="preserve"> consists of non-UK firms that report having a UK segment making up at least </w:t>
      </w:r>
      <w:r w:rsidR="00C949FD">
        <w:rPr>
          <w:rFonts w:ascii="Times New Roman" w:hAnsi="Times New Roman" w:cs="Times New Roman"/>
          <w:lang w:val="en-US"/>
        </w:rPr>
        <w:t>10%</w:t>
      </w:r>
      <w:r w:rsidR="009E3D47" w:rsidRPr="00622F6C">
        <w:rPr>
          <w:rFonts w:ascii="Times New Roman" w:hAnsi="Times New Roman" w:cs="Times New Roman"/>
          <w:lang w:val="en-US"/>
        </w:rPr>
        <w:t xml:space="preserve"> of their annual sales. We obtain segment data from </w:t>
      </w:r>
      <w:bookmarkStart w:id="51" w:name="_Hlk523996034"/>
      <w:r w:rsidR="009E3D47" w:rsidRPr="00622F6C">
        <w:rPr>
          <w:rFonts w:ascii="Times New Roman" w:hAnsi="Times New Roman" w:cs="Times New Roman"/>
          <w:lang w:val="en-US"/>
        </w:rPr>
        <w:t>Capital IQ</w:t>
      </w:r>
      <w:bookmarkEnd w:id="51"/>
      <w:r w:rsidR="009E3D47" w:rsidRPr="00622F6C">
        <w:rPr>
          <w:rFonts w:ascii="Times New Roman" w:hAnsi="Times New Roman" w:cs="Times New Roman"/>
          <w:lang w:val="en-US"/>
        </w:rPr>
        <w:t xml:space="preserve">. Our second sample is based on a textual analysis of firms’ annual reports. </w:t>
      </w:r>
      <w:r w:rsidR="0044667D">
        <w:rPr>
          <w:rFonts w:ascii="Times New Roman" w:hAnsi="Times New Roman" w:cs="Times New Roman"/>
          <w:lang w:val="en-US"/>
        </w:rPr>
        <w:t>In line with</w:t>
      </w:r>
      <w:r w:rsidR="009E3D47" w:rsidRPr="00622F6C">
        <w:rPr>
          <w:rFonts w:ascii="Times New Roman" w:hAnsi="Times New Roman" w:cs="Times New Roman"/>
          <w:lang w:val="en-US"/>
        </w:rPr>
        <w:t xml:space="preserve"> Campello et al. (201</w:t>
      </w:r>
      <w:r w:rsidR="00AC7DEE">
        <w:rPr>
          <w:rFonts w:ascii="Times New Roman" w:hAnsi="Times New Roman" w:cs="Times New Roman"/>
          <w:lang w:val="en-US"/>
        </w:rPr>
        <w:t>8</w:t>
      </w:r>
      <w:r w:rsidR="009E3D47" w:rsidRPr="00622F6C">
        <w:rPr>
          <w:rFonts w:ascii="Times New Roman" w:hAnsi="Times New Roman" w:cs="Times New Roman"/>
          <w:lang w:val="en-US"/>
        </w:rPr>
        <w:t xml:space="preserve">), we </w:t>
      </w:r>
      <w:r w:rsidR="00284729" w:rsidRPr="00622F6C">
        <w:rPr>
          <w:rFonts w:ascii="Times New Roman" w:hAnsi="Times New Roman" w:cs="Times New Roman"/>
          <w:lang w:val="en-US"/>
        </w:rPr>
        <w:t>identify firms that have more th</w:t>
      </w:r>
      <w:r w:rsidR="00CE57EC" w:rsidRPr="00622F6C">
        <w:rPr>
          <w:rFonts w:ascii="Times New Roman" w:hAnsi="Times New Roman" w:cs="Times New Roman"/>
          <w:lang w:val="en-US"/>
        </w:rPr>
        <w:t>an five UK-related words (e.g.</w:t>
      </w:r>
      <w:r w:rsidR="00C064E0">
        <w:rPr>
          <w:rFonts w:ascii="Times New Roman" w:hAnsi="Times New Roman" w:cs="Times New Roman"/>
          <w:lang w:val="en-US"/>
        </w:rPr>
        <w:t>,</w:t>
      </w:r>
      <w:r w:rsidR="00CE57EC" w:rsidRPr="00622F6C">
        <w:rPr>
          <w:rFonts w:ascii="Times New Roman" w:hAnsi="Times New Roman" w:cs="Times New Roman"/>
          <w:lang w:val="en-US"/>
        </w:rPr>
        <w:t xml:space="preserve"> ‘Britain’ or ‘United Kingdom’</w:t>
      </w:r>
      <w:r w:rsidR="00284729" w:rsidRPr="00622F6C">
        <w:rPr>
          <w:rFonts w:ascii="Times New Roman" w:hAnsi="Times New Roman" w:cs="Times New Roman"/>
          <w:lang w:val="en-US"/>
        </w:rPr>
        <w:t>) in their most recent 10-K filing before event 1 as having substantial exposure to the UK</w:t>
      </w:r>
      <w:r w:rsidR="009E3D47" w:rsidRPr="00622F6C">
        <w:rPr>
          <w:rFonts w:ascii="Times New Roman" w:hAnsi="Times New Roman" w:cs="Times New Roman"/>
          <w:lang w:val="en-US"/>
        </w:rPr>
        <w:t xml:space="preserve">. We </w:t>
      </w:r>
      <w:r w:rsidR="00284729" w:rsidRPr="00622F6C">
        <w:rPr>
          <w:rFonts w:ascii="Times New Roman" w:hAnsi="Times New Roman" w:cs="Times New Roman"/>
          <w:lang w:val="en-US"/>
        </w:rPr>
        <w:t>obtain</w:t>
      </w:r>
      <w:r w:rsidR="009E3D47" w:rsidRPr="00622F6C">
        <w:rPr>
          <w:rFonts w:ascii="Times New Roman" w:hAnsi="Times New Roman" w:cs="Times New Roman"/>
          <w:lang w:val="en-US"/>
        </w:rPr>
        <w:t xml:space="preserve"> 10-K filings from the </w:t>
      </w:r>
      <w:r w:rsidR="002E53AA">
        <w:rPr>
          <w:rFonts w:ascii="Times New Roman" w:hAnsi="Times New Roman" w:cs="Times New Roman"/>
          <w:lang w:val="en-US"/>
        </w:rPr>
        <w:t xml:space="preserve">US </w:t>
      </w:r>
      <w:r w:rsidR="009E3D47" w:rsidRPr="00622F6C">
        <w:rPr>
          <w:rFonts w:ascii="Times New Roman" w:hAnsi="Times New Roman" w:cs="Times New Roman"/>
          <w:lang w:val="en-US"/>
        </w:rPr>
        <w:t xml:space="preserve">Securities and Exchange Commission’s </w:t>
      </w:r>
      <w:bookmarkStart w:id="52" w:name="_Hlk523996088"/>
      <w:r w:rsidR="009E3D47" w:rsidRPr="00622F6C">
        <w:rPr>
          <w:rFonts w:ascii="Times New Roman" w:hAnsi="Times New Roman" w:cs="Times New Roman"/>
          <w:lang w:val="en-US"/>
        </w:rPr>
        <w:t xml:space="preserve">Edgar </w:t>
      </w:r>
      <w:bookmarkEnd w:id="52"/>
      <w:r w:rsidR="00284729" w:rsidRPr="00622F6C">
        <w:rPr>
          <w:rFonts w:ascii="Times New Roman" w:hAnsi="Times New Roman" w:cs="Times New Roman"/>
          <w:lang w:val="en-US"/>
        </w:rPr>
        <w:t>system. By construction, this analysis is therefore largely restricted to US</w:t>
      </w:r>
      <w:r w:rsidR="002E53AA">
        <w:rPr>
          <w:rFonts w:ascii="Times New Roman" w:hAnsi="Times New Roman" w:cs="Times New Roman"/>
          <w:lang w:val="en-US"/>
        </w:rPr>
        <w:t>-domiciled</w:t>
      </w:r>
      <w:r w:rsidR="00284729" w:rsidRPr="00622F6C">
        <w:rPr>
          <w:rFonts w:ascii="Times New Roman" w:hAnsi="Times New Roman" w:cs="Times New Roman"/>
          <w:lang w:val="en-US"/>
        </w:rPr>
        <w:t xml:space="preserve"> firms. Our third sample consists of non-UK firms </w:t>
      </w:r>
      <w:r w:rsidR="00B248ED" w:rsidRPr="00622F6C">
        <w:rPr>
          <w:rFonts w:ascii="Times New Roman" w:hAnsi="Times New Roman" w:cs="Times New Roman"/>
          <w:lang w:val="en-US"/>
        </w:rPr>
        <w:t>with</w:t>
      </w:r>
      <w:r w:rsidR="00284729" w:rsidRPr="00622F6C">
        <w:rPr>
          <w:rFonts w:ascii="Times New Roman" w:hAnsi="Times New Roman" w:cs="Times New Roman"/>
          <w:lang w:val="en-US"/>
        </w:rPr>
        <w:t xml:space="preserve"> a UK subsidiary. We obtain subsidiary data from Capital IQ. We clean these three datasets of international firms following similar criteria </w:t>
      </w:r>
      <w:r w:rsidR="00B248ED" w:rsidRPr="00622F6C">
        <w:rPr>
          <w:rFonts w:ascii="Times New Roman" w:hAnsi="Times New Roman" w:cs="Times New Roman"/>
          <w:lang w:val="en-US"/>
        </w:rPr>
        <w:t>to those outlined in Table 2</w:t>
      </w:r>
      <w:r w:rsidR="00284729" w:rsidRPr="00622F6C">
        <w:rPr>
          <w:rFonts w:ascii="Times New Roman" w:hAnsi="Times New Roman" w:cs="Times New Roman"/>
          <w:lang w:val="en-US"/>
        </w:rPr>
        <w:t xml:space="preserve">, and estimate </w:t>
      </w:r>
      <w:r w:rsidR="00ED5C33">
        <w:rPr>
          <w:rFonts w:ascii="Times New Roman" w:hAnsi="Times New Roman" w:cs="Times New Roman"/>
          <w:lang w:val="en-US"/>
        </w:rPr>
        <w:t>a</w:t>
      </w:r>
      <w:r w:rsidR="00284729" w:rsidRPr="00622F6C">
        <w:rPr>
          <w:rFonts w:ascii="Times New Roman" w:hAnsi="Times New Roman" w:cs="Times New Roman"/>
          <w:lang w:val="en-US"/>
        </w:rPr>
        <w:t xml:space="preserve"> time-series regression </w:t>
      </w:r>
      <w:r w:rsidR="00ED5C33">
        <w:rPr>
          <w:rFonts w:ascii="Times New Roman" w:hAnsi="Times New Roman" w:cs="Times New Roman"/>
          <w:lang w:val="en-US"/>
        </w:rPr>
        <w:t xml:space="preserve">similar to Equation (1) </w:t>
      </w:r>
      <w:r w:rsidR="00315E26">
        <w:rPr>
          <w:rFonts w:ascii="Times New Roman" w:hAnsi="Times New Roman" w:cs="Times New Roman"/>
          <w:lang w:val="en-US"/>
        </w:rPr>
        <w:t>for</w:t>
      </w:r>
      <w:r w:rsidR="00CE57EC" w:rsidRPr="00622F6C">
        <w:rPr>
          <w:rFonts w:ascii="Times New Roman" w:hAnsi="Times New Roman" w:cs="Times New Roman"/>
          <w:lang w:val="en-US"/>
        </w:rPr>
        <w:t xml:space="preserve"> value-weighted portfolios of the</w:t>
      </w:r>
      <w:r w:rsidR="00284729" w:rsidRPr="00622F6C">
        <w:rPr>
          <w:rFonts w:ascii="Times New Roman" w:hAnsi="Times New Roman" w:cs="Times New Roman"/>
          <w:lang w:val="en-US"/>
        </w:rPr>
        <w:t xml:space="preserve"> resulting samples of 181, 818, and 2,808 firms, respectively. </w:t>
      </w:r>
      <w:r w:rsidR="00284729" w:rsidRPr="00622F6C">
        <w:rPr>
          <w:rFonts w:ascii="Times New Roman" w:eastAsiaTheme="minorEastAsia" w:hAnsi="Times New Roman" w:cs="Times New Roman"/>
          <w:lang w:val="en-US"/>
        </w:rPr>
        <w:t xml:space="preserve">We use the Datastream world market index in these regressions. All event dates are the same as for our baseline analysis, except that we take event 2 to happen on August 26 instead of August 27, 2013, </w:t>
      </w:r>
      <w:r w:rsidR="00CE57EC" w:rsidRPr="00622F6C">
        <w:rPr>
          <w:rFonts w:ascii="Times New Roman" w:eastAsiaTheme="minorEastAsia" w:hAnsi="Times New Roman" w:cs="Times New Roman"/>
          <w:lang w:val="en-US"/>
        </w:rPr>
        <w:t>since</w:t>
      </w:r>
      <w:r w:rsidR="00284729" w:rsidRPr="00622F6C">
        <w:rPr>
          <w:rFonts w:ascii="Times New Roman" w:eastAsiaTheme="minorEastAsia" w:hAnsi="Times New Roman" w:cs="Times New Roman"/>
          <w:lang w:val="en-US"/>
        </w:rPr>
        <w:t xml:space="preserve"> August 26, 2013 was not an int</w:t>
      </w:r>
      <w:r w:rsidR="00023BF0">
        <w:rPr>
          <w:rFonts w:ascii="Times New Roman" w:eastAsiaTheme="minorEastAsia" w:hAnsi="Times New Roman" w:cs="Times New Roman"/>
          <w:lang w:val="en-US"/>
        </w:rPr>
        <w:t>ernational bank holiday. Rows (5) to (7</w:t>
      </w:r>
      <w:r w:rsidR="00284729" w:rsidRPr="00622F6C">
        <w:rPr>
          <w:rFonts w:ascii="Times New Roman" w:eastAsiaTheme="minorEastAsia" w:hAnsi="Times New Roman" w:cs="Times New Roman"/>
          <w:lang w:val="en-US"/>
        </w:rPr>
        <w:t xml:space="preserve">) show that we do not detect significant stock price reactions for these </w:t>
      </w:r>
      <w:r w:rsidR="00CE57EC" w:rsidRPr="00622F6C">
        <w:rPr>
          <w:rFonts w:ascii="Times New Roman" w:eastAsiaTheme="minorEastAsia" w:hAnsi="Times New Roman" w:cs="Times New Roman"/>
          <w:lang w:val="en-US"/>
        </w:rPr>
        <w:t xml:space="preserve">non-UK firm </w:t>
      </w:r>
      <w:r w:rsidR="00284729" w:rsidRPr="00622F6C">
        <w:rPr>
          <w:rFonts w:ascii="Times New Roman" w:eastAsiaTheme="minorEastAsia" w:hAnsi="Times New Roman" w:cs="Times New Roman"/>
          <w:lang w:val="en-US"/>
        </w:rPr>
        <w:t>samples</w:t>
      </w:r>
      <w:r w:rsidR="00911EE4" w:rsidRPr="00622F6C">
        <w:rPr>
          <w:rFonts w:ascii="Times New Roman" w:eastAsiaTheme="minorEastAsia" w:hAnsi="Times New Roman" w:cs="Times New Roman"/>
          <w:lang w:val="en-US"/>
        </w:rPr>
        <w:t xml:space="preserve"> either</w:t>
      </w:r>
      <w:r w:rsidR="00284729" w:rsidRPr="00622F6C">
        <w:rPr>
          <w:rFonts w:ascii="Times New Roman" w:eastAsiaTheme="minorEastAsia" w:hAnsi="Times New Roman" w:cs="Times New Roman"/>
          <w:lang w:val="en-US"/>
        </w:rPr>
        <w:t xml:space="preserve">. </w:t>
      </w:r>
      <w:r w:rsidR="005114A4" w:rsidRPr="00622F6C">
        <w:rPr>
          <w:rFonts w:ascii="Times New Roman" w:eastAsiaTheme="minorEastAsia" w:hAnsi="Times New Roman" w:cs="Times New Roman"/>
          <w:lang w:val="en-US"/>
        </w:rPr>
        <w:t>We next test our hypotheses on heterogeneity in stock price responses across firms</w:t>
      </w:r>
      <w:r w:rsidR="00284729" w:rsidRPr="00622F6C">
        <w:rPr>
          <w:rFonts w:ascii="Times New Roman" w:eastAsiaTheme="minorEastAsia" w:hAnsi="Times New Roman" w:cs="Times New Roman"/>
          <w:lang w:val="en-US"/>
        </w:rPr>
        <w:t>.</w:t>
      </w:r>
      <w:r w:rsidR="00284729" w:rsidRPr="00622F6C">
        <w:rPr>
          <w:rFonts w:ascii="Times New Roman" w:eastAsiaTheme="minorEastAsia" w:hAnsi="Times New Roman" w:cs="Times New Roman"/>
          <w:sz w:val="20"/>
          <w:szCs w:val="20"/>
          <w:lang w:val="en-US"/>
        </w:rPr>
        <w:t xml:space="preserve"> </w:t>
      </w:r>
    </w:p>
    <w:p w14:paraId="2B6F08CC" w14:textId="77777777" w:rsidR="00C22E4F" w:rsidRPr="00622F6C" w:rsidRDefault="00C22E4F" w:rsidP="00284729">
      <w:pPr>
        <w:spacing w:after="0" w:line="480" w:lineRule="auto"/>
        <w:ind w:firstLine="426"/>
        <w:jc w:val="both"/>
        <w:rPr>
          <w:rFonts w:ascii="Times New Roman" w:eastAsiaTheme="minorEastAsia" w:hAnsi="Times New Roman" w:cs="Times New Roman"/>
          <w:sz w:val="20"/>
          <w:szCs w:val="20"/>
          <w:lang w:val="en-US"/>
        </w:rPr>
      </w:pPr>
    </w:p>
    <w:p w14:paraId="5DB1470F" w14:textId="77777777" w:rsidR="007C2C4D" w:rsidRPr="00622F6C" w:rsidRDefault="00D961A5" w:rsidP="008B6B6C">
      <w:pPr>
        <w:pStyle w:val="ListParagraph"/>
        <w:numPr>
          <w:ilvl w:val="0"/>
          <w:numId w:val="21"/>
        </w:numPr>
        <w:spacing w:after="0" w:line="480" w:lineRule="auto"/>
        <w:jc w:val="both"/>
        <w:rPr>
          <w:rFonts w:ascii="Times New Roman" w:hAnsi="Times New Roman" w:cs="Times New Roman"/>
          <w:lang w:val="en-US"/>
        </w:rPr>
      </w:pPr>
      <w:r w:rsidRPr="00622F6C">
        <w:rPr>
          <w:rFonts w:ascii="Times New Roman" w:hAnsi="Times New Roman" w:cs="Times New Roman"/>
          <w:b/>
          <w:lang w:val="en-US"/>
        </w:rPr>
        <w:t xml:space="preserve">Cross-sectional differences in stock price reactions to the MSA </w:t>
      </w:r>
    </w:p>
    <w:p w14:paraId="74FFF931" w14:textId="77777777" w:rsidR="008B6B6C" w:rsidRDefault="008B6B6C" w:rsidP="007C2C4D">
      <w:pPr>
        <w:spacing w:after="0" w:line="480" w:lineRule="auto"/>
        <w:jc w:val="both"/>
        <w:rPr>
          <w:rFonts w:ascii="Times New Roman" w:hAnsi="Times New Roman" w:cs="Times New Roman"/>
          <w:lang w:val="en-US"/>
        </w:rPr>
      </w:pPr>
      <w:r w:rsidRPr="00622F6C">
        <w:rPr>
          <w:rFonts w:ascii="Times New Roman" w:hAnsi="Times New Roman" w:cs="Times New Roman"/>
          <w:lang w:val="en-US"/>
        </w:rPr>
        <w:t xml:space="preserve">This section discusses the </w:t>
      </w:r>
      <w:r w:rsidR="00336E0B" w:rsidRPr="00622F6C">
        <w:rPr>
          <w:rFonts w:ascii="Times New Roman" w:hAnsi="Times New Roman" w:cs="Times New Roman"/>
          <w:lang w:val="en-US"/>
        </w:rPr>
        <w:t>variables</w:t>
      </w:r>
      <w:r w:rsidRPr="00622F6C">
        <w:rPr>
          <w:rFonts w:ascii="Times New Roman" w:hAnsi="Times New Roman" w:cs="Times New Roman"/>
          <w:lang w:val="en-US"/>
        </w:rPr>
        <w:t xml:space="preserve"> used for our cross-sectional </w:t>
      </w:r>
      <w:r w:rsidR="007C2C4D" w:rsidRPr="00622F6C">
        <w:rPr>
          <w:rFonts w:ascii="Times New Roman" w:hAnsi="Times New Roman" w:cs="Times New Roman"/>
          <w:lang w:val="en-US"/>
        </w:rPr>
        <w:t>a</w:t>
      </w:r>
      <w:r w:rsidRPr="00622F6C">
        <w:rPr>
          <w:rFonts w:ascii="Times New Roman" w:hAnsi="Times New Roman" w:cs="Times New Roman"/>
          <w:lang w:val="en-US"/>
        </w:rPr>
        <w:t>nalysis of stock price reactions to the MSA</w:t>
      </w:r>
      <w:r w:rsidR="00C949FD">
        <w:rPr>
          <w:rFonts w:ascii="Times New Roman" w:hAnsi="Times New Roman" w:cs="Times New Roman"/>
          <w:lang w:val="en-US"/>
        </w:rPr>
        <w:t>’s</w:t>
      </w:r>
      <w:r w:rsidRPr="00622F6C">
        <w:rPr>
          <w:rFonts w:ascii="Times New Roman" w:hAnsi="Times New Roman" w:cs="Times New Roman"/>
          <w:lang w:val="en-US"/>
        </w:rPr>
        <w:t xml:space="preserve"> introduction, as well as the results of this analysis. </w:t>
      </w:r>
    </w:p>
    <w:p w14:paraId="1B07B87A" w14:textId="5B55DDBB" w:rsidR="00F06ACE" w:rsidRDefault="00F06ACE" w:rsidP="007C2C4D">
      <w:pPr>
        <w:spacing w:after="0" w:line="480" w:lineRule="auto"/>
        <w:jc w:val="both"/>
        <w:rPr>
          <w:rFonts w:ascii="Times New Roman" w:hAnsi="Times New Roman" w:cs="Times New Roman"/>
          <w:lang w:val="en-US"/>
        </w:rPr>
      </w:pPr>
    </w:p>
    <w:p w14:paraId="08283A29" w14:textId="77777777" w:rsidR="00C56D51" w:rsidRPr="00622F6C" w:rsidRDefault="00C56D51" w:rsidP="007C2C4D">
      <w:pPr>
        <w:spacing w:after="0" w:line="480" w:lineRule="auto"/>
        <w:jc w:val="both"/>
        <w:rPr>
          <w:rFonts w:ascii="Times New Roman" w:hAnsi="Times New Roman" w:cs="Times New Roman"/>
          <w:lang w:val="en-US"/>
        </w:rPr>
      </w:pPr>
    </w:p>
    <w:p w14:paraId="123CD48C" w14:textId="77777777" w:rsidR="00D961A5" w:rsidRPr="00622F6C" w:rsidRDefault="00336E0B" w:rsidP="00855019">
      <w:pPr>
        <w:numPr>
          <w:ilvl w:val="1"/>
          <w:numId w:val="21"/>
        </w:numPr>
        <w:spacing w:after="0" w:line="480" w:lineRule="auto"/>
        <w:ind w:left="426" w:hanging="426"/>
        <w:contextualSpacing/>
        <w:jc w:val="both"/>
        <w:rPr>
          <w:rFonts w:ascii="Times New Roman" w:hAnsi="Times New Roman" w:cs="Times New Roman"/>
          <w:i/>
          <w:lang w:val="en-US"/>
        </w:rPr>
      </w:pPr>
      <w:r w:rsidRPr="00622F6C">
        <w:rPr>
          <w:rFonts w:ascii="Times New Roman" w:hAnsi="Times New Roman" w:cs="Times New Roman"/>
          <w:i/>
          <w:lang w:val="en-US"/>
        </w:rPr>
        <w:t>V</w:t>
      </w:r>
      <w:r w:rsidR="00855019" w:rsidRPr="00622F6C">
        <w:rPr>
          <w:rFonts w:ascii="Times New Roman" w:hAnsi="Times New Roman" w:cs="Times New Roman"/>
          <w:i/>
          <w:lang w:val="en-US"/>
        </w:rPr>
        <w:t>ariables</w:t>
      </w:r>
      <w:r w:rsidR="000B2FD6" w:rsidRPr="00622F6C">
        <w:rPr>
          <w:rFonts w:ascii="Times New Roman" w:hAnsi="Times New Roman" w:cs="Times New Roman"/>
          <w:i/>
          <w:lang w:val="en-US"/>
        </w:rPr>
        <w:t xml:space="preserve"> </w:t>
      </w:r>
    </w:p>
    <w:p w14:paraId="42B2C97D" w14:textId="77777777" w:rsidR="00D961A5" w:rsidRPr="00622F6C" w:rsidRDefault="00336E0B" w:rsidP="00D961A5">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Our first hypothesis pertains to the </w:t>
      </w:r>
      <w:r w:rsidR="00ED5C33">
        <w:rPr>
          <w:rFonts w:ascii="Times New Roman" w:hAnsi="Times New Roman" w:cs="Times New Roman"/>
          <w:lang w:val="en-US"/>
        </w:rPr>
        <w:t>influence</w:t>
      </w:r>
      <w:r w:rsidRPr="00622F6C">
        <w:rPr>
          <w:rFonts w:ascii="Times New Roman" w:hAnsi="Times New Roman" w:cs="Times New Roman"/>
          <w:lang w:val="en-US"/>
        </w:rPr>
        <w:t xml:space="preserve"> of slavery risk</w:t>
      </w:r>
      <w:r w:rsidR="00ED5C33">
        <w:rPr>
          <w:rFonts w:ascii="Times New Roman" w:hAnsi="Times New Roman" w:cs="Times New Roman"/>
          <w:lang w:val="en-US"/>
        </w:rPr>
        <w:t xml:space="preserve"> on stock price reactions to the MSA</w:t>
      </w:r>
      <w:r w:rsidRPr="00622F6C">
        <w:rPr>
          <w:rFonts w:ascii="Times New Roman" w:hAnsi="Times New Roman" w:cs="Times New Roman"/>
          <w:lang w:val="en-US"/>
        </w:rPr>
        <w:t xml:space="preserve">. </w:t>
      </w:r>
      <w:r w:rsidR="00D961A5" w:rsidRPr="00622F6C">
        <w:rPr>
          <w:rFonts w:ascii="Times New Roman" w:hAnsi="Times New Roman" w:cs="Times New Roman"/>
          <w:lang w:val="en-US"/>
        </w:rPr>
        <w:t xml:space="preserve">The literature does not provide direct suggestions for </w:t>
      </w:r>
      <w:r w:rsidR="0044667D">
        <w:rPr>
          <w:rFonts w:ascii="Times New Roman" w:hAnsi="Times New Roman" w:cs="Times New Roman"/>
          <w:lang w:val="en-US"/>
        </w:rPr>
        <w:t>slavery risk measures</w:t>
      </w:r>
      <w:r w:rsidR="00D961A5" w:rsidRPr="00622F6C">
        <w:rPr>
          <w:rFonts w:ascii="Times New Roman" w:hAnsi="Times New Roman" w:cs="Times New Roman"/>
          <w:lang w:val="en-US"/>
        </w:rPr>
        <w:t xml:space="preserve">. We </w:t>
      </w:r>
      <w:r w:rsidR="000C6DE6" w:rsidRPr="00622F6C">
        <w:rPr>
          <w:rFonts w:ascii="Times New Roman" w:hAnsi="Times New Roman" w:cs="Times New Roman"/>
          <w:lang w:val="en-US"/>
        </w:rPr>
        <w:t>consider</w:t>
      </w:r>
      <w:r w:rsidRPr="00622F6C">
        <w:rPr>
          <w:rFonts w:ascii="Times New Roman" w:hAnsi="Times New Roman" w:cs="Times New Roman"/>
          <w:lang w:val="en-US"/>
        </w:rPr>
        <w:t xml:space="preserve"> three measures that investors may use to proxy for </w:t>
      </w:r>
      <w:r w:rsidR="001C6E8E">
        <w:rPr>
          <w:rFonts w:ascii="Times New Roman" w:hAnsi="Times New Roman" w:cs="Times New Roman"/>
          <w:lang w:val="en-US"/>
        </w:rPr>
        <w:t xml:space="preserve">a given firm’s </w:t>
      </w:r>
      <w:r w:rsidRPr="00622F6C">
        <w:rPr>
          <w:rFonts w:ascii="Times New Roman" w:hAnsi="Times New Roman" w:cs="Times New Roman"/>
          <w:lang w:val="en-US"/>
        </w:rPr>
        <w:t xml:space="preserve">slavery risk. </w:t>
      </w:r>
      <w:r w:rsidR="00CE57EC" w:rsidRPr="00622F6C">
        <w:rPr>
          <w:rFonts w:ascii="Times New Roman" w:hAnsi="Times New Roman" w:cs="Times New Roman"/>
          <w:lang w:val="en-US"/>
        </w:rPr>
        <w:t xml:space="preserve">The </w:t>
      </w:r>
      <w:r w:rsidR="00C949FD">
        <w:rPr>
          <w:rFonts w:ascii="Times New Roman" w:hAnsi="Times New Roman" w:cs="Times New Roman"/>
          <w:lang w:val="en-US"/>
        </w:rPr>
        <w:t>a</w:t>
      </w:r>
      <w:r w:rsidR="00C949FD" w:rsidRPr="00622F6C">
        <w:rPr>
          <w:rFonts w:ascii="Times New Roman" w:hAnsi="Times New Roman" w:cs="Times New Roman"/>
          <w:lang w:val="en-US"/>
        </w:rPr>
        <w:t xml:space="preserve">ppendix </w:t>
      </w:r>
      <w:r w:rsidR="00CE57EC" w:rsidRPr="00622F6C">
        <w:rPr>
          <w:rFonts w:ascii="Times New Roman" w:hAnsi="Times New Roman" w:cs="Times New Roman"/>
          <w:lang w:val="en-US"/>
        </w:rPr>
        <w:t>provides a detailed definition of the independent variables and their sources.</w:t>
      </w:r>
    </w:p>
    <w:p w14:paraId="5FE896F3" w14:textId="77777777" w:rsidR="004B1DA4" w:rsidRPr="00622F6C" w:rsidRDefault="002B7A6B" w:rsidP="00D961A5">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Our first proxy variable, </w:t>
      </w:r>
      <w:bookmarkStart w:id="53" w:name="_Hlk523996264"/>
      <w:r w:rsidRPr="00622F6C">
        <w:rPr>
          <w:rFonts w:ascii="Times New Roman" w:hAnsi="Times New Roman" w:cs="Times New Roman"/>
          <w:i/>
          <w:lang w:val="en-US"/>
        </w:rPr>
        <w:t>Social Incidents</w:t>
      </w:r>
      <w:bookmarkEnd w:id="53"/>
      <w:r w:rsidRPr="00622F6C">
        <w:rPr>
          <w:rFonts w:ascii="Times New Roman" w:hAnsi="Times New Roman" w:cs="Times New Roman"/>
          <w:lang w:val="en-US"/>
        </w:rPr>
        <w:t xml:space="preserve">, </w:t>
      </w:r>
      <w:r w:rsidR="000B2FD6" w:rsidRPr="00622F6C">
        <w:rPr>
          <w:rFonts w:ascii="Times New Roman" w:hAnsi="Times New Roman" w:cs="Times New Roman"/>
          <w:lang w:val="en-US"/>
        </w:rPr>
        <w:t xml:space="preserve">captures </w:t>
      </w:r>
      <w:r w:rsidR="0044667D">
        <w:rPr>
          <w:rFonts w:ascii="Times New Roman" w:hAnsi="Times New Roman" w:cs="Times New Roman"/>
          <w:lang w:val="en-US"/>
        </w:rPr>
        <w:t xml:space="preserve">a firm’s </w:t>
      </w:r>
      <w:r w:rsidR="000C6DE6" w:rsidRPr="00622F6C">
        <w:rPr>
          <w:rFonts w:ascii="Times New Roman" w:hAnsi="Times New Roman" w:cs="Times New Roman"/>
          <w:lang w:val="en-US"/>
        </w:rPr>
        <w:t xml:space="preserve">pre-MSA </w:t>
      </w:r>
      <w:r w:rsidR="000B2FD6" w:rsidRPr="00622F6C">
        <w:rPr>
          <w:rFonts w:ascii="Times New Roman" w:hAnsi="Times New Roman" w:cs="Times New Roman"/>
          <w:lang w:val="en-US"/>
        </w:rPr>
        <w:t xml:space="preserve">exposure </w:t>
      </w:r>
      <w:r w:rsidR="004B1DA4" w:rsidRPr="00622F6C">
        <w:rPr>
          <w:rFonts w:ascii="Times New Roman" w:hAnsi="Times New Roman" w:cs="Times New Roman"/>
          <w:lang w:val="en-US"/>
        </w:rPr>
        <w:t xml:space="preserve">to </w:t>
      </w:r>
      <w:r w:rsidR="00911EE4" w:rsidRPr="00622F6C">
        <w:rPr>
          <w:rFonts w:ascii="Times New Roman" w:hAnsi="Times New Roman" w:cs="Times New Roman"/>
          <w:lang w:val="en-US"/>
        </w:rPr>
        <w:t xml:space="preserve">incidents </w:t>
      </w:r>
      <w:r w:rsidR="00F0666D" w:rsidRPr="00622F6C">
        <w:rPr>
          <w:rFonts w:ascii="Times New Roman" w:hAnsi="Times New Roman" w:cs="Times New Roman"/>
          <w:lang w:val="en-US"/>
        </w:rPr>
        <w:t>related to the</w:t>
      </w:r>
      <w:r w:rsidR="000B2FD6" w:rsidRPr="00622F6C">
        <w:rPr>
          <w:rFonts w:ascii="Times New Roman" w:hAnsi="Times New Roman" w:cs="Times New Roman"/>
          <w:lang w:val="en-US"/>
        </w:rPr>
        <w:t xml:space="preserve"> ‘social’ element of CSR, such as </w:t>
      </w:r>
      <w:r w:rsidR="00911EE4" w:rsidRPr="00622F6C">
        <w:rPr>
          <w:rFonts w:ascii="Times New Roman" w:hAnsi="Times New Roman" w:cs="Times New Roman"/>
          <w:lang w:val="en-US"/>
        </w:rPr>
        <w:t>occurrences of</w:t>
      </w:r>
      <w:r w:rsidR="000C6DE6" w:rsidRPr="00622F6C">
        <w:rPr>
          <w:rFonts w:ascii="Times New Roman" w:hAnsi="Times New Roman" w:cs="Times New Roman"/>
          <w:lang w:val="en-US"/>
        </w:rPr>
        <w:t xml:space="preserve"> </w:t>
      </w:r>
      <w:r w:rsidR="000B2FD6" w:rsidRPr="00622F6C">
        <w:rPr>
          <w:rFonts w:ascii="Times New Roman" w:hAnsi="Times New Roman" w:cs="Times New Roman"/>
          <w:lang w:val="en-US"/>
        </w:rPr>
        <w:t xml:space="preserve">poor treatment of employees. </w:t>
      </w:r>
      <w:r w:rsidR="004B1DA4" w:rsidRPr="00622F6C">
        <w:rPr>
          <w:rFonts w:ascii="Times New Roman" w:hAnsi="Times New Roman" w:cs="Times New Roman"/>
          <w:lang w:val="en-US"/>
        </w:rPr>
        <w:t xml:space="preserve">We use </w:t>
      </w:r>
      <w:bookmarkStart w:id="54" w:name="_Hlk523996283"/>
      <w:r w:rsidR="004B1DA4" w:rsidRPr="00622F6C">
        <w:rPr>
          <w:rFonts w:ascii="Times New Roman" w:hAnsi="Times New Roman" w:cs="Times New Roman"/>
          <w:lang w:val="en-US"/>
        </w:rPr>
        <w:t>RepRisk</w:t>
      </w:r>
      <w:bookmarkEnd w:id="54"/>
      <w:r w:rsidR="004B1DA4" w:rsidRPr="00622F6C">
        <w:rPr>
          <w:rFonts w:ascii="Times New Roman" w:hAnsi="Times New Roman" w:cs="Times New Roman"/>
          <w:lang w:val="en-US"/>
        </w:rPr>
        <w:t xml:space="preserve">, </w:t>
      </w:r>
      <w:r w:rsidR="004B1DA4" w:rsidRPr="00622F6C">
        <w:rPr>
          <w:rFonts w:ascii="Times New Roman" w:hAnsi="Times New Roman" w:cs="Times New Roman"/>
          <w:lang w:val="en-US"/>
        </w:rPr>
        <w:lastRenderedPageBreak/>
        <w:t xml:space="preserve">a database </w:t>
      </w:r>
      <w:r w:rsidR="00911EE4" w:rsidRPr="00622F6C">
        <w:rPr>
          <w:rFonts w:ascii="Times New Roman" w:hAnsi="Times New Roman" w:cs="Times New Roman"/>
          <w:lang w:val="en-US"/>
        </w:rPr>
        <w:t xml:space="preserve">providing corporate </w:t>
      </w:r>
      <w:r w:rsidR="004C52C9" w:rsidRPr="00E54777">
        <w:rPr>
          <w:rFonts w:ascii="Times New Roman" w:hAnsi="Times New Roman" w:cs="Times New Roman"/>
          <w:lang w:val="en-US"/>
        </w:rPr>
        <w:t>ESG</w:t>
      </w:r>
      <w:r w:rsidR="00911EE4" w:rsidRPr="004C52C9">
        <w:rPr>
          <w:rFonts w:ascii="Times New Roman" w:hAnsi="Times New Roman" w:cs="Times New Roman"/>
          <w:lang w:val="en-US"/>
        </w:rPr>
        <w:t xml:space="preserve"> risk</w:t>
      </w:r>
      <w:r w:rsidR="00911EE4" w:rsidRPr="00622F6C">
        <w:rPr>
          <w:rFonts w:ascii="Times New Roman" w:hAnsi="Times New Roman" w:cs="Times New Roman"/>
          <w:lang w:val="en-US"/>
        </w:rPr>
        <w:t xml:space="preserve"> measures, </w:t>
      </w:r>
      <w:r w:rsidR="004B1DA4" w:rsidRPr="00622F6C">
        <w:rPr>
          <w:rFonts w:ascii="Times New Roman" w:hAnsi="Times New Roman" w:cs="Times New Roman"/>
          <w:lang w:val="en-US"/>
        </w:rPr>
        <w:t xml:space="preserve">as the source for this variable. We first obtain RepRisk’s </w:t>
      </w:r>
      <w:bookmarkStart w:id="55" w:name="_Hlk523996312"/>
      <w:r w:rsidR="004B1DA4" w:rsidRPr="00622F6C">
        <w:rPr>
          <w:rFonts w:ascii="Times New Roman" w:hAnsi="Times New Roman" w:cs="Times New Roman"/>
          <w:i/>
          <w:lang w:val="en-US"/>
        </w:rPr>
        <w:t>Peak RRI</w:t>
      </w:r>
      <w:r w:rsidR="004B1DA4" w:rsidRPr="00622F6C">
        <w:rPr>
          <w:rFonts w:ascii="Times New Roman" w:hAnsi="Times New Roman" w:cs="Times New Roman"/>
          <w:lang w:val="en-US"/>
        </w:rPr>
        <w:t xml:space="preserve"> </w:t>
      </w:r>
      <w:bookmarkEnd w:id="55"/>
      <w:r w:rsidR="004B1DA4" w:rsidRPr="00622F6C">
        <w:rPr>
          <w:rFonts w:ascii="Times New Roman" w:hAnsi="Times New Roman" w:cs="Times New Roman"/>
          <w:lang w:val="en-US"/>
        </w:rPr>
        <w:t xml:space="preserve">measure </w:t>
      </w:r>
      <w:r w:rsidR="000C6DE6" w:rsidRPr="00622F6C">
        <w:rPr>
          <w:rFonts w:ascii="Times New Roman" w:hAnsi="Times New Roman" w:cs="Times New Roman"/>
          <w:lang w:val="en-US"/>
        </w:rPr>
        <w:t xml:space="preserve">for </w:t>
      </w:r>
      <w:r w:rsidR="004B1DA4" w:rsidRPr="00622F6C">
        <w:rPr>
          <w:rFonts w:ascii="Times New Roman" w:hAnsi="Times New Roman" w:cs="Times New Roman"/>
          <w:lang w:val="en-US"/>
        </w:rPr>
        <w:t xml:space="preserve">each firm. </w:t>
      </w:r>
      <w:r w:rsidR="004B1DA4" w:rsidRPr="00622F6C">
        <w:rPr>
          <w:rFonts w:ascii="Times New Roman" w:hAnsi="Times New Roman" w:cs="Times New Roman"/>
          <w:i/>
          <w:lang w:val="en-US"/>
        </w:rPr>
        <w:t>Peak RRI</w:t>
      </w:r>
      <w:r w:rsidR="004B1DA4" w:rsidRPr="00622F6C">
        <w:rPr>
          <w:rFonts w:ascii="Times New Roman" w:hAnsi="Times New Roman" w:cs="Times New Roman"/>
          <w:lang w:val="en-US"/>
        </w:rPr>
        <w:t xml:space="preserve"> captures the </w:t>
      </w:r>
      <w:r w:rsidR="000C6DE6" w:rsidRPr="00622F6C">
        <w:rPr>
          <w:rFonts w:ascii="Times New Roman" w:hAnsi="Times New Roman" w:cs="Times New Roman"/>
          <w:lang w:val="en-US"/>
        </w:rPr>
        <w:t xml:space="preserve">firm’s </w:t>
      </w:r>
      <w:r w:rsidR="004B1DA4" w:rsidRPr="00622F6C">
        <w:rPr>
          <w:rFonts w:ascii="Times New Roman" w:hAnsi="Times New Roman" w:cs="Times New Roman"/>
          <w:lang w:val="en-US"/>
        </w:rPr>
        <w:t>maximum exposure to ESG risks</w:t>
      </w:r>
      <w:r w:rsidR="0051071C">
        <w:rPr>
          <w:rFonts w:ascii="Times New Roman" w:hAnsi="Times New Roman" w:cs="Times New Roman"/>
          <w:lang w:val="en-US"/>
        </w:rPr>
        <w:t xml:space="preserve"> over the two years before event 1</w:t>
      </w:r>
      <w:r w:rsidR="004B1DA4" w:rsidRPr="00622F6C">
        <w:rPr>
          <w:rFonts w:ascii="Times New Roman" w:hAnsi="Times New Roman" w:cs="Times New Roman"/>
          <w:lang w:val="en-US"/>
        </w:rPr>
        <w:t xml:space="preserve">, as </w:t>
      </w:r>
      <w:r w:rsidR="000C6DE6" w:rsidRPr="00622F6C">
        <w:rPr>
          <w:rFonts w:ascii="Times New Roman" w:hAnsi="Times New Roman" w:cs="Times New Roman"/>
          <w:lang w:val="en-US"/>
        </w:rPr>
        <w:t>measured</w:t>
      </w:r>
      <w:r w:rsidR="004B1DA4" w:rsidRPr="00622F6C">
        <w:rPr>
          <w:rFonts w:ascii="Times New Roman" w:hAnsi="Times New Roman" w:cs="Times New Roman"/>
          <w:lang w:val="en-US"/>
        </w:rPr>
        <w:t xml:space="preserve"> by media and stakeholder coverage mentioning the firm</w:t>
      </w:r>
      <w:r w:rsidR="00911EE4" w:rsidRPr="00622F6C">
        <w:rPr>
          <w:rFonts w:ascii="Times New Roman" w:hAnsi="Times New Roman" w:cs="Times New Roman"/>
          <w:lang w:val="en-US"/>
        </w:rPr>
        <w:t>’s name</w:t>
      </w:r>
      <w:r w:rsidR="004B1DA4" w:rsidRPr="00622F6C">
        <w:rPr>
          <w:rFonts w:ascii="Times New Roman" w:hAnsi="Times New Roman" w:cs="Times New Roman"/>
          <w:lang w:val="en-US"/>
        </w:rPr>
        <w:t xml:space="preserve"> in the context of ESG incidents. To obtain a cleaner measure of exposure to social incidents, rather than ES</w:t>
      </w:r>
      <w:r w:rsidR="0096158A" w:rsidRPr="00622F6C">
        <w:rPr>
          <w:rFonts w:ascii="Times New Roman" w:hAnsi="Times New Roman" w:cs="Times New Roman"/>
          <w:lang w:val="en-US"/>
        </w:rPr>
        <w:t xml:space="preserve">G incidents more generally, we </w:t>
      </w:r>
      <w:r w:rsidR="004B1DA4" w:rsidRPr="00622F6C">
        <w:rPr>
          <w:rFonts w:ascii="Times New Roman" w:hAnsi="Times New Roman" w:cs="Times New Roman"/>
          <w:lang w:val="en-US"/>
        </w:rPr>
        <w:t xml:space="preserve">multiply </w:t>
      </w:r>
      <w:r w:rsidR="004B1DA4" w:rsidRPr="00622F6C">
        <w:rPr>
          <w:rFonts w:ascii="Times New Roman" w:hAnsi="Times New Roman" w:cs="Times New Roman"/>
          <w:i/>
          <w:lang w:val="en-US"/>
        </w:rPr>
        <w:t>Peak RRI</w:t>
      </w:r>
      <w:r w:rsidR="004B1DA4" w:rsidRPr="00622F6C">
        <w:rPr>
          <w:rFonts w:ascii="Times New Roman" w:hAnsi="Times New Roman" w:cs="Times New Roman"/>
          <w:lang w:val="en-US"/>
        </w:rPr>
        <w:t xml:space="preserve"> </w:t>
      </w:r>
      <w:r w:rsidR="00C949FD">
        <w:rPr>
          <w:rFonts w:ascii="Times New Roman" w:hAnsi="Times New Roman" w:cs="Times New Roman"/>
          <w:lang w:val="en-US"/>
        </w:rPr>
        <w:t>by</w:t>
      </w:r>
      <w:r w:rsidR="00C949FD" w:rsidRPr="00622F6C">
        <w:rPr>
          <w:rFonts w:ascii="Times New Roman" w:hAnsi="Times New Roman" w:cs="Times New Roman"/>
          <w:lang w:val="en-US"/>
        </w:rPr>
        <w:t xml:space="preserve"> </w:t>
      </w:r>
      <w:bookmarkStart w:id="56" w:name="_Hlk523996347"/>
      <w:r w:rsidR="004B1DA4" w:rsidRPr="00622F6C">
        <w:rPr>
          <w:rFonts w:ascii="Times New Roman" w:hAnsi="Times New Roman" w:cs="Times New Roman"/>
          <w:i/>
          <w:lang w:val="en-US"/>
        </w:rPr>
        <w:t>S Percentage</w:t>
      </w:r>
      <w:bookmarkEnd w:id="56"/>
      <w:r w:rsidR="000C6DE6" w:rsidRPr="00622F6C">
        <w:rPr>
          <w:rFonts w:ascii="Times New Roman" w:hAnsi="Times New Roman" w:cs="Times New Roman"/>
          <w:lang w:val="en-US"/>
        </w:rPr>
        <w:t xml:space="preserve">, also obtained from RepRisk. </w:t>
      </w:r>
      <w:r w:rsidR="000C6DE6" w:rsidRPr="00622F6C">
        <w:rPr>
          <w:rFonts w:ascii="Times New Roman" w:hAnsi="Times New Roman" w:cs="Times New Roman"/>
          <w:i/>
          <w:lang w:val="en-US"/>
        </w:rPr>
        <w:t>S Percentage</w:t>
      </w:r>
      <w:r w:rsidR="000C6DE6" w:rsidRPr="00622F6C">
        <w:rPr>
          <w:rFonts w:ascii="Times New Roman" w:hAnsi="Times New Roman" w:cs="Times New Roman"/>
          <w:lang w:val="en-US"/>
        </w:rPr>
        <w:t xml:space="preserve"> is defined as the number</w:t>
      </w:r>
      <w:r w:rsidR="004E4F36" w:rsidRPr="00622F6C">
        <w:rPr>
          <w:rFonts w:ascii="Times New Roman" w:hAnsi="Times New Roman" w:cs="Times New Roman"/>
          <w:lang w:val="en-US"/>
        </w:rPr>
        <w:t xml:space="preserve"> of media and stakeholder links or </w:t>
      </w:r>
      <w:r w:rsidR="000C6DE6" w:rsidRPr="00622F6C">
        <w:rPr>
          <w:rFonts w:ascii="Times New Roman" w:hAnsi="Times New Roman" w:cs="Times New Roman"/>
          <w:lang w:val="en-US"/>
        </w:rPr>
        <w:t>mentions that refer to social issues, relati</w:t>
      </w:r>
      <w:r w:rsidR="004E4F36" w:rsidRPr="00622F6C">
        <w:rPr>
          <w:rFonts w:ascii="Times New Roman" w:hAnsi="Times New Roman" w:cs="Times New Roman"/>
          <w:lang w:val="en-US"/>
        </w:rPr>
        <w:t xml:space="preserve">ve to the total number of links or </w:t>
      </w:r>
      <w:r w:rsidR="000C6DE6" w:rsidRPr="00622F6C">
        <w:rPr>
          <w:rFonts w:ascii="Times New Roman" w:hAnsi="Times New Roman" w:cs="Times New Roman"/>
          <w:lang w:val="en-US"/>
        </w:rPr>
        <w:t>mention</w:t>
      </w:r>
      <w:r w:rsidR="004E4F36" w:rsidRPr="00622F6C">
        <w:rPr>
          <w:rFonts w:ascii="Times New Roman" w:hAnsi="Times New Roman" w:cs="Times New Roman"/>
          <w:lang w:val="en-US"/>
        </w:rPr>
        <w:t>s</w:t>
      </w:r>
      <w:r w:rsidR="000C6DE6" w:rsidRPr="00622F6C">
        <w:rPr>
          <w:rFonts w:ascii="Times New Roman" w:hAnsi="Times New Roman" w:cs="Times New Roman"/>
          <w:lang w:val="en-US"/>
        </w:rPr>
        <w:t xml:space="preserve"> that refer </w:t>
      </w:r>
      <w:r w:rsidR="00CE57EC" w:rsidRPr="00622F6C">
        <w:rPr>
          <w:rFonts w:ascii="Times New Roman" w:hAnsi="Times New Roman" w:cs="Times New Roman"/>
          <w:lang w:val="en-US"/>
        </w:rPr>
        <w:t xml:space="preserve">more generally </w:t>
      </w:r>
      <w:r w:rsidR="000C6DE6" w:rsidRPr="00622F6C">
        <w:rPr>
          <w:rFonts w:ascii="Times New Roman" w:hAnsi="Times New Roman" w:cs="Times New Roman"/>
          <w:lang w:val="en-US"/>
        </w:rPr>
        <w:t xml:space="preserve">to ESG issues </w:t>
      </w:r>
      <w:r w:rsidR="00CE57EC" w:rsidRPr="00622F6C">
        <w:rPr>
          <w:rFonts w:ascii="Times New Roman" w:hAnsi="Times New Roman" w:cs="Times New Roman"/>
          <w:lang w:val="en-US"/>
        </w:rPr>
        <w:t>related to the firm</w:t>
      </w:r>
      <w:r w:rsidR="000C6DE6" w:rsidRPr="00622F6C">
        <w:rPr>
          <w:rFonts w:ascii="Times New Roman" w:hAnsi="Times New Roman" w:cs="Times New Roman"/>
          <w:lang w:val="en-US"/>
        </w:rPr>
        <w:t xml:space="preserve">. As such, we use it as a proxy for the relative importance of social risk exposure for a given firm, and adjust the company’s </w:t>
      </w:r>
      <w:r w:rsidR="000C6DE6" w:rsidRPr="00622F6C">
        <w:rPr>
          <w:rFonts w:ascii="Times New Roman" w:hAnsi="Times New Roman" w:cs="Times New Roman"/>
          <w:i/>
          <w:lang w:val="en-US"/>
        </w:rPr>
        <w:t>Peak RRI</w:t>
      </w:r>
      <w:r w:rsidR="000C6DE6" w:rsidRPr="00622F6C">
        <w:rPr>
          <w:rFonts w:ascii="Times New Roman" w:hAnsi="Times New Roman" w:cs="Times New Roman"/>
          <w:lang w:val="en-US"/>
        </w:rPr>
        <w:t xml:space="preserve"> accordingly. Investors may perceive firms with a higher occurrence of social incidents in the years preceding the MSA to be more at risk of having slavery issues in their focal business or supply chain</w:t>
      </w:r>
      <w:r w:rsidR="004E4F36" w:rsidRPr="00622F6C">
        <w:rPr>
          <w:rFonts w:ascii="Times New Roman" w:hAnsi="Times New Roman" w:cs="Times New Roman"/>
          <w:lang w:val="en-US"/>
        </w:rPr>
        <w:t>s</w:t>
      </w:r>
      <w:r w:rsidR="000C6DE6" w:rsidRPr="00622F6C">
        <w:rPr>
          <w:rFonts w:ascii="Times New Roman" w:hAnsi="Times New Roman" w:cs="Times New Roman"/>
          <w:lang w:val="en-US"/>
        </w:rPr>
        <w:t xml:space="preserve">. We therefore predict a negative (positive) impact of </w:t>
      </w:r>
      <w:r w:rsidR="000C6DE6" w:rsidRPr="00622F6C">
        <w:rPr>
          <w:rFonts w:ascii="Times New Roman" w:hAnsi="Times New Roman" w:cs="Times New Roman"/>
          <w:i/>
          <w:lang w:val="en-US"/>
        </w:rPr>
        <w:t>Social Incidents</w:t>
      </w:r>
      <w:r w:rsidR="000C6DE6" w:rsidRPr="00622F6C">
        <w:rPr>
          <w:rFonts w:ascii="Times New Roman" w:hAnsi="Times New Roman" w:cs="Times New Roman"/>
          <w:lang w:val="en-US"/>
        </w:rPr>
        <w:t xml:space="preserve"> under H</w:t>
      </w:r>
      <w:r w:rsidR="000C6DE6" w:rsidRPr="00622F6C">
        <w:rPr>
          <w:rFonts w:ascii="Times New Roman" w:hAnsi="Times New Roman" w:cs="Times New Roman"/>
          <w:vertAlign w:val="subscript"/>
          <w:lang w:val="en-US"/>
        </w:rPr>
        <w:t>1a</w:t>
      </w:r>
      <w:r w:rsidR="000C6DE6" w:rsidRPr="00622F6C">
        <w:rPr>
          <w:rFonts w:ascii="Times New Roman" w:hAnsi="Times New Roman" w:cs="Times New Roman"/>
          <w:lang w:val="en-US"/>
        </w:rPr>
        <w:t xml:space="preserve"> (H</w:t>
      </w:r>
      <w:r w:rsidR="000C6DE6" w:rsidRPr="00622F6C">
        <w:rPr>
          <w:rFonts w:ascii="Times New Roman" w:hAnsi="Times New Roman" w:cs="Times New Roman"/>
          <w:vertAlign w:val="subscript"/>
          <w:lang w:val="en-US"/>
        </w:rPr>
        <w:t>1b</w:t>
      </w:r>
      <w:r w:rsidR="000C6DE6" w:rsidRPr="00622F6C">
        <w:rPr>
          <w:rFonts w:ascii="Times New Roman" w:hAnsi="Times New Roman" w:cs="Times New Roman"/>
          <w:lang w:val="en-US"/>
        </w:rPr>
        <w:t xml:space="preserve">). </w:t>
      </w:r>
    </w:p>
    <w:p w14:paraId="78F3E09C" w14:textId="77777777" w:rsidR="004B1DA4" w:rsidRPr="00622F6C" w:rsidRDefault="000C6DE6" w:rsidP="0096158A">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Our second and third </w:t>
      </w:r>
      <w:r w:rsidR="001B31BF" w:rsidRPr="00622F6C">
        <w:rPr>
          <w:rFonts w:ascii="Times New Roman" w:hAnsi="Times New Roman" w:cs="Times New Roman"/>
          <w:lang w:val="en-US"/>
        </w:rPr>
        <w:t xml:space="preserve">proxy variables </w:t>
      </w:r>
      <w:r w:rsidR="00911EE4" w:rsidRPr="00622F6C">
        <w:rPr>
          <w:rFonts w:ascii="Times New Roman" w:hAnsi="Times New Roman" w:cs="Times New Roman"/>
          <w:lang w:val="en-US"/>
        </w:rPr>
        <w:t xml:space="preserve">consist of </w:t>
      </w:r>
      <w:r w:rsidR="009D7285" w:rsidRPr="00622F6C">
        <w:rPr>
          <w:rFonts w:ascii="Times New Roman" w:hAnsi="Times New Roman" w:cs="Times New Roman"/>
          <w:lang w:val="en-US"/>
        </w:rPr>
        <w:t xml:space="preserve">dummy variables capturing </w:t>
      </w:r>
      <w:r w:rsidR="0044667D">
        <w:rPr>
          <w:rFonts w:ascii="Times New Roman" w:hAnsi="Times New Roman" w:cs="Times New Roman"/>
          <w:lang w:val="en-US"/>
        </w:rPr>
        <w:t xml:space="preserve">a firm’s </w:t>
      </w:r>
      <w:r w:rsidR="009D7285" w:rsidRPr="00622F6C">
        <w:rPr>
          <w:rFonts w:ascii="Times New Roman" w:hAnsi="Times New Roman" w:cs="Times New Roman"/>
          <w:lang w:val="en-US"/>
        </w:rPr>
        <w:t xml:space="preserve">policies aimed at protecting labor </w:t>
      </w:r>
      <w:r w:rsidR="0051071C">
        <w:rPr>
          <w:rFonts w:ascii="Times New Roman" w:hAnsi="Times New Roman" w:cs="Times New Roman"/>
          <w:lang w:val="en-US"/>
        </w:rPr>
        <w:t>standards</w:t>
      </w:r>
      <w:r w:rsidR="00911EE4" w:rsidRPr="00622F6C">
        <w:rPr>
          <w:rFonts w:ascii="Times New Roman" w:hAnsi="Times New Roman" w:cs="Times New Roman"/>
          <w:lang w:val="en-US"/>
        </w:rPr>
        <w:t xml:space="preserve">. We construct these dummies using information obtained from </w:t>
      </w:r>
      <w:bookmarkStart w:id="57" w:name="_Hlk523996437"/>
      <w:r w:rsidR="00911EE4" w:rsidRPr="00622F6C">
        <w:rPr>
          <w:rFonts w:ascii="Times New Roman" w:hAnsi="Times New Roman" w:cs="Times New Roman"/>
          <w:lang w:val="en-US"/>
        </w:rPr>
        <w:t>Asset4</w:t>
      </w:r>
      <w:bookmarkEnd w:id="57"/>
      <w:r w:rsidR="00911EE4" w:rsidRPr="00622F6C">
        <w:rPr>
          <w:rFonts w:ascii="Times New Roman" w:hAnsi="Times New Roman" w:cs="Times New Roman"/>
          <w:lang w:val="en-US"/>
        </w:rPr>
        <w:t>, a widely known database of corporate ESG measures</w:t>
      </w:r>
      <w:r w:rsidR="0053780A" w:rsidRPr="00622F6C">
        <w:rPr>
          <w:rFonts w:ascii="Times New Roman" w:hAnsi="Times New Roman" w:cs="Times New Roman"/>
          <w:lang w:val="en-US"/>
        </w:rPr>
        <w:t xml:space="preserve">. </w:t>
      </w:r>
      <w:bookmarkStart w:id="58" w:name="_Hlk523996445"/>
      <w:r w:rsidR="00C25D97">
        <w:rPr>
          <w:rFonts w:ascii="Times New Roman" w:hAnsi="Times New Roman" w:cs="Times New Roman"/>
          <w:i/>
          <w:lang w:val="en-US"/>
        </w:rPr>
        <w:t xml:space="preserve">Critical </w:t>
      </w:r>
      <w:r w:rsidR="0051071C" w:rsidRPr="00BF1355">
        <w:rPr>
          <w:rFonts w:ascii="Times New Roman" w:hAnsi="Times New Roman" w:cs="Times New Roman"/>
          <w:i/>
          <w:lang w:val="en-US"/>
        </w:rPr>
        <w:t>Countries</w:t>
      </w:r>
      <w:r w:rsidR="001B31BF" w:rsidRPr="00BF1355">
        <w:rPr>
          <w:rFonts w:ascii="Times New Roman" w:hAnsi="Times New Roman" w:cs="Times New Roman"/>
          <w:lang w:val="en-US"/>
        </w:rPr>
        <w:t xml:space="preserve"> </w:t>
      </w:r>
      <w:r w:rsidR="0051071C" w:rsidRPr="00BF1355">
        <w:rPr>
          <w:rFonts w:ascii="Times New Roman" w:hAnsi="Times New Roman" w:cs="Times New Roman"/>
          <w:i/>
          <w:lang w:val="en-US"/>
        </w:rPr>
        <w:t>Policy</w:t>
      </w:r>
      <w:r w:rsidR="004C52C9">
        <w:rPr>
          <w:rFonts w:ascii="Times New Roman" w:hAnsi="Times New Roman" w:cs="Times New Roman"/>
          <w:i/>
          <w:lang w:val="en-US"/>
        </w:rPr>
        <w:t xml:space="preserve"> </w:t>
      </w:r>
      <w:bookmarkEnd w:id="58"/>
      <w:r w:rsidR="0096158A" w:rsidRPr="00622F6C">
        <w:rPr>
          <w:rFonts w:ascii="Times New Roman" w:hAnsi="Times New Roman" w:cs="Times New Roman"/>
          <w:lang w:val="en-US"/>
        </w:rPr>
        <w:t>equal</w:t>
      </w:r>
      <w:r w:rsidR="009D7285" w:rsidRPr="00622F6C">
        <w:rPr>
          <w:rFonts w:ascii="Times New Roman" w:hAnsi="Times New Roman" w:cs="Times New Roman"/>
          <w:lang w:val="en-US"/>
        </w:rPr>
        <w:t>s</w:t>
      </w:r>
      <w:r w:rsidR="0096158A" w:rsidRPr="00622F6C">
        <w:rPr>
          <w:rFonts w:ascii="Times New Roman" w:hAnsi="Times New Roman" w:cs="Times New Roman"/>
          <w:lang w:val="en-US"/>
        </w:rPr>
        <w:t xml:space="preserve"> one if the company has a policy in place to limit activities in </w:t>
      </w:r>
      <w:r w:rsidR="0051071C">
        <w:rPr>
          <w:rFonts w:ascii="Times New Roman" w:hAnsi="Times New Roman" w:cs="Times New Roman"/>
          <w:lang w:val="en-US"/>
        </w:rPr>
        <w:t xml:space="preserve">undemocratic </w:t>
      </w:r>
      <w:r w:rsidR="0096158A" w:rsidRPr="00622F6C">
        <w:rPr>
          <w:rFonts w:ascii="Times New Roman" w:hAnsi="Times New Roman" w:cs="Times New Roman"/>
          <w:lang w:val="en-US"/>
        </w:rPr>
        <w:t xml:space="preserve">countries abusing human rights, and zero otherwise. </w:t>
      </w:r>
      <w:bookmarkStart w:id="59" w:name="_Hlk523996464"/>
      <w:r w:rsidR="0051071C" w:rsidRPr="00C95947">
        <w:rPr>
          <w:rFonts w:ascii="Times New Roman" w:hAnsi="Times New Roman" w:cs="Times New Roman"/>
          <w:i/>
          <w:lang w:val="en-US"/>
        </w:rPr>
        <w:t>Forced Labor</w:t>
      </w:r>
      <w:r w:rsidR="0096158A" w:rsidRPr="001708FE">
        <w:rPr>
          <w:rFonts w:ascii="Times New Roman" w:hAnsi="Times New Roman" w:cs="Times New Roman"/>
          <w:i/>
          <w:lang w:val="en-US"/>
        </w:rPr>
        <w:t xml:space="preserve"> </w:t>
      </w:r>
      <w:r w:rsidR="0051071C" w:rsidRPr="001708FE">
        <w:rPr>
          <w:rFonts w:ascii="Times New Roman" w:hAnsi="Times New Roman" w:cs="Times New Roman"/>
          <w:i/>
          <w:lang w:val="en-US"/>
        </w:rPr>
        <w:t>Policy</w:t>
      </w:r>
      <w:r w:rsidR="0051071C">
        <w:rPr>
          <w:rFonts w:ascii="Times New Roman" w:hAnsi="Times New Roman" w:cs="Times New Roman"/>
          <w:lang w:val="en-US"/>
        </w:rPr>
        <w:t xml:space="preserve"> </w:t>
      </w:r>
      <w:bookmarkEnd w:id="59"/>
      <w:r w:rsidR="009D7285" w:rsidRPr="00622F6C">
        <w:rPr>
          <w:rFonts w:ascii="Times New Roman" w:hAnsi="Times New Roman" w:cs="Times New Roman"/>
          <w:lang w:val="en-US"/>
        </w:rPr>
        <w:t>equals</w:t>
      </w:r>
      <w:r w:rsidR="0096158A" w:rsidRPr="00622F6C">
        <w:rPr>
          <w:rFonts w:ascii="Times New Roman" w:hAnsi="Times New Roman" w:cs="Times New Roman"/>
          <w:lang w:val="en-US"/>
        </w:rPr>
        <w:t xml:space="preserve"> one if the </w:t>
      </w:r>
      <w:r w:rsidR="0044667D">
        <w:rPr>
          <w:rFonts w:ascii="Times New Roman" w:hAnsi="Times New Roman" w:cs="Times New Roman"/>
          <w:lang w:val="en-US"/>
        </w:rPr>
        <w:t>firm</w:t>
      </w:r>
      <w:r w:rsidR="0044667D" w:rsidRPr="00622F6C">
        <w:rPr>
          <w:rFonts w:ascii="Times New Roman" w:hAnsi="Times New Roman" w:cs="Times New Roman"/>
          <w:lang w:val="en-US"/>
        </w:rPr>
        <w:t xml:space="preserve"> </w:t>
      </w:r>
      <w:r w:rsidR="0096158A" w:rsidRPr="00622F6C">
        <w:rPr>
          <w:rFonts w:ascii="Times New Roman" w:hAnsi="Times New Roman" w:cs="Times New Roman"/>
          <w:lang w:val="en-US"/>
        </w:rPr>
        <w:t>has processes in place to a</w:t>
      </w:r>
      <w:r w:rsidR="00061F18" w:rsidRPr="00622F6C">
        <w:rPr>
          <w:rFonts w:ascii="Times New Roman" w:hAnsi="Times New Roman" w:cs="Times New Roman"/>
          <w:lang w:val="en-US"/>
        </w:rPr>
        <w:t>void the use of forced labo</w:t>
      </w:r>
      <w:r w:rsidR="0096158A" w:rsidRPr="00622F6C">
        <w:rPr>
          <w:rFonts w:ascii="Times New Roman" w:hAnsi="Times New Roman" w:cs="Times New Roman"/>
          <w:lang w:val="en-US"/>
        </w:rPr>
        <w:t xml:space="preserve">r, and zero otherwise. </w:t>
      </w:r>
      <w:r w:rsidR="00E65D96" w:rsidRPr="00622F6C">
        <w:rPr>
          <w:rFonts w:ascii="Times New Roman" w:hAnsi="Times New Roman" w:cs="Times New Roman"/>
          <w:lang w:val="en-US"/>
        </w:rPr>
        <w:t xml:space="preserve">Investors may perceive firms with </w:t>
      </w:r>
      <w:r w:rsidR="0051071C">
        <w:rPr>
          <w:rFonts w:ascii="Times New Roman" w:hAnsi="Times New Roman" w:cs="Times New Roman"/>
          <w:lang w:val="en-US"/>
        </w:rPr>
        <w:t>labor</w:t>
      </w:r>
      <w:r w:rsidR="00113F3F">
        <w:rPr>
          <w:rFonts w:ascii="Times New Roman" w:hAnsi="Times New Roman" w:cs="Times New Roman"/>
          <w:lang w:val="en-US"/>
        </w:rPr>
        <w:t xml:space="preserve"> </w:t>
      </w:r>
      <w:r w:rsidR="0051071C">
        <w:rPr>
          <w:rFonts w:ascii="Times New Roman" w:hAnsi="Times New Roman" w:cs="Times New Roman"/>
          <w:lang w:val="en-US"/>
        </w:rPr>
        <w:t>standard</w:t>
      </w:r>
      <w:r w:rsidR="0068625B">
        <w:rPr>
          <w:rFonts w:ascii="Times New Roman" w:hAnsi="Times New Roman" w:cs="Times New Roman"/>
          <w:lang w:val="en-US"/>
        </w:rPr>
        <w:t>s</w:t>
      </w:r>
      <w:r w:rsidR="00E65D96" w:rsidRPr="00622F6C">
        <w:rPr>
          <w:rFonts w:ascii="Times New Roman" w:hAnsi="Times New Roman" w:cs="Times New Roman"/>
          <w:lang w:val="en-US"/>
        </w:rPr>
        <w:t xml:space="preserve"> policies in place </w:t>
      </w:r>
      <w:r w:rsidR="00367ABE">
        <w:rPr>
          <w:rFonts w:ascii="Times New Roman" w:hAnsi="Times New Roman" w:cs="Times New Roman"/>
          <w:lang w:val="en-US"/>
        </w:rPr>
        <w:t xml:space="preserve">as having a </w:t>
      </w:r>
      <w:r w:rsidR="00E65D96" w:rsidRPr="00622F6C">
        <w:rPr>
          <w:rFonts w:ascii="Times New Roman" w:hAnsi="Times New Roman" w:cs="Times New Roman"/>
          <w:lang w:val="en-US"/>
        </w:rPr>
        <w:t xml:space="preserve">lower risk of </w:t>
      </w:r>
      <w:r w:rsidR="00911EE4" w:rsidRPr="00622F6C">
        <w:rPr>
          <w:rFonts w:ascii="Times New Roman" w:hAnsi="Times New Roman" w:cs="Times New Roman"/>
          <w:lang w:val="en-US"/>
        </w:rPr>
        <w:t>slave labor</w:t>
      </w:r>
      <w:r w:rsidR="00E65D96" w:rsidRPr="00622F6C">
        <w:rPr>
          <w:rFonts w:ascii="Times New Roman" w:hAnsi="Times New Roman" w:cs="Times New Roman"/>
          <w:lang w:val="en-US"/>
        </w:rPr>
        <w:t xml:space="preserve"> </w:t>
      </w:r>
      <w:r w:rsidR="00C949FD">
        <w:rPr>
          <w:rFonts w:ascii="Times New Roman" w:hAnsi="Times New Roman" w:cs="Times New Roman"/>
          <w:lang w:val="en-US"/>
        </w:rPr>
        <w:t xml:space="preserve">being used </w:t>
      </w:r>
      <w:r w:rsidR="00E65D96" w:rsidRPr="00622F6C">
        <w:rPr>
          <w:rFonts w:ascii="Times New Roman" w:hAnsi="Times New Roman" w:cs="Times New Roman"/>
          <w:lang w:val="en-US"/>
        </w:rPr>
        <w:t xml:space="preserve">in their business or supply chains. We therefore predict a positive (negative) impact of our two </w:t>
      </w:r>
      <w:r w:rsidR="0051071C">
        <w:rPr>
          <w:rFonts w:ascii="Times New Roman" w:hAnsi="Times New Roman" w:cs="Times New Roman"/>
          <w:lang w:val="en-US"/>
        </w:rPr>
        <w:t>labor</w:t>
      </w:r>
      <w:r w:rsidR="00113F3F">
        <w:rPr>
          <w:rFonts w:ascii="Times New Roman" w:hAnsi="Times New Roman" w:cs="Times New Roman"/>
          <w:lang w:val="en-US"/>
        </w:rPr>
        <w:t xml:space="preserve"> </w:t>
      </w:r>
      <w:r w:rsidR="0051071C">
        <w:rPr>
          <w:rFonts w:ascii="Times New Roman" w:hAnsi="Times New Roman" w:cs="Times New Roman"/>
          <w:lang w:val="en-US"/>
        </w:rPr>
        <w:t>standard</w:t>
      </w:r>
      <w:r w:rsidR="0068625B">
        <w:rPr>
          <w:rFonts w:ascii="Times New Roman" w:hAnsi="Times New Roman" w:cs="Times New Roman"/>
          <w:lang w:val="en-US"/>
        </w:rPr>
        <w:t>s</w:t>
      </w:r>
      <w:r w:rsidR="00E65D96" w:rsidRPr="00622F6C">
        <w:rPr>
          <w:rFonts w:ascii="Times New Roman" w:hAnsi="Times New Roman" w:cs="Times New Roman"/>
          <w:lang w:val="en-US"/>
        </w:rPr>
        <w:t xml:space="preserve"> dummy variables under H</w:t>
      </w:r>
      <w:r w:rsidR="00E65D96" w:rsidRPr="00622F6C">
        <w:rPr>
          <w:rFonts w:ascii="Times New Roman" w:hAnsi="Times New Roman" w:cs="Times New Roman"/>
          <w:vertAlign w:val="subscript"/>
          <w:lang w:val="en-US"/>
        </w:rPr>
        <w:t>1a</w:t>
      </w:r>
      <w:r w:rsidR="00E65D96" w:rsidRPr="00622F6C">
        <w:rPr>
          <w:rFonts w:ascii="Times New Roman" w:hAnsi="Times New Roman" w:cs="Times New Roman"/>
          <w:lang w:val="en-US"/>
        </w:rPr>
        <w:t xml:space="preserve"> (H</w:t>
      </w:r>
      <w:r w:rsidR="00E65D96" w:rsidRPr="00622F6C">
        <w:rPr>
          <w:rFonts w:ascii="Times New Roman" w:hAnsi="Times New Roman" w:cs="Times New Roman"/>
          <w:vertAlign w:val="subscript"/>
          <w:lang w:val="en-US"/>
        </w:rPr>
        <w:t>1b</w:t>
      </w:r>
      <w:r w:rsidR="00E65D96" w:rsidRPr="00622F6C">
        <w:rPr>
          <w:rFonts w:ascii="Times New Roman" w:hAnsi="Times New Roman" w:cs="Times New Roman"/>
          <w:lang w:val="en-US"/>
        </w:rPr>
        <w:t>).</w:t>
      </w:r>
    </w:p>
    <w:p w14:paraId="3EFCB5EF" w14:textId="1B12ED01" w:rsidR="000B2FD6" w:rsidRPr="00622F6C" w:rsidRDefault="00E65D96" w:rsidP="00D961A5">
      <w:pPr>
        <w:spacing w:after="0" w:line="480" w:lineRule="auto"/>
        <w:ind w:firstLine="425"/>
        <w:jc w:val="both"/>
        <w:rPr>
          <w:rFonts w:ascii="Times New Roman" w:hAnsi="Times New Roman" w:cs="Times New Roman"/>
          <w:lang w:val="en-US"/>
        </w:rPr>
      </w:pPr>
      <w:r w:rsidRPr="00622F6C">
        <w:rPr>
          <w:rFonts w:ascii="Times New Roman" w:hAnsi="Times New Roman" w:cs="Times New Roman"/>
          <w:lang w:val="en-US"/>
        </w:rPr>
        <w:t xml:space="preserve">Our second hypothesis pertains to the moderating role of CSR disclosure. We construct two proxy variables capturing </w:t>
      </w:r>
      <w:r w:rsidR="0044667D">
        <w:rPr>
          <w:rFonts w:ascii="Times New Roman" w:hAnsi="Times New Roman" w:cs="Times New Roman"/>
          <w:lang w:val="en-US"/>
        </w:rPr>
        <w:t>a firm’s</w:t>
      </w:r>
      <w:r w:rsidR="0044667D" w:rsidRPr="00622F6C">
        <w:rPr>
          <w:rFonts w:ascii="Times New Roman" w:hAnsi="Times New Roman" w:cs="Times New Roman"/>
          <w:lang w:val="en-US"/>
        </w:rPr>
        <w:t xml:space="preserve"> </w:t>
      </w:r>
      <w:r w:rsidRPr="00622F6C">
        <w:rPr>
          <w:rFonts w:ascii="Times New Roman" w:hAnsi="Times New Roman" w:cs="Times New Roman"/>
          <w:lang w:val="en-US"/>
        </w:rPr>
        <w:t>pre-</w:t>
      </w:r>
      <w:r w:rsidR="00C949FD" w:rsidRPr="00622F6C">
        <w:rPr>
          <w:rFonts w:ascii="Times New Roman" w:hAnsi="Times New Roman" w:cs="Times New Roman"/>
          <w:lang w:val="en-US"/>
        </w:rPr>
        <w:t>regulat</w:t>
      </w:r>
      <w:r w:rsidR="003961DB">
        <w:rPr>
          <w:rFonts w:ascii="Times New Roman" w:hAnsi="Times New Roman" w:cs="Times New Roman"/>
          <w:lang w:val="en-US"/>
        </w:rPr>
        <w:t>ory</w:t>
      </w:r>
      <w:r w:rsidR="00C949FD" w:rsidRPr="00622F6C">
        <w:rPr>
          <w:rFonts w:ascii="Times New Roman" w:hAnsi="Times New Roman" w:cs="Times New Roman"/>
          <w:lang w:val="en-US"/>
        </w:rPr>
        <w:t xml:space="preserve"> </w:t>
      </w:r>
      <w:r w:rsidRPr="00622F6C">
        <w:rPr>
          <w:rFonts w:ascii="Times New Roman" w:hAnsi="Times New Roman" w:cs="Times New Roman"/>
          <w:lang w:val="en-US"/>
        </w:rPr>
        <w:t>levels of CSR</w:t>
      </w:r>
      <w:r w:rsidR="00821EEB" w:rsidRPr="00622F6C">
        <w:rPr>
          <w:rFonts w:ascii="Times New Roman" w:hAnsi="Times New Roman" w:cs="Times New Roman"/>
          <w:lang w:val="en-US"/>
        </w:rPr>
        <w:t>-related</w:t>
      </w:r>
      <w:r w:rsidRPr="00622F6C">
        <w:rPr>
          <w:rFonts w:ascii="Times New Roman" w:hAnsi="Times New Roman" w:cs="Times New Roman"/>
          <w:lang w:val="en-US"/>
        </w:rPr>
        <w:t xml:space="preserve"> information </w:t>
      </w:r>
      <w:r w:rsidR="003961DB">
        <w:rPr>
          <w:rFonts w:ascii="Times New Roman" w:hAnsi="Times New Roman" w:cs="Times New Roman"/>
          <w:lang w:val="en-US"/>
        </w:rPr>
        <w:t xml:space="preserve">disclosure </w:t>
      </w:r>
      <w:r w:rsidRPr="00622F6C">
        <w:rPr>
          <w:rFonts w:ascii="Times New Roman" w:hAnsi="Times New Roman" w:cs="Times New Roman"/>
          <w:lang w:val="en-US"/>
        </w:rPr>
        <w:t>to external stakeholders. Our first proxy variable</w:t>
      </w:r>
      <w:r w:rsidR="00821EEB" w:rsidRPr="00622F6C">
        <w:rPr>
          <w:rFonts w:ascii="Times New Roman" w:hAnsi="Times New Roman" w:cs="Times New Roman"/>
          <w:lang w:val="en-US"/>
        </w:rPr>
        <w:t xml:space="preserve">, obtained from Asset4, </w:t>
      </w:r>
      <w:r w:rsidR="00AF0228">
        <w:rPr>
          <w:rFonts w:ascii="Times New Roman" w:hAnsi="Times New Roman" w:cs="Times New Roman"/>
          <w:lang w:val="en-US"/>
        </w:rPr>
        <w:t>captures</w:t>
      </w:r>
      <w:r w:rsidR="00821EEB" w:rsidRPr="00622F6C">
        <w:rPr>
          <w:rFonts w:ascii="Times New Roman" w:hAnsi="Times New Roman" w:cs="Times New Roman"/>
          <w:lang w:val="en-US"/>
        </w:rPr>
        <w:t xml:space="preserve"> </w:t>
      </w:r>
      <w:r w:rsidR="0044667D">
        <w:rPr>
          <w:rFonts w:ascii="Times New Roman" w:hAnsi="Times New Roman" w:cs="Times New Roman"/>
          <w:lang w:val="en-US"/>
        </w:rPr>
        <w:t xml:space="preserve">a firm’s </w:t>
      </w:r>
      <w:r w:rsidR="00821EEB" w:rsidRPr="00622F6C">
        <w:rPr>
          <w:rFonts w:ascii="Times New Roman" w:hAnsi="Times New Roman" w:cs="Times New Roman"/>
          <w:lang w:val="en-US"/>
        </w:rPr>
        <w:t xml:space="preserve">level of transparency regarding </w:t>
      </w:r>
      <w:r w:rsidR="0044667D">
        <w:rPr>
          <w:rFonts w:ascii="Times New Roman" w:hAnsi="Times New Roman" w:cs="Times New Roman"/>
          <w:lang w:val="en-US"/>
        </w:rPr>
        <w:t>its</w:t>
      </w:r>
      <w:r w:rsidR="0044667D" w:rsidRPr="00622F6C">
        <w:rPr>
          <w:rFonts w:ascii="Times New Roman" w:hAnsi="Times New Roman" w:cs="Times New Roman"/>
          <w:lang w:val="en-US"/>
        </w:rPr>
        <w:t xml:space="preserve"> </w:t>
      </w:r>
      <w:r w:rsidR="00821EEB" w:rsidRPr="00622F6C">
        <w:rPr>
          <w:rFonts w:ascii="Times New Roman" w:hAnsi="Times New Roman" w:cs="Times New Roman"/>
          <w:lang w:val="en-US"/>
        </w:rPr>
        <w:t>policies</w:t>
      </w:r>
      <w:r w:rsidR="00AF0228">
        <w:rPr>
          <w:rFonts w:ascii="Times New Roman" w:hAnsi="Times New Roman" w:cs="Times New Roman"/>
          <w:lang w:val="en-US"/>
        </w:rPr>
        <w:t xml:space="preserve"> </w:t>
      </w:r>
      <w:r w:rsidR="00DF0D11">
        <w:rPr>
          <w:rFonts w:ascii="Times New Roman" w:hAnsi="Times New Roman" w:cs="Times New Roman"/>
          <w:lang w:val="en-US"/>
        </w:rPr>
        <w:t xml:space="preserve">aimed at </w:t>
      </w:r>
      <w:r w:rsidR="00AF0228">
        <w:rPr>
          <w:rFonts w:ascii="Times New Roman" w:hAnsi="Times New Roman" w:cs="Times New Roman"/>
          <w:lang w:val="en-US"/>
        </w:rPr>
        <w:t>protect</w:t>
      </w:r>
      <w:r w:rsidR="00DF0D11">
        <w:rPr>
          <w:rFonts w:ascii="Times New Roman" w:hAnsi="Times New Roman" w:cs="Times New Roman"/>
          <w:lang w:val="en-US"/>
        </w:rPr>
        <w:t>ing</w:t>
      </w:r>
      <w:r w:rsidR="00AF0228">
        <w:rPr>
          <w:rFonts w:ascii="Times New Roman" w:hAnsi="Times New Roman" w:cs="Times New Roman"/>
          <w:lang w:val="en-US"/>
        </w:rPr>
        <w:t xml:space="preserve"> worker rights</w:t>
      </w:r>
      <w:r w:rsidR="00821EEB" w:rsidRPr="00622F6C">
        <w:rPr>
          <w:rFonts w:ascii="Times New Roman" w:hAnsi="Times New Roman" w:cs="Times New Roman"/>
          <w:lang w:val="en-US"/>
        </w:rPr>
        <w:t>. It is</w:t>
      </w:r>
      <w:r w:rsidR="00BC1D72">
        <w:rPr>
          <w:rFonts w:ascii="Times New Roman" w:hAnsi="Times New Roman" w:cs="Times New Roman"/>
          <w:lang w:val="en-US"/>
        </w:rPr>
        <w:t xml:space="preserve"> measured as</w:t>
      </w:r>
      <w:r w:rsidR="00821EEB" w:rsidRPr="00622F6C">
        <w:rPr>
          <w:rFonts w:ascii="Times New Roman" w:hAnsi="Times New Roman" w:cs="Times New Roman"/>
          <w:lang w:val="en-US"/>
        </w:rPr>
        <w:t xml:space="preserve"> a dummy variable equal to one if the </w:t>
      </w:r>
      <w:r w:rsidR="0044667D">
        <w:rPr>
          <w:rFonts w:ascii="Times New Roman" w:hAnsi="Times New Roman" w:cs="Times New Roman"/>
          <w:lang w:val="en-US"/>
        </w:rPr>
        <w:t>firm</w:t>
      </w:r>
      <w:r w:rsidR="0044667D" w:rsidRPr="00622F6C">
        <w:rPr>
          <w:rFonts w:ascii="Times New Roman" w:hAnsi="Times New Roman" w:cs="Times New Roman"/>
          <w:lang w:val="en-US"/>
        </w:rPr>
        <w:t xml:space="preserve"> </w:t>
      </w:r>
      <w:r w:rsidR="00821EEB" w:rsidRPr="00622F6C">
        <w:rPr>
          <w:rFonts w:ascii="Times New Roman" w:hAnsi="Times New Roman" w:cs="Times New Roman"/>
          <w:lang w:val="en-US"/>
        </w:rPr>
        <w:t xml:space="preserve">provides a publicly available description of the implementation </w:t>
      </w:r>
      <w:r w:rsidR="00BC1D72">
        <w:rPr>
          <w:rFonts w:ascii="Times New Roman" w:hAnsi="Times New Roman" w:cs="Times New Roman"/>
          <w:lang w:val="en-US"/>
        </w:rPr>
        <w:t>o</w:t>
      </w:r>
      <w:r w:rsidR="00821EEB" w:rsidRPr="00622F6C">
        <w:rPr>
          <w:rFonts w:ascii="Times New Roman" w:hAnsi="Times New Roman" w:cs="Times New Roman"/>
          <w:lang w:val="en-US"/>
        </w:rPr>
        <w:t xml:space="preserve">f its human rights policy, and zero otherwise. We </w:t>
      </w:r>
      <w:r w:rsidR="00BC1D72">
        <w:rPr>
          <w:rFonts w:ascii="Times New Roman" w:hAnsi="Times New Roman" w:cs="Times New Roman"/>
          <w:lang w:val="en-US"/>
        </w:rPr>
        <w:t xml:space="preserve">consider </w:t>
      </w:r>
      <w:r w:rsidR="00821EEB" w:rsidRPr="00622F6C">
        <w:rPr>
          <w:rFonts w:ascii="Times New Roman" w:hAnsi="Times New Roman" w:cs="Times New Roman"/>
          <w:lang w:val="en-US"/>
        </w:rPr>
        <w:t xml:space="preserve">this type of CSR disclosure </w:t>
      </w:r>
      <w:r w:rsidR="00BC1D72">
        <w:rPr>
          <w:rFonts w:ascii="Times New Roman" w:hAnsi="Times New Roman" w:cs="Times New Roman"/>
          <w:lang w:val="en-US"/>
        </w:rPr>
        <w:t xml:space="preserve">to be </w:t>
      </w:r>
      <w:r w:rsidR="00821EEB" w:rsidRPr="00622F6C">
        <w:rPr>
          <w:rFonts w:ascii="Times New Roman" w:hAnsi="Times New Roman" w:cs="Times New Roman"/>
          <w:lang w:val="en-US"/>
        </w:rPr>
        <w:t>most closely related to</w:t>
      </w:r>
      <w:r w:rsidR="00911EE4" w:rsidRPr="00622F6C">
        <w:rPr>
          <w:rFonts w:ascii="Times New Roman" w:hAnsi="Times New Roman" w:cs="Times New Roman"/>
          <w:lang w:val="en-US"/>
        </w:rPr>
        <w:t xml:space="preserve"> the</w:t>
      </w:r>
      <w:r w:rsidR="00821EEB" w:rsidRPr="00622F6C">
        <w:rPr>
          <w:rFonts w:ascii="Times New Roman" w:hAnsi="Times New Roman" w:cs="Times New Roman"/>
          <w:lang w:val="en-US"/>
        </w:rPr>
        <w:t xml:space="preserve"> </w:t>
      </w:r>
      <w:r w:rsidR="0053780A" w:rsidRPr="00622F6C">
        <w:rPr>
          <w:rFonts w:ascii="Times New Roman" w:hAnsi="Times New Roman" w:cs="Times New Roman"/>
          <w:lang w:val="en-US"/>
        </w:rPr>
        <w:t xml:space="preserve">additional </w:t>
      </w:r>
      <w:r w:rsidR="00821EEB" w:rsidRPr="00622F6C">
        <w:rPr>
          <w:rFonts w:ascii="Times New Roman" w:hAnsi="Times New Roman" w:cs="Times New Roman"/>
          <w:lang w:val="en-US"/>
        </w:rPr>
        <w:t xml:space="preserve">disclosure </w:t>
      </w:r>
      <w:r w:rsidR="00911EE4" w:rsidRPr="00622F6C">
        <w:rPr>
          <w:rFonts w:ascii="Times New Roman" w:hAnsi="Times New Roman" w:cs="Times New Roman"/>
          <w:lang w:val="en-US"/>
        </w:rPr>
        <w:t>elements required</w:t>
      </w:r>
      <w:r w:rsidR="00821EEB" w:rsidRPr="00622F6C">
        <w:rPr>
          <w:rFonts w:ascii="Times New Roman" w:hAnsi="Times New Roman" w:cs="Times New Roman"/>
          <w:lang w:val="en-US"/>
        </w:rPr>
        <w:t xml:space="preserve"> under the TISC clause, and as such potentially most relevant to investors. We label this variable </w:t>
      </w:r>
      <w:bookmarkStart w:id="60" w:name="_Hlk523996686"/>
      <w:r w:rsidR="00821EEB" w:rsidRPr="00622F6C">
        <w:rPr>
          <w:rFonts w:ascii="Times New Roman" w:hAnsi="Times New Roman" w:cs="Times New Roman"/>
          <w:i/>
          <w:lang w:val="en-US"/>
        </w:rPr>
        <w:t>Social Disclosure</w:t>
      </w:r>
      <w:r w:rsidR="00821EEB" w:rsidRPr="00622F6C">
        <w:rPr>
          <w:rFonts w:ascii="Times New Roman" w:hAnsi="Times New Roman" w:cs="Times New Roman"/>
          <w:lang w:val="en-US"/>
        </w:rPr>
        <w:t xml:space="preserve"> </w:t>
      </w:r>
      <w:bookmarkEnd w:id="60"/>
      <w:r w:rsidR="00821EEB" w:rsidRPr="00622F6C">
        <w:rPr>
          <w:rFonts w:ascii="Times New Roman" w:hAnsi="Times New Roman" w:cs="Times New Roman"/>
          <w:lang w:val="en-US"/>
        </w:rPr>
        <w:t xml:space="preserve">to emphasize that it </w:t>
      </w:r>
      <w:r w:rsidR="00AF0228">
        <w:rPr>
          <w:rFonts w:ascii="Times New Roman" w:hAnsi="Times New Roman" w:cs="Times New Roman"/>
          <w:lang w:val="en-US"/>
        </w:rPr>
        <w:t>measures</w:t>
      </w:r>
      <w:r w:rsidR="00821EEB" w:rsidRPr="00622F6C">
        <w:rPr>
          <w:rFonts w:ascii="Times New Roman" w:hAnsi="Times New Roman" w:cs="Times New Roman"/>
          <w:lang w:val="en-US"/>
        </w:rPr>
        <w:t xml:space="preserve"> disclosure practices </w:t>
      </w:r>
      <w:r w:rsidR="00821EEB" w:rsidRPr="00622F6C">
        <w:rPr>
          <w:rFonts w:ascii="Times New Roman" w:hAnsi="Times New Roman" w:cs="Times New Roman"/>
          <w:lang w:val="en-US"/>
        </w:rPr>
        <w:lastRenderedPageBreak/>
        <w:t xml:space="preserve">related to the social element of CSR, rather than environmental or governance elements of disclosure. Our second proxy variable, obtained from </w:t>
      </w:r>
      <w:bookmarkStart w:id="61" w:name="_Hlk523996709"/>
      <w:r w:rsidR="00821EEB" w:rsidRPr="00622F6C">
        <w:rPr>
          <w:rFonts w:ascii="Times New Roman" w:hAnsi="Times New Roman" w:cs="Times New Roman"/>
          <w:lang w:val="en-US"/>
        </w:rPr>
        <w:t>Thomson Reuters ESG Research Data</w:t>
      </w:r>
      <w:r w:rsidR="00B903B4" w:rsidRPr="00622F6C">
        <w:rPr>
          <w:rFonts w:ascii="Times New Roman" w:hAnsi="Times New Roman" w:cs="Times New Roman"/>
          <w:lang w:val="en-US"/>
        </w:rPr>
        <w:t xml:space="preserve"> (henceforth TR ESG)</w:t>
      </w:r>
      <w:bookmarkEnd w:id="61"/>
      <w:r w:rsidR="00030D7A" w:rsidRPr="00622F6C">
        <w:rPr>
          <w:rFonts w:ascii="Times New Roman" w:hAnsi="Times New Roman" w:cs="Times New Roman"/>
          <w:lang w:val="en-US"/>
        </w:rPr>
        <w:t>,</w:t>
      </w:r>
      <w:r w:rsidR="00821EEB" w:rsidRPr="00622F6C">
        <w:rPr>
          <w:rFonts w:ascii="Times New Roman" w:hAnsi="Times New Roman" w:cs="Times New Roman"/>
          <w:lang w:val="en-US"/>
        </w:rPr>
        <w:t xml:space="preserve"> captures </w:t>
      </w:r>
      <w:r w:rsidR="0044667D">
        <w:rPr>
          <w:rFonts w:ascii="Times New Roman" w:hAnsi="Times New Roman" w:cs="Times New Roman"/>
          <w:lang w:val="en-US"/>
        </w:rPr>
        <w:t>a firm’s</w:t>
      </w:r>
      <w:r w:rsidR="00821EEB" w:rsidRPr="00622F6C">
        <w:rPr>
          <w:rFonts w:ascii="Times New Roman" w:hAnsi="Times New Roman" w:cs="Times New Roman"/>
          <w:lang w:val="en-US"/>
        </w:rPr>
        <w:t xml:space="preserve"> CSR disclosure levels more generally. </w:t>
      </w:r>
      <w:r w:rsidR="008E1001" w:rsidRPr="00622F6C">
        <w:rPr>
          <w:rFonts w:ascii="Times New Roman" w:hAnsi="Times New Roman" w:cs="Times New Roman"/>
          <w:lang w:val="en-US"/>
        </w:rPr>
        <w:t xml:space="preserve">More particularly, </w:t>
      </w:r>
      <w:bookmarkStart w:id="62" w:name="_Hlk523996722"/>
      <w:r w:rsidR="00821EEB" w:rsidRPr="00622F6C">
        <w:rPr>
          <w:rFonts w:ascii="Times New Roman" w:hAnsi="Times New Roman" w:cs="Times New Roman"/>
          <w:i/>
          <w:lang w:val="en-US"/>
        </w:rPr>
        <w:t>CSR Disclosure</w:t>
      </w:r>
      <w:r w:rsidR="00821EEB" w:rsidRPr="00622F6C">
        <w:rPr>
          <w:rFonts w:ascii="Times New Roman" w:hAnsi="Times New Roman" w:cs="Times New Roman"/>
          <w:lang w:val="en-US"/>
        </w:rPr>
        <w:t xml:space="preserve"> </w:t>
      </w:r>
      <w:bookmarkEnd w:id="62"/>
      <w:r w:rsidR="00821EEB" w:rsidRPr="00622F6C">
        <w:rPr>
          <w:rFonts w:ascii="Times New Roman" w:hAnsi="Times New Roman" w:cs="Times New Roman"/>
          <w:lang w:val="en-US"/>
        </w:rPr>
        <w:t xml:space="preserve">is based on eight indicators reflecting CSR disclosure practices, such as whether the </w:t>
      </w:r>
      <w:r w:rsidR="0044667D">
        <w:rPr>
          <w:rFonts w:ascii="Times New Roman" w:hAnsi="Times New Roman" w:cs="Times New Roman"/>
          <w:lang w:val="en-US"/>
        </w:rPr>
        <w:t>firm</w:t>
      </w:r>
      <w:r w:rsidR="0044667D" w:rsidRPr="00622F6C">
        <w:rPr>
          <w:rFonts w:ascii="Times New Roman" w:hAnsi="Times New Roman" w:cs="Times New Roman"/>
          <w:lang w:val="en-US"/>
        </w:rPr>
        <w:t xml:space="preserve"> </w:t>
      </w:r>
      <w:r w:rsidR="00821EEB" w:rsidRPr="00622F6C">
        <w:rPr>
          <w:rFonts w:ascii="Times New Roman" w:hAnsi="Times New Roman" w:cs="Times New Roman"/>
          <w:lang w:val="en-US"/>
        </w:rPr>
        <w:t>has an external auditor for its CSR</w:t>
      </w:r>
      <w:r w:rsidR="00074AEF">
        <w:rPr>
          <w:rFonts w:ascii="Times New Roman" w:hAnsi="Times New Roman" w:cs="Times New Roman"/>
          <w:lang w:val="en-US"/>
        </w:rPr>
        <w:t xml:space="preserve"> </w:t>
      </w:r>
      <w:r w:rsidR="00821EEB" w:rsidRPr="00622F6C">
        <w:rPr>
          <w:rFonts w:ascii="Times New Roman" w:hAnsi="Times New Roman" w:cs="Times New Roman"/>
          <w:lang w:val="en-US"/>
        </w:rPr>
        <w:t xml:space="preserve">report, </w:t>
      </w:r>
      <w:r w:rsidR="004E4F36" w:rsidRPr="00622F6C">
        <w:rPr>
          <w:rFonts w:ascii="Times New Roman" w:hAnsi="Times New Roman" w:cs="Times New Roman"/>
          <w:lang w:val="en-US"/>
        </w:rPr>
        <w:t xml:space="preserve">and </w:t>
      </w:r>
      <w:r w:rsidR="00821EEB" w:rsidRPr="00622F6C">
        <w:rPr>
          <w:rFonts w:ascii="Times New Roman" w:hAnsi="Times New Roman" w:cs="Times New Roman"/>
          <w:lang w:val="en-US"/>
        </w:rPr>
        <w:t xml:space="preserve">whether the </w:t>
      </w:r>
      <w:r w:rsidR="0044667D">
        <w:rPr>
          <w:rFonts w:ascii="Times New Roman" w:hAnsi="Times New Roman" w:cs="Times New Roman"/>
          <w:lang w:val="en-US"/>
        </w:rPr>
        <w:t>firm</w:t>
      </w:r>
      <w:r w:rsidR="0044667D" w:rsidRPr="00622F6C">
        <w:rPr>
          <w:rFonts w:ascii="Times New Roman" w:hAnsi="Times New Roman" w:cs="Times New Roman"/>
          <w:lang w:val="en-US"/>
        </w:rPr>
        <w:t xml:space="preserve">’s </w:t>
      </w:r>
      <w:r w:rsidR="00821EEB" w:rsidRPr="00622F6C">
        <w:rPr>
          <w:rFonts w:ascii="Times New Roman" w:hAnsi="Times New Roman" w:cs="Times New Roman"/>
          <w:lang w:val="en-US"/>
        </w:rPr>
        <w:t xml:space="preserve">extra-financial report </w:t>
      </w:r>
      <w:r w:rsidR="00EE0645">
        <w:rPr>
          <w:rFonts w:ascii="Times New Roman" w:hAnsi="Times New Roman" w:cs="Times New Roman"/>
          <w:lang w:val="en-US"/>
        </w:rPr>
        <w:t>considers</w:t>
      </w:r>
      <w:r w:rsidR="00821EEB" w:rsidRPr="00622F6C">
        <w:rPr>
          <w:rFonts w:ascii="Times New Roman" w:hAnsi="Times New Roman" w:cs="Times New Roman"/>
          <w:lang w:val="en-US"/>
        </w:rPr>
        <w:t xml:space="preserve"> </w:t>
      </w:r>
      <w:r w:rsidR="00EE0645">
        <w:rPr>
          <w:rFonts w:ascii="Times New Roman" w:hAnsi="Times New Roman" w:cs="Times New Roman"/>
          <w:lang w:val="en-US"/>
        </w:rPr>
        <w:t>its</w:t>
      </w:r>
      <w:r w:rsidR="00EE0645" w:rsidRPr="00622F6C">
        <w:rPr>
          <w:rFonts w:ascii="Times New Roman" w:hAnsi="Times New Roman" w:cs="Times New Roman"/>
          <w:lang w:val="en-US"/>
        </w:rPr>
        <w:t xml:space="preserve"> </w:t>
      </w:r>
      <w:r w:rsidR="00821EEB" w:rsidRPr="00622F6C">
        <w:rPr>
          <w:rFonts w:ascii="Times New Roman" w:hAnsi="Times New Roman" w:cs="Times New Roman"/>
          <w:lang w:val="en-US"/>
        </w:rPr>
        <w:t>global activities.</w:t>
      </w:r>
      <w:r w:rsidR="00030D7A" w:rsidRPr="00622F6C">
        <w:rPr>
          <w:rFonts w:ascii="Times New Roman" w:hAnsi="Times New Roman" w:cs="Times New Roman"/>
          <w:lang w:val="en-US"/>
        </w:rPr>
        <w:t xml:space="preserve"> </w:t>
      </w:r>
      <w:r w:rsidR="00021216" w:rsidRPr="00622F6C">
        <w:rPr>
          <w:rFonts w:ascii="Times New Roman" w:hAnsi="Times New Roman" w:cs="Times New Roman"/>
          <w:lang w:val="en-US"/>
        </w:rPr>
        <w:t>We expect a positive (negative) impact of both disclosure measures under H</w:t>
      </w:r>
      <w:r w:rsidR="00021216" w:rsidRPr="00622F6C">
        <w:rPr>
          <w:rFonts w:ascii="Times New Roman" w:hAnsi="Times New Roman" w:cs="Times New Roman"/>
          <w:vertAlign w:val="subscript"/>
          <w:lang w:val="en-US"/>
        </w:rPr>
        <w:t>2a</w:t>
      </w:r>
      <w:r w:rsidR="00021216" w:rsidRPr="00622F6C">
        <w:rPr>
          <w:rFonts w:ascii="Times New Roman" w:hAnsi="Times New Roman" w:cs="Times New Roman"/>
          <w:lang w:val="en-US"/>
        </w:rPr>
        <w:t xml:space="preserve"> (H</w:t>
      </w:r>
      <w:r w:rsidR="00021216" w:rsidRPr="00622F6C">
        <w:rPr>
          <w:rFonts w:ascii="Times New Roman" w:hAnsi="Times New Roman" w:cs="Times New Roman"/>
          <w:vertAlign w:val="subscript"/>
          <w:lang w:val="en-US"/>
        </w:rPr>
        <w:t>2b</w:t>
      </w:r>
      <w:r w:rsidR="00021216" w:rsidRPr="00622F6C">
        <w:rPr>
          <w:rFonts w:ascii="Times New Roman" w:hAnsi="Times New Roman" w:cs="Times New Roman"/>
          <w:lang w:val="en-US"/>
        </w:rPr>
        <w:t>).</w:t>
      </w:r>
    </w:p>
    <w:p w14:paraId="7FDC7600" w14:textId="170594A9" w:rsidR="00195787" w:rsidRPr="00622F6C" w:rsidRDefault="00021216" w:rsidP="00D961A5">
      <w:pPr>
        <w:spacing w:after="0" w:line="480" w:lineRule="auto"/>
        <w:ind w:firstLine="425"/>
        <w:jc w:val="both"/>
        <w:rPr>
          <w:rFonts w:ascii="Times New Roman" w:eastAsia="Times New Roman" w:hAnsi="Times New Roman" w:cs="Times New Roman"/>
          <w:lang w:val="en-US" w:eastAsia="en-GB"/>
        </w:rPr>
      </w:pPr>
      <w:r w:rsidRPr="00622F6C">
        <w:rPr>
          <w:rFonts w:ascii="Times New Roman" w:hAnsi="Times New Roman" w:cs="Times New Roman"/>
          <w:lang w:val="en-US"/>
        </w:rPr>
        <w:t xml:space="preserve">In addition, we include three control variables in our baseline regression. </w:t>
      </w:r>
      <w:r w:rsidR="008E1001" w:rsidRPr="00622F6C">
        <w:rPr>
          <w:rFonts w:ascii="Times New Roman" w:hAnsi="Times New Roman" w:cs="Times New Roman"/>
          <w:lang w:val="en-US"/>
        </w:rPr>
        <w:t xml:space="preserve">First, we control for </w:t>
      </w:r>
      <w:r w:rsidR="0053780A" w:rsidRPr="00622F6C">
        <w:rPr>
          <w:rFonts w:ascii="Times New Roman" w:hAnsi="Times New Roman" w:cs="Times New Roman"/>
          <w:lang w:val="en-US"/>
        </w:rPr>
        <w:t>f</w:t>
      </w:r>
      <w:r w:rsidR="00030D7A" w:rsidRPr="00622F6C">
        <w:rPr>
          <w:rFonts w:ascii="Times New Roman" w:hAnsi="Times New Roman" w:cs="Times New Roman"/>
          <w:lang w:val="en-US"/>
        </w:rPr>
        <w:t>irm size, measure</w:t>
      </w:r>
      <w:r w:rsidR="00212642" w:rsidRPr="00622F6C">
        <w:rPr>
          <w:rFonts w:ascii="Times New Roman" w:hAnsi="Times New Roman" w:cs="Times New Roman"/>
          <w:lang w:val="en-US"/>
        </w:rPr>
        <w:t>d</w:t>
      </w:r>
      <w:r w:rsidR="00030D7A" w:rsidRPr="00622F6C">
        <w:rPr>
          <w:rFonts w:ascii="Times New Roman" w:hAnsi="Times New Roman" w:cs="Times New Roman"/>
          <w:lang w:val="en-US"/>
        </w:rPr>
        <w:t xml:space="preserve"> as the </w:t>
      </w:r>
      <w:r w:rsidR="00AF59F7">
        <w:rPr>
          <w:rFonts w:ascii="Times New Roman" w:hAnsi="Times New Roman" w:cs="Times New Roman"/>
          <w:lang w:val="en-US"/>
        </w:rPr>
        <w:t xml:space="preserve">logarithm of the </w:t>
      </w:r>
      <w:r w:rsidR="00030D7A" w:rsidRPr="00622F6C">
        <w:rPr>
          <w:rFonts w:ascii="Times New Roman" w:hAnsi="Times New Roman" w:cs="Times New Roman"/>
          <w:lang w:val="en-US"/>
        </w:rPr>
        <w:t xml:space="preserve">book value of total assets obtained from </w:t>
      </w:r>
      <w:bookmarkStart w:id="63" w:name="_Hlk523996799"/>
      <w:r w:rsidR="00030D7A" w:rsidRPr="00622F6C">
        <w:rPr>
          <w:rFonts w:ascii="Times New Roman" w:hAnsi="Times New Roman" w:cs="Times New Roman"/>
          <w:lang w:val="en-US"/>
        </w:rPr>
        <w:t>Worldscope</w:t>
      </w:r>
      <w:bookmarkEnd w:id="63"/>
      <w:r w:rsidR="0053780A" w:rsidRPr="00622F6C">
        <w:rPr>
          <w:rFonts w:ascii="Times New Roman" w:hAnsi="Times New Roman" w:cs="Times New Roman"/>
          <w:lang w:val="en-US"/>
        </w:rPr>
        <w:t xml:space="preserve">. </w:t>
      </w:r>
      <w:r w:rsidR="004E4F36" w:rsidRPr="00622F6C">
        <w:rPr>
          <w:rFonts w:ascii="Times New Roman" w:hAnsi="Times New Roman" w:cs="Times New Roman"/>
          <w:lang w:val="en-US"/>
        </w:rPr>
        <w:t xml:space="preserve">Firm size may capture several </w:t>
      </w:r>
      <w:r w:rsidR="00141FC0" w:rsidRPr="00622F6C">
        <w:rPr>
          <w:rFonts w:ascii="Times New Roman" w:hAnsi="Times New Roman" w:cs="Times New Roman"/>
          <w:lang w:val="en-US"/>
        </w:rPr>
        <w:t>benefits and costs</w:t>
      </w:r>
      <w:r w:rsidR="004E4F36" w:rsidRPr="00622F6C">
        <w:rPr>
          <w:rFonts w:ascii="Times New Roman" w:hAnsi="Times New Roman" w:cs="Times New Roman"/>
          <w:lang w:val="en-US"/>
        </w:rPr>
        <w:t xml:space="preserve"> of the MSA. It</w:t>
      </w:r>
      <w:r w:rsidR="00030D7A" w:rsidRPr="00622F6C">
        <w:rPr>
          <w:rFonts w:ascii="Times New Roman" w:hAnsi="Times New Roman" w:cs="Times New Roman"/>
          <w:lang w:val="en-US"/>
        </w:rPr>
        <w:t xml:space="preserve"> could act as </w:t>
      </w:r>
      <w:r w:rsidR="00F05901" w:rsidRPr="00622F6C">
        <w:rPr>
          <w:rFonts w:ascii="Times New Roman" w:hAnsi="Times New Roman" w:cs="Times New Roman"/>
          <w:lang w:val="en-US"/>
        </w:rPr>
        <w:t xml:space="preserve">a proxy for the quality of information </w:t>
      </w:r>
      <w:r w:rsidR="00EE0645">
        <w:rPr>
          <w:rFonts w:ascii="Times New Roman" w:hAnsi="Times New Roman" w:cs="Times New Roman"/>
          <w:lang w:val="en-US"/>
        </w:rPr>
        <w:t xml:space="preserve">available </w:t>
      </w:r>
      <w:r w:rsidR="00F05901" w:rsidRPr="00622F6C">
        <w:rPr>
          <w:rFonts w:ascii="Times New Roman" w:hAnsi="Times New Roman" w:cs="Times New Roman"/>
          <w:lang w:val="en-US"/>
        </w:rPr>
        <w:t>about the firm</w:t>
      </w:r>
      <w:r w:rsidR="00030D7A" w:rsidRPr="00622F6C">
        <w:rPr>
          <w:rFonts w:ascii="Times New Roman" w:hAnsi="Times New Roman" w:cs="Times New Roman"/>
          <w:lang w:val="en-US"/>
        </w:rPr>
        <w:t xml:space="preserve">, </w:t>
      </w:r>
      <w:r w:rsidR="00F05901" w:rsidRPr="00622F6C">
        <w:rPr>
          <w:rFonts w:ascii="Times New Roman" w:hAnsi="Times New Roman" w:cs="Times New Roman"/>
          <w:lang w:val="en-US"/>
        </w:rPr>
        <w:t>since</w:t>
      </w:r>
      <w:r w:rsidR="00030D7A" w:rsidRPr="00622F6C">
        <w:rPr>
          <w:rFonts w:ascii="Times New Roman" w:hAnsi="Times New Roman" w:cs="Times New Roman"/>
          <w:lang w:val="en-US"/>
        </w:rPr>
        <w:t xml:space="preserve"> </w:t>
      </w:r>
      <w:r w:rsidR="00F05901" w:rsidRPr="00622F6C">
        <w:rPr>
          <w:rFonts w:ascii="Times New Roman" w:hAnsi="Times New Roman" w:cs="Times New Roman"/>
          <w:lang w:val="en-US"/>
        </w:rPr>
        <w:t xml:space="preserve">larger firms typically </w:t>
      </w:r>
      <w:r w:rsidR="007768CD">
        <w:rPr>
          <w:rFonts w:ascii="Times New Roman" w:hAnsi="Times New Roman" w:cs="Times New Roman"/>
          <w:lang w:val="en-US"/>
        </w:rPr>
        <w:t xml:space="preserve">obtain </w:t>
      </w:r>
      <w:r w:rsidR="00030D7A" w:rsidRPr="00622F6C">
        <w:rPr>
          <w:rFonts w:ascii="Times New Roman" w:hAnsi="Times New Roman" w:cs="Times New Roman"/>
          <w:lang w:val="en-US"/>
        </w:rPr>
        <w:t xml:space="preserve">more coverage from analysts and media. </w:t>
      </w:r>
      <w:r w:rsidR="00141FC0" w:rsidRPr="00622F6C">
        <w:rPr>
          <w:rFonts w:ascii="Times New Roman" w:hAnsi="Times New Roman" w:cs="Times New Roman"/>
          <w:lang w:val="en-US"/>
        </w:rPr>
        <w:t xml:space="preserve">Larger firms </w:t>
      </w:r>
      <w:r w:rsidR="008E1001" w:rsidRPr="00622F6C">
        <w:rPr>
          <w:rFonts w:ascii="Times New Roman" w:hAnsi="Times New Roman" w:cs="Times New Roman"/>
          <w:lang w:val="en-US"/>
        </w:rPr>
        <w:t xml:space="preserve">also </w:t>
      </w:r>
      <w:r w:rsidR="00141FC0" w:rsidRPr="00622F6C">
        <w:rPr>
          <w:rFonts w:ascii="Times New Roman" w:hAnsi="Times New Roman" w:cs="Times New Roman"/>
          <w:lang w:val="en-US"/>
        </w:rPr>
        <w:t xml:space="preserve">tend to receive more political pressure from stakeholders </w:t>
      </w:r>
      <w:r w:rsidR="008E1001" w:rsidRPr="00622F6C">
        <w:rPr>
          <w:rFonts w:ascii="Times New Roman" w:hAnsi="Times New Roman" w:cs="Times New Roman"/>
          <w:lang w:val="en-US"/>
        </w:rPr>
        <w:t xml:space="preserve">due to their visibility, resulting in higher political costs associated with disclosure </w:t>
      </w:r>
      <w:r w:rsidR="00141FC0" w:rsidRPr="00622F6C">
        <w:rPr>
          <w:rFonts w:ascii="Times New Roman" w:hAnsi="Times New Roman" w:cs="Times New Roman"/>
          <w:lang w:val="en-US"/>
        </w:rPr>
        <w:t xml:space="preserve">(Watts and Zimmerman, 1978), </w:t>
      </w:r>
      <w:r w:rsidR="008E1001" w:rsidRPr="00622F6C">
        <w:rPr>
          <w:rFonts w:ascii="Times New Roman" w:hAnsi="Times New Roman" w:cs="Times New Roman"/>
          <w:lang w:val="en-US"/>
        </w:rPr>
        <w:t>while</w:t>
      </w:r>
      <w:r w:rsidR="00141FC0" w:rsidRPr="00622F6C">
        <w:rPr>
          <w:rFonts w:ascii="Times New Roman" w:hAnsi="Times New Roman" w:cs="Times New Roman"/>
          <w:lang w:val="en-US"/>
        </w:rPr>
        <w:t xml:space="preserve"> smaller firms tend to be more proactive at dealing with </w:t>
      </w:r>
      <w:r w:rsidR="008E1001" w:rsidRPr="00622F6C">
        <w:rPr>
          <w:rFonts w:ascii="Times New Roman" w:hAnsi="Times New Roman" w:cs="Times New Roman"/>
          <w:lang w:val="en-US"/>
        </w:rPr>
        <w:t xml:space="preserve">stakeholder </w:t>
      </w:r>
      <w:r w:rsidR="00141FC0" w:rsidRPr="00622F6C">
        <w:rPr>
          <w:rFonts w:ascii="Times New Roman" w:hAnsi="Times New Roman" w:cs="Times New Roman"/>
          <w:lang w:val="en-US"/>
        </w:rPr>
        <w:t xml:space="preserve">pressures (Darnall et al., 2010). </w:t>
      </w:r>
      <w:r w:rsidR="004E4F36" w:rsidRPr="00622F6C">
        <w:rPr>
          <w:rFonts w:ascii="Times New Roman" w:hAnsi="Times New Roman" w:cs="Times New Roman"/>
          <w:lang w:val="en-US"/>
        </w:rPr>
        <w:t>T</w:t>
      </w:r>
      <w:r w:rsidR="00F05901" w:rsidRPr="00622F6C">
        <w:rPr>
          <w:rFonts w:ascii="Times New Roman" w:hAnsi="Times New Roman" w:cs="Times New Roman"/>
          <w:lang w:val="en-US"/>
        </w:rPr>
        <w:t>he direct costs of complying with the TISC clause</w:t>
      </w:r>
      <w:r w:rsidR="003961DB">
        <w:rPr>
          <w:rFonts w:ascii="Times New Roman" w:hAnsi="Times New Roman" w:cs="Times New Roman"/>
          <w:lang w:val="en-US"/>
        </w:rPr>
        <w:t>, on the other hand,</w:t>
      </w:r>
      <w:r w:rsidR="00F05901" w:rsidRPr="00622F6C">
        <w:rPr>
          <w:rFonts w:ascii="Times New Roman" w:hAnsi="Times New Roman" w:cs="Times New Roman"/>
          <w:lang w:val="en-US"/>
        </w:rPr>
        <w:t xml:space="preserve"> should</w:t>
      </w:r>
      <w:r w:rsidR="00BC1D72">
        <w:rPr>
          <w:rFonts w:ascii="Times New Roman" w:hAnsi="Times New Roman" w:cs="Times New Roman"/>
          <w:lang w:val="en-US"/>
        </w:rPr>
        <w:t xml:space="preserve"> </w:t>
      </w:r>
      <w:r w:rsidR="00F05901" w:rsidRPr="00622F6C">
        <w:rPr>
          <w:rFonts w:ascii="Times New Roman" w:hAnsi="Times New Roman" w:cs="Times New Roman"/>
          <w:lang w:val="en-US"/>
        </w:rPr>
        <w:t xml:space="preserve">be </w:t>
      </w:r>
      <w:r w:rsidR="00F05901" w:rsidRPr="00622F6C">
        <w:rPr>
          <w:rFonts w:ascii="Times New Roman" w:eastAsia="Times New Roman" w:hAnsi="Times New Roman" w:cs="Times New Roman"/>
          <w:lang w:val="en-US" w:eastAsia="en-GB"/>
        </w:rPr>
        <w:t xml:space="preserve">disproportionately smaller for larger firms (Zhang, 2007). </w:t>
      </w:r>
      <w:r w:rsidR="003961DB">
        <w:rPr>
          <w:rFonts w:ascii="Times New Roman" w:eastAsia="Times New Roman" w:hAnsi="Times New Roman" w:cs="Times New Roman"/>
          <w:lang w:val="en-US" w:eastAsia="en-GB"/>
        </w:rPr>
        <w:t>L</w:t>
      </w:r>
      <w:r w:rsidR="00F05901" w:rsidRPr="00622F6C">
        <w:rPr>
          <w:rFonts w:ascii="Times New Roman" w:eastAsia="Times New Roman" w:hAnsi="Times New Roman" w:cs="Times New Roman"/>
          <w:lang w:val="en-US" w:eastAsia="en-GB"/>
        </w:rPr>
        <w:t xml:space="preserve">arger firms might </w:t>
      </w:r>
      <w:r w:rsidR="003961DB">
        <w:rPr>
          <w:rFonts w:ascii="Times New Roman" w:eastAsia="Times New Roman" w:hAnsi="Times New Roman" w:cs="Times New Roman"/>
          <w:lang w:val="en-US" w:eastAsia="en-GB"/>
        </w:rPr>
        <w:t xml:space="preserve">also </w:t>
      </w:r>
      <w:r w:rsidR="00F05901" w:rsidRPr="00622F6C">
        <w:rPr>
          <w:rFonts w:ascii="Times New Roman" w:eastAsia="Times New Roman" w:hAnsi="Times New Roman" w:cs="Times New Roman"/>
          <w:lang w:val="en-US" w:eastAsia="en-GB"/>
        </w:rPr>
        <w:t xml:space="preserve">face lower input cost rises following supply chain adjustments driven by the MSA, since they may have more clout with suppliers. We thus have no clear prediction </w:t>
      </w:r>
      <w:r w:rsidR="00EE0645">
        <w:rPr>
          <w:rFonts w:ascii="Times New Roman" w:eastAsia="Times New Roman" w:hAnsi="Times New Roman" w:cs="Times New Roman"/>
          <w:lang w:val="en-US" w:eastAsia="en-GB"/>
        </w:rPr>
        <w:t>about</w:t>
      </w:r>
      <w:r w:rsidR="00EE0645" w:rsidRPr="00622F6C">
        <w:rPr>
          <w:rFonts w:ascii="Times New Roman" w:eastAsia="Times New Roman" w:hAnsi="Times New Roman" w:cs="Times New Roman"/>
          <w:lang w:val="en-US" w:eastAsia="en-GB"/>
        </w:rPr>
        <w:t xml:space="preserve"> </w:t>
      </w:r>
      <w:r w:rsidR="00F05901" w:rsidRPr="00622F6C">
        <w:rPr>
          <w:rFonts w:ascii="Times New Roman" w:eastAsia="Times New Roman" w:hAnsi="Times New Roman" w:cs="Times New Roman"/>
          <w:lang w:val="en-US" w:eastAsia="en-GB"/>
        </w:rPr>
        <w:t xml:space="preserve">the impact of </w:t>
      </w:r>
      <w:r w:rsidR="00AF59F7" w:rsidRPr="00AF59F7">
        <w:rPr>
          <w:rFonts w:ascii="Times New Roman" w:eastAsia="Times New Roman" w:hAnsi="Times New Roman" w:cs="Times New Roman"/>
          <w:i/>
          <w:lang w:val="en-US" w:eastAsia="en-GB"/>
        </w:rPr>
        <w:t>Log(</w:t>
      </w:r>
      <w:r w:rsidR="00F05901" w:rsidRPr="00622F6C">
        <w:rPr>
          <w:rFonts w:ascii="Times New Roman" w:eastAsia="Times New Roman" w:hAnsi="Times New Roman" w:cs="Times New Roman"/>
          <w:i/>
          <w:lang w:val="en-US" w:eastAsia="en-GB"/>
        </w:rPr>
        <w:t>Total Assets</w:t>
      </w:r>
      <w:r w:rsidR="00AF59F7">
        <w:rPr>
          <w:rFonts w:ascii="Times New Roman" w:eastAsia="Times New Roman" w:hAnsi="Times New Roman" w:cs="Times New Roman"/>
          <w:i/>
          <w:lang w:val="en-US" w:eastAsia="en-GB"/>
        </w:rPr>
        <w:t>)</w:t>
      </w:r>
      <w:r w:rsidR="00F05901" w:rsidRPr="00622F6C">
        <w:rPr>
          <w:rFonts w:ascii="Times New Roman" w:eastAsia="Times New Roman" w:hAnsi="Times New Roman" w:cs="Times New Roman"/>
          <w:lang w:val="en-US" w:eastAsia="en-GB"/>
        </w:rPr>
        <w:t xml:space="preserve"> on stock price reactions to the MSA. </w:t>
      </w:r>
      <w:r w:rsidR="00564AA8" w:rsidRPr="00622F6C">
        <w:rPr>
          <w:rFonts w:ascii="Times New Roman" w:eastAsia="Times New Roman" w:hAnsi="Times New Roman" w:cs="Times New Roman"/>
          <w:lang w:val="en-US" w:eastAsia="en-GB"/>
        </w:rPr>
        <w:t>Second, we include</w:t>
      </w:r>
      <w:r w:rsidR="00C56438" w:rsidRPr="00622F6C">
        <w:rPr>
          <w:rFonts w:ascii="Times New Roman" w:eastAsia="Times New Roman" w:hAnsi="Times New Roman" w:cs="Times New Roman"/>
          <w:lang w:val="en-US" w:eastAsia="en-GB"/>
        </w:rPr>
        <w:t xml:space="preserve"> two dummy variables controlling for slavery risk on a more aggregate level. </w:t>
      </w:r>
      <w:bookmarkStart w:id="64" w:name="_Hlk523997016"/>
      <w:r w:rsidR="00195787" w:rsidRPr="00622F6C">
        <w:rPr>
          <w:rFonts w:ascii="Times New Roman" w:hAnsi="Times New Roman" w:cs="Times New Roman"/>
          <w:i/>
          <w:lang w:val="en-US"/>
        </w:rPr>
        <w:t>Country</w:t>
      </w:r>
      <w:r w:rsidR="00195787" w:rsidRPr="00622F6C">
        <w:rPr>
          <w:rFonts w:ascii="Times New Roman" w:hAnsi="Times New Roman" w:cs="Times New Roman"/>
          <w:i/>
          <w:color w:val="800000"/>
          <w:lang w:val="en-US"/>
        </w:rPr>
        <w:t>–</w:t>
      </w:r>
      <w:r w:rsidR="00E2705D">
        <w:rPr>
          <w:rFonts w:ascii="Times New Roman" w:hAnsi="Times New Roman" w:cs="Times New Roman"/>
          <w:i/>
          <w:lang w:val="en-US"/>
        </w:rPr>
        <w:t>Industry</w:t>
      </w:r>
      <w:r w:rsidR="00770173" w:rsidRPr="00622F6C">
        <w:rPr>
          <w:rFonts w:ascii="Times New Roman" w:hAnsi="Times New Roman" w:cs="Times New Roman"/>
          <w:i/>
          <w:lang w:val="en-US"/>
        </w:rPr>
        <w:t xml:space="preserve"> </w:t>
      </w:r>
      <w:r w:rsidR="00195787" w:rsidRPr="00622F6C">
        <w:rPr>
          <w:rFonts w:ascii="Times New Roman" w:hAnsi="Times New Roman" w:cs="Times New Roman"/>
          <w:i/>
          <w:lang w:val="en-US"/>
        </w:rPr>
        <w:t>ESG</w:t>
      </w:r>
      <w:r w:rsidR="00195787" w:rsidRPr="00EE0645">
        <w:rPr>
          <w:rFonts w:ascii="Times New Roman" w:hAnsi="Times New Roman" w:cs="Times New Roman"/>
          <w:i/>
          <w:lang w:val="en-US"/>
        </w:rPr>
        <w:t xml:space="preserve"> </w:t>
      </w:r>
      <w:r w:rsidR="00195787" w:rsidRPr="00E54777">
        <w:rPr>
          <w:rFonts w:ascii="Times New Roman" w:hAnsi="Times New Roman" w:cs="Times New Roman"/>
          <w:i/>
          <w:lang w:val="en-US"/>
        </w:rPr>
        <w:t>Risk</w:t>
      </w:r>
      <w:r w:rsidR="00C56438" w:rsidRPr="00622F6C">
        <w:rPr>
          <w:rFonts w:ascii="Times New Roman" w:hAnsi="Times New Roman" w:cs="Times New Roman"/>
          <w:lang w:val="en-US"/>
        </w:rPr>
        <w:t xml:space="preserve"> </w:t>
      </w:r>
      <w:bookmarkEnd w:id="64"/>
      <w:r w:rsidR="00C56438" w:rsidRPr="00622F6C">
        <w:rPr>
          <w:rFonts w:ascii="Times New Roman" w:hAnsi="Times New Roman" w:cs="Times New Roman"/>
          <w:lang w:val="en-US"/>
        </w:rPr>
        <w:t>equals</w:t>
      </w:r>
      <w:r w:rsidR="00195787" w:rsidRPr="00622F6C">
        <w:rPr>
          <w:rFonts w:ascii="Times New Roman" w:hAnsi="Times New Roman" w:cs="Times New Roman"/>
          <w:lang w:val="en-US"/>
        </w:rPr>
        <w:t xml:space="preserve"> one if the </w:t>
      </w:r>
      <w:r w:rsidR="000A1EC7">
        <w:rPr>
          <w:rFonts w:ascii="Times New Roman" w:hAnsi="Times New Roman" w:cs="Times New Roman"/>
          <w:lang w:val="en-US"/>
        </w:rPr>
        <w:t>firm</w:t>
      </w:r>
      <w:r w:rsidR="000A1EC7" w:rsidRPr="00622F6C">
        <w:rPr>
          <w:rFonts w:ascii="Times New Roman" w:hAnsi="Times New Roman" w:cs="Times New Roman"/>
          <w:lang w:val="en-US"/>
        </w:rPr>
        <w:t xml:space="preserve"> </w:t>
      </w:r>
      <w:r w:rsidR="00195787" w:rsidRPr="00622F6C">
        <w:rPr>
          <w:rFonts w:ascii="Times New Roman" w:hAnsi="Times New Roman" w:cs="Times New Roman"/>
          <w:lang w:val="en-US"/>
        </w:rPr>
        <w:t xml:space="preserve">has a RepRisk </w:t>
      </w:r>
      <w:r w:rsidR="00195787" w:rsidRPr="00622F6C">
        <w:rPr>
          <w:rFonts w:ascii="Times New Roman" w:hAnsi="Times New Roman" w:cs="Times New Roman"/>
          <w:i/>
          <w:lang w:val="en-US"/>
        </w:rPr>
        <w:t>Country</w:t>
      </w:r>
      <w:r w:rsidR="00195787" w:rsidRPr="00622F6C">
        <w:rPr>
          <w:rFonts w:ascii="Times New Roman" w:hAnsi="Times New Roman" w:cs="Times New Roman"/>
          <w:i/>
          <w:color w:val="800000"/>
          <w:lang w:val="en-US"/>
        </w:rPr>
        <w:t>–</w:t>
      </w:r>
      <w:r w:rsidR="00195787" w:rsidRPr="00622F6C">
        <w:rPr>
          <w:rFonts w:ascii="Times New Roman" w:hAnsi="Times New Roman" w:cs="Times New Roman"/>
          <w:i/>
          <w:lang w:val="en-US"/>
        </w:rPr>
        <w:t>Sector Average</w:t>
      </w:r>
      <w:r w:rsidR="00195787" w:rsidRPr="00622F6C">
        <w:rPr>
          <w:rFonts w:ascii="Times New Roman" w:hAnsi="Times New Roman" w:cs="Times New Roman"/>
          <w:lang w:val="en-US"/>
        </w:rPr>
        <w:t xml:space="preserve"> value above the sample median of 16, and zero otherwise. </w:t>
      </w:r>
      <w:r w:rsidR="00195787" w:rsidRPr="00622F6C">
        <w:rPr>
          <w:rFonts w:ascii="Times New Roman" w:hAnsi="Times New Roman" w:cs="Times New Roman"/>
          <w:i/>
          <w:lang w:val="en-US"/>
        </w:rPr>
        <w:t>Country</w:t>
      </w:r>
      <w:r w:rsidR="00195787" w:rsidRPr="00622F6C">
        <w:rPr>
          <w:rFonts w:ascii="Times New Roman" w:hAnsi="Times New Roman" w:cs="Times New Roman"/>
          <w:i/>
          <w:color w:val="800000"/>
          <w:lang w:val="en-US"/>
        </w:rPr>
        <w:t>–</w:t>
      </w:r>
      <w:r w:rsidR="00195787" w:rsidRPr="00622F6C">
        <w:rPr>
          <w:rFonts w:ascii="Times New Roman" w:hAnsi="Times New Roman" w:cs="Times New Roman"/>
          <w:i/>
          <w:lang w:val="en-US"/>
        </w:rPr>
        <w:t>Sector Average</w:t>
      </w:r>
      <w:r w:rsidR="00195787" w:rsidRPr="00622F6C">
        <w:rPr>
          <w:rFonts w:ascii="Times New Roman" w:hAnsi="Times New Roman" w:cs="Times New Roman"/>
          <w:lang w:val="en-US"/>
        </w:rPr>
        <w:t xml:space="preserve"> captures the ESG risk exposure of the </w:t>
      </w:r>
      <w:r w:rsidR="000A1EC7">
        <w:rPr>
          <w:rFonts w:ascii="Times New Roman" w:hAnsi="Times New Roman" w:cs="Times New Roman"/>
          <w:lang w:val="en-US"/>
        </w:rPr>
        <w:t>firm</w:t>
      </w:r>
      <w:r w:rsidR="000A1EC7" w:rsidRPr="00622F6C">
        <w:rPr>
          <w:rFonts w:ascii="Times New Roman" w:hAnsi="Times New Roman" w:cs="Times New Roman"/>
          <w:lang w:val="en-US"/>
        </w:rPr>
        <w:t xml:space="preserve">’s </w:t>
      </w:r>
      <w:r w:rsidR="00195787" w:rsidRPr="00622F6C">
        <w:rPr>
          <w:rFonts w:ascii="Times New Roman" w:hAnsi="Times New Roman" w:cs="Times New Roman"/>
          <w:lang w:val="en-US"/>
        </w:rPr>
        <w:t xml:space="preserve">country of headquarters and primary </w:t>
      </w:r>
      <w:r w:rsidR="00E2705D">
        <w:rPr>
          <w:rFonts w:ascii="Times New Roman" w:hAnsi="Times New Roman" w:cs="Times New Roman"/>
          <w:lang w:val="en-US"/>
        </w:rPr>
        <w:t>industry</w:t>
      </w:r>
      <w:r w:rsidR="00E2705D" w:rsidRPr="00622F6C">
        <w:rPr>
          <w:rFonts w:ascii="Times New Roman" w:hAnsi="Times New Roman" w:cs="Times New Roman"/>
          <w:lang w:val="en-US"/>
        </w:rPr>
        <w:t xml:space="preserve"> </w:t>
      </w:r>
      <w:r w:rsidR="00195787" w:rsidRPr="00622F6C">
        <w:rPr>
          <w:rFonts w:ascii="Times New Roman" w:hAnsi="Times New Roman" w:cs="Times New Roman"/>
          <w:lang w:val="en-US"/>
        </w:rPr>
        <w:t>(weigh</w:t>
      </w:r>
      <w:r w:rsidR="00EE0645">
        <w:rPr>
          <w:rFonts w:ascii="Times New Roman" w:hAnsi="Times New Roman" w:cs="Times New Roman"/>
          <w:lang w:val="en-US"/>
        </w:rPr>
        <w:t>t</w:t>
      </w:r>
      <w:r w:rsidR="00195787" w:rsidRPr="00622F6C">
        <w:rPr>
          <w:rFonts w:ascii="Times New Roman" w:hAnsi="Times New Roman" w:cs="Times New Roman"/>
          <w:lang w:val="en-US"/>
        </w:rPr>
        <w:t xml:space="preserve">ed 50%) as well as the ESG risk exposure of the other countries where the </w:t>
      </w:r>
      <w:r w:rsidR="000A1EC7">
        <w:rPr>
          <w:rFonts w:ascii="Times New Roman" w:hAnsi="Times New Roman" w:cs="Times New Roman"/>
          <w:lang w:val="en-US"/>
        </w:rPr>
        <w:t>firm</w:t>
      </w:r>
      <w:r w:rsidR="000A1EC7" w:rsidRPr="00622F6C">
        <w:rPr>
          <w:rFonts w:ascii="Times New Roman" w:hAnsi="Times New Roman" w:cs="Times New Roman"/>
          <w:lang w:val="en-US"/>
        </w:rPr>
        <w:t xml:space="preserve"> </w:t>
      </w:r>
      <w:r w:rsidR="00195787" w:rsidRPr="00622F6C">
        <w:rPr>
          <w:rFonts w:ascii="Times New Roman" w:hAnsi="Times New Roman" w:cs="Times New Roman"/>
          <w:lang w:val="en-US"/>
        </w:rPr>
        <w:t>is active (weigh</w:t>
      </w:r>
      <w:r w:rsidR="00EE0645">
        <w:rPr>
          <w:rFonts w:ascii="Times New Roman" w:hAnsi="Times New Roman" w:cs="Times New Roman"/>
          <w:lang w:val="en-US"/>
        </w:rPr>
        <w:t>t</w:t>
      </w:r>
      <w:r w:rsidR="00195787" w:rsidRPr="00622F6C">
        <w:rPr>
          <w:rFonts w:ascii="Times New Roman" w:hAnsi="Times New Roman" w:cs="Times New Roman"/>
          <w:lang w:val="en-US"/>
        </w:rPr>
        <w:t xml:space="preserve">ed 50%). </w:t>
      </w:r>
      <w:r w:rsidR="008E1001" w:rsidRPr="00622F6C">
        <w:rPr>
          <w:rFonts w:ascii="Times New Roman" w:hAnsi="Times New Roman" w:cs="Times New Roman"/>
          <w:lang w:val="en-US"/>
        </w:rPr>
        <w:t>By construction, o</w:t>
      </w:r>
      <w:r w:rsidR="00195787" w:rsidRPr="00622F6C">
        <w:rPr>
          <w:rFonts w:ascii="Times New Roman" w:hAnsi="Times New Roman" w:cs="Times New Roman"/>
          <w:lang w:val="en-US"/>
        </w:rPr>
        <w:t xml:space="preserve">ur sample </w:t>
      </w:r>
      <w:r w:rsidR="00111169" w:rsidRPr="00622F6C">
        <w:rPr>
          <w:rFonts w:ascii="Times New Roman" w:hAnsi="Times New Roman" w:cs="Times New Roman"/>
          <w:lang w:val="en-US"/>
        </w:rPr>
        <w:t>firms</w:t>
      </w:r>
      <w:r w:rsidR="00195787" w:rsidRPr="00622F6C">
        <w:rPr>
          <w:rFonts w:ascii="Times New Roman" w:hAnsi="Times New Roman" w:cs="Times New Roman"/>
          <w:lang w:val="en-US"/>
        </w:rPr>
        <w:t xml:space="preserve"> are </w:t>
      </w:r>
      <w:r w:rsidR="00111169" w:rsidRPr="00622F6C">
        <w:rPr>
          <w:rFonts w:ascii="Times New Roman" w:hAnsi="Times New Roman" w:cs="Times New Roman"/>
          <w:lang w:val="en-US"/>
        </w:rPr>
        <w:t xml:space="preserve">all </w:t>
      </w:r>
      <w:r w:rsidR="008E1001" w:rsidRPr="00622F6C">
        <w:rPr>
          <w:rFonts w:ascii="Times New Roman" w:hAnsi="Times New Roman" w:cs="Times New Roman"/>
          <w:lang w:val="en-US"/>
        </w:rPr>
        <w:t>domiciled in the UK. C</w:t>
      </w:r>
      <w:r w:rsidR="00195787" w:rsidRPr="00622F6C">
        <w:rPr>
          <w:rFonts w:ascii="Times New Roman" w:hAnsi="Times New Roman" w:cs="Times New Roman"/>
          <w:lang w:val="en-US"/>
        </w:rPr>
        <w:t xml:space="preserve">ross-sectional differences in this variable </w:t>
      </w:r>
      <w:r w:rsidR="008E1001" w:rsidRPr="00622F6C">
        <w:rPr>
          <w:rFonts w:ascii="Times New Roman" w:hAnsi="Times New Roman" w:cs="Times New Roman"/>
          <w:lang w:val="en-US"/>
        </w:rPr>
        <w:t xml:space="preserve">therefore </w:t>
      </w:r>
      <w:r w:rsidR="00195787" w:rsidRPr="00622F6C">
        <w:rPr>
          <w:rFonts w:ascii="Times New Roman" w:hAnsi="Times New Roman" w:cs="Times New Roman"/>
          <w:lang w:val="en-US"/>
        </w:rPr>
        <w:t xml:space="preserve">stem from differences in ESG risk exposure related to </w:t>
      </w:r>
      <w:r w:rsidR="00185891">
        <w:rPr>
          <w:rFonts w:ascii="Times New Roman" w:hAnsi="Times New Roman" w:cs="Times New Roman"/>
          <w:lang w:val="en-US"/>
        </w:rPr>
        <w:t xml:space="preserve">sample firms’ </w:t>
      </w:r>
      <w:r w:rsidR="00111169" w:rsidRPr="00622F6C">
        <w:rPr>
          <w:rFonts w:ascii="Times New Roman" w:hAnsi="Times New Roman" w:cs="Times New Roman"/>
          <w:lang w:val="en-US"/>
        </w:rPr>
        <w:t xml:space="preserve">primary </w:t>
      </w:r>
      <w:r w:rsidR="00E2705D">
        <w:rPr>
          <w:rFonts w:ascii="Times New Roman" w:hAnsi="Times New Roman" w:cs="Times New Roman"/>
          <w:lang w:val="en-US"/>
        </w:rPr>
        <w:t>industry</w:t>
      </w:r>
      <w:r w:rsidR="00E2705D" w:rsidRPr="00622F6C">
        <w:rPr>
          <w:rFonts w:ascii="Times New Roman" w:hAnsi="Times New Roman" w:cs="Times New Roman"/>
          <w:lang w:val="en-US"/>
        </w:rPr>
        <w:t xml:space="preserve"> </w:t>
      </w:r>
      <w:r w:rsidR="00195787" w:rsidRPr="00622F6C">
        <w:rPr>
          <w:rFonts w:ascii="Times New Roman" w:hAnsi="Times New Roman" w:cs="Times New Roman"/>
          <w:lang w:val="en-US"/>
        </w:rPr>
        <w:t xml:space="preserve">and geographical presence </w:t>
      </w:r>
      <w:r w:rsidR="00185891">
        <w:rPr>
          <w:rFonts w:ascii="Times New Roman" w:hAnsi="Times New Roman" w:cs="Times New Roman"/>
          <w:lang w:val="en-US"/>
        </w:rPr>
        <w:t>in countries other than the UK</w:t>
      </w:r>
      <w:r w:rsidR="00195787" w:rsidRPr="00622F6C">
        <w:rPr>
          <w:rFonts w:ascii="Times New Roman" w:hAnsi="Times New Roman" w:cs="Times New Roman"/>
          <w:lang w:val="en-US"/>
        </w:rPr>
        <w:t>.</w:t>
      </w:r>
      <w:r w:rsidR="00AF75B0" w:rsidRPr="00622F6C">
        <w:rPr>
          <w:rStyle w:val="FootnoteReference"/>
          <w:rFonts w:ascii="Times New Roman" w:hAnsi="Times New Roman" w:cs="Times New Roman"/>
          <w:lang w:val="en-US"/>
        </w:rPr>
        <w:footnoteReference w:id="11"/>
      </w:r>
      <w:r w:rsidR="00195787" w:rsidRPr="00622F6C">
        <w:rPr>
          <w:rFonts w:ascii="Times New Roman" w:hAnsi="Times New Roman" w:cs="Times New Roman"/>
          <w:lang w:val="en-US"/>
        </w:rPr>
        <w:t xml:space="preserve"> </w:t>
      </w:r>
      <w:r w:rsidR="008E1001" w:rsidRPr="00622F6C">
        <w:rPr>
          <w:rFonts w:ascii="Times New Roman" w:hAnsi="Times New Roman" w:cs="Times New Roman"/>
          <w:lang w:val="en-US"/>
        </w:rPr>
        <w:t xml:space="preserve">Our second industry-dependent control variable, </w:t>
      </w:r>
      <w:bookmarkStart w:id="65" w:name="_Hlk523997119"/>
      <w:r w:rsidR="00770173">
        <w:rPr>
          <w:rFonts w:ascii="Times New Roman" w:hAnsi="Times New Roman" w:cs="Times New Roman"/>
          <w:i/>
          <w:lang w:val="en-US"/>
        </w:rPr>
        <w:t>Industry</w:t>
      </w:r>
      <w:r w:rsidR="00111169" w:rsidRPr="00622F6C">
        <w:rPr>
          <w:rFonts w:ascii="Times New Roman" w:hAnsi="Times New Roman" w:cs="Times New Roman"/>
          <w:i/>
          <w:lang w:val="en-US"/>
        </w:rPr>
        <w:t xml:space="preserve"> Slavery Risk</w:t>
      </w:r>
      <w:bookmarkEnd w:id="65"/>
      <w:r w:rsidR="008E1001" w:rsidRPr="00622F6C">
        <w:rPr>
          <w:rFonts w:ascii="Times New Roman" w:hAnsi="Times New Roman" w:cs="Times New Roman"/>
          <w:lang w:val="en-US"/>
        </w:rPr>
        <w:t>,</w:t>
      </w:r>
      <w:r w:rsidR="00BE111E" w:rsidRPr="00622F6C">
        <w:rPr>
          <w:rFonts w:ascii="Times New Roman" w:hAnsi="Times New Roman" w:cs="Times New Roman"/>
          <w:lang w:val="en-US"/>
        </w:rPr>
        <w:t xml:space="preserve"> </w:t>
      </w:r>
      <w:r w:rsidR="00F46EBE" w:rsidRPr="00622F6C">
        <w:rPr>
          <w:rFonts w:ascii="Times New Roman" w:hAnsi="Times New Roman" w:cs="Times New Roman"/>
          <w:lang w:val="en-US"/>
        </w:rPr>
        <w:t xml:space="preserve">equals </w:t>
      </w:r>
      <w:r w:rsidR="00BE111E" w:rsidRPr="00622F6C">
        <w:rPr>
          <w:rFonts w:ascii="Times New Roman" w:hAnsi="Times New Roman" w:cs="Times New Roman"/>
          <w:lang w:val="en-US"/>
        </w:rPr>
        <w:t xml:space="preserve">one if the </w:t>
      </w:r>
      <w:r w:rsidR="00111169" w:rsidRPr="00622F6C">
        <w:rPr>
          <w:rFonts w:ascii="Times New Roman" w:hAnsi="Times New Roman" w:cs="Times New Roman"/>
          <w:lang w:val="en-US"/>
        </w:rPr>
        <w:t xml:space="preserve">primary </w:t>
      </w:r>
      <w:r w:rsidR="00BE111E" w:rsidRPr="00622F6C">
        <w:rPr>
          <w:rFonts w:ascii="Times New Roman" w:hAnsi="Times New Roman" w:cs="Times New Roman"/>
          <w:lang w:val="en-US"/>
        </w:rPr>
        <w:t xml:space="preserve">four-digit </w:t>
      </w:r>
      <w:bookmarkStart w:id="66" w:name="_Hlk523997132"/>
      <w:r w:rsidR="00111169" w:rsidRPr="00622F6C">
        <w:rPr>
          <w:rFonts w:ascii="Times New Roman" w:hAnsi="Times New Roman" w:cs="Times New Roman"/>
          <w:lang w:val="en-US"/>
        </w:rPr>
        <w:t>Standard Industry Classification (</w:t>
      </w:r>
      <w:r w:rsidR="00BE111E" w:rsidRPr="00622F6C">
        <w:rPr>
          <w:rFonts w:ascii="Times New Roman" w:hAnsi="Times New Roman" w:cs="Times New Roman"/>
          <w:lang w:val="en-US"/>
        </w:rPr>
        <w:t>SIC</w:t>
      </w:r>
      <w:r w:rsidR="00111169" w:rsidRPr="00622F6C">
        <w:rPr>
          <w:rFonts w:ascii="Times New Roman" w:hAnsi="Times New Roman" w:cs="Times New Roman"/>
          <w:lang w:val="en-US"/>
        </w:rPr>
        <w:t>)</w:t>
      </w:r>
      <w:bookmarkEnd w:id="66"/>
      <w:r w:rsidR="00BE111E" w:rsidRPr="00622F6C">
        <w:rPr>
          <w:rFonts w:ascii="Times New Roman" w:hAnsi="Times New Roman" w:cs="Times New Roman"/>
          <w:lang w:val="en-US"/>
        </w:rPr>
        <w:t xml:space="preserve"> code of the firm </w:t>
      </w:r>
      <w:r w:rsidR="00111169" w:rsidRPr="00622F6C">
        <w:rPr>
          <w:rFonts w:ascii="Times New Roman" w:hAnsi="Times New Roman" w:cs="Times New Roman"/>
          <w:lang w:val="en-US"/>
        </w:rPr>
        <w:t xml:space="preserve">corresponds </w:t>
      </w:r>
      <w:r w:rsidR="00EE0645">
        <w:rPr>
          <w:rFonts w:ascii="Times New Roman" w:hAnsi="Times New Roman" w:cs="Times New Roman"/>
          <w:lang w:val="en-US"/>
        </w:rPr>
        <w:t>to</w:t>
      </w:r>
      <w:r w:rsidR="00EE0645" w:rsidRPr="00622F6C">
        <w:rPr>
          <w:rFonts w:ascii="Times New Roman" w:hAnsi="Times New Roman" w:cs="Times New Roman"/>
          <w:lang w:val="en-US"/>
        </w:rPr>
        <w:t xml:space="preserve"> </w:t>
      </w:r>
      <w:r w:rsidR="00111169" w:rsidRPr="00622F6C">
        <w:rPr>
          <w:rFonts w:ascii="Times New Roman" w:hAnsi="Times New Roman" w:cs="Times New Roman"/>
          <w:lang w:val="en-US"/>
        </w:rPr>
        <w:t>a</w:t>
      </w:r>
      <w:r w:rsidR="00BE111E" w:rsidRPr="00622F6C">
        <w:rPr>
          <w:rFonts w:ascii="Times New Roman" w:hAnsi="Times New Roman" w:cs="Times New Roman"/>
          <w:lang w:val="en-US"/>
        </w:rPr>
        <w:t xml:space="preserve"> business </w:t>
      </w:r>
      <w:r w:rsidR="00BE111E" w:rsidRPr="00622F6C">
        <w:rPr>
          <w:rFonts w:ascii="Times New Roman" w:hAnsi="Times New Roman" w:cs="Times New Roman"/>
          <w:lang w:val="en-US"/>
        </w:rPr>
        <w:lastRenderedPageBreak/>
        <w:t xml:space="preserve">activity typically associated with a high occurrence </w:t>
      </w:r>
      <w:r w:rsidR="0053780A" w:rsidRPr="00622F6C">
        <w:rPr>
          <w:rFonts w:ascii="Times New Roman" w:hAnsi="Times New Roman" w:cs="Times New Roman"/>
          <w:lang w:val="en-US"/>
        </w:rPr>
        <w:t>of slave labo</w:t>
      </w:r>
      <w:r w:rsidR="00111169" w:rsidRPr="00622F6C">
        <w:rPr>
          <w:rFonts w:ascii="Times New Roman" w:hAnsi="Times New Roman" w:cs="Times New Roman"/>
          <w:lang w:val="en-US"/>
        </w:rPr>
        <w:t>r. We base</w:t>
      </w:r>
      <w:r w:rsidR="00BE111E" w:rsidRPr="00622F6C">
        <w:rPr>
          <w:rFonts w:ascii="Times New Roman" w:hAnsi="Times New Roman" w:cs="Times New Roman"/>
          <w:lang w:val="en-US"/>
        </w:rPr>
        <w:t xml:space="preserve"> the identification of this dummy variable on sources such as </w:t>
      </w:r>
      <w:r w:rsidR="00872BC3" w:rsidRPr="00622F6C">
        <w:rPr>
          <w:rFonts w:ascii="Times New Roman" w:hAnsi="Times New Roman" w:cs="Times New Roman"/>
          <w:lang w:val="en-US"/>
        </w:rPr>
        <w:t>Crane (2013</w:t>
      </w:r>
      <w:r w:rsidR="00111169" w:rsidRPr="00622F6C">
        <w:rPr>
          <w:rFonts w:ascii="Times New Roman" w:hAnsi="Times New Roman" w:cs="Times New Roman"/>
          <w:lang w:val="en-US"/>
        </w:rPr>
        <w:t>)</w:t>
      </w:r>
      <w:r w:rsidR="00673958" w:rsidRPr="00622F6C">
        <w:rPr>
          <w:rFonts w:ascii="Times New Roman" w:hAnsi="Times New Roman" w:cs="Times New Roman"/>
          <w:lang w:val="en-US"/>
        </w:rPr>
        <w:t xml:space="preserve"> and Core </w:t>
      </w:r>
      <w:r w:rsidR="00DE6923" w:rsidRPr="00622F6C">
        <w:rPr>
          <w:rFonts w:ascii="Times New Roman" w:hAnsi="Times New Roman" w:cs="Times New Roman"/>
          <w:lang w:val="en-US"/>
        </w:rPr>
        <w:t xml:space="preserve">Coalition </w:t>
      </w:r>
      <w:r w:rsidR="00673958" w:rsidRPr="00622F6C">
        <w:rPr>
          <w:rFonts w:ascii="Times New Roman" w:hAnsi="Times New Roman" w:cs="Times New Roman"/>
          <w:lang w:val="en-US"/>
        </w:rPr>
        <w:t>(2017)</w:t>
      </w:r>
      <w:r w:rsidR="00111169" w:rsidRPr="00622F6C">
        <w:rPr>
          <w:rFonts w:ascii="Times New Roman" w:hAnsi="Times New Roman" w:cs="Times New Roman"/>
          <w:lang w:val="en-US"/>
        </w:rPr>
        <w:t xml:space="preserve">. </w:t>
      </w:r>
      <w:r w:rsidR="0053780A" w:rsidRPr="00622F6C">
        <w:rPr>
          <w:rFonts w:ascii="Times New Roman" w:hAnsi="Times New Roman" w:cs="Times New Roman"/>
          <w:lang w:val="en-US"/>
        </w:rPr>
        <w:t>High</w:t>
      </w:r>
      <w:r w:rsidR="00EE0645">
        <w:rPr>
          <w:rFonts w:ascii="Times New Roman" w:hAnsi="Times New Roman" w:cs="Times New Roman"/>
          <w:lang w:val="en-US"/>
        </w:rPr>
        <w:t>-</w:t>
      </w:r>
      <w:r w:rsidR="0053780A" w:rsidRPr="00622F6C">
        <w:rPr>
          <w:rFonts w:ascii="Times New Roman" w:hAnsi="Times New Roman" w:cs="Times New Roman"/>
          <w:lang w:val="en-US"/>
        </w:rPr>
        <w:t>slavery</w:t>
      </w:r>
      <w:r w:rsidR="00EE0645">
        <w:rPr>
          <w:rFonts w:ascii="Times New Roman" w:hAnsi="Times New Roman" w:cs="Times New Roman"/>
          <w:lang w:val="en-US"/>
        </w:rPr>
        <w:t>-</w:t>
      </w:r>
      <w:r w:rsidR="0053780A" w:rsidRPr="00622F6C">
        <w:rPr>
          <w:rFonts w:ascii="Times New Roman" w:hAnsi="Times New Roman" w:cs="Times New Roman"/>
          <w:lang w:val="en-US"/>
        </w:rPr>
        <w:t>risk industries tend to rely heavily on flexible, temporary labor to meet intense cost and time pressures, while multiple sourcing relationships with a variety of agencies typi</w:t>
      </w:r>
      <w:r w:rsidR="009A7656" w:rsidRPr="00622F6C">
        <w:rPr>
          <w:rFonts w:ascii="Times New Roman" w:hAnsi="Times New Roman" w:cs="Times New Roman"/>
          <w:lang w:val="en-US"/>
        </w:rPr>
        <w:t>cally make transparency of labo</w:t>
      </w:r>
      <w:r w:rsidR="0053780A" w:rsidRPr="00622F6C">
        <w:rPr>
          <w:rFonts w:ascii="Times New Roman" w:hAnsi="Times New Roman" w:cs="Times New Roman"/>
          <w:lang w:val="en-US"/>
        </w:rPr>
        <w:t xml:space="preserve">r difficult to achieve. </w:t>
      </w:r>
      <w:r w:rsidR="00111169" w:rsidRPr="00622F6C">
        <w:rPr>
          <w:rFonts w:ascii="Times New Roman" w:hAnsi="Times New Roman" w:cs="Times New Roman"/>
          <w:lang w:val="en-US"/>
        </w:rPr>
        <w:t>Examples of high</w:t>
      </w:r>
      <w:r w:rsidR="00EE0645">
        <w:rPr>
          <w:rFonts w:ascii="Times New Roman" w:hAnsi="Times New Roman" w:cs="Times New Roman"/>
          <w:lang w:val="en-US"/>
        </w:rPr>
        <w:t>-</w:t>
      </w:r>
      <w:r w:rsidR="00111169" w:rsidRPr="00622F6C">
        <w:rPr>
          <w:rFonts w:ascii="Times New Roman" w:hAnsi="Times New Roman" w:cs="Times New Roman"/>
          <w:lang w:val="en-US"/>
        </w:rPr>
        <w:t>slavery</w:t>
      </w:r>
      <w:r w:rsidR="00EE0645">
        <w:rPr>
          <w:rFonts w:ascii="Times New Roman" w:hAnsi="Times New Roman" w:cs="Times New Roman"/>
          <w:lang w:val="en-US"/>
        </w:rPr>
        <w:t>-</w:t>
      </w:r>
      <w:r w:rsidR="00111169" w:rsidRPr="00622F6C">
        <w:rPr>
          <w:rFonts w:ascii="Times New Roman" w:hAnsi="Times New Roman" w:cs="Times New Roman"/>
          <w:lang w:val="en-US"/>
        </w:rPr>
        <w:t xml:space="preserve">risk </w:t>
      </w:r>
      <w:r w:rsidR="005C0658">
        <w:rPr>
          <w:rFonts w:ascii="Times New Roman" w:hAnsi="Times New Roman" w:cs="Times New Roman"/>
          <w:lang w:val="en-US"/>
        </w:rPr>
        <w:t>activities</w:t>
      </w:r>
      <w:r w:rsidR="00111169" w:rsidRPr="00622F6C">
        <w:rPr>
          <w:rFonts w:ascii="Times New Roman" w:hAnsi="Times New Roman" w:cs="Times New Roman"/>
          <w:lang w:val="en-US"/>
        </w:rPr>
        <w:t xml:space="preserve"> include </w:t>
      </w:r>
      <w:r w:rsidR="00753CA4">
        <w:rPr>
          <w:rFonts w:ascii="Times New Roman" w:hAnsi="Times New Roman" w:cs="Times New Roman"/>
          <w:lang w:val="en-US"/>
        </w:rPr>
        <w:t xml:space="preserve">mining </w:t>
      </w:r>
      <w:r w:rsidR="005C0658">
        <w:rPr>
          <w:rFonts w:ascii="Times New Roman" w:hAnsi="Times New Roman" w:cs="Times New Roman"/>
          <w:lang w:val="en-US"/>
        </w:rPr>
        <w:t xml:space="preserve">and </w:t>
      </w:r>
      <w:r w:rsidR="00BF1553">
        <w:rPr>
          <w:rFonts w:ascii="Times New Roman" w:hAnsi="Times New Roman" w:cs="Times New Roman"/>
          <w:lang w:val="en-US"/>
        </w:rPr>
        <w:t>apparel</w:t>
      </w:r>
      <w:r w:rsidR="005C0658">
        <w:rPr>
          <w:rFonts w:ascii="Times New Roman" w:hAnsi="Times New Roman" w:cs="Times New Roman"/>
          <w:lang w:val="en-US"/>
        </w:rPr>
        <w:t xml:space="preserve"> retailing</w:t>
      </w:r>
      <w:r w:rsidR="00111169" w:rsidRPr="00622F6C">
        <w:rPr>
          <w:rFonts w:ascii="Times New Roman" w:hAnsi="Times New Roman" w:cs="Times New Roman"/>
          <w:lang w:val="en-US"/>
        </w:rPr>
        <w:t>, while examples of low</w:t>
      </w:r>
      <w:r w:rsidR="00EE0645">
        <w:rPr>
          <w:rFonts w:ascii="Times New Roman" w:hAnsi="Times New Roman" w:cs="Times New Roman"/>
          <w:lang w:val="en-US"/>
        </w:rPr>
        <w:t>-</w:t>
      </w:r>
      <w:r w:rsidR="00111169" w:rsidRPr="00622F6C">
        <w:rPr>
          <w:rFonts w:ascii="Times New Roman" w:hAnsi="Times New Roman" w:cs="Times New Roman"/>
          <w:lang w:val="en-US"/>
        </w:rPr>
        <w:t>slavery</w:t>
      </w:r>
      <w:r w:rsidR="00EE0645">
        <w:rPr>
          <w:rFonts w:ascii="Times New Roman" w:hAnsi="Times New Roman" w:cs="Times New Roman"/>
          <w:lang w:val="en-US"/>
        </w:rPr>
        <w:t>-</w:t>
      </w:r>
      <w:r w:rsidR="00111169" w:rsidRPr="00622F6C">
        <w:rPr>
          <w:rFonts w:ascii="Times New Roman" w:hAnsi="Times New Roman" w:cs="Times New Roman"/>
          <w:lang w:val="en-US"/>
        </w:rPr>
        <w:t xml:space="preserve">risk </w:t>
      </w:r>
      <w:r w:rsidR="005C0658">
        <w:rPr>
          <w:rFonts w:ascii="Times New Roman" w:hAnsi="Times New Roman" w:cs="Times New Roman"/>
          <w:lang w:val="en-US"/>
        </w:rPr>
        <w:t>activities</w:t>
      </w:r>
      <w:r w:rsidR="00111169" w:rsidRPr="00622F6C">
        <w:rPr>
          <w:rFonts w:ascii="Times New Roman" w:hAnsi="Times New Roman" w:cs="Times New Roman"/>
          <w:lang w:val="en-US"/>
        </w:rPr>
        <w:t xml:space="preserve"> </w:t>
      </w:r>
      <w:r w:rsidR="00B903B4" w:rsidRPr="00622F6C">
        <w:rPr>
          <w:rFonts w:ascii="Times New Roman" w:hAnsi="Times New Roman" w:cs="Times New Roman"/>
          <w:lang w:val="en-US"/>
        </w:rPr>
        <w:t xml:space="preserve">include banking and publishing. </w:t>
      </w:r>
      <w:r w:rsidR="00BE111E" w:rsidRPr="00622F6C">
        <w:rPr>
          <w:rFonts w:ascii="Times New Roman" w:eastAsia="Times New Roman" w:hAnsi="Times New Roman" w:cs="Times New Roman"/>
          <w:lang w:val="en-US" w:eastAsia="en-GB"/>
        </w:rPr>
        <w:t xml:space="preserve">Investors </w:t>
      </w:r>
      <w:r w:rsidR="00673958" w:rsidRPr="00622F6C">
        <w:rPr>
          <w:rFonts w:ascii="Times New Roman" w:eastAsia="Times New Roman" w:hAnsi="Times New Roman" w:cs="Times New Roman"/>
          <w:lang w:val="en-US" w:eastAsia="en-GB"/>
        </w:rPr>
        <w:t>might</w:t>
      </w:r>
      <w:r w:rsidR="00BE111E" w:rsidRPr="00622F6C">
        <w:rPr>
          <w:rFonts w:ascii="Times New Roman" w:eastAsia="Times New Roman" w:hAnsi="Times New Roman" w:cs="Times New Roman"/>
          <w:lang w:val="en-US" w:eastAsia="en-GB"/>
        </w:rPr>
        <w:t xml:space="preserve"> gauge </w:t>
      </w:r>
      <w:r w:rsidR="007B0051">
        <w:rPr>
          <w:rFonts w:ascii="Times New Roman" w:eastAsia="Times New Roman" w:hAnsi="Times New Roman" w:cs="Times New Roman"/>
          <w:lang w:val="en-US" w:eastAsia="en-GB"/>
        </w:rPr>
        <w:t>a firm’s</w:t>
      </w:r>
      <w:r w:rsidR="007B0051" w:rsidRPr="00622F6C">
        <w:rPr>
          <w:rFonts w:ascii="Times New Roman" w:eastAsia="Times New Roman" w:hAnsi="Times New Roman" w:cs="Times New Roman"/>
          <w:lang w:val="en-US" w:eastAsia="en-GB"/>
        </w:rPr>
        <w:t xml:space="preserve"> </w:t>
      </w:r>
      <w:r w:rsidR="00BE111E" w:rsidRPr="00622F6C">
        <w:rPr>
          <w:rFonts w:ascii="Times New Roman" w:eastAsia="Times New Roman" w:hAnsi="Times New Roman" w:cs="Times New Roman"/>
          <w:lang w:val="en-US" w:eastAsia="en-GB"/>
        </w:rPr>
        <w:t xml:space="preserve">risk of exposure to slavery incidents not only through </w:t>
      </w:r>
      <w:r w:rsidR="00753CA4">
        <w:rPr>
          <w:rFonts w:ascii="Times New Roman" w:eastAsia="Times New Roman" w:hAnsi="Times New Roman" w:cs="Times New Roman"/>
          <w:lang w:val="en-US" w:eastAsia="en-GB"/>
        </w:rPr>
        <w:t>the firm’s</w:t>
      </w:r>
      <w:r w:rsidR="00753CA4" w:rsidRPr="00622F6C">
        <w:rPr>
          <w:rFonts w:ascii="Times New Roman" w:eastAsia="Times New Roman" w:hAnsi="Times New Roman" w:cs="Times New Roman"/>
          <w:lang w:val="en-US" w:eastAsia="en-GB"/>
        </w:rPr>
        <w:t xml:space="preserve"> </w:t>
      </w:r>
      <w:r w:rsidR="00BE111E" w:rsidRPr="00622F6C">
        <w:rPr>
          <w:rFonts w:ascii="Times New Roman" w:eastAsia="Times New Roman" w:hAnsi="Times New Roman" w:cs="Times New Roman"/>
          <w:lang w:val="en-US" w:eastAsia="en-GB"/>
        </w:rPr>
        <w:t>individual exposure</w:t>
      </w:r>
      <w:r w:rsidR="001831A0">
        <w:rPr>
          <w:rFonts w:ascii="Times New Roman" w:eastAsia="Times New Roman" w:hAnsi="Times New Roman" w:cs="Times New Roman"/>
          <w:lang w:val="en-US" w:eastAsia="en-GB"/>
        </w:rPr>
        <w:t>,</w:t>
      </w:r>
      <w:r w:rsidR="00BE111E" w:rsidRPr="00622F6C">
        <w:rPr>
          <w:rFonts w:ascii="Times New Roman" w:eastAsia="Times New Roman" w:hAnsi="Times New Roman" w:cs="Times New Roman"/>
          <w:lang w:val="en-US" w:eastAsia="en-GB"/>
        </w:rPr>
        <w:t xml:space="preserve"> and </w:t>
      </w:r>
      <w:r w:rsidR="001831A0">
        <w:rPr>
          <w:rFonts w:ascii="Times New Roman" w:eastAsia="Times New Roman" w:hAnsi="Times New Roman" w:cs="Times New Roman"/>
          <w:lang w:val="en-US" w:eastAsia="en-GB"/>
        </w:rPr>
        <w:t xml:space="preserve">the </w:t>
      </w:r>
      <w:r w:rsidR="005C0658">
        <w:rPr>
          <w:rFonts w:ascii="Times New Roman" w:eastAsia="Times New Roman" w:hAnsi="Times New Roman" w:cs="Times New Roman"/>
          <w:lang w:val="en-US" w:eastAsia="en-GB"/>
        </w:rPr>
        <w:t>labor</w:t>
      </w:r>
      <w:r w:rsidR="00113F3F">
        <w:rPr>
          <w:rFonts w:ascii="Times New Roman" w:eastAsia="Times New Roman" w:hAnsi="Times New Roman" w:cs="Times New Roman"/>
          <w:lang w:val="en-US" w:eastAsia="en-GB"/>
        </w:rPr>
        <w:t xml:space="preserve"> </w:t>
      </w:r>
      <w:r w:rsidR="005C0658">
        <w:rPr>
          <w:rFonts w:ascii="Times New Roman" w:eastAsia="Times New Roman" w:hAnsi="Times New Roman" w:cs="Times New Roman"/>
          <w:lang w:val="en-US" w:eastAsia="en-GB"/>
        </w:rPr>
        <w:t>standard</w:t>
      </w:r>
      <w:r w:rsidR="0068625B">
        <w:rPr>
          <w:rFonts w:ascii="Times New Roman" w:eastAsia="Times New Roman" w:hAnsi="Times New Roman" w:cs="Times New Roman"/>
          <w:lang w:val="en-US" w:eastAsia="en-GB"/>
        </w:rPr>
        <w:t>s</w:t>
      </w:r>
      <w:r w:rsidR="00BE111E" w:rsidRPr="00622F6C">
        <w:rPr>
          <w:rFonts w:ascii="Times New Roman" w:eastAsia="Times New Roman" w:hAnsi="Times New Roman" w:cs="Times New Roman"/>
          <w:lang w:val="en-US" w:eastAsia="en-GB"/>
        </w:rPr>
        <w:t xml:space="preserve"> policies</w:t>
      </w:r>
      <w:r w:rsidR="00673958" w:rsidRPr="00622F6C">
        <w:rPr>
          <w:rFonts w:ascii="Times New Roman" w:eastAsia="Times New Roman" w:hAnsi="Times New Roman" w:cs="Times New Roman"/>
          <w:lang w:val="en-US" w:eastAsia="en-GB"/>
        </w:rPr>
        <w:t xml:space="preserve"> </w:t>
      </w:r>
      <w:r w:rsidR="007B0051">
        <w:rPr>
          <w:rFonts w:ascii="Times New Roman" w:eastAsia="Times New Roman" w:hAnsi="Times New Roman" w:cs="Times New Roman"/>
          <w:lang w:val="en-US" w:eastAsia="en-GB"/>
        </w:rPr>
        <w:t>it has</w:t>
      </w:r>
      <w:r w:rsidR="001831A0">
        <w:rPr>
          <w:rFonts w:ascii="Times New Roman" w:eastAsia="Times New Roman" w:hAnsi="Times New Roman" w:cs="Times New Roman"/>
          <w:lang w:val="en-US" w:eastAsia="en-GB"/>
        </w:rPr>
        <w:t xml:space="preserve"> </w:t>
      </w:r>
      <w:r w:rsidR="00673958" w:rsidRPr="00622F6C">
        <w:rPr>
          <w:rFonts w:ascii="Times New Roman" w:eastAsia="Times New Roman" w:hAnsi="Times New Roman" w:cs="Times New Roman"/>
          <w:lang w:val="en-US" w:eastAsia="en-GB"/>
        </w:rPr>
        <w:t>in place</w:t>
      </w:r>
      <w:r w:rsidR="00BE111E" w:rsidRPr="00622F6C">
        <w:rPr>
          <w:rFonts w:ascii="Times New Roman" w:eastAsia="Times New Roman" w:hAnsi="Times New Roman" w:cs="Times New Roman"/>
          <w:lang w:val="en-US" w:eastAsia="en-GB"/>
        </w:rPr>
        <w:t xml:space="preserve">, but also by </w:t>
      </w:r>
      <w:r w:rsidR="00111169" w:rsidRPr="00622F6C">
        <w:rPr>
          <w:rFonts w:ascii="Times New Roman" w:eastAsia="Times New Roman" w:hAnsi="Times New Roman" w:cs="Times New Roman"/>
          <w:lang w:val="en-US" w:eastAsia="en-GB"/>
        </w:rPr>
        <w:t xml:space="preserve">looking at </w:t>
      </w:r>
      <w:r w:rsidR="007B0051">
        <w:rPr>
          <w:rFonts w:ascii="Times New Roman" w:eastAsia="Times New Roman" w:hAnsi="Times New Roman" w:cs="Times New Roman"/>
          <w:lang w:val="en-US" w:eastAsia="en-GB"/>
        </w:rPr>
        <w:t xml:space="preserve">its </w:t>
      </w:r>
      <w:r w:rsidR="00673958" w:rsidRPr="00622F6C">
        <w:rPr>
          <w:rFonts w:ascii="Times New Roman" w:eastAsia="Times New Roman" w:hAnsi="Times New Roman" w:cs="Times New Roman"/>
          <w:lang w:val="en-US" w:eastAsia="en-GB"/>
        </w:rPr>
        <w:t xml:space="preserve">main industry </w:t>
      </w:r>
      <w:r w:rsidR="00111169" w:rsidRPr="00622F6C">
        <w:rPr>
          <w:rFonts w:ascii="Times New Roman" w:eastAsia="Times New Roman" w:hAnsi="Times New Roman" w:cs="Times New Roman"/>
          <w:lang w:val="en-US" w:eastAsia="en-GB"/>
        </w:rPr>
        <w:t>and geographical presence</w:t>
      </w:r>
      <w:r w:rsidR="00BE111E" w:rsidRPr="00622F6C">
        <w:rPr>
          <w:rFonts w:ascii="Times New Roman" w:eastAsia="Times New Roman" w:hAnsi="Times New Roman" w:cs="Times New Roman"/>
          <w:lang w:val="en-US" w:eastAsia="en-GB"/>
        </w:rPr>
        <w:t>. As such, we</w:t>
      </w:r>
      <w:r w:rsidR="00111169" w:rsidRPr="00622F6C">
        <w:rPr>
          <w:rFonts w:ascii="Times New Roman" w:eastAsia="Times New Roman" w:hAnsi="Times New Roman" w:cs="Times New Roman"/>
          <w:lang w:val="en-US" w:eastAsia="en-GB"/>
        </w:rPr>
        <w:t xml:space="preserve"> expect a negative (positive) impact of our two aggregate measures </w:t>
      </w:r>
      <w:r w:rsidR="001831A0">
        <w:rPr>
          <w:rFonts w:ascii="Times New Roman" w:eastAsia="Times New Roman" w:hAnsi="Times New Roman" w:cs="Times New Roman"/>
          <w:lang w:val="en-US" w:eastAsia="en-GB"/>
        </w:rPr>
        <w:t>of</w:t>
      </w:r>
      <w:r w:rsidR="001831A0" w:rsidRPr="00622F6C">
        <w:rPr>
          <w:rFonts w:ascii="Times New Roman" w:eastAsia="Times New Roman" w:hAnsi="Times New Roman" w:cs="Times New Roman"/>
          <w:lang w:val="en-US" w:eastAsia="en-GB"/>
        </w:rPr>
        <w:t xml:space="preserve"> </w:t>
      </w:r>
      <w:r w:rsidR="00111169" w:rsidRPr="00622F6C">
        <w:rPr>
          <w:rFonts w:ascii="Times New Roman" w:eastAsia="Times New Roman" w:hAnsi="Times New Roman" w:cs="Times New Roman"/>
          <w:lang w:val="en-US" w:eastAsia="en-GB"/>
        </w:rPr>
        <w:t>slavery risk</w:t>
      </w:r>
      <w:r w:rsidR="00111169" w:rsidRPr="00622F6C">
        <w:rPr>
          <w:rFonts w:ascii="Times New Roman" w:hAnsi="Times New Roman" w:cs="Times New Roman"/>
          <w:lang w:val="en-US"/>
        </w:rPr>
        <w:t xml:space="preserve"> </w:t>
      </w:r>
      <w:r w:rsidR="00111169" w:rsidRPr="00622F6C">
        <w:rPr>
          <w:rFonts w:ascii="Times New Roman" w:eastAsia="Times New Roman" w:hAnsi="Times New Roman" w:cs="Times New Roman"/>
          <w:lang w:val="en-US" w:eastAsia="en-GB"/>
        </w:rPr>
        <w:t xml:space="preserve">under </w:t>
      </w:r>
      <w:r w:rsidR="001831A0" w:rsidRPr="00622F6C">
        <w:rPr>
          <w:rFonts w:ascii="Times New Roman" w:eastAsia="Times New Roman" w:hAnsi="Times New Roman" w:cs="Times New Roman"/>
          <w:lang w:val="en-US" w:eastAsia="en-GB"/>
        </w:rPr>
        <w:t>hypothes</w:t>
      </w:r>
      <w:r w:rsidR="001831A0">
        <w:rPr>
          <w:rFonts w:ascii="Times New Roman" w:eastAsia="Times New Roman" w:hAnsi="Times New Roman" w:cs="Times New Roman"/>
          <w:lang w:val="en-US" w:eastAsia="en-GB"/>
        </w:rPr>
        <w:t>i</w:t>
      </w:r>
      <w:r w:rsidR="001831A0" w:rsidRPr="00622F6C">
        <w:rPr>
          <w:rFonts w:ascii="Times New Roman" w:eastAsia="Times New Roman" w:hAnsi="Times New Roman" w:cs="Times New Roman"/>
          <w:lang w:val="en-US" w:eastAsia="en-GB"/>
        </w:rPr>
        <w:t xml:space="preserve">s </w:t>
      </w:r>
      <w:r w:rsidR="00111169" w:rsidRPr="00622F6C">
        <w:rPr>
          <w:rFonts w:ascii="Times New Roman" w:hAnsi="Times New Roman" w:cs="Times New Roman"/>
          <w:lang w:val="en-US"/>
        </w:rPr>
        <w:t>H</w:t>
      </w:r>
      <w:r w:rsidR="00111169" w:rsidRPr="00622F6C">
        <w:rPr>
          <w:rFonts w:ascii="Times New Roman" w:hAnsi="Times New Roman" w:cs="Times New Roman"/>
          <w:vertAlign w:val="subscript"/>
          <w:lang w:val="en-US"/>
        </w:rPr>
        <w:t>1a</w:t>
      </w:r>
      <w:r w:rsidR="00111169" w:rsidRPr="00622F6C">
        <w:rPr>
          <w:rFonts w:ascii="Times New Roman" w:hAnsi="Times New Roman" w:cs="Times New Roman"/>
          <w:lang w:val="en-US"/>
        </w:rPr>
        <w:t xml:space="preserve"> (H</w:t>
      </w:r>
      <w:r w:rsidR="00111169" w:rsidRPr="00622F6C">
        <w:rPr>
          <w:rFonts w:ascii="Times New Roman" w:hAnsi="Times New Roman" w:cs="Times New Roman"/>
          <w:vertAlign w:val="subscript"/>
          <w:lang w:val="en-US"/>
        </w:rPr>
        <w:t>1b</w:t>
      </w:r>
      <w:r w:rsidR="00111169" w:rsidRPr="00622F6C">
        <w:rPr>
          <w:rFonts w:ascii="Times New Roman" w:hAnsi="Times New Roman" w:cs="Times New Roman"/>
          <w:lang w:val="en-US"/>
        </w:rPr>
        <w:t>).</w:t>
      </w:r>
    </w:p>
    <w:p w14:paraId="47A7D895" w14:textId="28C7578A" w:rsidR="00BB227D" w:rsidRPr="00622F6C" w:rsidRDefault="00E34302" w:rsidP="00564AA8">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 xml:space="preserve">The dependent variable in the cross-sectional analysis is the firm-specific cumulative abnormal return, </w:t>
      </w:r>
      <w:r w:rsidRPr="00E34302">
        <w:rPr>
          <w:rFonts w:ascii="Times New Roman" w:hAnsi="Times New Roman" w:cs="Times New Roman"/>
          <w:i/>
          <w:lang w:val="en-US"/>
        </w:rPr>
        <w:t>CAR</w:t>
      </w:r>
      <w:r>
        <w:rPr>
          <w:rFonts w:ascii="Times New Roman" w:hAnsi="Times New Roman" w:cs="Times New Roman"/>
          <w:lang w:val="en-US"/>
        </w:rPr>
        <w:t>. To obtain this return, we run time-series regression</w:t>
      </w:r>
      <w:r w:rsidR="00D82C6B">
        <w:rPr>
          <w:rFonts w:ascii="Times New Roman" w:hAnsi="Times New Roman" w:cs="Times New Roman"/>
          <w:lang w:val="en-US"/>
        </w:rPr>
        <w:t>s on a per firm basis,</w:t>
      </w:r>
      <w:r>
        <w:rPr>
          <w:rFonts w:ascii="Times New Roman" w:hAnsi="Times New Roman" w:cs="Times New Roman"/>
          <w:lang w:val="en-US"/>
        </w:rPr>
        <w:t xml:space="preserve"> </w:t>
      </w:r>
      <w:r w:rsidR="00D82C6B">
        <w:rPr>
          <w:rFonts w:ascii="Times New Roman" w:hAnsi="Times New Roman" w:cs="Times New Roman"/>
          <w:lang w:val="en-US"/>
        </w:rPr>
        <w:t>for each of the 205 firms in the cross-sectional sample</w:t>
      </w:r>
      <w:r>
        <w:rPr>
          <w:rFonts w:ascii="Times New Roman" w:hAnsi="Times New Roman" w:cs="Times New Roman"/>
          <w:lang w:val="en-US"/>
        </w:rPr>
        <w:t>:</w:t>
      </w:r>
    </w:p>
    <w:p w14:paraId="0D2CAC44" w14:textId="02760CF2" w:rsidR="00BB227D" w:rsidRPr="00622F6C" w:rsidRDefault="00F9130B" w:rsidP="00564AA8">
      <w:pPr>
        <w:spacing w:after="0" w:line="480" w:lineRule="auto"/>
        <w:ind w:firstLine="426"/>
        <w:jc w:val="both"/>
        <w:rPr>
          <w:rFonts w:ascii="Times New Roman" w:hAnsi="Times New Roman" w:cs="Times New Roman"/>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it</m:t>
            </m:r>
          </m:sub>
        </m:sSub>
      </m:oMath>
      <w:r w:rsidR="00BB227D" w:rsidRPr="00622F6C">
        <w:rPr>
          <w:rFonts w:ascii="Times New Roman" w:hAnsi="Times New Roman" w:cs="Times New Roman"/>
          <w:lang w:val="en-US"/>
        </w:rPr>
        <w:tab/>
      </w:r>
      <w:r w:rsidR="00BB227D" w:rsidRPr="00622F6C">
        <w:rPr>
          <w:rFonts w:ascii="Times New Roman" w:hAnsi="Times New Roman" w:cs="Times New Roman"/>
          <w:lang w:val="en-US"/>
        </w:rPr>
        <w:tab/>
      </w:r>
      <w:r w:rsidR="00BB227D" w:rsidRPr="00622F6C">
        <w:rPr>
          <w:rFonts w:ascii="Times New Roman" w:hAnsi="Times New Roman" w:cs="Times New Roman"/>
          <w:lang w:val="en-US"/>
        </w:rPr>
        <w:tab/>
      </w:r>
      <w:r w:rsidR="00BB227D" w:rsidRPr="00622F6C">
        <w:rPr>
          <w:rFonts w:ascii="Times New Roman" w:hAnsi="Times New Roman" w:cs="Times New Roman"/>
          <w:lang w:val="en-US"/>
        </w:rPr>
        <w:tab/>
      </w:r>
      <w:r w:rsidR="00BB227D" w:rsidRPr="00622F6C">
        <w:rPr>
          <w:rFonts w:ascii="Times New Roman" w:hAnsi="Times New Roman" w:cs="Times New Roman"/>
          <w:lang w:val="en-US"/>
        </w:rPr>
        <w:tab/>
      </w:r>
      <w:r w:rsidR="00BB227D" w:rsidRPr="00622F6C">
        <w:rPr>
          <w:rFonts w:ascii="Times New Roman" w:hAnsi="Times New Roman" w:cs="Times New Roman"/>
          <w:lang w:val="en-US"/>
        </w:rPr>
        <w:tab/>
      </w:r>
      <w:r w:rsidR="00BB227D" w:rsidRPr="00622F6C">
        <w:rPr>
          <w:rFonts w:ascii="Times New Roman" w:hAnsi="Times New Roman" w:cs="Times New Roman"/>
          <w:lang w:val="en-US"/>
        </w:rPr>
        <w:tab/>
        <w:t xml:space="preserve">     (3)</w:t>
      </w:r>
    </w:p>
    <w:p w14:paraId="05D961E8" w14:textId="0C543B8F" w:rsidR="00564AA8" w:rsidRDefault="00BB227D" w:rsidP="00E74C5B">
      <w:pPr>
        <w:tabs>
          <w:tab w:val="left" w:pos="8222"/>
        </w:tabs>
        <w:spacing w:after="0" w:line="480" w:lineRule="auto"/>
        <w:ind w:firstLine="426"/>
        <w:jc w:val="both"/>
        <w:rPr>
          <w:rFonts w:ascii="Times New Roman" w:eastAsiaTheme="minorEastAsia" w:hAnsi="Times New Roman" w:cs="Times New Roman"/>
          <w:lang w:val="en-US"/>
        </w:rPr>
      </w:pPr>
      <w:r w:rsidRPr="00622F6C">
        <w:rPr>
          <w:rFonts w:ascii="Times New Roman" w:hAnsi="Times New Roman" w:cs="Times New Roman"/>
          <w:lang w:val="en-US"/>
        </w:rPr>
        <w:t xml:space="preserve">All parameters </w:t>
      </w:r>
      <w:r w:rsidR="003D0545">
        <w:rPr>
          <w:rFonts w:ascii="Times New Roman" w:hAnsi="Times New Roman" w:cs="Times New Roman"/>
          <w:lang w:val="en-US"/>
        </w:rPr>
        <w:t xml:space="preserve">in Equation (3) </w:t>
      </w:r>
      <w:r w:rsidRPr="00622F6C">
        <w:rPr>
          <w:rFonts w:ascii="Times New Roman" w:hAnsi="Times New Roman" w:cs="Times New Roman"/>
          <w:lang w:val="en-US"/>
        </w:rPr>
        <w:t>have similar definitions to those for Equation (1)</w:t>
      </w:r>
      <w:r w:rsidR="00564AA8" w:rsidRPr="00622F6C">
        <w:rPr>
          <w:rFonts w:ascii="Times New Roman" w:hAnsi="Times New Roman" w:cs="Times New Roman"/>
          <w:lang w:val="en-US"/>
        </w:rPr>
        <w:t xml:space="preserve">. </w:t>
      </w:r>
      <w:r w:rsidR="00673958" w:rsidRPr="00622F6C">
        <w:rPr>
          <w:rFonts w:ascii="Times New Roman" w:hAnsi="Times New Roman" w:cs="Times New Roman"/>
          <w:lang w:val="en-US"/>
        </w:rPr>
        <w:t>I</w:t>
      </w:r>
      <w:r w:rsidR="00564AA8" w:rsidRPr="00622F6C">
        <w:rPr>
          <w:rFonts w:ascii="Times New Roman" w:hAnsi="Times New Roman" w:cs="Times New Roman"/>
          <w:lang w:val="en-US"/>
        </w:rPr>
        <w:t xml:space="preserve">nstead of the return on the entire portfolio of firms, </w:t>
      </w:r>
      <w:r w:rsidR="0053780A" w:rsidRPr="00622F6C">
        <w:rPr>
          <w:rFonts w:ascii="Times New Roman" w:hAnsi="Times New Roman" w:cs="Times New Roman"/>
          <w:lang w:val="en-US"/>
        </w:rPr>
        <w:t xml:space="preserve">however, </w:t>
      </w:r>
      <w:r w:rsidR="00564AA8" w:rsidRPr="00622F6C">
        <w:rPr>
          <w:rFonts w:ascii="Times New Roman" w:hAnsi="Times New Roman" w:cs="Times New Roman"/>
          <w:lang w:val="en-US"/>
        </w:rPr>
        <w:t xml:space="preserve">we now use the return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it</m:t>
            </m:r>
          </m:sub>
        </m:sSub>
      </m:oMath>
      <w:r w:rsidR="00564AA8" w:rsidRPr="00622F6C">
        <w:rPr>
          <w:rFonts w:ascii="Times New Roman" w:eastAsiaTheme="minorEastAsia" w:hAnsi="Times New Roman" w:cs="Times New Roman"/>
          <w:lang w:val="en-US"/>
        </w:rPr>
        <w:t xml:space="preserve"> on each individual firm</w:t>
      </w:r>
      <w:r w:rsidR="008E1001" w:rsidRPr="00622F6C">
        <w:rPr>
          <w:rFonts w:ascii="Times New Roman" w:eastAsiaTheme="minorEastAsia" w:hAnsi="Times New Roman" w:cs="Times New Roman"/>
          <w:lang w:val="en-US"/>
        </w:rPr>
        <w:t xml:space="preserve"> </w:t>
      </w:r>
      <w:r w:rsidR="008E1001" w:rsidRPr="00622F6C">
        <w:rPr>
          <w:rFonts w:ascii="Times New Roman" w:eastAsiaTheme="minorEastAsia" w:hAnsi="Times New Roman" w:cs="Times New Roman"/>
          <w:i/>
          <w:lang w:val="en-US"/>
        </w:rPr>
        <w:t>i</w:t>
      </w:r>
      <w:r w:rsidR="008E1001" w:rsidRPr="00622F6C">
        <w:rPr>
          <w:rFonts w:ascii="Times New Roman" w:eastAsiaTheme="minorEastAsia" w:hAnsi="Times New Roman" w:cs="Times New Roman"/>
          <w:lang w:val="en-US"/>
        </w:rPr>
        <w:t>’s stock as the left-</w:t>
      </w:r>
      <w:r w:rsidR="00564AA8" w:rsidRPr="00622F6C">
        <w:rPr>
          <w:rFonts w:ascii="Times New Roman" w:eastAsiaTheme="minorEastAsia" w:hAnsi="Times New Roman" w:cs="Times New Roman"/>
          <w:lang w:val="en-US"/>
        </w:rPr>
        <w:t>hand</w:t>
      </w:r>
      <w:r w:rsidR="001831A0">
        <w:rPr>
          <w:rFonts w:ascii="Times New Roman" w:eastAsiaTheme="minorEastAsia" w:hAnsi="Times New Roman" w:cs="Times New Roman"/>
          <w:lang w:val="en-US"/>
        </w:rPr>
        <w:t>-</w:t>
      </w:r>
      <w:r w:rsidR="00564AA8" w:rsidRPr="00622F6C">
        <w:rPr>
          <w:rFonts w:ascii="Times New Roman" w:eastAsiaTheme="minorEastAsia" w:hAnsi="Times New Roman" w:cs="Times New Roman"/>
          <w:lang w:val="en-US"/>
        </w:rPr>
        <w:t>side variable</w:t>
      </w:r>
      <w:r w:rsidR="007B0051">
        <w:rPr>
          <w:rFonts w:ascii="Times New Roman" w:eastAsiaTheme="minorEastAsia" w:hAnsi="Times New Roman" w:cs="Times New Roman"/>
          <w:lang w:val="en-US"/>
        </w:rPr>
        <w:t xml:space="preserve"> (</w:t>
      </w:r>
      <w:r w:rsidR="00BE0451">
        <w:rPr>
          <w:rFonts w:ascii="Times New Roman" w:eastAsiaTheme="minorEastAsia" w:hAnsi="Times New Roman" w:cs="Times New Roman"/>
          <w:lang w:val="en-US"/>
        </w:rPr>
        <w:t>Knittel and Stango, 2013</w:t>
      </w:r>
      <w:r w:rsidR="003C39E2">
        <w:rPr>
          <w:rFonts w:ascii="Times New Roman" w:eastAsiaTheme="minorEastAsia" w:hAnsi="Times New Roman" w:cs="Times New Roman"/>
          <w:lang w:val="en-US"/>
        </w:rPr>
        <w:t xml:space="preserve">; </w:t>
      </w:r>
      <w:r w:rsidR="007B0051">
        <w:rPr>
          <w:rFonts w:ascii="Times New Roman" w:eastAsiaTheme="minorEastAsia" w:hAnsi="Times New Roman" w:cs="Times New Roman"/>
          <w:lang w:val="en-US"/>
        </w:rPr>
        <w:t>Lewis and Verwijmeren, 2014)</w:t>
      </w:r>
      <w:r w:rsidR="00564AA8" w:rsidRPr="00622F6C">
        <w:rPr>
          <w:rFonts w:ascii="Times New Roman" w:eastAsiaTheme="minorEastAsia" w:hAnsi="Times New Roman" w:cs="Times New Roman"/>
          <w:lang w:val="en-US"/>
        </w:rPr>
        <w:t xml:space="preserve">. </w:t>
      </w:r>
      <w:r w:rsidR="00E34302">
        <w:rPr>
          <w:rFonts w:ascii="Times New Roman" w:eastAsiaTheme="minorEastAsia" w:hAnsi="Times New Roman" w:cs="Times New Roman"/>
          <w:lang w:val="en-US"/>
        </w:rPr>
        <w:t>The coefficient</w:t>
      </w:r>
      <m:oMath>
        <m:r>
          <w:rPr>
            <w:rFonts w:ascii="Cambria Math" w:eastAsiaTheme="minorEastAsia" w:hAnsi="Cambria Math" w:cs="Times New Roman"/>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γ</m:t>
            </m:r>
          </m:e>
          <m:sub>
            <m:r>
              <w:rPr>
                <w:rFonts w:ascii="Cambria Math" w:hAnsi="Cambria Math" w:cs="Times New Roman"/>
                <w:sz w:val="24"/>
                <w:szCs w:val="24"/>
                <w:lang w:val="en-US"/>
              </w:rPr>
              <m:t>i</m:t>
            </m:r>
          </m:sub>
        </m:sSub>
      </m:oMath>
      <w:r w:rsidR="00E34302">
        <w:rPr>
          <w:rFonts w:ascii="Times New Roman" w:eastAsiaTheme="minorEastAsia" w:hAnsi="Times New Roman" w:cs="Times New Roman"/>
          <w:lang w:val="en-US"/>
        </w:rPr>
        <w:t xml:space="preserve"> </w:t>
      </w:r>
      <m:oMath>
        <m:r>
          <w:rPr>
            <w:rFonts w:ascii="Cambria Math" w:hAnsi="Cambria Math" w:cs="Times New Roman"/>
            <w:sz w:val="20"/>
            <w:szCs w:val="20"/>
            <w:lang w:val="en-US"/>
          </w:rPr>
          <m:t xml:space="preserve"> </m:t>
        </m:r>
      </m:oMath>
      <w:r w:rsidR="00E34302">
        <w:rPr>
          <w:rFonts w:ascii="Times New Roman" w:eastAsiaTheme="minorEastAsia" w:hAnsi="Times New Roman" w:cs="Times New Roman"/>
          <w:lang w:val="en-US"/>
        </w:rPr>
        <w:t xml:space="preserve">on the date dummy variable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00E34302">
        <w:rPr>
          <w:rFonts w:ascii="Times New Roman" w:eastAsiaTheme="minorEastAsia" w:hAnsi="Times New Roman" w:cs="Times New Roman"/>
          <w:lang w:val="en-US"/>
        </w:rPr>
        <w:t xml:space="preserve">captures the average abnormal stock price effect of an MSA-related event for firm </w:t>
      </w:r>
      <w:r w:rsidR="00E34302" w:rsidRPr="00E34302">
        <w:rPr>
          <w:rFonts w:ascii="Times New Roman" w:eastAsiaTheme="minorEastAsia" w:hAnsi="Times New Roman" w:cs="Times New Roman"/>
          <w:i/>
          <w:lang w:val="en-US"/>
        </w:rPr>
        <w:t>i</w:t>
      </w:r>
      <w:r w:rsidR="00BF3F2E">
        <w:rPr>
          <w:rFonts w:ascii="Times New Roman" w:eastAsiaTheme="minorEastAsia" w:hAnsi="Times New Roman" w:cs="Times New Roman"/>
          <w:lang w:val="en-US"/>
        </w:rPr>
        <w:t>, estimated across the eight events</w:t>
      </w:r>
      <w:r w:rsidR="00E34302">
        <w:rPr>
          <w:rFonts w:ascii="Times New Roman" w:eastAsiaTheme="minorEastAsia" w:hAnsi="Times New Roman" w:cs="Times New Roman"/>
          <w:lang w:val="en-US"/>
        </w:rPr>
        <w:t xml:space="preserve">. </w:t>
      </w:r>
      <w:r w:rsidR="009C4422">
        <w:rPr>
          <w:rFonts w:ascii="Times New Roman" w:eastAsiaTheme="minorEastAsia" w:hAnsi="Times New Roman" w:cs="Times New Roman"/>
          <w:lang w:val="en-US"/>
        </w:rPr>
        <w:t>T</w:t>
      </w:r>
      <w:r w:rsidR="00E34302">
        <w:rPr>
          <w:rFonts w:ascii="Times New Roman" w:eastAsiaTheme="minorEastAsia" w:hAnsi="Times New Roman" w:cs="Times New Roman"/>
          <w:lang w:val="en-US"/>
        </w:rPr>
        <w:t>h</w:t>
      </w:r>
      <w:r w:rsidR="003D0545">
        <w:rPr>
          <w:rFonts w:ascii="Times New Roman" w:eastAsiaTheme="minorEastAsia" w:hAnsi="Times New Roman" w:cs="Times New Roman"/>
          <w:lang w:val="en-US"/>
        </w:rPr>
        <w:t xml:space="preserve">e total </w:t>
      </w:r>
      <w:r w:rsidR="006557EA">
        <w:rPr>
          <w:rFonts w:ascii="Times New Roman" w:eastAsiaTheme="minorEastAsia" w:hAnsi="Times New Roman" w:cs="Times New Roman"/>
          <w:lang w:val="en-US"/>
        </w:rPr>
        <w:t xml:space="preserve">(cumulative) </w:t>
      </w:r>
      <w:r w:rsidR="003D0545">
        <w:rPr>
          <w:rFonts w:ascii="Times New Roman" w:eastAsiaTheme="minorEastAsia" w:hAnsi="Times New Roman" w:cs="Times New Roman"/>
          <w:lang w:val="en-US"/>
        </w:rPr>
        <w:t>MSA-related</w:t>
      </w:r>
      <w:r w:rsidR="00E34302">
        <w:rPr>
          <w:rFonts w:ascii="Times New Roman" w:eastAsiaTheme="minorEastAsia" w:hAnsi="Times New Roman" w:cs="Times New Roman"/>
          <w:lang w:val="en-US"/>
        </w:rPr>
        <w:t xml:space="preserve"> </w:t>
      </w:r>
      <w:r w:rsidR="003D0545">
        <w:rPr>
          <w:rFonts w:ascii="Times New Roman" w:eastAsiaTheme="minorEastAsia" w:hAnsi="Times New Roman" w:cs="Times New Roman"/>
          <w:lang w:val="en-US"/>
        </w:rPr>
        <w:t>abnormal stock return</w:t>
      </w:r>
      <w:r w:rsidR="00E34302">
        <w:rPr>
          <w:rFonts w:ascii="Times New Roman" w:eastAsiaTheme="minorEastAsia" w:hAnsi="Times New Roman" w:cs="Times New Roman"/>
          <w:lang w:val="en-US"/>
        </w:rPr>
        <w:t xml:space="preserve"> (</w:t>
      </w:r>
      <w:r w:rsidR="00E34302" w:rsidRPr="003D0545">
        <w:rPr>
          <w:rFonts w:ascii="Times New Roman" w:eastAsiaTheme="minorEastAsia" w:hAnsi="Times New Roman" w:cs="Times New Roman"/>
          <w:i/>
          <w:lang w:val="en-US"/>
        </w:rPr>
        <w:t>CAR</w:t>
      </w:r>
      <w:r w:rsidR="00106245" w:rsidRPr="00106245">
        <w:rPr>
          <w:rFonts w:ascii="Times New Roman" w:eastAsiaTheme="minorEastAsia" w:hAnsi="Times New Roman" w:cs="Times New Roman"/>
          <w:i/>
          <w:vertAlign w:val="subscript"/>
          <w:lang w:val="en-US"/>
        </w:rPr>
        <w:t>i</w:t>
      </w:r>
      <w:r w:rsidR="00E34302">
        <w:rPr>
          <w:rFonts w:ascii="Times New Roman" w:eastAsiaTheme="minorEastAsia" w:hAnsi="Times New Roman" w:cs="Times New Roman"/>
          <w:lang w:val="en-US"/>
        </w:rPr>
        <w:t xml:space="preserve">) for </w:t>
      </w:r>
      <w:r w:rsidR="00106245">
        <w:rPr>
          <w:rFonts w:ascii="Times New Roman" w:eastAsiaTheme="minorEastAsia" w:hAnsi="Times New Roman" w:cs="Times New Roman"/>
          <w:lang w:val="en-US"/>
        </w:rPr>
        <w:t xml:space="preserve">firm </w:t>
      </w:r>
      <w:r w:rsidR="00106245" w:rsidRPr="00106245">
        <w:rPr>
          <w:rFonts w:ascii="Times New Roman" w:eastAsiaTheme="minorEastAsia" w:hAnsi="Times New Roman" w:cs="Times New Roman"/>
          <w:i/>
          <w:lang w:val="en-US"/>
        </w:rPr>
        <w:t>i</w:t>
      </w:r>
      <w:r w:rsidR="00E34302">
        <w:rPr>
          <w:rFonts w:ascii="Times New Roman" w:eastAsiaTheme="minorEastAsia" w:hAnsi="Times New Roman" w:cs="Times New Roman"/>
          <w:lang w:val="en-US"/>
        </w:rPr>
        <w:t xml:space="preserve"> can </w:t>
      </w:r>
      <w:r w:rsidR="009C4422">
        <w:rPr>
          <w:rFonts w:ascii="Times New Roman" w:eastAsiaTheme="minorEastAsia" w:hAnsi="Times New Roman" w:cs="Times New Roman"/>
          <w:lang w:val="en-US"/>
        </w:rPr>
        <w:t xml:space="preserve">then </w:t>
      </w:r>
      <w:r w:rsidR="00E34302">
        <w:rPr>
          <w:rFonts w:ascii="Times New Roman" w:eastAsiaTheme="minorEastAsia" w:hAnsi="Times New Roman" w:cs="Times New Roman"/>
          <w:lang w:val="en-US"/>
        </w:rPr>
        <w:t xml:space="preserve">be obtained by multiplying </w:t>
      </w:r>
      <w:r w:rsidR="009C4422">
        <w:rPr>
          <w:rFonts w:ascii="Times New Roman" w:eastAsiaTheme="minorEastAsia" w:hAnsi="Times New Roman" w:cs="Times New Roman"/>
          <w:lang w:val="en-US"/>
        </w:rPr>
        <w:t>the</w:t>
      </w:r>
      <w:r w:rsidR="00E34302">
        <w:rPr>
          <w:rFonts w:ascii="Times New Roman" w:eastAsiaTheme="minorEastAsia" w:hAnsi="Times New Roman" w:cs="Times New Roman"/>
          <w:lang w:val="en-US"/>
        </w:rPr>
        <w:t xml:space="preserve"> estimated value for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γ</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m:t>
        </m:r>
      </m:oMath>
      <w:r w:rsidR="00E34302" w:rsidRPr="00D82C6B">
        <w:rPr>
          <w:rFonts w:ascii="Times New Roman" w:eastAsiaTheme="minorEastAsia" w:hAnsi="Times New Roman" w:cs="Times New Roman"/>
          <w:lang w:val="en-US"/>
        </w:rPr>
        <w:t xml:space="preserve">by </w:t>
      </w:r>
      <w:r w:rsidR="00753CA4" w:rsidRPr="00D82C6B">
        <w:rPr>
          <w:rFonts w:ascii="Times New Roman" w:eastAsiaTheme="minorEastAsia" w:hAnsi="Times New Roman" w:cs="Times New Roman"/>
          <w:lang w:val="en-US"/>
        </w:rPr>
        <w:t>eight</w:t>
      </w:r>
      <w:r w:rsidR="00E34302" w:rsidRPr="00E34302">
        <w:rPr>
          <w:rFonts w:ascii="Times New Roman" w:eastAsiaTheme="minorEastAsia" w:hAnsi="Times New Roman" w:cs="Times New Roman"/>
          <w:sz w:val="24"/>
          <w:szCs w:val="24"/>
          <w:lang w:val="en-US"/>
        </w:rPr>
        <w:t xml:space="preserve"> </w:t>
      </w:r>
      <w:r w:rsidR="0053780A" w:rsidRPr="00622F6C">
        <w:rPr>
          <w:rFonts w:ascii="Times New Roman" w:eastAsiaTheme="minorEastAsia" w:hAnsi="Times New Roman" w:cs="Times New Roman"/>
          <w:lang w:val="en-US"/>
        </w:rPr>
        <w:t>(the number of event dates)</w:t>
      </w:r>
      <w:r w:rsidR="00753CA4">
        <w:rPr>
          <w:rFonts w:ascii="Times New Roman" w:eastAsiaTheme="minorEastAsia" w:hAnsi="Times New Roman" w:cs="Times New Roman"/>
          <w:lang w:val="en-US"/>
        </w:rPr>
        <w:t xml:space="preserve"> (</w:t>
      </w:r>
      <w:r w:rsidR="00A56E9C">
        <w:rPr>
          <w:rFonts w:ascii="Times New Roman" w:eastAsiaTheme="minorEastAsia" w:hAnsi="Times New Roman" w:cs="Times New Roman"/>
          <w:lang w:val="en-US"/>
        </w:rPr>
        <w:t>Lewis and Verwijmeren, 2014</w:t>
      </w:r>
      <w:r w:rsidR="00753CA4">
        <w:rPr>
          <w:rFonts w:ascii="Times New Roman" w:eastAsiaTheme="minorEastAsia" w:hAnsi="Times New Roman" w:cs="Times New Roman"/>
          <w:lang w:val="en-US"/>
        </w:rPr>
        <w:t>)</w:t>
      </w:r>
      <w:r w:rsidR="0053780A" w:rsidRPr="00622F6C">
        <w:rPr>
          <w:rFonts w:ascii="Times New Roman" w:eastAsiaTheme="minorEastAsia" w:hAnsi="Times New Roman" w:cs="Times New Roman"/>
          <w:lang w:val="en-US"/>
        </w:rPr>
        <w:t>.</w:t>
      </w:r>
      <w:r w:rsidR="00BE111E" w:rsidRPr="00622F6C">
        <w:rPr>
          <w:rFonts w:ascii="Times New Roman" w:eastAsiaTheme="minorEastAsia" w:hAnsi="Times New Roman" w:cs="Times New Roman"/>
          <w:lang w:val="en-US"/>
        </w:rPr>
        <w:t xml:space="preserve"> </w:t>
      </w:r>
      <w:r w:rsidR="009C4422">
        <w:rPr>
          <w:rFonts w:ascii="Times New Roman" w:eastAsiaTheme="minorEastAsia" w:hAnsi="Times New Roman" w:cs="Times New Roman"/>
          <w:lang w:val="en-US"/>
        </w:rPr>
        <w:t>We</w:t>
      </w:r>
      <w:r w:rsidR="003961DB">
        <w:rPr>
          <w:rFonts w:ascii="Times New Roman" w:eastAsiaTheme="minorEastAsia" w:hAnsi="Times New Roman" w:cs="Times New Roman"/>
          <w:lang w:val="en-US"/>
        </w:rPr>
        <w:t xml:space="preserve"> </w:t>
      </w:r>
      <w:r w:rsidR="009C4422">
        <w:rPr>
          <w:rFonts w:ascii="Times New Roman" w:eastAsiaTheme="minorEastAsia" w:hAnsi="Times New Roman" w:cs="Times New Roman"/>
          <w:lang w:val="en-US"/>
        </w:rPr>
        <w:t xml:space="preserve">next </w:t>
      </w:r>
      <w:r w:rsidR="003961DB">
        <w:rPr>
          <w:rFonts w:ascii="Times New Roman" w:eastAsiaTheme="minorEastAsia" w:hAnsi="Times New Roman" w:cs="Times New Roman"/>
          <w:lang w:val="en-US"/>
        </w:rPr>
        <w:t>r</w:t>
      </w:r>
      <w:r w:rsidR="003D0545">
        <w:rPr>
          <w:rFonts w:ascii="Times New Roman" w:eastAsiaTheme="minorEastAsia" w:hAnsi="Times New Roman" w:cs="Times New Roman"/>
          <w:lang w:val="en-US"/>
        </w:rPr>
        <w:t xml:space="preserve">un the following </w:t>
      </w:r>
      <w:r w:rsidR="00753CA4">
        <w:rPr>
          <w:rFonts w:ascii="Times New Roman" w:eastAsiaTheme="minorEastAsia" w:hAnsi="Times New Roman" w:cs="Times New Roman"/>
          <w:lang w:val="en-US"/>
        </w:rPr>
        <w:t xml:space="preserve">baseline </w:t>
      </w:r>
      <w:r w:rsidR="003D0545">
        <w:rPr>
          <w:rFonts w:ascii="Times New Roman" w:eastAsiaTheme="minorEastAsia" w:hAnsi="Times New Roman" w:cs="Times New Roman"/>
          <w:lang w:val="en-US"/>
        </w:rPr>
        <w:t>cross-sectional regression analysis:</w:t>
      </w:r>
    </w:p>
    <w:p w14:paraId="7F8DB368" w14:textId="6525016A" w:rsidR="003D0545" w:rsidRPr="00ED54A4" w:rsidRDefault="00106245" w:rsidP="00E74C5B">
      <w:pPr>
        <w:tabs>
          <w:tab w:val="left" w:pos="8222"/>
        </w:tabs>
        <w:spacing w:after="0" w:line="480" w:lineRule="auto"/>
        <w:ind w:firstLine="426"/>
        <w:rPr>
          <w:rFonts w:ascii="Times New Roman" w:eastAsiaTheme="minorEastAsia" w:hAnsi="Times New Roman" w:cs="Times New Roman"/>
          <w:lang w:val="en-US"/>
        </w:rPr>
      </w:pPr>
      <m:oMath>
        <m:r>
          <w:rPr>
            <w:rFonts w:ascii="Cambria Math" w:hAnsi="Cambria Math" w:cs="Times New Roman"/>
            <w:sz w:val="20"/>
            <w:szCs w:val="20"/>
            <w:lang w:val="en-US"/>
          </w:rPr>
          <m:t>CA</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r>
          <w:rPr>
            <w:rFonts w:ascii="Cambria Math" w:hAnsi="Cambria Math" w:cs="Times New Roman"/>
            <w:sz w:val="20"/>
            <w:szCs w:val="20"/>
            <w:lang w:val="en-US"/>
          </w:rPr>
          <m:t>Social Incidents+</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2</m:t>
            </m:r>
          </m:sub>
        </m:sSub>
        <m:r>
          <w:rPr>
            <w:rFonts w:ascii="Cambria Math" w:hAnsi="Cambria Math" w:cs="Times New Roman"/>
            <w:sz w:val="20"/>
            <w:szCs w:val="20"/>
            <w:lang w:val="en-US"/>
          </w:rPr>
          <m:t>Critical Countries Policy+</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3</m:t>
            </m:r>
          </m:sub>
        </m:sSub>
        <m:r>
          <w:rPr>
            <w:rFonts w:ascii="Cambria Math" w:hAnsi="Cambria Math" w:cs="Times New Roman"/>
            <w:sz w:val="20"/>
            <w:szCs w:val="20"/>
            <w:lang w:val="en-US"/>
          </w:rPr>
          <m:t>Forced Labor Policy+</m:t>
        </m:r>
        <m:sSub>
          <m:sSubPr>
            <m:ctrlPr>
              <w:rPr>
                <w:rFonts w:ascii="Cambria Math" w:hAnsi="Cambria Math" w:cs="Times New Roman"/>
                <w:i/>
                <w:sz w:val="20"/>
                <w:szCs w:val="20"/>
                <w:lang w:val="en-US"/>
              </w:rPr>
            </m:ctrlPr>
          </m:sSub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4</m:t>
                </m:r>
              </m:sub>
            </m:sSub>
            <m:r>
              <w:rPr>
                <w:rFonts w:ascii="Cambria Math" w:hAnsi="Cambria Math" w:cs="Times New Roman"/>
                <w:sz w:val="20"/>
                <w:szCs w:val="20"/>
                <w:lang w:val="en-US"/>
              </w:rPr>
              <m:t>Social Disclosure+</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5</m:t>
                </m:r>
              </m:sub>
            </m:sSub>
            <m:r>
              <w:rPr>
                <w:rFonts w:ascii="Cambria Math" w:hAnsi="Cambria Math" w:cs="Times New Roman"/>
                <w:sz w:val="20"/>
                <w:szCs w:val="20"/>
                <w:lang w:val="en-US"/>
              </w:rPr>
              <m:t>CSR Disclosure+</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6</m:t>
                </m:r>
              </m:sub>
            </m:sSub>
            <m:r>
              <w:rPr>
                <w:rFonts w:ascii="Cambria Math" w:hAnsi="Cambria Math" w:cs="Times New Roman"/>
                <w:sz w:val="20"/>
                <w:szCs w:val="20"/>
                <w:lang w:val="en-US"/>
              </w:rPr>
              <m:t>Log</m:t>
            </m:r>
            <m:d>
              <m:dPr>
                <m:ctrlPr>
                  <w:rPr>
                    <w:rFonts w:ascii="Cambria Math" w:hAnsi="Cambria Math" w:cs="Times New Roman"/>
                    <w:i/>
                    <w:sz w:val="20"/>
                    <w:szCs w:val="20"/>
                    <w:lang w:val="en-US"/>
                  </w:rPr>
                </m:ctrlPr>
              </m:dPr>
              <m:e>
                <m:r>
                  <w:rPr>
                    <w:rFonts w:ascii="Cambria Math" w:hAnsi="Cambria Math" w:cs="Times New Roman"/>
                    <w:sz w:val="20"/>
                    <w:szCs w:val="20"/>
                    <w:lang w:val="en-US"/>
                  </w:rPr>
                  <m:t>Total Assets</m:t>
                </m:r>
              </m:e>
            </m:d>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7</m:t>
                </m:r>
              </m:sub>
            </m:sSub>
            <m:r>
              <w:rPr>
                <w:rFonts w:ascii="Cambria Math" w:hAnsi="Cambria Math" w:cs="Times New Roman"/>
                <w:sz w:val="20"/>
                <w:szCs w:val="20"/>
                <w:lang w:val="en-US"/>
              </w:rPr>
              <m:t>Country-Industry ESG Risk+</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8</m:t>
                </m:r>
              </m:sub>
            </m:sSub>
            <m:r>
              <w:rPr>
                <w:rFonts w:ascii="Cambria Math" w:hAnsi="Cambria Math" w:cs="Times New Roman"/>
                <w:sz w:val="20"/>
                <w:szCs w:val="20"/>
                <w:lang w:val="en-US"/>
              </w:rPr>
              <m:t xml:space="preserve"> Industry Slavery Risk+ε</m:t>
            </m:r>
          </m:e>
          <m:sub>
            <m:r>
              <w:rPr>
                <w:rFonts w:ascii="Cambria Math" w:hAnsi="Cambria Math" w:cs="Times New Roman"/>
                <w:sz w:val="20"/>
                <w:szCs w:val="20"/>
                <w:lang w:val="en-US"/>
              </w:rPr>
              <m:t>i</m:t>
            </m:r>
          </m:sub>
        </m:sSub>
      </m:oMath>
      <w:r w:rsidR="00ED54A4">
        <w:rPr>
          <w:rFonts w:ascii="Times New Roman" w:eastAsiaTheme="minorEastAsia" w:hAnsi="Times New Roman" w:cs="Times New Roman"/>
          <w:sz w:val="20"/>
          <w:szCs w:val="20"/>
          <w:lang w:val="en-US"/>
        </w:rPr>
        <w:t xml:space="preserve">                                                                                             </w:t>
      </w:r>
      <w:r w:rsidR="00E74C5B">
        <w:rPr>
          <w:rFonts w:ascii="Times New Roman" w:eastAsiaTheme="minorEastAsia" w:hAnsi="Times New Roman" w:cs="Times New Roman"/>
          <w:sz w:val="20"/>
          <w:szCs w:val="20"/>
          <w:lang w:val="en-US"/>
        </w:rPr>
        <w:t xml:space="preserve">                  </w:t>
      </w:r>
      <w:r w:rsidR="00ED54A4">
        <w:rPr>
          <w:rFonts w:ascii="Times New Roman" w:eastAsiaTheme="minorEastAsia" w:hAnsi="Times New Roman" w:cs="Times New Roman"/>
          <w:sz w:val="20"/>
          <w:szCs w:val="20"/>
          <w:lang w:val="en-US"/>
        </w:rPr>
        <w:t xml:space="preserve"> </w:t>
      </w:r>
      <w:r w:rsidR="00ED54A4" w:rsidRPr="00ED54A4">
        <w:rPr>
          <w:rFonts w:ascii="Times New Roman" w:eastAsiaTheme="minorEastAsia" w:hAnsi="Times New Roman" w:cs="Times New Roman"/>
          <w:lang w:val="en-US"/>
        </w:rPr>
        <w:t>(4)</w:t>
      </w:r>
    </w:p>
    <w:p w14:paraId="7A288A79" w14:textId="35D25F43" w:rsidR="00D961A5" w:rsidRPr="00622F6C" w:rsidRDefault="00021216">
      <w:pPr>
        <w:spacing w:after="0" w:line="480" w:lineRule="auto"/>
        <w:ind w:firstLine="426"/>
        <w:jc w:val="both"/>
        <w:textAlignment w:val="baseline"/>
        <w:rPr>
          <w:rFonts w:ascii="Times New Roman" w:hAnsi="Times New Roman" w:cs="Times New Roman"/>
          <w:lang w:val="en-US"/>
        </w:rPr>
      </w:pPr>
      <w:r w:rsidRPr="00622F6C">
        <w:rPr>
          <w:rFonts w:ascii="Times New Roman" w:eastAsia="Times New Roman" w:hAnsi="Times New Roman" w:cs="Times New Roman"/>
          <w:lang w:val="en-US" w:eastAsia="en-GB"/>
        </w:rPr>
        <w:t>Table 4, Panel A</w:t>
      </w:r>
      <w:r w:rsidR="00D961A5" w:rsidRPr="00622F6C">
        <w:rPr>
          <w:rFonts w:ascii="Times New Roman" w:eastAsia="Times New Roman" w:hAnsi="Times New Roman" w:cs="Times New Roman"/>
          <w:lang w:val="en-US" w:eastAsia="en-GB"/>
        </w:rPr>
        <w:t xml:space="preserve"> presents descriptive statistics for the variables in our </w:t>
      </w:r>
      <w:r w:rsidRPr="00622F6C">
        <w:rPr>
          <w:rFonts w:ascii="Times New Roman" w:eastAsia="Times New Roman" w:hAnsi="Times New Roman" w:cs="Times New Roman"/>
          <w:lang w:val="en-US" w:eastAsia="en-GB"/>
        </w:rPr>
        <w:t>baseline cross-sectional analysis</w:t>
      </w:r>
      <w:r w:rsidR="00D961A5" w:rsidRPr="00622F6C">
        <w:rPr>
          <w:rFonts w:ascii="Times New Roman" w:eastAsia="Times New Roman" w:hAnsi="Times New Roman" w:cs="Times New Roman"/>
          <w:lang w:val="en-US" w:eastAsia="en-GB"/>
        </w:rPr>
        <w:t xml:space="preserve">. </w:t>
      </w:r>
      <w:r w:rsidR="00D961A5" w:rsidRPr="00622F6C">
        <w:rPr>
          <w:rFonts w:ascii="Times New Roman" w:hAnsi="Times New Roman" w:cs="Times New Roman"/>
          <w:lang w:val="en-US"/>
        </w:rPr>
        <w:t>We only discuss the most salient numbers here. Only a small fraction of the firms</w:t>
      </w:r>
      <w:r w:rsidR="00F31CB3" w:rsidRPr="00622F6C">
        <w:rPr>
          <w:rFonts w:ascii="Times New Roman" w:hAnsi="Times New Roman" w:cs="Times New Roman"/>
          <w:lang w:val="en-US"/>
        </w:rPr>
        <w:t xml:space="preserve"> (6% and 13%, respectively) have policies in place to limit their exposure to </w:t>
      </w:r>
      <w:r w:rsidR="005C0658">
        <w:rPr>
          <w:rFonts w:ascii="Times New Roman" w:hAnsi="Times New Roman" w:cs="Times New Roman"/>
          <w:lang w:val="en-US"/>
        </w:rPr>
        <w:t xml:space="preserve">undemocratic </w:t>
      </w:r>
      <w:r w:rsidR="00F31CB3" w:rsidRPr="00622F6C">
        <w:rPr>
          <w:rFonts w:ascii="Times New Roman" w:hAnsi="Times New Roman" w:cs="Times New Roman"/>
          <w:lang w:val="en-US"/>
        </w:rPr>
        <w:t>countries and</w:t>
      </w:r>
      <w:r w:rsidR="008E1001" w:rsidRPr="00622F6C">
        <w:rPr>
          <w:rFonts w:ascii="Times New Roman" w:hAnsi="Times New Roman" w:cs="Times New Roman"/>
          <w:lang w:val="en-US"/>
        </w:rPr>
        <w:t xml:space="preserve"> </w:t>
      </w:r>
      <w:r w:rsidR="00F31CB3" w:rsidRPr="00622F6C">
        <w:rPr>
          <w:rFonts w:ascii="Times New Roman" w:hAnsi="Times New Roman" w:cs="Times New Roman"/>
          <w:lang w:val="en-US"/>
        </w:rPr>
        <w:t xml:space="preserve">avoid </w:t>
      </w:r>
      <w:r w:rsidR="00F31CB3" w:rsidRPr="00622F6C">
        <w:rPr>
          <w:rFonts w:ascii="Times New Roman" w:hAnsi="Times New Roman" w:cs="Times New Roman"/>
          <w:lang w:val="en-US"/>
        </w:rPr>
        <w:lastRenderedPageBreak/>
        <w:t>forced labor. App</w:t>
      </w:r>
      <w:r w:rsidR="00EC6392" w:rsidRPr="00622F6C">
        <w:rPr>
          <w:rFonts w:ascii="Times New Roman" w:hAnsi="Times New Roman" w:cs="Times New Roman"/>
          <w:lang w:val="en-US"/>
        </w:rPr>
        <w:t>roximately two-thirds</w:t>
      </w:r>
      <w:r w:rsidR="00F31CB3" w:rsidRPr="00622F6C">
        <w:rPr>
          <w:rFonts w:ascii="Times New Roman" w:hAnsi="Times New Roman" w:cs="Times New Roman"/>
          <w:lang w:val="en-US"/>
        </w:rPr>
        <w:t xml:space="preserve"> of the firms describe the implementatio</w:t>
      </w:r>
      <w:r w:rsidR="008E1001" w:rsidRPr="00622F6C">
        <w:rPr>
          <w:rFonts w:ascii="Times New Roman" w:hAnsi="Times New Roman" w:cs="Times New Roman"/>
          <w:lang w:val="en-US"/>
        </w:rPr>
        <w:t xml:space="preserve">n of their human rights policy, as captured by a </w:t>
      </w:r>
      <w:r w:rsidR="00F31CB3" w:rsidRPr="00622F6C">
        <w:rPr>
          <w:rFonts w:ascii="Times New Roman" w:hAnsi="Times New Roman" w:cs="Times New Roman"/>
          <w:i/>
          <w:lang w:val="en-US"/>
        </w:rPr>
        <w:t>Social Disclosure</w:t>
      </w:r>
      <w:r w:rsidR="00F31CB3" w:rsidRPr="00622F6C">
        <w:rPr>
          <w:rFonts w:ascii="Times New Roman" w:hAnsi="Times New Roman" w:cs="Times New Roman"/>
          <w:lang w:val="en-US"/>
        </w:rPr>
        <w:t xml:space="preserve"> dummy </w:t>
      </w:r>
      <w:r w:rsidR="008E1001" w:rsidRPr="00622F6C">
        <w:rPr>
          <w:rFonts w:ascii="Times New Roman" w:hAnsi="Times New Roman" w:cs="Times New Roman"/>
          <w:lang w:val="en-US"/>
        </w:rPr>
        <w:t>variable equal to one</w:t>
      </w:r>
      <w:r w:rsidR="00F31CB3" w:rsidRPr="00622F6C">
        <w:rPr>
          <w:rFonts w:ascii="Times New Roman" w:hAnsi="Times New Roman" w:cs="Times New Roman"/>
          <w:lang w:val="en-US"/>
        </w:rPr>
        <w:t xml:space="preserve">. </w:t>
      </w:r>
      <w:r w:rsidR="008E1001" w:rsidRPr="00622F6C">
        <w:rPr>
          <w:rFonts w:ascii="Times New Roman" w:hAnsi="Times New Roman" w:cs="Times New Roman"/>
          <w:lang w:val="en-US"/>
        </w:rPr>
        <w:t>Sample firms</w:t>
      </w:r>
      <w:r w:rsidR="00D961A5" w:rsidRPr="00622F6C">
        <w:rPr>
          <w:rFonts w:ascii="Times New Roman" w:hAnsi="Times New Roman" w:cs="Times New Roman"/>
          <w:lang w:val="en-US"/>
        </w:rPr>
        <w:t xml:space="preserve"> tend to b</w:t>
      </w:r>
      <w:r w:rsidR="00EC6392" w:rsidRPr="00622F6C">
        <w:rPr>
          <w:rFonts w:ascii="Times New Roman" w:hAnsi="Times New Roman" w:cs="Times New Roman"/>
          <w:lang w:val="en-US"/>
        </w:rPr>
        <w:t xml:space="preserve">e large, with average (median) </w:t>
      </w:r>
      <w:bookmarkStart w:id="67" w:name="_Hlk523997440"/>
      <w:r w:rsidR="00EC6392" w:rsidRPr="00622F6C">
        <w:rPr>
          <w:rFonts w:ascii="Times New Roman" w:hAnsi="Times New Roman" w:cs="Times New Roman"/>
          <w:i/>
          <w:lang w:val="en-US"/>
        </w:rPr>
        <w:t>Total A</w:t>
      </w:r>
      <w:r w:rsidR="00D961A5" w:rsidRPr="00622F6C">
        <w:rPr>
          <w:rFonts w:ascii="Times New Roman" w:hAnsi="Times New Roman" w:cs="Times New Roman"/>
          <w:i/>
          <w:lang w:val="en-US"/>
        </w:rPr>
        <w:t>ssets</w:t>
      </w:r>
      <w:r w:rsidR="00D961A5" w:rsidRPr="00622F6C">
        <w:rPr>
          <w:rFonts w:ascii="Times New Roman" w:hAnsi="Times New Roman" w:cs="Times New Roman"/>
          <w:lang w:val="en-US"/>
        </w:rPr>
        <w:t xml:space="preserve"> </w:t>
      </w:r>
      <w:bookmarkEnd w:id="67"/>
      <w:r w:rsidR="00D961A5" w:rsidRPr="00622F6C">
        <w:rPr>
          <w:rFonts w:ascii="Times New Roman" w:hAnsi="Times New Roman" w:cs="Times New Roman"/>
          <w:lang w:val="en-US"/>
        </w:rPr>
        <w:t>of £</w:t>
      </w:r>
      <w:r w:rsidR="00EC6392" w:rsidRPr="00622F6C">
        <w:rPr>
          <w:rFonts w:ascii="Times New Roman" w:hAnsi="Times New Roman" w:cs="Times New Roman"/>
          <w:lang w:val="en-US"/>
        </w:rPr>
        <w:t>42,530</w:t>
      </w:r>
      <w:r w:rsidR="00D961A5" w:rsidRPr="00622F6C">
        <w:rPr>
          <w:rFonts w:ascii="Times New Roman" w:hAnsi="Times New Roman" w:cs="Times New Roman"/>
          <w:lang w:val="en-US"/>
        </w:rPr>
        <w:t xml:space="preserve"> (£2,308) million.</w:t>
      </w:r>
      <w:r w:rsidR="00F31CB3" w:rsidRPr="00622F6C">
        <w:rPr>
          <w:rFonts w:ascii="Times New Roman" w:hAnsi="Times New Roman" w:cs="Times New Roman"/>
          <w:lang w:val="en-US"/>
        </w:rPr>
        <w:t xml:space="preserve"> Several of the variables, including </w:t>
      </w:r>
      <w:r w:rsidR="00543AD9">
        <w:rPr>
          <w:rFonts w:ascii="Times New Roman" w:hAnsi="Times New Roman" w:cs="Times New Roman"/>
          <w:i/>
          <w:lang w:val="en-US"/>
        </w:rPr>
        <w:t>CAR</w:t>
      </w:r>
      <w:r w:rsidR="00F31CB3" w:rsidRPr="00622F6C">
        <w:rPr>
          <w:rFonts w:ascii="Times New Roman" w:hAnsi="Times New Roman" w:cs="Times New Roman"/>
          <w:lang w:val="en-US"/>
        </w:rPr>
        <w:t xml:space="preserve">, have a large </w:t>
      </w:r>
      <w:r w:rsidR="001831A0">
        <w:rPr>
          <w:rFonts w:ascii="Times New Roman" w:hAnsi="Times New Roman" w:cs="Times New Roman"/>
          <w:lang w:val="en-US"/>
        </w:rPr>
        <w:t>gap</w:t>
      </w:r>
      <w:r w:rsidR="001831A0" w:rsidRPr="00622F6C">
        <w:rPr>
          <w:rFonts w:ascii="Times New Roman" w:hAnsi="Times New Roman" w:cs="Times New Roman"/>
          <w:lang w:val="en-US"/>
        </w:rPr>
        <w:t xml:space="preserve"> </w:t>
      </w:r>
      <w:r w:rsidR="00F31CB3" w:rsidRPr="00622F6C">
        <w:rPr>
          <w:rFonts w:ascii="Times New Roman" w:hAnsi="Times New Roman" w:cs="Times New Roman"/>
          <w:lang w:val="en-US"/>
        </w:rPr>
        <w:t xml:space="preserve">between their </w:t>
      </w:r>
      <w:r w:rsidR="00B009C2">
        <w:rPr>
          <w:rFonts w:ascii="Times New Roman" w:hAnsi="Times New Roman" w:cs="Times New Roman"/>
          <w:lang w:val="en-US"/>
        </w:rPr>
        <w:t>average</w:t>
      </w:r>
      <w:r w:rsidR="00B009C2" w:rsidRPr="00622F6C">
        <w:rPr>
          <w:rFonts w:ascii="Times New Roman" w:hAnsi="Times New Roman" w:cs="Times New Roman"/>
          <w:lang w:val="en-US"/>
        </w:rPr>
        <w:t xml:space="preserve"> </w:t>
      </w:r>
      <w:r w:rsidR="00F31CB3" w:rsidRPr="00622F6C">
        <w:rPr>
          <w:rFonts w:ascii="Times New Roman" w:hAnsi="Times New Roman" w:cs="Times New Roman"/>
          <w:lang w:val="en-US"/>
        </w:rPr>
        <w:t xml:space="preserve">and median values. In unreported robustness tests, we find our cross-sectional results remain </w:t>
      </w:r>
      <w:r w:rsidR="00351552">
        <w:rPr>
          <w:rFonts w:ascii="Times New Roman" w:hAnsi="Times New Roman" w:cs="Times New Roman"/>
          <w:lang w:val="en-US"/>
        </w:rPr>
        <w:t xml:space="preserve">similar </w:t>
      </w:r>
      <w:r w:rsidR="00F31CB3" w:rsidRPr="00622F6C">
        <w:rPr>
          <w:rFonts w:ascii="Times New Roman" w:hAnsi="Times New Roman" w:cs="Times New Roman"/>
          <w:lang w:val="en-US"/>
        </w:rPr>
        <w:t xml:space="preserve">when we winsorize </w:t>
      </w:r>
      <w:r w:rsidR="00543AD9">
        <w:rPr>
          <w:rFonts w:ascii="Times New Roman" w:hAnsi="Times New Roman" w:cs="Times New Roman"/>
          <w:i/>
          <w:lang w:val="en-US"/>
        </w:rPr>
        <w:t>CAR</w:t>
      </w:r>
      <w:r w:rsidR="00F31CB3" w:rsidRPr="00622F6C">
        <w:rPr>
          <w:rFonts w:ascii="Times New Roman" w:hAnsi="Times New Roman" w:cs="Times New Roman"/>
          <w:lang w:val="en-US"/>
        </w:rPr>
        <w:t xml:space="preserve"> and/or </w:t>
      </w:r>
      <w:r w:rsidR="001831A0">
        <w:rPr>
          <w:rFonts w:ascii="Times New Roman" w:hAnsi="Times New Roman" w:cs="Times New Roman"/>
          <w:lang w:val="en-US"/>
        </w:rPr>
        <w:t xml:space="preserve">the </w:t>
      </w:r>
      <w:r w:rsidR="00F31CB3" w:rsidRPr="00622F6C">
        <w:rPr>
          <w:rFonts w:ascii="Times New Roman" w:hAnsi="Times New Roman" w:cs="Times New Roman"/>
          <w:lang w:val="en-US"/>
        </w:rPr>
        <w:t>continuous independent variables at the 1</w:t>
      </w:r>
      <w:r w:rsidR="00F31CB3" w:rsidRPr="00622F6C">
        <w:rPr>
          <w:rFonts w:ascii="Times New Roman" w:hAnsi="Times New Roman" w:cs="Times New Roman"/>
          <w:vertAlign w:val="superscript"/>
          <w:lang w:val="en-US"/>
        </w:rPr>
        <w:t>st</w:t>
      </w:r>
      <w:r w:rsidR="00F31CB3" w:rsidRPr="00622F6C">
        <w:rPr>
          <w:rFonts w:ascii="Times New Roman" w:hAnsi="Times New Roman" w:cs="Times New Roman"/>
          <w:lang w:val="en-US"/>
        </w:rPr>
        <w:t xml:space="preserve"> and 99</w:t>
      </w:r>
      <w:r w:rsidR="00F31CB3" w:rsidRPr="00622F6C">
        <w:rPr>
          <w:rFonts w:ascii="Times New Roman" w:hAnsi="Times New Roman" w:cs="Times New Roman"/>
          <w:vertAlign w:val="superscript"/>
          <w:lang w:val="en-US"/>
        </w:rPr>
        <w:t>th</w:t>
      </w:r>
      <w:r w:rsidR="00F31CB3" w:rsidRPr="00622F6C">
        <w:rPr>
          <w:rFonts w:ascii="Times New Roman" w:hAnsi="Times New Roman" w:cs="Times New Roman"/>
          <w:lang w:val="en-US"/>
        </w:rPr>
        <w:t xml:space="preserve"> percentile</w:t>
      </w:r>
      <w:r w:rsidR="008E1001" w:rsidRPr="00622F6C">
        <w:rPr>
          <w:rFonts w:ascii="Times New Roman" w:hAnsi="Times New Roman" w:cs="Times New Roman"/>
          <w:lang w:val="en-US"/>
        </w:rPr>
        <w:t>s</w:t>
      </w:r>
      <w:r w:rsidR="00F31CB3" w:rsidRPr="00622F6C">
        <w:rPr>
          <w:rFonts w:ascii="Times New Roman" w:hAnsi="Times New Roman" w:cs="Times New Roman"/>
          <w:lang w:val="en-US"/>
        </w:rPr>
        <w:t xml:space="preserve">, suggesting </w:t>
      </w:r>
      <w:r w:rsidR="00EC6392" w:rsidRPr="00622F6C">
        <w:rPr>
          <w:rFonts w:ascii="Times New Roman" w:hAnsi="Times New Roman" w:cs="Times New Roman"/>
          <w:lang w:val="en-US"/>
        </w:rPr>
        <w:t xml:space="preserve">that </w:t>
      </w:r>
      <w:r w:rsidR="00F31CB3" w:rsidRPr="00622F6C">
        <w:rPr>
          <w:rFonts w:ascii="Times New Roman" w:hAnsi="Times New Roman" w:cs="Times New Roman"/>
          <w:lang w:val="en-US"/>
        </w:rPr>
        <w:t>outliers</w:t>
      </w:r>
      <w:r w:rsidR="00EC6392" w:rsidRPr="00622F6C">
        <w:rPr>
          <w:rFonts w:ascii="Times New Roman" w:hAnsi="Times New Roman" w:cs="Times New Roman"/>
          <w:lang w:val="en-US"/>
        </w:rPr>
        <w:t xml:space="preserve"> do not drive our results</w:t>
      </w:r>
      <w:r w:rsidR="00F31CB3" w:rsidRPr="00622F6C">
        <w:rPr>
          <w:rFonts w:ascii="Times New Roman" w:hAnsi="Times New Roman" w:cs="Times New Roman"/>
          <w:lang w:val="en-US"/>
        </w:rPr>
        <w:t xml:space="preserve">. </w:t>
      </w:r>
      <w:r w:rsidR="00F31CB3" w:rsidRPr="00622F6C">
        <w:rPr>
          <w:rFonts w:ascii="Times New Roman" w:eastAsia="Times New Roman" w:hAnsi="Times New Roman" w:cs="Times New Roman"/>
          <w:lang w:val="en-US" w:eastAsia="en-GB"/>
        </w:rPr>
        <w:t xml:space="preserve">Table 4, Panel B </w:t>
      </w:r>
      <w:r w:rsidR="00FD7244" w:rsidRPr="00622F6C">
        <w:rPr>
          <w:rFonts w:ascii="Times New Roman" w:eastAsia="Times New Roman" w:hAnsi="Times New Roman" w:cs="Times New Roman"/>
          <w:lang w:val="en-US" w:eastAsia="en-GB"/>
        </w:rPr>
        <w:t>provides Pearson</w:t>
      </w:r>
      <w:r w:rsidR="00F31CB3" w:rsidRPr="00622F6C">
        <w:rPr>
          <w:rFonts w:ascii="Times New Roman" w:eastAsia="Times New Roman" w:hAnsi="Times New Roman" w:cs="Times New Roman"/>
          <w:lang w:val="en-US" w:eastAsia="en-GB"/>
        </w:rPr>
        <w:t xml:space="preserve"> correlations between the variables. Among the independent variables, </w:t>
      </w:r>
      <w:r w:rsidR="007856A4">
        <w:rPr>
          <w:rFonts w:ascii="Times New Roman" w:eastAsia="Times New Roman" w:hAnsi="Times New Roman" w:cs="Times New Roman"/>
          <w:i/>
          <w:lang w:val="en-US" w:eastAsia="en-GB"/>
        </w:rPr>
        <w:t>CAR</w:t>
      </w:r>
      <w:r w:rsidR="00F31CB3" w:rsidRPr="00622F6C">
        <w:rPr>
          <w:rFonts w:ascii="Times New Roman" w:eastAsia="Times New Roman" w:hAnsi="Times New Roman" w:cs="Times New Roman"/>
          <w:lang w:val="en-US" w:eastAsia="en-GB"/>
        </w:rPr>
        <w:t xml:space="preserve"> has the largest correlation with </w:t>
      </w:r>
      <w:r w:rsidR="008852F4">
        <w:rPr>
          <w:rFonts w:ascii="Times New Roman" w:eastAsia="Times New Roman" w:hAnsi="Times New Roman" w:cs="Times New Roman"/>
          <w:i/>
          <w:lang w:val="en-US" w:eastAsia="en-GB"/>
        </w:rPr>
        <w:t>Industry</w:t>
      </w:r>
      <w:r w:rsidR="00F31CB3" w:rsidRPr="00622F6C">
        <w:rPr>
          <w:rFonts w:ascii="Times New Roman" w:eastAsia="Times New Roman" w:hAnsi="Times New Roman" w:cs="Times New Roman"/>
          <w:i/>
          <w:lang w:val="en-US" w:eastAsia="en-GB"/>
        </w:rPr>
        <w:t xml:space="preserve"> Slavery Risk</w:t>
      </w:r>
      <w:r w:rsidR="00351552">
        <w:rPr>
          <w:rFonts w:ascii="Times New Roman" w:eastAsia="Times New Roman" w:hAnsi="Times New Roman" w:cs="Times New Roman"/>
          <w:lang w:val="en-US" w:eastAsia="en-GB"/>
        </w:rPr>
        <w:t xml:space="preserve"> (0.15</w:t>
      </w:r>
      <w:r w:rsidR="00F31CB3" w:rsidRPr="00622F6C">
        <w:rPr>
          <w:rFonts w:ascii="Times New Roman" w:eastAsia="Times New Roman" w:hAnsi="Times New Roman" w:cs="Times New Roman"/>
          <w:lang w:val="en-US" w:eastAsia="en-GB"/>
        </w:rPr>
        <w:t xml:space="preserve">, </w:t>
      </w:r>
      <w:bookmarkStart w:id="68" w:name="_Hlk523997535"/>
      <w:r w:rsidR="00F31CB3" w:rsidRPr="00622F6C">
        <w:rPr>
          <w:rFonts w:ascii="Times New Roman" w:eastAsia="Times New Roman" w:hAnsi="Times New Roman" w:cs="Times New Roman"/>
          <w:i/>
          <w:lang w:val="en-US" w:eastAsia="en-GB"/>
        </w:rPr>
        <w:t>p</w:t>
      </w:r>
      <w:r w:rsidR="00F31CB3" w:rsidRPr="00622F6C">
        <w:rPr>
          <w:rFonts w:ascii="Times New Roman" w:eastAsia="Times New Roman" w:hAnsi="Times New Roman" w:cs="Times New Roman"/>
          <w:lang w:val="en-US" w:eastAsia="en-GB"/>
        </w:rPr>
        <w:t xml:space="preserve">-value </w:t>
      </w:r>
      <w:bookmarkEnd w:id="68"/>
      <w:r w:rsidR="00351552">
        <w:rPr>
          <w:rFonts w:ascii="Times New Roman" w:eastAsia="Times New Roman" w:hAnsi="Times New Roman" w:cs="Times New Roman"/>
          <w:lang w:val="en-US" w:eastAsia="en-GB"/>
        </w:rPr>
        <w:t>of 0.03</w:t>
      </w:r>
      <w:r w:rsidR="00F31CB3" w:rsidRPr="00622F6C">
        <w:rPr>
          <w:rFonts w:ascii="Times New Roman" w:eastAsia="Times New Roman" w:hAnsi="Times New Roman" w:cs="Times New Roman"/>
          <w:lang w:val="en-US" w:eastAsia="en-GB"/>
        </w:rPr>
        <w:t xml:space="preserve">). </w:t>
      </w:r>
      <w:r w:rsidR="00EC6392" w:rsidRPr="00622F6C">
        <w:rPr>
          <w:rFonts w:ascii="Times New Roman" w:eastAsia="Times New Roman" w:hAnsi="Times New Roman" w:cs="Times New Roman"/>
          <w:lang w:val="en-US" w:eastAsia="en-GB"/>
        </w:rPr>
        <w:t xml:space="preserve">The largest </w:t>
      </w:r>
      <w:r w:rsidR="001831A0">
        <w:rPr>
          <w:rFonts w:ascii="Times New Roman" w:eastAsia="Times New Roman" w:hAnsi="Times New Roman" w:cs="Times New Roman"/>
          <w:lang w:val="en-US" w:eastAsia="en-GB"/>
        </w:rPr>
        <w:t>(</w:t>
      </w:r>
      <w:r w:rsidR="001831A0" w:rsidRPr="00622F6C">
        <w:rPr>
          <w:rFonts w:ascii="Times New Roman" w:eastAsia="Times New Roman" w:hAnsi="Times New Roman" w:cs="Times New Roman"/>
          <w:lang w:val="en-US" w:eastAsia="en-GB"/>
        </w:rPr>
        <w:t>absolute value</w:t>
      </w:r>
      <w:r w:rsidR="001831A0">
        <w:rPr>
          <w:rFonts w:ascii="Times New Roman" w:eastAsia="Times New Roman" w:hAnsi="Times New Roman" w:cs="Times New Roman"/>
          <w:lang w:val="en-US" w:eastAsia="en-GB"/>
        </w:rPr>
        <w:t>)</w:t>
      </w:r>
      <w:r w:rsidR="001831A0" w:rsidRPr="00622F6C">
        <w:rPr>
          <w:rFonts w:ascii="Times New Roman" w:eastAsia="Times New Roman" w:hAnsi="Times New Roman" w:cs="Times New Roman"/>
          <w:lang w:val="en-US" w:eastAsia="en-GB"/>
        </w:rPr>
        <w:t xml:space="preserve"> </w:t>
      </w:r>
      <w:r w:rsidR="00EC6392" w:rsidRPr="00622F6C">
        <w:rPr>
          <w:rFonts w:ascii="Times New Roman" w:eastAsia="Times New Roman" w:hAnsi="Times New Roman" w:cs="Times New Roman"/>
          <w:lang w:val="en-US" w:eastAsia="en-GB"/>
        </w:rPr>
        <w:t xml:space="preserve">correlations between independent variables occur, unsurprisingly, between </w:t>
      </w:r>
      <w:r w:rsidR="00EC6392" w:rsidRPr="00622F6C">
        <w:rPr>
          <w:rFonts w:ascii="Times New Roman" w:eastAsia="Times New Roman" w:hAnsi="Times New Roman" w:cs="Times New Roman"/>
          <w:i/>
          <w:lang w:val="en-US" w:eastAsia="en-GB"/>
        </w:rPr>
        <w:t>Social Disclosure</w:t>
      </w:r>
      <w:r w:rsidR="00EC6392" w:rsidRPr="00622F6C">
        <w:rPr>
          <w:rFonts w:ascii="Times New Roman" w:eastAsia="Times New Roman" w:hAnsi="Times New Roman" w:cs="Times New Roman"/>
          <w:lang w:val="en-US" w:eastAsia="en-GB"/>
        </w:rPr>
        <w:t xml:space="preserve"> and </w:t>
      </w:r>
      <w:r w:rsidR="00EC6392" w:rsidRPr="00622F6C">
        <w:rPr>
          <w:rFonts w:ascii="Times New Roman" w:eastAsia="Times New Roman" w:hAnsi="Times New Roman" w:cs="Times New Roman"/>
          <w:i/>
          <w:lang w:val="en-US" w:eastAsia="en-GB"/>
        </w:rPr>
        <w:t>CSR Disclosure</w:t>
      </w:r>
      <w:r w:rsidR="00EC6392" w:rsidRPr="00622F6C">
        <w:rPr>
          <w:rFonts w:ascii="Times New Roman" w:eastAsia="Times New Roman" w:hAnsi="Times New Roman" w:cs="Times New Roman"/>
          <w:lang w:val="en-US" w:eastAsia="en-GB"/>
        </w:rPr>
        <w:t xml:space="preserve">, and between </w:t>
      </w:r>
      <w:r w:rsidR="00EC6392" w:rsidRPr="00622F6C">
        <w:rPr>
          <w:rFonts w:ascii="Times New Roman" w:eastAsia="Times New Roman" w:hAnsi="Times New Roman" w:cs="Times New Roman"/>
          <w:i/>
          <w:lang w:val="en-US" w:eastAsia="en-GB"/>
        </w:rPr>
        <w:t>CSR Disclosure</w:t>
      </w:r>
      <w:r w:rsidR="00EC6392" w:rsidRPr="00622F6C">
        <w:rPr>
          <w:rFonts w:ascii="Times New Roman" w:eastAsia="Times New Roman" w:hAnsi="Times New Roman" w:cs="Times New Roman"/>
          <w:lang w:val="en-US" w:eastAsia="en-GB"/>
        </w:rPr>
        <w:t xml:space="preserve"> and the logarithm of </w:t>
      </w:r>
      <w:r w:rsidR="00EC6392" w:rsidRPr="00622F6C">
        <w:rPr>
          <w:rFonts w:ascii="Times New Roman" w:eastAsia="Times New Roman" w:hAnsi="Times New Roman" w:cs="Times New Roman"/>
          <w:i/>
          <w:lang w:val="en-US" w:eastAsia="en-GB"/>
        </w:rPr>
        <w:t>Total Assets</w:t>
      </w:r>
      <w:r w:rsidR="00EC6392" w:rsidRPr="00622F6C">
        <w:rPr>
          <w:rFonts w:ascii="Times New Roman" w:eastAsia="Times New Roman" w:hAnsi="Times New Roman" w:cs="Times New Roman"/>
          <w:lang w:val="en-US" w:eastAsia="en-GB"/>
        </w:rPr>
        <w:t xml:space="preserve"> (both 0.48, </w:t>
      </w:r>
      <w:r w:rsidR="00EC6392" w:rsidRPr="00622F6C">
        <w:rPr>
          <w:rFonts w:ascii="Times New Roman" w:eastAsia="Times New Roman" w:hAnsi="Times New Roman" w:cs="Times New Roman"/>
          <w:i/>
          <w:lang w:val="en-US" w:eastAsia="en-GB"/>
        </w:rPr>
        <w:t>p</w:t>
      </w:r>
      <w:r w:rsidR="00EC6392" w:rsidRPr="00622F6C">
        <w:rPr>
          <w:rFonts w:ascii="Times New Roman" w:eastAsia="Times New Roman" w:hAnsi="Times New Roman" w:cs="Times New Roman"/>
          <w:lang w:val="en-US" w:eastAsia="en-GB"/>
        </w:rPr>
        <w:t xml:space="preserve">-value of 0.00). </w:t>
      </w:r>
    </w:p>
    <w:p w14:paraId="0055412B" w14:textId="77777777" w:rsidR="00D961A5" w:rsidRPr="00622F6C" w:rsidRDefault="008B6B6C" w:rsidP="00D961A5">
      <w:pPr>
        <w:spacing w:after="0" w:line="480" w:lineRule="auto"/>
        <w:ind w:firstLine="426"/>
        <w:jc w:val="center"/>
        <w:textAlignment w:val="baseline"/>
        <w:rPr>
          <w:rFonts w:ascii="Times New Roman" w:hAnsi="Times New Roman" w:cs="Times New Roman"/>
          <w:lang w:val="en-US"/>
        </w:rPr>
      </w:pPr>
      <w:r w:rsidRPr="00622F6C">
        <w:rPr>
          <w:rFonts w:ascii="Times New Roman" w:hAnsi="Times New Roman" w:cs="Times New Roman"/>
          <w:lang w:val="en-US"/>
        </w:rPr>
        <w:t>&lt;&lt; Please insert Table 4</w:t>
      </w:r>
      <w:r w:rsidR="00D961A5" w:rsidRPr="00622F6C">
        <w:rPr>
          <w:rFonts w:ascii="Times New Roman" w:hAnsi="Times New Roman" w:cs="Times New Roman"/>
          <w:lang w:val="en-US"/>
        </w:rPr>
        <w:t xml:space="preserve"> </w:t>
      </w:r>
      <w:r w:rsidR="00C77AF7" w:rsidRPr="00622F6C">
        <w:rPr>
          <w:rFonts w:ascii="Times New Roman" w:hAnsi="Times New Roman" w:cs="Times New Roman"/>
          <w:lang w:val="en-US"/>
        </w:rPr>
        <w:t xml:space="preserve">about </w:t>
      </w:r>
      <w:r w:rsidR="00D961A5" w:rsidRPr="00622F6C">
        <w:rPr>
          <w:rFonts w:ascii="Times New Roman" w:hAnsi="Times New Roman" w:cs="Times New Roman"/>
          <w:lang w:val="en-US"/>
        </w:rPr>
        <w:t>here&gt;&gt;</w:t>
      </w:r>
    </w:p>
    <w:p w14:paraId="61B1AFD0" w14:textId="77777777" w:rsidR="00ED2E70" w:rsidRPr="00622F6C" w:rsidRDefault="00ED2E70" w:rsidP="00D961A5">
      <w:pPr>
        <w:spacing w:after="0" w:line="480" w:lineRule="auto"/>
        <w:ind w:firstLine="426"/>
        <w:jc w:val="center"/>
        <w:textAlignment w:val="baseline"/>
        <w:rPr>
          <w:rFonts w:ascii="Times New Roman" w:hAnsi="Times New Roman" w:cs="Times New Roman"/>
          <w:lang w:val="en-US"/>
        </w:rPr>
      </w:pPr>
    </w:p>
    <w:p w14:paraId="78B2AA4F" w14:textId="77777777" w:rsidR="00680098" w:rsidRPr="00622F6C" w:rsidRDefault="00BE739C" w:rsidP="00680098">
      <w:pPr>
        <w:numPr>
          <w:ilvl w:val="1"/>
          <w:numId w:val="21"/>
        </w:numPr>
        <w:spacing w:after="0" w:line="480" w:lineRule="auto"/>
        <w:ind w:left="426" w:hanging="426"/>
        <w:contextualSpacing/>
        <w:jc w:val="both"/>
        <w:rPr>
          <w:rFonts w:ascii="Times New Roman" w:hAnsi="Times New Roman" w:cs="Times New Roman"/>
          <w:i/>
          <w:lang w:val="en-US"/>
        </w:rPr>
      </w:pPr>
      <w:r w:rsidRPr="00622F6C">
        <w:rPr>
          <w:rFonts w:ascii="Times New Roman" w:hAnsi="Times New Roman" w:cs="Times New Roman"/>
          <w:i/>
          <w:lang w:val="en-US"/>
        </w:rPr>
        <w:t>Results</w:t>
      </w:r>
    </w:p>
    <w:p w14:paraId="793C8890" w14:textId="77777777" w:rsidR="00BA6F1D" w:rsidRPr="00622F6C" w:rsidRDefault="00E9190B" w:rsidP="006E6FAF">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Table 5, Column (1) gives the baseline regression results. </w:t>
      </w:r>
      <w:bookmarkStart w:id="69" w:name="_Hlk523997607"/>
      <w:r w:rsidR="00DC15D1" w:rsidRPr="00DC15D1">
        <w:rPr>
          <w:rFonts w:ascii="Times New Roman" w:hAnsi="Times New Roman" w:cs="Times New Roman"/>
          <w:i/>
          <w:lang w:val="en-US"/>
        </w:rPr>
        <w:t>CAR</w:t>
      </w:r>
      <w:r w:rsidR="00C51DDC">
        <w:rPr>
          <w:rFonts w:ascii="Times New Roman" w:hAnsi="Times New Roman" w:cs="Times New Roman"/>
          <w:lang w:val="en-US"/>
        </w:rPr>
        <w:t xml:space="preserve">, the dependent variable, is </w:t>
      </w:r>
      <w:r w:rsidR="00DC15D1">
        <w:rPr>
          <w:rFonts w:ascii="Times New Roman" w:hAnsi="Times New Roman" w:cs="Times New Roman"/>
          <w:lang w:val="en-US"/>
        </w:rPr>
        <w:t xml:space="preserve">expressed </w:t>
      </w:r>
      <w:r w:rsidR="00C51DDC">
        <w:rPr>
          <w:rFonts w:ascii="Times New Roman" w:hAnsi="Times New Roman" w:cs="Times New Roman"/>
          <w:lang w:val="en-US"/>
        </w:rPr>
        <w:t>as a percentage</w:t>
      </w:r>
      <w:r w:rsidR="00DC15D1">
        <w:rPr>
          <w:rFonts w:ascii="Times New Roman" w:hAnsi="Times New Roman" w:cs="Times New Roman"/>
          <w:lang w:val="en-US"/>
        </w:rPr>
        <w:t xml:space="preserve">. </w:t>
      </w:r>
      <w:r w:rsidR="00BE111E" w:rsidRPr="00622F6C">
        <w:rPr>
          <w:rFonts w:ascii="Times New Roman" w:hAnsi="Times New Roman" w:cs="Times New Roman"/>
          <w:i/>
          <w:lang w:val="en-US"/>
        </w:rPr>
        <w:t>t</w:t>
      </w:r>
      <w:r w:rsidR="00AF75B0" w:rsidRPr="00622F6C">
        <w:rPr>
          <w:rFonts w:ascii="Times New Roman" w:hAnsi="Times New Roman" w:cs="Times New Roman"/>
          <w:lang w:val="en-US"/>
        </w:rPr>
        <w:t>-</w:t>
      </w:r>
      <w:r w:rsidR="001831A0">
        <w:rPr>
          <w:rFonts w:ascii="Times New Roman" w:hAnsi="Times New Roman" w:cs="Times New Roman"/>
          <w:lang w:val="en-US"/>
        </w:rPr>
        <w:t>s</w:t>
      </w:r>
      <w:r w:rsidR="001831A0" w:rsidRPr="00622F6C">
        <w:rPr>
          <w:rFonts w:ascii="Times New Roman" w:hAnsi="Times New Roman" w:cs="Times New Roman"/>
          <w:lang w:val="en-US"/>
        </w:rPr>
        <w:t xml:space="preserve">tatistics </w:t>
      </w:r>
      <w:bookmarkEnd w:id="69"/>
      <w:r w:rsidR="00BE111E" w:rsidRPr="00622F6C">
        <w:rPr>
          <w:rFonts w:ascii="Times New Roman" w:hAnsi="Times New Roman" w:cs="Times New Roman"/>
          <w:lang w:val="en-US"/>
        </w:rPr>
        <w:t xml:space="preserve">are based on </w:t>
      </w:r>
      <w:r w:rsidR="009E0852" w:rsidRPr="00622F6C">
        <w:rPr>
          <w:rFonts w:ascii="Times New Roman" w:hAnsi="Times New Roman" w:cs="Times New Roman"/>
          <w:lang w:val="en-US"/>
        </w:rPr>
        <w:t xml:space="preserve">robust </w:t>
      </w:r>
      <w:r w:rsidR="00BE111E" w:rsidRPr="00622F6C">
        <w:rPr>
          <w:rFonts w:ascii="Times New Roman" w:hAnsi="Times New Roman" w:cs="Times New Roman"/>
          <w:lang w:val="en-US"/>
        </w:rPr>
        <w:t xml:space="preserve">standard errors clustered by two-digit SIC code. </w:t>
      </w:r>
      <w:r w:rsidR="00AF75B0" w:rsidRPr="00622F6C">
        <w:rPr>
          <w:rFonts w:ascii="Times New Roman" w:hAnsi="Times New Roman" w:cs="Times New Roman"/>
          <w:lang w:val="en-US"/>
        </w:rPr>
        <w:t xml:space="preserve">The maximum </w:t>
      </w:r>
      <w:bookmarkStart w:id="70" w:name="_Hlk523997626"/>
      <w:r w:rsidR="001831A0">
        <w:rPr>
          <w:rFonts w:ascii="Times New Roman" w:hAnsi="Times New Roman" w:cs="Times New Roman"/>
          <w:lang w:val="en-US"/>
        </w:rPr>
        <w:t>v</w:t>
      </w:r>
      <w:r w:rsidR="001831A0" w:rsidRPr="00622F6C">
        <w:rPr>
          <w:rFonts w:ascii="Times New Roman" w:hAnsi="Times New Roman" w:cs="Times New Roman"/>
          <w:lang w:val="en-US"/>
        </w:rPr>
        <w:t xml:space="preserve">ariance </w:t>
      </w:r>
      <w:r w:rsidR="001831A0">
        <w:rPr>
          <w:rFonts w:ascii="Times New Roman" w:hAnsi="Times New Roman" w:cs="Times New Roman"/>
          <w:lang w:val="en-US"/>
        </w:rPr>
        <w:t>i</w:t>
      </w:r>
      <w:r w:rsidR="001831A0" w:rsidRPr="00622F6C">
        <w:rPr>
          <w:rFonts w:ascii="Times New Roman" w:hAnsi="Times New Roman" w:cs="Times New Roman"/>
          <w:lang w:val="en-US"/>
        </w:rPr>
        <w:t xml:space="preserve">nflation </w:t>
      </w:r>
      <w:r w:rsidR="001831A0">
        <w:rPr>
          <w:rFonts w:ascii="Times New Roman" w:hAnsi="Times New Roman" w:cs="Times New Roman"/>
          <w:lang w:val="en-US"/>
        </w:rPr>
        <w:t>f</w:t>
      </w:r>
      <w:r w:rsidR="001831A0" w:rsidRPr="00622F6C">
        <w:rPr>
          <w:rFonts w:ascii="Times New Roman" w:hAnsi="Times New Roman" w:cs="Times New Roman"/>
          <w:lang w:val="en-US"/>
        </w:rPr>
        <w:t xml:space="preserve">actor </w:t>
      </w:r>
      <w:r w:rsidR="00AF75B0" w:rsidRPr="00622F6C">
        <w:rPr>
          <w:rFonts w:ascii="Times New Roman" w:hAnsi="Times New Roman" w:cs="Times New Roman"/>
          <w:lang w:val="en-US"/>
        </w:rPr>
        <w:t>(VIF)</w:t>
      </w:r>
      <w:bookmarkEnd w:id="70"/>
      <w:r w:rsidR="00351552">
        <w:rPr>
          <w:rFonts w:ascii="Times New Roman" w:hAnsi="Times New Roman" w:cs="Times New Roman"/>
          <w:lang w:val="en-US"/>
        </w:rPr>
        <w:t xml:space="preserve"> is well below five (1.58</w:t>
      </w:r>
      <w:r w:rsidR="00AF75B0" w:rsidRPr="00622F6C">
        <w:rPr>
          <w:rFonts w:ascii="Times New Roman" w:hAnsi="Times New Roman" w:cs="Times New Roman"/>
          <w:lang w:val="en-US"/>
        </w:rPr>
        <w:t xml:space="preserve">), suggesting there is no multicollinearity problem in the regression analysis. </w:t>
      </w:r>
      <w:r w:rsidR="006E6FAF" w:rsidRPr="00622F6C">
        <w:rPr>
          <w:rFonts w:ascii="Times New Roman" w:hAnsi="Times New Roman" w:cs="Times New Roman"/>
          <w:lang w:val="en-US"/>
        </w:rPr>
        <w:t>We briefly</w:t>
      </w:r>
      <w:r w:rsidRPr="00622F6C">
        <w:rPr>
          <w:rFonts w:ascii="Times New Roman" w:hAnsi="Times New Roman" w:cs="Times New Roman"/>
          <w:lang w:val="en-US"/>
        </w:rPr>
        <w:t xml:space="preserve"> report the findings here, and</w:t>
      </w:r>
      <w:r w:rsidR="006E6FAF" w:rsidRPr="00622F6C">
        <w:rPr>
          <w:rFonts w:ascii="Times New Roman" w:hAnsi="Times New Roman" w:cs="Times New Roman"/>
          <w:lang w:val="en-US"/>
        </w:rPr>
        <w:t xml:space="preserve"> provide a more extensive discussion of the results and their implications in the next section. </w:t>
      </w:r>
    </w:p>
    <w:p w14:paraId="225003DC" w14:textId="77777777" w:rsidR="00A57DDF" w:rsidRPr="001F7365" w:rsidRDefault="00A57DDF" w:rsidP="001F7365">
      <w:pPr>
        <w:spacing w:after="0" w:line="480" w:lineRule="auto"/>
        <w:ind w:firstLine="426"/>
        <w:jc w:val="center"/>
        <w:rPr>
          <w:rFonts w:ascii="Times New Roman" w:hAnsi="Times New Roman" w:cs="Times New Roman"/>
          <w:lang w:val="en-US"/>
        </w:rPr>
      </w:pPr>
      <w:r w:rsidRPr="001F7365">
        <w:rPr>
          <w:rFonts w:ascii="Times New Roman" w:hAnsi="Times New Roman" w:cs="Times New Roman"/>
          <w:lang w:val="en-US"/>
        </w:rPr>
        <w:t xml:space="preserve">&lt;&lt; Please insert Table 5 </w:t>
      </w:r>
      <w:r w:rsidR="00C77AF7" w:rsidRPr="001F7365">
        <w:rPr>
          <w:rFonts w:ascii="Times New Roman" w:hAnsi="Times New Roman" w:cs="Times New Roman"/>
          <w:lang w:val="en-US"/>
        </w:rPr>
        <w:t xml:space="preserve">about </w:t>
      </w:r>
      <w:r w:rsidRPr="001F7365">
        <w:rPr>
          <w:rFonts w:ascii="Times New Roman" w:hAnsi="Times New Roman" w:cs="Times New Roman"/>
          <w:lang w:val="en-US"/>
        </w:rPr>
        <w:t>here &gt;&gt;</w:t>
      </w:r>
    </w:p>
    <w:p w14:paraId="0582ADAD" w14:textId="3112E4E2" w:rsidR="001F7365" w:rsidRPr="00D83E53" w:rsidRDefault="006E6FAF" w:rsidP="004051C6">
      <w:pPr>
        <w:spacing w:after="0" w:line="480" w:lineRule="auto"/>
        <w:ind w:firstLine="426"/>
        <w:jc w:val="both"/>
        <w:rPr>
          <w:rFonts w:ascii="Times New Roman" w:eastAsiaTheme="minorEastAsia" w:hAnsi="Times New Roman" w:cs="Times New Roman"/>
          <w:lang w:eastAsia="en-GB"/>
        </w:rPr>
      </w:pPr>
      <w:r w:rsidRPr="001F7365">
        <w:rPr>
          <w:rFonts w:ascii="Times New Roman" w:hAnsi="Times New Roman" w:cs="Times New Roman"/>
          <w:lang w:val="en-US"/>
        </w:rPr>
        <w:t xml:space="preserve">We find a negative impact of </w:t>
      </w:r>
      <w:r w:rsidR="00E9190B" w:rsidRPr="00594F11">
        <w:rPr>
          <w:rFonts w:ascii="Times New Roman" w:hAnsi="Times New Roman" w:cs="Times New Roman"/>
          <w:i/>
          <w:lang w:val="en-US"/>
        </w:rPr>
        <w:t>Social Incidents</w:t>
      </w:r>
      <w:r w:rsidR="00E9190B" w:rsidRPr="001F7365">
        <w:rPr>
          <w:rFonts w:ascii="Times New Roman" w:hAnsi="Times New Roman" w:cs="Times New Roman"/>
          <w:lang w:val="en-US"/>
        </w:rPr>
        <w:t xml:space="preserve"> (</w:t>
      </w:r>
      <w:r w:rsidR="00E9190B" w:rsidRPr="00C51DDC">
        <w:rPr>
          <w:rFonts w:ascii="Times New Roman" w:hAnsi="Times New Roman" w:cs="Times New Roman"/>
          <w:i/>
          <w:lang w:val="en-US"/>
        </w:rPr>
        <w:t>p</w:t>
      </w:r>
      <w:r w:rsidR="00E9190B" w:rsidRPr="001F7365">
        <w:rPr>
          <w:rFonts w:ascii="Times New Roman" w:hAnsi="Times New Roman" w:cs="Times New Roman"/>
          <w:lang w:val="en-US"/>
        </w:rPr>
        <w:t>-value &lt; 0.05)</w:t>
      </w:r>
      <w:r w:rsidR="0089304C" w:rsidRPr="001F7365">
        <w:rPr>
          <w:rFonts w:ascii="Times New Roman" w:hAnsi="Times New Roman" w:cs="Times New Roman"/>
          <w:lang w:val="en-US"/>
        </w:rPr>
        <w:t xml:space="preserve">. Economically, a </w:t>
      </w:r>
      <w:r w:rsidR="0089304C" w:rsidRPr="00113F3F">
        <w:rPr>
          <w:rFonts w:ascii="Times New Roman" w:hAnsi="Times New Roman" w:cs="Times New Roman"/>
          <w:lang w:val="en-US"/>
        </w:rPr>
        <w:t>one-</w:t>
      </w:r>
      <w:r w:rsidR="00DC15D1" w:rsidRPr="00113F3F">
        <w:rPr>
          <w:rFonts w:ascii="Times New Roman" w:hAnsi="Times New Roman" w:cs="Times New Roman"/>
          <w:lang w:val="en-US"/>
        </w:rPr>
        <w:t>standard</w:t>
      </w:r>
      <w:r w:rsidR="0068625B" w:rsidRPr="00113F3F">
        <w:rPr>
          <w:rFonts w:ascii="Times New Roman" w:hAnsi="Times New Roman" w:cs="Times New Roman"/>
          <w:lang w:val="en-US"/>
        </w:rPr>
        <w:t>-</w:t>
      </w:r>
      <w:r w:rsidR="00DC15D1" w:rsidRPr="00113F3F">
        <w:rPr>
          <w:rFonts w:ascii="Times New Roman" w:hAnsi="Times New Roman" w:cs="Times New Roman"/>
          <w:lang w:val="en-US"/>
        </w:rPr>
        <w:t>deviation</w:t>
      </w:r>
      <w:r w:rsidR="00113F3F">
        <w:rPr>
          <w:rFonts w:ascii="Times New Roman" w:hAnsi="Times New Roman" w:cs="Times New Roman"/>
          <w:lang w:val="en-US"/>
        </w:rPr>
        <w:t xml:space="preserve"> </w:t>
      </w:r>
      <w:r w:rsidR="00DC15D1" w:rsidRPr="001F7365">
        <w:rPr>
          <w:rFonts w:ascii="Times New Roman" w:hAnsi="Times New Roman" w:cs="Times New Roman"/>
          <w:lang w:val="en-US"/>
        </w:rPr>
        <w:t xml:space="preserve">increase in </w:t>
      </w:r>
      <w:r w:rsidR="00DC15D1" w:rsidRPr="003F2B0A">
        <w:rPr>
          <w:rFonts w:ascii="Times New Roman" w:hAnsi="Times New Roman" w:cs="Times New Roman"/>
          <w:i/>
          <w:lang w:val="en-US"/>
        </w:rPr>
        <w:t>Social Incidents</w:t>
      </w:r>
      <w:r w:rsidR="00DC15D1" w:rsidRPr="001F7365">
        <w:rPr>
          <w:rFonts w:ascii="Times New Roman" w:hAnsi="Times New Roman" w:cs="Times New Roman"/>
          <w:lang w:val="en-US"/>
        </w:rPr>
        <w:t xml:space="preserve"> </w:t>
      </w:r>
      <w:r w:rsidR="003F2B0A">
        <w:rPr>
          <w:rFonts w:ascii="Times New Roman" w:hAnsi="Times New Roman" w:cs="Times New Roman"/>
          <w:lang w:val="en-US"/>
        </w:rPr>
        <w:t>implies</w:t>
      </w:r>
      <w:r w:rsidR="00DC15D1" w:rsidRPr="001F7365">
        <w:rPr>
          <w:rFonts w:ascii="Times New Roman" w:hAnsi="Times New Roman" w:cs="Times New Roman"/>
          <w:lang w:val="en-US"/>
        </w:rPr>
        <w:t xml:space="preserve"> a 0.99% decrease in </w:t>
      </w:r>
      <w:r w:rsidR="00F04183">
        <w:rPr>
          <w:rFonts w:ascii="Times New Roman" w:hAnsi="Times New Roman" w:cs="Times New Roman"/>
          <w:lang w:val="en-US"/>
        </w:rPr>
        <w:t xml:space="preserve">the </w:t>
      </w:r>
      <w:r w:rsidR="00F04183" w:rsidRPr="00F04183">
        <w:rPr>
          <w:rFonts w:ascii="Times New Roman" w:hAnsi="Times New Roman" w:cs="Times New Roman"/>
          <w:i/>
          <w:lang w:val="en-US"/>
        </w:rPr>
        <w:t>CAR</w:t>
      </w:r>
      <w:r w:rsidR="00DC15D1" w:rsidRPr="001F7365">
        <w:rPr>
          <w:rFonts w:ascii="Times New Roman" w:hAnsi="Times New Roman" w:cs="Times New Roman"/>
          <w:lang w:val="en-US"/>
        </w:rPr>
        <w:t>. We further find</w:t>
      </w:r>
      <w:r w:rsidR="00E9190B" w:rsidRPr="001F7365">
        <w:rPr>
          <w:rFonts w:ascii="Times New Roman" w:hAnsi="Times New Roman" w:cs="Times New Roman"/>
          <w:lang w:val="en-US"/>
        </w:rPr>
        <w:t xml:space="preserve"> a positive impact of </w:t>
      </w:r>
      <w:r w:rsidR="00DC15D1" w:rsidRPr="001F7365">
        <w:rPr>
          <w:rFonts w:ascii="Times New Roman" w:hAnsi="Times New Roman" w:cs="Times New Roman"/>
          <w:lang w:val="en-US"/>
        </w:rPr>
        <w:t>the two dummy variables capturing labor</w:t>
      </w:r>
      <w:r w:rsidR="00113F3F">
        <w:rPr>
          <w:rFonts w:ascii="Times New Roman" w:hAnsi="Times New Roman" w:cs="Times New Roman"/>
          <w:lang w:val="en-US"/>
        </w:rPr>
        <w:t xml:space="preserve"> </w:t>
      </w:r>
      <w:r w:rsidR="00DC15D1" w:rsidRPr="001F7365">
        <w:rPr>
          <w:rFonts w:ascii="Times New Roman" w:hAnsi="Times New Roman" w:cs="Times New Roman"/>
          <w:lang w:val="en-US"/>
        </w:rPr>
        <w:t>standard</w:t>
      </w:r>
      <w:r w:rsidR="0068625B">
        <w:rPr>
          <w:rFonts w:ascii="Times New Roman" w:hAnsi="Times New Roman" w:cs="Times New Roman"/>
          <w:lang w:val="en-US"/>
        </w:rPr>
        <w:t>s</w:t>
      </w:r>
      <w:r w:rsidR="00DC15D1" w:rsidRPr="001F7365">
        <w:rPr>
          <w:rFonts w:ascii="Times New Roman" w:hAnsi="Times New Roman" w:cs="Times New Roman"/>
          <w:lang w:val="en-US"/>
        </w:rPr>
        <w:t xml:space="preserve"> policies, </w:t>
      </w:r>
      <w:r w:rsidR="00C25D97" w:rsidRPr="001F7365">
        <w:rPr>
          <w:rFonts w:ascii="Times New Roman" w:hAnsi="Times New Roman" w:cs="Times New Roman"/>
          <w:i/>
          <w:lang w:val="en-US"/>
        </w:rPr>
        <w:t>Critical</w:t>
      </w:r>
      <w:r w:rsidR="0051071C" w:rsidRPr="001F7365">
        <w:rPr>
          <w:rFonts w:ascii="Times New Roman" w:hAnsi="Times New Roman" w:cs="Times New Roman"/>
          <w:i/>
          <w:lang w:val="en-US"/>
        </w:rPr>
        <w:t xml:space="preserve"> Countries Policy</w:t>
      </w:r>
      <w:r w:rsidR="00E9190B" w:rsidRPr="001F7365">
        <w:rPr>
          <w:rFonts w:ascii="Times New Roman" w:hAnsi="Times New Roman" w:cs="Times New Roman"/>
          <w:lang w:val="en-US"/>
        </w:rPr>
        <w:t xml:space="preserve"> (</w:t>
      </w:r>
      <w:r w:rsidR="00DC15D1" w:rsidRPr="001F7365">
        <w:rPr>
          <w:rFonts w:ascii="Times New Roman" w:hAnsi="Times New Roman" w:cs="Times New Roman"/>
          <w:lang w:val="en-US"/>
        </w:rPr>
        <w:t>coefficient</w:t>
      </w:r>
      <w:r w:rsidR="00C51DDC">
        <w:rPr>
          <w:rFonts w:ascii="Times New Roman" w:hAnsi="Times New Roman" w:cs="Times New Roman"/>
          <w:lang w:val="en-US"/>
        </w:rPr>
        <w:t xml:space="preserve"> of 2.</w:t>
      </w:r>
      <w:r w:rsidR="00B55854">
        <w:rPr>
          <w:rFonts w:ascii="Times New Roman" w:hAnsi="Times New Roman" w:cs="Times New Roman"/>
          <w:lang w:val="en-US"/>
        </w:rPr>
        <w:t>077</w:t>
      </w:r>
      <w:r w:rsidR="00C51DDC">
        <w:rPr>
          <w:rFonts w:ascii="Times New Roman" w:hAnsi="Times New Roman" w:cs="Times New Roman"/>
          <w:lang w:val="en-US"/>
        </w:rPr>
        <w:t xml:space="preserve">, </w:t>
      </w:r>
      <w:r w:rsidR="00E9190B" w:rsidRPr="001F7365">
        <w:rPr>
          <w:rFonts w:ascii="Times New Roman" w:hAnsi="Times New Roman" w:cs="Times New Roman"/>
          <w:i/>
          <w:lang w:val="en-US"/>
        </w:rPr>
        <w:t>p</w:t>
      </w:r>
      <w:r w:rsidR="00E9190B" w:rsidRPr="001F7365">
        <w:rPr>
          <w:rFonts w:ascii="Times New Roman" w:hAnsi="Times New Roman" w:cs="Times New Roman"/>
          <w:lang w:val="en-US"/>
        </w:rPr>
        <w:t>-value &lt; 0.0</w:t>
      </w:r>
      <w:r w:rsidR="00B55854">
        <w:rPr>
          <w:rFonts w:ascii="Times New Roman" w:hAnsi="Times New Roman" w:cs="Times New Roman"/>
          <w:lang w:val="en-US"/>
        </w:rPr>
        <w:t>1</w:t>
      </w:r>
      <w:r w:rsidR="00E9190B" w:rsidRPr="001F7365">
        <w:rPr>
          <w:rFonts w:ascii="Times New Roman" w:hAnsi="Times New Roman" w:cs="Times New Roman"/>
          <w:lang w:val="en-US"/>
        </w:rPr>
        <w:t xml:space="preserve">) and </w:t>
      </w:r>
      <w:r w:rsidR="0051071C" w:rsidRPr="001F7365">
        <w:rPr>
          <w:rFonts w:ascii="Times New Roman" w:hAnsi="Times New Roman" w:cs="Times New Roman"/>
          <w:i/>
          <w:lang w:val="en-US"/>
        </w:rPr>
        <w:t>Forced Labor Policy</w:t>
      </w:r>
      <w:r w:rsidR="00E9190B" w:rsidRPr="001F7365">
        <w:rPr>
          <w:rFonts w:ascii="Times New Roman" w:hAnsi="Times New Roman" w:cs="Times New Roman"/>
          <w:lang w:val="en-US"/>
        </w:rPr>
        <w:t xml:space="preserve"> (</w:t>
      </w:r>
      <w:r w:rsidR="00C51DDC">
        <w:rPr>
          <w:rFonts w:ascii="Times New Roman" w:hAnsi="Times New Roman" w:cs="Times New Roman"/>
          <w:lang w:val="en-US"/>
        </w:rPr>
        <w:t>coefficient of 1.</w:t>
      </w:r>
      <w:r w:rsidR="00B55854">
        <w:rPr>
          <w:rFonts w:ascii="Times New Roman" w:hAnsi="Times New Roman" w:cs="Times New Roman"/>
          <w:lang w:val="en-US"/>
        </w:rPr>
        <w:t>526</w:t>
      </w:r>
      <w:r w:rsidR="00C51DDC">
        <w:rPr>
          <w:rFonts w:ascii="Times New Roman" w:hAnsi="Times New Roman" w:cs="Times New Roman"/>
          <w:lang w:val="en-US"/>
        </w:rPr>
        <w:t xml:space="preserve">, </w:t>
      </w:r>
      <w:r w:rsidR="00E9190B" w:rsidRPr="001F7365">
        <w:rPr>
          <w:rFonts w:ascii="Times New Roman" w:hAnsi="Times New Roman" w:cs="Times New Roman"/>
          <w:i/>
          <w:lang w:val="en-US"/>
        </w:rPr>
        <w:t>p</w:t>
      </w:r>
      <w:r w:rsidR="00E9190B" w:rsidRPr="001F7365">
        <w:rPr>
          <w:rFonts w:ascii="Times New Roman" w:hAnsi="Times New Roman" w:cs="Times New Roman"/>
          <w:lang w:val="en-US"/>
        </w:rPr>
        <w:t>-value &lt; 0.10)</w:t>
      </w:r>
      <w:r w:rsidRPr="001F7365">
        <w:rPr>
          <w:rFonts w:ascii="Times New Roman" w:hAnsi="Times New Roman" w:cs="Times New Roman"/>
          <w:lang w:val="en-US"/>
        </w:rPr>
        <w:t>, consistent with hypothesis H</w:t>
      </w:r>
      <w:r w:rsidR="00E9190B" w:rsidRPr="001F7365">
        <w:rPr>
          <w:rFonts w:ascii="Times New Roman" w:hAnsi="Times New Roman" w:cs="Times New Roman"/>
          <w:vertAlign w:val="subscript"/>
          <w:lang w:val="en-US"/>
        </w:rPr>
        <w:t>1a</w:t>
      </w:r>
      <w:r w:rsidRPr="001F7365">
        <w:rPr>
          <w:rFonts w:ascii="Times New Roman" w:hAnsi="Times New Roman" w:cs="Times New Roman"/>
          <w:lang w:val="en-US"/>
        </w:rPr>
        <w:t xml:space="preserve">. </w:t>
      </w:r>
      <w:r w:rsidR="004051C6">
        <w:rPr>
          <w:rFonts w:ascii="Times New Roman" w:hAnsi="Times New Roman" w:cs="Times New Roman"/>
          <w:lang w:val="en-US"/>
        </w:rPr>
        <w:t>I</w:t>
      </w:r>
      <w:r w:rsidR="00474AEE" w:rsidRPr="001F7365">
        <w:rPr>
          <w:rFonts w:ascii="Times New Roman" w:hAnsi="Times New Roman" w:cs="Times New Roman"/>
          <w:lang w:val="en-US"/>
        </w:rPr>
        <w:t>nconsistent with our dual hypotheses H</w:t>
      </w:r>
      <w:r w:rsidR="00474AEE" w:rsidRPr="001F7365">
        <w:rPr>
          <w:rFonts w:ascii="Times New Roman" w:hAnsi="Times New Roman" w:cs="Times New Roman"/>
          <w:vertAlign w:val="subscript"/>
          <w:lang w:val="en-US"/>
        </w:rPr>
        <w:t>2a</w:t>
      </w:r>
      <w:r w:rsidR="00474AEE" w:rsidRPr="001F7365">
        <w:rPr>
          <w:rFonts w:ascii="Times New Roman" w:hAnsi="Times New Roman" w:cs="Times New Roman"/>
          <w:lang w:val="en-US"/>
        </w:rPr>
        <w:t xml:space="preserve"> and H</w:t>
      </w:r>
      <w:r w:rsidR="00474AEE" w:rsidRPr="001F7365">
        <w:rPr>
          <w:rFonts w:ascii="Times New Roman" w:hAnsi="Times New Roman" w:cs="Times New Roman"/>
          <w:vertAlign w:val="subscript"/>
          <w:lang w:val="en-US"/>
        </w:rPr>
        <w:t>2b</w:t>
      </w:r>
      <w:r w:rsidR="00474AEE" w:rsidRPr="001F7365">
        <w:rPr>
          <w:rFonts w:ascii="Times New Roman" w:hAnsi="Times New Roman" w:cs="Times New Roman"/>
          <w:lang w:val="en-US"/>
        </w:rPr>
        <w:t xml:space="preserve"> on the role of CSR disclosure levels,</w:t>
      </w:r>
      <w:r w:rsidR="00E9190B" w:rsidRPr="001F7365">
        <w:rPr>
          <w:rFonts w:ascii="Times New Roman" w:hAnsi="Times New Roman" w:cs="Times New Roman"/>
          <w:lang w:val="en-US"/>
        </w:rPr>
        <w:t xml:space="preserve"> </w:t>
      </w:r>
      <w:r w:rsidR="00E9190B" w:rsidRPr="001F7365">
        <w:rPr>
          <w:rFonts w:ascii="Times New Roman" w:hAnsi="Times New Roman" w:cs="Times New Roman"/>
          <w:i/>
          <w:lang w:val="en-US"/>
        </w:rPr>
        <w:t>Social Disclosure</w:t>
      </w:r>
      <w:r w:rsidR="00E9190B" w:rsidRPr="001F7365">
        <w:rPr>
          <w:rFonts w:ascii="Times New Roman" w:hAnsi="Times New Roman" w:cs="Times New Roman"/>
          <w:lang w:val="en-US"/>
        </w:rPr>
        <w:t xml:space="preserve"> and </w:t>
      </w:r>
      <w:r w:rsidR="00E9190B" w:rsidRPr="001F7365">
        <w:rPr>
          <w:rFonts w:ascii="Times New Roman" w:hAnsi="Times New Roman" w:cs="Times New Roman"/>
          <w:i/>
          <w:lang w:val="en-US"/>
        </w:rPr>
        <w:t>CSR Disclosure</w:t>
      </w:r>
      <w:r w:rsidR="00E9190B" w:rsidRPr="001F7365">
        <w:rPr>
          <w:rFonts w:ascii="Times New Roman" w:hAnsi="Times New Roman" w:cs="Times New Roman"/>
          <w:lang w:val="en-US"/>
        </w:rPr>
        <w:t xml:space="preserve"> both have insignificant coefficients</w:t>
      </w:r>
      <w:r w:rsidRPr="001F7365">
        <w:rPr>
          <w:rFonts w:ascii="Times New Roman" w:hAnsi="Times New Roman" w:cs="Times New Roman"/>
          <w:lang w:val="en-US"/>
        </w:rPr>
        <w:t xml:space="preserve">. </w:t>
      </w:r>
      <w:r w:rsidR="00E9190B" w:rsidRPr="001F7365">
        <w:rPr>
          <w:rFonts w:ascii="Times New Roman" w:hAnsi="Times New Roman" w:cs="Times New Roman"/>
          <w:lang w:val="en-US"/>
        </w:rPr>
        <w:t xml:space="preserve">The impact of </w:t>
      </w:r>
      <w:r w:rsidR="00383BBA" w:rsidRPr="001F7365">
        <w:rPr>
          <w:rFonts w:ascii="Times New Roman" w:hAnsi="Times New Roman" w:cs="Times New Roman"/>
          <w:i/>
          <w:lang w:val="en-US"/>
        </w:rPr>
        <w:t>Log(</w:t>
      </w:r>
      <w:r w:rsidR="00E9190B" w:rsidRPr="001F7365">
        <w:rPr>
          <w:rFonts w:ascii="Times New Roman" w:hAnsi="Times New Roman" w:cs="Times New Roman"/>
          <w:i/>
          <w:lang w:val="en-US"/>
        </w:rPr>
        <w:t>Total Assets</w:t>
      </w:r>
      <w:r w:rsidR="00383BBA" w:rsidRPr="001F7365">
        <w:rPr>
          <w:rFonts w:ascii="Times New Roman" w:hAnsi="Times New Roman" w:cs="Times New Roman"/>
          <w:i/>
          <w:lang w:val="en-US"/>
        </w:rPr>
        <w:t>)</w:t>
      </w:r>
      <w:r w:rsidR="00E9190B" w:rsidRPr="001F7365">
        <w:rPr>
          <w:rFonts w:ascii="Times New Roman" w:hAnsi="Times New Roman" w:cs="Times New Roman"/>
          <w:lang w:val="en-US"/>
        </w:rPr>
        <w:t xml:space="preserve"> is also insignificant. </w:t>
      </w:r>
      <w:r w:rsidR="00DC15D1" w:rsidRPr="001F7365">
        <w:rPr>
          <w:rFonts w:ascii="Times New Roman" w:hAnsi="Times New Roman" w:cs="Times New Roman"/>
          <w:lang w:val="en-US"/>
        </w:rPr>
        <w:t>The two dummy variables capturing aggregate slavery risk</w:t>
      </w:r>
      <w:r w:rsidR="00907DCF" w:rsidRPr="001F7365">
        <w:rPr>
          <w:rFonts w:ascii="Times New Roman" w:hAnsi="Times New Roman" w:cs="Times New Roman"/>
          <w:lang w:val="en-US"/>
        </w:rPr>
        <w:t xml:space="preserve">, </w:t>
      </w:r>
      <w:r w:rsidR="00D343E5">
        <w:rPr>
          <w:rFonts w:ascii="Times New Roman" w:hAnsi="Times New Roman" w:cs="Times New Roman"/>
          <w:i/>
          <w:lang w:val="en-US"/>
        </w:rPr>
        <w:t>Country</w:t>
      </w:r>
      <w:r w:rsidR="00D343E5" w:rsidRPr="00622F6C">
        <w:rPr>
          <w:rFonts w:ascii="Times New Roman" w:hAnsi="Times New Roman" w:cs="Times New Roman"/>
          <w:color w:val="800000"/>
          <w:sz w:val="20"/>
          <w:szCs w:val="20"/>
          <w:lang w:val="en-US"/>
        </w:rPr>
        <w:t>–</w:t>
      </w:r>
      <w:r w:rsidR="008852F4">
        <w:rPr>
          <w:rFonts w:ascii="Times New Roman" w:hAnsi="Times New Roman" w:cs="Times New Roman"/>
          <w:i/>
          <w:lang w:val="en-US"/>
        </w:rPr>
        <w:t>Industry</w:t>
      </w:r>
      <w:r w:rsidR="00E9190B" w:rsidRPr="001F7365">
        <w:rPr>
          <w:rFonts w:ascii="Times New Roman" w:hAnsi="Times New Roman" w:cs="Times New Roman"/>
          <w:i/>
          <w:lang w:val="en-US"/>
        </w:rPr>
        <w:t xml:space="preserve"> ESG Risk</w:t>
      </w:r>
      <w:r w:rsidR="00E9190B" w:rsidRPr="001F7365">
        <w:rPr>
          <w:rFonts w:ascii="Times New Roman" w:hAnsi="Times New Roman" w:cs="Times New Roman"/>
          <w:lang w:val="en-US"/>
        </w:rPr>
        <w:t xml:space="preserve"> and </w:t>
      </w:r>
      <w:r w:rsidR="008852F4">
        <w:rPr>
          <w:rFonts w:ascii="Times New Roman" w:hAnsi="Times New Roman" w:cs="Times New Roman"/>
          <w:i/>
          <w:lang w:val="en-US"/>
        </w:rPr>
        <w:t>Industry</w:t>
      </w:r>
      <w:r w:rsidR="00E9190B" w:rsidRPr="001F7365">
        <w:rPr>
          <w:rFonts w:ascii="Times New Roman" w:hAnsi="Times New Roman" w:cs="Times New Roman"/>
          <w:i/>
          <w:lang w:val="en-US"/>
        </w:rPr>
        <w:t xml:space="preserve"> Slavery </w:t>
      </w:r>
      <w:r w:rsidR="00E9190B" w:rsidRPr="00D83E53">
        <w:rPr>
          <w:rFonts w:ascii="Times New Roman" w:hAnsi="Times New Roman" w:cs="Times New Roman"/>
          <w:i/>
          <w:lang w:val="en-US"/>
        </w:rPr>
        <w:t>Risk</w:t>
      </w:r>
      <w:r w:rsidR="00E9190B" w:rsidRPr="00D83E53">
        <w:rPr>
          <w:rFonts w:ascii="Times New Roman" w:hAnsi="Times New Roman" w:cs="Times New Roman"/>
          <w:lang w:val="en-US"/>
        </w:rPr>
        <w:t>, have a positive impact (</w:t>
      </w:r>
      <w:r w:rsidR="00C51DDC">
        <w:rPr>
          <w:rFonts w:ascii="Times New Roman" w:hAnsi="Times New Roman" w:cs="Times New Roman"/>
          <w:lang w:val="en-US"/>
        </w:rPr>
        <w:t xml:space="preserve">coefficient of 1.432, </w:t>
      </w:r>
      <w:r w:rsidR="00E9190B" w:rsidRPr="00D83E53">
        <w:rPr>
          <w:rFonts w:ascii="Times New Roman" w:hAnsi="Times New Roman" w:cs="Times New Roman"/>
          <w:i/>
          <w:lang w:val="en-US"/>
        </w:rPr>
        <w:t>p</w:t>
      </w:r>
      <w:r w:rsidR="00E9190B" w:rsidRPr="00D83E53">
        <w:rPr>
          <w:rFonts w:ascii="Times New Roman" w:hAnsi="Times New Roman" w:cs="Times New Roman"/>
          <w:lang w:val="en-US"/>
        </w:rPr>
        <w:t>-value &lt; 0.05</w:t>
      </w:r>
      <w:r w:rsidR="004051C6">
        <w:rPr>
          <w:rFonts w:ascii="Times New Roman" w:hAnsi="Times New Roman" w:cs="Times New Roman"/>
          <w:lang w:val="en-US"/>
        </w:rPr>
        <w:t>;</w:t>
      </w:r>
      <w:r w:rsidR="00E9190B" w:rsidRPr="00D83E53">
        <w:rPr>
          <w:rFonts w:ascii="Times New Roman" w:hAnsi="Times New Roman" w:cs="Times New Roman"/>
          <w:lang w:val="en-US"/>
        </w:rPr>
        <w:t xml:space="preserve"> and </w:t>
      </w:r>
      <w:r w:rsidR="00C51DDC">
        <w:rPr>
          <w:rFonts w:ascii="Times New Roman" w:hAnsi="Times New Roman" w:cs="Times New Roman"/>
          <w:lang w:val="en-US"/>
        </w:rPr>
        <w:t xml:space="preserve">coefficient of 1.897, </w:t>
      </w:r>
      <w:r w:rsidR="00E9190B" w:rsidRPr="00D83E53">
        <w:rPr>
          <w:rFonts w:ascii="Times New Roman" w:hAnsi="Times New Roman" w:cs="Times New Roman"/>
          <w:i/>
          <w:lang w:val="en-US"/>
        </w:rPr>
        <w:t>p</w:t>
      </w:r>
      <w:r w:rsidR="00E9190B" w:rsidRPr="00D83E53">
        <w:rPr>
          <w:rFonts w:ascii="Times New Roman" w:hAnsi="Times New Roman" w:cs="Times New Roman"/>
          <w:lang w:val="en-US"/>
        </w:rPr>
        <w:t>-value &lt; 0.01</w:t>
      </w:r>
      <w:r w:rsidR="00B55854">
        <w:rPr>
          <w:rFonts w:ascii="Times New Roman" w:hAnsi="Times New Roman" w:cs="Times New Roman"/>
          <w:lang w:val="en-US"/>
        </w:rPr>
        <w:t xml:space="preserve"> respectively</w:t>
      </w:r>
      <w:r w:rsidR="00E9190B" w:rsidRPr="00D83E53">
        <w:rPr>
          <w:rFonts w:ascii="Times New Roman" w:hAnsi="Times New Roman" w:cs="Times New Roman"/>
          <w:lang w:val="en-US"/>
        </w:rPr>
        <w:t>), consistent with H</w:t>
      </w:r>
      <w:r w:rsidR="005C0658" w:rsidRPr="00D83E53">
        <w:rPr>
          <w:rFonts w:ascii="Times New Roman" w:hAnsi="Times New Roman" w:cs="Times New Roman"/>
          <w:vertAlign w:val="subscript"/>
          <w:lang w:val="en-US"/>
        </w:rPr>
        <w:t>1</w:t>
      </w:r>
      <w:r w:rsidR="00E9190B" w:rsidRPr="00D83E53">
        <w:rPr>
          <w:rFonts w:ascii="Times New Roman" w:hAnsi="Times New Roman" w:cs="Times New Roman"/>
          <w:vertAlign w:val="subscript"/>
          <w:lang w:val="en-US"/>
        </w:rPr>
        <w:t>b</w:t>
      </w:r>
      <w:r w:rsidR="00E9190B" w:rsidRPr="00D83E53">
        <w:rPr>
          <w:rFonts w:ascii="Times New Roman" w:hAnsi="Times New Roman" w:cs="Times New Roman"/>
          <w:lang w:val="en-US"/>
        </w:rPr>
        <w:t xml:space="preserve">. </w:t>
      </w:r>
      <w:r w:rsidR="004051C6">
        <w:rPr>
          <w:rFonts w:ascii="Times New Roman" w:hAnsi="Times New Roman" w:cs="Times New Roman"/>
          <w:lang w:val="en-US"/>
        </w:rPr>
        <w:t xml:space="preserve">In Column </w:t>
      </w:r>
      <w:r w:rsidR="004051C6">
        <w:rPr>
          <w:rFonts w:ascii="Times New Roman" w:hAnsi="Times New Roman" w:cs="Times New Roman"/>
          <w:lang w:val="en-US"/>
        </w:rPr>
        <w:lastRenderedPageBreak/>
        <w:t>(2), we replace</w:t>
      </w:r>
      <w:r w:rsidR="00DC15D1" w:rsidRPr="00D83E53">
        <w:rPr>
          <w:rFonts w:ascii="Times New Roman" w:hAnsi="Times New Roman" w:cs="Times New Roman"/>
          <w:lang w:val="en-US"/>
        </w:rPr>
        <w:t xml:space="preserve"> the three individual measures </w:t>
      </w:r>
      <w:r w:rsidR="0068625B">
        <w:rPr>
          <w:rFonts w:ascii="Times New Roman" w:hAnsi="Times New Roman" w:cs="Times New Roman"/>
          <w:lang w:val="en-US"/>
        </w:rPr>
        <w:t>of</w:t>
      </w:r>
      <w:r w:rsidR="0068625B" w:rsidRPr="00D83E53">
        <w:rPr>
          <w:rFonts w:ascii="Times New Roman" w:hAnsi="Times New Roman" w:cs="Times New Roman"/>
          <w:lang w:val="en-US"/>
        </w:rPr>
        <w:t xml:space="preserve"> </w:t>
      </w:r>
      <w:r w:rsidR="00DC15D1" w:rsidRPr="00D83E53">
        <w:rPr>
          <w:rFonts w:ascii="Times New Roman" w:hAnsi="Times New Roman" w:cs="Times New Roman"/>
          <w:lang w:val="en-US"/>
        </w:rPr>
        <w:t xml:space="preserve">firm-specific slavery risk by a composite measure, </w:t>
      </w:r>
      <w:r w:rsidR="008852F4" w:rsidRPr="00955DFE">
        <w:rPr>
          <w:rFonts w:ascii="Times New Roman" w:hAnsi="Times New Roman" w:cs="Times New Roman"/>
          <w:i/>
          <w:lang w:val="en-US"/>
        </w:rPr>
        <w:t xml:space="preserve">Composite </w:t>
      </w:r>
      <w:r w:rsidR="00DC15D1" w:rsidRPr="00D83E53">
        <w:rPr>
          <w:rFonts w:ascii="Times New Roman" w:hAnsi="Times New Roman" w:cs="Times New Roman"/>
          <w:i/>
          <w:lang w:val="en-US"/>
        </w:rPr>
        <w:t>Firm Slavery Risk</w:t>
      </w:r>
      <w:r w:rsidR="006B47F0" w:rsidRPr="00D83E53">
        <w:rPr>
          <w:rFonts w:ascii="Times New Roman" w:hAnsi="Times New Roman" w:cs="Times New Roman"/>
          <w:lang w:val="en-US"/>
        </w:rPr>
        <w:t xml:space="preserve">. This dummy variable </w:t>
      </w:r>
      <w:r w:rsidR="009C4422">
        <w:rPr>
          <w:rFonts w:ascii="Times New Roman" w:hAnsi="Times New Roman" w:cs="Times New Roman"/>
          <w:lang w:val="en-US"/>
        </w:rPr>
        <w:t xml:space="preserve">is </w:t>
      </w:r>
      <w:r w:rsidR="006B47F0" w:rsidRPr="00D83E53">
        <w:rPr>
          <w:rFonts w:ascii="Times New Roman" w:hAnsi="Times New Roman" w:cs="Times New Roman"/>
          <w:lang w:val="en-US"/>
        </w:rPr>
        <w:t xml:space="preserve">equal to one </w:t>
      </w:r>
      <w:r w:rsidR="001F7365" w:rsidRPr="00D83E53">
        <w:rPr>
          <w:rFonts w:ascii="Times New Roman" w:hAnsi="Times New Roman" w:cs="Times New Roman"/>
          <w:lang w:val="en-US"/>
        </w:rPr>
        <w:t xml:space="preserve">(‘High’) </w:t>
      </w:r>
      <w:r w:rsidR="006B47F0" w:rsidRPr="00D83E53">
        <w:rPr>
          <w:rFonts w:ascii="Times New Roman" w:hAnsi="Times New Roman" w:cs="Times New Roman"/>
          <w:lang w:val="en-US"/>
        </w:rPr>
        <w:t xml:space="preserve">if the firm has </w:t>
      </w:r>
      <w:r w:rsidR="001F7365" w:rsidRPr="00D83E53">
        <w:rPr>
          <w:rFonts w:ascii="Times New Roman" w:hAnsi="Times New Roman" w:cs="Times New Roman"/>
          <w:lang w:val="en-US"/>
        </w:rPr>
        <w:t xml:space="preserve">a </w:t>
      </w:r>
      <w:r w:rsidR="006B47F0" w:rsidRPr="00D83E53">
        <w:rPr>
          <w:rFonts w:ascii="Times New Roman" w:hAnsi="Times New Roman" w:cs="Times New Roman"/>
          <w:i/>
          <w:lang w:val="en-US"/>
        </w:rPr>
        <w:t>Social Incidents</w:t>
      </w:r>
      <w:r w:rsidR="006B47F0" w:rsidRPr="00D83E53">
        <w:rPr>
          <w:rFonts w:ascii="Times New Roman" w:hAnsi="Times New Roman" w:cs="Times New Roman"/>
          <w:lang w:val="en-US"/>
        </w:rPr>
        <w:t xml:space="preserve"> </w:t>
      </w:r>
      <w:r w:rsidR="001F7365" w:rsidRPr="00D83E53">
        <w:rPr>
          <w:rFonts w:ascii="Times New Roman" w:hAnsi="Times New Roman" w:cs="Times New Roman"/>
          <w:lang w:val="en-US"/>
        </w:rPr>
        <w:t xml:space="preserve">value </w:t>
      </w:r>
      <w:r w:rsidR="006B47F0" w:rsidRPr="00D83E53">
        <w:rPr>
          <w:rFonts w:ascii="Times New Roman" w:hAnsi="Times New Roman" w:cs="Times New Roman"/>
          <w:lang w:val="en-US"/>
        </w:rPr>
        <w:t xml:space="preserve">above the sample median, as well as values </w:t>
      </w:r>
      <w:r w:rsidR="001F7365" w:rsidRPr="00D83E53">
        <w:rPr>
          <w:rFonts w:ascii="Times New Roman" w:hAnsi="Times New Roman" w:cs="Times New Roman"/>
          <w:lang w:val="en-US"/>
        </w:rPr>
        <w:t xml:space="preserve">of zero </w:t>
      </w:r>
      <w:r w:rsidR="006B47F0" w:rsidRPr="00D83E53">
        <w:rPr>
          <w:rFonts w:ascii="Times New Roman" w:hAnsi="Times New Roman" w:cs="Times New Roman"/>
          <w:lang w:val="en-US"/>
        </w:rPr>
        <w:t xml:space="preserve">for </w:t>
      </w:r>
      <w:r w:rsidR="001F7365" w:rsidRPr="00D83E53">
        <w:rPr>
          <w:rFonts w:ascii="Times New Roman" w:hAnsi="Times New Roman" w:cs="Times New Roman"/>
          <w:lang w:val="en-US"/>
        </w:rPr>
        <w:t xml:space="preserve">the </w:t>
      </w:r>
      <w:r w:rsidR="004051C6">
        <w:rPr>
          <w:rFonts w:ascii="Times New Roman" w:hAnsi="Times New Roman" w:cs="Times New Roman"/>
          <w:lang w:val="en-US"/>
        </w:rPr>
        <w:t>two labor</w:t>
      </w:r>
      <w:r w:rsidR="00113F3F">
        <w:rPr>
          <w:rFonts w:ascii="Times New Roman" w:hAnsi="Times New Roman" w:cs="Times New Roman"/>
          <w:lang w:val="en-US"/>
        </w:rPr>
        <w:t xml:space="preserve"> </w:t>
      </w:r>
      <w:r w:rsidR="004051C6">
        <w:rPr>
          <w:rFonts w:ascii="Times New Roman" w:hAnsi="Times New Roman" w:cs="Times New Roman"/>
          <w:lang w:val="en-US"/>
        </w:rPr>
        <w:t>standard</w:t>
      </w:r>
      <w:r w:rsidR="0068625B">
        <w:rPr>
          <w:rFonts w:ascii="Times New Roman" w:hAnsi="Times New Roman" w:cs="Times New Roman"/>
          <w:lang w:val="en-US"/>
        </w:rPr>
        <w:t>s</w:t>
      </w:r>
      <w:r w:rsidR="00113F3F">
        <w:rPr>
          <w:rFonts w:ascii="Times New Roman" w:hAnsi="Times New Roman" w:cs="Times New Roman"/>
          <w:lang w:val="en-US"/>
        </w:rPr>
        <w:t xml:space="preserve"> </w:t>
      </w:r>
      <w:r w:rsidR="006B47F0" w:rsidRPr="00D83E53">
        <w:rPr>
          <w:rFonts w:ascii="Times New Roman" w:hAnsi="Times New Roman" w:cs="Times New Roman"/>
          <w:lang w:val="en-US"/>
        </w:rPr>
        <w:t>policy dummy variables</w:t>
      </w:r>
      <w:r w:rsidR="009C4422">
        <w:rPr>
          <w:rFonts w:ascii="Times New Roman" w:hAnsi="Times New Roman" w:cs="Times New Roman"/>
          <w:lang w:val="en-US"/>
        </w:rPr>
        <w:t>, and equal to zero otherwise</w:t>
      </w:r>
      <w:r w:rsidR="006B47F0" w:rsidRPr="00D83E53">
        <w:rPr>
          <w:rFonts w:ascii="Times New Roman" w:hAnsi="Times New Roman" w:cs="Times New Roman"/>
          <w:lang w:val="en-US"/>
        </w:rPr>
        <w:t>.</w:t>
      </w:r>
      <w:r w:rsidR="001F7365" w:rsidRPr="00D83E53">
        <w:rPr>
          <w:rFonts w:ascii="Times New Roman" w:hAnsi="Times New Roman" w:cs="Times New Roman"/>
          <w:lang w:val="en-US"/>
        </w:rPr>
        <w:t xml:space="preserve"> </w:t>
      </w:r>
      <w:r w:rsidR="004051C6">
        <w:rPr>
          <w:rFonts w:ascii="Times New Roman" w:hAnsi="Times New Roman" w:cs="Times New Roman"/>
          <w:lang w:val="en-US"/>
        </w:rPr>
        <w:t>We also replace</w:t>
      </w:r>
      <w:r w:rsidR="001F7365" w:rsidRPr="00D83E53">
        <w:rPr>
          <w:rFonts w:ascii="Times New Roman" w:hAnsi="Times New Roman" w:cs="Times New Roman"/>
          <w:lang w:val="en-US"/>
        </w:rPr>
        <w:t xml:space="preserve"> the two aggregate slavery risk variables by a composite measure, </w:t>
      </w:r>
      <w:r w:rsidR="008852F4" w:rsidRPr="00955DFE">
        <w:rPr>
          <w:rFonts w:ascii="Times New Roman" w:hAnsi="Times New Roman" w:cs="Times New Roman"/>
          <w:i/>
          <w:lang w:val="en-US"/>
        </w:rPr>
        <w:t>Composite</w:t>
      </w:r>
      <w:r w:rsidR="008852F4">
        <w:rPr>
          <w:rFonts w:ascii="Times New Roman" w:hAnsi="Times New Roman" w:cs="Times New Roman"/>
          <w:lang w:val="en-US"/>
        </w:rPr>
        <w:t xml:space="preserve"> </w:t>
      </w:r>
      <w:r w:rsidR="001F7365" w:rsidRPr="00D83E53">
        <w:rPr>
          <w:rFonts w:ascii="Times New Roman" w:hAnsi="Times New Roman" w:cs="Times New Roman"/>
          <w:i/>
          <w:lang w:val="en-US"/>
        </w:rPr>
        <w:t>Industry Slavery Risk</w:t>
      </w:r>
      <w:r w:rsidR="001F7365" w:rsidRPr="00D83E53">
        <w:rPr>
          <w:rFonts w:ascii="Times New Roman" w:hAnsi="Times New Roman" w:cs="Times New Roman"/>
          <w:lang w:val="en-US"/>
        </w:rPr>
        <w:t xml:space="preserve">. This dummy variable </w:t>
      </w:r>
      <w:r w:rsidR="009C4422">
        <w:rPr>
          <w:rFonts w:ascii="Times New Roman" w:hAnsi="Times New Roman" w:cs="Times New Roman"/>
          <w:lang w:val="en-US"/>
        </w:rPr>
        <w:t xml:space="preserve">is </w:t>
      </w:r>
      <w:r w:rsidR="001F7365" w:rsidRPr="00D83E53">
        <w:rPr>
          <w:rFonts w:ascii="Times New Roman" w:hAnsi="Times New Roman" w:cs="Times New Roman"/>
          <w:lang w:val="en-US"/>
        </w:rPr>
        <w:t>equal to one (‘High’) if both of the aggregate slavery risk proxies are equal to one</w:t>
      </w:r>
      <w:r w:rsidR="009C4422">
        <w:rPr>
          <w:rFonts w:ascii="Times New Roman" w:hAnsi="Times New Roman" w:cs="Times New Roman"/>
          <w:lang w:val="en-US"/>
        </w:rPr>
        <w:t>, and equal to zero otherwise</w:t>
      </w:r>
      <w:r w:rsidR="001F7365" w:rsidRPr="00D83E53">
        <w:rPr>
          <w:rFonts w:ascii="Times New Roman" w:hAnsi="Times New Roman" w:cs="Times New Roman"/>
          <w:lang w:val="en-US"/>
        </w:rPr>
        <w:t xml:space="preserve">. </w:t>
      </w:r>
      <w:r w:rsidR="008B29C6">
        <w:rPr>
          <w:rFonts w:ascii="Times New Roman" w:hAnsi="Times New Roman" w:cs="Times New Roman"/>
          <w:lang w:val="en-US"/>
        </w:rPr>
        <w:t>F</w:t>
      </w:r>
      <w:r w:rsidR="001F7365" w:rsidRPr="00D83E53">
        <w:rPr>
          <w:rFonts w:ascii="Times New Roman" w:eastAsiaTheme="minorEastAsia" w:hAnsi="Times New Roman" w:cs="Times New Roman"/>
          <w:lang w:eastAsia="en-GB"/>
        </w:rPr>
        <w:t>or firms with high ex-ante slavery risk</w:t>
      </w:r>
      <w:r w:rsidR="00967472" w:rsidRPr="00D83E53">
        <w:rPr>
          <w:rFonts w:ascii="Times New Roman" w:eastAsiaTheme="minorEastAsia" w:hAnsi="Times New Roman" w:cs="Times New Roman"/>
          <w:lang w:eastAsia="en-GB"/>
        </w:rPr>
        <w:t xml:space="preserve"> (</w:t>
      </w:r>
      <w:r w:rsidR="008852F4" w:rsidRPr="00955DFE">
        <w:rPr>
          <w:rFonts w:ascii="Times New Roman" w:eastAsiaTheme="minorEastAsia" w:hAnsi="Times New Roman" w:cs="Times New Roman"/>
          <w:i/>
          <w:lang w:eastAsia="en-GB"/>
        </w:rPr>
        <w:t xml:space="preserve">Composite </w:t>
      </w:r>
      <w:r w:rsidR="00967472" w:rsidRPr="00D83E53">
        <w:rPr>
          <w:rFonts w:ascii="Times New Roman" w:eastAsiaTheme="minorEastAsia" w:hAnsi="Times New Roman" w:cs="Times New Roman"/>
          <w:i/>
          <w:lang w:eastAsia="en-GB"/>
        </w:rPr>
        <w:t>Firm Slavery Risk</w:t>
      </w:r>
      <w:r w:rsidR="00967472" w:rsidRPr="00D83E53">
        <w:rPr>
          <w:rFonts w:ascii="Times New Roman" w:eastAsiaTheme="minorEastAsia" w:hAnsi="Times New Roman" w:cs="Times New Roman"/>
          <w:lang w:eastAsia="en-GB"/>
        </w:rPr>
        <w:t xml:space="preserve"> =1)</w:t>
      </w:r>
      <w:r w:rsidR="001F7365" w:rsidRPr="00D83E53">
        <w:rPr>
          <w:rFonts w:ascii="Times New Roman" w:eastAsiaTheme="minorEastAsia" w:hAnsi="Times New Roman" w:cs="Times New Roman"/>
          <w:lang w:eastAsia="en-GB"/>
        </w:rPr>
        <w:t xml:space="preserve">, </w:t>
      </w:r>
      <w:r w:rsidR="008B29C6">
        <w:rPr>
          <w:rFonts w:ascii="Times New Roman" w:eastAsiaTheme="minorEastAsia" w:hAnsi="Times New Roman" w:cs="Times New Roman"/>
          <w:lang w:eastAsia="en-GB"/>
        </w:rPr>
        <w:t xml:space="preserve">we estimate that </w:t>
      </w:r>
      <w:r w:rsidR="00967472" w:rsidRPr="00D83E53">
        <w:rPr>
          <w:rFonts w:ascii="Times New Roman" w:eastAsiaTheme="minorEastAsia" w:hAnsi="Times New Roman" w:cs="Times New Roman"/>
          <w:lang w:eastAsia="en-GB"/>
        </w:rPr>
        <w:t xml:space="preserve">the </w:t>
      </w:r>
      <w:r w:rsidR="009C50ED">
        <w:rPr>
          <w:rFonts w:ascii="Times New Roman" w:eastAsiaTheme="minorEastAsia" w:hAnsi="Times New Roman" w:cs="Times New Roman"/>
          <w:lang w:eastAsia="en-GB"/>
        </w:rPr>
        <w:t xml:space="preserve">eight </w:t>
      </w:r>
      <w:r w:rsidR="00F731AA">
        <w:rPr>
          <w:rFonts w:ascii="Times New Roman" w:eastAsiaTheme="minorEastAsia" w:hAnsi="Times New Roman" w:cs="Times New Roman"/>
          <w:lang w:eastAsia="en-GB"/>
        </w:rPr>
        <w:t xml:space="preserve">events associated with a higher likelihood of </w:t>
      </w:r>
      <w:r w:rsidR="001F7365" w:rsidRPr="00D83E53">
        <w:rPr>
          <w:rFonts w:ascii="Times New Roman" w:eastAsiaTheme="minorEastAsia" w:hAnsi="Times New Roman" w:cs="Times New Roman"/>
          <w:lang w:eastAsia="en-GB"/>
        </w:rPr>
        <w:t xml:space="preserve">MSA adoption </w:t>
      </w:r>
      <w:r w:rsidR="00F731AA">
        <w:rPr>
          <w:rFonts w:ascii="Times New Roman" w:eastAsiaTheme="minorEastAsia" w:hAnsi="Times New Roman" w:cs="Times New Roman"/>
          <w:lang w:eastAsia="en-GB"/>
        </w:rPr>
        <w:t>result</w:t>
      </w:r>
      <w:r w:rsidR="00967472" w:rsidRPr="00D83E53">
        <w:rPr>
          <w:rFonts w:ascii="Times New Roman" w:eastAsiaTheme="minorEastAsia" w:hAnsi="Times New Roman" w:cs="Times New Roman"/>
          <w:lang w:eastAsia="en-GB"/>
        </w:rPr>
        <w:t xml:space="preserve"> in 2.08</w:t>
      </w:r>
      <w:r w:rsidR="001F7365" w:rsidRPr="00D83E53">
        <w:rPr>
          <w:rFonts w:ascii="Times New Roman" w:eastAsiaTheme="minorEastAsia" w:hAnsi="Times New Roman" w:cs="Times New Roman"/>
          <w:lang w:eastAsia="en-GB"/>
        </w:rPr>
        <w:t xml:space="preserve">% </w:t>
      </w:r>
      <w:r w:rsidR="00967472" w:rsidRPr="00D83E53">
        <w:rPr>
          <w:rFonts w:ascii="Times New Roman" w:eastAsiaTheme="minorEastAsia" w:hAnsi="Times New Roman" w:cs="Times New Roman"/>
          <w:lang w:eastAsia="en-GB"/>
        </w:rPr>
        <w:t xml:space="preserve">lower abnormal stock returns, translating into a market value decrease of </w:t>
      </w:r>
      <w:r w:rsidR="00487221">
        <w:rPr>
          <w:rFonts w:ascii="Times New Roman" w:eastAsiaTheme="minorEastAsia" w:hAnsi="Times New Roman" w:cs="Times New Roman"/>
          <w:lang w:eastAsia="en-GB"/>
        </w:rPr>
        <w:t>£84.25</w:t>
      </w:r>
      <w:r w:rsidR="003F2B0A">
        <w:rPr>
          <w:rFonts w:ascii="Times New Roman" w:eastAsiaTheme="minorEastAsia" w:hAnsi="Times New Roman" w:cs="Times New Roman"/>
          <w:lang w:eastAsia="en-GB"/>
        </w:rPr>
        <w:t xml:space="preserve"> million (approximately $127</w:t>
      </w:r>
      <w:r w:rsidR="008822F1" w:rsidRPr="00D83E53">
        <w:rPr>
          <w:rFonts w:ascii="Times New Roman" w:eastAsiaTheme="minorEastAsia" w:hAnsi="Times New Roman" w:cs="Times New Roman"/>
          <w:lang w:eastAsia="en-GB"/>
        </w:rPr>
        <w:t xml:space="preserve"> million) for </w:t>
      </w:r>
      <w:r w:rsidR="000905D7">
        <w:rPr>
          <w:rFonts w:ascii="Times New Roman" w:eastAsiaTheme="minorEastAsia" w:hAnsi="Times New Roman" w:cs="Times New Roman"/>
          <w:lang w:eastAsia="en-GB"/>
        </w:rPr>
        <w:t>the</w:t>
      </w:r>
      <w:r w:rsidR="008822F1" w:rsidRPr="00D83E53">
        <w:rPr>
          <w:rFonts w:ascii="Times New Roman" w:eastAsiaTheme="minorEastAsia" w:hAnsi="Times New Roman" w:cs="Times New Roman"/>
          <w:lang w:eastAsia="en-GB"/>
        </w:rPr>
        <w:t xml:space="preserve"> typical sample firm</w:t>
      </w:r>
      <w:r w:rsidR="00967472" w:rsidRPr="00D83E53">
        <w:rPr>
          <w:rFonts w:ascii="Times New Roman" w:eastAsiaTheme="minorEastAsia" w:hAnsi="Times New Roman" w:cs="Times New Roman"/>
          <w:lang w:eastAsia="en-GB"/>
        </w:rPr>
        <w:t xml:space="preserve">. </w:t>
      </w:r>
      <w:r w:rsidR="008B29C6">
        <w:rPr>
          <w:rFonts w:ascii="Times New Roman" w:eastAsiaTheme="minorEastAsia" w:hAnsi="Times New Roman" w:cs="Times New Roman"/>
          <w:lang w:eastAsia="en-GB"/>
        </w:rPr>
        <w:t xml:space="preserve">Furthermore, </w:t>
      </w:r>
      <w:r w:rsidR="004051C6">
        <w:rPr>
          <w:rFonts w:ascii="Times New Roman" w:eastAsiaTheme="minorEastAsia" w:hAnsi="Times New Roman" w:cs="Times New Roman"/>
          <w:lang w:eastAsia="en-GB"/>
        </w:rPr>
        <w:t xml:space="preserve">we estimate that </w:t>
      </w:r>
      <w:r w:rsidR="003F2B0A">
        <w:rPr>
          <w:rFonts w:ascii="Times New Roman" w:eastAsiaTheme="minorEastAsia" w:hAnsi="Times New Roman" w:cs="Times New Roman"/>
          <w:lang w:eastAsia="en-GB"/>
        </w:rPr>
        <w:t>having high ex-ante</w:t>
      </w:r>
      <w:r w:rsidR="00967472" w:rsidRPr="00D83E53">
        <w:rPr>
          <w:rFonts w:ascii="Times New Roman" w:eastAsiaTheme="minorEastAsia" w:hAnsi="Times New Roman" w:cs="Times New Roman"/>
          <w:lang w:eastAsia="en-GB"/>
        </w:rPr>
        <w:t xml:space="preserve"> industry-wide slavery risk (</w:t>
      </w:r>
      <w:r w:rsidR="008852F4" w:rsidRPr="00955DFE">
        <w:rPr>
          <w:rFonts w:ascii="Times New Roman" w:eastAsiaTheme="minorEastAsia" w:hAnsi="Times New Roman" w:cs="Times New Roman"/>
          <w:i/>
          <w:lang w:eastAsia="en-GB"/>
        </w:rPr>
        <w:t>Composite</w:t>
      </w:r>
      <w:r w:rsidR="008852F4">
        <w:rPr>
          <w:rFonts w:ascii="Times New Roman" w:eastAsiaTheme="minorEastAsia" w:hAnsi="Times New Roman" w:cs="Times New Roman"/>
          <w:lang w:eastAsia="en-GB"/>
        </w:rPr>
        <w:t xml:space="preserve"> </w:t>
      </w:r>
      <w:r w:rsidR="00967472" w:rsidRPr="00D83E53">
        <w:rPr>
          <w:rFonts w:ascii="Times New Roman" w:eastAsiaTheme="minorEastAsia" w:hAnsi="Times New Roman" w:cs="Times New Roman"/>
          <w:i/>
          <w:lang w:eastAsia="en-GB"/>
        </w:rPr>
        <w:t>Industry Slavery Risk</w:t>
      </w:r>
      <w:r w:rsidR="00967472" w:rsidRPr="00D83E53">
        <w:rPr>
          <w:rFonts w:ascii="Times New Roman" w:eastAsiaTheme="minorEastAsia" w:hAnsi="Times New Roman" w:cs="Times New Roman"/>
          <w:lang w:eastAsia="en-GB"/>
        </w:rPr>
        <w:t xml:space="preserve"> = 1) is associated with 2.01% higher abnormal stock returns</w:t>
      </w:r>
      <w:r w:rsidR="009C50ED">
        <w:rPr>
          <w:rFonts w:ascii="Times New Roman" w:eastAsiaTheme="minorEastAsia" w:hAnsi="Times New Roman" w:cs="Times New Roman"/>
          <w:lang w:eastAsia="en-GB"/>
        </w:rPr>
        <w:t xml:space="preserve"> around the eight MSA adoption events</w:t>
      </w:r>
      <w:r w:rsidR="008822F1" w:rsidRPr="00D83E53">
        <w:rPr>
          <w:rFonts w:ascii="Times New Roman" w:eastAsiaTheme="minorEastAsia" w:hAnsi="Times New Roman" w:cs="Times New Roman"/>
          <w:lang w:eastAsia="en-GB"/>
        </w:rPr>
        <w:t>, translating int</w:t>
      </w:r>
      <w:r w:rsidR="003F2B0A">
        <w:rPr>
          <w:rFonts w:ascii="Times New Roman" w:eastAsiaTheme="minorEastAsia" w:hAnsi="Times New Roman" w:cs="Times New Roman"/>
          <w:lang w:eastAsia="en-GB"/>
        </w:rPr>
        <w:t>o a market value increase of £69.76</w:t>
      </w:r>
      <w:r w:rsidR="008822F1" w:rsidRPr="00D83E53">
        <w:rPr>
          <w:rFonts w:ascii="Times New Roman" w:eastAsiaTheme="minorEastAsia" w:hAnsi="Times New Roman" w:cs="Times New Roman"/>
          <w:lang w:eastAsia="en-GB"/>
        </w:rPr>
        <w:t xml:space="preserve"> million (approximately </w:t>
      </w:r>
      <w:r w:rsidR="000905D7">
        <w:rPr>
          <w:rFonts w:ascii="Times New Roman" w:eastAsiaTheme="minorEastAsia" w:hAnsi="Times New Roman" w:cs="Times New Roman"/>
          <w:lang w:eastAsia="en-GB"/>
        </w:rPr>
        <w:t>$</w:t>
      </w:r>
      <w:r w:rsidR="003F2B0A">
        <w:rPr>
          <w:rFonts w:ascii="Times New Roman" w:eastAsiaTheme="minorEastAsia" w:hAnsi="Times New Roman" w:cs="Times New Roman"/>
          <w:lang w:eastAsia="en-GB"/>
        </w:rPr>
        <w:t>105</w:t>
      </w:r>
      <w:r w:rsidR="000905D7">
        <w:rPr>
          <w:rFonts w:ascii="Times New Roman" w:eastAsiaTheme="minorEastAsia" w:hAnsi="Times New Roman" w:cs="Times New Roman"/>
          <w:lang w:eastAsia="en-GB"/>
        </w:rPr>
        <w:t xml:space="preserve"> million) for the</w:t>
      </w:r>
      <w:r w:rsidR="008822F1" w:rsidRPr="00D83E53">
        <w:rPr>
          <w:rFonts w:ascii="Times New Roman" w:eastAsiaTheme="minorEastAsia" w:hAnsi="Times New Roman" w:cs="Times New Roman"/>
          <w:lang w:eastAsia="en-GB"/>
        </w:rPr>
        <w:t xml:space="preserve"> typical sample firm</w:t>
      </w:r>
      <w:r w:rsidR="00967472" w:rsidRPr="00D83E53">
        <w:rPr>
          <w:rFonts w:ascii="Times New Roman" w:eastAsiaTheme="minorEastAsia" w:hAnsi="Times New Roman" w:cs="Times New Roman"/>
          <w:lang w:eastAsia="en-GB"/>
        </w:rPr>
        <w:t>.</w:t>
      </w:r>
      <w:r w:rsidR="009C50ED">
        <w:rPr>
          <w:rStyle w:val="FootnoteReference"/>
          <w:rFonts w:ascii="Times New Roman" w:eastAsiaTheme="minorEastAsia" w:hAnsi="Times New Roman" w:cs="Times New Roman"/>
          <w:lang w:eastAsia="en-GB"/>
        </w:rPr>
        <w:footnoteReference w:id="12"/>
      </w:r>
      <w:r w:rsidR="00967472" w:rsidRPr="00D83E53">
        <w:rPr>
          <w:rFonts w:ascii="Times New Roman" w:eastAsiaTheme="minorEastAsia" w:hAnsi="Times New Roman" w:cs="Times New Roman"/>
          <w:lang w:eastAsia="en-GB"/>
        </w:rPr>
        <w:t xml:space="preserve"> </w:t>
      </w:r>
      <w:r w:rsidR="009C50ED">
        <w:rPr>
          <w:rFonts w:ascii="Times New Roman" w:eastAsiaTheme="minorEastAsia" w:hAnsi="Times New Roman" w:cs="Times New Roman"/>
          <w:lang w:eastAsia="en-GB"/>
        </w:rPr>
        <w:t>The benefits of having low firm-specific slavery risk might be stronger in business environments with higher slavery risk. To test this prediction, Column (3) repeats the an</w:t>
      </w:r>
      <w:r w:rsidR="000905D7">
        <w:rPr>
          <w:rFonts w:ascii="Times New Roman" w:eastAsiaTheme="minorEastAsia" w:hAnsi="Times New Roman" w:cs="Times New Roman"/>
          <w:lang w:eastAsia="en-GB"/>
        </w:rPr>
        <w:t xml:space="preserve">alysis in Column (2) with </w:t>
      </w:r>
      <w:r w:rsidR="009C50ED">
        <w:rPr>
          <w:rFonts w:ascii="Times New Roman" w:eastAsiaTheme="minorEastAsia" w:hAnsi="Times New Roman" w:cs="Times New Roman"/>
          <w:lang w:eastAsia="en-GB"/>
        </w:rPr>
        <w:t xml:space="preserve">an interaction term between the two composite slavery risk measures. We do not find a significant </w:t>
      </w:r>
      <w:r w:rsidR="000905D7">
        <w:rPr>
          <w:rFonts w:ascii="Times New Roman" w:eastAsiaTheme="minorEastAsia" w:hAnsi="Times New Roman" w:cs="Times New Roman"/>
          <w:lang w:eastAsia="en-GB"/>
        </w:rPr>
        <w:t>interaction effect</w:t>
      </w:r>
      <w:r w:rsidR="009C50ED">
        <w:rPr>
          <w:rFonts w:ascii="Times New Roman" w:eastAsiaTheme="minorEastAsia" w:hAnsi="Times New Roman" w:cs="Times New Roman"/>
          <w:lang w:eastAsia="en-GB"/>
        </w:rPr>
        <w:t xml:space="preserve">, suggesting that the </w:t>
      </w:r>
      <w:r w:rsidR="008B29C6">
        <w:rPr>
          <w:rFonts w:ascii="Times New Roman" w:eastAsiaTheme="minorEastAsia" w:hAnsi="Times New Roman" w:cs="Times New Roman"/>
          <w:lang w:eastAsia="en-GB"/>
        </w:rPr>
        <w:t>advantages</w:t>
      </w:r>
      <w:r w:rsidR="009C50ED">
        <w:rPr>
          <w:rFonts w:ascii="Times New Roman" w:eastAsiaTheme="minorEastAsia" w:hAnsi="Times New Roman" w:cs="Times New Roman"/>
          <w:lang w:eastAsia="en-GB"/>
        </w:rPr>
        <w:t xml:space="preserve"> of </w:t>
      </w:r>
      <w:r w:rsidR="004051C6">
        <w:rPr>
          <w:rFonts w:ascii="Times New Roman" w:eastAsiaTheme="minorEastAsia" w:hAnsi="Times New Roman" w:cs="Times New Roman"/>
          <w:lang w:eastAsia="en-GB"/>
        </w:rPr>
        <w:t xml:space="preserve">having </w:t>
      </w:r>
      <w:r w:rsidR="009C50ED">
        <w:rPr>
          <w:rFonts w:ascii="Times New Roman" w:eastAsiaTheme="minorEastAsia" w:hAnsi="Times New Roman" w:cs="Times New Roman"/>
          <w:lang w:eastAsia="en-GB"/>
        </w:rPr>
        <w:t xml:space="preserve">low firm-specific slavery risk are not restricted to certain industry types. </w:t>
      </w:r>
    </w:p>
    <w:p w14:paraId="119954D5" w14:textId="4C24C6AD" w:rsidR="005D1EF9" w:rsidRPr="00622F6C" w:rsidRDefault="00672121" w:rsidP="009404B8">
      <w:pPr>
        <w:spacing w:after="0" w:line="480" w:lineRule="auto"/>
        <w:ind w:firstLine="426"/>
        <w:contextualSpacing/>
        <w:jc w:val="both"/>
        <w:rPr>
          <w:rFonts w:ascii="Times New Roman" w:hAnsi="Times New Roman" w:cs="Times New Roman"/>
          <w:lang w:val="en-US"/>
        </w:rPr>
      </w:pPr>
      <w:r w:rsidRPr="00622F6C">
        <w:rPr>
          <w:rFonts w:ascii="Times New Roman" w:hAnsi="Times New Roman" w:cs="Times New Roman"/>
          <w:lang w:val="en-US"/>
        </w:rPr>
        <w:t xml:space="preserve">The </w:t>
      </w:r>
      <w:r w:rsidR="00D91B54">
        <w:rPr>
          <w:rFonts w:ascii="Times New Roman" w:hAnsi="Times New Roman" w:cs="Times New Roman"/>
          <w:lang w:val="en-US"/>
        </w:rPr>
        <w:t>remaining</w:t>
      </w:r>
      <w:r w:rsidRPr="00622F6C">
        <w:rPr>
          <w:rFonts w:ascii="Times New Roman" w:hAnsi="Times New Roman" w:cs="Times New Roman"/>
          <w:lang w:val="en-US"/>
        </w:rPr>
        <w:t xml:space="preserve"> </w:t>
      </w:r>
      <w:r w:rsidR="00AF75B0" w:rsidRPr="00622F6C">
        <w:rPr>
          <w:rFonts w:ascii="Times New Roman" w:hAnsi="Times New Roman" w:cs="Times New Roman"/>
          <w:lang w:val="en-US"/>
        </w:rPr>
        <w:t>columns of Table 5</w:t>
      </w:r>
      <w:r w:rsidR="00C56D51">
        <w:rPr>
          <w:rFonts w:ascii="Times New Roman" w:hAnsi="Times New Roman" w:cs="Times New Roman"/>
          <w:lang w:val="en-US"/>
        </w:rPr>
        <w:t xml:space="preserve"> </w:t>
      </w:r>
      <w:r w:rsidR="002E32FE">
        <w:rPr>
          <w:rFonts w:ascii="Times New Roman" w:hAnsi="Times New Roman" w:cs="Times New Roman"/>
          <w:lang w:val="en-US"/>
        </w:rPr>
        <w:t>show robustness of the baseline result to the inclusion of additional control variables</w:t>
      </w:r>
      <w:r w:rsidR="00072A49" w:rsidRPr="00622F6C">
        <w:rPr>
          <w:rFonts w:ascii="Times New Roman" w:hAnsi="Times New Roman" w:cs="Times New Roman"/>
          <w:lang w:val="en-US"/>
        </w:rPr>
        <w:t xml:space="preserve">. </w:t>
      </w:r>
      <w:r w:rsidR="009D3348">
        <w:rPr>
          <w:rFonts w:ascii="Times New Roman" w:hAnsi="Times New Roman" w:cs="Times New Roman"/>
          <w:lang w:val="en-US"/>
        </w:rPr>
        <w:t>A</w:t>
      </w:r>
      <w:r w:rsidR="009D3348" w:rsidRPr="00622F6C">
        <w:rPr>
          <w:rFonts w:ascii="Times New Roman" w:hAnsi="Times New Roman" w:cs="Times New Roman"/>
          <w:lang w:val="en-US"/>
        </w:rPr>
        <w:t>ll control variables</w:t>
      </w:r>
      <w:r w:rsidR="00DC15D1">
        <w:rPr>
          <w:rFonts w:ascii="Times New Roman" w:hAnsi="Times New Roman" w:cs="Times New Roman"/>
          <w:lang w:val="en-US"/>
        </w:rPr>
        <w:t xml:space="preserve"> </w:t>
      </w:r>
      <w:r w:rsidR="009D3348">
        <w:rPr>
          <w:rFonts w:ascii="Times New Roman" w:hAnsi="Times New Roman" w:cs="Times New Roman"/>
          <w:lang w:val="en-US"/>
        </w:rPr>
        <w:t xml:space="preserve">are defined </w:t>
      </w:r>
      <w:r w:rsidR="009D3348" w:rsidRPr="00622F6C">
        <w:rPr>
          <w:rFonts w:ascii="Times New Roman" w:hAnsi="Times New Roman" w:cs="Times New Roman"/>
          <w:lang w:val="en-US"/>
        </w:rPr>
        <w:t xml:space="preserve">in the </w:t>
      </w:r>
      <w:r w:rsidR="009D3348">
        <w:rPr>
          <w:rFonts w:ascii="Times New Roman" w:hAnsi="Times New Roman" w:cs="Times New Roman"/>
          <w:lang w:val="en-US"/>
        </w:rPr>
        <w:t>a</w:t>
      </w:r>
      <w:r w:rsidR="009D3348" w:rsidRPr="00622F6C">
        <w:rPr>
          <w:rFonts w:ascii="Times New Roman" w:hAnsi="Times New Roman" w:cs="Times New Roman"/>
          <w:lang w:val="en-US"/>
        </w:rPr>
        <w:t>ppendix.</w:t>
      </w:r>
      <w:r w:rsidR="00A64B06">
        <w:rPr>
          <w:rFonts w:ascii="Times New Roman" w:hAnsi="Times New Roman" w:cs="Times New Roman"/>
          <w:lang w:val="en-US"/>
        </w:rPr>
        <w:t xml:space="preserve"> </w:t>
      </w:r>
      <w:r w:rsidR="00DC15D1">
        <w:rPr>
          <w:rFonts w:ascii="Times New Roman" w:hAnsi="Times New Roman" w:cs="Times New Roman"/>
          <w:lang w:val="en-US"/>
        </w:rPr>
        <w:t>Column (4</w:t>
      </w:r>
      <w:r w:rsidR="00CF0147" w:rsidRPr="00622F6C">
        <w:rPr>
          <w:rFonts w:ascii="Times New Roman" w:hAnsi="Times New Roman" w:cs="Times New Roman"/>
          <w:lang w:val="en-US"/>
        </w:rPr>
        <w:t xml:space="preserve">) </w:t>
      </w:r>
      <w:r w:rsidRPr="00622F6C">
        <w:rPr>
          <w:rFonts w:ascii="Times New Roman" w:hAnsi="Times New Roman" w:cs="Times New Roman"/>
          <w:lang w:val="en-US"/>
        </w:rPr>
        <w:t xml:space="preserve">re-estimates the baseline regression </w:t>
      </w:r>
      <w:r w:rsidR="009A7656" w:rsidRPr="00622F6C">
        <w:rPr>
          <w:rFonts w:ascii="Times New Roman" w:hAnsi="Times New Roman" w:cs="Times New Roman"/>
          <w:lang w:val="en-US"/>
        </w:rPr>
        <w:t xml:space="preserve">adding </w:t>
      </w:r>
      <w:bookmarkStart w:id="71" w:name="_Hlk523998322"/>
      <w:r w:rsidR="009A7656" w:rsidRPr="00622F6C">
        <w:rPr>
          <w:rFonts w:ascii="Times New Roman" w:hAnsi="Times New Roman" w:cs="Times New Roman"/>
          <w:i/>
          <w:lang w:val="en-US"/>
        </w:rPr>
        <w:t>Average Industry EBIT</w:t>
      </w:r>
      <w:bookmarkEnd w:id="71"/>
      <w:r w:rsidR="009A7656" w:rsidRPr="00622F6C">
        <w:rPr>
          <w:rFonts w:ascii="Times New Roman" w:hAnsi="Times New Roman" w:cs="Times New Roman"/>
          <w:lang w:val="en-US"/>
        </w:rPr>
        <w:t>, which captures</w:t>
      </w:r>
      <w:r w:rsidRPr="00622F6C">
        <w:rPr>
          <w:rFonts w:ascii="Times New Roman" w:hAnsi="Times New Roman" w:cs="Times New Roman"/>
          <w:lang w:val="en-US"/>
        </w:rPr>
        <w:t xml:space="preserve"> the profitability of </w:t>
      </w:r>
      <w:r w:rsidR="002B2D30">
        <w:rPr>
          <w:rFonts w:ascii="Times New Roman" w:hAnsi="Times New Roman" w:cs="Times New Roman"/>
          <w:lang w:val="en-US"/>
        </w:rPr>
        <w:t>a firm’s</w:t>
      </w:r>
      <w:r w:rsidR="002B2D30" w:rsidRPr="00622F6C">
        <w:rPr>
          <w:rFonts w:ascii="Times New Roman" w:hAnsi="Times New Roman" w:cs="Times New Roman"/>
          <w:lang w:val="en-US"/>
        </w:rPr>
        <w:t xml:space="preserve"> </w:t>
      </w:r>
      <w:r w:rsidRPr="00622F6C">
        <w:rPr>
          <w:rFonts w:ascii="Times New Roman" w:hAnsi="Times New Roman" w:cs="Times New Roman"/>
          <w:lang w:val="en-US"/>
        </w:rPr>
        <w:t xml:space="preserve">three-digit SIC industry. </w:t>
      </w:r>
      <w:r w:rsidR="00072A49" w:rsidRPr="00622F6C">
        <w:rPr>
          <w:rFonts w:ascii="Times New Roman" w:hAnsi="Times New Roman" w:cs="Times New Roman"/>
          <w:lang w:val="en-US"/>
        </w:rPr>
        <w:t>M</w:t>
      </w:r>
      <w:r w:rsidRPr="00622F6C">
        <w:rPr>
          <w:rFonts w:ascii="Times New Roman" w:hAnsi="Times New Roman" w:cs="Times New Roman"/>
          <w:lang w:val="en-US"/>
        </w:rPr>
        <w:t>ore profitable industries might have a higher likelihood of being targeted by</w:t>
      </w:r>
      <w:r w:rsidR="00072A49" w:rsidRPr="00622F6C">
        <w:rPr>
          <w:rFonts w:ascii="Times New Roman" w:hAnsi="Times New Roman" w:cs="Times New Roman"/>
          <w:lang w:val="en-US"/>
        </w:rPr>
        <w:t xml:space="preserve"> various</w:t>
      </w:r>
      <w:r w:rsidRPr="00622F6C">
        <w:rPr>
          <w:rFonts w:ascii="Times New Roman" w:hAnsi="Times New Roman" w:cs="Times New Roman"/>
          <w:lang w:val="en-US"/>
        </w:rPr>
        <w:t xml:space="preserve"> stakeholders</w:t>
      </w:r>
      <w:r w:rsidR="00072A49" w:rsidRPr="00622F6C">
        <w:rPr>
          <w:rFonts w:ascii="Times New Roman" w:hAnsi="Times New Roman" w:cs="Times New Roman"/>
          <w:lang w:val="en-US"/>
        </w:rPr>
        <w:t>, and therefore face higher political costs associated with additional disclosure requirements</w:t>
      </w:r>
      <w:r w:rsidRPr="00622F6C">
        <w:rPr>
          <w:rFonts w:ascii="Times New Roman" w:hAnsi="Times New Roman" w:cs="Times New Roman"/>
          <w:lang w:val="en-US"/>
        </w:rPr>
        <w:t xml:space="preserve"> (Grewal et al., 2018). </w:t>
      </w:r>
      <w:r w:rsidR="009D3348">
        <w:rPr>
          <w:rFonts w:ascii="Times New Roman" w:hAnsi="Times New Roman" w:cs="Times New Roman"/>
          <w:lang w:val="en-US"/>
        </w:rPr>
        <w:t xml:space="preserve">We also add </w:t>
      </w:r>
      <w:r w:rsidR="009D3348" w:rsidRPr="009D3348">
        <w:rPr>
          <w:rFonts w:ascii="Times New Roman" w:hAnsi="Times New Roman" w:cs="Times New Roman"/>
          <w:i/>
          <w:lang w:val="en-US"/>
        </w:rPr>
        <w:t>Leverage</w:t>
      </w:r>
      <w:r w:rsidR="00786539">
        <w:rPr>
          <w:rFonts w:ascii="Times New Roman" w:hAnsi="Times New Roman" w:cs="Times New Roman"/>
          <w:lang w:val="en-US"/>
        </w:rPr>
        <w:t xml:space="preserve"> and </w:t>
      </w:r>
      <w:r w:rsidR="00786539" w:rsidRPr="00786539">
        <w:rPr>
          <w:rFonts w:ascii="Times New Roman" w:hAnsi="Times New Roman" w:cs="Times New Roman"/>
          <w:i/>
          <w:lang w:val="en-US"/>
        </w:rPr>
        <w:t>Market to Book</w:t>
      </w:r>
      <w:r w:rsidR="009D3348">
        <w:rPr>
          <w:rFonts w:ascii="Times New Roman" w:hAnsi="Times New Roman" w:cs="Times New Roman"/>
          <w:lang w:val="en-US"/>
        </w:rPr>
        <w:t>, two control variables suggested in the event study of Hendricks et al. (2009), on the right-hand side. These three variables are not significant, with the other regression results remaining similar to</w:t>
      </w:r>
      <w:r w:rsidR="00DC15D1">
        <w:rPr>
          <w:rFonts w:ascii="Times New Roman" w:hAnsi="Times New Roman" w:cs="Times New Roman"/>
          <w:lang w:val="en-US"/>
        </w:rPr>
        <w:t xml:space="preserve"> those in Column (1). Columns </w:t>
      </w:r>
      <w:r w:rsidR="00DC15D1">
        <w:rPr>
          <w:rFonts w:ascii="Times New Roman" w:hAnsi="Times New Roman" w:cs="Times New Roman"/>
          <w:lang w:val="en-US"/>
        </w:rPr>
        <w:lastRenderedPageBreak/>
        <w:t>(5) and (6</w:t>
      </w:r>
      <w:r w:rsidR="00C66EA3" w:rsidRPr="00622F6C">
        <w:rPr>
          <w:rFonts w:ascii="Times New Roman" w:hAnsi="Times New Roman" w:cs="Times New Roman"/>
          <w:lang w:val="en-US"/>
        </w:rPr>
        <w:t xml:space="preserve">) examine whether investors </w:t>
      </w:r>
      <w:r w:rsidR="00FB1DAE" w:rsidRPr="00622F6C">
        <w:rPr>
          <w:rFonts w:ascii="Times New Roman" w:hAnsi="Times New Roman" w:cs="Times New Roman"/>
          <w:lang w:val="en-US"/>
        </w:rPr>
        <w:t xml:space="preserve">consider more general measures of CSR </w:t>
      </w:r>
      <w:r w:rsidR="005C0658">
        <w:rPr>
          <w:rFonts w:ascii="Times New Roman" w:hAnsi="Times New Roman" w:cs="Times New Roman"/>
          <w:lang w:val="en-US"/>
        </w:rPr>
        <w:t xml:space="preserve">activity </w:t>
      </w:r>
      <w:r w:rsidR="00C66EA3" w:rsidRPr="00622F6C">
        <w:rPr>
          <w:rFonts w:ascii="Times New Roman" w:hAnsi="Times New Roman" w:cs="Times New Roman"/>
          <w:lang w:val="en-US"/>
        </w:rPr>
        <w:t xml:space="preserve">when assessing the benefits and costs of the MSA for individual firms. </w:t>
      </w:r>
      <w:r w:rsidR="00DC15D1">
        <w:rPr>
          <w:rFonts w:ascii="Times New Roman" w:hAnsi="Times New Roman" w:cs="Times New Roman"/>
          <w:lang w:val="en-US"/>
        </w:rPr>
        <w:t>Column (5</w:t>
      </w:r>
      <w:r w:rsidR="00B903B4" w:rsidRPr="00622F6C">
        <w:rPr>
          <w:rFonts w:ascii="Times New Roman" w:hAnsi="Times New Roman" w:cs="Times New Roman"/>
          <w:lang w:val="en-US"/>
        </w:rPr>
        <w:t xml:space="preserve">) adds </w:t>
      </w:r>
      <w:bookmarkStart w:id="72" w:name="_Hlk523998550"/>
      <w:r w:rsidR="00B903B4" w:rsidRPr="00622F6C">
        <w:rPr>
          <w:rFonts w:ascii="Times New Roman" w:hAnsi="Times New Roman" w:cs="Times New Roman"/>
          <w:i/>
          <w:lang w:val="en-US"/>
        </w:rPr>
        <w:t>CSR Performance</w:t>
      </w:r>
      <w:bookmarkEnd w:id="72"/>
      <w:r w:rsidR="00B903B4" w:rsidRPr="00622F6C">
        <w:rPr>
          <w:rFonts w:ascii="Times New Roman" w:hAnsi="Times New Roman" w:cs="Times New Roman"/>
          <w:lang w:val="en-US"/>
        </w:rPr>
        <w:t>, as captured by an ESG performance score obtained from TR ESG</w:t>
      </w:r>
      <w:r w:rsidR="00624E02">
        <w:rPr>
          <w:rFonts w:ascii="Times New Roman" w:hAnsi="Times New Roman" w:cs="Times New Roman"/>
          <w:lang w:val="en-US"/>
        </w:rPr>
        <w:t xml:space="preserve">. We omit </w:t>
      </w:r>
      <w:r w:rsidR="00624E02" w:rsidRPr="00624E02">
        <w:rPr>
          <w:rFonts w:ascii="Times New Roman" w:hAnsi="Times New Roman" w:cs="Times New Roman"/>
          <w:i/>
          <w:lang w:val="en-US"/>
        </w:rPr>
        <w:t>CSR Disclosure</w:t>
      </w:r>
      <w:r w:rsidR="00624E02">
        <w:rPr>
          <w:rFonts w:ascii="Times New Roman" w:hAnsi="Times New Roman" w:cs="Times New Roman"/>
          <w:lang w:val="en-US"/>
        </w:rPr>
        <w:t xml:space="preserve"> from this regression, as it is by construction included in </w:t>
      </w:r>
      <w:r w:rsidR="00624E02" w:rsidRPr="00624E02">
        <w:rPr>
          <w:rFonts w:ascii="Times New Roman" w:hAnsi="Times New Roman" w:cs="Times New Roman"/>
          <w:i/>
          <w:lang w:val="en-US"/>
        </w:rPr>
        <w:t>CSR Performance</w:t>
      </w:r>
      <w:r w:rsidR="00B903B4" w:rsidRPr="00622F6C">
        <w:rPr>
          <w:rFonts w:ascii="Times New Roman" w:hAnsi="Times New Roman" w:cs="Times New Roman"/>
          <w:lang w:val="en-US"/>
        </w:rPr>
        <w:t xml:space="preserve">. </w:t>
      </w:r>
      <w:r w:rsidR="00C66EA3" w:rsidRPr="00622F6C">
        <w:rPr>
          <w:rFonts w:ascii="Times New Roman" w:hAnsi="Times New Roman" w:cs="Times New Roman"/>
          <w:lang w:val="en-US"/>
        </w:rPr>
        <w:t>T</w:t>
      </w:r>
      <w:r w:rsidR="00BB227D" w:rsidRPr="00622F6C">
        <w:rPr>
          <w:rFonts w:ascii="Times New Roman" w:hAnsi="Times New Roman" w:cs="Times New Roman"/>
          <w:lang w:val="en-US"/>
        </w:rPr>
        <w:t xml:space="preserve">he coefficient on </w:t>
      </w:r>
      <w:r w:rsidR="00BB227D" w:rsidRPr="00622F6C">
        <w:rPr>
          <w:rFonts w:ascii="Times New Roman" w:hAnsi="Times New Roman" w:cs="Times New Roman"/>
          <w:i/>
          <w:lang w:val="en-US"/>
        </w:rPr>
        <w:t>CSR Performance</w:t>
      </w:r>
      <w:r w:rsidR="00BB227D" w:rsidRPr="00622F6C">
        <w:rPr>
          <w:rFonts w:ascii="Times New Roman" w:hAnsi="Times New Roman" w:cs="Times New Roman"/>
          <w:lang w:val="en-US"/>
        </w:rPr>
        <w:t xml:space="preserve"> is insignificant</w:t>
      </w:r>
      <w:r w:rsidR="00FB1DAE" w:rsidRPr="00622F6C">
        <w:rPr>
          <w:rFonts w:ascii="Times New Roman" w:hAnsi="Times New Roman" w:cs="Times New Roman"/>
          <w:lang w:val="en-US"/>
        </w:rPr>
        <w:t xml:space="preserve">, suggesting investors do not consider firms’ </w:t>
      </w:r>
      <w:r w:rsidR="00AF75B0" w:rsidRPr="00622F6C">
        <w:rPr>
          <w:rFonts w:ascii="Times New Roman" w:hAnsi="Times New Roman" w:cs="Times New Roman"/>
          <w:lang w:val="en-US"/>
        </w:rPr>
        <w:t xml:space="preserve">overall </w:t>
      </w:r>
      <w:r w:rsidR="00FB1DAE" w:rsidRPr="00622F6C">
        <w:rPr>
          <w:rFonts w:ascii="Times New Roman" w:hAnsi="Times New Roman" w:cs="Times New Roman"/>
          <w:lang w:val="en-US"/>
        </w:rPr>
        <w:t>CSR activity in reacti</w:t>
      </w:r>
      <w:r w:rsidR="009D4656">
        <w:rPr>
          <w:rFonts w:ascii="Times New Roman" w:hAnsi="Times New Roman" w:cs="Times New Roman"/>
          <w:lang w:val="en-US"/>
        </w:rPr>
        <w:t>ng</w:t>
      </w:r>
      <w:r w:rsidR="00FB1DAE" w:rsidRPr="00622F6C">
        <w:rPr>
          <w:rFonts w:ascii="Times New Roman" w:hAnsi="Times New Roman" w:cs="Times New Roman"/>
          <w:lang w:val="en-US"/>
        </w:rPr>
        <w:t xml:space="preserve"> to the MSA. </w:t>
      </w:r>
      <w:r w:rsidR="00DC15D1">
        <w:rPr>
          <w:rFonts w:ascii="Times New Roman" w:hAnsi="Times New Roman" w:cs="Times New Roman"/>
          <w:lang w:val="en-US"/>
        </w:rPr>
        <w:t>Column (6</w:t>
      </w:r>
      <w:r w:rsidR="009404B8" w:rsidRPr="00622F6C">
        <w:rPr>
          <w:rFonts w:ascii="Times New Roman" w:hAnsi="Times New Roman" w:cs="Times New Roman"/>
          <w:lang w:val="en-US"/>
        </w:rPr>
        <w:t xml:space="preserve">) adds </w:t>
      </w:r>
      <w:bookmarkStart w:id="73" w:name="_Hlk523998406"/>
      <w:r w:rsidR="009404B8" w:rsidRPr="00622F6C">
        <w:rPr>
          <w:rFonts w:ascii="Times New Roman" w:hAnsi="Times New Roman" w:cs="Times New Roman"/>
          <w:i/>
          <w:lang w:val="en-US"/>
        </w:rPr>
        <w:t>CSR Controversies</w:t>
      </w:r>
      <w:r w:rsidR="009404B8" w:rsidRPr="00622F6C">
        <w:rPr>
          <w:rFonts w:ascii="Times New Roman" w:hAnsi="Times New Roman" w:cs="Times New Roman"/>
          <w:lang w:val="en-US"/>
        </w:rPr>
        <w:t xml:space="preserve"> </w:t>
      </w:r>
      <w:bookmarkEnd w:id="73"/>
      <w:r w:rsidR="009404B8" w:rsidRPr="00622F6C">
        <w:rPr>
          <w:rFonts w:ascii="Times New Roman" w:hAnsi="Times New Roman" w:cs="Times New Roman"/>
          <w:lang w:val="en-US"/>
        </w:rPr>
        <w:t xml:space="preserve">(obtained from TR ESG), with a higher score reflecting more negative ESG-related news stories (‘controversies’) about a firm. We find this variable </w:t>
      </w:r>
      <w:r w:rsidR="009404B8">
        <w:rPr>
          <w:rFonts w:ascii="Times New Roman" w:hAnsi="Times New Roman" w:cs="Times New Roman"/>
          <w:lang w:val="en-US"/>
        </w:rPr>
        <w:t xml:space="preserve">has </w:t>
      </w:r>
      <w:r w:rsidR="009404B8" w:rsidRPr="00622F6C">
        <w:rPr>
          <w:rFonts w:ascii="Times New Roman" w:hAnsi="Times New Roman" w:cs="Times New Roman"/>
          <w:lang w:val="en-US"/>
        </w:rPr>
        <w:t>a negative impact (</w:t>
      </w:r>
      <w:r w:rsidR="009404B8" w:rsidRPr="00622F6C">
        <w:rPr>
          <w:rFonts w:ascii="Times New Roman" w:hAnsi="Times New Roman" w:cs="Times New Roman"/>
          <w:i/>
          <w:lang w:val="en-US"/>
        </w:rPr>
        <w:t>p</w:t>
      </w:r>
      <w:r w:rsidR="009404B8" w:rsidRPr="00622F6C">
        <w:rPr>
          <w:rFonts w:ascii="Times New Roman" w:hAnsi="Times New Roman" w:cs="Times New Roman"/>
          <w:lang w:val="en-US"/>
        </w:rPr>
        <w:t xml:space="preserve">-value &lt; 0.05). Thus, in addition to social issues connected </w:t>
      </w:r>
      <w:r w:rsidR="009404B8">
        <w:rPr>
          <w:rFonts w:ascii="Times New Roman" w:hAnsi="Times New Roman" w:cs="Times New Roman"/>
          <w:lang w:val="en-US"/>
        </w:rPr>
        <w:t>to</w:t>
      </w:r>
      <w:r w:rsidR="009404B8" w:rsidRPr="00622F6C">
        <w:rPr>
          <w:rFonts w:ascii="Times New Roman" w:hAnsi="Times New Roman" w:cs="Times New Roman"/>
          <w:lang w:val="en-US"/>
        </w:rPr>
        <w:t xml:space="preserve"> the firm (captured by </w:t>
      </w:r>
      <w:r w:rsidR="009404B8" w:rsidRPr="00622F6C">
        <w:rPr>
          <w:rFonts w:ascii="Times New Roman" w:hAnsi="Times New Roman" w:cs="Times New Roman"/>
          <w:i/>
          <w:lang w:val="en-US"/>
        </w:rPr>
        <w:t>Social Incidents</w:t>
      </w:r>
      <w:r w:rsidR="009404B8" w:rsidRPr="00622F6C">
        <w:rPr>
          <w:rFonts w:ascii="Times New Roman" w:hAnsi="Times New Roman" w:cs="Times New Roman"/>
          <w:lang w:val="en-US"/>
        </w:rPr>
        <w:t xml:space="preserve">), investors also seem to place a negative weight on firms’ </w:t>
      </w:r>
      <w:r w:rsidR="009404B8">
        <w:rPr>
          <w:rFonts w:ascii="Times New Roman" w:hAnsi="Times New Roman" w:cs="Times New Roman"/>
          <w:lang w:val="en-US"/>
        </w:rPr>
        <w:t xml:space="preserve">more general </w:t>
      </w:r>
      <w:r w:rsidR="009404B8" w:rsidRPr="00622F6C">
        <w:rPr>
          <w:rFonts w:ascii="Times New Roman" w:hAnsi="Times New Roman" w:cs="Times New Roman"/>
          <w:lang w:val="en-US"/>
        </w:rPr>
        <w:t>CSR violations.</w:t>
      </w:r>
    </w:p>
    <w:p w14:paraId="42581F69" w14:textId="77777777" w:rsidR="00B903B4" w:rsidRDefault="003F3CDD" w:rsidP="00B903B4">
      <w:pPr>
        <w:spacing w:after="0" w:line="480" w:lineRule="auto"/>
        <w:ind w:firstLine="426"/>
        <w:contextualSpacing/>
        <w:jc w:val="both"/>
        <w:rPr>
          <w:rFonts w:ascii="Times New Roman" w:hAnsi="Times New Roman" w:cs="Times New Roman"/>
          <w:lang w:val="en-US"/>
        </w:rPr>
      </w:pPr>
      <w:r w:rsidRPr="00622F6C">
        <w:rPr>
          <w:rFonts w:ascii="Times New Roman" w:hAnsi="Times New Roman" w:cs="Times New Roman"/>
          <w:lang w:val="en-US"/>
        </w:rPr>
        <w:t xml:space="preserve">While our baseline regression includes measures </w:t>
      </w:r>
      <w:r w:rsidR="00104F63">
        <w:rPr>
          <w:rFonts w:ascii="Times New Roman" w:hAnsi="Times New Roman" w:cs="Times New Roman"/>
          <w:lang w:val="en-US"/>
        </w:rPr>
        <w:t>of</w:t>
      </w:r>
      <w:r w:rsidR="00104F63" w:rsidRPr="00622F6C">
        <w:rPr>
          <w:rFonts w:ascii="Times New Roman" w:hAnsi="Times New Roman" w:cs="Times New Roman"/>
          <w:lang w:val="en-US"/>
        </w:rPr>
        <w:t xml:space="preserve"> </w:t>
      </w:r>
      <w:r w:rsidRPr="00622F6C">
        <w:rPr>
          <w:rFonts w:ascii="Times New Roman" w:hAnsi="Times New Roman" w:cs="Times New Roman"/>
          <w:lang w:val="en-US"/>
        </w:rPr>
        <w:t xml:space="preserve">CSR disclosure levels, it does not control for </w:t>
      </w:r>
      <w:r w:rsidR="001C6E8E">
        <w:rPr>
          <w:rFonts w:ascii="Times New Roman" w:hAnsi="Times New Roman" w:cs="Times New Roman"/>
          <w:lang w:val="en-US"/>
        </w:rPr>
        <w:t xml:space="preserve">a firm’s </w:t>
      </w:r>
      <w:r w:rsidRPr="00622F6C">
        <w:rPr>
          <w:rFonts w:ascii="Times New Roman" w:hAnsi="Times New Roman" w:cs="Times New Roman"/>
          <w:lang w:val="en-US"/>
        </w:rPr>
        <w:t xml:space="preserve">overall information quality, except through </w:t>
      </w:r>
      <w:r w:rsidR="00AF59F7" w:rsidRPr="00AF59F7">
        <w:rPr>
          <w:rFonts w:ascii="Times New Roman" w:hAnsi="Times New Roman" w:cs="Times New Roman"/>
          <w:i/>
          <w:lang w:val="en-US"/>
        </w:rPr>
        <w:t>Log</w:t>
      </w:r>
      <w:r w:rsidR="00AF59F7">
        <w:rPr>
          <w:rFonts w:ascii="Times New Roman" w:hAnsi="Times New Roman" w:cs="Times New Roman"/>
          <w:lang w:val="en-US"/>
        </w:rPr>
        <w:t>(</w:t>
      </w:r>
      <w:r w:rsidRPr="00622F6C">
        <w:rPr>
          <w:rFonts w:ascii="Times New Roman" w:hAnsi="Times New Roman" w:cs="Times New Roman"/>
          <w:i/>
          <w:lang w:val="en-US"/>
        </w:rPr>
        <w:t>Total Assets</w:t>
      </w:r>
      <w:r w:rsidR="00AF59F7">
        <w:rPr>
          <w:rFonts w:ascii="Times New Roman" w:hAnsi="Times New Roman" w:cs="Times New Roman"/>
          <w:i/>
          <w:lang w:val="en-US"/>
        </w:rPr>
        <w:t>)</w:t>
      </w:r>
      <w:r w:rsidR="005D1EF9" w:rsidRPr="00622F6C">
        <w:rPr>
          <w:rFonts w:ascii="Times New Roman" w:hAnsi="Times New Roman" w:cs="Times New Roman"/>
          <w:lang w:val="en-US"/>
        </w:rPr>
        <w:t>. W</w:t>
      </w:r>
      <w:r w:rsidRPr="00622F6C">
        <w:rPr>
          <w:rFonts w:ascii="Times New Roman" w:hAnsi="Times New Roman" w:cs="Times New Roman"/>
          <w:lang w:val="en-US"/>
        </w:rPr>
        <w:t xml:space="preserve">e include a measure </w:t>
      </w:r>
      <w:r w:rsidR="00104F63">
        <w:rPr>
          <w:rFonts w:ascii="Times New Roman" w:hAnsi="Times New Roman" w:cs="Times New Roman"/>
          <w:lang w:val="en-US"/>
        </w:rPr>
        <w:t>of</w:t>
      </w:r>
      <w:r w:rsidR="00104F63" w:rsidRPr="00622F6C">
        <w:rPr>
          <w:rFonts w:ascii="Times New Roman" w:hAnsi="Times New Roman" w:cs="Times New Roman"/>
          <w:lang w:val="en-US"/>
        </w:rPr>
        <w:t xml:space="preserve"> </w:t>
      </w:r>
      <w:r w:rsidRPr="00622F6C">
        <w:rPr>
          <w:rFonts w:ascii="Times New Roman" w:hAnsi="Times New Roman" w:cs="Times New Roman"/>
          <w:lang w:val="en-US"/>
        </w:rPr>
        <w:t>liquidity (</w:t>
      </w:r>
      <w:bookmarkStart w:id="74" w:name="_Hlk524000306"/>
      <w:r w:rsidRPr="00622F6C">
        <w:rPr>
          <w:rFonts w:ascii="Times New Roman" w:hAnsi="Times New Roman" w:cs="Times New Roman"/>
          <w:i/>
          <w:lang w:val="en-US"/>
        </w:rPr>
        <w:t>Turnover</w:t>
      </w:r>
      <w:bookmarkEnd w:id="74"/>
      <w:r w:rsidR="00F46EBE" w:rsidRPr="00622F6C">
        <w:rPr>
          <w:rFonts w:ascii="Times New Roman" w:hAnsi="Times New Roman" w:cs="Times New Roman"/>
          <w:lang w:val="en-US"/>
        </w:rPr>
        <w:t xml:space="preserve">), </w:t>
      </w:r>
      <w:r w:rsidRPr="00622F6C">
        <w:rPr>
          <w:rFonts w:ascii="Times New Roman" w:hAnsi="Times New Roman" w:cs="Times New Roman"/>
          <w:lang w:val="en-US"/>
        </w:rPr>
        <w:t>percentage of shares held by insiders (</w:t>
      </w:r>
      <w:bookmarkStart w:id="75" w:name="_Hlk524000316"/>
      <w:r w:rsidRPr="00622F6C">
        <w:rPr>
          <w:rFonts w:ascii="Times New Roman" w:hAnsi="Times New Roman" w:cs="Times New Roman"/>
          <w:i/>
          <w:lang w:val="en-US"/>
        </w:rPr>
        <w:t>Closely Held Shares</w:t>
      </w:r>
      <w:bookmarkEnd w:id="75"/>
      <w:r w:rsidRPr="00622F6C">
        <w:rPr>
          <w:rFonts w:ascii="Times New Roman" w:hAnsi="Times New Roman" w:cs="Times New Roman"/>
          <w:lang w:val="en-US"/>
        </w:rPr>
        <w:t>), and industry concentration (</w:t>
      </w:r>
      <w:bookmarkStart w:id="76" w:name="_Hlk524000323"/>
      <w:r w:rsidRPr="00622F6C">
        <w:rPr>
          <w:rFonts w:ascii="Times New Roman" w:hAnsi="Times New Roman" w:cs="Times New Roman"/>
          <w:i/>
          <w:lang w:val="en-US"/>
        </w:rPr>
        <w:t>Herfindahl</w:t>
      </w:r>
      <w:bookmarkEnd w:id="76"/>
      <w:r w:rsidRPr="00622F6C">
        <w:rPr>
          <w:rFonts w:ascii="Times New Roman" w:hAnsi="Times New Roman" w:cs="Times New Roman"/>
          <w:lang w:val="en-US"/>
        </w:rPr>
        <w:t>) as additional proxies for information asymmetry</w:t>
      </w:r>
      <w:r w:rsidR="00497E28">
        <w:rPr>
          <w:rFonts w:ascii="Times New Roman" w:hAnsi="Times New Roman" w:cs="Times New Roman"/>
          <w:lang w:val="en-US"/>
        </w:rPr>
        <w:t xml:space="preserve"> in Column (7</w:t>
      </w:r>
      <w:r w:rsidR="00B82DAE" w:rsidRPr="00622F6C">
        <w:rPr>
          <w:rFonts w:ascii="Times New Roman" w:hAnsi="Times New Roman" w:cs="Times New Roman"/>
          <w:lang w:val="en-US"/>
        </w:rPr>
        <w:t>)</w:t>
      </w:r>
      <w:r w:rsidR="00A11EDE" w:rsidRPr="00622F6C">
        <w:rPr>
          <w:rFonts w:ascii="Times New Roman" w:hAnsi="Times New Roman" w:cs="Times New Roman"/>
          <w:lang w:val="en-US"/>
        </w:rPr>
        <w:t xml:space="preserve">. </w:t>
      </w:r>
      <w:r w:rsidR="00B82DAE" w:rsidRPr="00622F6C">
        <w:rPr>
          <w:rFonts w:ascii="Times New Roman" w:hAnsi="Times New Roman" w:cs="Times New Roman"/>
          <w:lang w:val="en-US"/>
        </w:rPr>
        <w:t xml:space="preserve">We </w:t>
      </w:r>
      <w:r w:rsidR="005D1EF9" w:rsidRPr="00622F6C">
        <w:rPr>
          <w:rFonts w:ascii="Times New Roman" w:hAnsi="Times New Roman" w:cs="Times New Roman"/>
          <w:lang w:val="en-US"/>
        </w:rPr>
        <w:t>retain</w:t>
      </w:r>
      <w:r w:rsidR="00B82DAE" w:rsidRPr="00622F6C">
        <w:rPr>
          <w:rFonts w:ascii="Times New Roman" w:hAnsi="Times New Roman" w:cs="Times New Roman"/>
          <w:lang w:val="en-US"/>
        </w:rPr>
        <w:t xml:space="preserve"> </w:t>
      </w:r>
      <w:r w:rsidR="00B82DAE" w:rsidRPr="00622F6C">
        <w:rPr>
          <w:rFonts w:ascii="Times New Roman" w:hAnsi="Times New Roman" w:cs="Times New Roman"/>
          <w:i/>
          <w:lang w:val="en-US"/>
        </w:rPr>
        <w:t>CSR Controversies</w:t>
      </w:r>
      <w:r w:rsidR="00B82DAE" w:rsidRPr="00622F6C">
        <w:rPr>
          <w:rFonts w:ascii="Times New Roman" w:hAnsi="Times New Roman" w:cs="Times New Roman"/>
          <w:lang w:val="en-US"/>
        </w:rPr>
        <w:t xml:space="preserve"> as a control variable in that regression, giv</w:t>
      </w:r>
      <w:r w:rsidR="00FB1DAE" w:rsidRPr="00622F6C">
        <w:rPr>
          <w:rFonts w:ascii="Times New Roman" w:hAnsi="Times New Roman" w:cs="Times New Roman"/>
          <w:lang w:val="en-US"/>
        </w:rPr>
        <w:t>en its stati</w:t>
      </w:r>
      <w:r w:rsidR="00497E28">
        <w:rPr>
          <w:rFonts w:ascii="Times New Roman" w:hAnsi="Times New Roman" w:cs="Times New Roman"/>
          <w:lang w:val="en-US"/>
        </w:rPr>
        <w:t>stical significance in Column (6</w:t>
      </w:r>
      <w:r w:rsidR="00B82DAE" w:rsidRPr="00622F6C">
        <w:rPr>
          <w:rFonts w:ascii="Times New Roman" w:hAnsi="Times New Roman" w:cs="Times New Roman"/>
          <w:lang w:val="en-US"/>
        </w:rPr>
        <w:t>)</w:t>
      </w:r>
      <w:r w:rsidRPr="00622F6C">
        <w:rPr>
          <w:rFonts w:ascii="Times New Roman" w:hAnsi="Times New Roman" w:cs="Times New Roman"/>
          <w:lang w:val="en-US"/>
        </w:rPr>
        <w:t>. Information</w:t>
      </w:r>
      <w:r w:rsidR="00A11EDE" w:rsidRPr="00622F6C">
        <w:rPr>
          <w:rFonts w:ascii="Times New Roman" w:hAnsi="Times New Roman" w:cs="Times New Roman"/>
          <w:lang w:val="en-US"/>
        </w:rPr>
        <w:t xml:space="preserve"> asymmetry tends to be lower </w:t>
      </w:r>
      <w:r w:rsidRPr="00622F6C">
        <w:rPr>
          <w:rFonts w:ascii="Times New Roman" w:hAnsi="Times New Roman" w:cs="Times New Roman"/>
          <w:lang w:val="en-US"/>
        </w:rPr>
        <w:t xml:space="preserve">for firms with more liquid shares, </w:t>
      </w:r>
      <w:r w:rsidR="00A11EDE" w:rsidRPr="00622F6C">
        <w:rPr>
          <w:rFonts w:ascii="Times New Roman" w:hAnsi="Times New Roman" w:cs="Times New Roman"/>
          <w:lang w:val="en-US"/>
        </w:rPr>
        <w:t>and for firms with a lower percentage of insider ownership (A</w:t>
      </w:r>
      <w:r w:rsidR="002E3947">
        <w:rPr>
          <w:rFonts w:ascii="Times New Roman" w:hAnsi="Times New Roman" w:cs="Times New Roman"/>
          <w:lang w:val="en-US"/>
        </w:rPr>
        <w:t>r</w:t>
      </w:r>
      <w:r w:rsidR="00A11EDE" w:rsidRPr="00622F6C">
        <w:rPr>
          <w:rFonts w:ascii="Times New Roman" w:hAnsi="Times New Roman" w:cs="Times New Roman"/>
          <w:lang w:val="en-US"/>
        </w:rPr>
        <w:t>mstrong et al., 2010). Some researchers argue that information asymmetry tends to be higher in concentrated industries</w:t>
      </w:r>
      <w:r w:rsidR="003F20B4" w:rsidRPr="00622F6C">
        <w:rPr>
          <w:rFonts w:ascii="Times New Roman" w:hAnsi="Times New Roman" w:cs="Times New Roman"/>
          <w:lang w:val="en-US"/>
        </w:rPr>
        <w:t>,</w:t>
      </w:r>
      <w:r w:rsidR="00A11EDE" w:rsidRPr="00622F6C">
        <w:rPr>
          <w:rFonts w:ascii="Times New Roman" w:hAnsi="Times New Roman" w:cs="Times New Roman"/>
          <w:lang w:val="en-US"/>
        </w:rPr>
        <w:t xml:space="preserve"> as firms </w:t>
      </w:r>
      <w:r w:rsidR="002A4B40">
        <w:rPr>
          <w:rFonts w:ascii="Times New Roman" w:hAnsi="Times New Roman" w:cs="Times New Roman"/>
          <w:lang w:val="en-US"/>
        </w:rPr>
        <w:t xml:space="preserve">typically </w:t>
      </w:r>
      <w:r w:rsidR="00A11EDE" w:rsidRPr="00622F6C">
        <w:rPr>
          <w:rFonts w:ascii="Times New Roman" w:hAnsi="Times New Roman" w:cs="Times New Roman"/>
          <w:lang w:val="en-US"/>
        </w:rPr>
        <w:t>make fewer disclosures in such industries</w:t>
      </w:r>
      <w:r w:rsidR="003F20B4" w:rsidRPr="00622F6C">
        <w:rPr>
          <w:rFonts w:ascii="Times New Roman" w:hAnsi="Times New Roman" w:cs="Times New Roman"/>
          <w:lang w:val="en-US"/>
        </w:rPr>
        <w:t xml:space="preserve">, while </w:t>
      </w:r>
      <w:r w:rsidR="00A11EDE" w:rsidRPr="00622F6C">
        <w:rPr>
          <w:rFonts w:ascii="Times New Roman" w:hAnsi="Times New Roman" w:cs="Times New Roman"/>
          <w:lang w:val="en-US"/>
        </w:rPr>
        <w:t>others argue that the theoretical relation between concentration and information quality is not straightforward (</w:t>
      </w:r>
      <w:r w:rsidR="003F20B4" w:rsidRPr="00622F6C">
        <w:rPr>
          <w:rFonts w:ascii="Times New Roman" w:hAnsi="Times New Roman" w:cs="Times New Roman"/>
          <w:lang w:val="en-US"/>
        </w:rPr>
        <w:t>Lang and Sul, 2014</w:t>
      </w:r>
      <w:r w:rsidR="00A11EDE" w:rsidRPr="00622F6C">
        <w:rPr>
          <w:rFonts w:ascii="Times New Roman" w:hAnsi="Times New Roman" w:cs="Times New Roman"/>
          <w:lang w:val="en-US"/>
        </w:rPr>
        <w:t xml:space="preserve">). </w:t>
      </w:r>
      <w:r w:rsidR="00B82DAE" w:rsidRPr="00622F6C">
        <w:rPr>
          <w:rFonts w:ascii="Times New Roman" w:hAnsi="Times New Roman" w:cs="Times New Roman"/>
          <w:lang w:val="en-US"/>
        </w:rPr>
        <w:t xml:space="preserve">We find a significant positive impact of </w:t>
      </w:r>
      <w:r w:rsidR="00B82DAE" w:rsidRPr="00622F6C">
        <w:rPr>
          <w:rFonts w:ascii="Times New Roman" w:hAnsi="Times New Roman" w:cs="Times New Roman"/>
          <w:i/>
          <w:lang w:val="en-US"/>
        </w:rPr>
        <w:t>Herfindahl</w:t>
      </w:r>
      <w:r w:rsidR="00B82DAE" w:rsidRPr="00622F6C">
        <w:rPr>
          <w:rFonts w:ascii="Times New Roman" w:hAnsi="Times New Roman" w:cs="Times New Roman"/>
          <w:lang w:val="en-US"/>
        </w:rPr>
        <w:t xml:space="preserve"> (</w:t>
      </w:r>
      <w:r w:rsidR="00B82DAE" w:rsidRPr="00622F6C">
        <w:rPr>
          <w:rFonts w:ascii="Times New Roman" w:hAnsi="Times New Roman" w:cs="Times New Roman"/>
          <w:i/>
          <w:lang w:val="en-US"/>
        </w:rPr>
        <w:t>p</w:t>
      </w:r>
      <w:r w:rsidR="00B82DAE" w:rsidRPr="00622F6C">
        <w:rPr>
          <w:rFonts w:ascii="Times New Roman" w:hAnsi="Times New Roman" w:cs="Times New Roman"/>
          <w:lang w:val="en-US"/>
        </w:rPr>
        <w:t xml:space="preserve">-value &lt; 0.01), with the other proxy variables being insignificant. </w:t>
      </w:r>
      <w:r w:rsidR="00A11EDE" w:rsidRPr="00622F6C">
        <w:rPr>
          <w:rFonts w:ascii="Times New Roman" w:hAnsi="Times New Roman" w:cs="Times New Roman"/>
          <w:lang w:val="en-US"/>
        </w:rPr>
        <w:t xml:space="preserve">To the extent that </w:t>
      </w:r>
      <w:r w:rsidR="00A11EDE" w:rsidRPr="00622F6C">
        <w:rPr>
          <w:rFonts w:ascii="Times New Roman" w:hAnsi="Times New Roman" w:cs="Times New Roman"/>
          <w:i/>
          <w:lang w:val="en-US"/>
        </w:rPr>
        <w:t xml:space="preserve">Herfindahl </w:t>
      </w:r>
      <w:r w:rsidR="00A11EDE" w:rsidRPr="00622F6C">
        <w:rPr>
          <w:rFonts w:ascii="Times New Roman" w:hAnsi="Times New Roman" w:cs="Times New Roman"/>
          <w:lang w:val="en-US"/>
        </w:rPr>
        <w:t>acts as an inverse proxy for disclosure</w:t>
      </w:r>
      <w:r w:rsidR="001C6E8E">
        <w:rPr>
          <w:rFonts w:ascii="Times New Roman" w:hAnsi="Times New Roman" w:cs="Times New Roman"/>
          <w:lang w:val="en-US"/>
        </w:rPr>
        <w:t xml:space="preserve"> levels</w:t>
      </w:r>
      <w:r w:rsidR="00A11EDE" w:rsidRPr="00622F6C">
        <w:rPr>
          <w:rFonts w:ascii="Times New Roman" w:hAnsi="Times New Roman" w:cs="Times New Roman"/>
          <w:lang w:val="en-US"/>
        </w:rPr>
        <w:t>, this p</w:t>
      </w:r>
      <w:r w:rsidR="00B82DAE" w:rsidRPr="00622F6C">
        <w:rPr>
          <w:rFonts w:ascii="Times New Roman" w:hAnsi="Times New Roman" w:cs="Times New Roman"/>
          <w:lang w:val="en-US"/>
        </w:rPr>
        <w:t>ositive impact is in line with</w:t>
      </w:r>
      <w:r w:rsidR="003F20B4" w:rsidRPr="00622F6C">
        <w:rPr>
          <w:rFonts w:ascii="Times New Roman" w:hAnsi="Times New Roman" w:cs="Times New Roman"/>
          <w:lang w:val="en-US"/>
        </w:rPr>
        <w:t xml:space="preserve"> a more general version of</w:t>
      </w:r>
      <w:r w:rsidR="00B82DAE" w:rsidRPr="00622F6C">
        <w:rPr>
          <w:rFonts w:ascii="Times New Roman" w:hAnsi="Times New Roman" w:cs="Times New Roman"/>
          <w:lang w:val="en-US"/>
        </w:rPr>
        <w:t xml:space="preserve"> H</w:t>
      </w:r>
      <w:r w:rsidR="00B82DAE" w:rsidRPr="00622F6C">
        <w:rPr>
          <w:rFonts w:ascii="Times New Roman" w:hAnsi="Times New Roman" w:cs="Times New Roman"/>
          <w:vertAlign w:val="subscript"/>
          <w:lang w:val="en-US"/>
        </w:rPr>
        <w:t>2b</w:t>
      </w:r>
      <w:r w:rsidR="00104F63">
        <w:rPr>
          <w:rFonts w:ascii="Times New Roman" w:hAnsi="Times New Roman" w:cs="Times New Roman"/>
          <w:lang w:val="en-US"/>
        </w:rPr>
        <w:t xml:space="preserve">, </w:t>
      </w:r>
      <w:r w:rsidR="00B82DAE" w:rsidRPr="00622F6C">
        <w:rPr>
          <w:rFonts w:ascii="Times New Roman" w:hAnsi="Times New Roman" w:cs="Times New Roman"/>
          <w:lang w:val="en-US"/>
        </w:rPr>
        <w:t xml:space="preserve">predicting </w:t>
      </w:r>
      <w:r w:rsidR="00A11EDE" w:rsidRPr="00622F6C">
        <w:rPr>
          <w:rFonts w:ascii="Times New Roman" w:hAnsi="Times New Roman" w:cs="Times New Roman"/>
          <w:lang w:val="en-US"/>
        </w:rPr>
        <w:t xml:space="preserve">that firms with weaker </w:t>
      </w:r>
      <w:r w:rsidR="003F20B4" w:rsidRPr="00622F6C">
        <w:rPr>
          <w:rFonts w:ascii="Times New Roman" w:hAnsi="Times New Roman" w:cs="Times New Roman"/>
          <w:lang w:val="en-US"/>
        </w:rPr>
        <w:t>(CSR) disclosure levels</w:t>
      </w:r>
      <w:r w:rsidR="00B82DAE" w:rsidRPr="00622F6C">
        <w:rPr>
          <w:rFonts w:ascii="Times New Roman" w:hAnsi="Times New Roman" w:cs="Times New Roman"/>
          <w:lang w:val="en-US"/>
        </w:rPr>
        <w:t xml:space="preserve"> have more to gain from </w:t>
      </w:r>
      <w:r w:rsidR="00A11EDE" w:rsidRPr="00622F6C">
        <w:rPr>
          <w:rFonts w:ascii="Times New Roman" w:hAnsi="Times New Roman" w:cs="Times New Roman"/>
          <w:lang w:val="en-US"/>
        </w:rPr>
        <w:t xml:space="preserve">the </w:t>
      </w:r>
      <w:r w:rsidR="00B82DAE" w:rsidRPr="00622F6C">
        <w:rPr>
          <w:rFonts w:ascii="Times New Roman" w:hAnsi="Times New Roman" w:cs="Times New Roman"/>
          <w:lang w:val="en-US"/>
        </w:rPr>
        <w:t>additional disclosure requirements</w:t>
      </w:r>
      <w:r w:rsidR="00A11EDE" w:rsidRPr="00622F6C">
        <w:rPr>
          <w:rFonts w:ascii="Times New Roman" w:hAnsi="Times New Roman" w:cs="Times New Roman"/>
          <w:lang w:val="en-US"/>
        </w:rPr>
        <w:t xml:space="preserve"> under the TISC clause</w:t>
      </w:r>
      <w:r w:rsidR="00B82DAE" w:rsidRPr="00622F6C">
        <w:rPr>
          <w:rFonts w:ascii="Times New Roman" w:hAnsi="Times New Roman" w:cs="Times New Roman"/>
          <w:lang w:val="en-US"/>
        </w:rPr>
        <w:t xml:space="preserve">. </w:t>
      </w:r>
    </w:p>
    <w:p w14:paraId="73245ADC" w14:textId="38E50F99" w:rsidR="00AB6A65" w:rsidRPr="00622F6C" w:rsidRDefault="00165394" w:rsidP="008E0F19">
      <w:pPr>
        <w:spacing w:after="0" w:line="480" w:lineRule="auto"/>
        <w:ind w:firstLine="426"/>
        <w:contextualSpacing/>
        <w:jc w:val="both"/>
        <w:rPr>
          <w:rFonts w:ascii="Times New Roman" w:hAnsi="Times New Roman" w:cs="Times New Roman"/>
          <w:lang w:val="en-US"/>
        </w:rPr>
      </w:pPr>
      <w:r>
        <w:rPr>
          <w:rFonts w:ascii="Times New Roman" w:hAnsi="Times New Roman" w:cs="Times New Roman"/>
          <w:lang w:val="en-US"/>
        </w:rPr>
        <w:t>Finally, w</w:t>
      </w:r>
      <w:r w:rsidR="003F1822">
        <w:rPr>
          <w:rFonts w:ascii="Times New Roman" w:hAnsi="Times New Roman" w:cs="Times New Roman"/>
          <w:lang w:val="en-US"/>
        </w:rPr>
        <w:t xml:space="preserve">e conduct </w:t>
      </w:r>
      <w:r w:rsidR="00C40EA2">
        <w:rPr>
          <w:rFonts w:ascii="Times New Roman" w:hAnsi="Times New Roman" w:cs="Times New Roman"/>
          <w:lang w:val="en-US"/>
        </w:rPr>
        <w:t xml:space="preserve">a number of </w:t>
      </w:r>
      <w:r w:rsidR="003F1822">
        <w:rPr>
          <w:rFonts w:ascii="Times New Roman" w:hAnsi="Times New Roman" w:cs="Times New Roman"/>
          <w:lang w:val="en-US"/>
        </w:rPr>
        <w:t xml:space="preserve">tests examining the sensitivity of our </w:t>
      </w:r>
      <w:r w:rsidR="00D30177">
        <w:rPr>
          <w:rFonts w:ascii="Times New Roman" w:hAnsi="Times New Roman" w:cs="Times New Roman"/>
          <w:lang w:val="en-US"/>
        </w:rPr>
        <w:t xml:space="preserve">regression results </w:t>
      </w:r>
      <w:r w:rsidR="003F1822">
        <w:rPr>
          <w:rFonts w:ascii="Times New Roman" w:hAnsi="Times New Roman" w:cs="Times New Roman"/>
          <w:lang w:val="en-US"/>
        </w:rPr>
        <w:t xml:space="preserve">to alternative estimation procedures. </w:t>
      </w:r>
      <w:r w:rsidR="00C40EA2">
        <w:rPr>
          <w:rFonts w:ascii="Times New Roman" w:hAnsi="Times New Roman" w:cs="Times New Roman"/>
          <w:lang w:val="en-US"/>
        </w:rPr>
        <w:t>First, c</w:t>
      </w:r>
      <w:r w:rsidR="006C0B08">
        <w:rPr>
          <w:rFonts w:ascii="Times New Roman" w:hAnsi="Times New Roman" w:cs="Times New Roman"/>
          <w:lang w:val="en-US"/>
        </w:rPr>
        <w:t xml:space="preserve">onsistent with a robustness test </w:t>
      </w:r>
      <w:r w:rsidR="00AB6A65">
        <w:rPr>
          <w:rFonts w:ascii="Times New Roman" w:hAnsi="Times New Roman" w:cs="Times New Roman"/>
          <w:lang w:val="en-US"/>
        </w:rPr>
        <w:t xml:space="preserve">in </w:t>
      </w:r>
      <w:r w:rsidR="006C0B08">
        <w:rPr>
          <w:rFonts w:ascii="Times New Roman" w:hAnsi="Times New Roman" w:cs="Times New Roman"/>
          <w:lang w:val="en-US"/>
        </w:rPr>
        <w:t xml:space="preserve">Zhang (2007), we replicate the cross-sectional analysis </w:t>
      </w:r>
      <w:r w:rsidR="006C0B08">
        <w:rPr>
          <w:rFonts w:ascii="Times New Roman" w:eastAsiaTheme="minorEastAsia" w:hAnsi="Times New Roman" w:cs="Times New Roman"/>
          <w:lang w:val="en-US"/>
        </w:rPr>
        <w:t xml:space="preserve">using abnormal stock returns </w:t>
      </w:r>
      <w:r w:rsidR="002215AB">
        <w:rPr>
          <w:rFonts w:ascii="Times New Roman" w:eastAsiaTheme="minorEastAsia" w:hAnsi="Times New Roman" w:cs="Times New Roman"/>
          <w:lang w:val="en-US"/>
        </w:rPr>
        <w:t xml:space="preserve">estimated with market model regressions </w:t>
      </w:r>
      <w:r w:rsidR="006C0B08">
        <w:rPr>
          <w:rFonts w:ascii="Times New Roman" w:eastAsiaTheme="minorEastAsia" w:hAnsi="Times New Roman" w:cs="Times New Roman"/>
          <w:lang w:val="en-US"/>
        </w:rPr>
        <w:t xml:space="preserve">over a </w:t>
      </w:r>
      <w:r w:rsidR="00E74C5B">
        <w:rPr>
          <w:rFonts w:ascii="Times New Roman" w:eastAsiaTheme="minorEastAsia" w:hAnsi="Times New Roman" w:cs="Times New Roman"/>
          <w:lang w:val="en-US"/>
        </w:rPr>
        <w:t>pre-event estimation</w:t>
      </w:r>
      <w:r w:rsidR="003C6016">
        <w:rPr>
          <w:rFonts w:ascii="Times New Roman" w:eastAsiaTheme="minorEastAsia" w:hAnsi="Times New Roman" w:cs="Times New Roman"/>
          <w:lang w:val="en-US"/>
        </w:rPr>
        <w:t xml:space="preserve">, which we define </w:t>
      </w:r>
      <w:r w:rsidR="00E74C5B">
        <w:rPr>
          <w:rFonts w:ascii="Times New Roman" w:eastAsiaTheme="minorEastAsia" w:hAnsi="Times New Roman" w:cs="Times New Roman"/>
          <w:lang w:val="en-US"/>
        </w:rPr>
        <w:t xml:space="preserve">as the </w:t>
      </w:r>
      <w:r w:rsidR="006C0B08">
        <w:rPr>
          <w:rFonts w:ascii="Times New Roman" w:eastAsiaTheme="minorEastAsia" w:hAnsi="Times New Roman" w:cs="Times New Roman"/>
          <w:lang w:val="en-US"/>
        </w:rPr>
        <w:t xml:space="preserve">200 trading days ending ten trading days before event 1. </w:t>
      </w:r>
      <w:r w:rsidR="00AB6A65">
        <w:rPr>
          <w:rFonts w:ascii="Times New Roman" w:eastAsiaTheme="minorEastAsia" w:hAnsi="Times New Roman" w:cs="Times New Roman"/>
          <w:lang w:val="en-US"/>
        </w:rPr>
        <w:t xml:space="preserve">Similar to our baseline analysis, the </w:t>
      </w:r>
      <w:r w:rsidR="00B009C2" w:rsidRPr="00B009C2">
        <w:rPr>
          <w:rFonts w:ascii="Times New Roman" w:eastAsiaTheme="minorEastAsia" w:hAnsi="Times New Roman" w:cs="Times New Roman"/>
          <w:lang w:val="en-US"/>
        </w:rPr>
        <w:t xml:space="preserve">individual event directional predictions </w:t>
      </w:r>
      <w:r w:rsidR="00AB6A65">
        <w:rPr>
          <w:rFonts w:ascii="Times New Roman" w:eastAsiaTheme="minorEastAsia" w:hAnsi="Times New Roman" w:cs="Times New Roman"/>
          <w:lang w:val="en-US"/>
        </w:rPr>
        <w:t xml:space="preserve">are incorporated into </w:t>
      </w:r>
      <w:r w:rsidR="00B009C2" w:rsidRPr="00B009C2">
        <w:rPr>
          <w:rFonts w:ascii="Times New Roman" w:eastAsiaTheme="minorEastAsia" w:hAnsi="Times New Roman" w:cs="Times New Roman"/>
          <w:lang w:val="en-US"/>
        </w:rPr>
        <w:t xml:space="preserve">the </w:t>
      </w:r>
      <w:r w:rsidR="00B009C2" w:rsidRPr="00B009C2">
        <w:rPr>
          <w:rFonts w:ascii="Times New Roman" w:eastAsiaTheme="minorEastAsia" w:hAnsi="Times New Roman" w:cs="Times New Roman"/>
          <w:lang w:val="en-US"/>
        </w:rPr>
        <w:lastRenderedPageBreak/>
        <w:t>calculation of the</w:t>
      </w:r>
      <w:r w:rsidR="002215AB">
        <w:rPr>
          <w:rFonts w:ascii="Times New Roman" w:eastAsiaTheme="minorEastAsia" w:hAnsi="Times New Roman" w:cs="Times New Roman"/>
          <w:lang w:val="en-US"/>
        </w:rPr>
        <w:t>se</w:t>
      </w:r>
      <w:r w:rsidR="00B009C2" w:rsidRPr="00B009C2">
        <w:rPr>
          <w:rFonts w:ascii="Times New Roman" w:eastAsiaTheme="minorEastAsia" w:hAnsi="Times New Roman" w:cs="Times New Roman"/>
          <w:lang w:val="en-US"/>
        </w:rPr>
        <w:t xml:space="preserve"> </w:t>
      </w:r>
      <w:r w:rsidR="004539C8">
        <w:rPr>
          <w:rFonts w:ascii="Times New Roman" w:eastAsiaTheme="minorEastAsia" w:hAnsi="Times New Roman" w:cs="Times New Roman"/>
          <w:lang w:val="en-US"/>
        </w:rPr>
        <w:t xml:space="preserve">market model-based </w:t>
      </w:r>
      <w:r w:rsidRPr="00955DFE">
        <w:rPr>
          <w:rFonts w:ascii="Times New Roman" w:eastAsiaTheme="minorEastAsia" w:hAnsi="Times New Roman" w:cs="Times New Roman"/>
          <w:i/>
          <w:lang w:val="en-US"/>
        </w:rPr>
        <w:t>CAR</w:t>
      </w:r>
      <w:r w:rsidR="00E74C5B" w:rsidRPr="00955DFE">
        <w:rPr>
          <w:rFonts w:ascii="Times New Roman" w:eastAsiaTheme="minorEastAsia" w:hAnsi="Times New Roman" w:cs="Times New Roman"/>
          <w:lang w:val="en-US"/>
        </w:rPr>
        <w:t>s</w:t>
      </w:r>
      <w:r w:rsidR="00B009C2" w:rsidRPr="00B009C2">
        <w:rPr>
          <w:rFonts w:ascii="Times New Roman" w:eastAsiaTheme="minorEastAsia" w:hAnsi="Times New Roman" w:cs="Times New Roman"/>
          <w:lang w:val="en-US"/>
        </w:rPr>
        <w:t xml:space="preserve"> (Schipper and Thompson, 1983</w:t>
      </w:r>
      <w:r w:rsidR="002215AB">
        <w:rPr>
          <w:rFonts w:ascii="Times New Roman" w:eastAsiaTheme="minorEastAsia" w:hAnsi="Times New Roman" w:cs="Times New Roman"/>
          <w:lang w:val="en-US"/>
        </w:rPr>
        <w:t>; Pincus, 1997</w:t>
      </w:r>
      <w:r w:rsidR="00B009C2" w:rsidRPr="00B009C2">
        <w:rPr>
          <w:rFonts w:ascii="Times New Roman" w:eastAsiaTheme="minorEastAsia" w:hAnsi="Times New Roman" w:cs="Times New Roman"/>
          <w:lang w:val="en-US"/>
        </w:rPr>
        <w:t xml:space="preserve">). Specifically, </w:t>
      </w:r>
      <w:r w:rsidR="00B009C2">
        <w:rPr>
          <w:rFonts w:ascii="Times New Roman" w:eastAsiaTheme="minorEastAsia" w:hAnsi="Times New Roman" w:cs="Times New Roman"/>
          <w:lang w:val="en-US"/>
        </w:rPr>
        <w:t xml:space="preserve">we multiply the abnormal stock return for event 5 by </w:t>
      </w:r>
      <w:r w:rsidR="00B009C2" w:rsidRPr="000905D7">
        <w:rPr>
          <w:rFonts w:ascii="Times New Roman" w:hAnsi="Times New Roman" w:cs="Times New Roman"/>
          <w:lang w:val="en-US"/>
        </w:rPr>
        <w:t>−</w:t>
      </w:r>
      <w:r w:rsidR="00B009C2" w:rsidRPr="00B009C2">
        <w:rPr>
          <w:rFonts w:ascii="Times New Roman" w:eastAsiaTheme="minorEastAsia" w:hAnsi="Times New Roman" w:cs="Times New Roman"/>
          <w:lang w:val="en-US"/>
        </w:rPr>
        <w:t xml:space="preserve">1 before summing all event day </w:t>
      </w:r>
      <w:r w:rsidR="00B009C2">
        <w:rPr>
          <w:rFonts w:ascii="Times New Roman" w:eastAsiaTheme="minorEastAsia" w:hAnsi="Times New Roman" w:cs="Times New Roman"/>
          <w:lang w:val="en-US"/>
        </w:rPr>
        <w:t xml:space="preserve">average abnormal returns. </w:t>
      </w:r>
      <w:r w:rsidR="003C6016">
        <w:rPr>
          <w:rFonts w:ascii="Times New Roman" w:eastAsiaTheme="minorEastAsia" w:hAnsi="Times New Roman" w:cs="Times New Roman"/>
          <w:lang w:val="en-US"/>
        </w:rPr>
        <w:t xml:space="preserve">When we replicate the baseline regression in Table 5, Column (1) </w:t>
      </w:r>
      <w:r w:rsidR="005E01EC">
        <w:rPr>
          <w:rFonts w:ascii="Times New Roman" w:eastAsiaTheme="minorEastAsia" w:hAnsi="Times New Roman" w:cs="Times New Roman"/>
          <w:lang w:val="en-US"/>
        </w:rPr>
        <w:t xml:space="preserve">using these </w:t>
      </w:r>
      <w:r w:rsidR="00030359">
        <w:rPr>
          <w:rFonts w:ascii="Times New Roman" w:eastAsiaTheme="minorEastAsia" w:hAnsi="Times New Roman" w:cs="Times New Roman"/>
          <w:lang w:val="en-US"/>
        </w:rPr>
        <w:t>market model</w:t>
      </w:r>
      <w:r w:rsidR="006557EA">
        <w:rPr>
          <w:rFonts w:ascii="Times New Roman" w:eastAsiaTheme="minorEastAsia" w:hAnsi="Times New Roman" w:cs="Times New Roman"/>
          <w:lang w:val="en-US"/>
        </w:rPr>
        <w:t xml:space="preserve">-based </w:t>
      </w:r>
      <w:r w:rsidR="00D30177" w:rsidRPr="00955DFE">
        <w:rPr>
          <w:rFonts w:ascii="Times New Roman" w:eastAsiaTheme="minorEastAsia" w:hAnsi="Times New Roman" w:cs="Times New Roman"/>
          <w:i/>
          <w:lang w:val="en-US"/>
        </w:rPr>
        <w:t>CAR</w:t>
      </w:r>
      <w:r w:rsidR="00E74C5B" w:rsidRPr="00955DFE">
        <w:rPr>
          <w:rFonts w:ascii="Times New Roman" w:eastAsiaTheme="minorEastAsia" w:hAnsi="Times New Roman" w:cs="Times New Roman"/>
          <w:lang w:val="en-US"/>
        </w:rPr>
        <w:t>s</w:t>
      </w:r>
      <w:r w:rsidR="00D30177">
        <w:rPr>
          <w:rFonts w:ascii="Times New Roman" w:eastAsiaTheme="minorEastAsia" w:hAnsi="Times New Roman" w:cs="Times New Roman"/>
          <w:lang w:val="en-US"/>
        </w:rPr>
        <w:t xml:space="preserve"> as </w:t>
      </w:r>
      <w:r w:rsidR="005E01EC">
        <w:rPr>
          <w:rFonts w:ascii="Times New Roman" w:eastAsiaTheme="minorEastAsia" w:hAnsi="Times New Roman" w:cs="Times New Roman"/>
          <w:lang w:val="en-US"/>
        </w:rPr>
        <w:t xml:space="preserve">a </w:t>
      </w:r>
      <w:r w:rsidR="00D30177">
        <w:rPr>
          <w:rFonts w:ascii="Times New Roman" w:eastAsiaTheme="minorEastAsia" w:hAnsi="Times New Roman" w:cs="Times New Roman"/>
          <w:lang w:val="en-US"/>
        </w:rPr>
        <w:t>dependent variable</w:t>
      </w:r>
      <w:r w:rsidR="003C6016">
        <w:rPr>
          <w:rFonts w:ascii="Times New Roman" w:eastAsiaTheme="minorEastAsia" w:hAnsi="Times New Roman" w:cs="Times New Roman"/>
          <w:lang w:val="en-US"/>
        </w:rPr>
        <w:t>, results remain consistent in sign and significance.</w:t>
      </w:r>
      <w:r>
        <w:rPr>
          <w:rStyle w:val="FootnoteReference"/>
          <w:rFonts w:ascii="Times New Roman" w:eastAsiaTheme="minorEastAsia" w:hAnsi="Times New Roman" w:cs="Times New Roman"/>
          <w:lang w:val="en-US"/>
        </w:rPr>
        <w:footnoteReference w:id="13"/>
      </w:r>
      <w:r w:rsidR="00D30177">
        <w:rPr>
          <w:rFonts w:ascii="Times New Roman" w:eastAsiaTheme="minorEastAsia" w:hAnsi="Times New Roman" w:cs="Times New Roman"/>
          <w:lang w:val="en-US"/>
        </w:rPr>
        <w:t xml:space="preserve"> </w:t>
      </w:r>
    </w:p>
    <w:p w14:paraId="783ACEF6" w14:textId="73CE6713" w:rsidR="00C40EA2" w:rsidRDefault="00C40EA2" w:rsidP="00C40EA2">
      <w:pPr>
        <w:spacing w:after="0" w:line="480" w:lineRule="auto"/>
        <w:ind w:firstLine="426"/>
        <w:contextualSpacing/>
        <w:jc w:val="both"/>
        <w:rPr>
          <w:rFonts w:ascii="Times New Roman" w:eastAsiaTheme="minorEastAsia" w:hAnsi="Times New Roman" w:cs="Times New Roman"/>
          <w:lang w:eastAsia="en-GB"/>
        </w:rPr>
      </w:pPr>
      <w:r>
        <w:rPr>
          <w:rFonts w:ascii="Times New Roman" w:hAnsi="Times New Roman" w:cs="Times New Roman"/>
          <w:lang w:val="en-US"/>
        </w:rPr>
        <w:t xml:space="preserve">Second, </w:t>
      </w:r>
      <w:r w:rsidR="005E01EC">
        <w:rPr>
          <w:rFonts w:ascii="Times New Roman" w:hAnsi="Times New Roman" w:cs="Times New Roman"/>
          <w:lang w:val="en-US"/>
        </w:rPr>
        <w:t xml:space="preserve">following </w:t>
      </w:r>
      <w:r w:rsidR="00C77AF7" w:rsidRPr="00622F6C">
        <w:rPr>
          <w:rFonts w:ascii="Times New Roman" w:hAnsi="Times New Roman" w:cs="Times New Roman"/>
          <w:lang w:val="en-US"/>
        </w:rPr>
        <w:t xml:space="preserve">Armstrong et al. (2010) and Grewal et al. (2018), we </w:t>
      </w:r>
      <w:r>
        <w:rPr>
          <w:rFonts w:ascii="Times New Roman" w:hAnsi="Times New Roman" w:cs="Times New Roman"/>
          <w:lang w:val="en-US"/>
        </w:rPr>
        <w:t xml:space="preserve">conduct </w:t>
      </w:r>
      <w:r w:rsidR="00C77AF7" w:rsidRPr="00622F6C">
        <w:rPr>
          <w:rFonts w:ascii="Times New Roman" w:hAnsi="Times New Roman" w:cs="Times New Roman"/>
          <w:lang w:val="en-US"/>
        </w:rPr>
        <w:t xml:space="preserve">a placebo test to verify that our cross-sectional results do not occur on non-event dates. The test consists of the following five steps: </w:t>
      </w:r>
      <w:r w:rsidR="00104F63">
        <w:rPr>
          <w:rFonts w:ascii="Times New Roman" w:hAnsi="Times New Roman" w:cs="Times New Roman"/>
          <w:lang w:val="en-US"/>
        </w:rPr>
        <w:t>(</w:t>
      </w:r>
      <w:r w:rsidR="00BB227D" w:rsidRPr="00622F6C">
        <w:rPr>
          <w:rFonts w:ascii="Times New Roman" w:eastAsiaTheme="minorEastAsia" w:hAnsi="Times New Roman" w:cs="Times New Roman"/>
          <w:lang w:val="en-US"/>
        </w:rPr>
        <w:t xml:space="preserve">i) </w:t>
      </w:r>
      <w:r w:rsidR="00104F63">
        <w:rPr>
          <w:rFonts w:ascii="Times New Roman" w:eastAsiaTheme="minorEastAsia" w:hAnsi="Times New Roman" w:cs="Times New Roman"/>
          <w:lang w:val="en-US"/>
        </w:rPr>
        <w:t>r</w:t>
      </w:r>
      <w:r w:rsidR="00104F63" w:rsidRPr="00622F6C">
        <w:rPr>
          <w:rFonts w:ascii="Times New Roman" w:eastAsiaTheme="minorEastAsia" w:hAnsi="Times New Roman" w:cs="Times New Roman"/>
          <w:lang w:val="en-US"/>
        </w:rPr>
        <w:t xml:space="preserve">andomly </w:t>
      </w:r>
      <w:r w:rsidR="00BB227D" w:rsidRPr="00622F6C">
        <w:rPr>
          <w:rFonts w:ascii="Times New Roman" w:eastAsiaTheme="minorEastAsia" w:hAnsi="Times New Roman" w:cs="Times New Roman"/>
          <w:lang w:val="en-US"/>
        </w:rPr>
        <w:t>select</w:t>
      </w:r>
      <w:r w:rsidR="00104F63">
        <w:rPr>
          <w:rFonts w:ascii="Times New Roman" w:eastAsiaTheme="minorEastAsia" w:hAnsi="Times New Roman" w:cs="Times New Roman"/>
          <w:lang w:val="en-US"/>
        </w:rPr>
        <w:t>ing</w:t>
      </w:r>
      <w:r w:rsidR="00BB227D" w:rsidRPr="00622F6C">
        <w:rPr>
          <w:rFonts w:ascii="Times New Roman" w:eastAsiaTheme="minorEastAsia" w:hAnsi="Times New Roman" w:cs="Times New Roman"/>
          <w:lang w:val="en-US"/>
        </w:rPr>
        <w:t xml:space="preserve"> eight non-event dates and construct</w:t>
      </w:r>
      <w:r w:rsidR="00104F63">
        <w:rPr>
          <w:rFonts w:ascii="Times New Roman" w:eastAsiaTheme="minorEastAsia" w:hAnsi="Times New Roman" w:cs="Times New Roman"/>
          <w:lang w:val="en-US"/>
        </w:rPr>
        <w:t>ing</w:t>
      </w:r>
      <w:r w:rsidR="00BB227D" w:rsidRPr="00622F6C">
        <w:rPr>
          <w:rFonts w:ascii="Times New Roman" w:eastAsiaTheme="minorEastAsia" w:hAnsi="Times New Roman" w:cs="Times New Roman"/>
          <w:lang w:val="en-US"/>
        </w:rPr>
        <w:t xml:space="preserve"> </w:t>
      </w:r>
      <w:r w:rsidR="00C159E3" w:rsidRPr="00622F6C">
        <w:rPr>
          <w:rFonts w:ascii="Times New Roman" w:eastAsiaTheme="minorEastAsia" w:hAnsi="Times New Roman" w:cs="Times New Roman"/>
          <w:lang w:val="en-US"/>
        </w:rPr>
        <w:t xml:space="preserve">a </w:t>
      </w:r>
      <w:r w:rsidR="00BB227D" w:rsidRPr="00622F6C">
        <w:rPr>
          <w:rFonts w:ascii="Times New Roman" w:eastAsiaTheme="minorEastAsia" w:hAnsi="Times New Roman" w:cs="Times New Roman"/>
          <w:lang w:val="en-US"/>
        </w:rPr>
        <w:t xml:space="preserve">dummy </w:t>
      </w:r>
      <w:r w:rsidR="00C159E3" w:rsidRPr="00622F6C">
        <w:rPr>
          <w:rFonts w:ascii="Times New Roman" w:eastAsiaTheme="minorEastAsia" w:hAnsi="Times New Roman" w:cs="Times New Roman"/>
          <w:lang w:val="en-US"/>
        </w:rPr>
        <w:t xml:space="preserve">variable </w:t>
      </w:r>
      <w:r w:rsidR="00653B66" w:rsidRPr="00622F6C">
        <w:rPr>
          <w:rFonts w:ascii="Times New Roman" w:eastAsiaTheme="minorEastAsia" w:hAnsi="Times New Roman" w:cs="Times New Roman"/>
          <w:lang w:val="en-US"/>
        </w:rPr>
        <w:t xml:space="preserve">capturing these </w:t>
      </w:r>
      <w:r w:rsidR="00BB227D" w:rsidRPr="00622F6C">
        <w:rPr>
          <w:rFonts w:ascii="Times New Roman" w:eastAsiaTheme="minorEastAsia" w:hAnsi="Times New Roman" w:cs="Times New Roman"/>
          <w:lang w:val="en-US"/>
        </w:rPr>
        <w:t xml:space="preserve">dates; (ii) </w:t>
      </w:r>
      <w:r w:rsidR="00104F63">
        <w:rPr>
          <w:rFonts w:ascii="Times New Roman" w:eastAsiaTheme="minorEastAsia" w:hAnsi="Times New Roman" w:cs="Times New Roman"/>
          <w:lang w:val="en-US"/>
        </w:rPr>
        <w:t>using</w:t>
      </w:r>
      <w:r w:rsidR="00104F63" w:rsidRPr="00622F6C">
        <w:rPr>
          <w:rFonts w:ascii="Times New Roman" w:eastAsiaTheme="minorEastAsia" w:hAnsi="Times New Roman" w:cs="Times New Roman"/>
          <w:lang w:val="en-US"/>
        </w:rPr>
        <w:t xml:space="preserve"> </w:t>
      </w:r>
      <w:r w:rsidR="005D1EF9" w:rsidRPr="00622F6C">
        <w:rPr>
          <w:rFonts w:ascii="Times New Roman" w:eastAsiaTheme="minorEastAsia" w:hAnsi="Times New Roman" w:cs="Times New Roman"/>
          <w:lang w:val="en-US"/>
        </w:rPr>
        <w:t xml:space="preserve">Equation (3) </w:t>
      </w:r>
      <w:r w:rsidR="00BB227D" w:rsidRPr="00622F6C">
        <w:rPr>
          <w:rFonts w:ascii="Times New Roman" w:eastAsiaTheme="minorEastAsia" w:hAnsi="Times New Roman" w:cs="Times New Roman"/>
          <w:lang w:val="en-US"/>
        </w:rPr>
        <w:t xml:space="preserve">to calculate </w:t>
      </w:r>
      <w:r w:rsidR="005D1EF9" w:rsidRPr="00622F6C">
        <w:rPr>
          <w:rFonts w:ascii="Times New Roman" w:eastAsiaTheme="minorEastAsia" w:hAnsi="Times New Roman" w:cs="Times New Roman"/>
          <w:lang w:val="en-US"/>
        </w:rPr>
        <w:t xml:space="preserve">a </w:t>
      </w:r>
      <w:r w:rsidR="00A94C5F">
        <w:rPr>
          <w:rFonts w:ascii="Times New Roman" w:eastAsiaTheme="minorEastAsia" w:hAnsi="Times New Roman" w:cs="Times New Roman"/>
          <w:i/>
          <w:lang w:val="en-US"/>
        </w:rPr>
        <w:t>CAR</w:t>
      </w:r>
      <w:r w:rsidR="005D1EF9" w:rsidRPr="00622F6C">
        <w:rPr>
          <w:rFonts w:ascii="Times New Roman" w:eastAsiaTheme="minorEastAsia" w:hAnsi="Times New Roman" w:cs="Times New Roman"/>
          <w:i/>
          <w:lang w:val="en-US"/>
        </w:rPr>
        <w:t xml:space="preserve"> </w:t>
      </w:r>
      <w:r w:rsidR="00BB227D" w:rsidRPr="00622F6C">
        <w:rPr>
          <w:rFonts w:ascii="Times New Roman" w:eastAsiaTheme="minorEastAsia" w:hAnsi="Times New Roman" w:cs="Times New Roman"/>
          <w:lang w:val="en-US"/>
        </w:rPr>
        <w:t xml:space="preserve">for each firm, </w:t>
      </w:r>
      <w:r w:rsidR="00104F63">
        <w:rPr>
          <w:rFonts w:ascii="Times New Roman" w:eastAsiaTheme="minorEastAsia" w:hAnsi="Times New Roman" w:cs="Times New Roman"/>
          <w:lang w:val="en-US"/>
        </w:rPr>
        <w:t>through an</w:t>
      </w:r>
      <w:r w:rsidR="005D1EF9" w:rsidRPr="00622F6C">
        <w:rPr>
          <w:rFonts w:ascii="Times New Roman" w:eastAsiaTheme="minorEastAsia" w:hAnsi="Times New Roman" w:cs="Times New Roman"/>
          <w:lang w:val="en-US"/>
        </w:rPr>
        <w:t xml:space="preserve"> approach </w:t>
      </w:r>
      <w:r w:rsidR="00104F63">
        <w:rPr>
          <w:rFonts w:ascii="Times New Roman" w:eastAsiaTheme="minorEastAsia" w:hAnsi="Times New Roman" w:cs="Times New Roman"/>
          <w:lang w:val="en-US"/>
        </w:rPr>
        <w:t>similar to that</w:t>
      </w:r>
      <w:r w:rsidR="00104F63" w:rsidRPr="00622F6C">
        <w:rPr>
          <w:rFonts w:ascii="Times New Roman" w:eastAsiaTheme="minorEastAsia" w:hAnsi="Times New Roman" w:cs="Times New Roman"/>
          <w:lang w:val="en-US"/>
        </w:rPr>
        <w:t xml:space="preserve"> </w:t>
      </w:r>
      <w:r w:rsidR="005D1EF9" w:rsidRPr="00622F6C">
        <w:rPr>
          <w:rFonts w:ascii="Times New Roman" w:eastAsiaTheme="minorEastAsia" w:hAnsi="Times New Roman" w:cs="Times New Roman"/>
          <w:lang w:val="en-US"/>
        </w:rPr>
        <w:t>in our baseline cross-sectional regression;</w:t>
      </w:r>
      <w:r w:rsidR="00BB227D" w:rsidRPr="00622F6C">
        <w:rPr>
          <w:rFonts w:ascii="Times New Roman" w:eastAsiaTheme="minorEastAsia" w:hAnsi="Times New Roman" w:cs="Times New Roman"/>
          <w:lang w:val="en-US"/>
        </w:rPr>
        <w:t xml:space="preserve"> (iii) </w:t>
      </w:r>
      <w:r w:rsidR="00104F63">
        <w:rPr>
          <w:rFonts w:ascii="Times New Roman" w:eastAsiaTheme="minorEastAsia" w:hAnsi="Times New Roman" w:cs="Times New Roman"/>
          <w:lang w:val="en-US"/>
        </w:rPr>
        <w:t>r</w:t>
      </w:r>
      <w:r w:rsidR="00104F63" w:rsidRPr="00622F6C">
        <w:rPr>
          <w:rFonts w:ascii="Times New Roman" w:eastAsiaTheme="minorEastAsia" w:hAnsi="Times New Roman" w:cs="Times New Roman"/>
          <w:lang w:val="en-US"/>
        </w:rPr>
        <w:t>un</w:t>
      </w:r>
      <w:r w:rsidR="00104F63">
        <w:rPr>
          <w:rFonts w:ascii="Times New Roman" w:eastAsiaTheme="minorEastAsia" w:hAnsi="Times New Roman" w:cs="Times New Roman"/>
          <w:lang w:val="en-US"/>
        </w:rPr>
        <w:t>ning</w:t>
      </w:r>
      <w:r w:rsidR="00104F63" w:rsidRPr="00622F6C">
        <w:rPr>
          <w:rFonts w:ascii="Times New Roman" w:eastAsiaTheme="minorEastAsia" w:hAnsi="Times New Roman" w:cs="Times New Roman"/>
          <w:lang w:val="en-US"/>
        </w:rPr>
        <w:t xml:space="preserve"> </w:t>
      </w:r>
      <w:r w:rsidR="00BB227D" w:rsidRPr="00622F6C">
        <w:rPr>
          <w:rFonts w:ascii="Times New Roman" w:eastAsiaTheme="minorEastAsia" w:hAnsi="Times New Roman" w:cs="Times New Roman"/>
          <w:lang w:val="en-US"/>
        </w:rPr>
        <w:t xml:space="preserve">the baseline model in Table 5, Column (1) with this </w:t>
      </w:r>
      <w:r w:rsidR="00A94C5F">
        <w:rPr>
          <w:rFonts w:ascii="Times New Roman" w:eastAsiaTheme="minorEastAsia" w:hAnsi="Times New Roman" w:cs="Times New Roman"/>
          <w:i/>
          <w:lang w:val="en-US"/>
        </w:rPr>
        <w:t>CAR</w:t>
      </w:r>
      <w:r w:rsidR="00BB227D" w:rsidRPr="00622F6C">
        <w:rPr>
          <w:rFonts w:ascii="Times New Roman" w:eastAsiaTheme="minorEastAsia" w:hAnsi="Times New Roman" w:cs="Times New Roman"/>
          <w:lang w:val="en-US"/>
        </w:rPr>
        <w:t xml:space="preserve"> as </w:t>
      </w:r>
      <w:r w:rsidR="00104F63">
        <w:rPr>
          <w:rFonts w:ascii="Times New Roman" w:eastAsiaTheme="minorEastAsia" w:hAnsi="Times New Roman" w:cs="Times New Roman"/>
          <w:lang w:val="en-US"/>
        </w:rPr>
        <w:t xml:space="preserve">the </w:t>
      </w:r>
      <w:r w:rsidR="00BB227D" w:rsidRPr="00622F6C">
        <w:rPr>
          <w:rFonts w:ascii="Times New Roman" w:eastAsiaTheme="minorEastAsia" w:hAnsi="Times New Roman" w:cs="Times New Roman"/>
          <w:lang w:val="en-US"/>
        </w:rPr>
        <w:t xml:space="preserve">dependent variable, for each of the 205 firms in the </w:t>
      </w:r>
      <w:r w:rsidR="005D1EF9" w:rsidRPr="00622F6C">
        <w:rPr>
          <w:rFonts w:ascii="Times New Roman" w:eastAsiaTheme="minorEastAsia" w:hAnsi="Times New Roman" w:cs="Times New Roman"/>
          <w:lang w:val="en-US"/>
        </w:rPr>
        <w:t>baseline sample;</w:t>
      </w:r>
      <w:r w:rsidR="00BB227D" w:rsidRPr="00622F6C">
        <w:rPr>
          <w:rFonts w:ascii="Times New Roman" w:eastAsiaTheme="minorEastAsia" w:hAnsi="Times New Roman" w:cs="Times New Roman"/>
          <w:lang w:val="en-US"/>
        </w:rPr>
        <w:t xml:space="preserve"> (iv) </w:t>
      </w:r>
      <w:r w:rsidR="00104F63">
        <w:rPr>
          <w:rFonts w:ascii="Times New Roman" w:eastAsiaTheme="minorEastAsia" w:hAnsi="Times New Roman" w:cs="Times New Roman"/>
          <w:lang w:val="en-US"/>
        </w:rPr>
        <w:t>s</w:t>
      </w:r>
      <w:r w:rsidR="00104F63" w:rsidRPr="00622F6C">
        <w:rPr>
          <w:rFonts w:ascii="Times New Roman" w:eastAsiaTheme="minorEastAsia" w:hAnsi="Times New Roman" w:cs="Times New Roman"/>
          <w:lang w:val="en-US"/>
        </w:rPr>
        <w:t>tor</w:t>
      </w:r>
      <w:r w:rsidR="00104F63">
        <w:rPr>
          <w:rFonts w:ascii="Times New Roman" w:eastAsiaTheme="minorEastAsia" w:hAnsi="Times New Roman" w:cs="Times New Roman"/>
          <w:lang w:val="en-US"/>
        </w:rPr>
        <w:t>ing</w:t>
      </w:r>
      <w:r w:rsidR="00104F63" w:rsidRPr="00622F6C">
        <w:rPr>
          <w:rFonts w:ascii="Times New Roman" w:eastAsiaTheme="minorEastAsia" w:hAnsi="Times New Roman" w:cs="Times New Roman"/>
          <w:lang w:val="en-US"/>
        </w:rPr>
        <w:t xml:space="preserve"> </w:t>
      </w:r>
      <w:r w:rsidR="00BB227D" w:rsidRPr="00622F6C">
        <w:rPr>
          <w:rFonts w:ascii="Times New Roman" w:eastAsiaTheme="minorEastAsia" w:hAnsi="Times New Roman" w:cs="Times New Roman"/>
          <w:lang w:val="en-US"/>
        </w:rPr>
        <w:t>the coefficient estimat</w:t>
      </w:r>
      <w:r w:rsidR="005D1EF9" w:rsidRPr="00622F6C">
        <w:rPr>
          <w:rFonts w:ascii="Times New Roman" w:eastAsiaTheme="minorEastAsia" w:hAnsi="Times New Roman" w:cs="Times New Roman"/>
          <w:lang w:val="en-US"/>
        </w:rPr>
        <w:t>es obtained for this regression;</w:t>
      </w:r>
      <w:r w:rsidR="00BB227D" w:rsidRPr="00622F6C">
        <w:rPr>
          <w:rFonts w:ascii="Times New Roman" w:eastAsiaTheme="minorEastAsia" w:hAnsi="Times New Roman" w:cs="Times New Roman"/>
          <w:lang w:val="en-US"/>
        </w:rPr>
        <w:t xml:space="preserve"> (v) </w:t>
      </w:r>
      <w:r w:rsidR="00104F63">
        <w:rPr>
          <w:rFonts w:ascii="Times New Roman" w:eastAsiaTheme="minorEastAsia" w:hAnsi="Times New Roman" w:cs="Times New Roman"/>
          <w:lang w:val="en-US"/>
        </w:rPr>
        <w:t>r</w:t>
      </w:r>
      <w:r w:rsidR="00104F63" w:rsidRPr="00622F6C">
        <w:rPr>
          <w:rFonts w:ascii="Times New Roman" w:eastAsiaTheme="minorEastAsia" w:hAnsi="Times New Roman" w:cs="Times New Roman"/>
          <w:lang w:val="en-US"/>
        </w:rPr>
        <w:t>epeat</w:t>
      </w:r>
      <w:r w:rsidR="00104F63">
        <w:rPr>
          <w:rFonts w:ascii="Times New Roman" w:eastAsiaTheme="minorEastAsia" w:hAnsi="Times New Roman" w:cs="Times New Roman"/>
          <w:lang w:val="en-US"/>
        </w:rPr>
        <w:t>ing</w:t>
      </w:r>
      <w:r w:rsidR="00104F63" w:rsidRPr="00622F6C">
        <w:rPr>
          <w:rFonts w:ascii="Times New Roman" w:eastAsiaTheme="minorEastAsia" w:hAnsi="Times New Roman" w:cs="Times New Roman"/>
          <w:lang w:val="en-US"/>
        </w:rPr>
        <w:t xml:space="preserve"> </w:t>
      </w:r>
      <w:r w:rsidR="00BB227D" w:rsidRPr="00622F6C">
        <w:rPr>
          <w:rFonts w:ascii="Times New Roman" w:eastAsiaTheme="minorEastAsia" w:hAnsi="Times New Roman" w:cs="Times New Roman"/>
          <w:lang w:val="en-US"/>
        </w:rPr>
        <w:t>this process 500 times, thereby obtaining a distribution of non-event regression coefficients for each explanatory variable</w:t>
      </w:r>
      <w:r w:rsidR="0070306F">
        <w:rPr>
          <w:rFonts w:ascii="Times New Roman" w:eastAsiaTheme="minorEastAsia" w:hAnsi="Times New Roman" w:cs="Times New Roman"/>
          <w:lang w:val="en-US"/>
        </w:rPr>
        <w:t xml:space="preserve">. </w:t>
      </w:r>
      <w:r w:rsidR="009979FC">
        <w:rPr>
          <w:rFonts w:ascii="Times New Roman" w:eastAsiaTheme="minorEastAsia" w:hAnsi="Times New Roman" w:cs="Times New Roman"/>
          <w:lang w:val="en-US"/>
        </w:rPr>
        <w:t>T</w:t>
      </w:r>
      <w:r w:rsidR="00E44848">
        <w:rPr>
          <w:rFonts w:ascii="Times New Roman" w:eastAsiaTheme="minorEastAsia" w:hAnsi="Times New Roman" w:cs="Times New Roman"/>
          <w:lang w:val="en-US"/>
        </w:rPr>
        <w:t xml:space="preserve">he baseline regression coefficients </w:t>
      </w:r>
      <w:r w:rsidR="0070306F">
        <w:rPr>
          <w:rFonts w:ascii="Times New Roman" w:eastAsiaTheme="minorEastAsia" w:hAnsi="Times New Roman" w:cs="Times New Roman"/>
          <w:lang w:val="en-US"/>
        </w:rPr>
        <w:t xml:space="preserve">of significant </w:t>
      </w:r>
      <w:r w:rsidR="009979FC">
        <w:rPr>
          <w:rFonts w:ascii="Times New Roman" w:eastAsiaTheme="minorEastAsia" w:hAnsi="Times New Roman" w:cs="Times New Roman"/>
          <w:lang w:val="en-US"/>
        </w:rPr>
        <w:t xml:space="preserve">explanatory </w:t>
      </w:r>
      <w:r w:rsidR="0070306F">
        <w:rPr>
          <w:rFonts w:ascii="Times New Roman" w:eastAsiaTheme="minorEastAsia" w:hAnsi="Times New Roman" w:cs="Times New Roman"/>
          <w:lang w:val="en-US"/>
        </w:rPr>
        <w:t xml:space="preserve">variables </w:t>
      </w:r>
      <w:r w:rsidR="00E44848">
        <w:rPr>
          <w:rFonts w:ascii="Times New Roman" w:eastAsiaTheme="minorEastAsia" w:hAnsi="Times New Roman" w:cs="Times New Roman"/>
          <w:lang w:val="en-US"/>
        </w:rPr>
        <w:t>fall into the tails of the simulated distribution</w:t>
      </w:r>
      <w:r w:rsidR="009979FC">
        <w:rPr>
          <w:rFonts w:ascii="Times New Roman" w:eastAsiaTheme="minorEastAsia" w:hAnsi="Times New Roman" w:cs="Times New Roman"/>
          <w:lang w:val="en-US"/>
        </w:rPr>
        <w:t>s</w:t>
      </w:r>
      <w:r w:rsidR="00E44848">
        <w:rPr>
          <w:rFonts w:ascii="Times New Roman" w:eastAsiaTheme="minorEastAsia" w:hAnsi="Times New Roman" w:cs="Times New Roman"/>
          <w:lang w:val="en-US"/>
        </w:rPr>
        <w:t xml:space="preserve"> of coefficients</w:t>
      </w:r>
      <w:r w:rsidR="00956849" w:rsidRPr="00622F6C">
        <w:rPr>
          <w:rFonts w:ascii="Times New Roman" w:eastAsiaTheme="minorEastAsia" w:hAnsi="Times New Roman" w:cs="Times New Roman"/>
          <w:lang w:val="en-US"/>
        </w:rPr>
        <w:t xml:space="preserve">. </w:t>
      </w:r>
      <w:r w:rsidR="0070306F">
        <w:rPr>
          <w:rFonts w:ascii="Times New Roman" w:eastAsiaTheme="minorEastAsia" w:hAnsi="Times New Roman" w:cs="Times New Roman"/>
          <w:lang w:val="en-US"/>
        </w:rPr>
        <w:t xml:space="preserve">This suggests that </w:t>
      </w:r>
      <w:r w:rsidR="0070306F" w:rsidRPr="00622F6C">
        <w:rPr>
          <w:rFonts w:ascii="Times New Roman" w:eastAsiaTheme="minorEastAsia" w:hAnsi="Times New Roman" w:cs="Times New Roman"/>
          <w:lang w:val="en-US"/>
        </w:rPr>
        <w:t xml:space="preserve">our significant cross-sectional regression findings are </w:t>
      </w:r>
      <w:r w:rsidR="009979FC">
        <w:rPr>
          <w:rFonts w:ascii="Times New Roman" w:eastAsiaTheme="minorEastAsia" w:hAnsi="Times New Roman" w:cs="Times New Roman"/>
          <w:lang w:val="en-US"/>
        </w:rPr>
        <w:t xml:space="preserve">indeed </w:t>
      </w:r>
      <w:r w:rsidR="0070306F" w:rsidRPr="00622F6C">
        <w:rPr>
          <w:rFonts w:ascii="Times New Roman" w:eastAsiaTheme="minorEastAsia" w:hAnsi="Times New Roman" w:cs="Times New Roman"/>
          <w:lang w:val="en-US"/>
        </w:rPr>
        <w:t>associated with MSA adoption events</w:t>
      </w:r>
      <w:r w:rsidR="0070306F">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p>
    <w:p w14:paraId="401ADB48" w14:textId="5B5FEC47" w:rsidR="005E01EC" w:rsidRPr="00717E3A" w:rsidRDefault="005E01EC" w:rsidP="00FD46A5">
      <w:pPr>
        <w:spacing w:after="0" w:line="480" w:lineRule="auto"/>
        <w:ind w:firstLine="426"/>
        <w:contextualSpacing/>
        <w:jc w:val="both"/>
        <w:rPr>
          <w:rFonts w:ascii="Times New Roman" w:eastAsiaTheme="minorEastAsia" w:hAnsi="Times New Roman" w:cs="Times New Roman"/>
          <w:lang w:val="en-US"/>
        </w:rPr>
      </w:pPr>
      <w:r>
        <w:rPr>
          <w:rFonts w:ascii="Times New Roman" w:hAnsi="Times New Roman" w:cs="Times New Roman"/>
          <w:lang w:val="en-US"/>
        </w:rPr>
        <w:t xml:space="preserve">Overall, </w:t>
      </w:r>
      <w:r w:rsidR="00EA26B5" w:rsidRPr="00D83E53">
        <w:rPr>
          <w:rFonts w:ascii="Times New Roman" w:hAnsi="Times New Roman" w:cs="Times New Roman"/>
          <w:lang w:val="en-US"/>
        </w:rPr>
        <w:t>our results suggest that stock</w:t>
      </w:r>
      <w:r w:rsidR="00EA26B5" w:rsidRPr="00622F6C">
        <w:rPr>
          <w:rFonts w:ascii="Times New Roman" w:hAnsi="Times New Roman" w:cs="Times New Roman"/>
          <w:lang w:val="en-US"/>
        </w:rPr>
        <w:t xml:space="preserve"> price reactions to the MSA are more favorable for firms </w:t>
      </w:r>
      <w:r>
        <w:rPr>
          <w:rFonts w:ascii="Times New Roman" w:hAnsi="Times New Roman" w:cs="Times New Roman"/>
          <w:lang w:val="en-US"/>
        </w:rPr>
        <w:t xml:space="preserve">with a </w:t>
      </w:r>
      <w:r w:rsidR="00EA26B5" w:rsidRPr="00622F6C">
        <w:rPr>
          <w:rFonts w:ascii="Times New Roman" w:hAnsi="Times New Roman" w:cs="Times New Roman"/>
          <w:lang w:val="en-US"/>
        </w:rPr>
        <w:t xml:space="preserve">track record of </w:t>
      </w:r>
      <w:r w:rsidR="003C6016">
        <w:rPr>
          <w:rFonts w:ascii="Times New Roman" w:hAnsi="Times New Roman" w:cs="Times New Roman"/>
          <w:lang w:val="en-US"/>
        </w:rPr>
        <w:t>tackling</w:t>
      </w:r>
      <w:r w:rsidR="00EA26B5" w:rsidRPr="00622F6C">
        <w:rPr>
          <w:rFonts w:ascii="Times New Roman" w:hAnsi="Times New Roman" w:cs="Times New Roman"/>
          <w:lang w:val="en-US"/>
        </w:rPr>
        <w:t xml:space="preserve"> slavery risk</w:t>
      </w:r>
      <w:r w:rsidR="00EA26B5">
        <w:rPr>
          <w:rFonts w:ascii="Times New Roman" w:hAnsi="Times New Roman" w:cs="Times New Roman"/>
          <w:lang w:val="en-US"/>
        </w:rPr>
        <w:t xml:space="preserve">, but </w:t>
      </w:r>
      <w:r>
        <w:rPr>
          <w:rFonts w:ascii="Times New Roman" w:hAnsi="Times New Roman" w:cs="Times New Roman"/>
          <w:lang w:val="en-US"/>
        </w:rPr>
        <w:t xml:space="preserve">who </w:t>
      </w:r>
      <w:r w:rsidR="00EA26B5">
        <w:rPr>
          <w:rFonts w:ascii="Times New Roman" w:hAnsi="Times New Roman" w:cs="Times New Roman"/>
          <w:lang w:val="en-US"/>
        </w:rPr>
        <w:t>face</w:t>
      </w:r>
      <w:r w:rsidR="00EA26B5" w:rsidRPr="00622F6C">
        <w:rPr>
          <w:rFonts w:ascii="Times New Roman" w:hAnsi="Times New Roman" w:cs="Times New Roman"/>
          <w:lang w:val="en-US"/>
        </w:rPr>
        <w:t xml:space="preserve"> high exposure to slave labor by virtue of the</w:t>
      </w:r>
      <w:r>
        <w:rPr>
          <w:rFonts w:ascii="Times New Roman" w:hAnsi="Times New Roman" w:cs="Times New Roman"/>
          <w:lang w:val="en-US"/>
        </w:rPr>
        <w:t xml:space="preserve">ir operating environment. </w:t>
      </w:r>
      <w:r w:rsidR="00EA26B5">
        <w:rPr>
          <w:rFonts w:ascii="Times New Roman" w:hAnsi="Times New Roman" w:cs="Times New Roman"/>
          <w:lang w:val="en-US"/>
        </w:rPr>
        <w:t>T</w:t>
      </w:r>
      <w:r w:rsidR="00E74C5B">
        <w:rPr>
          <w:rFonts w:ascii="Times New Roman" w:hAnsi="Times New Roman" w:cs="Times New Roman"/>
          <w:lang w:val="en-US"/>
        </w:rPr>
        <w:t xml:space="preserve">o </w:t>
      </w:r>
      <w:r>
        <w:rPr>
          <w:rFonts w:ascii="Times New Roman" w:hAnsi="Times New Roman" w:cs="Times New Roman"/>
          <w:lang w:val="en-US"/>
        </w:rPr>
        <w:t xml:space="preserve">provide additional </w:t>
      </w:r>
      <w:r w:rsidR="00E74C5B">
        <w:rPr>
          <w:rFonts w:ascii="Times New Roman" w:hAnsi="Times New Roman" w:cs="Times New Roman"/>
          <w:lang w:val="en-US"/>
        </w:rPr>
        <w:t xml:space="preserve">insight into how firm- and industry-specific slavery risk contribute to the </w:t>
      </w:r>
      <w:r w:rsidR="006557EA">
        <w:rPr>
          <w:rFonts w:ascii="Times New Roman" w:hAnsi="Times New Roman" w:cs="Times New Roman"/>
          <w:lang w:val="en-US"/>
        </w:rPr>
        <w:t>overall</w:t>
      </w:r>
      <w:r w:rsidR="00E74C5B">
        <w:rPr>
          <w:rFonts w:ascii="Times New Roman" w:hAnsi="Times New Roman" w:cs="Times New Roman"/>
          <w:lang w:val="en-US"/>
        </w:rPr>
        <w:t xml:space="preserve"> sample </w:t>
      </w:r>
      <w:r w:rsidR="00E74C5B" w:rsidRPr="000905D7">
        <w:rPr>
          <w:rFonts w:ascii="Times New Roman" w:hAnsi="Times New Roman" w:cs="Times New Roman"/>
          <w:i/>
          <w:lang w:val="en-US"/>
        </w:rPr>
        <w:t>CAR</w:t>
      </w:r>
      <w:r w:rsidR="00E74C5B">
        <w:rPr>
          <w:rFonts w:ascii="Times New Roman" w:hAnsi="Times New Roman" w:cs="Times New Roman"/>
          <w:lang w:val="en-US"/>
        </w:rPr>
        <w:t xml:space="preserve">, we calculate the average </w:t>
      </w:r>
      <w:r w:rsidR="00E74C5B" w:rsidRPr="009C50ED">
        <w:rPr>
          <w:rFonts w:ascii="Times New Roman" w:hAnsi="Times New Roman" w:cs="Times New Roman"/>
          <w:i/>
          <w:lang w:val="en-US"/>
        </w:rPr>
        <w:t>CAR</w:t>
      </w:r>
      <w:r w:rsidR="00E74C5B">
        <w:rPr>
          <w:rFonts w:ascii="Times New Roman" w:hAnsi="Times New Roman" w:cs="Times New Roman"/>
          <w:lang w:val="en-US"/>
        </w:rPr>
        <w:t xml:space="preserve"> for four groups of sample firms conditioned on their values for </w:t>
      </w:r>
      <w:r w:rsidR="006557EA" w:rsidRPr="00955DFE">
        <w:rPr>
          <w:rFonts w:ascii="Times New Roman" w:hAnsi="Times New Roman" w:cs="Times New Roman"/>
          <w:i/>
          <w:lang w:val="en-US"/>
        </w:rPr>
        <w:t>Composite</w:t>
      </w:r>
      <w:r w:rsidR="006557EA">
        <w:rPr>
          <w:rFonts w:ascii="Times New Roman" w:hAnsi="Times New Roman" w:cs="Times New Roman"/>
          <w:lang w:val="en-US"/>
        </w:rPr>
        <w:t xml:space="preserve"> </w:t>
      </w:r>
      <w:r w:rsidR="00E74C5B" w:rsidRPr="009C50ED">
        <w:rPr>
          <w:rFonts w:ascii="Times New Roman" w:hAnsi="Times New Roman" w:cs="Times New Roman"/>
          <w:i/>
          <w:lang w:val="en-US"/>
        </w:rPr>
        <w:t>Firm Slavery Risk</w:t>
      </w:r>
      <w:r w:rsidR="00E74C5B">
        <w:rPr>
          <w:rFonts w:ascii="Times New Roman" w:hAnsi="Times New Roman" w:cs="Times New Roman"/>
          <w:lang w:val="en-US"/>
        </w:rPr>
        <w:t xml:space="preserve"> and </w:t>
      </w:r>
      <w:r w:rsidR="006557EA" w:rsidRPr="00955DFE">
        <w:rPr>
          <w:rFonts w:ascii="Times New Roman" w:hAnsi="Times New Roman" w:cs="Times New Roman"/>
          <w:i/>
          <w:lang w:val="en-US"/>
        </w:rPr>
        <w:t xml:space="preserve">Composite </w:t>
      </w:r>
      <w:r w:rsidR="00E74C5B" w:rsidRPr="009C50ED">
        <w:rPr>
          <w:rFonts w:ascii="Times New Roman" w:hAnsi="Times New Roman" w:cs="Times New Roman"/>
          <w:i/>
          <w:lang w:val="en-US"/>
        </w:rPr>
        <w:t>Industry Slavery Risk</w:t>
      </w:r>
      <w:r w:rsidR="00E74C5B">
        <w:rPr>
          <w:rFonts w:ascii="Times New Roman" w:hAnsi="Times New Roman" w:cs="Times New Roman"/>
          <w:lang w:val="en-US"/>
        </w:rPr>
        <w:t>.</w:t>
      </w:r>
      <w:r w:rsidR="006557EA">
        <w:rPr>
          <w:rStyle w:val="FootnoteReference"/>
          <w:rFonts w:ascii="Times New Roman" w:hAnsi="Times New Roman" w:cs="Times New Roman"/>
          <w:lang w:val="en-US"/>
        </w:rPr>
        <w:footnoteReference w:id="14"/>
      </w:r>
      <w:r w:rsidR="00E74C5B">
        <w:rPr>
          <w:rFonts w:ascii="Times New Roman" w:hAnsi="Times New Roman" w:cs="Times New Roman"/>
          <w:lang w:val="en-US"/>
        </w:rPr>
        <w:t xml:space="preserve"> We </w:t>
      </w:r>
      <w:r w:rsidR="00B15103">
        <w:rPr>
          <w:rFonts w:ascii="Times New Roman" w:hAnsi="Times New Roman" w:cs="Times New Roman"/>
          <w:lang w:val="en-US"/>
        </w:rPr>
        <w:t xml:space="preserve">base this additional </w:t>
      </w:r>
      <w:r w:rsidR="00FC175C">
        <w:rPr>
          <w:rFonts w:ascii="Times New Roman" w:hAnsi="Times New Roman" w:cs="Times New Roman"/>
          <w:lang w:val="en-US"/>
        </w:rPr>
        <w:t xml:space="preserve">univariate </w:t>
      </w:r>
      <w:r w:rsidR="00B15103">
        <w:rPr>
          <w:rFonts w:ascii="Times New Roman" w:hAnsi="Times New Roman" w:cs="Times New Roman"/>
          <w:lang w:val="en-US"/>
        </w:rPr>
        <w:t>test on</w:t>
      </w:r>
      <w:r w:rsidR="00E74C5B">
        <w:rPr>
          <w:rFonts w:ascii="Times New Roman" w:hAnsi="Times New Roman" w:cs="Times New Roman"/>
          <w:lang w:val="en-US"/>
        </w:rPr>
        <w:t xml:space="preserve"> </w:t>
      </w:r>
      <w:r w:rsidR="00030359">
        <w:rPr>
          <w:rFonts w:ascii="Times New Roman" w:hAnsi="Times New Roman" w:cs="Times New Roman"/>
          <w:lang w:val="en-US"/>
        </w:rPr>
        <w:t xml:space="preserve">the market model-based </w:t>
      </w:r>
      <w:r w:rsidR="006557EA" w:rsidRPr="00955DFE">
        <w:rPr>
          <w:rFonts w:ascii="Times New Roman" w:hAnsi="Times New Roman" w:cs="Times New Roman"/>
          <w:i/>
          <w:lang w:val="en-US"/>
        </w:rPr>
        <w:t>CAR</w:t>
      </w:r>
      <w:r w:rsidR="00B15103">
        <w:rPr>
          <w:rFonts w:ascii="Times New Roman" w:hAnsi="Times New Roman" w:cs="Times New Roman"/>
          <w:lang w:val="en-US"/>
        </w:rPr>
        <w:t>s</w:t>
      </w:r>
      <w:r w:rsidR="00030359">
        <w:rPr>
          <w:rFonts w:ascii="Times New Roman" w:hAnsi="Times New Roman" w:cs="Times New Roman"/>
          <w:lang w:val="en-US"/>
        </w:rPr>
        <w:t xml:space="preserve"> defined earlier</w:t>
      </w:r>
      <w:r w:rsidR="003C6016">
        <w:rPr>
          <w:rFonts w:ascii="Times New Roman" w:hAnsi="Times New Roman" w:cs="Times New Roman"/>
          <w:lang w:val="en-US"/>
        </w:rPr>
        <w:t xml:space="preserve">, </w:t>
      </w:r>
      <w:r w:rsidR="00717E3A">
        <w:rPr>
          <w:rFonts w:ascii="Times New Roman" w:hAnsi="Times New Roman" w:cs="Times New Roman"/>
          <w:lang w:val="en-US"/>
        </w:rPr>
        <w:t>enabling</w:t>
      </w:r>
      <w:r w:rsidR="006557EA">
        <w:rPr>
          <w:rFonts w:ascii="Times New Roman" w:hAnsi="Times New Roman" w:cs="Times New Roman"/>
          <w:lang w:val="en-US"/>
        </w:rPr>
        <w:t xml:space="preserve"> us to use </w:t>
      </w:r>
      <w:r>
        <w:rPr>
          <w:rFonts w:ascii="Times New Roman" w:hAnsi="Times New Roman" w:cs="Times New Roman"/>
          <w:lang w:val="en-US"/>
        </w:rPr>
        <w:t xml:space="preserve">both </w:t>
      </w:r>
      <w:r w:rsidR="006557EA">
        <w:rPr>
          <w:rFonts w:ascii="Times New Roman" w:hAnsi="Times New Roman" w:cs="Times New Roman"/>
          <w:lang w:val="en-US"/>
        </w:rPr>
        <w:t xml:space="preserve">parametric and nonparametric test statistics commonly adopted in other event studies (MacKinlay, 1997; Corrado, 2011). </w:t>
      </w:r>
      <w:r w:rsidR="00FC175C">
        <w:rPr>
          <w:rFonts w:ascii="Times New Roman" w:eastAsiaTheme="minorEastAsia" w:hAnsi="Times New Roman" w:cs="Times New Roman"/>
          <w:lang w:val="en-US"/>
        </w:rPr>
        <w:t xml:space="preserve">To evaluate average </w:t>
      </w:r>
      <w:r w:rsidR="00FC175C" w:rsidRPr="00955DFE">
        <w:rPr>
          <w:rFonts w:ascii="Times New Roman" w:eastAsiaTheme="minorEastAsia" w:hAnsi="Times New Roman" w:cs="Times New Roman"/>
          <w:i/>
          <w:lang w:val="en-US"/>
        </w:rPr>
        <w:t>CAR</w:t>
      </w:r>
      <w:r w:rsidR="002E32FE" w:rsidRPr="00955DFE">
        <w:rPr>
          <w:rFonts w:ascii="Times New Roman" w:eastAsiaTheme="minorEastAsia" w:hAnsi="Times New Roman" w:cs="Times New Roman"/>
          <w:lang w:val="en-US"/>
        </w:rPr>
        <w:t>s</w:t>
      </w:r>
      <w:r w:rsidR="006557EA">
        <w:rPr>
          <w:rFonts w:ascii="Times New Roman" w:eastAsiaTheme="minorEastAsia" w:hAnsi="Times New Roman" w:cs="Times New Roman"/>
          <w:lang w:val="en-US"/>
        </w:rPr>
        <w:t xml:space="preserve">, we use </w:t>
      </w:r>
      <w:r w:rsidR="006557EA" w:rsidRPr="003F1822">
        <w:rPr>
          <w:rFonts w:ascii="Times New Roman" w:eastAsiaTheme="minorEastAsia" w:hAnsi="Times New Roman" w:cs="Times New Roman"/>
          <w:lang w:val="en-US"/>
        </w:rPr>
        <w:t xml:space="preserve">the test advocated by Brown and Warner (1985) </w:t>
      </w:r>
      <w:r w:rsidR="002E32FE">
        <w:rPr>
          <w:rFonts w:ascii="Times New Roman" w:eastAsiaTheme="minorEastAsia" w:hAnsi="Times New Roman" w:cs="Times New Roman"/>
          <w:lang w:val="en-US"/>
        </w:rPr>
        <w:t>accounting</w:t>
      </w:r>
      <w:r w:rsidR="006557EA" w:rsidRPr="003F1822">
        <w:rPr>
          <w:rFonts w:ascii="Times New Roman" w:eastAsiaTheme="minorEastAsia" w:hAnsi="Times New Roman" w:cs="Times New Roman"/>
          <w:lang w:val="en-US"/>
        </w:rPr>
        <w:t xml:space="preserve"> for cross-sectional dependence</w:t>
      </w:r>
      <w:r w:rsidR="006557EA">
        <w:rPr>
          <w:rFonts w:ascii="Times New Roman" w:eastAsiaTheme="minorEastAsia" w:hAnsi="Times New Roman" w:cs="Times New Roman"/>
          <w:lang w:val="en-US"/>
        </w:rPr>
        <w:t xml:space="preserve"> due to clustering of event dates</w:t>
      </w:r>
      <w:r w:rsidR="006557EA" w:rsidRPr="003B2985">
        <w:rPr>
          <w:rFonts w:ascii="Times New Roman" w:eastAsiaTheme="minorEastAsia" w:hAnsi="Times New Roman" w:cs="Times New Roman"/>
          <w:i/>
          <w:lang w:val="en-US"/>
        </w:rPr>
        <w:t>.</w:t>
      </w:r>
      <w:r w:rsidR="006557EA">
        <w:rPr>
          <w:rFonts w:ascii="Times New Roman" w:eastAsiaTheme="minorEastAsia" w:hAnsi="Times New Roman" w:cs="Times New Roman"/>
          <w:lang w:val="en-US"/>
        </w:rPr>
        <w:t xml:space="preserve"> </w:t>
      </w:r>
      <w:r w:rsidR="008947F5">
        <w:rPr>
          <w:rFonts w:ascii="Times New Roman" w:eastAsiaTheme="minorEastAsia" w:hAnsi="Times New Roman" w:cs="Times New Roman"/>
          <w:lang w:val="en-US"/>
        </w:rPr>
        <w:t xml:space="preserve">The numerator of the test statistic is the average </w:t>
      </w:r>
      <w:r w:rsidR="008947F5" w:rsidRPr="00955DFE">
        <w:rPr>
          <w:rFonts w:ascii="Times New Roman" w:eastAsiaTheme="minorEastAsia" w:hAnsi="Times New Roman" w:cs="Times New Roman"/>
          <w:i/>
          <w:lang w:val="en-US"/>
        </w:rPr>
        <w:t>CAR</w:t>
      </w:r>
      <w:r w:rsidR="008947F5">
        <w:rPr>
          <w:rFonts w:ascii="Times New Roman" w:eastAsiaTheme="minorEastAsia" w:hAnsi="Times New Roman" w:cs="Times New Roman"/>
          <w:lang w:val="en-US"/>
        </w:rPr>
        <w:t xml:space="preserve">. The denominator is </w:t>
      </w:r>
      <w:r w:rsidR="002E32FE">
        <w:rPr>
          <w:rFonts w:ascii="Times New Roman" w:eastAsiaTheme="minorEastAsia" w:hAnsi="Times New Roman" w:cs="Times New Roman"/>
          <w:lang w:val="en-US"/>
        </w:rPr>
        <w:t>the standard deviation</w:t>
      </w:r>
      <w:r w:rsidR="006557EA">
        <w:rPr>
          <w:rFonts w:ascii="Times New Roman" w:eastAsiaTheme="minorEastAsia" w:hAnsi="Times New Roman" w:cs="Times New Roman"/>
          <w:lang w:val="en-US"/>
        </w:rPr>
        <w:t xml:space="preserve"> of abnormal stock returns estimated over the same pre-event estimation window </w:t>
      </w:r>
      <w:r w:rsidR="00FC175C">
        <w:rPr>
          <w:rFonts w:ascii="Times New Roman" w:eastAsiaTheme="minorEastAsia" w:hAnsi="Times New Roman" w:cs="Times New Roman"/>
          <w:lang w:val="en-US"/>
        </w:rPr>
        <w:t xml:space="preserve">as </w:t>
      </w:r>
      <w:r w:rsidR="006557EA">
        <w:rPr>
          <w:rFonts w:ascii="Times New Roman" w:eastAsiaTheme="minorEastAsia" w:hAnsi="Times New Roman" w:cs="Times New Roman"/>
          <w:lang w:val="en-US"/>
        </w:rPr>
        <w:t xml:space="preserve">the one used for estimating the </w:t>
      </w:r>
      <w:r w:rsidR="00F6665B" w:rsidRPr="00955DFE">
        <w:rPr>
          <w:rFonts w:ascii="Times New Roman" w:eastAsiaTheme="minorEastAsia" w:hAnsi="Times New Roman" w:cs="Times New Roman"/>
          <w:i/>
          <w:lang w:val="en-US"/>
        </w:rPr>
        <w:lastRenderedPageBreak/>
        <w:t>CAR</w:t>
      </w:r>
      <w:r w:rsidR="00F6665B">
        <w:rPr>
          <w:rFonts w:ascii="Times New Roman" w:eastAsiaTheme="minorEastAsia" w:hAnsi="Times New Roman" w:cs="Times New Roman"/>
          <w:lang w:val="en-US"/>
        </w:rPr>
        <w:t>s</w:t>
      </w:r>
      <w:r w:rsidR="00397172">
        <w:rPr>
          <w:rFonts w:ascii="Times New Roman" w:eastAsiaTheme="minorEastAsia" w:hAnsi="Times New Roman" w:cs="Times New Roman"/>
          <w:lang w:val="en-US"/>
        </w:rPr>
        <w:t xml:space="preserve">, </w:t>
      </w:r>
      <w:r w:rsidR="008947F5">
        <w:rPr>
          <w:rFonts w:ascii="Times New Roman" w:eastAsiaTheme="minorEastAsia" w:hAnsi="Times New Roman" w:cs="Times New Roman"/>
          <w:lang w:val="en-US"/>
        </w:rPr>
        <w:t>multiplied by the square root of the number of event days (eight</w:t>
      </w:r>
      <w:r w:rsidR="00030359">
        <w:rPr>
          <w:rFonts w:ascii="Times New Roman" w:eastAsiaTheme="minorEastAsia" w:hAnsi="Times New Roman" w:cs="Times New Roman"/>
          <w:lang w:val="en-US"/>
        </w:rPr>
        <w:t xml:space="preserve"> in our case</w:t>
      </w:r>
      <w:r w:rsidR="008947F5">
        <w:rPr>
          <w:rFonts w:ascii="Times New Roman" w:eastAsiaTheme="minorEastAsia" w:hAnsi="Times New Roman" w:cs="Times New Roman"/>
          <w:lang w:val="en-US"/>
        </w:rPr>
        <w:t>)</w:t>
      </w:r>
      <w:r w:rsidR="00397172">
        <w:rPr>
          <w:rFonts w:ascii="Times New Roman" w:eastAsiaTheme="minorEastAsia" w:hAnsi="Times New Roman" w:cs="Times New Roman"/>
          <w:lang w:val="en-US"/>
        </w:rPr>
        <w:t xml:space="preserve"> </w:t>
      </w:r>
      <w:r w:rsidR="006557EA">
        <w:rPr>
          <w:rFonts w:ascii="Times New Roman" w:eastAsiaTheme="minorEastAsia" w:hAnsi="Times New Roman" w:cs="Times New Roman"/>
          <w:lang w:val="en-US"/>
        </w:rPr>
        <w:t>(</w:t>
      </w:r>
      <w:r w:rsidR="002E32FE">
        <w:rPr>
          <w:rFonts w:ascii="Times New Roman" w:eastAsiaTheme="minorEastAsia" w:hAnsi="Times New Roman" w:cs="Times New Roman"/>
          <w:lang w:val="en-US"/>
        </w:rPr>
        <w:t>Robinson et al., 2015</w:t>
      </w:r>
      <w:r w:rsidR="006557EA">
        <w:rPr>
          <w:rFonts w:ascii="Times New Roman" w:eastAsiaTheme="minorEastAsia" w:hAnsi="Times New Roman" w:cs="Times New Roman"/>
          <w:lang w:val="en-US"/>
        </w:rPr>
        <w:t>; Hendricks et al., 2018)</w:t>
      </w:r>
      <w:r w:rsidR="002E32FE">
        <w:rPr>
          <w:rFonts w:ascii="Times New Roman" w:eastAsiaTheme="minorEastAsia" w:hAnsi="Times New Roman" w:cs="Times New Roman"/>
          <w:lang w:val="en-US"/>
        </w:rPr>
        <w:t xml:space="preserve">. </w:t>
      </w:r>
      <w:r w:rsidR="00717E3A" w:rsidRPr="00717E3A">
        <w:rPr>
          <w:rFonts w:ascii="Times New Roman" w:hAnsi="Times New Roman" w:cs="Times New Roman"/>
          <w:lang w:val="en-US"/>
        </w:rPr>
        <w:t xml:space="preserve">We evaluate the significance of median </w:t>
      </w:r>
      <w:r w:rsidR="00717E3A" w:rsidRPr="00717E3A">
        <w:rPr>
          <w:rFonts w:ascii="Times New Roman" w:hAnsi="Times New Roman" w:cs="Times New Roman"/>
          <w:i/>
          <w:lang w:val="en-US"/>
        </w:rPr>
        <w:t>CAR</w:t>
      </w:r>
      <w:r w:rsidR="00717E3A" w:rsidRPr="00717E3A">
        <w:rPr>
          <w:rFonts w:ascii="Times New Roman" w:hAnsi="Times New Roman" w:cs="Times New Roman"/>
          <w:lang w:val="en-US"/>
        </w:rPr>
        <w:t xml:space="preserve"> values</w:t>
      </w:r>
      <w:r w:rsidR="00874083">
        <w:rPr>
          <w:rFonts w:ascii="Times New Roman" w:hAnsi="Times New Roman" w:cs="Times New Roman"/>
          <w:lang w:val="en-US"/>
        </w:rPr>
        <w:t xml:space="preserve"> and</w:t>
      </w:r>
      <w:r w:rsidR="00717E3A" w:rsidRPr="00717E3A">
        <w:rPr>
          <w:rFonts w:ascii="Times New Roman" w:hAnsi="Times New Roman" w:cs="Times New Roman"/>
          <w:lang w:val="en-US"/>
        </w:rPr>
        <w:t xml:space="preserve"> of the percentage of negative </w:t>
      </w:r>
      <w:r w:rsidR="00717E3A" w:rsidRPr="00717E3A">
        <w:rPr>
          <w:rFonts w:ascii="Times New Roman" w:hAnsi="Times New Roman" w:cs="Times New Roman"/>
          <w:i/>
          <w:lang w:val="en-US"/>
        </w:rPr>
        <w:t>CAR</w:t>
      </w:r>
      <w:r w:rsidR="00874083">
        <w:rPr>
          <w:rFonts w:ascii="Times New Roman" w:hAnsi="Times New Roman" w:cs="Times New Roman"/>
          <w:lang w:val="en-US"/>
        </w:rPr>
        <w:t xml:space="preserve"> values</w:t>
      </w:r>
      <w:r w:rsidR="00717E3A" w:rsidRPr="00717E3A">
        <w:rPr>
          <w:rFonts w:ascii="Times New Roman" w:hAnsi="Times New Roman" w:cs="Times New Roman"/>
          <w:lang w:val="en-US"/>
        </w:rPr>
        <w:t xml:space="preserve"> using a Wilcoxon signed-rank and a binomial sign test, respectively.</w:t>
      </w:r>
      <w:r w:rsidR="00717E3A" w:rsidRPr="00717E3A">
        <w:rPr>
          <w:lang w:val="en-US"/>
        </w:rPr>
        <w:t xml:space="preserve"> </w:t>
      </w:r>
    </w:p>
    <w:p w14:paraId="0322A6D6" w14:textId="50337C2F" w:rsidR="00FD46A5" w:rsidRDefault="005E01EC" w:rsidP="00FD46A5">
      <w:pPr>
        <w:spacing w:after="0" w:line="480" w:lineRule="auto"/>
        <w:ind w:firstLine="426"/>
        <w:contextualSpacing/>
        <w:jc w:val="both"/>
        <w:rPr>
          <w:rFonts w:ascii="Times New Roman" w:eastAsiaTheme="minorEastAsia" w:hAnsi="Times New Roman" w:cs="Times New Roman"/>
          <w:lang w:eastAsia="en-GB"/>
        </w:rPr>
      </w:pPr>
      <w:r>
        <w:rPr>
          <w:rFonts w:ascii="Times New Roman" w:eastAsiaTheme="minorEastAsia" w:hAnsi="Times New Roman" w:cs="Times New Roman"/>
          <w:lang w:val="en-US"/>
        </w:rPr>
        <w:t xml:space="preserve">The results </w:t>
      </w:r>
      <w:r w:rsidR="00E74C5B">
        <w:rPr>
          <w:rFonts w:ascii="Times New Roman" w:hAnsi="Times New Roman" w:cs="Times New Roman"/>
          <w:lang w:val="en-US"/>
        </w:rPr>
        <w:t xml:space="preserve">of this </w:t>
      </w:r>
      <w:r w:rsidR="00FC175C">
        <w:rPr>
          <w:rFonts w:ascii="Times New Roman" w:hAnsi="Times New Roman" w:cs="Times New Roman"/>
          <w:lang w:val="en-US"/>
        </w:rPr>
        <w:t xml:space="preserve">additional subsample </w:t>
      </w:r>
      <w:r w:rsidR="00E74C5B">
        <w:rPr>
          <w:rFonts w:ascii="Times New Roman" w:hAnsi="Times New Roman" w:cs="Times New Roman"/>
          <w:lang w:val="en-US"/>
        </w:rPr>
        <w:t>analysis</w:t>
      </w:r>
      <w:r>
        <w:rPr>
          <w:rFonts w:ascii="Times New Roman" w:hAnsi="Times New Roman" w:cs="Times New Roman"/>
          <w:lang w:val="en-US"/>
        </w:rPr>
        <w:t xml:space="preserve"> are shown in Table 6</w:t>
      </w:r>
      <w:r w:rsidR="00E74C5B">
        <w:rPr>
          <w:rFonts w:ascii="Times New Roman" w:hAnsi="Times New Roman" w:cs="Times New Roman"/>
          <w:lang w:val="en-US"/>
        </w:rPr>
        <w:t xml:space="preserve">. </w:t>
      </w:r>
      <w:r w:rsidR="00397172">
        <w:rPr>
          <w:rFonts w:ascii="Times New Roman" w:hAnsi="Times New Roman" w:cs="Times New Roman"/>
          <w:lang w:val="en-US"/>
        </w:rPr>
        <w:t>Consistent with inferences from the cross-sectional regression analysis, t</w:t>
      </w:r>
      <w:r w:rsidR="00E74C5B">
        <w:rPr>
          <w:rFonts w:ascii="Times New Roman" w:hAnsi="Times New Roman" w:cs="Times New Roman"/>
          <w:lang w:val="en-US"/>
        </w:rPr>
        <w:t xml:space="preserve">he high firm-specific, low industry-specific slavery risk subset of firms has the lowest average </w:t>
      </w:r>
      <w:r w:rsidR="00397172">
        <w:rPr>
          <w:rFonts w:ascii="Times New Roman" w:hAnsi="Times New Roman" w:cs="Times New Roman"/>
          <w:lang w:val="en-US"/>
        </w:rPr>
        <w:t xml:space="preserve">(median) </w:t>
      </w:r>
      <w:r w:rsidR="00E74C5B" w:rsidRPr="009C50ED">
        <w:rPr>
          <w:rFonts w:ascii="Times New Roman" w:hAnsi="Times New Roman" w:cs="Times New Roman"/>
          <w:i/>
          <w:lang w:val="en-US"/>
        </w:rPr>
        <w:t>CAR</w:t>
      </w:r>
      <w:r w:rsidR="00A56E9C">
        <w:rPr>
          <w:rFonts w:ascii="Times New Roman" w:hAnsi="Times New Roman" w:cs="Times New Roman"/>
          <w:i/>
          <w:lang w:val="en-US"/>
        </w:rPr>
        <w:t>s</w:t>
      </w:r>
      <w:r w:rsidR="00E74C5B">
        <w:rPr>
          <w:rFonts w:ascii="Times New Roman" w:hAnsi="Times New Roman" w:cs="Times New Roman"/>
          <w:lang w:val="en-US"/>
        </w:rPr>
        <w:t xml:space="preserve"> of </w:t>
      </w:r>
      <w:r w:rsidR="00E74C5B" w:rsidRPr="00D83E53">
        <w:rPr>
          <w:rFonts w:ascii="Times New Roman" w:hAnsi="Times New Roman" w:cs="Times New Roman"/>
          <w:lang w:val="en-US"/>
        </w:rPr>
        <w:t>−</w:t>
      </w:r>
      <w:r w:rsidR="00397172">
        <w:rPr>
          <w:rFonts w:ascii="Times New Roman" w:eastAsiaTheme="minorEastAsia" w:hAnsi="Times New Roman" w:cs="Times New Roman"/>
          <w:lang w:eastAsia="en-GB"/>
        </w:rPr>
        <w:t>2.03</w:t>
      </w:r>
      <w:r w:rsidR="00E74C5B" w:rsidRPr="00D83E53">
        <w:rPr>
          <w:rFonts w:ascii="Times New Roman" w:eastAsiaTheme="minorEastAsia" w:hAnsi="Times New Roman" w:cs="Times New Roman"/>
          <w:lang w:eastAsia="en-GB"/>
        </w:rPr>
        <w:t>%</w:t>
      </w:r>
      <w:r w:rsidR="00E74C5B">
        <w:rPr>
          <w:rFonts w:ascii="Times New Roman" w:eastAsiaTheme="minorEastAsia" w:hAnsi="Times New Roman" w:cs="Times New Roman"/>
          <w:lang w:eastAsia="en-GB"/>
        </w:rPr>
        <w:t xml:space="preserve"> </w:t>
      </w:r>
      <w:r w:rsidR="00397172">
        <w:rPr>
          <w:rFonts w:ascii="Times New Roman" w:eastAsiaTheme="minorEastAsia" w:hAnsi="Times New Roman" w:cs="Times New Roman"/>
          <w:lang w:eastAsia="en-GB"/>
        </w:rPr>
        <w:t>(</w:t>
      </w:r>
      <w:r w:rsidR="00397172" w:rsidRPr="00D83E53">
        <w:rPr>
          <w:rFonts w:ascii="Times New Roman" w:hAnsi="Times New Roman" w:cs="Times New Roman"/>
          <w:lang w:val="en-US"/>
        </w:rPr>
        <w:t>−</w:t>
      </w:r>
      <w:r w:rsidR="00397172">
        <w:rPr>
          <w:rFonts w:ascii="Times New Roman" w:eastAsiaTheme="minorEastAsia" w:hAnsi="Times New Roman" w:cs="Times New Roman"/>
          <w:lang w:eastAsia="en-GB"/>
        </w:rPr>
        <w:t>0.70%)</w:t>
      </w:r>
      <w:r w:rsidR="00FD46A5">
        <w:rPr>
          <w:rFonts w:ascii="Times New Roman" w:eastAsiaTheme="minorEastAsia" w:hAnsi="Times New Roman" w:cs="Times New Roman"/>
          <w:lang w:eastAsia="en-GB"/>
        </w:rPr>
        <w:t xml:space="preserve">. </w:t>
      </w:r>
      <w:r w:rsidR="00C71807">
        <w:rPr>
          <w:rFonts w:ascii="Times New Roman" w:eastAsiaTheme="minorEastAsia" w:hAnsi="Times New Roman" w:cs="Times New Roman"/>
          <w:lang w:eastAsia="en-GB"/>
        </w:rPr>
        <w:t xml:space="preserve">The </w:t>
      </w:r>
      <w:r w:rsidR="00FD46A5">
        <w:rPr>
          <w:rFonts w:ascii="Times New Roman" w:eastAsiaTheme="minorEastAsia" w:hAnsi="Times New Roman" w:cs="Times New Roman"/>
          <w:lang w:eastAsia="en-GB"/>
        </w:rPr>
        <w:t xml:space="preserve">statistical significance </w:t>
      </w:r>
      <w:r w:rsidR="00FC175C">
        <w:rPr>
          <w:rFonts w:ascii="Times New Roman" w:eastAsiaTheme="minorEastAsia" w:hAnsi="Times New Roman" w:cs="Times New Roman"/>
          <w:lang w:eastAsia="en-GB"/>
        </w:rPr>
        <w:t xml:space="preserve">of the </w:t>
      </w:r>
      <w:r w:rsidR="00FC175C" w:rsidRPr="00955DFE">
        <w:rPr>
          <w:rFonts w:ascii="Times New Roman" w:eastAsiaTheme="minorEastAsia" w:hAnsi="Times New Roman" w:cs="Times New Roman"/>
          <w:i/>
          <w:lang w:eastAsia="en-GB"/>
        </w:rPr>
        <w:t>CAR</w:t>
      </w:r>
      <w:r w:rsidR="00030359" w:rsidRPr="00F04A5F">
        <w:rPr>
          <w:rFonts w:ascii="Times New Roman" w:eastAsiaTheme="minorEastAsia" w:hAnsi="Times New Roman" w:cs="Times New Roman"/>
          <w:lang w:eastAsia="en-GB"/>
        </w:rPr>
        <w:t>s</w:t>
      </w:r>
      <w:r w:rsidR="00FC175C" w:rsidRPr="00955DFE">
        <w:rPr>
          <w:rFonts w:ascii="Times New Roman" w:eastAsiaTheme="minorEastAsia" w:hAnsi="Times New Roman" w:cs="Times New Roman"/>
          <w:i/>
          <w:lang w:eastAsia="en-GB"/>
        </w:rPr>
        <w:t xml:space="preserve"> </w:t>
      </w:r>
      <w:r w:rsidR="00FD46A5">
        <w:rPr>
          <w:rFonts w:ascii="Times New Roman" w:eastAsiaTheme="minorEastAsia" w:hAnsi="Times New Roman" w:cs="Times New Roman"/>
          <w:lang w:eastAsia="en-GB"/>
        </w:rPr>
        <w:t xml:space="preserve">for this subset </w:t>
      </w:r>
      <w:r w:rsidR="00C71807">
        <w:rPr>
          <w:rFonts w:ascii="Times New Roman" w:eastAsiaTheme="minorEastAsia" w:hAnsi="Times New Roman" w:cs="Times New Roman"/>
          <w:lang w:eastAsia="en-GB"/>
        </w:rPr>
        <w:t>is mixed</w:t>
      </w:r>
      <w:r w:rsidR="00F6665B">
        <w:rPr>
          <w:rFonts w:ascii="Times New Roman" w:eastAsiaTheme="minorEastAsia" w:hAnsi="Times New Roman" w:cs="Times New Roman"/>
          <w:lang w:eastAsia="en-GB"/>
        </w:rPr>
        <w:t xml:space="preserve"> (</w:t>
      </w:r>
      <w:r w:rsidR="00C71807">
        <w:rPr>
          <w:rFonts w:ascii="Times New Roman" w:eastAsiaTheme="minorEastAsia" w:hAnsi="Times New Roman" w:cs="Times New Roman"/>
          <w:lang w:eastAsia="en-GB"/>
        </w:rPr>
        <w:t xml:space="preserve">the </w:t>
      </w:r>
      <w:r w:rsidR="00FD46A5" w:rsidRPr="00955DFE">
        <w:rPr>
          <w:rFonts w:ascii="Times New Roman" w:eastAsiaTheme="minorEastAsia" w:hAnsi="Times New Roman" w:cs="Times New Roman"/>
          <w:i/>
          <w:lang w:eastAsia="en-GB"/>
        </w:rPr>
        <w:t>t</w:t>
      </w:r>
      <w:r w:rsidR="00FD46A5">
        <w:rPr>
          <w:rFonts w:ascii="Times New Roman" w:eastAsiaTheme="minorEastAsia" w:hAnsi="Times New Roman" w:cs="Times New Roman"/>
          <w:lang w:eastAsia="en-GB"/>
        </w:rPr>
        <w:t xml:space="preserve">-statistic </w:t>
      </w:r>
      <w:r w:rsidR="00C71807">
        <w:rPr>
          <w:rFonts w:ascii="Times New Roman" w:eastAsiaTheme="minorEastAsia" w:hAnsi="Times New Roman" w:cs="Times New Roman"/>
          <w:lang w:eastAsia="en-GB"/>
        </w:rPr>
        <w:t xml:space="preserve">has </w:t>
      </w:r>
      <w:r w:rsidR="00FD46A5">
        <w:rPr>
          <w:rFonts w:ascii="Times New Roman" w:eastAsiaTheme="minorEastAsia" w:hAnsi="Times New Roman" w:cs="Times New Roman"/>
          <w:lang w:eastAsia="en-GB"/>
        </w:rPr>
        <w:t xml:space="preserve">a </w:t>
      </w:r>
      <w:r w:rsidR="00FD46A5" w:rsidRPr="00955DFE">
        <w:rPr>
          <w:rFonts w:ascii="Times New Roman" w:eastAsiaTheme="minorEastAsia" w:hAnsi="Times New Roman" w:cs="Times New Roman"/>
          <w:i/>
          <w:lang w:eastAsia="en-GB"/>
        </w:rPr>
        <w:t>p</w:t>
      </w:r>
      <w:r w:rsidR="00FD46A5">
        <w:rPr>
          <w:rFonts w:ascii="Times New Roman" w:eastAsiaTheme="minorEastAsia" w:hAnsi="Times New Roman" w:cs="Times New Roman"/>
          <w:lang w:eastAsia="en-GB"/>
        </w:rPr>
        <w:t xml:space="preserve">-value of 0.19, while the two non-parametric tests have </w:t>
      </w:r>
      <w:r w:rsidR="00FD46A5" w:rsidRPr="00955DFE">
        <w:rPr>
          <w:rFonts w:ascii="Times New Roman" w:eastAsiaTheme="minorEastAsia" w:hAnsi="Times New Roman" w:cs="Times New Roman"/>
          <w:i/>
          <w:lang w:eastAsia="en-GB"/>
        </w:rPr>
        <w:t>p</w:t>
      </w:r>
      <w:r w:rsidR="00FD46A5">
        <w:rPr>
          <w:rFonts w:ascii="Times New Roman" w:eastAsiaTheme="minorEastAsia" w:hAnsi="Times New Roman" w:cs="Times New Roman"/>
          <w:lang w:eastAsia="en-GB"/>
        </w:rPr>
        <w:t xml:space="preserve">-values of 0.00 and 0.02, respectively). Also consistent with the cross-sectional regression analysis, </w:t>
      </w:r>
      <w:r w:rsidR="00E74C5B">
        <w:rPr>
          <w:rFonts w:ascii="Times New Roman" w:eastAsiaTheme="minorEastAsia" w:hAnsi="Times New Roman" w:cs="Times New Roman"/>
          <w:lang w:eastAsia="en-GB"/>
        </w:rPr>
        <w:t xml:space="preserve">the low firm-specific, high industry-specific slavery risk subsample has the highest average </w:t>
      </w:r>
      <w:r w:rsidR="00397172">
        <w:rPr>
          <w:rFonts w:ascii="Times New Roman" w:eastAsiaTheme="minorEastAsia" w:hAnsi="Times New Roman" w:cs="Times New Roman"/>
          <w:lang w:eastAsia="en-GB"/>
        </w:rPr>
        <w:t xml:space="preserve">(median) </w:t>
      </w:r>
      <w:r w:rsidR="00E74C5B" w:rsidRPr="000905D7">
        <w:rPr>
          <w:rFonts w:ascii="Times New Roman" w:eastAsiaTheme="minorEastAsia" w:hAnsi="Times New Roman" w:cs="Times New Roman"/>
          <w:i/>
          <w:lang w:eastAsia="en-GB"/>
        </w:rPr>
        <w:t>CAR</w:t>
      </w:r>
      <w:r w:rsidR="00717E3A">
        <w:rPr>
          <w:rFonts w:ascii="Times New Roman" w:eastAsiaTheme="minorEastAsia" w:hAnsi="Times New Roman" w:cs="Times New Roman"/>
          <w:lang w:eastAsia="en-GB"/>
        </w:rPr>
        <w:t xml:space="preserve"> of 2.51</w:t>
      </w:r>
      <w:r w:rsidR="00E74C5B">
        <w:rPr>
          <w:rFonts w:ascii="Times New Roman" w:eastAsiaTheme="minorEastAsia" w:hAnsi="Times New Roman" w:cs="Times New Roman"/>
          <w:lang w:eastAsia="en-GB"/>
        </w:rPr>
        <w:t xml:space="preserve">% </w:t>
      </w:r>
      <w:r w:rsidR="00FD46A5">
        <w:rPr>
          <w:rFonts w:ascii="Times New Roman" w:eastAsiaTheme="minorEastAsia" w:hAnsi="Times New Roman" w:cs="Times New Roman"/>
          <w:lang w:eastAsia="en-GB"/>
        </w:rPr>
        <w:t xml:space="preserve">(1.30%). </w:t>
      </w:r>
      <w:r w:rsidR="002E32FE">
        <w:rPr>
          <w:rFonts w:ascii="Times New Roman" w:eastAsiaTheme="minorEastAsia" w:hAnsi="Times New Roman" w:cs="Times New Roman"/>
          <w:lang w:eastAsia="en-GB"/>
        </w:rPr>
        <w:t>W</w:t>
      </w:r>
      <w:r w:rsidR="00FD46A5">
        <w:rPr>
          <w:rFonts w:ascii="Times New Roman" w:eastAsiaTheme="minorEastAsia" w:hAnsi="Times New Roman" w:cs="Times New Roman"/>
          <w:lang w:eastAsia="en-GB"/>
        </w:rPr>
        <w:t>e note that this subsample is only very small (</w:t>
      </w:r>
      <w:r w:rsidR="00FD46A5" w:rsidRPr="00955DFE">
        <w:rPr>
          <w:rFonts w:ascii="Times New Roman" w:eastAsiaTheme="minorEastAsia" w:hAnsi="Times New Roman" w:cs="Times New Roman"/>
          <w:i/>
          <w:lang w:eastAsia="en-GB"/>
        </w:rPr>
        <w:t xml:space="preserve">N </w:t>
      </w:r>
      <w:r w:rsidR="00FD46A5">
        <w:rPr>
          <w:rFonts w:ascii="Times New Roman" w:eastAsiaTheme="minorEastAsia" w:hAnsi="Times New Roman" w:cs="Times New Roman"/>
          <w:lang w:eastAsia="en-GB"/>
        </w:rPr>
        <w:t>= 19)</w:t>
      </w:r>
      <w:r w:rsidR="002E32FE">
        <w:rPr>
          <w:rFonts w:ascii="Times New Roman" w:eastAsiaTheme="minorEastAsia" w:hAnsi="Times New Roman" w:cs="Times New Roman"/>
          <w:lang w:eastAsia="en-GB"/>
        </w:rPr>
        <w:t>, limiting our ability to make statistical inferences</w:t>
      </w:r>
      <w:r w:rsidR="00FD46A5">
        <w:rPr>
          <w:rFonts w:ascii="Times New Roman" w:eastAsiaTheme="minorEastAsia" w:hAnsi="Times New Roman" w:cs="Times New Roman"/>
          <w:lang w:eastAsia="en-GB"/>
        </w:rPr>
        <w:t>. As expected,</w:t>
      </w:r>
      <w:r w:rsidR="00E74C5B">
        <w:rPr>
          <w:rFonts w:ascii="Times New Roman" w:eastAsiaTheme="minorEastAsia" w:hAnsi="Times New Roman" w:cs="Times New Roman"/>
          <w:lang w:eastAsia="en-GB"/>
        </w:rPr>
        <w:t xml:space="preserve"> </w:t>
      </w:r>
      <w:r w:rsidR="00E74C5B" w:rsidRPr="000905D7">
        <w:rPr>
          <w:rFonts w:ascii="Times New Roman" w:eastAsiaTheme="minorEastAsia" w:hAnsi="Times New Roman" w:cs="Times New Roman"/>
          <w:i/>
          <w:lang w:eastAsia="en-GB"/>
        </w:rPr>
        <w:t>CAR</w:t>
      </w:r>
      <w:r w:rsidR="00E74C5B">
        <w:rPr>
          <w:rFonts w:ascii="Times New Roman" w:eastAsiaTheme="minorEastAsia" w:hAnsi="Times New Roman" w:cs="Times New Roman"/>
          <w:i/>
          <w:lang w:eastAsia="en-GB"/>
        </w:rPr>
        <w:t>s</w:t>
      </w:r>
      <w:r w:rsidR="00E74C5B">
        <w:rPr>
          <w:rFonts w:ascii="Times New Roman" w:eastAsiaTheme="minorEastAsia" w:hAnsi="Times New Roman" w:cs="Times New Roman"/>
          <w:lang w:eastAsia="en-GB"/>
        </w:rPr>
        <w:t xml:space="preserve"> of the </w:t>
      </w:r>
      <w:r w:rsidR="008947F5">
        <w:rPr>
          <w:rFonts w:ascii="Times New Roman" w:eastAsiaTheme="minorEastAsia" w:hAnsi="Times New Roman" w:cs="Times New Roman"/>
          <w:lang w:eastAsia="en-GB"/>
        </w:rPr>
        <w:t xml:space="preserve">remaining </w:t>
      </w:r>
      <w:r w:rsidR="00E74C5B">
        <w:rPr>
          <w:rFonts w:ascii="Times New Roman" w:eastAsiaTheme="minorEastAsia" w:hAnsi="Times New Roman" w:cs="Times New Roman"/>
          <w:lang w:eastAsia="en-GB"/>
        </w:rPr>
        <w:t xml:space="preserve">two </w:t>
      </w:r>
      <w:r w:rsidR="008947F5">
        <w:rPr>
          <w:rFonts w:ascii="Times New Roman" w:eastAsiaTheme="minorEastAsia" w:hAnsi="Times New Roman" w:cs="Times New Roman"/>
          <w:lang w:eastAsia="en-GB"/>
        </w:rPr>
        <w:t>subsamples</w:t>
      </w:r>
      <w:r w:rsidR="00E74C5B">
        <w:rPr>
          <w:rFonts w:ascii="Times New Roman" w:eastAsiaTheme="minorEastAsia" w:hAnsi="Times New Roman" w:cs="Times New Roman"/>
          <w:lang w:eastAsia="en-GB"/>
        </w:rPr>
        <w:t xml:space="preserve"> are much smaller in absolute value</w:t>
      </w:r>
      <w:r w:rsidR="00397172">
        <w:rPr>
          <w:rFonts w:ascii="Times New Roman" w:eastAsiaTheme="minorEastAsia" w:hAnsi="Times New Roman" w:cs="Times New Roman"/>
          <w:lang w:eastAsia="en-GB"/>
        </w:rPr>
        <w:t xml:space="preserve">, and </w:t>
      </w:r>
      <w:r w:rsidR="00C71807">
        <w:rPr>
          <w:rFonts w:ascii="Times New Roman" w:eastAsiaTheme="minorEastAsia" w:hAnsi="Times New Roman" w:cs="Times New Roman"/>
          <w:lang w:eastAsia="en-GB"/>
        </w:rPr>
        <w:t xml:space="preserve">not </w:t>
      </w:r>
      <w:r w:rsidR="00397172">
        <w:rPr>
          <w:rFonts w:ascii="Times New Roman" w:eastAsiaTheme="minorEastAsia" w:hAnsi="Times New Roman" w:cs="Times New Roman"/>
          <w:lang w:eastAsia="en-GB"/>
        </w:rPr>
        <w:t xml:space="preserve">significant </w:t>
      </w:r>
      <w:r w:rsidR="00F6665B">
        <w:rPr>
          <w:rFonts w:ascii="Times New Roman" w:eastAsiaTheme="minorEastAsia" w:hAnsi="Times New Roman" w:cs="Times New Roman"/>
          <w:lang w:eastAsia="en-GB"/>
        </w:rPr>
        <w:t>according to</w:t>
      </w:r>
      <w:r w:rsidR="00C71807">
        <w:rPr>
          <w:rFonts w:ascii="Times New Roman" w:eastAsiaTheme="minorEastAsia" w:hAnsi="Times New Roman" w:cs="Times New Roman"/>
          <w:lang w:eastAsia="en-GB"/>
        </w:rPr>
        <w:t xml:space="preserve"> </w:t>
      </w:r>
      <w:r w:rsidR="00397172">
        <w:rPr>
          <w:rFonts w:ascii="Times New Roman" w:eastAsiaTheme="minorEastAsia" w:hAnsi="Times New Roman" w:cs="Times New Roman"/>
          <w:lang w:eastAsia="en-GB"/>
        </w:rPr>
        <w:t>any test statistics</w:t>
      </w:r>
      <w:r w:rsidR="00E74C5B">
        <w:rPr>
          <w:rFonts w:ascii="Times New Roman" w:eastAsiaTheme="minorEastAsia" w:hAnsi="Times New Roman" w:cs="Times New Roman"/>
          <w:lang w:eastAsia="en-GB"/>
        </w:rPr>
        <w:t xml:space="preserve">. </w:t>
      </w:r>
      <w:r w:rsidR="00397172">
        <w:rPr>
          <w:rFonts w:ascii="Times New Roman" w:eastAsiaTheme="minorEastAsia" w:hAnsi="Times New Roman" w:cs="Times New Roman"/>
          <w:lang w:eastAsia="en-GB"/>
        </w:rPr>
        <w:t xml:space="preserve">For completeness, we also report </w:t>
      </w:r>
      <w:r w:rsidR="00397172" w:rsidRPr="00955DFE">
        <w:rPr>
          <w:rFonts w:ascii="Times New Roman" w:eastAsiaTheme="minorEastAsia" w:hAnsi="Times New Roman" w:cs="Times New Roman"/>
          <w:i/>
          <w:lang w:eastAsia="en-GB"/>
        </w:rPr>
        <w:t>CAR</w:t>
      </w:r>
      <w:r w:rsidR="00397172">
        <w:rPr>
          <w:rFonts w:ascii="Times New Roman" w:eastAsiaTheme="minorEastAsia" w:hAnsi="Times New Roman" w:cs="Times New Roman"/>
          <w:lang w:eastAsia="en-GB"/>
        </w:rPr>
        <w:t xml:space="preserve">s for </w:t>
      </w:r>
      <w:r w:rsidR="00FC175C">
        <w:rPr>
          <w:rFonts w:ascii="Times New Roman" w:eastAsiaTheme="minorEastAsia" w:hAnsi="Times New Roman" w:cs="Times New Roman"/>
          <w:lang w:eastAsia="en-GB"/>
        </w:rPr>
        <w:t>the full cross-sectional sample (</w:t>
      </w:r>
      <w:r w:rsidR="00FC175C" w:rsidRPr="00955DFE">
        <w:rPr>
          <w:rFonts w:ascii="Times New Roman" w:eastAsiaTheme="minorEastAsia" w:hAnsi="Times New Roman" w:cs="Times New Roman"/>
          <w:i/>
          <w:lang w:eastAsia="en-GB"/>
        </w:rPr>
        <w:t xml:space="preserve">N </w:t>
      </w:r>
      <w:r w:rsidR="00FC175C">
        <w:rPr>
          <w:rFonts w:ascii="Times New Roman" w:eastAsiaTheme="minorEastAsia" w:hAnsi="Times New Roman" w:cs="Times New Roman"/>
          <w:lang w:eastAsia="en-GB"/>
        </w:rPr>
        <w:t xml:space="preserve">= 205). These </w:t>
      </w:r>
      <w:r w:rsidR="00397172">
        <w:rPr>
          <w:rFonts w:ascii="Times New Roman" w:eastAsiaTheme="minorEastAsia" w:hAnsi="Times New Roman" w:cs="Times New Roman"/>
          <w:lang w:eastAsia="en-GB"/>
        </w:rPr>
        <w:t xml:space="preserve">are not significant, consistent with univariate results on MSA-related stock price reactions reported in Tables 3 and 4. </w:t>
      </w:r>
      <w:r w:rsidR="00FD46A5">
        <w:rPr>
          <w:rFonts w:ascii="Times New Roman" w:eastAsiaTheme="minorEastAsia" w:hAnsi="Times New Roman" w:cs="Times New Roman"/>
          <w:lang w:eastAsia="en-GB"/>
        </w:rPr>
        <w:t xml:space="preserve">We obtain similar </w:t>
      </w:r>
      <w:r w:rsidR="00FD46A5" w:rsidRPr="00955DFE">
        <w:rPr>
          <w:rFonts w:ascii="Times New Roman" w:eastAsiaTheme="minorEastAsia" w:hAnsi="Times New Roman" w:cs="Times New Roman"/>
          <w:i/>
          <w:lang w:eastAsia="en-GB"/>
        </w:rPr>
        <w:t xml:space="preserve">CAR </w:t>
      </w:r>
      <w:r w:rsidR="00FD46A5">
        <w:rPr>
          <w:rFonts w:ascii="Times New Roman" w:eastAsiaTheme="minorEastAsia" w:hAnsi="Times New Roman" w:cs="Times New Roman"/>
          <w:lang w:eastAsia="en-GB"/>
        </w:rPr>
        <w:t xml:space="preserve">estimates for the </w:t>
      </w:r>
      <w:r w:rsidR="00EA26B5">
        <w:rPr>
          <w:rFonts w:ascii="Times New Roman" w:eastAsiaTheme="minorEastAsia" w:hAnsi="Times New Roman" w:cs="Times New Roman"/>
          <w:lang w:eastAsia="en-GB"/>
        </w:rPr>
        <w:t xml:space="preserve">four </w:t>
      </w:r>
      <w:r w:rsidR="002E32FE">
        <w:rPr>
          <w:rFonts w:ascii="Times New Roman" w:eastAsiaTheme="minorEastAsia" w:hAnsi="Times New Roman" w:cs="Times New Roman"/>
          <w:lang w:eastAsia="en-GB"/>
        </w:rPr>
        <w:t>different subsamples</w:t>
      </w:r>
      <w:r w:rsidR="00FD46A5">
        <w:rPr>
          <w:rFonts w:ascii="Times New Roman" w:eastAsiaTheme="minorEastAsia" w:hAnsi="Times New Roman" w:cs="Times New Roman"/>
          <w:lang w:eastAsia="en-GB"/>
        </w:rPr>
        <w:t xml:space="preserve"> when we use </w:t>
      </w:r>
      <w:r w:rsidR="002E32FE">
        <w:rPr>
          <w:rFonts w:ascii="Times New Roman" w:eastAsiaTheme="minorEastAsia" w:hAnsi="Times New Roman" w:cs="Times New Roman"/>
          <w:lang w:eastAsia="en-GB"/>
        </w:rPr>
        <w:t>the</w:t>
      </w:r>
      <w:r w:rsidR="00FD46A5">
        <w:rPr>
          <w:rFonts w:ascii="Times New Roman" w:eastAsiaTheme="minorEastAsia" w:hAnsi="Times New Roman" w:cs="Times New Roman"/>
          <w:lang w:eastAsia="en-GB"/>
        </w:rPr>
        <w:t xml:space="preserve"> baseline ‘</w:t>
      </w:r>
      <w:r w:rsidR="002E32FE">
        <w:rPr>
          <w:rFonts w:ascii="Times New Roman" w:eastAsiaTheme="minorEastAsia" w:hAnsi="Times New Roman" w:cs="Times New Roman"/>
          <w:lang w:eastAsia="en-GB"/>
        </w:rPr>
        <w:t xml:space="preserve">date </w:t>
      </w:r>
      <w:r w:rsidR="00FD46A5">
        <w:rPr>
          <w:rFonts w:ascii="Times New Roman" w:eastAsiaTheme="minorEastAsia" w:hAnsi="Times New Roman" w:cs="Times New Roman"/>
          <w:lang w:eastAsia="en-GB"/>
        </w:rPr>
        <w:t xml:space="preserve">dummy-based’ </w:t>
      </w:r>
      <w:r w:rsidR="00FD46A5" w:rsidRPr="00955DFE">
        <w:rPr>
          <w:rFonts w:ascii="Times New Roman" w:eastAsiaTheme="minorEastAsia" w:hAnsi="Times New Roman" w:cs="Times New Roman"/>
          <w:i/>
          <w:lang w:eastAsia="en-GB"/>
        </w:rPr>
        <w:t>CAR</w:t>
      </w:r>
      <w:r w:rsidR="00FD46A5">
        <w:rPr>
          <w:rFonts w:ascii="Times New Roman" w:eastAsiaTheme="minorEastAsia" w:hAnsi="Times New Roman" w:cs="Times New Roman"/>
          <w:lang w:eastAsia="en-GB"/>
        </w:rPr>
        <w:t>s obtained from Equation (</w:t>
      </w:r>
      <w:r w:rsidR="00030359">
        <w:rPr>
          <w:rFonts w:ascii="Times New Roman" w:eastAsiaTheme="minorEastAsia" w:hAnsi="Times New Roman" w:cs="Times New Roman"/>
          <w:lang w:eastAsia="en-GB"/>
        </w:rPr>
        <w:t>3</w:t>
      </w:r>
      <w:r w:rsidR="00FD46A5">
        <w:rPr>
          <w:rFonts w:ascii="Times New Roman" w:eastAsiaTheme="minorEastAsia" w:hAnsi="Times New Roman" w:cs="Times New Roman"/>
          <w:lang w:eastAsia="en-GB"/>
        </w:rPr>
        <w:t xml:space="preserve">). </w:t>
      </w:r>
    </w:p>
    <w:p w14:paraId="3F79DF86" w14:textId="6A488B60" w:rsidR="00B80C5E" w:rsidRDefault="00030359" w:rsidP="00F04A5F">
      <w:pPr>
        <w:spacing w:after="0" w:line="480" w:lineRule="auto"/>
        <w:ind w:firstLine="426"/>
        <w:contextualSpacing/>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&lt;&lt; Please insert Table 6 </w:t>
      </w:r>
      <w:r w:rsidR="00286177">
        <w:rPr>
          <w:rFonts w:ascii="Times New Roman" w:eastAsiaTheme="minorEastAsia" w:hAnsi="Times New Roman" w:cs="Times New Roman"/>
          <w:lang w:eastAsia="en-GB"/>
        </w:rPr>
        <w:t xml:space="preserve">about </w:t>
      </w:r>
      <w:r>
        <w:rPr>
          <w:rFonts w:ascii="Times New Roman" w:eastAsiaTheme="minorEastAsia" w:hAnsi="Times New Roman" w:cs="Times New Roman"/>
          <w:lang w:eastAsia="en-GB"/>
        </w:rPr>
        <w:t>here &gt;&gt;</w:t>
      </w:r>
    </w:p>
    <w:p w14:paraId="4221CE75" w14:textId="77777777" w:rsidR="00030359" w:rsidRDefault="00030359" w:rsidP="00F04A5F">
      <w:pPr>
        <w:spacing w:after="0" w:line="480" w:lineRule="auto"/>
        <w:ind w:firstLine="426"/>
        <w:contextualSpacing/>
        <w:jc w:val="center"/>
        <w:rPr>
          <w:rFonts w:ascii="Times New Roman" w:eastAsiaTheme="minorEastAsia" w:hAnsi="Times New Roman" w:cs="Times New Roman"/>
          <w:lang w:eastAsia="en-GB"/>
        </w:rPr>
      </w:pPr>
    </w:p>
    <w:p w14:paraId="19140BE1" w14:textId="77777777" w:rsidR="00FD2D0B" w:rsidRPr="00622F6C" w:rsidRDefault="00FE70E6" w:rsidP="00A373B2">
      <w:pPr>
        <w:pStyle w:val="ListParagraph"/>
        <w:numPr>
          <w:ilvl w:val="0"/>
          <w:numId w:val="21"/>
        </w:numPr>
        <w:spacing w:after="0" w:line="480" w:lineRule="auto"/>
        <w:rPr>
          <w:rFonts w:ascii="Times New Roman" w:hAnsi="Times New Roman" w:cs="Times New Roman"/>
          <w:b/>
          <w:lang w:val="en-US"/>
        </w:rPr>
      </w:pPr>
      <w:r w:rsidRPr="00622F6C">
        <w:rPr>
          <w:rFonts w:ascii="Times New Roman" w:hAnsi="Times New Roman" w:cs="Times New Roman"/>
          <w:b/>
          <w:lang w:val="en-US"/>
        </w:rPr>
        <w:t>Discussion and conclusion</w:t>
      </w:r>
    </w:p>
    <w:p w14:paraId="31186AAA" w14:textId="77777777" w:rsidR="002D2DE9" w:rsidRPr="00622F6C" w:rsidRDefault="00BA4A17" w:rsidP="002D2DE9">
      <w:pPr>
        <w:autoSpaceDE w:val="0"/>
        <w:autoSpaceDN w:val="0"/>
        <w:adjustRightInd w:val="0"/>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We examine the </w:t>
      </w:r>
      <w:r w:rsidR="00930624" w:rsidRPr="00622F6C">
        <w:rPr>
          <w:rFonts w:ascii="Times New Roman" w:hAnsi="Times New Roman" w:cs="Times New Roman"/>
          <w:lang w:val="en-US"/>
        </w:rPr>
        <w:t>shareholder wealth effect</w:t>
      </w:r>
      <w:r w:rsidR="009A4074">
        <w:rPr>
          <w:rFonts w:ascii="Times New Roman" w:hAnsi="Times New Roman" w:cs="Times New Roman"/>
          <w:lang w:val="en-US"/>
        </w:rPr>
        <w:t>s</w:t>
      </w:r>
      <w:r w:rsidRPr="00622F6C">
        <w:rPr>
          <w:rFonts w:ascii="Times New Roman" w:hAnsi="Times New Roman" w:cs="Times New Roman"/>
          <w:lang w:val="en-US"/>
        </w:rPr>
        <w:t xml:space="preserve"> of modern slavery regulation embedded in the </w:t>
      </w:r>
      <w:r w:rsidR="002A6C57" w:rsidRPr="00622F6C">
        <w:rPr>
          <w:rFonts w:ascii="Times New Roman" w:hAnsi="Times New Roman" w:cs="Times New Roman"/>
          <w:lang w:val="en-US"/>
        </w:rPr>
        <w:t xml:space="preserve">UK’s </w:t>
      </w:r>
      <w:r w:rsidRPr="00622F6C">
        <w:rPr>
          <w:rFonts w:ascii="Times New Roman" w:hAnsi="Times New Roman" w:cs="Times New Roman"/>
          <w:lang w:val="en-US"/>
        </w:rPr>
        <w:t xml:space="preserve">MSA. </w:t>
      </w:r>
      <w:r w:rsidR="003A075A">
        <w:rPr>
          <w:rFonts w:ascii="Times New Roman" w:hAnsi="Times New Roman" w:cs="Times New Roman"/>
          <w:lang w:val="en-US"/>
        </w:rPr>
        <w:t xml:space="preserve">As the </w:t>
      </w:r>
      <w:r w:rsidR="002D2DE9" w:rsidRPr="00622F6C">
        <w:rPr>
          <w:rFonts w:ascii="Times New Roman" w:eastAsia="Times New Roman" w:hAnsi="Times New Roman" w:cs="Times New Roman"/>
          <w:lang w:val="en-US"/>
        </w:rPr>
        <w:t xml:space="preserve">only element of the MSA that imposes new rules on </w:t>
      </w:r>
      <w:r w:rsidR="002B2D30">
        <w:rPr>
          <w:rFonts w:ascii="Times New Roman" w:eastAsia="Times New Roman" w:hAnsi="Times New Roman" w:cs="Times New Roman"/>
          <w:lang w:val="en-US"/>
        </w:rPr>
        <w:t>firms</w:t>
      </w:r>
      <w:r w:rsidR="002D2DE9" w:rsidRPr="00622F6C">
        <w:rPr>
          <w:rFonts w:ascii="Times New Roman" w:eastAsia="Times New Roman" w:hAnsi="Times New Roman" w:cs="Times New Roman"/>
          <w:lang w:val="en-US"/>
        </w:rPr>
        <w:t xml:space="preserve">, </w:t>
      </w:r>
      <w:r w:rsidR="003A075A">
        <w:rPr>
          <w:rFonts w:ascii="Times New Roman" w:eastAsia="Times New Roman" w:hAnsi="Times New Roman" w:cs="Times New Roman"/>
          <w:lang w:val="en-US"/>
        </w:rPr>
        <w:t xml:space="preserve">the </w:t>
      </w:r>
      <w:r w:rsidR="003A075A" w:rsidRPr="00622F6C">
        <w:rPr>
          <w:rFonts w:ascii="Times New Roman" w:eastAsia="Times New Roman" w:hAnsi="Times New Roman" w:cs="Times New Roman"/>
          <w:lang w:val="en-US"/>
        </w:rPr>
        <w:t xml:space="preserve">TISC clause </w:t>
      </w:r>
      <w:r w:rsidR="003A075A">
        <w:rPr>
          <w:rFonts w:ascii="Times New Roman" w:eastAsia="Times New Roman" w:hAnsi="Times New Roman" w:cs="Times New Roman"/>
          <w:lang w:val="en-US"/>
        </w:rPr>
        <w:t xml:space="preserve">in particular </w:t>
      </w:r>
      <w:r w:rsidR="002D2DE9" w:rsidRPr="00622F6C">
        <w:rPr>
          <w:rFonts w:ascii="Times New Roman" w:eastAsia="Times New Roman" w:hAnsi="Times New Roman" w:cs="Times New Roman"/>
          <w:lang w:val="en-US"/>
        </w:rPr>
        <w:t xml:space="preserve">has direct relevance to </w:t>
      </w:r>
      <w:r w:rsidR="002B2D30">
        <w:rPr>
          <w:rFonts w:ascii="Times New Roman" w:eastAsia="Times New Roman" w:hAnsi="Times New Roman" w:cs="Times New Roman"/>
          <w:lang w:val="en-US"/>
        </w:rPr>
        <w:t>firms</w:t>
      </w:r>
      <w:r w:rsidR="002B2D30" w:rsidRPr="00622F6C">
        <w:rPr>
          <w:rFonts w:ascii="Times New Roman" w:eastAsia="Times New Roman" w:hAnsi="Times New Roman" w:cs="Times New Roman"/>
          <w:lang w:val="en-US"/>
        </w:rPr>
        <w:t xml:space="preserve"> </w:t>
      </w:r>
      <w:r w:rsidR="002D2DE9" w:rsidRPr="00622F6C">
        <w:rPr>
          <w:rFonts w:ascii="Times New Roman" w:eastAsia="Times New Roman" w:hAnsi="Times New Roman" w:cs="Times New Roman"/>
          <w:lang w:val="en-US"/>
        </w:rPr>
        <w:t xml:space="preserve">and their investors. A representative quote from an investor we consulted on this matter is </w:t>
      </w:r>
      <w:r w:rsidR="002D2DE9" w:rsidRPr="00622F6C">
        <w:rPr>
          <w:rFonts w:ascii="Times New Roman" w:eastAsia="Times New Roman" w:hAnsi="Times New Roman" w:cs="Times New Roman"/>
          <w:i/>
          <w:lang w:val="en-US"/>
        </w:rPr>
        <w:t xml:space="preserve">“(…) </w:t>
      </w:r>
      <w:r w:rsidR="002D2DE9" w:rsidRPr="00622F6C">
        <w:rPr>
          <w:rFonts w:ascii="Times New Roman" w:hAnsi="Times New Roman" w:cs="Times New Roman"/>
          <w:bCs/>
          <w:i/>
          <w:lang w:val="en-US"/>
        </w:rPr>
        <w:t xml:space="preserve">Legislation </w:t>
      </w:r>
      <w:r w:rsidR="00156E19">
        <w:rPr>
          <w:rFonts w:ascii="Times New Roman" w:eastAsia="Times New Roman" w:hAnsi="Times New Roman" w:cs="Times New Roman"/>
          <w:i/>
          <w:lang w:val="en-US"/>
        </w:rPr>
        <w:t xml:space="preserve">[in the MSA] </w:t>
      </w:r>
      <w:r w:rsidR="002D2DE9" w:rsidRPr="00622F6C">
        <w:rPr>
          <w:rFonts w:ascii="Times New Roman" w:hAnsi="Times New Roman" w:cs="Times New Roman"/>
          <w:bCs/>
          <w:i/>
          <w:lang w:val="en-US"/>
        </w:rPr>
        <w:t>is pretty much focused on TISC. The other bits are unnecessary. Investors do not seem aware of</w:t>
      </w:r>
      <w:r w:rsidR="00074AEF">
        <w:rPr>
          <w:rFonts w:ascii="Times New Roman" w:hAnsi="Times New Roman" w:cs="Times New Roman"/>
          <w:bCs/>
          <w:i/>
          <w:lang w:val="en-US"/>
        </w:rPr>
        <w:t xml:space="preserve"> </w:t>
      </w:r>
      <w:r w:rsidR="00176F59">
        <w:rPr>
          <w:rFonts w:ascii="Times New Roman" w:eastAsia="Times New Roman" w:hAnsi="Times New Roman" w:cs="Times New Roman"/>
          <w:i/>
          <w:lang w:val="en-US"/>
        </w:rPr>
        <w:t>[the other bits]</w:t>
      </w:r>
      <w:r w:rsidR="002D2DE9" w:rsidRPr="00622F6C">
        <w:rPr>
          <w:rFonts w:ascii="Times New Roman" w:hAnsi="Times New Roman" w:cs="Times New Roman"/>
          <w:bCs/>
          <w:i/>
          <w:lang w:val="en-US"/>
        </w:rPr>
        <w:t>”</w:t>
      </w:r>
      <w:r w:rsidR="002D2DE9" w:rsidRPr="00622F6C">
        <w:rPr>
          <w:rFonts w:ascii="Times New Roman" w:eastAsia="Times New Roman" w:hAnsi="Times New Roman" w:cs="Times New Roman"/>
          <w:i/>
          <w:lang w:val="en-US"/>
        </w:rPr>
        <w:t>.</w:t>
      </w:r>
      <w:r w:rsidR="00074AEF">
        <w:rPr>
          <w:rFonts w:ascii="Times New Roman" w:eastAsia="Times New Roman" w:hAnsi="Times New Roman" w:cs="Times New Roman"/>
          <w:i/>
          <w:lang w:val="en-US"/>
        </w:rPr>
        <w:t xml:space="preserve"> </w:t>
      </w:r>
      <w:r w:rsidR="005C0658">
        <w:rPr>
          <w:rFonts w:ascii="Times New Roman" w:eastAsia="Times New Roman" w:hAnsi="Times New Roman" w:cs="Times New Roman"/>
          <w:lang w:val="en-US"/>
        </w:rPr>
        <w:t>Nevertheless</w:t>
      </w:r>
      <w:r w:rsidR="002D2DE9" w:rsidRPr="00622F6C">
        <w:rPr>
          <w:rFonts w:ascii="Times New Roman" w:eastAsia="Times New Roman" w:hAnsi="Times New Roman" w:cs="Times New Roman"/>
          <w:lang w:val="en-US"/>
        </w:rPr>
        <w:t xml:space="preserve">, we cannot completely rule out </w:t>
      </w:r>
      <w:r w:rsidR="00156E19">
        <w:rPr>
          <w:rFonts w:ascii="Times New Roman" w:eastAsia="Times New Roman" w:hAnsi="Times New Roman" w:cs="Times New Roman"/>
          <w:lang w:val="en-US"/>
        </w:rPr>
        <w:t>that investors may</w:t>
      </w:r>
      <w:r w:rsidR="002D2DE9" w:rsidRPr="00622F6C">
        <w:rPr>
          <w:rFonts w:ascii="Times New Roman" w:eastAsia="Times New Roman" w:hAnsi="Times New Roman" w:cs="Times New Roman"/>
          <w:lang w:val="en-US"/>
        </w:rPr>
        <w:t xml:space="preserve"> consider other </w:t>
      </w:r>
      <w:r w:rsidR="00074AEF">
        <w:rPr>
          <w:rFonts w:ascii="Times New Roman" w:eastAsia="Times New Roman" w:hAnsi="Times New Roman" w:cs="Times New Roman"/>
          <w:lang w:val="en-US"/>
        </w:rPr>
        <w:t xml:space="preserve">elements </w:t>
      </w:r>
      <w:r w:rsidR="002D2DE9" w:rsidRPr="00622F6C">
        <w:rPr>
          <w:rFonts w:ascii="Times New Roman" w:eastAsia="Times New Roman" w:hAnsi="Times New Roman" w:cs="Times New Roman"/>
          <w:lang w:val="en-US"/>
        </w:rPr>
        <w:t>of the MSA relevant</w:t>
      </w:r>
      <w:r w:rsidR="00C57D66">
        <w:rPr>
          <w:rFonts w:ascii="Times New Roman" w:eastAsia="Times New Roman" w:hAnsi="Times New Roman" w:cs="Times New Roman"/>
          <w:lang w:val="en-US"/>
        </w:rPr>
        <w:t xml:space="preserve"> to </w:t>
      </w:r>
      <w:r w:rsidR="00C57D66" w:rsidRPr="00622F6C">
        <w:rPr>
          <w:rFonts w:ascii="Times New Roman" w:eastAsia="Times New Roman" w:hAnsi="Times New Roman" w:cs="Times New Roman"/>
          <w:lang w:val="en-US"/>
        </w:rPr>
        <w:t>cash flow</w:t>
      </w:r>
      <w:r w:rsidR="00074AEF">
        <w:rPr>
          <w:rFonts w:ascii="Times New Roman" w:eastAsia="Times New Roman" w:hAnsi="Times New Roman" w:cs="Times New Roman"/>
          <w:lang w:val="en-US"/>
        </w:rPr>
        <w:t>s</w:t>
      </w:r>
      <w:r w:rsidR="002D2DE9" w:rsidRPr="00622F6C">
        <w:rPr>
          <w:rFonts w:ascii="Times New Roman" w:eastAsia="Times New Roman" w:hAnsi="Times New Roman" w:cs="Times New Roman"/>
          <w:lang w:val="en-US"/>
        </w:rPr>
        <w:t xml:space="preserve">. For example, investors may believe </w:t>
      </w:r>
      <w:r w:rsidR="003B0573">
        <w:rPr>
          <w:rFonts w:ascii="Times New Roman" w:eastAsia="Times New Roman" w:hAnsi="Times New Roman" w:cs="Times New Roman"/>
          <w:lang w:val="en-US"/>
        </w:rPr>
        <w:t xml:space="preserve">that </w:t>
      </w:r>
      <w:r w:rsidR="002D2DE9" w:rsidRPr="00622F6C">
        <w:rPr>
          <w:rFonts w:ascii="Times New Roman" w:eastAsia="Times New Roman" w:hAnsi="Times New Roman" w:cs="Times New Roman"/>
          <w:lang w:val="en-US"/>
        </w:rPr>
        <w:t xml:space="preserve">certain firms </w:t>
      </w:r>
      <w:r w:rsidR="003B0573">
        <w:rPr>
          <w:rFonts w:ascii="Times New Roman" w:eastAsia="Times New Roman" w:hAnsi="Times New Roman" w:cs="Times New Roman"/>
          <w:lang w:val="en-US"/>
        </w:rPr>
        <w:t xml:space="preserve">are at </w:t>
      </w:r>
      <w:r w:rsidR="002D2DE9" w:rsidRPr="00622F6C">
        <w:rPr>
          <w:rFonts w:ascii="Times New Roman" w:eastAsia="Times New Roman" w:hAnsi="Times New Roman" w:cs="Times New Roman"/>
          <w:lang w:val="en-US"/>
        </w:rPr>
        <w:t xml:space="preserve">risk </w:t>
      </w:r>
      <w:r w:rsidR="003B0573">
        <w:rPr>
          <w:rFonts w:ascii="Times New Roman" w:eastAsia="Times New Roman" w:hAnsi="Times New Roman" w:cs="Times New Roman"/>
          <w:lang w:val="en-US"/>
        </w:rPr>
        <w:t xml:space="preserve">of </w:t>
      </w:r>
      <w:r w:rsidR="002D2DE9" w:rsidRPr="00622F6C">
        <w:rPr>
          <w:rFonts w:ascii="Times New Roman" w:eastAsia="Times New Roman" w:hAnsi="Times New Roman" w:cs="Times New Roman"/>
          <w:lang w:val="en-US"/>
        </w:rPr>
        <w:t xml:space="preserve">being named and shamed in the context of convictions under other parts of the </w:t>
      </w:r>
      <w:r w:rsidR="00156E19">
        <w:rPr>
          <w:rFonts w:ascii="Times New Roman" w:eastAsia="Times New Roman" w:hAnsi="Times New Roman" w:cs="Times New Roman"/>
          <w:lang w:val="en-US"/>
        </w:rPr>
        <w:t>Act</w:t>
      </w:r>
      <w:r w:rsidR="002D2DE9" w:rsidRPr="00622F6C">
        <w:rPr>
          <w:rFonts w:ascii="Times New Roman" w:eastAsia="Times New Roman" w:hAnsi="Times New Roman" w:cs="Times New Roman"/>
          <w:lang w:val="en-US"/>
        </w:rPr>
        <w:t xml:space="preserve">. As a case in point, </w:t>
      </w:r>
      <w:r w:rsidR="002D2DE9" w:rsidRPr="00622F6C">
        <w:rPr>
          <w:rFonts w:ascii="Times New Roman" w:hAnsi="Times New Roman" w:cs="Times New Roman"/>
          <w:lang w:val="en-US"/>
        </w:rPr>
        <w:t>two brothers were convicted under the MSA</w:t>
      </w:r>
      <w:r w:rsidR="003B0573">
        <w:rPr>
          <w:rFonts w:ascii="Times New Roman" w:hAnsi="Times New Roman" w:cs="Times New Roman"/>
          <w:lang w:val="en-US"/>
        </w:rPr>
        <w:t>,</w:t>
      </w:r>
      <w:r w:rsidR="002D2DE9" w:rsidRPr="00622F6C">
        <w:rPr>
          <w:rFonts w:ascii="Times New Roman" w:hAnsi="Times New Roman" w:cs="Times New Roman"/>
          <w:lang w:val="en-US"/>
        </w:rPr>
        <w:t xml:space="preserve"> for trafficking workers from Poland to work in a Sports Direct warehouse (</w:t>
      </w:r>
      <w:r w:rsidR="00E562C9">
        <w:rPr>
          <w:rFonts w:ascii="Times New Roman" w:eastAsia="Times New Roman" w:hAnsi="Times New Roman" w:cs="Times New Roman"/>
          <w:lang w:val="en-US"/>
        </w:rPr>
        <w:t>BHRRC</w:t>
      </w:r>
      <w:r w:rsidR="00BD450E" w:rsidRPr="00622F6C">
        <w:rPr>
          <w:rFonts w:ascii="Times New Roman" w:eastAsia="Times New Roman" w:hAnsi="Times New Roman" w:cs="Times New Roman"/>
          <w:lang w:val="en-US"/>
        </w:rPr>
        <w:t>, 2018</w:t>
      </w:r>
      <w:r w:rsidR="002D2DE9" w:rsidRPr="00622F6C">
        <w:rPr>
          <w:rFonts w:ascii="Times New Roman" w:eastAsia="Times New Roman" w:hAnsi="Times New Roman" w:cs="Times New Roman"/>
          <w:lang w:val="en-US"/>
        </w:rPr>
        <w:t>).</w:t>
      </w:r>
      <w:r w:rsidR="002D2DE9" w:rsidRPr="00622F6C">
        <w:rPr>
          <w:rFonts w:ascii="Times New Roman" w:hAnsi="Times New Roman" w:cs="Times New Roman"/>
          <w:lang w:val="en-US"/>
        </w:rPr>
        <w:t xml:space="preserve"> </w:t>
      </w:r>
      <w:r w:rsidR="002D2DE9" w:rsidRPr="00622F6C">
        <w:rPr>
          <w:rFonts w:ascii="Times New Roman" w:eastAsia="Times New Roman" w:hAnsi="Times New Roman" w:cs="Times New Roman"/>
          <w:lang w:val="en-US"/>
        </w:rPr>
        <w:lastRenderedPageBreak/>
        <w:t xml:space="preserve">Moreover, firms may face supply chain disruptions caused by delays arising from freight searches warranted by the MSA (MSA, 2015a). We therefore focus on the MSA in its entirety, except where noted otherwise. </w:t>
      </w:r>
    </w:p>
    <w:p w14:paraId="10C0D0E1" w14:textId="2A1891F0" w:rsidR="00497E28" w:rsidRDefault="00BA4A17" w:rsidP="0033773B">
      <w:pPr>
        <w:spacing w:after="0" w:line="480" w:lineRule="auto"/>
        <w:ind w:firstLine="426"/>
        <w:jc w:val="both"/>
        <w:rPr>
          <w:rFonts w:ascii="Times New Roman" w:hAnsi="Times New Roman" w:cs="Times New Roman"/>
          <w:lang w:val="en-US"/>
        </w:rPr>
      </w:pPr>
      <w:r w:rsidRPr="00622F6C">
        <w:rPr>
          <w:rFonts w:ascii="Times New Roman" w:hAnsi="Times New Roman" w:cs="Times New Roman"/>
          <w:lang w:val="en-US"/>
        </w:rPr>
        <w:t xml:space="preserve">We detect no significant abnormal stock return </w:t>
      </w:r>
      <w:r w:rsidR="00F46EBE" w:rsidRPr="00622F6C">
        <w:rPr>
          <w:rFonts w:ascii="Times New Roman" w:hAnsi="Times New Roman" w:cs="Times New Roman"/>
          <w:lang w:val="en-US"/>
        </w:rPr>
        <w:t>on eight event dates associated with the adoption of the MSA</w:t>
      </w:r>
      <w:r w:rsidRPr="00622F6C">
        <w:rPr>
          <w:rFonts w:ascii="Times New Roman" w:hAnsi="Times New Roman" w:cs="Times New Roman"/>
          <w:lang w:val="en-US"/>
        </w:rPr>
        <w:t xml:space="preserve">. </w:t>
      </w:r>
      <w:r w:rsidR="00B85A1D">
        <w:rPr>
          <w:rFonts w:ascii="Times New Roman" w:hAnsi="Times New Roman" w:cs="Times New Roman"/>
          <w:lang w:val="en-US"/>
        </w:rPr>
        <w:t xml:space="preserve">This ‘no result’ conclusion withstands a battery of robustness tests using alternative methodological specifications and samples. </w:t>
      </w:r>
      <w:r w:rsidRPr="00622F6C">
        <w:rPr>
          <w:rFonts w:ascii="Times New Roman" w:hAnsi="Times New Roman" w:cs="Times New Roman"/>
          <w:lang w:val="en-US"/>
        </w:rPr>
        <w:t xml:space="preserve">Our finding of a non-significant overall stock price effect has two potential </w:t>
      </w:r>
      <w:r w:rsidR="004E0471">
        <w:rPr>
          <w:rFonts w:ascii="Times New Roman" w:hAnsi="Times New Roman" w:cs="Times New Roman"/>
          <w:lang w:val="en-US"/>
        </w:rPr>
        <w:t>interpretations</w:t>
      </w:r>
      <w:r w:rsidRPr="00622F6C">
        <w:rPr>
          <w:rFonts w:ascii="Times New Roman" w:hAnsi="Times New Roman" w:cs="Times New Roman"/>
          <w:lang w:val="en-US"/>
        </w:rPr>
        <w:t xml:space="preserve">. First, investors perceive the MSA </w:t>
      </w:r>
      <w:r w:rsidR="003B0573">
        <w:rPr>
          <w:rFonts w:ascii="Times New Roman" w:hAnsi="Times New Roman" w:cs="Times New Roman"/>
          <w:lang w:val="en-US"/>
        </w:rPr>
        <w:t xml:space="preserve">as </w:t>
      </w:r>
      <w:r w:rsidRPr="00622F6C">
        <w:rPr>
          <w:rFonts w:ascii="Times New Roman" w:hAnsi="Times New Roman" w:cs="Times New Roman"/>
          <w:lang w:val="en-US"/>
        </w:rPr>
        <w:t xml:space="preserve">irrelevant </w:t>
      </w:r>
      <w:r w:rsidR="003B0573">
        <w:rPr>
          <w:rFonts w:ascii="Times New Roman" w:hAnsi="Times New Roman" w:cs="Times New Roman"/>
          <w:lang w:val="en-US"/>
        </w:rPr>
        <w:t>to the</w:t>
      </w:r>
      <w:r w:rsidR="003B0573" w:rsidRPr="00622F6C">
        <w:rPr>
          <w:rFonts w:ascii="Times New Roman" w:hAnsi="Times New Roman" w:cs="Times New Roman"/>
          <w:lang w:val="en-US"/>
        </w:rPr>
        <w:t xml:space="preserve"> </w:t>
      </w:r>
      <w:r w:rsidRPr="00622F6C">
        <w:rPr>
          <w:rFonts w:ascii="Times New Roman" w:hAnsi="Times New Roman" w:cs="Times New Roman"/>
          <w:lang w:val="en-US"/>
        </w:rPr>
        <w:t>future cash flows of UK firms</w:t>
      </w:r>
      <w:r w:rsidR="004818B1">
        <w:rPr>
          <w:rFonts w:ascii="Times New Roman" w:hAnsi="Times New Roman" w:cs="Times New Roman"/>
          <w:lang w:val="en-US"/>
        </w:rPr>
        <w:t xml:space="preserve">, for example because they believe the Act will not influence </w:t>
      </w:r>
      <w:r w:rsidR="006C41D8">
        <w:rPr>
          <w:rFonts w:ascii="Times New Roman" w:hAnsi="Times New Roman" w:cs="Times New Roman"/>
          <w:lang w:val="en-US"/>
        </w:rPr>
        <w:t xml:space="preserve">stakeholder perceptions or corporate behavior, </w:t>
      </w:r>
      <w:r w:rsidR="004818B1">
        <w:rPr>
          <w:rFonts w:ascii="Times New Roman" w:hAnsi="Times New Roman" w:cs="Times New Roman"/>
          <w:lang w:val="en-US"/>
        </w:rPr>
        <w:t xml:space="preserve">or because there is a general </w:t>
      </w:r>
      <w:r w:rsidR="009A4074">
        <w:rPr>
          <w:rFonts w:ascii="Times New Roman" w:hAnsi="Times New Roman" w:cs="Times New Roman"/>
          <w:lang w:val="en-US"/>
        </w:rPr>
        <w:t xml:space="preserve">lack of awareness </w:t>
      </w:r>
      <w:r w:rsidR="004818B1">
        <w:rPr>
          <w:rFonts w:ascii="Times New Roman" w:hAnsi="Times New Roman" w:cs="Times New Roman"/>
          <w:lang w:val="en-US"/>
        </w:rPr>
        <w:t>of the Act</w:t>
      </w:r>
      <w:r w:rsidRPr="00622F6C">
        <w:rPr>
          <w:rFonts w:ascii="Times New Roman" w:hAnsi="Times New Roman" w:cs="Times New Roman"/>
          <w:lang w:val="en-US"/>
        </w:rPr>
        <w:t xml:space="preserve">. Second, </w:t>
      </w:r>
      <w:r w:rsidR="00CC4C31">
        <w:rPr>
          <w:rFonts w:ascii="Times New Roman" w:hAnsi="Times New Roman" w:cs="Times New Roman"/>
          <w:lang w:val="en-US"/>
        </w:rPr>
        <w:t>investors</w:t>
      </w:r>
      <w:r w:rsidRPr="00622F6C">
        <w:rPr>
          <w:rFonts w:ascii="Times New Roman" w:hAnsi="Times New Roman" w:cs="Times New Roman"/>
          <w:lang w:val="en-US"/>
        </w:rPr>
        <w:t xml:space="preserve"> consider the MSA </w:t>
      </w:r>
      <w:r w:rsidR="007F02B7" w:rsidRPr="00622F6C">
        <w:rPr>
          <w:rFonts w:ascii="Times New Roman" w:hAnsi="Times New Roman" w:cs="Times New Roman"/>
          <w:lang w:val="en-US"/>
        </w:rPr>
        <w:t>cash</w:t>
      </w:r>
      <w:r w:rsidR="00C57D66">
        <w:rPr>
          <w:rFonts w:ascii="Times New Roman" w:hAnsi="Times New Roman" w:cs="Times New Roman"/>
          <w:lang w:val="en-US"/>
        </w:rPr>
        <w:t>-</w:t>
      </w:r>
      <w:r w:rsidR="007F02B7" w:rsidRPr="00622F6C">
        <w:rPr>
          <w:rFonts w:ascii="Times New Roman" w:hAnsi="Times New Roman" w:cs="Times New Roman"/>
          <w:lang w:val="en-US"/>
        </w:rPr>
        <w:t>flow</w:t>
      </w:r>
      <w:r w:rsidR="00C57D66">
        <w:rPr>
          <w:rFonts w:ascii="Times New Roman" w:hAnsi="Times New Roman" w:cs="Times New Roman"/>
          <w:lang w:val="en-US"/>
        </w:rPr>
        <w:t>-</w:t>
      </w:r>
      <w:r w:rsidR="007F02B7" w:rsidRPr="00622F6C">
        <w:rPr>
          <w:rFonts w:ascii="Times New Roman" w:hAnsi="Times New Roman" w:cs="Times New Roman"/>
          <w:lang w:val="en-US"/>
        </w:rPr>
        <w:t>relevant</w:t>
      </w:r>
      <w:r w:rsidRPr="00622F6C">
        <w:rPr>
          <w:rFonts w:ascii="Times New Roman" w:hAnsi="Times New Roman" w:cs="Times New Roman"/>
          <w:lang w:val="en-US"/>
        </w:rPr>
        <w:t xml:space="preserve">, </w:t>
      </w:r>
      <w:r w:rsidR="00074AEF">
        <w:rPr>
          <w:rFonts w:ascii="Times New Roman" w:hAnsi="Times New Roman" w:cs="Times New Roman"/>
          <w:lang w:val="en-US"/>
        </w:rPr>
        <w:t>and</w:t>
      </w:r>
      <w:r w:rsidR="00C57D66" w:rsidRPr="00622F6C">
        <w:rPr>
          <w:rFonts w:ascii="Times New Roman" w:hAnsi="Times New Roman" w:cs="Times New Roman"/>
          <w:lang w:val="en-US"/>
        </w:rPr>
        <w:t xml:space="preserve"> </w:t>
      </w:r>
      <w:r w:rsidR="002D2DE9" w:rsidRPr="00622F6C">
        <w:rPr>
          <w:rFonts w:ascii="Times New Roman" w:hAnsi="Times New Roman" w:cs="Times New Roman"/>
          <w:lang w:val="en-US"/>
        </w:rPr>
        <w:t xml:space="preserve">the non-significant average reaction </w:t>
      </w:r>
      <w:r w:rsidR="00CC4C31">
        <w:rPr>
          <w:rFonts w:ascii="Times New Roman" w:hAnsi="Times New Roman" w:cs="Times New Roman"/>
          <w:lang w:val="en-US"/>
        </w:rPr>
        <w:t>hides</w:t>
      </w:r>
      <w:r w:rsidR="00C57D66">
        <w:rPr>
          <w:rFonts w:ascii="Times New Roman" w:hAnsi="Times New Roman" w:cs="Times New Roman"/>
          <w:lang w:val="en-US"/>
        </w:rPr>
        <w:t xml:space="preserve"> </w:t>
      </w:r>
      <w:r w:rsidR="002D2DE9" w:rsidRPr="00622F6C">
        <w:rPr>
          <w:rFonts w:ascii="Times New Roman" w:hAnsi="Times New Roman" w:cs="Times New Roman"/>
          <w:lang w:val="en-US"/>
        </w:rPr>
        <w:t xml:space="preserve">heterogeneity in </w:t>
      </w:r>
      <w:r w:rsidR="003B0573">
        <w:rPr>
          <w:rFonts w:ascii="Times New Roman" w:hAnsi="Times New Roman" w:cs="Times New Roman"/>
          <w:lang w:val="en-US"/>
        </w:rPr>
        <w:t xml:space="preserve">the </w:t>
      </w:r>
      <w:r w:rsidR="002D2DE9" w:rsidRPr="00622F6C">
        <w:rPr>
          <w:rFonts w:ascii="Times New Roman" w:hAnsi="Times New Roman" w:cs="Times New Roman"/>
          <w:lang w:val="en-US"/>
        </w:rPr>
        <w:t xml:space="preserve">stock price reactions across firms. </w:t>
      </w:r>
      <w:r w:rsidR="00DD6D91" w:rsidRPr="00622F6C">
        <w:rPr>
          <w:rFonts w:ascii="Times New Roman" w:hAnsi="Times New Roman" w:cs="Times New Roman"/>
          <w:lang w:val="en-US"/>
        </w:rPr>
        <w:t xml:space="preserve">Consistent with the latter interpretation, a cross-sectional regression analysis </w:t>
      </w:r>
      <w:r w:rsidR="00F46EBE" w:rsidRPr="00622F6C">
        <w:rPr>
          <w:rFonts w:ascii="Times New Roman" w:hAnsi="Times New Roman" w:cs="Times New Roman"/>
          <w:lang w:val="en-US"/>
        </w:rPr>
        <w:t>of 205 UK firms</w:t>
      </w:r>
      <w:r w:rsidR="00DD6D91" w:rsidRPr="00622F6C">
        <w:rPr>
          <w:rFonts w:ascii="Times New Roman" w:hAnsi="Times New Roman" w:cs="Times New Roman"/>
          <w:lang w:val="en-US"/>
        </w:rPr>
        <w:t xml:space="preserve"> reveals that stock price reactions </w:t>
      </w:r>
      <w:r w:rsidR="006C41D8">
        <w:rPr>
          <w:rFonts w:ascii="Times New Roman" w:hAnsi="Times New Roman" w:cs="Times New Roman"/>
          <w:lang w:val="en-US"/>
        </w:rPr>
        <w:t xml:space="preserve">to the MSA </w:t>
      </w:r>
      <w:r w:rsidR="00AA5CC4" w:rsidRPr="00622F6C">
        <w:rPr>
          <w:rFonts w:ascii="Times New Roman" w:hAnsi="Times New Roman" w:cs="Times New Roman"/>
          <w:lang w:val="en-US"/>
        </w:rPr>
        <w:t xml:space="preserve">are </w:t>
      </w:r>
      <w:r w:rsidR="006C41D8">
        <w:rPr>
          <w:rFonts w:ascii="Times New Roman" w:hAnsi="Times New Roman" w:cs="Times New Roman"/>
          <w:lang w:val="en-US"/>
        </w:rPr>
        <w:t>less favorable</w:t>
      </w:r>
      <w:r w:rsidR="00AA5CC4" w:rsidRPr="00622F6C">
        <w:rPr>
          <w:rFonts w:ascii="Times New Roman" w:hAnsi="Times New Roman" w:cs="Times New Roman"/>
          <w:lang w:val="en-US"/>
        </w:rPr>
        <w:t xml:space="preserve"> for firms with higher slavery risk</w:t>
      </w:r>
      <w:r w:rsidR="00DD6D91" w:rsidRPr="00622F6C">
        <w:rPr>
          <w:rFonts w:ascii="Times New Roman" w:hAnsi="Times New Roman" w:cs="Times New Roman"/>
          <w:lang w:val="en-US"/>
        </w:rPr>
        <w:t xml:space="preserve">. </w:t>
      </w:r>
      <w:r w:rsidR="00156E19">
        <w:rPr>
          <w:rFonts w:ascii="Times New Roman" w:hAnsi="Times New Roman" w:cs="Times New Roman"/>
          <w:lang w:val="en-US"/>
        </w:rPr>
        <w:t>More particularly,</w:t>
      </w:r>
      <w:r w:rsidR="0033773B">
        <w:rPr>
          <w:rFonts w:ascii="Times New Roman" w:hAnsi="Times New Roman" w:cs="Times New Roman"/>
          <w:lang w:val="en-US"/>
        </w:rPr>
        <w:t xml:space="preserve"> in line </w:t>
      </w:r>
      <w:r w:rsidR="006C41D8">
        <w:rPr>
          <w:rFonts w:ascii="Times New Roman" w:hAnsi="Times New Roman" w:cs="Times New Roman"/>
          <w:lang w:val="en-US"/>
        </w:rPr>
        <w:t>with our hypothesis H</w:t>
      </w:r>
      <w:r w:rsidR="006C41D8" w:rsidRPr="006C41D8">
        <w:rPr>
          <w:rFonts w:ascii="Times New Roman" w:hAnsi="Times New Roman" w:cs="Times New Roman"/>
          <w:vertAlign w:val="subscript"/>
          <w:lang w:val="en-US"/>
        </w:rPr>
        <w:t>1a</w:t>
      </w:r>
      <w:r w:rsidR="006C41D8">
        <w:rPr>
          <w:rFonts w:ascii="Times New Roman" w:hAnsi="Times New Roman" w:cs="Times New Roman"/>
          <w:lang w:val="en-US"/>
        </w:rPr>
        <w:t>,</w:t>
      </w:r>
      <w:r w:rsidR="00156E19">
        <w:rPr>
          <w:rFonts w:ascii="Times New Roman" w:hAnsi="Times New Roman" w:cs="Times New Roman"/>
          <w:lang w:val="en-US"/>
        </w:rPr>
        <w:t xml:space="preserve"> f</w:t>
      </w:r>
      <w:r w:rsidR="00F15928">
        <w:rPr>
          <w:rFonts w:ascii="Times New Roman" w:hAnsi="Times New Roman" w:cs="Times New Roman"/>
          <w:lang w:val="en-US"/>
        </w:rPr>
        <w:t xml:space="preserve">irms with a higher occurrence of social incidents in the recent past have more negative stock price reactions, </w:t>
      </w:r>
      <w:r w:rsidR="0033773B">
        <w:rPr>
          <w:rFonts w:ascii="Times New Roman" w:hAnsi="Times New Roman" w:cs="Times New Roman"/>
          <w:lang w:val="en-US"/>
        </w:rPr>
        <w:t>and</w:t>
      </w:r>
      <w:r w:rsidR="005F4136" w:rsidRPr="00622F6C">
        <w:rPr>
          <w:rFonts w:ascii="Times New Roman" w:hAnsi="Times New Roman" w:cs="Times New Roman"/>
          <w:lang w:val="en-US"/>
        </w:rPr>
        <w:t xml:space="preserve"> firm</w:t>
      </w:r>
      <w:r w:rsidR="00F15928">
        <w:rPr>
          <w:rFonts w:ascii="Times New Roman" w:hAnsi="Times New Roman" w:cs="Times New Roman"/>
          <w:lang w:val="en-US"/>
        </w:rPr>
        <w:t>s with</w:t>
      </w:r>
      <w:r w:rsidR="005F4136" w:rsidRPr="00622F6C">
        <w:rPr>
          <w:rFonts w:ascii="Times New Roman" w:hAnsi="Times New Roman" w:cs="Times New Roman"/>
          <w:lang w:val="en-US"/>
        </w:rPr>
        <w:t xml:space="preserve"> policies in place to protect </w:t>
      </w:r>
      <w:r w:rsidR="008B5412" w:rsidRPr="00622F6C">
        <w:rPr>
          <w:rFonts w:ascii="Times New Roman" w:hAnsi="Times New Roman" w:cs="Times New Roman"/>
          <w:lang w:val="en-US"/>
        </w:rPr>
        <w:t xml:space="preserve">labor </w:t>
      </w:r>
      <w:r w:rsidR="005C0658">
        <w:rPr>
          <w:rFonts w:ascii="Times New Roman" w:hAnsi="Times New Roman" w:cs="Times New Roman"/>
          <w:lang w:val="en-US"/>
        </w:rPr>
        <w:t>standards</w:t>
      </w:r>
      <w:r w:rsidR="005C0658" w:rsidRPr="00622F6C">
        <w:rPr>
          <w:rFonts w:ascii="Times New Roman" w:hAnsi="Times New Roman" w:cs="Times New Roman"/>
          <w:lang w:val="en-US"/>
        </w:rPr>
        <w:t xml:space="preserve"> </w:t>
      </w:r>
      <w:r w:rsidR="00F15928">
        <w:rPr>
          <w:rFonts w:ascii="Times New Roman" w:hAnsi="Times New Roman" w:cs="Times New Roman"/>
          <w:lang w:val="en-US"/>
        </w:rPr>
        <w:t>have more favorable stock price reactions</w:t>
      </w:r>
      <w:r w:rsidR="005F4136" w:rsidRPr="00622F6C">
        <w:rPr>
          <w:rFonts w:ascii="Times New Roman" w:hAnsi="Times New Roman" w:cs="Times New Roman"/>
          <w:lang w:val="en-US"/>
        </w:rPr>
        <w:t xml:space="preserve">. </w:t>
      </w:r>
      <w:r w:rsidR="005C435F">
        <w:rPr>
          <w:rFonts w:ascii="Times New Roman" w:hAnsi="Times New Roman" w:cs="Times New Roman"/>
          <w:lang w:val="en-US"/>
        </w:rPr>
        <w:t>The resource-based view on CSR holds</w:t>
      </w:r>
      <w:r w:rsidR="005C435F" w:rsidRPr="00622F6C">
        <w:rPr>
          <w:rFonts w:ascii="Times New Roman" w:hAnsi="Times New Roman" w:cs="Times New Roman"/>
          <w:lang w:val="en-US"/>
        </w:rPr>
        <w:t xml:space="preserve"> that </w:t>
      </w:r>
      <w:r w:rsidR="0025241F">
        <w:rPr>
          <w:rFonts w:ascii="Times New Roman" w:hAnsi="Times New Roman" w:cs="Times New Roman"/>
          <w:lang w:val="en-US"/>
        </w:rPr>
        <w:t xml:space="preserve">having </w:t>
      </w:r>
      <w:r w:rsidR="005C435F" w:rsidRPr="00622F6C">
        <w:rPr>
          <w:rFonts w:ascii="Times New Roman" w:hAnsi="Times New Roman" w:cs="Times New Roman"/>
          <w:lang w:val="en-US"/>
        </w:rPr>
        <w:t xml:space="preserve">superior CSR performance can </w:t>
      </w:r>
      <w:r w:rsidR="0025241F">
        <w:rPr>
          <w:rFonts w:ascii="Times New Roman" w:hAnsi="Times New Roman" w:cs="Times New Roman"/>
          <w:lang w:val="en-US"/>
        </w:rPr>
        <w:t>give</w:t>
      </w:r>
      <w:r w:rsidR="005C435F">
        <w:rPr>
          <w:rFonts w:ascii="Times New Roman" w:hAnsi="Times New Roman" w:cs="Times New Roman"/>
          <w:lang w:val="en-US"/>
        </w:rPr>
        <w:t xml:space="preserve"> firms </w:t>
      </w:r>
      <w:r w:rsidR="0025241F">
        <w:rPr>
          <w:rFonts w:ascii="Times New Roman" w:hAnsi="Times New Roman" w:cs="Times New Roman"/>
          <w:lang w:val="en-US"/>
        </w:rPr>
        <w:t xml:space="preserve">an advantage over their industry peers </w:t>
      </w:r>
      <w:r w:rsidR="005C435F">
        <w:rPr>
          <w:rFonts w:ascii="Times New Roman" w:hAnsi="Times New Roman" w:cs="Times New Roman"/>
          <w:lang w:val="en-US"/>
        </w:rPr>
        <w:t xml:space="preserve">(Hart, 1995; </w:t>
      </w:r>
      <w:r w:rsidR="00497E28">
        <w:rPr>
          <w:rFonts w:ascii="Times New Roman" w:hAnsi="Times New Roman" w:cs="Times New Roman"/>
          <w:lang w:val="en-US"/>
        </w:rPr>
        <w:t xml:space="preserve">Porter and Van der Linde, 1995; </w:t>
      </w:r>
      <w:r w:rsidR="005C435F">
        <w:rPr>
          <w:rFonts w:ascii="Times New Roman" w:hAnsi="Times New Roman" w:cs="Times New Roman"/>
          <w:lang w:val="en-US"/>
        </w:rPr>
        <w:t>Hart and Dowell</w:t>
      </w:r>
      <w:r w:rsidR="005C435F" w:rsidRPr="00622F6C">
        <w:rPr>
          <w:rFonts w:ascii="Times New Roman" w:hAnsi="Times New Roman" w:cs="Times New Roman"/>
          <w:lang w:val="en-US"/>
        </w:rPr>
        <w:t xml:space="preserve">, 2011). </w:t>
      </w:r>
      <w:r w:rsidR="00497E28">
        <w:rPr>
          <w:rFonts w:ascii="Times New Roman" w:hAnsi="Times New Roman" w:cs="Times New Roman"/>
          <w:lang w:val="en-US"/>
        </w:rPr>
        <w:t xml:space="preserve">Consistent with this view, </w:t>
      </w:r>
      <w:r w:rsidR="005C435F">
        <w:rPr>
          <w:rFonts w:ascii="Times New Roman" w:hAnsi="Times New Roman" w:cs="Times New Roman"/>
          <w:lang w:val="en-US"/>
        </w:rPr>
        <w:t>Flammer (2013)</w:t>
      </w:r>
      <w:r w:rsidR="004A18E8">
        <w:rPr>
          <w:rFonts w:ascii="Times New Roman" w:hAnsi="Times New Roman" w:cs="Times New Roman"/>
          <w:lang w:val="en-US"/>
        </w:rPr>
        <w:t xml:space="preserve"> and Grewal et al. (2018)</w:t>
      </w:r>
      <w:r w:rsidR="005C435F">
        <w:rPr>
          <w:rFonts w:ascii="Times New Roman" w:hAnsi="Times New Roman" w:cs="Times New Roman"/>
          <w:lang w:val="en-US"/>
        </w:rPr>
        <w:t xml:space="preserve"> </w:t>
      </w:r>
      <w:r w:rsidR="004A18E8">
        <w:rPr>
          <w:rFonts w:ascii="Times New Roman" w:hAnsi="Times New Roman" w:cs="Times New Roman"/>
          <w:lang w:val="en-US"/>
        </w:rPr>
        <w:t>present</w:t>
      </w:r>
      <w:r w:rsidR="0033773B">
        <w:rPr>
          <w:rFonts w:ascii="Times New Roman" w:hAnsi="Times New Roman" w:cs="Times New Roman"/>
          <w:lang w:val="en-US"/>
        </w:rPr>
        <w:t xml:space="preserve"> empirical results</w:t>
      </w:r>
      <w:r w:rsidR="004A18E8">
        <w:rPr>
          <w:rFonts w:ascii="Times New Roman" w:hAnsi="Times New Roman" w:cs="Times New Roman"/>
          <w:lang w:val="en-US"/>
        </w:rPr>
        <w:t xml:space="preserve"> illustrating that firms can obtain a competitive advantage from having strong environmental and ESG performance, respectively</w:t>
      </w:r>
      <w:r w:rsidR="0033773B">
        <w:rPr>
          <w:rFonts w:ascii="Times New Roman" w:hAnsi="Times New Roman" w:cs="Times New Roman"/>
          <w:lang w:val="en-US"/>
        </w:rPr>
        <w:t>. O</w:t>
      </w:r>
      <w:r w:rsidR="005C435F">
        <w:rPr>
          <w:rFonts w:ascii="Times New Roman" w:hAnsi="Times New Roman" w:cs="Times New Roman"/>
          <w:lang w:val="en-US"/>
        </w:rPr>
        <w:t>ur results</w:t>
      </w:r>
      <w:r w:rsidR="00030359">
        <w:rPr>
          <w:rFonts w:ascii="Times New Roman" w:hAnsi="Times New Roman" w:cs="Times New Roman"/>
          <w:lang w:val="en-US"/>
        </w:rPr>
        <w:t xml:space="preserve"> </w:t>
      </w:r>
      <w:r w:rsidR="005C435F">
        <w:rPr>
          <w:rFonts w:ascii="Times New Roman" w:hAnsi="Times New Roman" w:cs="Times New Roman"/>
          <w:lang w:val="en-US"/>
        </w:rPr>
        <w:t xml:space="preserve">suggest that the resource-based view on CSR performance also applies to the specific context of </w:t>
      </w:r>
      <w:r w:rsidR="001C6E8E">
        <w:rPr>
          <w:rFonts w:ascii="Times New Roman" w:hAnsi="Times New Roman" w:cs="Times New Roman"/>
          <w:lang w:val="en-US"/>
        </w:rPr>
        <w:t xml:space="preserve">a firm’s </w:t>
      </w:r>
      <w:r w:rsidR="005C435F">
        <w:rPr>
          <w:rFonts w:ascii="Times New Roman" w:hAnsi="Times New Roman" w:cs="Times New Roman"/>
          <w:lang w:val="en-US"/>
        </w:rPr>
        <w:t>performance in addressing slavery risk</w:t>
      </w:r>
      <w:r w:rsidR="005C435F" w:rsidRPr="00622F6C">
        <w:rPr>
          <w:rFonts w:ascii="Times New Roman" w:hAnsi="Times New Roman" w:cs="Times New Roman"/>
          <w:lang w:val="en-US"/>
        </w:rPr>
        <w:t>.</w:t>
      </w:r>
      <w:r w:rsidR="0033773B">
        <w:rPr>
          <w:rFonts w:ascii="Times New Roman" w:hAnsi="Times New Roman" w:cs="Times New Roman"/>
          <w:lang w:val="en-US"/>
        </w:rPr>
        <w:t xml:space="preserve"> </w:t>
      </w:r>
      <w:r w:rsidR="00497E28">
        <w:rPr>
          <w:rFonts w:ascii="Times New Roman" w:hAnsi="Times New Roman" w:cs="Times New Roman"/>
          <w:lang w:val="en-US"/>
        </w:rPr>
        <w:t>More particularly, i</w:t>
      </w:r>
      <w:r w:rsidR="0033773B">
        <w:rPr>
          <w:rFonts w:ascii="Times New Roman" w:hAnsi="Times New Roman" w:cs="Times New Roman"/>
          <w:lang w:val="en-US"/>
        </w:rPr>
        <w:t xml:space="preserve">nvestors </w:t>
      </w:r>
      <w:r w:rsidR="00497E28">
        <w:rPr>
          <w:rFonts w:ascii="Times New Roman" w:hAnsi="Times New Roman" w:cs="Times New Roman"/>
          <w:lang w:val="en-US"/>
        </w:rPr>
        <w:t xml:space="preserve">seem to </w:t>
      </w:r>
      <w:r w:rsidR="00B85A1D">
        <w:rPr>
          <w:rFonts w:ascii="Times New Roman" w:hAnsi="Times New Roman" w:cs="Times New Roman"/>
          <w:lang w:val="en-US"/>
        </w:rPr>
        <w:t>perceive</w:t>
      </w:r>
      <w:r w:rsidR="0033773B">
        <w:rPr>
          <w:rFonts w:ascii="Times New Roman" w:hAnsi="Times New Roman" w:cs="Times New Roman"/>
          <w:lang w:val="en-US"/>
        </w:rPr>
        <w:t xml:space="preserve"> the ability to demonstrate low slavery risk </w:t>
      </w:r>
      <w:r w:rsidR="00B85A1D">
        <w:rPr>
          <w:rFonts w:ascii="Times New Roman" w:hAnsi="Times New Roman" w:cs="Times New Roman"/>
          <w:lang w:val="en-US"/>
        </w:rPr>
        <w:t>as</w:t>
      </w:r>
      <w:r w:rsidR="0033773B">
        <w:rPr>
          <w:rFonts w:ascii="Times New Roman" w:hAnsi="Times New Roman" w:cs="Times New Roman"/>
          <w:lang w:val="en-US"/>
        </w:rPr>
        <w:t xml:space="preserve"> a</w:t>
      </w:r>
      <w:r w:rsidR="0025241F">
        <w:rPr>
          <w:rFonts w:ascii="Times New Roman" w:hAnsi="Times New Roman" w:cs="Times New Roman"/>
          <w:lang w:val="en-US"/>
        </w:rPr>
        <w:t xml:space="preserve"> competitive</w:t>
      </w:r>
      <w:r w:rsidR="0033773B">
        <w:rPr>
          <w:rFonts w:ascii="Times New Roman" w:hAnsi="Times New Roman" w:cs="Times New Roman"/>
          <w:lang w:val="en-US"/>
        </w:rPr>
        <w:t xml:space="preserve"> advantage </w:t>
      </w:r>
      <w:r w:rsidR="003B0573">
        <w:rPr>
          <w:rFonts w:ascii="Times New Roman" w:hAnsi="Times New Roman" w:cs="Times New Roman"/>
          <w:lang w:val="en-US"/>
        </w:rPr>
        <w:t xml:space="preserve">for </w:t>
      </w:r>
      <w:r w:rsidR="0033773B">
        <w:rPr>
          <w:rFonts w:ascii="Times New Roman" w:hAnsi="Times New Roman" w:cs="Times New Roman"/>
          <w:lang w:val="en-US"/>
        </w:rPr>
        <w:t>firms</w:t>
      </w:r>
      <w:r w:rsidR="0025241F">
        <w:rPr>
          <w:rFonts w:ascii="Times New Roman" w:hAnsi="Times New Roman" w:cs="Times New Roman"/>
          <w:lang w:val="en-US"/>
        </w:rPr>
        <w:t>, resulting in higher expected future cash flows</w:t>
      </w:r>
      <w:r w:rsidR="0033773B">
        <w:rPr>
          <w:rFonts w:ascii="Times New Roman" w:hAnsi="Times New Roman" w:cs="Times New Roman"/>
          <w:lang w:val="en-US"/>
        </w:rPr>
        <w:t>.</w:t>
      </w:r>
      <w:r w:rsidR="00B85A1D">
        <w:rPr>
          <w:rFonts w:ascii="Times New Roman" w:hAnsi="Times New Roman" w:cs="Times New Roman"/>
          <w:lang w:val="en-US"/>
        </w:rPr>
        <w:t xml:space="preserve"> </w:t>
      </w:r>
      <w:r w:rsidR="009C4422">
        <w:rPr>
          <w:rFonts w:ascii="Times New Roman" w:hAnsi="Times New Roman" w:cs="Times New Roman"/>
          <w:lang w:val="en-US"/>
        </w:rPr>
        <w:t xml:space="preserve">Our findings are also consistent with the risk management view on CSR, to the extent that investors seem more aware of the risk posed by firms’ exposure to slave labor following the adoption of the MSA. </w:t>
      </w:r>
    </w:p>
    <w:p w14:paraId="501A0867" w14:textId="77777777" w:rsidR="002A2FAC" w:rsidRDefault="00D91B54" w:rsidP="0033773B">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We do not find evidence of an interaction effect between firm- and industry-</w:t>
      </w:r>
      <w:r w:rsidR="000449E1">
        <w:rPr>
          <w:rFonts w:ascii="Times New Roman" w:hAnsi="Times New Roman" w:cs="Times New Roman"/>
          <w:lang w:val="en-US"/>
        </w:rPr>
        <w:t xml:space="preserve">specific </w:t>
      </w:r>
      <w:r>
        <w:rPr>
          <w:rFonts w:ascii="Times New Roman" w:hAnsi="Times New Roman" w:cs="Times New Roman"/>
          <w:lang w:val="en-US"/>
        </w:rPr>
        <w:t>slavery risk</w:t>
      </w:r>
      <w:r w:rsidR="009C4422">
        <w:rPr>
          <w:rFonts w:ascii="Times New Roman" w:hAnsi="Times New Roman" w:cs="Times New Roman"/>
          <w:lang w:val="en-US"/>
        </w:rPr>
        <w:t xml:space="preserve"> measures</w:t>
      </w:r>
      <w:r w:rsidR="002F53F1">
        <w:rPr>
          <w:rFonts w:ascii="Times New Roman" w:hAnsi="Times New Roman" w:cs="Times New Roman"/>
          <w:lang w:val="en-US"/>
        </w:rPr>
        <w:t>, suggesting</w:t>
      </w:r>
      <w:r>
        <w:rPr>
          <w:rFonts w:ascii="Times New Roman" w:hAnsi="Times New Roman" w:cs="Times New Roman"/>
          <w:lang w:val="en-US"/>
        </w:rPr>
        <w:t xml:space="preserve"> that the </w:t>
      </w:r>
      <w:r w:rsidR="00F65D40">
        <w:rPr>
          <w:rFonts w:ascii="Times New Roman" w:hAnsi="Times New Roman" w:cs="Times New Roman"/>
          <w:lang w:val="en-US"/>
        </w:rPr>
        <w:t>benefits</w:t>
      </w:r>
      <w:r>
        <w:rPr>
          <w:rFonts w:ascii="Times New Roman" w:hAnsi="Times New Roman" w:cs="Times New Roman"/>
          <w:lang w:val="en-US"/>
        </w:rPr>
        <w:t xml:space="preserve"> of having low </w:t>
      </w:r>
      <w:r w:rsidR="00497E28">
        <w:rPr>
          <w:rFonts w:ascii="Times New Roman" w:hAnsi="Times New Roman" w:cs="Times New Roman"/>
          <w:lang w:val="en-US"/>
        </w:rPr>
        <w:t xml:space="preserve">firm-specific </w:t>
      </w:r>
      <w:r>
        <w:rPr>
          <w:rFonts w:ascii="Times New Roman" w:hAnsi="Times New Roman" w:cs="Times New Roman"/>
          <w:lang w:val="en-US"/>
        </w:rPr>
        <w:t>slavery risk</w:t>
      </w:r>
      <w:r w:rsidR="00497E28">
        <w:rPr>
          <w:rFonts w:ascii="Times New Roman" w:hAnsi="Times New Roman" w:cs="Times New Roman"/>
          <w:lang w:val="en-US"/>
        </w:rPr>
        <w:t xml:space="preserve"> hold across sectors with high and low risk of slave labor</w:t>
      </w:r>
      <w:r>
        <w:rPr>
          <w:rFonts w:ascii="Times New Roman" w:hAnsi="Times New Roman" w:cs="Times New Roman"/>
          <w:lang w:val="en-US"/>
        </w:rPr>
        <w:t xml:space="preserve">. We believe that this finding can be explained by the fact </w:t>
      </w:r>
      <w:r w:rsidR="00497E28">
        <w:rPr>
          <w:rFonts w:ascii="Times New Roman" w:hAnsi="Times New Roman" w:cs="Times New Roman"/>
          <w:lang w:val="en-US"/>
        </w:rPr>
        <w:t xml:space="preserve">that </w:t>
      </w:r>
      <w:r>
        <w:rPr>
          <w:rFonts w:ascii="Times New Roman" w:hAnsi="Times New Roman" w:cs="Times New Roman"/>
          <w:lang w:val="en-US"/>
        </w:rPr>
        <w:t xml:space="preserve">no industry </w:t>
      </w:r>
      <w:r>
        <w:rPr>
          <w:rFonts w:ascii="Times New Roman" w:hAnsi="Times New Roman" w:cs="Times New Roman"/>
          <w:lang w:val="en-US"/>
        </w:rPr>
        <w:lastRenderedPageBreak/>
        <w:t xml:space="preserve">is completely free of the risk of </w:t>
      </w:r>
      <w:r w:rsidR="002F53F1">
        <w:rPr>
          <w:rFonts w:ascii="Times New Roman" w:hAnsi="Times New Roman" w:cs="Times New Roman"/>
          <w:lang w:val="en-US"/>
        </w:rPr>
        <w:t>modern slavery</w:t>
      </w:r>
      <w:r w:rsidR="00497E28">
        <w:rPr>
          <w:rFonts w:ascii="Times New Roman" w:hAnsi="Times New Roman" w:cs="Times New Roman"/>
          <w:lang w:val="en-US"/>
        </w:rPr>
        <w:t xml:space="preserve"> – even in industries with </w:t>
      </w:r>
      <w:r w:rsidR="009C4422">
        <w:rPr>
          <w:rFonts w:ascii="Times New Roman" w:hAnsi="Times New Roman" w:cs="Times New Roman"/>
          <w:lang w:val="en-US"/>
        </w:rPr>
        <w:t xml:space="preserve">a </w:t>
      </w:r>
      <w:r w:rsidR="00497E28">
        <w:rPr>
          <w:rFonts w:ascii="Times New Roman" w:hAnsi="Times New Roman" w:cs="Times New Roman"/>
          <w:lang w:val="en-US"/>
        </w:rPr>
        <w:t>relatively ‘low’</w:t>
      </w:r>
      <w:r w:rsidR="00F65D40">
        <w:rPr>
          <w:rFonts w:ascii="Times New Roman" w:hAnsi="Times New Roman" w:cs="Times New Roman"/>
          <w:lang w:val="en-US"/>
        </w:rPr>
        <w:t xml:space="preserve"> </w:t>
      </w:r>
      <w:r w:rsidR="009C4422">
        <w:rPr>
          <w:rFonts w:ascii="Times New Roman" w:hAnsi="Times New Roman" w:cs="Times New Roman"/>
          <w:lang w:val="en-US"/>
        </w:rPr>
        <w:t>likelihood</w:t>
      </w:r>
      <w:r w:rsidR="00F65D40">
        <w:rPr>
          <w:rFonts w:ascii="Times New Roman" w:hAnsi="Times New Roman" w:cs="Times New Roman"/>
          <w:lang w:val="en-US"/>
        </w:rPr>
        <w:t xml:space="preserve"> of slave labor, firms can still </w:t>
      </w:r>
      <w:r w:rsidR="00073730">
        <w:rPr>
          <w:rFonts w:ascii="Times New Roman" w:hAnsi="Times New Roman" w:cs="Times New Roman"/>
          <w:lang w:val="en-US"/>
        </w:rPr>
        <w:t xml:space="preserve">gain </w:t>
      </w:r>
      <w:r w:rsidR="00F65D40">
        <w:rPr>
          <w:rFonts w:ascii="Times New Roman" w:hAnsi="Times New Roman" w:cs="Times New Roman"/>
          <w:lang w:val="en-US"/>
        </w:rPr>
        <w:t>a competitive</w:t>
      </w:r>
      <w:r w:rsidR="00497E28">
        <w:rPr>
          <w:rFonts w:ascii="Times New Roman" w:hAnsi="Times New Roman" w:cs="Times New Roman"/>
          <w:lang w:val="en-US"/>
        </w:rPr>
        <w:t xml:space="preserve"> advantage by having a low demonstrated </w:t>
      </w:r>
      <w:r w:rsidR="002F53F1">
        <w:rPr>
          <w:rFonts w:ascii="Times New Roman" w:hAnsi="Times New Roman" w:cs="Times New Roman"/>
          <w:lang w:val="en-US"/>
        </w:rPr>
        <w:t>slavery risk</w:t>
      </w:r>
      <w:r w:rsidR="00681D4E">
        <w:rPr>
          <w:rFonts w:ascii="Times New Roman" w:hAnsi="Times New Roman" w:cs="Times New Roman"/>
          <w:lang w:val="en-US"/>
        </w:rPr>
        <w:t xml:space="preserve"> in their focal business and</w:t>
      </w:r>
      <w:r w:rsidR="00497E28">
        <w:rPr>
          <w:rFonts w:ascii="Times New Roman" w:hAnsi="Times New Roman" w:cs="Times New Roman"/>
          <w:lang w:val="en-US"/>
        </w:rPr>
        <w:t xml:space="preserve"> supply chain</w:t>
      </w:r>
      <w:r>
        <w:rPr>
          <w:rFonts w:ascii="Times New Roman" w:hAnsi="Times New Roman" w:cs="Times New Roman"/>
          <w:lang w:val="en-US"/>
        </w:rPr>
        <w:t xml:space="preserve">. Consistent with this interpretation, </w:t>
      </w:r>
      <w:r w:rsidR="00F31EF8">
        <w:rPr>
          <w:rFonts w:ascii="Times New Roman" w:hAnsi="Times New Roman" w:cs="Times New Roman"/>
          <w:lang w:val="en-US"/>
        </w:rPr>
        <w:t xml:space="preserve">it is </w:t>
      </w:r>
      <w:r w:rsidR="009A4074">
        <w:rPr>
          <w:rFonts w:ascii="Times New Roman" w:hAnsi="Times New Roman" w:cs="Times New Roman"/>
          <w:lang w:val="en-US"/>
        </w:rPr>
        <w:t>worth noting</w:t>
      </w:r>
      <w:r w:rsidR="00F31EF8">
        <w:rPr>
          <w:rFonts w:ascii="Times New Roman" w:hAnsi="Times New Roman" w:cs="Times New Roman"/>
          <w:lang w:val="en-US"/>
        </w:rPr>
        <w:t xml:space="preserve"> that </w:t>
      </w:r>
      <w:r>
        <w:rPr>
          <w:rFonts w:ascii="Times New Roman" w:hAnsi="Times New Roman" w:cs="Times New Roman"/>
          <w:lang w:val="en-US"/>
        </w:rPr>
        <w:t xml:space="preserve">a number of </w:t>
      </w:r>
      <w:r w:rsidR="00F31EF8">
        <w:rPr>
          <w:rFonts w:ascii="Times New Roman" w:hAnsi="Times New Roman" w:cs="Times New Roman"/>
          <w:lang w:val="en-US"/>
        </w:rPr>
        <w:t xml:space="preserve">initial </w:t>
      </w:r>
      <w:r w:rsidR="00497E28">
        <w:rPr>
          <w:rFonts w:ascii="Times New Roman" w:hAnsi="Times New Roman" w:cs="Times New Roman"/>
          <w:lang w:val="en-US"/>
        </w:rPr>
        <w:t xml:space="preserve">TISC </w:t>
      </w:r>
      <w:r>
        <w:rPr>
          <w:rFonts w:ascii="Times New Roman" w:hAnsi="Times New Roman" w:cs="Times New Roman"/>
          <w:lang w:val="en-US"/>
        </w:rPr>
        <w:t>statements</w:t>
      </w:r>
      <w:r w:rsidR="00F31EF8">
        <w:rPr>
          <w:rFonts w:ascii="Times New Roman" w:hAnsi="Times New Roman" w:cs="Times New Roman"/>
          <w:lang w:val="en-US"/>
        </w:rPr>
        <w:t xml:space="preserve"> from companies</w:t>
      </w:r>
      <w:r>
        <w:rPr>
          <w:rFonts w:ascii="Times New Roman" w:hAnsi="Times New Roman" w:cs="Times New Roman"/>
          <w:lang w:val="en-US"/>
        </w:rPr>
        <w:t xml:space="preserve"> </w:t>
      </w:r>
      <w:r w:rsidR="002F53F1">
        <w:rPr>
          <w:rFonts w:ascii="Times New Roman" w:hAnsi="Times New Roman" w:cs="Times New Roman"/>
          <w:lang w:val="en-US"/>
        </w:rPr>
        <w:t xml:space="preserve">explicitly </w:t>
      </w:r>
      <w:r>
        <w:rPr>
          <w:rFonts w:ascii="Times New Roman" w:hAnsi="Times New Roman" w:cs="Times New Roman"/>
          <w:lang w:val="en-US"/>
        </w:rPr>
        <w:t xml:space="preserve">mention the fact that </w:t>
      </w:r>
      <w:r w:rsidR="00D96241">
        <w:rPr>
          <w:rFonts w:ascii="Times New Roman" w:hAnsi="Times New Roman" w:cs="Times New Roman"/>
          <w:i/>
          <w:lang w:val="en-US"/>
        </w:rPr>
        <w:t>“</w:t>
      </w:r>
      <w:r w:rsidRPr="00F31EF8">
        <w:rPr>
          <w:rFonts w:ascii="Times New Roman" w:hAnsi="Times New Roman" w:cs="Times New Roman"/>
          <w:i/>
          <w:lang w:val="en-US"/>
        </w:rPr>
        <w:t xml:space="preserve">no </w:t>
      </w:r>
      <w:r w:rsidR="00F31EF8" w:rsidRPr="00F31EF8">
        <w:rPr>
          <w:rFonts w:ascii="Times New Roman" w:hAnsi="Times New Roman" w:cs="Times New Roman"/>
          <w:i/>
          <w:lang w:val="en-US"/>
        </w:rPr>
        <w:t>sector or industry can be considered immune</w:t>
      </w:r>
      <w:r w:rsidR="00D96241">
        <w:rPr>
          <w:rFonts w:ascii="Times New Roman" w:hAnsi="Times New Roman" w:cs="Times New Roman"/>
          <w:lang w:val="en-US"/>
        </w:rPr>
        <w:t xml:space="preserve"> (to the risk of slave labor)” </w:t>
      </w:r>
      <w:r w:rsidR="009641BD">
        <w:rPr>
          <w:rFonts w:ascii="Times New Roman" w:hAnsi="Times New Roman" w:cs="Times New Roman"/>
          <w:lang w:val="en-US"/>
        </w:rPr>
        <w:t>(e.g. Admiral Group, 2016)</w:t>
      </w:r>
      <w:r w:rsidR="009617ED">
        <w:rPr>
          <w:rFonts w:ascii="Times New Roman" w:hAnsi="Times New Roman" w:cs="Times New Roman"/>
          <w:lang w:val="en-US"/>
        </w:rPr>
        <w:t xml:space="preserve">. Also in line with this interpretation, a recent report </w:t>
      </w:r>
      <w:r w:rsidR="00367EAA">
        <w:rPr>
          <w:rFonts w:ascii="Times New Roman" w:hAnsi="Times New Roman" w:cs="Times New Roman"/>
          <w:lang w:val="en-US"/>
        </w:rPr>
        <w:t>notes that the MSA</w:t>
      </w:r>
      <w:r w:rsidR="009617ED">
        <w:rPr>
          <w:rFonts w:ascii="Times New Roman" w:hAnsi="Times New Roman" w:cs="Times New Roman"/>
          <w:lang w:val="en-US"/>
        </w:rPr>
        <w:t xml:space="preserve"> </w:t>
      </w:r>
      <w:r w:rsidR="00367EAA">
        <w:rPr>
          <w:rFonts w:ascii="Times New Roman" w:hAnsi="Times New Roman" w:cs="Times New Roman"/>
          <w:lang w:val="en-US"/>
        </w:rPr>
        <w:t xml:space="preserve">has forced a wide range of industries to consider slavery issues, including business activities that were not previously under consumer scrutiny for their risk of slave labor (Ergon Associates, 2017). </w:t>
      </w:r>
    </w:p>
    <w:p w14:paraId="11C127E5" w14:textId="27BD44D2" w:rsidR="00B45DA1" w:rsidRDefault="005C435F" w:rsidP="00B45DA1">
      <w:pPr>
        <w:spacing w:after="0" w:line="480" w:lineRule="auto"/>
        <w:ind w:firstLine="426"/>
        <w:jc w:val="both"/>
        <w:rPr>
          <w:rFonts w:ascii="Times New Roman" w:hAnsi="Times New Roman" w:cs="Times New Roman"/>
          <w:lang w:val="en-US"/>
        </w:rPr>
      </w:pPr>
      <w:r>
        <w:rPr>
          <w:rFonts w:ascii="Times New Roman" w:hAnsi="Times New Roman" w:cs="Times New Roman"/>
          <w:lang w:val="en-US"/>
        </w:rPr>
        <w:t>Interestingly</w:t>
      </w:r>
      <w:r w:rsidR="00DD6D91" w:rsidRPr="00622F6C">
        <w:rPr>
          <w:rFonts w:ascii="Times New Roman" w:hAnsi="Times New Roman" w:cs="Times New Roman"/>
          <w:lang w:val="en-US"/>
        </w:rPr>
        <w:t xml:space="preserve">, </w:t>
      </w:r>
      <w:r w:rsidR="002215AB">
        <w:rPr>
          <w:rFonts w:ascii="Times New Roman" w:hAnsi="Times New Roman" w:cs="Times New Roman"/>
          <w:lang w:val="en-US"/>
        </w:rPr>
        <w:t>our results suggest</w:t>
      </w:r>
      <w:r w:rsidR="00F31EF8">
        <w:rPr>
          <w:rFonts w:ascii="Times New Roman" w:hAnsi="Times New Roman" w:cs="Times New Roman"/>
          <w:lang w:val="en-US"/>
        </w:rPr>
        <w:t xml:space="preserve"> that </w:t>
      </w:r>
      <w:r w:rsidR="00AA5CC4" w:rsidRPr="00622F6C">
        <w:rPr>
          <w:rFonts w:ascii="Times New Roman" w:hAnsi="Times New Roman" w:cs="Times New Roman"/>
          <w:lang w:val="en-US"/>
        </w:rPr>
        <w:t xml:space="preserve">aggregate </w:t>
      </w:r>
      <w:r w:rsidR="00DD6D91" w:rsidRPr="00622F6C">
        <w:rPr>
          <w:rFonts w:ascii="Times New Roman" w:hAnsi="Times New Roman" w:cs="Times New Roman"/>
          <w:lang w:val="en-US"/>
        </w:rPr>
        <w:t>measure</w:t>
      </w:r>
      <w:r w:rsidR="00930624" w:rsidRPr="00622F6C">
        <w:rPr>
          <w:rFonts w:ascii="Times New Roman" w:hAnsi="Times New Roman" w:cs="Times New Roman"/>
          <w:lang w:val="en-US"/>
        </w:rPr>
        <w:t>s</w:t>
      </w:r>
      <w:r w:rsidR="00DD6D91" w:rsidRPr="00622F6C">
        <w:rPr>
          <w:rFonts w:ascii="Times New Roman" w:hAnsi="Times New Roman" w:cs="Times New Roman"/>
          <w:lang w:val="en-US"/>
        </w:rPr>
        <w:t xml:space="preserve"> </w:t>
      </w:r>
      <w:r w:rsidR="00C57D66">
        <w:rPr>
          <w:rFonts w:ascii="Times New Roman" w:hAnsi="Times New Roman" w:cs="Times New Roman"/>
          <w:lang w:val="en-US"/>
        </w:rPr>
        <w:t>of</w:t>
      </w:r>
      <w:r w:rsidR="00C57D66" w:rsidRPr="00622F6C">
        <w:rPr>
          <w:rFonts w:ascii="Times New Roman" w:hAnsi="Times New Roman" w:cs="Times New Roman"/>
          <w:lang w:val="en-US"/>
        </w:rPr>
        <w:t xml:space="preserve"> </w:t>
      </w:r>
      <w:r w:rsidR="00DD6D91" w:rsidRPr="00622F6C">
        <w:rPr>
          <w:rFonts w:ascii="Times New Roman" w:hAnsi="Times New Roman" w:cs="Times New Roman"/>
          <w:lang w:val="en-US"/>
        </w:rPr>
        <w:t xml:space="preserve">slavery risk </w:t>
      </w:r>
      <w:r w:rsidR="00AA5CC4" w:rsidRPr="00622F6C">
        <w:rPr>
          <w:rFonts w:ascii="Times New Roman" w:hAnsi="Times New Roman" w:cs="Times New Roman"/>
          <w:lang w:val="en-US"/>
        </w:rPr>
        <w:t xml:space="preserve">associated with </w:t>
      </w:r>
      <w:r w:rsidR="003F1822">
        <w:rPr>
          <w:rFonts w:ascii="Times New Roman" w:hAnsi="Times New Roman" w:cs="Times New Roman"/>
          <w:lang w:val="en-US"/>
        </w:rPr>
        <w:t xml:space="preserve">a </w:t>
      </w:r>
      <w:r w:rsidR="00AA5CC4" w:rsidRPr="00622F6C">
        <w:rPr>
          <w:rFonts w:ascii="Times New Roman" w:hAnsi="Times New Roman" w:cs="Times New Roman"/>
          <w:lang w:val="en-US"/>
        </w:rPr>
        <w:t>firm</w:t>
      </w:r>
      <w:r w:rsidR="003F1822">
        <w:rPr>
          <w:rFonts w:ascii="Times New Roman" w:hAnsi="Times New Roman" w:cs="Times New Roman"/>
          <w:lang w:val="en-US"/>
        </w:rPr>
        <w:t>’</w:t>
      </w:r>
      <w:r w:rsidR="00AA5CC4" w:rsidRPr="00622F6C">
        <w:rPr>
          <w:rFonts w:ascii="Times New Roman" w:hAnsi="Times New Roman" w:cs="Times New Roman"/>
          <w:lang w:val="en-US"/>
        </w:rPr>
        <w:t xml:space="preserve">s </w:t>
      </w:r>
      <w:r w:rsidR="003F1822">
        <w:rPr>
          <w:rFonts w:ascii="Times New Roman" w:hAnsi="Times New Roman" w:cs="Times New Roman"/>
          <w:lang w:val="en-US"/>
        </w:rPr>
        <w:t>industry</w:t>
      </w:r>
      <w:r w:rsidR="003F1822" w:rsidRPr="00622F6C">
        <w:rPr>
          <w:rFonts w:ascii="Times New Roman" w:hAnsi="Times New Roman" w:cs="Times New Roman"/>
          <w:lang w:val="en-US"/>
        </w:rPr>
        <w:t xml:space="preserve"> </w:t>
      </w:r>
      <w:r w:rsidR="00AA5CC4" w:rsidRPr="00622F6C">
        <w:rPr>
          <w:rFonts w:ascii="Times New Roman" w:hAnsi="Times New Roman" w:cs="Times New Roman"/>
          <w:lang w:val="en-US"/>
        </w:rPr>
        <w:t xml:space="preserve">and geographical presence </w:t>
      </w:r>
      <w:r w:rsidR="00D91B54">
        <w:rPr>
          <w:rFonts w:ascii="Times New Roman" w:hAnsi="Times New Roman" w:cs="Times New Roman"/>
          <w:lang w:val="en-US"/>
        </w:rPr>
        <w:t xml:space="preserve">have an independent, positive </w:t>
      </w:r>
      <w:r w:rsidR="00DD6D91" w:rsidRPr="00622F6C">
        <w:rPr>
          <w:rFonts w:ascii="Times New Roman" w:hAnsi="Times New Roman" w:cs="Times New Roman"/>
          <w:lang w:val="en-US"/>
        </w:rPr>
        <w:t>influence</w:t>
      </w:r>
      <w:r w:rsidR="00D91B54">
        <w:rPr>
          <w:rFonts w:ascii="Times New Roman" w:hAnsi="Times New Roman" w:cs="Times New Roman"/>
          <w:lang w:val="en-US"/>
        </w:rPr>
        <w:t xml:space="preserve"> on</w:t>
      </w:r>
      <w:r w:rsidR="00DD6D91" w:rsidRPr="00622F6C">
        <w:rPr>
          <w:rFonts w:ascii="Times New Roman" w:hAnsi="Times New Roman" w:cs="Times New Roman"/>
          <w:lang w:val="en-US"/>
        </w:rPr>
        <w:t xml:space="preserve"> stock price reactions</w:t>
      </w:r>
      <w:r w:rsidR="00D91B54">
        <w:rPr>
          <w:rFonts w:ascii="Times New Roman" w:hAnsi="Times New Roman" w:cs="Times New Roman"/>
          <w:lang w:val="en-US"/>
        </w:rPr>
        <w:t xml:space="preserve"> to the MSA</w:t>
      </w:r>
      <w:r w:rsidR="00073730">
        <w:rPr>
          <w:rFonts w:ascii="Times New Roman" w:hAnsi="Times New Roman" w:cs="Times New Roman"/>
          <w:lang w:val="en-US"/>
        </w:rPr>
        <w:t>’s</w:t>
      </w:r>
      <w:r w:rsidR="00D91B54">
        <w:rPr>
          <w:rFonts w:ascii="Times New Roman" w:hAnsi="Times New Roman" w:cs="Times New Roman"/>
          <w:lang w:val="en-US"/>
        </w:rPr>
        <w:t xml:space="preserve"> adoption</w:t>
      </w:r>
      <w:r w:rsidR="00DD6D91" w:rsidRPr="00622F6C">
        <w:rPr>
          <w:rFonts w:ascii="Times New Roman" w:hAnsi="Times New Roman" w:cs="Times New Roman"/>
          <w:lang w:val="en-US"/>
        </w:rPr>
        <w:t xml:space="preserve">. </w:t>
      </w:r>
      <w:r w:rsidR="00D91B54">
        <w:rPr>
          <w:rFonts w:ascii="Times New Roman" w:hAnsi="Times New Roman" w:cs="Times New Roman"/>
          <w:lang w:val="en-US"/>
        </w:rPr>
        <w:t>We believe this</w:t>
      </w:r>
      <w:r w:rsidR="00B85A1D">
        <w:rPr>
          <w:rFonts w:ascii="Times New Roman" w:hAnsi="Times New Roman" w:cs="Times New Roman"/>
          <w:lang w:val="en-US"/>
        </w:rPr>
        <w:t xml:space="preserve"> finding</w:t>
      </w:r>
      <w:r w:rsidR="00B45DA1">
        <w:rPr>
          <w:rFonts w:ascii="Times New Roman" w:hAnsi="Times New Roman" w:cs="Times New Roman"/>
          <w:lang w:val="en-US"/>
        </w:rPr>
        <w:t xml:space="preserve"> is consistent with the argument underpinning our hypothesis H</w:t>
      </w:r>
      <w:r w:rsidR="00B45DA1" w:rsidRPr="006C41D8">
        <w:rPr>
          <w:rFonts w:ascii="Times New Roman" w:hAnsi="Times New Roman" w:cs="Times New Roman"/>
          <w:vertAlign w:val="subscript"/>
          <w:lang w:val="en-US"/>
        </w:rPr>
        <w:t>1b</w:t>
      </w:r>
      <w:r w:rsidR="00B45DA1">
        <w:rPr>
          <w:rFonts w:ascii="Times New Roman" w:hAnsi="Times New Roman" w:cs="Times New Roman"/>
          <w:lang w:val="en-US"/>
        </w:rPr>
        <w:t xml:space="preserve">, that firms might take corrective actions in their operations and supply chains to mitigate slavery risk following the </w:t>
      </w:r>
      <w:r w:rsidR="00073730">
        <w:rPr>
          <w:rFonts w:ascii="Times New Roman" w:hAnsi="Times New Roman" w:cs="Times New Roman"/>
          <w:lang w:val="en-US"/>
        </w:rPr>
        <w:t xml:space="preserve">introduction of the </w:t>
      </w:r>
      <w:r w:rsidR="00B45DA1">
        <w:rPr>
          <w:rFonts w:ascii="Times New Roman" w:hAnsi="Times New Roman" w:cs="Times New Roman"/>
          <w:lang w:val="en-US"/>
        </w:rPr>
        <w:t>MSA. T</w:t>
      </w:r>
      <w:r w:rsidR="00B85A1D">
        <w:rPr>
          <w:rFonts w:ascii="Times New Roman" w:hAnsi="Times New Roman" w:cs="Times New Roman"/>
          <w:lang w:val="en-US"/>
        </w:rPr>
        <w:t>hese actions</w:t>
      </w:r>
      <w:r w:rsidR="00B45DA1">
        <w:rPr>
          <w:rFonts w:ascii="Times New Roman" w:hAnsi="Times New Roman" w:cs="Times New Roman"/>
          <w:lang w:val="en-US"/>
        </w:rPr>
        <w:t xml:space="preserve"> could lead to higher expected cash flows, for example </w:t>
      </w:r>
      <w:r w:rsidR="006C41D8">
        <w:rPr>
          <w:rFonts w:ascii="Times New Roman" w:hAnsi="Times New Roman" w:cs="Times New Roman"/>
          <w:lang w:val="en-US"/>
        </w:rPr>
        <w:t xml:space="preserve">by </w:t>
      </w:r>
      <w:r w:rsidR="00B45DA1">
        <w:rPr>
          <w:rFonts w:ascii="Times New Roman" w:hAnsi="Times New Roman" w:cs="Times New Roman"/>
          <w:lang w:val="en-US"/>
        </w:rPr>
        <w:t>reducing the likelihood of reputational damage</w:t>
      </w:r>
      <w:r w:rsidR="00B85A1D">
        <w:rPr>
          <w:rFonts w:ascii="Times New Roman" w:hAnsi="Times New Roman" w:cs="Times New Roman"/>
          <w:lang w:val="en-US"/>
        </w:rPr>
        <w:t xml:space="preserve"> associated with high</w:t>
      </w:r>
      <w:r w:rsidR="00073730">
        <w:rPr>
          <w:rFonts w:ascii="Times New Roman" w:hAnsi="Times New Roman" w:cs="Times New Roman"/>
          <w:lang w:val="en-US"/>
        </w:rPr>
        <w:t>-</w:t>
      </w:r>
      <w:r w:rsidR="00B85A1D">
        <w:rPr>
          <w:rFonts w:ascii="Times New Roman" w:hAnsi="Times New Roman" w:cs="Times New Roman"/>
          <w:lang w:val="en-US"/>
        </w:rPr>
        <w:t>profile slavery cases</w:t>
      </w:r>
      <w:r w:rsidR="00B45DA1">
        <w:rPr>
          <w:rFonts w:ascii="Times New Roman" w:hAnsi="Times New Roman" w:cs="Times New Roman"/>
          <w:lang w:val="en-US"/>
        </w:rPr>
        <w:t xml:space="preserve">, </w:t>
      </w:r>
      <w:r w:rsidR="00073730">
        <w:rPr>
          <w:rFonts w:ascii="Times New Roman" w:hAnsi="Times New Roman" w:cs="Times New Roman"/>
          <w:lang w:val="en-US"/>
        </w:rPr>
        <w:t xml:space="preserve">or by </w:t>
      </w:r>
      <w:r w:rsidR="00B45DA1">
        <w:rPr>
          <w:rFonts w:ascii="Times New Roman" w:hAnsi="Times New Roman" w:cs="Times New Roman"/>
          <w:lang w:val="en-US"/>
        </w:rPr>
        <w:t xml:space="preserve">spurring innovation in supply chains (Porter and Van der Linde, 1995). Investors might perceive the incremental benefits of such corporate actions to be highest for </w:t>
      </w:r>
      <w:r w:rsidR="003F1822">
        <w:rPr>
          <w:rFonts w:ascii="Times New Roman" w:hAnsi="Times New Roman" w:cs="Times New Roman"/>
          <w:lang w:val="en-US"/>
        </w:rPr>
        <w:t>industries</w:t>
      </w:r>
      <w:r w:rsidR="00B45DA1">
        <w:rPr>
          <w:rFonts w:ascii="Times New Roman" w:hAnsi="Times New Roman" w:cs="Times New Roman"/>
          <w:lang w:val="en-US"/>
        </w:rPr>
        <w:t xml:space="preserve"> that had a high </w:t>
      </w:r>
      <w:r w:rsidR="00C71807">
        <w:rPr>
          <w:rFonts w:ascii="Times New Roman" w:hAnsi="Times New Roman" w:cs="Times New Roman"/>
          <w:lang w:val="en-US"/>
        </w:rPr>
        <w:t>ex</w:t>
      </w:r>
      <w:r w:rsidR="00F6665B">
        <w:rPr>
          <w:rFonts w:ascii="Times New Roman" w:hAnsi="Times New Roman" w:cs="Times New Roman"/>
          <w:lang w:val="en-US"/>
        </w:rPr>
        <w:t>-</w:t>
      </w:r>
      <w:r w:rsidR="00C71807">
        <w:rPr>
          <w:rFonts w:ascii="Times New Roman" w:hAnsi="Times New Roman" w:cs="Times New Roman"/>
          <w:lang w:val="en-US"/>
        </w:rPr>
        <w:t xml:space="preserve">ante </w:t>
      </w:r>
      <w:r w:rsidR="00B45DA1">
        <w:rPr>
          <w:rFonts w:ascii="Times New Roman" w:hAnsi="Times New Roman" w:cs="Times New Roman"/>
          <w:lang w:val="en-US"/>
        </w:rPr>
        <w:t xml:space="preserve">slavery risk. </w:t>
      </w:r>
    </w:p>
    <w:p w14:paraId="3A2432D1" w14:textId="77777777" w:rsidR="00C41095" w:rsidRPr="00622F6C" w:rsidRDefault="00AA5CC4" w:rsidP="00C41095">
      <w:pPr>
        <w:pStyle w:val="FootnoteText"/>
        <w:spacing w:line="480" w:lineRule="auto"/>
        <w:ind w:firstLine="426"/>
        <w:jc w:val="both"/>
        <w:rPr>
          <w:rFonts w:ascii="Times New Roman" w:eastAsia="Times New Roman" w:hAnsi="Times New Roman" w:cs="Times New Roman"/>
          <w:sz w:val="22"/>
          <w:szCs w:val="22"/>
          <w:lang w:val="en-US"/>
        </w:rPr>
      </w:pPr>
      <w:r w:rsidRPr="00622F6C">
        <w:rPr>
          <w:rFonts w:ascii="Times New Roman" w:hAnsi="Times New Roman" w:cs="Times New Roman"/>
          <w:sz w:val="22"/>
          <w:szCs w:val="22"/>
          <w:lang w:val="en-US"/>
        </w:rPr>
        <w:t>W</w:t>
      </w:r>
      <w:r w:rsidR="007F02B7" w:rsidRPr="00622F6C">
        <w:rPr>
          <w:rFonts w:ascii="Times New Roman" w:hAnsi="Times New Roman" w:cs="Times New Roman"/>
          <w:sz w:val="22"/>
          <w:szCs w:val="22"/>
          <w:lang w:val="en-US"/>
        </w:rPr>
        <w:t>e do not find a</w:t>
      </w:r>
      <w:r w:rsidR="00AC3F74">
        <w:rPr>
          <w:rFonts w:ascii="Times New Roman" w:hAnsi="Times New Roman" w:cs="Times New Roman"/>
          <w:sz w:val="22"/>
          <w:szCs w:val="22"/>
          <w:lang w:val="en-US"/>
        </w:rPr>
        <w:t xml:space="preserve">n influence of </w:t>
      </w:r>
      <w:r w:rsidR="007F02B7" w:rsidRPr="00622F6C">
        <w:rPr>
          <w:rFonts w:ascii="Times New Roman" w:hAnsi="Times New Roman" w:cs="Times New Roman"/>
          <w:sz w:val="22"/>
          <w:szCs w:val="22"/>
          <w:lang w:val="en-US"/>
        </w:rPr>
        <w:t>pre-</w:t>
      </w:r>
      <w:r w:rsidR="00C57D66" w:rsidRPr="00622F6C">
        <w:rPr>
          <w:rFonts w:ascii="Times New Roman" w:hAnsi="Times New Roman" w:cs="Times New Roman"/>
          <w:sz w:val="22"/>
          <w:szCs w:val="22"/>
          <w:lang w:val="en-US"/>
        </w:rPr>
        <w:t>regulat</w:t>
      </w:r>
      <w:r w:rsidR="00F65D40">
        <w:rPr>
          <w:rFonts w:ascii="Times New Roman" w:hAnsi="Times New Roman" w:cs="Times New Roman"/>
          <w:sz w:val="22"/>
          <w:szCs w:val="22"/>
          <w:lang w:val="en-US"/>
        </w:rPr>
        <w:t>ory</w:t>
      </w:r>
      <w:r w:rsidR="00C57D66" w:rsidRPr="00622F6C">
        <w:rPr>
          <w:rFonts w:ascii="Times New Roman" w:hAnsi="Times New Roman" w:cs="Times New Roman"/>
          <w:sz w:val="22"/>
          <w:szCs w:val="22"/>
          <w:lang w:val="en-US"/>
        </w:rPr>
        <w:t xml:space="preserve"> </w:t>
      </w:r>
      <w:r w:rsidR="007F02B7" w:rsidRPr="00622F6C">
        <w:rPr>
          <w:rFonts w:ascii="Times New Roman" w:hAnsi="Times New Roman" w:cs="Times New Roman"/>
          <w:sz w:val="22"/>
          <w:szCs w:val="22"/>
          <w:lang w:val="en-US"/>
        </w:rPr>
        <w:t>CSR disclosure levels</w:t>
      </w:r>
      <w:r w:rsidR="00AC3F74">
        <w:rPr>
          <w:rFonts w:ascii="Times New Roman" w:hAnsi="Times New Roman" w:cs="Times New Roman"/>
          <w:sz w:val="22"/>
          <w:szCs w:val="22"/>
          <w:lang w:val="en-US"/>
        </w:rPr>
        <w:t xml:space="preserve"> on stock price reactions</w:t>
      </w:r>
      <w:r w:rsidRPr="00622F6C">
        <w:rPr>
          <w:rFonts w:ascii="Times New Roman" w:hAnsi="Times New Roman" w:cs="Times New Roman"/>
          <w:sz w:val="22"/>
          <w:szCs w:val="22"/>
          <w:lang w:val="en-US"/>
        </w:rPr>
        <w:t>, except for a positive impact of industry concentration</w:t>
      </w:r>
      <w:r w:rsidR="007F02B7" w:rsidRPr="00622F6C">
        <w:rPr>
          <w:rFonts w:ascii="Times New Roman" w:hAnsi="Times New Roman" w:cs="Times New Roman"/>
          <w:sz w:val="22"/>
          <w:szCs w:val="22"/>
          <w:lang w:val="en-US"/>
        </w:rPr>
        <w:t xml:space="preserve">. </w:t>
      </w:r>
      <w:r w:rsidR="005C435F">
        <w:rPr>
          <w:rFonts w:ascii="Times New Roman" w:hAnsi="Times New Roman" w:cs="Times New Roman"/>
          <w:sz w:val="22"/>
          <w:szCs w:val="22"/>
          <w:lang w:val="en-US"/>
        </w:rPr>
        <w:t>There are a number of non-exclusive explanations for o</w:t>
      </w:r>
      <w:r w:rsidRPr="00622F6C">
        <w:rPr>
          <w:rFonts w:ascii="Times New Roman" w:hAnsi="Times New Roman" w:cs="Times New Roman"/>
          <w:sz w:val="22"/>
          <w:szCs w:val="22"/>
          <w:lang w:val="en-US"/>
        </w:rPr>
        <w:t xml:space="preserve">ur lack of strong evidence </w:t>
      </w:r>
      <w:r w:rsidR="00C57D66">
        <w:rPr>
          <w:rFonts w:ascii="Times New Roman" w:hAnsi="Times New Roman" w:cs="Times New Roman"/>
          <w:sz w:val="22"/>
          <w:szCs w:val="22"/>
          <w:lang w:val="en-US"/>
        </w:rPr>
        <w:t>regarding</w:t>
      </w:r>
      <w:r w:rsidR="00C57D66" w:rsidRPr="00622F6C">
        <w:rPr>
          <w:rFonts w:ascii="Times New Roman" w:hAnsi="Times New Roman" w:cs="Times New Roman"/>
          <w:sz w:val="22"/>
          <w:szCs w:val="22"/>
          <w:lang w:val="en-US"/>
        </w:rPr>
        <w:t xml:space="preserve"> </w:t>
      </w:r>
      <w:r w:rsidR="00CC4D92">
        <w:rPr>
          <w:rFonts w:ascii="Times New Roman" w:hAnsi="Times New Roman" w:cs="Times New Roman"/>
          <w:sz w:val="22"/>
          <w:szCs w:val="22"/>
          <w:lang w:val="en-US"/>
        </w:rPr>
        <w:t>hypotheses</w:t>
      </w:r>
      <w:r w:rsidRPr="00622F6C">
        <w:rPr>
          <w:rFonts w:ascii="Times New Roman" w:hAnsi="Times New Roman" w:cs="Times New Roman"/>
          <w:sz w:val="22"/>
          <w:szCs w:val="22"/>
          <w:lang w:val="en-US"/>
        </w:rPr>
        <w:t xml:space="preserve"> H</w:t>
      </w:r>
      <w:r w:rsidRPr="00622F6C">
        <w:rPr>
          <w:rFonts w:ascii="Times New Roman" w:hAnsi="Times New Roman" w:cs="Times New Roman"/>
          <w:sz w:val="22"/>
          <w:szCs w:val="22"/>
          <w:vertAlign w:val="subscript"/>
          <w:lang w:val="en-US"/>
        </w:rPr>
        <w:t>2a</w:t>
      </w:r>
      <w:r w:rsidRPr="00622F6C">
        <w:rPr>
          <w:rFonts w:ascii="Times New Roman" w:hAnsi="Times New Roman" w:cs="Times New Roman"/>
          <w:sz w:val="22"/>
          <w:szCs w:val="22"/>
          <w:lang w:val="en-US"/>
        </w:rPr>
        <w:t xml:space="preserve"> and H</w:t>
      </w:r>
      <w:r w:rsidRPr="00622F6C">
        <w:rPr>
          <w:rFonts w:ascii="Times New Roman" w:hAnsi="Times New Roman" w:cs="Times New Roman"/>
          <w:sz w:val="22"/>
          <w:szCs w:val="22"/>
          <w:vertAlign w:val="subscript"/>
          <w:lang w:val="en-US"/>
        </w:rPr>
        <w:t>2b</w:t>
      </w:r>
      <w:r w:rsidR="005C435F">
        <w:rPr>
          <w:rFonts w:ascii="Times New Roman" w:hAnsi="Times New Roman" w:cs="Times New Roman"/>
          <w:sz w:val="22"/>
          <w:szCs w:val="22"/>
          <w:lang w:val="en-US"/>
        </w:rPr>
        <w:t>.</w:t>
      </w:r>
      <w:r w:rsidR="00930624" w:rsidRPr="00622F6C">
        <w:rPr>
          <w:rFonts w:ascii="Times New Roman" w:hAnsi="Times New Roman" w:cs="Times New Roman"/>
          <w:sz w:val="22"/>
          <w:szCs w:val="22"/>
          <w:lang w:val="en-US"/>
        </w:rPr>
        <w:t xml:space="preserve"> </w:t>
      </w:r>
      <w:r w:rsidR="005C435F">
        <w:rPr>
          <w:rFonts w:ascii="Times New Roman" w:hAnsi="Times New Roman" w:cs="Times New Roman"/>
          <w:sz w:val="22"/>
          <w:szCs w:val="22"/>
          <w:lang w:val="en-US"/>
        </w:rPr>
        <w:t>I</w:t>
      </w:r>
      <w:r w:rsidRPr="00622F6C">
        <w:rPr>
          <w:rFonts w:ascii="Times New Roman" w:hAnsi="Times New Roman" w:cs="Times New Roman"/>
          <w:sz w:val="22"/>
          <w:szCs w:val="22"/>
          <w:lang w:val="en-US"/>
        </w:rPr>
        <w:t xml:space="preserve">nvestors </w:t>
      </w:r>
      <w:r w:rsidR="005C435F">
        <w:rPr>
          <w:rFonts w:ascii="Times New Roman" w:hAnsi="Times New Roman" w:cs="Times New Roman"/>
          <w:sz w:val="22"/>
          <w:szCs w:val="22"/>
          <w:lang w:val="en-US"/>
        </w:rPr>
        <w:t xml:space="preserve">may perceive </w:t>
      </w:r>
      <w:r w:rsidRPr="00622F6C">
        <w:rPr>
          <w:rFonts w:ascii="Times New Roman" w:hAnsi="Times New Roman" w:cs="Times New Roman"/>
          <w:sz w:val="22"/>
          <w:szCs w:val="22"/>
          <w:lang w:val="en-US"/>
        </w:rPr>
        <w:t xml:space="preserve">the </w:t>
      </w:r>
      <w:r w:rsidR="00156E19">
        <w:rPr>
          <w:rFonts w:ascii="Times New Roman" w:hAnsi="Times New Roman" w:cs="Times New Roman"/>
          <w:sz w:val="22"/>
          <w:szCs w:val="22"/>
          <w:lang w:val="en-US"/>
        </w:rPr>
        <w:t>TISC clause as a source of</w:t>
      </w:r>
      <w:r w:rsidR="002A2BEC">
        <w:rPr>
          <w:rFonts w:ascii="Times New Roman" w:hAnsi="Times New Roman" w:cs="Times New Roman"/>
          <w:sz w:val="22"/>
          <w:szCs w:val="22"/>
          <w:lang w:val="en-US"/>
        </w:rPr>
        <w:t xml:space="preserve"> information</w:t>
      </w:r>
      <w:r w:rsidR="004E4F36" w:rsidRPr="00622F6C">
        <w:rPr>
          <w:rFonts w:ascii="Times New Roman" w:hAnsi="Times New Roman" w:cs="Times New Roman"/>
          <w:sz w:val="22"/>
          <w:szCs w:val="22"/>
          <w:lang w:val="en-US"/>
        </w:rPr>
        <w:t xml:space="preserve"> </w:t>
      </w:r>
      <w:r w:rsidR="00CC4C31">
        <w:rPr>
          <w:rFonts w:ascii="Times New Roman" w:hAnsi="Times New Roman" w:cs="Times New Roman"/>
          <w:sz w:val="22"/>
          <w:szCs w:val="22"/>
          <w:lang w:val="en-US"/>
        </w:rPr>
        <w:t>orthogonal</w:t>
      </w:r>
      <w:r w:rsidR="00CC4C31" w:rsidRPr="00622F6C">
        <w:rPr>
          <w:rFonts w:ascii="Times New Roman" w:hAnsi="Times New Roman" w:cs="Times New Roman"/>
          <w:sz w:val="22"/>
          <w:szCs w:val="22"/>
          <w:lang w:val="en-US"/>
        </w:rPr>
        <w:t xml:space="preserve"> </w:t>
      </w:r>
      <w:r w:rsidR="004E4F36" w:rsidRPr="00622F6C">
        <w:rPr>
          <w:rFonts w:ascii="Times New Roman" w:hAnsi="Times New Roman" w:cs="Times New Roman"/>
          <w:sz w:val="22"/>
          <w:szCs w:val="22"/>
          <w:lang w:val="en-US"/>
        </w:rPr>
        <w:t>to</w:t>
      </w:r>
      <w:r w:rsidR="00930624" w:rsidRPr="00622F6C">
        <w:rPr>
          <w:rFonts w:ascii="Times New Roman" w:hAnsi="Times New Roman" w:cs="Times New Roman"/>
          <w:sz w:val="22"/>
          <w:szCs w:val="22"/>
          <w:lang w:val="en-US"/>
        </w:rPr>
        <w:t xml:space="preserve"> </w:t>
      </w:r>
      <w:r w:rsidR="002A6C57" w:rsidRPr="00622F6C">
        <w:rPr>
          <w:rFonts w:ascii="Times New Roman" w:hAnsi="Times New Roman" w:cs="Times New Roman"/>
          <w:sz w:val="22"/>
          <w:szCs w:val="22"/>
          <w:lang w:val="en-US"/>
        </w:rPr>
        <w:t xml:space="preserve">information </w:t>
      </w:r>
      <w:r w:rsidR="004E4F36" w:rsidRPr="00622F6C">
        <w:rPr>
          <w:rFonts w:ascii="Times New Roman" w:hAnsi="Times New Roman" w:cs="Times New Roman"/>
          <w:sz w:val="22"/>
          <w:szCs w:val="22"/>
          <w:lang w:val="en-US"/>
        </w:rPr>
        <w:t xml:space="preserve">already </w:t>
      </w:r>
      <w:r w:rsidR="002A6C57" w:rsidRPr="00622F6C">
        <w:rPr>
          <w:rFonts w:ascii="Times New Roman" w:hAnsi="Times New Roman" w:cs="Times New Roman"/>
          <w:sz w:val="22"/>
          <w:szCs w:val="22"/>
          <w:lang w:val="en-US"/>
        </w:rPr>
        <w:t xml:space="preserve">provided through </w:t>
      </w:r>
      <w:r w:rsidR="00F65D40">
        <w:rPr>
          <w:rFonts w:ascii="Times New Roman" w:hAnsi="Times New Roman" w:cs="Times New Roman"/>
          <w:sz w:val="22"/>
          <w:szCs w:val="22"/>
          <w:lang w:val="en-US"/>
        </w:rPr>
        <w:t>prior</w:t>
      </w:r>
      <w:r w:rsidR="00C57D66" w:rsidRPr="00622F6C">
        <w:rPr>
          <w:rFonts w:ascii="Times New Roman" w:hAnsi="Times New Roman" w:cs="Times New Roman"/>
          <w:sz w:val="22"/>
          <w:szCs w:val="22"/>
          <w:lang w:val="en-US"/>
        </w:rPr>
        <w:t xml:space="preserve"> </w:t>
      </w:r>
      <w:r w:rsidR="00A5036A" w:rsidRPr="00622F6C">
        <w:rPr>
          <w:rFonts w:ascii="Times New Roman" w:hAnsi="Times New Roman" w:cs="Times New Roman"/>
          <w:sz w:val="22"/>
          <w:szCs w:val="22"/>
          <w:lang w:val="en-US"/>
        </w:rPr>
        <w:t xml:space="preserve">corporate </w:t>
      </w:r>
      <w:r w:rsidR="00930624" w:rsidRPr="00622F6C">
        <w:rPr>
          <w:rFonts w:ascii="Times New Roman" w:hAnsi="Times New Roman" w:cs="Times New Roman"/>
          <w:sz w:val="22"/>
          <w:szCs w:val="22"/>
          <w:lang w:val="en-US"/>
        </w:rPr>
        <w:t>disclosure</w:t>
      </w:r>
      <w:r w:rsidR="00F65D40">
        <w:rPr>
          <w:rFonts w:ascii="Times New Roman" w:hAnsi="Times New Roman" w:cs="Times New Roman"/>
          <w:sz w:val="22"/>
          <w:szCs w:val="22"/>
          <w:lang w:val="en-US"/>
        </w:rPr>
        <w:t>s</w:t>
      </w:r>
      <w:r w:rsidR="005C435F">
        <w:rPr>
          <w:rFonts w:ascii="Times New Roman" w:hAnsi="Times New Roman" w:cs="Times New Roman"/>
          <w:sz w:val="22"/>
          <w:szCs w:val="22"/>
          <w:lang w:val="en-US"/>
        </w:rPr>
        <w:t>, thereby making pre-MSA disclosure levels irrelevant to their assessment of the incremental benefits of the clause</w:t>
      </w:r>
      <w:r w:rsidR="00930624" w:rsidRPr="00622F6C">
        <w:rPr>
          <w:rFonts w:ascii="Times New Roman" w:hAnsi="Times New Roman" w:cs="Times New Roman"/>
          <w:sz w:val="22"/>
          <w:szCs w:val="22"/>
          <w:lang w:val="en-US"/>
        </w:rPr>
        <w:t xml:space="preserve">. </w:t>
      </w:r>
      <w:r w:rsidR="006C41D8">
        <w:rPr>
          <w:rFonts w:ascii="Times New Roman" w:hAnsi="Times New Roman" w:cs="Times New Roman"/>
          <w:sz w:val="22"/>
          <w:szCs w:val="22"/>
          <w:lang w:val="en-US"/>
        </w:rPr>
        <w:t xml:space="preserve">Investors may </w:t>
      </w:r>
      <w:r w:rsidR="005C435F">
        <w:rPr>
          <w:rFonts w:ascii="Times New Roman" w:hAnsi="Times New Roman" w:cs="Times New Roman"/>
          <w:sz w:val="22"/>
          <w:szCs w:val="22"/>
          <w:lang w:val="en-US"/>
        </w:rPr>
        <w:t xml:space="preserve">also </w:t>
      </w:r>
      <w:r w:rsidR="00B85A1D">
        <w:rPr>
          <w:rFonts w:ascii="Times New Roman" w:hAnsi="Times New Roman" w:cs="Times New Roman"/>
          <w:sz w:val="22"/>
          <w:szCs w:val="22"/>
          <w:lang w:val="en-US"/>
        </w:rPr>
        <w:t>consider</w:t>
      </w:r>
      <w:r w:rsidR="006C41D8">
        <w:rPr>
          <w:rFonts w:ascii="Times New Roman" w:hAnsi="Times New Roman" w:cs="Times New Roman"/>
          <w:sz w:val="22"/>
          <w:szCs w:val="22"/>
          <w:lang w:val="en-US"/>
        </w:rPr>
        <w:t xml:space="preserve"> the additional disclosure costs </w:t>
      </w:r>
      <w:r w:rsidR="005C435F">
        <w:rPr>
          <w:rFonts w:ascii="Times New Roman" w:hAnsi="Times New Roman" w:cs="Times New Roman"/>
          <w:sz w:val="22"/>
          <w:szCs w:val="22"/>
          <w:lang w:val="en-US"/>
        </w:rPr>
        <w:t xml:space="preserve">and benefits </w:t>
      </w:r>
      <w:r w:rsidR="006C41D8">
        <w:rPr>
          <w:rFonts w:ascii="Times New Roman" w:hAnsi="Times New Roman" w:cs="Times New Roman"/>
          <w:sz w:val="22"/>
          <w:szCs w:val="22"/>
          <w:lang w:val="en-US"/>
        </w:rPr>
        <w:t xml:space="preserve">of the TISC clause </w:t>
      </w:r>
      <w:r w:rsidR="00B85A1D">
        <w:rPr>
          <w:rFonts w:ascii="Times New Roman" w:hAnsi="Times New Roman" w:cs="Times New Roman"/>
          <w:sz w:val="22"/>
          <w:szCs w:val="22"/>
          <w:lang w:val="en-US"/>
        </w:rPr>
        <w:t>negligible</w:t>
      </w:r>
      <w:r w:rsidR="006C41D8">
        <w:rPr>
          <w:rFonts w:ascii="Times New Roman" w:hAnsi="Times New Roman" w:cs="Times New Roman"/>
          <w:sz w:val="22"/>
          <w:szCs w:val="22"/>
          <w:lang w:val="en-US"/>
        </w:rPr>
        <w:t xml:space="preserve">, because they already know </w:t>
      </w:r>
      <w:r w:rsidR="00F65D40">
        <w:rPr>
          <w:rFonts w:ascii="Times New Roman" w:hAnsi="Times New Roman" w:cs="Times New Roman"/>
          <w:sz w:val="22"/>
          <w:szCs w:val="22"/>
          <w:lang w:val="en-US"/>
        </w:rPr>
        <w:t>a lot about the supply chains</w:t>
      </w:r>
      <w:r w:rsidR="005C435F">
        <w:rPr>
          <w:rFonts w:ascii="Times New Roman" w:hAnsi="Times New Roman" w:cs="Times New Roman"/>
          <w:sz w:val="22"/>
          <w:szCs w:val="22"/>
          <w:lang w:val="en-US"/>
        </w:rPr>
        <w:t xml:space="preserve"> of their competitors,</w:t>
      </w:r>
      <w:r w:rsidR="006C41D8">
        <w:rPr>
          <w:rFonts w:ascii="Times New Roman" w:hAnsi="Times New Roman" w:cs="Times New Roman"/>
          <w:sz w:val="22"/>
          <w:szCs w:val="22"/>
          <w:lang w:val="en-US"/>
        </w:rPr>
        <w:t xml:space="preserve"> </w:t>
      </w:r>
      <w:r w:rsidR="00681D4E">
        <w:rPr>
          <w:rFonts w:ascii="Times New Roman" w:hAnsi="Times New Roman" w:cs="Times New Roman"/>
          <w:sz w:val="22"/>
          <w:szCs w:val="22"/>
          <w:lang w:val="en-US"/>
        </w:rPr>
        <w:t xml:space="preserve">because </w:t>
      </w:r>
      <w:r w:rsidR="006C41D8">
        <w:rPr>
          <w:rFonts w:ascii="Times New Roman" w:hAnsi="Times New Roman" w:cs="Times New Roman"/>
          <w:sz w:val="22"/>
          <w:szCs w:val="22"/>
          <w:lang w:val="en-US"/>
        </w:rPr>
        <w:t xml:space="preserve">the cost of setting up and publishing the statements is </w:t>
      </w:r>
      <w:r w:rsidR="00B85A1D">
        <w:rPr>
          <w:rFonts w:ascii="Times New Roman" w:hAnsi="Times New Roman" w:cs="Times New Roman"/>
          <w:sz w:val="22"/>
          <w:szCs w:val="22"/>
          <w:lang w:val="en-US"/>
        </w:rPr>
        <w:t>very small</w:t>
      </w:r>
      <w:r w:rsidR="005C435F">
        <w:rPr>
          <w:rFonts w:ascii="Times New Roman" w:hAnsi="Times New Roman" w:cs="Times New Roman"/>
          <w:sz w:val="22"/>
          <w:szCs w:val="22"/>
          <w:lang w:val="en-US"/>
        </w:rPr>
        <w:t>, and</w:t>
      </w:r>
      <w:r w:rsidR="0033773B">
        <w:rPr>
          <w:rFonts w:ascii="Times New Roman" w:hAnsi="Times New Roman" w:cs="Times New Roman"/>
          <w:sz w:val="22"/>
          <w:szCs w:val="22"/>
          <w:lang w:val="en-US"/>
        </w:rPr>
        <w:t>/or</w:t>
      </w:r>
      <w:r w:rsidR="00681D4E">
        <w:rPr>
          <w:rFonts w:ascii="Times New Roman" w:hAnsi="Times New Roman" w:cs="Times New Roman"/>
          <w:sz w:val="22"/>
          <w:szCs w:val="22"/>
          <w:lang w:val="en-US"/>
        </w:rPr>
        <w:t xml:space="preserve"> because</w:t>
      </w:r>
      <w:r w:rsidR="005C435F">
        <w:rPr>
          <w:rFonts w:ascii="Times New Roman" w:hAnsi="Times New Roman" w:cs="Times New Roman"/>
          <w:sz w:val="22"/>
          <w:szCs w:val="22"/>
          <w:lang w:val="en-US"/>
        </w:rPr>
        <w:t xml:space="preserve"> they do not expect the additional disclosure provoked by the clause </w:t>
      </w:r>
      <w:r w:rsidR="00073730">
        <w:rPr>
          <w:rFonts w:ascii="Times New Roman" w:hAnsi="Times New Roman" w:cs="Times New Roman"/>
          <w:sz w:val="22"/>
          <w:szCs w:val="22"/>
          <w:lang w:val="en-US"/>
        </w:rPr>
        <w:t xml:space="preserve">to </w:t>
      </w:r>
      <w:r w:rsidR="005C435F">
        <w:rPr>
          <w:rFonts w:ascii="Times New Roman" w:hAnsi="Times New Roman" w:cs="Times New Roman"/>
          <w:sz w:val="22"/>
          <w:szCs w:val="22"/>
          <w:lang w:val="en-US"/>
        </w:rPr>
        <w:t>lead to efficiency improvements</w:t>
      </w:r>
      <w:r w:rsidR="006C41D8">
        <w:rPr>
          <w:rFonts w:ascii="Times New Roman" w:hAnsi="Times New Roman" w:cs="Times New Roman"/>
          <w:sz w:val="22"/>
          <w:szCs w:val="22"/>
          <w:lang w:val="en-US"/>
        </w:rPr>
        <w:t xml:space="preserve">. </w:t>
      </w:r>
      <w:r w:rsidR="005C435F">
        <w:rPr>
          <w:rFonts w:ascii="Times New Roman" w:hAnsi="Times New Roman" w:cs="Times New Roman"/>
          <w:sz w:val="22"/>
          <w:szCs w:val="22"/>
          <w:lang w:val="en-US"/>
        </w:rPr>
        <w:t>Finally, investors may not</w:t>
      </w:r>
      <w:r w:rsidR="007F02B7" w:rsidRPr="00622F6C">
        <w:rPr>
          <w:rFonts w:ascii="Times New Roman" w:hAnsi="Times New Roman" w:cs="Times New Roman"/>
          <w:sz w:val="22"/>
          <w:szCs w:val="22"/>
          <w:lang w:val="en-US"/>
        </w:rPr>
        <w:t xml:space="preserve"> expect </w:t>
      </w:r>
      <w:r w:rsidR="00F23E6C">
        <w:rPr>
          <w:rFonts w:ascii="Times New Roman" w:hAnsi="Times New Roman" w:cs="Times New Roman"/>
          <w:sz w:val="22"/>
          <w:szCs w:val="22"/>
          <w:lang w:val="en-US"/>
        </w:rPr>
        <w:t xml:space="preserve">high levels of firm </w:t>
      </w:r>
      <w:r w:rsidR="006C41D8">
        <w:rPr>
          <w:rFonts w:ascii="Times New Roman" w:hAnsi="Times New Roman" w:cs="Times New Roman"/>
          <w:sz w:val="22"/>
          <w:szCs w:val="22"/>
          <w:lang w:val="en-US"/>
        </w:rPr>
        <w:t xml:space="preserve">compliance </w:t>
      </w:r>
      <w:r w:rsidR="005C435F">
        <w:rPr>
          <w:rFonts w:ascii="Times New Roman" w:hAnsi="Times New Roman" w:cs="Times New Roman"/>
          <w:sz w:val="22"/>
          <w:szCs w:val="22"/>
          <w:lang w:val="en-US"/>
        </w:rPr>
        <w:t xml:space="preserve">with the TISC clause </w:t>
      </w:r>
      <w:r w:rsidR="006C41D8">
        <w:rPr>
          <w:rFonts w:ascii="Times New Roman" w:hAnsi="Times New Roman" w:cs="Times New Roman"/>
          <w:sz w:val="22"/>
          <w:szCs w:val="22"/>
          <w:lang w:val="en-US"/>
        </w:rPr>
        <w:t>in the first place</w:t>
      </w:r>
      <w:r w:rsidR="00F23E6C">
        <w:rPr>
          <w:rFonts w:ascii="Times New Roman" w:hAnsi="Times New Roman" w:cs="Times New Roman"/>
          <w:sz w:val="22"/>
          <w:szCs w:val="22"/>
          <w:lang w:val="en-US"/>
        </w:rPr>
        <w:t>.</w:t>
      </w:r>
      <w:r w:rsidR="007F02B7" w:rsidRPr="00622F6C">
        <w:rPr>
          <w:rFonts w:ascii="Times New Roman" w:hAnsi="Times New Roman" w:cs="Times New Roman"/>
          <w:sz w:val="22"/>
          <w:szCs w:val="22"/>
          <w:lang w:val="en-US"/>
        </w:rPr>
        <w:t xml:space="preserve"> </w:t>
      </w:r>
      <w:r w:rsidR="00D40D17">
        <w:rPr>
          <w:rFonts w:ascii="Times New Roman" w:hAnsi="Times New Roman" w:cs="Times New Roman"/>
          <w:sz w:val="22"/>
          <w:szCs w:val="22"/>
          <w:lang w:val="en-US"/>
        </w:rPr>
        <w:t xml:space="preserve">However, </w:t>
      </w:r>
      <w:r w:rsidR="00C41095">
        <w:rPr>
          <w:rFonts w:ascii="Times New Roman" w:eastAsia="Times New Roman" w:hAnsi="Times New Roman" w:cs="Times New Roman"/>
          <w:sz w:val="22"/>
          <w:szCs w:val="22"/>
          <w:lang w:val="en-US"/>
        </w:rPr>
        <w:t>w</w:t>
      </w:r>
      <w:r w:rsidR="00C41095" w:rsidRPr="00622F6C">
        <w:rPr>
          <w:rFonts w:ascii="Times New Roman" w:eastAsia="Times New Roman" w:hAnsi="Times New Roman" w:cs="Times New Roman"/>
          <w:sz w:val="22"/>
          <w:szCs w:val="22"/>
          <w:lang w:val="en-US"/>
        </w:rPr>
        <w:t xml:space="preserve">hile </w:t>
      </w:r>
      <w:r w:rsidR="00C41095">
        <w:rPr>
          <w:rFonts w:ascii="Times New Roman" w:eastAsia="Times New Roman" w:hAnsi="Times New Roman" w:cs="Times New Roman"/>
          <w:sz w:val="22"/>
          <w:szCs w:val="22"/>
          <w:lang w:val="en-US"/>
        </w:rPr>
        <w:t xml:space="preserve">actual </w:t>
      </w:r>
      <w:r w:rsidR="00C41095" w:rsidRPr="00622F6C">
        <w:rPr>
          <w:rFonts w:ascii="Times New Roman" w:eastAsia="Times New Roman" w:hAnsi="Times New Roman" w:cs="Times New Roman"/>
          <w:sz w:val="22"/>
          <w:szCs w:val="22"/>
          <w:lang w:val="en-US"/>
        </w:rPr>
        <w:t>compliance seems patchy</w:t>
      </w:r>
      <w:r w:rsidR="00C41095">
        <w:rPr>
          <w:rFonts w:ascii="Times New Roman" w:eastAsia="Times New Roman" w:hAnsi="Times New Roman" w:cs="Times New Roman"/>
          <w:sz w:val="22"/>
          <w:szCs w:val="22"/>
          <w:lang w:val="en-US"/>
        </w:rPr>
        <w:t>,</w:t>
      </w:r>
      <w:r w:rsidR="00C41095" w:rsidRPr="00622F6C">
        <w:rPr>
          <w:rFonts w:ascii="Times New Roman" w:eastAsia="Times New Roman" w:hAnsi="Times New Roman" w:cs="Times New Roman"/>
          <w:sz w:val="22"/>
          <w:szCs w:val="22"/>
          <w:lang w:val="en-US"/>
        </w:rPr>
        <w:t xml:space="preserve"> </w:t>
      </w:r>
      <w:r w:rsidR="006C41D8">
        <w:rPr>
          <w:rFonts w:ascii="Times New Roman" w:eastAsia="Times New Roman" w:hAnsi="Times New Roman" w:cs="Times New Roman"/>
          <w:sz w:val="22"/>
          <w:szCs w:val="22"/>
          <w:lang w:val="en-US"/>
        </w:rPr>
        <w:t>initial reports suggest it is</w:t>
      </w:r>
      <w:r w:rsidR="00C41095">
        <w:rPr>
          <w:rFonts w:ascii="Times New Roman" w:eastAsia="Times New Roman" w:hAnsi="Times New Roman" w:cs="Times New Roman"/>
          <w:sz w:val="22"/>
          <w:szCs w:val="22"/>
          <w:lang w:val="en-US"/>
        </w:rPr>
        <w:t xml:space="preserve"> </w:t>
      </w:r>
      <w:r w:rsidR="00C41095" w:rsidRPr="00622F6C">
        <w:rPr>
          <w:rFonts w:ascii="Times New Roman" w:eastAsia="Times New Roman" w:hAnsi="Times New Roman" w:cs="Times New Roman"/>
          <w:sz w:val="22"/>
          <w:szCs w:val="22"/>
          <w:lang w:val="en-US"/>
        </w:rPr>
        <w:t xml:space="preserve">unlikely that investors </w:t>
      </w:r>
      <w:r w:rsidR="00C41095">
        <w:rPr>
          <w:rFonts w:ascii="Times New Roman" w:eastAsia="Times New Roman" w:hAnsi="Times New Roman" w:cs="Times New Roman"/>
          <w:sz w:val="22"/>
          <w:szCs w:val="22"/>
          <w:lang w:val="en-US"/>
        </w:rPr>
        <w:lastRenderedPageBreak/>
        <w:t xml:space="preserve">would have </w:t>
      </w:r>
      <w:r w:rsidR="00C41095" w:rsidRPr="00622F6C">
        <w:rPr>
          <w:rFonts w:ascii="Times New Roman" w:eastAsia="Times New Roman" w:hAnsi="Times New Roman" w:cs="Times New Roman"/>
          <w:sz w:val="22"/>
          <w:szCs w:val="22"/>
          <w:lang w:val="en-US"/>
        </w:rPr>
        <w:t xml:space="preserve">expected widespread non-compliance with the clause at the time of </w:t>
      </w:r>
      <w:r w:rsidR="00263D3D">
        <w:rPr>
          <w:rFonts w:ascii="Times New Roman" w:eastAsia="Times New Roman" w:hAnsi="Times New Roman" w:cs="Times New Roman"/>
          <w:sz w:val="22"/>
          <w:szCs w:val="22"/>
          <w:lang w:val="en-US"/>
        </w:rPr>
        <w:t>the</w:t>
      </w:r>
      <w:r w:rsidR="00263D3D" w:rsidRPr="00622F6C">
        <w:rPr>
          <w:rFonts w:ascii="Times New Roman" w:eastAsia="Times New Roman" w:hAnsi="Times New Roman" w:cs="Times New Roman"/>
          <w:sz w:val="22"/>
          <w:szCs w:val="22"/>
          <w:lang w:val="en-US"/>
        </w:rPr>
        <w:t xml:space="preserve"> </w:t>
      </w:r>
      <w:r w:rsidR="00C41095" w:rsidRPr="00622F6C">
        <w:rPr>
          <w:rFonts w:ascii="Times New Roman" w:eastAsia="Times New Roman" w:hAnsi="Times New Roman" w:cs="Times New Roman"/>
          <w:sz w:val="22"/>
          <w:szCs w:val="22"/>
          <w:lang w:val="en-US"/>
        </w:rPr>
        <w:t>eight MSA adoption events</w:t>
      </w:r>
      <w:r w:rsidR="00C41095">
        <w:rPr>
          <w:rFonts w:ascii="Times New Roman" w:eastAsia="Times New Roman" w:hAnsi="Times New Roman" w:cs="Times New Roman"/>
          <w:sz w:val="22"/>
          <w:szCs w:val="22"/>
          <w:lang w:val="en-US"/>
        </w:rPr>
        <w:t xml:space="preserve"> (</w:t>
      </w:r>
      <w:r w:rsidR="00E562C9">
        <w:rPr>
          <w:rFonts w:ascii="Times New Roman" w:eastAsia="Times New Roman" w:hAnsi="Times New Roman" w:cs="Times New Roman"/>
          <w:sz w:val="22"/>
          <w:szCs w:val="22"/>
          <w:lang w:val="en-US"/>
        </w:rPr>
        <w:t>BHRRC</w:t>
      </w:r>
      <w:r w:rsidR="00C41095">
        <w:rPr>
          <w:rFonts w:ascii="Times New Roman" w:eastAsia="Times New Roman" w:hAnsi="Times New Roman" w:cs="Times New Roman"/>
          <w:sz w:val="22"/>
          <w:szCs w:val="22"/>
          <w:lang w:val="en-US"/>
        </w:rPr>
        <w:t>, 2018; TISCreport.org, 2018)</w:t>
      </w:r>
      <w:r w:rsidR="00C41095" w:rsidRPr="00622F6C">
        <w:rPr>
          <w:rFonts w:ascii="Times New Roman" w:eastAsia="Times New Roman" w:hAnsi="Times New Roman" w:cs="Times New Roman"/>
          <w:sz w:val="22"/>
          <w:szCs w:val="22"/>
          <w:lang w:val="en-US"/>
        </w:rPr>
        <w:t xml:space="preserve">. </w:t>
      </w:r>
    </w:p>
    <w:p w14:paraId="19BE3F5D" w14:textId="77777777" w:rsidR="008E62D8" w:rsidRPr="00622F6C" w:rsidRDefault="002A6C57" w:rsidP="002A6C57">
      <w:pPr>
        <w:pStyle w:val="FootnoteText"/>
        <w:spacing w:line="480" w:lineRule="auto"/>
        <w:ind w:firstLine="426"/>
        <w:jc w:val="both"/>
        <w:rPr>
          <w:rFonts w:ascii="Times New Roman" w:hAnsi="Times New Roman" w:cs="Times New Roman"/>
          <w:sz w:val="22"/>
          <w:szCs w:val="22"/>
          <w:lang w:val="en-US"/>
        </w:rPr>
      </w:pPr>
      <w:r w:rsidRPr="00622F6C">
        <w:rPr>
          <w:rFonts w:ascii="Times New Roman" w:eastAsia="Times New Roman" w:hAnsi="Times New Roman" w:cs="Times New Roman"/>
          <w:sz w:val="22"/>
          <w:szCs w:val="22"/>
          <w:lang w:val="en-US"/>
        </w:rPr>
        <w:t xml:space="preserve">A key </w:t>
      </w:r>
      <w:r w:rsidR="003310E0">
        <w:rPr>
          <w:rFonts w:ascii="Times New Roman" w:eastAsia="Times New Roman" w:hAnsi="Times New Roman" w:cs="Times New Roman"/>
          <w:sz w:val="22"/>
          <w:szCs w:val="22"/>
          <w:lang w:val="en-US"/>
        </w:rPr>
        <w:t xml:space="preserve">message </w:t>
      </w:r>
      <w:r w:rsidR="00073730">
        <w:rPr>
          <w:rFonts w:ascii="Times New Roman" w:eastAsia="Times New Roman" w:hAnsi="Times New Roman" w:cs="Times New Roman"/>
          <w:sz w:val="22"/>
          <w:szCs w:val="22"/>
          <w:lang w:val="en-US"/>
        </w:rPr>
        <w:t xml:space="preserve">for </w:t>
      </w:r>
      <w:r w:rsidR="0033773B">
        <w:rPr>
          <w:rFonts w:ascii="Times New Roman" w:eastAsia="Times New Roman" w:hAnsi="Times New Roman" w:cs="Times New Roman"/>
          <w:sz w:val="22"/>
          <w:szCs w:val="22"/>
          <w:lang w:val="en-US"/>
        </w:rPr>
        <w:t>corporate managers</w:t>
      </w:r>
      <w:r w:rsidR="00073730">
        <w:rPr>
          <w:rFonts w:ascii="Times New Roman" w:eastAsia="Times New Roman" w:hAnsi="Times New Roman" w:cs="Times New Roman"/>
          <w:sz w:val="22"/>
          <w:szCs w:val="22"/>
          <w:lang w:val="en-US"/>
        </w:rPr>
        <w:t>,</w:t>
      </w:r>
      <w:r w:rsidR="0033773B">
        <w:rPr>
          <w:rFonts w:ascii="Times New Roman" w:eastAsia="Times New Roman" w:hAnsi="Times New Roman" w:cs="Times New Roman"/>
          <w:sz w:val="22"/>
          <w:szCs w:val="22"/>
          <w:lang w:val="en-US"/>
        </w:rPr>
        <w:t xml:space="preserve"> </w:t>
      </w:r>
      <w:r w:rsidR="00073730" w:rsidRPr="00622F6C">
        <w:rPr>
          <w:rFonts w:ascii="Times New Roman" w:eastAsia="Times New Roman" w:hAnsi="Times New Roman" w:cs="Times New Roman"/>
          <w:sz w:val="22"/>
          <w:szCs w:val="22"/>
          <w:lang w:val="en-US"/>
        </w:rPr>
        <w:t>from our research</w:t>
      </w:r>
      <w:r w:rsidR="00073730">
        <w:rPr>
          <w:rFonts w:ascii="Times New Roman" w:eastAsia="Times New Roman" w:hAnsi="Times New Roman" w:cs="Times New Roman"/>
          <w:sz w:val="22"/>
          <w:szCs w:val="22"/>
          <w:lang w:val="en-US"/>
        </w:rPr>
        <w:t>,</w:t>
      </w:r>
      <w:r w:rsidR="00073730" w:rsidRPr="00622F6C">
        <w:rPr>
          <w:rFonts w:ascii="Times New Roman" w:eastAsia="Times New Roman" w:hAnsi="Times New Roman" w:cs="Times New Roman"/>
          <w:sz w:val="22"/>
          <w:szCs w:val="22"/>
          <w:lang w:val="en-US"/>
        </w:rPr>
        <w:t xml:space="preserve"> </w:t>
      </w:r>
      <w:r w:rsidRPr="00622F6C">
        <w:rPr>
          <w:rFonts w:ascii="Times New Roman" w:eastAsia="Times New Roman" w:hAnsi="Times New Roman" w:cs="Times New Roman"/>
          <w:sz w:val="22"/>
          <w:szCs w:val="22"/>
          <w:lang w:val="en-US"/>
        </w:rPr>
        <w:t xml:space="preserve">is </w:t>
      </w:r>
      <w:r w:rsidR="008B5C4B">
        <w:rPr>
          <w:rFonts w:ascii="Times New Roman" w:eastAsia="Times New Roman" w:hAnsi="Times New Roman" w:cs="Times New Roman"/>
          <w:sz w:val="22"/>
          <w:szCs w:val="22"/>
          <w:lang w:val="en-US"/>
        </w:rPr>
        <w:t>that</w:t>
      </w:r>
      <w:r w:rsidR="00733A04">
        <w:rPr>
          <w:rFonts w:ascii="Times New Roman" w:eastAsia="Times New Roman" w:hAnsi="Times New Roman" w:cs="Times New Roman"/>
          <w:sz w:val="22"/>
          <w:szCs w:val="22"/>
          <w:lang w:val="en-US"/>
        </w:rPr>
        <w:t xml:space="preserve"> </w:t>
      </w:r>
      <w:r w:rsidR="003310E0">
        <w:rPr>
          <w:rFonts w:ascii="Times New Roman" w:eastAsia="Times New Roman" w:hAnsi="Times New Roman" w:cs="Times New Roman"/>
          <w:sz w:val="22"/>
          <w:szCs w:val="22"/>
          <w:lang w:val="en-US"/>
        </w:rPr>
        <w:t xml:space="preserve">investors appear to place </w:t>
      </w:r>
      <w:r w:rsidR="008B5C4B">
        <w:rPr>
          <w:rFonts w:ascii="Times New Roman" w:eastAsia="Times New Roman" w:hAnsi="Times New Roman" w:cs="Times New Roman"/>
          <w:sz w:val="22"/>
          <w:szCs w:val="22"/>
          <w:lang w:val="en-US"/>
        </w:rPr>
        <w:t xml:space="preserve">more weight </w:t>
      </w:r>
      <w:r w:rsidR="003310E0">
        <w:rPr>
          <w:rFonts w:ascii="Times New Roman" w:eastAsia="Times New Roman" w:hAnsi="Times New Roman" w:cs="Times New Roman"/>
          <w:sz w:val="22"/>
          <w:szCs w:val="22"/>
          <w:lang w:val="en-US"/>
        </w:rPr>
        <w:t xml:space="preserve">on </w:t>
      </w:r>
      <w:r w:rsidRPr="00622F6C">
        <w:rPr>
          <w:rFonts w:ascii="Times New Roman" w:eastAsia="Times New Roman" w:hAnsi="Times New Roman" w:cs="Times New Roman"/>
          <w:sz w:val="22"/>
          <w:szCs w:val="22"/>
          <w:lang w:val="en-US"/>
        </w:rPr>
        <w:t>slavery risk indicators following the introduction of the MSA</w:t>
      </w:r>
      <w:r w:rsidR="00733A04">
        <w:rPr>
          <w:rFonts w:ascii="Times New Roman" w:eastAsia="Times New Roman" w:hAnsi="Times New Roman" w:cs="Times New Roman"/>
          <w:sz w:val="22"/>
          <w:szCs w:val="22"/>
          <w:lang w:val="en-US"/>
        </w:rPr>
        <w:t>,</w:t>
      </w:r>
      <w:r w:rsidR="00393794" w:rsidRPr="00622F6C">
        <w:rPr>
          <w:rFonts w:ascii="Times New Roman" w:eastAsia="Times New Roman" w:hAnsi="Times New Roman" w:cs="Times New Roman"/>
          <w:sz w:val="22"/>
          <w:szCs w:val="22"/>
          <w:lang w:val="en-US"/>
        </w:rPr>
        <w:t xml:space="preserve"> with more favorable shareholder wealth effects </w:t>
      </w:r>
      <w:r w:rsidR="007A6EA7">
        <w:rPr>
          <w:rFonts w:ascii="Times New Roman" w:eastAsia="Times New Roman" w:hAnsi="Times New Roman" w:cs="Times New Roman"/>
          <w:sz w:val="22"/>
          <w:szCs w:val="22"/>
          <w:lang w:val="en-US"/>
        </w:rPr>
        <w:t xml:space="preserve">observed </w:t>
      </w:r>
      <w:r w:rsidR="00393794" w:rsidRPr="00622F6C">
        <w:rPr>
          <w:rFonts w:ascii="Times New Roman" w:eastAsia="Times New Roman" w:hAnsi="Times New Roman" w:cs="Times New Roman"/>
          <w:sz w:val="22"/>
          <w:szCs w:val="22"/>
          <w:lang w:val="en-US"/>
        </w:rPr>
        <w:t xml:space="preserve">for firms with better performance in addressing </w:t>
      </w:r>
      <w:r w:rsidR="00F65D40">
        <w:rPr>
          <w:rFonts w:ascii="Times New Roman" w:eastAsia="Times New Roman" w:hAnsi="Times New Roman" w:cs="Times New Roman"/>
          <w:sz w:val="22"/>
          <w:szCs w:val="22"/>
          <w:lang w:val="en-US"/>
        </w:rPr>
        <w:t>the risk of slave labor</w:t>
      </w:r>
      <w:r w:rsidRPr="00622F6C">
        <w:rPr>
          <w:rFonts w:ascii="Times New Roman" w:eastAsia="Times New Roman" w:hAnsi="Times New Roman" w:cs="Times New Roman"/>
          <w:sz w:val="22"/>
          <w:szCs w:val="22"/>
          <w:lang w:val="en-US"/>
        </w:rPr>
        <w:t xml:space="preserve">. As such, </w:t>
      </w:r>
      <w:r w:rsidR="006E6FAF" w:rsidRPr="00622F6C">
        <w:rPr>
          <w:rFonts w:ascii="Times New Roman" w:eastAsia="Times New Roman" w:hAnsi="Times New Roman" w:cs="Times New Roman"/>
          <w:sz w:val="22"/>
          <w:szCs w:val="22"/>
          <w:lang w:val="en-US" w:eastAsia="en-GB"/>
        </w:rPr>
        <w:t xml:space="preserve">our findings might </w:t>
      </w:r>
      <w:r w:rsidR="007A6EA7">
        <w:rPr>
          <w:rFonts w:ascii="Times New Roman" w:eastAsia="Times New Roman" w:hAnsi="Times New Roman" w:cs="Times New Roman"/>
          <w:sz w:val="22"/>
          <w:szCs w:val="22"/>
          <w:lang w:val="en-US" w:eastAsia="en-GB"/>
        </w:rPr>
        <w:t xml:space="preserve">serve </w:t>
      </w:r>
      <w:r w:rsidR="00073730">
        <w:rPr>
          <w:rFonts w:ascii="Times New Roman" w:eastAsia="Times New Roman" w:hAnsi="Times New Roman" w:cs="Times New Roman"/>
          <w:sz w:val="22"/>
          <w:szCs w:val="22"/>
          <w:lang w:val="en-US" w:eastAsia="en-GB"/>
        </w:rPr>
        <w:t xml:space="preserve">to </w:t>
      </w:r>
      <w:r w:rsidR="007A6EA7">
        <w:rPr>
          <w:rFonts w:ascii="Times New Roman" w:eastAsia="Times New Roman" w:hAnsi="Times New Roman" w:cs="Times New Roman"/>
          <w:sz w:val="22"/>
          <w:szCs w:val="22"/>
          <w:lang w:val="en-US" w:eastAsia="en-GB"/>
        </w:rPr>
        <w:t xml:space="preserve">encourage </w:t>
      </w:r>
      <w:r w:rsidR="009A4074">
        <w:rPr>
          <w:rFonts w:ascii="Times New Roman" w:eastAsia="Times New Roman" w:hAnsi="Times New Roman" w:cs="Times New Roman"/>
          <w:sz w:val="22"/>
          <w:szCs w:val="22"/>
          <w:lang w:val="en-US" w:eastAsia="en-GB"/>
        </w:rPr>
        <w:t xml:space="preserve">firms </w:t>
      </w:r>
      <w:r w:rsidR="004E0471">
        <w:rPr>
          <w:rFonts w:ascii="Times New Roman" w:eastAsia="Times New Roman" w:hAnsi="Times New Roman" w:cs="Times New Roman"/>
          <w:sz w:val="22"/>
          <w:szCs w:val="22"/>
          <w:lang w:val="en-US" w:eastAsia="en-GB"/>
        </w:rPr>
        <w:t xml:space="preserve">to </w:t>
      </w:r>
      <w:r w:rsidR="007A6EA7">
        <w:rPr>
          <w:rFonts w:ascii="Times New Roman" w:eastAsia="Times New Roman" w:hAnsi="Times New Roman" w:cs="Times New Roman"/>
          <w:sz w:val="22"/>
          <w:szCs w:val="22"/>
          <w:lang w:val="en-US" w:eastAsia="en-GB"/>
        </w:rPr>
        <w:t xml:space="preserve">identify </w:t>
      </w:r>
      <w:r w:rsidR="0033773B">
        <w:rPr>
          <w:rFonts w:ascii="Times New Roman" w:eastAsia="Times New Roman" w:hAnsi="Times New Roman" w:cs="Times New Roman"/>
          <w:sz w:val="22"/>
          <w:szCs w:val="22"/>
          <w:lang w:val="en-US" w:eastAsia="en-GB"/>
        </w:rPr>
        <w:t>the</w:t>
      </w:r>
      <w:r w:rsidR="007A6EA7">
        <w:rPr>
          <w:rFonts w:ascii="Times New Roman" w:eastAsia="Times New Roman" w:hAnsi="Times New Roman" w:cs="Times New Roman"/>
          <w:sz w:val="22"/>
          <w:szCs w:val="22"/>
          <w:lang w:val="en-US" w:eastAsia="en-GB"/>
        </w:rPr>
        <w:t xml:space="preserve"> likelihood of </w:t>
      </w:r>
      <w:r w:rsidR="00AC3F74">
        <w:rPr>
          <w:rFonts w:ascii="Times New Roman" w:eastAsia="Times New Roman" w:hAnsi="Times New Roman" w:cs="Times New Roman"/>
          <w:sz w:val="22"/>
          <w:szCs w:val="22"/>
          <w:lang w:val="en-US" w:eastAsia="en-GB"/>
        </w:rPr>
        <w:t>modern slavery</w:t>
      </w:r>
      <w:r w:rsidR="006E6FAF" w:rsidRPr="00622F6C">
        <w:rPr>
          <w:rFonts w:ascii="Times New Roman" w:eastAsia="Times New Roman" w:hAnsi="Times New Roman" w:cs="Times New Roman"/>
          <w:sz w:val="22"/>
          <w:szCs w:val="22"/>
          <w:lang w:val="en-US" w:eastAsia="en-GB"/>
        </w:rPr>
        <w:t xml:space="preserve"> in their </w:t>
      </w:r>
      <w:r w:rsidR="00F65D40">
        <w:rPr>
          <w:rFonts w:ascii="Times New Roman" w:eastAsia="Times New Roman" w:hAnsi="Times New Roman" w:cs="Times New Roman"/>
          <w:sz w:val="22"/>
          <w:szCs w:val="22"/>
          <w:lang w:val="en-US" w:eastAsia="en-GB"/>
        </w:rPr>
        <w:t>focal business</w:t>
      </w:r>
      <w:r w:rsidR="00073730">
        <w:rPr>
          <w:rFonts w:ascii="Times New Roman" w:eastAsia="Times New Roman" w:hAnsi="Times New Roman" w:cs="Times New Roman"/>
          <w:sz w:val="22"/>
          <w:szCs w:val="22"/>
          <w:lang w:val="en-US" w:eastAsia="en-GB"/>
        </w:rPr>
        <w:t>es</w:t>
      </w:r>
      <w:r w:rsidR="00F65D40">
        <w:rPr>
          <w:rFonts w:ascii="Times New Roman" w:eastAsia="Times New Roman" w:hAnsi="Times New Roman" w:cs="Times New Roman"/>
          <w:sz w:val="22"/>
          <w:szCs w:val="22"/>
          <w:lang w:val="en-US" w:eastAsia="en-GB"/>
        </w:rPr>
        <w:t xml:space="preserve"> </w:t>
      </w:r>
      <w:r w:rsidR="006E6FAF" w:rsidRPr="00622F6C">
        <w:rPr>
          <w:rFonts w:ascii="Times New Roman" w:eastAsia="Times New Roman" w:hAnsi="Times New Roman" w:cs="Times New Roman"/>
          <w:sz w:val="22"/>
          <w:szCs w:val="22"/>
          <w:lang w:val="en-US" w:eastAsia="en-GB"/>
        </w:rPr>
        <w:t xml:space="preserve">and supply chains. </w:t>
      </w:r>
      <w:r w:rsidR="0033773B">
        <w:rPr>
          <w:rFonts w:ascii="Times New Roman" w:eastAsia="Times New Roman" w:hAnsi="Times New Roman" w:cs="Times New Roman"/>
          <w:sz w:val="22"/>
          <w:szCs w:val="22"/>
          <w:lang w:val="en-US" w:eastAsia="en-GB"/>
        </w:rPr>
        <w:t xml:space="preserve">Investors also seem to </w:t>
      </w:r>
      <w:r w:rsidR="00073730">
        <w:rPr>
          <w:rFonts w:ascii="Times New Roman" w:eastAsia="Times New Roman" w:hAnsi="Times New Roman" w:cs="Times New Roman"/>
          <w:sz w:val="22"/>
          <w:szCs w:val="22"/>
          <w:lang w:val="en-US" w:eastAsia="en-GB"/>
        </w:rPr>
        <w:t xml:space="preserve">have </w:t>
      </w:r>
      <w:r w:rsidR="0033773B">
        <w:rPr>
          <w:rFonts w:ascii="Times New Roman" w:eastAsia="Times New Roman" w:hAnsi="Times New Roman" w:cs="Times New Roman"/>
          <w:sz w:val="22"/>
          <w:szCs w:val="22"/>
          <w:lang w:val="en-US" w:eastAsia="en-GB"/>
        </w:rPr>
        <w:t>adjust</w:t>
      </w:r>
      <w:r w:rsidR="00073730">
        <w:rPr>
          <w:rFonts w:ascii="Times New Roman" w:eastAsia="Times New Roman" w:hAnsi="Times New Roman" w:cs="Times New Roman"/>
          <w:sz w:val="22"/>
          <w:szCs w:val="22"/>
          <w:lang w:val="en-US" w:eastAsia="en-GB"/>
        </w:rPr>
        <w:t>ed</w:t>
      </w:r>
      <w:r w:rsidR="0033773B">
        <w:rPr>
          <w:rFonts w:ascii="Times New Roman" w:eastAsia="Times New Roman" w:hAnsi="Times New Roman" w:cs="Times New Roman"/>
          <w:sz w:val="22"/>
          <w:szCs w:val="22"/>
          <w:lang w:val="en-US" w:eastAsia="en-GB"/>
        </w:rPr>
        <w:t xml:space="preserve"> their weightings of </w:t>
      </w:r>
      <w:r w:rsidR="009A4074">
        <w:rPr>
          <w:rFonts w:ascii="Times New Roman" w:eastAsia="Times New Roman" w:hAnsi="Times New Roman" w:cs="Times New Roman"/>
          <w:sz w:val="22"/>
          <w:szCs w:val="22"/>
          <w:lang w:val="en-US" w:eastAsia="en-GB"/>
        </w:rPr>
        <w:t xml:space="preserve">industry-wide </w:t>
      </w:r>
      <w:r w:rsidR="0033773B">
        <w:rPr>
          <w:rFonts w:ascii="Times New Roman" w:eastAsia="Times New Roman" w:hAnsi="Times New Roman" w:cs="Times New Roman"/>
          <w:sz w:val="22"/>
          <w:szCs w:val="22"/>
          <w:lang w:val="en-US" w:eastAsia="en-GB"/>
        </w:rPr>
        <w:t>slavery risk measures following the MSA</w:t>
      </w:r>
      <w:r w:rsidR="00073730">
        <w:rPr>
          <w:rFonts w:ascii="Times New Roman" w:eastAsia="Times New Roman" w:hAnsi="Times New Roman" w:cs="Times New Roman"/>
          <w:sz w:val="22"/>
          <w:szCs w:val="22"/>
          <w:lang w:val="en-US" w:eastAsia="en-GB"/>
        </w:rPr>
        <w:t>’s adoption</w:t>
      </w:r>
      <w:r w:rsidR="0033773B">
        <w:rPr>
          <w:rFonts w:ascii="Times New Roman" w:eastAsia="Times New Roman" w:hAnsi="Times New Roman" w:cs="Times New Roman"/>
          <w:sz w:val="22"/>
          <w:szCs w:val="22"/>
          <w:lang w:val="en-US" w:eastAsia="en-GB"/>
        </w:rPr>
        <w:t xml:space="preserve">, but individual firms arguably have less control over those measures. </w:t>
      </w:r>
      <w:r w:rsidR="006E6FAF" w:rsidRPr="00622F6C">
        <w:rPr>
          <w:rFonts w:ascii="Times New Roman" w:eastAsia="Times New Roman" w:hAnsi="Times New Roman" w:cs="Times New Roman"/>
          <w:sz w:val="22"/>
          <w:szCs w:val="22"/>
          <w:lang w:val="en-US" w:eastAsia="en-GB"/>
        </w:rPr>
        <w:t xml:space="preserve">Our study </w:t>
      </w:r>
      <w:r w:rsidR="009A4074">
        <w:rPr>
          <w:rFonts w:ascii="Times New Roman" w:eastAsia="Times New Roman" w:hAnsi="Times New Roman" w:cs="Times New Roman"/>
          <w:sz w:val="22"/>
          <w:szCs w:val="22"/>
          <w:lang w:val="en-US" w:eastAsia="en-GB"/>
        </w:rPr>
        <w:t>may</w:t>
      </w:r>
      <w:r w:rsidR="006E6FAF" w:rsidRPr="00622F6C">
        <w:rPr>
          <w:rFonts w:ascii="Times New Roman" w:eastAsia="Times New Roman" w:hAnsi="Times New Roman" w:cs="Times New Roman"/>
          <w:sz w:val="22"/>
          <w:szCs w:val="22"/>
          <w:lang w:val="en-US" w:eastAsia="en-GB"/>
        </w:rPr>
        <w:t xml:space="preserve"> </w:t>
      </w:r>
      <w:r w:rsidR="009A4074">
        <w:rPr>
          <w:rFonts w:ascii="Times New Roman" w:eastAsia="Times New Roman" w:hAnsi="Times New Roman" w:cs="Times New Roman"/>
          <w:sz w:val="22"/>
          <w:szCs w:val="22"/>
          <w:lang w:val="en-US" w:eastAsia="en-GB"/>
        </w:rPr>
        <w:t>be useful for</w:t>
      </w:r>
      <w:r w:rsidR="006E6FAF" w:rsidRPr="00622F6C">
        <w:rPr>
          <w:rFonts w:ascii="Times New Roman" w:eastAsia="Times New Roman" w:hAnsi="Times New Roman" w:cs="Times New Roman"/>
          <w:sz w:val="22"/>
          <w:szCs w:val="22"/>
          <w:lang w:val="en-US" w:eastAsia="en-GB"/>
        </w:rPr>
        <w:t xml:space="preserve"> policy makers in </w:t>
      </w:r>
      <w:r w:rsidR="00733A04">
        <w:rPr>
          <w:rFonts w:ascii="Times New Roman" w:eastAsia="Times New Roman" w:hAnsi="Times New Roman" w:cs="Times New Roman"/>
          <w:sz w:val="22"/>
          <w:szCs w:val="22"/>
          <w:lang w:val="en-US" w:eastAsia="en-GB"/>
        </w:rPr>
        <w:t xml:space="preserve">countries </w:t>
      </w:r>
      <w:r w:rsidR="006E6FAF" w:rsidRPr="00622F6C">
        <w:rPr>
          <w:rFonts w:ascii="Times New Roman" w:eastAsia="Times New Roman" w:hAnsi="Times New Roman" w:cs="Times New Roman"/>
          <w:sz w:val="22"/>
          <w:szCs w:val="22"/>
          <w:lang w:val="en-US" w:eastAsia="en-GB"/>
        </w:rPr>
        <w:t xml:space="preserve">currently considering the introduction of </w:t>
      </w:r>
      <w:r w:rsidR="00520929" w:rsidRPr="00622F6C">
        <w:rPr>
          <w:rFonts w:ascii="Times New Roman" w:eastAsia="Times New Roman" w:hAnsi="Times New Roman" w:cs="Times New Roman"/>
          <w:sz w:val="22"/>
          <w:szCs w:val="22"/>
          <w:lang w:val="en-US" w:eastAsia="en-GB"/>
        </w:rPr>
        <w:t xml:space="preserve">modern </w:t>
      </w:r>
      <w:r w:rsidR="009A4074">
        <w:rPr>
          <w:rFonts w:ascii="Times New Roman" w:eastAsia="Times New Roman" w:hAnsi="Times New Roman" w:cs="Times New Roman"/>
          <w:sz w:val="22"/>
          <w:szCs w:val="22"/>
          <w:lang w:val="en-US" w:eastAsia="en-GB"/>
        </w:rPr>
        <w:t xml:space="preserve">slavery regulation, </w:t>
      </w:r>
      <w:r w:rsidR="00AC3F74">
        <w:rPr>
          <w:rFonts w:ascii="Times New Roman" w:eastAsia="Times New Roman" w:hAnsi="Times New Roman" w:cs="Times New Roman"/>
          <w:sz w:val="22"/>
          <w:szCs w:val="22"/>
          <w:lang w:val="en-US" w:eastAsia="en-GB"/>
        </w:rPr>
        <w:t>and inform</w:t>
      </w:r>
      <w:r w:rsidR="009A4074">
        <w:rPr>
          <w:rFonts w:ascii="Times New Roman" w:eastAsia="Times New Roman" w:hAnsi="Times New Roman" w:cs="Times New Roman"/>
          <w:sz w:val="22"/>
          <w:szCs w:val="22"/>
          <w:lang w:val="en-US" w:eastAsia="en-GB"/>
        </w:rPr>
        <w:t xml:space="preserve"> the broader discussion around supply chain transparency.</w:t>
      </w:r>
      <w:r w:rsidR="006E6FAF" w:rsidRPr="00622F6C">
        <w:rPr>
          <w:rFonts w:ascii="Times New Roman" w:hAnsi="Times New Roman" w:cs="Times New Roman"/>
          <w:sz w:val="22"/>
          <w:szCs w:val="22"/>
          <w:lang w:val="en-US"/>
        </w:rPr>
        <w:t xml:space="preserve"> </w:t>
      </w:r>
    </w:p>
    <w:p w14:paraId="3291988B" w14:textId="77777777" w:rsidR="00AC3F74" w:rsidRDefault="00AC3F74" w:rsidP="00A362E2">
      <w:pPr>
        <w:jc w:val="both"/>
        <w:rPr>
          <w:rFonts w:ascii="Times New Roman" w:hAnsi="Times New Roman" w:cs="Times New Roman"/>
          <w:lang w:val="en-US"/>
        </w:rPr>
      </w:pPr>
      <w:r>
        <w:rPr>
          <w:rFonts w:ascii="Times New Roman" w:hAnsi="Times New Roman" w:cs="Times New Roman"/>
          <w:lang w:val="en-US"/>
        </w:rPr>
        <w:br w:type="page"/>
      </w:r>
    </w:p>
    <w:p w14:paraId="1695EA76" w14:textId="77777777" w:rsidR="006E6FAF" w:rsidRPr="00622F6C" w:rsidRDefault="006E6FAF" w:rsidP="00A362E2">
      <w:pPr>
        <w:jc w:val="both"/>
        <w:rPr>
          <w:rFonts w:ascii="Times New Roman" w:hAnsi="Times New Roman" w:cs="Times New Roman"/>
          <w:b/>
          <w:lang w:val="en-US"/>
        </w:rPr>
      </w:pPr>
      <w:bookmarkStart w:id="77" w:name="_Hlk5258542"/>
      <w:bookmarkStart w:id="78" w:name="_Hlk523925523"/>
      <w:r w:rsidRPr="00622F6C">
        <w:rPr>
          <w:rFonts w:ascii="Times New Roman" w:hAnsi="Times New Roman" w:cs="Times New Roman"/>
          <w:b/>
          <w:lang w:val="en-US"/>
        </w:rPr>
        <w:lastRenderedPageBreak/>
        <w:t>References</w:t>
      </w:r>
      <w:r w:rsidR="00DC7306" w:rsidRPr="00622F6C">
        <w:rPr>
          <w:rStyle w:val="FootnoteReference"/>
          <w:rFonts w:ascii="Times New Roman" w:hAnsi="Times New Roman" w:cs="Times New Roman"/>
          <w:b/>
          <w:lang w:val="en-US"/>
        </w:rPr>
        <w:footnoteReference w:id="15"/>
      </w:r>
    </w:p>
    <w:p w14:paraId="10505BCE" w14:textId="77777777" w:rsidR="009641BD" w:rsidRDefault="009641BD" w:rsidP="00FF529C">
      <w:pPr>
        <w:spacing w:after="0" w:line="240" w:lineRule="auto"/>
        <w:ind w:left="284" w:hanging="284"/>
        <w:jc w:val="both"/>
        <w:rPr>
          <w:rFonts w:ascii="Times New Roman" w:hAnsi="Times New Roman" w:cs="Times New Roman"/>
          <w:color w:val="222222"/>
        </w:rPr>
      </w:pPr>
      <w:r>
        <w:rPr>
          <w:rFonts w:ascii="Times New Roman" w:hAnsi="Times New Roman" w:cs="Times New Roman"/>
          <w:color w:val="222222"/>
        </w:rPr>
        <w:t xml:space="preserve">Admiral Group, 2016. Modern Slavery Statement 2016. </w:t>
      </w:r>
      <w:r w:rsidRPr="009641BD">
        <w:rPr>
          <w:rFonts w:ascii="Times New Roman" w:hAnsi="Times New Roman" w:cs="Times New Roman"/>
          <w:color w:val="222222"/>
        </w:rPr>
        <w:t>https://admiralgroup.co.uk/our-business/corporate-governance/modern-slavery-statement-2016</w:t>
      </w:r>
    </w:p>
    <w:p w14:paraId="75DEA461" w14:textId="77777777" w:rsidR="00413FF2" w:rsidRDefault="00413FF2" w:rsidP="00FF529C">
      <w:pPr>
        <w:spacing w:after="0" w:line="240" w:lineRule="auto"/>
        <w:ind w:left="284" w:hanging="284"/>
        <w:jc w:val="both"/>
        <w:rPr>
          <w:rFonts w:ascii="Times New Roman" w:hAnsi="Times New Roman" w:cs="Times New Roman"/>
          <w:color w:val="222222"/>
        </w:rPr>
      </w:pPr>
      <w:r w:rsidRPr="00413FF2">
        <w:rPr>
          <w:rFonts w:ascii="Times New Roman" w:hAnsi="Times New Roman" w:cs="Times New Roman"/>
          <w:color w:val="222222"/>
        </w:rPr>
        <w:t xml:space="preserve">Akyol, A.C., W.F. Lim, P. Verwijmeren, 2012. Shareholders in the boardroom: Wealth effects of the SEC’s proposal to facilitate director nominations. </w:t>
      </w:r>
      <w:r w:rsidRPr="00413FF2">
        <w:rPr>
          <w:rFonts w:ascii="Times New Roman" w:hAnsi="Times New Roman" w:cs="Times New Roman"/>
          <w:iCs/>
          <w:color w:val="222222"/>
        </w:rPr>
        <w:t>Journal of Financial and Quantitative Analysis</w:t>
      </w:r>
      <w:r w:rsidRPr="00413FF2">
        <w:rPr>
          <w:rFonts w:ascii="Times New Roman" w:hAnsi="Times New Roman" w:cs="Times New Roman"/>
          <w:color w:val="222222"/>
        </w:rPr>
        <w:t xml:space="preserve"> </w:t>
      </w:r>
      <w:r w:rsidRPr="00413FF2">
        <w:rPr>
          <w:rFonts w:ascii="Times New Roman" w:hAnsi="Times New Roman" w:cs="Times New Roman"/>
          <w:iCs/>
          <w:color w:val="222222"/>
        </w:rPr>
        <w:t xml:space="preserve">47 </w:t>
      </w:r>
      <w:r w:rsidRPr="00413FF2">
        <w:rPr>
          <w:rFonts w:ascii="Times New Roman" w:hAnsi="Times New Roman" w:cs="Times New Roman"/>
          <w:color w:val="222222"/>
        </w:rPr>
        <w:t>(5), 1029-1057.</w:t>
      </w:r>
    </w:p>
    <w:p w14:paraId="7955266E" w14:textId="77777777" w:rsidR="006E6FAF" w:rsidRPr="00622F6C" w:rsidRDefault="006E6FAF" w:rsidP="00FF529C">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Armstrong, C.S., M.E. Barth, A.D. Jagolinzer, E.J. Riedl</w:t>
      </w:r>
      <w:r w:rsidR="00B641E4" w:rsidRPr="00622F6C">
        <w:rPr>
          <w:rFonts w:ascii="Times New Roman" w:hAnsi="Times New Roman" w:cs="Times New Roman"/>
          <w:shd w:val="clear" w:color="auto" w:fill="FFFFFF"/>
          <w:lang w:val="en-US"/>
        </w:rPr>
        <w:t>,</w:t>
      </w:r>
      <w:r w:rsidRPr="00622F6C">
        <w:rPr>
          <w:rFonts w:ascii="Times New Roman" w:hAnsi="Times New Roman" w:cs="Times New Roman"/>
          <w:shd w:val="clear" w:color="auto" w:fill="FFFFFF"/>
          <w:lang w:val="en-US"/>
        </w:rPr>
        <w:t xml:space="preserve"> </w:t>
      </w:r>
      <w:r w:rsidR="00B641E4" w:rsidRPr="00622F6C">
        <w:rPr>
          <w:rFonts w:ascii="Times New Roman" w:hAnsi="Times New Roman" w:cs="Times New Roman"/>
          <w:shd w:val="clear" w:color="auto" w:fill="FFFFFF"/>
          <w:lang w:val="en-US"/>
        </w:rPr>
        <w:t xml:space="preserve">2010. </w:t>
      </w:r>
      <w:r w:rsidRPr="00622F6C">
        <w:rPr>
          <w:rFonts w:ascii="Times New Roman" w:hAnsi="Times New Roman" w:cs="Times New Roman"/>
          <w:shd w:val="clear" w:color="auto" w:fill="FFFFFF"/>
          <w:lang w:val="en-US"/>
        </w:rPr>
        <w:t>Market reaction to t</w:t>
      </w:r>
      <w:r w:rsidR="00B641E4" w:rsidRPr="00622F6C">
        <w:rPr>
          <w:rFonts w:ascii="Times New Roman" w:hAnsi="Times New Roman" w:cs="Times New Roman"/>
          <w:shd w:val="clear" w:color="auto" w:fill="FFFFFF"/>
          <w:lang w:val="en-US"/>
        </w:rPr>
        <w:t xml:space="preserve">he adoption of IFRS in Europe. </w:t>
      </w:r>
      <w:r w:rsidRPr="00622F6C">
        <w:rPr>
          <w:rFonts w:ascii="Times New Roman" w:hAnsi="Times New Roman" w:cs="Times New Roman"/>
          <w:iCs/>
          <w:shd w:val="clear" w:color="auto" w:fill="FFFFFF"/>
          <w:lang w:val="en-US"/>
        </w:rPr>
        <w:t>The Accounting Review</w:t>
      </w:r>
      <w:r w:rsidRPr="00622F6C">
        <w:rPr>
          <w:rFonts w:ascii="Times New Roman" w:hAnsi="Times New Roman" w:cs="Times New Roman"/>
          <w:shd w:val="clear" w:color="auto" w:fill="FFFFFF"/>
          <w:lang w:val="en-US"/>
        </w:rPr>
        <w:t xml:space="preserve"> 85</w:t>
      </w:r>
      <w:r w:rsidR="00B641E4" w:rsidRPr="00622F6C">
        <w:rPr>
          <w:rFonts w:ascii="Times New Roman" w:hAnsi="Times New Roman" w:cs="Times New Roman"/>
          <w:shd w:val="clear" w:color="auto" w:fill="FFFFFF"/>
          <w:lang w:val="en-US"/>
        </w:rPr>
        <w:t xml:space="preserve"> (1),</w:t>
      </w:r>
      <w:r w:rsidR="00F914CB" w:rsidRPr="00622F6C">
        <w:rPr>
          <w:rFonts w:ascii="Times New Roman" w:hAnsi="Times New Roman" w:cs="Times New Roman"/>
          <w:shd w:val="clear" w:color="auto" w:fill="FFFFFF"/>
          <w:lang w:val="en-US"/>
        </w:rPr>
        <w:t xml:space="preserve"> 31</w:t>
      </w:r>
      <w:r w:rsidR="00527B5D">
        <w:rPr>
          <w:rFonts w:ascii="Times New Roman" w:hAnsi="Times New Roman"/>
          <w:sz w:val="24"/>
          <w:szCs w:val="24"/>
          <w:lang w:val="en-US"/>
        </w:rPr>
        <w:t>-</w:t>
      </w:r>
      <w:r w:rsidRPr="00622F6C">
        <w:rPr>
          <w:rFonts w:ascii="Times New Roman" w:hAnsi="Times New Roman" w:cs="Times New Roman"/>
          <w:shd w:val="clear" w:color="auto" w:fill="FFFFFF"/>
          <w:lang w:val="en-US"/>
        </w:rPr>
        <w:t>61.</w:t>
      </w:r>
    </w:p>
    <w:p w14:paraId="52B03A47" w14:textId="77777777" w:rsidR="006E6FAF" w:rsidRPr="00622F6C" w:rsidRDefault="00024AA2" w:rsidP="00FF529C">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Basu, K., </w:t>
      </w:r>
      <w:r w:rsidR="008864E7" w:rsidRPr="00622F6C">
        <w:rPr>
          <w:rFonts w:ascii="Times New Roman" w:hAnsi="Times New Roman" w:cs="Times New Roman"/>
          <w:shd w:val="clear" w:color="auto" w:fill="FFFFFF"/>
          <w:lang w:val="en-US"/>
        </w:rPr>
        <w:t xml:space="preserve">H. Zarghamee, 2009. </w:t>
      </w:r>
      <w:r w:rsidR="006E6FAF" w:rsidRPr="00622F6C">
        <w:rPr>
          <w:rFonts w:ascii="Times New Roman" w:hAnsi="Times New Roman" w:cs="Times New Roman"/>
          <w:shd w:val="clear" w:color="auto" w:fill="FFFFFF"/>
          <w:lang w:val="en-US"/>
        </w:rPr>
        <w:t xml:space="preserve">Is product boycott a good idea for controlling child labor? A theoretical investigation. </w:t>
      </w:r>
      <w:r w:rsidR="006E6FAF" w:rsidRPr="00622F6C">
        <w:rPr>
          <w:rFonts w:ascii="Times New Roman" w:hAnsi="Times New Roman" w:cs="Times New Roman"/>
          <w:iCs/>
          <w:shd w:val="clear" w:color="auto" w:fill="FFFFFF"/>
          <w:lang w:val="en-US"/>
        </w:rPr>
        <w:t>Journal of Development Economics</w:t>
      </w:r>
      <w:r w:rsidR="006E6FAF" w:rsidRPr="00622F6C">
        <w:rPr>
          <w:rFonts w:ascii="Times New Roman" w:hAnsi="Times New Roman" w:cs="Times New Roman"/>
          <w:shd w:val="clear" w:color="auto" w:fill="FFFFFF"/>
          <w:lang w:val="en-US"/>
        </w:rPr>
        <w:t xml:space="preserve"> 88</w:t>
      </w:r>
      <w:r w:rsidR="008864E7" w:rsidRPr="00622F6C">
        <w:rPr>
          <w:rFonts w:ascii="Times New Roman" w:hAnsi="Times New Roman" w:cs="Times New Roman"/>
          <w:shd w:val="clear" w:color="auto" w:fill="FFFFFF"/>
          <w:lang w:val="en-US"/>
        </w:rPr>
        <w:t xml:space="preserve"> (</w:t>
      </w:r>
      <w:r w:rsidR="006E6FAF" w:rsidRPr="00622F6C">
        <w:rPr>
          <w:rFonts w:ascii="Times New Roman" w:hAnsi="Times New Roman" w:cs="Times New Roman"/>
          <w:shd w:val="clear" w:color="auto" w:fill="FFFFFF"/>
          <w:lang w:val="en-US"/>
        </w:rPr>
        <w:t>2</w:t>
      </w:r>
      <w:r w:rsidR="008864E7" w:rsidRPr="00622F6C">
        <w:rPr>
          <w:rFonts w:ascii="Times New Roman" w:hAnsi="Times New Roman" w:cs="Times New Roman"/>
          <w:shd w:val="clear" w:color="auto" w:fill="FFFFFF"/>
          <w:lang w:val="en-US"/>
        </w:rPr>
        <w:t xml:space="preserve">), </w:t>
      </w:r>
      <w:r w:rsidR="00F914CB" w:rsidRPr="00622F6C">
        <w:rPr>
          <w:rFonts w:ascii="Times New Roman" w:hAnsi="Times New Roman" w:cs="Times New Roman"/>
          <w:shd w:val="clear" w:color="auto" w:fill="FFFFFF"/>
          <w:lang w:val="en-US"/>
        </w:rPr>
        <w:t>217</w:t>
      </w:r>
      <w:r w:rsidR="00527B5D">
        <w:rPr>
          <w:rFonts w:ascii="Times New Roman" w:hAnsi="Times New Roman"/>
          <w:sz w:val="24"/>
          <w:szCs w:val="24"/>
          <w:lang w:val="en-US"/>
        </w:rPr>
        <w:t>-</w:t>
      </w:r>
      <w:r w:rsidR="006E6FAF" w:rsidRPr="00622F6C">
        <w:rPr>
          <w:rFonts w:ascii="Times New Roman" w:hAnsi="Times New Roman" w:cs="Times New Roman"/>
          <w:shd w:val="clear" w:color="auto" w:fill="FFFFFF"/>
          <w:lang w:val="en-US"/>
        </w:rPr>
        <w:t>220.</w:t>
      </w:r>
    </w:p>
    <w:p w14:paraId="4DB89A6C" w14:textId="77777777" w:rsidR="00EC3BC4" w:rsidRPr="00622F6C" w:rsidRDefault="00EC3BC4" w:rsidP="00FF529C">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 xml:space="preserve">Beatty, A., S. Chamberlain, J. Magliolo, 1996. An empirical analysis of the economic implications of fair value accounting for investment securities. </w:t>
      </w:r>
      <w:r w:rsidRPr="00622F6C">
        <w:rPr>
          <w:rFonts w:ascii="Times New Roman" w:hAnsi="Times New Roman" w:cs="Times New Roman"/>
          <w:iCs/>
          <w:color w:val="222222"/>
          <w:shd w:val="clear" w:color="auto" w:fill="FFFFFF"/>
          <w:lang w:val="en-US"/>
        </w:rPr>
        <w:t>Journal of Accounting and Economics 22</w:t>
      </w:r>
      <w:r w:rsidRPr="00622F6C">
        <w:rPr>
          <w:rFonts w:ascii="Times New Roman" w:hAnsi="Times New Roman" w:cs="Times New Roman"/>
          <w:color w:val="222222"/>
          <w:shd w:val="clear" w:color="auto" w:fill="FFFFFF"/>
          <w:lang w:val="en-US"/>
        </w:rPr>
        <w:t>(1-3), 43-77.</w:t>
      </w:r>
    </w:p>
    <w:p w14:paraId="3E08F8E7" w14:textId="77777777" w:rsidR="0008177C" w:rsidRPr="00622F6C" w:rsidRDefault="0008177C" w:rsidP="00FF529C">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 xml:space="preserve">Beatty, R.P., J.R. Ritter, 1986. Investment banking, reputation, and the underpricing of initial public offerings. </w:t>
      </w:r>
      <w:r w:rsidRPr="00622F6C">
        <w:rPr>
          <w:rFonts w:ascii="Times New Roman" w:hAnsi="Times New Roman" w:cs="Times New Roman"/>
          <w:iCs/>
          <w:color w:val="222222"/>
          <w:shd w:val="clear" w:color="auto" w:fill="FFFFFF"/>
          <w:lang w:val="en-US"/>
        </w:rPr>
        <w:t>Journal of Financial Economics</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15</w:t>
      </w:r>
      <w:r w:rsidR="00527B5D">
        <w:rPr>
          <w:rFonts w:ascii="Times New Roman" w:hAnsi="Times New Roman" w:cs="Times New Roman"/>
          <w:iCs/>
          <w:color w:val="222222"/>
          <w:shd w:val="clear" w:color="auto" w:fill="FFFFFF"/>
          <w:lang w:val="en-US"/>
        </w:rPr>
        <w:t xml:space="preserve"> </w:t>
      </w:r>
      <w:r w:rsidRPr="00622F6C">
        <w:rPr>
          <w:rFonts w:ascii="Times New Roman" w:hAnsi="Times New Roman" w:cs="Times New Roman"/>
          <w:color w:val="222222"/>
          <w:shd w:val="clear" w:color="auto" w:fill="FFFFFF"/>
          <w:lang w:val="en-US"/>
        </w:rPr>
        <w:t>(1-2), 213-232.</w:t>
      </w:r>
    </w:p>
    <w:p w14:paraId="79417D52" w14:textId="77777777" w:rsidR="00DD77FF" w:rsidRPr="00622F6C" w:rsidRDefault="00DD77FF" w:rsidP="00FF529C">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 xml:space="preserve">Belkaoui, A., 1976. The impact of the disclosure of the environmental effects of organizational behavior on the market. </w:t>
      </w:r>
      <w:r w:rsidRPr="00622F6C">
        <w:rPr>
          <w:rFonts w:ascii="Times New Roman" w:hAnsi="Times New Roman" w:cs="Times New Roman"/>
          <w:iCs/>
          <w:color w:val="222222"/>
          <w:shd w:val="clear" w:color="auto" w:fill="FFFFFF"/>
          <w:lang w:val="en-US"/>
        </w:rPr>
        <w:t>Financial Management 5 (4)</w:t>
      </w:r>
      <w:r w:rsidRPr="00622F6C">
        <w:rPr>
          <w:rFonts w:ascii="Times New Roman" w:hAnsi="Times New Roman" w:cs="Times New Roman"/>
          <w:color w:val="222222"/>
          <w:shd w:val="clear" w:color="auto" w:fill="FFFFFF"/>
          <w:lang w:val="en-US"/>
        </w:rPr>
        <w:t>, 26-31.</w:t>
      </w:r>
    </w:p>
    <w:p w14:paraId="6071B6F6" w14:textId="77777777" w:rsidR="002B62C5" w:rsidRPr="00622F6C" w:rsidRDefault="002B62C5" w:rsidP="00FF529C">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 xml:space="preserve">Berger, P.G., R.N. Hann, 2007. Segment profitability and the proprietary and agency costs of disclosure. </w:t>
      </w:r>
      <w:r w:rsidRPr="00622F6C">
        <w:rPr>
          <w:rFonts w:ascii="Times New Roman" w:hAnsi="Times New Roman" w:cs="Times New Roman"/>
          <w:iCs/>
          <w:color w:val="222222"/>
          <w:shd w:val="clear" w:color="auto" w:fill="FFFFFF"/>
          <w:lang w:val="en-US"/>
        </w:rPr>
        <w:t>The Accounting Review</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82 </w:t>
      </w:r>
      <w:r w:rsidRPr="00622F6C">
        <w:rPr>
          <w:rFonts w:ascii="Times New Roman" w:hAnsi="Times New Roman" w:cs="Times New Roman"/>
          <w:color w:val="222222"/>
          <w:shd w:val="clear" w:color="auto" w:fill="FFFFFF"/>
          <w:lang w:val="en-US"/>
        </w:rPr>
        <w:t>(4), 869-906.</w:t>
      </w:r>
    </w:p>
    <w:p w14:paraId="0584E518" w14:textId="77777777" w:rsidR="006F387C" w:rsidRPr="00E2705D" w:rsidRDefault="006F387C" w:rsidP="00FF529C">
      <w:pPr>
        <w:spacing w:after="0" w:line="240" w:lineRule="auto"/>
        <w:ind w:left="284" w:hanging="284"/>
        <w:jc w:val="both"/>
        <w:rPr>
          <w:rFonts w:ascii="Times New Roman" w:hAnsi="Times New Roman" w:cs="Times New Roman"/>
          <w:shd w:val="clear" w:color="auto" w:fill="FFFFFF"/>
          <w:lang w:val="it-IT"/>
        </w:rPr>
      </w:pPr>
      <w:r w:rsidRPr="00CF2BCB">
        <w:rPr>
          <w:rFonts w:ascii="Times New Roman" w:hAnsi="Times New Roman" w:cs="Times New Roman"/>
          <w:shd w:val="clear" w:color="auto" w:fill="FFFFFF"/>
          <w:lang w:val="en-US"/>
        </w:rPr>
        <w:t>Bhattachary</w:t>
      </w:r>
      <w:r w:rsidRPr="00A40499">
        <w:rPr>
          <w:rFonts w:ascii="Times New Roman" w:hAnsi="Times New Roman" w:cs="Times New Roman"/>
          <w:shd w:val="clear" w:color="auto" w:fill="FFFFFF"/>
          <w:lang w:val="en-US"/>
        </w:rPr>
        <w:t>a, C.B.,</w:t>
      </w:r>
      <w:r w:rsidR="00640F06" w:rsidRPr="00A40499">
        <w:rPr>
          <w:rFonts w:ascii="Times New Roman" w:hAnsi="Times New Roman" w:cs="Times New Roman"/>
          <w:shd w:val="clear" w:color="auto" w:fill="FFFFFF"/>
          <w:lang w:val="en-US"/>
        </w:rPr>
        <w:t xml:space="preserve"> S. Sen</w:t>
      </w:r>
      <w:r w:rsidRPr="00A40499">
        <w:rPr>
          <w:rFonts w:ascii="Times New Roman" w:hAnsi="Times New Roman" w:cs="Times New Roman"/>
          <w:shd w:val="clear" w:color="auto" w:fill="FFFFFF"/>
          <w:lang w:val="en-US"/>
        </w:rPr>
        <w:t xml:space="preserve">, 2004. Doing better </w:t>
      </w:r>
      <w:r w:rsidR="00413FF2" w:rsidRPr="00A40499">
        <w:rPr>
          <w:rFonts w:ascii="Times New Roman" w:hAnsi="Times New Roman" w:cs="Times New Roman"/>
          <w:shd w:val="clear" w:color="auto" w:fill="FFFFFF"/>
          <w:lang w:val="en-US"/>
        </w:rPr>
        <w:t>at doing good: W</w:t>
      </w:r>
      <w:r w:rsidRPr="00A40499">
        <w:rPr>
          <w:rFonts w:ascii="Times New Roman" w:hAnsi="Times New Roman" w:cs="Times New Roman"/>
          <w:shd w:val="clear" w:color="auto" w:fill="FFFFFF"/>
          <w:lang w:val="en-US"/>
        </w:rPr>
        <w:t xml:space="preserve">hen, why, and how consumers respond to corporate social initiatives. </w:t>
      </w:r>
      <w:r w:rsidRPr="00E2705D">
        <w:rPr>
          <w:rFonts w:ascii="Times New Roman" w:hAnsi="Times New Roman" w:cs="Times New Roman"/>
          <w:shd w:val="clear" w:color="auto" w:fill="FFFFFF"/>
          <w:lang w:val="it-IT"/>
        </w:rPr>
        <w:t>California Management Review 47 (1), 9-24.</w:t>
      </w:r>
    </w:p>
    <w:p w14:paraId="56558882" w14:textId="77777777" w:rsidR="006E6FAF" w:rsidRPr="00CF2BCB" w:rsidRDefault="006E6FAF" w:rsidP="00FF529C">
      <w:pPr>
        <w:tabs>
          <w:tab w:val="left" w:pos="284"/>
        </w:tabs>
        <w:spacing w:after="0" w:line="240" w:lineRule="auto"/>
        <w:ind w:left="284" w:hanging="284"/>
        <w:jc w:val="both"/>
        <w:rPr>
          <w:rFonts w:ascii="Times New Roman" w:eastAsia="Times New Roman" w:hAnsi="Times New Roman" w:cs="Times New Roman"/>
          <w:lang w:val="en-US"/>
        </w:rPr>
      </w:pPr>
      <w:r w:rsidRPr="00E7612C">
        <w:rPr>
          <w:rFonts w:ascii="Times New Roman" w:eastAsia="Times New Roman" w:hAnsi="Times New Roman" w:cs="Times New Roman"/>
          <w:lang w:val="it-IT"/>
        </w:rPr>
        <w:t xml:space="preserve">Brandon-Jones, E., </w:t>
      </w:r>
      <w:r w:rsidR="00FA6E8C" w:rsidRPr="00E7612C">
        <w:rPr>
          <w:rFonts w:ascii="Times New Roman" w:eastAsia="Times New Roman" w:hAnsi="Times New Roman" w:cs="Times New Roman"/>
          <w:lang w:val="it-IT"/>
        </w:rPr>
        <w:t xml:space="preserve">M. </w:t>
      </w:r>
      <w:r w:rsidRPr="00906F32">
        <w:rPr>
          <w:rFonts w:ascii="Times New Roman" w:eastAsia="Times New Roman" w:hAnsi="Times New Roman" w:cs="Times New Roman"/>
          <w:lang w:val="it-IT"/>
        </w:rPr>
        <w:t xml:space="preserve">Dutordoir, </w:t>
      </w:r>
      <w:r w:rsidR="00FA6E8C" w:rsidRPr="00906F32">
        <w:rPr>
          <w:rFonts w:ascii="Times New Roman" w:eastAsia="Times New Roman" w:hAnsi="Times New Roman" w:cs="Times New Roman"/>
          <w:lang w:val="it-IT"/>
        </w:rPr>
        <w:t xml:space="preserve">J. </w:t>
      </w:r>
      <w:r w:rsidRPr="0067623B">
        <w:rPr>
          <w:rFonts w:ascii="Times New Roman" w:eastAsia="Times New Roman" w:hAnsi="Times New Roman" w:cs="Times New Roman"/>
          <w:lang w:val="it-IT"/>
        </w:rPr>
        <w:t>Quariguasi</w:t>
      </w:r>
      <w:r w:rsidR="00FA6E8C" w:rsidRPr="0067623B">
        <w:rPr>
          <w:rFonts w:ascii="Times New Roman" w:eastAsia="Times New Roman" w:hAnsi="Times New Roman" w:cs="Times New Roman"/>
          <w:lang w:val="it-IT"/>
        </w:rPr>
        <w:t xml:space="preserve"> Frota Neto, B. </w:t>
      </w:r>
      <w:r w:rsidRPr="00C54DAF">
        <w:rPr>
          <w:rFonts w:ascii="Times New Roman" w:eastAsia="Times New Roman" w:hAnsi="Times New Roman" w:cs="Times New Roman"/>
          <w:lang w:val="it-IT"/>
        </w:rPr>
        <w:t>Squire</w:t>
      </w:r>
      <w:r w:rsidR="008864E7" w:rsidRPr="00C54DAF">
        <w:rPr>
          <w:rFonts w:ascii="Times New Roman" w:eastAsia="Times New Roman" w:hAnsi="Times New Roman" w:cs="Times New Roman"/>
          <w:lang w:val="it-IT"/>
        </w:rPr>
        <w:t>, 2017.</w:t>
      </w:r>
      <w:r w:rsidRPr="00C54DAF">
        <w:rPr>
          <w:rFonts w:ascii="Times New Roman" w:eastAsia="Times New Roman" w:hAnsi="Times New Roman" w:cs="Times New Roman"/>
          <w:lang w:val="it-IT" w:eastAsia="en-GB"/>
        </w:rPr>
        <w:t xml:space="preserve"> </w:t>
      </w:r>
      <w:r w:rsidRPr="009B1550">
        <w:rPr>
          <w:rFonts w:ascii="Times New Roman" w:eastAsia="Times New Roman" w:hAnsi="Times New Roman" w:cs="Times New Roman"/>
          <w:lang w:val="en-US" w:eastAsia="en-GB"/>
        </w:rPr>
        <w:t>The impact of re</w:t>
      </w:r>
      <w:r w:rsidRPr="004526B2">
        <w:rPr>
          <w:rFonts w:ascii="Times New Roman" w:eastAsia="Times New Roman" w:hAnsi="Times New Roman" w:cs="Times New Roman"/>
          <w:lang w:val="en-US" w:eastAsia="en-GB"/>
        </w:rPr>
        <w:t xml:space="preserve">shoring decisions on shareholder wealth. Journal of Operations </w:t>
      </w:r>
      <w:r w:rsidRPr="00CF2BCB">
        <w:rPr>
          <w:rFonts w:ascii="Times New Roman" w:eastAsia="Times New Roman" w:hAnsi="Times New Roman" w:cs="Times New Roman"/>
          <w:lang w:val="en-US"/>
        </w:rPr>
        <w:t>Management</w:t>
      </w:r>
      <w:r w:rsidR="00280C7F" w:rsidRPr="00CF2BCB">
        <w:rPr>
          <w:rFonts w:ascii="Times New Roman" w:eastAsia="Times New Roman" w:hAnsi="Times New Roman" w:cs="Times New Roman"/>
          <w:lang w:val="en-US"/>
        </w:rPr>
        <w:t xml:space="preserve"> </w:t>
      </w:r>
      <w:r w:rsidR="0032239D" w:rsidRPr="00CF2BCB">
        <w:rPr>
          <w:rFonts w:ascii="Times New Roman" w:eastAsia="Times New Roman" w:hAnsi="Times New Roman" w:cs="Times New Roman"/>
          <w:lang w:val="en-US"/>
        </w:rPr>
        <w:t>49</w:t>
      </w:r>
      <w:r w:rsidR="0073351F" w:rsidRPr="00CF2BCB">
        <w:rPr>
          <w:rFonts w:ascii="Times New Roman" w:eastAsia="Times New Roman" w:hAnsi="Times New Roman" w:cs="Times New Roman"/>
          <w:lang w:val="en-US"/>
        </w:rPr>
        <w:t xml:space="preserve"> (Special Issue)</w:t>
      </w:r>
      <w:r w:rsidR="008864E7" w:rsidRPr="00CF2BCB">
        <w:rPr>
          <w:rFonts w:ascii="Times New Roman" w:eastAsia="Times New Roman" w:hAnsi="Times New Roman" w:cs="Times New Roman"/>
          <w:lang w:val="en-US"/>
        </w:rPr>
        <w:t>, 31-36.</w:t>
      </w:r>
    </w:p>
    <w:p w14:paraId="2A62C54F" w14:textId="77777777" w:rsidR="00CF2BCB" w:rsidRPr="00A40499" w:rsidRDefault="00CF2BCB" w:rsidP="00FF529C">
      <w:pPr>
        <w:tabs>
          <w:tab w:val="left" w:pos="284"/>
        </w:tabs>
        <w:spacing w:after="0" w:line="240" w:lineRule="auto"/>
        <w:ind w:left="284" w:hanging="284"/>
        <w:jc w:val="both"/>
        <w:rPr>
          <w:rFonts w:ascii="Times New Roman" w:eastAsia="Times New Roman" w:hAnsi="Times New Roman" w:cs="Times New Roman"/>
          <w:lang w:val="en-US"/>
        </w:rPr>
      </w:pPr>
      <w:r w:rsidRPr="00955DFE">
        <w:rPr>
          <w:rFonts w:ascii="Times New Roman" w:hAnsi="Times New Roman" w:cs="Times New Roman"/>
          <w:color w:val="222222"/>
          <w:shd w:val="clear" w:color="auto" w:fill="FFFFFF"/>
        </w:rPr>
        <w:t>Brown, S.J., J.B. Warner, 1985. Using daily stock returns: The case of event studies.</w:t>
      </w:r>
      <w:r w:rsidR="00A40499" w:rsidRPr="00A40499">
        <w:rPr>
          <w:rFonts w:ascii="Times New Roman" w:hAnsi="Times New Roman" w:cs="Times New Roman"/>
          <w:color w:val="222222"/>
          <w:shd w:val="clear" w:color="auto" w:fill="FFFFFF"/>
        </w:rPr>
        <w:t xml:space="preserve"> </w:t>
      </w:r>
      <w:r w:rsidRPr="00955DFE">
        <w:rPr>
          <w:rFonts w:ascii="Times New Roman" w:hAnsi="Times New Roman" w:cs="Times New Roman"/>
          <w:iCs/>
          <w:color w:val="222222"/>
          <w:shd w:val="clear" w:color="auto" w:fill="FFFFFF"/>
        </w:rPr>
        <w:t>Journal of Financial Economics</w:t>
      </w:r>
      <w:r w:rsidRPr="00955DFE">
        <w:rPr>
          <w:rFonts w:ascii="Times New Roman" w:hAnsi="Times New Roman" w:cs="Times New Roman"/>
          <w:color w:val="222222"/>
          <w:shd w:val="clear" w:color="auto" w:fill="FFFFFF"/>
        </w:rPr>
        <w:t xml:space="preserve"> </w:t>
      </w:r>
      <w:r w:rsidRPr="00955DFE">
        <w:rPr>
          <w:rFonts w:ascii="Times New Roman" w:hAnsi="Times New Roman" w:cs="Times New Roman"/>
          <w:iCs/>
          <w:color w:val="222222"/>
          <w:shd w:val="clear" w:color="auto" w:fill="FFFFFF"/>
        </w:rPr>
        <w:t xml:space="preserve">14 </w:t>
      </w:r>
      <w:r w:rsidRPr="00955DFE">
        <w:rPr>
          <w:rFonts w:ascii="Times New Roman" w:hAnsi="Times New Roman" w:cs="Times New Roman"/>
          <w:color w:val="222222"/>
          <w:shd w:val="clear" w:color="auto" w:fill="FFFFFF"/>
        </w:rPr>
        <w:t>(1), 3-31.</w:t>
      </w:r>
    </w:p>
    <w:p w14:paraId="2A3838A0" w14:textId="77777777" w:rsidR="003A5788" w:rsidRPr="00A40499" w:rsidRDefault="003A5788" w:rsidP="00FF529C">
      <w:pPr>
        <w:pStyle w:val="Heading1"/>
        <w:shd w:val="clear" w:color="auto" w:fill="FFFFFF"/>
        <w:spacing w:before="0" w:line="240" w:lineRule="auto"/>
        <w:ind w:left="284" w:hanging="284"/>
        <w:jc w:val="both"/>
        <w:rPr>
          <w:rFonts w:ascii="Times New Roman" w:eastAsia="Times New Roman" w:hAnsi="Times New Roman" w:cs="Times New Roman"/>
          <w:b w:val="0"/>
          <w:color w:val="auto"/>
          <w:kern w:val="36"/>
          <w:sz w:val="22"/>
          <w:szCs w:val="22"/>
          <w:lang w:val="en-US" w:eastAsia="en-GB"/>
        </w:rPr>
      </w:pPr>
      <w:r w:rsidRPr="00A40499">
        <w:rPr>
          <w:rFonts w:ascii="Times New Roman" w:eastAsia="Times New Roman" w:hAnsi="Times New Roman" w:cs="Times New Roman"/>
          <w:b w:val="0"/>
          <w:color w:val="auto"/>
          <w:sz w:val="22"/>
          <w:szCs w:val="22"/>
          <w:lang w:val="en-US"/>
        </w:rPr>
        <w:t>Business &amp; Human Rights Resource Centre (</w:t>
      </w:r>
      <w:r w:rsidR="00E562C9" w:rsidRPr="00A40499">
        <w:rPr>
          <w:rFonts w:ascii="Times New Roman" w:eastAsia="Times New Roman" w:hAnsi="Times New Roman" w:cs="Times New Roman"/>
          <w:b w:val="0"/>
          <w:color w:val="auto"/>
          <w:sz w:val="22"/>
          <w:szCs w:val="22"/>
          <w:lang w:val="en-US"/>
        </w:rPr>
        <w:t>BHRRC</w:t>
      </w:r>
      <w:r w:rsidRPr="00A40499">
        <w:rPr>
          <w:rFonts w:ascii="Times New Roman" w:eastAsia="Times New Roman" w:hAnsi="Times New Roman" w:cs="Times New Roman"/>
          <w:b w:val="0"/>
          <w:color w:val="auto"/>
          <w:sz w:val="22"/>
          <w:szCs w:val="22"/>
          <w:lang w:val="en-US"/>
        </w:rPr>
        <w:t>), 2018.</w:t>
      </w:r>
      <w:r w:rsidRPr="00A40499">
        <w:rPr>
          <w:rFonts w:ascii="Times New Roman" w:eastAsia="Times New Roman" w:hAnsi="Times New Roman" w:cs="Times New Roman"/>
          <w:b w:val="0"/>
          <w:color w:val="auto"/>
          <w:kern w:val="36"/>
          <w:sz w:val="22"/>
          <w:szCs w:val="22"/>
          <w:lang w:val="en-US" w:eastAsia="en-GB"/>
        </w:rPr>
        <w:t xml:space="preserve"> First year of FTSE 100 reports under the UK Modern Slavery Act: Towards elimination? https://www.business-humanrights.org/sites/default/files/FTSE%20100%20Report%20FINAL%20%28002%291Dec2017.pdf. </w:t>
      </w:r>
    </w:p>
    <w:p w14:paraId="49E10C32" w14:textId="77777777" w:rsidR="00DC7306" w:rsidRDefault="00FA6E8C" w:rsidP="00FF529C">
      <w:pPr>
        <w:tabs>
          <w:tab w:val="left" w:pos="284"/>
        </w:tabs>
        <w:spacing w:after="0" w:line="240" w:lineRule="auto"/>
        <w:ind w:left="284" w:hanging="284"/>
        <w:jc w:val="both"/>
        <w:rPr>
          <w:rFonts w:ascii="Times New Roman" w:eastAsia="Times New Roman" w:hAnsi="Times New Roman" w:cs="Times New Roman"/>
          <w:lang w:val="en-US"/>
        </w:rPr>
      </w:pPr>
      <w:r w:rsidRPr="00622F6C">
        <w:rPr>
          <w:rFonts w:ascii="Times New Roman" w:eastAsia="Times New Roman" w:hAnsi="Times New Roman" w:cs="Times New Roman"/>
          <w:lang w:val="en-US"/>
        </w:rPr>
        <w:t xml:space="preserve">Butler-Sloss, E., F. Field, J. Randall, 2015. Establishing Britain as a world leader in the fight against modern slavery. Report of the Modern Slavery Bill evidence review. </w:t>
      </w:r>
      <w:hyperlink r:id="rId14" w:history="1">
        <w:r w:rsidRPr="00622F6C">
          <w:rPr>
            <w:rStyle w:val="Hyperlink"/>
            <w:rFonts w:ascii="Times New Roman" w:eastAsia="Times New Roman" w:hAnsi="Times New Roman" w:cs="Times New Roman"/>
            <w:color w:val="auto"/>
            <w:u w:val="none"/>
            <w:lang w:val="en-US"/>
          </w:rPr>
          <w:t>https://www.centreforsocialjustice.org.uk/library/establishing-britain-world-leader-fight-modern-slavery</w:t>
        </w:r>
      </w:hyperlink>
      <w:r w:rsidR="00DC7306" w:rsidRPr="00622F6C">
        <w:rPr>
          <w:rFonts w:ascii="Times New Roman" w:eastAsia="Times New Roman" w:hAnsi="Times New Roman" w:cs="Times New Roman"/>
          <w:lang w:val="en-US"/>
        </w:rPr>
        <w:t>.</w:t>
      </w:r>
    </w:p>
    <w:p w14:paraId="599DAB3C" w14:textId="0BA36142" w:rsidR="002D493B" w:rsidRPr="00622F6C" w:rsidRDefault="002D493B" w:rsidP="00FF529C">
      <w:pPr>
        <w:spacing w:after="0" w:line="240" w:lineRule="auto"/>
        <w:ind w:left="284" w:hanging="284"/>
        <w:jc w:val="both"/>
        <w:rPr>
          <w:rFonts w:ascii="Times New Roman" w:eastAsia="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Campello, M., G. Cortes, F. D'Almeida, G. Kankanhalli, 201</w:t>
      </w:r>
      <w:r w:rsidR="00AC7DEE">
        <w:rPr>
          <w:rFonts w:ascii="Times New Roman" w:hAnsi="Times New Roman" w:cs="Times New Roman"/>
          <w:color w:val="222222"/>
          <w:shd w:val="clear" w:color="auto" w:fill="FFFFFF"/>
          <w:lang w:val="en-US"/>
        </w:rPr>
        <w:t>8</w:t>
      </w:r>
      <w:r w:rsidRPr="00622F6C">
        <w:rPr>
          <w:rFonts w:ascii="Times New Roman" w:hAnsi="Times New Roman" w:cs="Times New Roman"/>
          <w:color w:val="222222"/>
          <w:shd w:val="clear" w:color="auto" w:fill="FFFFFF"/>
          <w:lang w:val="en-US"/>
        </w:rPr>
        <w:t xml:space="preserve">. Exporting uncertainty: The impact of Brexit on corporate America. Working paper, SSRN. </w:t>
      </w:r>
    </w:p>
    <w:p w14:paraId="10BF0B2B" w14:textId="77777777" w:rsidR="00985C46" w:rsidRPr="00622F6C" w:rsidRDefault="00985C46" w:rsidP="00FF529C">
      <w:pPr>
        <w:spacing w:after="0" w:line="240" w:lineRule="auto"/>
        <w:ind w:left="284" w:hanging="284"/>
        <w:jc w:val="both"/>
        <w:rPr>
          <w:rFonts w:ascii="Times New Roman" w:eastAsia="Times New Roman" w:hAnsi="Times New Roman" w:cs="Times New Roman"/>
          <w:shd w:val="clear" w:color="auto" w:fill="FFFFFF"/>
          <w:lang w:val="en-US"/>
        </w:rPr>
      </w:pPr>
      <w:r w:rsidRPr="00622F6C">
        <w:rPr>
          <w:rFonts w:ascii="Times New Roman" w:eastAsia="Times New Roman" w:hAnsi="Times New Roman" w:cs="Times New Roman"/>
          <w:shd w:val="clear" w:color="auto" w:fill="FFFFFF"/>
          <w:lang w:val="en-US"/>
        </w:rPr>
        <w:t>Centre for Social Justice (CSJ)</w:t>
      </w:r>
      <w:r w:rsidR="00EA3540" w:rsidRPr="00622F6C">
        <w:rPr>
          <w:rFonts w:ascii="Times New Roman" w:eastAsia="Times New Roman" w:hAnsi="Times New Roman" w:cs="Times New Roman"/>
          <w:shd w:val="clear" w:color="auto" w:fill="FFFFFF"/>
          <w:lang w:val="en-US"/>
        </w:rPr>
        <w:t xml:space="preserve">, 2013. It happens here: Equipping the United Kingdom to fight modern slavery. </w:t>
      </w:r>
      <w:hyperlink r:id="rId15" w:history="1">
        <w:r w:rsidR="00EA3540" w:rsidRPr="00622F6C">
          <w:rPr>
            <w:rStyle w:val="Hyperlink"/>
            <w:rFonts w:ascii="Times New Roman" w:eastAsia="Times New Roman" w:hAnsi="Times New Roman" w:cs="Times New Roman"/>
            <w:color w:val="auto"/>
            <w:u w:val="none"/>
            <w:shd w:val="clear" w:color="auto" w:fill="FFFFFF"/>
            <w:lang w:val="en-US"/>
          </w:rPr>
          <w:t>http://www.centreforsocialjustice.org.uk/library/happens-equipping-united-kingdom-fight-modern-slavery</w:t>
        </w:r>
      </w:hyperlink>
      <w:r w:rsidR="008B6F0E" w:rsidRPr="00622F6C">
        <w:rPr>
          <w:rFonts w:ascii="Times New Roman" w:eastAsia="Times New Roman" w:hAnsi="Times New Roman" w:cs="Times New Roman"/>
          <w:shd w:val="clear" w:color="auto" w:fill="FFFFFF"/>
          <w:lang w:val="en-US"/>
        </w:rPr>
        <w:t>.</w:t>
      </w:r>
      <w:r w:rsidR="00EA3540" w:rsidRPr="00622F6C">
        <w:rPr>
          <w:rFonts w:ascii="Times New Roman" w:eastAsia="Times New Roman" w:hAnsi="Times New Roman" w:cs="Times New Roman"/>
          <w:shd w:val="clear" w:color="auto" w:fill="FFFFFF"/>
          <w:lang w:val="en-US"/>
        </w:rPr>
        <w:t xml:space="preserve"> </w:t>
      </w:r>
    </w:p>
    <w:p w14:paraId="0C1C3974" w14:textId="77777777" w:rsidR="00D016C0" w:rsidRDefault="00D016C0" w:rsidP="00FF529C">
      <w:pPr>
        <w:tabs>
          <w:tab w:val="left" w:pos="284"/>
        </w:tabs>
        <w:spacing w:after="0" w:line="240" w:lineRule="auto"/>
        <w:ind w:left="284" w:right="-46" w:hanging="284"/>
        <w:rPr>
          <w:rStyle w:val="Hyperlink"/>
          <w:rFonts w:ascii="Times New Roman" w:hAnsi="Times New Roman" w:cs="Times New Roman"/>
          <w:color w:val="auto"/>
          <w:u w:val="none"/>
          <w:lang w:val="en-US"/>
        </w:rPr>
      </w:pPr>
      <w:r w:rsidRPr="00622F6C">
        <w:rPr>
          <w:rFonts w:ascii="Times New Roman" w:eastAsia="Times New Roman" w:hAnsi="Times New Roman" w:cs="Times New Roman"/>
          <w:lang w:val="en-US"/>
        </w:rPr>
        <w:t>Chartered Insti</w:t>
      </w:r>
      <w:r w:rsidR="00DE6923" w:rsidRPr="00622F6C">
        <w:rPr>
          <w:rFonts w:ascii="Times New Roman" w:eastAsia="Times New Roman" w:hAnsi="Times New Roman" w:cs="Times New Roman"/>
          <w:lang w:val="en-US"/>
        </w:rPr>
        <w:t>tute of Procurement and Supply</w:t>
      </w:r>
      <w:r w:rsidR="003A5788">
        <w:rPr>
          <w:rFonts w:ascii="Times New Roman" w:eastAsia="Times New Roman" w:hAnsi="Times New Roman" w:cs="Times New Roman"/>
          <w:lang w:val="en-US"/>
        </w:rPr>
        <w:t xml:space="preserve"> (</w:t>
      </w:r>
      <w:r w:rsidR="003A5788" w:rsidRPr="00622F6C">
        <w:rPr>
          <w:rFonts w:ascii="Times New Roman" w:eastAsia="Times New Roman" w:hAnsi="Times New Roman" w:cs="Times New Roman"/>
          <w:lang w:val="en-US"/>
        </w:rPr>
        <w:t>CIPS</w:t>
      </w:r>
      <w:r w:rsidR="00DE6923" w:rsidRPr="00622F6C">
        <w:rPr>
          <w:rFonts w:ascii="Times New Roman" w:eastAsia="Times New Roman" w:hAnsi="Times New Roman" w:cs="Times New Roman"/>
          <w:lang w:val="en-US"/>
        </w:rPr>
        <w:t xml:space="preserve">) </w:t>
      </w:r>
      <w:r w:rsidRPr="00622F6C">
        <w:rPr>
          <w:rFonts w:ascii="Times New Roman" w:eastAsia="Times New Roman" w:hAnsi="Times New Roman" w:cs="Times New Roman"/>
          <w:lang w:val="en-US"/>
        </w:rPr>
        <w:t>and Walk</w:t>
      </w:r>
      <w:r w:rsidR="008B6F0E" w:rsidRPr="00622F6C">
        <w:rPr>
          <w:rFonts w:ascii="Times New Roman" w:eastAsia="Times New Roman" w:hAnsi="Times New Roman" w:cs="Times New Roman"/>
          <w:lang w:val="en-US"/>
        </w:rPr>
        <w:t xml:space="preserve"> Free Foundation, 2013. Modern slavery in supply c</w:t>
      </w:r>
      <w:r w:rsidRPr="00622F6C">
        <w:rPr>
          <w:rFonts w:ascii="Times New Roman" w:eastAsia="Times New Roman" w:hAnsi="Times New Roman" w:cs="Times New Roman"/>
          <w:lang w:val="en-US"/>
        </w:rPr>
        <w:t xml:space="preserve">hains. </w:t>
      </w:r>
      <w:hyperlink r:id="rId16" w:history="1">
        <w:r w:rsidR="008B6F0E" w:rsidRPr="00622F6C">
          <w:rPr>
            <w:rStyle w:val="Hyperlink"/>
            <w:rFonts w:ascii="Times New Roman" w:hAnsi="Times New Roman" w:cs="Times New Roman"/>
            <w:color w:val="auto"/>
            <w:u w:val="none"/>
            <w:lang w:val="en-US"/>
          </w:rPr>
          <w:t>https://www.cips.org/Documents/About%20CIPS/Ethics/CIPS_ModernSlavery_Broch_WEB.pdf</w:t>
        </w:r>
      </w:hyperlink>
    </w:p>
    <w:p w14:paraId="31D4DFE6" w14:textId="77777777" w:rsidR="00F97819" w:rsidRDefault="00F97819" w:rsidP="00FF529C">
      <w:pPr>
        <w:tabs>
          <w:tab w:val="left" w:pos="284"/>
        </w:tabs>
        <w:spacing w:after="0" w:line="240" w:lineRule="auto"/>
        <w:ind w:left="284" w:right="-46"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Cheng, B., I. Ioannou, G. Serafeim, 2014. Corporate social respon</w:t>
      </w:r>
      <w:r w:rsidR="008B6F0E" w:rsidRPr="00622F6C">
        <w:rPr>
          <w:rFonts w:ascii="Times New Roman" w:hAnsi="Times New Roman" w:cs="Times New Roman"/>
          <w:color w:val="222222"/>
          <w:shd w:val="clear" w:color="auto" w:fill="FFFFFF"/>
          <w:lang w:val="en-US"/>
        </w:rPr>
        <w:t xml:space="preserve">sibility and access to finance. </w:t>
      </w:r>
      <w:r w:rsidRPr="00622F6C">
        <w:rPr>
          <w:rFonts w:ascii="Times New Roman" w:hAnsi="Times New Roman" w:cs="Times New Roman"/>
          <w:iCs/>
          <w:color w:val="222222"/>
          <w:shd w:val="clear" w:color="auto" w:fill="FFFFFF"/>
          <w:lang w:val="en-US"/>
        </w:rPr>
        <w:t>Strategic Management Journal</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35</w:t>
      </w:r>
      <w:r w:rsidR="00673958" w:rsidRPr="00622F6C">
        <w:rPr>
          <w:rFonts w:ascii="Times New Roman" w:hAnsi="Times New Roman" w:cs="Times New Roman"/>
          <w:iCs/>
          <w:color w:val="222222"/>
          <w:shd w:val="clear" w:color="auto" w:fill="FFFFFF"/>
          <w:lang w:val="en-US"/>
        </w:rPr>
        <w:t xml:space="preserve"> </w:t>
      </w:r>
      <w:r w:rsidRPr="00622F6C">
        <w:rPr>
          <w:rFonts w:ascii="Times New Roman" w:hAnsi="Times New Roman" w:cs="Times New Roman"/>
          <w:color w:val="222222"/>
          <w:shd w:val="clear" w:color="auto" w:fill="FFFFFF"/>
          <w:lang w:val="en-US"/>
        </w:rPr>
        <w:t>(1), 1-23.</w:t>
      </w:r>
    </w:p>
    <w:p w14:paraId="4E9E3C57" w14:textId="77777777" w:rsidR="008933D0" w:rsidRPr="008933D0" w:rsidRDefault="008933D0" w:rsidP="00FF529C">
      <w:pPr>
        <w:tabs>
          <w:tab w:val="left" w:pos="284"/>
        </w:tabs>
        <w:spacing w:after="0" w:line="240" w:lineRule="auto"/>
        <w:ind w:left="284" w:right="-46" w:hanging="284"/>
        <w:rPr>
          <w:rFonts w:ascii="Times New Roman" w:eastAsia="Times New Roman" w:hAnsi="Times New Roman" w:cs="Times New Roman"/>
          <w:lang w:val="en-US"/>
        </w:rPr>
      </w:pPr>
      <w:r w:rsidRPr="008933D0">
        <w:rPr>
          <w:rFonts w:ascii="Times New Roman" w:hAnsi="Times New Roman" w:cs="Times New Roman"/>
          <w:color w:val="222222"/>
        </w:rPr>
        <w:t xml:space="preserve">Chhaochharia, V., Y. Grinstein, 2007. Corporate governance and firm value: The impact of the 2002 governance rules. </w:t>
      </w:r>
      <w:r w:rsidRPr="008933D0">
        <w:rPr>
          <w:rFonts w:ascii="Times New Roman" w:hAnsi="Times New Roman" w:cs="Times New Roman"/>
          <w:iCs/>
          <w:color w:val="222222"/>
        </w:rPr>
        <w:t>The Journal of Finance</w:t>
      </w:r>
      <w:r w:rsidRPr="008933D0">
        <w:rPr>
          <w:rFonts w:ascii="Times New Roman" w:hAnsi="Times New Roman" w:cs="Times New Roman"/>
          <w:color w:val="222222"/>
        </w:rPr>
        <w:t xml:space="preserve"> </w:t>
      </w:r>
      <w:r w:rsidRPr="008933D0">
        <w:rPr>
          <w:rFonts w:ascii="Times New Roman" w:hAnsi="Times New Roman" w:cs="Times New Roman"/>
          <w:iCs/>
          <w:color w:val="222222"/>
        </w:rPr>
        <w:t xml:space="preserve">62 </w:t>
      </w:r>
      <w:r w:rsidRPr="008933D0">
        <w:rPr>
          <w:rFonts w:ascii="Times New Roman" w:hAnsi="Times New Roman" w:cs="Times New Roman"/>
          <w:color w:val="222222"/>
        </w:rPr>
        <w:t>(4), 1789-1825.</w:t>
      </w:r>
    </w:p>
    <w:p w14:paraId="277DC1E1" w14:textId="77777777" w:rsidR="001C39F7" w:rsidRPr="00622F6C" w:rsidRDefault="001C39F7" w:rsidP="00FF529C">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Cho, S</w:t>
      </w:r>
      <w:r w:rsidR="0019571F">
        <w:rPr>
          <w:rFonts w:ascii="Times New Roman" w:hAnsi="Times New Roman" w:cs="Times New Roman"/>
          <w:shd w:val="clear" w:color="auto" w:fill="FFFFFF"/>
          <w:lang w:val="en-US"/>
        </w:rPr>
        <w:t>.</w:t>
      </w:r>
      <w:r w:rsidRPr="00622F6C">
        <w:rPr>
          <w:rFonts w:ascii="Times New Roman" w:hAnsi="Times New Roman" w:cs="Times New Roman"/>
          <w:shd w:val="clear" w:color="auto" w:fill="FFFFFF"/>
          <w:lang w:val="en-US"/>
        </w:rPr>
        <w:t xml:space="preserve">-H., </w:t>
      </w:r>
      <w:r w:rsidR="00C77792" w:rsidRPr="00622F6C">
        <w:rPr>
          <w:rFonts w:ascii="Times New Roman" w:hAnsi="Times New Roman" w:cs="Times New Roman"/>
          <w:shd w:val="clear" w:color="auto" w:fill="FFFFFF"/>
          <w:lang w:val="en-US"/>
        </w:rPr>
        <w:t>X. Fang</w:t>
      </w:r>
      <w:r w:rsidRPr="00622F6C">
        <w:rPr>
          <w:rFonts w:ascii="Times New Roman" w:hAnsi="Times New Roman" w:cs="Times New Roman"/>
          <w:shd w:val="clear" w:color="auto" w:fill="FFFFFF"/>
          <w:lang w:val="en-US"/>
        </w:rPr>
        <w:t xml:space="preserve">, S.R. Tayur, </w:t>
      </w:r>
      <w:r w:rsidR="00C77792" w:rsidRPr="00622F6C">
        <w:rPr>
          <w:rFonts w:ascii="Times New Roman" w:hAnsi="Times New Roman" w:cs="Times New Roman"/>
          <w:shd w:val="clear" w:color="auto" w:fill="FFFFFF"/>
          <w:lang w:val="en-US"/>
        </w:rPr>
        <w:t xml:space="preserve">Y. </w:t>
      </w:r>
      <w:r w:rsidRPr="00622F6C">
        <w:rPr>
          <w:rFonts w:ascii="Times New Roman" w:hAnsi="Times New Roman" w:cs="Times New Roman"/>
          <w:shd w:val="clear" w:color="auto" w:fill="FFFFFF"/>
          <w:lang w:val="en-US"/>
        </w:rPr>
        <w:t>Xu, 201</w:t>
      </w:r>
      <w:r w:rsidR="00A17DC0">
        <w:rPr>
          <w:rFonts w:ascii="Times New Roman" w:hAnsi="Times New Roman" w:cs="Times New Roman"/>
          <w:shd w:val="clear" w:color="auto" w:fill="FFFFFF"/>
          <w:lang w:val="en-US"/>
        </w:rPr>
        <w:t>5</w:t>
      </w:r>
      <w:r w:rsidRPr="00622F6C">
        <w:rPr>
          <w:rFonts w:ascii="Times New Roman" w:hAnsi="Times New Roman" w:cs="Times New Roman"/>
          <w:shd w:val="clear" w:color="auto" w:fill="FFFFFF"/>
          <w:lang w:val="en-US"/>
        </w:rPr>
        <w:t xml:space="preserve">. Combating child labor: Incentives and information disclosure in global supply chains. </w:t>
      </w:r>
      <w:r w:rsidRPr="00622F6C">
        <w:rPr>
          <w:rFonts w:ascii="Times New Roman" w:hAnsi="Times New Roman" w:cs="Times New Roman"/>
          <w:iCs/>
          <w:shd w:val="clear" w:color="auto" w:fill="FFFFFF"/>
          <w:lang w:val="en-US"/>
        </w:rPr>
        <w:t xml:space="preserve">Working paper, SSRN. </w:t>
      </w:r>
    </w:p>
    <w:p w14:paraId="1E839A46" w14:textId="77777777" w:rsidR="00D016C0" w:rsidRPr="00622F6C" w:rsidRDefault="00D016C0" w:rsidP="00FF529C">
      <w:pPr>
        <w:tabs>
          <w:tab w:val="left" w:pos="284"/>
        </w:tabs>
        <w:spacing w:after="0" w:line="240" w:lineRule="auto"/>
        <w:ind w:left="284" w:right="-46" w:hanging="284"/>
        <w:jc w:val="both"/>
        <w:rPr>
          <w:rFonts w:ascii="Times New Roman" w:eastAsia="Times New Roman" w:hAnsi="Times New Roman" w:cs="Times New Roman"/>
          <w:lang w:val="en-US"/>
        </w:rPr>
      </w:pPr>
      <w:r w:rsidRPr="00622F6C">
        <w:rPr>
          <w:rFonts w:ascii="Times New Roman" w:eastAsia="Times New Roman" w:hAnsi="Times New Roman" w:cs="Times New Roman"/>
          <w:lang w:val="en-US"/>
        </w:rPr>
        <w:t xml:space="preserve">Churchill, F., 2017. Modern Slavery Act prosecutions more than quadruple. </w:t>
      </w:r>
      <w:hyperlink r:id="rId17" w:history="1">
        <w:r w:rsidRPr="00622F6C">
          <w:rPr>
            <w:rStyle w:val="Hyperlink"/>
            <w:rFonts w:ascii="Times New Roman" w:eastAsia="Times New Roman" w:hAnsi="Times New Roman" w:cs="Times New Roman"/>
            <w:color w:val="auto"/>
            <w:u w:val="none"/>
            <w:lang w:val="en-US"/>
          </w:rPr>
          <w:t>https://www.cips.org/supply-management/news/2017/june/prosecutions-under-the-modern-slavery-act-more-that-quadruple</w:t>
        </w:r>
      </w:hyperlink>
      <w:r w:rsidR="00DE6923" w:rsidRPr="00622F6C">
        <w:rPr>
          <w:rFonts w:ascii="Times New Roman" w:eastAsia="Times New Roman" w:hAnsi="Times New Roman" w:cs="Times New Roman"/>
          <w:lang w:val="en-US"/>
        </w:rPr>
        <w:t>.</w:t>
      </w:r>
    </w:p>
    <w:p w14:paraId="39C2387C" w14:textId="77777777" w:rsidR="006E6FAF" w:rsidRPr="00622F6C" w:rsidRDefault="006E6FAF" w:rsidP="00E863D6">
      <w:pPr>
        <w:spacing w:after="0" w:line="240" w:lineRule="auto"/>
        <w:ind w:left="426" w:hanging="426"/>
        <w:jc w:val="both"/>
        <w:rPr>
          <w:rFonts w:ascii="Times New Roman" w:eastAsia="Times New Roman" w:hAnsi="Times New Roman" w:cs="Times New Roman"/>
          <w:lang w:val="en-US"/>
        </w:rPr>
      </w:pPr>
      <w:r w:rsidRPr="00622F6C">
        <w:rPr>
          <w:rFonts w:ascii="Times New Roman" w:hAnsi="Times New Roman" w:cs="Times New Roman"/>
          <w:shd w:val="clear" w:color="auto" w:fill="FFFFFF"/>
          <w:lang w:val="en-US"/>
        </w:rPr>
        <w:t>Coase, R.H.</w:t>
      </w:r>
      <w:r w:rsidR="008864E7" w:rsidRPr="00622F6C">
        <w:rPr>
          <w:rFonts w:ascii="Times New Roman" w:hAnsi="Times New Roman" w:cs="Times New Roman"/>
          <w:shd w:val="clear" w:color="auto" w:fill="FFFFFF"/>
          <w:lang w:val="en-US"/>
        </w:rPr>
        <w:t>, 1960.</w:t>
      </w:r>
      <w:r w:rsidRPr="00622F6C">
        <w:rPr>
          <w:rFonts w:ascii="Times New Roman" w:hAnsi="Times New Roman" w:cs="Times New Roman"/>
          <w:shd w:val="clear" w:color="auto" w:fill="FFFFFF"/>
          <w:lang w:val="en-US"/>
        </w:rPr>
        <w:t xml:space="preserve"> </w:t>
      </w:r>
      <w:r w:rsidRPr="00622F6C">
        <w:rPr>
          <w:rFonts w:ascii="Times New Roman" w:eastAsia="Times New Roman" w:hAnsi="Times New Roman" w:cs="Times New Roman"/>
          <w:lang w:val="en-US"/>
        </w:rPr>
        <w:t>The problem of social cost. The Journal of Law and Economics 3</w:t>
      </w:r>
      <w:r w:rsidR="008864E7" w:rsidRPr="00622F6C">
        <w:rPr>
          <w:rFonts w:ascii="Times New Roman" w:eastAsia="Times New Roman" w:hAnsi="Times New Roman" w:cs="Times New Roman"/>
          <w:lang w:val="en-US"/>
        </w:rPr>
        <w:t xml:space="preserve"> (</w:t>
      </w:r>
      <w:r w:rsidRPr="00622F6C">
        <w:rPr>
          <w:rFonts w:ascii="Times New Roman" w:eastAsia="Times New Roman" w:hAnsi="Times New Roman" w:cs="Times New Roman"/>
          <w:lang w:val="en-US"/>
        </w:rPr>
        <w:t>October</w:t>
      </w:r>
      <w:r w:rsidR="008864E7" w:rsidRPr="00622F6C">
        <w:rPr>
          <w:rFonts w:ascii="Times New Roman" w:eastAsia="Times New Roman" w:hAnsi="Times New Roman" w:cs="Times New Roman"/>
          <w:lang w:val="en-US"/>
        </w:rPr>
        <w:t>),</w:t>
      </w:r>
      <w:r w:rsidRPr="00622F6C">
        <w:rPr>
          <w:rFonts w:ascii="Times New Roman" w:eastAsia="Times New Roman" w:hAnsi="Times New Roman" w:cs="Times New Roman"/>
          <w:lang w:val="en-US"/>
        </w:rPr>
        <w:t xml:space="preserve"> 1-44.</w:t>
      </w:r>
    </w:p>
    <w:p w14:paraId="6AFDCAB4" w14:textId="77777777" w:rsidR="00673958" w:rsidRPr="00622F6C" w:rsidRDefault="00673958" w:rsidP="00FF529C">
      <w:pPr>
        <w:spacing w:after="0" w:line="240" w:lineRule="auto"/>
        <w:ind w:left="284" w:hanging="284"/>
        <w:jc w:val="both"/>
        <w:rPr>
          <w:rFonts w:ascii="Times New Roman" w:eastAsia="Times New Roman" w:hAnsi="Times New Roman" w:cs="Times New Roman"/>
          <w:lang w:val="en-US"/>
        </w:rPr>
      </w:pPr>
      <w:r w:rsidRPr="00622F6C">
        <w:rPr>
          <w:rFonts w:ascii="Times New Roman" w:eastAsia="Times New Roman" w:hAnsi="Times New Roman" w:cs="Times New Roman"/>
          <w:lang w:val="en-US"/>
        </w:rPr>
        <w:lastRenderedPageBreak/>
        <w:t xml:space="preserve">Core Coalition, 2017. </w:t>
      </w:r>
      <w:r w:rsidRPr="00622F6C">
        <w:rPr>
          <w:rFonts w:ascii="Times New Roman" w:hAnsi="Times New Roman" w:cs="Times New Roman"/>
          <w:lang w:val="en-US"/>
        </w:rPr>
        <w:t xml:space="preserve">Risk averse? Company reporting on raw material and sector-specific risks under the Transparency in Supply Chains clause in the UK Modern Slavery Act 2015. </w:t>
      </w:r>
      <w:r w:rsidR="00DE6923" w:rsidRPr="00622F6C">
        <w:rPr>
          <w:rFonts w:ascii="Times New Roman" w:hAnsi="Times New Roman" w:cs="Times New Roman"/>
          <w:lang w:val="en-US"/>
        </w:rPr>
        <w:t>http://corporate-responsibility.org/wp-content/uploads/2017/10/171003_Risk-Averse-FINAL-1.pdf</w:t>
      </w:r>
    </w:p>
    <w:p w14:paraId="25565D8B" w14:textId="77777777" w:rsidR="00EC3BC4" w:rsidRPr="00534F8C" w:rsidRDefault="00EC3BC4" w:rsidP="00FF529C">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 xml:space="preserve">Cornett, M.M., Z. Rezaee, H. Tehranian, 1996. An investigation of capital market reactions to </w:t>
      </w:r>
      <w:r w:rsidRPr="00A40499">
        <w:rPr>
          <w:rFonts w:ascii="Times New Roman" w:hAnsi="Times New Roman" w:cs="Times New Roman"/>
          <w:color w:val="222222"/>
          <w:shd w:val="clear" w:color="auto" w:fill="FFFFFF"/>
          <w:lang w:val="en-US"/>
        </w:rPr>
        <w:t xml:space="preserve">pronouncements on fair value accounting. </w:t>
      </w:r>
      <w:r w:rsidRPr="00A40499">
        <w:rPr>
          <w:rFonts w:ascii="Times New Roman" w:hAnsi="Times New Roman" w:cs="Times New Roman"/>
          <w:iCs/>
          <w:color w:val="222222"/>
          <w:shd w:val="clear" w:color="auto" w:fill="FFFFFF"/>
          <w:lang w:val="en-US"/>
        </w:rPr>
        <w:t>Journal of Accounting and Economics</w:t>
      </w:r>
      <w:r w:rsidRPr="00534F8C">
        <w:rPr>
          <w:rFonts w:ascii="Times New Roman" w:hAnsi="Times New Roman" w:cs="Times New Roman"/>
          <w:color w:val="222222"/>
          <w:shd w:val="clear" w:color="auto" w:fill="FFFFFF"/>
          <w:lang w:val="en-US"/>
        </w:rPr>
        <w:t xml:space="preserve"> </w:t>
      </w:r>
      <w:r w:rsidRPr="00534F8C">
        <w:rPr>
          <w:rFonts w:ascii="Times New Roman" w:hAnsi="Times New Roman" w:cs="Times New Roman"/>
          <w:iCs/>
          <w:color w:val="222222"/>
          <w:shd w:val="clear" w:color="auto" w:fill="FFFFFF"/>
          <w:lang w:val="en-US"/>
        </w:rPr>
        <w:t>22</w:t>
      </w:r>
      <w:r w:rsidR="00D8552E" w:rsidRPr="00534F8C">
        <w:rPr>
          <w:rFonts w:ascii="Times New Roman" w:hAnsi="Times New Roman" w:cs="Times New Roman"/>
          <w:iCs/>
          <w:color w:val="222222"/>
          <w:shd w:val="clear" w:color="auto" w:fill="FFFFFF"/>
          <w:lang w:val="en-US"/>
        </w:rPr>
        <w:t xml:space="preserve"> </w:t>
      </w:r>
      <w:r w:rsidRPr="00534F8C">
        <w:rPr>
          <w:rFonts w:ascii="Times New Roman" w:hAnsi="Times New Roman" w:cs="Times New Roman"/>
          <w:color w:val="222222"/>
          <w:shd w:val="clear" w:color="auto" w:fill="FFFFFF"/>
          <w:lang w:val="en-US"/>
        </w:rPr>
        <w:t>(1-3), 119-154.</w:t>
      </w:r>
    </w:p>
    <w:p w14:paraId="7D4F649A" w14:textId="77179F03" w:rsidR="00A40499" w:rsidRPr="00A40499" w:rsidRDefault="00A40499" w:rsidP="00FF529C">
      <w:pPr>
        <w:spacing w:after="0" w:line="240" w:lineRule="auto"/>
        <w:ind w:left="284" w:hanging="284"/>
        <w:jc w:val="both"/>
        <w:rPr>
          <w:rFonts w:ascii="Times New Roman" w:eastAsia="Times New Roman" w:hAnsi="Times New Roman" w:cs="Times New Roman"/>
          <w:lang w:val="en-US"/>
        </w:rPr>
      </w:pPr>
      <w:r w:rsidRPr="00955DFE">
        <w:rPr>
          <w:rFonts w:ascii="Times New Roman" w:hAnsi="Times New Roman" w:cs="Times New Roman"/>
          <w:color w:val="222222"/>
        </w:rPr>
        <w:t xml:space="preserve">Corrado, C.J., 2011. Event studies: A methodology review. </w:t>
      </w:r>
      <w:r w:rsidRPr="00955DFE">
        <w:rPr>
          <w:rFonts w:ascii="Times New Roman" w:hAnsi="Times New Roman" w:cs="Times New Roman"/>
          <w:iCs/>
          <w:color w:val="222222"/>
        </w:rPr>
        <w:t>Accounting &amp; Finance</w:t>
      </w:r>
      <w:r w:rsidRPr="00955DFE">
        <w:rPr>
          <w:rFonts w:ascii="Times New Roman" w:hAnsi="Times New Roman" w:cs="Times New Roman"/>
          <w:color w:val="222222"/>
        </w:rPr>
        <w:t xml:space="preserve"> </w:t>
      </w:r>
      <w:r w:rsidRPr="00955DFE">
        <w:rPr>
          <w:rFonts w:ascii="Times New Roman" w:hAnsi="Times New Roman" w:cs="Times New Roman"/>
          <w:iCs/>
          <w:color w:val="222222"/>
        </w:rPr>
        <w:t>51</w:t>
      </w:r>
      <w:r w:rsidR="00F6665B">
        <w:rPr>
          <w:rFonts w:ascii="Times New Roman" w:hAnsi="Times New Roman" w:cs="Times New Roman"/>
          <w:iCs/>
          <w:color w:val="222222"/>
        </w:rPr>
        <w:t xml:space="preserve"> </w:t>
      </w:r>
      <w:r w:rsidRPr="00955DFE">
        <w:rPr>
          <w:rFonts w:ascii="Times New Roman" w:hAnsi="Times New Roman" w:cs="Times New Roman"/>
          <w:color w:val="222222"/>
        </w:rPr>
        <w:t>( 1), 207-234.</w:t>
      </w:r>
    </w:p>
    <w:p w14:paraId="69D3503E" w14:textId="77777777" w:rsidR="00F50256" w:rsidRPr="00622F6C" w:rsidRDefault="00F50256" w:rsidP="00FF529C">
      <w:pPr>
        <w:spacing w:after="0" w:line="240" w:lineRule="auto"/>
        <w:ind w:left="284" w:hanging="284"/>
        <w:jc w:val="both"/>
        <w:rPr>
          <w:rFonts w:ascii="Times New Roman" w:hAnsi="Times New Roman" w:cs="Times New Roman"/>
          <w:iCs/>
          <w:shd w:val="clear" w:color="auto" w:fill="FFFFFF"/>
          <w:lang w:val="en-US"/>
        </w:rPr>
      </w:pPr>
      <w:r w:rsidRPr="00622F6C">
        <w:rPr>
          <w:rFonts w:ascii="Times New Roman" w:hAnsi="Times New Roman" w:cs="Times New Roman"/>
          <w:iCs/>
          <w:shd w:val="clear" w:color="auto" w:fill="FFFFFF"/>
          <w:lang w:val="en-US"/>
        </w:rPr>
        <w:t>Crane, A.</w:t>
      </w:r>
      <w:r w:rsidR="0019571F">
        <w:rPr>
          <w:rFonts w:ascii="Times New Roman" w:hAnsi="Times New Roman" w:cs="Times New Roman"/>
          <w:iCs/>
          <w:shd w:val="clear" w:color="auto" w:fill="FFFFFF"/>
          <w:lang w:val="en-US"/>
        </w:rPr>
        <w:t>,</w:t>
      </w:r>
      <w:r w:rsidRPr="00622F6C">
        <w:rPr>
          <w:rFonts w:ascii="Times New Roman" w:hAnsi="Times New Roman" w:cs="Times New Roman"/>
          <w:iCs/>
          <w:shd w:val="clear" w:color="auto" w:fill="FFFFFF"/>
          <w:lang w:val="en-US"/>
        </w:rPr>
        <w:t xml:space="preserve"> 2013. Modern slavery as a management practice: Exploring the conditions and capabilities for human exploitatio</w:t>
      </w:r>
      <w:r w:rsidR="00280C7F" w:rsidRPr="00622F6C">
        <w:rPr>
          <w:rFonts w:ascii="Times New Roman" w:hAnsi="Times New Roman" w:cs="Times New Roman"/>
          <w:iCs/>
          <w:shd w:val="clear" w:color="auto" w:fill="FFFFFF"/>
          <w:lang w:val="en-US"/>
        </w:rPr>
        <w:t>n. Academy of Management Review</w:t>
      </w:r>
      <w:r w:rsidRPr="00622F6C">
        <w:rPr>
          <w:rFonts w:ascii="Times New Roman" w:hAnsi="Times New Roman" w:cs="Times New Roman"/>
          <w:iCs/>
          <w:shd w:val="clear" w:color="auto" w:fill="FFFFFF"/>
          <w:lang w:val="en-US"/>
        </w:rPr>
        <w:t xml:space="preserve"> 38 (1), 49-69.</w:t>
      </w:r>
    </w:p>
    <w:p w14:paraId="6ABA54BB" w14:textId="77777777" w:rsidR="00FE1E1D" w:rsidRPr="00622F6C" w:rsidRDefault="00FE1E1D" w:rsidP="00FF529C">
      <w:pPr>
        <w:spacing w:after="0" w:line="240" w:lineRule="auto"/>
        <w:ind w:left="284" w:hanging="284"/>
        <w:jc w:val="both"/>
        <w:rPr>
          <w:rFonts w:ascii="Times New Roman" w:eastAsia="Times New Roman" w:hAnsi="Times New Roman" w:cs="Times New Roman"/>
          <w:lang w:val="en-US" w:eastAsia="en-GB"/>
        </w:rPr>
      </w:pPr>
      <w:r w:rsidRPr="00622F6C">
        <w:rPr>
          <w:rFonts w:ascii="Times New Roman" w:eastAsia="Times New Roman" w:hAnsi="Times New Roman" w:cs="Times New Roman"/>
          <w:lang w:val="en-US" w:eastAsia="en-GB"/>
        </w:rPr>
        <w:t xml:space="preserve">Creyer, E.H., </w:t>
      </w:r>
      <w:r w:rsidRPr="00D86194">
        <w:rPr>
          <w:rFonts w:ascii="Times New Roman" w:eastAsia="Times New Roman" w:hAnsi="Times New Roman" w:cs="Times New Roman"/>
          <w:lang w:val="en-US" w:eastAsia="en-GB"/>
        </w:rPr>
        <w:t>1997.</w:t>
      </w:r>
      <w:r w:rsidRPr="00622F6C">
        <w:rPr>
          <w:rFonts w:ascii="Times New Roman" w:eastAsia="Times New Roman" w:hAnsi="Times New Roman" w:cs="Times New Roman"/>
          <w:lang w:val="en-US" w:eastAsia="en-GB"/>
        </w:rPr>
        <w:t xml:space="preserve"> The influence of firm behavior on purchase intention: Do consumers really care about business ethics? </w:t>
      </w:r>
      <w:r w:rsidRPr="00622F6C">
        <w:rPr>
          <w:rFonts w:ascii="Times New Roman" w:eastAsia="Times New Roman" w:hAnsi="Times New Roman" w:cs="Times New Roman"/>
          <w:iCs/>
          <w:lang w:val="en-US" w:eastAsia="en-GB"/>
        </w:rPr>
        <w:t>Journal of Consumer Marketing</w:t>
      </w:r>
      <w:r w:rsidRPr="00622F6C">
        <w:rPr>
          <w:rFonts w:ascii="Times New Roman" w:eastAsia="Times New Roman" w:hAnsi="Times New Roman" w:cs="Times New Roman"/>
          <w:lang w:val="en-US" w:eastAsia="en-GB"/>
        </w:rPr>
        <w:t xml:space="preserve"> </w:t>
      </w:r>
      <w:r w:rsidRPr="00622F6C">
        <w:rPr>
          <w:rFonts w:ascii="Times New Roman" w:eastAsia="Times New Roman" w:hAnsi="Times New Roman" w:cs="Times New Roman"/>
          <w:iCs/>
          <w:lang w:val="en-US" w:eastAsia="en-GB"/>
        </w:rPr>
        <w:t xml:space="preserve">14 </w:t>
      </w:r>
      <w:r w:rsidRPr="00622F6C">
        <w:rPr>
          <w:rFonts w:ascii="Times New Roman" w:eastAsia="Times New Roman" w:hAnsi="Times New Roman" w:cs="Times New Roman"/>
          <w:lang w:val="en-US" w:eastAsia="en-GB"/>
        </w:rPr>
        <w:t>(6), 421-432.</w:t>
      </w:r>
    </w:p>
    <w:p w14:paraId="09516D98" w14:textId="77777777" w:rsidR="00141FC0" w:rsidRPr="00622F6C" w:rsidRDefault="00141FC0" w:rsidP="00FF529C">
      <w:pPr>
        <w:spacing w:after="0" w:line="240" w:lineRule="auto"/>
        <w:ind w:left="284" w:hanging="284"/>
        <w:jc w:val="both"/>
        <w:rPr>
          <w:rFonts w:ascii="Times New Roman" w:eastAsia="Times New Roman" w:hAnsi="Times New Roman" w:cs="Times New Roman"/>
          <w:lang w:val="en-US" w:eastAsia="en-GB"/>
        </w:rPr>
      </w:pPr>
      <w:r w:rsidRPr="00622F6C">
        <w:rPr>
          <w:rFonts w:ascii="Times New Roman" w:hAnsi="Times New Roman" w:cs="Times New Roman"/>
          <w:color w:val="222222"/>
          <w:shd w:val="clear" w:color="auto" w:fill="FFFFFF"/>
          <w:lang w:val="en-US"/>
        </w:rPr>
        <w:t>Darnall, N., I. Henriques, and P. Sadorsky, 2010. Adopting proactive environmental strategy: The influence of stakeholders and firm size.</w:t>
      </w:r>
      <w:r w:rsidR="00527B5D">
        <w:rPr>
          <w:rFonts w:ascii="Times New Roman" w:hAnsi="Times New Roman" w:cs="Times New Roman"/>
          <w:color w:val="222222"/>
          <w:shd w:val="clear" w:color="auto" w:fill="FFFFFF"/>
          <w:lang w:val="en-US"/>
        </w:rPr>
        <w:t xml:space="preserve"> </w:t>
      </w:r>
      <w:r w:rsidRPr="00E54777">
        <w:rPr>
          <w:rFonts w:ascii="Times New Roman" w:hAnsi="Times New Roman" w:cs="Times New Roman"/>
          <w:iCs/>
          <w:color w:val="222222"/>
          <w:shd w:val="clear" w:color="auto" w:fill="FFFFFF"/>
          <w:lang w:val="en-US"/>
        </w:rPr>
        <w:t>Journal of Management Studies</w:t>
      </w:r>
      <w:r w:rsidRPr="00527B5D">
        <w:rPr>
          <w:rFonts w:ascii="Times New Roman" w:hAnsi="Times New Roman" w:cs="Times New Roman"/>
          <w:color w:val="222222"/>
          <w:shd w:val="clear" w:color="auto" w:fill="FFFFFF"/>
          <w:lang w:val="en-US"/>
        </w:rPr>
        <w:t xml:space="preserve"> </w:t>
      </w:r>
      <w:r w:rsidRPr="00E54777">
        <w:rPr>
          <w:rFonts w:ascii="Times New Roman" w:hAnsi="Times New Roman" w:cs="Times New Roman"/>
          <w:iCs/>
          <w:color w:val="222222"/>
          <w:shd w:val="clear" w:color="auto" w:fill="FFFFFF"/>
          <w:lang w:val="en-US"/>
        </w:rPr>
        <w:t>47</w:t>
      </w:r>
      <w:r w:rsidRPr="00622F6C">
        <w:rPr>
          <w:rFonts w:ascii="Times New Roman" w:hAnsi="Times New Roman" w:cs="Times New Roman"/>
          <w:i/>
          <w:iCs/>
          <w:color w:val="222222"/>
          <w:shd w:val="clear" w:color="auto" w:fill="FFFFFF"/>
          <w:lang w:val="en-US"/>
        </w:rPr>
        <w:t xml:space="preserve"> </w:t>
      </w:r>
      <w:r w:rsidRPr="00622F6C">
        <w:rPr>
          <w:rFonts w:ascii="Times New Roman" w:hAnsi="Times New Roman" w:cs="Times New Roman"/>
          <w:color w:val="222222"/>
          <w:shd w:val="clear" w:color="auto" w:fill="FFFFFF"/>
          <w:lang w:val="en-US"/>
        </w:rPr>
        <w:t>(6), 1072-1094.</w:t>
      </w:r>
    </w:p>
    <w:p w14:paraId="13E603AA" w14:textId="77777777" w:rsidR="00EC3BC4" w:rsidRPr="00622F6C" w:rsidRDefault="00EC3BC4" w:rsidP="00FF529C">
      <w:pPr>
        <w:spacing w:after="0" w:line="240" w:lineRule="auto"/>
        <w:ind w:left="284" w:hanging="284"/>
        <w:jc w:val="both"/>
        <w:rPr>
          <w:rFonts w:ascii="Times New Roman" w:eastAsia="Times New Roman" w:hAnsi="Times New Roman" w:cs="Times New Roman"/>
          <w:lang w:val="en-US" w:eastAsia="en-GB"/>
        </w:rPr>
      </w:pPr>
      <w:r w:rsidRPr="00622F6C">
        <w:rPr>
          <w:rFonts w:ascii="Times New Roman" w:hAnsi="Times New Roman" w:cs="Times New Roman"/>
          <w:color w:val="222222"/>
          <w:shd w:val="clear" w:color="auto" w:fill="FFFFFF"/>
          <w:lang w:val="en-US"/>
        </w:rPr>
        <w:t>Dhaliwal, D.S., O.Z. Li, A. Tsang, Y.G. Yang, 2011. Voluntary nonfinancial disclosure and the cost of equity capital: The initiation of corporate social responsibility reporting. </w:t>
      </w:r>
      <w:r w:rsidRPr="00622F6C">
        <w:rPr>
          <w:rFonts w:ascii="Times New Roman" w:hAnsi="Times New Roman" w:cs="Times New Roman"/>
          <w:iCs/>
          <w:color w:val="222222"/>
          <w:shd w:val="clear" w:color="auto" w:fill="FFFFFF"/>
          <w:lang w:val="en-US"/>
        </w:rPr>
        <w:t xml:space="preserve">The Accounting Review 86 </w:t>
      </w:r>
      <w:r w:rsidRPr="00622F6C">
        <w:rPr>
          <w:rFonts w:ascii="Times New Roman" w:hAnsi="Times New Roman" w:cs="Times New Roman"/>
          <w:color w:val="222222"/>
          <w:shd w:val="clear" w:color="auto" w:fill="FFFFFF"/>
          <w:lang w:val="en-US"/>
        </w:rPr>
        <w:t>(1), 59-100.</w:t>
      </w:r>
    </w:p>
    <w:p w14:paraId="7A274102" w14:textId="77777777" w:rsidR="00C77792" w:rsidRPr="00622F6C" w:rsidRDefault="00C77792"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Distelhorst, G., J. Hainmueller, R.M. Locke, 2016. Does lean improve labor standards? Management and social performance in the Nike supply chain. </w:t>
      </w:r>
      <w:r w:rsidRPr="00622F6C">
        <w:rPr>
          <w:rFonts w:ascii="Times New Roman" w:hAnsi="Times New Roman" w:cs="Times New Roman"/>
          <w:iCs/>
          <w:shd w:val="clear" w:color="auto" w:fill="FFFFFF"/>
          <w:lang w:val="en-US"/>
        </w:rPr>
        <w:t>Management Science</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 xml:space="preserve">63 </w:t>
      </w:r>
      <w:r w:rsidRPr="00622F6C">
        <w:rPr>
          <w:rFonts w:ascii="Times New Roman" w:hAnsi="Times New Roman" w:cs="Times New Roman"/>
          <w:shd w:val="clear" w:color="auto" w:fill="FFFFFF"/>
          <w:lang w:val="en-US"/>
        </w:rPr>
        <w:t>(3), 707-728.</w:t>
      </w:r>
    </w:p>
    <w:p w14:paraId="4EF5E907" w14:textId="77777777" w:rsidR="001837AD" w:rsidRPr="00622F6C" w:rsidRDefault="001837AD"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Doorey, D.J., 2011. The transparent supply chain: From resistance to implementation at Nike and Levi-Strauss. </w:t>
      </w:r>
      <w:r w:rsidRPr="00622F6C">
        <w:rPr>
          <w:rFonts w:ascii="Times New Roman" w:hAnsi="Times New Roman" w:cs="Times New Roman"/>
          <w:iCs/>
          <w:color w:val="222222"/>
          <w:shd w:val="clear" w:color="auto" w:fill="FFFFFF"/>
          <w:lang w:val="en-US"/>
        </w:rPr>
        <w:t>Journal of Business Ethics</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103 </w:t>
      </w:r>
      <w:r w:rsidRPr="00622F6C">
        <w:rPr>
          <w:rFonts w:ascii="Times New Roman" w:hAnsi="Times New Roman" w:cs="Times New Roman"/>
          <w:color w:val="222222"/>
          <w:shd w:val="clear" w:color="auto" w:fill="FFFFFF"/>
          <w:lang w:val="en-US"/>
        </w:rPr>
        <w:t>(4), 587-603.</w:t>
      </w:r>
    </w:p>
    <w:p w14:paraId="4AF9A2C2" w14:textId="77777777" w:rsidR="00280C7F" w:rsidRPr="00622F6C" w:rsidRDefault="00280C7F" w:rsidP="00BA6218">
      <w:pPr>
        <w:spacing w:after="0" w:line="240" w:lineRule="auto"/>
        <w:ind w:left="284" w:hanging="284"/>
        <w:jc w:val="both"/>
        <w:rPr>
          <w:rFonts w:ascii="Times New Roman" w:eastAsia="Times New Roman" w:hAnsi="Times New Roman" w:cs="Times New Roman"/>
          <w:lang w:val="en-US" w:eastAsia="en-GB"/>
        </w:rPr>
      </w:pPr>
      <w:r w:rsidRPr="00622F6C">
        <w:rPr>
          <w:rFonts w:ascii="Times New Roman" w:hAnsi="Times New Roman" w:cs="Times New Roman"/>
          <w:shd w:val="clear" w:color="auto" w:fill="FFFFFF"/>
          <w:lang w:val="en-US"/>
        </w:rPr>
        <w:t xml:space="preserve">Doshi, A.R., G.W. Dowell, M.W. Toffel, 2013. How firms respond to mandatory information disclosure. </w:t>
      </w:r>
      <w:r w:rsidRPr="00622F6C">
        <w:rPr>
          <w:rFonts w:ascii="Times New Roman" w:hAnsi="Times New Roman" w:cs="Times New Roman"/>
          <w:iCs/>
          <w:shd w:val="clear" w:color="auto" w:fill="FFFFFF"/>
          <w:lang w:val="en-US"/>
        </w:rPr>
        <w:t>Strategic Management Journal</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 xml:space="preserve">34 </w:t>
      </w:r>
      <w:r w:rsidRPr="00622F6C">
        <w:rPr>
          <w:rFonts w:ascii="Times New Roman" w:hAnsi="Times New Roman" w:cs="Times New Roman"/>
          <w:shd w:val="clear" w:color="auto" w:fill="FFFFFF"/>
          <w:lang w:val="en-US"/>
        </w:rPr>
        <w:t>(10), 1209-1231.</w:t>
      </w:r>
    </w:p>
    <w:p w14:paraId="65E5D7EC" w14:textId="77777777" w:rsidR="006E6FAF" w:rsidRPr="00622F6C" w:rsidRDefault="00DF5033" w:rsidP="00BA6218">
      <w:pPr>
        <w:spacing w:after="3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Dugan, E., 2012. </w:t>
      </w:r>
      <w:r w:rsidR="006E6FAF" w:rsidRPr="00622F6C">
        <w:rPr>
          <w:rFonts w:ascii="Times New Roman" w:eastAsia="Times New Roman" w:hAnsi="Times New Roman" w:cs="Times New Roman"/>
          <w:bCs/>
          <w:bdr w:val="none" w:sz="0" w:space="0" w:color="auto" w:frame="1"/>
          <w:lang w:val="en-US" w:eastAsia="en-GB"/>
        </w:rPr>
        <w:t xml:space="preserve">Government’s Modern Slavery Bill will ‘fail victims and spare criminals’; </w:t>
      </w:r>
      <w:r w:rsidR="0019571F">
        <w:rPr>
          <w:rFonts w:ascii="Times New Roman" w:eastAsia="Times New Roman" w:hAnsi="Times New Roman" w:cs="Times New Roman"/>
          <w:bCs/>
          <w:bdr w:val="none" w:sz="0" w:space="0" w:color="auto" w:frame="1"/>
          <w:lang w:val="en-US" w:eastAsia="en-GB"/>
        </w:rPr>
        <w:t>e</w:t>
      </w:r>
      <w:r w:rsidR="006E6FAF" w:rsidRPr="00622F6C">
        <w:rPr>
          <w:rFonts w:ascii="Times New Roman" w:eastAsia="Times New Roman" w:hAnsi="Times New Roman" w:cs="Times New Roman"/>
          <w:bCs/>
          <w:bdr w:val="none" w:sz="0" w:space="0" w:color="auto" w:frame="1"/>
          <w:lang w:val="en-US" w:eastAsia="en-GB"/>
        </w:rPr>
        <w:t>xperts say May’s ‘vanity project’ does nothing for trafficked people whose evidence will be vital</w:t>
      </w:r>
      <w:r w:rsidR="006E6FAF" w:rsidRPr="00622F6C">
        <w:rPr>
          <w:rFonts w:ascii="Times New Roman" w:hAnsi="Times New Roman" w:cs="Times New Roman"/>
          <w:shd w:val="clear" w:color="auto" w:fill="FFFFFF"/>
          <w:lang w:val="en-US"/>
        </w:rPr>
        <w:t>. The Independent</w:t>
      </w:r>
      <w:r w:rsidR="008753EF" w:rsidRPr="00622F6C">
        <w:rPr>
          <w:rFonts w:ascii="Times New Roman" w:hAnsi="Times New Roman" w:cs="Times New Roman"/>
          <w:shd w:val="clear" w:color="auto" w:fill="FFFFFF"/>
          <w:lang w:val="en-US"/>
        </w:rPr>
        <w:t>,</w:t>
      </w:r>
      <w:r w:rsidR="005943A1" w:rsidRPr="00622F6C">
        <w:rPr>
          <w:rFonts w:ascii="Times New Roman" w:hAnsi="Times New Roman" w:cs="Times New Roman"/>
          <w:shd w:val="clear" w:color="auto" w:fill="FFFFFF"/>
          <w:lang w:val="en-US"/>
        </w:rPr>
        <w:t xml:space="preserve"> December 14, 2012</w:t>
      </w:r>
      <w:r w:rsidRPr="00622F6C">
        <w:rPr>
          <w:rFonts w:ascii="Times New Roman" w:hAnsi="Times New Roman" w:cs="Times New Roman"/>
          <w:shd w:val="clear" w:color="auto" w:fill="FFFFFF"/>
          <w:lang w:val="en-US"/>
        </w:rPr>
        <w:t>.</w:t>
      </w:r>
    </w:p>
    <w:p w14:paraId="3D9964B5" w14:textId="77777777" w:rsidR="006E6FAF" w:rsidRPr="00622F6C" w:rsidRDefault="006E6FA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Easley, D., M.</w:t>
      </w:r>
      <w:r w:rsidR="008864E7" w:rsidRPr="00622F6C">
        <w:rPr>
          <w:rFonts w:ascii="Times New Roman" w:hAnsi="Times New Roman" w:cs="Times New Roman"/>
          <w:shd w:val="clear" w:color="auto" w:fill="FFFFFF"/>
          <w:lang w:val="en-US"/>
        </w:rPr>
        <w:t xml:space="preserve"> O'</w:t>
      </w:r>
      <w:r w:rsidR="008753EF" w:rsidRPr="00622F6C">
        <w:rPr>
          <w:rFonts w:ascii="Times New Roman" w:hAnsi="Times New Roman" w:cs="Times New Roman"/>
          <w:shd w:val="clear" w:color="auto" w:fill="FFFFFF"/>
          <w:lang w:val="en-US"/>
        </w:rPr>
        <w:t>H</w:t>
      </w:r>
      <w:r w:rsidR="008864E7" w:rsidRPr="00622F6C">
        <w:rPr>
          <w:rFonts w:ascii="Times New Roman" w:hAnsi="Times New Roman" w:cs="Times New Roman"/>
          <w:shd w:val="clear" w:color="auto" w:fill="FFFFFF"/>
          <w:lang w:val="en-US"/>
        </w:rPr>
        <w:t xml:space="preserve">ara, 2004. </w:t>
      </w:r>
      <w:r w:rsidRPr="00622F6C">
        <w:rPr>
          <w:rFonts w:ascii="Times New Roman" w:hAnsi="Times New Roman" w:cs="Times New Roman"/>
          <w:shd w:val="clear" w:color="auto" w:fill="FFFFFF"/>
          <w:lang w:val="en-US"/>
        </w:rPr>
        <w:t>Information and the cost of capital. </w:t>
      </w:r>
      <w:r w:rsidRPr="00622F6C">
        <w:rPr>
          <w:rFonts w:ascii="Times New Roman" w:hAnsi="Times New Roman" w:cs="Times New Roman"/>
          <w:iCs/>
          <w:shd w:val="clear" w:color="auto" w:fill="FFFFFF"/>
          <w:lang w:val="en-US"/>
        </w:rPr>
        <w:t>The Journal of Finance</w:t>
      </w:r>
      <w:r w:rsidRPr="00622F6C">
        <w:rPr>
          <w:rFonts w:ascii="Times New Roman" w:hAnsi="Times New Roman" w:cs="Times New Roman"/>
          <w:shd w:val="clear" w:color="auto" w:fill="FFFFFF"/>
          <w:lang w:val="en-US"/>
        </w:rPr>
        <w:t xml:space="preserve"> 59</w:t>
      </w:r>
      <w:r w:rsidR="008864E7" w:rsidRPr="00622F6C">
        <w:rPr>
          <w:rFonts w:ascii="Times New Roman" w:hAnsi="Times New Roman" w:cs="Times New Roman"/>
          <w:shd w:val="clear" w:color="auto" w:fill="FFFFFF"/>
          <w:lang w:val="en-US"/>
        </w:rPr>
        <w:t xml:space="preserve"> (4),</w:t>
      </w:r>
      <w:r w:rsidRPr="00622F6C">
        <w:rPr>
          <w:rFonts w:ascii="Times New Roman" w:hAnsi="Times New Roman" w:cs="Times New Roman"/>
          <w:shd w:val="clear" w:color="auto" w:fill="FFFFFF"/>
          <w:lang w:val="en-US"/>
        </w:rPr>
        <w:t xml:space="preserve"> 1553-1583.</w:t>
      </w:r>
    </w:p>
    <w:p w14:paraId="40B943C7" w14:textId="77777777" w:rsidR="00721FB2" w:rsidRDefault="00721FB2" w:rsidP="00BA6218">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El Ghoul, S., O. Guedhami, C.C. Kwok, D.R. Mishra, 2011. Does corporate social responsibility affect the cost of capital? Journal of Banking and Finance 35 (9), 2388-2406.</w:t>
      </w:r>
    </w:p>
    <w:p w14:paraId="1E6A02D6" w14:textId="77777777" w:rsidR="0063360C" w:rsidRPr="009617ED" w:rsidRDefault="00184D94" w:rsidP="00E863D6">
      <w:pPr>
        <w:spacing w:after="0" w:line="240" w:lineRule="auto"/>
        <w:ind w:left="426" w:hanging="426"/>
        <w:jc w:val="both"/>
        <w:rPr>
          <w:rFonts w:ascii="Times New Roman" w:hAnsi="Times New Roman" w:cs="Times New Roman"/>
          <w:shd w:val="clear" w:color="auto" w:fill="FFFFFF"/>
          <w:lang w:val="en-US"/>
        </w:rPr>
      </w:pPr>
      <w:r>
        <w:rPr>
          <w:rFonts w:ascii="Times New Roman" w:hAnsi="Times New Roman" w:cs="Times New Roman"/>
          <w:color w:val="222222"/>
          <w:shd w:val="clear" w:color="auto" w:fill="FFFFFF"/>
          <w:lang w:val="en-US"/>
        </w:rPr>
        <w:t xml:space="preserve">Ergon Associates, 2017. </w:t>
      </w:r>
      <w:r w:rsidR="0063360C">
        <w:rPr>
          <w:rFonts w:ascii="Times New Roman" w:hAnsi="Times New Roman" w:cs="Times New Roman"/>
          <w:color w:val="222222"/>
          <w:shd w:val="clear" w:color="auto" w:fill="FFFFFF"/>
          <w:lang w:val="en-US"/>
        </w:rPr>
        <w:t>Modern sla</w:t>
      </w:r>
      <w:r>
        <w:rPr>
          <w:rFonts w:ascii="Times New Roman" w:hAnsi="Times New Roman" w:cs="Times New Roman"/>
          <w:color w:val="222222"/>
          <w:shd w:val="clear" w:color="auto" w:fill="FFFFFF"/>
          <w:lang w:val="en-US"/>
        </w:rPr>
        <w:t xml:space="preserve">very statements: One year on. </w:t>
      </w:r>
      <w:hyperlink r:id="rId18" w:history="1">
        <w:r w:rsidRPr="009617ED">
          <w:rPr>
            <w:rStyle w:val="Hyperlink"/>
            <w:rFonts w:ascii="Times New Roman" w:hAnsi="Times New Roman" w:cs="Times New Roman"/>
            <w:color w:val="auto"/>
            <w:u w:val="none"/>
            <w:shd w:val="clear" w:color="auto" w:fill="FFFFFF"/>
            <w:lang w:val="en-US"/>
          </w:rPr>
          <w:t>https://ergonassociates.net/wp-content/uploads/2016/03/MSA_One_year_on_April_2017.pdf?x74739</w:t>
        </w:r>
      </w:hyperlink>
      <w:r w:rsidR="002813FF">
        <w:rPr>
          <w:rStyle w:val="Hyperlink"/>
          <w:rFonts w:ascii="Times New Roman" w:hAnsi="Times New Roman" w:cs="Times New Roman"/>
          <w:color w:val="auto"/>
          <w:u w:val="none"/>
          <w:shd w:val="clear" w:color="auto" w:fill="FFFFFF"/>
          <w:lang w:val="en-US"/>
        </w:rPr>
        <w:t>.</w:t>
      </w:r>
    </w:p>
    <w:p w14:paraId="63FB818A" w14:textId="77777777" w:rsidR="000110B2" w:rsidRPr="00622F6C" w:rsidRDefault="000110B2" w:rsidP="00BA6218">
      <w:pPr>
        <w:spacing w:after="0" w:line="240" w:lineRule="auto"/>
        <w:ind w:left="284" w:hanging="284"/>
        <w:jc w:val="both"/>
        <w:rPr>
          <w:rFonts w:ascii="Times New Roman" w:hAnsi="Times New Roman" w:cs="Times New Roman"/>
          <w:color w:val="222222"/>
          <w:shd w:val="clear" w:color="auto" w:fill="FFFFFF"/>
          <w:lang w:val="en-US"/>
        </w:rPr>
      </w:pPr>
      <w:r w:rsidRPr="009617ED">
        <w:rPr>
          <w:rFonts w:ascii="Times New Roman" w:hAnsi="Times New Roman" w:cs="Times New Roman"/>
          <w:shd w:val="clear" w:color="auto" w:fill="FFFFFF"/>
          <w:lang w:val="en-US"/>
        </w:rPr>
        <w:t xml:space="preserve">Fama, E.F., 1970. Efficient capital markets: A review of theory and empirical </w:t>
      </w:r>
      <w:r w:rsidRPr="00622F6C">
        <w:rPr>
          <w:rFonts w:ascii="Times New Roman" w:hAnsi="Times New Roman" w:cs="Times New Roman"/>
          <w:color w:val="222222"/>
          <w:shd w:val="clear" w:color="auto" w:fill="FFFFFF"/>
          <w:lang w:val="en-US"/>
        </w:rPr>
        <w:t xml:space="preserve">work. </w:t>
      </w:r>
      <w:r w:rsidRPr="00622F6C">
        <w:rPr>
          <w:rFonts w:ascii="Times New Roman" w:hAnsi="Times New Roman" w:cs="Times New Roman"/>
          <w:iCs/>
          <w:color w:val="222222"/>
          <w:shd w:val="clear" w:color="auto" w:fill="FFFFFF"/>
          <w:lang w:val="en-US"/>
        </w:rPr>
        <w:t>The Journal of Finance</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25 </w:t>
      </w:r>
      <w:r w:rsidRPr="00622F6C">
        <w:rPr>
          <w:rFonts w:ascii="Times New Roman" w:hAnsi="Times New Roman" w:cs="Times New Roman"/>
          <w:color w:val="222222"/>
          <w:shd w:val="clear" w:color="auto" w:fill="FFFFFF"/>
          <w:lang w:val="en-US"/>
        </w:rPr>
        <w:t>(2), 383-417.</w:t>
      </w:r>
    </w:p>
    <w:p w14:paraId="42A57502" w14:textId="77777777" w:rsidR="00DD77FF" w:rsidRPr="00622F6C" w:rsidRDefault="00DD77FF" w:rsidP="00BA6218">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Fifka, M.S., 2013. Corporate responsibility reporting and its determinants in comparative perspective–a review of the empirical literature and a meta</w:t>
      </w:r>
      <w:r w:rsidRPr="00622F6C">
        <w:rPr>
          <w:rFonts w:ascii="Cambria Math" w:hAnsi="Cambria Math" w:cs="Cambria Math"/>
          <w:color w:val="222222"/>
          <w:shd w:val="clear" w:color="auto" w:fill="FFFFFF"/>
          <w:lang w:val="en-US"/>
        </w:rPr>
        <w:t>‐</w:t>
      </w:r>
      <w:r w:rsidRPr="00622F6C">
        <w:rPr>
          <w:rFonts w:ascii="Times New Roman" w:hAnsi="Times New Roman" w:cs="Times New Roman"/>
          <w:color w:val="222222"/>
          <w:shd w:val="clear" w:color="auto" w:fill="FFFFFF"/>
          <w:lang w:val="en-US"/>
        </w:rPr>
        <w:t xml:space="preserve">analysis. </w:t>
      </w:r>
      <w:r w:rsidRPr="00622F6C">
        <w:rPr>
          <w:rFonts w:ascii="Times New Roman" w:hAnsi="Times New Roman" w:cs="Times New Roman"/>
          <w:iCs/>
          <w:color w:val="222222"/>
          <w:shd w:val="clear" w:color="auto" w:fill="FFFFFF"/>
          <w:lang w:val="en-US"/>
        </w:rPr>
        <w:t>Business Strategy and the Environment</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22 </w:t>
      </w:r>
      <w:r w:rsidRPr="00622F6C">
        <w:rPr>
          <w:rFonts w:ascii="Times New Roman" w:hAnsi="Times New Roman" w:cs="Times New Roman"/>
          <w:color w:val="222222"/>
          <w:shd w:val="clear" w:color="auto" w:fill="FFFFFF"/>
          <w:lang w:val="en-US"/>
        </w:rPr>
        <w:t>(1), 1-35.</w:t>
      </w:r>
    </w:p>
    <w:p w14:paraId="60869A74" w14:textId="77777777" w:rsidR="00A62330" w:rsidRPr="00622F6C" w:rsidRDefault="00A62330" w:rsidP="00E863D6">
      <w:pPr>
        <w:spacing w:after="0" w:line="240" w:lineRule="auto"/>
        <w:ind w:left="426" w:hanging="426"/>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Flammer, C., 2013. Corporate social responsibility and shareholder reaction: The environmental awareness of investors.</w:t>
      </w:r>
      <w:r w:rsidR="00D8552E"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Academy of Management Journal</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 xml:space="preserve">56 </w:t>
      </w:r>
      <w:r w:rsidRPr="00622F6C">
        <w:rPr>
          <w:rFonts w:ascii="Times New Roman" w:hAnsi="Times New Roman" w:cs="Times New Roman"/>
          <w:shd w:val="clear" w:color="auto" w:fill="FFFFFF"/>
          <w:lang w:val="en-US"/>
        </w:rPr>
        <w:t>(3), 758-781.</w:t>
      </w:r>
    </w:p>
    <w:p w14:paraId="26E02DFB" w14:textId="77777777" w:rsidR="001C1B5F" w:rsidRDefault="001C1B5F" w:rsidP="00BA6218">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 xml:space="preserve">Flammer, C., 2015. Does corporate social responsibility lead to superior financial performance? A regression discontinuity approach. </w:t>
      </w:r>
      <w:r w:rsidRPr="00622F6C">
        <w:rPr>
          <w:rFonts w:ascii="Times New Roman" w:hAnsi="Times New Roman" w:cs="Times New Roman"/>
          <w:iCs/>
          <w:color w:val="222222"/>
          <w:shd w:val="clear" w:color="auto" w:fill="FFFFFF"/>
          <w:lang w:val="en-US"/>
        </w:rPr>
        <w:t>Management Science</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61 </w:t>
      </w:r>
      <w:r w:rsidRPr="00622F6C">
        <w:rPr>
          <w:rFonts w:ascii="Times New Roman" w:hAnsi="Times New Roman" w:cs="Times New Roman"/>
          <w:color w:val="222222"/>
          <w:shd w:val="clear" w:color="auto" w:fill="FFFFFF"/>
          <w:lang w:val="en-US"/>
        </w:rPr>
        <w:t>(11), 2549-2568.</w:t>
      </w:r>
    </w:p>
    <w:p w14:paraId="0150C7DC" w14:textId="77777777" w:rsidR="006E6FAF" w:rsidRDefault="006E6FAF" w:rsidP="00E863D6">
      <w:pPr>
        <w:spacing w:after="0" w:line="240" w:lineRule="auto"/>
        <w:ind w:left="426" w:hanging="426"/>
        <w:jc w:val="both"/>
        <w:rPr>
          <w:rFonts w:ascii="Times New Roman" w:hAnsi="Times New Roman" w:cs="Times New Roman"/>
          <w:lang w:val="en-US"/>
        </w:rPr>
      </w:pPr>
      <w:r w:rsidRPr="00622F6C">
        <w:rPr>
          <w:rFonts w:ascii="Times New Roman" w:hAnsi="Times New Roman" w:cs="Times New Roman"/>
          <w:lang w:val="en-US"/>
        </w:rPr>
        <w:t>Gallear, D., A. Ghobadian, W. Chen</w:t>
      </w:r>
      <w:r w:rsidR="004B1E6B" w:rsidRPr="00622F6C">
        <w:rPr>
          <w:rFonts w:ascii="Times New Roman" w:hAnsi="Times New Roman" w:cs="Times New Roman"/>
          <w:lang w:val="en-US"/>
        </w:rPr>
        <w:t xml:space="preserve">, 2012. </w:t>
      </w:r>
      <w:r w:rsidRPr="00622F6C">
        <w:rPr>
          <w:rFonts w:ascii="Times New Roman" w:hAnsi="Times New Roman" w:cs="Times New Roman"/>
          <w:lang w:val="en-US"/>
        </w:rPr>
        <w:t>Corporate responsibility, supply chain partnership and performance: An empirical examination. International Journal of Production Economics 140</w:t>
      </w:r>
      <w:r w:rsidR="004B1E6B" w:rsidRPr="00622F6C">
        <w:rPr>
          <w:rFonts w:ascii="Times New Roman" w:hAnsi="Times New Roman" w:cs="Times New Roman"/>
          <w:lang w:val="en-US"/>
        </w:rPr>
        <w:t xml:space="preserve"> (1)</w:t>
      </w:r>
      <w:r w:rsidR="00280C7F" w:rsidRPr="00622F6C">
        <w:rPr>
          <w:rFonts w:ascii="Times New Roman" w:hAnsi="Times New Roman" w:cs="Times New Roman"/>
          <w:lang w:val="en-US"/>
        </w:rPr>
        <w:t>, 83-</w:t>
      </w:r>
      <w:r w:rsidRPr="00622F6C">
        <w:rPr>
          <w:rFonts w:ascii="Times New Roman" w:hAnsi="Times New Roman" w:cs="Times New Roman"/>
          <w:lang w:val="en-US"/>
        </w:rPr>
        <w:t>91.</w:t>
      </w:r>
    </w:p>
    <w:p w14:paraId="130FF5F3" w14:textId="77777777" w:rsidR="00BB1DDE" w:rsidRPr="00BB1DDE" w:rsidRDefault="00BB1DDE" w:rsidP="00BA6218">
      <w:pPr>
        <w:spacing w:after="0" w:line="240" w:lineRule="auto"/>
        <w:ind w:left="284" w:hanging="284"/>
        <w:jc w:val="both"/>
        <w:rPr>
          <w:rFonts w:ascii="Times New Roman" w:hAnsi="Times New Roman" w:cs="Times New Roman"/>
          <w:shd w:val="clear" w:color="auto" w:fill="FFFFFF"/>
          <w:lang w:val="en-US"/>
        </w:rPr>
      </w:pPr>
      <w:r w:rsidRPr="00BB1DDE">
        <w:rPr>
          <w:rFonts w:ascii="Times New Roman" w:hAnsi="Times New Roman" w:cs="Times New Roman"/>
          <w:shd w:val="clear" w:color="auto" w:fill="FFFFFF"/>
          <w:lang w:val="en-US"/>
        </w:rPr>
        <w:t>Gagnon, L., G.A. Karolyi, 2018. An unexpected test of the bonding hypothesis. Review of Corporate Finance Studies 7(1), 101-156.</w:t>
      </w:r>
    </w:p>
    <w:p w14:paraId="665B3980" w14:textId="77777777" w:rsidR="006E6FAF" w:rsidRPr="00622F6C" w:rsidRDefault="006E6FAF" w:rsidP="00BA6218">
      <w:pPr>
        <w:tabs>
          <w:tab w:val="left" w:pos="142"/>
        </w:tabs>
        <w:spacing w:after="0" w:line="240" w:lineRule="auto"/>
        <w:ind w:left="284" w:hanging="284"/>
        <w:jc w:val="both"/>
        <w:rPr>
          <w:rFonts w:ascii="Times New Roman" w:eastAsia="Times New Roman" w:hAnsi="Times New Roman" w:cs="Times New Roman"/>
          <w:lang w:val="en-US"/>
        </w:rPr>
      </w:pPr>
      <w:r w:rsidRPr="00622F6C">
        <w:rPr>
          <w:rFonts w:ascii="Times New Roman" w:hAnsi="Times New Roman" w:cs="Times New Roman"/>
          <w:lang w:val="en-US"/>
        </w:rPr>
        <w:t>Gentleman, A.</w:t>
      </w:r>
      <w:r w:rsidR="005943A1" w:rsidRPr="00622F6C">
        <w:rPr>
          <w:rFonts w:ascii="Times New Roman" w:hAnsi="Times New Roman" w:cs="Times New Roman"/>
          <w:lang w:val="en-US"/>
        </w:rPr>
        <w:t>, 2015.</w:t>
      </w:r>
      <w:r w:rsidRPr="00622F6C">
        <w:rPr>
          <w:rFonts w:ascii="Times New Roman" w:hAnsi="Times New Roman" w:cs="Times New Roman"/>
          <w:lang w:val="en-US"/>
        </w:rPr>
        <w:t xml:space="preserve"> </w:t>
      </w:r>
      <w:r w:rsidRPr="00622F6C">
        <w:rPr>
          <w:rFonts w:ascii="Times New Roman" w:eastAsia="Times New Roman" w:hAnsi="Times New Roman" w:cs="Times New Roman"/>
          <w:lang w:val="en-US"/>
        </w:rPr>
        <w:t>UK firms must show proof they have no links to slavery under new rules. The Guardian</w:t>
      </w:r>
      <w:r w:rsidR="008753EF" w:rsidRPr="00622F6C">
        <w:rPr>
          <w:rFonts w:ascii="Times New Roman" w:eastAsia="Times New Roman" w:hAnsi="Times New Roman" w:cs="Times New Roman"/>
          <w:lang w:val="en-US"/>
        </w:rPr>
        <w:t>,</w:t>
      </w:r>
      <w:r w:rsidRPr="00622F6C">
        <w:rPr>
          <w:rFonts w:ascii="Times New Roman" w:eastAsia="Times New Roman" w:hAnsi="Times New Roman" w:cs="Times New Roman"/>
          <w:lang w:val="en-US"/>
        </w:rPr>
        <w:t xml:space="preserve"> October 28</w:t>
      </w:r>
      <w:r w:rsidR="005943A1" w:rsidRPr="00622F6C">
        <w:rPr>
          <w:rFonts w:ascii="Times New Roman" w:eastAsia="Times New Roman" w:hAnsi="Times New Roman" w:cs="Times New Roman"/>
          <w:lang w:val="en-US"/>
        </w:rPr>
        <w:t>,</w:t>
      </w:r>
      <w:r w:rsidRPr="00622F6C">
        <w:rPr>
          <w:rFonts w:ascii="Times New Roman" w:eastAsia="Times New Roman" w:hAnsi="Times New Roman" w:cs="Times New Roman"/>
          <w:lang w:val="en-US"/>
        </w:rPr>
        <w:t xml:space="preserve"> 2015. </w:t>
      </w:r>
    </w:p>
    <w:p w14:paraId="54B9E11E" w14:textId="77777777" w:rsidR="006017E4" w:rsidRPr="00622F6C" w:rsidRDefault="00112356" w:rsidP="00BA6218">
      <w:pPr>
        <w:spacing w:after="0"/>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Gray, R., R. Kouhy, S.</w:t>
      </w:r>
      <w:r w:rsidR="006017E4" w:rsidRPr="00622F6C">
        <w:rPr>
          <w:rFonts w:ascii="Times New Roman" w:hAnsi="Times New Roman" w:cs="Times New Roman"/>
          <w:color w:val="222222"/>
          <w:shd w:val="clear" w:color="auto" w:fill="FFFFFF"/>
          <w:lang w:val="en-US"/>
        </w:rPr>
        <w:t xml:space="preserve"> Lavers,</w:t>
      </w:r>
      <w:r w:rsidRPr="00622F6C">
        <w:rPr>
          <w:rFonts w:ascii="Times New Roman" w:hAnsi="Times New Roman" w:cs="Times New Roman"/>
          <w:color w:val="222222"/>
          <w:shd w:val="clear" w:color="auto" w:fill="FFFFFF"/>
          <w:lang w:val="en-US"/>
        </w:rPr>
        <w:t xml:space="preserve"> 1995. Corporate social and environmental reporting: A review of the literature and a longitudinal study of UK disclosure.</w:t>
      </w:r>
      <w:r w:rsidR="006017E4"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Accounting, Auditing &amp; Accountability Journal</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8</w:t>
      </w:r>
      <w:r w:rsidR="006017E4" w:rsidRPr="00622F6C">
        <w:rPr>
          <w:rFonts w:ascii="Times New Roman" w:hAnsi="Times New Roman" w:cs="Times New Roman"/>
          <w:iCs/>
          <w:color w:val="222222"/>
          <w:shd w:val="clear" w:color="auto" w:fill="FFFFFF"/>
          <w:lang w:val="en-US"/>
        </w:rPr>
        <w:t xml:space="preserve"> </w:t>
      </w:r>
      <w:r w:rsidRPr="00622F6C">
        <w:rPr>
          <w:rFonts w:ascii="Times New Roman" w:hAnsi="Times New Roman" w:cs="Times New Roman"/>
          <w:color w:val="222222"/>
          <w:shd w:val="clear" w:color="auto" w:fill="FFFFFF"/>
          <w:lang w:val="en-US"/>
        </w:rPr>
        <w:t>(2), 47-77.</w:t>
      </w:r>
    </w:p>
    <w:p w14:paraId="79FE168F" w14:textId="77777777" w:rsidR="006E6FAF" w:rsidRPr="00622F6C" w:rsidRDefault="006E6FAF" w:rsidP="00BA6218">
      <w:pPr>
        <w:spacing w:after="0" w:line="240" w:lineRule="auto"/>
        <w:ind w:left="284" w:hanging="284"/>
        <w:jc w:val="both"/>
        <w:rPr>
          <w:rFonts w:ascii="Times New Roman" w:eastAsia="Times New Roman" w:hAnsi="Times New Roman" w:cs="Times New Roman"/>
          <w:lang w:val="en-US"/>
        </w:rPr>
      </w:pPr>
      <w:r w:rsidRPr="00622F6C">
        <w:rPr>
          <w:rFonts w:ascii="Times New Roman" w:eastAsia="Times New Roman" w:hAnsi="Times New Roman" w:cs="Times New Roman"/>
          <w:lang w:val="en-US"/>
        </w:rPr>
        <w:t>Greenstone, M., P. Oyer, A. Vissing-Jorgensen</w:t>
      </w:r>
      <w:r w:rsidR="004B1E6B" w:rsidRPr="00622F6C">
        <w:rPr>
          <w:rFonts w:ascii="Times New Roman" w:eastAsia="Times New Roman" w:hAnsi="Times New Roman" w:cs="Times New Roman"/>
          <w:lang w:val="en-US"/>
        </w:rPr>
        <w:t>, 2006.</w:t>
      </w:r>
      <w:r w:rsidRPr="00622F6C">
        <w:rPr>
          <w:rFonts w:ascii="Times New Roman" w:eastAsia="Times New Roman" w:hAnsi="Times New Roman" w:cs="Times New Roman"/>
          <w:lang w:val="en-US"/>
        </w:rPr>
        <w:t xml:space="preserve"> Mandated disclosure, stock returns, and the 1964 Securities Act Amendments. The Quarterly Journal of Economics 121</w:t>
      </w:r>
      <w:r w:rsidR="004B1E6B" w:rsidRPr="00622F6C">
        <w:rPr>
          <w:rFonts w:ascii="Times New Roman" w:eastAsia="Times New Roman" w:hAnsi="Times New Roman" w:cs="Times New Roman"/>
          <w:lang w:val="en-US"/>
        </w:rPr>
        <w:t xml:space="preserve"> (2),</w:t>
      </w:r>
      <w:r w:rsidRPr="00622F6C">
        <w:rPr>
          <w:rFonts w:ascii="Times New Roman" w:eastAsia="Times New Roman" w:hAnsi="Times New Roman" w:cs="Times New Roman"/>
          <w:lang w:val="en-US"/>
        </w:rPr>
        <w:t xml:space="preserve"> 399-460.</w:t>
      </w:r>
    </w:p>
    <w:p w14:paraId="23B463E9" w14:textId="77777777" w:rsidR="006E6FAF" w:rsidRPr="00622F6C" w:rsidRDefault="006E6FAF" w:rsidP="00BA6218">
      <w:pPr>
        <w:spacing w:after="0" w:line="240" w:lineRule="auto"/>
        <w:ind w:left="284" w:hanging="284"/>
        <w:jc w:val="both"/>
        <w:rPr>
          <w:rFonts w:ascii="Times New Roman" w:hAnsi="Times New Roman" w:cs="Times New Roman"/>
          <w:iCs/>
          <w:shd w:val="clear" w:color="auto" w:fill="FFFFFF"/>
          <w:lang w:val="en-US"/>
        </w:rPr>
      </w:pPr>
      <w:r w:rsidRPr="00622F6C">
        <w:rPr>
          <w:rFonts w:ascii="Times New Roman" w:hAnsi="Times New Roman" w:cs="Times New Roman"/>
          <w:shd w:val="clear" w:color="auto" w:fill="FFFFFF"/>
          <w:lang w:val="en-US"/>
        </w:rPr>
        <w:t>Grewal, J., E.J. Riedl, G. Serafeim</w:t>
      </w:r>
      <w:r w:rsidR="00D67EA8" w:rsidRPr="00622F6C">
        <w:rPr>
          <w:rFonts w:ascii="Times New Roman" w:hAnsi="Times New Roman" w:cs="Times New Roman"/>
          <w:shd w:val="clear" w:color="auto" w:fill="FFFFFF"/>
          <w:lang w:val="en-US"/>
        </w:rPr>
        <w:t>, 2018</w:t>
      </w:r>
      <w:r w:rsidRPr="00622F6C">
        <w:rPr>
          <w:rFonts w:ascii="Times New Roman" w:hAnsi="Times New Roman" w:cs="Times New Roman"/>
          <w:shd w:val="clear" w:color="auto" w:fill="FFFFFF"/>
          <w:lang w:val="en-US"/>
        </w:rPr>
        <w:t>. Market reaction to mandatory nonfinancial disclosure.</w:t>
      </w:r>
      <w:r w:rsidR="00D67EA8" w:rsidRPr="00622F6C">
        <w:rPr>
          <w:rFonts w:ascii="Times New Roman" w:hAnsi="Times New Roman" w:cs="Times New Roman"/>
          <w:iCs/>
          <w:shd w:val="clear" w:color="auto" w:fill="FFFFFF"/>
          <w:lang w:val="en-US"/>
        </w:rPr>
        <w:t xml:space="preserve"> Management Science, forthcoming</w:t>
      </w:r>
      <w:r w:rsidR="000613ED" w:rsidRPr="00622F6C">
        <w:rPr>
          <w:rFonts w:ascii="Times New Roman" w:hAnsi="Times New Roman" w:cs="Times New Roman"/>
          <w:lang w:val="en-US"/>
        </w:rPr>
        <w:t xml:space="preserve">. </w:t>
      </w:r>
      <w:r w:rsidRPr="00622F6C">
        <w:rPr>
          <w:rFonts w:ascii="Times New Roman" w:hAnsi="Times New Roman" w:cs="Times New Roman"/>
          <w:iCs/>
          <w:shd w:val="clear" w:color="auto" w:fill="FFFFFF"/>
          <w:lang w:val="en-US"/>
        </w:rPr>
        <w:t xml:space="preserve"> </w:t>
      </w:r>
    </w:p>
    <w:p w14:paraId="5A69B424" w14:textId="77777777" w:rsidR="00FA5CC8" w:rsidRPr="00622F6C" w:rsidRDefault="00FA5CC8" w:rsidP="00BA6218">
      <w:pPr>
        <w:spacing w:after="0" w:line="240" w:lineRule="auto"/>
        <w:ind w:left="284" w:hanging="284"/>
        <w:jc w:val="both"/>
        <w:rPr>
          <w:rFonts w:ascii="Times New Roman" w:hAnsi="Times New Roman" w:cs="Times New Roman"/>
          <w:iCs/>
          <w:shd w:val="clear" w:color="auto" w:fill="FFFFFF"/>
          <w:lang w:val="en-US"/>
        </w:rPr>
      </w:pPr>
      <w:r w:rsidRPr="00622F6C">
        <w:rPr>
          <w:rFonts w:ascii="Times New Roman" w:hAnsi="Times New Roman" w:cs="Times New Roman"/>
          <w:iCs/>
          <w:shd w:val="clear" w:color="auto" w:fill="FFFFFF"/>
          <w:lang w:val="en-US"/>
        </w:rPr>
        <w:lastRenderedPageBreak/>
        <w:t>Grierson</w:t>
      </w:r>
      <w:r w:rsidR="00BC34E9" w:rsidRPr="00622F6C">
        <w:rPr>
          <w:rFonts w:ascii="Times New Roman" w:hAnsi="Times New Roman" w:cs="Times New Roman"/>
          <w:iCs/>
          <w:shd w:val="clear" w:color="auto" w:fill="FFFFFF"/>
          <w:lang w:val="en-US"/>
        </w:rPr>
        <w:t>,</w:t>
      </w:r>
      <w:r w:rsidR="005943A1" w:rsidRPr="00622F6C">
        <w:rPr>
          <w:rFonts w:ascii="Times New Roman" w:hAnsi="Times New Roman" w:cs="Times New Roman"/>
          <w:iCs/>
          <w:shd w:val="clear" w:color="auto" w:fill="FFFFFF"/>
          <w:lang w:val="en-US"/>
        </w:rPr>
        <w:t xml:space="preserve"> J.</w:t>
      </w:r>
      <w:r w:rsidRPr="00622F6C">
        <w:rPr>
          <w:rFonts w:ascii="Times New Roman" w:hAnsi="Times New Roman" w:cs="Times New Roman"/>
          <w:iCs/>
          <w:shd w:val="clear" w:color="auto" w:fill="FFFFFF"/>
          <w:lang w:val="en-US"/>
        </w:rPr>
        <w:t xml:space="preserve">, 2013. May rallies anti-slavery forces. Press release from Press Association National Newswire, accessed through Factiva. </w:t>
      </w:r>
    </w:p>
    <w:p w14:paraId="2430A265" w14:textId="77777777" w:rsidR="00430A56" w:rsidRPr="00622F6C" w:rsidRDefault="00430A56" w:rsidP="00BA6218">
      <w:pPr>
        <w:spacing w:after="0" w:line="240" w:lineRule="auto"/>
        <w:ind w:left="284" w:hanging="284"/>
        <w:jc w:val="both"/>
        <w:rPr>
          <w:rFonts w:ascii="Times New Roman" w:hAnsi="Times New Roman" w:cs="Times New Roman"/>
          <w:lang w:val="en-US"/>
        </w:rPr>
      </w:pPr>
      <w:r w:rsidRPr="004C7B14">
        <w:rPr>
          <w:rFonts w:ascii="Times New Roman" w:hAnsi="Times New Roman" w:cs="Times New Roman"/>
          <w:lang w:val="de-DE"/>
        </w:rPr>
        <w:t>Gualandris, J., R.D. Klassen, S. Vachon, M. Kalchschmidt</w:t>
      </w:r>
      <w:r w:rsidR="00822709" w:rsidRPr="004C7B14">
        <w:rPr>
          <w:rFonts w:ascii="Times New Roman" w:hAnsi="Times New Roman" w:cs="Times New Roman"/>
          <w:lang w:val="de-DE"/>
        </w:rPr>
        <w:t>,</w:t>
      </w:r>
      <w:r w:rsidRPr="004C7B14">
        <w:rPr>
          <w:rFonts w:ascii="Times New Roman" w:hAnsi="Times New Roman" w:cs="Times New Roman"/>
          <w:lang w:val="de-DE"/>
        </w:rPr>
        <w:t xml:space="preserve"> 2015. </w:t>
      </w:r>
      <w:r w:rsidRPr="00622F6C">
        <w:rPr>
          <w:rFonts w:ascii="Times New Roman" w:hAnsi="Times New Roman" w:cs="Times New Roman"/>
          <w:lang w:val="en-US"/>
        </w:rPr>
        <w:t xml:space="preserve">Sustainable evaluation and verification in supply chains: Aligning and leveraging accountability to stakeholders. Journal of Operations Management 38, 1-13. </w:t>
      </w:r>
    </w:p>
    <w:p w14:paraId="78D2C3F2" w14:textId="77777777" w:rsidR="00E809B7" w:rsidRPr="00622F6C" w:rsidRDefault="00E809B7"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Guo, R., H.L. Lee, R. Swinney, 2016. Responsible sourcing in supply chains. Management Science 62 (9), 2722-2744.</w:t>
      </w:r>
    </w:p>
    <w:p w14:paraId="48B41127" w14:textId="77777777" w:rsidR="00A74210" w:rsidRPr="00622F6C" w:rsidRDefault="00A74210"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Hart, S.L., 1995. A natural resource-based view of the firm. Academy of Management Journal 20</w:t>
      </w:r>
      <w:r w:rsidR="00280C7F" w:rsidRPr="00622F6C">
        <w:rPr>
          <w:rFonts w:ascii="Times New Roman" w:hAnsi="Times New Roman" w:cs="Times New Roman"/>
          <w:lang w:val="en-US"/>
        </w:rPr>
        <w:t xml:space="preserve"> (4)</w:t>
      </w:r>
      <w:r w:rsidRPr="00622F6C">
        <w:rPr>
          <w:rFonts w:ascii="Times New Roman" w:hAnsi="Times New Roman" w:cs="Times New Roman"/>
          <w:lang w:val="en-US"/>
        </w:rPr>
        <w:t>, 986</w:t>
      </w:r>
      <w:r w:rsidR="00F97003" w:rsidRPr="00622F6C">
        <w:rPr>
          <w:rFonts w:ascii="Times New Roman" w:hAnsi="Times New Roman" w:cs="Times New Roman"/>
          <w:lang w:val="en-US"/>
        </w:rPr>
        <w:t>-</w:t>
      </w:r>
      <w:r w:rsidRPr="00622F6C">
        <w:rPr>
          <w:rFonts w:ascii="Times New Roman" w:hAnsi="Times New Roman" w:cs="Times New Roman"/>
          <w:lang w:val="en-US"/>
        </w:rPr>
        <w:t>1014.</w:t>
      </w:r>
    </w:p>
    <w:p w14:paraId="3F02D0EC" w14:textId="77777777" w:rsidR="006E4BB8" w:rsidRPr="00622F6C" w:rsidRDefault="00A62330"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color w:val="222222"/>
          <w:shd w:val="clear" w:color="auto" w:fill="FFFFFF"/>
          <w:lang w:val="en-US"/>
        </w:rPr>
        <w:t xml:space="preserve">Hart, S.L., </w:t>
      </w:r>
      <w:r w:rsidR="006E4BB8" w:rsidRPr="00622F6C">
        <w:rPr>
          <w:rFonts w:ascii="Times New Roman" w:hAnsi="Times New Roman" w:cs="Times New Roman"/>
          <w:color w:val="222222"/>
          <w:shd w:val="clear" w:color="auto" w:fill="FFFFFF"/>
          <w:lang w:val="en-US"/>
        </w:rPr>
        <w:t>G. Dowell, 2011. A natural-resource-based view of the firm: Fifteen years after. </w:t>
      </w:r>
      <w:r w:rsidR="006E4BB8" w:rsidRPr="00622F6C">
        <w:rPr>
          <w:rFonts w:ascii="Times New Roman" w:hAnsi="Times New Roman" w:cs="Times New Roman"/>
          <w:iCs/>
          <w:color w:val="222222"/>
          <w:shd w:val="clear" w:color="auto" w:fill="FFFFFF"/>
          <w:lang w:val="en-US"/>
        </w:rPr>
        <w:t>Journal of Management</w:t>
      </w:r>
      <w:r w:rsidR="006E4BB8" w:rsidRPr="00622F6C">
        <w:rPr>
          <w:rFonts w:ascii="Times New Roman" w:hAnsi="Times New Roman" w:cs="Times New Roman"/>
          <w:color w:val="222222"/>
          <w:shd w:val="clear" w:color="auto" w:fill="FFFFFF"/>
          <w:lang w:val="en-US"/>
        </w:rPr>
        <w:t xml:space="preserve"> </w:t>
      </w:r>
      <w:r w:rsidR="006E4BB8" w:rsidRPr="00622F6C">
        <w:rPr>
          <w:rFonts w:ascii="Times New Roman" w:hAnsi="Times New Roman" w:cs="Times New Roman"/>
          <w:iCs/>
          <w:color w:val="222222"/>
          <w:shd w:val="clear" w:color="auto" w:fill="FFFFFF"/>
          <w:lang w:val="en-US"/>
        </w:rPr>
        <w:t xml:space="preserve">37 </w:t>
      </w:r>
      <w:r w:rsidR="006E4BB8" w:rsidRPr="00622F6C">
        <w:rPr>
          <w:rFonts w:ascii="Times New Roman" w:hAnsi="Times New Roman" w:cs="Times New Roman"/>
          <w:color w:val="222222"/>
          <w:shd w:val="clear" w:color="auto" w:fill="FFFFFF"/>
          <w:lang w:val="en-US"/>
        </w:rPr>
        <w:t>(5), 1464-1479.</w:t>
      </w:r>
    </w:p>
    <w:p w14:paraId="6A15B9B6" w14:textId="77777777" w:rsidR="003A5788" w:rsidRPr="00622F6C" w:rsidRDefault="003A5788" w:rsidP="00BA6218">
      <w:pPr>
        <w:spacing w:after="0" w:line="240" w:lineRule="auto"/>
        <w:ind w:left="284" w:hanging="284"/>
        <w:jc w:val="both"/>
        <w:rPr>
          <w:rFonts w:ascii="Times New Roman" w:eastAsia="Times New Roman" w:hAnsi="Times New Roman" w:cs="Times New Roman"/>
          <w:lang w:val="en-US"/>
        </w:rPr>
      </w:pPr>
      <w:r w:rsidRPr="00622F6C">
        <w:rPr>
          <w:rFonts w:ascii="Times New Roman" w:hAnsi="Times New Roman" w:cs="Times New Roman"/>
          <w:lang w:val="en-US"/>
        </w:rPr>
        <w:t>Haynes, J., 2016. The Modern Slavery Act (2015): A legislative commentary. Statute Law Review 37</w:t>
      </w:r>
      <w:r w:rsidRPr="00622F6C">
        <w:rPr>
          <w:rFonts w:ascii="Times New Roman" w:eastAsia="Times New Roman" w:hAnsi="Times New Roman" w:cs="Times New Roman"/>
          <w:lang w:val="en-US"/>
        </w:rPr>
        <w:t xml:space="preserve"> (1), 33-56.</w:t>
      </w:r>
    </w:p>
    <w:p w14:paraId="5E825BFF" w14:textId="77777777" w:rsidR="00487BB4" w:rsidRPr="00622F6C" w:rsidRDefault="00487BB4" w:rsidP="00BA6218">
      <w:pPr>
        <w:spacing w:after="0" w:line="240" w:lineRule="auto"/>
        <w:ind w:left="284" w:hanging="284"/>
        <w:jc w:val="both"/>
        <w:rPr>
          <w:rFonts w:ascii="Times New Roman" w:hAnsi="Times New Roman" w:cs="Times New Roman"/>
          <w:lang w:val="en-US"/>
        </w:rPr>
      </w:pPr>
      <w:r w:rsidRPr="00D86194">
        <w:rPr>
          <w:rFonts w:ascii="Times New Roman" w:hAnsi="Times New Roman" w:cs="Times New Roman"/>
          <w:color w:val="222222"/>
          <w:shd w:val="clear" w:color="auto" w:fill="FFFFFF"/>
          <w:lang w:val="en-US"/>
        </w:rPr>
        <w:t xml:space="preserve">Heal, G., </w:t>
      </w:r>
      <w:r w:rsidRPr="00CF1CA3">
        <w:rPr>
          <w:rFonts w:ascii="Times New Roman" w:hAnsi="Times New Roman" w:cs="Times New Roman"/>
          <w:color w:val="222222"/>
          <w:shd w:val="clear" w:color="auto" w:fill="FFFFFF"/>
          <w:lang w:val="en-US"/>
        </w:rPr>
        <w:t>2005</w:t>
      </w:r>
      <w:r w:rsidRPr="00D86194">
        <w:rPr>
          <w:rFonts w:ascii="Times New Roman" w:hAnsi="Times New Roman" w:cs="Times New Roman"/>
          <w:color w:val="222222"/>
          <w:shd w:val="clear" w:color="auto" w:fill="FFFFFF"/>
          <w:lang w:val="en-US"/>
        </w:rPr>
        <w:t xml:space="preserve">. Corporate social responsibility: An economic and financial framework. </w:t>
      </w:r>
      <w:r w:rsidRPr="00CF1CA3">
        <w:rPr>
          <w:rFonts w:ascii="Times New Roman" w:hAnsi="Times New Roman" w:cs="Times New Roman"/>
          <w:iCs/>
          <w:color w:val="222222"/>
          <w:shd w:val="clear" w:color="auto" w:fill="FFFFFF"/>
          <w:lang w:val="en-US"/>
        </w:rPr>
        <w:t>The Geneva papers on risk and</w:t>
      </w:r>
      <w:r w:rsidRPr="00622F6C">
        <w:rPr>
          <w:rFonts w:ascii="Times New Roman" w:hAnsi="Times New Roman" w:cs="Times New Roman"/>
          <w:iCs/>
          <w:color w:val="222222"/>
          <w:shd w:val="clear" w:color="auto" w:fill="FFFFFF"/>
          <w:lang w:val="en-US"/>
        </w:rPr>
        <w:t xml:space="preserve"> insurance - Issues and practice</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30 </w:t>
      </w:r>
      <w:r w:rsidRPr="00622F6C">
        <w:rPr>
          <w:rFonts w:ascii="Times New Roman" w:hAnsi="Times New Roman" w:cs="Times New Roman"/>
          <w:color w:val="222222"/>
          <w:shd w:val="clear" w:color="auto" w:fill="FFFFFF"/>
          <w:lang w:val="en-US"/>
        </w:rPr>
        <w:t>(3), 387-409.</w:t>
      </w:r>
    </w:p>
    <w:p w14:paraId="4A104085" w14:textId="77777777" w:rsidR="00942012" w:rsidRPr="00942012" w:rsidRDefault="00942012" w:rsidP="00BA6218">
      <w:pPr>
        <w:spacing w:after="0" w:line="240" w:lineRule="auto"/>
        <w:ind w:left="284" w:hanging="284"/>
        <w:jc w:val="both"/>
        <w:rPr>
          <w:rFonts w:ascii="Times New Roman" w:hAnsi="Times New Roman" w:cs="Times New Roman"/>
          <w:shd w:val="clear" w:color="auto" w:fill="FFFFFF"/>
        </w:rPr>
      </w:pPr>
      <w:r w:rsidRPr="00942012">
        <w:rPr>
          <w:rFonts w:ascii="Times New Roman" w:hAnsi="Times New Roman" w:cs="Times New Roman"/>
          <w:color w:val="222222"/>
          <w:shd w:val="clear" w:color="auto" w:fill="FFFFFF"/>
        </w:rPr>
        <w:t xml:space="preserve">Hendricks, K.B., V.R. Singhal, R. Zhang, 2009. The effect of operational slack, diversification, and vertical relatedness on the stock market reaction to supply chain disruptions. </w:t>
      </w:r>
      <w:r w:rsidRPr="00942012">
        <w:rPr>
          <w:rFonts w:ascii="Times New Roman" w:hAnsi="Times New Roman" w:cs="Times New Roman"/>
          <w:iCs/>
          <w:color w:val="222222"/>
          <w:shd w:val="clear" w:color="auto" w:fill="FFFFFF"/>
        </w:rPr>
        <w:t>Journal of Operations Management</w:t>
      </w:r>
      <w:r w:rsidRPr="00942012">
        <w:rPr>
          <w:rFonts w:ascii="Times New Roman" w:hAnsi="Times New Roman" w:cs="Times New Roman"/>
          <w:color w:val="222222"/>
          <w:shd w:val="clear" w:color="auto" w:fill="FFFFFF"/>
        </w:rPr>
        <w:t xml:space="preserve"> </w:t>
      </w:r>
      <w:r w:rsidRPr="00942012">
        <w:rPr>
          <w:rFonts w:ascii="Times New Roman" w:hAnsi="Times New Roman" w:cs="Times New Roman"/>
          <w:iCs/>
          <w:color w:val="222222"/>
          <w:shd w:val="clear" w:color="auto" w:fill="FFFFFF"/>
        </w:rPr>
        <w:t xml:space="preserve">27 </w:t>
      </w:r>
      <w:r w:rsidRPr="00942012">
        <w:rPr>
          <w:rFonts w:ascii="Times New Roman" w:hAnsi="Times New Roman" w:cs="Times New Roman"/>
          <w:color w:val="222222"/>
          <w:shd w:val="clear" w:color="auto" w:fill="FFFFFF"/>
        </w:rPr>
        <w:t>(3), 233-246.</w:t>
      </w:r>
    </w:p>
    <w:p w14:paraId="6C8803F5" w14:textId="77777777" w:rsidR="001F2896" w:rsidRDefault="001F2896"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Hendricks, K.B., M. Hora, V.R. Singhal, 2015. An empirical investigation on the appointments of supply chain and operations management executives. </w:t>
      </w:r>
      <w:r w:rsidRPr="00622F6C">
        <w:rPr>
          <w:rFonts w:ascii="Times New Roman" w:hAnsi="Times New Roman" w:cs="Times New Roman"/>
          <w:iCs/>
          <w:shd w:val="clear" w:color="auto" w:fill="FFFFFF"/>
          <w:lang w:val="en-US"/>
        </w:rPr>
        <w:t>Management Science</w:t>
      </w:r>
      <w:r w:rsidRPr="00622F6C">
        <w:rPr>
          <w:rFonts w:ascii="Times New Roman" w:hAnsi="Times New Roman" w:cs="Times New Roman"/>
          <w:shd w:val="clear" w:color="auto" w:fill="FFFFFF"/>
          <w:lang w:val="en-US"/>
        </w:rPr>
        <w:t xml:space="preserve"> 61 (7), 1562-1583. </w:t>
      </w:r>
    </w:p>
    <w:p w14:paraId="390CBF72" w14:textId="77777777" w:rsidR="009F231F" w:rsidRPr="009F231F" w:rsidRDefault="009F231F" w:rsidP="009F231F">
      <w:pPr>
        <w:spacing w:after="0" w:line="240" w:lineRule="auto"/>
        <w:ind w:left="284" w:hanging="284"/>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Hendricks, K.B., B.W. Jacobs, V.R. Singhal, 2018. </w:t>
      </w:r>
      <w:r w:rsidRPr="009F231F">
        <w:rPr>
          <w:rFonts w:ascii="Times New Roman" w:hAnsi="Times New Roman" w:cs="Times New Roman"/>
          <w:shd w:val="clear" w:color="auto" w:fill="FFFFFF"/>
          <w:lang w:val="en-US"/>
        </w:rPr>
        <w:t>Stock market reaction to supply chain disruptions from the 2011 Great East Japan Earthquake</w:t>
      </w:r>
      <w:r>
        <w:rPr>
          <w:rFonts w:ascii="Times New Roman" w:hAnsi="Times New Roman" w:cs="Times New Roman"/>
          <w:shd w:val="clear" w:color="auto" w:fill="FFFFFF"/>
          <w:lang w:val="en-US"/>
        </w:rPr>
        <w:t xml:space="preserve">. </w:t>
      </w:r>
      <w:r w:rsidRPr="009F231F">
        <w:rPr>
          <w:rFonts w:ascii="Times New Roman" w:hAnsi="Times New Roman" w:cs="Times New Roman"/>
          <w:shd w:val="clear" w:color="auto" w:fill="FFFFFF"/>
          <w:lang w:val="en-US"/>
        </w:rPr>
        <w:t>Manufacturing and Service Operations Management</w:t>
      </w:r>
      <w:r>
        <w:rPr>
          <w:rFonts w:ascii="Times New Roman" w:hAnsi="Times New Roman" w:cs="Times New Roman"/>
          <w:shd w:val="clear" w:color="auto" w:fill="FFFFFF"/>
          <w:lang w:val="en-US"/>
        </w:rPr>
        <w:t xml:space="preserve">, forthcoming. </w:t>
      </w:r>
    </w:p>
    <w:p w14:paraId="3919528E" w14:textId="77777777" w:rsidR="006E6FAF" w:rsidRPr="00622F6C" w:rsidRDefault="006E6FAF"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Hollos, D.</w:t>
      </w:r>
      <w:r w:rsidR="008866F6" w:rsidRPr="00622F6C">
        <w:rPr>
          <w:rFonts w:ascii="Times New Roman" w:hAnsi="Times New Roman" w:cs="Times New Roman"/>
          <w:lang w:val="en-US"/>
        </w:rPr>
        <w:t xml:space="preserve">, C. Blome, K. Foerstl, 2012. </w:t>
      </w:r>
      <w:r w:rsidRPr="00622F6C">
        <w:rPr>
          <w:rFonts w:ascii="Times New Roman" w:hAnsi="Times New Roman" w:cs="Times New Roman"/>
          <w:lang w:val="en-US"/>
        </w:rPr>
        <w:t>Does sustainable supplier co-operation affect performance? Examining implications for the triple bottom line. International Journal of Production Research 50</w:t>
      </w:r>
      <w:r w:rsidR="008866F6" w:rsidRPr="00622F6C">
        <w:rPr>
          <w:rFonts w:ascii="Times New Roman" w:hAnsi="Times New Roman" w:cs="Times New Roman"/>
          <w:lang w:val="en-US"/>
        </w:rPr>
        <w:t xml:space="preserve"> (11), </w:t>
      </w:r>
      <w:r w:rsidRPr="00622F6C">
        <w:rPr>
          <w:rFonts w:ascii="Times New Roman" w:hAnsi="Times New Roman" w:cs="Times New Roman"/>
          <w:lang w:val="en-US"/>
        </w:rPr>
        <w:t>2968-2986.</w:t>
      </w:r>
    </w:p>
    <w:p w14:paraId="1B80D8C5" w14:textId="77777777" w:rsidR="00E6714F" w:rsidRPr="00622F6C" w:rsidRDefault="00E6714F"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 xml:space="preserve">Home Office, 2014. Response to pre-legislative scrutiny of the draft Modern Slavery Bill. </w:t>
      </w:r>
      <w:hyperlink r:id="rId19" w:history="1">
        <w:r w:rsidRPr="00622F6C">
          <w:rPr>
            <w:rStyle w:val="Hyperlink"/>
            <w:rFonts w:ascii="Times New Roman" w:hAnsi="Times New Roman" w:cs="Times New Roman"/>
            <w:color w:val="auto"/>
            <w:u w:val="none"/>
            <w:lang w:val="en-US"/>
          </w:rPr>
          <w:t>https://www.gov.uk/government/uploads/system/uploads/attachment_data/file/318771/CM8889DraftModernSlaveryBill.pdf</w:t>
        </w:r>
      </w:hyperlink>
    </w:p>
    <w:p w14:paraId="3908C679" w14:textId="77777777" w:rsidR="00B44B4D" w:rsidRPr="00622F6C" w:rsidRDefault="00B44B4D"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Home Office, 2015</w:t>
      </w:r>
      <w:r w:rsidR="00070B5B" w:rsidRPr="00622F6C">
        <w:rPr>
          <w:rFonts w:ascii="Times New Roman" w:hAnsi="Times New Roman" w:cs="Times New Roman"/>
          <w:lang w:val="en-US"/>
        </w:rPr>
        <w:t>a</w:t>
      </w:r>
      <w:r w:rsidRPr="00622F6C">
        <w:rPr>
          <w:rFonts w:ascii="Times New Roman" w:hAnsi="Times New Roman" w:cs="Times New Roman"/>
          <w:lang w:val="en-US"/>
        </w:rPr>
        <w:t xml:space="preserve">. Modern slavery and supply chains government response. </w:t>
      </w:r>
      <w:hyperlink r:id="rId20" w:history="1">
        <w:r w:rsidR="00790B5F" w:rsidRPr="00622F6C">
          <w:rPr>
            <w:rStyle w:val="Hyperlink"/>
            <w:rFonts w:ascii="Times New Roman" w:hAnsi="Times New Roman" w:cs="Times New Roman"/>
            <w:color w:val="auto"/>
            <w:u w:val="none"/>
            <w:lang w:val="en-US"/>
          </w:rPr>
          <w:t>https://www.gov.uk/government/uploads/system/uploads/attachment_data/file/448200/Consultation_Government_Response__final__2_pdf.pdf</w:t>
        </w:r>
      </w:hyperlink>
    </w:p>
    <w:p w14:paraId="20B2DFAF" w14:textId="77777777" w:rsidR="00070B5B" w:rsidRPr="00622F6C" w:rsidRDefault="00070B5B"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 xml:space="preserve">Home Office, 2015b. Modern Slavery Act – Transparency in supply chains. Summary: Intervention and options. </w:t>
      </w:r>
      <w:hyperlink r:id="rId21" w:history="1">
        <w:r w:rsidRPr="00622F6C">
          <w:rPr>
            <w:rStyle w:val="Hyperlink"/>
            <w:rFonts w:ascii="Times New Roman" w:hAnsi="Times New Roman" w:cs="Times New Roman"/>
            <w:color w:val="auto"/>
            <w:u w:val="none"/>
            <w:lang w:val="en-US"/>
          </w:rPr>
          <w:t>http://www.legislation.gov.uk/ukia/2015/268/pdfs/ukia_20150268_en.pdf</w:t>
        </w:r>
      </w:hyperlink>
    </w:p>
    <w:p w14:paraId="093BFA3E" w14:textId="77777777" w:rsidR="00AF499F" w:rsidRPr="00622F6C" w:rsidRDefault="00AF499F"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 xml:space="preserve">Home Office, 2015c. Consultation outcome modern slavery and supply chains. </w:t>
      </w:r>
      <w:r w:rsidR="00EE0DBC" w:rsidRPr="00622F6C">
        <w:rPr>
          <w:rFonts w:ascii="Times New Roman" w:hAnsi="Times New Roman" w:cs="Times New Roman"/>
          <w:lang w:val="en-US"/>
        </w:rPr>
        <w:t>https://www.gov.uk/government/consultations/m</w:t>
      </w:r>
      <w:r w:rsidR="00D8552E" w:rsidRPr="00622F6C">
        <w:rPr>
          <w:rFonts w:ascii="Times New Roman" w:hAnsi="Times New Roman" w:cs="Times New Roman"/>
          <w:lang w:val="en-US"/>
        </w:rPr>
        <w:t>odern-slavery-and-supply-chains</w:t>
      </w:r>
    </w:p>
    <w:p w14:paraId="5CFBE2CE" w14:textId="77777777" w:rsidR="0008177C" w:rsidRPr="00622F6C" w:rsidRDefault="0008177C"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 xml:space="preserve">Hong, H., M. Kacperczyk, 2009. The price of sin: The effects of social norms on markets. </w:t>
      </w:r>
      <w:r w:rsidRPr="00622F6C">
        <w:rPr>
          <w:rFonts w:ascii="Times New Roman" w:hAnsi="Times New Roman" w:cs="Times New Roman"/>
          <w:iCs/>
          <w:color w:val="222222"/>
          <w:shd w:val="clear" w:color="auto" w:fill="FFFFFF"/>
          <w:lang w:val="en-US"/>
        </w:rPr>
        <w:t>Journal of Financial Economics</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93</w:t>
      </w:r>
      <w:r w:rsidRPr="00622F6C">
        <w:rPr>
          <w:rFonts w:ascii="Times New Roman" w:hAnsi="Times New Roman" w:cs="Times New Roman"/>
          <w:color w:val="222222"/>
          <w:shd w:val="clear" w:color="auto" w:fill="FFFFFF"/>
          <w:lang w:val="en-US"/>
        </w:rPr>
        <w:t>(1), 15-36.</w:t>
      </w:r>
    </w:p>
    <w:p w14:paraId="4638E136" w14:textId="77777777" w:rsidR="006E6FAF" w:rsidRPr="00622F6C" w:rsidRDefault="006E6FA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Huq, F.A., I.N. Chowdhury,</w:t>
      </w:r>
      <w:r w:rsidR="00024AA2" w:rsidRPr="00622F6C">
        <w:rPr>
          <w:rFonts w:ascii="Times New Roman" w:hAnsi="Times New Roman" w:cs="Times New Roman"/>
          <w:shd w:val="clear" w:color="auto" w:fill="FFFFFF"/>
          <w:lang w:val="en-US"/>
        </w:rPr>
        <w:t xml:space="preserve"> </w:t>
      </w:r>
      <w:r w:rsidRPr="00622F6C">
        <w:rPr>
          <w:rFonts w:ascii="Times New Roman" w:hAnsi="Times New Roman" w:cs="Times New Roman"/>
          <w:shd w:val="clear" w:color="auto" w:fill="FFFFFF"/>
          <w:lang w:val="en-US"/>
        </w:rPr>
        <w:t>R.D. Klassen</w:t>
      </w:r>
      <w:r w:rsidR="008866F6" w:rsidRPr="00622F6C">
        <w:rPr>
          <w:rFonts w:ascii="Times New Roman" w:hAnsi="Times New Roman" w:cs="Times New Roman"/>
          <w:shd w:val="clear" w:color="auto" w:fill="FFFFFF"/>
          <w:lang w:val="en-US"/>
        </w:rPr>
        <w:t>, 2016.</w:t>
      </w:r>
      <w:r w:rsidRPr="00622F6C">
        <w:rPr>
          <w:rFonts w:ascii="Times New Roman" w:hAnsi="Times New Roman" w:cs="Times New Roman"/>
          <w:shd w:val="clear" w:color="auto" w:fill="FFFFFF"/>
          <w:lang w:val="en-US"/>
        </w:rPr>
        <w:t xml:space="preserve"> Social management capabilities of multinational buying firms and their emerging market suppliers: An exploratory study of the clothing industry. </w:t>
      </w:r>
      <w:r w:rsidRPr="00622F6C">
        <w:rPr>
          <w:rFonts w:ascii="Times New Roman" w:hAnsi="Times New Roman" w:cs="Times New Roman"/>
          <w:iCs/>
          <w:shd w:val="clear" w:color="auto" w:fill="FFFFFF"/>
          <w:lang w:val="en-US"/>
        </w:rPr>
        <w:t>Journal of Operations Management</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46,</w:t>
      </w:r>
      <w:r w:rsidR="008866F6" w:rsidRPr="00622F6C">
        <w:rPr>
          <w:rFonts w:ascii="Times New Roman" w:hAnsi="Times New Roman" w:cs="Times New Roman"/>
          <w:iCs/>
          <w:shd w:val="clear" w:color="auto" w:fill="FFFFFF"/>
          <w:lang w:val="en-US"/>
        </w:rPr>
        <w:t xml:space="preserve"> </w:t>
      </w:r>
      <w:r w:rsidRPr="00622F6C">
        <w:rPr>
          <w:rFonts w:ascii="Times New Roman" w:hAnsi="Times New Roman" w:cs="Times New Roman"/>
          <w:shd w:val="clear" w:color="auto" w:fill="FFFFFF"/>
          <w:lang w:val="en-US"/>
        </w:rPr>
        <w:t>19-37.</w:t>
      </w:r>
    </w:p>
    <w:p w14:paraId="0F24AF6F" w14:textId="77777777" w:rsidR="00F97819" w:rsidRPr="00622F6C" w:rsidRDefault="00F97819"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Ingram, R.W., 1978. An investigation of the information content of (certain) soc</w:t>
      </w:r>
      <w:r w:rsidR="00D8552E" w:rsidRPr="00622F6C">
        <w:rPr>
          <w:rFonts w:ascii="Times New Roman" w:hAnsi="Times New Roman" w:cs="Times New Roman"/>
          <w:shd w:val="clear" w:color="auto" w:fill="FFFFFF"/>
          <w:lang w:val="en-US"/>
        </w:rPr>
        <w:t xml:space="preserve">ial responsibility disclosures. </w:t>
      </w:r>
      <w:r w:rsidRPr="00622F6C">
        <w:rPr>
          <w:rFonts w:ascii="Times New Roman" w:hAnsi="Times New Roman" w:cs="Times New Roman"/>
          <w:iCs/>
          <w:shd w:val="clear" w:color="auto" w:fill="FFFFFF"/>
          <w:lang w:val="en-US"/>
        </w:rPr>
        <w:t>Journal of Accounting Research 16 (2)</w:t>
      </w:r>
      <w:r w:rsidRPr="00622F6C">
        <w:rPr>
          <w:rFonts w:ascii="Times New Roman" w:hAnsi="Times New Roman" w:cs="Times New Roman"/>
          <w:shd w:val="clear" w:color="auto" w:fill="FFFFFF"/>
          <w:lang w:val="en-US"/>
        </w:rPr>
        <w:t>, 270-285.</w:t>
      </w:r>
    </w:p>
    <w:p w14:paraId="0D6AEE7F" w14:textId="77777777" w:rsidR="00472E03" w:rsidRPr="00D40D17" w:rsidRDefault="00472E03" w:rsidP="00BA6218">
      <w:pPr>
        <w:spacing w:after="0" w:line="240" w:lineRule="auto"/>
        <w:ind w:left="284" w:hanging="284"/>
        <w:jc w:val="both"/>
        <w:rPr>
          <w:rFonts w:ascii="Times New Roman" w:hAnsi="Times New Roman" w:cs="Times New Roman"/>
          <w:shd w:val="clear" w:color="auto" w:fill="FFFFFF"/>
          <w:lang w:val="en-US"/>
        </w:rPr>
      </w:pPr>
      <w:r w:rsidRPr="00D40D17">
        <w:rPr>
          <w:rFonts w:ascii="Times New Roman" w:hAnsi="Times New Roman" w:cs="Times New Roman"/>
          <w:shd w:val="clear" w:color="auto" w:fill="FFFFFF"/>
          <w:lang w:val="en-US"/>
        </w:rPr>
        <w:t xml:space="preserve">Insight ResponsAbility, 2015. </w:t>
      </w:r>
      <w:r w:rsidR="00D8552E" w:rsidRPr="00D40D17">
        <w:rPr>
          <w:rFonts w:ascii="Times New Roman" w:hAnsi="Times New Roman" w:cs="Times New Roman"/>
          <w:shd w:val="clear" w:color="auto" w:fill="FFFFFF"/>
          <w:lang w:val="en-US"/>
        </w:rPr>
        <w:t xml:space="preserve">TISC </w:t>
      </w:r>
      <w:r w:rsidR="00ED2E70" w:rsidRPr="00D40D17">
        <w:rPr>
          <w:rFonts w:ascii="Times New Roman" w:hAnsi="Times New Roman" w:cs="Times New Roman"/>
          <w:shd w:val="clear" w:color="auto" w:fill="FFFFFF"/>
          <w:lang w:val="en-US"/>
        </w:rPr>
        <w:t>–</w:t>
      </w:r>
      <w:r w:rsidRPr="00D40D17">
        <w:rPr>
          <w:rFonts w:ascii="Times New Roman" w:hAnsi="Times New Roman" w:cs="Times New Roman"/>
          <w:shd w:val="clear" w:color="auto" w:fill="FFFFFF"/>
          <w:lang w:val="en-US"/>
        </w:rPr>
        <w:t xml:space="preserve"> Non-UK companies: do we have to comply?</w:t>
      </w:r>
      <w:r w:rsidR="00D8552E" w:rsidRPr="00D40D17">
        <w:rPr>
          <w:rFonts w:ascii="Times New Roman" w:hAnsi="Times New Roman" w:cs="Times New Roman"/>
          <w:shd w:val="clear" w:color="auto" w:fill="FFFFFF"/>
          <w:lang w:val="en-US"/>
        </w:rPr>
        <w:t xml:space="preserve"> </w:t>
      </w:r>
      <w:hyperlink r:id="rId22" w:history="1">
        <w:r w:rsidRPr="00D40D17">
          <w:rPr>
            <w:rFonts w:ascii="Times New Roman" w:hAnsi="Times New Roman" w:cs="Times New Roman"/>
          </w:rPr>
          <w:t>http://insight-responsability.com/tisc-non-uk-companies-do-we-have-to-comply</w:t>
        </w:r>
      </w:hyperlink>
    </w:p>
    <w:p w14:paraId="5A4C4850" w14:textId="77777777" w:rsidR="009E6DF8" w:rsidRPr="00D40D17" w:rsidRDefault="00202440" w:rsidP="00BA6218">
      <w:pPr>
        <w:spacing w:after="0" w:line="240" w:lineRule="auto"/>
        <w:ind w:left="284" w:hanging="284"/>
        <w:rPr>
          <w:rFonts w:ascii="Times New Roman" w:hAnsi="Times New Roman" w:cs="Times New Roman"/>
          <w:shd w:val="clear" w:color="auto" w:fill="FFFFFF"/>
          <w:lang w:val="en-US"/>
        </w:rPr>
      </w:pPr>
      <w:r w:rsidRPr="00D40D17">
        <w:rPr>
          <w:rFonts w:ascii="Times New Roman" w:hAnsi="Times New Roman" w:cs="Times New Roman"/>
          <w:shd w:val="clear" w:color="auto" w:fill="FFFFFF"/>
          <w:lang w:val="en-US"/>
        </w:rPr>
        <w:t>International Labour Organization</w:t>
      </w:r>
      <w:r w:rsidR="006C5DD0" w:rsidRPr="00D40D17">
        <w:rPr>
          <w:rFonts w:ascii="Times New Roman" w:hAnsi="Times New Roman" w:cs="Times New Roman"/>
          <w:shd w:val="clear" w:color="auto" w:fill="FFFFFF"/>
          <w:lang w:val="en-US"/>
        </w:rPr>
        <w:t xml:space="preserve"> (ILO</w:t>
      </w:r>
      <w:r w:rsidR="008B6F0E" w:rsidRPr="00D40D17">
        <w:rPr>
          <w:rFonts w:ascii="Times New Roman" w:hAnsi="Times New Roman" w:cs="Times New Roman"/>
          <w:shd w:val="clear" w:color="auto" w:fill="FFFFFF"/>
          <w:lang w:val="en-US"/>
        </w:rPr>
        <w:t>)</w:t>
      </w:r>
      <w:r w:rsidR="009E6DF8" w:rsidRPr="00D40D17">
        <w:rPr>
          <w:rFonts w:ascii="Times New Roman" w:hAnsi="Times New Roman" w:cs="Times New Roman"/>
          <w:shd w:val="clear" w:color="auto" w:fill="FFFFFF"/>
          <w:lang w:val="en-US"/>
        </w:rPr>
        <w:t xml:space="preserve">, 2014. Profits and poverty: The economics of forced labour. </w:t>
      </w:r>
      <w:hyperlink r:id="rId23" w:history="1">
        <w:r w:rsidR="009E6DF8" w:rsidRPr="00D40D17">
          <w:rPr>
            <w:rStyle w:val="Hyperlink"/>
            <w:rFonts w:ascii="Times New Roman" w:hAnsi="Times New Roman" w:cs="Times New Roman"/>
            <w:color w:val="auto"/>
            <w:u w:val="none"/>
            <w:shd w:val="clear" w:color="auto" w:fill="FFFFFF"/>
            <w:lang w:val="en-US"/>
          </w:rPr>
          <w:t>http://www.ilo.org/wcmsp5/groups/public/---ed_norm/---declaration/documents/publication/wcms_243391.pdf</w:t>
        </w:r>
      </w:hyperlink>
    </w:p>
    <w:p w14:paraId="3B7F1E86" w14:textId="77777777" w:rsidR="00202440" w:rsidRPr="00622F6C" w:rsidRDefault="00202440" w:rsidP="00BA6218">
      <w:pPr>
        <w:spacing w:after="0" w:line="240" w:lineRule="auto"/>
        <w:ind w:left="284" w:hanging="284"/>
        <w:rPr>
          <w:rFonts w:ascii="Times New Roman" w:hAnsi="Times New Roman" w:cs="Times New Roman"/>
          <w:shd w:val="clear" w:color="auto" w:fill="FFFFFF"/>
          <w:lang w:val="en-US"/>
        </w:rPr>
      </w:pPr>
      <w:r w:rsidRPr="00D40D17">
        <w:rPr>
          <w:rFonts w:ascii="Times New Roman" w:hAnsi="Times New Roman" w:cs="Times New Roman"/>
          <w:shd w:val="clear" w:color="auto" w:fill="FFFFFF"/>
          <w:lang w:val="en-US"/>
        </w:rPr>
        <w:t>International Labour Organization</w:t>
      </w:r>
      <w:r w:rsidR="006C5DD0" w:rsidRPr="00D40D17">
        <w:rPr>
          <w:rFonts w:ascii="Times New Roman" w:hAnsi="Times New Roman" w:cs="Times New Roman"/>
          <w:shd w:val="clear" w:color="auto" w:fill="FFFFFF"/>
          <w:lang w:val="en-US"/>
        </w:rPr>
        <w:t xml:space="preserve"> (ILO</w:t>
      </w:r>
      <w:r w:rsidR="008B6F0E" w:rsidRPr="00D40D17">
        <w:rPr>
          <w:rFonts w:ascii="Times New Roman" w:hAnsi="Times New Roman" w:cs="Times New Roman"/>
          <w:shd w:val="clear" w:color="auto" w:fill="FFFFFF"/>
          <w:lang w:val="en-US"/>
        </w:rPr>
        <w:t>)</w:t>
      </w:r>
      <w:r w:rsidRPr="00D40D17">
        <w:rPr>
          <w:rFonts w:ascii="Times New Roman" w:hAnsi="Times New Roman" w:cs="Times New Roman"/>
          <w:shd w:val="clear" w:color="auto" w:fill="FFFFFF"/>
          <w:lang w:val="en-US"/>
        </w:rPr>
        <w:t xml:space="preserve"> and Walk Free Foundation, 2017. Global estimates of modern slavery: Forced labour and forced marriage. </w:t>
      </w:r>
      <w:hyperlink r:id="rId24" w:history="1">
        <w:r w:rsidR="00BA5BC6" w:rsidRPr="00D40D17">
          <w:rPr>
            <w:rStyle w:val="Hyperlink"/>
            <w:rFonts w:ascii="Times New Roman" w:hAnsi="Times New Roman" w:cs="Times New Roman"/>
            <w:color w:val="auto"/>
            <w:u w:val="none"/>
            <w:shd w:val="clear" w:color="auto" w:fill="FFFFFF"/>
            <w:lang w:val="en-US"/>
          </w:rPr>
          <w:t>http://www.ilo.org/global/publications/books/WCMS_575479/lang--en/index.htm</w:t>
        </w:r>
      </w:hyperlink>
    </w:p>
    <w:p w14:paraId="16C2BF04" w14:textId="77777777" w:rsidR="006E6FAF" w:rsidRPr="00622F6C" w:rsidRDefault="006E6FAF" w:rsidP="00BA6218">
      <w:pPr>
        <w:spacing w:after="0" w:line="240" w:lineRule="auto"/>
        <w:ind w:left="284" w:hanging="284"/>
        <w:jc w:val="both"/>
        <w:rPr>
          <w:rFonts w:ascii="Times New Roman" w:hAnsi="Times New Roman" w:cs="Times New Roman"/>
          <w:iCs/>
          <w:shd w:val="clear" w:color="auto" w:fill="FFFFFF"/>
          <w:lang w:val="en-US"/>
        </w:rPr>
      </w:pPr>
      <w:r w:rsidRPr="00622F6C">
        <w:rPr>
          <w:rFonts w:ascii="Times New Roman" w:hAnsi="Times New Roman" w:cs="Times New Roman"/>
          <w:shd w:val="clear" w:color="auto" w:fill="FFFFFF"/>
          <w:lang w:val="en-US"/>
        </w:rPr>
        <w:t>Jacobs, B.W.</w:t>
      </w:r>
      <w:r w:rsidR="00037CF9" w:rsidRPr="00622F6C">
        <w:rPr>
          <w:rFonts w:ascii="Times New Roman" w:hAnsi="Times New Roman" w:cs="Times New Roman"/>
          <w:shd w:val="clear" w:color="auto" w:fill="FFFFFF"/>
          <w:lang w:val="en-US"/>
        </w:rPr>
        <w:t>,</w:t>
      </w:r>
      <w:r w:rsidRPr="00622F6C">
        <w:rPr>
          <w:rFonts w:ascii="Times New Roman" w:hAnsi="Times New Roman" w:cs="Times New Roman"/>
          <w:shd w:val="clear" w:color="auto" w:fill="FFFFFF"/>
          <w:lang w:val="en-US"/>
        </w:rPr>
        <w:t xml:space="preserve"> V.R. Singhal</w:t>
      </w:r>
      <w:r w:rsidR="008824F7" w:rsidRPr="00622F6C">
        <w:rPr>
          <w:rFonts w:ascii="Times New Roman" w:hAnsi="Times New Roman" w:cs="Times New Roman"/>
          <w:shd w:val="clear" w:color="auto" w:fill="FFFFFF"/>
          <w:lang w:val="en-US"/>
        </w:rPr>
        <w:t>, 2017.</w:t>
      </w:r>
      <w:r w:rsidRPr="00622F6C">
        <w:rPr>
          <w:rFonts w:ascii="Times New Roman" w:hAnsi="Times New Roman" w:cs="Times New Roman"/>
          <w:shd w:val="clear" w:color="auto" w:fill="FFFFFF"/>
          <w:lang w:val="en-US"/>
        </w:rPr>
        <w:t xml:space="preserve"> </w:t>
      </w:r>
      <w:hyperlink r:id="rId25" w:tooltip="The effect of the Rana Plaza disaster on shareholder wealth of retailers: Implications for sourcing strategies and supply chain governance" w:history="1">
        <w:r w:rsidRPr="00622F6C">
          <w:rPr>
            <w:rFonts w:ascii="Times New Roman" w:hAnsi="Times New Roman" w:cs="Times New Roman"/>
            <w:shd w:val="clear" w:color="auto" w:fill="FFFFFF"/>
            <w:lang w:val="en-US"/>
          </w:rPr>
          <w:t>The effect of the Rana Plaza disaster on shareholder wealth of retailers: Implications for sourcing strategies and supply chain governance</w:t>
        </w:r>
      </w:hyperlink>
      <w:r w:rsidRPr="00622F6C">
        <w:rPr>
          <w:rFonts w:ascii="Times New Roman" w:hAnsi="Times New Roman" w:cs="Times New Roman"/>
          <w:lang w:val="en-US"/>
        </w:rPr>
        <w:t>.</w:t>
      </w:r>
      <w:r w:rsidRPr="00622F6C">
        <w:rPr>
          <w:rFonts w:ascii="Times New Roman" w:hAnsi="Times New Roman" w:cs="Times New Roman"/>
          <w:shd w:val="clear" w:color="auto" w:fill="FFFFFF"/>
          <w:lang w:val="en-US"/>
        </w:rPr>
        <w:t xml:space="preserve"> Journal of Operations</w:t>
      </w:r>
      <w:r w:rsidR="008824F7" w:rsidRPr="00622F6C">
        <w:rPr>
          <w:rFonts w:ascii="Times New Roman" w:hAnsi="Times New Roman" w:cs="Times New Roman"/>
          <w:shd w:val="clear" w:color="auto" w:fill="FFFFFF"/>
          <w:lang w:val="en-US"/>
        </w:rPr>
        <w:t xml:space="preserve"> </w:t>
      </w:r>
      <w:r w:rsidR="0032239D" w:rsidRPr="00622F6C">
        <w:rPr>
          <w:rFonts w:ascii="Times New Roman" w:hAnsi="Times New Roman" w:cs="Times New Roman"/>
          <w:iCs/>
          <w:shd w:val="clear" w:color="auto" w:fill="FFFFFF"/>
          <w:lang w:val="en-US"/>
        </w:rPr>
        <w:t>Management 49-</w:t>
      </w:r>
      <w:r w:rsidR="008824F7" w:rsidRPr="00622F6C">
        <w:rPr>
          <w:rFonts w:ascii="Times New Roman" w:hAnsi="Times New Roman" w:cs="Times New Roman"/>
          <w:iCs/>
          <w:shd w:val="clear" w:color="auto" w:fill="FFFFFF"/>
          <w:lang w:val="en-US"/>
        </w:rPr>
        <w:t xml:space="preserve">51, 52-66. </w:t>
      </w:r>
    </w:p>
    <w:p w14:paraId="4826C91B" w14:textId="77777777" w:rsidR="006E6FAF" w:rsidRPr="00622F6C" w:rsidRDefault="006E6FA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lastRenderedPageBreak/>
        <w:t>Jain, P.</w:t>
      </w:r>
      <w:r w:rsidR="00C93E54" w:rsidRPr="00622F6C">
        <w:rPr>
          <w:rFonts w:ascii="Times New Roman" w:hAnsi="Times New Roman" w:cs="Times New Roman"/>
          <w:shd w:val="clear" w:color="auto" w:fill="FFFFFF"/>
          <w:lang w:val="en-US"/>
        </w:rPr>
        <w:t xml:space="preserve">K., </w:t>
      </w:r>
      <w:r w:rsidRPr="00622F6C">
        <w:rPr>
          <w:rFonts w:ascii="Times New Roman" w:hAnsi="Times New Roman" w:cs="Times New Roman"/>
          <w:shd w:val="clear" w:color="auto" w:fill="FFFFFF"/>
          <w:lang w:val="en-US"/>
        </w:rPr>
        <w:t>Z. Rezaee</w:t>
      </w:r>
      <w:r w:rsidR="008824F7" w:rsidRPr="00D86194">
        <w:rPr>
          <w:rFonts w:ascii="Times New Roman" w:hAnsi="Times New Roman" w:cs="Times New Roman"/>
          <w:shd w:val="clear" w:color="auto" w:fill="FFFFFF"/>
          <w:lang w:val="en-US"/>
        </w:rPr>
        <w:t>,</w:t>
      </w:r>
      <w:r w:rsidRPr="00CF1CA3">
        <w:rPr>
          <w:rFonts w:ascii="Times New Roman" w:hAnsi="Times New Roman" w:cs="Times New Roman"/>
          <w:shd w:val="clear" w:color="auto" w:fill="FFFFFF"/>
          <w:lang w:val="en-US"/>
        </w:rPr>
        <w:t xml:space="preserve"> </w:t>
      </w:r>
      <w:r w:rsidR="008824F7" w:rsidRPr="00CF1CA3">
        <w:rPr>
          <w:rFonts w:ascii="Times New Roman" w:hAnsi="Times New Roman" w:cs="Times New Roman"/>
          <w:shd w:val="clear" w:color="auto" w:fill="FFFFFF"/>
          <w:lang w:val="en-US"/>
        </w:rPr>
        <w:t>2006</w:t>
      </w:r>
      <w:r w:rsidR="00CF1CA3" w:rsidRPr="00E54777">
        <w:rPr>
          <w:rFonts w:ascii="Times New Roman" w:hAnsi="Times New Roman" w:cs="Times New Roman"/>
          <w:shd w:val="clear" w:color="auto" w:fill="FFFFFF"/>
          <w:lang w:val="en-US"/>
        </w:rPr>
        <w:t xml:space="preserve">. </w:t>
      </w:r>
      <w:r w:rsidRPr="00CF1CA3">
        <w:rPr>
          <w:rFonts w:ascii="Times New Roman" w:hAnsi="Times New Roman" w:cs="Times New Roman"/>
          <w:shd w:val="clear" w:color="auto" w:fill="FFFFFF"/>
          <w:lang w:val="en-US"/>
        </w:rPr>
        <w:t>The</w:t>
      </w:r>
      <w:r w:rsidRPr="00622F6C">
        <w:rPr>
          <w:rFonts w:ascii="Times New Roman" w:hAnsi="Times New Roman" w:cs="Times New Roman"/>
          <w:shd w:val="clear" w:color="auto" w:fill="FFFFFF"/>
          <w:lang w:val="en-US"/>
        </w:rPr>
        <w:t xml:space="preserve"> Sarbanes</w:t>
      </w:r>
      <w:r w:rsidR="00822709" w:rsidRPr="00622F6C">
        <w:rPr>
          <w:rFonts w:ascii="Times New Roman" w:hAnsi="Times New Roman" w:cs="Times New Roman"/>
          <w:shd w:val="clear" w:color="auto" w:fill="FFFFFF"/>
          <w:lang w:val="en-US"/>
        </w:rPr>
        <w:t xml:space="preserve"> </w:t>
      </w:r>
      <w:r w:rsidRPr="00622F6C">
        <w:rPr>
          <w:rFonts w:ascii="Times New Roman" w:hAnsi="Times New Roman" w:cs="Times New Roman"/>
          <w:shd w:val="clear" w:color="auto" w:fill="FFFFFF"/>
          <w:lang w:val="en-US"/>
        </w:rPr>
        <w:t>Oxley Act of 2002 and capital</w:t>
      </w:r>
      <w:r w:rsidRPr="00622F6C">
        <w:rPr>
          <w:rFonts w:ascii="Cambria Math" w:hAnsi="Cambria Math" w:cs="Cambria Math"/>
          <w:shd w:val="clear" w:color="auto" w:fill="FFFFFF"/>
          <w:lang w:val="en-US"/>
        </w:rPr>
        <w:t>‐</w:t>
      </w:r>
      <w:r w:rsidRPr="00622F6C">
        <w:rPr>
          <w:rFonts w:ascii="Times New Roman" w:hAnsi="Times New Roman" w:cs="Times New Roman"/>
          <w:shd w:val="clear" w:color="auto" w:fill="FFFFFF"/>
          <w:lang w:val="en-US"/>
        </w:rPr>
        <w:t xml:space="preserve">market behavior: Early evidence. </w:t>
      </w:r>
      <w:r w:rsidRPr="00622F6C">
        <w:rPr>
          <w:rFonts w:ascii="Times New Roman" w:hAnsi="Times New Roman" w:cs="Times New Roman"/>
          <w:iCs/>
          <w:shd w:val="clear" w:color="auto" w:fill="FFFFFF"/>
          <w:lang w:val="en-US"/>
        </w:rPr>
        <w:t>Contemporary Accounting Research 23</w:t>
      </w:r>
      <w:r w:rsidR="008824F7" w:rsidRPr="00622F6C">
        <w:rPr>
          <w:rFonts w:ascii="Times New Roman" w:hAnsi="Times New Roman" w:cs="Times New Roman"/>
          <w:iCs/>
          <w:shd w:val="clear" w:color="auto" w:fill="FFFFFF"/>
          <w:lang w:val="en-US"/>
        </w:rPr>
        <w:t xml:space="preserve"> (3), </w:t>
      </w:r>
      <w:r w:rsidRPr="00622F6C">
        <w:rPr>
          <w:rFonts w:ascii="Times New Roman" w:hAnsi="Times New Roman" w:cs="Times New Roman"/>
          <w:shd w:val="clear" w:color="auto" w:fill="FFFFFF"/>
          <w:lang w:val="en-US"/>
        </w:rPr>
        <w:t>629-654.</w:t>
      </w:r>
    </w:p>
    <w:p w14:paraId="12FDE3AF" w14:textId="77777777" w:rsidR="002D4E27" w:rsidRPr="00622F6C" w:rsidRDefault="002D4E27" w:rsidP="00BA6218">
      <w:pPr>
        <w:spacing w:after="0" w:line="240" w:lineRule="auto"/>
        <w:ind w:left="284" w:hanging="284"/>
        <w:jc w:val="both"/>
        <w:rPr>
          <w:rFonts w:ascii="Times New Roman" w:hAnsi="Times New Roman" w:cs="Times New Roman"/>
          <w:iCs/>
          <w:shd w:val="clear" w:color="auto" w:fill="FFFFFF"/>
          <w:lang w:val="en-US"/>
        </w:rPr>
      </w:pPr>
      <w:r w:rsidRPr="00622F6C">
        <w:rPr>
          <w:rFonts w:ascii="Times New Roman" w:hAnsi="Times New Roman" w:cs="Times New Roman"/>
          <w:iCs/>
          <w:shd w:val="clear" w:color="auto" w:fill="FFFFFF"/>
          <w:lang w:val="en-US"/>
        </w:rPr>
        <w:t>Jiang, B.</w:t>
      </w:r>
      <w:r w:rsidR="00037CF9" w:rsidRPr="00622F6C">
        <w:rPr>
          <w:rFonts w:ascii="Times New Roman" w:hAnsi="Times New Roman" w:cs="Times New Roman"/>
          <w:iCs/>
          <w:shd w:val="clear" w:color="auto" w:fill="FFFFFF"/>
          <w:lang w:val="en-US"/>
        </w:rPr>
        <w:t>,</w:t>
      </w:r>
      <w:r w:rsidRPr="00622F6C">
        <w:rPr>
          <w:rFonts w:ascii="Times New Roman" w:hAnsi="Times New Roman" w:cs="Times New Roman"/>
          <w:iCs/>
          <w:shd w:val="clear" w:color="auto" w:fill="FFFFFF"/>
          <w:lang w:val="en-US"/>
        </w:rPr>
        <w:t xml:space="preserve"> 2009. The effects of interorganizational governance on supplier's compliance with SCC: An empirical examination of compliant and non-compliant suppliers. Journal of Operations Management 27 (4), 267-280. </w:t>
      </w:r>
    </w:p>
    <w:p w14:paraId="31146001" w14:textId="77777777" w:rsidR="00EC3BC4" w:rsidRPr="00FF529C" w:rsidRDefault="00EC3BC4" w:rsidP="00BA6218">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Joos</w:t>
      </w:r>
      <w:r w:rsidRPr="00D86194">
        <w:rPr>
          <w:rFonts w:ascii="Times New Roman" w:hAnsi="Times New Roman" w:cs="Times New Roman"/>
          <w:color w:val="222222"/>
          <w:shd w:val="clear" w:color="auto" w:fill="FFFFFF"/>
          <w:lang w:val="en-US"/>
        </w:rPr>
        <w:t xml:space="preserve">, P.P., E. Leung, </w:t>
      </w:r>
      <w:r w:rsidRPr="008E21EE">
        <w:rPr>
          <w:rFonts w:ascii="Times New Roman" w:hAnsi="Times New Roman" w:cs="Times New Roman"/>
          <w:color w:val="222222"/>
          <w:shd w:val="clear" w:color="auto" w:fill="FFFFFF"/>
          <w:lang w:val="en-US"/>
        </w:rPr>
        <w:t>2012</w:t>
      </w:r>
      <w:r w:rsidRPr="00D86194">
        <w:rPr>
          <w:rFonts w:ascii="Times New Roman" w:hAnsi="Times New Roman" w:cs="Times New Roman"/>
          <w:color w:val="222222"/>
          <w:shd w:val="clear" w:color="auto" w:fill="FFFFFF"/>
          <w:lang w:val="en-US"/>
        </w:rPr>
        <w:t>. Investor</w:t>
      </w:r>
      <w:r w:rsidRPr="00622F6C">
        <w:rPr>
          <w:rFonts w:ascii="Times New Roman" w:hAnsi="Times New Roman" w:cs="Times New Roman"/>
          <w:color w:val="222222"/>
          <w:shd w:val="clear" w:color="auto" w:fill="FFFFFF"/>
          <w:lang w:val="en-US"/>
        </w:rPr>
        <w:t xml:space="preserve"> perceptions of potential IFRS adoption in the United States.</w:t>
      </w:r>
      <w:r w:rsidRPr="00622F6C">
        <w:rPr>
          <w:rFonts w:ascii="Times New Roman" w:hAnsi="Times New Roman" w:cs="Times New Roman"/>
          <w:iCs/>
          <w:color w:val="222222"/>
          <w:shd w:val="clear" w:color="auto" w:fill="FFFFFF"/>
          <w:lang w:val="en-US"/>
        </w:rPr>
        <w:t xml:space="preserve"> The </w:t>
      </w:r>
      <w:r w:rsidRPr="00FF529C">
        <w:rPr>
          <w:rFonts w:ascii="Times New Roman" w:hAnsi="Times New Roman" w:cs="Times New Roman"/>
          <w:iCs/>
          <w:color w:val="222222"/>
          <w:shd w:val="clear" w:color="auto" w:fill="FFFFFF"/>
          <w:lang w:val="en-US"/>
        </w:rPr>
        <w:t>Accounting Review</w:t>
      </w:r>
      <w:r w:rsidRPr="00FF529C">
        <w:rPr>
          <w:rFonts w:ascii="Times New Roman" w:hAnsi="Times New Roman" w:cs="Times New Roman"/>
          <w:color w:val="222222"/>
          <w:shd w:val="clear" w:color="auto" w:fill="FFFFFF"/>
          <w:lang w:val="en-US"/>
        </w:rPr>
        <w:t xml:space="preserve"> </w:t>
      </w:r>
      <w:r w:rsidRPr="00FF529C">
        <w:rPr>
          <w:rFonts w:ascii="Times New Roman" w:hAnsi="Times New Roman" w:cs="Times New Roman"/>
          <w:iCs/>
          <w:color w:val="222222"/>
          <w:shd w:val="clear" w:color="auto" w:fill="FFFFFF"/>
          <w:lang w:val="en-US"/>
        </w:rPr>
        <w:t xml:space="preserve">88 </w:t>
      </w:r>
      <w:r w:rsidR="00494209" w:rsidRPr="00FF529C">
        <w:rPr>
          <w:rFonts w:ascii="Times New Roman" w:hAnsi="Times New Roman" w:cs="Times New Roman"/>
          <w:color w:val="222222"/>
          <w:shd w:val="clear" w:color="auto" w:fill="FFFFFF"/>
          <w:lang w:val="en-US"/>
        </w:rPr>
        <w:t>(2), 577-609</w:t>
      </w:r>
      <w:r w:rsidR="0019571F" w:rsidRPr="00FF529C">
        <w:rPr>
          <w:rFonts w:ascii="Times New Roman" w:hAnsi="Times New Roman" w:cs="Times New Roman"/>
          <w:color w:val="222222"/>
          <w:shd w:val="clear" w:color="auto" w:fill="FFFFFF"/>
          <w:lang w:val="en-US"/>
        </w:rPr>
        <w:t>.</w:t>
      </w:r>
    </w:p>
    <w:p w14:paraId="75B3DF60" w14:textId="77777777" w:rsidR="00FF529C" w:rsidRPr="00FF529C" w:rsidRDefault="00FF529C" w:rsidP="00BA6218">
      <w:pPr>
        <w:spacing w:after="0" w:line="240" w:lineRule="auto"/>
        <w:ind w:left="284" w:hanging="284"/>
        <w:jc w:val="both"/>
        <w:rPr>
          <w:rFonts w:ascii="Times New Roman" w:hAnsi="Times New Roman" w:cs="Times New Roman"/>
          <w:color w:val="222222"/>
          <w:shd w:val="clear" w:color="auto" w:fill="FFFFFF"/>
          <w:lang w:val="en-US"/>
        </w:rPr>
      </w:pPr>
      <w:r w:rsidRPr="004C7B14">
        <w:rPr>
          <w:rFonts w:ascii="Times New Roman" w:hAnsi="Times New Roman" w:cs="Times New Roman"/>
          <w:color w:val="222222"/>
        </w:rPr>
        <w:t>Kalk</w:t>
      </w:r>
      <w:r w:rsidRPr="00FF529C">
        <w:rPr>
          <w:rFonts w:ascii="Times New Roman" w:hAnsi="Times New Roman" w:cs="Times New Roman"/>
          <w:color w:val="222222"/>
        </w:rPr>
        <w:t>anci B., E.L. Plambeck, 2018. Managing supplier social and</w:t>
      </w:r>
      <w:r w:rsidRPr="00BA6218">
        <w:rPr>
          <w:rFonts w:ascii="Times New Roman" w:hAnsi="Times New Roman" w:cs="Times New Roman"/>
          <w:color w:val="222222"/>
        </w:rPr>
        <w:t xml:space="preserve"> environmental i</w:t>
      </w:r>
      <w:r w:rsidRPr="004C7B14">
        <w:rPr>
          <w:rFonts w:ascii="Times New Roman" w:hAnsi="Times New Roman" w:cs="Times New Roman"/>
          <w:color w:val="222222"/>
        </w:rPr>
        <w:t xml:space="preserve">mpacts </w:t>
      </w:r>
      <w:r w:rsidR="00BA6218">
        <w:rPr>
          <w:rFonts w:ascii="Times New Roman" w:hAnsi="Times New Roman" w:cs="Times New Roman"/>
          <w:color w:val="222222"/>
        </w:rPr>
        <w:t>with voluntary versus mandatory disclosure to investors. Working paper, SSRN.</w:t>
      </w:r>
    </w:p>
    <w:p w14:paraId="108D5DFD" w14:textId="77777777" w:rsidR="00494209" w:rsidRPr="00FF529C" w:rsidRDefault="00494209" w:rsidP="00BA6218">
      <w:pPr>
        <w:spacing w:after="0" w:line="240" w:lineRule="auto"/>
        <w:ind w:left="284" w:hanging="284"/>
        <w:jc w:val="both"/>
        <w:rPr>
          <w:rFonts w:ascii="Times New Roman" w:hAnsi="Times New Roman" w:cs="Times New Roman"/>
          <w:iCs/>
          <w:shd w:val="clear" w:color="auto" w:fill="FFFFFF"/>
          <w:lang w:val="en-US"/>
        </w:rPr>
      </w:pPr>
      <w:r w:rsidRPr="00DC7E8B">
        <w:rPr>
          <w:rFonts w:ascii="Times New Roman" w:hAnsi="Times New Roman" w:cs="Times New Roman"/>
          <w:color w:val="222222"/>
        </w:rPr>
        <w:t>Kim, S., A. Klein, 2017. Did the 1999 NYSE and NASDAQ listing standard cha</w:t>
      </w:r>
      <w:r w:rsidRPr="00FF529C">
        <w:rPr>
          <w:rFonts w:ascii="Times New Roman" w:hAnsi="Times New Roman" w:cs="Times New Roman"/>
          <w:color w:val="222222"/>
        </w:rPr>
        <w:t xml:space="preserve">nges on audit committee composition benefit investors? </w:t>
      </w:r>
      <w:r w:rsidRPr="00FF529C">
        <w:rPr>
          <w:rFonts w:ascii="Times New Roman" w:hAnsi="Times New Roman" w:cs="Times New Roman"/>
          <w:iCs/>
          <w:color w:val="222222"/>
        </w:rPr>
        <w:t>The Accounting Review</w:t>
      </w:r>
      <w:r w:rsidRPr="00FF529C">
        <w:rPr>
          <w:rFonts w:ascii="Times New Roman" w:hAnsi="Times New Roman" w:cs="Times New Roman"/>
          <w:color w:val="222222"/>
        </w:rPr>
        <w:t xml:space="preserve"> </w:t>
      </w:r>
      <w:r w:rsidRPr="00FF529C">
        <w:rPr>
          <w:rFonts w:ascii="Times New Roman" w:hAnsi="Times New Roman" w:cs="Times New Roman"/>
          <w:iCs/>
          <w:color w:val="222222"/>
        </w:rPr>
        <w:t xml:space="preserve">92 </w:t>
      </w:r>
      <w:r w:rsidRPr="00FF529C">
        <w:rPr>
          <w:rFonts w:ascii="Times New Roman" w:hAnsi="Times New Roman" w:cs="Times New Roman"/>
          <w:color w:val="222222"/>
        </w:rPr>
        <w:t>(6), 187-212.</w:t>
      </w:r>
    </w:p>
    <w:p w14:paraId="1A5B6CFB" w14:textId="77777777" w:rsidR="008E0F19" w:rsidRDefault="003D2E5A" w:rsidP="00BA6218">
      <w:pPr>
        <w:spacing w:after="0" w:line="240" w:lineRule="auto"/>
        <w:ind w:left="284" w:hanging="284"/>
        <w:jc w:val="both"/>
        <w:rPr>
          <w:rFonts w:ascii="Times New Roman" w:hAnsi="Times New Roman" w:cs="Times New Roman"/>
          <w:color w:val="222222"/>
          <w:shd w:val="clear" w:color="auto" w:fill="FFFFFF"/>
          <w:lang w:val="en-US"/>
        </w:rPr>
      </w:pPr>
      <w:r w:rsidRPr="00FF529C">
        <w:rPr>
          <w:rFonts w:ascii="Times New Roman" w:hAnsi="Times New Roman" w:cs="Times New Roman"/>
          <w:color w:val="222222"/>
          <w:shd w:val="clear" w:color="auto" w:fill="FFFFFF"/>
          <w:lang w:val="en-US"/>
        </w:rPr>
        <w:t>King, B.G., S.A. Soule, 2007. Social movements as extra-institutional entrepreneurs: The effect of</w:t>
      </w:r>
    </w:p>
    <w:p w14:paraId="4070AA42" w14:textId="75E7922D" w:rsidR="008E0F19" w:rsidRPr="00FF529C" w:rsidRDefault="008E0F19" w:rsidP="00BA6218">
      <w:pPr>
        <w:spacing w:after="0" w:line="240" w:lineRule="auto"/>
        <w:ind w:left="284" w:hanging="284"/>
        <w:jc w:val="both"/>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rPr>
        <w:t xml:space="preserve">Knittel, C.R., V. Stango, </w:t>
      </w:r>
      <w:r w:rsidRPr="00955DFE">
        <w:rPr>
          <w:rFonts w:ascii="Times New Roman" w:hAnsi="Times New Roman" w:cs="Times New Roman"/>
          <w:color w:val="222222"/>
          <w:shd w:val="clear" w:color="auto" w:fill="FFFFFF"/>
        </w:rPr>
        <w:t>2013. Celebrity endorsements, firm value, and reputation risk: Evidence from the Tiger Woods scandal.</w:t>
      </w:r>
      <w:r>
        <w:rPr>
          <w:rFonts w:ascii="Times New Roman" w:hAnsi="Times New Roman" w:cs="Times New Roman"/>
          <w:color w:val="222222"/>
          <w:shd w:val="clear" w:color="auto" w:fill="FFFFFF"/>
        </w:rPr>
        <w:t xml:space="preserve"> </w:t>
      </w:r>
      <w:r w:rsidRPr="00955DFE">
        <w:rPr>
          <w:rFonts w:ascii="Times New Roman" w:hAnsi="Times New Roman" w:cs="Times New Roman"/>
          <w:iCs/>
          <w:color w:val="222222"/>
          <w:shd w:val="clear" w:color="auto" w:fill="FFFFFF"/>
        </w:rPr>
        <w:t>Management Science</w:t>
      </w:r>
      <w:r>
        <w:rPr>
          <w:rFonts w:ascii="Times New Roman" w:hAnsi="Times New Roman" w:cs="Times New Roman"/>
          <w:color w:val="222222"/>
          <w:shd w:val="clear" w:color="auto" w:fill="FFFFFF"/>
        </w:rPr>
        <w:t xml:space="preserve"> </w:t>
      </w:r>
      <w:r w:rsidRPr="00955DFE">
        <w:rPr>
          <w:rFonts w:ascii="Times New Roman" w:hAnsi="Times New Roman" w:cs="Times New Roman"/>
          <w:iCs/>
          <w:color w:val="222222"/>
          <w:shd w:val="clear" w:color="auto" w:fill="FFFFFF"/>
        </w:rPr>
        <w:t>60</w:t>
      </w:r>
      <w:r>
        <w:rPr>
          <w:rFonts w:ascii="Times New Roman" w:hAnsi="Times New Roman" w:cs="Times New Roman"/>
          <w:iCs/>
          <w:color w:val="222222"/>
          <w:shd w:val="clear" w:color="auto" w:fill="FFFFFF"/>
        </w:rPr>
        <w:t xml:space="preserve"> </w:t>
      </w:r>
      <w:r>
        <w:rPr>
          <w:rFonts w:ascii="Times New Roman" w:hAnsi="Times New Roman" w:cs="Times New Roman"/>
          <w:color w:val="222222"/>
          <w:shd w:val="clear" w:color="auto" w:fill="FFFFFF"/>
        </w:rPr>
        <w:t xml:space="preserve">(1), </w:t>
      </w:r>
      <w:r w:rsidRPr="00955DFE">
        <w:rPr>
          <w:rFonts w:ascii="Times New Roman" w:hAnsi="Times New Roman" w:cs="Times New Roman"/>
          <w:color w:val="222222"/>
          <w:shd w:val="clear" w:color="auto" w:fill="FFFFFF"/>
        </w:rPr>
        <w:t>21-37.</w:t>
      </w:r>
      <w:r w:rsidRPr="008E0F19" w:rsidDel="008E0F19">
        <w:rPr>
          <w:rFonts w:ascii="Times New Roman" w:hAnsi="Times New Roman" w:cs="Times New Roman"/>
          <w:color w:val="222222"/>
          <w:shd w:val="clear" w:color="auto" w:fill="FFFFFF"/>
          <w:lang w:val="en-US"/>
        </w:rPr>
        <w:t xml:space="preserve"> </w:t>
      </w:r>
    </w:p>
    <w:p w14:paraId="3D406DFC" w14:textId="77777777" w:rsidR="00011A7E" w:rsidRPr="00FF529C" w:rsidRDefault="00011A7E" w:rsidP="00BA6218">
      <w:pPr>
        <w:spacing w:after="0" w:line="240" w:lineRule="auto"/>
        <w:ind w:left="284" w:hanging="284"/>
        <w:jc w:val="both"/>
        <w:rPr>
          <w:rFonts w:ascii="Times New Roman" w:hAnsi="Times New Roman" w:cs="Times New Roman"/>
          <w:color w:val="222222"/>
          <w:shd w:val="clear" w:color="auto" w:fill="FFFFFF"/>
          <w:lang w:val="en-US"/>
        </w:rPr>
      </w:pPr>
      <w:r w:rsidRPr="00FF529C">
        <w:rPr>
          <w:rFonts w:ascii="Times New Roman" w:hAnsi="Times New Roman" w:cs="Times New Roman"/>
          <w:color w:val="222222"/>
          <w:shd w:val="clear" w:color="auto" w:fill="FFFFFF"/>
          <w:lang w:val="en-US"/>
        </w:rPr>
        <w:t>Koh, P.S., C. Qian, H. Wang, 2014. Firm litigation risk and the insurance value of corporate social performance.</w:t>
      </w:r>
      <w:r w:rsidR="00CE7CB2" w:rsidRPr="00FF529C">
        <w:rPr>
          <w:rFonts w:ascii="Times New Roman" w:hAnsi="Times New Roman" w:cs="Times New Roman"/>
          <w:color w:val="222222"/>
          <w:shd w:val="clear" w:color="auto" w:fill="FFFFFF"/>
          <w:lang w:val="en-US"/>
        </w:rPr>
        <w:t xml:space="preserve"> </w:t>
      </w:r>
      <w:r w:rsidRPr="00FF529C">
        <w:rPr>
          <w:rFonts w:ascii="Times New Roman" w:hAnsi="Times New Roman" w:cs="Times New Roman"/>
          <w:iCs/>
          <w:color w:val="222222"/>
          <w:shd w:val="clear" w:color="auto" w:fill="FFFFFF"/>
          <w:lang w:val="en-US"/>
        </w:rPr>
        <w:t>Strategic Management Journal</w:t>
      </w:r>
      <w:r w:rsidRPr="00FF529C">
        <w:rPr>
          <w:rFonts w:ascii="Times New Roman" w:hAnsi="Times New Roman" w:cs="Times New Roman"/>
          <w:color w:val="222222"/>
          <w:shd w:val="clear" w:color="auto" w:fill="FFFFFF"/>
          <w:lang w:val="en-US"/>
        </w:rPr>
        <w:t xml:space="preserve"> </w:t>
      </w:r>
      <w:r w:rsidRPr="00FF529C">
        <w:rPr>
          <w:rFonts w:ascii="Times New Roman" w:hAnsi="Times New Roman" w:cs="Times New Roman"/>
          <w:iCs/>
          <w:color w:val="222222"/>
          <w:shd w:val="clear" w:color="auto" w:fill="FFFFFF"/>
          <w:lang w:val="en-US"/>
        </w:rPr>
        <w:t xml:space="preserve">35 </w:t>
      </w:r>
      <w:r w:rsidRPr="00FF529C">
        <w:rPr>
          <w:rFonts w:ascii="Times New Roman" w:hAnsi="Times New Roman" w:cs="Times New Roman"/>
          <w:color w:val="222222"/>
          <w:shd w:val="clear" w:color="auto" w:fill="FFFFFF"/>
          <w:lang w:val="en-US"/>
        </w:rPr>
        <w:t>(10), 1464-1482.</w:t>
      </w:r>
    </w:p>
    <w:p w14:paraId="6BC82560" w14:textId="77777777" w:rsidR="006D59C5" w:rsidRPr="00FF529C" w:rsidRDefault="006D59C5" w:rsidP="00BA6218">
      <w:pPr>
        <w:spacing w:after="0" w:line="240" w:lineRule="auto"/>
        <w:ind w:left="284" w:hanging="284"/>
        <w:jc w:val="both"/>
        <w:rPr>
          <w:rFonts w:ascii="Times New Roman" w:hAnsi="Times New Roman" w:cs="Times New Roman"/>
          <w:color w:val="222222"/>
          <w:shd w:val="clear" w:color="auto" w:fill="FFFFFF"/>
          <w:lang w:val="en-US"/>
        </w:rPr>
      </w:pPr>
      <w:r w:rsidRPr="00FF529C">
        <w:rPr>
          <w:rFonts w:ascii="Times New Roman" w:hAnsi="Times New Roman" w:cs="Times New Roman"/>
          <w:color w:val="222222"/>
          <w:shd w:val="clear" w:color="auto" w:fill="FFFFFF"/>
          <w:lang w:val="en-US"/>
        </w:rPr>
        <w:t xml:space="preserve">Lambert, R., C. Leuz, R.E. Verrecchia, 2007. Accounting information, disclosure, and the cost of capital. </w:t>
      </w:r>
      <w:r w:rsidRPr="00FF529C">
        <w:rPr>
          <w:rFonts w:ascii="Times New Roman" w:hAnsi="Times New Roman" w:cs="Times New Roman"/>
          <w:iCs/>
          <w:color w:val="222222"/>
          <w:shd w:val="clear" w:color="auto" w:fill="FFFFFF"/>
          <w:lang w:val="en-US"/>
        </w:rPr>
        <w:t xml:space="preserve">Journal of Accounting Research 45 </w:t>
      </w:r>
      <w:r w:rsidRPr="00FF529C">
        <w:rPr>
          <w:rFonts w:ascii="Times New Roman" w:hAnsi="Times New Roman" w:cs="Times New Roman"/>
          <w:color w:val="222222"/>
          <w:shd w:val="clear" w:color="auto" w:fill="FFFFFF"/>
          <w:lang w:val="en-US"/>
        </w:rPr>
        <w:t>(2), 385-420.</w:t>
      </w:r>
    </w:p>
    <w:p w14:paraId="784EC2FE" w14:textId="77777777" w:rsidR="003F20B4" w:rsidRPr="00FF529C" w:rsidRDefault="003F20B4" w:rsidP="00BA6218">
      <w:pPr>
        <w:spacing w:after="0" w:line="240" w:lineRule="auto"/>
        <w:ind w:left="284" w:hanging="284"/>
        <w:jc w:val="both"/>
        <w:rPr>
          <w:rFonts w:ascii="Times New Roman" w:hAnsi="Times New Roman" w:cs="Times New Roman"/>
          <w:color w:val="222222"/>
          <w:shd w:val="clear" w:color="auto" w:fill="FFFFFF"/>
          <w:lang w:val="en-US"/>
        </w:rPr>
      </w:pPr>
      <w:r w:rsidRPr="00FF529C">
        <w:rPr>
          <w:rFonts w:ascii="Times New Roman" w:hAnsi="Times New Roman" w:cs="Times New Roman"/>
          <w:color w:val="222222"/>
          <w:shd w:val="clear" w:color="auto" w:fill="FFFFFF"/>
          <w:lang w:val="en-US"/>
        </w:rPr>
        <w:t>Lang, M.</w:t>
      </w:r>
      <w:r w:rsidR="00CE7CB2" w:rsidRPr="00FF529C">
        <w:rPr>
          <w:rFonts w:ascii="Times New Roman" w:hAnsi="Times New Roman" w:cs="Times New Roman"/>
          <w:color w:val="222222"/>
          <w:shd w:val="clear" w:color="auto" w:fill="FFFFFF"/>
          <w:lang w:val="en-US"/>
        </w:rPr>
        <w:t>,</w:t>
      </w:r>
      <w:r w:rsidRPr="00FF529C">
        <w:rPr>
          <w:rFonts w:ascii="Times New Roman" w:hAnsi="Times New Roman" w:cs="Times New Roman"/>
          <w:color w:val="222222"/>
          <w:shd w:val="clear" w:color="auto" w:fill="FFFFFF"/>
          <w:lang w:val="en-US"/>
        </w:rPr>
        <w:t xml:space="preserve"> E. Sul, 2014. Linking industry concentration to proprietary costs and disclosure: Challenges and opportunities.</w:t>
      </w:r>
      <w:r w:rsidR="00CE7CB2" w:rsidRPr="00FF529C">
        <w:rPr>
          <w:rFonts w:ascii="Times New Roman" w:hAnsi="Times New Roman" w:cs="Times New Roman"/>
          <w:color w:val="222222"/>
          <w:shd w:val="clear" w:color="auto" w:fill="FFFFFF"/>
          <w:lang w:val="en-US"/>
        </w:rPr>
        <w:t xml:space="preserve"> </w:t>
      </w:r>
      <w:r w:rsidRPr="00FF529C">
        <w:rPr>
          <w:rFonts w:ascii="Times New Roman" w:hAnsi="Times New Roman" w:cs="Times New Roman"/>
          <w:iCs/>
          <w:color w:val="222222"/>
          <w:shd w:val="clear" w:color="auto" w:fill="FFFFFF"/>
          <w:lang w:val="en-US"/>
        </w:rPr>
        <w:t>Journal of Accounting and Economics</w:t>
      </w:r>
      <w:r w:rsidRPr="00FF529C">
        <w:rPr>
          <w:rFonts w:ascii="Times New Roman" w:hAnsi="Times New Roman" w:cs="Times New Roman"/>
          <w:color w:val="222222"/>
          <w:shd w:val="clear" w:color="auto" w:fill="FFFFFF"/>
          <w:lang w:val="en-US"/>
        </w:rPr>
        <w:t xml:space="preserve"> </w:t>
      </w:r>
      <w:r w:rsidRPr="00FF529C">
        <w:rPr>
          <w:rFonts w:ascii="Times New Roman" w:hAnsi="Times New Roman" w:cs="Times New Roman"/>
          <w:iCs/>
          <w:color w:val="222222"/>
          <w:shd w:val="clear" w:color="auto" w:fill="FFFFFF"/>
          <w:lang w:val="en-US"/>
        </w:rPr>
        <w:t xml:space="preserve">58 </w:t>
      </w:r>
      <w:r w:rsidRPr="00FF529C">
        <w:rPr>
          <w:rFonts w:ascii="Times New Roman" w:hAnsi="Times New Roman" w:cs="Times New Roman"/>
          <w:color w:val="222222"/>
          <w:shd w:val="clear" w:color="auto" w:fill="FFFFFF"/>
          <w:lang w:val="en-US"/>
        </w:rPr>
        <w:t>(2-3), 265-274.</w:t>
      </w:r>
    </w:p>
    <w:p w14:paraId="009B7281" w14:textId="77777777" w:rsidR="008933D0" w:rsidRPr="00FF529C" w:rsidRDefault="008933D0" w:rsidP="00BA6218">
      <w:pPr>
        <w:spacing w:after="0" w:line="240" w:lineRule="auto"/>
        <w:ind w:left="284" w:hanging="284"/>
        <w:jc w:val="both"/>
        <w:rPr>
          <w:rFonts w:ascii="Times New Roman" w:hAnsi="Times New Roman" w:cs="Times New Roman"/>
          <w:color w:val="222222"/>
          <w:shd w:val="clear" w:color="auto" w:fill="FFFFFF"/>
          <w:lang w:val="en-US"/>
        </w:rPr>
      </w:pPr>
      <w:r w:rsidRPr="00FF529C">
        <w:rPr>
          <w:rFonts w:ascii="Times New Roman" w:hAnsi="Times New Roman" w:cs="Times New Roman"/>
          <w:color w:val="222222"/>
        </w:rPr>
        <w:t xml:space="preserve">Larcker, D.F., G. Ormazabal, D.J. Taylor, 2011. The market reaction to corporate governance regulation. </w:t>
      </w:r>
      <w:r w:rsidRPr="00FF529C">
        <w:rPr>
          <w:rFonts w:ascii="Times New Roman" w:hAnsi="Times New Roman" w:cs="Times New Roman"/>
          <w:iCs/>
          <w:color w:val="222222"/>
        </w:rPr>
        <w:t>Journal of Financial Economics</w:t>
      </w:r>
      <w:r w:rsidRPr="00FF529C">
        <w:rPr>
          <w:rFonts w:ascii="Times New Roman" w:hAnsi="Times New Roman" w:cs="Times New Roman"/>
          <w:color w:val="222222"/>
        </w:rPr>
        <w:t xml:space="preserve"> </w:t>
      </w:r>
      <w:r w:rsidRPr="00FF529C">
        <w:rPr>
          <w:rFonts w:ascii="Times New Roman" w:hAnsi="Times New Roman" w:cs="Times New Roman"/>
          <w:iCs/>
          <w:color w:val="222222"/>
        </w:rPr>
        <w:t xml:space="preserve">101 </w:t>
      </w:r>
      <w:r w:rsidRPr="00FF529C">
        <w:rPr>
          <w:rFonts w:ascii="Times New Roman" w:hAnsi="Times New Roman" w:cs="Times New Roman"/>
          <w:color w:val="222222"/>
        </w:rPr>
        <w:t>(2), 431-448.</w:t>
      </w:r>
    </w:p>
    <w:p w14:paraId="66846573" w14:textId="77777777" w:rsidR="006E6FAF" w:rsidRPr="00FF529C" w:rsidRDefault="006E6FAF" w:rsidP="00BA6218">
      <w:pPr>
        <w:spacing w:after="0" w:line="240" w:lineRule="auto"/>
        <w:ind w:left="284" w:hanging="284"/>
        <w:jc w:val="both"/>
        <w:rPr>
          <w:rFonts w:ascii="Times New Roman" w:hAnsi="Times New Roman" w:cs="Times New Roman"/>
          <w:lang w:val="en-US"/>
        </w:rPr>
      </w:pPr>
      <w:r w:rsidRPr="00FF529C">
        <w:rPr>
          <w:rFonts w:ascii="Times New Roman" w:hAnsi="Times New Roman" w:cs="Times New Roman"/>
          <w:lang w:val="en-US"/>
        </w:rPr>
        <w:t>Lee, P.K.C., A.K.W. Lau, T.C.E. Cheng</w:t>
      </w:r>
      <w:r w:rsidR="00832F27" w:rsidRPr="00FF529C">
        <w:rPr>
          <w:rFonts w:ascii="Times New Roman" w:hAnsi="Times New Roman" w:cs="Times New Roman"/>
          <w:lang w:val="en-US"/>
        </w:rPr>
        <w:t>, 2013.</w:t>
      </w:r>
      <w:r w:rsidRPr="00FF529C">
        <w:rPr>
          <w:rFonts w:ascii="Times New Roman" w:hAnsi="Times New Roman" w:cs="Times New Roman"/>
          <w:lang w:val="en-US"/>
        </w:rPr>
        <w:t xml:space="preserve"> Employee rights protection and financial performance. J</w:t>
      </w:r>
      <w:r w:rsidR="00832F27" w:rsidRPr="00FF529C">
        <w:rPr>
          <w:rFonts w:ascii="Times New Roman" w:hAnsi="Times New Roman" w:cs="Times New Roman"/>
          <w:lang w:val="en-US"/>
        </w:rPr>
        <w:t xml:space="preserve">ournal of Business Research 66 </w:t>
      </w:r>
      <w:r w:rsidRPr="00FF529C">
        <w:rPr>
          <w:rFonts w:ascii="Times New Roman" w:hAnsi="Times New Roman" w:cs="Times New Roman"/>
          <w:lang w:val="en-US"/>
        </w:rPr>
        <w:t>(</w:t>
      </w:r>
      <w:r w:rsidR="00832F27" w:rsidRPr="00FF529C">
        <w:rPr>
          <w:rFonts w:ascii="Times New Roman" w:hAnsi="Times New Roman" w:cs="Times New Roman"/>
          <w:lang w:val="en-US"/>
        </w:rPr>
        <w:t>10)</w:t>
      </w:r>
      <w:r w:rsidR="00E4504B" w:rsidRPr="00FF529C">
        <w:rPr>
          <w:rFonts w:ascii="Times New Roman" w:hAnsi="Times New Roman" w:cs="Times New Roman"/>
          <w:lang w:val="en-US"/>
        </w:rPr>
        <w:t>,</w:t>
      </w:r>
      <w:r w:rsidRPr="00FF529C">
        <w:rPr>
          <w:rFonts w:ascii="Times New Roman" w:hAnsi="Times New Roman" w:cs="Times New Roman"/>
          <w:lang w:val="en-US"/>
        </w:rPr>
        <w:t xml:space="preserve"> 1861-1869.</w:t>
      </w:r>
    </w:p>
    <w:p w14:paraId="0034DB87" w14:textId="77777777" w:rsidR="007E6881" w:rsidRPr="00622F6C" w:rsidRDefault="007E6881" w:rsidP="00BA6218">
      <w:pPr>
        <w:spacing w:after="30" w:line="240" w:lineRule="auto"/>
        <w:ind w:left="284" w:hanging="284"/>
        <w:jc w:val="both"/>
        <w:rPr>
          <w:rFonts w:ascii="Times New Roman" w:hAnsi="Times New Roman" w:cs="Times New Roman"/>
          <w:shd w:val="clear" w:color="auto" w:fill="FFFFFF"/>
          <w:lang w:val="en-US"/>
        </w:rPr>
      </w:pPr>
      <w:r w:rsidRPr="00FF529C">
        <w:rPr>
          <w:rFonts w:ascii="Times New Roman" w:hAnsi="Times New Roman" w:cs="Times New Roman"/>
          <w:shd w:val="clear" w:color="auto" w:fill="FFFFFF"/>
          <w:lang w:val="en-US"/>
        </w:rPr>
        <w:t xml:space="preserve">Leppard, 2013. </w:t>
      </w:r>
      <w:r w:rsidRPr="00FF529C">
        <w:rPr>
          <w:rFonts w:ascii="Times New Roman" w:eastAsia="Times New Roman" w:hAnsi="Times New Roman" w:cs="Times New Roman"/>
          <w:bCs/>
          <w:bdr w:val="none" w:sz="0" w:space="0" w:color="auto" w:frame="1"/>
          <w:lang w:val="en-US" w:eastAsia="en-GB"/>
        </w:rPr>
        <w:t>May plans anti-slavery</w:t>
      </w:r>
      <w:r w:rsidRPr="00622F6C">
        <w:rPr>
          <w:rFonts w:ascii="Times New Roman" w:eastAsia="Times New Roman" w:hAnsi="Times New Roman" w:cs="Times New Roman"/>
          <w:bCs/>
          <w:bdr w:val="none" w:sz="0" w:space="0" w:color="auto" w:frame="1"/>
          <w:lang w:val="en-US" w:eastAsia="en-GB"/>
        </w:rPr>
        <w:t xml:space="preserve"> law to fight traffickers; </w:t>
      </w:r>
      <w:r w:rsidR="00917F67">
        <w:rPr>
          <w:rFonts w:ascii="Times New Roman" w:eastAsia="Times New Roman" w:hAnsi="Times New Roman" w:cs="Times New Roman"/>
          <w:bCs/>
          <w:bdr w:val="none" w:sz="0" w:space="0" w:color="auto" w:frame="1"/>
          <w:lang w:val="en-US" w:eastAsia="en-GB"/>
        </w:rPr>
        <w:t>c</w:t>
      </w:r>
      <w:r w:rsidR="00917F67" w:rsidRPr="00622F6C">
        <w:rPr>
          <w:rFonts w:ascii="Times New Roman" w:eastAsia="Times New Roman" w:hAnsi="Times New Roman" w:cs="Times New Roman"/>
          <w:bCs/>
          <w:bdr w:val="none" w:sz="0" w:space="0" w:color="auto" w:frame="1"/>
          <w:lang w:val="en-US" w:eastAsia="en-GB"/>
        </w:rPr>
        <w:t xml:space="preserve">rackdown </w:t>
      </w:r>
      <w:r w:rsidRPr="00622F6C">
        <w:rPr>
          <w:rFonts w:ascii="Times New Roman" w:eastAsia="Times New Roman" w:hAnsi="Times New Roman" w:cs="Times New Roman"/>
          <w:bCs/>
          <w:bdr w:val="none" w:sz="0" w:space="0" w:color="auto" w:frame="1"/>
          <w:lang w:val="en-US" w:eastAsia="en-GB"/>
        </w:rPr>
        <w:t xml:space="preserve">on slavers. </w:t>
      </w:r>
      <w:r w:rsidRPr="00622F6C">
        <w:rPr>
          <w:rFonts w:ascii="Times New Roman" w:hAnsi="Times New Roman" w:cs="Times New Roman"/>
          <w:shd w:val="clear" w:color="auto" w:fill="FFFFFF"/>
          <w:lang w:val="en-US"/>
        </w:rPr>
        <w:t xml:space="preserve">The Sunday Times, August 25, 2013. </w:t>
      </w:r>
    </w:p>
    <w:p w14:paraId="06D67475" w14:textId="77777777" w:rsidR="003A5788" w:rsidRPr="00622F6C" w:rsidRDefault="003A5788"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Lewis, C., P. Verwijmeren, 2014. Cash-settled convertible bonds and the value relevance of their accounting treatment. </w:t>
      </w:r>
      <w:r w:rsidRPr="00622F6C">
        <w:rPr>
          <w:rFonts w:ascii="Times New Roman" w:hAnsi="Times New Roman" w:cs="Times New Roman"/>
          <w:iCs/>
          <w:shd w:val="clear" w:color="auto" w:fill="FFFFFF"/>
          <w:lang w:val="en-US"/>
        </w:rPr>
        <w:t>Journal of Corporate Finance</w:t>
      </w:r>
      <w:r w:rsidRPr="00622F6C">
        <w:rPr>
          <w:rFonts w:ascii="Times New Roman" w:hAnsi="Times New Roman" w:cs="Times New Roman"/>
          <w:shd w:val="clear" w:color="auto" w:fill="FFFFFF"/>
          <w:lang w:val="en-US"/>
        </w:rPr>
        <w:t xml:space="preserve"> 24, 101-111.</w:t>
      </w:r>
    </w:p>
    <w:p w14:paraId="6C3E58A3" w14:textId="77777777" w:rsidR="006E6FAF" w:rsidRDefault="006E6FAF" w:rsidP="00BA6218">
      <w:pPr>
        <w:spacing w:after="0" w:line="240" w:lineRule="auto"/>
        <w:ind w:left="284" w:hanging="284"/>
        <w:jc w:val="both"/>
        <w:rPr>
          <w:rFonts w:ascii="Times New Roman" w:hAnsi="Times New Roman" w:cs="Times New Roman"/>
          <w:shd w:val="clear" w:color="auto" w:fill="FFFFFF"/>
          <w:lang w:val="en-US"/>
        </w:rPr>
      </w:pPr>
      <w:r w:rsidRPr="002C3AB9">
        <w:rPr>
          <w:rFonts w:ascii="Times New Roman" w:hAnsi="Times New Roman" w:cs="Times New Roman"/>
          <w:shd w:val="clear" w:color="auto" w:fill="FFFFFF"/>
          <w:lang w:val="en-US"/>
        </w:rPr>
        <w:t>Li, H., M. Pincus, S.O. Rego</w:t>
      </w:r>
      <w:r w:rsidR="00E4504B" w:rsidRPr="002C3AB9">
        <w:rPr>
          <w:rFonts w:ascii="Times New Roman" w:hAnsi="Times New Roman" w:cs="Times New Roman"/>
          <w:shd w:val="clear" w:color="auto" w:fill="FFFFFF"/>
          <w:lang w:val="en-US"/>
        </w:rPr>
        <w:t xml:space="preserve">, 2008. </w:t>
      </w:r>
      <w:r w:rsidRPr="002C3AB9">
        <w:rPr>
          <w:rFonts w:ascii="Times New Roman" w:hAnsi="Times New Roman" w:cs="Times New Roman"/>
          <w:shd w:val="clear" w:color="auto" w:fill="FFFFFF"/>
          <w:lang w:val="en-US"/>
        </w:rPr>
        <w:t xml:space="preserve">Market reaction to events surrounding the Sarbanes‐Oxley Act of 2002 and earnings management. </w:t>
      </w:r>
      <w:r w:rsidRPr="002C3AB9">
        <w:rPr>
          <w:rFonts w:ascii="Times New Roman" w:hAnsi="Times New Roman" w:cs="Times New Roman"/>
          <w:iCs/>
          <w:shd w:val="clear" w:color="auto" w:fill="FFFFFF"/>
          <w:lang w:val="en-US"/>
        </w:rPr>
        <w:t>The Journal of Law and Economics</w:t>
      </w:r>
      <w:r w:rsidRPr="002C3AB9">
        <w:rPr>
          <w:rFonts w:ascii="Times New Roman" w:hAnsi="Times New Roman" w:cs="Times New Roman"/>
          <w:shd w:val="clear" w:color="auto" w:fill="FFFFFF"/>
          <w:lang w:val="en-US"/>
        </w:rPr>
        <w:t xml:space="preserve"> 51</w:t>
      </w:r>
      <w:r w:rsidR="00E4504B" w:rsidRPr="002C3AB9">
        <w:rPr>
          <w:rFonts w:ascii="Times New Roman" w:hAnsi="Times New Roman" w:cs="Times New Roman"/>
          <w:shd w:val="clear" w:color="auto" w:fill="FFFFFF"/>
          <w:lang w:val="en-US"/>
        </w:rPr>
        <w:t xml:space="preserve"> (1)</w:t>
      </w:r>
      <w:r w:rsidRPr="002C3AB9">
        <w:rPr>
          <w:rFonts w:ascii="Times New Roman" w:hAnsi="Times New Roman" w:cs="Times New Roman"/>
          <w:shd w:val="clear" w:color="auto" w:fill="FFFFFF"/>
          <w:lang w:val="en-US"/>
        </w:rPr>
        <w:t>, 111-</w:t>
      </w:r>
      <w:r w:rsidR="00CE7CB2" w:rsidRPr="002C3AB9">
        <w:rPr>
          <w:rFonts w:ascii="Times New Roman" w:hAnsi="Times New Roman" w:cs="Times New Roman"/>
          <w:shd w:val="clear" w:color="auto" w:fill="FFFFFF"/>
          <w:lang w:val="en-US"/>
        </w:rPr>
        <w:t>1</w:t>
      </w:r>
      <w:r w:rsidRPr="002C3AB9">
        <w:rPr>
          <w:rFonts w:ascii="Times New Roman" w:hAnsi="Times New Roman" w:cs="Times New Roman"/>
          <w:shd w:val="clear" w:color="auto" w:fill="FFFFFF"/>
          <w:lang w:val="en-US"/>
        </w:rPr>
        <w:t>34.</w:t>
      </w:r>
    </w:p>
    <w:p w14:paraId="2EDB4CE8" w14:textId="13AE38AD" w:rsidR="00A40499" w:rsidRDefault="00A40499" w:rsidP="00BA6218">
      <w:pPr>
        <w:spacing w:after="0" w:line="240" w:lineRule="auto"/>
        <w:ind w:left="284" w:hanging="284"/>
        <w:jc w:val="both"/>
        <w:rPr>
          <w:rFonts w:ascii="Times New Roman" w:hAnsi="Times New Roman" w:cs="Times New Roman"/>
          <w:color w:val="222222"/>
          <w:shd w:val="clear" w:color="auto" w:fill="FFFFFF"/>
        </w:rPr>
      </w:pPr>
      <w:r w:rsidRPr="00955DFE">
        <w:rPr>
          <w:rFonts w:ascii="Times New Roman" w:hAnsi="Times New Roman" w:cs="Times New Roman"/>
          <w:color w:val="222222"/>
          <w:shd w:val="clear" w:color="auto" w:fill="FFFFFF"/>
        </w:rPr>
        <w:t>MacKinlay, A.C., 1997. Event studies in economics and finance. </w:t>
      </w:r>
      <w:r w:rsidRPr="00955DFE">
        <w:rPr>
          <w:rFonts w:ascii="Times New Roman" w:hAnsi="Times New Roman" w:cs="Times New Roman"/>
          <w:iCs/>
          <w:color w:val="222222"/>
          <w:shd w:val="clear" w:color="auto" w:fill="FFFFFF"/>
        </w:rPr>
        <w:t>Journal of Economic Literature</w:t>
      </w:r>
      <w:r w:rsidRPr="00955DFE">
        <w:rPr>
          <w:rFonts w:ascii="Times New Roman" w:hAnsi="Times New Roman" w:cs="Times New Roman"/>
          <w:color w:val="222222"/>
          <w:shd w:val="clear" w:color="auto" w:fill="FFFFFF"/>
        </w:rPr>
        <w:t xml:space="preserve"> </w:t>
      </w:r>
      <w:r w:rsidRPr="00955DFE">
        <w:rPr>
          <w:rFonts w:ascii="Times New Roman" w:hAnsi="Times New Roman" w:cs="Times New Roman"/>
          <w:iCs/>
          <w:color w:val="222222"/>
          <w:shd w:val="clear" w:color="auto" w:fill="FFFFFF"/>
        </w:rPr>
        <w:t xml:space="preserve">35 </w:t>
      </w:r>
      <w:r w:rsidRPr="00955DFE">
        <w:rPr>
          <w:rFonts w:ascii="Times New Roman" w:hAnsi="Times New Roman" w:cs="Times New Roman"/>
          <w:color w:val="222222"/>
          <w:shd w:val="clear" w:color="auto" w:fill="FFFFFF"/>
        </w:rPr>
        <w:t>(1), 13-39.</w:t>
      </w:r>
    </w:p>
    <w:p w14:paraId="2E2239F9" w14:textId="77777777" w:rsidR="002C3AB9" w:rsidRPr="004C7B14" w:rsidRDefault="002C3AB9" w:rsidP="00E863D6">
      <w:pPr>
        <w:spacing w:after="0" w:line="240" w:lineRule="auto"/>
        <w:ind w:left="426" w:hanging="426"/>
        <w:jc w:val="both"/>
        <w:rPr>
          <w:rFonts w:ascii="Times New Roman" w:hAnsi="Times New Roman" w:cs="Times New Roman"/>
          <w:color w:val="222222"/>
          <w:lang w:val="fr-FR"/>
        </w:rPr>
      </w:pPr>
      <w:r w:rsidRPr="002C3AB9">
        <w:rPr>
          <w:rFonts w:ascii="Times New Roman" w:hAnsi="Times New Roman" w:cs="Times New Roman"/>
          <w:color w:val="222222"/>
        </w:rPr>
        <w:t xml:space="preserve">Mantouvalou, V., 2010. Modern slavery: The UK response. </w:t>
      </w:r>
      <w:r w:rsidRPr="004C7B14">
        <w:rPr>
          <w:rFonts w:ascii="Times New Roman" w:hAnsi="Times New Roman" w:cs="Times New Roman"/>
          <w:iCs/>
          <w:color w:val="222222"/>
          <w:lang w:val="fr-FR"/>
        </w:rPr>
        <w:t>Industrial Law Journal</w:t>
      </w:r>
      <w:r w:rsidRPr="004C7B14">
        <w:rPr>
          <w:rFonts w:ascii="Times New Roman" w:hAnsi="Times New Roman" w:cs="Times New Roman"/>
          <w:color w:val="222222"/>
          <w:lang w:val="fr-FR"/>
        </w:rPr>
        <w:t xml:space="preserve"> </w:t>
      </w:r>
      <w:r w:rsidRPr="004C7B14">
        <w:rPr>
          <w:rFonts w:ascii="Times New Roman" w:hAnsi="Times New Roman" w:cs="Times New Roman"/>
          <w:iCs/>
          <w:color w:val="222222"/>
          <w:lang w:val="fr-FR"/>
        </w:rPr>
        <w:t>39</w:t>
      </w:r>
      <w:r w:rsidRPr="004C7B14">
        <w:rPr>
          <w:rFonts w:ascii="Times New Roman" w:hAnsi="Times New Roman" w:cs="Times New Roman"/>
          <w:color w:val="222222"/>
          <w:lang w:val="fr-FR"/>
        </w:rPr>
        <w:t xml:space="preserve"> (4), 425-431.</w:t>
      </w:r>
    </w:p>
    <w:p w14:paraId="7216C931" w14:textId="77777777" w:rsidR="002C3AB9" w:rsidRPr="002C3AB9" w:rsidRDefault="002C3AB9" w:rsidP="00BA6218">
      <w:pPr>
        <w:spacing w:after="0" w:line="240" w:lineRule="auto"/>
        <w:ind w:left="284" w:hanging="284"/>
        <w:jc w:val="both"/>
        <w:rPr>
          <w:rFonts w:ascii="Times New Roman" w:hAnsi="Times New Roman" w:cs="Times New Roman"/>
          <w:shd w:val="clear" w:color="auto" w:fill="FFFFFF"/>
          <w:lang w:val="en-US"/>
        </w:rPr>
      </w:pPr>
      <w:r w:rsidRPr="004C7B14">
        <w:rPr>
          <w:rFonts w:ascii="Times New Roman" w:hAnsi="Times New Roman" w:cs="Times New Roman"/>
          <w:color w:val="222222"/>
          <w:lang w:val="fr-FR"/>
        </w:rPr>
        <w:t xml:space="preserve">Mantouvalou, V., 2018. </w:t>
      </w:r>
      <w:r>
        <w:rPr>
          <w:rFonts w:ascii="Times New Roman" w:hAnsi="Times New Roman" w:cs="Times New Roman"/>
          <w:color w:val="222222"/>
        </w:rPr>
        <w:t>The UK Modern Slavery Act 2015 three years on. Modern Law Review 81 (6), 1017-1045.</w:t>
      </w:r>
    </w:p>
    <w:p w14:paraId="6F313E6E" w14:textId="77777777" w:rsidR="00D55BFD" w:rsidRPr="002C3AB9" w:rsidRDefault="00D55BFD" w:rsidP="00BA6218">
      <w:pPr>
        <w:spacing w:after="0" w:line="240" w:lineRule="auto"/>
        <w:ind w:left="284" w:hanging="284"/>
        <w:jc w:val="both"/>
        <w:rPr>
          <w:rFonts w:ascii="Times New Roman" w:hAnsi="Times New Roman" w:cs="Times New Roman"/>
          <w:color w:val="222222"/>
          <w:shd w:val="clear" w:color="auto" w:fill="FFFFFF"/>
          <w:lang w:val="en-US"/>
        </w:rPr>
      </w:pPr>
      <w:r w:rsidRPr="002C3AB9">
        <w:rPr>
          <w:rFonts w:ascii="Times New Roman" w:hAnsi="Times New Roman" w:cs="Times New Roman"/>
          <w:color w:val="222222"/>
          <w:shd w:val="clear" w:color="auto" w:fill="FFFFFF"/>
          <w:lang w:val="en-US"/>
        </w:rPr>
        <w:t xml:space="preserve">McConnell, J.J., C.J. Muscarella, 1985. Corporate </w:t>
      </w:r>
      <w:r w:rsidR="00ED2E70" w:rsidRPr="002C3AB9">
        <w:rPr>
          <w:rFonts w:ascii="Times New Roman" w:hAnsi="Times New Roman" w:cs="Times New Roman"/>
          <w:color w:val="222222"/>
          <w:shd w:val="clear" w:color="auto" w:fill="FFFFFF"/>
          <w:lang w:val="en-US"/>
        </w:rPr>
        <w:t>ca</w:t>
      </w:r>
      <w:r w:rsidRPr="002C3AB9">
        <w:rPr>
          <w:rFonts w:ascii="Times New Roman" w:hAnsi="Times New Roman" w:cs="Times New Roman"/>
          <w:color w:val="222222"/>
          <w:shd w:val="clear" w:color="auto" w:fill="FFFFFF"/>
          <w:lang w:val="en-US"/>
        </w:rPr>
        <w:t>pital expenditure decisions and the market value of the firm. Journal of Financial Economics 14, 399-422.</w:t>
      </w:r>
    </w:p>
    <w:p w14:paraId="4F34F5E0" w14:textId="77777777" w:rsidR="009E1400" w:rsidRPr="002C3AB9" w:rsidRDefault="009E1400" w:rsidP="00BA6218">
      <w:pPr>
        <w:spacing w:after="0" w:line="240" w:lineRule="auto"/>
        <w:ind w:left="284" w:hanging="284"/>
        <w:jc w:val="both"/>
        <w:rPr>
          <w:rFonts w:ascii="Times New Roman" w:hAnsi="Times New Roman" w:cs="Times New Roman"/>
          <w:color w:val="222222"/>
          <w:shd w:val="clear" w:color="auto" w:fill="FFFFFF"/>
          <w:lang w:val="en-US"/>
        </w:rPr>
      </w:pPr>
      <w:r w:rsidRPr="002C3AB9">
        <w:rPr>
          <w:rFonts w:ascii="Times New Roman" w:hAnsi="Times New Roman" w:cs="Times New Roman"/>
          <w:color w:val="222222"/>
        </w:rPr>
        <w:t xml:space="preserve">McWilliams, A., D. Siegel, 1997. Event studies in management research: Theoretical and empirical issues. </w:t>
      </w:r>
      <w:r w:rsidRPr="002C3AB9">
        <w:rPr>
          <w:rFonts w:ascii="Times New Roman" w:hAnsi="Times New Roman" w:cs="Times New Roman"/>
          <w:iCs/>
          <w:color w:val="222222"/>
        </w:rPr>
        <w:t>Academy of Management Journal</w:t>
      </w:r>
      <w:r w:rsidRPr="002C3AB9">
        <w:rPr>
          <w:rFonts w:ascii="Times New Roman" w:hAnsi="Times New Roman" w:cs="Times New Roman"/>
          <w:color w:val="222222"/>
        </w:rPr>
        <w:t xml:space="preserve"> </w:t>
      </w:r>
      <w:r w:rsidRPr="002C3AB9">
        <w:rPr>
          <w:rFonts w:ascii="Times New Roman" w:hAnsi="Times New Roman" w:cs="Times New Roman"/>
          <w:iCs/>
          <w:color w:val="222222"/>
        </w:rPr>
        <w:t>40</w:t>
      </w:r>
      <w:r w:rsidRPr="002C3AB9">
        <w:rPr>
          <w:rFonts w:ascii="Times New Roman" w:hAnsi="Times New Roman" w:cs="Times New Roman"/>
          <w:color w:val="222222"/>
        </w:rPr>
        <w:t>, 626-657.</w:t>
      </w:r>
    </w:p>
    <w:p w14:paraId="3DC96C37" w14:textId="77777777" w:rsidR="008B6F0E" w:rsidRPr="002C3AB9" w:rsidRDefault="008B6F0E" w:rsidP="008B6F0E">
      <w:pPr>
        <w:spacing w:after="0" w:line="240" w:lineRule="auto"/>
        <w:ind w:left="426" w:hanging="426"/>
        <w:jc w:val="both"/>
        <w:rPr>
          <w:rFonts w:ascii="Times New Roman" w:hAnsi="Times New Roman" w:cs="Times New Roman"/>
          <w:shd w:val="clear" w:color="auto" w:fill="FFFFFF"/>
          <w:lang w:val="en-US"/>
        </w:rPr>
      </w:pPr>
      <w:r w:rsidRPr="002C3AB9">
        <w:rPr>
          <w:rFonts w:ascii="Times New Roman" w:hAnsi="Times New Roman" w:cs="Times New Roman"/>
          <w:shd w:val="clear" w:color="auto" w:fill="FFFFFF"/>
          <w:lang w:val="en-US"/>
        </w:rPr>
        <w:t>Modern Slavery Act</w:t>
      </w:r>
      <w:r w:rsidR="003A5788" w:rsidRPr="002C3AB9">
        <w:rPr>
          <w:rFonts w:ascii="Times New Roman" w:hAnsi="Times New Roman" w:cs="Times New Roman"/>
          <w:shd w:val="clear" w:color="auto" w:fill="FFFFFF"/>
          <w:lang w:val="en-US"/>
        </w:rPr>
        <w:t xml:space="preserve"> (MSA</w:t>
      </w:r>
      <w:r w:rsidRPr="002C3AB9">
        <w:rPr>
          <w:rFonts w:ascii="Times New Roman" w:hAnsi="Times New Roman" w:cs="Times New Roman"/>
          <w:shd w:val="clear" w:color="auto" w:fill="FFFFFF"/>
          <w:lang w:val="en-US"/>
        </w:rPr>
        <w:t xml:space="preserve">), 2015a. </w:t>
      </w:r>
      <w:hyperlink r:id="rId26" w:history="1">
        <w:r w:rsidRPr="002C3AB9">
          <w:rPr>
            <w:rStyle w:val="Hyperlink"/>
            <w:rFonts w:ascii="Times New Roman" w:hAnsi="Times New Roman" w:cs="Times New Roman"/>
            <w:color w:val="auto"/>
            <w:u w:val="none"/>
            <w:shd w:val="clear" w:color="auto" w:fill="FFFFFF"/>
            <w:lang w:val="en-US"/>
          </w:rPr>
          <w:t>http://www.legislation.gov.uk/ukpga/2015/30/contents</w:t>
        </w:r>
      </w:hyperlink>
    </w:p>
    <w:p w14:paraId="73494BA6" w14:textId="77777777" w:rsidR="008B6F0E" w:rsidRPr="00622F6C" w:rsidRDefault="008B6F0E" w:rsidP="00BA6218">
      <w:pPr>
        <w:spacing w:after="0" w:line="240" w:lineRule="auto"/>
        <w:ind w:left="284" w:hanging="284"/>
        <w:jc w:val="both"/>
        <w:rPr>
          <w:rFonts w:ascii="Times New Roman" w:hAnsi="Times New Roman" w:cs="Times New Roman"/>
          <w:shd w:val="clear" w:color="auto" w:fill="FFFFFF"/>
          <w:lang w:val="en-US"/>
        </w:rPr>
      </w:pPr>
      <w:r w:rsidRPr="002C3AB9">
        <w:rPr>
          <w:rFonts w:ascii="Times New Roman" w:hAnsi="Times New Roman" w:cs="Times New Roman"/>
          <w:shd w:val="clear" w:color="auto" w:fill="FFFFFF"/>
          <w:lang w:val="en-US"/>
        </w:rPr>
        <w:t>Modern Slavery Act</w:t>
      </w:r>
      <w:r w:rsidR="003A5788" w:rsidRPr="009E1400">
        <w:rPr>
          <w:rFonts w:ascii="Times New Roman" w:hAnsi="Times New Roman" w:cs="Times New Roman"/>
          <w:shd w:val="clear" w:color="auto" w:fill="FFFFFF"/>
          <w:lang w:val="en-US"/>
        </w:rPr>
        <w:t xml:space="preserve"> (MSA</w:t>
      </w:r>
      <w:r w:rsidRPr="009E1400">
        <w:rPr>
          <w:rFonts w:ascii="Times New Roman" w:hAnsi="Times New Roman" w:cs="Times New Roman"/>
          <w:shd w:val="clear" w:color="auto" w:fill="FFFFFF"/>
          <w:lang w:val="en-US"/>
        </w:rPr>
        <w:t>), 2015b</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lang w:val="en-US"/>
        </w:rPr>
        <w:t>Transparency in supply chains etc. A practical guide.</w:t>
      </w:r>
      <w:r w:rsidRPr="00622F6C">
        <w:rPr>
          <w:rFonts w:ascii="Times New Roman" w:hAnsi="Times New Roman" w:cs="Times New Roman"/>
          <w:shd w:val="clear" w:color="auto" w:fill="FFFFFF"/>
          <w:lang w:val="en-US"/>
        </w:rPr>
        <w:t xml:space="preserve"> </w:t>
      </w:r>
      <w:hyperlink r:id="rId27" w:history="1">
        <w:r w:rsidRPr="00622F6C">
          <w:rPr>
            <w:rStyle w:val="Hyperlink"/>
            <w:rFonts w:ascii="Times New Roman" w:hAnsi="Times New Roman" w:cs="Times New Roman"/>
            <w:color w:val="auto"/>
            <w:u w:val="none"/>
            <w:shd w:val="clear" w:color="auto" w:fill="FFFFFF"/>
            <w:lang w:val="en-US"/>
          </w:rPr>
          <w:t>https://www.gov.uk/government/uploads/system/uploads/attachment_data/file/471996/Transparency_in_Supply_Chains_etc__A_practical_guide__final_.pdf</w:t>
        </w:r>
      </w:hyperlink>
    </w:p>
    <w:p w14:paraId="5DE81F0E" w14:textId="77777777" w:rsidR="003A5788" w:rsidRPr="00622F6C" w:rsidRDefault="00C36FE6" w:rsidP="00BA6218">
      <w:pPr>
        <w:spacing w:after="0" w:line="240" w:lineRule="auto"/>
        <w:ind w:left="284" w:hanging="284"/>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Morris, N., 2013. Modern Slavery Bill: </w:t>
      </w:r>
      <w:r w:rsidR="003A5788" w:rsidRPr="00622F6C">
        <w:rPr>
          <w:rFonts w:ascii="Times New Roman" w:eastAsia="Times New Roman" w:hAnsi="Times New Roman" w:cs="Times New Roman"/>
          <w:bCs/>
          <w:bdr w:val="none" w:sz="0" w:space="0" w:color="auto" w:frame="1"/>
          <w:lang w:val="en-US" w:eastAsia="en-GB"/>
        </w:rPr>
        <w:t xml:space="preserve">'Appalling' human traffickers </w:t>
      </w:r>
      <w:r>
        <w:rPr>
          <w:rFonts w:ascii="Times New Roman" w:eastAsia="Times New Roman" w:hAnsi="Times New Roman" w:cs="Times New Roman"/>
          <w:bCs/>
          <w:bdr w:val="none" w:sz="0" w:space="0" w:color="auto" w:frame="1"/>
          <w:lang w:val="en-US" w:eastAsia="en-GB"/>
        </w:rPr>
        <w:t xml:space="preserve">to receive life sentences under draft </w:t>
      </w:r>
      <w:r w:rsidR="003A5788" w:rsidRPr="00622F6C">
        <w:rPr>
          <w:rFonts w:ascii="Times New Roman" w:eastAsia="Times New Roman" w:hAnsi="Times New Roman" w:cs="Times New Roman"/>
          <w:bCs/>
          <w:bdr w:val="none" w:sz="0" w:space="0" w:color="auto" w:frame="1"/>
          <w:lang w:val="en-US" w:eastAsia="en-GB"/>
        </w:rPr>
        <w:t>legislation.</w:t>
      </w:r>
      <w:r w:rsidR="003A5788" w:rsidRPr="00622F6C">
        <w:rPr>
          <w:rFonts w:ascii="Times New Roman" w:hAnsi="Times New Roman" w:cs="Times New Roman"/>
          <w:shd w:val="clear" w:color="auto" w:fill="FFFFFF"/>
          <w:lang w:val="en-US"/>
        </w:rPr>
        <w:t xml:space="preserve"> The Independent, December 16, 2013.</w:t>
      </w:r>
    </w:p>
    <w:p w14:paraId="2CFC50C0" w14:textId="77777777" w:rsidR="00973D26" w:rsidRPr="00622F6C" w:rsidRDefault="00973D26" w:rsidP="00BA6218">
      <w:pPr>
        <w:pStyle w:val="Default"/>
        <w:ind w:left="284" w:hanging="284"/>
        <w:rPr>
          <w:rFonts w:ascii="Times New Roman" w:hAnsi="Times New Roman" w:cs="Times New Roman"/>
          <w:color w:val="auto"/>
          <w:sz w:val="22"/>
          <w:szCs w:val="22"/>
          <w:shd w:val="clear" w:color="auto" w:fill="FFFFFF"/>
          <w:lang w:val="en-US"/>
        </w:rPr>
      </w:pPr>
      <w:r w:rsidRPr="00622F6C">
        <w:rPr>
          <w:rFonts w:ascii="Times New Roman" w:hAnsi="Times New Roman" w:cs="Times New Roman"/>
          <w:color w:val="auto"/>
          <w:sz w:val="22"/>
          <w:szCs w:val="22"/>
          <w:shd w:val="clear" w:color="auto" w:fill="FFFFFF"/>
          <w:lang w:val="en-US"/>
        </w:rPr>
        <w:t>N</w:t>
      </w:r>
      <w:r w:rsidR="00BB5AF6" w:rsidRPr="00622F6C">
        <w:rPr>
          <w:rFonts w:ascii="Times New Roman" w:hAnsi="Times New Roman" w:cs="Times New Roman"/>
          <w:color w:val="auto"/>
          <w:sz w:val="22"/>
          <w:szCs w:val="22"/>
          <w:shd w:val="clear" w:color="auto" w:fill="FFFFFF"/>
          <w:lang w:val="en-US"/>
        </w:rPr>
        <w:t>ational Crime Agency (NCA), 2016</w:t>
      </w:r>
      <w:r w:rsidRPr="00622F6C">
        <w:rPr>
          <w:rFonts w:ascii="Times New Roman" w:hAnsi="Times New Roman" w:cs="Times New Roman"/>
          <w:color w:val="auto"/>
          <w:sz w:val="22"/>
          <w:szCs w:val="22"/>
          <w:shd w:val="clear" w:color="auto" w:fill="FFFFFF"/>
          <w:lang w:val="en-US"/>
        </w:rPr>
        <w:t xml:space="preserve">. </w:t>
      </w:r>
      <w:r w:rsidRPr="00622F6C">
        <w:rPr>
          <w:rFonts w:ascii="Times New Roman" w:hAnsi="Times New Roman" w:cs="Times New Roman"/>
          <w:color w:val="auto"/>
          <w:sz w:val="22"/>
          <w:szCs w:val="22"/>
          <w:lang w:val="en-US"/>
        </w:rPr>
        <w:t xml:space="preserve">National Referral Mechanism </w:t>
      </w:r>
      <w:r w:rsidR="001A3BFE" w:rsidRPr="00622F6C">
        <w:rPr>
          <w:rFonts w:ascii="Times New Roman" w:hAnsi="Times New Roman" w:cs="Times New Roman"/>
          <w:color w:val="auto"/>
          <w:sz w:val="22"/>
          <w:szCs w:val="22"/>
          <w:lang w:val="en-US"/>
        </w:rPr>
        <w:t>s</w:t>
      </w:r>
      <w:r w:rsidRPr="00622F6C">
        <w:rPr>
          <w:rFonts w:ascii="Times New Roman" w:hAnsi="Times New Roman" w:cs="Times New Roman"/>
          <w:color w:val="auto"/>
          <w:sz w:val="22"/>
          <w:szCs w:val="22"/>
          <w:lang w:val="en-US"/>
        </w:rPr>
        <w:t>tati</w:t>
      </w:r>
      <w:r w:rsidR="00BB5AF6" w:rsidRPr="00622F6C">
        <w:rPr>
          <w:rFonts w:ascii="Times New Roman" w:hAnsi="Times New Roman" w:cs="Times New Roman"/>
          <w:color w:val="auto"/>
          <w:sz w:val="22"/>
          <w:szCs w:val="22"/>
          <w:lang w:val="en-US"/>
        </w:rPr>
        <w:t xml:space="preserve">stics – End of </w:t>
      </w:r>
      <w:r w:rsidR="001A3BFE" w:rsidRPr="00622F6C">
        <w:rPr>
          <w:rFonts w:ascii="Times New Roman" w:hAnsi="Times New Roman" w:cs="Times New Roman"/>
          <w:color w:val="auto"/>
          <w:sz w:val="22"/>
          <w:szCs w:val="22"/>
          <w:lang w:val="en-US"/>
        </w:rPr>
        <w:t>year s</w:t>
      </w:r>
      <w:r w:rsidR="00BB5AF6" w:rsidRPr="00622F6C">
        <w:rPr>
          <w:rFonts w:ascii="Times New Roman" w:hAnsi="Times New Roman" w:cs="Times New Roman"/>
          <w:color w:val="auto"/>
          <w:sz w:val="22"/>
          <w:szCs w:val="22"/>
          <w:lang w:val="en-US"/>
        </w:rPr>
        <w:t>ummary 2015</w:t>
      </w:r>
      <w:r w:rsidRPr="00622F6C">
        <w:rPr>
          <w:rFonts w:ascii="Times New Roman" w:hAnsi="Times New Roman" w:cs="Times New Roman"/>
          <w:color w:val="auto"/>
          <w:sz w:val="22"/>
          <w:szCs w:val="22"/>
          <w:lang w:val="en-US"/>
        </w:rPr>
        <w:t xml:space="preserve">. </w:t>
      </w:r>
      <w:hyperlink r:id="rId28" w:history="1">
        <w:r w:rsidR="00BB5AF6" w:rsidRPr="00622F6C">
          <w:rPr>
            <w:rStyle w:val="Hyperlink"/>
            <w:rFonts w:ascii="Times New Roman" w:hAnsi="Times New Roman" w:cs="Times New Roman"/>
            <w:color w:val="auto"/>
            <w:sz w:val="22"/>
            <w:szCs w:val="22"/>
            <w:u w:val="none"/>
            <w:lang w:val="en-US"/>
          </w:rPr>
          <w:t>http://www.nationalcrimeagency.gov.uk/publications/676-national-referral-mechanism-statistics-end-of-year-summary-2015/file</w:t>
        </w:r>
      </w:hyperlink>
    </w:p>
    <w:p w14:paraId="66B2A878" w14:textId="77777777" w:rsidR="006E6FAF" w:rsidRPr="00622F6C" w:rsidRDefault="006E6FA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New, S.J.</w:t>
      </w:r>
      <w:r w:rsidR="006412F7" w:rsidRPr="00622F6C">
        <w:rPr>
          <w:rFonts w:ascii="Times New Roman" w:hAnsi="Times New Roman" w:cs="Times New Roman"/>
          <w:shd w:val="clear" w:color="auto" w:fill="FFFFFF"/>
          <w:lang w:val="en-US"/>
        </w:rPr>
        <w:t>,</w:t>
      </w:r>
      <w:r w:rsidRPr="00622F6C">
        <w:rPr>
          <w:rFonts w:ascii="Times New Roman" w:hAnsi="Times New Roman" w:cs="Times New Roman"/>
          <w:shd w:val="clear" w:color="auto" w:fill="FFFFFF"/>
          <w:lang w:val="en-US"/>
        </w:rPr>
        <w:t xml:space="preserve"> </w:t>
      </w:r>
      <w:r w:rsidR="006412F7" w:rsidRPr="00622F6C">
        <w:rPr>
          <w:rFonts w:ascii="Times New Roman" w:hAnsi="Times New Roman" w:cs="Times New Roman"/>
          <w:shd w:val="clear" w:color="auto" w:fill="FFFFFF"/>
          <w:lang w:val="en-US"/>
        </w:rPr>
        <w:t xml:space="preserve">2015. </w:t>
      </w:r>
      <w:r w:rsidRPr="00622F6C">
        <w:rPr>
          <w:rFonts w:ascii="Times New Roman" w:hAnsi="Times New Roman" w:cs="Times New Roman"/>
          <w:shd w:val="clear" w:color="auto" w:fill="FFFFFF"/>
          <w:lang w:val="en-US"/>
        </w:rPr>
        <w:t xml:space="preserve">Modern slavery and the supply chain: </w:t>
      </w:r>
      <w:r w:rsidR="00862B80">
        <w:rPr>
          <w:rFonts w:ascii="Times New Roman" w:hAnsi="Times New Roman" w:cs="Times New Roman"/>
          <w:shd w:val="clear" w:color="auto" w:fill="FFFFFF"/>
          <w:lang w:val="en-US"/>
        </w:rPr>
        <w:t>T</w:t>
      </w:r>
      <w:r w:rsidRPr="00622F6C">
        <w:rPr>
          <w:rFonts w:ascii="Times New Roman" w:hAnsi="Times New Roman" w:cs="Times New Roman"/>
          <w:shd w:val="clear" w:color="auto" w:fill="FFFFFF"/>
          <w:lang w:val="en-US"/>
        </w:rPr>
        <w:t xml:space="preserve">he limits of corporate social responsibility? </w:t>
      </w:r>
      <w:r w:rsidRPr="00622F6C">
        <w:rPr>
          <w:rFonts w:ascii="Times New Roman" w:hAnsi="Times New Roman" w:cs="Times New Roman"/>
          <w:iCs/>
          <w:shd w:val="clear" w:color="auto" w:fill="FFFFFF"/>
          <w:lang w:val="en-US"/>
        </w:rPr>
        <w:t>Supply Chain Management: An International Journal</w:t>
      </w:r>
      <w:r w:rsidRPr="00622F6C">
        <w:rPr>
          <w:rFonts w:ascii="Times New Roman" w:hAnsi="Times New Roman" w:cs="Times New Roman"/>
          <w:shd w:val="clear" w:color="auto" w:fill="FFFFFF"/>
          <w:lang w:val="en-US"/>
        </w:rPr>
        <w:t xml:space="preserve"> </w:t>
      </w:r>
      <w:r w:rsidRPr="00622F6C">
        <w:rPr>
          <w:rFonts w:ascii="Times New Roman" w:hAnsi="Times New Roman" w:cs="Times New Roman"/>
          <w:iCs/>
          <w:shd w:val="clear" w:color="auto" w:fill="FFFFFF"/>
          <w:lang w:val="en-US"/>
        </w:rPr>
        <w:t>20</w:t>
      </w:r>
      <w:r w:rsidR="006412F7" w:rsidRPr="00622F6C">
        <w:rPr>
          <w:rFonts w:ascii="Times New Roman" w:hAnsi="Times New Roman" w:cs="Times New Roman"/>
          <w:iCs/>
          <w:shd w:val="clear" w:color="auto" w:fill="FFFFFF"/>
          <w:lang w:val="en-US"/>
        </w:rPr>
        <w:t xml:space="preserve"> (6), </w:t>
      </w:r>
      <w:r w:rsidRPr="00622F6C">
        <w:rPr>
          <w:rFonts w:ascii="Times New Roman" w:hAnsi="Times New Roman" w:cs="Times New Roman"/>
          <w:shd w:val="clear" w:color="auto" w:fill="FFFFFF"/>
          <w:lang w:val="en-US"/>
        </w:rPr>
        <w:t>697-707.</w:t>
      </w:r>
    </w:p>
    <w:p w14:paraId="6EF5F1D0" w14:textId="77777777" w:rsidR="00EE478C" w:rsidRDefault="00EE478C"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Nguyen, K.</w:t>
      </w:r>
      <w:r w:rsidR="00640F06" w:rsidRPr="00622F6C">
        <w:rPr>
          <w:rFonts w:ascii="Times New Roman" w:hAnsi="Times New Roman" w:cs="Times New Roman"/>
          <w:shd w:val="clear" w:color="auto" w:fill="FFFFFF"/>
          <w:lang w:val="en-US"/>
        </w:rPr>
        <w:t>, K. Guilbert</w:t>
      </w:r>
      <w:r w:rsidR="008D6255" w:rsidRPr="00622F6C">
        <w:rPr>
          <w:rFonts w:ascii="Times New Roman" w:hAnsi="Times New Roman" w:cs="Times New Roman"/>
          <w:shd w:val="clear" w:color="auto" w:fill="FFFFFF"/>
          <w:lang w:val="en-US"/>
        </w:rPr>
        <w:t>, 2015</w:t>
      </w:r>
      <w:r w:rsidRPr="00622F6C">
        <w:rPr>
          <w:rFonts w:ascii="Times New Roman" w:hAnsi="Times New Roman" w:cs="Times New Roman"/>
          <w:shd w:val="clear" w:color="auto" w:fill="FFFFFF"/>
          <w:lang w:val="en-US"/>
        </w:rPr>
        <w:t xml:space="preserve">. </w:t>
      </w:r>
      <w:r w:rsidRPr="00622F6C">
        <w:rPr>
          <w:rFonts w:ascii="Times New Roman" w:eastAsia="Times New Roman" w:hAnsi="Times New Roman" w:cs="Times New Roman"/>
          <w:bCs/>
          <w:bdr w:val="none" w:sz="0" w:space="0" w:color="auto" w:frame="1"/>
          <w:lang w:val="en-US" w:eastAsia="en-GB"/>
        </w:rPr>
        <w:t xml:space="preserve">Britain fights slavery with tough new law as part of global battle. </w:t>
      </w:r>
      <w:r w:rsidRPr="00622F6C">
        <w:rPr>
          <w:rFonts w:ascii="Times New Roman" w:hAnsi="Times New Roman" w:cs="Times New Roman"/>
          <w:shd w:val="clear" w:color="auto" w:fill="FFFFFF"/>
          <w:lang w:val="en-US"/>
        </w:rPr>
        <w:t xml:space="preserve">Press release from Reuters News, accessed through Factiva. </w:t>
      </w:r>
    </w:p>
    <w:p w14:paraId="6C4A99D1" w14:textId="77777777" w:rsidR="00FA52A3" w:rsidRPr="00955DFE" w:rsidRDefault="00FA52A3" w:rsidP="00F04A5F">
      <w:pPr>
        <w:spacing w:after="0"/>
        <w:ind w:left="142" w:hanging="142"/>
        <w:jc w:val="both"/>
        <w:rPr>
          <w:rFonts w:ascii="Times New Roman" w:hAnsi="Times New Roman" w:cs="Times New Roman"/>
          <w:color w:val="222222"/>
        </w:rPr>
      </w:pPr>
      <w:r w:rsidRPr="00955DFE">
        <w:rPr>
          <w:rFonts w:ascii="Times New Roman" w:hAnsi="Times New Roman" w:cs="Times New Roman"/>
          <w:color w:val="222222"/>
        </w:rPr>
        <w:t xml:space="preserve">Nicolae, M., M. Arıkan, V. Deshpande, M. Ferguson, 2017. Do bags fly free? An empirical analysis of the operational implications of airline baggage fees. </w:t>
      </w:r>
      <w:r w:rsidRPr="00955DFE">
        <w:rPr>
          <w:rFonts w:ascii="Times New Roman" w:hAnsi="Times New Roman" w:cs="Times New Roman"/>
          <w:iCs/>
          <w:color w:val="222222"/>
        </w:rPr>
        <w:t>Management Science</w:t>
      </w:r>
      <w:r w:rsidRPr="00955DFE">
        <w:rPr>
          <w:rFonts w:ascii="Times New Roman" w:hAnsi="Times New Roman" w:cs="Times New Roman"/>
          <w:color w:val="222222"/>
        </w:rPr>
        <w:t xml:space="preserve"> </w:t>
      </w:r>
      <w:r w:rsidRPr="00955DFE">
        <w:rPr>
          <w:rFonts w:ascii="Times New Roman" w:hAnsi="Times New Roman" w:cs="Times New Roman"/>
          <w:iCs/>
          <w:color w:val="222222"/>
        </w:rPr>
        <w:t xml:space="preserve">63 </w:t>
      </w:r>
      <w:r w:rsidRPr="00955DFE">
        <w:rPr>
          <w:rFonts w:ascii="Times New Roman" w:hAnsi="Times New Roman" w:cs="Times New Roman"/>
          <w:color w:val="222222"/>
        </w:rPr>
        <w:t>(10), 3187-3206.</w:t>
      </w:r>
    </w:p>
    <w:p w14:paraId="4D913DBD" w14:textId="77777777" w:rsidR="00DD77FF" w:rsidRPr="00622F6C" w:rsidRDefault="00DD77F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lastRenderedPageBreak/>
        <w:t xml:space="preserve">O’Dwyer, B., 2002. Managerial perceptions of corporate social disclosure: An Irish story. </w:t>
      </w:r>
      <w:r w:rsidRPr="00622F6C">
        <w:rPr>
          <w:rFonts w:ascii="Times New Roman" w:hAnsi="Times New Roman" w:cs="Times New Roman"/>
          <w:iCs/>
          <w:color w:val="222222"/>
          <w:shd w:val="clear" w:color="auto" w:fill="FFFFFF"/>
          <w:lang w:val="en-US"/>
        </w:rPr>
        <w:t>Accounting, Auditing &amp; Accountability Journal</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15 </w:t>
      </w:r>
      <w:r w:rsidRPr="00622F6C">
        <w:rPr>
          <w:rFonts w:ascii="Times New Roman" w:hAnsi="Times New Roman" w:cs="Times New Roman"/>
          <w:color w:val="222222"/>
          <w:shd w:val="clear" w:color="auto" w:fill="FFFFFF"/>
          <w:lang w:val="en-US"/>
        </w:rPr>
        <w:t>(3), 406-436.</w:t>
      </w:r>
    </w:p>
    <w:p w14:paraId="57FA4756" w14:textId="77777777" w:rsidR="006E6FAF" w:rsidRPr="00622F6C" w:rsidRDefault="00C93E54"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Orlitzky, M., F.L. Schmidt, </w:t>
      </w:r>
      <w:r w:rsidR="006E6FAF" w:rsidRPr="00622F6C">
        <w:rPr>
          <w:rFonts w:ascii="Times New Roman" w:hAnsi="Times New Roman" w:cs="Times New Roman"/>
          <w:shd w:val="clear" w:color="auto" w:fill="FFFFFF"/>
          <w:lang w:val="en-US"/>
        </w:rPr>
        <w:t>S.L. Rynes</w:t>
      </w:r>
      <w:r w:rsidR="006412F7" w:rsidRPr="00622F6C">
        <w:rPr>
          <w:rFonts w:ascii="Times New Roman" w:hAnsi="Times New Roman" w:cs="Times New Roman"/>
          <w:shd w:val="clear" w:color="auto" w:fill="FFFFFF"/>
          <w:lang w:val="en-US"/>
        </w:rPr>
        <w:t>,</w:t>
      </w:r>
      <w:r w:rsidR="006E6FAF" w:rsidRPr="00622F6C">
        <w:rPr>
          <w:rFonts w:ascii="Times New Roman" w:hAnsi="Times New Roman" w:cs="Times New Roman"/>
          <w:shd w:val="clear" w:color="auto" w:fill="FFFFFF"/>
          <w:lang w:val="en-US"/>
        </w:rPr>
        <w:t xml:space="preserve"> </w:t>
      </w:r>
      <w:r w:rsidR="006412F7" w:rsidRPr="00622F6C">
        <w:rPr>
          <w:rFonts w:ascii="Times New Roman" w:hAnsi="Times New Roman" w:cs="Times New Roman"/>
          <w:shd w:val="clear" w:color="auto" w:fill="FFFFFF"/>
          <w:lang w:val="en-US"/>
        </w:rPr>
        <w:t xml:space="preserve">2003. </w:t>
      </w:r>
      <w:r w:rsidR="006E6FAF" w:rsidRPr="00622F6C">
        <w:rPr>
          <w:rFonts w:ascii="Times New Roman" w:hAnsi="Times New Roman" w:cs="Times New Roman"/>
          <w:shd w:val="clear" w:color="auto" w:fill="FFFFFF"/>
          <w:lang w:val="en-US"/>
        </w:rPr>
        <w:t xml:space="preserve">Corporate social and financial performance: A meta-analysis. </w:t>
      </w:r>
      <w:r w:rsidR="006E6FAF" w:rsidRPr="00622F6C">
        <w:rPr>
          <w:rFonts w:ascii="Times New Roman" w:hAnsi="Times New Roman" w:cs="Times New Roman"/>
          <w:iCs/>
          <w:shd w:val="clear" w:color="auto" w:fill="FFFFFF"/>
          <w:lang w:val="en-US"/>
        </w:rPr>
        <w:t>Organization Studies</w:t>
      </w:r>
      <w:r w:rsidR="006412F7" w:rsidRPr="00622F6C">
        <w:rPr>
          <w:rFonts w:ascii="Times New Roman" w:hAnsi="Times New Roman" w:cs="Times New Roman"/>
          <w:shd w:val="clear" w:color="auto" w:fill="FFFFFF"/>
          <w:lang w:val="en-US"/>
        </w:rPr>
        <w:t xml:space="preserve"> 24 (3), </w:t>
      </w:r>
      <w:r w:rsidR="006E6FAF" w:rsidRPr="00622F6C">
        <w:rPr>
          <w:rFonts w:ascii="Times New Roman" w:hAnsi="Times New Roman" w:cs="Times New Roman"/>
          <w:shd w:val="clear" w:color="auto" w:fill="FFFFFF"/>
          <w:lang w:val="en-US"/>
        </w:rPr>
        <w:t>403-441.</w:t>
      </w:r>
    </w:p>
    <w:p w14:paraId="378F999E" w14:textId="77777777" w:rsidR="00A74210" w:rsidRPr="00622F6C" w:rsidRDefault="00A74210" w:rsidP="00BA6218">
      <w:pPr>
        <w:spacing w:after="0" w:line="240" w:lineRule="auto"/>
        <w:ind w:left="284" w:hanging="284"/>
        <w:jc w:val="both"/>
        <w:rPr>
          <w:rFonts w:ascii="Times New Roman" w:hAnsi="Times New Roman" w:cs="Times New Roman"/>
          <w:shd w:val="clear" w:color="auto" w:fill="FFFFFF"/>
          <w:lang w:val="en-US"/>
        </w:rPr>
      </w:pPr>
      <w:r w:rsidRPr="004C7B14">
        <w:rPr>
          <w:rFonts w:ascii="Times New Roman" w:hAnsi="Times New Roman" w:cs="Times New Roman"/>
          <w:lang w:val="it-IT"/>
        </w:rPr>
        <w:t>Parmigiani, A., R.D. Klassen, M.V. Russo</w:t>
      </w:r>
      <w:r w:rsidR="00DD7ED8" w:rsidRPr="004C7B14">
        <w:rPr>
          <w:rFonts w:ascii="Times New Roman" w:hAnsi="Times New Roman" w:cs="Times New Roman"/>
          <w:lang w:val="it-IT"/>
        </w:rPr>
        <w:t>,</w:t>
      </w:r>
      <w:r w:rsidRPr="004C7B14">
        <w:rPr>
          <w:rFonts w:ascii="Times New Roman" w:hAnsi="Times New Roman" w:cs="Times New Roman"/>
          <w:lang w:val="it-IT"/>
        </w:rPr>
        <w:t xml:space="preserve"> 2011. </w:t>
      </w:r>
      <w:r w:rsidRPr="00622F6C">
        <w:rPr>
          <w:rFonts w:ascii="Times New Roman" w:hAnsi="Times New Roman" w:cs="Times New Roman"/>
          <w:lang w:val="en-US"/>
        </w:rPr>
        <w:t>Efficiency meets accountability: Performance implications of supply chain configuration, control, and capabilities. J</w:t>
      </w:r>
      <w:r w:rsidR="0032239D" w:rsidRPr="00622F6C">
        <w:rPr>
          <w:rFonts w:ascii="Times New Roman" w:hAnsi="Times New Roman" w:cs="Times New Roman"/>
          <w:lang w:val="en-US"/>
        </w:rPr>
        <w:t>ournal of Operations Management</w:t>
      </w:r>
      <w:r w:rsidRPr="00622F6C">
        <w:rPr>
          <w:rFonts w:ascii="Times New Roman" w:hAnsi="Times New Roman" w:cs="Times New Roman"/>
          <w:lang w:val="en-US"/>
        </w:rPr>
        <w:t xml:space="preserve"> 29 (3), 212-223.</w:t>
      </w:r>
    </w:p>
    <w:p w14:paraId="1B05010B" w14:textId="77777777" w:rsidR="00DB0C96" w:rsidRPr="00622F6C" w:rsidRDefault="00DB0C96"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 xml:space="preserve">Perego, P., A. Kolk, 2012. Multinationals’ accountability on sustainability: The evolution of third-party assurance of sustainability reports. </w:t>
      </w:r>
      <w:r w:rsidRPr="00622F6C">
        <w:rPr>
          <w:rFonts w:ascii="Times New Roman" w:hAnsi="Times New Roman" w:cs="Times New Roman"/>
          <w:iCs/>
          <w:color w:val="222222"/>
          <w:shd w:val="clear" w:color="auto" w:fill="FFFFFF"/>
          <w:lang w:val="en-US"/>
        </w:rPr>
        <w:t>Journal of Business Ethics</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110 </w:t>
      </w:r>
      <w:r w:rsidRPr="00622F6C">
        <w:rPr>
          <w:rFonts w:ascii="Times New Roman" w:hAnsi="Times New Roman" w:cs="Times New Roman"/>
          <w:color w:val="222222"/>
          <w:shd w:val="clear" w:color="auto" w:fill="FFFFFF"/>
          <w:lang w:val="en-US"/>
        </w:rPr>
        <w:t>(2), 173-190.</w:t>
      </w:r>
    </w:p>
    <w:p w14:paraId="2A05B0C7" w14:textId="77777777" w:rsidR="00AA1A6E" w:rsidRDefault="00F838C0"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Pigors, M., B. Rockenbach</w:t>
      </w:r>
      <w:r w:rsidR="00AA1A6E" w:rsidRPr="00622F6C">
        <w:rPr>
          <w:rFonts w:ascii="Times New Roman" w:hAnsi="Times New Roman" w:cs="Times New Roman"/>
          <w:shd w:val="clear" w:color="auto" w:fill="FFFFFF"/>
          <w:lang w:val="en-US"/>
        </w:rPr>
        <w:t>, 2016. Consumer social responsibility.</w:t>
      </w:r>
      <w:r w:rsidRPr="00622F6C">
        <w:rPr>
          <w:rFonts w:ascii="Times New Roman" w:hAnsi="Times New Roman" w:cs="Times New Roman"/>
          <w:shd w:val="clear" w:color="auto" w:fill="FFFFFF"/>
          <w:lang w:val="en-US"/>
        </w:rPr>
        <w:t xml:space="preserve"> </w:t>
      </w:r>
      <w:r w:rsidR="00AA1A6E" w:rsidRPr="00622F6C">
        <w:rPr>
          <w:rFonts w:ascii="Times New Roman" w:hAnsi="Times New Roman" w:cs="Times New Roman"/>
          <w:iCs/>
          <w:shd w:val="clear" w:color="auto" w:fill="FFFFFF"/>
          <w:lang w:val="en-US"/>
        </w:rPr>
        <w:t>Management Science</w:t>
      </w:r>
      <w:r w:rsidRPr="00622F6C">
        <w:rPr>
          <w:rFonts w:ascii="Times New Roman" w:hAnsi="Times New Roman" w:cs="Times New Roman"/>
          <w:shd w:val="clear" w:color="auto" w:fill="FFFFFF"/>
          <w:lang w:val="en-US"/>
        </w:rPr>
        <w:t xml:space="preserve"> </w:t>
      </w:r>
      <w:r w:rsidR="00AA1A6E" w:rsidRPr="00622F6C">
        <w:rPr>
          <w:rFonts w:ascii="Times New Roman" w:hAnsi="Times New Roman" w:cs="Times New Roman"/>
          <w:iCs/>
          <w:shd w:val="clear" w:color="auto" w:fill="FFFFFF"/>
          <w:lang w:val="en-US"/>
        </w:rPr>
        <w:t>62</w:t>
      </w:r>
      <w:r w:rsidRPr="00622F6C">
        <w:rPr>
          <w:rFonts w:ascii="Times New Roman" w:hAnsi="Times New Roman" w:cs="Times New Roman"/>
          <w:iCs/>
          <w:shd w:val="clear" w:color="auto" w:fill="FFFFFF"/>
          <w:lang w:val="en-US"/>
        </w:rPr>
        <w:t xml:space="preserve"> </w:t>
      </w:r>
      <w:r w:rsidR="00AA1A6E" w:rsidRPr="00622F6C">
        <w:rPr>
          <w:rFonts w:ascii="Times New Roman" w:hAnsi="Times New Roman" w:cs="Times New Roman"/>
          <w:shd w:val="clear" w:color="auto" w:fill="FFFFFF"/>
          <w:lang w:val="en-US"/>
        </w:rPr>
        <w:t>(11), 3123-3137.</w:t>
      </w:r>
    </w:p>
    <w:p w14:paraId="375B9B75" w14:textId="77777777" w:rsidR="00A40499" w:rsidRPr="00A40499" w:rsidRDefault="00A40499" w:rsidP="00BA6218">
      <w:pPr>
        <w:spacing w:after="0" w:line="240" w:lineRule="auto"/>
        <w:ind w:left="284" w:hanging="284"/>
        <w:jc w:val="both"/>
        <w:rPr>
          <w:rFonts w:ascii="Times New Roman" w:hAnsi="Times New Roman" w:cs="Times New Roman"/>
          <w:shd w:val="clear" w:color="auto" w:fill="FFFFFF"/>
          <w:lang w:val="en-US"/>
        </w:rPr>
      </w:pPr>
      <w:r w:rsidRPr="00955DFE">
        <w:rPr>
          <w:rFonts w:ascii="Times New Roman" w:hAnsi="Times New Roman" w:cs="Times New Roman"/>
          <w:color w:val="222222"/>
        </w:rPr>
        <w:t xml:space="preserve">Pincus, M., 1997. Stock price effects of the allowance of LIFO for tax purposes. </w:t>
      </w:r>
      <w:r w:rsidRPr="00955DFE">
        <w:rPr>
          <w:rFonts w:ascii="Times New Roman" w:hAnsi="Times New Roman" w:cs="Times New Roman"/>
          <w:iCs/>
          <w:color w:val="222222"/>
        </w:rPr>
        <w:t>Journal of Accounting and Economics</w:t>
      </w:r>
      <w:r w:rsidRPr="00955DFE">
        <w:rPr>
          <w:rFonts w:ascii="Times New Roman" w:hAnsi="Times New Roman" w:cs="Times New Roman"/>
          <w:color w:val="222222"/>
        </w:rPr>
        <w:t xml:space="preserve"> </w:t>
      </w:r>
      <w:r w:rsidRPr="00955DFE">
        <w:rPr>
          <w:rFonts w:ascii="Times New Roman" w:hAnsi="Times New Roman" w:cs="Times New Roman"/>
          <w:iCs/>
          <w:color w:val="222222"/>
        </w:rPr>
        <w:t>23</w:t>
      </w:r>
      <w:r>
        <w:rPr>
          <w:rFonts w:ascii="Times New Roman" w:hAnsi="Times New Roman" w:cs="Times New Roman"/>
          <w:iCs/>
          <w:color w:val="222222"/>
        </w:rPr>
        <w:t xml:space="preserve"> </w:t>
      </w:r>
      <w:r w:rsidRPr="00955DFE">
        <w:rPr>
          <w:rFonts w:ascii="Times New Roman" w:hAnsi="Times New Roman" w:cs="Times New Roman"/>
          <w:color w:val="222222"/>
        </w:rPr>
        <w:t>(3)</w:t>
      </w:r>
      <w:r w:rsidRPr="00A40499">
        <w:rPr>
          <w:rFonts w:ascii="Times New Roman" w:hAnsi="Times New Roman" w:cs="Times New Roman"/>
          <w:color w:val="222222"/>
        </w:rPr>
        <w:t xml:space="preserve">, </w:t>
      </w:r>
      <w:r w:rsidRPr="00955DFE">
        <w:rPr>
          <w:rFonts w:ascii="Times New Roman" w:hAnsi="Times New Roman" w:cs="Times New Roman"/>
          <w:color w:val="222222"/>
        </w:rPr>
        <w:t>283-308.</w:t>
      </w:r>
    </w:p>
    <w:p w14:paraId="5067B730" w14:textId="77777777" w:rsidR="001F2896" w:rsidRPr="00622F6C" w:rsidRDefault="001F2896"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Plambeck, E.L., T.A. Taylor, 2015. Supplier evasion of a buyer’s audit: Implications for motivating supplier social and environmental responsibility. </w:t>
      </w:r>
      <w:r w:rsidRPr="00622F6C">
        <w:rPr>
          <w:rFonts w:ascii="Times New Roman" w:hAnsi="Times New Roman" w:cs="Times New Roman"/>
          <w:iCs/>
          <w:shd w:val="clear" w:color="auto" w:fill="FFFFFF"/>
          <w:lang w:val="en-US"/>
        </w:rPr>
        <w:t>Manufacturing &amp; Service Operations Management</w:t>
      </w:r>
      <w:r w:rsidRPr="00622F6C">
        <w:rPr>
          <w:rFonts w:ascii="Times New Roman" w:hAnsi="Times New Roman" w:cs="Times New Roman"/>
          <w:shd w:val="clear" w:color="auto" w:fill="FFFFFF"/>
          <w:lang w:val="en-US"/>
        </w:rPr>
        <w:t xml:space="preserve"> 18 (2), 184-197.</w:t>
      </w:r>
    </w:p>
    <w:p w14:paraId="35EB848E" w14:textId="77777777" w:rsidR="006E6FAF" w:rsidRPr="00DA181F" w:rsidRDefault="006E6FAF" w:rsidP="00BA6218">
      <w:pPr>
        <w:spacing w:after="0" w:line="240" w:lineRule="auto"/>
        <w:ind w:left="284" w:hanging="284"/>
        <w:jc w:val="both"/>
        <w:rPr>
          <w:rFonts w:ascii="Times New Roman" w:hAnsi="Times New Roman" w:cs="Times New Roman"/>
          <w:lang w:val="en-US"/>
        </w:rPr>
      </w:pPr>
      <w:r w:rsidRPr="00622F6C">
        <w:rPr>
          <w:rFonts w:ascii="Times New Roman" w:hAnsi="Times New Roman" w:cs="Times New Roman"/>
          <w:lang w:val="en-US"/>
        </w:rPr>
        <w:t>Porteous, A.H., S.V. Rammohan, H.L. L</w:t>
      </w:r>
      <w:r w:rsidR="001E4F10" w:rsidRPr="00622F6C">
        <w:rPr>
          <w:rFonts w:ascii="Times New Roman" w:hAnsi="Times New Roman" w:cs="Times New Roman"/>
          <w:lang w:val="en-US"/>
        </w:rPr>
        <w:t xml:space="preserve">ee, 2015. </w:t>
      </w:r>
      <w:r w:rsidRPr="00622F6C">
        <w:rPr>
          <w:rFonts w:ascii="Times New Roman" w:hAnsi="Times New Roman" w:cs="Times New Roman"/>
          <w:lang w:val="en-US"/>
        </w:rPr>
        <w:t xml:space="preserve">Carrots or sticks? Improving social and environmental compliance at suppliers through incentives and penalties. </w:t>
      </w:r>
      <w:r w:rsidRPr="00622F6C">
        <w:rPr>
          <w:rFonts w:ascii="Times New Roman" w:hAnsi="Times New Roman" w:cs="Times New Roman"/>
          <w:iCs/>
          <w:lang w:val="en-US"/>
        </w:rPr>
        <w:t xml:space="preserve">Production and </w:t>
      </w:r>
      <w:r w:rsidRPr="00DA181F">
        <w:rPr>
          <w:rFonts w:ascii="Times New Roman" w:hAnsi="Times New Roman" w:cs="Times New Roman"/>
          <w:iCs/>
          <w:lang w:val="en-US"/>
        </w:rPr>
        <w:t>Operations Management</w:t>
      </w:r>
      <w:r w:rsidRPr="00DA181F">
        <w:rPr>
          <w:rFonts w:ascii="Times New Roman" w:hAnsi="Times New Roman" w:cs="Times New Roman"/>
          <w:lang w:val="en-US"/>
        </w:rPr>
        <w:t xml:space="preserve"> 24</w:t>
      </w:r>
      <w:r w:rsidR="001E4F10" w:rsidRPr="00DA181F">
        <w:rPr>
          <w:rFonts w:ascii="Times New Roman" w:hAnsi="Times New Roman" w:cs="Times New Roman"/>
          <w:lang w:val="en-US"/>
        </w:rPr>
        <w:t xml:space="preserve"> (9), </w:t>
      </w:r>
      <w:r w:rsidRPr="00DA181F">
        <w:rPr>
          <w:rFonts w:ascii="Times New Roman" w:hAnsi="Times New Roman" w:cs="Times New Roman"/>
          <w:lang w:val="en-US"/>
        </w:rPr>
        <w:t>1402-1413.</w:t>
      </w:r>
    </w:p>
    <w:p w14:paraId="27490671" w14:textId="77777777" w:rsidR="00DA181F" w:rsidRPr="00DA181F" w:rsidRDefault="00DA181F" w:rsidP="00BA6218">
      <w:pPr>
        <w:spacing w:after="0" w:line="240" w:lineRule="auto"/>
        <w:ind w:left="284" w:hanging="284"/>
        <w:jc w:val="both"/>
        <w:rPr>
          <w:rFonts w:ascii="Times New Roman" w:hAnsi="Times New Roman" w:cs="Times New Roman"/>
          <w:lang w:val="en-US"/>
        </w:rPr>
      </w:pPr>
      <w:r w:rsidRPr="00DA181F">
        <w:rPr>
          <w:rFonts w:ascii="Times New Roman" w:hAnsi="Times New Roman" w:cs="Times New Roman"/>
          <w:color w:val="222222"/>
        </w:rPr>
        <w:t xml:space="preserve">Porter, M.E., C. Van der Linde, 1995. Toward a new conception of the environment-competitiveness relationship. </w:t>
      </w:r>
      <w:r w:rsidRPr="00DA181F">
        <w:rPr>
          <w:rFonts w:ascii="Times New Roman" w:hAnsi="Times New Roman" w:cs="Times New Roman"/>
          <w:iCs/>
          <w:color w:val="222222"/>
        </w:rPr>
        <w:t>Journal of Economic Perspectives</w:t>
      </w:r>
      <w:r w:rsidRPr="00DA181F">
        <w:rPr>
          <w:rFonts w:ascii="Times New Roman" w:hAnsi="Times New Roman" w:cs="Times New Roman"/>
          <w:color w:val="222222"/>
        </w:rPr>
        <w:t xml:space="preserve"> </w:t>
      </w:r>
      <w:r w:rsidRPr="004C7B14">
        <w:rPr>
          <w:rFonts w:ascii="Times New Roman" w:hAnsi="Times New Roman" w:cs="Times New Roman"/>
          <w:iCs/>
          <w:color w:val="222222"/>
        </w:rPr>
        <w:t>9</w:t>
      </w:r>
      <w:r>
        <w:rPr>
          <w:rFonts w:ascii="Times New Roman" w:hAnsi="Times New Roman" w:cs="Times New Roman"/>
          <w:i/>
          <w:iCs/>
          <w:color w:val="222222"/>
        </w:rPr>
        <w:t xml:space="preserve"> </w:t>
      </w:r>
      <w:r w:rsidRPr="00DA181F">
        <w:rPr>
          <w:rFonts w:ascii="Times New Roman" w:hAnsi="Times New Roman" w:cs="Times New Roman"/>
          <w:color w:val="222222"/>
        </w:rPr>
        <w:t>(4), 97-118.</w:t>
      </w:r>
    </w:p>
    <w:p w14:paraId="3788E223" w14:textId="77777777" w:rsidR="001F2896" w:rsidRDefault="001F2896" w:rsidP="00BA6218">
      <w:pPr>
        <w:spacing w:after="0" w:line="240" w:lineRule="auto"/>
        <w:ind w:left="284" w:hanging="284"/>
        <w:jc w:val="both"/>
        <w:rPr>
          <w:rFonts w:ascii="Times New Roman" w:hAnsi="Times New Roman" w:cs="Times New Roman"/>
          <w:color w:val="222222"/>
          <w:shd w:val="clear" w:color="auto" w:fill="FFFFFF"/>
          <w:lang w:val="en-US"/>
        </w:rPr>
      </w:pPr>
      <w:r w:rsidRPr="00622F6C">
        <w:rPr>
          <w:rFonts w:ascii="Times New Roman" w:hAnsi="Times New Roman" w:cs="Times New Roman"/>
          <w:color w:val="222222"/>
          <w:shd w:val="clear" w:color="auto" w:fill="FFFFFF"/>
          <w:lang w:val="en-US"/>
        </w:rPr>
        <w:t xml:space="preserve">Rimmel, G., K. Jonäll, 2013. Biodiversity reporting in Sweden: Corporate disclosure and preparers' views. </w:t>
      </w:r>
      <w:r w:rsidRPr="00622F6C">
        <w:rPr>
          <w:rFonts w:ascii="Times New Roman" w:hAnsi="Times New Roman" w:cs="Times New Roman"/>
          <w:iCs/>
          <w:color w:val="222222"/>
          <w:shd w:val="clear" w:color="auto" w:fill="FFFFFF"/>
          <w:lang w:val="en-US"/>
        </w:rPr>
        <w:t>Accounting, Auditing &amp; Accountability Journal</w:t>
      </w:r>
      <w:r w:rsidRPr="00622F6C">
        <w:rPr>
          <w:rFonts w:ascii="Times New Roman" w:hAnsi="Times New Roman" w:cs="Times New Roman"/>
          <w:color w:val="222222"/>
          <w:shd w:val="clear" w:color="auto" w:fill="FFFFFF"/>
          <w:lang w:val="en-US"/>
        </w:rPr>
        <w:t xml:space="preserve"> </w:t>
      </w:r>
      <w:r w:rsidRPr="00622F6C">
        <w:rPr>
          <w:rFonts w:ascii="Times New Roman" w:hAnsi="Times New Roman" w:cs="Times New Roman"/>
          <w:iCs/>
          <w:color w:val="222222"/>
          <w:shd w:val="clear" w:color="auto" w:fill="FFFFFF"/>
          <w:lang w:val="en-US"/>
        </w:rPr>
        <w:t xml:space="preserve">26 </w:t>
      </w:r>
      <w:r w:rsidRPr="00622F6C">
        <w:rPr>
          <w:rFonts w:ascii="Times New Roman" w:hAnsi="Times New Roman" w:cs="Times New Roman"/>
          <w:color w:val="222222"/>
          <w:shd w:val="clear" w:color="auto" w:fill="FFFFFF"/>
          <w:lang w:val="en-US"/>
        </w:rPr>
        <w:t>(5), 746-778.</w:t>
      </w:r>
    </w:p>
    <w:p w14:paraId="19581E53" w14:textId="77777777" w:rsidR="00A40499" w:rsidRPr="00FD46A5" w:rsidRDefault="00A40499" w:rsidP="00BA6218">
      <w:pPr>
        <w:spacing w:after="0" w:line="240" w:lineRule="auto"/>
        <w:ind w:left="284" w:hanging="284"/>
        <w:jc w:val="both"/>
        <w:rPr>
          <w:rFonts w:ascii="Times New Roman" w:hAnsi="Times New Roman" w:cs="Times New Roman"/>
          <w:color w:val="222222"/>
          <w:shd w:val="clear" w:color="auto" w:fill="FFFFFF"/>
          <w:lang w:val="en-US"/>
        </w:rPr>
      </w:pPr>
      <w:r w:rsidRPr="00955DFE">
        <w:rPr>
          <w:rFonts w:ascii="Times New Roman" w:hAnsi="Times New Roman" w:cs="Times New Roman"/>
          <w:color w:val="222222"/>
        </w:rPr>
        <w:t>Robinson, A</w:t>
      </w:r>
      <w:r w:rsidR="002E32FE" w:rsidRPr="002E32FE">
        <w:rPr>
          <w:rFonts w:ascii="Times New Roman" w:hAnsi="Times New Roman" w:cs="Times New Roman"/>
          <w:color w:val="222222"/>
        </w:rPr>
        <w:t>.B., K.R. Tuli, A.K. Kohli, 2015</w:t>
      </w:r>
      <w:r w:rsidRPr="00955DFE">
        <w:rPr>
          <w:rFonts w:ascii="Times New Roman" w:hAnsi="Times New Roman" w:cs="Times New Roman"/>
          <w:color w:val="222222"/>
        </w:rPr>
        <w:t xml:space="preserve">. Does brand licensing increase a licensor's shareholder value?. </w:t>
      </w:r>
      <w:r w:rsidRPr="00955DFE">
        <w:rPr>
          <w:rFonts w:ascii="Times New Roman" w:hAnsi="Times New Roman" w:cs="Times New Roman"/>
          <w:iCs/>
          <w:color w:val="222222"/>
        </w:rPr>
        <w:t>Management Science</w:t>
      </w:r>
      <w:r w:rsidRPr="00955DFE">
        <w:rPr>
          <w:rFonts w:ascii="Times New Roman" w:hAnsi="Times New Roman" w:cs="Times New Roman"/>
          <w:color w:val="222222"/>
        </w:rPr>
        <w:t xml:space="preserve"> </w:t>
      </w:r>
      <w:r w:rsidRPr="00955DFE">
        <w:rPr>
          <w:rFonts w:ascii="Times New Roman" w:hAnsi="Times New Roman" w:cs="Times New Roman"/>
          <w:iCs/>
          <w:color w:val="222222"/>
        </w:rPr>
        <w:t xml:space="preserve">61 </w:t>
      </w:r>
      <w:r w:rsidRPr="00955DFE">
        <w:rPr>
          <w:rFonts w:ascii="Times New Roman" w:hAnsi="Times New Roman" w:cs="Times New Roman"/>
          <w:color w:val="222222"/>
        </w:rPr>
        <w:t>(6), 1436-1455.</w:t>
      </w:r>
    </w:p>
    <w:p w14:paraId="6490262D" w14:textId="77777777" w:rsidR="006E6FAF" w:rsidRPr="00FD46A5" w:rsidRDefault="006E6FAF" w:rsidP="00BA6218">
      <w:pPr>
        <w:spacing w:after="0" w:line="240" w:lineRule="auto"/>
        <w:ind w:left="284" w:hanging="284"/>
        <w:jc w:val="both"/>
        <w:rPr>
          <w:rFonts w:ascii="Times New Roman" w:hAnsi="Times New Roman" w:cs="Times New Roman"/>
          <w:shd w:val="clear" w:color="auto" w:fill="FFFFFF"/>
          <w:lang w:val="en-US"/>
        </w:rPr>
      </w:pPr>
      <w:r w:rsidRPr="00FD46A5">
        <w:rPr>
          <w:rFonts w:ascii="Times New Roman" w:hAnsi="Times New Roman" w:cs="Times New Roman"/>
          <w:shd w:val="clear" w:color="auto" w:fill="FFFFFF"/>
          <w:lang w:val="en-US"/>
        </w:rPr>
        <w:t>Schipper, K.</w:t>
      </w:r>
      <w:r w:rsidR="00C93E54" w:rsidRPr="00FD46A5">
        <w:rPr>
          <w:rFonts w:ascii="Times New Roman" w:hAnsi="Times New Roman" w:cs="Times New Roman"/>
          <w:shd w:val="clear" w:color="auto" w:fill="FFFFFF"/>
          <w:lang w:val="en-US"/>
        </w:rPr>
        <w:t>,</w:t>
      </w:r>
      <w:r w:rsidRPr="00FD46A5">
        <w:rPr>
          <w:rFonts w:ascii="Times New Roman" w:hAnsi="Times New Roman" w:cs="Times New Roman"/>
          <w:shd w:val="clear" w:color="auto" w:fill="FFFFFF"/>
          <w:lang w:val="en-US"/>
        </w:rPr>
        <w:t xml:space="preserve"> R. Thompson</w:t>
      </w:r>
      <w:r w:rsidR="00EC7D57" w:rsidRPr="00FD46A5">
        <w:rPr>
          <w:rFonts w:ascii="Times New Roman" w:hAnsi="Times New Roman" w:cs="Times New Roman"/>
          <w:shd w:val="clear" w:color="auto" w:fill="FFFFFF"/>
          <w:lang w:val="en-US"/>
        </w:rPr>
        <w:t>, 1983.</w:t>
      </w:r>
      <w:r w:rsidRPr="00FD46A5">
        <w:rPr>
          <w:rFonts w:ascii="Times New Roman" w:hAnsi="Times New Roman" w:cs="Times New Roman"/>
          <w:shd w:val="clear" w:color="auto" w:fill="FFFFFF"/>
          <w:lang w:val="en-US"/>
        </w:rPr>
        <w:t xml:space="preserve"> The impact of merger-related regulations on the shareholders of acquiring firms. </w:t>
      </w:r>
      <w:r w:rsidRPr="00FD46A5">
        <w:rPr>
          <w:rFonts w:ascii="Times New Roman" w:hAnsi="Times New Roman" w:cs="Times New Roman"/>
          <w:iCs/>
          <w:shd w:val="clear" w:color="auto" w:fill="FFFFFF"/>
          <w:lang w:val="en-US"/>
        </w:rPr>
        <w:t>Journal of Accounting Research 21</w:t>
      </w:r>
      <w:r w:rsidR="00EC7D57" w:rsidRPr="00FD46A5">
        <w:rPr>
          <w:rFonts w:ascii="Times New Roman" w:hAnsi="Times New Roman" w:cs="Times New Roman"/>
          <w:iCs/>
          <w:shd w:val="clear" w:color="auto" w:fill="FFFFFF"/>
          <w:lang w:val="en-US"/>
        </w:rPr>
        <w:t xml:space="preserve"> (</w:t>
      </w:r>
      <w:r w:rsidRPr="00FD46A5">
        <w:rPr>
          <w:rFonts w:ascii="Times New Roman" w:hAnsi="Times New Roman" w:cs="Times New Roman"/>
          <w:iCs/>
          <w:shd w:val="clear" w:color="auto" w:fill="FFFFFF"/>
          <w:lang w:val="en-US"/>
        </w:rPr>
        <w:t>1</w:t>
      </w:r>
      <w:r w:rsidR="00EC7D57" w:rsidRPr="00FD46A5">
        <w:rPr>
          <w:rFonts w:ascii="Times New Roman" w:hAnsi="Times New Roman" w:cs="Times New Roman"/>
          <w:iCs/>
          <w:shd w:val="clear" w:color="auto" w:fill="FFFFFF"/>
          <w:lang w:val="en-US"/>
        </w:rPr>
        <w:t xml:space="preserve">), </w:t>
      </w:r>
      <w:r w:rsidRPr="00FD46A5">
        <w:rPr>
          <w:rFonts w:ascii="Times New Roman" w:hAnsi="Times New Roman" w:cs="Times New Roman"/>
          <w:shd w:val="clear" w:color="auto" w:fill="FFFFFF"/>
          <w:lang w:val="en-US"/>
        </w:rPr>
        <w:t>184-221.</w:t>
      </w:r>
    </w:p>
    <w:p w14:paraId="14F291A1" w14:textId="77777777" w:rsidR="006E6FAF" w:rsidRPr="00FD46A5" w:rsidRDefault="006E6FAF" w:rsidP="00BA6218">
      <w:pPr>
        <w:spacing w:after="0" w:line="240" w:lineRule="auto"/>
        <w:ind w:left="284" w:hanging="284"/>
        <w:jc w:val="both"/>
        <w:rPr>
          <w:rFonts w:ascii="Times New Roman" w:hAnsi="Times New Roman" w:cs="Times New Roman"/>
          <w:lang w:val="en-US"/>
        </w:rPr>
      </w:pPr>
      <w:r w:rsidRPr="00FD46A5">
        <w:rPr>
          <w:rFonts w:ascii="Times New Roman" w:hAnsi="Times New Roman" w:cs="Times New Roman"/>
          <w:shd w:val="clear" w:color="auto" w:fill="FFFFFF"/>
          <w:lang w:val="en-US"/>
        </w:rPr>
        <w:t>Shleifer, A.</w:t>
      </w:r>
      <w:r w:rsidR="00EC7D57" w:rsidRPr="00FD46A5">
        <w:rPr>
          <w:rFonts w:ascii="Times New Roman" w:hAnsi="Times New Roman" w:cs="Times New Roman"/>
          <w:shd w:val="clear" w:color="auto" w:fill="FFFFFF"/>
          <w:lang w:val="en-US"/>
        </w:rPr>
        <w:t>,</w:t>
      </w:r>
      <w:r w:rsidRPr="00FD46A5">
        <w:rPr>
          <w:rFonts w:ascii="Times New Roman" w:hAnsi="Times New Roman" w:cs="Times New Roman"/>
          <w:shd w:val="clear" w:color="auto" w:fill="FFFFFF"/>
          <w:lang w:val="en-US"/>
        </w:rPr>
        <w:t xml:space="preserve"> </w:t>
      </w:r>
      <w:r w:rsidR="00EC7D57" w:rsidRPr="00FD46A5">
        <w:rPr>
          <w:rFonts w:ascii="Times New Roman" w:hAnsi="Times New Roman" w:cs="Times New Roman"/>
          <w:shd w:val="clear" w:color="auto" w:fill="FFFFFF"/>
          <w:lang w:val="en-US"/>
        </w:rPr>
        <w:t xml:space="preserve">2004. </w:t>
      </w:r>
      <w:r w:rsidRPr="00FD46A5">
        <w:rPr>
          <w:rFonts w:ascii="Times New Roman" w:hAnsi="Times New Roman" w:cs="Times New Roman"/>
          <w:iCs/>
          <w:shd w:val="clear" w:color="auto" w:fill="FFFFFF"/>
          <w:lang w:val="en-US"/>
        </w:rPr>
        <w:t>Does competition destroy ethical behavior?</w:t>
      </w:r>
      <w:r w:rsidRPr="00FD46A5">
        <w:rPr>
          <w:rFonts w:ascii="Times New Roman" w:hAnsi="Times New Roman" w:cs="Times New Roman"/>
          <w:shd w:val="clear" w:color="auto" w:fill="FFFFFF"/>
          <w:lang w:val="en-US"/>
        </w:rPr>
        <w:t xml:space="preserve"> Working paper, National Bureau of Economic Research.</w:t>
      </w:r>
      <w:r w:rsidR="00300806" w:rsidRPr="00FD46A5">
        <w:rPr>
          <w:rFonts w:ascii="Times New Roman" w:hAnsi="Times New Roman" w:cs="Times New Roman"/>
          <w:shd w:val="clear" w:color="auto" w:fill="FFFFFF"/>
          <w:lang w:val="en-US"/>
        </w:rPr>
        <w:t xml:space="preserve"> </w:t>
      </w:r>
    </w:p>
    <w:p w14:paraId="38C99100" w14:textId="77777777" w:rsidR="006E6FAF" w:rsidRPr="00FD46A5" w:rsidRDefault="006E6FAF" w:rsidP="00E863D6">
      <w:pPr>
        <w:spacing w:after="0" w:line="240" w:lineRule="auto"/>
        <w:ind w:left="426" w:hanging="426"/>
        <w:jc w:val="both"/>
        <w:rPr>
          <w:rFonts w:ascii="Times New Roman" w:hAnsi="Times New Roman" w:cs="Times New Roman"/>
          <w:shd w:val="clear" w:color="auto" w:fill="FFFFFF"/>
          <w:lang w:val="en-US"/>
        </w:rPr>
      </w:pPr>
      <w:r w:rsidRPr="00FD46A5">
        <w:rPr>
          <w:rFonts w:ascii="Times New Roman" w:hAnsi="Times New Roman" w:cs="Times New Roman"/>
          <w:shd w:val="clear" w:color="auto" w:fill="FFFFFF"/>
          <w:lang w:val="en-US"/>
        </w:rPr>
        <w:t>Stigler, G.J.</w:t>
      </w:r>
      <w:r w:rsidR="00BC718F" w:rsidRPr="00FD46A5">
        <w:rPr>
          <w:rFonts w:ascii="Times New Roman" w:hAnsi="Times New Roman" w:cs="Times New Roman"/>
          <w:shd w:val="clear" w:color="auto" w:fill="FFFFFF"/>
          <w:lang w:val="en-US"/>
        </w:rPr>
        <w:t>,</w:t>
      </w:r>
      <w:r w:rsidRPr="00FD46A5">
        <w:rPr>
          <w:rFonts w:ascii="Times New Roman" w:hAnsi="Times New Roman" w:cs="Times New Roman"/>
          <w:shd w:val="clear" w:color="auto" w:fill="FFFFFF"/>
          <w:lang w:val="en-US"/>
        </w:rPr>
        <w:t xml:space="preserve"> </w:t>
      </w:r>
      <w:r w:rsidR="00BC718F" w:rsidRPr="00FD46A5">
        <w:rPr>
          <w:rFonts w:ascii="Times New Roman" w:hAnsi="Times New Roman" w:cs="Times New Roman"/>
          <w:shd w:val="clear" w:color="auto" w:fill="FFFFFF"/>
          <w:lang w:val="en-US"/>
        </w:rPr>
        <w:t xml:space="preserve">1964. </w:t>
      </w:r>
      <w:r w:rsidRPr="00FD46A5">
        <w:rPr>
          <w:rFonts w:ascii="Times New Roman" w:hAnsi="Times New Roman" w:cs="Times New Roman"/>
          <w:shd w:val="clear" w:color="auto" w:fill="FFFFFF"/>
          <w:lang w:val="en-US"/>
        </w:rPr>
        <w:t xml:space="preserve">Public regulation of the securities markets. </w:t>
      </w:r>
      <w:r w:rsidRPr="00FD46A5">
        <w:rPr>
          <w:rFonts w:ascii="Times New Roman" w:hAnsi="Times New Roman" w:cs="Times New Roman"/>
          <w:iCs/>
          <w:shd w:val="clear" w:color="auto" w:fill="FFFFFF"/>
          <w:lang w:val="en-US"/>
        </w:rPr>
        <w:t>The Journal of Business 37</w:t>
      </w:r>
      <w:r w:rsidR="00BC718F" w:rsidRPr="00FD46A5">
        <w:rPr>
          <w:rFonts w:ascii="Times New Roman" w:hAnsi="Times New Roman" w:cs="Times New Roman"/>
          <w:iCs/>
          <w:shd w:val="clear" w:color="auto" w:fill="FFFFFF"/>
          <w:lang w:val="en-US"/>
        </w:rPr>
        <w:t xml:space="preserve"> (2), </w:t>
      </w:r>
      <w:r w:rsidRPr="00FD46A5">
        <w:rPr>
          <w:rFonts w:ascii="Times New Roman" w:hAnsi="Times New Roman" w:cs="Times New Roman"/>
          <w:shd w:val="clear" w:color="auto" w:fill="FFFFFF"/>
          <w:lang w:val="en-US"/>
        </w:rPr>
        <w:t>117-142.</w:t>
      </w:r>
    </w:p>
    <w:p w14:paraId="27CC79BA" w14:textId="77777777" w:rsidR="00AD0D4C" w:rsidRPr="00622F6C" w:rsidRDefault="00AD0D4C" w:rsidP="00E863D6">
      <w:pPr>
        <w:spacing w:after="0" w:line="240" w:lineRule="auto"/>
        <w:ind w:left="426" w:hanging="426"/>
        <w:jc w:val="both"/>
        <w:rPr>
          <w:rFonts w:ascii="Times New Roman" w:hAnsi="Times New Roman" w:cs="Times New Roman"/>
          <w:shd w:val="clear" w:color="auto" w:fill="FFFFFF"/>
          <w:lang w:val="en-US"/>
        </w:rPr>
      </w:pPr>
      <w:r w:rsidRPr="00622F6C">
        <w:rPr>
          <w:rFonts w:ascii="Times New Roman" w:hAnsi="Times New Roman" w:cs="Times New Roman"/>
          <w:color w:val="222222"/>
          <w:shd w:val="clear" w:color="auto" w:fill="FFFFFF"/>
          <w:lang w:val="en-US"/>
        </w:rPr>
        <w:t xml:space="preserve">The Economist, 2018. Modern slavery. Captor, caught. July 7, 2018. </w:t>
      </w:r>
    </w:p>
    <w:p w14:paraId="6A66AE68" w14:textId="77777777" w:rsidR="00B413E0" w:rsidRPr="004C7B14" w:rsidRDefault="00B413E0" w:rsidP="00BA6218">
      <w:pPr>
        <w:spacing w:after="0" w:line="240" w:lineRule="auto"/>
        <w:ind w:left="284" w:hanging="284"/>
        <w:jc w:val="both"/>
        <w:rPr>
          <w:rFonts w:ascii="Times New Roman" w:hAnsi="Times New Roman" w:cs="Times New Roman"/>
          <w:shd w:val="clear" w:color="auto" w:fill="FFFFFF"/>
          <w:lang w:val="de-DE"/>
        </w:rPr>
      </w:pPr>
      <w:r w:rsidRPr="00622F6C">
        <w:rPr>
          <w:rFonts w:ascii="Times New Roman" w:hAnsi="Times New Roman" w:cs="Times New Roman"/>
          <w:shd w:val="clear" w:color="auto" w:fill="FFFFFF"/>
          <w:lang w:val="en-US"/>
        </w:rPr>
        <w:t xml:space="preserve">Thomson Reuters, 2015. The implications of the Modern Slavery Act. </w:t>
      </w:r>
      <w:hyperlink r:id="rId29" w:history="1">
        <w:r w:rsidR="009D6846" w:rsidRPr="004C7B14">
          <w:rPr>
            <w:rStyle w:val="Hyperlink"/>
            <w:rFonts w:ascii="Times New Roman" w:hAnsi="Times New Roman" w:cs="Times New Roman"/>
            <w:color w:val="auto"/>
            <w:u w:val="none"/>
            <w:shd w:val="clear" w:color="auto" w:fill="FFFFFF"/>
            <w:lang w:val="de-DE"/>
          </w:rPr>
          <w:t>https://www.youtube.com/watch?v=Z_OFnglL-dI</w:t>
        </w:r>
      </w:hyperlink>
    </w:p>
    <w:p w14:paraId="003DC3D2" w14:textId="77777777" w:rsidR="009D6846" w:rsidRPr="00622F6C" w:rsidRDefault="009D6846" w:rsidP="00E863D6">
      <w:pPr>
        <w:spacing w:after="0" w:line="240" w:lineRule="auto"/>
        <w:ind w:left="426" w:hanging="426"/>
        <w:jc w:val="both"/>
        <w:rPr>
          <w:rFonts w:ascii="Times New Roman" w:hAnsi="Times New Roman" w:cs="Times New Roman"/>
          <w:shd w:val="clear" w:color="auto" w:fill="FFFFFF"/>
          <w:lang w:val="en-US"/>
        </w:rPr>
      </w:pPr>
      <w:r w:rsidRPr="004C7B14">
        <w:rPr>
          <w:rFonts w:ascii="Times New Roman" w:hAnsi="Times New Roman" w:cs="Times New Roman"/>
          <w:shd w:val="clear" w:color="auto" w:fill="FFFFFF"/>
          <w:lang w:val="de-DE"/>
        </w:rPr>
        <w:t>Tiscreport</w:t>
      </w:r>
      <w:r w:rsidR="00DE6923" w:rsidRPr="004C7B14">
        <w:rPr>
          <w:rFonts w:ascii="Times New Roman" w:hAnsi="Times New Roman" w:cs="Times New Roman"/>
          <w:shd w:val="clear" w:color="auto" w:fill="FFFFFF"/>
          <w:lang w:val="de-DE"/>
        </w:rPr>
        <w:t>.org</w:t>
      </w:r>
      <w:r w:rsidRPr="004C7B14">
        <w:rPr>
          <w:rFonts w:ascii="Times New Roman" w:hAnsi="Times New Roman" w:cs="Times New Roman"/>
          <w:shd w:val="clear" w:color="auto" w:fill="FFFFFF"/>
          <w:lang w:val="de-DE"/>
        </w:rPr>
        <w:t xml:space="preserve">, 2018. </w:t>
      </w:r>
      <w:r w:rsidRPr="00622F6C">
        <w:rPr>
          <w:rFonts w:ascii="Times New Roman" w:hAnsi="Times New Roman" w:cs="Times New Roman"/>
          <w:shd w:val="clear" w:color="auto" w:fill="FFFFFF"/>
          <w:lang w:val="en-US"/>
        </w:rPr>
        <w:t xml:space="preserve">TISC Report Modern Slavery Act Compliance Tracker. </w:t>
      </w:r>
      <w:hyperlink r:id="rId30" w:history="1">
        <w:r w:rsidRPr="00622F6C">
          <w:rPr>
            <w:rStyle w:val="Hyperlink"/>
            <w:rFonts w:ascii="Times New Roman" w:hAnsi="Times New Roman" w:cs="Times New Roman"/>
            <w:color w:val="auto"/>
            <w:u w:val="none"/>
            <w:shd w:val="clear" w:color="auto" w:fill="FFFFFF"/>
            <w:lang w:val="en-US"/>
          </w:rPr>
          <w:t>https://tiscreport.org/</w:t>
        </w:r>
      </w:hyperlink>
    </w:p>
    <w:p w14:paraId="5C8E0250" w14:textId="77777777" w:rsidR="006C6B2B" w:rsidRPr="00622F6C" w:rsidRDefault="00867F0C"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UK</w:t>
      </w:r>
      <w:r w:rsidR="006C6B2B" w:rsidRPr="00622F6C">
        <w:rPr>
          <w:rFonts w:ascii="Times New Roman" w:hAnsi="Times New Roman" w:cs="Times New Roman"/>
          <w:shd w:val="clear" w:color="auto" w:fill="FFFFFF"/>
          <w:lang w:val="en-US"/>
        </w:rPr>
        <w:t xml:space="preserve"> Parliament, 2014</w:t>
      </w:r>
      <w:r w:rsidR="00EE478C" w:rsidRPr="00622F6C">
        <w:rPr>
          <w:rFonts w:ascii="Times New Roman" w:hAnsi="Times New Roman" w:cs="Times New Roman"/>
          <w:shd w:val="clear" w:color="auto" w:fill="FFFFFF"/>
          <w:lang w:val="en-US"/>
        </w:rPr>
        <w:t>a</w:t>
      </w:r>
      <w:r w:rsidR="006C6B2B" w:rsidRPr="00622F6C">
        <w:rPr>
          <w:rFonts w:ascii="Times New Roman" w:hAnsi="Times New Roman" w:cs="Times New Roman"/>
          <w:shd w:val="clear" w:color="auto" w:fill="FFFFFF"/>
          <w:lang w:val="en-US"/>
        </w:rPr>
        <w:t xml:space="preserve">. Draft Modern Slavery Bill Joint Committee – Report draft Modern Slavery Bill. </w:t>
      </w:r>
      <w:hyperlink r:id="rId31" w:history="1">
        <w:r w:rsidR="006C6B2B" w:rsidRPr="00622F6C">
          <w:rPr>
            <w:rStyle w:val="Hyperlink"/>
            <w:rFonts w:ascii="Times New Roman" w:hAnsi="Times New Roman" w:cs="Times New Roman"/>
            <w:color w:val="auto"/>
            <w:u w:val="none"/>
            <w:shd w:val="clear" w:color="auto" w:fill="FFFFFF"/>
            <w:lang w:val="en-US"/>
          </w:rPr>
          <w:t>https://www.publications.parliament.uk/pa/jt201314/jtselect/jtslavery/166/16602.htm</w:t>
        </w:r>
      </w:hyperlink>
    </w:p>
    <w:p w14:paraId="4EFBABA7" w14:textId="77777777" w:rsidR="00EE478C" w:rsidRPr="00622F6C" w:rsidRDefault="00867F0C" w:rsidP="00BA6218">
      <w:pPr>
        <w:spacing w:after="0" w:line="240" w:lineRule="auto"/>
        <w:ind w:left="284" w:hanging="284"/>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UK</w:t>
      </w:r>
      <w:r w:rsidR="00EE478C" w:rsidRPr="00622F6C">
        <w:rPr>
          <w:rFonts w:ascii="Times New Roman" w:hAnsi="Times New Roman" w:cs="Times New Roman"/>
          <w:shd w:val="clear" w:color="auto" w:fill="FFFFFF"/>
          <w:lang w:val="en-US"/>
        </w:rPr>
        <w:t xml:space="preserve"> Parliament, 2014b. Daily Hansard </w:t>
      </w:r>
      <w:r w:rsidR="00651B3B" w:rsidRPr="00622F6C">
        <w:rPr>
          <w:rFonts w:ascii="Times New Roman" w:hAnsi="Times New Roman" w:cs="Times New Roman"/>
          <w:shd w:val="clear" w:color="auto" w:fill="FFFFFF"/>
          <w:lang w:val="en-US"/>
        </w:rPr>
        <w:t>– D</w:t>
      </w:r>
      <w:r w:rsidR="00EE478C" w:rsidRPr="00622F6C">
        <w:rPr>
          <w:rFonts w:ascii="Times New Roman" w:hAnsi="Times New Roman" w:cs="Times New Roman"/>
          <w:shd w:val="clear" w:color="auto" w:fill="FFFFFF"/>
          <w:lang w:val="en-US"/>
        </w:rPr>
        <w:t xml:space="preserve">ebate. </w:t>
      </w:r>
      <w:hyperlink r:id="rId32" w:history="1">
        <w:r w:rsidR="00EE478C" w:rsidRPr="00622F6C">
          <w:rPr>
            <w:rStyle w:val="Hyperlink"/>
            <w:rFonts w:ascii="Times New Roman" w:hAnsi="Times New Roman" w:cs="Times New Roman"/>
            <w:color w:val="auto"/>
            <w:u w:val="none"/>
            <w:shd w:val="clear" w:color="auto" w:fill="FFFFFF"/>
            <w:lang w:val="en-US"/>
          </w:rPr>
          <w:t>https://www.publications.parliament.uk/pa/cm201415/cmhansrd/cm141104/debtext/141104-0002.htm</w:t>
        </w:r>
      </w:hyperlink>
    </w:p>
    <w:p w14:paraId="27F4FFCF" w14:textId="77777777" w:rsidR="00FA5CC8" w:rsidRPr="004C7B14" w:rsidRDefault="00867F0C" w:rsidP="00E863D6">
      <w:pPr>
        <w:spacing w:after="0" w:line="240" w:lineRule="auto"/>
        <w:ind w:left="426" w:hanging="426"/>
        <w:jc w:val="both"/>
        <w:rPr>
          <w:rFonts w:ascii="Times New Roman" w:hAnsi="Times New Roman" w:cs="Times New Roman"/>
          <w:shd w:val="clear" w:color="auto" w:fill="FFFFFF"/>
          <w:lang w:val="it-IT"/>
        </w:rPr>
      </w:pPr>
      <w:r w:rsidRPr="00622F6C">
        <w:rPr>
          <w:rFonts w:ascii="Times New Roman" w:hAnsi="Times New Roman" w:cs="Times New Roman"/>
          <w:shd w:val="clear" w:color="auto" w:fill="FFFFFF"/>
          <w:lang w:val="en-US"/>
        </w:rPr>
        <w:t>UK</w:t>
      </w:r>
      <w:r w:rsidR="00FA5CC8" w:rsidRPr="00622F6C">
        <w:rPr>
          <w:rFonts w:ascii="Times New Roman" w:hAnsi="Times New Roman" w:cs="Times New Roman"/>
          <w:shd w:val="clear" w:color="auto" w:fill="FFFFFF"/>
          <w:lang w:val="en-US"/>
        </w:rPr>
        <w:t xml:space="preserve"> Parliament, 2017. Bills v Acts. </w:t>
      </w:r>
      <w:hyperlink r:id="rId33" w:history="1">
        <w:r w:rsidR="00FA5CC8" w:rsidRPr="004C7B14">
          <w:rPr>
            <w:rStyle w:val="Hyperlink"/>
            <w:rFonts w:ascii="Times New Roman" w:hAnsi="Times New Roman" w:cs="Times New Roman"/>
            <w:color w:val="auto"/>
            <w:u w:val="none"/>
            <w:shd w:val="clear" w:color="auto" w:fill="FFFFFF"/>
            <w:lang w:val="it-IT"/>
          </w:rPr>
          <w:t>http://www.parliament.uk/about/how/publications/bills-acts/</w:t>
        </w:r>
      </w:hyperlink>
    </w:p>
    <w:p w14:paraId="7D066F61" w14:textId="77777777" w:rsidR="00431E02" w:rsidRPr="00622F6C" w:rsidRDefault="00431E02" w:rsidP="00E863D6">
      <w:pPr>
        <w:spacing w:after="0" w:line="240" w:lineRule="auto"/>
        <w:ind w:left="426" w:hanging="426"/>
        <w:jc w:val="both"/>
        <w:rPr>
          <w:rFonts w:ascii="Times New Roman" w:hAnsi="Times New Roman" w:cs="Times New Roman"/>
          <w:shd w:val="clear" w:color="auto" w:fill="FFFFFF"/>
          <w:lang w:val="en-US"/>
        </w:rPr>
      </w:pPr>
      <w:r w:rsidRPr="004C7B14">
        <w:rPr>
          <w:rFonts w:ascii="Times New Roman" w:hAnsi="Times New Roman" w:cs="Times New Roman"/>
          <w:color w:val="222222"/>
          <w:shd w:val="clear" w:color="auto" w:fill="FFFFFF"/>
          <w:lang w:val="it-IT"/>
        </w:rPr>
        <w:t xml:space="preserve">Verrecchia, R.E., 1983. </w:t>
      </w:r>
      <w:r w:rsidRPr="00622F6C">
        <w:rPr>
          <w:rFonts w:ascii="Times New Roman" w:hAnsi="Times New Roman" w:cs="Times New Roman"/>
          <w:color w:val="222222"/>
          <w:shd w:val="clear" w:color="auto" w:fill="FFFFFF"/>
          <w:lang w:val="en-US"/>
        </w:rPr>
        <w:t>Discretionary disclosure. Journal of Accounting and Economic 5</w:t>
      </w:r>
      <w:r w:rsidR="00CE7CB2">
        <w:rPr>
          <w:rFonts w:ascii="Times New Roman" w:hAnsi="Times New Roman" w:cs="Times New Roman"/>
          <w:color w:val="222222"/>
          <w:shd w:val="clear" w:color="auto" w:fill="FFFFFF"/>
          <w:lang w:val="en-US"/>
        </w:rPr>
        <w:t xml:space="preserve">, </w:t>
      </w:r>
      <w:r w:rsidRPr="00622F6C">
        <w:rPr>
          <w:rFonts w:ascii="Times New Roman" w:hAnsi="Times New Roman" w:cs="Times New Roman"/>
          <w:color w:val="222222"/>
          <w:shd w:val="clear" w:color="auto" w:fill="FFFFFF"/>
          <w:lang w:val="en-US"/>
        </w:rPr>
        <w:t>179-194.</w:t>
      </w:r>
    </w:p>
    <w:p w14:paraId="7AEBCB81" w14:textId="77777777" w:rsidR="00AF48EA" w:rsidRPr="00622F6C" w:rsidRDefault="00AF48EA"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 xml:space="preserve">Wallis, A., 2015. The Modern Slavery Act – be thankful. </w:t>
      </w:r>
      <w:hyperlink r:id="rId34" w:history="1">
        <w:r w:rsidRPr="00622F6C">
          <w:rPr>
            <w:rStyle w:val="Hyperlink"/>
            <w:rFonts w:ascii="Times New Roman" w:hAnsi="Times New Roman" w:cs="Times New Roman"/>
            <w:color w:val="auto"/>
            <w:u w:val="none"/>
            <w:shd w:val="clear" w:color="auto" w:fill="FFFFFF"/>
            <w:lang w:val="en-US"/>
          </w:rPr>
          <w:t>http://www.huffingtonpost.co.uk/andrew-wallis/modern-slavery-act_b_7933044.html</w:t>
        </w:r>
      </w:hyperlink>
    </w:p>
    <w:p w14:paraId="42EB0A06" w14:textId="77777777" w:rsidR="00851140" w:rsidRPr="00622F6C" w:rsidRDefault="00851140" w:rsidP="00BA6218">
      <w:pPr>
        <w:spacing w:after="0" w:line="240" w:lineRule="auto"/>
        <w:ind w:left="284" w:hanging="284"/>
        <w:jc w:val="both"/>
        <w:rPr>
          <w:rFonts w:ascii="Times New Roman" w:hAnsi="Times New Roman" w:cs="Times New Roman"/>
          <w:shd w:val="clear" w:color="auto" w:fill="FFFFFF"/>
          <w:lang w:val="en-US"/>
        </w:rPr>
      </w:pPr>
      <w:r w:rsidRPr="004C7B14">
        <w:rPr>
          <w:rFonts w:ascii="Times New Roman" w:hAnsi="Times New Roman" w:cs="Times New Roman"/>
          <w:color w:val="222222"/>
          <w:shd w:val="clear" w:color="auto" w:fill="FFFFFF"/>
          <w:lang w:val="de-DE"/>
        </w:rPr>
        <w:t xml:space="preserve">Watts R.L., J.L. Zimmerman, 1978. </w:t>
      </w:r>
      <w:r w:rsidRPr="00622F6C">
        <w:rPr>
          <w:rFonts w:ascii="Times New Roman" w:hAnsi="Times New Roman" w:cs="Times New Roman"/>
          <w:color w:val="222222"/>
          <w:shd w:val="clear" w:color="auto" w:fill="FFFFFF"/>
          <w:lang w:val="en-US"/>
        </w:rPr>
        <w:t>Towards a positive theory of the determination of accounting standards. Accounting Review 53 (1), 112-134.</w:t>
      </w:r>
    </w:p>
    <w:p w14:paraId="4DEC7340" w14:textId="77777777" w:rsidR="006E6FAF" w:rsidRPr="00622F6C" w:rsidRDefault="006E6FA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Yu, X.</w:t>
      </w:r>
      <w:r w:rsidR="00AA52CF" w:rsidRPr="00622F6C">
        <w:rPr>
          <w:rFonts w:ascii="Times New Roman" w:hAnsi="Times New Roman" w:cs="Times New Roman"/>
          <w:shd w:val="clear" w:color="auto" w:fill="FFFFFF"/>
          <w:lang w:val="en-US"/>
        </w:rPr>
        <w:t>,</w:t>
      </w:r>
      <w:r w:rsidRPr="00622F6C">
        <w:rPr>
          <w:rFonts w:ascii="Times New Roman" w:hAnsi="Times New Roman" w:cs="Times New Roman"/>
          <w:shd w:val="clear" w:color="auto" w:fill="FFFFFF"/>
          <w:lang w:val="en-US"/>
        </w:rPr>
        <w:t xml:space="preserve"> </w:t>
      </w:r>
      <w:r w:rsidR="00AA52CF" w:rsidRPr="00622F6C">
        <w:rPr>
          <w:rFonts w:ascii="Times New Roman" w:hAnsi="Times New Roman" w:cs="Times New Roman"/>
          <w:shd w:val="clear" w:color="auto" w:fill="FFFFFF"/>
          <w:lang w:val="en-US"/>
        </w:rPr>
        <w:t xml:space="preserve">2008. </w:t>
      </w:r>
      <w:r w:rsidRPr="00622F6C">
        <w:rPr>
          <w:rFonts w:ascii="Times New Roman" w:hAnsi="Times New Roman" w:cs="Times New Roman"/>
          <w:shd w:val="clear" w:color="auto" w:fill="FFFFFF"/>
          <w:lang w:val="en-US"/>
        </w:rPr>
        <w:t xml:space="preserve">Impacts of corporate code of conduct on labor standards: A case study of Reebok’s athletic footwear supplier factory in China. </w:t>
      </w:r>
      <w:r w:rsidRPr="00622F6C">
        <w:rPr>
          <w:rFonts w:ascii="Times New Roman" w:hAnsi="Times New Roman" w:cs="Times New Roman"/>
          <w:iCs/>
          <w:shd w:val="clear" w:color="auto" w:fill="FFFFFF"/>
          <w:lang w:val="en-US"/>
        </w:rPr>
        <w:t>Journal of Business Ethics</w:t>
      </w:r>
      <w:r w:rsidRPr="00622F6C">
        <w:rPr>
          <w:rFonts w:ascii="Times New Roman" w:hAnsi="Times New Roman" w:cs="Times New Roman"/>
          <w:shd w:val="clear" w:color="auto" w:fill="FFFFFF"/>
          <w:lang w:val="en-US"/>
        </w:rPr>
        <w:t xml:space="preserve"> 81</w:t>
      </w:r>
      <w:r w:rsidR="00AA52CF" w:rsidRPr="00622F6C">
        <w:rPr>
          <w:rFonts w:ascii="Times New Roman" w:hAnsi="Times New Roman" w:cs="Times New Roman"/>
          <w:shd w:val="clear" w:color="auto" w:fill="FFFFFF"/>
          <w:lang w:val="en-US"/>
        </w:rPr>
        <w:t xml:space="preserve"> (3), </w:t>
      </w:r>
      <w:r w:rsidRPr="00622F6C">
        <w:rPr>
          <w:rFonts w:ascii="Times New Roman" w:hAnsi="Times New Roman" w:cs="Times New Roman"/>
          <w:shd w:val="clear" w:color="auto" w:fill="FFFFFF"/>
          <w:lang w:val="en-US"/>
        </w:rPr>
        <w:t>513-529.</w:t>
      </w:r>
    </w:p>
    <w:p w14:paraId="030E4DBF" w14:textId="77777777" w:rsidR="007E0C07" w:rsidRDefault="00AA52CF" w:rsidP="00BA6218">
      <w:pPr>
        <w:spacing w:after="0" w:line="240" w:lineRule="auto"/>
        <w:ind w:left="284" w:hanging="284"/>
        <w:jc w:val="both"/>
        <w:rPr>
          <w:rFonts w:ascii="Times New Roman" w:hAnsi="Times New Roman" w:cs="Times New Roman"/>
          <w:shd w:val="clear" w:color="auto" w:fill="FFFFFF"/>
          <w:lang w:val="en-US"/>
        </w:rPr>
      </w:pPr>
      <w:r w:rsidRPr="00622F6C">
        <w:rPr>
          <w:rFonts w:ascii="Times New Roman" w:hAnsi="Times New Roman" w:cs="Times New Roman"/>
          <w:shd w:val="clear" w:color="auto" w:fill="FFFFFF"/>
          <w:lang w:val="en-US"/>
        </w:rPr>
        <w:t>Zhang, I.X., 2007.</w:t>
      </w:r>
      <w:r w:rsidR="006E6FAF" w:rsidRPr="00622F6C">
        <w:rPr>
          <w:rFonts w:ascii="Times New Roman" w:hAnsi="Times New Roman" w:cs="Times New Roman"/>
          <w:shd w:val="clear" w:color="auto" w:fill="FFFFFF"/>
          <w:lang w:val="en-US"/>
        </w:rPr>
        <w:t xml:space="preserve"> Economic consequences of the Sarbanes</w:t>
      </w:r>
      <w:r w:rsidR="00D753F7">
        <w:rPr>
          <w:rFonts w:ascii="Times New Roman" w:hAnsi="Times New Roman" w:cs="Times New Roman"/>
          <w:shd w:val="clear" w:color="auto" w:fill="FFFFFF"/>
          <w:lang w:val="en-US"/>
        </w:rPr>
        <w:t>-</w:t>
      </w:r>
      <w:r w:rsidR="006E6FAF" w:rsidRPr="00622F6C">
        <w:rPr>
          <w:rFonts w:ascii="Times New Roman" w:hAnsi="Times New Roman" w:cs="Times New Roman"/>
          <w:shd w:val="clear" w:color="auto" w:fill="FFFFFF"/>
          <w:lang w:val="en-US"/>
        </w:rPr>
        <w:t xml:space="preserve">Oxley Act of 2002. </w:t>
      </w:r>
      <w:r w:rsidR="006E6FAF" w:rsidRPr="00622F6C">
        <w:rPr>
          <w:rFonts w:ascii="Times New Roman" w:hAnsi="Times New Roman" w:cs="Times New Roman"/>
          <w:iCs/>
          <w:shd w:val="clear" w:color="auto" w:fill="FFFFFF"/>
          <w:lang w:val="en-US"/>
        </w:rPr>
        <w:t>Journal of Accounting and Economics 44</w:t>
      </w:r>
      <w:r w:rsidRPr="00622F6C">
        <w:rPr>
          <w:rFonts w:ascii="Times New Roman" w:hAnsi="Times New Roman" w:cs="Times New Roman"/>
          <w:iCs/>
          <w:shd w:val="clear" w:color="auto" w:fill="FFFFFF"/>
          <w:lang w:val="en-US"/>
        </w:rPr>
        <w:t xml:space="preserve"> (1), </w:t>
      </w:r>
      <w:r w:rsidR="006E6FAF" w:rsidRPr="00622F6C">
        <w:rPr>
          <w:rFonts w:ascii="Times New Roman" w:hAnsi="Times New Roman" w:cs="Times New Roman"/>
          <w:shd w:val="clear" w:color="auto" w:fill="FFFFFF"/>
          <w:lang w:val="en-US"/>
        </w:rPr>
        <w:t>74-115.</w:t>
      </w:r>
      <w:bookmarkEnd w:id="77"/>
      <w:r w:rsidR="007E0C07">
        <w:rPr>
          <w:rFonts w:ascii="Times New Roman" w:hAnsi="Times New Roman" w:cs="Times New Roman"/>
          <w:shd w:val="clear" w:color="auto" w:fill="FFFFFF"/>
          <w:lang w:val="en-US"/>
        </w:rPr>
        <w:br w:type="page"/>
      </w:r>
    </w:p>
    <w:p w14:paraId="56C956A7" w14:textId="77777777" w:rsidR="008D6255" w:rsidRPr="00622F6C" w:rsidRDefault="008D6255" w:rsidP="00B413E0">
      <w:pPr>
        <w:spacing w:after="0" w:line="240" w:lineRule="auto"/>
        <w:ind w:left="426" w:hanging="426"/>
        <w:jc w:val="both"/>
        <w:rPr>
          <w:rFonts w:ascii="Times New Roman" w:hAnsi="Times New Roman" w:cs="Times New Roman"/>
          <w:shd w:val="clear" w:color="auto" w:fill="FFFFFF"/>
          <w:lang w:val="en-US"/>
        </w:rPr>
      </w:pPr>
    </w:p>
    <w:bookmarkEnd w:id="78"/>
    <w:p w14:paraId="050E1C57" w14:textId="77777777" w:rsidR="008D6255" w:rsidRPr="00622F6C" w:rsidRDefault="008D6255" w:rsidP="008D6255">
      <w:pPr>
        <w:rPr>
          <w:rFonts w:ascii="Times New Roman" w:hAnsi="Times New Roman" w:cs="Times New Roman"/>
          <w:b/>
          <w:sz w:val="20"/>
          <w:szCs w:val="20"/>
          <w:lang w:val="en-US"/>
        </w:rPr>
      </w:pPr>
      <w:r w:rsidRPr="00622F6C">
        <w:rPr>
          <w:rFonts w:ascii="Times New Roman" w:hAnsi="Times New Roman" w:cs="Times New Roman"/>
          <w:b/>
          <w:sz w:val="20"/>
          <w:szCs w:val="20"/>
          <w:lang w:val="en-US"/>
        </w:rPr>
        <w:t>Table 1: Relevant dates for the adoption of the MSA and its TISC clause</w:t>
      </w:r>
    </w:p>
    <w:p w14:paraId="0961EDA8" w14:textId="77777777" w:rsidR="008D6255" w:rsidRPr="00622F6C" w:rsidRDefault="008D6255" w:rsidP="008D6255">
      <w:pPr>
        <w:spacing w:after="0"/>
        <w:rPr>
          <w:rFonts w:ascii="Times New Roman" w:hAnsi="Times New Roman" w:cs="Times New Roman"/>
          <w:i/>
          <w:sz w:val="20"/>
          <w:szCs w:val="20"/>
          <w:lang w:val="en-US"/>
        </w:rPr>
      </w:pPr>
      <w:r w:rsidRPr="00622F6C">
        <w:rPr>
          <w:rFonts w:ascii="Times New Roman" w:hAnsi="Times New Roman" w:cs="Times New Roman"/>
          <w:i/>
          <w:sz w:val="20"/>
          <w:szCs w:val="20"/>
          <w:lang w:val="en-US"/>
        </w:rPr>
        <w:t>Panel A: Events included in baseline tests</w:t>
      </w:r>
    </w:p>
    <w:tbl>
      <w:tblPr>
        <w:tblW w:w="5000" w:type="pct"/>
        <w:tblBorders>
          <w:top w:val="single" w:sz="4" w:space="0" w:color="auto"/>
          <w:bottom w:val="single" w:sz="4" w:space="0" w:color="auto"/>
        </w:tblBorders>
        <w:tblLook w:val="04A0" w:firstRow="1" w:lastRow="0" w:firstColumn="1" w:lastColumn="0" w:noHBand="0" w:noVBand="1"/>
      </w:tblPr>
      <w:tblGrid>
        <w:gridCol w:w="2555"/>
        <w:gridCol w:w="4131"/>
        <w:gridCol w:w="2340"/>
      </w:tblGrid>
      <w:tr w:rsidR="008D6255" w:rsidRPr="00622F6C" w14:paraId="677E5D59" w14:textId="77777777" w:rsidTr="008D6255">
        <w:tc>
          <w:tcPr>
            <w:tcW w:w="1415" w:type="pct"/>
            <w:tcBorders>
              <w:top w:val="single" w:sz="4" w:space="0" w:color="auto"/>
              <w:bottom w:val="single" w:sz="4" w:space="0" w:color="auto"/>
            </w:tcBorders>
          </w:tcPr>
          <w:p w14:paraId="0CE6F46A"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Event date</w:t>
            </w:r>
          </w:p>
        </w:tc>
        <w:tc>
          <w:tcPr>
            <w:tcW w:w="2288" w:type="pct"/>
            <w:tcBorders>
              <w:top w:val="single" w:sz="4" w:space="0" w:color="auto"/>
              <w:bottom w:val="single" w:sz="4" w:space="0" w:color="auto"/>
            </w:tcBorders>
          </w:tcPr>
          <w:p w14:paraId="133B4AB2"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Description</w:t>
            </w:r>
          </w:p>
        </w:tc>
        <w:tc>
          <w:tcPr>
            <w:tcW w:w="1296" w:type="pct"/>
            <w:tcBorders>
              <w:top w:val="single" w:sz="4" w:space="0" w:color="auto"/>
              <w:bottom w:val="single" w:sz="4" w:space="0" w:color="auto"/>
            </w:tcBorders>
          </w:tcPr>
          <w:p w14:paraId="64AD4D61"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Increasing/decreasing likelihood of adoption</w:t>
            </w:r>
          </w:p>
        </w:tc>
      </w:tr>
      <w:tr w:rsidR="008D6255" w:rsidRPr="00622F6C" w14:paraId="52BD940A" w14:textId="77777777" w:rsidTr="008D6255">
        <w:tc>
          <w:tcPr>
            <w:tcW w:w="1415" w:type="pct"/>
            <w:tcBorders>
              <w:top w:val="single" w:sz="4" w:space="0" w:color="auto"/>
            </w:tcBorders>
          </w:tcPr>
          <w:p w14:paraId="75D01ABC"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March 11, 2013</w:t>
            </w:r>
          </w:p>
        </w:tc>
        <w:tc>
          <w:tcPr>
            <w:tcW w:w="2288" w:type="pct"/>
            <w:tcBorders>
              <w:top w:val="single" w:sz="4" w:space="0" w:color="auto"/>
            </w:tcBorders>
          </w:tcPr>
          <w:p w14:paraId="4B9EA4B8" w14:textId="63DB417A"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Release of Centre for Social Justice (CSJ)’s It Happens Here report which acted as a</w:t>
            </w:r>
            <w:r w:rsidR="003E4BC5">
              <w:rPr>
                <w:rFonts w:ascii="Times New Roman" w:hAnsi="Times New Roman" w:cs="Times New Roman"/>
                <w:sz w:val="20"/>
                <w:szCs w:val="20"/>
                <w:lang w:val="en-US"/>
              </w:rPr>
              <w:t>n important</w:t>
            </w:r>
            <w:r w:rsidRPr="00622F6C">
              <w:rPr>
                <w:rFonts w:ascii="Times New Roman" w:hAnsi="Times New Roman" w:cs="Times New Roman"/>
                <w:sz w:val="20"/>
                <w:szCs w:val="20"/>
                <w:lang w:val="en-US"/>
              </w:rPr>
              <w:t xml:space="preserve"> catalyst for the Modern Slavery Bill and TISC clause.</w:t>
            </w:r>
          </w:p>
        </w:tc>
        <w:tc>
          <w:tcPr>
            <w:tcW w:w="1296" w:type="pct"/>
            <w:tcBorders>
              <w:top w:val="single" w:sz="4" w:space="0" w:color="auto"/>
            </w:tcBorders>
          </w:tcPr>
          <w:p w14:paraId="2021FB97"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401F5574" w14:textId="77777777" w:rsidTr="008D6255">
        <w:tc>
          <w:tcPr>
            <w:tcW w:w="1415" w:type="pct"/>
          </w:tcPr>
          <w:p w14:paraId="4DE528B6" w14:textId="77777777" w:rsidR="008D6255" w:rsidRPr="00622F6C" w:rsidRDefault="008D6255" w:rsidP="008D6255">
            <w:pPr>
              <w:spacing w:after="0" w:line="240" w:lineRule="auto"/>
              <w:rPr>
                <w:rFonts w:ascii="Times New Roman" w:hAnsi="Times New Roman" w:cs="Times New Roman"/>
                <w:sz w:val="20"/>
                <w:szCs w:val="20"/>
                <w:lang w:val="en-US"/>
              </w:rPr>
            </w:pPr>
          </w:p>
        </w:tc>
        <w:tc>
          <w:tcPr>
            <w:tcW w:w="2288" w:type="pct"/>
          </w:tcPr>
          <w:p w14:paraId="6B57A93A"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1D04117B"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r>
      <w:tr w:rsidR="008D6255" w:rsidRPr="00622F6C" w14:paraId="1124192B" w14:textId="77777777" w:rsidTr="008D6255">
        <w:trPr>
          <w:trHeight w:val="427"/>
        </w:trPr>
        <w:tc>
          <w:tcPr>
            <w:tcW w:w="1415" w:type="pct"/>
          </w:tcPr>
          <w:p w14:paraId="0D1E1EB5"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August 27, 2013</w:t>
            </w:r>
          </w:p>
        </w:tc>
        <w:tc>
          <w:tcPr>
            <w:tcW w:w="2288" w:type="pct"/>
          </w:tcPr>
          <w:p w14:paraId="578CB7E1"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Home Secretary Theresa May announces there will be a Modern Slavery Bill. She also mentions the main disclosure requirements of the TISC clause, but does not explicitly name the clause. </w:t>
            </w:r>
          </w:p>
        </w:tc>
        <w:tc>
          <w:tcPr>
            <w:tcW w:w="1296" w:type="pct"/>
          </w:tcPr>
          <w:p w14:paraId="4C77206F"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27428C3B" w14:textId="77777777" w:rsidTr="008D6255">
        <w:tc>
          <w:tcPr>
            <w:tcW w:w="1415" w:type="pct"/>
          </w:tcPr>
          <w:p w14:paraId="30E64E1B"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0E4F203A"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0C941050" w14:textId="77777777" w:rsidR="008D6255" w:rsidRPr="00622F6C" w:rsidRDefault="008D6255" w:rsidP="008D6255">
            <w:pPr>
              <w:spacing w:after="0" w:line="240" w:lineRule="auto"/>
              <w:jc w:val="center"/>
              <w:rPr>
                <w:rFonts w:ascii="Times New Roman" w:hAnsi="Times New Roman" w:cs="Times New Roman"/>
                <w:sz w:val="20"/>
                <w:szCs w:val="20"/>
                <w:lang w:val="en-US"/>
              </w:rPr>
            </w:pPr>
          </w:p>
        </w:tc>
      </w:tr>
      <w:tr w:rsidR="008D6255" w:rsidRPr="00622F6C" w14:paraId="126F123F" w14:textId="77777777" w:rsidTr="008D6255">
        <w:tc>
          <w:tcPr>
            <w:tcW w:w="1415" w:type="pct"/>
          </w:tcPr>
          <w:p w14:paraId="3F0A6BA1"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October 11, 2013</w:t>
            </w:r>
          </w:p>
        </w:tc>
        <w:tc>
          <w:tcPr>
            <w:tcW w:w="2288" w:type="pct"/>
          </w:tcPr>
          <w:p w14:paraId="0DCFE22C"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Home Secretary Theresa May asks leading Labour MP Frank Field to chair an evidence review to introduce a new Modern Slavery Bill. Experts from the UK and the international community - including senior police officers, lawyers and charities - will be invited to outline what they think should be included in the legislation.</w:t>
            </w:r>
          </w:p>
          <w:p w14:paraId="7B246DEC"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3F9A02ED"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5DE87997" w14:textId="77777777" w:rsidTr="008D6255">
        <w:tc>
          <w:tcPr>
            <w:tcW w:w="1415" w:type="pct"/>
          </w:tcPr>
          <w:p w14:paraId="4A1BADB0"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December 16, 2013</w:t>
            </w:r>
          </w:p>
        </w:tc>
        <w:tc>
          <w:tcPr>
            <w:tcW w:w="2288" w:type="pct"/>
          </w:tcPr>
          <w:p w14:paraId="22E3189F"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Draft Modern Slavery Bill is published and submitted for pre-legislative scrutiny. The Bill recommends that the UK Government adopt legislation, which should apply to all companies over a certain size doing business in the UK. </w:t>
            </w:r>
          </w:p>
        </w:tc>
        <w:tc>
          <w:tcPr>
            <w:tcW w:w="1296" w:type="pct"/>
          </w:tcPr>
          <w:p w14:paraId="7D3463E0"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6C4369ED" w14:textId="77777777" w:rsidTr="008D6255">
        <w:tc>
          <w:tcPr>
            <w:tcW w:w="1415" w:type="pct"/>
          </w:tcPr>
          <w:p w14:paraId="3A8D8161"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61A932D0" w14:textId="77777777" w:rsidR="008D6255" w:rsidRPr="00622F6C" w:rsidRDefault="008D6255" w:rsidP="008D6255">
            <w:pPr>
              <w:spacing w:after="0" w:line="240" w:lineRule="auto"/>
              <w:jc w:val="center"/>
              <w:rPr>
                <w:rFonts w:ascii="Times New Roman" w:hAnsi="Times New Roman" w:cs="Times New Roman"/>
                <w:sz w:val="20"/>
                <w:szCs w:val="20"/>
                <w:lang w:val="en-US"/>
              </w:rPr>
            </w:pPr>
          </w:p>
        </w:tc>
        <w:tc>
          <w:tcPr>
            <w:tcW w:w="1296" w:type="pct"/>
          </w:tcPr>
          <w:p w14:paraId="330F47D4" w14:textId="77777777" w:rsidR="008D6255" w:rsidRPr="00622F6C" w:rsidRDefault="008D6255" w:rsidP="008D6255">
            <w:pPr>
              <w:spacing w:after="0" w:line="240" w:lineRule="auto"/>
              <w:jc w:val="center"/>
              <w:rPr>
                <w:rFonts w:ascii="Times New Roman" w:hAnsi="Times New Roman" w:cs="Times New Roman"/>
                <w:sz w:val="20"/>
                <w:szCs w:val="20"/>
                <w:lang w:val="en-US"/>
              </w:rPr>
            </w:pPr>
          </w:p>
        </w:tc>
      </w:tr>
      <w:tr w:rsidR="008D6255" w:rsidRPr="00622F6C" w14:paraId="6154C5C0" w14:textId="77777777" w:rsidTr="008D6255">
        <w:tc>
          <w:tcPr>
            <w:tcW w:w="1415" w:type="pct"/>
          </w:tcPr>
          <w:p w14:paraId="7143A819"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April 8, 2014</w:t>
            </w:r>
          </w:p>
        </w:tc>
        <w:tc>
          <w:tcPr>
            <w:tcW w:w="2288" w:type="pct"/>
          </w:tcPr>
          <w:p w14:paraId="4B94C2CA"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Pre-legislative scrutiny committee publishes a report on the draft Bill. They agree with imposing a mandatory TISC statement but suggest it could be included in companies’ strategic annual reports, rather than as a separate clause. They also advise against the appointment of an antislavery commissioner in companies. </w:t>
            </w:r>
          </w:p>
          <w:p w14:paraId="25019507"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48BEF89F"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Decreasing</w:t>
            </w:r>
          </w:p>
        </w:tc>
      </w:tr>
      <w:tr w:rsidR="008D6255" w:rsidRPr="00622F6C" w14:paraId="2F8C462A" w14:textId="77777777" w:rsidTr="008D6255">
        <w:tc>
          <w:tcPr>
            <w:tcW w:w="1415" w:type="pct"/>
          </w:tcPr>
          <w:p w14:paraId="0C33365D"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June 10, 2014</w:t>
            </w:r>
          </w:p>
        </w:tc>
        <w:tc>
          <w:tcPr>
            <w:tcW w:w="2288" w:type="pct"/>
          </w:tcPr>
          <w:p w14:paraId="23B93892"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UK Government publishes a response to the pre-legislative committee’s report alongside introduction of the Bill to Parliament. </w:t>
            </w:r>
          </w:p>
        </w:tc>
        <w:tc>
          <w:tcPr>
            <w:tcW w:w="1296" w:type="pct"/>
          </w:tcPr>
          <w:p w14:paraId="13BC0804"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3458C5DF" w14:textId="77777777" w:rsidTr="008D6255">
        <w:tc>
          <w:tcPr>
            <w:tcW w:w="1415" w:type="pct"/>
          </w:tcPr>
          <w:p w14:paraId="336C8264"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64D2F497"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0BFE42E3" w14:textId="77777777" w:rsidR="008D6255" w:rsidRPr="00622F6C" w:rsidRDefault="008D6255" w:rsidP="008D6255">
            <w:pPr>
              <w:spacing w:after="0" w:line="240" w:lineRule="auto"/>
              <w:jc w:val="center"/>
              <w:rPr>
                <w:rFonts w:ascii="Times New Roman" w:hAnsi="Times New Roman" w:cs="Times New Roman"/>
                <w:sz w:val="20"/>
                <w:szCs w:val="20"/>
                <w:lang w:val="en-US"/>
              </w:rPr>
            </w:pPr>
          </w:p>
        </w:tc>
      </w:tr>
      <w:tr w:rsidR="008D6255" w:rsidRPr="00622F6C" w14:paraId="3E1553C1" w14:textId="77777777" w:rsidTr="008D6255">
        <w:tc>
          <w:tcPr>
            <w:tcW w:w="1415" w:type="pct"/>
          </w:tcPr>
          <w:p w14:paraId="4CABD9D2"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November 4, 2014</w:t>
            </w:r>
          </w:p>
        </w:tc>
        <w:tc>
          <w:tcPr>
            <w:tcW w:w="2288" w:type="pct"/>
          </w:tcPr>
          <w:p w14:paraId="77D03703"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TISC provision is added to the Modern Slavery Bill by UK Government amendment at Commons Report Stage</w:t>
            </w:r>
            <w:r w:rsidR="00D40D17">
              <w:rPr>
                <w:rFonts w:ascii="Times New Roman" w:hAnsi="Times New Roman" w:cs="Times New Roman"/>
                <w:sz w:val="20"/>
                <w:szCs w:val="20"/>
                <w:lang w:val="en-US"/>
              </w:rPr>
              <w:t>.</w:t>
            </w:r>
          </w:p>
        </w:tc>
        <w:tc>
          <w:tcPr>
            <w:tcW w:w="1296" w:type="pct"/>
          </w:tcPr>
          <w:p w14:paraId="09DB533F"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Increasing</w:t>
            </w:r>
          </w:p>
        </w:tc>
      </w:tr>
      <w:tr w:rsidR="008D6255" w:rsidRPr="00622F6C" w14:paraId="198779F4" w14:textId="77777777" w:rsidTr="008D6255">
        <w:tc>
          <w:tcPr>
            <w:tcW w:w="1415" w:type="pct"/>
          </w:tcPr>
          <w:p w14:paraId="533AF1F9"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1761B5A7"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1A827321" w14:textId="77777777" w:rsidR="008D6255" w:rsidRPr="00622F6C" w:rsidRDefault="008D6255" w:rsidP="008D6255">
            <w:pPr>
              <w:spacing w:after="0" w:line="240" w:lineRule="auto"/>
              <w:jc w:val="center"/>
              <w:rPr>
                <w:rFonts w:ascii="Times New Roman" w:hAnsi="Times New Roman" w:cs="Times New Roman"/>
                <w:sz w:val="20"/>
                <w:szCs w:val="20"/>
                <w:lang w:val="en-US"/>
              </w:rPr>
            </w:pPr>
          </w:p>
        </w:tc>
      </w:tr>
      <w:tr w:rsidR="008D6255" w:rsidRPr="00622F6C" w14:paraId="10020B25" w14:textId="77777777" w:rsidTr="008D6255">
        <w:tc>
          <w:tcPr>
            <w:tcW w:w="1415" w:type="pct"/>
          </w:tcPr>
          <w:p w14:paraId="7D5E4B9F"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March 26, 2015</w:t>
            </w:r>
          </w:p>
        </w:tc>
        <w:tc>
          <w:tcPr>
            <w:tcW w:w="2288" w:type="pct"/>
          </w:tcPr>
          <w:p w14:paraId="258805A1"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Modern Slavery Act 2015 receives Royal Assent in Parliament. </w:t>
            </w:r>
          </w:p>
        </w:tc>
        <w:tc>
          <w:tcPr>
            <w:tcW w:w="1296" w:type="pct"/>
          </w:tcPr>
          <w:p w14:paraId="6E4CB67F"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Increasing </w:t>
            </w:r>
          </w:p>
        </w:tc>
      </w:tr>
    </w:tbl>
    <w:p w14:paraId="39723839" w14:textId="77777777" w:rsidR="008D6255" w:rsidRPr="00622F6C" w:rsidRDefault="008D6255" w:rsidP="008D6255">
      <w:pPr>
        <w:spacing w:after="0"/>
        <w:rPr>
          <w:rFonts w:ascii="Times New Roman" w:hAnsi="Times New Roman" w:cs="Times New Roman"/>
          <w:i/>
          <w:sz w:val="20"/>
          <w:szCs w:val="20"/>
          <w:lang w:val="en-US"/>
        </w:rPr>
      </w:pPr>
    </w:p>
    <w:p w14:paraId="6DE3BBDF" w14:textId="77777777" w:rsidR="008D6255" w:rsidRPr="00622F6C" w:rsidRDefault="008D6255" w:rsidP="008D6255">
      <w:pPr>
        <w:rPr>
          <w:rFonts w:ascii="Times New Roman" w:hAnsi="Times New Roman" w:cs="Times New Roman"/>
          <w:i/>
          <w:sz w:val="20"/>
          <w:szCs w:val="20"/>
          <w:lang w:val="en-US"/>
        </w:rPr>
      </w:pPr>
      <w:r w:rsidRPr="00622F6C">
        <w:rPr>
          <w:rFonts w:ascii="Times New Roman" w:hAnsi="Times New Roman" w:cs="Times New Roman"/>
          <w:i/>
          <w:sz w:val="20"/>
          <w:szCs w:val="20"/>
          <w:lang w:val="en-US"/>
        </w:rPr>
        <w:br w:type="page"/>
      </w:r>
    </w:p>
    <w:p w14:paraId="54AB39B2" w14:textId="77777777" w:rsidR="008D6255" w:rsidRPr="00622F6C" w:rsidRDefault="008D6255" w:rsidP="008D6255">
      <w:pPr>
        <w:spacing w:after="0"/>
        <w:rPr>
          <w:rFonts w:ascii="Times New Roman" w:hAnsi="Times New Roman" w:cs="Times New Roman"/>
          <w:i/>
          <w:sz w:val="20"/>
          <w:szCs w:val="20"/>
          <w:lang w:val="en-US"/>
        </w:rPr>
      </w:pPr>
      <w:r w:rsidRPr="00622F6C">
        <w:rPr>
          <w:rFonts w:ascii="Times New Roman" w:hAnsi="Times New Roman" w:cs="Times New Roman"/>
          <w:i/>
          <w:sz w:val="20"/>
          <w:szCs w:val="20"/>
          <w:lang w:val="en-US"/>
        </w:rPr>
        <w:lastRenderedPageBreak/>
        <w:t>Panel B: Events omitted from baseline tests</w:t>
      </w:r>
    </w:p>
    <w:tbl>
      <w:tblPr>
        <w:tblW w:w="5000" w:type="pct"/>
        <w:tblBorders>
          <w:top w:val="single" w:sz="4" w:space="0" w:color="auto"/>
          <w:bottom w:val="single" w:sz="4" w:space="0" w:color="auto"/>
        </w:tblBorders>
        <w:tblLook w:val="04A0" w:firstRow="1" w:lastRow="0" w:firstColumn="1" w:lastColumn="0" w:noHBand="0" w:noVBand="1"/>
      </w:tblPr>
      <w:tblGrid>
        <w:gridCol w:w="2555"/>
        <w:gridCol w:w="4131"/>
        <w:gridCol w:w="2340"/>
      </w:tblGrid>
      <w:tr w:rsidR="008D6255" w:rsidRPr="00622F6C" w14:paraId="028448AA" w14:textId="77777777" w:rsidTr="008D6255">
        <w:tc>
          <w:tcPr>
            <w:tcW w:w="1415" w:type="pct"/>
            <w:tcBorders>
              <w:top w:val="single" w:sz="4" w:space="0" w:color="auto"/>
              <w:bottom w:val="single" w:sz="4" w:space="0" w:color="auto"/>
            </w:tcBorders>
          </w:tcPr>
          <w:p w14:paraId="47D139DB"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Event date</w:t>
            </w:r>
          </w:p>
        </w:tc>
        <w:tc>
          <w:tcPr>
            <w:tcW w:w="2288" w:type="pct"/>
            <w:tcBorders>
              <w:top w:val="single" w:sz="4" w:space="0" w:color="auto"/>
              <w:bottom w:val="single" w:sz="4" w:space="0" w:color="auto"/>
            </w:tcBorders>
          </w:tcPr>
          <w:p w14:paraId="40A55861"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Description</w:t>
            </w:r>
          </w:p>
        </w:tc>
        <w:tc>
          <w:tcPr>
            <w:tcW w:w="1296" w:type="pct"/>
            <w:tcBorders>
              <w:top w:val="single" w:sz="4" w:space="0" w:color="auto"/>
              <w:bottom w:val="single" w:sz="4" w:space="0" w:color="auto"/>
            </w:tcBorders>
          </w:tcPr>
          <w:p w14:paraId="223C6891" w14:textId="77777777" w:rsidR="008D6255" w:rsidRPr="00622F6C" w:rsidRDefault="008D6255" w:rsidP="008D6255">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Reason for omission</w:t>
            </w:r>
          </w:p>
        </w:tc>
      </w:tr>
      <w:tr w:rsidR="008D6255" w:rsidRPr="00622F6C" w14:paraId="49107A20" w14:textId="77777777" w:rsidTr="008D6255">
        <w:tc>
          <w:tcPr>
            <w:tcW w:w="1415" w:type="pct"/>
            <w:tcBorders>
              <w:top w:val="single" w:sz="4" w:space="0" w:color="auto"/>
            </w:tcBorders>
          </w:tcPr>
          <w:p w14:paraId="27E447E6"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September 30, 2013</w:t>
            </w:r>
          </w:p>
        </w:tc>
        <w:tc>
          <w:tcPr>
            <w:tcW w:w="2288" w:type="pct"/>
            <w:tcBorders>
              <w:top w:val="single" w:sz="4" w:space="0" w:color="auto"/>
            </w:tcBorders>
          </w:tcPr>
          <w:p w14:paraId="7BA7077D"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Home Secretary Theresa May mentions the Modern Slavery Bill in a speech at the Conservative Party conference. </w:t>
            </w:r>
          </w:p>
        </w:tc>
        <w:tc>
          <w:tcPr>
            <w:tcW w:w="1296" w:type="pct"/>
            <w:tcBorders>
              <w:top w:val="single" w:sz="4" w:space="0" w:color="auto"/>
            </w:tcBorders>
          </w:tcPr>
          <w:p w14:paraId="51D73B73" w14:textId="77777777" w:rsidR="008D6255" w:rsidRPr="00622F6C" w:rsidRDefault="008D6255" w:rsidP="00594F11">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No new information r</w:t>
            </w:r>
            <w:r w:rsidR="00CA6B28" w:rsidRPr="00622F6C">
              <w:rPr>
                <w:rFonts w:ascii="Times New Roman" w:hAnsi="Times New Roman" w:cs="Times New Roman"/>
                <w:sz w:val="20"/>
                <w:szCs w:val="20"/>
                <w:lang w:val="en-US"/>
              </w:rPr>
              <w:t>evealed</w:t>
            </w:r>
          </w:p>
        </w:tc>
      </w:tr>
      <w:tr w:rsidR="008D6255" w:rsidRPr="00622F6C" w14:paraId="7EF65E07" w14:textId="77777777" w:rsidTr="008D6255">
        <w:tc>
          <w:tcPr>
            <w:tcW w:w="1415" w:type="pct"/>
          </w:tcPr>
          <w:p w14:paraId="182A052E" w14:textId="77777777" w:rsidR="008D6255" w:rsidRPr="00622F6C" w:rsidRDefault="008D6255" w:rsidP="008D6255">
            <w:pPr>
              <w:spacing w:after="0" w:line="240" w:lineRule="auto"/>
              <w:rPr>
                <w:rFonts w:ascii="Times New Roman" w:hAnsi="Times New Roman" w:cs="Times New Roman"/>
                <w:sz w:val="20"/>
                <w:szCs w:val="20"/>
                <w:lang w:val="en-US"/>
              </w:rPr>
            </w:pPr>
          </w:p>
        </w:tc>
        <w:tc>
          <w:tcPr>
            <w:tcW w:w="2288" w:type="pct"/>
          </w:tcPr>
          <w:p w14:paraId="1F156A3D"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1399664D" w14:textId="77777777" w:rsidR="008D6255" w:rsidRPr="00622F6C" w:rsidRDefault="008D6255" w:rsidP="00594F11">
            <w:pPr>
              <w:spacing w:after="0" w:line="240" w:lineRule="auto"/>
              <w:jc w:val="center"/>
              <w:rPr>
                <w:rFonts w:ascii="Times New Roman" w:hAnsi="Times New Roman" w:cs="Times New Roman"/>
                <w:sz w:val="20"/>
                <w:szCs w:val="20"/>
                <w:lang w:val="en-US"/>
              </w:rPr>
            </w:pPr>
          </w:p>
        </w:tc>
      </w:tr>
      <w:tr w:rsidR="008D6255" w:rsidRPr="00622F6C" w14:paraId="1800A3E1" w14:textId="77777777" w:rsidTr="008D6255">
        <w:trPr>
          <w:trHeight w:val="427"/>
        </w:trPr>
        <w:tc>
          <w:tcPr>
            <w:tcW w:w="1415" w:type="pct"/>
          </w:tcPr>
          <w:p w14:paraId="4C822C60"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June 3, 2014</w:t>
            </w:r>
          </w:p>
        </w:tc>
        <w:tc>
          <w:tcPr>
            <w:tcW w:w="2288" w:type="pct"/>
          </w:tcPr>
          <w:p w14:paraId="38ED4634"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The Queen mentions the Mod</w:t>
            </w:r>
            <w:r w:rsidR="00D40D17">
              <w:rPr>
                <w:rFonts w:ascii="Times New Roman" w:hAnsi="Times New Roman" w:cs="Times New Roman"/>
                <w:sz w:val="20"/>
                <w:szCs w:val="20"/>
                <w:lang w:val="en-US"/>
              </w:rPr>
              <w:t>ern Slavery Bill in her annual s</w:t>
            </w:r>
            <w:r w:rsidRPr="00622F6C">
              <w:rPr>
                <w:rFonts w:ascii="Times New Roman" w:hAnsi="Times New Roman" w:cs="Times New Roman"/>
                <w:sz w:val="20"/>
                <w:szCs w:val="20"/>
                <w:lang w:val="en-US"/>
              </w:rPr>
              <w:t xml:space="preserve">peech. </w:t>
            </w:r>
          </w:p>
        </w:tc>
        <w:tc>
          <w:tcPr>
            <w:tcW w:w="1296" w:type="pct"/>
          </w:tcPr>
          <w:p w14:paraId="01AAFEE1" w14:textId="77777777" w:rsidR="008D6255" w:rsidRPr="00622F6C" w:rsidRDefault="008D6255" w:rsidP="00594F11">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No new information </w:t>
            </w:r>
            <w:r w:rsidR="00CA6B28" w:rsidRPr="00622F6C">
              <w:rPr>
                <w:rFonts w:ascii="Times New Roman" w:hAnsi="Times New Roman" w:cs="Times New Roman"/>
                <w:sz w:val="20"/>
                <w:szCs w:val="20"/>
                <w:lang w:val="en-US"/>
              </w:rPr>
              <w:t>revealed</w:t>
            </w:r>
          </w:p>
        </w:tc>
      </w:tr>
      <w:tr w:rsidR="008D6255" w:rsidRPr="00622F6C" w14:paraId="0D331A19" w14:textId="77777777" w:rsidTr="008D6255">
        <w:tc>
          <w:tcPr>
            <w:tcW w:w="1415" w:type="pct"/>
          </w:tcPr>
          <w:p w14:paraId="6B9BB3AC"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4F48C286"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355B5E08" w14:textId="77777777" w:rsidR="008D6255" w:rsidRPr="00622F6C" w:rsidRDefault="008D6255" w:rsidP="00594F11">
            <w:pPr>
              <w:spacing w:after="0" w:line="240" w:lineRule="auto"/>
              <w:jc w:val="center"/>
              <w:rPr>
                <w:rFonts w:ascii="Times New Roman" w:hAnsi="Times New Roman" w:cs="Times New Roman"/>
                <w:sz w:val="20"/>
                <w:szCs w:val="20"/>
                <w:lang w:val="en-US"/>
              </w:rPr>
            </w:pPr>
          </w:p>
        </w:tc>
      </w:tr>
      <w:tr w:rsidR="008D6255" w:rsidRPr="00622F6C" w14:paraId="1B36CD3C" w14:textId="77777777" w:rsidTr="008D6255">
        <w:tc>
          <w:tcPr>
            <w:tcW w:w="1415" w:type="pct"/>
          </w:tcPr>
          <w:p w14:paraId="7C7CE59A"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October 29, 2015</w:t>
            </w:r>
          </w:p>
        </w:tc>
        <w:tc>
          <w:tcPr>
            <w:tcW w:w="2288" w:type="pct"/>
          </w:tcPr>
          <w:p w14:paraId="5E8151CF"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The TISC clause is formally brought into force. </w:t>
            </w:r>
          </w:p>
        </w:tc>
        <w:tc>
          <w:tcPr>
            <w:tcW w:w="1296" w:type="pct"/>
          </w:tcPr>
          <w:p w14:paraId="222C5E9F" w14:textId="77777777" w:rsidR="008D6255" w:rsidRPr="00622F6C" w:rsidRDefault="008D6255" w:rsidP="00594F11">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No new information revealed</w:t>
            </w:r>
          </w:p>
        </w:tc>
      </w:tr>
      <w:tr w:rsidR="008D6255" w:rsidRPr="00622F6C" w14:paraId="64128322" w14:textId="77777777" w:rsidTr="008D6255">
        <w:tc>
          <w:tcPr>
            <w:tcW w:w="1415" w:type="pct"/>
          </w:tcPr>
          <w:p w14:paraId="206C379D" w14:textId="77777777" w:rsidR="008D6255" w:rsidRPr="00622F6C" w:rsidRDefault="008D6255" w:rsidP="008D6255">
            <w:pPr>
              <w:spacing w:after="0" w:line="240" w:lineRule="auto"/>
              <w:ind w:left="720"/>
              <w:contextualSpacing/>
              <w:rPr>
                <w:rFonts w:ascii="Times New Roman" w:hAnsi="Times New Roman" w:cs="Times New Roman"/>
                <w:sz w:val="20"/>
                <w:szCs w:val="20"/>
                <w:lang w:val="en-US"/>
              </w:rPr>
            </w:pPr>
          </w:p>
        </w:tc>
        <w:tc>
          <w:tcPr>
            <w:tcW w:w="2288" w:type="pct"/>
          </w:tcPr>
          <w:p w14:paraId="729E3A14" w14:textId="77777777" w:rsidR="008D6255" w:rsidRPr="00622F6C" w:rsidRDefault="008D6255" w:rsidP="008D6255">
            <w:pPr>
              <w:spacing w:after="0" w:line="240" w:lineRule="auto"/>
              <w:jc w:val="both"/>
              <w:rPr>
                <w:rFonts w:ascii="Times New Roman" w:hAnsi="Times New Roman" w:cs="Times New Roman"/>
                <w:sz w:val="20"/>
                <w:szCs w:val="20"/>
                <w:lang w:val="en-US"/>
              </w:rPr>
            </w:pPr>
          </w:p>
        </w:tc>
        <w:tc>
          <w:tcPr>
            <w:tcW w:w="1296" w:type="pct"/>
          </w:tcPr>
          <w:p w14:paraId="3B270C60" w14:textId="77777777" w:rsidR="008D6255" w:rsidRPr="00622F6C" w:rsidRDefault="008D6255" w:rsidP="00594F11">
            <w:pPr>
              <w:spacing w:after="0" w:line="240" w:lineRule="auto"/>
              <w:jc w:val="center"/>
              <w:rPr>
                <w:rFonts w:ascii="Times New Roman" w:hAnsi="Times New Roman" w:cs="Times New Roman"/>
                <w:sz w:val="20"/>
                <w:szCs w:val="20"/>
                <w:lang w:val="en-US"/>
              </w:rPr>
            </w:pPr>
          </w:p>
        </w:tc>
      </w:tr>
      <w:tr w:rsidR="008D6255" w:rsidRPr="00622F6C" w14:paraId="746252D4" w14:textId="77777777" w:rsidTr="008D6255">
        <w:tc>
          <w:tcPr>
            <w:tcW w:w="1415" w:type="pct"/>
          </w:tcPr>
          <w:p w14:paraId="353D9B66" w14:textId="77777777" w:rsidR="008D6255" w:rsidRPr="00622F6C" w:rsidRDefault="008D6255" w:rsidP="008D6255">
            <w:pPr>
              <w:numPr>
                <w:ilvl w:val="0"/>
                <w:numId w:val="35"/>
              </w:numPr>
              <w:spacing w:after="0" w:line="240" w:lineRule="auto"/>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July 29, 2015</w:t>
            </w:r>
          </w:p>
        </w:tc>
        <w:tc>
          <w:tcPr>
            <w:tcW w:w="2288" w:type="pct"/>
          </w:tcPr>
          <w:p w14:paraId="177F6F0D" w14:textId="77777777" w:rsidR="008D6255" w:rsidRPr="00622F6C" w:rsidRDefault="008D6255" w:rsidP="008D6255">
            <w:pPr>
              <w:spacing w:after="0" w:line="240" w:lineRule="auto"/>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Prime Minister David Cameron announces that the size threshold for companies to qualify for the TISC clause is set at £36 million of annual sales.</w:t>
            </w:r>
          </w:p>
        </w:tc>
        <w:tc>
          <w:tcPr>
            <w:tcW w:w="1296" w:type="pct"/>
          </w:tcPr>
          <w:p w14:paraId="0ED3F4C8" w14:textId="77777777" w:rsidR="008D6255" w:rsidRPr="00622F6C" w:rsidRDefault="008D6255" w:rsidP="00594F11">
            <w:pPr>
              <w:spacing w:after="0" w:line="240" w:lineRule="auto"/>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Only pertains to subset of companies; </w:t>
            </w:r>
            <w:r w:rsidR="00CA6B28" w:rsidRPr="00622F6C">
              <w:rPr>
                <w:rFonts w:ascii="Times New Roman" w:hAnsi="Times New Roman" w:cs="Times New Roman"/>
                <w:sz w:val="20"/>
                <w:szCs w:val="20"/>
                <w:lang w:val="en-US"/>
              </w:rPr>
              <w:t xml:space="preserve">the announced </w:t>
            </w:r>
            <w:r w:rsidRPr="00622F6C">
              <w:rPr>
                <w:rFonts w:ascii="Times New Roman" w:hAnsi="Times New Roman" w:cs="Times New Roman"/>
                <w:sz w:val="20"/>
                <w:szCs w:val="20"/>
                <w:lang w:val="en-US"/>
              </w:rPr>
              <w:t xml:space="preserve">size threshold </w:t>
            </w:r>
            <w:r w:rsidR="00CA6B28" w:rsidRPr="00622F6C">
              <w:rPr>
                <w:rFonts w:ascii="Times New Roman" w:hAnsi="Times New Roman" w:cs="Times New Roman"/>
                <w:sz w:val="20"/>
                <w:szCs w:val="20"/>
                <w:lang w:val="en-US"/>
              </w:rPr>
              <w:t xml:space="preserve">was </w:t>
            </w:r>
            <w:r w:rsidRPr="00622F6C">
              <w:rPr>
                <w:rFonts w:ascii="Times New Roman" w:hAnsi="Times New Roman" w:cs="Times New Roman"/>
                <w:sz w:val="20"/>
                <w:szCs w:val="20"/>
                <w:lang w:val="en-US"/>
              </w:rPr>
              <w:t>in line with expectations.</w:t>
            </w:r>
          </w:p>
        </w:tc>
      </w:tr>
    </w:tbl>
    <w:p w14:paraId="7B10755D" w14:textId="2E511AD7" w:rsidR="008D6255" w:rsidRPr="00622F6C" w:rsidRDefault="008D6255" w:rsidP="008D6255">
      <w:pPr>
        <w:jc w:val="both"/>
        <w:rPr>
          <w:rFonts w:ascii="Times New Roman" w:hAnsi="Times New Roman" w:cs="Times New Roman"/>
          <w:sz w:val="20"/>
          <w:szCs w:val="20"/>
          <w:lang w:val="en-US"/>
        </w:rPr>
        <w:sectPr w:rsidR="008D6255" w:rsidRPr="00622F6C" w:rsidSect="008D6255">
          <w:headerReference w:type="default" r:id="rId35"/>
          <w:type w:val="continuous"/>
          <w:pgSz w:w="11906" w:h="16838"/>
          <w:pgMar w:top="1440" w:right="1440" w:bottom="1440" w:left="1440" w:header="708" w:footer="708" w:gutter="0"/>
          <w:cols w:space="708"/>
          <w:docGrid w:linePitch="360"/>
        </w:sectPr>
      </w:pPr>
      <w:r w:rsidRPr="00622F6C">
        <w:rPr>
          <w:rFonts w:ascii="Times New Roman" w:hAnsi="Times New Roman" w:cs="Times New Roman"/>
          <w:i/>
          <w:sz w:val="20"/>
          <w:szCs w:val="20"/>
          <w:lang w:val="en-US"/>
        </w:rPr>
        <w:t>Notes:</w:t>
      </w:r>
      <w:r w:rsidRPr="00622F6C">
        <w:rPr>
          <w:rFonts w:ascii="Times New Roman" w:hAnsi="Times New Roman" w:cs="Times New Roman"/>
          <w:sz w:val="20"/>
          <w:szCs w:val="20"/>
          <w:lang w:val="en-US"/>
        </w:rPr>
        <w:t xml:space="preserve"> This table outlines the event dates associated with the adoption of </w:t>
      </w:r>
      <w:r w:rsidR="000C496D">
        <w:rPr>
          <w:rFonts w:ascii="Times New Roman" w:hAnsi="Times New Roman" w:cs="Times New Roman"/>
          <w:sz w:val="20"/>
          <w:szCs w:val="20"/>
          <w:lang w:val="en-US"/>
        </w:rPr>
        <w:t xml:space="preserve">the </w:t>
      </w:r>
      <w:r w:rsidRPr="00622F6C">
        <w:rPr>
          <w:rFonts w:ascii="Times New Roman" w:hAnsi="Times New Roman" w:cs="Times New Roman"/>
          <w:sz w:val="20"/>
          <w:szCs w:val="20"/>
          <w:lang w:val="en-US"/>
        </w:rPr>
        <w:t>Modern Slavery Act (MSA) and its Transparency in Supply Chains (TISC) clause</w:t>
      </w:r>
      <w:r w:rsidR="000C496D">
        <w:rPr>
          <w:rFonts w:ascii="Times New Roman" w:hAnsi="Times New Roman" w:cs="Times New Roman"/>
          <w:sz w:val="20"/>
          <w:szCs w:val="20"/>
          <w:lang w:val="en-US"/>
        </w:rPr>
        <w:t>,</w:t>
      </w:r>
      <w:r w:rsidRPr="00622F6C">
        <w:rPr>
          <w:rFonts w:ascii="Times New Roman" w:hAnsi="Times New Roman" w:cs="Times New Roman"/>
          <w:sz w:val="20"/>
          <w:szCs w:val="20"/>
          <w:lang w:val="en-US"/>
        </w:rPr>
        <w:t xml:space="preserve"> generated by our search in Factiva and other online sources. For events occurring on a non-trading day or after </w:t>
      </w:r>
      <w:r w:rsidR="000C496D">
        <w:rPr>
          <w:rFonts w:ascii="Times New Roman" w:hAnsi="Times New Roman" w:cs="Times New Roman"/>
          <w:sz w:val="20"/>
          <w:szCs w:val="20"/>
          <w:lang w:val="en-US"/>
        </w:rPr>
        <w:t xml:space="preserve">the </w:t>
      </w:r>
      <w:r w:rsidRPr="00622F6C">
        <w:rPr>
          <w:rFonts w:ascii="Times New Roman" w:hAnsi="Times New Roman" w:cs="Times New Roman"/>
          <w:sz w:val="20"/>
          <w:szCs w:val="20"/>
          <w:lang w:val="en-US"/>
        </w:rPr>
        <w:t>stock market</w:t>
      </w:r>
      <w:r w:rsidR="000C496D">
        <w:rPr>
          <w:rFonts w:ascii="Times New Roman" w:hAnsi="Times New Roman" w:cs="Times New Roman"/>
          <w:sz w:val="20"/>
          <w:szCs w:val="20"/>
          <w:lang w:val="en-US"/>
        </w:rPr>
        <w:t>’s</w:t>
      </w:r>
      <w:r w:rsidRPr="00622F6C">
        <w:rPr>
          <w:rFonts w:ascii="Times New Roman" w:hAnsi="Times New Roman" w:cs="Times New Roman"/>
          <w:sz w:val="20"/>
          <w:szCs w:val="20"/>
          <w:lang w:val="en-US"/>
        </w:rPr>
        <w:t xml:space="preserve"> closure</w:t>
      </w:r>
      <w:r w:rsidR="000C496D">
        <w:rPr>
          <w:rFonts w:ascii="Times New Roman" w:hAnsi="Times New Roman" w:cs="Times New Roman"/>
          <w:sz w:val="20"/>
          <w:szCs w:val="20"/>
          <w:lang w:val="en-US"/>
        </w:rPr>
        <w:t xml:space="preserve"> for the day</w:t>
      </w:r>
      <w:r w:rsidRPr="00622F6C">
        <w:rPr>
          <w:rFonts w:ascii="Times New Roman" w:hAnsi="Times New Roman" w:cs="Times New Roman"/>
          <w:sz w:val="20"/>
          <w:szCs w:val="20"/>
          <w:lang w:val="en-US"/>
        </w:rPr>
        <w:t>, we take the next trading d</w:t>
      </w:r>
      <w:r w:rsidR="00C35598">
        <w:rPr>
          <w:rFonts w:ascii="Times New Roman" w:hAnsi="Times New Roman" w:cs="Times New Roman"/>
          <w:sz w:val="20"/>
          <w:szCs w:val="20"/>
          <w:lang w:val="en-US"/>
        </w:rPr>
        <w:t>ay</w:t>
      </w:r>
      <w:r w:rsidRPr="00622F6C">
        <w:rPr>
          <w:rFonts w:ascii="Times New Roman" w:hAnsi="Times New Roman" w:cs="Times New Roman"/>
          <w:sz w:val="20"/>
          <w:szCs w:val="20"/>
          <w:lang w:val="en-US"/>
        </w:rPr>
        <w:t xml:space="preserve"> as the event date. Panel A reports the eight event dates considered in our baseline univariate and cross-sectional analyses. We selected these events because they are each associated with the release of incremental information </w:t>
      </w:r>
      <w:r w:rsidR="00230D24">
        <w:rPr>
          <w:rFonts w:ascii="Times New Roman" w:hAnsi="Times New Roman" w:cs="Times New Roman"/>
          <w:sz w:val="20"/>
          <w:szCs w:val="20"/>
          <w:lang w:val="en-US"/>
        </w:rPr>
        <w:t xml:space="preserve">related to the MSA </w:t>
      </w:r>
      <w:r w:rsidRPr="00622F6C">
        <w:rPr>
          <w:rFonts w:ascii="Times New Roman" w:hAnsi="Times New Roman" w:cs="Times New Roman"/>
          <w:sz w:val="20"/>
          <w:szCs w:val="20"/>
          <w:lang w:val="en-US"/>
        </w:rPr>
        <w:t xml:space="preserve">that may </w:t>
      </w:r>
      <w:r w:rsidR="000C496D">
        <w:rPr>
          <w:rFonts w:ascii="Times New Roman" w:hAnsi="Times New Roman" w:cs="Times New Roman"/>
          <w:sz w:val="20"/>
          <w:szCs w:val="20"/>
          <w:lang w:val="en-US"/>
        </w:rPr>
        <w:t xml:space="preserve">have </w:t>
      </w:r>
      <w:r w:rsidRPr="00622F6C">
        <w:rPr>
          <w:rFonts w:ascii="Times New Roman" w:hAnsi="Times New Roman" w:cs="Times New Roman"/>
          <w:sz w:val="20"/>
          <w:szCs w:val="20"/>
          <w:lang w:val="en-US"/>
        </w:rPr>
        <w:t>be</w:t>
      </w:r>
      <w:r w:rsidR="000C496D">
        <w:rPr>
          <w:rFonts w:ascii="Times New Roman" w:hAnsi="Times New Roman" w:cs="Times New Roman"/>
          <w:sz w:val="20"/>
          <w:szCs w:val="20"/>
          <w:lang w:val="en-US"/>
        </w:rPr>
        <w:t>en</w:t>
      </w:r>
      <w:r w:rsidRPr="00622F6C">
        <w:rPr>
          <w:rFonts w:ascii="Times New Roman" w:hAnsi="Times New Roman" w:cs="Times New Roman"/>
          <w:sz w:val="20"/>
          <w:szCs w:val="20"/>
          <w:lang w:val="en-US"/>
        </w:rPr>
        <w:t xml:space="preserve"> relevant for investors. All events except event 5 are assumed to </w:t>
      </w:r>
      <w:r w:rsidR="000C496D">
        <w:rPr>
          <w:rFonts w:ascii="Times New Roman" w:hAnsi="Times New Roman" w:cs="Times New Roman"/>
          <w:sz w:val="20"/>
          <w:szCs w:val="20"/>
          <w:lang w:val="en-US"/>
        </w:rPr>
        <w:t xml:space="preserve">have </w:t>
      </w:r>
      <w:r w:rsidRPr="00622F6C">
        <w:rPr>
          <w:rFonts w:ascii="Times New Roman" w:hAnsi="Times New Roman" w:cs="Times New Roman"/>
          <w:sz w:val="20"/>
          <w:szCs w:val="20"/>
          <w:lang w:val="en-US"/>
        </w:rPr>
        <w:t>result</w:t>
      </w:r>
      <w:r w:rsidR="000C496D">
        <w:rPr>
          <w:rFonts w:ascii="Times New Roman" w:hAnsi="Times New Roman" w:cs="Times New Roman"/>
          <w:sz w:val="20"/>
          <w:szCs w:val="20"/>
          <w:lang w:val="en-US"/>
        </w:rPr>
        <w:t>ed</w:t>
      </w:r>
      <w:r w:rsidRPr="00622F6C">
        <w:rPr>
          <w:rFonts w:ascii="Times New Roman" w:hAnsi="Times New Roman" w:cs="Times New Roman"/>
          <w:sz w:val="20"/>
          <w:szCs w:val="20"/>
          <w:lang w:val="en-US"/>
        </w:rPr>
        <w:t xml:space="preserve"> in an increased likelihood of the MSA being adopted. Panel B reports four event dates </w:t>
      </w:r>
      <w:r w:rsidR="00EE0A6B">
        <w:rPr>
          <w:rFonts w:ascii="Times New Roman" w:hAnsi="Times New Roman" w:cs="Times New Roman"/>
          <w:sz w:val="20"/>
          <w:szCs w:val="20"/>
          <w:lang w:val="en-US"/>
        </w:rPr>
        <w:t xml:space="preserve">following event 1 </w:t>
      </w:r>
      <w:r w:rsidRPr="00622F6C">
        <w:rPr>
          <w:rFonts w:ascii="Times New Roman" w:hAnsi="Times New Roman" w:cs="Times New Roman"/>
          <w:sz w:val="20"/>
          <w:szCs w:val="20"/>
          <w:lang w:val="en-US"/>
        </w:rPr>
        <w:t xml:space="preserve">that we omitted from the baseline analysis because they </w:t>
      </w:r>
      <w:r w:rsidR="000C496D">
        <w:rPr>
          <w:rFonts w:ascii="Times New Roman" w:hAnsi="Times New Roman" w:cs="Times New Roman"/>
          <w:sz w:val="20"/>
          <w:szCs w:val="20"/>
          <w:lang w:val="en-US"/>
        </w:rPr>
        <w:t>we</w:t>
      </w:r>
      <w:r w:rsidR="000C496D" w:rsidRPr="00622F6C">
        <w:rPr>
          <w:rFonts w:ascii="Times New Roman" w:hAnsi="Times New Roman" w:cs="Times New Roman"/>
          <w:sz w:val="20"/>
          <w:szCs w:val="20"/>
          <w:lang w:val="en-US"/>
        </w:rPr>
        <w:t xml:space="preserve">re </w:t>
      </w:r>
      <w:r w:rsidRPr="00622F6C">
        <w:rPr>
          <w:rFonts w:ascii="Times New Roman" w:hAnsi="Times New Roman" w:cs="Times New Roman"/>
          <w:sz w:val="20"/>
          <w:szCs w:val="20"/>
          <w:lang w:val="en-US"/>
        </w:rPr>
        <w:t xml:space="preserve">not associated with the release of information relevant for investors (events 9, 10, and 11), or because they only pertain to a subset of the sample firms (event 12). </w:t>
      </w:r>
    </w:p>
    <w:p w14:paraId="417375C8" w14:textId="77777777" w:rsidR="008D6255" w:rsidRPr="00622F6C" w:rsidRDefault="008D6255" w:rsidP="008D6255">
      <w:pPr>
        <w:jc w:val="both"/>
        <w:rPr>
          <w:rFonts w:ascii="Times New Roman" w:hAnsi="Times New Roman" w:cs="Times New Roman"/>
          <w:sz w:val="20"/>
          <w:szCs w:val="20"/>
          <w:lang w:val="en-US"/>
        </w:rPr>
        <w:sectPr w:rsidR="008D6255" w:rsidRPr="00622F6C" w:rsidSect="008D6255">
          <w:type w:val="continuous"/>
          <w:pgSz w:w="11906" w:h="16838"/>
          <w:pgMar w:top="1440" w:right="1440" w:bottom="1440" w:left="1440" w:header="708" w:footer="708" w:gutter="0"/>
          <w:cols w:space="708"/>
          <w:docGrid w:linePitch="360"/>
        </w:sectPr>
      </w:pPr>
    </w:p>
    <w:p w14:paraId="057A6362" w14:textId="77777777" w:rsidR="00685C01" w:rsidRPr="00622F6C" w:rsidRDefault="00685C01">
      <w:pPr>
        <w:rPr>
          <w:rFonts w:ascii="Times New Roman" w:hAnsi="Times New Roman" w:cs="Times New Roman"/>
          <w:b/>
          <w:sz w:val="20"/>
          <w:szCs w:val="20"/>
          <w:lang w:val="en-US"/>
        </w:rPr>
        <w:sectPr w:rsidR="00685C01" w:rsidRPr="00622F6C" w:rsidSect="00DA0AEB">
          <w:headerReference w:type="default" r:id="rId36"/>
          <w:type w:val="continuous"/>
          <w:pgSz w:w="11906" w:h="16838"/>
          <w:pgMar w:top="1440" w:right="1440" w:bottom="1440" w:left="1440" w:header="708" w:footer="708" w:gutter="0"/>
          <w:pgNumType w:start="1"/>
          <w:cols w:space="708"/>
          <w:docGrid w:linePitch="360"/>
        </w:sectPr>
      </w:pPr>
    </w:p>
    <w:p w14:paraId="43436564" w14:textId="77777777" w:rsidR="008D6255" w:rsidRPr="00622F6C" w:rsidRDefault="008D6255" w:rsidP="008D6255">
      <w:pPr>
        <w:jc w:val="both"/>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 xml:space="preserve">Table 2: Sample construction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3993"/>
        <w:gridCol w:w="3993"/>
      </w:tblGrid>
      <w:tr w:rsidR="008D6255" w:rsidRPr="00622F6C" w14:paraId="38EDEDBF" w14:textId="77777777" w:rsidTr="008D6255">
        <w:tc>
          <w:tcPr>
            <w:tcW w:w="2139" w:type="pct"/>
            <w:tcBorders>
              <w:top w:val="single" w:sz="4" w:space="0" w:color="auto"/>
              <w:bottom w:val="single" w:sz="4" w:space="0" w:color="auto"/>
            </w:tcBorders>
          </w:tcPr>
          <w:p w14:paraId="0B958F6A" w14:textId="77777777" w:rsidR="008D6255" w:rsidRPr="004A72BC" w:rsidRDefault="008D6255" w:rsidP="008D6255">
            <w:pPr>
              <w:rPr>
                <w:rFonts w:ascii="Times New Roman" w:hAnsi="Times New Roman" w:cs="Times New Roman"/>
                <w:sz w:val="20"/>
                <w:szCs w:val="20"/>
                <w:lang w:val="en-US"/>
              </w:rPr>
            </w:pPr>
            <w:r w:rsidRPr="004A72BC">
              <w:rPr>
                <w:rFonts w:ascii="Times New Roman" w:hAnsi="Times New Roman" w:cs="Times New Roman"/>
                <w:sz w:val="20"/>
                <w:szCs w:val="20"/>
                <w:lang w:val="en-US"/>
              </w:rPr>
              <w:t>Sample construction steps</w:t>
            </w:r>
          </w:p>
        </w:tc>
        <w:tc>
          <w:tcPr>
            <w:tcW w:w="1430" w:type="pct"/>
            <w:tcBorders>
              <w:top w:val="single" w:sz="4" w:space="0" w:color="auto"/>
              <w:bottom w:val="single" w:sz="4" w:space="0" w:color="auto"/>
            </w:tcBorders>
          </w:tcPr>
          <w:p w14:paraId="03AB8012"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Data sources</w:t>
            </w:r>
          </w:p>
        </w:tc>
        <w:tc>
          <w:tcPr>
            <w:tcW w:w="1430" w:type="pct"/>
            <w:tcBorders>
              <w:top w:val="single" w:sz="4" w:space="0" w:color="auto"/>
              <w:bottom w:val="single" w:sz="4" w:space="0" w:color="auto"/>
            </w:tcBorders>
          </w:tcPr>
          <w:p w14:paraId="655CEC9B" w14:textId="77777777" w:rsidR="008D6255" w:rsidRPr="004A72BC" w:rsidRDefault="008D6255" w:rsidP="008D6255">
            <w:pPr>
              <w:jc w:val="center"/>
              <w:rPr>
                <w:rFonts w:ascii="Times New Roman" w:hAnsi="Times New Roman" w:cs="Times New Roman"/>
                <w:i/>
                <w:sz w:val="20"/>
                <w:szCs w:val="20"/>
                <w:lang w:val="en-US"/>
              </w:rPr>
            </w:pPr>
            <w:r w:rsidRPr="004A72BC">
              <w:rPr>
                <w:rFonts w:ascii="Times New Roman" w:hAnsi="Times New Roman" w:cs="Times New Roman"/>
                <w:i/>
                <w:sz w:val="20"/>
                <w:szCs w:val="20"/>
                <w:lang w:val="en-US"/>
              </w:rPr>
              <w:t>N</w:t>
            </w:r>
          </w:p>
        </w:tc>
      </w:tr>
      <w:tr w:rsidR="008D6255" w:rsidRPr="00622F6C" w14:paraId="2B26D67A" w14:textId="77777777" w:rsidTr="008D6255">
        <w:tc>
          <w:tcPr>
            <w:tcW w:w="2139" w:type="pct"/>
            <w:tcBorders>
              <w:top w:val="single" w:sz="4" w:space="0" w:color="auto"/>
            </w:tcBorders>
          </w:tcPr>
          <w:p w14:paraId="1AC68065" w14:textId="77777777" w:rsidR="008D6255" w:rsidRPr="004A72BC" w:rsidRDefault="008D6255" w:rsidP="008D6255">
            <w:pPr>
              <w:numPr>
                <w:ilvl w:val="0"/>
                <w:numId w:val="32"/>
              </w:numPr>
              <w:ind w:left="426" w:hanging="426"/>
              <w:contextualSpacing/>
              <w:jc w:val="both"/>
              <w:rPr>
                <w:rFonts w:ascii="Times New Roman" w:hAnsi="Times New Roman" w:cs="Times New Roman"/>
                <w:sz w:val="20"/>
                <w:szCs w:val="20"/>
                <w:lang w:val="en-US"/>
              </w:rPr>
            </w:pPr>
            <w:r w:rsidRPr="004A72BC">
              <w:rPr>
                <w:rFonts w:ascii="Times New Roman" w:hAnsi="Times New Roman" w:cs="Times New Roman"/>
                <w:sz w:val="20"/>
                <w:szCs w:val="20"/>
                <w:lang w:val="en-US"/>
              </w:rPr>
              <w:t>Download FTSE All-Share Index components</w:t>
            </w:r>
          </w:p>
        </w:tc>
        <w:tc>
          <w:tcPr>
            <w:tcW w:w="1430" w:type="pct"/>
            <w:tcBorders>
              <w:top w:val="single" w:sz="4" w:space="0" w:color="auto"/>
            </w:tcBorders>
          </w:tcPr>
          <w:p w14:paraId="4C386B85"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Datastream item FTALLSH</w:t>
            </w:r>
          </w:p>
        </w:tc>
        <w:tc>
          <w:tcPr>
            <w:tcW w:w="1430" w:type="pct"/>
            <w:tcBorders>
              <w:top w:val="single" w:sz="4" w:space="0" w:color="auto"/>
            </w:tcBorders>
          </w:tcPr>
          <w:p w14:paraId="2B81BC70" w14:textId="77777777" w:rsidR="008D6255" w:rsidRPr="004A72BC" w:rsidRDefault="00F65D40"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602</w:t>
            </w:r>
          </w:p>
        </w:tc>
      </w:tr>
      <w:tr w:rsidR="008D6255" w:rsidRPr="00622F6C" w14:paraId="71C74E76" w14:textId="77777777" w:rsidTr="008D6255">
        <w:tc>
          <w:tcPr>
            <w:tcW w:w="2139" w:type="pct"/>
          </w:tcPr>
          <w:p w14:paraId="0BFECC3B" w14:textId="77777777" w:rsidR="008D6255" w:rsidRPr="004A72BC" w:rsidRDefault="008D6255" w:rsidP="008D6255">
            <w:pPr>
              <w:jc w:val="center"/>
              <w:rPr>
                <w:rFonts w:ascii="Times New Roman" w:hAnsi="Times New Roman" w:cs="Times New Roman"/>
                <w:sz w:val="20"/>
                <w:szCs w:val="20"/>
                <w:lang w:val="en-US"/>
              </w:rPr>
            </w:pPr>
          </w:p>
        </w:tc>
        <w:tc>
          <w:tcPr>
            <w:tcW w:w="1430" w:type="pct"/>
          </w:tcPr>
          <w:p w14:paraId="48EDB8F8" w14:textId="77777777" w:rsidR="008D6255" w:rsidRPr="004A72BC" w:rsidRDefault="008D6255" w:rsidP="00685C01">
            <w:pPr>
              <w:jc w:val="center"/>
              <w:rPr>
                <w:rFonts w:ascii="Times New Roman" w:hAnsi="Times New Roman" w:cs="Times New Roman"/>
                <w:sz w:val="20"/>
                <w:szCs w:val="20"/>
                <w:lang w:val="en-US"/>
              </w:rPr>
            </w:pPr>
          </w:p>
        </w:tc>
        <w:tc>
          <w:tcPr>
            <w:tcW w:w="1430" w:type="pct"/>
          </w:tcPr>
          <w:p w14:paraId="62DDCB26" w14:textId="77777777" w:rsidR="008D6255" w:rsidRPr="004A72BC" w:rsidRDefault="008D6255" w:rsidP="008D6255">
            <w:pPr>
              <w:jc w:val="center"/>
              <w:rPr>
                <w:rFonts w:ascii="Times New Roman" w:hAnsi="Times New Roman" w:cs="Times New Roman"/>
                <w:sz w:val="20"/>
                <w:szCs w:val="20"/>
                <w:lang w:val="en-US"/>
              </w:rPr>
            </w:pPr>
          </w:p>
        </w:tc>
      </w:tr>
      <w:tr w:rsidR="008D6255" w:rsidRPr="00622F6C" w14:paraId="1281F41E" w14:textId="77777777" w:rsidTr="008D6255">
        <w:tc>
          <w:tcPr>
            <w:tcW w:w="2139" w:type="pct"/>
          </w:tcPr>
          <w:p w14:paraId="061A0706" w14:textId="77777777" w:rsidR="008D6255" w:rsidRPr="004A72BC" w:rsidRDefault="008D6255" w:rsidP="008D6255">
            <w:pPr>
              <w:numPr>
                <w:ilvl w:val="0"/>
                <w:numId w:val="32"/>
              </w:numPr>
              <w:ind w:left="426" w:hanging="426"/>
              <w:contextualSpacing/>
              <w:jc w:val="both"/>
              <w:rPr>
                <w:rFonts w:ascii="Times New Roman" w:hAnsi="Times New Roman" w:cs="Times New Roman"/>
                <w:sz w:val="20"/>
                <w:szCs w:val="20"/>
                <w:lang w:val="en-US"/>
              </w:rPr>
            </w:pPr>
            <w:r w:rsidRPr="004A72BC">
              <w:rPr>
                <w:rFonts w:ascii="Times New Roman" w:hAnsi="Times New Roman" w:cs="Times New Roman"/>
                <w:sz w:val="20"/>
                <w:szCs w:val="20"/>
                <w:lang w:val="en-US"/>
              </w:rPr>
              <w:t>Remove non-UK</w:t>
            </w:r>
            <w:r w:rsidR="000C496D" w:rsidRPr="004A72BC">
              <w:rPr>
                <w:rFonts w:ascii="Times New Roman" w:hAnsi="Times New Roman" w:cs="Times New Roman"/>
                <w:sz w:val="20"/>
                <w:szCs w:val="20"/>
                <w:lang w:val="en-US"/>
              </w:rPr>
              <w:t>-</w:t>
            </w:r>
            <w:r w:rsidRPr="004A72BC">
              <w:rPr>
                <w:rFonts w:ascii="Times New Roman" w:hAnsi="Times New Roman" w:cs="Times New Roman"/>
                <w:sz w:val="20"/>
                <w:szCs w:val="20"/>
                <w:lang w:val="en-US"/>
              </w:rPr>
              <w:t>domiciled companies</w:t>
            </w:r>
          </w:p>
        </w:tc>
        <w:tc>
          <w:tcPr>
            <w:tcW w:w="1430" w:type="pct"/>
          </w:tcPr>
          <w:p w14:paraId="2F8C11ED"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Worldscope item WC06026</w:t>
            </w:r>
          </w:p>
        </w:tc>
        <w:tc>
          <w:tcPr>
            <w:tcW w:w="1430" w:type="pct"/>
          </w:tcPr>
          <w:p w14:paraId="2B987309" w14:textId="77777777" w:rsidR="008D6255" w:rsidRPr="004A72BC" w:rsidRDefault="008D6255" w:rsidP="008D6255">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536</w:t>
            </w:r>
          </w:p>
        </w:tc>
      </w:tr>
      <w:tr w:rsidR="008D6255" w:rsidRPr="00622F6C" w14:paraId="674F7609" w14:textId="77777777" w:rsidTr="008D6255">
        <w:tc>
          <w:tcPr>
            <w:tcW w:w="2139" w:type="pct"/>
          </w:tcPr>
          <w:p w14:paraId="1E7EE031" w14:textId="77777777" w:rsidR="008D6255" w:rsidRPr="004A72BC" w:rsidRDefault="008D6255" w:rsidP="008D6255">
            <w:pPr>
              <w:jc w:val="both"/>
              <w:rPr>
                <w:rFonts w:ascii="Times New Roman" w:hAnsi="Times New Roman" w:cs="Times New Roman"/>
                <w:sz w:val="20"/>
                <w:szCs w:val="20"/>
                <w:lang w:val="en-US"/>
              </w:rPr>
            </w:pPr>
          </w:p>
        </w:tc>
        <w:tc>
          <w:tcPr>
            <w:tcW w:w="1430" w:type="pct"/>
          </w:tcPr>
          <w:p w14:paraId="046B819C" w14:textId="77777777" w:rsidR="008D6255" w:rsidRPr="004A72BC" w:rsidRDefault="008D6255" w:rsidP="00685C01">
            <w:pPr>
              <w:jc w:val="center"/>
              <w:rPr>
                <w:rFonts w:ascii="Times New Roman" w:hAnsi="Times New Roman" w:cs="Times New Roman"/>
                <w:sz w:val="20"/>
                <w:szCs w:val="20"/>
                <w:lang w:val="en-US"/>
              </w:rPr>
            </w:pPr>
          </w:p>
        </w:tc>
        <w:tc>
          <w:tcPr>
            <w:tcW w:w="1430" w:type="pct"/>
          </w:tcPr>
          <w:p w14:paraId="2B57EDED" w14:textId="77777777" w:rsidR="008D6255" w:rsidRPr="004A72BC" w:rsidRDefault="008D6255" w:rsidP="008D6255">
            <w:pPr>
              <w:jc w:val="center"/>
              <w:rPr>
                <w:rFonts w:ascii="Times New Roman" w:hAnsi="Times New Roman" w:cs="Times New Roman"/>
                <w:sz w:val="20"/>
                <w:szCs w:val="20"/>
                <w:lang w:val="en-US"/>
              </w:rPr>
            </w:pPr>
          </w:p>
        </w:tc>
      </w:tr>
      <w:tr w:rsidR="008D6255" w:rsidRPr="00622F6C" w14:paraId="432A36A0" w14:textId="77777777" w:rsidTr="008D6255">
        <w:tc>
          <w:tcPr>
            <w:tcW w:w="2139" w:type="pct"/>
          </w:tcPr>
          <w:p w14:paraId="6E702869" w14:textId="77777777" w:rsidR="008D6255" w:rsidRPr="004A72BC" w:rsidRDefault="008D6255" w:rsidP="008D6255">
            <w:pPr>
              <w:numPr>
                <w:ilvl w:val="0"/>
                <w:numId w:val="32"/>
              </w:numPr>
              <w:ind w:left="426" w:hanging="426"/>
              <w:contextualSpacing/>
              <w:rPr>
                <w:rFonts w:ascii="Times New Roman" w:hAnsi="Times New Roman" w:cs="Times New Roman"/>
                <w:sz w:val="20"/>
                <w:szCs w:val="20"/>
                <w:lang w:val="en-US"/>
              </w:rPr>
            </w:pPr>
            <w:r w:rsidRPr="004A72BC">
              <w:rPr>
                <w:rFonts w:ascii="Times New Roman" w:hAnsi="Times New Roman" w:cs="Times New Roman"/>
                <w:sz w:val="20"/>
                <w:szCs w:val="20"/>
                <w:lang w:val="en-US"/>
              </w:rPr>
              <w:t>Remove companies without stock prices available between March 11, 2013 and March 26, 2015</w:t>
            </w:r>
          </w:p>
          <w:p w14:paraId="5FCB289F" w14:textId="77777777" w:rsidR="008D6255" w:rsidRPr="004A72BC" w:rsidRDefault="008D6255" w:rsidP="008D6255">
            <w:pPr>
              <w:jc w:val="both"/>
              <w:rPr>
                <w:rFonts w:ascii="Times New Roman" w:hAnsi="Times New Roman" w:cs="Times New Roman"/>
                <w:sz w:val="20"/>
                <w:szCs w:val="20"/>
                <w:lang w:val="en-US"/>
              </w:rPr>
            </w:pPr>
          </w:p>
          <w:p w14:paraId="0FE24BEF" w14:textId="77777777" w:rsidR="008D6255" w:rsidRPr="004A72BC" w:rsidRDefault="008D6255" w:rsidP="008D6255">
            <w:pPr>
              <w:numPr>
                <w:ilvl w:val="0"/>
                <w:numId w:val="32"/>
              </w:numPr>
              <w:ind w:left="426" w:hanging="426"/>
              <w:contextualSpacing/>
              <w:jc w:val="both"/>
              <w:rPr>
                <w:rFonts w:ascii="Times New Roman" w:hAnsi="Times New Roman" w:cs="Times New Roman"/>
                <w:sz w:val="20"/>
                <w:szCs w:val="20"/>
                <w:lang w:val="en-US"/>
              </w:rPr>
            </w:pPr>
            <w:r w:rsidRPr="004A72BC">
              <w:rPr>
                <w:rFonts w:ascii="Times New Roman" w:hAnsi="Times New Roman" w:cs="Times New Roman"/>
                <w:sz w:val="20"/>
                <w:szCs w:val="20"/>
                <w:lang w:val="en-US"/>
              </w:rPr>
              <w:t>Remove investment trusts and private equity firms</w:t>
            </w:r>
          </w:p>
          <w:p w14:paraId="7787C013" w14:textId="77777777" w:rsidR="008D6255" w:rsidRPr="004A72BC" w:rsidRDefault="008D6255" w:rsidP="008D6255">
            <w:pPr>
              <w:ind w:left="720"/>
              <w:contextualSpacing/>
              <w:rPr>
                <w:rFonts w:ascii="Times New Roman" w:hAnsi="Times New Roman" w:cs="Times New Roman"/>
                <w:sz w:val="20"/>
                <w:szCs w:val="20"/>
                <w:lang w:val="en-US"/>
              </w:rPr>
            </w:pPr>
          </w:p>
          <w:p w14:paraId="2DE09835" w14:textId="77777777" w:rsidR="008D6255" w:rsidRPr="004A72BC" w:rsidRDefault="008D6255" w:rsidP="008D6255">
            <w:pPr>
              <w:numPr>
                <w:ilvl w:val="0"/>
                <w:numId w:val="32"/>
              </w:numPr>
              <w:ind w:left="426" w:hanging="426"/>
              <w:contextualSpacing/>
              <w:jc w:val="both"/>
              <w:rPr>
                <w:rFonts w:ascii="Times New Roman" w:hAnsi="Times New Roman" w:cs="Times New Roman"/>
                <w:sz w:val="20"/>
                <w:szCs w:val="20"/>
                <w:lang w:val="en-US"/>
              </w:rPr>
            </w:pPr>
            <w:r w:rsidRPr="004A72BC">
              <w:rPr>
                <w:rFonts w:ascii="Times New Roman" w:hAnsi="Times New Roman" w:cs="Times New Roman"/>
                <w:sz w:val="20"/>
                <w:szCs w:val="20"/>
                <w:lang w:val="en-US"/>
              </w:rPr>
              <w:t>Remove companies with annual sales lower than £36 million or no annual sales figure available</w:t>
            </w:r>
          </w:p>
          <w:p w14:paraId="1C3BF41C" w14:textId="77777777" w:rsidR="008D6255" w:rsidRPr="004A72BC" w:rsidRDefault="008D6255" w:rsidP="008D6255">
            <w:pPr>
              <w:ind w:left="720"/>
              <w:contextualSpacing/>
              <w:rPr>
                <w:rFonts w:ascii="Times New Roman" w:hAnsi="Times New Roman" w:cs="Times New Roman"/>
                <w:sz w:val="20"/>
                <w:szCs w:val="20"/>
                <w:lang w:val="en-US"/>
              </w:rPr>
            </w:pPr>
          </w:p>
          <w:p w14:paraId="43109B42" w14:textId="77777777" w:rsidR="008D6255" w:rsidRPr="004A72BC" w:rsidRDefault="008D6255" w:rsidP="008D6255">
            <w:pPr>
              <w:numPr>
                <w:ilvl w:val="0"/>
                <w:numId w:val="32"/>
              </w:numPr>
              <w:ind w:left="426" w:hanging="426"/>
              <w:contextualSpacing/>
              <w:jc w:val="both"/>
              <w:rPr>
                <w:rFonts w:ascii="Times New Roman" w:hAnsi="Times New Roman" w:cs="Times New Roman"/>
                <w:sz w:val="20"/>
                <w:szCs w:val="20"/>
                <w:lang w:val="en-US"/>
              </w:rPr>
            </w:pPr>
            <w:r w:rsidRPr="004A72BC">
              <w:rPr>
                <w:rFonts w:ascii="Times New Roman" w:hAnsi="Times New Roman" w:cs="Times New Roman"/>
                <w:sz w:val="20"/>
                <w:szCs w:val="20"/>
                <w:lang w:val="en-US"/>
              </w:rPr>
              <w:t>Remove companies with missing data for independent variables used in baseline cross-sectional analysis</w:t>
            </w:r>
          </w:p>
        </w:tc>
        <w:tc>
          <w:tcPr>
            <w:tcW w:w="1430" w:type="pct"/>
          </w:tcPr>
          <w:p w14:paraId="6F20F895"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Datastream item P#S</w:t>
            </w:r>
          </w:p>
          <w:p w14:paraId="5EED6284" w14:textId="77777777" w:rsidR="008D6255" w:rsidRPr="004A72BC" w:rsidRDefault="008D6255" w:rsidP="00685C01">
            <w:pPr>
              <w:jc w:val="center"/>
              <w:rPr>
                <w:rFonts w:ascii="Times New Roman" w:hAnsi="Times New Roman" w:cs="Times New Roman"/>
                <w:sz w:val="20"/>
                <w:szCs w:val="20"/>
                <w:lang w:val="en-US"/>
              </w:rPr>
            </w:pPr>
          </w:p>
          <w:p w14:paraId="53E93B7E" w14:textId="77777777" w:rsidR="008D6255" w:rsidRPr="004A72BC" w:rsidRDefault="008D6255" w:rsidP="00685C01">
            <w:pPr>
              <w:jc w:val="center"/>
              <w:rPr>
                <w:rFonts w:ascii="Times New Roman" w:hAnsi="Times New Roman" w:cs="Times New Roman"/>
                <w:sz w:val="20"/>
                <w:szCs w:val="20"/>
                <w:lang w:val="en-US"/>
              </w:rPr>
            </w:pPr>
          </w:p>
          <w:p w14:paraId="359C2CF0"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Datastream item INDM</w:t>
            </w:r>
          </w:p>
          <w:p w14:paraId="4374B6B3" w14:textId="77777777" w:rsidR="008D6255" w:rsidRPr="004A72BC" w:rsidRDefault="008D6255" w:rsidP="00685C01">
            <w:pPr>
              <w:jc w:val="center"/>
              <w:rPr>
                <w:rFonts w:ascii="Times New Roman" w:hAnsi="Times New Roman" w:cs="Times New Roman"/>
                <w:sz w:val="20"/>
                <w:szCs w:val="20"/>
                <w:lang w:val="en-US"/>
              </w:rPr>
            </w:pPr>
          </w:p>
          <w:p w14:paraId="6F91BDC0"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Worldscope item WC01001</w:t>
            </w:r>
          </w:p>
          <w:p w14:paraId="45296EF4" w14:textId="77777777" w:rsidR="008D6255" w:rsidRPr="004A72BC" w:rsidRDefault="008D6255" w:rsidP="00685C01">
            <w:pPr>
              <w:jc w:val="center"/>
              <w:rPr>
                <w:rFonts w:ascii="Times New Roman" w:hAnsi="Times New Roman" w:cs="Times New Roman"/>
                <w:sz w:val="20"/>
                <w:szCs w:val="20"/>
                <w:lang w:val="en-US"/>
              </w:rPr>
            </w:pPr>
          </w:p>
          <w:p w14:paraId="61925863" w14:textId="77777777" w:rsidR="008D6255" w:rsidRPr="004A72BC" w:rsidRDefault="008D6255" w:rsidP="00685C01">
            <w:pPr>
              <w:jc w:val="center"/>
              <w:rPr>
                <w:rFonts w:ascii="Times New Roman" w:hAnsi="Times New Roman" w:cs="Times New Roman"/>
                <w:sz w:val="20"/>
                <w:szCs w:val="20"/>
                <w:lang w:val="en-US"/>
              </w:rPr>
            </w:pPr>
          </w:p>
          <w:p w14:paraId="4655AE53" w14:textId="77777777" w:rsidR="008D6255" w:rsidRPr="004A72BC" w:rsidRDefault="008D6255" w:rsidP="00685C01">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 xml:space="preserve">Outlined in the </w:t>
            </w:r>
            <w:r w:rsidR="000C496D" w:rsidRPr="004A72BC">
              <w:rPr>
                <w:rFonts w:ascii="Times New Roman" w:hAnsi="Times New Roman" w:cs="Times New Roman"/>
                <w:sz w:val="20"/>
                <w:szCs w:val="20"/>
                <w:lang w:val="en-US"/>
              </w:rPr>
              <w:t>appendix</w:t>
            </w:r>
          </w:p>
        </w:tc>
        <w:tc>
          <w:tcPr>
            <w:tcW w:w="1430" w:type="pct"/>
          </w:tcPr>
          <w:p w14:paraId="600D7041" w14:textId="77777777" w:rsidR="008D6255" w:rsidRPr="004A72BC" w:rsidRDefault="008D6255" w:rsidP="008D6255">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511</w:t>
            </w:r>
          </w:p>
          <w:p w14:paraId="7E98601A" w14:textId="77777777" w:rsidR="008D6255" w:rsidRPr="004A72BC" w:rsidRDefault="008D6255" w:rsidP="008D6255">
            <w:pPr>
              <w:jc w:val="center"/>
              <w:rPr>
                <w:rFonts w:ascii="Times New Roman" w:hAnsi="Times New Roman" w:cs="Times New Roman"/>
                <w:sz w:val="20"/>
                <w:szCs w:val="20"/>
                <w:lang w:val="en-US"/>
              </w:rPr>
            </w:pPr>
          </w:p>
          <w:p w14:paraId="36ABB444" w14:textId="77777777" w:rsidR="008D6255" w:rsidRPr="004A72BC" w:rsidRDefault="008D6255" w:rsidP="008D6255">
            <w:pPr>
              <w:jc w:val="center"/>
              <w:rPr>
                <w:rFonts w:ascii="Times New Roman" w:hAnsi="Times New Roman" w:cs="Times New Roman"/>
                <w:sz w:val="20"/>
                <w:szCs w:val="20"/>
                <w:lang w:val="en-US"/>
              </w:rPr>
            </w:pPr>
          </w:p>
          <w:p w14:paraId="742F610D" w14:textId="77777777" w:rsidR="008D6255" w:rsidRPr="004A72BC" w:rsidRDefault="008D6255" w:rsidP="008D6255">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372</w:t>
            </w:r>
          </w:p>
          <w:p w14:paraId="58AB3372" w14:textId="77777777" w:rsidR="008D6255" w:rsidRPr="004A72BC" w:rsidRDefault="008D6255" w:rsidP="008D6255">
            <w:pPr>
              <w:jc w:val="center"/>
              <w:rPr>
                <w:rFonts w:ascii="Times New Roman" w:hAnsi="Times New Roman" w:cs="Times New Roman"/>
                <w:sz w:val="20"/>
                <w:szCs w:val="20"/>
                <w:lang w:val="en-US"/>
              </w:rPr>
            </w:pPr>
          </w:p>
          <w:p w14:paraId="3AE182D7" w14:textId="77777777" w:rsidR="008D6255" w:rsidRPr="004A72BC" w:rsidRDefault="008D6255" w:rsidP="008D6255">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357</w:t>
            </w:r>
          </w:p>
          <w:p w14:paraId="7865578E" w14:textId="77777777" w:rsidR="008D6255" w:rsidRPr="004A72BC" w:rsidRDefault="008D6255" w:rsidP="008D6255">
            <w:pPr>
              <w:jc w:val="center"/>
              <w:rPr>
                <w:rFonts w:ascii="Times New Roman" w:hAnsi="Times New Roman" w:cs="Times New Roman"/>
                <w:sz w:val="20"/>
                <w:szCs w:val="20"/>
                <w:lang w:val="en-US"/>
              </w:rPr>
            </w:pPr>
          </w:p>
          <w:p w14:paraId="62DCE08A" w14:textId="77777777" w:rsidR="008D6255" w:rsidRPr="004A72BC" w:rsidRDefault="008D6255" w:rsidP="008D6255">
            <w:pPr>
              <w:jc w:val="center"/>
              <w:rPr>
                <w:rFonts w:ascii="Times New Roman" w:hAnsi="Times New Roman" w:cs="Times New Roman"/>
                <w:sz w:val="20"/>
                <w:szCs w:val="20"/>
                <w:lang w:val="en-US"/>
              </w:rPr>
            </w:pPr>
          </w:p>
          <w:p w14:paraId="4E9EF502" w14:textId="77777777" w:rsidR="008D6255" w:rsidRPr="004A72BC" w:rsidRDefault="008D6255" w:rsidP="008D6255">
            <w:pPr>
              <w:jc w:val="center"/>
              <w:rPr>
                <w:rFonts w:ascii="Times New Roman" w:hAnsi="Times New Roman" w:cs="Times New Roman"/>
                <w:sz w:val="20"/>
                <w:szCs w:val="20"/>
                <w:lang w:val="en-US"/>
              </w:rPr>
            </w:pPr>
            <w:r w:rsidRPr="004A72BC">
              <w:rPr>
                <w:rFonts w:ascii="Times New Roman" w:hAnsi="Times New Roman" w:cs="Times New Roman"/>
                <w:sz w:val="20"/>
                <w:szCs w:val="20"/>
                <w:lang w:val="en-US"/>
              </w:rPr>
              <w:t>205</w:t>
            </w:r>
          </w:p>
        </w:tc>
      </w:tr>
    </w:tbl>
    <w:p w14:paraId="457E7D5A" w14:textId="77777777" w:rsidR="008D6255" w:rsidRPr="00622F6C" w:rsidRDefault="008D6255" w:rsidP="008D6255">
      <w:pPr>
        <w:jc w:val="both"/>
        <w:rPr>
          <w:rFonts w:ascii="Times New Roman" w:hAnsi="Times New Roman" w:cs="Times New Roman"/>
          <w:sz w:val="20"/>
          <w:szCs w:val="20"/>
          <w:lang w:val="en-US"/>
        </w:rPr>
      </w:pPr>
      <w:r w:rsidRPr="00622F6C">
        <w:rPr>
          <w:rFonts w:ascii="Times New Roman" w:hAnsi="Times New Roman" w:cs="Times New Roman"/>
          <w:i/>
          <w:sz w:val="20"/>
          <w:szCs w:val="20"/>
          <w:lang w:val="en-US"/>
        </w:rPr>
        <w:t>Notes:</w:t>
      </w:r>
      <w:r w:rsidRPr="00622F6C">
        <w:rPr>
          <w:rFonts w:ascii="Times New Roman" w:hAnsi="Times New Roman" w:cs="Times New Roman"/>
          <w:sz w:val="20"/>
          <w:szCs w:val="20"/>
          <w:lang w:val="en-US"/>
        </w:rPr>
        <w:t xml:space="preserve"> This table describes the steps in the data collection procedure </w:t>
      </w:r>
      <w:r w:rsidR="000C496D">
        <w:rPr>
          <w:rFonts w:ascii="Times New Roman" w:hAnsi="Times New Roman" w:cs="Times New Roman"/>
          <w:sz w:val="20"/>
          <w:szCs w:val="20"/>
          <w:lang w:val="en-US"/>
        </w:rPr>
        <w:t>for</w:t>
      </w:r>
      <w:r w:rsidR="000C496D"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the sample of UK-domiciled companies used for the baseline univariate and cross-sectional tests. We download the FTSE All-Share Index components as of March 11, 2013 (event 1). We obtain this list of constituents through </w:t>
      </w:r>
      <w:r w:rsidRPr="004C7B14">
        <w:rPr>
          <w:rFonts w:ascii="Times New Roman" w:hAnsi="Times New Roman" w:cs="Times New Roman"/>
          <w:sz w:val="20"/>
          <w:szCs w:val="20"/>
          <w:lang w:val="en-US"/>
        </w:rPr>
        <w:t xml:space="preserve">Datastream item </w:t>
      </w:r>
      <w:hyperlink r:id="rId37" w:history="1">
        <w:r w:rsidRPr="004C7B14">
          <w:rPr>
            <w:rFonts w:ascii="Times New Roman" w:hAnsi="Times New Roman" w:cs="Times New Roman"/>
            <w:sz w:val="20"/>
            <w:szCs w:val="20"/>
            <w:lang w:val="en-US"/>
          </w:rPr>
          <w:t>FTALLSH</w:t>
        </w:r>
      </w:hyperlink>
      <w:r w:rsidRPr="004C7B14">
        <w:rPr>
          <w:rFonts w:ascii="Times New Roman" w:hAnsi="Times New Roman" w:cs="Times New Roman"/>
          <w:sz w:val="20"/>
          <w:szCs w:val="20"/>
          <w:lang w:val="en-US"/>
        </w:rPr>
        <w:t>.</w:t>
      </w:r>
      <w:r w:rsidR="00685C01" w:rsidRPr="00622F6C">
        <w:rPr>
          <w:rFonts w:ascii="Times New Roman" w:hAnsi="Times New Roman" w:cs="Times New Roman"/>
          <w:sz w:val="20"/>
          <w:szCs w:val="20"/>
          <w:lang w:val="en-US"/>
        </w:rPr>
        <w:t xml:space="preserve"> As of step (2), t</w:t>
      </w:r>
      <w:r w:rsidRPr="00622F6C">
        <w:rPr>
          <w:rFonts w:ascii="Times New Roman" w:hAnsi="Times New Roman" w:cs="Times New Roman"/>
          <w:sz w:val="20"/>
          <w:szCs w:val="20"/>
          <w:lang w:val="en-US"/>
        </w:rPr>
        <w:t xml:space="preserve">he data sources column mentions the data items used to </w:t>
      </w:r>
      <w:r w:rsidR="000C496D" w:rsidRPr="00622F6C">
        <w:rPr>
          <w:rFonts w:ascii="Times New Roman" w:hAnsi="Times New Roman" w:cs="Times New Roman"/>
          <w:sz w:val="20"/>
          <w:szCs w:val="20"/>
          <w:lang w:val="en-US"/>
        </w:rPr>
        <w:t>de</w:t>
      </w:r>
      <w:r w:rsidR="000C496D">
        <w:rPr>
          <w:rFonts w:ascii="Times New Roman" w:hAnsi="Times New Roman" w:cs="Times New Roman"/>
          <w:sz w:val="20"/>
          <w:szCs w:val="20"/>
          <w:lang w:val="en-US"/>
        </w:rPr>
        <w:t>termin</w:t>
      </w:r>
      <w:r w:rsidR="000C496D" w:rsidRPr="00622F6C">
        <w:rPr>
          <w:rFonts w:ascii="Times New Roman" w:hAnsi="Times New Roman" w:cs="Times New Roman"/>
          <w:sz w:val="20"/>
          <w:szCs w:val="20"/>
          <w:lang w:val="en-US"/>
        </w:rPr>
        <w:t xml:space="preserve">e </w:t>
      </w:r>
      <w:r w:rsidRPr="00622F6C">
        <w:rPr>
          <w:rFonts w:ascii="Times New Roman" w:hAnsi="Times New Roman" w:cs="Times New Roman"/>
          <w:sz w:val="20"/>
          <w:szCs w:val="20"/>
          <w:lang w:val="en-US"/>
        </w:rPr>
        <w:t xml:space="preserve">the exclusion of observations. We measure </w:t>
      </w:r>
      <w:r w:rsidR="005A351A">
        <w:rPr>
          <w:rFonts w:ascii="Times New Roman" w:hAnsi="Times New Roman" w:cs="Times New Roman"/>
          <w:sz w:val="20"/>
          <w:szCs w:val="20"/>
          <w:lang w:val="en-US"/>
        </w:rPr>
        <w:t>data</w:t>
      </w:r>
      <w:r w:rsidR="005A351A"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items </w:t>
      </w:r>
      <w:r w:rsidR="005A351A">
        <w:rPr>
          <w:rFonts w:ascii="Times New Roman" w:hAnsi="Times New Roman" w:cs="Times New Roman"/>
          <w:sz w:val="20"/>
          <w:szCs w:val="20"/>
          <w:lang w:val="en-US"/>
        </w:rPr>
        <w:t>WC</w:t>
      </w:r>
      <w:r w:rsidRPr="00622F6C">
        <w:rPr>
          <w:rFonts w:ascii="Times New Roman" w:hAnsi="Times New Roman" w:cs="Times New Roman"/>
          <w:sz w:val="20"/>
          <w:szCs w:val="20"/>
          <w:lang w:val="en-US"/>
        </w:rPr>
        <w:t xml:space="preserve">06026 and INDM as of December 31, 2012, and </w:t>
      </w:r>
      <w:r w:rsidR="005A351A">
        <w:rPr>
          <w:rFonts w:ascii="Times New Roman" w:hAnsi="Times New Roman" w:cs="Times New Roman"/>
          <w:sz w:val="20"/>
          <w:szCs w:val="20"/>
          <w:lang w:val="en-US"/>
        </w:rPr>
        <w:t>data</w:t>
      </w:r>
      <w:r w:rsidR="005A351A"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item 01001 as of the </w:t>
      </w:r>
      <w:r w:rsidR="000C496D">
        <w:rPr>
          <w:rFonts w:ascii="Times New Roman" w:hAnsi="Times New Roman" w:cs="Times New Roman"/>
          <w:sz w:val="20"/>
          <w:szCs w:val="20"/>
          <w:lang w:val="en-US"/>
        </w:rPr>
        <w:t xml:space="preserve">last </w:t>
      </w:r>
      <w:r w:rsidRPr="00622F6C">
        <w:rPr>
          <w:rFonts w:ascii="Times New Roman" w:hAnsi="Times New Roman" w:cs="Times New Roman"/>
          <w:sz w:val="20"/>
          <w:szCs w:val="20"/>
          <w:lang w:val="en-US"/>
        </w:rPr>
        <w:t>fiscal year end before March 11, 2013. The number of observations (</w:t>
      </w:r>
      <w:r w:rsidRPr="00622F6C">
        <w:rPr>
          <w:rFonts w:ascii="Times New Roman" w:hAnsi="Times New Roman" w:cs="Times New Roman"/>
          <w:i/>
          <w:sz w:val="20"/>
          <w:szCs w:val="20"/>
          <w:lang w:val="en-US"/>
        </w:rPr>
        <w:t>N</w:t>
      </w:r>
      <w:r w:rsidRPr="00622F6C">
        <w:rPr>
          <w:rFonts w:ascii="Times New Roman" w:hAnsi="Times New Roman" w:cs="Times New Roman"/>
          <w:sz w:val="20"/>
          <w:szCs w:val="20"/>
          <w:lang w:val="en-US"/>
        </w:rPr>
        <w:t>) mentioned for each sample</w:t>
      </w:r>
      <w:r w:rsidR="000C496D">
        <w:rPr>
          <w:rFonts w:ascii="Times New Roman" w:hAnsi="Times New Roman" w:cs="Times New Roman"/>
          <w:sz w:val="20"/>
          <w:szCs w:val="20"/>
          <w:lang w:val="en-US"/>
        </w:rPr>
        <w:t>-</w:t>
      </w:r>
      <w:r w:rsidRPr="00622F6C">
        <w:rPr>
          <w:rFonts w:ascii="Times New Roman" w:hAnsi="Times New Roman" w:cs="Times New Roman"/>
          <w:sz w:val="20"/>
          <w:szCs w:val="20"/>
          <w:lang w:val="en-US"/>
        </w:rPr>
        <w:t xml:space="preserve">cleaning step is calculated as the number resulting from the previous cleaning step, minus the incremental number of observations eliminated from that cleaning step. We use the sample resulting from step (5) as the baseline sample for the univariate tests (Table 3) and the sample resulting from step (6) as the baseline sample for the cross-sectional tests (Table 5). </w:t>
      </w:r>
    </w:p>
    <w:p w14:paraId="209BCEBF"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br w:type="page"/>
      </w:r>
    </w:p>
    <w:p w14:paraId="14574231" w14:textId="52C979EE" w:rsidR="008D6255" w:rsidRPr="00622F6C" w:rsidRDefault="008D6255" w:rsidP="008D6255">
      <w:pPr>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 xml:space="preserve">Table 3: </w:t>
      </w:r>
      <w:r w:rsidR="008E0F19">
        <w:rPr>
          <w:rFonts w:ascii="Times New Roman" w:hAnsi="Times New Roman" w:cs="Times New Roman"/>
          <w:b/>
          <w:sz w:val="20"/>
          <w:szCs w:val="20"/>
          <w:lang w:val="en-US"/>
        </w:rPr>
        <w:t>Univariate analysis of s</w:t>
      </w:r>
      <w:r w:rsidRPr="00622F6C">
        <w:rPr>
          <w:rFonts w:ascii="Times New Roman" w:hAnsi="Times New Roman" w:cs="Times New Roman"/>
          <w:b/>
          <w:sz w:val="20"/>
          <w:szCs w:val="20"/>
          <w:lang w:val="en-US"/>
        </w:rPr>
        <w:t>tock price reactions to the MSA</w:t>
      </w:r>
    </w:p>
    <w:p w14:paraId="72930C3E" w14:textId="77777777" w:rsidR="008D6255" w:rsidRPr="00622F6C" w:rsidRDefault="008D6255" w:rsidP="008D6255">
      <w:pPr>
        <w:spacing w:after="0"/>
        <w:jc w:val="both"/>
        <w:rPr>
          <w:rFonts w:ascii="Times New Roman" w:hAnsi="Times New Roman" w:cs="Times New Roman"/>
          <w:i/>
          <w:sz w:val="20"/>
          <w:szCs w:val="20"/>
          <w:lang w:val="en-US"/>
        </w:rPr>
      </w:pPr>
      <w:r w:rsidRPr="00622F6C">
        <w:rPr>
          <w:rFonts w:ascii="Times New Roman" w:hAnsi="Times New Roman" w:cs="Times New Roman"/>
          <w:i/>
          <w:sz w:val="20"/>
          <w:szCs w:val="20"/>
          <w:lang w:val="en-US"/>
        </w:rPr>
        <w:t xml:space="preserve">Panel A: </w:t>
      </w:r>
      <w:r w:rsidR="00641926">
        <w:rPr>
          <w:rFonts w:ascii="Times New Roman" w:hAnsi="Times New Roman" w:cs="Times New Roman"/>
          <w:i/>
          <w:sz w:val="20"/>
          <w:szCs w:val="20"/>
          <w:lang w:val="en-US"/>
        </w:rPr>
        <w:t>Average</w:t>
      </w:r>
      <w:r w:rsidR="003A4E2F">
        <w:rPr>
          <w:rFonts w:ascii="Times New Roman" w:hAnsi="Times New Roman" w:cs="Times New Roman"/>
          <w:i/>
          <w:sz w:val="20"/>
          <w:szCs w:val="20"/>
          <w:lang w:val="en-US"/>
        </w:rPr>
        <w:t xml:space="preserve"> abnormal return</w:t>
      </w:r>
      <w:r w:rsidR="008130E4">
        <w:rPr>
          <w:rFonts w:ascii="Times New Roman" w:hAnsi="Times New Roman" w:cs="Times New Roman"/>
          <w:i/>
          <w:sz w:val="20"/>
          <w:szCs w:val="20"/>
          <w:lang w:val="en-US"/>
        </w:rPr>
        <w:t xml:space="preserve"> </w:t>
      </w:r>
      <w:r w:rsidR="003A4E2F">
        <w:rPr>
          <w:rFonts w:ascii="Times New Roman" w:hAnsi="Times New Roman" w:cs="Times New Roman"/>
          <w:i/>
          <w:sz w:val="20"/>
          <w:szCs w:val="20"/>
          <w:lang w:val="en-US"/>
        </w:rPr>
        <w:t xml:space="preserve">per event, estimated over eight events combined, </w:t>
      </w:r>
      <w:r w:rsidR="007C56E6">
        <w:rPr>
          <w:rFonts w:ascii="Times New Roman" w:hAnsi="Times New Roman" w:cs="Times New Roman"/>
          <w:i/>
          <w:sz w:val="20"/>
          <w:szCs w:val="20"/>
          <w:lang w:val="en-US"/>
        </w:rPr>
        <w:t xml:space="preserve">for baseline sample </w:t>
      </w:r>
    </w:p>
    <w:tbl>
      <w:tblPr>
        <w:tblStyle w:val="TableGrid11"/>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89"/>
        <w:gridCol w:w="2789"/>
        <w:gridCol w:w="2797"/>
        <w:gridCol w:w="2792"/>
      </w:tblGrid>
      <w:tr w:rsidR="008D6255" w:rsidRPr="00622F6C" w14:paraId="4F6CD0B7" w14:textId="77777777" w:rsidTr="008D6255">
        <w:tc>
          <w:tcPr>
            <w:tcW w:w="1000" w:type="pct"/>
            <w:vMerge w:val="restart"/>
            <w:tcBorders>
              <w:top w:val="single" w:sz="4" w:space="0" w:color="auto"/>
            </w:tcBorders>
          </w:tcPr>
          <w:p w14:paraId="0E499A71" w14:textId="77777777" w:rsidR="008D6255" w:rsidRPr="00622F6C" w:rsidRDefault="008D6255" w:rsidP="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Event window</w:t>
            </w:r>
          </w:p>
        </w:tc>
        <w:tc>
          <w:tcPr>
            <w:tcW w:w="4000" w:type="pct"/>
            <w:gridSpan w:val="4"/>
            <w:tcBorders>
              <w:top w:val="single" w:sz="4" w:space="0" w:color="auto"/>
              <w:bottom w:val="single" w:sz="4" w:space="0" w:color="auto"/>
            </w:tcBorders>
          </w:tcPr>
          <w:p w14:paraId="38B69487" w14:textId="77777777" w:rsidR="008D6255" w:rsidRPr="00622F6C" w:rsidRDefault="00F9130B" w:rsidP="00F22D5D">
            <w:pPr>
              <w:jc w:val="center"/>
              <w:rPr>
                <w:rFonts w:ascii="Times New Roman" w:eastAsia="Calibri"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m:t>
                    </m:r>
                  </m:sub>
                </m:sSub>
              </m:oMath>
            </m:oMathPara>
          </w:p>
        </w:tc>
      </w:tr>
      <w:tr w:rsidR="008D6255" w:rsidRPr="00622F6C" w14:paraId="6579DFDC" w14:textId="77777777" w:rsidTr="008D6255">
        <w:tc>
          <w:tcPr>
            <w:tcW w:w="1000" w:type="pct"/>
            <w:vMerge/>
            <w:tcBorders>
              <w:bottom w:val="single" w:sz="4" w:space="0" w:color="auto"/>
            </w:tcBorders>
          </w:tcPr>
          <w:p w14:paraId="1C8FD5DF" w14:textId="77777777" w:rsidR="008D6255" w:rsidRPr="00622F6C" w:rsidRDefault="008D6255" w:rsidP="008D6255">
            <w:pPr>
              <w:jc w:val="both"/>
              <w:rPr>
                <w:rFonts w:ascii="Times New Roman" w:hAnsi="Times New Roman" w:cs="Times New Roman"/>
                <w:sz w:val="20"/>
                <w:szCs w:val="20"/>
                <w:lang w:val="en-US"/>
              </w:rPr>
            </w:pPr>
          </w:p>
        </w:tc>
        <w:tc>
          <w:tcPr>
            <w:tcW w:w="999" w:type="pct"/>
            <w:tcBorders>
              <w:top w:val="single" w:sz="4" w:space="0" w:color="auto"/>
              <w:bottom w:val="single" w:sz="4" w:space="0" w:color="auto"/>
            </w:tcBorders>
          </w:tcPr>
          <w:p w14:paraId="550C9A3C" w14:textId="77777777" w:rsidR="008D6255" w:rsidRPr="00622F6C" w:rsidRDefault="008D6255" w:rsidP="008D6255">
            <w:pPr>
              <w:jc w:val="center"/>
              <w:rPr>
                <w:rFonts w:ascii="Times New Roman" w:eastAsiaTheme="minorEastAsia" w:hAnsi="Times New Roman" w:cs="Times New Roman"/>
                <w:sz w:val="20"/>
                <w:szCs w:val="20"/>
                <w:lang w:val="en-US"/>
              </w:rPr>
            </w:pPr>
            <w:r w:rsidRPr="00622F6C">
              <w:rPr>
                <w:rFonts w:ascii="Times New Roman" w:eastAsiaTheme="minorEastAsia" w:hAnsi="Times New Roman" w:cs="Times New Roman"/>
                <w:sz w:val="20"/>
                <w:szCs w:val="20"/>
                <w:lang w:val="en-US"/>
              </w:rPr>
              <w:t>Baseline</w:t>
            </w:r>
          </w:p>
          <w:p w14:paraId="5F85E1E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eastAsiaTheme="minorEastAsia" w:hAnsi="Times New Roman" w:cs="Times New Roman"/>
                <w:sz w:val="20"/>
                <w:szCs w:val="20"/>
                <w:lang w:val="en-US"/>
              </w:rPr>
              <w:t>(2)</w:t>
            </w:r>
          </w:p>
        </w:tc>
        <w:tc>
          <w:tcPr>
            <w:tcW w:w="999" w:type="pct"/>
            <w:tcBorders>
              <w:top w:val="single" w:sz="4" w:space="0" w:color="auto"/>
              <w:bottom w:val="single" w:sz="4" w:space="0" w:color="auto"/>
            </w:tcBorders>
          </w:tcPr>
          <w:p w14:paraId="2E3899FD" w14:textId="77777777" w:rsidR="008D6255" w:rsidRPr="00622F6C" w:rsidRDefault="008D6255" w:rsidP="008D6255">
            <w:pPr>
              <w:jc w:val="center"/>
              <w:rPr>
                <w:rFonts w:ascii="Times New Roman" w:eastAsia="Calibri" w:hAnsi="Times New Roman" w:cs="Times New Roman"/>
                <w:sz w:val="20"/>
                <w:szCs w:val="20"/>
                <w:lang w:val="en-US"/>
              </w:rPr>
            </w:pPr>
            <w:r w:rsidRPr="00622F6C">
              <w:rPr>
                <w:rFonts w:ascii="Times New Roman" w:eastAsia="Calibri" w:hAnsi="Times New Roman" w:cs="Times New Roman"/>
                <w:sz w:val="20"/>
                <w:szCs w:val="20"/>
                <w:lang w:val="en-US"/>
              </w:rPr>
              <w:t>Equal-weighted portfolio</w:t>
            </w:r>
          </w:p>
          <w:p w14:paraId="4C78396E" w14:textId="77777777" w:rsidR="008D6255" w:rsidRPr="00622F6C" w:rsidRDefault="008D6255" w:rsidP="008D6255">
            <w:pPr>
              <w:jc w:val="center"/>
              <w:rPr>
                <w:rFonts w:ascii="Times New Roman" w:eastAsia="Calibri" w:hAnsi="Times New Roman" w:cs="Times New Roman"/>
                <w:sz w:val="20"/>
                <w:szCs w:val="20"/>
                <w:lang w:val="en-US"/>
              </w:rPr>
            </w:pPr>
            <w:r w:rsidRPr="00622F6C">
              <w:rPr>
                <w:rFonts w:ascii="Times New Roman" w:eastAsia="Calibri" w:hAnsi="Times New Roman" w:cs="Times New Roman"/>
                <w:sz w:val="20"/>
                <w:szCs w:val="20"/>
                <w:lang w:val="en-US"/>
              </w:rPr>
              <w:t>(3)</w:t>
            </w:r>
          </w:p>
        </w:tc>
        <w:tc>
          <w:tcPr>
            <w:tcW w:w="1002" w:type="pct"/>
            <w:tcBorders>
              <w:top w:val="single" w:sz="4" w:space="0" w:color="auto"/>
              <w:bottom w:val="single" w:sz="4" w:space="0" w:color="auto"/>
            </w:tcBorders>
          </w:tcPr>
          <w:p w14:paraId="3B40057B" w14:textId="77777777" w:rsidR="008D6255" w:rsidRPr="00622F6C" w:rsidRDefault="008D6255" w:rsidP="008D6255">
            <w:pPr>
              <w:jc w:val="center"/>
              <w:rPr>
                <w:rFonts w:ascii="Times New Roman" w:eastAsia="Calibri" w:hAnsi="Times New Roman" w:cs="Times New Roman"/>
                <w:sz w:val="20"/>
                <w:szCs w:val="20"/>
                <w:lang w:val="en-US"/>
              </w:rPr>
            </w:pPr>
            <w:r w:rsidRPr="00622F6C">
              <w:rPr>
                <w:rFonts w:ascii="Times New Roman" w:eastAsia="Calibri" w:hAnsi="Times New Roman" w:cs="Times New Roman"/>
                <w:sz w:val="20"/>
                <w:szCs w:val="20"/>
                <w:lang w:val="en-US"/>
              </w:rPr>
              <w:t>World index</w:t>
            </w:r>
          </w:p>
          <w:p w14:paraId="221F1554" w14:textId="77777777" w:rsidR="008D6255" w:rsidRPr="00622F6C" w:rsidRDefault="008D6255" w:rsidP="008D6255">
            <w:pPr>
              <w:jc w:val="center"/>
              <w:rPr>
                <w:rFonts w:ascii="Times New Roman" w:eastAsia="Calibri" w:hAnsi="Times New Roman" w:cs="Times New Roman"/>
                <w:sz w:val="20"/>
                <w:szCs w:val="20"/>
                <w:lang w:val="en-US"/>
              </w:rPr>
            </w:pPr>
            <w:r w:rsidRPr="00622F6C">
              <w:rPr>
                <w:rFonts w:ascii="Times New Roman" w:eastAsia="Calibri" w:hAnsi="Times New Roman" w:cs="Times New Roman"/>
                <w:sz w:val="20"/>
                <w:szCs w:val="20"/>
                <w:lang w:val="en-US"/>
              </w:rPr>
              <w:t>(4)</w:t>
            </w:r>
          </w:p>
        </w:tc>
        <w:tc>
          <w:tcPr>
            <w:tcW w:w="1000" w:type="pct"/>
            <w:tcBorders>
              <w:top w:val="single" w:sz="4" w:space="0" w:color="auto"/>
              <w:bottom w:val="single" w:sz="4" w:space="0" w:color="auto"/>
            </w:tcBorders>
          </w:tcPr>
          <w:p w14:paraId="1D820299" w14:textId="77777777" w:rsidR="008D6255" w:rsidRPr="00622F6C" w:rsidRDefault="004A72BC" w:rsidP="008D625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Events 9</w:t>
            </w:r>
            <w:r w:rsidRPr="00622F6C">
              <w:rPr>
                <w:rFonts w:ascii="Times New Roman" w:hAnsi="Times New Roman" w:cs="Times New Roman"/>
                <w:color w:val="800000"/>
                <w:sz w:val="20"/>
                <w:szCs w:val="20"/>
                <w:lang w:val="en-US"/>
              </w:rPr>
              <w:t>–</w:t>
            </w:r>
            <w:r w:rsidR="008D6255" w:rsidRPr="00622F6C">
              <w:rPr>
                <w:rFonts w:ascii="Times New Roman" w:eastAsia="Calibri" w:hAnsi="Times New Roman" w:cs="Times New Roman"/>
                <w:sz w:val="20"/>
                <w:szCs w:val="20"/>
                <w:lang w:val="en-US"/>
              </w:rPr>
              <w:t>11 added</w:t>
            </w:r>
          </w:p>
          <w:p w14:paraId="1FAA5B36" w14:textId="77777777" w:rsidR="008D6255" w:rsidRPr="00622F6C" w:rsidRDefault="008D6255" w:rsidP="008D6255">
            <w:pPr>
              <w:jc w:val="center"/>
              <w:rPr>
                <w:rFonts w:ascii="Times New Roman" w:eastAsia="Calibri" w:hAnsi="Times New Roman" w:cs="Times New Roman"/>
                <w:sz w:val="20"/>
                <w:szCs w:val="20"/>
                <w:lang w:val="en-US"/>
              </w:rPr>
            </w:pPr>
            <w:r w:rsidRPr="00622F6C">
              <w:rPr>
                <w:rFonts w:ascii="Times New Roman" w:eastAsia="Calibri" w:hAnsi="Times New Roman" w:cs="Times New Roman"/>
                <w:sz w:val="20"/>
                <w:szCs w:val="20"/>
                <w:lang w:val="en-US"/>
              </w:rPr>
              <w:t>(5)</w:t>
            </w:r>
          </w:p>
        </w:tc>
      </w:tr>
      <w:tr w:rsidR="008D6255" w:rsidRPr="00622F6C" w14:paraId="2CB3D59C" w14:textId="77777777" w:rsidTr="008D6255">
        <w:tc>
          <w:tcPr>
            <w:tcW w:w="1000" w:type="pct"/>
          </w:tcPr>
          <w:p w14:paraId="0F8DF270" w14:textId="77777777" w:rsidR="008D6255" w:rsidRPr="00622F6C" w:rsidRDefault="008D6255" w:rsidP="008D6255">
            <w:pPr>
              <w:numPr>
                <w:ilvl w:val="0"/>
                <w:numId w:val="24"/>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Day 0</w:t>
            </w:r>
          </w:p>
          <w:p w14:paraId="539A5B4C" w14:textId="77777777" w:rsidR="008D6255" w:rsidRDefault="008D6255" w:rsidP="008D6255">
            <w:pPr>
              <w:jc w:val="both"/>
              <w:rPr>
                <w:rFonts w:ascii="Times New Roman" w:hAnsi="Times New Roman" w:cs="Times New Roman"/>
                <w:sz w:val="20"/>
                <w:szCs w:val="20"/>
                <w:lang w:val="en-US"/>
              </w:rPr>
            </w:pPr>
          </w:p>
          <w:p w14:paraId="63AD5DAE" w14:textId="77777777" w:rsidR="00BB1DDE" w:rsidRPr="00622F6C" w:rsidRDefault="00BB1DDE" w:rsidP="00BB1DDE">
            <w:pPr>
              <w:numPr>
                <w:ilvl w:val="0"/>
                <w:numId w:val="26"/>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Days (0,+1)</w:t>
            </w:r>
          </w:p>
          <w:p w14:paraId="0CEFCBB5" w14:textId="77777777" w:rsidR="00BB1DDE" w:rsidRDefault="00BB1DDE" w:rsidP="008D6255">
            <w:pPr>
              <w:jc w:val="both"/>
              <w:rPr>
                <w:rFonts w:ascii="Times New Roman" w:hAnsi="Times New Roman" w:cs="Times New Roman"/>
                <w:sz w:val="20"/>
                <w:szCs w:val="20"/>
                <w:lang w:val="en-US"/>
              </w:rPr>
            </w:pPr>
          </w:p>
          <w:p w14:paraId="66669D04" w14:textId="77777777" w:rsidR="008D6255" w:rsidRPr="00622F6C" w:rsidRDefault="008D6255" w:rsidP="008D6255">
            <w:pPr>
              <w:numPr>
                <w:ilvl w:val="0"/>
                <w:numId w:val="26"/>
              </w:numPr>
              <w:tabs>
                <w:tab w:val="left" w:pos="426"/>
              </w:tabs>
              <w:ind w:hanging="720"/>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Days (−1,0)</w:t>
            </w:r>
          </w:p>
          <w:p w14:paraId="09A2A07C" w14:textId="77777777" w:rsidR="008D6255" w:rsidRPr="00622F6C" w:rsidRDefault="008D6255" w:rsidP="008D6255">
            <w:pPr>
              <w:jc w:val="both"/>
              <w:rPr>
                <w:rFonts w:ascii="Times New Roman" w:hAnsi="Times New Roman" w:cs="Times New Roman"/>
                <w:sz w:val="20"/>
                <w:szCs w:val="20"/>
                <w:lang w:val="en-US"/>
              </w:rPr>
            </w:pPr>
          </w:p>
          <w:p w14:paraId="3EF37C74" w14:textId="77777777" w:rsidR="008D6255" w:rsidRPr="00622F6C" w:rsidRDefault="008D6255" w:rsidP="008D6255">
            <w:pPr>
              <w:numPr>
                <w:ilvl w:val="0"/>
                <w:numId w:val="26"/>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Days (−1,1)</w:t>
            </w:r>
          </w:p>
        </w:tc>
        <w:tc>
          <w:tcPr>
            <w:tcW w:w="999" w:type="pct"/>
          </w:tcPr>
          <w:p w14:paraId="1DFA4BF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0.0038%</w:t>
            </w:r>
          </w:p>
          <w:p w14:paraId="2640930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(0.03)</w:t>
            </w:r>
          </w:p>
          <w:p w14:paraId="16544C28" w14:textId="3EFE7D68" w:rsidR="00BB1DDE" w:rsidRPr="00622F6C" w:rsidRDefault="00A354CB" w:rsidP="00BB1DDE">
            <w:pPr>
              <w:jc w:val="center"/>
              <w:rPr>
                <w:rFonts w:ascii="Times New Roman" w:hAnsi="Times New Roman" w:cs="Times New Roman"/>
                <w:sz w:val="20"/>
                <w:szCs w:val="20"/>
                <w:lang w:val="en-US"/>
              </w:rPr>
            </w:pPr>
            <w:r>
              <w:rPr>
                <w:rFonts w:ascii="Times New Roman" w:hAnsi="Times New Roman" w:cs="Times New Roman"/>
                <w:sz w:val="20"/>
                <w:szCs w:val="20"/>
                <w:lang w:val="en-US"/>
              </w:rPr>
              <w:t>0.0402</w:t>
            </w:r>
            <w:r w:rsidR="00BB1DDE" w:rsidRPr="00622F6C">
              <w:rPr>
                <w:rFonts w:ascii="Times New Roman" w:hAnsi="Times New Roman" w:cs="Times New Roman"/>
                <w:sz w:val="20"/>
                <w:szCs w:val="20"/>
                <w:lang w:val="en-US"/>
              </w:rPr>
              <w:t>%</w:t>
            </w:r>
          </w:p>
          <w:p w14:paraId="3AFA5640" w14:textId="08A64E6C" w:rsidR="00BB1DDE" w:rsidRPr="00622F6C" w:rsidRDefault="00A354CB" w:rsidP="00BB1DDE">
            <w:pPr>
              <w:jc w:val="center"/>
              <w:rPr>
                <w:rFonts w:ascii="Times New Roman" w:hAnsi="Times New Roman" w:cs="Times New Roman"/>
                <w:sz w:val="20"/>
                <w:szCs w:val="20"/>
                <w:lang w:val="en-US"/>
              </w:rPr>
            </w:pPr>
            <w:r>
              <w:rPr>
                <w:rFonts w:ascii="Times New Roman" w:hAnsi="Times New Roman" w:cs="Times New Roman"/>
                <w:sz w:val="20"/>
                <w:szCs w:val="20"/>
                <w:lang w:val="en-US"/>
              </w:rPr>
              <w:t>(0.37</w:t>
            </w:r>
            <w:r w:rsidR="00BB1DDE" w:rsidRPr="00622F6C">
              <w:rPr>
                <w:rFonts w:ascii="Times New Roman" w:hAnsi="Times New Roman" w:cs="Times New Roman"/>
                <w:sz w:val="20"/>
                <w:szCs w:val="20"/>
                <w:lang w:val="en-US"/>
              </w:rPr>
              <w:t>)</w:t>
            </w:r>
          </w:p>
          <w:p w14:paraId="30CBA62C" w14:textId="4224354B" w:rsidR="008D6255" w:rsidRPr="00622F6C" w:rsidRDefault="00A354C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0.1001</w:t>
            </w:r>
            <w:r w:rsidR="008D6255" w:rsidRPr="00622F6C">
              <w:rPr>
                <w:rFonts w:ascii="Times New Roman" w:hAnsi="Times New Roman" w:cs="Times New Roman"/>
                <w:sz w:val="20"/>
                <w:szCs w:val="20"/>
                <w:lang w:val="en-US"/>
              </w:rPr>
              <w:t>%</w:t>
            </w:r>
          </w:p>
          <w:p w14:paraId="0FB2C66C" w14:textId="0AA4DC1C" w:rsidR="008D6255" w:rsidRPr="00622F6C" w:rsidRDefault="00A354C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(0.94</w:t>
            </w:r>
            <w:r w:rsidR="008D6255" w:rsidRPr="00622F6C">
              <w:rPr>
                <w:rFonts w:ascii="Times New Roman" w:hAnsi="Times New Roman" w:cs="Times New Roman"/>
                <w:sz w:val="20"/>
                <w:szCs w:val="20"/>
                <w:lang w:val="en-US"/>
              </w:rPr>
              <w:t>)</w:t>
            </w:r>
          </w:p>
          <w:p w14:paraId="5872C7F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0.0928%</w:t>
            </w:r>
          </w:p>
          <w:p w14:paraId="466D56E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(1.06)</w:t>
            </w:r>
          </w:p>
        </w:tc>
        <w:tc>
          <w:tcPr>
            <w:tcW w:w="999" w:type="pct"/>
          </w:tcPr>
          <w:p w14:paraId="6BAC649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−0.0532%</w:t>
            </w:r>
          </w:p>
          <w:p w14:paraId="4F9AD76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(−0.36)</w:t>
            </w:r>
          </w:p>
          <w:p w14:paraId="02477F31" w14:textId="46A89AAE" w:rsidR="00BB1DDE" w:rsidRPr="00622F6C" w:rsidRDefault="00BB1DDE" w:rsidP="00BB1DD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00C02793">
              <w:rPr>
                <w:rFonts w:ascii="Times New Roman" w:hAnsi="Times New Roman" w:cs="Times New Roman"/>
                <w:sz w:val="20"/>
                <w:szCs w:val="20"/>
                <w:lang w:val="en-US"/>
              </w:rPr>
              <w:t>0.0211</w:t>
            </w:r>
            <w:r w:rsidRPr="00622F6C">
              <w:rPr>
                <w:rFonts w:ascii="Times New Roman" w:hAnsi="Times New Roman" w:cs="Times New Roman"/>
                <w:sz w:val="20"/>
                <w:szCs w:val="20"/>
                <w:lang w:val="en-US"/>
              </w:rPr>
              <w:t>%</w:t>
            </w:r>
          </w:p>
          <w:p w14:paraId="0BE72151" w14:textId="3FBBE914" w:rsidR="00BB1DDE" w:rsidRPr="00622F6C" w:rsidRDefault="00C02793" w:rsidP="00BB1DDE">
            <w:pPr>
              <w:jc w:val="center"/>
              <w:rPr>
                <w:rFonts w:ascii="Times New Roman" w:hAnsi="Times New Roman" w:cs="Times New Roman"/>
                <w:sz w:val="20"/>
                <w:szCs w:val="20"/>
                <w:lang w:val="en-US"/>
              </w:rPr>
            </w:pPr>
            <w:r>
              <w:rPr>
                <w:rFonts w:ascii="Times New Roman" w:hAnsi="Times New Roman" w:cs="Times New Roman"/>
                <w:sz w:val="20"/>
                <w:szCs w:val="20"/>
                <w:lang w:val="en-US"/>
              </w:rPr>
              <w:t>(−0.20</w:t>
            </w:r>
            <w:r w:rsidR="00BB1DDE" w:rsidRPr="00622F6C">
              <w:rPr>
                <w:rFonts w:ascii="Times New Roman" w:hAnsi="Times New Roman" w:cs="Times New Roman"/>
                <w:sz w:val="20"/>
                <w:szCs w:val="20"/>
                <w:lang w:val="en-US"/>
              </w:rPr>
              <w:t>)</w:t>
            </w:r>
          </w:p>
          <w:p w14:paraId="3CF5E1D7" w14:textId="0A6B7C63" w:rsidR="008D6255" w:rsidRPr="00622F6C" w:rsidRDefault="00C0279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0.0549</w:t>
            </w:r>
            <w:r w:rsidR="008D6255" w:rsidRPr="00622F6C">
              <w:rPr>
                <w:rFonts w:ascii="Times New Roman" w:hAnsi="Times New Roman" w:cs="Times New Roman"/>
                <w:sz w:val="20"/>
                <w:szCs w:val="20"/>
                <w:lang w:val="en-US"/>
              </w:rPr>
              <w:t>%</w:t>
            </w:r>
          </w:p>
          <w:p w14:paraId="3FE5D587" w14:textId="01CC127E" w:rsidR="008D6255" w:rsidRPr="00622F6C" w:rsidRDefault="00C0279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(0.53</w:t>
            </w:r>
            <w:r w:rsidR="008D6255" w:rsidRPr="00622F6C">
              <w:rPr>
                <w:rFonts w:ascii="Times New Roman" w:hAnsi="Times New Roman" w:cs="Times New Roman"/>
                <w:sz w:val="20"/>
                <w:szCs w:val="20"/>
                <w:lang w:val="en-US"/>
              </w:rPr>
              <w:t>)</w:t>
            </w:r>
          </w:p>
          <w:p w14:paraId="6F3D843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0.0406%</w:t>
            </w:r>
          </w:p>
          <w:p w14:paraId="2605381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(0.48)</w:t>
            </w:r>
          </w:p>
        </w:tc>
        <w:tc>
          <w:tcPr>
            <w:tcW w:w="1002" w:type="pct"/>
          </w:tcPr>
          <w:p w14:paraId="3144F68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−0.0534%</w:t>
            </w:r>
          </w:p>
          <w:p w14:paraId="3DB1CF9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(−0.30)</w:t>
            </w:r>
          </w:p>
          <w:p w14:paraId="69769392" w14:textId="5D077FFE" w:rsidR="00BB1DDE" w:rsidRPr="00622F6C" w:rsidRDefault="00BB1DDE" w:rsidP="00BB1DD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00C02793">
              <w:rPr>
                <w:rFonts w:ascii="Times New Roman" w:hAnsi="Times New Roman" w:cs="Times New Roman"/>
                <w:sz w:val="20"/>
                <w:szCs w:val="20"/>
                <w:lang w:val="en-US"/>
              </w:rPr>
              <w:t>0.0032</w:t>
            </w:r>
            <w:r w:rsidRPr="00622F6C">
              <w:rPr>
                <w:rFonts w:ascii="Times New Roman" w:hAnsi="Times New Roman" w:cs="Times New Roman"/>
                <w:sz w:val="20"/>
                <w:szCs w:val="20"/>
                <w:lang w:val="en-US"/>
              </w:rPr>
              <w:t>%</w:t>
            </w:r>
          </w:p>
          <w:p w14:paraId="05084A91" w14:textId="163AB6D5" w:rsidR="00BB1DDE" w:rsidRPr="00622F6C" w:rsidRDefault="00C02793" w:rsidP="00BB1DDE">
            <w:pPr>
              <w:jc w:val="center"/>
              <w:rPr>
                <w:rFonts w:ascii="Times New Roman" w:hAnsi="Times New Roman" w:cs="Times New Roman"/>
                <w:sz w:val="20"/>
                <w:szCs w:val="20"/>
                <w:lang w:val="en-US"/>
              </w:rPr>
            </w:pPr>
            <w:r>
              <w:rPr>
                <w:rFonts w:ascii="Times New Roman" w:hAnsi="Times New Roman" w:cs="Times New Roman"/>
                <w:sz w:val="20"/>
                <w:szCs w:val="20"/>
                <w:lang w:val="en-US"/>
              </w:rPr>
              <w:t>(−0.03</w:t>
            </w:r>
            <w:r w:rsidR="00BB1DDE" w:rsidRPr="00622F6C">
              <w:rPr>
                <w:rFonts w:ascii="Times New Roman" w:hAnsi="Times New Roman" w:cs="Times New Roman"/>
                <w:sz w:val="20"/>
                <w:szCs w:val="20"/>
                <w:lang w:val="en-US"/>
              </w:rPr>
              <w:t>)</w:t>
            </w:r>
          </w:p>
          <w:p w14:paraId="2A216030" w14:textId="6A4ED1DF" w:rsidR="008D6255" w:rsidRPr="00622F6C" w:rsidRDefault="00C0279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0.0065</w:t>
            </w:r>
            <w:r w:rsidR="008D6255" w:rsidRPr="00622F6C">
              <w:rPr>
                <w:rFonts w:ascii="Times New Roman" w:hAnsi="Times New Roman" w:cs="Times New Roman"/>
                <w:sz w:val="20"/>
                <w:szCs w:val="20"/>
                <w:lang w:val="en-US"/>
              </w:rPr>
              <w:t>%</w:t>
            </w:r>
          </w:p>
          <w:p w14:paraId="5D73DE2A" w14:textId="31CB2419" w:rsidR="008D6255" w:rsidRPr="00622F6C" w:rsidRDefault="00C0279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w:t>
            </w:r>
            <w:r w:rsidR="00365704">
              <w:rPr>
                <w:rFonts w:ascii="Times New Roman" w:hAnsi="Times New Roman" w:cs="Times New Roman"/>
                <w:sz w:val="20"/>
                <w:szCs w:val="20"/>
                <w:lang w:val="en-US"/>
              </w:rPr>
              <w:t>7</w:t>
            </w:r>
            <w:r w:rsidR="008D6255" w:rsidRPr="00622F6C">
              <w:rPr>
                <w:rFonts w:ascii="Times New Roman" w:hAnsi="Times New Roman" w:cs="Times New Roman"/>
                <w:sz w:val="20"/>
                <w:szCs w:val="20"/>
                <w:lang w:val="en-US"/>
              </w:rPr>
              <w:t>)</w:t>
            </w:r>
          </w:p>
          <w:p w14:paraId="411ECB1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0.0202%</w:t>
            </w:r>
          </w:p>
          <w:p w14:paraId="55624FC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(0.28)</w:t>
            </w:r>
          </w:p>
        </w:tc>
        <w:tc>
          <w:tcPr>
            <w:tcW w:w="1000" w:type="pct"/>
          </w:tcPr>
          <w:p w14:paraId="379A7881" w14:textId="65E8BD72"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006347E2">
              <w:rPr>
                <w:rFonts w:ascii="Times New Roman" w:hAnsi="Times New Roman" w:cs="Times New Roman"/>
                <w:sz w:val="20"/>
                <w:szCs w:val="20"/>
                <w:lang w:val="en-US"/>
              </w:rPr>
              <w:t>0.0168</w:t>
            </w:r>
            <w:r w:rsidRPr="00622F6C">
              <w:rPr>
                <w:rFonts w:ascii="Times New Roman" w:hAnsi="Times New Roman" w:cs="Times New Roman"/>
                <w:sz w:val="20"/>
                <w:szCs w:val="20"/>
                <w:lang w:val="en-US"/>
              </w:rPr>
              <w:t>%</w:t>
            </w:r>
          </w:p>
          <w:p w14:paraId="3C0DBB17" w14:textId="4D50D3A7" w:rsidR="008D6255" w:rsidRPr="00622F6C" w:rsidRDefault="006347E2"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(−0.11</w:t>
            </w:r>
            <w:r w:rsidR="008D6255" w:rsidRPr="00622F6C">
              <w:rPr>
                <w:rFonts w:ascii="Times New Roman" w:hAnsi="Times New Roman" w:cs="Times New Roman"/>
                <w:sz w:val="20"/>
                <w:szCs w:val="20"/>
                <w:lang w:val="en-US"/>
              </w:rPr>
              <w:t>)</w:t>
            </w:r>
          </w:p>
          <w:p w14:paraId="75CF2D1B" w14:textId="46B46BF3" w:rsidR="00BB1DDE" w:rsidRPr="00622F6C" w:rsidRDefault="006347E2" w:rsidP="00BB1DD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0.0296%</w:t>
            </w:r>
          </w:p>
          <w:p w14:paraId="28025727" w14:textId="5FE351A0" w:rsidR="00BB1DDE" w:rsidRPr="00622F6C" w:rsidRDefault="00BB1DDE" w:rsidP="00BB1DD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006347E2" w:rsidRPr="00622F6C">
              <w:rPr>
                <w:rFonts w:ascii="Times New Roman" w:hAnsi="Times New Roman" w:cs="Times New Roman"/>
                <w:sz w:val="20"/>
                <w:szCs w:val="20"/>
                <w:lang w:val="en-US"/>
              </w:rPr>
              <w:t>−</w:t>
            </w:r>
            <w:r w:rsidR="006347E2">
              <w:rPr>
                <w:rFonts w:ascii="Times New Roman" w:hAnsi="Times New Roman" w:cs="Times New Roman"/>
                <w:sz w:val="20"/>
                <w:szCs w:val="20"/>
                <w:lang w:val="en-US"/>
              </w:rPr>
              <w:t>0.28</w:t>
            </w:r>
            <w:r w:rsidRPr="00622F6C">
              <w:rPr>
                <w:rFonts w:ascii="Times New Roman" w:hAnsi="Times New Roman" w:cs="Times New Roman"/>
                <w:sz w:val="20"/>
                <w:szCs w:val="20"/>
                <w:lang w:val="en-US"/>
              </w:rPr>
              <w:t>)</w:t>
            </w:r>
          </w:p>
          <w:p w14:paraId="7CD62DD5" w14:textId="043C14C7" w:rsidR="008D6255" w:rsidRPr="00622F6C" w:rsidRDefault="00167E4F"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0.0576</w:t>
            </w:r>
            <w:r w:rsidR="008D6255" w:rsidRPr="00622F6C">
              <w:rPr>
                <w:rFonts w:ascii="Times New Roman" w:hAnsi="Times New Roman" w:cs="Times New Roman"/>
                <w:sz w:val="20"/>
                <w:szCs w:val="20"/>
                <w:lang w:val="en-US"/>
              </w:rPr>
              <w:t>%</w:t>
            </w:r>
          </w:p>
          <w:p w14:paraId="3FA94D33" w14:textId="3541FDCF" w:rsidR="008D6255" w:rsidRPr="00622F6C" w:rsidRDefault="00167E4F"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(0.55</w:t>
            </w:r>
            <w:r w:rsidR="008D6255" w:rsidRPr="00622F6C">
              <w:rPr>
                <w:rFonts w:ascii="Times New Roman" w:hAnsi="Times New Roman" w:cs="Times New Roman"/>
                <w:sz w:val="20"/>
                <w:szCs w:val="20"/>
                <w:lang w:val="en-US"/>
              </w:rPr>
              <w:t>)</w:t>
            </w:r>
          </w:p>
          <w:p w14:paraId="5D036B14" w14:textId="56FE4F3C" w:rsidR="008D6255" w:rsidRPr="00622F6C" w:rsidRDefault="00D538D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0.0245</w:t>
            </w:r>
            <w:r w:rsidR="008D6255" w:rsidRPr="00622F6C">
              <w:rPr>
                <w:rFonts w:ascii="Times New Roman" w:hAnsi="Times New Roman" w:cs="Times New Roman"/>
                <w:sz w:val="20"/>
                <w:szCs w:val="20"/>
                <w:lang w:val="en-US"/>
              </w:rPr>
              <w:t>%</w:t>
            </w:r>
          </w:p>
          <w:p w14:paraId="672FB807" w14:textId="1D70DD7C" w:rsidR="008D6255" w:rsidRPr="00622F6C" w:rsidRDefault="00D538D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(0.28</w:t>
            </w:r>
            <w:r w:rsidR="008D6255" w:rsidRPr="00622F6C">
              <w:rPr>
                <w:rFonts w:ascii="Times New Roman" w:hAnsi="Times New Roman" w:cs="Times New Roman"/>
                <w:sz w:val="20"/>
                <w:szCs w:val="20"/>
                <w:lang w:val="en-US"/>
              </w:rPr>
              <w:t>)</w:t>
            </w:r>
          </w:p>
        </w:tc>
      </w:tr>
    </w:tbl>
    <w:p w14:paraId="0A169F30" w14:textId="77777777" w:rsidR="00685C01" w:rsidRPr="00622F6C" w:rsidRDefault="00685C01" w:rsidP="008D6255">
      <w:pPr>
        <w:spacing w:after="0"/>
        <w:rPr>
          <w:rFonts w:ascii="Times New Roman" w:hAnsi="Times New Roman" w:cs="Times New Roman"/>
          <w:i/>
          <w:sz w:val="20"/>
          <w:szCs w:val="20"/>
          <w:lang w:val="en-US"/>
        </w:rPr>
      </w:pPr>
    </w:p>
    <w:p w14:paraId="20E59BED" w14:textId="77777777" w:rsidR="008D6255" w:rsidRPr="00622F6C" w:rsidRDefault="008D6255" w:rsidP="008D6255">
      <w:pPr>
        <w:spacing w:after="0"/>
        <w:rPr>
          <w:rFonts w:ascii="Times New Roman" w:hAnsi="Times New Roman" w:cs="Times New Roman"/>
          <w:i/>
          <w:sz w:val="20"/>
          <w:szCs w:val="20"/>
          <w:lang w:val="en-US"/>
        </w:rPr>
      </w:pPr>
      <w:r w:rsidRPr="00622F6C">
        <w:rPr>
          <w:rFonts w:ascii="Times New Roman" w:hAnsi="Times New Roman" w:cs="Times New Roman"/>
          <w:i/>
          <w:sz w:val="20"/>
          <w:szCs w:val="20"/>
          <w:lang w:val="en-US"/>
        </w:rPr>
        <w:t xml:space="preserve">Panel B: </w:t>
      </w:r>
      <w:r w:rsidR="008130E4">
        <w:rPr>
          <w:rFonts w:ascii="Times New Roman" w:hAnsi="Times New Roman" w:cs="Times New Roman"/>
          <w:i/>
          <w:sz w:val="20"/>
          <w:szCs w:val="20"/>
          <w:lang w:val="en-US"/>
        </w:rPr>
        <w:t>Abnormal returns per event</w:t>
      </w:r>
      <w:r w:rsidR="003A4E2F">
        <w:rPr>
          <w:rFonts w:ascii="Times New Roman" w:hAnsi="Times New Roman" w:cs="Times New Roman"/>
          <w:i/>
          <w:sz w:val="20"/>
          <w:szCs w:val="20"/>
          <w:lang w:val="en-US"/>
        </w:rPr>
        <w:t>,</w:t>
      </w:r>
      <w:r w:rsidR="008130E4">
        <w:rPr>
          <w:rFonts w:ascii="Times New Roman" w:hAnsi="Times New Roman" w:cs="Times New Roman"/>
          <w:i/>
          <w:sz w:val="20"/>
          <w:szCs w:val="20"/>
          <w:lang w:val="en-US"/>
        </w:rPr>
        <w:t xml:space="preserve"> for baseline sample </w:t>
      </w:r>
    </w:p>
    <w:tbl>
      <w:tblPr>
        <w:tblStyle w:val="TableGrid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6976"/>
      </w:tblGrid>
      <w:tr w:rsidR="008D6255" w:rsidRPr="00622F6C" w14:paraId="340432BB" w14:textId="77777777" w:rsidTr="008D6255">
        <w:tc>
          <w:tcPr>
            <w:tcW w:w="2501" w:type="pct"/>
            <w:tcBorders>
              <w:top w:val="single" w:sz="4" w:space="0" w:color="auto"/>
            </w:tcBorders>
          </w:tcPr>
          <w:p w14:paraId="239BA260" w14:textId="77777777" w:rsidR="008D6255" w:rsidRPr="00622F6C" w:rsidRDefault="008D6255">
            <w:pPr>
              <w:tabs>
                <w:tab w:val="left" w:pos="408"/>
              </w:tabs>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Event </w:t>
            </w:r>
          </w:p>
        </w:tc>
        <w:tc>
          <w:tcPr>
            <w:tcW w:w="2499" w:type="pct"/>
            <w:tcBorders>
              <w:top w:val="single" w:sz="4" w:space="0" w:color="auto"/>
            </w:tcBorders>
          </w:tcPr>
          <w:p w14:paraId="24B0F719" w14:textId="77777777" w:rsidR="00F22D5D" w:rsidRPr="00622F6C" w:rsidRDefault="00F9130B" w:rsidP="00F22D5D">
            <w:pPr>
              <w:jc w:val="both"/>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pk</m:t>
                    </m:r>
                  </m:sub>
                </m:sSub>
              </m:oMath>
            </m:oMathPara>
          </w:p>
        </w:tc>
      </w:tr>
      <w:tr w:rsidR="008D6255" w:rsidRPr="00622F6C" w14:paraId="70CC15E7" w14:textId="77777777" w:rsidTr="008D6255">
        <w:tc>
          <w:tcPr>
            <w:tcW w:w="2501" w:type="pct"/>
            <w:tcBorders>
              <w:top w:val="single" w:sz="4" w:space="0" w:color="auto"/>
            </w:tcBorders>
          </w:tcPr>
          <w:p w14:paraId="201AEFB3" w14:textId="77777777" w:rsidR="008D6255" w:rsidRPr="00622F6C" w:rsidRDefault="008D6255" w:rsidP="008D6255">
            <w:pPr>
              <w:numPr>
                <w:ilvl w:val="0"/>
                <w:numId w:val="38"/>
              </w:numPr>
              <w:tabs>
                <w:tab w:val="left" w:pos="408"/>
              </w:tabs>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March 11, 2013</w:t>
            </w:r>
          </w:p>
        </w:tc>
        <w:tc>
          <w:tcPr>
            <w:tcW w:w="2499" w:type="pct"/>
            <w:tcBorders>
              <w:top w:val="single" w:sz="4" w:space="0" w:color="auto"/>
            </w:tcBorders>
          </w:tcPr>
          <w:p w14:paraId="446A6F9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−0.0110%</w:t>
            </w:r>
          </w:p>
          <w:p w14:paraId="4248756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(−0.03)</w:t>
            </w:r>
          </w:p>
        </w:tc>
      </w:tr>
      <w:tr w:rsidR="008D6255" w:rsidRPr="00622F6C" w14:paraId="52236D73" w14:textId="77777777" w:rsidTr="008D6255">
        <w:tc>
          <w:tcPr>
            <w:tcW w:w="2501" w:type="pct"/>
          </w:tcPr>
          <w:p w14:paraId="60712EEF"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August 27, 2013</w:t>
            </w:r>
          </w:p>
        </w:tc>
        <w:tc>
          <w:tcPr>
            <w:tcW w:w="2499" w:type="pct"/>
          </w:tcPr>
          <w:p w14:paraId="712275F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0.3608%</w:t>
            </w:r>
          </w:p>
          <w:p w14:paraId="521386B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(0.84)</w:t>
            </w:r>
          </w:p>
        </w:tc>
      </w:tr>
      <w:tr w:rsidR="008D6255" w:rsidRPr="00622F6C" w14:paraId="6F517373" w14:textId="77777777" w:rsidTr="008D6255">
        <w:tc>
          <w:tcPr>
            <w:tcW w:w="2501" w:type="pct"/>
          </w:tcPr>
          <w:p w14:paraId="342AA840"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October 11, 2013</w:t>
            </w:r>
          </w:p>
        </w:tc>
        <w:tc>
          <w:tcPr>
            <w:tcW w:w="2499" w:type="pct"/>
          </w:tcPr>
          <w:p w14:paraId="6385601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0.3491%</w:t>
            </w:r>
          </w:p>
          <w:p w14:paraId="0EC3243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(0.82)</w:t>
            </w:r>
          </w:p>
        </w:tc>
      </w:tr>
      <w:tr w:rsidR="008D6255" w:rsidRPr="00622F6C" w14:paraId="5AABABAF" w14:textId="77777777" w:rsidTr="008D6255">
        <w:tc>
          <w:tcPr>
            <w:tcW w:w="2501" w:type="pct"/>
          </w:tcPr>
          <w:p w14:paraId="22C6ED54"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December 16, 2013</w:t>
            </w:r>
          </w:p>
        </w:tc>
        <w:tc>
          <w:tcPr>
            <w:tcW w:w="2499" w:type="pct"/>
          </w:tcPr>
          <w:p w14:paraId="448B6E6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0.4266%</w:t>
            </w:r>
          </w:p>
          <w:p w14:paraId="3416684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(1.00)</w:t>
            </w:r>
          </w:p>
        </w:tc>
      </w:tr>
      <w:tr w:rsidR="008D6255" w:rsidRPr="00622F6C" w14:paraId="08262A88" w14:textId="77777777" w:rsidTr="008D6255">
        <w:tc>
          <w:tcPr>
            <w:tcW w:w="2501" w:type="pct"/>
          </w:tcPr>
          <w:p w14:paraId="06E63963"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April 8, 2014</w:t>
            </w:r>
          </w:p>
        </w:tc>
        <w:tc>
          <w:tcPr>
            <w:tcW w:w="2499" w:type="pct"/>
          </w:tcPr>
          <w:p w14:paraId="4934322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0.1905%</w:t>
            </w:r>
          </w:p>
          <w:p w14:paraId="7274DBE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(0.45)</w:t>
            </w:r>
          </w:p>
        </w:tc>
      </w:tr>
      <w:tr w:rsidR="008D6255" w:rsidRPr="00622F6C" w14:paraId="6B5F2826" w14:textId="77777777" w:rsidTr="008D6255">
        <w:tc>
          <w:tcPr>
            <w:tcW w:w="2501" w:type="pct"/>
          </w:tcPr>
          <w:p w14:paraId="3B3A5AA1"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June 10, 2014</w:t>
            </w:r>
          </w:p>
        </w:tc>
        <w:tc>
          <w:tcPr>
            <w:tcW w:w="2499" w:type="pct"/>
          </w:tcPr>
          <w:p w14:paraId="48B3A74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−0.1370%</w:t>
            </w:r>
          </w:p>
          <w:p w14:paraId="2F264CD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(−0.32)</w:t>
            </w:r>
          </w:p>
        </w:tc>
      </w:tr>
      <w:tr w:rsidR="008D6255" w:rsidRPr="00622F6C" w14:paraId="70DF3BFD" w14:textId="77777777" w:rsidTr="008D6255">
        <w:tc>
          <w:tcPr>
            <w:tcW w:w="2501" w:type="pct"/>
          </w:tcPr>
          <w:p w14:paraId="3C943BA8"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November 4, 2014</w:t>
            </w:r>
          </w:p>
        </w:tc>
        <w:tc>
          <w:tcPr>
            <w:tcW w:w="2499" w:type="pct"/>
          </w:tcPr>
          <w:p w14:paraId="1DC16DA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−0.0813%</w:t>
            </w:r>
          </w:p>
          <w:p w14:paraId="20978BE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(−0.19)</w:t>
            </w:r>
          </w:p>
        </w:tc>
      </w:tr>
      <w:tr w:rsidR="008D6255" w:rsidRPr="00622F6C" w14:paraId="2DF9FDF7" w14:textId="77777777" w:rsidTr="008D6255">
        <w:tc>
          <w:tcPr>
            <w:tcW w:w="2501" w:type="pct"/>
          </w:tcPr>
          <w:p w14:paraId="3F0D4AA7" w14:textId="77777777" w:rsidR="008D6255" w:rsidRPr="00622F6C" w:rsidRDefault="008D6255" w:rsidP="008D6255">
            <w:pPr>
              <w:numPr>
                <w:ilvl w:val="0"/>
                <w:numId w:val="38"/>
              </w:numPr>
              <w:ind w:left="426" w:hanging="426"/>
              <w:contextualSpacing/>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March 26, 2015</w:t>
            </w:r>
          </w:p>
        </w:tc>
        <w:tc>
          <w:tcPr>
            <w:tcW w:w="2499" w:type="pct"/>
          </w:tcPr>
          <w:p w14:paraId="7BF5B85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−0.6833%</w:t>
            </w:r>
          </w:p>
          <w:p w14:paraId="1CACD87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(−1.60)</w:t>
            </w:r>
          </w:p>
        </w:tc>
      </w:tr>
    </w:tbl>
    <w:p w14:paraId="6A90BC4D" w14:textId="77777777" w:rsidR="008D6255" w:rsidRPr="00622F6C" w:rsidRDefault="008D6255" w:rsidP="008D6255">
      <w:pPr>
        <w:spacing w:after="0"/>
        <w:jc w:val="both"/>
        <w:rPr>
          <w:rFonts w:ascii="Times New Roman" w:hAnsi="Times New Roman" w:cs="Times New Roman"/>
          <w:i/>
          <w:sz w:val="20"/>
          <w:szCs w:val="20"/>
          <w:lang w:val="en-US"/>
        </w:rPr>
      </w:pPr>
    </w:p>
    <w:p w14:paraId="4D94D26E" w14:textId="77777777" w:rsidR="008D6255" w:rsidRPr="00622F6C" w:rsidRDefault="008D6255" w:rsidP="008D6255">
      <w:pPr>
        <w:spacing w:after="0"/>
        <w:jc w:val="both"/>
        <w:rPr>
          <w:rFonts w:ascii="Times New Roman" w:hAnsi="Times New Roman" w:cs="Times New Roman"/>
          <w:i/>
          <w:sz w:val="20"/>
          <w:szCs w:val="20"/>
          <w:lang w:val="en-US"/>
        </w:rPr>
      </w:pPr>
    </w:p>
    <w:p w14:paraId="6159947C" w14:textId="77777777" w:rsidR="008D6255" w:rsidRPr="00622F6C" w:rsidRDefault="008D6255" w:rsidP="008D6255">
      <w:pPr>
        <w:spacing w:after="0"/>
        <w:jc w:val="both"/>
        <w:rPr>
          <w:rFonts w:ascii="Times New Roman" w:hAnsi="Times New Roman" w:cs="Times New Roman"/>
          <w:i/>
          <w:sz w:val="20"/>
          <w:szCs w:val="20"/>
          <w:lang w:val="en-US"/>
        </w:rPr>
      </w:pPr>
    </w:p>
    <w:p w14:paraId="44A240AC" w14:textId="77777777" w:rsidR="00F65D40" w:rsidRDefault="00F65D40" w:rsidP="003A4E2F">
      <w:pPr>
        <w:spacing w:after="0"/>
        <w:jc w:val="both"/>
        <w:rPr>
          <w:rFonts w:ascii="Times New Roman" w:hAnsi="Times New Roman" w:cs="Times New Roman"/>
          <w:i/>
          <w:sz w:val="20"/>
          <w:szCs w:val="20"/>
          <w:lang w:val="en-US"/>
        </w:rPr>
      </w:pPr>
    </w:p>
    <w:p w14:paraId="1F97E858" w14:textId="77777777" w:rsidR="003A4E2F" w:rsidRPr="00622F6C" w:rsidRDefault="003A4E2F" w:rsidP="003A4E2F">
      <w:pPr>
        <w:spacing w:after="0"/>
        <w:jc w:val="both"/>
        <w:rPr>
          <w:rFonts w:ascii="Times New Roman" w:hAnsi="Times New Roman" w:cs="Times New Roman"/>
          <w:i/>
          <w:sz w:val="20"/>
          <w:szCs w:val="20"/>
          <w:lang w:val="en-US"/>
        </w:rPr>
      </w:pPr>
      <w:r w:rsidRPr="00622F6C">
        <w:rPr>
          <w:rFonts w:ascii="Times New Roman" w:hAnsi="Times New Roman" w:cs="Times New Roman"/>
          <w:i/>
          <w:sz w:val="20"/>
          <w:szCs w:val="20"/>
          <w:lang w:val="en-US"/>
        </w:rPr>
        <w:lastRenderedPageBreak/>
        <w:t xml:space="preserve">Panel C: </w:t>
      </w:r>
      <w:r w:rsidR="00641926">
        <w:rPr>
          <w:rFonts w:ascii="Times New Roman" w:hAnsi="Times New Roman" w:cs="Times New Roman"/>
          <w:i/>
          <w:sz w:val="20"/>
          <w:szCs w:val="20"/>
          <w:lang w:val="en-US"/>
        </w:rPr>
        <w:t xml:space="preserve">Average </w:t>
      </w:r>
      <w:r>
        <w:rPr>
          <w:rFonts w:ascii="Times New Roman" w:hAnsi="Times New Roman" w:cs="Times New Roman"/>
          <w:i/>
          <w:sz w:val="20"/>
          <w:szCs w:val="20"/>
          <w:lang w:val="en-US"/>
        </w:rPr>
        <w:t xml:space="preserve">abnormal return per event, estimated over eight events combined, for </w:t>
      </w:r>
      <w:r w:rsidR="007F6F44">
        <w:rPr>
          <w:rFonts w:ascii="Times New Roman" w:hAnsi="Times New Roman" w:cs="Times New Roman"/>
          <w:i/>
          <w:sz w:val="20"/>
          <w:szCs w:val="20"/>
          <w:lang w:val="en-US"/>
        </w:rPr>
        <w:t>alternative samples</w:t>
      </w:r>
      <w:r>
        <w:rPr>
          <w:rFonts w:ascii="Times New Roman" w:hAnsi="Times New Roman" w:cs="Times New Roman"/>
          <w:i/>
          <w:sz w:val="20"/>
          <w:szCs w:val="20"/>
          <w:lang w:val="en-US"/>
        </w:rPr>
        <w:t xml:space="preserve"> </w:t>
      </w:r>
    </w:p>
    <w:tbl>
      <w:tblPr>
        <w:tblStyle w:val="TableGrid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4070"/>
        <w:gridCol w:w="4067"/>
      </w:tblGrid>
      <w:tr w:rsidR="003A4E2F" w:rsidRPr="00622F6C" w14:paraId="47ADDBF1" w14:textId="77777777" w:rsidTr="00F65D40">
        <w:tc>
          <w:tcPr>
            <w:tcW w:w="2085" w:type="pct"/>
            <w:tcBorders>
              <w:top w:val="single" w:sz="4" w:space="0" w:color="auto"/>
              <w:bottom w:val="single" w:sz="4" w:space="0" w:color="auto"/>
            </w:tcBorders>
          </w:tcPr>
          <w:p w14:paraId="21B933FD" w14:textId="77777777" w:rsidR="003A4E2F" w:rsidRPr="00622F6C" w:rsidRDefault="003A4E2F" w:rsidP="0079482A">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Sample</w:t>
            </w:r>
          </w:p>
        </w:tc>
        <w:tc>
          <w:tcPr>
            <w:tcW w:w="1458" w:type="pct"/>
            <w:tcBorders>
              <w:top w:val="single" w:sz="4" w:space="0" w:color="auto"/>
              <w:bottom w:val="single" w:sz="4" w:space="0" w:color="auto"/>
            </w:tcBorders>
          </w:tcPr>
          <w:p w14:paraId="590C3757" w14:textId="77777777" w:rsidR="003A4E2F" w:rsidRPr="00622F6C" w:rsidRDefault="003A4E2F" w:rsidP="0089304C">
            <w:pPr>
              <w:jc w:val="center"/>
              <w:rPr>
                <w:rFonts w:ascii="Times New Roman" w:eastAsia="Calibri" w:hAnsi="Times New Roman" w:cs="Times New Roman"/>
                <w:sz w:val="20"/>
                <w:szCs w:val="20"/>
                <w:lang w:val="en-US"/>
              </w:rPr>
            </w:pPr>
            <w:r w:rsidRPr="00622F6C">
              <w:rPr>
                <w:rFonts w:ascii="Times New Roman" w:eastAsia="Calibri" w:hAnsi="Times New Roman" w:cs="Times New Roman"/>
                <w:i/>
                <w:sz w:val="20"/>
                <w:szCs w:val="20"/>
                <w:lang w:val="en-US"/>
              </w:rPr>
              <w:t>N</w:t>
            </w:r>
          </w:p>
        </w:tc>
        <w:tc>
          <w:tcPr>
            <w:tcW w:w="1457" w:type="pct"/>
            <w:tcBorders>
              <w:top w:val="single" w:sz="4" w:space="0" w:color="auto"/>
              <w:bottom w:val="single" w:sz="4" w:space="0" w:color="auto"/>
            </w:tcBorders>
          </w:tcPr>
          <w:p w14:paraId="44B3FAEB" w14:textId="77777777" w:rsidR="003A4E2F" w:rsidRPr="00622F6C" w:rsidRDefault="00F9130B" w:rsidP="0089304C">
            <w:pPr>
              <w:jc w:val="both"/>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m:t>
                    </m:r>
                  </m:sub>
                </m:sSub>
              </m:oMath>
            </m:oMathPara>
          </w:p>
        </w:tc>
      </w:tr>
      <w:tr w:rsidR="007856A4" w:rsidRPr="00622F6C" w14:paraId="649B4989" w14:textId="77777777" w:rsidTr="00F65D40">
        <w:trPr>
          <w:trHeight w:hRule="exact" w:val="454"/>
        </w:trPr>
        <w:tc>
          <w:tcPr>
            <w:tcW w:w="2085" w:type="pct"/>
            <w:tcBorders>
              <w:top w:val="single" w:sz="4" w:space="0" w:color="auto"/>
              <w:bottom w:val="nil"/>
            </w:tcBorders>
          </w:tcPr>
          <w:p w14:paraId="73DB8CD5" w14:textId="77777777" w:rsidR="007856A4" w:rsidRPr="00C54DAF" w:rsidRDefault="007856A4" w:rsidP="0085182E">
            <w:pPr>
              <w:numPr>
                <w:ilvl w:val="0"/>
                <w:numId w:val="34"/>
              </w:numPr>
              <w:tabs>
                <w:tab w:val="left" w:pos="462"/>
              </w:tabs>
              <w:ind w:left="462" w:hanging="425"/>
              <w:contextualSpacing/>
              <w:jc w:val="both"/>
              <w:rPr>
                <w:rFonts w:ascii="Times New Roman" w:hAnsi="Times New Roman" w:cs="Times New Roman"/>
                <w:sz w:val="20"/>
                <w:szCs w:val="20"/>
                <w:lang w:val="en-US"/>
              </w:rPr>
            </w:pPr>
            <w:r w:rsidRPr="00C54DAF">
              <w:rPr>
                <w:rFonts w:ascii="Times New Roman" w:hAnsi="Times New Roman" w:cs="Times New Roman"/>
                <w:sz w:val="20"/>
                <w:szCs w:val="20"/>
                <w:lang w:val="en-US"/>
              </w:rPr>
              <w:t xml:space="preserve">Sales lower than £36 million </w:t>
            </w:r>
          </w:p>
          <w:p w14:paraId="48B6B0E1" w14:textId="77777777" w:rsidR="007856A4" w:rsidRPr="00C54DAF" w:rsidRDefault="007856A4" w:rsidP="007856A4">
            <w:pPr>
              <w:ind w:left="426"/>
              <w:contextualSpacing/>
              <w:jc w:val="both"/>
              <w:rPr>
                <w:rFonts w:ascii="Times New Roman" w:hAnsi="Times New Roman" w:cs="Times New Roman"/>
                <w:sz w:val="20"/>
                <w:szCs w:val="20"/>
                <w:lang w:val="en-US"/>
              </w:rPr>
            </w:pPr>
          </w:p>
        </w:tc>
        <w:tc>
          <w:tcPr>
            <w:tcW w:w="1458" w:type="pct"/>
            <w:tcBorders>
              <w:top w:val="single" w:sz="4" w:space="0" w:color="auto"/>
              <w:bottom w:val="nil"/>
            </w:tcBorders>
          </w:tcPr>
          <w:p w14:paraId="23AC77FD" w14:textId="77777777" w:rsidR="007856A4" w:rsidRPr="00C54DAF" w:rsidRDefault="007856A4"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12</w:t>
            </w:r>
          </w:p>
        </w:tc>
        <w:tc>
          <w:tcPr>
            <w:tcW w:w="1457" w:type="pct"/>
            <w:tcBorders>
              <w:top w:val="single" w:sz="4" w:space="0" w:color="auto"/>
              <w:bottom w:val="nil"/>
            </w:tcBorders>
          </w:tcPr>
          <w:p w14:paraId="2A83ECFE" w14:textId="77777777" w:rsidR="007856A4" w:rsidRPr="00C54DAF" w:rsidRDefault="007856A4"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−0.1482%</w:t>
            </w:r>
          </w:p>
          <w:p w14:paraId="22279C13" w14:textId="77777777" w:rsidR="007856A4" w:rsidRPr="00C54DAF" w:rsidRDefault="007856A4"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(−0.33)</w:t>
            </w:r>
          </w:p>
        </w:tc>
      </w:tr>
      <w:tr w:rsidR="007856A4" w:rsidRPr="00622F6C" w14:paraId="495FFE3D" w14:textId="77777777" w:rsidTr="0069150E">
        <w:trPr>
          <w:trHeight w:hRule="exact" w:val="454"/>
        </w:trPr>
        <w:tc>
          <w:tcPr>
            <w:tcW w:w="2085" w:type="pct"/>
            <w:tcBorders>
              <w:top w:val="nil"/>
              <w:bottom w:val="nil"/>
            </w:tcBorders>
          </w:tcPr>
          <w:p w14:paraId="3460F54C" w14:textId="77777777" w:rsidR="0067623B" w:rsidRPr="00C54DAF" w:rsidRDefault="007856A4" w:rsidP="00C54DAF">
            <w:pPr>
              <w:numPr>
                <w:ilvl w:val="0"/>
                <w:numId w:val="34"/>
              </w:numPr>
              <w:ind w:left="426" w:hanging="426"/>
              <w:contextualSpacing/>
              <w:jc w:val="both"/>
              <w:rPr>
                <w:rFonts w:ascii="Times New Roman" w:hAnsi="Times New Roman" w:cs="Times New Roman"/>
                <w:sz w:val="20"/>
                <w:szCs w:val="20"/>
                <w:lang w:val="en-US"/>
              </w:rPr>
            </w:pPr>
            <w:r w:rsidRPr="00955DFE">
              <w:rPr>
                <w:rFonts w:ascii="Times New Roman" w:hAnsi="Times New Roman" w:cs="Times New Roman"/>
                <w:sz w:val="20"/>
                <w:szCs w:val="20"/>
                <w:lang w:val="en-US"/>
              </w:rPr>
              <w:t>Sales between £36 million and £1 billion</w:t>
            </w:r>
          </w:p>
          <w:p w14:paraId="06AF2700" w14:textId="77777777" w:rsidR="007856A4" w:rsidRPr="00C54DAF" w:rsidRDefault="007856A4" w:rsidP="007856A4">
            <w:pPr>
              <w:ind w:left="426"/>
              <w:contextualSpacing/>
              <w:jc w:val="both"/>
              <w:rPr>
                <w:rFonts w:ascii="Times New Roman" w:hAnsi="Times New Roman" w:cs="Times New Roman"/>
                <w:sz w:val="20"/>
                <w:szCs w:val="20"/>
                <w:lang w:val="en-US"/>
              </w:rPr>
            </w:pPr>
          </w:p>
          <w:p w14:paraId="0877DBEF" w14:textId="77777777" w:rsidR="007856A4" w:rsidRPr="00C54DAF" w:rsidRDefault="007856A4" w:rsidP="00C54DAF">
            <w:pPr>
              <w:numPr>
                <w:ilvl w:val="0"/>
                <w:numId w:val="34"/>
              </w:numPr>
              <w:ind w:left="426" w:hanging="426"/>
              <w:contextualSpacing/>
              <w:jc w:val="both"/>
              <w:rPr>
                <w:rFonts w:ascii="Times New Roman" w:hAnsi="Times New Roman" w:cs="Times New Roman"/>
                <w:sz w:val="20"/>
                <w:szCs w:val="20"/>
                <w:lang w:val="en-US"/>
              </w:rPr>
            </w:pPr>
            <w:r w:rsidRPr="00C54DAF">
              <w:rPr>
                <w:rFonts w:ascii="Times New Roman" w:hAnsi="Times New Roman" w:cs="Times New Roman"/>
                <w:sz w:val="20"/>
                <w:szCs w:val="20"/>
                <w:lang w:val="en-US"/>
              </w:rPr>
              <w:t>No material firm-specific announcements</w:t>
            </w:r>
          </w:p>
          <w:p w14:paraId="793D0463" w14:textId="77777777" w:rsidR="007856A4" w:rsidRPr="00C54DAF" w:rsidRDefault="007856A4" w:rsidP="009D26B3">
            <w:pPr>
              <w:ind w:left="426"/>
              <w:contextualSpacing/>
              <w:jc w:val="both"/>
              <w:rPr>
                <w:rFonts w:ascii="Times New Roman" w:hAnsi="Times New Roman" w:cs="Times New Roman"/>
                <w:sz w:val="20"/>
                <w:szCs w:val="20"/>
                <w:lang w:val="en-US"/>
              </w:rPr>
            </w:pPr>
          </w:p>
        </w:tc>
        <w:tc>
          <w:tcPr>
            <w:tcW w:w="1458" w:type="pct"/>
            <w:tcBorders>
              <w:top w:val="nil"/>
              <w:bottom w:val="nil"/>
            </w:tcBorders>
          </w:tcPr>
          <w:p w14:paraId="34DE3C62" w14:textId="77777777" w:rsidR="007856A4" w:rsidRPr="00C54DAF" w:rsidRDefault="007856A4"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203</w:t>
            </w:r>
          </w:p>
          <w:p w14:paraId="4CBF3D2A" w14:textId="77777777" w:rsidR="00D824BD" w:rsidRPr="00C54DAF" w:rsidRDefault="00D824BD" w:rsidP="007856A4">
            <w:pPr>
              <w:jc w:val="center"/>
              <w:rPr>
                <w:rFonts w:ascii="Times New Roman" w:hAnsi="Times New Roman" w:cs="Times New Roman"/>
                <w:sz w:val="20"/>
                <w:szCs w:val="20"/>
                <w:lang w:val="en-US"/>
              </w:rPr>
            </w:pPr>
          </w:p>
          <w:p w14:paraId="5F9A4B9F" w14:textId="77777777" w:rsidR="00D824BD" w:rsidRPr="00C54DAF" w:rsidRDefault="00D824BD"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261</w:t>
            </w:r>
          </w:p>
        </w:tc>
        <w:tc>
          <w:tcPr>
            <w:tcW w:w="1457" w:type="pct"/>
            <w:tcBorders>
              <w:top w:val="nil"/>
              <w:bottom w:val="nil"/>
            </w:tcBorders>
          </w:tcPr>
          <w:p w14:paraId="3D540B06" w14:textId="732194B2" w:rsidR="007856A4" w:rsidRPr="00C54DAF" w:rsidRDefault="007856A4"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w:t>
            </w:r>
            <w:r w:rsidR="00D60402">
              <w:rPr>
                <w:rFonts w:ascii="Times New Roman" w:hAnsi="Times New Roman" w:cs="Times New Roman"/>
                <w:sz w:val="20"/>
                <w:szCs w:val="20"/>
                <w:lang w:val="en-US"/>
              </w:rPr>
              <w:t>0.1958</w:t>
            </w:r>
            <w:r w:rsidRPr="00C54DAF">
              <w:rPr>
                <w:rFonts w:ascii="Times New Roman" w:hAnsi="Times New Roman" w:cs="Times New Roman"/>
                <w:sz w:val="20"/>
                <w:szCs w:val="20"/>
                <w:lang w:val="en-US"/>
              </w:rPr>
              <w:t>%</w:t>
            </w:r>
          </w:p>
          <w:p w14:paraId="5C37AD1C" w14:textId="45F3CC05" w:rsidR="007856A4" w:rsidRPr="00C54DAF" w:rsidRDefault="00D60402" w:rsidP="007856A4">
            <w:pPr>
              <w:jc w:val="center"/>
              <w:rPr>
                <w:rFonts w:ascii="Times New Roman" w:hAnsi="Times New Roman" w:cs="Times New Roman"/>
                <w:sz w:val="20"/>
                <w:szCs w:val="20"/>
                <w:lang w:val="en-US"/>
              </w:rPr>
            </w:pPr>
            <w:r>
              <w:rPr>
                <w:rFonts w:ascii="Times New Roman" w:hAnsi="Times New Roman" w:cs="Times New Roman"/>
                <w:sz w:val="20"/>
                <w:szCs w:val="20"/>
                <w:lang w:val="en-US"/>
              </w:rPr>
              <w:t>(−1.14</w:t>
            </w:r>
            <w:r w:rsidR="007856A4" w:rsidRPr="00C54DAF">
              <w:rPr>
                <w:rFonts w:ascii="Times New Roman" w:hAnsi="Times New Roman" w:cs="Times New Roman"/>
                <w:sz w:val="20"/>
                <w:szCs w:val="20"/>
                <w:lang w:val="en-US"/>
              </w:rPr>
              <w:t>)</w:t>
            </w:r>
          </w:p>
          <w:p w14:paraId="5EF8F365" w14:textId="77777777" w:rsidR="00D824BD" w:rsidRPr="00C54DAF" w:rsidRDefault="00D824BD"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0.044</w:t>
            </w:r>
            <w:r w:rsidR="007B5618" w:rsidRPr="00C54DAF">
              <w:rPr>
                <w:rFonts w:ascii="Times New Roman" w:hAnsi="Times New Roman" w:cs="Times New Roman"/>
                <w:sz w:val="20"/>
                <w:szCs w:val="20"/>
                <w:lang w:val="en-US"/>
              </w:rPr>
              <w:t>5</w:t>
            </w:r>
            <w:r w:rsidRPr="00C54DAF">
              <w:rPr>
                <w:rFonts w:ascii="Times New Roman" w:hAnsi="Times New Roman" w:cs="Times New Roman"/>
                <w:sz w:val="20"/>
                <w:szCs w:val="20"/>
                <w:lang w:val="en-US"/>
              </w:rPr>
              <w:t>%</w:t>
            </w:r>
          </w:p>
          <w:p w14:paraId="0F9E5CEF" w14:textId="77777777" w:rsidR="00D824BD" w:rsidRPr="00C54DAF" w:rsidRDefault="00D824BD" w:rsidP="007856A4">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(0.29)</w:t>
            </w:r>
          </w:p>
        </w:tc>
      </w:tr>
      <w:tr w:rsidR="00F65D40" w:rsidRPr="00622F6C" w14:paraId="28F5A8EE" w14:textId="77777777" w:rsidTr="00F65D40">
        <w:trPr>
          <w:trHeight w:hRule="exact" w:val="454"/>
        </w:trPr>
        <w:tc>
          <w:tcPr>
            <w:tcW w:w="2085" w:type="pct"/>
            <w:tcBorders>
              <w:top w:val="nil"/>
              <w:bottom w:val="nil"/>
            </w:tcBorders>
          </w:tcPr>
          <w:p w14:paraId="02A93398" w14:textId="77777777" w:rsidR="00F65D40" w:rsidRPr="00C54DAF" w:rsidRDefault="00F65D40" w:rsidP="00F65D40">
            <w:pPr>
              <w:tabs>
                <w:tab w:val="left" w:pos="426"/>
              </w:tabs>
              <w:contextualSpacing/>
              <w:jc w:val="both"/>
              <w:rPr>
                <w:rFonts w:ascii="Times New Roman" w:hAnsi="Times New Roman" w:cs="Times New Roman"/>
                <w:sz w:val="20"/>
                <w:szCs w:val="20"/>
                <w:lang w:val="en-US"/>
              </w:rPr>
            </w:pPr>
            <w:r w:rsidRPr="00C54DAF">
              <w:rPr>
                <w:rFonts w:ascii="Times New Roman" w:hAnsi="Times New Roman" w:cs="Times New Roman"/>
                <w:sz w:val="20"/>
                <w:szCs w:val="20"/>
                <w:lang w:val="en-US"/>
              </w:rPr>
              <w:t>(3)    Sample used in cross-sectional analysis</w:t>
            </w:r>
          </w:p>
          <w:p w14:paraId="302D01FF" w14:textId="77777777" w:rsidR="00F65D40" w:rsidRPr="00C54DAF" w:rsidRDefault="00F65D40" w:rsidP="00F65D40">
            <w:pPr>
              <w:ind w:left="426"/>
              <w:contextualSpacing/>
              <w:jc w:val="both"/>
              <w:rPr>
                <w:rFonts w:ascii="Times New Roman" w:hAnsi="Times New Roman" w:cs="Times New Roman"/>
                <w:sz w:val="20"/>
                <w:szCs w:val="20"/>
                <w:lang w:val="en-US"/>
              </w:rPr>
            </w:pPr>
          </w:p>
        </w:tc>
        <w:tc>
          <w:tcPr>
            <w:tcW w:w="1458" w:type="pct"/>
            <w:tcBorders>
              <w:top w:val="nil"/>
              <w:bottom w:val="nil"/>
            </w:tcBorders>
          </w:tcPr>
          <w:p w14:paraId="49B25AD2" w14:textId="77777777" w:rsidR="00F65D40" w:rsidRPr="00C54DAF" w:rsidRDefault="00F65D40" w:rsidP="00F65D40">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205</w:t>
            </w:r>
          </w:p>
        </w:tc>
        <w:tc>
          <w:tcPr>
            <w:tcW w:w="1457" w:type="pct"/>
            <w:tcBorders>
              <w:top w:val="nil"/>
              <w:bottom w:val="nil"/>
            </w:tcBorders>
          </w:tcPr>
          <w:p w14:paraId="5A530A32" w14:textId="77777777" w:rsidR="00F65D40" w:rsidRPr="00C54DAF" w:rsidRDefault="00F65D40" w:rsidP="00F65D40">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0.0133%</w:t>
            </w:r>
          </w:p>
          <w:p w14:paraId="3EBB0D2F" w14:textId="77777777" w:rsidR="00F65D40" w:rsidRPr="00C54DAF" w:rsidRDefault="00F65D40" w:rsidP="00F65D40">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(0.09)</w:t>
            </w:r>
          </w:p>
        </w:tc>
      </w:tr>
      <w:tr w:rsidR="0067623B" w:rsidRPr="00622F6C" w14:paraId="7A7B69E2" w14:textId="77777777" w:rsidTr="00F65D40">
        <w:trPr>
          <w:trHeight w:hRule="exact" w:val="454"/>
        </w:trPr>
        <w:tc>
          <w:tcPr>
            <w:tcW w:w="2085" w:type="pct"/>
            <w:tcBorders>
              <w:top w:val="nil"/>
              <w:bottom w:val="nil"/>
            </w:tcBorders>
          </w:tcPr>
          <w:p w14:paraId="735E78AA" w14:textId="77777777" w:rsidR="0067623B" w:rsidRPr="00955DFE" w:rsidRDefault="0067623B" w:rsidP="009D26B3">
            <w:pPr>
              <w:pStyle w:val="ListParagraph"/>
              <w:numPr>
                <w:ilvl w:val="0"/>
                <w:numId w:val="34"/>
              </w:numPr>
              <w:tabs>
                <w:tab w:val="left" w:pos="426"/>
              </w:tabs>
              <w:spacing w:after="200" w:line="276" w:lineRule="auto"/>
              <w:ind w:left="462" w:hanging="462"/>
              <w:jc w:val="both"/>
              <w:rPr>
                <w:rFonts w:ascii="Times New Roman" w:hAnsi="Times New Roman" w:cs="Times New Roman"/>
                <w:sz w:val="20"/>
                <w:szCs w:val="20"/>
                <w:lang w:val="en-US"/>
              </w:rPr>
            </w:pPr>
            <w:r w:rsidRPr="00955DFE">
              <w:rPr>
                <w:rFonts w:ascii="Times New Roman" w:hAnsi="Times New Roman" w:cs="Times New Roman"/>
                <w:sz w:val="20"/>
                <w:szCs w:val="20"/>
                <w:lang w:val="en-US"/>
              </w:rPr>
              <w:t>No material firm-specific announcements</w:t>
            </w:r>
          </w:p>
        </w:tc>
        <w:tc>
          <w:tcPr>
            <w:tcW w:w="1458" w:type="pct"/>
            <w:tcBorders>
              <w:top w:val="nil"/>
              <w:bottom w:val="nil"/>
            </w:tcBorders>
          </w:tcPr>
          <w:p w14:paraId="0A481988"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261</w:t>
            </w:r>
          </w:p>
        </w:tc>
        <w:tc>
          <w:tcPr>
            <w:tcW w:w="1457" w:type="pct"/>
            <w:tcBorders>
              <w:top w:val="nil"/>
              <w:bottom w:val="nil"/>
            </w:tcBorders>
          </w:tcPr>
          <w:p w14:paraId="0B082EFB"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0.0445%</w:t>
            </w:r>
          </w:p>
          <w:p w14:paraId="53FF0BFA"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(0.29)</w:t>
            </w:r>
          </w:p>
        </w:tc>
      </w:tr>
      <w:tr w:rsidR="0067623B" w:rsidRPr="00622F6C" w14:paraId="47F8B39B" w14:textId="77777777" w:rsidTr="0069150E">
        <w:trPr>
          <w:trHeight w:hRule="exact" w:val="454"/>
        </w:trPr>
        <w:tc>
          <w:tcPr>
            <w:tcW w:w="2085" w:type="pct"/>
            <w:tcBorders>
              <w:top w:val="nil"/>
              <w:bottom w:val="nil"/>
            </w:tcBorders>
          </w:tcPr>
          <w:p w14:paraId="6B99EACD" w14:textId="77777777" w:rsidR="0067623B" w:rsidRPr="00955DFE" w:rsidRDefault="0067623B" w:rsidP="00C54DAF">
            <w:pPr>
              <w:numPr>
                <w:ilvl w:val="0"/>
                <w:numId w:val="34"/>
              </w:numPr>
              <w:spacing w:after="200" w:line="276" w:lineRule="auto"/>
              <w:ind w:left="426" w:hanging="426"/>
              <w:contextualSpacing/>
              <w:jc w:val="both"/>
              <w:rPr>
                <w:rFonts w:ascii="Times New Roman" w:hAnsi="Times New Roman" w:cs="Times New Roman"/>
                <w:sz w:val="20"/>
                <w:szCs w:val="20"/>
                <w:lang w:val="en-US"/>
              </w:rPr>
            </w:pPr>
            <w:r w:rsidRPr="00955DFE">
              <w:rPr>
                <w:rFonts w:ascii="Times New Roman" w:hAnsi="Times New Roman" w:cs="Times New Roman"/>
                <w:sz w:val="20"/>
                <w:szCs w:val="20"/>
                <w:lang w:val="en-US"/>
              </w:rPr>
              <w:t>Non-UK with UK segment &gt;10%</w:t>
            </w:r>
          </w:p>
        </w:tc>
        <w:tc>
          <w:tcPr>
            <w:tcW w:w="1458" w:type="pct"/>
            <w:tcBorders>
              <w:top w:val="nil"/>
              <w:bottom w:val="nil"/>
            </w:tcBorders>
          </w:tcPr>
          <w:p w14:paraId="0AD1A34D"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181</w:t>
            </w:r>
          </w:p>
        </w:tc>
        <w:tc>
          <w:tcPr>
            <w:tcW w:w="1457" w:type="pct"/>
            <w:tcBorders>
              <w:top w:val="nil"/>
              <w:bottom w:val="nil"/>
            </w:tcBorders>
          </w:tcPr>
          <w:p w14:paraId="277278F2"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−0.1667%</w:t>
            </w:r>
          </w:p>
          <w:p w14:paraId="6D96A9B0"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(−1.02)</w:t>
            </w:r>
          </w:p>
        </w:tc>
      </w:tr>
      <w:tr w:rsidR="0067623B" w:rsidRPr="00622F6C" w14:paraId="2B137678" w14:textId="77777777" w:rsidTr="0069150E">
        <w:trPr>
          <w:trHeight w:hRule="exact" w:val="454"/>
        </w:trPr>
        <w:tc>
          <w:tcPr>
            <w:tcW w:w="2085" w:type="pct"/>
            <w:tcBorders>
              <w:top w:val="nil"/>
              <w:bottom w:val="nil"/>
            </w:tcBorders>
          </w:tcPr>
          <w:p w14:paraId="2B0F2617" w14:textId="77777777" w:rsidR="0067623B" w:rsidRPr="00C54DAF" w:rsidRDefault="0067623B" w:rsidP="009D26B3">
            <w:pPr>
              <w:numPr>
                <w:ilvl w:val="0"/>
                <w:numId w:val="34"/>
              </w:numPr>
              <w:ind w:left="426" w:hanging="426"/>
              <w:contextualSpacing/>
              <w:jc w:val="both"/>
              <w:rPr>
                <w:rFonts w:ascii="Times New Roman" w:hAnsi="Times New Roman" w:cs="Times New Roman"/>
                <w:sz w:val="20"/>
                <w:szCs w:val="20"/>
                <w:lang w:val="en-US"/>
              </w:rPr>
            </w:pPr>
            <w:r w:rsidRPr="00C54DAF">
              <w:rPr>
                <w:rFonts w:ascii="Times New Roman" w:hAnsi="Times New Roman" w:cs="Times New Roman"/>
                <w:sz w:val="20"/>
                <w:szCs w:val="20"/>
                <w:lang w:val="en-US"/>
              </w:rPr>
              <w:t>Non-UK with significant UK exposure</w:t>
            </w:r>
          </w:p>
        </w:tc>
        <w:tc>
          <w:tcPr>
            <w:tcW w:w="1458" w:type="pct"/>
            <w:tcBorders>
              <w:top w:val="nil"/>
              <w:bottom w:val="nil"/>
            </w:tcBorders>
          </w:tcPr>
          <w:p w14:paraId="7F34FF97"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818</w:t>
            </w:r>
          </w:p>
        </w:tc>
        <w:tc>
          <w:tcPr>
            <w:tcW w:w="1457" w:type="pct"/>
            <w:tcBorders>
              <w:top w:val="nil"/>
              <w:bottom w:val="nil"/>
            </w:tcBorders>
          </w:tcPr>
          <w:p w14:paraId="2F3E4FBF"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−0.0010%</w:t>
            </w:r>
          </w:p>
          <w:p w14:paraId="04863106"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(−0.01)</w:t>
            </w:r>
          </w:p>
        </w:tc>
      </w:tr>
      <w:tr w:rsidR="0067623B" w:rsidRPr="00622F6C" w14:paraId="182E83CC" w14:textId="77777777" w:rsidTr="00F65D40">
        <w:trPr>
          <w:trHeight w:hRule="exact" w:val="454"/>
        </w:trPr>
        <w:tc>
          <w:tcPr>
            <w:tcW w:w="2085" w:type="pct"/>
            <w:tcBorders>
              <w:top w:val="nil"/>
              <w:bottom w:val="single" w:sz="4" w:space="0" w:color="auto"/>
            </w:tcBorders>
          </w:tcPr>
          <w:p w14:paraId="24B4916B" w14:textId="77777777" w:rsidR="0067623B" w:rsidRPr="00C54DAF" w:rsidRDefault="0067623B" w:rsidP="009D26B3">
            <w:pPr>
              <w:numPr>
                <w:ilvl w:val="0"/>
                <w:numId w:val="34"/>
              </w:numPr>
              <w:ind w:left="426" w:hanging="426"/>
              <w:contextualSpacing/>
              <w:jc w:val="both"/>
              <w:rPr>
                <w:rFonts w:ascii="Times New Roman" w:hAnsi="Times New Roman" w:cs="Times New Roman"/>
                <w:sz w:val="20"/>
                <w:szCs w:val="20"/>
                <w:lang w:val="en-US"/>
              </w:rPr>
            </w:pPr>
            <w:r w:rsidRPr="00C54DAF">
              <w:rPr>
                <w:rFonts w:ascii="Times New Roman" w:hAnsi="Times New Roman" w:cs="Times New Roman"/>
                <w:sz w:val="20"/>
                <w:szCs w:val="20"/>
                <w:lang w:val="en-US"/>
              </w:rPr>
              <w:t>Non-UK with UK subsidiary</w:t>
            </w:r>
          </w:p>
        </w:tc>
        <w:tc>
          <w:tcPr>
            <w:tcW w:w="1458" w:type="pct"/>
            <w:tcBorders>
              <w:top w:val="nil"/>
              <w:bottom w:val="single" w:sz="4" w:space="0" w:color="auto"/>
            </w:tcBorders>
          </w:tcPr>
          <w:p w14:paraId="3E3B75B6" w14:textId="77777777" w:rsidR="0067623B" w:rsidRPr="00C54DAF" w:rsidRDefault="0067623B" w:rsidP="0067623B">
            <w:pPr>
              <w:jc w:val="center"/>
              <w:rPr>
                <w:rFonts w:ascii="Times New Roman" w:hAnsi="Times New Roman" w:cs="Times New Roman"/>
                <w:sz w:val="20"/>
                <w:szCs w:val="20"/>
                <w:lang w:val="en-US"/>
              </w:rPr>
            </w:pPr>
            <w:r w:rsidRPr="00C54DAF">
              <w:rPr>
                <w:rFonts w:ascii="Times New Roman" w:hAnsi="Times New Roman" w:cs="Times New Roman"/>
                <w:sz w:val="20"/>
                <w:szCs w:val="20"/>
                <w:lang w:val="en-US"/>
              </w:rPr>
              <w:t>2,808</w:t>
            </w:r>
          </w:p>
        </w:tc>
        <w:tc>
          <w:tcPr>
            <w:tcW w:w="1457" w:type="pct"/>
            <w:tcBorders>
              <w:top w:val="nil"/>
              <w:bottom w:val="single" w:sz="4" w:space="0" w:color="auto"/>
            </w:tcBorders>
          </w:tcPr>
          <w:p w14:paraId="0A1F97AB" w14:textId="58575835" w:rsidR="0067623B" w:rsidRPr="00C54DAF" w:rsidRDefault="00CB107D" w:rsidP="0067623B">
            <w:pPr>
              <w:jc w:val="center"/>
              <w:rPr>
                <w:rFonts w:ascii="Times New Roman" w:hAnsi="Times New Roman" w:cs="Times New Roman"/>
                <w:sz w:val="20"/>
                <w:szCs w:val="20"/>
                <w:lang w:val="en-US"/>
              </w:rPr>
            </w:pPr>
            <w:r>
              <w:rPr>
                <w:rFonts w:ascii="Times New Roman" w:hAnsi="Times New Roman" w:cs="Times New Roman"/>
                <w:sz w:val="20"/>
                <w:szCs w:val="20"/>
                <w:lang w:val="en-US"/>
              </w:rPr>
              <w:t>0.0195</w:t>
            </w:r>
            <w:r w:rsidR="0067623B" w:rsidRPr="00C54DAF">
              <w:rPr>
                <w:rFonts w:ascii="Times New Roman" w:hAnsi="Times New Roman" w:cs="Times New Roman"/>
                <w:sz w:val="20"/>
                <w:szCs w:val="20"/>
                <w:lang w:val="en-US"/>
              </w:rPr>
              <w:t>%</w:t>
            </w:r>
          </w:p>
          <w:p w14:paraId="790A38B6" w14:textId="1AF6E748" w:rsidR="0067623B" w:rsidRPr="00C54DAF" w:rsidRDefault="00CB107D" w:rsidP="0067623B">
            <w:pPr>
              <w:jc w:val="center"/>
              <w:rPr>
                <w:rFonts w:ascii="Times New Roman" w:hAnsi="Times New Roman" w:cs="Times New Roman"/>
                <w:sz w:val="20"/>
                <w:szCs w:val="20"/>
                <w:lang w:val="en-US"/>
              </w:rPr>
            </w:pPr>
            <w:r>
              <w:rPr>
                <w:rFonts w:ascii="Times New Roman" w:hAnsi="Times New Roman" w:cs="Times New Roman"/>
                <w:sz w:val="20"/>
                <w:szCs w:val="20"/>
                <w:lang w:val="en-US"/>
              </w:rPr>
              <w:t>(0.07</w:t>
            </w:r>
            <w:r w:rsidR="0067623B" w:rsidRPr="00C54DAF">
              <w:rPr>
                <w:rFonts w:ascii="Times New Roman" w:hAnsi="Times New Roman" w:cs="Times New Roman"/>
                <w:sz w:val="20"/>
                <w:szCs w:val="20"/>
                <w:lang w:val="en-US"/>
              </w:rPr>
              <w:t>)</w:t>
            </w:r>
          </w:p>
        </w:tc>
      </w:tr>
    </w:tbl>
    <w:p w14:paraId="4B82EF51" w14:textId="2977F8DF" w:rsidR="008D6255" w:rsidRPr="00622F6C" w:rsidRDefault="008D6255" w:rsidP="008D6255">
      <w:pPr>
        <w:jc w:val="both"/>
        <w:rPr>
          <w:rFonts w:ascii="Times New Roman" w:hAnsi="Times New Roman" w:cs="Times New Roman"/>
          <w:sz w:val="20"/>
          <w:szCs w:val="20"/>
          <w:lang w:val="en-US"/>
        </w:rPr>
      </w:pPr>
      <w:r w:rsidRPr="00622F6C">
        <w:rPr>
          <w:rFonts w:ascii="Times New Roman" w:hAnsi="Times New Roman" w:cs="Times New Roman"/>
          <w:i/>
          <w:sz w:val="20"/>
          <w:szCs w:val="20"/>
          <w:lang w:val="en-US"/>
        </w:rPr>
        <w:t>Notes</w:t>
      </w:r>
      <w:r w:rsidRPr="00622F6C">
        <w:rPr>
          <w:rFonts w:ascii="Times New Roman" w:hAnsi="Times New Roman" w:cs="Times New Roman"/>
          <w:sz w:val="20"/>
          <w:szCs w:val="20"/>
          <w:lang w:val="en-US"/>
        </w:rPr>
        <w:t xml:space="preserve">: This table provides the results of an event study analysis of stock price reactions to events associated with the adoption of the Modern Slavery Act (MSA) and its Transparency in Supply Chains (TISC) clause. The baseline sample consists of 357 firms </w:t>
      </w:r>
      <w:r w:rsidR="0089304C">
        <w:rPr>
          <w:rFonts w:ascii="Times New Roman" w:hAnsi="Times New Roman" w:cs="Times New Roman"/>
          <w:sz w:val="20"/>
          <w:szCs w:val="20"/>
          <w:lang w:val="en-US"/>
        </w:rPr>
        <w:t>obtained as</w:t>
      </w:r>
      <w:r w:rsidRPr="00622F6C">
        <w:rPr>
          <w:rFonts w:ascii="Times New Roman" w:hAnsi="Times New Roman" w:cs="Times New Roman"/>
          <w:sz w:val="20"/>
          <w:szCs w:val="20"/>
          <w:lang w:val="en-US"/>
        </w:rPr>
        <w:t xml:space="preserve"> outlined in Table 2. Panel A, Column (2) provides baseline results for all eight events combined. We estimate the following regression equation over the period </w:t>
      </w:r>
      <w:r w:rsidR="002D321B">
        <w:rPr>
          <w:rFonts w:ascii="Times New Roman" w:hAnsi="Times New Roman" w:cs="Times New Roman"/>
          <w:sz w:val="20"/>
          <w:szCs w:val="20"/>
          <w:lang w:val="en-US"/>
        </w:rPr>
        <w:t>July 1</w:t>
      </w:r>
      <w:r w:rsidRPr="00622F6C">
        <w:rPr>
          <w:rFonts w:ascii="Times New Roman" w:hAnsi="Times New Roman" w:cs="Times New Roman"/>
          <w:sz w:val="20"/>
          <w:szCs w:val="20"/>
          <w:lang w:val="en-US"/>
        </w:rPr>
        <w:t xml:space="preserve">, 2012 </w:t>
      </w:r>
      <w:r w:rsidR="00BB5A28">
        <w:rPr>
          <w:rFonts w:ascii="Times New Roman" w:hAnsi="Times New Roman" w:cs="Times New Roman"/>
          <w:sz w:val="20"/>
          <w:szCs w:val="20"/>
          <w:lang w:val="en-US"/>
        </w:rPr>
        <w:t>to</w:t>
      </w:r>
      <w:r w:rsidR="00BB5A2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March 31, 2015: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pt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p</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p</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pt</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pt</m:t>
            </m:r>
          </m:sub>
        </m:sSub>
      </m:oMath>
      <w:r w:rsidRPr="00622F6C">
        <w:rPr>
          <w:rFonts w:ascii="Times New Roman" w:eastAsiaTheme="minorEastAsia" w:hAnsi="Times New Roman" w:cs="Times New Roman"/>
          <w:sz w:val="20"/>
          <w:szCs w:val="20"/>
          <w:lang w:val="en-US"/>
        </w:rPr>
        <w:t xml:space="preserve"> is the value-weighted return on the portfolio of sample firms.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oMath>
      <w:r w:rsidRPr="00622F6C">
        <w:rPr>
          <w:rFonts w:ascii="Times New Roman" w:eastAsiaTheme="minorEastAsia" w:hAnsi="Times New Roman" w:cs="Times New Roman"/>
          <w:sz w:val="20"/>
          <w:szCs w:val="20"/>
          <w:lang w:val="en-US"/>
        </w:rPr>
        <w:t xml:space="preserve"> is the return on the value-weighted Datastream market index for Europe minus the UK (TOTMKEX), expressed in UK pounds. In Row (1),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is a dummy variable that equals </w:t>
      </w:r>
      <w:r w:rsidR="00BB5A28">
        <w:rPr>
          <w:rFonts w:ascii="Times New Roman" w:eastAsiaTheme="minorEastAsia" w:hAnsi="Times New Roman" w:cs="Times New Roman"/>
          <w:sz w:val="20"/>
          <w:szCs w:val="20"/>
          <w:lang w:val="en-US"/>
        </w:rPr>
        <w:t>1</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on the announcement dates of MSA</w:t>
      </w:r>
      <w:r w:rsidR="008B5412" w:rsidRPr="00622F6C">
        <w:rPr>
          <w:rFonts w:ascii="Times New Roman" w:eastAsiaTheme="minorEastAsia" w:hAnsi="Times New Roman" w:cs="Times New Roman"/>
          <w:sz w:val="20"/>
          <w:szCs w:val="20"/>
          <w:lang w:val="en-US"/>
        </w:rPr>
        <w:t xml:space="preserve"> adoption</w:t>
      </w:r>
      <w:r w:rsidRPr="00622F6C">
        <w:rPr>
          <w:rFonts w:ascii="Times New Roman" w:eastAsiaTheme="minorEastAsia" w:hAnsi="Times New Roman" w:cs="Times New Roman"/>
          <w:sz w:val="20"/>
          <w:szCs w:val="20"/>
          <w:lang w:val="en-US"/>
        </w:rPr>
        <w:t xml:space="preserve"> events 1, 2, 3, 4, 6, 7, and 8; </w:t>
      </w:r>
      <w:r w:rsidRPr="00622F6C">
        <w:rPr>
          <w:rFonts w:ascii="Times New Roman" w:hAnsi="Times New Roman" w:cs="Times New Roman"/>
          <w:sz w:val="20"/>
          <w:szCs w:val="20"/>
          <w:lang w:val="en-US"/>
        </w:rPr>
        <w:t>−1 on the announcement date of event 5</w:t>
      </w:r>
      <w:r w:rsidRPr="00622F6C">
        <w:rPr>
          <w:rFonts w:ascii="Times New Roman" w:eastAsiaTheme="minorEastAsia" w:hAnsi="Times New Roman" w:cs="Times New Roman"/>
          <w:sz w:val="20"/>
          <w:szCs w:val="20"/>
          <w:lang w:val="en-US"/>
        </w:rPr>
        <w:t xml:space="preserve">; and </w:t>
      </w:r>
      <w:r w:rsidR="00BB5A28">
        <w:rPr>
          <w:rFonts w:ascii="Times New Roman" w:eastAsiaTheme="minorEastAsia" w:hAnsi="Times New Roman" w:cs="Times New Roman"/>
          <w:sz w:val="20"/>
          <w:szCs w:val="20"/>
          <w:lang w:val="en-US"/>
        </w:rPr>
        <w:t>0</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on all other estimation period days.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m:t>
            </m:r>
          </m:sub>
        </m:sSub>
      </m:oMath>
      <w:r w:rsidRPr="00622F6C">
        <w:rPr>
          <w:rFonts w:ascii="Times New Roman" w:eastAsiaTheme="minorEastAsia" w:hAnsi="Times New Roman" w:cs="Times New Roman"/>
          <w:sz w:val="20"/>
          <w:szCs w:val="20"/>
          <w:lang w:val="en-US"/>
        </w:rPr>
        <w:t xml:space="preserve"> capt</w:t>
      </w:r>
      <w:r w:rsidR="007856A4">
        <w:rPr>
          <w:rFonts w:ascii="Times New Roman" w:eastAsiaTheme="minorEastAsia" w:hAnsi="Times New Roman" w:cs="Times New Roman"/>
          <w:sz w:val="20"/>
          <w:szCs w:val="20"/>
          <w:lang w:val="en-US"/>
        </w:rPr>
        <w:t>ures the average abnormal</w:t>
      </w:r>
      <w:r w:rsidR="00641926">
        <w:rPr>
          <w:rFonts w:ascii="Times New Roman" w:eastAsiaTheme="minorEastAsia" w:hAnsi="Times New Roman" w:cs="Times New Roman"/>
          <w:sz w:val="20"/>
          <w:szCs w:val="20"/>
          <w:lang w:val="en-US"/>
        </w:rPr>
        <w:t xml:space="preserve"> return</w:t>
      </w:r>
      <w:r w:rsidR="007856A4">
        <w:rPr>
          <w:rFonts w:ascii="Times New Roman" w:eastAsiaTheme="minorEastAsia" w:hAnsi="Times New Roman" w:cs="Times New Roman"/>
          <w:sz w:val="20"/>
          <w:szCs w:val="20"/>
          <w:lang w:val="en-US"/>
        </w:rPr>
        <w:t xml:space="preserve"> per event, estimated</w:t>
      </w:r>
      <w:r w:rsidRPr="00622F6C">
        <w:rPr>
          <w:rFonts w:ascii="Times New Roman" w:eastAsiaTheme="minorEastAsia" w:hAnsi="Times New Roman" w:cs="Times New Roman"/>
          <w:sz w:val="20"/>
          <w:szCs w:val="20"/>
          <w:lang w:val="en-US"/>
        </w:rPr>
        <w:t xml:space="preserve"> </w:t>
      </w:r>
      <w:r w:rsidR="0089471B">
        <w:rPr>
          <w:rFonts w:ascii="Times New Roman" w:eastAsiaTheme="minorEastAsia" w:hAnsi="Times New Roman" w:cs="Times New Roman"/>
          <w:sz w:val="20"/>
          <w:szCs w:val="20"/>
          <w:lang w:val="en-US"/>
        </w:rPr>
        <w:t>across</w:t>
      </w:r>
      <w:r w:rsidRPr="00622F6C">
        <w:rPr>
          <w:rFonts w:ascii="Times New Roman" w:eastAsiaTheme="minorEastAsia" w:hAnsi="Times New Roman" w:cs="Times New Roman"/>
          <w:sz w:val="20"/>
          <w:szCs w:val="20"/>
          <w:lang w:val="en-US"/>
        </w:rPr>
        <w:t xml:space="preserve"> the eight events combined. In </w:t>
      </w:r>
      <w:r w:rsidRPr="00622F6C">
        <w:rPr>
          <w:rFonts w:ascii="Times New Roman" w:hAnsi="Times New Roman" w:cs="Times New Roman"/>
          <w:sz w:val="20"/>
          <w:szCs w:val="20"/>
          <w:lang w:val="en-US"/>
        </w:rPr>
        <w:t xml:space="preserve">Rows (2) to </w:t>
      </w:r>
      <w:r w:rsidRPr="00622F6C">
        <w:rPr>
          <w:rFonts w:ascii="Times New Roman" w:eastAsiaTheme="minorEastAsia" w:hAnsi="Times New Roman" w:cs="Times New Roman"/>
          <w:sz w:val="20"/>
          <w:szCs w:val="20"/>
          <w:lang w:val="en-US"/>
        </w:rPr>
        <w:t>(4), we</w:t>
      </w:r>
      <w:r w:rsidRPr="00622F6C">
        <w:rPr>
          <w:rFonts w:ascii="Times New Roman" w:hAnsi="Times New Roman" w:cs="Times New Roman"/>
          <w:sz w:val="20"/>
          <w:szCs w:val="20"/>
          <w:lang w:val="en-US"/>
        </w:rPr>
        <w:t xml:space="preserve"> also set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 equal to </w:t>
      </w:r>
      <w:r w:rsidR="00BB5A28">
        <w:rPr>
          <w:rFonts w:ascii="Times New Roman" w:eastAsiaTheme="minorEastAsia" w:hAnsi="Times New Roman" w:cs="Times New Roman"/>
          <w:sz w:val="20"/>
          <w:szCs w:val="20"/>
          <w:lang w:val="en-US"/>
        </w:rPr>
        <w:t>1</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on trading days surrounding the actual event dates. Column (3) uses an equal-weighted portfolio of sample firms. Column (4) uses the Datastream world market index (TOTMKWD). In Column (5),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 reflects events 1 to 8, as well as additional events 9, 10, and 11 described in Table 1. We use the period </w:t>
      </w:r>
      <w:r w:rsidR="002D321B">
        <w:rPr>
          <w:rFonts w:ascii="Times New Roman" w:eastAsiaTheme="minorEastAsia" w:hAnsi="Times New Roman" w:cs="Times New Roman"/>
          <w:sz w:val="20"/>
          <w:szCs w:val="20"/>
          <w:lang w:val="en-US"/>
        </w:rPr>
        <w:t>July 1</w:t>
      </w:r>
      <w:r w:rsidRPr="00622F6C">
        <w:rPr>
          <w:rFonts w:ascii="Times New Roman" w:eastAsiaTheme="minorEastAsia" w:hAnsi="Times New Roman" w:cs="Times New Roman"/>
          <w:sz w:val="20"/>
          <w:szCs w:val="20"/>
          <w:lang w:val="en-US"/>
        </w:rPr>
        <w:t xml:space="preserve">, 2012 </w:t>
      </w:r>
      <w:r w:rsidR="00BB5A28">
        <w:rPr>
          <w:rFonts w:ascii="Times New Roman" w:eastAsiaTheme="minorEastAsia" w:hAnsi="Times New Roman" w:cs="Times New Roman"/>
          <w:sz w:val="20"/>
          <w:szCs w:val="20"/>
          <w:lang w:val="en-US"/>
        </w:rPr>
        <w:t>to</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December 31, 2015 </w:t>
      </w:r>
      <w:r w:rsidR="00BB5A28">
        <w:rPr>
          <w:rFonts w:ascii="Times New Roman" w:eastAsiaTheme="minorEastAsia" w:hAnsi="Times New Roman" w:cs="Times New Roman"/>
          <w:sz w:val="20"/>
          <w:szCs w:val="20"/>
          <w:lang w:val="en-US"/>
        </w:rPr>
        <w:t xml:space="preserve">in </w:t>
      </w:r>
      <w:r w:rsidRPr="00622F6C">
        <w:rPr>
          <w:rFonts w:ascii="Times New Roman" w:eastAsiaTheme="minorEastAsia" w:hAnsi="Times New Roman" w:cs="Times New Roman"/>
          <w:sz w:val="20"/>
          <w:szCs w:val="20"/>
          <w:lang w:val="en-US"/>
        </w:rPr>
        <w:t>that analysis. Panel B gives results for the baseline sam</w:t>
      </w:r>
      <w:r w:rsidR="00B22B33">
        <w:rPr>
          <w:rFonts w:ascii="Times New Roman" w:eastAsiaTheme="minorEastAsia" w:hAnsi="Times New Roman" w:cs="Times New Roman"/>
          <w:sz w:val="20"/>
          <w:szCs w:val="20"/>
          <w:lang w:val="en-US"/>
        </w:rPr>
        <w:t xml:space="preserve">ple for individual event dates, obtained with </w:t>
      </w:r>
      <w:r w:rsidRPr="00622F6C">
        <w:rPr>
          <w:rFonts w:ascii="Times New Roman" w:eastAsiaTheme="minorEastAsia" w:hAnsi="Times New Roman" w:cs="Times New Roman"/>
          <w:sz w:val="20"/>
          <w:szCs w:val="20"/>
          <w:lang w:val="en-US"/>
        </w:rPr>
        <w:t xml:space="preserve">regression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pt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p</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p</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r>
          <w:rPr>
            <w:rFonts w:ascii="Cambria Math" w:hAnsi="Cambria Math" w:cs="Times New Roman"/>
            <w:sz w:val="20"/>
            <w:szCs w:val="20"/>
            <w:lang w:val="en-US"/>
          </w:rPr>
          <m:t>+</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k=1</m:t>
            </m:r>
          </m:sub>
          <m:sup>
            <m:r>
              <w:rPr>
                <w:rFonts w:ascii="Cambria Math" w:hAnsi="Cambria Math" w:cs="Times New Roman"/>
                <w:sz w:val="20"/>
                <w:szCs w:val="20"/>
                <w:lang w:val="en-US"/>
              </w:rPr>
              <m:t>8</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pk</m:t>
                </m:r>
              </m:sub>
            </m:sSub>
          </m:e>
        </m:nary>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kt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pt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kt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equals 1 </w:t>
      </w:r>
      <w:r w:rsidR="008B5412" w:rsidRPr="00622F6C">
        <w:rPr>
          <w:rFonts w:ascii="Times New Roman" w:eastAsiaTheme="minorEastAsia" w:hAnsi="Times New Roman" w:cs="Times New Roman"/>
          <w:sz w:val="20"/>
          <w:szCs w:val="20"/>
          <w:lang w:val="en-US"/>
        </w:rPr>
        <w:t xml:space="preserve">on the announcement date of </w:t>
      </w:r>
      <w:r w:rsidR="0089304C">
        <w:rPr>
          <w:rFonts w:ascii="Times New Roman" w:eastAsiaTheme="minorEastAsia" w:hAnsi="Times New Roman" w:cs="Times New Roman"/>
          <w:sz w:val="20"/>
          <w:szCs w:val="20"/>
          <w:lang w:val="en-US"/>
        </w:rPr>
        <w:t xml:space="preserve">the eight key </w:t>
      </w:r>
      <w:r w:rsidR="008B5412" w:rsidRPr="00622F6C">
        <w:rPr>
          <w:rFonts w:ascii="Times New Roman" w:eastAsiaTheme="minorEastAsia" w:hAnsi="Times New Roman" w:cs="Times New Roman"/>
          <w:sz w:val="20"/>
          <w:szCs w:val="20"/>
          <w:lang w:val="en-US"/>
        </w:rPr>
        <w:t>MSA adoption</w:t>
      </w:r>
      <w:r w:rsidRPr="00622F6C">
        <w:rPr>
          <w:rFonts w:ascii="Times New Roman" w:eastAsiaTheme="minorEastAsia" w:hAnsi="Times New Roman" w:cs="Times New Roman"/>
          <w:sz w:val="20"/>
          <w:szCs w:val="20"/>
          <w:lang w:val="en-US"/>
        </w:rPr>
        <w:t xml:space="preserve"> events, and </w:t>
      </w:r>
      <w:r w:rsidR="00BB5A28">
        <w:rPr>
          <w:rFonts w:ascii="Times New Roman" w:eastAsiaTheme="minorEastAsia" w:hAnsi="Times New Roman" w:cs="Times New Roman"/>
          <w:sz w:val="20"/>
          <w:szCs w:val="20"/>
          <w:lang w:val="en-US"/>
        </w:rPr>
        <w:t>0</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otherwise.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pk</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captures the abnormal </w:t>
      </w:r>
      <w:r w:rsidR="0089471B">
        <w:rPr>
          <w:rFonts w:ascii="Times New Roman" w:eastAsiaTheme="minorEastAsia" w:hAnsi="Times New Roman" w:cs="Times New Roman"/>
          <w:sz w:val="20"/>
          <w:szCs w:val="20"/>
          <w:lang w:val="en-US"/>
        </w:rPr>
        <w:t>return for</w:t>
      </w:r>
      <w:r w:rsidRPr="00622F6C">
        <w:rPr>
          <w:rFonts w:ascii="Times New Roman" w:eastAsiaTheme="minorEastAsia" w:hAnsi="Times New Roman" w:cs="Times New Roman"/>
          <w:sz w:val="20"/>
          <w:szCs w:val="20"/>
          <w:lang w:val="en-US"/>
        </w:rPr>
        <w:t xml:space="preserve"> event </w:t>
      </w:r>
      <w:r w:rsidRPr="00622F6C">
        <w:rPr>
          <w:rFonts w:ascii="Times New Roman" w:eastAsiaTheme="minorEastAsia" w:hAnsi="Times New Roman" w:cs="Times New Roman"/>
          <w:i/>
          <w:sz w:val="20"/>
          <w:szCs w:val="20"/>
          <w:lang w:val="en-US"/>
        </w:rPr>
        <w:t>k</w:t>
      </w:r>
      <w:r w:rsidRPr="00622F6C">
        <w:rPr>
          <w:rFonts w:ascii="Times New Roman" w:eastAsiaTheme="minorEastAsia" w:hAnsi="Times New Roman" w:cs="Times New Roman"/>
          <w:sz w:val="20"/>
          <w:szCs w:val="20"/>
          <w:lang w:val="en-US"/>
        </w:rPr>
        <w:t xml:space="preserve"> for the firms in the portfolio. All other regression components are similar to the combined</w:t>
      </w:r>
      <w:r w:rsidR="00BB5A28">
        <w:rPr>
          <w:rFonts w:ascii="Times New Roman" w:eastAsiaTheme="minorEastAsia" w:hAnsi="Times New Roman" w:cs="Times New Roman"/>
          <w:sz w:val="20"/>
          <w:szCs w:val="20"/>
          <w:lang w:val="en-US"/>
        </w:rPr>
        <w:t>-</w:t>
      </w:r>
      <w:r w:rsidRPr="00622F6C">
        <w:rPr>
          <w:rFonts w:ascii="Times New Roman" w:eastAsiaTheme="minorEastAsia" w:hAnsi="Times New Roman" w:cs="Times New Roman"/>
          <w:sz w:val="20"/>
          <w:szCs w:val="20"/>
          <w:lang w:val="en-US"/>
        </w:rPr>
        <w:t xml:space="preserve">events regression. Panel C </w:t>
      </w:r>
      <w:r w:rsidR="00641926">
        <w:rPr>
          <w:rFonts w:ascii="Times New Roman" w:eastAsiaTheme="minorEastAsia" w:hAnsi="Times New Roman" w:cs="Times New Roman"/>
          <w:sz w:val="20"/>
          <w:szCs w:val="20"/>
          <w:lang w:val="en-US"/>
        </w:rPr>
        <w:t xml:space="preserve">repeats the baseline analysis in Panel A, Row (1) for </w:t>
      </w:r>
      <w:r w:rsidRPr="00622F6C">
        <w:rPr>
          <w:rFonts w:ascii="Times New Roman" w:eastAsiaTheme="minorEastAsia" w:hAnsi="Times New Roman" w:cs="Times New Roman"/>
          <w:sz w:val="20"/>
          <w:szCs w:val="20"/>
          <w:lang w:val="en-US"/>
        </w:rPr>
        <w:t xml:space="preserve">alternative samples. </w:t>
      </w:r>
      <w:r w:rsidR="007856A4" w:rsidRPr="00622F6C">
        <w:rPr>
          <w:rFonts w:ascii="Times New Roman" w:eastAsiaTheme="minorEastAsia" w:hAnsi="Times New Roman" w:cs="Times New Roman"/>
          <w:sz w:val="20"/>
          <w:szCs w:val="20"/>
          <w:lang w:val="en-US"/>
        </w:rPr>
        <w:t>Row</w:t>
      </w:r>
      <w:r w:rsidR="0089304C">
        <w:rPr>
          <w:rFonts w:ascii="Times New Roman" w:eastAsiaTheme="minorEastAsia" w:hAnsi="Times New Roman" w:cs="Times New Roman"/>
          <w:sz w:val="20"/>
          <w:szCs w:val="20"/>
          <w:lang w:val="en-US"/>
        </w:rPr>
        <w:t>s</w:t>
      </w:r>
      <w:r w:rsidR="00F55A79">
        <w:rPr>
          <w:rFonts w:ascii="Times New Roman" w:eastAsiaTheme="minorEastAsia" w:hAnsi="Times New Roman" w:cs="Times New Roman"/>
          <w:sz w:val="20"/>
          <w:szCs w:val="20"/>
          <w:lang w:val="en-US"/>
        </w:rPr>
        <w:t xml:space="preserve"> (1</w:t>
      </w:r>
      <w:r w:rsidR="007856A4" w:rsidRPr="00622F6C">
        <w:rPr>
          <w:rFonts w:ascii="Times New Roman" w:eastAsiaTheme="minorEastAsia" w:hAnsi="Times New Roman" w:cs="Times New Roman"/>
          <w:sz w:val="20"/>
          <w:szCs w:val="20"/>
          <w:lang w:val="en-US"/>
        </w:rPr>
        <w:t xml:space="preserve">) </w:t>
      </w:r>
      <w:r w:rsidR="00F55A79">
        <w:rPr>
          <w:rFonts w:ascii="Times New Roman" w:eastAsiaTheme="minorEastAsia" w:hAnsi="Times New Roman" w:cs="Times New Roman"/>
          <w:sz w:val="20"/>
          <w:szCs w:val="20"/>
          <w:lang w:val="en-US"/>
        </w:rPr>
        <w:t>and (2</w:t>
      </w:r>
      <w:r w:rsidR="0089304C">
        <w:rPr>
          <w:rFonts w:ascii="Times New Roman" w:eastAsiaTheme="minorEastAsia" w:hAnsi="Times New Roman" w:cs="Times New Roman"/>
          <w:sz w:val="20"/>
          <w:szCs w:val="20"/>
          <w:lang w:val="en-US"/>
        </w:rPr>
        <w:t>) examine</w:t>
      </w:r>
      <w:r w:rsidR="007856A4" w:rsidRPr="00622F6C">
        <w:rPr>
          <w:rFonts w:ascii="Times New Roman" w:eastAsiaTheme="minorEastAsia" w:hAnsi="Times New Roman" w:cs="Times New Roman"/>
          <w:sz w:val="20"/>
          <w:szCs w:val="20"/>
          <w:lang w:val="en-US"/>
        </w:rPr>
        <w:t xml:space="preserve"> a portfolio of firms with annua</w:t>
      </w:r>
      <w:r w:rsidR="0089304C">
        <w:rPr>
          <w:rFonts w:ascii="Times New Roman" w:eastAsiaTheme="minorEastAsia" w:hAnsi="Times New Roman" w:cs="Times New Roman"/>
          <w:sz w:val="20"/>
          <w:szCs w:val="20"/>
          <w:lang w:val="en-US"/>
        </w:rPr>
        <w:t xml:space="preserve">l sales lower than £36 million, and </w:t>
      </w:r>
      <w:r w:rsidR="007856A4" w:rsidRPr="00622F6C">
        <w:rPr>
          <w:rFonts w:ascii="Times New Roman" w:eastAsiaTheme="minorEastAsia" w:hAnsi="Times New Roman" w:cs="Times New Roman"/>
          <w:sz w:val="20"/>
          <w:szCs w:val="20"/>
          <w:lang w:val="en-US"/>
        </w:rPr>
        <w:t>between £36 million and £1 billion</w:t>
      </w:r>
      <w:r w:rsidR="0089304C">
        <w:rPr>
          <w:rFonts w:ascii="Times New Roman" w:eastAsiaTheme="minorEastAsia" w:hAnsi="Times New Roman" w:cs="Times New Roman"/>
          <w:sz w:val="20"/>
          <w:szCs w:val="20"/>
          <w:lang w:val="en-US"/>
        </w:rPr>
        <w:t>, respectively</w:t>
      </w:r>
      <w:r w:rsidR="007856A4" w:rsidRPr="00622F6C">
        <w:rPr>
          <w:rFonts w:ascii="Times New Roman" w:eastAsiaTheme="minorEastAsia" w:hAnsi="Times New Roman" w:cs="Times New Roman"/>
          <w:sz w:val="20"/>
          <w:szCs w:val="20"/>
          <w:lang w:val="en-US"/>
        </w:rPr>
        <w:t xml:space="preserve">. </w:t>
      </w:r>
      <w:r w:rsidR="00BB1DDE">
        <w:rPr>
          <w:rFonts w:ascii="Times New Roman" w:eastAsiaTheme="minorEastAsia" w:hAnsi="Times New Roman" w:cs="Times New Roman"/>
          <w:sz w:val="20"/>
          <w:szCs w:val="20"/>
          <w:lang w:val="en-US"/>
        </w:rPr>
        <w:t>Row (3</w:t>
      </w:r>
      <w:r w:rsidR="00F55A79" w:rsidRPr="00622F6C">
        <w:rPr>
          <w:rFonts w:ascii="Times New Roman" w:eastAsiaTheme="minorEastAsia" w:hAnsi="Times New Roman" w:cs="Times New Roman"/>
          <w:sz w:val="20"/>
          <w:szCs w:val="20"/>
          <w:lang w:val="en-US"/>
        </w:rPr>
        <w:t xml:space="preserve">) examines the 205 firms </w:t>
      </w:r>
      <w:r w:rsidR="00F55A79">
        <w:rPr>
          <w:rFonts w:ascii="Times New Roman" w:eastAsiaTheme="minorEastAsia" w:hAnsi="Times New Roman" w:cs="Times New Roman"/>
          <w:sz w:val="20"/>
          <w:szCs w:val="20"/>
          <w:lang w:val="en-US"/>
        </w:rPr>
        <w:t>that can be used for</w:t>
      </w:r>
      <w:r w:rsidR="00F55A79" w:rsidRPr="00622F6C">
        <w:rPr>
          <w:rFonts w:ascii="Times New Roman" w:eastAsiaTheme="minorEastAsia" w:hAnsi="Times New Roman" w:cs="Times New Roman"/>
          <w:sz w:val="20"/>
          <w:szCs w:val="20"/>
          <w:lang w:val="en-US"/>
        </w:rPr>
        <w:t xml:space="preserve"> the cross-sectional analysis in Table 5. </w:t>
      </w:r>
      <w:r w:rsidR="007856A4">
        <w:rPr>
          <w:rFonts w:ascii="Times New Roman" w:eastAsiaTheme="minorEastAsia" w:hAnsi="Times New Roman" w:cs="Times New Roman"/>
          <w:sz w:val="20"/>
          <w:szCs w:val="20"/>
          <w:lang w:val="en-US"/>
        </w:rPr>
        <w:t>Row (4</w:t>
      </w:r>
      <w:r w:rsidR="007166B0">
        <w:rPr>
          <w:rFonts w:ascii="Times New Roman" w:eastAsiaTheme="minorEastAsia" w:hAnsi="Times New Roman" w:cs="Times New Roman"/>
          <w:sz w:val="20"/>
          <w:szCs w:val="20"/>
          <w:lang w:val="en-US"/>
        </w:rPr>
        <w:t xml:space="preserve">) examines a portfolio of firms that do not make earnings </w:t>
      </w:r>
      <w:r w:rsidR="007856A4">
        <w:rPr>
          <w:rFonts w:ascii="Times New Roman" w:eastAsiaTheme="minorEastAsia" w:hAnsi="Times New Roman" w:cs="Times New Roman"/>
          <w:sz w:val="20"/>
          <w:szCs w:val="20"/>
          <w:lang w:val="en-US"/>
        </w:rPr>
        <w:t xml:space="preserve">or other material </w:t>
      </w:r>
      <w:r w:rsidR="0079482A">
        <w:rPr>
          <w:rFonts w:ascii="Times New Roman" w:eastAsiaTheme="minorEastAsia" w:hAnsi="Times New Roman" w:cs="Times New Roman"/>
          <w:sz w:val="20"/>
          <w:szCs w:val="20"/>
          <w:lang w:val="en-US"/>
        </w:rPr>
        <w:t xml:space="preserve">firm-specific </w:t>
      </w:r>
      <w:r w:rsidR="007166B0">
        <w:rPr>
          <w:rFonts w:ascii="Times New Roman" w:eastAsiaTheme="minorEastAsia" w:hAnsi="Times New Roman" w:cs="Times New Roman"/>
          <w:sz w:val="20"/>
          <w:szCs w:val="20"/>
          <w:lang w:val="en-US"/>
        </w:rPr>
        <w:t xml:space="preserve">announcements </w:t>
      </w:r>
      <w:r w:rsidR="005A351A">
        <w:rPr>
          <w:rFonts w:ascii="Times New Roman" w:eastAsiaTheme="minorEastAsia" w:hAnsi="Times New Roman" w:cs="Times New Roman"/>
          <w:sz w:val="20"/>
          <w:szCs w:val="20"/>
          <w:lang w:val="en-US"/>
        </w:rPr>
        <w:t xml:space="preserve">(obtained from Factiva) </w:t>
      </w:r>
      <w:r w:rsidR="007166B0">
        <w:rPr>
          <w:rFonts w:ascii="Times New Roman" w:eastAsiaTheme="minorEastAsia" w:hAnsi="Times New Roman" w:cs="Times New Roman"/>
          <w:sz w:val="20"/>
          <w:szCs w:val="20"/>
          <w:lang w:val="en-US"/>
        </w:rPr>
        <w:t>on any of the eight event dates</w:t>
      </w:r>
      <w:r w:rsidR="007856A4">
        <w:rPr>
          <w:rFonts w:ascii="Times New Roman" w:eastAsiaTheme="minorEastAsia" w:hAnsi="Times New Roman" w:cs="Times New Roman"/>
          <w:sz w:val="20"/>
          <w:szCs w:val="20"/>
          <w:lang w:val="en-US"/>
        </w:rPr>
        <w:t>. Rows (5) to (7</w:t>
      </w:r>
      <w:r w:rsidRPr="00622F6C">
        <w:rPr>
          <w:rFonts w:ascii="Times New Roman" w:eastAsiaTheme="minorEastAsia" w:hAnsi="Times New Roman" w:cs="Times New Roman"/>
          <w:sz w:val="20"/>
          <w:szCs w:val="20"/>
          <w:lang w:val="en-US"/>
        </w:rPr>
        <w:t xml:space="preserve">) examine non-UK-domiciled firms that may have a significant footprint in the UK. We use the Datastream world market index </w:t>
      </w:r>
      <w:r w:rsidR="007856A4">
        <w:rPr>
          <w:rFonts w:ascii="Times New Roman" w:eastAsiaTheme="minorEastAsia" w:hAnsi="Times New Roman" w:cs="Times New Roman"/>
          <w:sz w:val="20"/>
          <w:szCs w:val="20"/>
          <w:lang w:val="en-US"/>
        </w:rPr>
        <w:t>in these regressions. Row (5</w:t>
      </w:r>
      <w:r w:rsidRPr="00622F6C">
        <w:rPr>
          <w:rFonts w:ascii="Times New Roman" w:eastAsiaTheme="minorEastAsia" w:hAnsi="Times New Roman" w:cs="Times New Roman"/>
          <w:sz w:val="20"/>
          <w:szCs w:val="20"/>
          <w:lang w:val="en-US"/>
        </w:rPr>
        <w:t xml:space="preserve">) examines firms that report having a UK segment making up more than </w:t>
      </w:r>
      <w:r w:rsidR="00BB5A28">
        <w:rPr>
          <w:rFonts w:ascii="Times New Roman" w:eastAsiaTheme="minorEastAsia" w:hAnsi="Times New Roman" w:cs="Times New Roman"/>
          <w:sz w:val="20"/>
          <w:szCs w:val="20"/>
          <w:lang w:val="en-US"/>
        </w:rPr>
        <w:t>10%</w:t>
      </w:r>
      <w:r w:rsidR="007856A4">
        <w:rPr>
          <w:rFonts w:ascii="Times New Roman" w:eastAsiaTheme="minorEastAsia" w:hAnsi="Times New Roman" w:cs="Times New Roman"/>
          <w:sz w:val="20"/>
          <w:szCs w:val="20"/>
          <w:lang w:val="en-US"/>
        </w:rPr>
        <w:t xml:space="preserve"> of their sales. Row (6</w:t>
      </w:r>
      <w:r w:rsidRPr="00622F6C">
        <w:rPr>
          <w:rFonts w:ascii="Times New Roman" w:eastAsiaTheme="minorEastAsia" w:hAnsi="Times New Roman" w:cs="Times New Roman"/>
          <w:sz w:val="20"/>
          <w:szCs w:val="20"/>
          <w:lang w:val="en-US"/>
        </w:rPr>
        <w:t>) examines firms that mention more than five UK-related words in their most recent 10</w:t>
      </w:r>
      <w:r w:rsidR="007856A4">
        <w:rPr>
          <w:rFonts w:ascii="Times New Roman" w:eastAsiaTheme="minorEastAsia" w:hAnsi="Times New Roman" w:cs="Times New Roman"/>
          <w:sz w:val="20"/>
          <w:szCs w:val="20"/>
          <w:lang w:val="en-US"/>
        </w:rPr>
        <w:t>-K filing before event 1. Row (7</w:t>
      </w:r>
      <w:r w:rsidRPr="00622F6C">
        <w:rPr>
          <w:rFonts w:ascii="Times New Roman" w:eastAsiaTheme="minorEastAsia" w:hAnsi="Times New Roman" w:cs="Times New Roman"/>
          <w:sz w:val="20"/>
          <w:szCs w:val="20"/>
          <w:lang w:val="en-US"/>
        </w:rPr>
        <w:t xml:space="preserve">) examines firms that have a UK subsidiary. We obtain segment and subsidiary data from Capital IQ, and 10-K filings data from Edgar. </w:t>
      </w:r>
      <w:r w:rsidRPr="00622F6C">
        <w:rPr>
          <w:rFonts w:ascii="Times New Roman" w:eastAsiaTheme="minorEastAsia" w:hAnsi="Times New Roman" w:cs="Times New Roman"/>
          <w:i/>
          <w:sz w:val="20"/>
          <w:szCs w:val="20"/>
          <w:lang w:val="en-US"/>
        </w:rPr>
        <w:t>t</w:t>
      </w:r>
      <w:r w:rsidRPr="00622F6C">
        <w:rPr>
          <w:rFonts w:ascii="Times New Roman" w:eastAsiaTheme="minorEastAsia" w:hAnsi="Times New Roman" w:cs="Times New Roman"/>
          <w:sz w:val="20"/>
          <w:szCs w:val="20"/>
          <w:lang w:val="en-US"/>
        </w:rPr>
        <w:t>-statistics are inserted between parentheses. Breusch-</w:t>
      </w:r>
      <w:r w:rsidR="008613A5" w:rsidRPr="00622F6C">
        <w:rPr>
          <w:rFonts w:ascii="Times New Roman" w:eastAsiaTheme="minorEastAsia" w:hAnsi="Times New Roman" w:cs="Times New Roman"/>
          <w:sz w:val="20"/>
          <w:szCs w:val="20"/>
          <w:lang w:val="en-US"/>
        </w:rPr>
        <w:t>Godfrey tests (with lag length two</w:t>
      </w:r>
      <w:r w:rsidRPr="00622F6C">
        <w:rPr>
          <w:rFonts w:ascii="Times New Roman" w:eastAsiaTheme="minorEastAsia" w:hAnsi="Times New Roman" w:cs="Times New Roman"/>
          <w:sz w:val="20"/>
          <w:szCs w:val="20"/>
          <w:lang w:val="en-US"/>
        </w:rPr>
        <w:t xml:space="preserve">) indicate strong autocorrelation in </w:t>
      </w:r>
      <w:r w:rsidR="00BB5A28">
        <w:rPr>
          <w:rFonts w:ascii="Times New Roman" w:eastAsiaTheme="minorEastAsia" w:hAnsi="Times New Roman" w:cs="Times New Roman"/>
          <w:sz w:val="20"/>
          <w:szCs w:val="20"/>
          <w:lang w:val="en-US"/>
        </w:rPr>
        <w:t xml:space="preserve">the </w:t>
      </w:r>
      <w:r w:rsidRPr="00622F6C">
        <w:rPr>
          <w:rFonts w:ascii="Times New Roman" w:eastAsiaTheme="minorEastAsia" w:hAnsi="Times New Roman" w:cs="Times New Roman"/>
          <w:sz w:val="20"/>
          <w:szCs w:val="20"/>
          <w:lang w:val="en-US"/>
        </w:rPr>
        <w:t xml:space="preserve">regressions in which we use the world market index, so the </w:t>
      </w:r>
      <w:r w:rsidRPr="00622F6C">
        <w:rPr>
          <w:rFonts w:ascii="Times New Roman" w:eastAsiaTheme="minorEastAsia" w:hAnsi="Times New Roman" w:cs="Times New Roman"/>
          <w:i/>
          <w:sz w:val="20"/>
          <w:szCs w:val="20"/>
          <w:lang w:val="en-US"/>
        </w:rPr>
        <w:t>t</w:t>
      </w:r>
      <w:r w:rsidRPr="00622F6C">
        <w:rPr>
          <w:rFonts w:ascii="Times New Roman" w:eastAsiaTheme="minorEastAsia" w:hAnsi="Times New Roman" w:cs="Times New Roman"/>
          <w:sz w:val="20"/>
          <w:szCs w:val="20"/>
          <w:lang w:val="en-US"/>
        </w:rPr>
        <w:t>-statistics for those regressions are based on Newey-Wes</w:t>
      </w:r>
      <w:r w:rsidR="008613A5" w:rsidRPr="00622F6C">
        <w:rPr>
          <w:rFonts w:ascii="Times New Roman" w:eastAsiaTheme="minorEastAsia" w:hAnsi="Times New Roman" w:cs="Times New Roman"/>
          <w:sz w:val="20"/>
          <w:szCs w:val="20"/>
          <w:lang w:val="en-US"/>
        </w:rPr>
        <w:t>t regressions (with lag length two</w:t>
      </w:r>
      <w:r w:rsidRPr="00622F6C">
        <w:rPr>
          <w:rFonts w:ascii="Times New Roman" w:eastAsiaTheme="minorEastAsia" w:hAnsi="Times New Roman" w:cs="Times New Roman"/>
          <w:sz w:val="20"/>
          <w:szCs w:val="20"/>
          <w:lang w:val="en-US"/>
        </w:rPr>
        <w:t xml:space="preserve">). For the other regressions, we use OLS. </w:t>
      </w:r>
      <w:r w:rsidRPr="00622F6C">
        <w:rPr>
          <w:rFonts w:ascii="Times New Roman" w:hAnsi="Times New Roman" w:cs="Times New Roman"/>
          <w:sz w:val="20"/>
          <w:szCs w:val="20"/>
          <w:vertAlign w:val="superscript"/>
          <w:lang w:val="en-US"/>
        </w:rPr>
        <w:t>*</w:t>
      </w:r>
      <w:r w:rsidRPr="00622F6C">
        <w:rPr>
          <w:rFonts w:ascii="Times New Roman" w:hAnsi="Times New Roman" w:cs="Times New Roman"/>
          <w:sz w:val="20"/>
          <w:szCs w:val="20"/>
          <w:lang w:val="en-US"/>
        </w:rPr>
        <w:t>,</w:t>
      </w:r>
      <w:r w:rsidRPr="00622F6C">
        <w:rPr>
          <w:rFonts w:ascii="Times New Roman" w:hAnsi="Times New Roman" w:cs="Times New Roman"/>
          <w:sz w:val="20"/>
          <w:szCs w:val="20"/>
          <w:vertAlign w:val="superscript"/>
          <w:lang w:val="en-US"/>
        </w:rPr>
        <w:t xml:space="preserve"> **</w:t>
      </w:r>
      <w:r w:rsidRPr="00622F6C">
        <w:rPr>
          <w:rFonts w:ascii="Times New Roman" w:hAnsi="Times New Roman" w:cs="Times New Roman"/>
          <w:sz w:val="20"/>
          <w:szCs w:val="20"/>
          <w:lang w:val="en-US"/>
        </w:rPr>
        <w:t xml:space="preserve">, and </w:t>
      </w:r>
      <w:r w:rsidRPr="00622F6C">
        <w:rPr>
          <w:rFonts w:ascii="Times New Roman" w:hAnsi="Times New Roman" w:cs="Times New Roman"/>
          <w:sz w:val="20"/>
          <w:szCs w:val="20"/>
          <w:vertAlign w:val="superscript"/>
          <w:lang w:val="en-US"/>
        </w:rPr>
        <w:t>***</w:t>
      </w:r>
      <w:r w:rsidRPr="00622F6C">
        <w:rPr>
          <w:rFonts w:ascii="Times New Roman" w:hAnsi="Times New Roman" w:cs="Times New Roman"/>
          <w:sz w:val="20"/>
          <w:szCs w:val="20"/>
          <w:lang w:val="en-US"/>
        </w:rPr>
        <w:t xml:space="preserve"> indicate significance at the 10%, 5%, and 1% level, respectively. </w:t>
      </w:r>
      <w:r w:rsidRPr="00622F6C">
        <w:rPr>
          <w:rFonts w:ascii="Times New Roman" w:hAnsi="Times New Roman" w:cs="Times New Roman"/>
          <w:i/>
          <w:sz w:val="20"/>
          <w:szCs w:val="20"/>
          <w:lang w:val="en-US"/>
        </w:rPr>
        <w:t>N</w:t>
      </w:r>
      <w:r w:rsidRPr="00622F6C">
        <w:rPr>
          <w:rFonts w:ascii="Times New Roman" w:hAnsi="Times New Roman" w:cs="Times New Roman"/>
          <w:sz w:val="20"/>
          <w:szCs w:val="20"/>
          <w:lang w:val="en-US"/>
        </w:rPr>
        <w:t xml:space="preserve"> denotes the number of firms included in the portfolio analysis. </w:t>
      </w:r>
    </w:p>
    <w:p w14:paraId="6F1BE54F" w14:textId="77777777" w:rsidR="008D6255" w:rsidRPr="00622F6C" w:rsidRDefault="008D6255" w:rsidP="008D6255">
      <w:pPr>
        <w:jc w:val="both"/>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Table 4: Descriptive statistics for variables used in cross-sectional analysis</w:t>
      </w:r>
    </w:p>
    <w:p w14:paraId="1C390D4D" w14:textId="77777777" w:rsidR="008D6255" w:rsidRPr="00622F6C" w:rsidRDefault="008D6255" w:rsidP="008D6255">
      <w:pPr>
        <w:spacing w:after="0"/>
        <w:jc w:val="both"/>
        <w:rPr>
          <w:rFonts w:ascii="Times New Roman" w:hAnsi="Times New Roman" w:cs="Times New Roman"/>
          <w:i/>
          <w:sz w:val="20"/>
          <w:szCs w:val="20"/>
          <w:lang w:val="en-US"/>
        </w:rPr>
      </w:pPr>
      <w:r w:rsidRPr="00622F6C">
        <w:rPr>
          <w:rFonts w:ascii="Times New Roman" w:hAnsi="Times New Roman" w:cs="Times New Roman"/>
          <w:i/>
          <w:sz w:val="20"/>
          <w:szCs w:val="20"/>
          <w:lang w:val="en-US"/>
        </w:rPr>
        <w:t xml:space="preserve">Panel A: Summary statistics </w:t>
      </w:r>
      <w:r w:rsidR="003C440A">
        <w:rPr>
          <w:rFonts w:ascii="Times New Roman" w:hAnsi="Times New Roman" w:cs="Times New Roman"/>
          <w:i/>
          <w:sz w:val="20"/>
          <w:szCs w:val="20"/>
          <w:lang w:val="en-US"/>
        </w:rPr>
        <w:t xml:space="preserve">for variables used in baseline analysis </w:t>
      </w:r>
      <w:r w:rsidRPr="00622F6C">
        <w:rPr>
          <w:rFonts w:ascii="Times New Roman" w:hAnsi="Times New Roman" w:cs="Times New Roman"/>
          <w:i/>
          <w:sz w:val="20"/>
          <w:szCs w:val="20"/>
          <w:lang w:val="en-US"/>
        </w:rPr>
        <w:t>(N=205)</w:t>
      </w:r>
    </w:p>
    <w:tbl>
      <w:tblPr>
        <w:tblStyle w:val="TableGrid5"/>
        <w:tblW w:w="506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463"/>
        <w:gridCol w:w="1642"/>
        <w:gridCol w:w="1642"/>
        <w:gridCol w:w="1642"/>
        <w:gridCol w:w="1642"/>
        <w:gridCol w:w="1642"/>
      </w:tblGrid>
      <w:tr w:rsidR="008D6255" w:rsidRPr="00622F6C" w14:paraId="2A12F312" w14:textId="77777777" w:rsidTr="001708FE">
        <w:tc>
          <w:tcPr>
            <w:tcW w:w="1223" w:type="pct"/>
            <w:tcBorders>
              <w:top w:val="single" w:sz="4" w:space="0" w:color="auto"/>
              <w:bottom w:val="single" w:sz="4" w:space="0" w:color="auto"/>
            </w:tcBorders>
          </w:tcPr>
          <w:p w14:paraId="53BFF15A"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Variable</w:t>
            </w:r>
          </w:p>
        </w:tc>
        <w:tc>
          <w:tcPr>
            <w:tcW w:w="872" w:type="pct"/>
            <w:tcBorders>
              <w:top w:val="single" w:sz="4" w:space="0" w:color="auto"/>
              <w:bottom w:val="single" w:sz="4" w:space="0" w:color="auto"/>
            </w:tcBorders>
          </w:tcPr>
          <w:p w14:paraId="059AF43F"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Predicted impact (hypothesis)</w:t>
            </w:r>
          </w:p>
        </w:tc>
        <w:tc>
          <w:tcPr>
            <w:tcW w:w="581" w:type="pct"/>
            <w:tcBorders>
              <w:top w:val="single" w:sz="4" w:space="0" w:color="auto"/>
              <w:bottom w:val="single" w:sz="4" w:space="0" w:color="auto"/>
            </w:tcBorders>
          </w:tcPr>
          <w:p w14:paraId="2498D39B" w14:textId="77777777" w:rsidR="008D6255" w:rsidRPr="00622F6C" w:rsidRDefault="000905D7"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Average</w:t>
            </w:r>
          </w:p>
        </w:tc>
        <w:tc>
          <w:tcPr>
            <w:tcW w:w="581" w:type="pct"/>
            <w:tcBorders>
              <w:top w:val="single" w:sz="4" w:space="0" w:color="auto"/>
              <w:bottom w:val="single" w:sz="4" w:space="0" w:color="auto"/>
            </w:tcBorders>
          </w:tcPr>
          <w:p w14:paraId="15FA961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Median</w:t>
            </w:r>
          </w:p>
        </w:tc>
        <w:tc>
          <w:tcPr>
            <w:tcW w:w="581" w:type="pct"/>
            <w:tcBorders>
              <w:top w:val="single" w:sz="4" w:space="0" w:color="auto"/>
              <w:bottom w:val="single" w:sz="4" w:space="0" w:color="auto"/>
            </w:tcBorders>
          </w:tcPr>
          <w:p w14:paraId="495B927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St. dev.</w:t>
            </w:r>
          </w:p>
        </w:tc>
        <w:tc>
          <w:tcPr>
            <w:tcW w:w="581" w:type="pct"/>
            <w:tcBorders>
              <w:top w:val="single" w:sz="4" w:space="0" w:color="auto"/>
              <w:bottom w:val="single" w:sz="4" w:space="0" w:color="auto"/>
            </w:tcBorders>
          </w:tcPr>
          <w:p w14:paraId="590FCBD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Max.</w:t>
            </w:r>
          </w:p>
        </w:tc>
        <w:tc>
          <w:tcPr>
            <w:tcW w:w="581" w:type="pct"/>
            <w:tcBorders>
              <w:top w:val="single" w:sz="4" w:space="0" w:color="auto"/>
              <w:bottom w:val="single" w:sz="4" w:space="0" w:color="auto"/>
            </w:tcBorders>
          </w:tcPr>
          <w:p w14:paraId="4E0B7EF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Min.</w:t>
            </w:r>
          </w:p>
        </w:tc>
      </w:tr>
      <w:tr w:rsidR="008D6255" w:rsidRPr="00622F6C" w14:paraId="228D3ABE" w14:textId="77777777" w:rsidTr="001708FE">
        <w:tc>
          <w:tcPr>
            <w:tcW w:w="1223" w:type="pct"/>
          </w:tcPr>
          <w:p w14:paraId="3403C07F" w14:textId="77777777" w:rsidR="008D6255" w:rsidRPr="00247186" w:rsidRDefault="00247186" w:rsidP="008D6255">
            <w:pPr>
              <w:rPr>
                <w:rFonts w:ascii="Times New Roman" w:hAnsi="Times New Roman" w:cs="Times New Roman"/>
                <w:sz w:val="20"/>
                <w:szCs w:val="20"/>
                <w:lang w:val="en-US"/>
              </w:rPr>
            </w:pPr>
            <w:r w:rsidRPr="00247186">
              <w:rPr>
                <w:rFonts w:ascii="Times New Roman" w:hAnsi="Times New Roman" w:cs="Times New Roman"/>
                <w:sz w:val="20"/>
                <w:szCs w:val="20"/>
                <w:lang w:val="en-US"/>
              </w:rPr>
              <w:t>CAR</w:t>
            </w:r>
          </w:p>
        </w:tc>
        <w:tc>
          <w:tcPr>
            <w:tcW w:w="872" w:type="pct"/>
          </w:tcPr>
          <w:p w14:paraId="0EFCA281" w14:textId="77777777" w:rsidR="008D6255" w:rsidRPr="00622F6C" w:rsidRDefault="008D6255" w:rsidP="008D6255">
            <w:pPr>
              <w:rPr>
                <w:rFonts w:ascii="Times New Roman" w:hAnsi="Times New Roman" w:cs="Times New Roman"/>
                <w:sz w:val="20"/>
                <w:szCs w:val="20"/>
                <w:lang w:val="en-US"/>
              </w:rPr>
            </w:pPr>
          </w:p>
        </w:tc>
        <w:tc>
          <w:tcPr>
            <w:tcW w:w="581" w:type="pct"/>
          </w:tcPr>
          <w:p w14:paraId="0CF2E49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−0.11%</w:t>
            </w:r>
          </w:p>
        </w:tc>
        <w:tc>
          <w:tcPr>
            <w:tcW w:w="581" w:type="pct"/>
          </w:tcPr>
          <w:p w14:paraId="5D38316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−0.03%</w:t>
            </w:r>
          </w:p>
        </w:tc>
        <w:tc>
          <w:tcPr>
            <w:tcW w:w="581" w:type="pct"/>
          </w:tcPr>
          <w:p w14:paraId="4FCBE6E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4.88%</w:t>
            </w:r>
          </w:p>
        </w:tc>
        <w:tc>
          <w:tcPr>
            <w:tcW w:w="581" w:type="pct"/>
          </w:tcPr>
          <w:p w14:paraId="5C66056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32.84%</w:t>
            </w:r>
          </w:p>
        </w:tc>
        <w:tc>
          <w:tcPr>
            <w:tcW w:w="581" w:type="pct"/>
          </w:tcPr>
          <w:p w14:paraId="50E955C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−21.35%</w:t>
            </w:r>
          </w:p>
        </w:tc>
      </w:tr>
      <w:tr w:rsidR="008D6255" w:rsidRPr="00622F6C" w14:paraId="6F221060" w14:textId="77777777" w:rsidTr="001708FE">
        <w:tc>
          <w:tcPr>
            <w:tcW w:w="1223" w:type="pct"/>
          </w:tcPr>
          <w:p w14:paraId="1F135761"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Social Incidents </w:t>
            </w:r>
          </w:p>
        </w:tc>
        <w:tc>
          <w:tcPr>
            <w:tcW w:w="872" w:type="pct"/>
          </w:tcPr>
          <w:p w14:paraId="440BDB3C"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1a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1b</w:t>
            </w:r>
            <w:r w:rsidRPr="00622F6C">
              <w:rPr>
                <w:rFonts w:ascii="Times New Roman" w:hAnsi="Times New Roman" w:cs="Times New Roman"/>
                <w:sz w:val="20"/>
                <w:szCs w:val="20"/>
                <w:lang w:val="en-US"/>
              </w:rPr>
              <w:t>)</w:t>
            </w:r>
          </w:p>
        </w:tc>
        <w:tc>
          <w:tcPr>
            <w:tcW w:w="581" w:type="pct"/>
          </w:tcPr>
          <w:p w14:paraId="15E6731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7.31</w:t>
            </w:r>
          </w:p>
        </w:tc>
        <w:tc>
          <w:tcPr>
            <w:tcW w:w="581" w:type="pct"/>
          </w:tcPr>
          <w:p w14:paraId="44D9776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c>
          <w:tcPr>
            <w:tcW w:w="581" w:type="pct"/>
          </w:tcPr>
          <w:p w14:paraId="65C723B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11.61</w:t>
            </w:r>
          </w:p>
        </w:tc>
        <w:tc>
          <w:tcPr>
            <w:tcW w:w="581" w:type="pct"/>
          </w:tcPr>
          <w:p w14:paraId="23B19672" w14:textId="0B1D1A5F" w:rsidR="008D6255" w:rsidRPr="00622F6C" w:rsidRDefault="00F105E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79.00</w:t>
            </w:r>
          </w:p>
        </w:tc>
        <w:tc>
          <w:tcPr>
            <w:tcW w:w="581" w:type="pct"/>
          </w:tcPr>
          <w:p w14:paraId="6EE55606"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r w:rsidR="008D6255" w:rsidRPr="00622F6C" w14:paraId="377C4A10" w14:textId="77777777" w:rsidTr="001708FE">
        <w:tc>
          <w:tcPr>
            <w:tcW w:w="1223" w:type="pct"/>
          </w:tcPr>
          <w:p w14:paraId="08DB17CF" w14:textId="77777777" w:rsidR="008D6255" w:rsidRPr="00622F6C" w:rsidRDefault="00C25D97" w:rsidP="008D6255">
            <w:pPr>
              <w:rPr>
                <w:rFonts w:ascii="Times New Roman" w:hAnsi="Times New Roman" w:cs="Times New Roman"/>
                <w:sz w:val="20"/>
                <w:szCs w:val="20"/>
                <w:lang w:val="en-US"/>
              </w:rPr>
            </w:pPr>
            <w:r>
              <w:rPr>
                <w:rFonts w:ascii="Times New Roman" w:hAnsi="Times New Roman" w:cs="Times New Roman"/>
                <w:sz w:val="20"/>
                <w:szCs w:val="20"/>
                <w:lang w:val="en-US"/>
              </w:rPr>
              <w:t>Critical</w:t>
            </w:r>
            <w:r w:rsidR="00C95947">
              <w:rPr>
                <w:rFonts w:ascii="Times New Roman" w:hAnsi="Times New Roman" w:cs="Times New Roman"/>
                <w:sz w:val="20"/>
                <w:szCs w:val="20"/>
                <w:lang w:val="en-US"/>
              </w:rPr>
              <w:t xml:space="preserve"> Countries Policy</w:t>
            </w:r>
            <w:r w:rsidR="008D6255" w:rsidRPr="00622F6C">
              <w:rPr>
                <w:rFonts w:ascii="Times New Roman" w:hAnsi="Times New Roman" w:cs="Times New Roman"/>
                <w:sz w:val="20"/>
                <w:szCs w:val="20"/>
                <w:lang w:val="en-US"/>
              </w:rPr>
              <w:t xml:space="preserve"> (0/1)</w:t>
            </w:r>
          </w:p>
        </w:tc>
        <w:tc>
          <w:tcPr>
            <w:tcW w:w="872" w:type="pct"/>
          </w:tcPr>
          <w:p w14:paraId="582D0716"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1b</w:t>
            </w:r>
            <w:r w:rsidRPr="00622F6C">
              <w:rPr>
                <w:rFonts w:ascii="Times New Roman" w:hAnsi="Times New Roman" w:cs="Times New Roman"/>
                <w:sz w:val="20"/>
                <w:szCs w:val="20"/>
                <w:lang w:val="en-US"/>
              </w:rPr>
              <w:t>)</w:t>
            </w:r>
          </w:p>
        </w:tc>
        <w:tc>
          <w:tcPr>
            <w:tcW w:w="581" w:type="pct"/>
          </w:tcPr>
          <w:p w14:paraId="5275BB3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0.06</w:t>
            </w:r>
          </w:p>
        </w:tc>
        <w:tc>
          <w:tcPr>
            <w:tcW w:w="581" w:type="pct"/>
          </w:tcPr>
          <w:p w14:paraId="099D3B1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c>
          <w:tcPr>
            <w:tcW w:w="581" w:type="pct"/>
          </w:tcPr>
          <w:p w14:paraId="6FF023E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0.24</w:t>
            </w:r>
          </w:p>
        </w:tc>
        <w:tc>
          <w:tcPr>
            <w:tcW w:w="581" w:type="pct"/>
          </w:tcPr>
          <w:p w14:paraId="6A9EA3F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63044FF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r w:rsidR="008D6255" w:rsidRPr="00622F6C" w14:paraId="50A6307D" w14:textId="77777777" w:rsidTr="001708FE">
        <w:tc>
          <w:tcPr>
            <w:tcW w:w="1223" w:type="pct"/>
          </w:tcPr>
          <w:p w14:paraId="36321C68" w14:textId="77777777" w:rsidR="008D6255" w:rsidRPr="00622F6C" w:rsidRDefault="00C95947" w:rsidP="00C95947">
            <w:pPr>
              <w:tabs>
                <w:tab w:val="center" w:pos="1874"/>
              </w:tabs>
              <w:rPr>
                <w:rFonts w:ascii="Times New Roman" w:hAnsi="Times New Roman" w:cs="Times New Roman"/>
                <w:sz w:val="20"/>
                <w:szCs w:val="20"/>
                <w:lang w:val="en-US"/>
              </w:rPr>
            </w:pPr>
            <w:r>
              <w:rPr>
                <w:rFonts w:ascii="Times New Roman" w:hAnsi="Times New Roman" w:cs="Times New Roman"/>
                <w:sz w:val="20"/>
                <w:szCs w:val="20"/>
                <w:lang w:val="en-US"/>
              </w:rPr>
              <w:t>Forced Labor Policy</w:t>
            </w:r>
            <w:r w:rsidR="008D6255" w:rsidRPr="00622F6C">
              <w:rPr>
                <w:rFonts w:ascii="Times New Roman" w:hAnsi="Times New Roman" w:cs="Times New Roman"/>
                <w:sz w:val="20"/>
                <w:szCs w:val="20"/>
                <w:lang w:val="en-US"/>
              </w:rPr>
              <w:t xml:space="preserve"> (0/1)</w:t>
            </w:r>
          </w:p>
        </w:tc>
        <w:tc>
          <w:tcPr>
            <w:tcW w:w="872" w:type="pct"/>
          </w:tcPr>
          <w:p w14:paraId="3B789E65"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1a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1b</w:t>
            </w:r>
            <w:r w:rsidRPr="00622F6C">
              <w:rPr>
                <w:rFonts w:ascii="Times New Roman" w:hAnsi="Times New Roman" w:cs="Times New Roman"/>
                <w:sz w:val="20"/>
                <w:szCs w:val="20"/>
                <w:lang w:val="en-US"/>
              </w:rPr>
              <w:t>)</w:t>
            </w:r>
          </w:p>
        </w:tc>
        <w:tc>
          <w:tcPr>
            <w:tcW w:w="581" w:type="pct"/>
          </w:tcPr>
          <w:p w14:paraId="1D614FA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0.13</w:t>
            </w:r>
          </w:p>
        </w:tc>
        <w:tc>
          <w:tcPr>
            <w:tcW w:w="581" w:type="pct"/>
          </w:tcPr>
          <w:p w14:paraId="39396DA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c>
          <w:tcPr>
            <w:tcW w:w="581" w:type="pct"/>
          </w:tcPr>
          <w:p w14:paraId="6B31153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0.34</w:t>
            </w:r>
          </w:p>
        </w:tc>
        <w:tc>
          <w:tcPr>
            <w:tcW w:w="581" w:type="pct"/>
          </w:tcPr>
          <w:p w14:paraId="5507752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1A2676B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r w:rsidR="008D6255" w:rsidRPr="00622F6C" w14:paraId="08FF0573" w14:textId="77777777" w:rsidTr="001708FE">
        <w:tc>
          <w:tcPr>
            <w:tcW w:w="1223" w:type="pct"/>
          </w:tcPr>
          <w:p w14:paraId="129F009B"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Social Disclosure (0/1)</w:t>
            </w:r>
          </w:p>
        </w:tc>
        <w:tc>
          <w:tcPr>
            <w:tcW w:w="872" w:type="pct"/>
          </w:tcPr>
          <w:p w14:paraId="78E701F0"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2a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2b</w:t>
            </w:r>
            <w:r w:rsidRPr="00622F6C">
              <w:rPr>
                <w:rFonts w:ascii="Times New Roman" w:hAnsi="Times New Roman" w:cs="Times New Roman"/>
                <w:sz w:val="20"/>
                <w:szCs w:val="20"/>
                <w:lang w:val="en-US"/>
              </w:rPr>
              <w:t>)</w:t>
            </w:r>
          </w:p>
        </w:tc>
        <w:tc>
          <w:tcPr>
            <w:tcW w:w="581" w:type="pct"/>
          </w:tcPr>
          <w:p w14:paraId="514246E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0.62</w:t>
            </w:r>
          </w:p>
        </w:tc>
        <w:tc>
          <w:tcPr>
            <w:tcW w:w="581" w:type="pct"/>
          </w:tcPr>
          <w:p w14:paraId="76A6E95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7C530EF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0.49</w:t>
            </w:r>
          </w:p>
        </w:tc>
        <w:tc>
          <w:tcPr>
            <w:tcW w:w="581" w:type="pct"/>
          </w:tcPr>
          <w:p w14:paraId="1971071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202A11F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r w:rsidR="008D6255" w:rsidRPr="00622F6C" w14:paraId="48AA3BC9" w14:textId="77777777" w:rsidTr="001708FE">
        <w:tc>
          <w:tcPr>
            <w:tcW w:w="1223" w:type="pct"/>
          </w:tcPr>
          <w:p w14:paraId="3A80B76A"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CSR Disclosure</w:t>
            </w:r>
          </w:p>
          <w:p w14:paraId="77091E8B"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Total Assets (£ million)</w:t>
            </w:r>
          </w:p>
        </w:tc>
        <w:tc>
          <w:tcPr>
            <w:tcW w:w="872" w:type="pct"/>
          </w:tcPr>
          <w:p w14:paraId="33E5ADD0"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2a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2b</w:t>
            </w:r>
            <w:r w:rsidRPr="00622F6C">
              <w:rPr>
                <w:rFonts w:ascii="Times New Roman" w:hAnsi="Times New Roman" w:cs="Times New Roman"/>
                <w:sz w:val="20"/>
                <w:szCs w:val="20"/>
                <w:lang w:val="en-US"/>
              </w:rPr>
              <w:t>)</w:t>
            </w:r>
          </w:p>
          <w:p w14:paraId="0D49CD06"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(control var</w:t>
            </w:r>
            <w:r w:rsidR="005A351A">
              <w:rPr>
                <w:rFonts w:ascii="Times New Roman" w:hAnsi="Times New Roman" w:cs="Times New Roman"/>
                <w:sz w:val="20"/>
                <w:szCs w:val="20"/>
                <w:lang w:val="en-US"/>
              </w:rPr>
              <w:t>iable</w:t>
            </w:r>
            <w:r w:rsidRPr="00622F6C">
              <w:rPr>
                <w:rFonts w:ascii="Times New Roman" w:hAnsi="Times New Roman" w:cs="Times New Roman"/>
                <w:sz w:val="20"/>
                <w:szCs w:val="20"/>
                <w:lang w:val="en-US"/>
              </w:rPr>
              <w:t>)</w:t>
            </w:r>
          </w:p>
        </w:tc>
        <w:tc>
          <w:tcPr>
            <w:tcW w:w="581" w:type="pct"/>
          </w:tcPr>
          <w:p w14:paraId="634B051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54.14</w:t>
            </w:r>
          </w:p>
          <w:p w14:paraId="500F401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42,530</w:t>
            </w:r>
          </w:p>
        </w:tc>
        <w:tc>
          <w:tcPr>
            <w:tcW w:w="581" w:type="pct"/>
          </w:tcPr>
          <w:p w14:paraId="741B5C91"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55.11</w:t>
            </w:r>
          </w:p>
          <w:p w14:paraId="58BB242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2,308</w:t>
            </w:r>
          </w:p>
        </w:tc>
        <w:tc>
          <w:tcPr>
            <w:tcW w:w="581" w:type="pct"/>
          </w:tcPr>
          <w:p w14:paraId="1E67DC2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27.41</w:t>
            </w:r>
          </w:p>
          <w:p w14:paraId="11752C5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194,742</w:t>
            </w:r>
          </w:p>
        </w:tc>
        <w:tc>
          <w:tcPr>
            <w:tcW w:w="581" w:type="pct"/>
          </w:tcPr>
          <w:p w14:paraId="5732E896" w14:textId="2D0B0A3A" w:rsidR="008D6255" w:rsidRPr="00622F6C" w:rsidRDefault="005A7AFF"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99.84</w:t>
            </w:r>
          </w:p>
          <w:p w14:paraId="57119A4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1,651,255</w:t>
            </w:r>
          </w:p>
        </w:tc>
        <w:tc>
          <w:tcPr>
            <w:tcW w:w="581" w:type="pct"/>
          </w:tcPr>
          <w:p w14:paraId="59599E0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3.83</w:t>
            </w:r>
          </w:p>
          <w:p w14:paraId="5E10E19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31</w:t>
            </w:r>
          </w:p>
        </w:tc>
      </w:tr>
      <w:tr w:rsidR="008D6255" w:rsidRPr="00622F6C" w14:paraId="12E36747" w14:textId="77777777" w:rsidTr="00E54777">
        <w:tc>
          <w:tcPr>
            <w:tcW w:w="1223" w:type="pct"/>
            <w:shd w:val="clear" w:color="auto" w:fill="auto"/>
          </w:tcPr>
          <w:p w14:paraId="45C46C21" w14:textId="0E1102BE" w:rsidR="008D6255" w:rsidRPr="00622F6C" w:rsidRDefault="004957E6" w:rsidP="004957E6">
            <w:pPr>
              <w:rPr>
                <w:rFonts w:ascii="Times New Roman" w:hAnsi="Times New Roman" w:cs="Times New Roman"/>
                <w:sz w:val="20"/>
                <w:szCs w:val="20"/>
                <w:lang w:val="en-US"/>
              </w:rPr>
            </w:pPr>
            <w:r w:rsidRPr="00E54777">
              <w:rPr>
                <w:rFonts w:ascii="Times New Roman" w:hAnsi="Times New Roman" w:cs="Times New Roman"/>
                <w:sz w:val="20"/>
                <w:szCs w:val="20"/>
                <w:lang w:val="en-US"/>
              </w:rPr>
              <w:t>Country</w:t>
            </w:r>
            <w:r w:rsidR="008D6255" w:rsidRPr="00622F6C">
              <w:rPr>
                <w:rFonts w:ascii="Times New Roman" w:hAnsi="Times New Roman" w:cs="Times New Roman"/>
                <w:color w:val="800000"/>
                <w:sz w:val="20"/>
                <w:szCs w:val="20"/>
                <w:lang w:val="en-US"/>
              </w:rPr>
              <w:t>–</w:t>
            </w:r>
            <w:r w:rsidR="00B009C2">
              <w:rPr>
                <w:rFonts w:ascii="Times New Roman" w:hAnsi="Times New Roman" w:cs="Times New Roman"/>
                <w:sz w:val="20"/>
                <w:szCs w:val="20"/>
                <w:lang w:val="en-US"/>
              </w:rPr>
              <w:t>Industry</w:t>
            </w:r>
            <w:r w:rsidR="008D6255" w:rsidRPr="00622F6C">
              <w:rPr>
                <w:rFonts w:ascii="Times New Roman" w:hAnsi="Times New Roman" w:cs="Times New Roman"/>
                <w:sz w:val="20"/>
                <w:szCs w:val="20"/>
                <w:lang w:val="en-US"/>
              </w:rPr>
              <w:t xml:space="preserve"> ESG Risk (0/1)</w:t>
            </w:r>
          </w:p>
        </w:tc>
        <w:tc>
          <w:tcPr>
            <w:tcW w:w="872" w:type="pct"/>
          </w:tcPr>
          <w:p w14:paraId="1B750D3A" w14:textId="77777777" w:rsidR="008D6255" w:rsidRPr="00622F6C" w:rsidRDefault="00BB636A"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1a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1b</w:t>
            </w:r>
            <w:r w:rsidRPr="00622F6C">
              <w:rPr>
                <w:rFonts w:ascii="Times New Roman" w:hAnsi="Times New Roman" w:cs="Times New Roman"/>
                <w:sz w:val="20"/>
                <w:szCs w:val="20"/>
                <w:lang w:val="en-US"/>
              </w:rPr>
              <w:t>)</w:t>
            </w:r>
          </w:p>
        </w:tc>
        <w:tc>
          <w:tcPr>
            <w:tcW w:w="581" w:type="pct"/>
          </w:tcPr>
          <w:p w14:paraId="7489186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0.46</w:t>
            </w:r>
          </w:p>
        </w:tc>
        <w:tc>
          <w:tcPr>
            <w:tcW w:w="581" w:type="pct"/>
          </w:tcPr>
          <w:p w14:paraId="4A78FE7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c>
          <w:tcPr>
            <w:tcW w:w="581" w:type="pct"/>
          </w:tcPr>
          <w:p w14:paraId="1EC6916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0.50</w:t>
            </w:r>
          </w:p>
        </w:tc>
        <w:tc>
          <w:tcPr>
            <w:tcW w:w="581" w:type="pct"/>
          </w:tcPr>
          <w:p w14:paraId="42C5713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2B951F6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r w:rsidR="008D6255" w:rsidRPr="00622F6C" w14:paraId="69263439" w14:textId="77777777" w:rsidTr="00E54777">
        <w:trPr>
          <w:trHeight w:val="68"/>
        </w:trPr>
        <w:tc>
          <w:tcPr>
            <w:tcW w:w="1223" w:type="pct"/>
            <w:shd w:val="clear" w:color="auto" w:fill="auto"/>
          </w:tcPr>
          <w:p w14:paraId="38FDB7A1" w14:textId="3DA2EA9F" w:rsidR="008D6255" w:rsidRPr="00622F6C"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t>Industry</w:t>
            </w:r>
            <w:r w:rsidR="008D6255" w:rsidRPr="00622F6C">
              <w:rPr>
                <w:rFonts w:ascii="Times New Roman" w:hAnsi="Times New Roman" w:cs="Times New Roman"/>
                <w:sz w:val="20"/>
                <w:szCs w:val="20"/>
                <w:lang w:val="en-US"/>
              </w:rPr>
              <w:t xml:space="preserve"> Slavery Risk (0/1)</w:t>
            </w:r>
          </w:p>
        </w:tc>
        <w:tc>
          <w:tcPr>
            <w:tcW w:w="872" w:type="pct"/>
          </w:tcPr>
          <w:p w14:paraId="787A7519" w14:textId="77777777" w:rsidR="008D6255" w:rsidRPr="00622F6C" w:rsidRDefault="00BB636A"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 (H</w:t>
            </w:r>
            <w:r w:rsidRPr="00622F6C">
              <w:rPr>
                <w:rFonts w:ascii="Times New Roman" w:hAnsi="Times New Roman" w:cs="Times New Roman"/>
                <w:sz w:val="20"/>
                <w:szCs w:val="20"/>
                <w:vertAlign w:val="subscript"/>
                <w:lang w:val="en-US"/>
              </w:rPr>
              <w:t>1a</w:t>
            </w:r>
            <w:r w:rsidRPr="00622F6C">
              <w:rPr>
                <w:rFonts w:ascii="Times New Roman" w:hAnsi="Times New Roman" w:cs="Times New Roman"/>
                <w:sz w:val="20"/>
                <w:szCs w:val="20"/>
                <w:lang w:val="en-US"/>
              </w:rPr>
              <w:t>, H</w:t>
            </w:r>
            <w:r w:rsidRPr="00622F6C">
              <w:rPr>
                <w:rFonts w:ascii="Times New Roman" w:hAnsi="Times New Roman" w:cs="Times New Roman"/>
                <w:sz w:val="20"/>
                <w:szCs w:val="20"/>
                <w:vertAlign w:val="subscript"/>
                <w:lang w:val="en-US"/>
              </w:rPr>
              <w:t>1b</w:t>
            </w:r>
            <w:r w:rsidRPr="00622F6C">
              <w:rPr>
                <w:rFonts w:ascii="Times New Roman" w:hAnsi="Times New Roman" w:cs="Times New Roman"/>
                <w:sz w:val="20"/>
                <w:szCs w:val="20"/>
                <w:lang w:val="en-US"/>
              </w:rPr>
              <w:t>)</w:t>
            </w:r>
          </w:p>
        </w:tc>
        <w:tc>
          <w:tcPr>
            <w:tcW w:w="581" w:type="pct"/>
          </w:tcPr>
          <w:p w14:paraId="0CEB4994"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581" w:type="pct"/>
          </w:tcPr>
          <w:p w14:paraId="3972723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c>
          <w:tcPr>
            <w:tcW w:w="581" w:type="pct"/>
          </w:tcPr>
          <w:p w14:paraId="76951580"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0.48</w:t>
            </w:r>
          </w:p>
        </w:tc>
        <w:tc>
          <w:tcPr>
            <w:tcW w:w="581" w:type="pct"/>
          </w:tcPr>
          <w:p w14:paraId="5066C80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81" w:type="pct"/>
          </w:tcPr>
          <w:p w14:paraId="1215CB5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w:t>
            </w:r>
          </w:p>
        </w:tc>
      </w:tr>
    </w:tbl>
    <w:p w14:paraId="79AE5F52" w14:textId="77777777" w:rsidR="008D6255" w:rsidRPr="00622F6C" w:rsidRDefault="008D6255" w:rsidP="008D6255">
      <w:pPr>
        <w:spacing w:after="0"/>
        <w:jc w:val="both"/>
        <w:rPr>
          <w:rFonts w:ascii="Times New Roman" w:hAnsi="Times New Roman" w:cs="Times New Roman"/>
          <w:i/>
          <w:sz w:val="20"/>
          <w:szCs w:val="20"/>
          <w:lang w:val="en-US"/>
        </w:rPr>
      </w:pPr>
    </w:p>
    <w:p w14:paraId="318BCD38" w14:textId="77777777" w:rsidR="008D6255" w:rsidRPr="00622F6C" w:rsidRDefault="008D6255" w:rsidP="008D6255">
      <w:pPr>
        <w:spacing w:after="0"/>
        <w:jc w:val="both"/>
        <w:rPr>
          <w:rFonts w:ascii="Times New Roman" w:hAnsi="Times New Roman" w:cs="Times New Roman"/>
          <w:i/>
          <w:sz w:val="20"/>
          <w:szCs w:val="20"/>
          <w:lang w:val="en-US"/>
        </w:rPr>
      </w:pPr>
      <w:r w:rsidRPr="00622F6C">
        <w:rPr>
          <w:rFonts w:ascii="Times New Roman" w:hAnsi="Times New Roman" w:cs="Times New Roman"/>
          <w:i/>
          <w:sz w:val="20"/>
          <w:szCs w:val="20"/>
          <w:lang w:val="en-US"/>
        </w:rPr>
        <w:t>Panel B: Univariate analysis of associations between variables</w:t>
      </w:r>
      <w:r w:rsidR="003C440A">
        <w:rPr>
          <w:rFonts w:ascii="Times New Roman" w:hAnsi="Times New Roman" w:cs="Times New Roman"/>
          <w:i/>
          <w:sz w:val="20"/>
          <w:szCs w:val="20"/>
          <w:lang w:val="en-US"/>
        </w:rPr>
        <w:t xml:space="preserve"> used in baseline analysis</w:t>
      </w:r>
      <w:r w:rsidRPr="00622F6C">
        <w:rPr>
          <w:rFonts w:ascii="Times New Roman" w:hAnsi="Times New Roman" w:cs="Times New Roman"/>
          <w:i/>
          <w:sz w:val="20"/>
          <w:szCs w:val="20"/>
          <w:lang w:val="en-US"/>
        </w:rPr>
        <w:t xml:space="preserve"> (N=205)</w:t>
      </w:r>
    </w:p>
    <w:tbl>
      <w:tblPr>
        <w:tblStyle w:val="TableGrid5"/>
        <w:tblW w:w="50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1134"/>
        <w:gridCol w:w="1146"/>
        <w:gridCol w:w="1134"/>
        <w:gridCol w:w="1191"/>
        <w:gridCol w:w="1134"/>
        <w:gridCol w:w="1134"/>
        <w:gridCol w:w="1134"/>
        <w:gridCol w:w="1134"/>
        <w:gridCol w:w="1126"/>
      </w:tblGrid>
      <w:tr w:rsidR="008D6255" w:rsidRPr="00622F6C" w14:paraId="2C289034" w14:textId="77777777" w:rsidTr="001708FE">
        <w:tc>
          <w:tcPr>
            <w:tcW w:w="1370" w:type="pct"/>
            <w:tcBorders>
              <w:top w:val="single" w:sz="4" w:space="0" w:color="auto"/>
              <w:bottom w:val="single" w:sz="4" w:space="0" w:color="auto"/>
            </w:tcBorders>
          </w:tcPr>
          <w:p w14:paraId="5B4C9DB5"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Variable</w:t>
            </w:r>
          </w:p>
        </w:tc>
        <w:tc>
          <w:tcPr>
            <w:tcW w:w="401" w:type="pct"/>
            <w:tcBorders>
              <w:top w:val="single" w:sz="4" w:space="0" w:color="auto"/>
              <w:bottom w:val="single" w:sz="4" w:space="0" w:color="auto"/>
            </w:tcBorders>
          </w:tcPr>
          <w:p w14:paraId="254B03B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5" w:type="pct"/>
            <w:tcBorders>
              <w:top w:val="single" w:sz="4" w:space="0" w:color="auto"/>
              <w:bottom w:val="single" w:sz="4" w:space="0" w:color="auto"/>
            </w:tcBorders>
          </w:tcPr>
          <w:p w14:paraId="49DA70F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w:t>
            </w:r>
          </w:p>
        </w:tc>
        <w:tc>
          <w:tcPr>
            <w:tcW w:w="401" w:type="pct"/>
            <w:tcBorders>
              <w:top w:val="single" w:sz="4" w:space="0" w:color="auto"/>
              <w:bottom w:val="single" w:sz="4" w:space="0" w:color="auto"/>
            </w:tcBorders>
          </w:tcPr>
          <w:p w14:paraId="5C2C029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(3)</w:t>
            </w:r>
          </w:p>
        </w:tc>
        <w:tc>
          <w:tcPr>
            <w:tcW w:w="421" w:type="pct"/>
            <w:tcBorders>
              <w:top w:val="single" w:sz="4" w:space="0" w:color="auto"/>
              <w:bottom w:val="single" w:sz="4" w:space="0" w:color="auto"/>
            </w:tcBorders>
          </w:tcPr>
          <w:p w14:paraId="1F6BBB9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(4)</w:t>
            </w:r>
          </w:p>
        </w:tc>
        <w:tc>
          <w:tcPr>
            <w:tcW w:w="401" w:type="pct"/>
            <w:tcBorders>
              <w:top w:val="single" w:sz="4" w:space="0" w:color="auto"/>
              <w:bottom w:val="single" w:sz="4" w:space="0" w:color="auto"/>
            </w:tcBorders>
          </w:tcPr>
          <w:p w14:paraId="0309335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(5)</w:t>
            </w:r>
          </w:p>
        </w:tc>
        <w:tc>
          <w:tcPr>
            <w:tcW w:w="401" w:type="pct"/>
            <w:tcBorders>
              <w:top w:val="single" w:sz="4" w:space="0" w:color="auto"/>
              <w:bottom w:val="single" w:sz="4" w:space="0" w:color="auto"/>
            </w:tcBorders>
          </w:tcPr>
          <w:p w14:paraId="1302E75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(6)</w:t>
            </w:r>
          </w:p>
        </w:tc>
        <w:tc>
          <w:tcPr>
            <w:tcW w:w="401" w:type="pct"/>
            <w:tcBorders>
              <w:top w:val="single" w:sz="4" w:space="0" w:color="auto"/>
              <w:bottom w:val="single" w:sz="4" w:space="0" w:color="auto"/>
            </w:tcBorders>
          </w:tcPr>
          <w:p w14:paraId="71710B6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(7)</w:t>
            </w:r>
          </w:p>
        </w:tc>
        <w:tc>
          <w:tcPr>
            <w:tcW w:w="401" w:type="pct"/>
            <w:tcBorders>
              <w:top w:val="single" w:sz="4" w:space="0" w:color="auto"/>
              <w:bottom w:val="single" w:sz="4" w:space="0" w:color="auto"/>
            </w:tcBorders>
          </w:tcPr>
          <w:p w14:paraId="18CF84B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(8)</w:t>
            </w:r>
          </w:p>
        </w:tc>
        <w:tc>
          <w:tcPr>
            <w:tcW w:w="400" w:type="pct"/>
            <w:tcBorders>
              <w:top w:val="single" w:sz="4" w:space="0" w:color="auto"/>
              <w:bottom w:val="single" w:sz="4" w:space="0" w:color="auto"/>
            </w:tcBorders>
          </w:tcPr>
          <w:p w14:paraId="6C23956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(9)</w:t>
            </w:r>
          </w:p>
        </w:tc>
      </w:tr>
      <w:tr w:rsidR="008D6255" w:rsidRPr="00622F6C" w14:paraId="7AA74FF3" w14:textId="77777777" w:rsidTr="001708FE">
        <w:tc>
          <w:tcPr>
            <w:tcW w:w="1370" w:type="pct"/>
          </w:tcPr>
          <w:p w14:paraId="2B30DC74" w14:textId="77777777" w:rsidR="008D6255" w:rsidRPr="00622F6C" w:rsidRDefault="00EC32E6" w:rsidP="008D6255">
            <w:pPr>
              <w:numPr>
                <w:ilvl w:val="0"/>
                <w:numId w:val="39"/>
              </w:numPr>
              <w:ind w:left="426" w:hanging="426"/>
              <w:contextualSpacing/>
              <w:rPr>
                <w:rFonts w:ascii="Times New Roman" w:hAnsi="Times New Roman" w:cs="Times New Roman"/>
                <w:sz w:val="20"/>
                <w:szCs w:val="20"/>
                <w:lang w:val="en-US"/>
              </w:rPr>
            </w:pPr>
            <w:r>
              <w:rPr>
                <w:rFonts w:ascii="Times New Roman" w:hAnsi="Times New Roman" w:cs="Times New Roman"/>
                <w:sz w:val="20"/>
                <w:szCs w:val="20"/>
                <w:lang w:val="en-US"/>
              </w:rPr>
              <w:t>CAR</w:t>
            </w:r>
          </w:p>
        </w:tc>
        <w:tc>
          <w:tcPr>
            <w:tcW w:w="401" w:type="pct"/>
          </w:tcPr>
          <w:p w14:paraId="0C86258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p w14:paraId="1159BE20" w14:textId="77777777" w:rsidR="008D6255" w:rsidRPr="00622F6C" w:rsidRDefault="008D6255" w:rsidP="008D6255">
            <w:pPr>
              <w:jc w:val="center"/>
              <w:rPr>
                <w:rFonts w:ascii="Times New Roman" w:hAnsi="Times New Roman" w:cs="Times New Roman"/>
                <w:sz w:val="20"/>
                <w:szCs w:val="20"/>
                <w:lang w:val="en-US"/>
              </w:rPr>
            </w:pPr>
          </w:p>
        </w:tc>
        <w:tc>
          <w:tcPr>
            <w:tcW w:w="405" w:type="pct"/>
          </w:tcPr>
          <w:p w14:paraId="3ADF998F"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2F12C4D0" w14:textId="77777777" w:rsidR="008D6255" w:rsidRPr="00622F6C" w:rsidRDefault="008D6255" w:rsidP="008D6255">
            <w:pPr>
              <w:jc w:val="center"/>
              <w:rPr>
                <w:rFonts w:ascii="Times New Roman" w:hAnsi="Times New Roman" w:cs="Times New Roman"/>
                <w:sz w:val="20"/>
                <w:szCs w:val="20"/>
                <w:lang w:val="en-US"/>
              </w:rPr>
            </w:pPr>
          </w:p>
        </w:tc>
        <w:tc>
          <w:tcPr>
            <w:tcW w:w="421" w:type="pct"/>
          </w:tcPr>
          <w:p w14:paraId="7E152C6F"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0D56AC77"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51231ABC"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4AC57F67"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15B57BD8"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6E5CD6BF"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493C672F" w14:textId="77777777" w:rsidTr="001708FE">
        <w:tc>
          <w:tcPr>
            <w:tcW w:w="1370" w:type="pct"/>
          </w:tcPr>
          <w:p w14:paraId="7FB31323" w14:textId="77777777" w:rsidR="008D6255" w:rsidRPr="00622F6C" w:rsidRDefault="008D6255" w:rsidP="008D6255">
            <w:pPr>
              <w:numPr>
                <w:ilvl w:val="0"/>
                <w:numId w:val="39"/>
              </w:numPr>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Social Incidents </w:t>
            </w:r>
          </w:p>
        </w:tc>
        <w:tc>
          <w:tcPr>
            <w:tcW w:w="401" w:type="pct"/>
          </w:tcPr>
          <w:p w14:paraId="13F21B4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−0.11</w:t>
            </w:r>
          </w:p>
          <w:p w14:paraId="4A0D4C7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(0.12)</w:t>
            </w:r>
          </w:p>
        </w:tc>
        <w:tc>
          <w:tcPr>
            <w:tcW w:w="405" w:type="pct"/>
          </w:tcPr>
          <w:p w14:paraId="7B3BF4C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1" w:type="pct"/>
          </w:tcPr>
          <w:p w14:paraId="462A7E4A" w14:textId="77777777" w:rsidR="008D6255" w:rsidRPr="00622F6C" w:rsidRDefault="008D6255" w:rsidP="008D6255">
            <w:pPr>
              <w:jc w:val="center"/>
              <w:rPr>
                <w:rFonts w:ascii="Times New Roman" w:hAnsi="Times New Roman" w:cs="Times New Roman"/>
                <w:sz w:val="20"/>
                <w:szCs w:val="20"/>
                <w:lang w:val="en-US"/>
              </w:rPr>
            </w:pPr>
          </w:p>
        </w:tc>
        <w:tc>
          <w:tcPr>
            <w:tcW w:w="421" w:type="pct"/>
          </w:tcPr>
          <w:p w14:paraId="673BAA6E"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77063E16"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4588C30F"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2AAFF409"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3B31D217"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01558783"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66FC8F1D" w14:textId="77777777" w:rsidTr="001708FE">
        <w:tc>
          <w:tcPr>
            <w:tcW w:w="1370" w:type="pct"/>
          </w:tcPr>
          <w:p w14:paraId="2D4F5190" w14:textId="77777777" w:rsidR="008D6255" w:rsidRPr="00622F6C" w:rsidRDefault="00C25D97" w:rsidP="008D6255">
            <w:pPr>
              <w:numPr>
                <w:ilvl w:val="0"/>
                <w:numId w:val="39"/>
              </w:numPr>
              <w:ind w:left="426" w:hanging="426"/>
              <w:contextualSpacing/>
              <w:rPr>
                <w:rFonts w:ascii="Times New Roman" w:hAnsi="Times New Roman" w:cs="Times New Roman"/>
                <w:sz w:val="20"/>
                <w:szCs w:val="20"/>
                <w:lang w:val="en-US"/>
              </w:rPr>
            </w:pPr>
            <w:r>
              <w:rPr>
                <w:rFonts w:ascii="Times New Roman" w:hAnsi="Times New Roman" w:cs="Times New Roman"/>
                <w:sz w:val="20"/>
                <w:szCs w:val="20"/>
                <w:lang w:val="en-US"/>
              </w:rPr>
              <w:t>Critical</w:t>
            </w:r>
            <w:r w:rsidR="00C95947">
              <w:rPr>
                <w:rFonts w:ascii="Times New Roman" w:hAnsi="Times New Roman" w:cs="Times New Roman"/>
                <w:sz w:val="20"/>
                <w:szCs w:val="20"/>
                <w:lang w:val="en-US"/>
              </w:rPr>
              <w:t xml:space="preserve"> Countries Policy</w:t>
            </w:r>
            <w:r w:rsidR="008D6255" w:rsidRPr="00622F6C">
              <w:rPr>
                <w:rFonts w:ascii="Times New Roman" w:hAnsi="Times New Roman" w:cs="Times New Roman"/>
                <w:sz w:val="20"/>
                <w:szCs w:val="20"/>
                <w:lang w:val="en-US"/>
              </w:rPr>
              <w:t xml:space="preserve"> (0/1)</w:t>
            </w:r>
          </w:p>
        </w:tc>
        <w:tc>
          <w:tcPr>
            <w:tcW w:w="401" w:type="pct"/>
          </w:tcPr>
          <w:p w14:paraId="56F8DE4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0.08</w:t>
            </w:r>
          </w:p>
          <w:p w14:paraId="2474F36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(0.27)</w:t>
            </w:r>
          </w:p>
        </w:tc>
        <w:tc>
          <w:tcPr>
            <w:tcW w:w="405" w:type="pct"/>
          </w:tcPr>
          <w:p w14:paraId="35AAC8E7"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0.09</w:t>
            </w:r>
          </w:p>
          <w:p w14:paraId="73EA23E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(0.19)</w:t>
            </w:r>
          </w:p>
        </w:tc>
        <w:tc>
          <w:tcPr>
            <w:tcW w:w="401" w:type="pct"/>
          </w:tcPr>
          <w:p w14:paraId="786F400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21" w:type="pct"/>
          </w:tcPr>
          <w:p w14:paraId="5EF87641"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7CDD857C"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5956D923"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73D4ED8D"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4AAA3242"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7E56E783"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7A945919" w14:textId="77777777" w:rsidTr="001708FE">
        <w:tc>
          <w:tcPr>
            <w:tcW w:w="1370" w:type="pct"/>
          </w:tcPr>
          <w:p w14:paraId="020B3590" w14:textId="77777777" w:rsidR="008D6255" w:rsidRPr="00622F6C" w:rsidRDefault="00C95947" w:rsidP="008D6255">
            <w:pPr>
              <w:numPr>
                <w:ilvl w:val="0"/>
                <w:numId w:val="39"/>
              </w:numPr>
              <w:tabs>
                <w:tab w:val="center" w:pos="1874"/>
              </w:tabs>
              <w:ind w:left="426" w:hanging="426"/>
              <w:contextualSpacing/>
              <w:rPr>
                <w:rFonts w:ascii="Times New Roman" w:hAnsi="Times New Roman" w:cs="Times New Roman"/>
                <w:sz w:val="20"/>
                <w:szCs w:val="20"/>
                <w:lang w:val="en-US"/>
              </w:rPr>
            </w:pPr>
            <w:r>
              <w:rPr>
                <w:rFonts w:ascii="Times New Roman" w:hAnsi="Times New Roman" w:cs="Times New Roman"/>
                <w:sz w:val="20"/>
                <w:szCs w:val="20"/>
                <w:lang w:val="en-US"/>
              </w:rPr>
              <w:t>Forced Labor Policy</w:t>
            </w:r>
            <w:r w:rsidR="008D6255" w:rsidRPr="00622F6C">
              <w:rPr>
                <w:rFonts w:ascii="Times New Roman" w:hAnsi="Times New Roman" w:cs="Times New Roman"/>
                <w:sz w:val="20"/>
                <w:szCs w:val="20"/>
                <w:lang w:val="en-US"/>
              </w:rPr>
              <w:t xml:space="preserve"> (0/1)</w:t>
            </w:r>
          </w:p>
        </w:tc>
        <w:tc>
          <w:tcPr>
            <w:tcW w:w="401" w:type="pct"/>
          </w:tcPr>
          <w:p w14:paraId="0312899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0.10</w:t>
            </w:r>
          </w:p>
          <w:p w14:paraId="79361DA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(0.14)</w:t>
            </w:r>
          </w:p>
        </w:tc>
        <w:tc>
          <w:tcPr>
            <w:tcW w:w="405" w:type="pct"/>
          </w:tcPr>
          <w:p w14:paraId="2C1BB946"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0.15</w:t>
            </w:r>
            <w:r w:rsidRPr="00622F6C">
              <w:rPr>
                <w:rFonts w:ascii="Times New Roman" w:hAnsi="Times New Roman" w:cs="Times New Roman"/>
                <w:sz w:val="20"/>
                <w:szCs w:val="20"/>
                <w:vertAlign w:val="superscript"/>
                <w:lang w:val="en-US"/>
              </w:rPr>
              <w:t>**</w:t>
            </w:r>
          </w:p>
          <w:p w14:paraId="3E9F742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(0.04)</w:t>
            </w:r>
          </w:p>
        </w:tc>
        <w:tc>
          <w:tcPr>
            <w:tcW w:w="401" w:type="pct"/>
          </w:tcPr>
          <w:p w14:paraId="06376E6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0.09</w:t>
            </w:r>
          </w:p>
          <w:p w14:paraId="17926F4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(0.21)</w:t>
            </w:r>
          </w:p>
        </w:tc>
        <w:tc>
          <w:tcPr>
            <w:tcW w:w="421" w:type="pct"/>
          </w:tcPr>
          <w:p w14:paraId="67C2FFA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1" w:type="pct"/>
          </w:tcPr>
          <w:p w14:paraId="3ED6B137"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4D595502"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771F193F"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7F1878D3"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68E02911"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08F2819C" w14:textId="77777777" w:rsidTr="001708FE">
        <w:tc>
          <w:tcPr>
            <w:tcW w:w="1370" w:type="pct"/>
          </w:tcPr>
          <w:p w14:paraId="282B11D0" w14:textId="77777777" w:rsidR="008D6255" w:rsidRPr="00622F6C" w:rsidRDefault="008D6255" w:rsidP="008D6255">
            <w:pPr>
              <w:numPr>
                <w:ilvl w:val="0"/>
                <w:numId w:val="39"/>
              </w:numPr>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Social Disclosure (0/1)</w:t>
            </w:r>
          </w:p>
        </w:tc>
        <w:tc>
          <w:tcPr>
            <w:tcW w:w="401" w:type="pct"/>
          </w:tcPr>
          <w:p w14:paraId="17572A9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−0.02</w:t>
            </w:r>
          </w:p>
          <w:p w14:paraId="060A788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(0.74)</w:t>
            </w:r>
          </w:p>
        </w:tc>
        <w:tc>
          <w:tcPr>
            <w:tcW w:w="405" w:type="pct"/>
          </w:tcPr>
          <w:p w14:paraId="5ABF261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0.27</w:t>
            </w:r>
            <w:r w:rsidRPr="00622F6C">
              <w:rPr>
                <w:rFonts w:ascii="Times New Roman" w:hAnsi="Times New Roman" w:cs="Times New Roman"/>
                <w:sz w:val="20"/>
                <w:szCs w:val="20"/>
                <w:vertAlign w:val="superscript"/>
                <w:lang w:val="en-US"/>
              </w:rPr>
              <w:t>***</w:t>
            </w:r>
          </w:p>
          <w:p w14:paraId="72261A8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3AD4676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0.11</w:t>
            </w:r>
          </w:p>
          <w:p w14:paraId="0190142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(0.12)</w:t>
            </w:r>
          </w:p>
        </w:tc>
        <w:tc>
          <w:tcPr>
            <w:tcW w:w="421" w:type="pct"/>
          </w:tcPr>
          <w:p w14:paraId="0F62741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0.30</w:t>
            </w:r>
            <w:r w:rsidRPr="00622F6C">
              <w:rPr>
                <w:rFonts w:ascii="Times New Roman" w:hAnsi="Times New Roman" w:cs="Times New Roman"/>
                <w:sz w:val="20"/>
                <w:szCs w:val="20"/>
                <w:vertAlign w:val="superscript"/>
                <w:lang w:val="en-US"/>
              </w:rPr>
              <w:t>***</w:t>
            </w:r>
          </w:p>
          <w:p w14:paraId="4F0D42B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4AC65FE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1" w:type="pct"/>
          </w:tcPr>
          <w:p w14:paraId="375B1B02"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3D27E4A2"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3E7AEA93"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0C85ED6F"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7F6067AE" w14:textId="77777777" w:rsidTr="001708FE">
        <w:tc>
          <w:tcPr>
            <w:tcW w:w="1370" w:type="pct"/>
          </w:tcPr>
          <w:p w14:paraId="5A62FFAF" w14:textId="77777777" w:rsidR="008D6255" w:rsidRPr="00622F6C" w:rsidRDefault="008D6255" w:rsidP="008D6255">
            <w:pPr>
              <w:numPr>
                <w:ilvl w:val="0"/>
                <w:numId w:val="39"/>
              </w:numPr>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CSR Disclosure</w:t>
            </w:r>
          </w:p>
        </w:tc>
        <w:tc>
          <w:tcPr>
            <w:tcW w:w="401" w:type="pct"/>
          </w:tcPr>
          <w:p w14:paraId="22F7B76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p w14:paraId="1443308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(0.96)</w:t>
            </w:r>
          </w:p>
        </w:tc>
        <w:tc>
          <w:tcPr>
            <w:tcW w:w="405" w:type="pct"/>
          </w:tcPr>
          <w:p w14:paraId="70A868AD" w14:textId="77777777" w:rsidR="008D6255" w:rsidRPr="00622F6C" w:rsidRDefault="008D6255" w:rsidP="008D6255">
            <w:pPr>
              <w:jc w:val="center"/>
              <w:rPr>
                <w:rFonts w:ascii="Times New Roman" w:hAnsi="Times New Roman" w:cs="Times New Roman"/>
                <w:sz w:val="20"/>
                <w:szCs w:val="20"/>
                <w:vertAlign w:val="superscript"/>
                <w:lang w:val="en-US"/>
              </w:rPr>
            </w:pPr>
            <w:r w:rsidRPr="00622F6C">
              <w:rPr>
                <w:rFonts w:ascii="Times New Roman" w:hAnsi="Times New Roman" w:cs="Times New Roman"/>
                <w:sz w:val="20"/>
                <w:szCs w:val="20"/>
                <w:lang w:val="en-US"/>
              </w:rPr>
              <w:t>0.27</w:t>
            </w:r>
            <w:r w:rsidRPr="00622F6C">
              <w:rPr>
                <w:rFonts w:ascii="Times New Roman" w:hAnsi="Times New Roman" w:cs="Times New Roman"/>
                <w:sz w:val="20"/>
                <w:szCs w:val="20"/>
                <w:vertAlign w:val="superscript"/>
                <w:lang w:val="en-US"/>
              </w:rPr>
              <w:t>***</w:t>
            </w:r>
          </w:p>
          <w:p w14:paraId="07C4AE4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1F5FD11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0.05</w:t>
            </w:r>
          </w:p>
          <w:p w14:paraId="39E5F2C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(0.50)</w:t>
            </w:r>
          </w:p>
        </w:tc>
        <w:tc>
          <w:tcPr>
            <w:tcW w:w="421" w:type="pct"/>
          </w:tcPr>
          <w:p w14:paraId="45A0247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0.23</w:t>
            </w:r>
            <w:r w:rsidRPr="00622F6C">
              <w:rPr>
                <w:rFonts w:ascii="Times New Roman" w:hAnsi="Times New Roman" w:cs="Times New Roman"/>
                <w:sz w:val="20"/>
                <w:szCs w:val="20"/>
                <w:vertAlign w:val="superscript"/>
                <w:lang w:val="en-US"/>
              </w:rPr>
              <w:t>***</w:t>
            </w:r>
          </w:p>
          <w:p w14:paraId="2BA4F24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71F06FD4" w14:textId="77777777" w:rsidR="008D6255" w:rsidRPr="00622F6C" w:rsidRDefault="008D6255" w:rsidP="008D6255">
            <w:pPr>
              <w:jc w:val="center"/>
              <w:rPr>
                <w:rFonts w:ascii="Times New Roman" w:hAnsi="Times New Roman" w:cs="Times New Roman"/>
                <w:sz w:val="20"/>
                <w:szCs w:val="20"/>
                <w:vertAlign w:val="superscript"/>
                <w:lang w:val="en-US"/>
              </w:rPr>
            </w:pPr>
            <w:r w:rsidRPr="00622F6C">
              <w:rPr>
                <w:rFonts w:ascii="Times New Roman" w:hAnsi="Times New Roman" w:cs="Times New Roman"/>
                <w:sz w:val="20"/>
                <w:szCs w:val="20"/>
                <w:lang w:val="en-US"/>
              </w:rPr>
              <w:t>0.48</w:t>
            </w:r>
            <w:r w:rsidRPr="00622F6C">
              <w:rPr>
                <w:rFonts w:ascii="Times New Roman" w:hAnsi="Times New Roman" w:cs="Times New Roman"/>
                <w:sz w:val="20"/>
                <w:szCs w:val="20"/>
                <w:vertAlign w:val="superscript"/>
                <w:lang w:val="en-US"/>
              </w:rPr>
              <w:t>***</w:t>
            </w:r>
          </w:p>
          <w:p w14:paraId="2FFEFB86"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6403FF8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1" w:type="pct"/>
          </w:tcPr>
          <w:p w14:paraId="086F7CB9" w14:textId="77777777" w:rsidR="008D6255" w:rsidRPr="00622F6C" w:rsidRDefault="008D6255" w:rsidP="008D6255">
            <w:pPr>
              <w:jc w:val="center"/>
              <w:rPr>
                <w:rFonts w:ascii="Times New Roman" w:hAnsi="Times New Roman" w:cs="Times New Roman"/>
                <w:sz w:val="20"/>
                <w:szCs w:val="20"/>
                <w:lang w:val="en-US"/>
              </w:rPr>
            </w:pPr>
          </w:p>
        </w:tc>
        <w:tc>
          <w:tcPr>
            <w:tcW w:w="401" w:type="pct"/>
          </w:tcPr>
          <w:p w14:paraId="38107709"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6AB36617"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019FD86F" w14:textId="77777777" w:rsidTr="001708FE">
        <w:tc>
          <w:tcPr>
            <w:tcW w:w="1370" w:type="pct"/>
          </w:tcPr>
          <w:p w14:paraId="30766A8F" w14:textId="77777777" w:rsidR="008D6255" w:rsidRPr="00622F6C" w:rsidRDefault="008D6255" w:rsidP="008D6255">
            <w:pPr>
              <w:numPr>
                <w:ilvl w:val="0"/>
                <w:numId w:val="39"/>
              </w:numPr>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Log(Total Assets)</w:t>
            </w:r>
          </w:p>
        </w:tc>
        <w:tc>
          <w:tcPr>
            <w:tcW w:w="401" w:type="pct"/>
          </w:tcPr>
          <w:p w14:paraId="49E2BC9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−0.07</w:t>
            </w:r>
          </w:p>
          <w:p w14:paraId="1A6A32D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(0.33)</w:t>
            </w:r>
          </w:p>
        </w:tc>
        <w:tc>
          <w:tcPr>
            <w:tcW w:w="405" w:type="pct"/>
          </w:tcPr>
          <w:p w14:paraId="772C51B7" w14:textId="77777777" w:rsidR="008D6255" w:rsidRPr="00622F6C" w:rsidRDefault="008D6255" w:rsidP="008D6255">
            <w:pPr>
              <w:jc w:val="center"/>
              <w:rPr>
                <w:rFonts w:ascii="Times New Roman" w:hAnsi="Times New Roman" w:cs="Times New Roman"/>
                <w:sz w:val="20"/>
                <w:szCs w:val="20"/>
                <w:vertAlign w:val="superscript"/>
                <w:lang w:val="en-US"/>
              </w:rPr>
            </w:pPr>
            <w:r w:rsidRPr="00622F6C">
              <w:rPr>
                <w:rFonts w:ascii="Times New Roman" w:hAnsi="Times New Roman" w:cs="Times New Roman"/>
                <w:sz w:val="20"/>
                <w:szCs w:val="20"/>
                <w:lang w:val="en-US"/>
              </w:rPr>
              <w:t>0.29</w:t>
            </w:r>
            <w:r w:rsidRPr="00622F6C">
              <w:rPr>
                <w:rFonts w:ascii="Times New Roman" w:hAnsi="Times New Roman" w:cs="Times New Roman"/>
                <w:sz w:val="20"/>
                <w:szCs w:val="20"/>
                <w:vertAlign w:val="superscript"/>
                <w:lang w:val="en-US"/>
              </w:rPr>
              <w:t>***</w:t>
            </w:r>
          </w:p>
          <w:p w14:paraId="7A47D8D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315741AB"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0.05</w:t>
            </w:r>
          </w:p>
          <w:p w14:paraId="7B7F1D8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(0.47)</w:t>
            </w:r>
          </w:p>
        </w:tc>
        <w:tc>
          <w:tcPr>
            <w:tcW w:w="421" w:type="pct"/>
          </w:tcPr>
          <w:p w14:paraId="569DA1A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0.17</w:t>
            </w:r>
            <w:r w:rsidRPr="00622F6C">
              <w:rPr>
                <w:rFonts w:ascii="Times New Roman" w:hAnsi="Times New Roman" w:cs="Times New Roman"/>
                <w:sz w:val="20"/>
                <w:szCs w:val="20"/>
                <w:vertAlign w:val="superscript"/>
                <w:lang w:val="en-US"/>
              </w:rPr>
              <w:t>**</w:t>
            </w:r>
          </w:p>
          <w:p w14:paraId="784F988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(0.02)</w:t>
            </w:r>
          </w:p>
        </w:tc>
        <w:tc>
          <w:tcPr>
            <w:tcW w:w="401" w:type="pct"/>
          </w:tcPr>
          <w:p w14:paraId="209C2FFE"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0.33</w:t>
            </w:r>
            <w:r w:rsidRPr="00622F6C">
              <w:rPr>
                <w:rFonts w:ascii="Times New Roman" w:hAnsi="Times New Roman" w:cs="Times New Roman"/>
                <w:sz w:val="20"/>
                <w:szCs w:val="20"/>
                <w:vertAlign w:val="superscript"/>
                <w:lang w:val="en-US"/>
              </w:rPr>
              <w:t>***</w:t>
            </w:r>
          </w:p>
          <w:p w14:paraId="22E9E3F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01DA3EA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0.48</w:t>
            </w:r>
            <w:r w:rsidRPr="00622F6C">
              <w:rPr>
                <w:rFonts w:ascii="Times New Roman" w:hAnsi="Times New Roman" w:cs="Times New Roman"/>
                <w:sz w:val="20"/>
                <w:szCs w:val="20"/>
                <w:vertAlign w:val="superscript"/>
                <w:lang w:val="en-US"/>
              </w:rPr>
              <w:t>***</w:t>
            </w:r>
          </w:p>
          <w:p w14:paraId="2CA2B66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793B910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1" w:type="pct"/>
          </w:tcPr>
          <w:p w14:paraId="7D380964" w14:textId="77777777" w:rsidR="008D6255" w:rsidRPr="00622F6C" w:rsidRDefault="008D6255" w:rsidP="008D6255">
            <w:pPr>
              <w:jc w:val="center"/>
              <w:rPr>
                <w:rFonts w:ascii="Times New Roman" w:hAnsi="Times New Roman" w:cs="Times New Roman"/>
                <w:sz w:val="20"/>
                <w:szCs w:val="20"/>
                <w:lang w:val="en-US"/>
              </w:rPr>
            </w:pPr>
          </w:p>
        </w:tc>
        <w:tc>
          <w:tcPr>
            <w:tcW w:w="400" w:type="pct"/>
          </w:tcPr>
          <w:p w14:paraId="69CD3CBC"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2272124A" w14:textId="77777777" w:rsidTr="001708FE">
        <w:tc>
          <w:tcPr>
            <w:tcW w:w="1370" w:type="pct"/>
          </w:tcPr>
          <w:p w14:paraId="6C3ECF85" w14:textId="7F54F740" w:rsidR="008D6255" w:rsidRPr="00622F6C" w:rsidRDefault="008D6255">
            <w:pPr>
              <w:numPr>
                <w:ilvl w:val="0"/>
                <w:numId w:val="39"/>
              </w:numPr>
              <w:ind w:left="426" w:hanging="426"/>
              <w:contextualSpacing/>
              <w:rPr>
                <w:rFonts w:ascii="Times New Roman" w:hAnsi="Times New Roman" w:cs="Times New Roman"/>
                <w:sz w:val="20"/>
                <w:szCs w:val="20"/>
                <w:lang w:val="en-US"/>
              </w:rPr>
            </w:pPr>
            <w:r w:rsidRPr="00622F6C">
              <w:rPr>
                <w:rFonts w:ascii="Times New Roman" w:hAnsi="Times New Roman" w:cs="Times New Roman"/>
                <w:sz w:val="20"/>
                <w:szCs w:val="20"/>
                <w:lang w:val="en-US"/>
              </w:rPr>
              <w:t>Country</w:t>
            </w:r>
            <w:r w:rsidRPr="00622F6C">
              <w:rPr>
                <w:rFonts w:ascii="Times New Roman" w:hAnsi="Times New Roman" w:cs="Times New Roman"/>
                <w:color w:val="800000"/>
                <w:sz w:val="20"/>
                <w:szCs w:val="20"/>
                <w:lang w:val="en-US"/>
              </w:rPr>
              <w:t>–</w:t>
            </w:r>
            <w:r w:rsidR="00B009C2">
              <w:rPr>
                <w:rFonts w:ascii="Times New Roman" w:hAnsi="Times New Roman" w:cs="Times New Roman"/>
                <w:sz w:val="20"/>
                <w:szCs w:val="20"/>
                <w:lang w:val="en-US"/>
              </w:rPr>
              <w:t>Industry</w:t>
            </w:r>
            <w:r w:rsidRPr="00622F6C">
              <w:rPr>
                <w:rFonts w:ascii="Times New Roman" w:hAnsi="Times New Roman" w:cs="Times New Roman"/>
                <w:sz w:val="20"/>
                <w:szCs w:val="20"/>
                <w:lang w:val="en-US"/>
              </w:rPr>
              <w:t xml:space="preserve"> ESG Risk (0/1)</w:t>
            </w:r>
          </w:p>
        </w:tc>
        <w:tc>
          <w:tcPr>
            <w:tcW w:w="401" w:type="pct"/>
          </w:tcPr>
          <w:p w14:paraId="40AC202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0.07</w:t>
            </w:r>
          </w:p>
          <w:p w14:paraId="265B0AEF"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(0.33)</w:t>
            </w:r>
          </w:p>
        </w:tc>
        <w:tc>
          <w:tcPr>
            <w:tcW w:w="405" w:type="pct"/>
          </w:tcPr>
          <w:p w14:paraId="0DBF293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0.37</w:t>
            </w:r>
            <w:r w:rsidRPr="00622F6C">
              <w:rPr>
                <w:rFonts w:ascii="Times New Roman" w:hAnsi="Times New Roman" w:cs="Times New Roman"/>
                <w:sz w:val="20"/>
                <w:szCs w:val="20"/>
                <w:vertAlign w:val="superscript"/>
                <w:lang w:val="en-US"/>
              </w:rPr>
              <w:t>***</w:t>
            </w:r>
          </w:p>
          <w:p w14:paraId="799D4499"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215D9A12"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−0.02</w:t>
            </w:r>
          </w:p>
          <w:p w14:paraId="1EEC5B0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(0.74)</w:t>
            </w:r>
          </w:p>
        </w:tc>
        <w:tc>
          <w:tcPr>
            <w:tcW w:w="421" w:type="pct"/>
          </w:tcPr>
          <w:p w14:paraId="6C6C5DF3"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0.16</w:t>
            </w:r>
            <w:r w:rsidRPr="00622F6C">
              <w:rPr>
                <w:rFonts w:ascii="Times New Roman" w:hAnsi="Times New Roman" w:cs="Times New Roman"/>
                <w:sz w:val="20"/>
                <w:szCs w:val="20"/>
                <w:vertAlign w:val="superscript"/>
                <w:lang w:val="en-US"/>
              </w:rPr>
              <w:t>**</w:t>
            </w:r>
          </w:p>
          <w:p w14:paraId="145D27A5"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(0.02)</w:t>
            </w:r>
          </w:p>
        </w:tc>
        <w:tc>
          <w:tcPr>
            <w:tcW w:w="401" w:type="pct"/>
          </w:tcPr>
          <w:p w14:paraId="54C69BDD"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0.34</w:t>
            </w:r>
            <w:r w:rsidRPr="00622F6C">
              <w:rPr>
                <w:rFonts w:ascii="Times New Roman" w:hAnsi="Times New Roman" w:cs="Times New Roman"/>
                <w:sz w:val="20"/>
                <w:szCs w:val="20"/>
                <w:vertAlign w:val="superscript"/>
                <w:lang w:val="en-US"/>
              </w:rPr>
              <w:t>***</w:t>
            </w:r>
          </w:p>
          <w:p w14:paraId="62564C9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23C53ED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0.32</w:t>
            </w:r>
            <w:r w:rsidRPr="00622F6C">
              <w:rPr>
                <w:rFonts w:ascii="Times New Roman" w:hAnsi="Times New Roman" w:cs="Times New Roman"/>
                <w:sz w:val="20"/>
                <w:szCs w:val="20"/>
                <w:vertAlign w:val="superscript"/>
                <w:lang w:val="en-US"/>
              </w:rPr>
              <w:t>***</w:t>
            </w:r>
          </w:p>
          <w:p w14:paraId="61093704"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(0.00)</w:t>
            </w:r>
          </w:p>
        </w:tc>
        <w:tc>
          <w:tcPr>
            <w:tcW w:w="401" w:type="pct"/>
          </w:tcPr>
          <w:p w14:paraId="39907E07" w14:textId="7C8CC038" w:rsidR="008D6255" w:rsidRDefault="002D0C6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0.27</w:t>
            </w:r>
            <w:r w:rsidR="00C95947" w:rsidRPr="001708FE">
              <w:rPr>
                <w:rFonts w:ascii="Times New Roman" w:hAnsi="Times New Roman" w:cs="Times New Roman"/>
                <w:sz w:val="20"/>
                <w:szCs w:val="20"/>
                <w:vertAlign w:val="superscript"/>
                <w:lang w:val="en-US"/>
              </w:rPr>
              <w:t>***</w:t>
            </w:r>
          </w:p>
          <w:p w14:paraId="773FA9C2" w14:textId="77777777" w:rsidR="00C95947" w:rsidRPr="00C95947" w:rsidRDefault="00C95947"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w:t>
            </w:r>
          </w:p>
        </w:tc>
        <w:tc>
          <w:tcPr>
            <w:tcW w:w="401" w:type="pct"/>
          </w:tcPr>
          <w:p w14:paraId="606061CC"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400" w:type="pct"/>
          </w:tcPr>
          <w:p w14:paraId="6C94C5B8" w14:textId="77777777" w:rsidR="008D6255" w:rsidRPr="00622F6C" w:rsidRDefault="008D6255" w:rsidP="008D6255">
            <w:pPr>
              <w:jc w:val="center"/>
              <w:rPr>
                <w:rFonts w:ascii="Times New Roman" w:hAnsi="Times New Roman" w:cs="Times New Roman"/>
                <w:sz w:val="20"/>
                <w:szCs w:val="20"/>
                <w:lang w:val="en-US"/>
              </w:rPr>
            </w:pPr>
          </w:p>
        </w:tc>
      </w:tr>
      <w:tr w:rsidR="008D6255" w:rsidRPr="00622F6C" w14:paraId="1BDF6141" w14:textId="77777777" w:rsidTr="001708FE">
        <w:trPr>
          <w:trHeight w:val="68"/>
        </w:trPr>
        <w:tc>
          <w:tcPr>
            <w:tcW w:w="1370" w:type="pct"/>
          </w:tcPr>
          <w:p w14:paraId="0D3470D6" w14:textId="799E427D" w:rsidR="008D6255" w:rsidRPr="00622F6C" w:rsidRDefault="00B009C2" w:rsidP="008D6255">
            <w:pPr>
              <w:numPr>
                <w:ilvl w:val="0"/>
                <w:numId w:val="39"/>
              </w:numPr>
              <w:ind w:left="426" w:hanging="426"/>
              <w:contextualSpacing/>
              <w:rPr>
                <w:rFonts w:ascii="Times New Roman" w:hAnsi="Times New Roman" w:cs="Times New Roman"/>
                <w:sz w:val="20"/>
                <w:szCs w:val="20"/>
                <w:lang w:val="en-US"/>
              </w:rPr>
            </w:pPr>
            <w:r>
              <w:rPr>
                <w:rFonts w:ascii="Times New Roman" w:hAnsi="Times New Roman" w:cs="Times New Roman"/>
                <w:sz w:val="20"/>
                <w:szCs w:val="20"/>
                <w:lang w:val="en-US"/>
              </w:rPr>
              <w:t>Industry</w:t>
            </w:r>
            <w:r w:rsidR="008D6255" w:rsidRPr="00622F6C">
              <w:rPr>
                <w:rFonts w:ascii="Times New Roman" w:hAnsi="Times New Roman" w:cs="Times New Roman"/>
                <w:sz w:val="20"/>
                <w:szCs w:val="20"/>
                <w:lang w:val="en-US"/>
              </w:rPr>
              <w:t xml:space="preserve"> Slavery Risk (0/1)</w:t>
            </w:r>
          </w:p>
        </w:tc>
        <w:tc>
          <w:tcPr>
            <w:tcW w:w="401" w:type="pct"/>
          </w:tcPr>
          <w:p w14:paraId="2FD96DF4"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0.15</w:t>
            </w:r>
            <w:r>
              <w:rPr>
                <w:rFonts w:ascii="Times New Roman" w:hAnsi="Times New Roman" w:cs="Times New Roman"/>
                <w:sz w:val="20"/>
                <w:szCs w:val="20"/>
                <w:vertAlign w:val="superscript"/>
                <w:lang w:val="en-US"/>
              </w:rPr>
              <w:t>**</w:t>
            </w:r>
          </w:p>
          <w:p w14:paraId="435BE38F"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(0.03</w:t>
            </w:r>
            <w:r w:rsidR="008D6255" w:rsidRPr="00622F6C">
              <w:rPr>
                <w:rFonts w:ascii="Times New Roman" w:hAnsi="Times New Roman" w:cs="Times New Roman"/>
                <w:sz w:val="20"/>
                <w:szCs w:val="20"/>
                <w:lang w:val="en-US"/>
              </w:rPr>
              <w:t>)</w:t>
            </w:r>
          </w:p>
        </w:tc>
        <w:tc>
          <w:tcPr>
            <w:tcW w:w="405" w:type="pct"/>
          </w:tcPr>
          <w:p w14:paraId="3735CE73"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0.25</w:t>
            </w:r>
            <w:r w:rsidR="008D6255"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263DE207"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w:t>
            </w:r>
            <w:r w:rsidR="008D6255" w:rsidRPr="00622F6C">
              <w:rPr>
                <w:rFonts w:ascii="Times New Roman" w:hAnsi="Times New Roman" w:cs="Times New Roman"/>
                <w:sz w:val="20"/>
                <w:szCs w:val="20"/>
                <w:lang w:val="en-US"/>
              </w:rPr>
              <w:t>)</w:t>
            </w:r>
          </w:p>
        </w:tc>
        <w:tc>
          <w:tcPr>
            <w:tcW w:w="401" w:type="pct"/>
          </w:tcPr>
          <w:p w14:paraId="2F14EEA0" w14:textId="77777777" w:rsidR="008D6255" w:rsidRPr="00622F6C" w:rsidRDefault="00D1762C"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0.00</w:t>
            </w:r>
          </w:p>
          <w:p w14:paraId="51133FEC" w14:textId="77777777" w:rsidR="008D6255" w:rsidRPr="00622F6C" w:rsidRDefault="00D1762C"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w:t>
            </w:r>
            <w:r w:rsidR="008D6255" w:rsidRPr="00622F6C">
              <w:rPr>
                <w:rFonts w:ascii="Times New Roman" w:hAnsi="Times New Roman" w:cs="Times New Roman"/>
                <w:sz w:val="20"/>
                <w:szCs w:val="20"/>
                <w:lang w:val="en-US"/>
              </w:rPr>
              <w:t>5)</w:t>
            </w:r>
          </w:p>
        </w:tc>
        <w:tc>
          <w:tcPr>
            <w:tcW w:w="421" w:type="pct"/>
          </w:tcPr>
          <w:p w14:paraId="6A882BBB"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0.12</w:t>
            </w:r>
            <w:r w:rsidRPr="0014619B">
              <w:rPr>
                <w:rFonts w:ascii="Times New Roman" w:hAnsi="Times New Roman" w:cs="Times New Roman"/>
                <w:sz w:val="20"/>
                <w:szCs w:val="20"/>
                <w:vertAlign w:val="superscript"/>
                <w:lang w:val="en-US"/>
              </w:rPr>
              <w:t>*</w:t>
            </w:r>
          </w:p>
          <w:p w14:paraId="05028D76"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(0.10</w:t>
            </w:r>
            <w:r w:rsidR="008D6255" w:rsidRPr="00622F6C">
              <w:rPr>
                <w:rFonts w:ascii="Times New Roman" w:hAnsi="Times New Roman" w:cs="Times New Roman"/>
                <w:sz w:val="20"/>
                <w:szCs w:val="20"/>
                <w:lang w:val="en-US"/>
              </w:rPr>
              <w:t>)</w:t>
            </w:r>
          </w:p>
        </w:tc>
        <w:tc>
          <w:tcPr>
            <w:tcW w:w="401" w:type="pct"/>
          </w:tcPr>
          <w:p w14:paraId="4DF9AA41"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0.11</w:t>
            </w:r>
          </w:p>
          <w:p w14:paraId="7E0556E7"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(0.11</w:t>
            </w:r>
            <w:r w:rsidR="008D6255" w:rsidRPr="00622F6C">
              <w:rPr>
                <w:rFonts w:ascii="Times New Roman" w:hAnsi="Times New Roman" w:cs="Times New Roman"/>
                <w:sz w:val="20"/>
                <w:szCs w:val="20"/>
                <w:lang w:val="en-US"/>
              </w:rPr>
              <w:t>)</w:t>
            </w:r>
          </w:p>
        </w:tc>
        <w:tc>
          <w:tcPr>
            <w:tcW w:w="401" w:type="pct"/>
          </w:tcPr>
          <w:p w14:paraId="2DE3CD36"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0.10</w:t>
            </w:r>
          </w:p>
          <w:p w14:paraId="17445CAC"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(0.14</w:t>
            </w:r>
            <w:r w:rsidR="008D6255" w:rsidRPr="00622F6C">
              <w:rPr>
                <w:rFonts w:ascii="Times New Roman" w:hAnsi="Times New Roman" w:cs="Times New Roman"/>
                <w:sz w:val="20"/>
                <w:szCs w:val="20"/>
                <w:lang w:val="en-US"/>
              </w:rPr>
              <w:t>)</w:t>
            </w:r>
          </w:p>
        </w:tc>
        <w:tc>
          <w:tcPr>
            <w:tcW w:w="401" w:type="pct"/>
          </w:tcPr>
          <w:p w14:paraId="34A3F3F9" w14:textId="10FB08D1"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001F7695">
              <w:rPr>
                <w:rFonts w:ascii="Times New Roman" w:hAnsi="Times New Roman" w:cs="Times New Roman"/>
                <w:sz w:val="20"/>
                <w:szCs w:val="20"/>
                <w:lang w:val="en-US"/>
              </w:rPr>
              <w:t>0.05</w:t>
            </w:r>
          </w:p>
          <w:p w14:paraId="10D367DC" w14:textId="38C1A1FD" w:rsidR="008D6255" w:rsidRPr="00622F6C" w:rsidRDefault="001F7695"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(0.44</w:t>
            </w:r>
            <w:r w:rsidR="008D6255" w:rsidRPr="00622F6C">
              <w:rPr>
                <w:rFonts w:ascii="Times New Roman" w:hAnsi="Times New Roman" w:cs="Times New Roman"/>
                <w:sz w:val="20"/>
                <w:szCs w:val="20"/>
                <w:lang w:val="en-US"/>
              </w:rPr>
              <w:t>)</w:t>
            </w:r>
          </w:p>
        </w:tc>
        <w:tc>
          <w:tcPr>
            <w:tcW w:w="401" w:type="pct"/>
          </w:tcPr>
          <w:p w14:paraId="19441294"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0.07</w:t>
            </w:r>
          </w:p>
          <w:p w14:paraId="63897F52" w14:textId="77777777" w:rsidR="008D6255" w:rsidRPr="00622F6C" w:rsidRDefault="0014619B"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(0.30</w:t>
            </w:r>
            <w:r w:rsidR="008D6255" w:rsidRPr="00622F6C">
              <w:rPr>
                <w:rFonts w:ascii="Times New Roman" w:hAnsi="Times New Roman" w:cs="Times New Roman"/>
                <w:sz w:val="20"/>
                <w:szCs w:val="20"/>
                <w:lang w:val="en-US"/>
              </w:rPr>
              <w:t>)</w:t>
            </w:r>
          </w:p>
        </w:tc>
        <w:tc>
          <w:tcPr>
            <w:tcW w:w="400" w:type="pct"/>
          </w:tcPr>
          <w:p w14:paraId="2CE6588A"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r>
    </w:tbl>
    <w:p w14:paraId="63A2BA27" w14:textId="77777777" w:rsidR="003C440A" w:rsidRDefault="003C440A" w:rsidP="008D6255">
      <w:pPr>
        <w:jc w:val="both"/>
        <w:rPr>
          <w:rFonts w:ascii="Times New Roman" w:hAnsi="Times New Roman" w:cs="Times New Roman"/>
          <w:i/>
          <w:sz w:val="20"/>
          <w:szCs w:val="20"/>
          <w:lang w:val="en-US"/>
        </w:rPr>
      </w:pPr>
    </w:p>
    <w:p w14:paraId="540FB475" w14:textId="1735108F" w:rsidR="00550A89" w:rsidRPr="003C440A" w:rsidRDefault="008D6255" w:rsidP="00550A89">
      <w:pPr>
        <w:jc w:val="both"/>
        <w:rPr>
          <w:rFonts w:ascii="Times New Roman" w:hAnsi="Times New Roman" w:cs="Times New Roman"/>
          <w:sz w:val="20"/>
          <w:szCs w:val="20"/>
          <w:lang w:val="en-US"/>
        </w:rPr>
      </w:pPr>
      <w:r w:rsidRPr="00622F6C">
        <w:rPr>
          <w:rFonts w:ascii="Times New Roman" w:hAnsi="Times New Roman" w:cs="Times New Roman"/>
          <w:i/>
          <w:sz w:val="20"/>
          <w:szCs w:val="20"/>
          <w:lang w:val="en-US"/>
        </w:rPr>
        <w:lastRenderedPageBreak/>
        <w:t xml:space="preserve">Notes: </w:t>
      </w:r>
      <w:r w:rsidRPr="00622F6C">
        <w:rPr>
          <w:rFonts w:ascii="Times New Roman" w:hAnsi="Times New Roman" w:cs="Times New Roman"/>
          <w:sz w:val="20"/>
          <w:szCs w:val="20"/>
          <w:lang w:val="en-US"/>
        </w:rPr>
        <w:t xml:space="preserve">This table provides descriptive statistics for the variables considered in our baseline cross-sectional regression analysis. The sample of 205 UK-domiciled FTSE All-Share Index components is obtained </w:t>
      </w:r>
      <w:r w:rsidR="00BB5A28">
        <w:rPr>
          <w:rFonts w:ascii="Times New Roman" w:hAnsi="Times New Roman" w:cs="Times New Roman"/>
          <w:sz w:val="20"/>
          <w:szCs w:val="20"/>
          <w:lang w:val="en-US"/>
        </w:rPr>
        <w:t xml:space="preserve">by </w:t>
      </w:r>
      <w:r w:rsidRPr="00622F6C">
        <w:rPr>
          <w:rFonts w:ascii="Times New Roman" w:hAnsi="Times New Roman" w:cs="Times New Roman"/>
          <w:sz w:val="20"/>
          <w:szCs w:val="20"/>
          <w:lang w:val="en-US"/>
        </w:rPr>
        <w:t xml:space="preserve">following the cleaning steps outlined in Table 2. The dependent variable, </w:t>
      </w:r>
      <w:r w:rsidR="00EC32E6">
        <w:rPr>
          <w:rFonts w:ascii="Times New Roman" w:hAnsi="Times New Roman" w:cs="Times New Roman"/>
          <w:i/>
          <w:sz w:val="20"/>
          <w:szCs w:val="20"/>
          <w:lang w:val="en-US"/>
        </w:rPr>
        <w:t>CAR</w:t>
      </w:r>
      <w:r w:rsidRPr="00622F6C">
        <w:rPr>
          <w:rFonts w:ascii="Times New Roman" w:hAnsi="Times New Roman" w:cs="Times New Roman"/>
          <w:sz w:val="20"/>
          <w:szCs w:val="20"/>
          <w:lang w:val="en-US"/>
        </w:rPr>
        <w:t xml:space="preserve">, captures the firm-specific </w:t>
      </w:r>
      <w:r w:rsidR="00EC32E6">
        <w:rPr>
          <w:rFonts w:ascii="Times New Roman" w:hAnsi="Times New Roman" w:cs="Times New Roman"/>
          <w:sz w:val="20"/>
          <w:szCs w:val="20"/>
          <w:lang w:val="en-US"/>
        </w:rPr>
        <w:t xml:space="preserve">cumulative </w:t>
      </w:r>
      <w:r w:rsidRPr="00622F6C">
        <w:rPr>
          <w:rFonts w:ascii="Times New Roman" w:hAnsi="Times New Roman" w:cs="Times New Roman"/>
          <w:sz w:val="20"/>
          <w:szCs w:val="20"/>
          <w:lang w:val="en-US"/>
        </w:rPr>
        <w:t>abnormal stock return over eight MSA</w:t>
      </w:r>
      <w:r w:rsidR="008B5412" w:rsidRPr="00622F6C">
        <w:rPr>
          <w:rFonts w:ascii="Times New Roman" w:hAnsi="Times New Roman" w:cs="Times New Roman"/>
          <w:sz w:val="20"/>
          <w:szCs w:val="20"/>
          <w:lang w:val="en-US"/>
        </w:rPr>
        <w:t xml:space="preserve"> adoption</w:t>
      </w:r>
      <w:r w:rsidRPr="00622F6C">
        <w:rPr>
          <w:rFonts w:ascii="Times New Roman" w:hAnsi="Times New Roman" w:cs="Times New Roman"/>
          <w:sz w:val="20"/>
          <w:szCs w:val="20"/>
          <w:lang w:val="en-US"/>
        </w:rPr>
        <w:t xml:space="preserve"> events. For each firm </w:t>
      </w:r>
      <w:r w:rsidRPr="00622F6C">
        <w:rPr>
          <w:rFonts w:ascii="Times New Roman" w:hAnsi="Times New Roman" w:cs="Times New Roman"/>
          <w:i/>
          <w:sz w:val="20"/>
          <w:szCs w:val="20"/>
          <w:lang w:val="en-US"/>
        </w:rPr>
        <w:t>i</w:t>
      </w:r>
      <w:r w:rsidRPr="00622F6C">
        <w:rPr>
          <w:rFonts w:ascii="Times New Roman" w:hAnsi="Times New Roman" w:cs="Times New Roman"/>
          <w:sz w:val="20"/>
          <w:szCs w:val="20"/>
          <w:lang w:val="en-US"/>
        </w:rPr>
        <w:t xml:space="preserve">, we estimate the following regression over the window </w:t>
      </w:r>
      <w:r w:rsidR="002D321B">
        <w:rPr>
          <w:rFonts w:ascii="Times New Roman" w:hAnsi="Times New Roman" w:cs="Times New Roman"/>
          <w:sz w:val="20"/>
          <w:szCs w:val="20"/>
          <w:lang w:val="en-US"/>
        </w:rPr>
        <w:t>July 1</w:t>
      </w:r>
      <w:r w:rsidRPr="00622F6C">
        <w:rPr>
          <w:rFonts w:ascii="Times New Roman" w:hAnsi="Times New Roman" w:cs="Times New Roman"/>
          <w:sz w:val="20"/>
          <w:szCs w:val="20"/>
          <w:lang w:val="en-US"/>
        </w:rPr>
        <w:t xml:space="preserve">, 2012 </w:t>
      </w:r>
      <w:r w:rsidR="00BB5A28">
        <w:rPr>
          <w:rFonts w:ascii="Times New Roman" w:hAnsi="Times New Roman" w:cs="Times New Roman"/>
          <w:sz w:val="20"/>
          <w:szCs w:val="20"/>
          <w:lang w:val="en-US"/>
        </w:rPr>
        <w:t>to</w:t>
      </w:r>
      <w:r w:rsidR="00BB5A2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March 31, 2015: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it</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it</m:t>
            </m:r>
          </m:sub>
        </m:sSub>
      </m:oMath>
      <w:r w:rsidRPr="00622F6C">
        <w:rPr>
          <w:rFonts w:ascii="Times New Roman" w:eastAsiaTheme="minorEastAsia" w:hAnsi="Times New Roman" w:cs="Times New Roman"/>
          <w:sz w:val="20"/>
          <w:szCs w:val="20"/>
          <w:lang w:val="en-US"/>
        </w:rPr>
        <w:t xml:space="preserve"> is the return on firm </w:t>
      </w:r>
      <w:r w:rsidRPr="00622F6C">
        <w:rPr>
          <w:rFonts w:ascii="Times New Roman" w:eastAsiaTheme="minorEastAsia" w:hAnsi="Times New Roman" w:cs="Times New Roman"/>
          <w:i/>
          <w:sz w:val="20"/>
          <w:szCs w:val="20"/>
          <w:lang w:val="en-US"/>
        </w:rPr>
        <w:t>i</w:t>
      </w:r>
      <w:r w:rsidRPr="00622F6C">
        <w:rPr>
          <w:rFonts w:ascii="Times New Roman" w:eastAsiaTheme="minorEastAsia" w:hAnsi="Times New Roman" w:cs="Times New Roman"/>
          <w:sz w:val="20"/>
          <w:szCs w:val="20"/>
          <w:lang w:val="en-US"/>
        </w:rPr>
        <w:t xml:space="preserve">’s stock.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oMath>
      <w:r w:rsidRPr="00622F6C">
        <w:rPr>
          <w:rFonts w:ascii="Times New Roman" w:eastAsiaTheme="minorEastAsia" w:hAnsi="Times New Roman" w:cs="Times New Roman"/>
          <w:sz w:val="20"/>
          <w:szCs w:val="20"/>
          <w:lang w:val="en-US"/>
        </w:rPr>
        <w:t xml:space="preserve"> is the return on the value-weighted Datastream market index for Europe minus the UK (TOTMKEX), expressed in UK pounds.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is a dummy variable that equals </w:t>
      </w:r>
      <w:r w:rsidR="00BB5A28">
        <w:rPr>
          <w:rFonts w:ascii="Times New Roman" w:eastAsiaTheme="minorEastAsia" w:hAnsi="Times New Roman" w:cs="Times New Roman"/>
          <w:sz w:val="20"/>
          <w:szCs w:val="20"/>
          <w:lang w:val="en-US"/>
        </w:rPr>
        <w:t>1</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on the announcement dates of events 1, 2, 3, 4, 6, 7, and 8; </w:t>
      </w:r>
      <w:r w:rsidRPr="00622F6C">
        <w:rPr>
          <w:rFonts w:ascii="Times New Roman" w:hAnsi="Times New Roman" w:cs="Times New Roman"/>
          <w:sz w:val="20"/>
          <w:szCs w:val="20"/>
          <w:lang w:val="en-US"/>
        </w:rPr>
        <w:t>−1 on the announcement date of event 5</w:t>
      </w:r>
      <w:r w:rsidRPr="00622F6C">
        <w:rPr>
          <w:rFonts w:ascii="Times New Roman" w:eastAsiaTheme="minorEastAsia" w:hAnsi="Times New Roman" w:cs="Times New Roman"/>
          <w:sz w:val="20"/>
          <w:szCs w:val="20"/>
          <w:lang w:val="en-US"/>
        </w:rPr>
        <w:t xml:space="preserve">; and </w:t>
      </w:r>
      <w:r w:rsidR="00BB5A28">
        <w:rPr>
          <w:rFonts w:ascii="Times New Roman" w:eastAsiaTheme="minorEastAsia" w:hAnsi="Times New Roman" w:cs="Times New Roman"/>
          <w:sz w:val="20"/>
          <w:szCs w:val="20"/>
          <w:lang w:val="en-US"/>
        </w:rPr>
        <w:t>0</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otherwise.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oMath>
      <w:r w:rsidRPr="00622F6C">
        <w:rPr>
          <w:rFonts w:ascii="Times New Roman" w:eastAsiaTheme="minorEastAsia" w:hAnsi="Times New Roman" w:cs="Times New Roman"/>
          <w:sz w:val="20"/>
          <w:szCs w:val="20"/>
          <w:lang w:val="en-US"/>
        </w:rPr>
        <w:t xml:space="preserve"> captures the average abnormal return </w:t>
      </w:r>
      <w:r w:rsidR="00EC32E6">
        <w:rPr>
          <w:rFonts w:ascii="Times New Roman" w:eastAsiaTheme="minorEastAsia" w:hAnsi="Times New Roman" w:cs="Times New Roman"/>
          <w:sz w:val="20"/>
          <w:szCs w:val="20"/>
          <w:lang w:val="en-US"/>
        </w:rPr>
        <w:t xml:space="preserve">per event </w:t>
      </w:r>
      <w:r w:rsidRPr="00622F6C">
        <w:rPr>
          <w:rFonts w:ascii="Times New Roman" w:eastAsiaTheme="minorEastAsia" w:hAnsi="Times New Roman" w:cs="Times New Roman"/>
          <w:sz w:val="20"/>
          <w:szCs w:val="20"/>
          <w:lang w:val="en-US"/>
        </w:rPr>
        <w:t xml:space="preserve">for firm </w:t>
      </w:r>
      <w:r w:rsidRPr="00622F6C">
        <w:rPr>
          <w:rFonts w:ascii="Times New Roman" w:eastAsiaTheme="minorEastAsia" w:hAnsi="Times New Roman" w:cs="Times New Roman"/>
          <w:i/>
          <w:sz w:val="20"/>
          <w:szCs w:val="20"/>
          <w:lang w:val="en-US"/>
        </w:rPr>
        <w:t>i</w:t>
      </w:r>
      <w:r w:rsidRPr="00622F6C">
        <w:rPr>
          <w:rFonts w:ascii="Times New Roman" w:eastAsiaTheme="minorEastAsia" w:hAnsi="Times New Roman" w:cs="Times New Roman"/>
          <w:sz w:val="20"/>
          <w:szCs w:val="20"/>
          <w:lang w:val="en-US"/>
        </w:rPr>
        <w:t xml:space="preserve">. We then define </w:t>
      </w:r>
      <w:r w:rsidR="00EC32E6" w:rsidRPr="00EC32E6">
        <w:rPr>
          <w:rFonts w:ascii="Times New Roman" w:eastAsiaTheme="minorEastAsia" w:hAnsi="Times New Roman" w:cs="Times New Roman"/>
          <w:i/>
          <w:sz w:val="20"/>
          <w:szCs w:val="20"/>
          <w:lang w:val="en-US"/>
        </w:rPr>
        <w:t>C</w:t>
      </w:r>
      <w:r w:rsidRPr="00622F6C">
        <w:rPr>
          <w:rFonts w:ascii="Times New Roman" w:eastAsiaTheme="minorEastAsia" w:hAnsi="Times New Roman" w:cs="Times New Roman"/>
          <w:i/>
          <w:sz w:val="20"/>
          <w:szCs w:val="20"/>
          <w:lang w:val="en-US"/>
        </w:rPr>
        <w:t>AR</w:t>
      </w:r>
      <w:r w:rsidRPr="00622F6C">
        <w:rPr>
          <w:rFonts w:ascii="Times New Roman" w:eastAsiaTheme="minorEastAsia" w:hAnsi="Times New Roman" w:cs="Times New Roman"/>
          <w:sz w:val="20"/>
          <w:szCs w:val="20"/>
          <w:lang w:val="en-US"/>
        </w:rPr>
        <w:t xml:space="preserve"> for each firm as the coefficient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oMath>
      <w:r w:rsidRPr="00622F6C">
        <w:rPr>
          <w:rFonts w:ascii="Times New Roman" w:eastAsiaTheme="minorEastAsia" w:hAnsi="Times New Roman" w:cs="Times New Roman"/>
          <w:sz w:val="20"/>
          <w:szCs w:val="20"/>
          <w:lang w:val="en-US"/>
        </w:rPr>
        <w:t xml:space="preserve"> multiplied by </w:t>
      </w:r>
      <w:r w:rsidR="00550A89">
        <w:rPr>
          <w:rFonts w:ascii="Times New Roman" w:eastAsiaTheme="minorEastAsia" w:hAnsi="Times New Roman" w:cs="Times New Roman"/>
          <w:sz w:val="20"/>
          <w:szCs w:val="20"/>
          <w:lang w:val="en-US"/>
        </w:rPr>
        <w:t>eight</w:t>
      </w:r>
      <w:r w:rsidR="00BB5A2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(the number of event</w:t>
      </w:r>
      <w:r w:rsidR="00E34302">
        <w:rPr>
          <w:rFonts w:ascii="Times New Roman" w:eastAsiaTheme="minorEastAsia" w:hAnsi="Times New Roman" w:cs="Times New Roman"/>
          <w:sz w:val="20"/>
          <w:szCs w:val="20"/>
          <w:lang w:val="en-US"/>
        </w:rPr>
        <w:t>s</w:t>
      </w:r>
      <w:r w:rsidRPr="00622F6C">
        <w:rPr>
          <w:rFonts w:ascii="Times New Roman" w:eastAsiaTheme="minorEastAsia" w:hAnsi="Times New Roman" w:cs="Times New Roman"/>
          <w:sz w:val="20"/>
          <w:szCs w:val="20"/>
          <w:lang w:val="en-US"/>
        </w:rPr>
        <w:t>).</w:t>
      </w:r>
      <w:r w:rsidRPr="00622F6C">
        <w:rPr>
          <w:rFonts w:ascii="Times New Roman" w:hAnsi="Times New Roman" w:cs="Times New Roman"/>
          <w:sz w:val="20"/>
          <w:szCs w:val="20"/>
          <w:lang w:val="en-US"/>
        </w:rPr>
        <w:t xml:space="preserve"> The </w:t>
      </w:r>
      <w:r w:rsidR="00BB5A28">
        <w:rPr>
          <w:rFonts w:ascii="Times New Roman" w:hAnsi="Times New Roman" w:cs="Times New Roman"/>
          <w:sz w:val="20"/>
          <w:szCs w:val="20"/>
          <w:lang w:val="en-US"/>
        </w:rPr>
        <w:t>a</w:t>
      </w:r>
      <w:r w:rsidR="00BB5A28" w:rsidRPr="00622F6C">
        <w:rPr>
          <w:rFonts w:ascii="Times New Roman" w:hAnsi="Times New Roman" w:cs="Times New Roman"/>
          <w:sz w:val="20"/>
          <w:szCs w:val="20"/>
          <w:lang w:val="en-US"/>
        </w:rPr>
        <w:t xml:space="preserve">ppendix </w:t>
      </w:r>
      <w:r w:rsidRPr="00622F6C">
        <w:rPr>
          <w:rFonts w:ascii="Times New Roman" w:hAnsi="Times New Roman" w:cs="Times New Roman"/>
          <w:sz w:val="20"/>
          <w:szCs w:val="20"/>
          <w:lang w:val="en-US"/>
        </w:rPr>
        <w:t xml:space="preserve">provides detailed definitions of the independent variables. 0/1 next to a variable name indicates that the variable is binary. Panel A provides summary statistics for each variable. </w:t>
      </w:r>
      <w:r w:rsidR="00624E02">
        <w:rPr>
          <w:rFonts w:ascii="Times New Roman" w:hAnsi="Times New Roman" w:cs="Times New Roman"/>
          <w:sz w:val="20"/>
          <w:szCs w:val="20"/>
          <w:lang w:val="en-US"/>
        </w:rPr>
        <w:t>Predicted</w:t>
      </w:r>
      <w:r w:rsidRPr="00622F6C">
        <w:rPr>
          <w:rFonts w:ascii="Times New Roman" w:hAnsi="Times New Roman" w:cs="Times New Roman"/>
          <w:sz w:val="20"/>
          <w:szCs w:val="20"/>
          <w:lang w:val="en-US"/>
        </w:rPr>
        <w:t xml:space="preserve"> impact refers to the predicted impact of the proxy variable on stock price reactions to events associated with the adoption of the MSA, according to our respective testable hypotheses. St. dev. indicates standard deviation. The other column titles are self-explanatory. Panel B provides </w:t>
      </w:r>
      <w:r w:rsidRPr="00FF3455">
        <w:rPr>
          <w:rFonts w:ascii="Times New Roman" w:hAnsi="Times New Roman" w:cs="Times New Roman"/>
          <w:sz w:val="20"/>
          <w:szCs w:val="20"/>
          <w:lang w:val="en-US"/>
        </w:rPr>
        <w:t xml:space="preserve">pairwise Pearson correlations between the variables included in the baseline cross-sectional regression analysis. </w:t>
      </w:r>
      <w:r w:rsidRPr="00FF3455">
        <w:rPr>
          <w:rFonts w:ascii="Times New Roman" w:hAnsi="Times New Roman" w:cs="Times New Roman"/>
          <w:i/>
          <w:sz w:val="20"/>
          <w:szCs w:val="20"/>
          <w:lang w:val="en-US"/>
        </w:rPr>
        <w:t>p</w:t>
      </w:r>
      <w:r w:rsidRPr="00FF3455">
        <w:rPr>
          <w:rFonts w:ascii="Times New Roman" w:hAnsi="Times New Roman" w:cs="Times New Roman"/>
          <w:sz w:val="20"/>
          <w:szCs w:val="20"/>
          <w:lang w:val="en-US"/>
        </w:rPr>
        <w:t xml:space="preserve">-values for the significance of correlation coefficients are </w:t>
      </w:r>
      <w:r w:rsidR="005B2458" w:rsidRPr="00FF3455">
        <w:rPr>
          <w:rFonts w:ascii="Times New Roman" w:hAnsi="Times New Roman" w:cs="Times New Roman"/>
          <w:sz w:val="20"/>
          <w:szCs w:val="20"/>
          <w:lang w:val="en-US"/>
        </w:rPr>
        <w:t xml:space="preserve">in </w:t>
      </w:r>
      <w:r w:rsidRPr="00FF3455">
        <w:rPr>
          <w:rFonts w:ascii="Times New Roman" w:hAnsi="Times New Roman" w:cs="Times New Roman"/>
          <w:sz w:val="20"/>
          <w:szCs w:val="20"/>
          <w:lang w:val="en-US"/>
        </w:rPr>
        <w:t xml:space="preserve">parentheses. </w:t>
      </w:r>
      <w:r w:rsidR="00550A89" w:rsidRPr="003C440A">
        <w:rPr>
          <w:rFonts w:ascii="Times New Roman" w:hAnsi="Times New Roman" w:cs="Times New Roman"/>
          <w:sz w:val="20"/>
          <w:szCs w:val="20"/>
          <w:vertAlign w:val="superscript"/>
        </w:rPr>
        <w:t>*</w:t>
      </w:r>
      <w:r w:rsidR="00550A89" w:rsidRPr="003C440A">
        <w:rPr>
          <w:rFonts w:ascii="Times New Roman" w:hAnsi="Times New Roman" w:cs="Times New Roman"/>
          <w:sz w:val="20"/>
          <w:szCs w:val="20"/>
        </w:rPr>
        <w:t>,</w:t>
      </w:r>
      <w:r w:rsidR="00550A89" w:rsidRPr="003C440A">
        <w:rPr>
          <w:rFonts w:ascii="Times New Roman" w:hAnsi="Times New Roman" w:cs="Times New Roman"/>
          <w:sz w:val="20"/>
          <w:szCs w:val="20"/>
          <w:vertAlign w:val="superscript"/>
        </w:rPr>
        <w:t xml:space="preserve"> **</w:t>
      </w:r>
      <w:r w:rsidR="00550A89" w:rsidRPr="003C440A">
        <w:rPr>
          <w:rFonts w:ascii="Times New Roman" w:hAnsi="Times New Roman" w:cs="Times New Roman"/>
          <w:sz w:val="20"/>
          <w:szCs w:val="20"/>
        </w:rPr>
        <w:t xml:space="preserve">, and </w:t>
      </w:r>
      <w:r w:rsidR="00550A89" w:rsidRPr="003C440A">
        <w:rPr>
          <w:rFonts w:ascii="Times New Roman" w:hAnsi="Times New Roman" w:cs="Times New Roman"/>
          <w:sz w:val="20"/>
          <w:szCs w:val="20"/>
          <w:vertAlign w:val="superscript"/>
        </w:rPr>
        <w:t>***</w:t>
      </w:r>
      <w:r w:rsidR="00550A89" w:rsidRPr="003C440A">
        <w:rPr>
          <w:rFonts w:ascii="Times New Roman" w:hAnsi="Times New Roman" w:cs="Times New Roman"/>
          <w:sz w:val="20"/>
          <w:szCs w:val="20"/>
        </w:rPr>
        <w:t xml:space="preserve"> indicate significance at the 10%, 5%, and 1% level, respectively. </w:t>
      </w:r>
      <w:r w:rsidR="00550A89" w:rsidRPr="003C440A">
        <w:rPr>
          <w:rFonts w:ascii="Times New Roman" w:hAnsi="Times New Roman" w:cs="Times New Roman"/>
          <w:i/>
          <w:sz w:val="20"/>
          <w:szCs w:val="20"/>
        </w:rPr>
        <w:t>N</w:t>
      </w:r>
      <w:r w:rsidR="00550A89" w:rsidRPr="003C440A">
        <w:rPr>
          <w:rFonts w:ascii="Times New Roman" w:hAnsi="Times New Roman" w:cs="Times New Roman"/>
          <w:sz w:val="20"/>
          <w:szCs w:val="20"/>
        </w:rPr>
        <w:t xml:space="preserve"> denotes the number of firms. </w:t>
      </w:r>
    </w:p>
    <w:p w14:paraId="798ACE0F" w14:textId="77777777" w:rsidR="008D6255" w:rsidRPr="00622F6C" w:rsidRDefault="008D6255" w:rsidP="008D6255">
      <w:pPr>
        <w:jc w:val="both"/>
        <w:rPr>
          <w:rFonts w:ascii="Times New Roman" w:hAnsi="Times New Roman" w:cs="Times New Roman"/>
          <w:sz w:val="20"/>
          <w:szCs w:val="20"/>
          <w:lang w:val="en-US"/>
        </w:rPr>
      </w:pPr>
    </w:p>
    <w:p w14:paraId="5D100252" w14:textId="77777777" w:rsidR="00D30177" w:rsidRDefault="00D30177" w:rsidP="00955DFE">
      <w:pPr>
        <w:rPr>
          <w:rFonts w:ascii="Times New Roman" w:hAnsi="Times New Roman" w:cs="Times New Roman"/>
          <w:b/>
          <w:sz w:val="20"/>
          <w:szCs w:val="20"/>
          <w:lang w:val="en-US"/>
        </w:rPr>
      </w:pPr>
    </w:p>
    <w:p w14:paraId="4A35DAC8" w14:textId="77777777" w:rsidR="00D30177" w:rsidRDefault="00D30177" w:rsidP="00955DFE">
      <w:pPr>
        <w:rPr>
          <w:rFonts w:ascii="Times New Roman" w:hAnsi="Times New Roman" w:cs="Times New Roman"/>
          <w:b/>
          <w:sz w:val="20"/>
          <w:szCs w:val="20"/>
          <w:lang w:val="en-US"/>
        </w:rPr>
      </w:pPr>
    </w:p>
    <w:p w14:paraId="0F170014" w14:textId="77777777" w:rsidR="00D30177" w:rsidRDefault="00D30177" w:rsidP="00955DFE">
      <w:pPr>
        <w:rPr>
          <w:rFonts w:ascii="Times New Roman" w:hAnsi="Times New Roman" w:cs="Times New Roman"/>
          <w:b/>
          <w:sz w:val="20"/>
          <w:szCs w:val="20"/>
          <w:lang w:val="en-US"/>
        </w:rPr>
      </w:pPr>
    </w:p>
    <w:p w14:paraId="006AB571" w14:textId="77777777" w:rsidR="00D30177" w:rsidRDefault="00D30177" w:rsidP="00D30177">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033A0E1F" w14:textId="77777777" w:rsidR="008D6255" w:rsidRPr="00622F6C" w:rsidRDefault="008D6255" w:rsidP="00955DFE">
      <w:pPr>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 xml:space="preserve">Table 5: Cross-sectional analysis of stock price reactions to the MSA </w:t>
      </w:r>
    </w:p>
    <w:tbl>
      <w:tblPr>
        <w:tblStyle w:val="TableGrid31"/>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0633"/>
      </w:tblGrid>
      <w:tr w:rsidR="008D6255" w:rsidRPr="00622F6C" w14:paraId="38CD01D9" w14:textId="77777777" w:rsidTr="008D6255">
        <w:tc>
          <w:tcPr>
            <w:tcW w:w="1191" w:type="pct"/>
          </w:tcPr>
          <w:p w14:paraId="653C7C1C"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Variables </w:t>
            </w:r>
          </w:p>
        </w:tc>
        <w:tc>
          <w:tcPr>
            <w:tcW w:w="3809" w:type="pct"/>
          </w:tcPr>
          <w:p w14:paraId="5C723340"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Parameter estimate</w:t>
            </w:r>
          </w:p>
          <w:p w14:paraId="2424F4B8" w14:textId="77777777" w:rsidR="008D6255" w:rsidRPr="00622F6C" w:rsidRDefault="008D6255"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Pr="00622F6C">
              <w:rPr>
                <w:rFonts w:ascii="Times New Roman" w:hAnsi="Times New Roman" w:cs="Times New Roman"/>
                <w:i/>
                <w:sz w:val="20"/>
                <w:szCs w:val="20"/>
                <w:lang w:val="en-US"/>
              </w:rPr>
              <w:t>t</w:t>
            </w:r>
            <w:r w:rsidR="000905D7">
              <w:rPr>
                <w:rFonts w:ascii="Times New Roman" w:hAnsi="Times New Roman" w:cs="Times New Roman"/>
                <w:sz w:val="20"/>
                <w:szCs w:val="20"/>
                <w:lang w:val="en-US"/>
              </w:rPr>
              <w:t>-statistic</w:t>
            </w:r>
            <w:r w:rsidRPr="00622F6C">
              <w:rPr>
                <w:rFonts w:ascii="Times New Roman" w:hAnsi="Times New Roman" w:cs="Times New Roman"/>
                <w:sz w:val="20"/>
                <w:szCs w:val="20"/>
                <w:lang w:val="en-US"/>
              </w:rPr>
              <w:t>)</w:t>
            </w:r>
          </w:p>
        </w:tc>
      </w:tr>
    </w:tbl>
    <w:tbl>
      <w:tblPr>
        <w:tblStyle w:val="TableGrid2"/>
        <w:tblW w:w="504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08"/>
        <w:gridCol w:w="9"/>
        <w:gridCol w:w="1496"/>
        <w:gridCol w:w="8"/>
        <w:gridCol w:w="1496"/>
        <w:gridCol w:w="8"/>
        <w:gridCol w:w="1496"/>
        <w:gridCol w:w="8"/>
        <w:gridCol w:w="1496"/>
        <w:gridCol w:w="8"/>
        <w:gridCol w:w="1504"/>
        <w:gridCol w:w="1504"/>
      </w:tblGrid>
      <w:tr w:rsidR="006345CE" w:rsidRPr="00622F6C" w14:paraId="21EC3BFF" w14:textId="77777777" w:rsidTr="00955DFE">
        <w:tc>
          <w:tcPr>
            <w:tcW w:w="1258" w:type="pct"/>
            <w:tcBorders>
              <w:top w:val="nil"/>
              <w:bottom w:val="single" w:sz="4" w:space="0" w:color="auto"/>
            </w:tcBorders>
          </w:tcPr>
          <w:p w14:paraId="2BCCB4DB" w14:textId="77777777" w:rsidR="006345CE" w:rsidRPr="00622F6C" w:rsidRDefault="006345CE" w:rsidP="008D6255">
            <w:pPr>
              <w:rPr>
                <w:rFonts w:ascii="Times New Roman" w:hAnsi="Times New Roman" w:cs="Times New Roman"/>
                <w:sz w:val="20"/>
                <w:szCs w:val="20"/>
                <w:lang w:val="en-US"/>
              </w:rPr>
            </w:pPr>
          </w:p>
        </w:tc>
        <w:tc>
          <w:tcPr>
            <w:tcW w:w="538" w:type="pct"/>
            <w:gridSpan w:val="2"/>
            <w:tcBorders>
              <w:top w:val="nil"/>
              <w:bottom w:val="single" w:sz="4" w:space="0" w:color="auto"/>
            </w:tcBorders>
          </w:tcPr>
          <w:p w14:paraId="6742F2EC"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(1)</w:t>
            </w:r>
          </w:p>
        </w:tc>
        <w:tc>
          <w:tcPr>
            <w:tcW w:w="534" w:type="pct"/>
            <w:gridSpan w:val="2"/>
            <w:tcBorders>
              <w:top w:val="nil"/>
              <w:bottom w:val="single" w:sz="4" w:space="0" w:color="auto"/>
            </w:tcBorders>
          </w:tcPr>
          <w:p w14:paraId="0E6E3EE0" w14:textId="77777777" w:rsidR="006345CE"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34" w:type="pct"/>
            <w:gridSpan w:val="2"/>
            <w:tcBorders>
              <w:top w:val="nil"/>
              <w:bottom w:val="single" w:sz="4" w:space="0" w:color="auto"/>
            </w:tcBorders>
          </w:tcPr>
          <w:p w14:paraId="366EC382" w14:textId="77777777" w:rsidR="006345CE"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34" w:type="pct"/>
            <w:gridSpan w:val="2"/>
            <w:tcBorders>
              <w:top w:val="nil"/>
              <w:bottom w:val="single" w:sz="4" w:space="0" w:color="auto"/>
            </w:tcBorders>
          </w:tcPr>
          <w:p w14:paraId="524F2B8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622F6C">
              <w:rPr>
                <w:rFonts w:ascii="Times New Roman" w:hAnsi="Times New Roman" w:cs="Times New Roman"/>
                <w:sz w:val="20"/>
                <w:szCs w:val="20"/>
                <w:lang w:val="en-US"/>
              </w:rPr>
              <w:t>)</w:t>
            </w:r>
          </w:p>
        </w:tc>
        <w:tc>
          <w:tcPr>
            <w:tcW w:w="534" w:type="pct"/>
            <w:gridSpan w:val="2"/>
            <w:tcBorders>
              <w:top w:val="nil"/>
              <w:bottom w:val="single" w:sz="4" w:space="0" w:color="auto"/>
            </w:tcBorders>
          </w:tcPr>
          <w:p w14:paraId="42463AC1"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Pr="00622F6C">
              <w:rPr>
                <w:rFonts w:ascii="Times New Roman" w:hAnsi="Times New Roman" w:cs="Times New Roman"/>
                <w:sz w:val="20"/>
                <w:szCs w:val="20"/>
                <w:lang w:val="en-US"/>
              </w:rPr>
              <w:t>)</w:t>
            </w:r>
          </w:p>
        </w:tc>
        <w:tc>
          <w:tcPr>
            <w:tcW w:w="534" w:type="pct"/>
            <w:tcBorders>
              <w:top w:val="nil"/>
              <w:bottom w:val="single" w:sz="4" w:space="0" w:color="auto"/>
            </w:tcBorders>
          </w:tcPr>
          <w:p w14:paraId="1B48CDFD"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(6</w:t>
            </w:r>
            <w:r w:rsidRPr="00622F6C">
              <w:rPr>
                <w:rFonts w:ascii="Times New Roman" w:hAnsi="Times New Roman" w:cs="Times New Roman"/>
                <w:sz w:val="20"/>
                <w:szCs w:val="20"/>
                <w:lang w:val="en-US"/>
              </w:rPr>
              <w:t>)</w:t>
            </w:r>
          </w:p>
        </w:tc>
        <w:tc>
          <w:tcPr>
            <w:tcW w:w="535" w:type="pct"/>
            <w:tcBorders>
              <w:top w:val="nil"/>
              <w:bottom w:val="single" w:sz="4" w:space="0" w:color="auto"/>
            </w:tcBorders>
          </w:tcPr>
          <w:p w14:paraId="53132E8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(7</w:t>
            </w:r>
            <w:r w:rsidRPr="00622F6C">
              <w:rPr>
                <w:rFonts w:ascii="Times New Roman" w:hAnsi="Times New Roman" w:cs="Times New Roman"/>
                <w:sz w:val="20"/>
                <w:szCs w:val="20"/>
                <w:lang w:val="en-US"/>
              </w:rPr>
              <w:t>)</w:t>
            </w:r>
          </w:p>
        </w:tc>
      </w:tr>
      <w:tr w:rsidR="006345CE" w:rsidRPr="00622F6C" w14:paraId="48ECC35A" w14:textId="77777777" w:rsidTr="00955DFE">
        <w:tc>
          <w:tcPr>
            <w:tcW w:w="1258" w:type="pct"/>
            <w:tcBorders>
              <w:top w:val="single" w:sz="4" w:space="0" w:color="auto"/>
              <w:bottom w:val="nil"/>
            </w:tcBorders>
          </w:tcPr>
          <w:p w14:paraId="7EC66865"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Intercept</w:t>
            </w:r>
          </w:p>
          <w:p w14:paraId="1C9FE4D4" w14:textId="77777777" w:rsidR="006345CE" w:rsidRPr="00622F6C" w:rsidRDefault="006345CE" w:rsidP="008D6255">
            <w:pPr>
              <w:rPr>
                <w:rFonts w:ascii="Times New Roman" w:hAnsi="Times New Roman" w:cs="Times New Roman"/>
                <w:sz w:val="20"/>
                <w:szCs w:val="20"/>
                <w:lang w:val="en-US"/>
              </w:rPr>
            </w:pPr>
          </w:p>
        </w:tc>
        <w:tc>
          <w:tcPr>
            <w:tcW w:w="535" w:type="pct"/>
            <w:tcBorders>
              <w:top w:val="single" w:sz="4" w:space="0" w:color="auto"/>
              <w:bottom w:val="nil"/>
            </w:tcBorders>
          </w:tcPr>
          <w:p w14:paraId="3D1A4F7D"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0.937</w:t>
            </w:r>
          </w:p>
          <w:p w14:paraId="35684A4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(0.43</w:t>
            </w:r>
            <w:r w:rsidRPr="00622F6C">
              <w:rPr>
                <w:rFonts w:ascii="Times New Roman" w:hAnsi="Times New Roman" w:cs="Times New Roman"/>
                <w:sz w:val="20"/>
                <w:szCs w:val="20"/>
                <w:lang w:val="en-US"/>
              </w:rPr>
              <w:t>)</w:t>
            </w:r>
          </w:p>
        </w:tc>
        <w:tc>
          <w:tcPr>
            <w:tcW w:w="534" w:type="pct"/>
            <w:gridSpan w:val="2"/>
            <w:tcBorders>
              <w:top w:val="single" w:sz="4" w:space="0" w:color="auto"/>
              <w:bottom w:val="nil"/>
            </w:tcBorders>
          </w:tcPr>
          <w:p w14:paraId="7CF62D6D" w14:textId="77777777" w:rsidR="003C440A"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0.890</w:t>
            </w:r>
          </w:p>
          <w:p w14:paraId="0B39B22D" w14:textId="77777777" w:rsidR="003C440A"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(0.43)</w:t>
            </w:r>
          </w:p>
        </w:tc>
        <w:tc>
          <w:tcPr>
            <w:tcW w:w="534" w:type="pct"/>
            <w:gridSpan w:val="2"/>
            <w:tcBorders>
              <w:top w:val="single" w:sz="4" w:space="0" w:color="auto"/>
              <w:bottom w:val="nil"/>
            </w:tcBorders>
          </w:tcPr>
          <w:p w14:paraId="3F751A53" w14:textId="77777777" w:rsidR="003C440A"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1.360</w:t>
            </w:r>
          </w:p>
          <w:p w14:paraId="0A7FC1EA" w14:textId="77777777" w:rsidR="006345CE"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(0.60)</w:t>
            </w:r>
          </w:p>
        </w:tc>
        <w:tc>
          <w:tcPr>
            <w:tcW w:w="534" w:type="pct"/>
            <w:gridSpan w:val="2"/>
            <w:tcBorders>
              <w:top w:val="single" w:sz="4" w:space="0" w:color="auto"/>
              <w:bottom w:val="nil"/>
            </w:tcBorders>
          </w:tcPr>
          <w:p w14:paraId="623EE6B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0.955</w:t>
            </w:r>
          </w:p>
          <w:p w14:paraId="22265AA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(0.35</w:t>
            </w:r>
            <w:r w:rsidRPr="00622F6C">
              <w:rPr>
                <w:rFonts w:ascii="Times New Roman" w:hAnsi="Times New Roman" w:cs="Times New Roman"/>
                <w:sz w:val="20"/>
                <w:szCs w:val="20"/>
                <w:lang w:val="en-US"/>
              </w:rPr>
              <w:t>)</w:t>
            </w:r>
          </w:p>
        </w:tc>
        <w:tc>
          <w:tcPr>
            <w:tcW w:w="534" w:type="pct"/>
            <w:gridSpan w:val="2"/>
            <w:tcBorders>
              <w:top w:val="single" w:sz="4" w:space="0" w:color="auto"/>
              <w:bottom w:val="nil"/>
            </w:tcBorders>
          </w:tcPr>
          <w:p w14:paraId="3471179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0.853</w:t>
            </w:r>
          </w:p>
          <w:p w14:paraId="71A27137"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(0.40</w:t>
            </w:r>
            <w:r w:rsidRPr="00622F6C">
              <w:rPr>
                <w:rFonts w:ascii="Times New Roman" w:hAnsi="Times New Roman" w:cs="Times New Roman"/>
                <w:sz w:val="20"/>
                <w:szCs w:val="20"/>
                <w:lang w:val="en-US"/>
              </w:rPr>
              <w:t>)</w:t>
            </w:r>
          </w:p>
        </w:tc>
        <w:tc>
          <w:tcPr>
            <w:tcW w:w="537" w:type="pct"/>
            <w:gridSpan w:val="2"/>
            <w:tcBorders>
              <w:top w:val="single" w:sz="4" w:space="0" w:color="auto"/>
              <w:bottom w:val="nil"/>
            </w:tcBorders>
          </w:tcPr>
          <w:p w14:paraId="7FDE2CC2" w14:textId="77777777" w:rsidR="006345CE" w:rsidRPr="00622F6C" w:rsidRDefault="006345CE" w:rsidP="00C84F02">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3.910</w:t>
            </w:r>
          </w:p>
          <w:p w14:paraId="09681055" w14:textId="77777777" w:rsidR="006345CE" w:rsidRPr="00622F6C" w:rsidRDefault="006345CE" w:rsidP="00C84F02">
            <w:pPr>
              <w:jc w:val="center"/>
              <w:rPr>
                <w:rFonts w:ascii="Times New Roman" w:hAnsi="Times New Roman" w:cs="Times New Roman"/>
                <w:sz w:val="20"/>
                <w:szCs w:val="20"/>
                <w:lang w:val="en-US"/>
              </w:rPr>
            </w:pPr>
            <w:r>
              <w:rPr>
                <w:rFonts w:ascii="Times New Roman" w:hAnsi="Times New Roman" w:cs="Times New Roman"/>
                <w:sz w:val="20"/>
                <w:szCs w:val="20"/>
                <w:lang w:val="en-US"/>
              </w:rPr>
              <w:t>(−1.21</w:t>
            </w:r>
            <w:r w:rsidRPr="00622F6C">
              <w:rPr>
                <w:rFonts w:ascii="Times New Roman" w:hAnsi="Times New Roman" w:cs="Times New Roman"/>
                <w:sz w:val="20"/>
                <w:szCs w:val="20"/>
                <w:lang w:val="en-US"/>
              </w:rPr>
              <w:t>)</w:t>
            </w:r>
          </w:p>
        </w:tc>
        <w:tc>
          <w:tcPr>
            <w:tcW w:w="535" w:type="pct"/>
            <w:tcBorders>
              <w:top w:val="single" w:sz="4" w:space="0" w:color="auto"/>
              <w:bottom w:val="nil"/>
            </w:tcBorders>
          </w:tcPr>
          <w:p w14:paraId="7847381C"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6.260</w:t>
            </w:r>
          </w:p>
          <w:p w14:paraId="5F4082F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(−1.57</w:t>
            </w:r>
            <w:r w:rsidRPr="00622F6C">
              <w:rPr>
                <w:rFonts w:ascii="Times New Roman" w:hAnsi="Times New Roman" w:cs="Times New Roman"/>
                <w:sz w:val="20"/>
                <w:szCs w:val="20"/>
                <w:lang w:val="en-US"/>
              </w:rPr>
              <w:t>)</w:t>
            </w:r>
          </w:p>
        </w:tc>
      </w:tr>
      <w:tr w:rsidR="006345CE" w:rsidRPr="00622F6C" w14:paraId="3AE1BE85" w14:textId="77777777" w:rsidTr="00955DFE">
        <w:tc>
          <w:tcPr>
            <w:tcW w:w="1258" w:type="pct"/>
            <w:tcBorders>
              <w:top w:val="nil"/>
              <w:bottom w:val="nil"/>
            </w:tcBorders>
          </w:tcPr>
          <w:p w14:paraId="3E0F1F13"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Social Incidents </w:t>
            </w:r>
          </w:p>
        </w:tc>
        <w:tc>
          <w:tcPr>
            <w:tcW w:w="535" w:type="pct"/>
            <w:tcBorders>
              <w:top w:val="nil"/>
              <w:bottom w:val="nil"/>
            </w:tcBorders>
          </w:tcPr>
          <w:p w14:paraId="6527EB66"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0.085</w:t>
            </w:r>
            <w:r w:rsidRPr="00622F6C">
              <w:rPr>
                <w:rFonts w:ascii="Times New Roman" w:hAnsi="Times New Roman" w:cs="Times New Roman"/>
                <w:sz w:val="20"/>
                <w:szCs w:val="20"/>
                <w:vertAlign w:val="superscript"/>
                <w:lang w:val="en-US"/>
              </w:rPr>
              <w:t>**</w:t>
            </w:r>
          </w:p>
          <w:p w14:paraId="477E9D8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(−2.2</w:t>
            </w:r>
            <w:r w:rsidRPr="00622F6C">
              <w:rPr>
                <w:rFonts w:ascii="Times New Roman" w:hAnsi="Times New Roman" w:cs="Times New Roman"/>
                <w:sz w:val="20"/>
                <w:szCs w:val="20"/>
                <w:lang w:val="en-US"/>
              </w:rPr>
              <w:t>5)</w:t>
            </w:r>
          </w:p>
        </w:tc>
        <w:tc>
          <w:tcPr>
            <w:tcW w:w="534" w:type="pct"/>
            <w:gridSpan w:val="2"/>
            <w:tcBorders>
              <w:top w:val="nil"/>
              <w:bottom w:val="nil"/>
            </w:tcBorders>
          </w:tcPr>
          <w:p w14:paraId="5F6EB024"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34683C55"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1DDF47E5"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0.086</w:t>
            </w:r>
            <w:r w:rsidRPr="00622F6C">
              <w:rPr>
                <w:rFonts w:ascii="Times New Roman" w:hAnsi="Times New Roman" w:cs="Times New Roman"/>
                <w:sz w:val="20"/>
                <w:szCs w:val="20"/>
                <w:vertAlign w:val="superscript"/>
                <w:lang w:val="en-US"/>
              </w:rPr>
              <w:t>**</w:t>
            </w:r>
          </w:p>
          <w:p w14:paraId="19D5ECD1"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(−2.28</w:t>
            </w:r>
            <w:r w:rsidRPr="00622F6C">
              <w:rPr>
                <w:rFonts w:ascii="Times New Roman" w:hAnsi="Times New Roman" w:cs="Times New Roman"/>
                <w:sz w:val="20"/>
                <w:szCs w:val="20"/>
                <w:lang w:val="en-US"/>
              </w:rPr>
              <w:t>)</w:t>
            </w:r>
          </w:p>
        </w:tc>
        <w:tc>
          <w:tcPr>
            <w:tcW w:w="534" w:type="pct"/>
            <w:gridSpan w:val="2"/>
            <w:tcBorders>
              <w:top w:val="nil"/>
              <w:bottom w:val="nil"/>
            </w:tcBorders>
          </w:tcPr>
          <w:p w14:paraId="3EEAD27C"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0.087</w:t>
            </w:r>
            <w:r w:rsidRPr="00622F6C">
              <w:rPr>
                <w:rFonts w:ascii="Times New Roman" w:hAnsi="Times New Roman" w:cs="Times New Roman"/>
                <w:sz w:val="20"/>
                <w:szCs w:val="20"/>
                <w:vertAlign w:val="superscript"/>
                <w:lang w:val="en-US"/>
              </w:rPr>
              <w:t>**</w:t>
            </w:r>
          </w:p>
          <w:p w14:paraId="5199C09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(−2.20</w:t>
            </w:r>
            <w:r w:rsidRPr="00622F6C">
              <w:rPr>
                <w:rFonts w:ascii="Times New Roman" w:hAnsi="Times New Roman" w:cs="Times New Roman"/>
                <w:sz w:val="20"/>
                <w:szCs w:val="20"/>
                <w:lang w:val="en-US"/>
              </w:rPr>
              <w:t>)</w:t>
            </w:r>
          </w:p>
        </w:tc>
        <w:tc>
          <w:tcPr>
            <w:tcW w:w="537" w:type="pct"/>
            <w:gridSpan w:val="2"/>
            <w:tcBorders>
              <w:top w:val="nil"/>
              <w:bottom w:val="nil"/>
            </w:tcBorders>
          </w:tcPr>
          <w:p w14:paraId="127EC0D2"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0.073</w:t>
            </w:r>
            <w:r w:rsidRPr="00622F6C">
              <w:rPr>
                <w:rFonts w:ascii="Times New Roman" w:hAnsi="Times New Roman" w:cs="Times New Roman"/>
                <w:sz w:val="20"/>
                <w:szCs w:val="20"/>
                <w:vertAlign w:val="superscript"/>
                <w:lang w:val="en-US"/>
              </w:rPr>
              <w:t>*</w:t>
            </w:r>
          </w:p>
          <w:p w14:paraId="23B7E8D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(−1.96</w:t>
            </w:r>
            <w:r w:rsidRPr="00622F6C">
              <w:rPr>
                <w:rFonts w:ascii="Times New Roman" w:hAnsi="Times New Roman" w:cs="Times New Roman"/>
                <w:sz w:val="20"/>
                <w:szCs w:val="20"/>
                <w:lang w:val="en-US"/>
              </w:rPr>
              <w:t>)</w:t>
            </w:r>
          </w:p>
        </w:tc>
        <w:tc>
          <w:tcPr>
            <w:tcW w:w="535" w:type="pct"/>
            <w:tcBorders>
              <w:top w:val="nil"/>
              <w:bottom w:val="nil"/>
            </w:tcBorders>
          </w:tcPr>
          <w:p w14:paraId="616C74EB"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0.077</w:t>
            </w:r>
            <w:r>
              <w:rPr>
                <w:rFonts w:ascii="Times New Roman" w:hAnsi="Times New Roman" w:cs="Times New Roman"/>
                <w:sz w:val="20"/>
                <w:szCs w:val="20"/>
                <w:vertAlign w:val="superscript"/>
                <w:lang w:val="en-US"/>
              </w:rPr>
              <w:t>*</w:t>
            </w:r>
          </w:p>
          <w:p w14:paraId="18CE3C0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(−1.99</w:t>
            </w:r>
            <w:r w:rsidRPr="00622F6C">
              <w:rPr>
                <w:rFonts w:ascii="Times New Roman" w:hAnsi="Times New Roman" w:cs="Times New Roman"/>
                <w:sz w:val="20"/>
                <w:szCs w:val="20"/>
                <w:lang w:val="en-US"/>
              </w:rPr>
              <w:t>)</w:t>
            </w:r>
          </w:p>
        </w:tc>
      </w:tr>
      <w:tr w:rsidR="006345CE" w:rsidRPr="00622F6C" w14:paraId="3B4275DD" w14:textId="77777777" w:rsidTr="00955DFE">
        <w:tc>
          <w:tcPr>
            <w:tcW w:w="1258" w:type="pct"/>
            <w:tcBorders>
              <w:top w:val="nil"/>
              <w:bottom w:val="nil"/>
            </w:tcBorders>
          </w:tcPr>
          <w:p w14:paraId="0156D654"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Critical Countries Policy (0/1)</w:t>
            </w:r>
          </w:p>
        </w:tc>
        <w:tc>
          <w:tcPr>
            <w:tcW w:w="535" w:type="pct"/>
            <w:tcBorders>
              <w:top w:val="nil"/>
              <w:bottom w:val="nil"/>
            </w:tcBorders>
          </w:tcPr>
          <w:p w14:paraId="7B68F81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2.077</w:t>
            </w:r>
            <w:r w:rsidRPr="00622F6C">
              <w:rPr>
                <w:rFonts w:ascii="Times New Roman" w:hAnsi="Times New Roman" w:cs="Times New Roman"/>
                <w:sz w:val="20"/>
                <w:szCs w:val="20"/>
                <w:vertAlign w:val="superscript"/>
                <w:lang w:val="en-US"/>
              </w:rPr>
              <w:t>**</w:t>
            </w:r>
            <w:r w:rsidR="00B55854">
              <w:rPr>
                <w:rFonts w:ascii="Times New Roman" w:hAnsi="Times New Roman" w:cs="Times New Roman"/>
                <w:sz w:val="20"/>
                <w:szCs w:val="20"/>
                <w:vertAlign w:val="superscript"/>
                <w:lang w:val="en-US"/>
              </w:rPr>
              <w:t>*</w:t>
            </w:r>
          </w:p>
          <w:p w14:paraId="0503085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(2.75</w:t>
            </w:r>
            <w:r w:rsidRPr="00622F6C">
              <w:rPr>
                <w:rFonts w:ascii="Times New Roman" w:hAnsi="Times New Roman" w:cs="Times New Roman"/>
                <w:sz w:val="20"/>
                <w:szCs w:val="20"/>
                <w:lang w:val="en-US"/>
              </w:rPr>
              <w:t>)</w:t>
            </w:r>
          </w:p>
        </w:tc>
        <w:tc>
          <w:tcPr>
            <w:tcW w:w="534" w:type="pct"/>
            <w:gridSpan w:val="2"/>
            <w:tcBorders>
              <w:top w:val="nil"/>
              <w:bottom w:val="nil"/>
            </w:tcBorders>
          </w:tcPr>
          <w:p w14:paraId="6064B405"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125B14A9"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4B346000"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1.936</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3353BA37"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(2.66</w:t>
            </w:r>
            <w:r w:rsidRPr="00622F6C">
              <w:rPr>
                <w:rFonts w:ascii="Times New Roman" w:hAnsi="Times New Roman" w:cs="Times New Roman"/>
                <w:sz w:val="20"/>
                <w:szCs w:val="20"/>
                <w:lang w:val="en-US"/>
              </w:rPr>
              <w:t>)</w:t>
            </w:r>
          </w:p>
        </w:tc>
        <w:tc>
          <w:tcPr>
            <w:tcW w:w="534" w:type="pct"/>
            <w:gridSpan w:val="2"/>
            <w:tcBorders>
              <w:top w:val="nil"/>
              <w:bottom w:val="nil"/>
            </w:tcBorders>
          </w:tcPr>
          <w:p w14:paraId="2E1B9E2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2.042</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748E432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(2.74</w:t>
            </w:r>
            <w:r w:rsidRPr="00622F6C">
              <w:rPr>
                <w:rFonts w:ascii="Times New Roman" w:hAnsi="Times New Roman" w:cs="Times New Roman"/>
                <w:sz w:val="20"/>
                <w:szCs w:val="20"/>
                <w:lang w:val="en-US"/>
              </w:rPr>
              <w:t>)</w:t>
            </w:r>
          </w:p>
        </w:tc>
        <w:tc>
          <w:tcPr>
            <w:tcW w:w="537" w:type="pct"/>
            <w:gridSpan w:val="2"/>
            <w:tcBorders>
              <w:top w:val="nil"/>
              <w:bottom w:val="nil"/>
            </w:tcBorders>
          </w:tcPr>
          <w:p w14:paraId="10B265D1"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2.105</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26F8BD2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(2.67</w:t>
            </w:r>
            <w:r w:rsidRPr="00622F6C">
              <w:rPr>
                <w:rFonts w:ascii="Times New Roman" w:hAnsi="Times New Roman" w:cs="Times New Roman"/>
                <w:sz w:val="20"/>
                <w:szCs w:val="20"/>
                <w:lang w:val="en-US"/>
              </w:rPr>
              <w:t>)</w:t>
            </w:r>
          </w:p>
        </w:tc>
        <w:tc>
          <w:tcPr>
            <w:tcW w:w="535" w:type="pct"/>
            <w:tcBorders>
              <w:top w:val="nil"/>
              <w:bottom w:val="nil"/>
            </w:tcBorders>
          </w:tcPr>
          <w:p w14:paraId="2F7D137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1.666</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6C6008E7"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(2.03</w:t>
            </w:r>
            <w:r w:rsidRPr="00622F6C">
              <w:rPr>
                <w:rFonts w:ascii="Times New Roman" w:hAnsi="Times New Roman" w:cs="Times New Roman"/>
                <w:sz w:val="20"/>
                <w:szCs w:val="20"/>
                <w:lang w:val="en-US"/>
              </w:rPr>
              <w:t>)</w:t>
            </w:r>
          </w:p>
        </w:tc>
      </w:tr>
      <w:tr w:rsidR="006345CE" w:rsidRPr="00622F6C" w14:paraId="00A67FE1" w14:textId="77777777" w:rsidTr="00955DFE">
        <w:tc>
          <w:tcPr>
            <w:tcW w:w="1258" w:type="pct"/>
            <w:tcBorders>
              <w:top w:val="nil"/>
              <w:bottom w:val="nil"/>
            </w:tcBorders>
          </w:tcPr>
          <w:p w14:paraId="7FB06125"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Forced Labor Policy (0/1)</w:t>
            </w:r>
          </w:p>
        </w:tc>
        <w:tc>
          <w:tcPr>
            <w:tcW w:w="535" w:type="pct"/>
            <w:tcBorders>
              <w:top w:val="nil"/>
              <w:bottom w:val="nil"/>
            </w:tcBorders>
          </w:tcPr>
          <w:p w14:paraId="2C8BBBAF"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1.526</w:t>
            </w:r>
            <w:r w:rsidRPr="00622F6C">
              <w:rPr>
                <w:rFonts w:ascii="Times New Roman" w:hAnsi="Times New Roman" w:cs="Times New Roman"/>
                <w:sz w:val="20"/>
                <w:szCs w:val="20"/>
                <w:vertAlign w:val="superscript"/>
                <w:lang w:val="en-US"/>
              </w:rPr>
              <w:t>*</w:t>
            </w:r>
          </w:p>
          <w:p w14:paraId="07ABEA2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(1.97</w:t>
            </w:r>
            <w:r w:rsidRPr="00622F6C">
              <w:rPr>
                <w:rFonts w:ascii="Times New Roman" w:hAnsi="Times New Roman" w:cs="Times New Roman"/>
                <w:sz w:val="20"/>
                <w:szCs w:val="20"/>
                <w:lang w:val="en-US"/>
              </w:rPr>
              <w:t>)</w:t>
            </w:r>
          </w:p>
        </w:tc>
        <w:tc>
          <w:tcPr>
            <w:tcW w:w="534" w:type="pct"/>
            <w:gridSpan w:val="2"/>
            <w:tcBorders>
              <w:top w:val="nil"/>
              <w:bottom w:val="nil"/>
            </w:tcBorders>
          </w:tcPr>
          <w:p w14:paraId="69421814"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27A2AF87"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273495F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1.531</w:t>
            </w:r>
            <w:r w:rsidRPr="00622F6C">
              <w:rPr>
                <w:rFonts w:ascii="Times New Roman" w:hAnsi="Times New Roman" w:cs="Times New Roman"/>
                <w:sz w:val="20"/>
                <w:szCs w:val="20"/>
                <w:vertAlign w:val="superscript"/>
                <w:lang w:val="en-US"/>
              </w:rPr>
              <w:t>*</w:t>
            </w:r>
          </w:p>
          <w:p w14:paraId="276A59AF"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(1.92</w:t>
            </w:r>
            <w:r w:rsidRPr="00622F6C">
              <w:rPr>
                <w:rFonts w:ascii="Times New Roman" w:hAnsi="Times New Roman" w:cs="Times New Roman"/>
                <w:sz w:val="20"/>
                <w:szCs w:val="20"/>
                <w:lang w:val="en-US"/>
              </w:rPr>
              <w:t>)</w:t>
            </w:r>
          </w:p>
        </w:tc>
        <w:tc>
          <w:tcPr>
            <w:tcW w:w="534" w:type="pct"/>
            <w:gridSpan w:val="2"/>
            <w:tcBorders>
              <w:top w:val="nil"/>
              <w:bottom w:val="nil"/>
            </w:tcBorders>
          </w:tcPr>
          <w:p w14:paraId="35FF5B7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1.468</w:t>
            </w:r>
            <w:r w:rsidRPr="00622F6C">
              <w:rPr>
                <w:rFonts w:ascii="Times New Roman" w:hAnsi="Times New Roman" w:cs="Times New Roman"/>
                <w:sz w:val="20"/>
                <w:szCs w:val="20"/>
                <w:vertAlign w:val="superscript"/>
                <w:lang w:val="en-US"/>
              </w:rPr>
              <w:t>**</w:t>
            </w:r>
          </w:p>
          <w:p w14:paraId="2064328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(2.02</w:t>
            </w:r>
            <w:r w:rsidRPr="00622F6C">
              <w:rPr>
                <w:rFonts w:ascii="Times New Roman" w:hAnsi="Times New Roman" w:cs="Times New Roman"/>
                <w:sz w:val="20"/>
                <w:szCs w:val="20"/>
                <w:lang w:val="en-US"/>
              </w:rPr>
              <w:t>)</w:t>
            </w:r>
          </w:p>
        </w:tc>
        <w:tc>
          <w:tcPr>
            <w:tcW w:w="537" w:type="pct"/>
            <w:gridSpan w:val="2"/>
            <w:tcBorders>
              <w:top w:val="nil"/>
              <w:bottom w:val="nil"/>
            </w:tcBorders>
          </w:tcPr>
          <w:p w14:paraId="3EF43B0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1.772</w:t>
            </w:r>
            <w:r w:rsidRPr="00622F6C">
              <w:rPr>
                <w:rFonts w:ascii="Times New Roman" w:hAnsi="Times New Roman" w:cs="Times New Roman"/>
                <w:sz w:val="20"/>
                <w:szCs w:val="20"/>
                <w:vertAlign w:val="superscript"/>
                <w:lang w:val="en-US"/>
              </w:rPr>
              <w:t>**</w:t>
            </w:r>
          </w:p>
          <w:p w14:paraId="3A88E29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(2.09</w:t>
            </w:r>
            <w:r w:rsidRPr="00622F6C">
              <w:rPr>
                <w:rFonts w:ascii="Times New Roman" w:hAnsi="Times New Roman" w:cs="Times New Roman"/>
                <w:sz w:val="20"/>
                <w:szCs w:val="20"/>
                <w:lang w:val="en-US"/>
              </w:rPr>
              <w:t>)</w:t>
            </w:r>
          </w:p>
        </w:tc>
        <w:tc>
          <w:tcPr>
            <w:tcW w:w="535" w:type="pct"/>
            <w:tcBorders>
              <w:top w:val="nil"/>
              <w:bottom w:val="nil"/>
            </w:tcBorders>
          </w:tcPr>
          <w:p w14:paraId="3069A867"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1.806</w:t>
            </w:r>
            <w:r w:rsidRPr="00622F6C">
              <w:rPr>
                <w:rFonts w:ascii="Times New Roman" w:hAnsi="Times New Roman" w:cs="Times New Roman"/>
                <w:sz w:val="20"/>
                <w:szCs w:val="20"/>
                <w:vertAlign w:val="superscript"/>
                <w:lang w:val="en-US"/>
              </w:rPr>
              <w:t>**</w:t>
            </w:r>
          </w:p>
          <w:p w14:paraId="606E405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(2.11</w:t>
            </w:r>
            <w:r w:rsidRPr="00622F6C">
              <w:rPr>
                <w:rFonts w:ascii="Times New Roman" w:hAnsi="Times New Roman" w:cs="Times New Roman"/>
                <w:sz w:val="20"/>
                <w:szCs w:val="20"/>
                <w:lang w:val="en-US"/>
              </w:rPr>
              <w:t>)</w:t>
            </w:r>
          </w:p>
        </w:tc>
      </w:tr>
      <w:tr w:rsidR="006345CE" w:rsidRPr="00622F6C" w14:paraId="2105AEB2" w14:textId="77777777" w:rsidTr="00955DFE">
        <w:tc>
          <w:tcPr>
            <w:tcW w:w="1258" w:type="pct"/>
            <w:tcBorders>
              <w:top w:val="nil"/>
              <w:bottom w:val="nil"/>
            </w:tcBorders>
          </w:tcPr>
          <w:p w14:paraId="0E849868"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Firm Slavery Risk (0/1)</w:t>
            </w:r>
          </w:p>
        </w:tc>
        <w:tc>
          <w:tcPr>
            <w:tcW w:w="535" w:type="pct"/>
            <w:tcBorders>
              <w:top w:val="nil"/>
              <w:bottom w:val="nil"/>
            </w:tcBorders>
          </w:tcPr>
          <w:p w14:paraId="0FD79412"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5C581DB0"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2.080</w:t>
            </w:r>
            <w:r w:rsidRPr="00622F6C">
              <w:rPr>
                <w:rFonts w:ascii="Times New Roman" w:hAnsi="Times New Roman" w:cs="Times New Roman"/>
                <w:sz w:val="20"/>
                <w:szCs w:val="20"/>
                <w:vertAlign w:val="superscript"/>
                <w:lang w:val="en-US"/>
              </w:rPr>
              <w:t>**</w:t>
            </w:r>
          </w:p>
          <w:p w14:paraId="3B77D266"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(−2.27</w:t>
            </w:r>
            <w:r w:rsidRPr="00622F6C">
              <w:rPr>
                <w:rFonts w:ascii="Times New Roman" w:hAnsi="Times New Roman" w:cs="Times New Roman"/>
                <w:sz w:val="20"/>
                <w:szCs w:val="20"/>
                <w:lang w:val="en-US"/>
              </w:rPr>
              <w:t>)</w:t>
            </w:r>
          </w:p>
        </w:tc>
        <w:tc>
          <w:tcPr>
            <w:tcW w:w="534" w:type="pct"/>
            <w:gridSpan w:val="2"/>
            <w:tcBorders>
              <w:top w:val="nil"/>
              <w:bottom w:val="nil"/>
            </w:tcBorders>
          </w:tcPr>
          <w:p w14:paraId="7ECF72F6"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1.592</w:t>
            </w:r>
            <w:r>
              <w:rPr>
                <w:rFonts w:ascii="Times New Roman" w:hAnsi="Times New Roman" w:cs="Times New Roman"/>
                <w:sz w:val="20"/>
                <w:szCs w:val="20"/>
                <w:vertAlign w:val="superscript"/>
                <w:lang w:val="en-US"/>
              </w:rPr>
              <w:t>*</w:t>
            </w:r>
          </w:p>
          <w:p w14:paraId="777A3463"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(−1.67</w:t>
            </w:r>
            <w:r w:rsidRPr="00622F6C">
              <w:rPr>
                <w:rFonts w:ascii="Times New Roman" w:hAnsi="Times New Roman" w:cs="Times New Roman"/>
                <w:sz w:val="20"/>
                <w:szCs w:val="20"/>
                <w:lang w:val="en-US"/>
              </w:rPr>
              <w:t>)</w:t>
            </w:r>
          </w:p>
        </w:tc>
        <w:tc>
          <w:tcPr>
            <w:tcW w:w="534" w:type="pct"/>
            <w:gridSpan w:val="2"/>
            <w:tcBorders>
              <w:top w:val="nil"/>
              <w:bottom w:val="nil"/>
            </w:tcBorders>
          </w:tcPr>
          <w:p w14:paraId="26389EE5"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65348471" w14:textId="77777777" w:rsidR="006345CE" w:rsidRPr="00622F6C" w:rsidRDefault="006345CE" w:rsidP="008D6255">
            <w:pPr>
              <w:jc w:val="center"/>
              <w:rPr>
                <w:rFonts w:ascii="Times New Roman" w:hAnsi="Times New Roman" w:cs="Times New Roman"/>
                <w:sz w:val="20"/>
                <w:szCs w:val="20"/>
                <w:lang w:val="en-US"/>
              </w:rPr>
            </w:pPr>
          </w:p>
        </w:tc>
        <w:tc>
          <w:tcPr>
            <w:tcW w:w="537" w:type="pct"/>
            <w:gridSpan w:val="2"/>
            <w:tcBorders>
              <w:top w:val="nil"/>
              <w:bottom w:val="nil"/>
            </w:tcBorders>
          </w:tcPr>
          <w:p w14:paraId="2AC9C74E" w14:textId="77777777" w:rsidR="006345CE" w:rsidRPr="00622F6C" w:rsidRDefault="006345CE" w:rsidP="008D6255">
            <w:pPr>
              <w:jc w:val="center"/>
              <w:rPr>
                <w:rFonts w:ascii="Times New Roman" w:hAnsi="Times New Roman" w:cs="Times New Roman"/>
                <w:sz w:val="20"/>
                <w:szCs w:val="20"/>
                <w:lang w:val="en-US"/>
              </w:rPr>
            </w:pPr>
          </w:p>
        </w:tc>
        <w:tc>
          <w:tcPr>
            <w:tcW w:w="535" w:type="pct"/>
            <w:tcBorders>
              <w:top w:val="nil"/>
              <w:bottom w:val="nil"/>
            </w:tcBorders>
          </w:tcPr>
          <w:p w14:paraId="19EFD687" w14:textId="77777777" w:rsidR="006345CE" w:rsidRPr="00622F6C" w:rsidRDefault="006345CE" w:rsidP="008D6255">
            <w:pPr>
              <w:jc w:val="center"/>
              <w:rPr>
                <w:rFonts w:ascii="Times New Roman" w:hAnsi="Times New Roman" w:cs="Times New Roman"/>
                <w:sz w:val="20"/>
                <w:szCs w:val="20"/>
                <w:lang w:val="en-US"/>
              </w:rPr>
            </w:pPr>
          </w:p>
        </w:tc>
      </w:tr>
      <w:tr w:rsidR="006345CE" w:rsidRPr="00622F6C" w14:paraId="7ED269EC" w14:textId="77777777" w:rsidTr="00955DFE">
        <w:tc>
          <w:tcPr>
            <w:tcW w:w="1258" w:type="pct"/>
            <w:tcBorders>
              <w:top w:val="nil"/>
              <w:bottom w:val="nil"/>
            </w:tcBorders>
          </w:tcPr>
          <w:p w14:paraId="720B983C"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Social Disclosure </w:t>
            </w:r>
            <w:r>
              <w:rPr>
                <w:rFonts w:ascii="Times New Roman" w:hAnsi="Times New Roman" w:cs="Times New Roman"/>
                <w:sz w:val="20"/>
                <w:szCs w:val="20"/>
                <w:lang w:val="en-US"/>
              </w:rPr>
              <w:t>(0/1)</w:t>
            </w:r>
          </w:p>
        </w:tc>
        <w:tc>
          <w:tcPr>
            <w:tcW w:w="535" w:type="pct"/>
            <w:tcBorders>
              <w:top w:val="nil"/>
              <w:bottom w:val="nil"/>
            </w:tcBorders>
          </w:tcPr>
          <w:p w14:paraId="41DC3121"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0.722</w:t>
            </w:r>
          </w:p>
          <w:p w14:paraId="3755983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(−0.90</w:t>
            </w:r>
            <w:r w:rsidRPr="00622F6C">
              <w:rPr>
                <w:rFonts w:ascii="Times New Roman" w:hAnsi="Times New Roman" w:cs="Times New Roman"/>
                <w:sz w:val="20"/>
                <w:szCs w:val="20"/>
                <w:lang w:val="en-US"/>
              </w:rPr>
              <w:t>)</w:t>
            </w:r>
          </w:p>
        </w:tc>
        <w:tc>
          <w:tcPr>
            <w:tcW w:w="534" w:type="pct"/>
            <w:gridSpan w:val="2"/>
            <w:tcBorders>
              <w:top w:val="nil"/>
              <w:bottom w:val="nil"/>
            </w:tcBorders>
          </w:tcPr>
          <w:p w14:paraId="69BDCFB8"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0.438</w:t>
            </w:r>
          </w:p>
          <w:p w14:paraId="31D6C034"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(−0.55</w:t>
            </w:r>
            <w:r w:rsidRPr="00622F6C">
              <w:rPr>
                <w:rFonts w:ascii="Times New Roman" w:hAnsi="Times New Roman" w:cs="Times New Roman"/>
                <w:sz w:val="20"/>
                <w:szCs w:val="20"/>
                <w:lang w:val="en-US"/>
              </w:rPr>
              <w:t>)</w:t>
            </w:r>
          </w:p>
        </w:tc>
        <w:tc>
          <w:tcPr>
            <w:tcW w:w="534" w:type="pct"/>
            <w:gridSpan w:val="2"/>
            <w:tcBorders>
              <w:top w:val="nil"/>
              <w:bottom w:val="nil"/>
            </w:tcBorders>
          </w:tcPr>
          <w:p w14:paraId="1698561F"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0.389</w:t>
            </w:r>
          </w:p>
          <w:p w14:paraId="6D2CA4D2"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(−0.51</w:t>
            </w:r>
            <w:r w:rsidRPr="00622F6C">
              <w:rPr>
                <w:rFonts w:ascii="Times New Roman" w:hAnsi="Times New Roman" w:cs="Times New Roman"/>
                <w:sz w:val="20"/>
                <w:szCs w:val="20"/>
                <w:lang w:val="en-US"/>
              </w:rPr>
              <w:t>)</w:t>
            </w:r>
          </w:p>
        </w:tc>
        <w:tc>
          <w:tcPr>
            <w:tcW w:w="534" w:type="pct"/>
            <w:gridSpan w:val="2"/>
            <w:tcBorders>
              <w:top w:val="nil"/>
              <w:bottom w:val="nil"/>
            </w:tcBorders>
          </w:tcPr>
          <w:p w14:paraId="64BC0A04"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0.725</w:t>
            </w:r>
          </w:p>
          <w:p w14:paraId="1CD933D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(−0.90</w:t>
            </w:r>
            <w:r w:rsidRPr="00622F6C">
              <w:rPr>
                <w:rFonts w:ascii="Times New Roman" w:hAnsi="Times New Roman" w:cs="Times New Roman"/>
                <w:sz w:val="20"/>
                <w:szCs w:val="20"/>
                <w:lang w:val="en-US"/>
              </w:rPr>
              <w:t>)</w:t>
            </w:r>
          </w:p>
        </w:tc>
        <w:tc>
          <w:tcPr>
            <w:tcW w:w="534" w:type="pct"/>
            <w:gridSpan w:val="2"/>
            <w:tcBorders>
              <w:top w:val="nil"/>
              <w:bottom w:val="nil"/>
            </w:tcBorders>
          </w:tcPr>
          <w:p w14:paraId="53A77B27"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0.871</w:t>
            </w:r>
          </w:p>
          <w:p w14:paraId="5B2C672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(−0.89</w:t>
            </w:r>
            <w:r w:rsidRPr="00622F6C">
              <w:rPr>
                <w:rFonts w:ascii="Times New Roman" w:hAnsi="Times New Roman" w:cs="Times New Roman"/>
                <w:sz w:val="20"/>
                <w:szCs w:val="20"/>
                <w:lang w:val="en-US"/>
              </w:rPr>
              <w:t>)</w:t>
            </w:r>
          </w:p>
        </w:tc>
        <w:tc>
          <w:tcPr>
            <w:tcW w:w="537" w:type="pct"/>
            <w:gridSpan w:val="2"/>
            <w:tcBorders>
              <w:top w:val="nil"/>
              <w:bottom w:val="nil"/>
            </w:tcBorders>
          </w:tcPr>
          <w:p w14:paraId="517E10CB"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0.616</w:t>
            </w:r>
          </w:p>
          <w:p w14:paraId="6C571C7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(−0.78</w:t>
            </w:r>
            <w:r w:rsidRPr="00622F6C">
              <w:rPr>
                <w:rFonts w:ascii="Times New Roman" w:hAnsi="Times New Roman" w:cs="Times New Roman"/>
                <w:sz w:val="20"/>
                <w:szCs w:val="20"/>
                <w:lang w:val="en-US"/>
              </w:rPr>
              <w:t>)</w:t>
            </w:r>
          </w:p>
        </w:tc>
        <w:tc>
          <w:tcPr>
            <w:tcW w:w="535" w:type="pct"/>
            <w:tcBorders>
              <w:top w:val="nil"/>
              <w:bottom w:val="nil"/>
            </w:tcBorders>
          </w:tcPr>
          <w:p w14:paraId="64EC6144"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0.497</w:t>
            </w:r>
          </w:p>
          <w:p w14:paraId="5B5C4BBD"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(−0.72</w:t>
            </w:r>
            <w:r w:rsidRPr="00622F6C">
              <w:rPr>
                <w:rFonts w:ascii="Times New Roman" w:hAnsi="Times New Roman" w:cs="Times New Roman"/>
                <w:sz w:val="20"/>
                <w:szCs w:val="20"/>
                <w:lang w:val="en-US"/>
              </w:rPr>
              <w:t>)</w:t>
            </w:r>
          </w:p>
        </w:tc>
      </w:tr>
      <w:tr w:rsidR="006345CE" w:rsidRPr="00622F6C" w14:paraId="7F658829" w14:textId="77777777" w:rsidTr="00955DFE">
        <w:tc>
          <w:tcPr>
            <w:tcW w:w="1258" w:type="pct"/>
            <w:tcBorders>
              <w:top w:val="nil"/>
              <w:bottom w:val="nil"/>
            </w:tcBorders>
          </w:tcPr>
          <w:p w14:paraId="693681E3"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CSR Disclosure</w:t>
            </w:r>
          </w:p>
        </w:tc>
        <w:tc>
          <w:tcPr>
            <w:tcW w:w="535" w:type="pct"/>
            <w:tcBorders>
              <w:top w:val="nil"/>
              <w:bottom w:val="nil"/>
            </w:tcBorders>
          </w:tcPr>
          <w:p w14:paraId="6B21C4B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0.002</w:t>
            </w:r>
          </w:p>
          <w:p w14:paraId="0985A0B7"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(0.17</w:t>
            </w:r>
            <w:r w:rsidRPr="00622F6C">
              <w:rPr>
                <w:rFonts w:ascii="Times New Roman" w:hAnsi="Times New Roman" w:cs="Times New Roman"/>
                <w:sz w:val="20"/>
                <w:szCs w:val="20"/>
                <w:lang w:val="en-US"/>
              </w:rPr>
              <w:t>)</w:t>
            </w:r>
          </w:p>
        </w:tc>
        <w:tc>
          <w:tcPr>
            <w:tcW w:w="534" w:type="pct"/>
            <w:gridSpan w:val="2"/>
            <w:tcBorders>
              <w:top w:val="nil"/>
              <w:bottom w:val="nil"/>
            </w:tcBorders>
          </w:tcPr>
          <w:p w14:paraId="66735156" w14:textId="77777777" w:rsidR="006345CE"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0.005</w:t>
            </w:r>
          </w:p>
          <w:p w14:paraId="71044DAB" w14:textId="77777777" w:rsidR="003C440A"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(0.41)</w:t>
            </w:r>
          </w:p>
        </w:tc>
        <w:tc>
          <w:tcPr>
            <w:tcW w:w="534" w:type="pct"/>
            <w:gridSpan w:val="2"/>
            <w:tcBorders>
              <w:top w:val="nil"/>
              <w:bottom w:val="nil"/>
            </w:tcBorders>
          </w:tcPr>
          <w:p w14:paraId="4D249BDF" w14:textId="77777777" w:rsidR="006345CE"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0.005</w:t>
            </w:r>
          </w:p>
          <w:p w14:paraId="107C9281" w14:textId="77777777" w:rsidR="003C440A"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534" w:type="pct"/>
            <w:gridSpan w:val="2"/>
            <w:tcBorders>
              <w:top w:val="nil"/>
              <w:bottom w:val="nil"/>
            </w:tcBorders>
          </w:tcPr>
          <w:p w14:paraId="160D263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0.002</w:t>
            </w:r>
          </w:p>
          <w:p w14:paraId="117F230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(0.17</w:t>
            </w:r>
            <w:r w:rsidRPr="00622F6C">
              <w:rPr>
                <w:rFonts w:ascii="Times New Roman" w:hAnsi="Times New Roman" w:cs="Times New Roman"/>
                <w:sz w:val="20"/>
                <w:szCs w:val="20"/>
                <w:lang w:val="en-US"/>
              </w:rPr>
              <w:t>)</w:t>
            </w:r>
          </w:p>
        </w:tc>
        <w:tc>
          <w:tcPr>
            <w:tcW w:w="534" w:type="pct"/>
            <w:gridSpan w:val="2"/>
            <w:tcBorders>
              <w:top w:val="nil"/>
              <w:bottom w:val="nil"/>
            </w:tcBorders>
          </w:tcPr>
          <w:p w14:paraId="556ECB35" w14:textId="77777777" w:rsidR="006345CE" w:rsidRPr="00622F6C" w:rsidRDefault="006345CE" w:rsidP="008D6255">
            <w:pPr>
              <w:jc w:val="center"/>
              <w:rPr>
                <w:rFonts w:ascii="Times New Roman" w:hAnsi="Times New Roman" w:cs="Times New Roman"/>
                <w:sz w:val="20"/>
                <w:szCs w:val="20"/>
                <w:lang w:val="en-US"/>
              </w:rPr>
            </w:pPr>
          </w:p>
        </w:tc>
        <w:tc>
          <w:tcPr>
            <w:tcW w:w="537" w:type="pct"/>
            <w:gridSpan w:val="2"/>
            <w:tcBorders>
              <w:top w:val="nil"/>
              <w:bottom w:val="nil"/>
            </w:tcBorders>
          </w:tcPr>
          <w:p w14:paraId="16769509" w14:textId="77777777" w:rsidR="006345CE"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0.002</w:t>
            </w:r>
          </w:p>
          <w:p w14:paraId="5E40398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(0.13)</w:t>
            </w:r>
          </w:p>
        </w:tc>
        <w:tc>
          <w:tcPr>
            <w:tcW w:w="535" w:type="pct"/>
            <w:tcBorders>
              <w:top w:val="nil"/>
              <w:bottom w:val="nil"/>
            </w:tcBorders>
          </w:tcPr>
          <w:p w14:paraId="60EB15C1"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0.005</w:t>
            </w:r>
          </w:p>
          <w:p w14:paraId="35AE6BAC"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(−0.39</w:t>
            </w:r>
            <w:r w:rsidRPr="00622F6C">
              <w:rPr>
                <w:rFonts w:ascii="Times New Roman" w:hAnsi="Times New Roman" w:cs="Times New Roman"/>
                <w:sz w:val="20"/>
                <w:szCs w:val="20"/>
                <w:lang w:val="en-US"/>
              </w:rPr>
              <w:t>)</w:t>
            </w:r>
          </w:p>
        </w:tc>
      </w:tr>
      <w:tr w:rsidR="006345CE" w:rsidRPr="00622F6C" w14:paraId="257B593E" w14:textId="77777777" w:rsidTr="00955DFE">
        <w:tc>
          <w:tcPr>
            <w:tcW w:w="1258" w:type="pct"/>
            <w:tcBorders>
              <w:top w:val="nil"/>
              <w:bottom w:val="nil"/>
            </w:tcBorders>
          </w:tcPr>
          <w:p w14:paraId="75259590"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Log(Total Assets) </w:t>
            </w:r>
          </w:p>
        </w:tc>
        <w:tc>
          <w:tcPr>
            <w:tcW w:w="535" w:type="pct"/>
            <w:tcBorders>
              <w:top w:val="nil"/>
              <w:bottom w:val="nil"/>
            </w:tcBorders>
          </w:tcPr>
          <w:p w14:paraId="3DE79B24"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0.114</w:t>
            </w:r>
          </w:p>
          <w:p w14:paraId="7937883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(−0.69</w:t>
            </w:r>
            <w:r w:rsidRPr="00622F6C">
              <w:rPr>
                <w:rFonts w:ascii="Times New Roman" w:hAnsi="Times New Roman" w:cs="Times New Roman"/>
                <w:sz w:val="20"/>
                <w:szCs w:val="20"/>
                <w:lang w:val="en-US"/>
              </w:rPr>
              <w:t>)</w:t>
            </w:r>
          </w:p>
        </w:tc>
        <w:tc>
          <w:tcPr>
            <w:tcW w:w="534" w:type="pct"/>
            <w:gridSpan w:val="2"/>
            <w:tcBorders>
              <w:top w:val="nil"/>
              <w:bottom w:val="nil"/>
            </w:tcBorders>
          </w:tcPr>
          <w:p w14:paraId="6271CBDF"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0.052</w:t>
            </w:r>
          </w:p>
          <w:p w14:paraId="42A709D8"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(−0.29</w:t>
            </w:r>
            <w:r w:rsidRPr="00622F6C">
              <w:rPr>
                <w:rFonts w:ascii="Times New Roman" w:hAnsi="Times New Roman" w:cs="Times New Roman"/>
                <w:sz w:val="20"/>
                <w:szCs w:val="20"/>
                <w:lang w:val="en-US"/>
              </w:rPr>
              <w:t>)</w:t>
            </w:r>
          </w:p>
        </w:tc>
        <w:tc>
          <w:tcPr>
            <w:tcW w:w="534" w:type="pct"/>
            <w:gridSpan w:val="2"/>
            <w:tcBorders>
              <w:top w:val="nil"/>
              <w:bottom w:val="nil"/>
            </w:tcBorders>
          </w:tcPr>
          <w:p w14:paraId="1D318986"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0.090</w:t>
            </w:r>
          </w:p>
          <w:p w14:paraId="10759C4B" w14:textId="77777777" w:rsidR="006345CE" w:rsidRPr="00622F6C"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(−0.52</w:t>
            </w:r>
            <w:r w:rsidRPr="00622F6C">
              <w:rPr>
                <w:rFonts w:ascii="Times New Roman" w:hAnsi="Times New Roman" w:cs="Times New Roman"/>
                <w:sz w:val="20"/>
                <w:szCs w:val="20"/>
                <w:lang w:val="en-US"/>
              </w:rPr>
              <w:t>)</w:t>
            </w:r>
          </w:p>
        </w:tc>
        <w:tc>
          <w:tcPr>
            <w:tcW w:w="534" w:type="pct"/>
            <w:gridSpan w:val="2"/>
            <w:tcBorders>
              <w:top w:val="nil"/>
              <w:bottom w:val="nil"/>
            </w:tcBorders>
          </w:tcPr>
          <w:p w14:paraId="0AF9AF15"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0.145</w:t>
            </w:r>
          </w:p>
          <w:p w14:paraId="27BE773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(−0.79</w:t>
            </w:r>
            <w:r w:rsidRPr="00622F6C">
              <w:rPr>
                <w:rFonts w:ascii="Times New Roman" w:hAnsi="Times New Roman" w:cs="Times New Roman"/>
                <w:sz w:val="20"/>
                <w:szCs w:val="20"/>
                <w:lang w:val="en-US"/>
              </w:rPr>
              <w:t>)</w:t>
            </w:r>
          </w:p>
        </w:tc>
        <w:tc>
          <w:tcPr>
            <w:tcW w:w="534" w:type="pct"/>
            <w:gridSpan w:val="2"/>
            <w:tcBorders>
              <w:top w:val="nil"/>
              <w:bottom w:val="nil"/>
            </w:tcBorders>
          </w:tcPr>
          <w:p w14:paraId="50EF8657" w14:textId="77777777" w:rsidR="006345CE" w:rsidRPr="00622F6C" w:rsidRDefault="006345CE" w:rsidP="004B2221">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0.168</w:t>
            </w:r>
          </w:p>
          <w:p w14:paraId="100194E5" w14:textId="77777777" w:rsidR="006345CE" w:rsidRPr="00622F6C" w:rsidRDefault="006345CE" w:rsidP="004B2221">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r w:rsidRPr="00622F6C">
              <w:rPr>
                <w:rFonts w:ascii="Times New Roman" w:hAnsi="Times New Roman" w:cs="Times New Roman"/>
                <w:sz w:val="20"/>
                <w:szCs w:val="20"/>
                <w:lang w:val="en-US"/>
              </w:rPr>
              <w:t>)</w:t>
            </w:r>
          </w:p>
        </w:tc>
        <w:tc>
          <w:tcPr>
            <w:tcW w:w="537" w:type="pct"/>
            <w:gridSpan w:val="2"/>
            <w:tcBorders>
              <w:top w:val="nil"/>
              <w:bottom w:val="nil"/>
            </w:tcBorders>
          </w:tcPr>
          <w:p w14:paraId="27B9CE2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0.087</w:t>
            </w:r>
          </w:p>
          <w:p w14:paraId="1E25F05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(0.43</w:t>
            </w:r>
            <w:r w:rsidRPr="00622F6C">
              <w:rPr>
                <w:rFonts w:ascii="Times New Roman" w:hAnsi="Times New Roman" w:cs="Times New Roman"/>
                <w:sz w:val="20"/>
                <w:szCs w:val="20"/>
                <w:lang w:val="en-US"/>
              </w:rPr>
              <w:t>)</w:t>
            </w:r>
          </w:p>
        </w:tc>
        <w:tc>
          <w:tcPr>
            <w:tcW w:w="535" w:type="pct"/>
            <w:tcBorders>
              <w:top w:val="nil"/>
              <w:bottom w:val="nil"/>
            </w:tcBorders>
          </w:tcPr>
          <w:p w14:paraId="30828C2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0.116</w:t>
            </w:r>
          </w:p>
          <w:p w14:paraId="1B479DBF"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(0.54</w:t>
            </w:r>
            <w:r w:rsidRPr="00622F6C">
              <w:rPr>
                <w:rFonts w:ascii="Times New Roman" w:hAnsi="Times New Roman" w:cs="Times New Roman"/>
                <w:sz w:val="20"/>
                <w:szCs w:val="20"/>
                <w:lang w:val="en-US"/>
              </w:rPr>
              <w:t>)</w:t>
            </w:r>
          </w:p>
        </w:tc>
      </w:tr>
      <w:tr w:rsidR="006345CE" w:rsidRPr="00622F6C" w14:paraId="268CF430" w14:textId="77777777" w:rsidTr="00955DFE">
        <w:tc>
          <w:tcPr>
            <w:tcW w:w="1258" w:type="pct"/>
            <w:tcBorders>
              <w:top w:val="nil"/>
              <w:bottom w:val="nil"/>
            </w:tcBorders>
          </w:tcPr>
          <w:p w14:paraId="081B637D" w14:textId="16BABEA1"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Country</w:t>
            </w:r>
            <w:r w:rsidRPr="00622F6C">
              <w:rPr>
                <w:rFonts w:ascii="Times New Roman" w:hAnsi="Times New Roman" w:cs="Times New Roman"/>
                <w:color w:val="800000"/>
                <w:sz w:val="20"/>
                <w:szCs w:val="20"/>
                <w:lang w:val="en-US"/>
              </w:rPr>
              <w:t>–</w:t>
            </w:r>
            <w:r w:rsidR="00B009C2">
              <w:rPr>
                <w:rFonts w:ascii="Times New Roman" w:hAnsi="Times New Roman" w:cs="Times New Roman"/>
                <w:sz w:val="20"/>
                <w:szCs w:val="20"/>
                <w:lang w:val="en-US"/>
              </w:rPr>
              <w:t>Industry</w:t>
            </w:r>
            <w:r w:rsidRPr="00622F6C">
              <w:rPr>
                <w:rFonts w:ascii="Times New Roman" w:hAnsi="Times New Roman" w:cs="Times New Roman"/>
                <w:sz w:val="20"/>
                <w:szCs w:val="20"/>
                <w:lang w:val="en-US"/>
              </w:rPr>
              <w:t xml:space="preserve"> ESG Risk</w:t>
            </w:r>
            <w:r>
              <w:rPr>
                <w:rFonts w:ascii="Times New Roman" w:hAnsi="Times New Roman" w:cs="Times New Roman"/>
                <w:sz w:val="20"/>
                <w:szCs w:val="20"/>
                <w:lang w:val="en-US"/>
              </w:rPr>
              <w:t xml:space="preserve"> (0/1)</w:t>
            </w:r>
          </w:p>
        </w:tc>
        <w:tc>
          <w:tcPr>
            <w:tcW w:w="535" w:type="pct"/>
            <w:tcBorders>
              <w:top w:val="nil"/>
              <w:bottom w:val="nil"/>
            </w:tcBorders>
          </w:tcPr>
          <w:p w14:paraId="1DC45C39"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1.432</w:t>
            </w:r>
            <w:r w:rsidRPr="00622F6C">
              <w:rPr>
                <w:rFonts w:ascii="Times New Roman" w:hAnsi="Times New Roman" w:cs="Times New Roman"/>
                <w:sz w:val="20"/>
                <w:szCs w:val="20"/>
                <w:vertAlign w:val="superscript"/>
                <w:lang w:val="en-US"/>
              </w:rPr>
              <w:t>**</w:t>
            </w:r>
          </w:p>
          <w:p w14:paraId="1112B7D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(2.30</w:t>
            </w:r>
            <w:r w:rsidRPr="00622F6C">
              <w:rPr>
                <w:rFonts w:ascii="Times New Roman" w:hAnsi="Times New Roman" w:cs="Times New Roman"/>
                <w:sz w:val="20"/>
                <w:szCs w:val="20"/>
                <w:lang w:val="en-US"/>
              </w:rPr>
              <w:t>)</w:t>
            </w:r>
          </w:p>
        </w:tc>
        <w:tc>
          <w:tcPr>
            <w:tcW w:w="534" w:type="pct"/>
            <w:gridSpan w:val="2"/>
            <w:tcBorders>
              <w:top w:val="nil"/>
              <w:bottom w:val="nil"/>
            </w:tcBorders>
          </w:tcPr>
          <w:p w14:paraId="1622C736"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4F4126E0"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117D4B6D"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1.366</w:t>
            </w:r>
            <w:r w:rsidRPr="00622F6C">
              <w:rPr>
                <w:rFonts w:ascii="Times New Roman" w:hAnsi="Times New Roman" w:cs="Times New Roman"/>
                <w:sz w:val="20"/>
                <w:szCs w:val="20"/>
                <w:vertAlign w:val="superscript"/>
                <w:lang w:val="en-US"/>
              </w:rPr>
              <w:t>**</w:t>
            </w:r>
          </w:p>
          <w:p w14:paraId="0EC3453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(2.23</w:t>
            </w:r>
            <w:r w:rsidRPr="00622F6C">
              <w:rPr>
                <w:rFonts w:ascii="Times New Roman" w:hAnsi="Times New Roman" w:cs="Times New Roman"/>
                <w:sz w:val="20"/>
                <w:szCs w:val="20"/>
                <w:lang w:val="en-US"/>
              </w:rPr>
              <w:t>)</w:t>
            </w:r>
          </w:p>
        </w:tc>
        <w:tc>
          <w:tcPr>
            <w:tcW w:w="534" w:type="pct"/>
            <w:gridSpan w:val="2"/>
            <w:tcBorders>
              <w:top w:val="nil"/>
              <w:bottom w:val="nil"/>
            </w:tcBorders>
          </w:tcPr>
          <w:p w14:paraId="7443977C"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1.442</w:t>
            </w:r>
            <w:r w:rsidRPr="00622F6C">
              <w:rPr>
                <w:rFonts w:ascii="Times New Roman" w:hAnsi="Times New Roman" w:cs="Times New Roman"/>
                <w:sz w:val="20"/>
                <w:szCs w:val="20"/>
                <w:vertAlign w:val="superscript"/>
                <w:lang w:val="en-US"/>
              </w:rPr>
              <w:t>**</w:t>
            </w:r>
          </w:p>
          <w:p w14:paraId="601772F2"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(2.49</w:t>
            </w:r>
            <w:r w:rsidRPr="00622F6C">
              <w:rPr>
                <w:rFonts w:ascii="Times New Roman" w:hAnsi="Times New Roman" w:cs="Times New Roman"/>
                <w:sz w:val="20"/>
                <w:szCs w:val="20"/>
                <w:lang w:val="en-US"/>
              </w:rPr>
              <w:t>)</w:t>
            </w:r>
          </w:p>
        </w:tc>
        <w:tc>
          <w:tcPr>
            <w:tcW w:w="537" w:type="pct"/>
            <w:gridSpan w:val="2"/>
            <w:tcBorders>
              <w:top w:val="nil"/>
              <w:bottom w:val="nil"/>
            </w:tcBorders>
          </w:tcPr>
          <w:p w14:paraId="7EA1945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1.528</w:t>
            </w:r>
            <w:r w:rsidRPr="00622F6C">
              <w:rPr>
                <w:rFonts w:ascii="Times New Roman" w:hAnsi="Times New Roman" w:cs="Times New Roman"/>
                <w:sz w:val="20"/>
                <w:szCs w:val="20"/>
                <w:vertAlign w:val="superscript"/>
                <w:lang w:val="en-US"/>
              </w:rPr>
              <w:t>**</w:t>
            </w:r>
          </w:p>
          <w:p w14:paraId="17C4B310"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(2.45</w:t>
            </w:r>
            <w:r w:rsidRPr="00622F6C">
              <w:rPr>
                <w:rFonts w:ascii="Times New Roman" w:hAnsi="Times New Roman" w:cs="Times New Roman"/>
                <w:sz w:val="20"/>
                <w:szCs w:val="20"/>
                <w:lang w:val="en-US"/>
              </w:rPr>
              <w:t>)</w:t>
            </w:r>
          </w:p>
        </w:tc>
        <w:tc>
          <w:tcPr>
            <w:tcW w:w="535" w:type="pct"/>
            <w:tcBorders>
              <w:top w:val="nil"/>
              <w:bottom w:val="nil"/>
            </w:tcBorders>
          </w:tcPr>
          <w:p w14:paraId="70161E30"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1.237</w:t>
            </w:r>
            <w:r w:rsidRPr="00622F6C">
              <w:rPr>
                <w:rFonts w:ascii="Times New Roman" w:hAnsi="Times New Roman" w:cs="Times New Roman"/>
                <w:sz w:val="20"/>
                <w:szCs w:val="20"/>
                <w:vertAlign w:val="superscript"/>
                <w:lang w:val="en-US"/>
              </w:rPr>
              <w:t>*</w:t>
            </w:r>
          </w:p>
          <w:p w14:paraId="1B910C2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(1.84</w:t>
            </w:r>
            <w:r w:rsidRPr="00622F6C">
              <w:rPr>
                <w:rFonts w:ascii="Times New Roman" w:hAnsi="Times New Roman" w:cs="Times New Roman"/>
                <w:sz w:val="20"/>
                <w:szCs w:val="20"/>
                <w:lang w:val="en-US"/>
              </w:rPr>
              <w:t>)</w:t>
            </w:r>
          </w:p>
        </w:tc>
      </w:tr>
      <w:tr w:rsidR="006345CE" w:rsidRPr="00622F6C" w14:paraId="04935969" w14:textId="77777777" w:rsidTr="00955DFE">
        <w:tc>
          <w:tcPr>
            <w:tcW w:w="1258" w:type="pct"/>
            <w:tcBorders>
              <w:top w:val="nil"/>
              <w:bottom w:val="nil"/>
            </w:tcBorders>
          </w:tcPr>
          <w:p w14:paraId="0880A71D" w14:textId="152FE98D" w:rsidR="006345CE" w:rsidRPr="00622F6C"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t>Industry</w:t>
            </w:r>
            <w:r w:rsidR="006345CE" w:rsidRPr="00622F6C">
              <w:rPr>
                <w:rFonts w:ascii="Times New Roman" w:hAnsi="Times New Roman" w:cs="Times New Roman"/>
                <w:sz w:val="20"/>
                <w:szCs w:val="20"/>
                <w:lang w:val="en-US"/>
              </w:rPr>
              <w:t xml:space="preserve"> Slavery Risk </w:t>
            </w:r>
            <w:r w:rsidR="006345CE">
              <w:rPr>
                <w:rFonts w:ascii="Times New Roman" w:hAnsi="Times New Roman" w:cs="Times New Roman"/>
                <w:sz w:val="20"/>
                <w:szCs w:val="20"/>
                <w:lang w:val="en-US"/>
              </w:rPr>
              <w:t>(0/1)</w:t>
            </w:r>
          </w:p>
        </w:tc>
        <w:tc>
          <w:tcPr>
            <w:tcW w:w="535" w:type="pct"/>
            <w:tcBorders>
              <w:top w:val="nil"/>
              <w:bottom w:val="nil"/>
            </w:tcBorders>
          </w:tcPr>
          <w:p w14:paraId="4A97B690"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1.879</w:t>
            </w:r>
            <w:r w:rsidRPr="00622F6C">
              <w:rPr>
                <w:rFonts w:ascii="Times New Roman" w:hAnsi="Times New Roman" w:cs="Times New Roman"/>
                <w:sz w:val="20"/>
                <w:szCs w:val="20"/>
                <w:vertAlign w:val="superscript"/>
                <w:lang w:val="en-US"/>
              </w:rPr>
              <w:t>***</w:t>
            </w:r>
          </w:p>
          <w:p w14:paraId="3943808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(3.74</w:t>
            </w:r>
            <w:r w:rsidRPr="00622F6C">
              <w:rPr>
                <w:rFonts w:ascii="Times New Roman" w:hAnsi="Times New Roman" w:cs="Times New Roman"/>
                <w:sz w:val="20"/>
                <w:szCs w:val="20"/>
                <w:lang w:val="en-US"/>
              </w:rPr>
              <w:t>)</w:t>
            </w:r>
          </w:p>
        </w:tc>
        <w:tc>
          <w:tcPr>
            <w:tcW w:w="534" w:type="pct"/>
            <w:gridSpan w:val="2"/>
            <w:tcBorders>
              <w:top w:val="nil"/>
              <w:bottom w:val="nil"/>
            </w:tcBorders>
          </w:tcPr>
          <w:p w14:paraId="6DA6F9E2"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39CD4571"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12EDE11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1.816</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p w14:paraId="4AE0C516" w14:textId="35298594" w:rsidR="006345CE" w:rsidRPr="00622F6C" w:rsidRDefault="009547F0"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(3.67</w:t>
            </w:r>
            <w:r w:rsidR="006345CE" w:rsidRPr="00622F6C">
              <w:rPr>
                <w:rFonts w:ascii="Times New Roman" w:hAnsi="Times New Roman" w:cs="Times New Roman"/>
                <w:sz w:val="20"/>
                <w:szCs w:val="20"/>
                <w:lang w:val="en-US"/>
              </w:rPr>
              <w:t>)</w:t>
            </w:r>
          </w:p>
        </w:tc>
        <w:tc>
          <w:tcPr>
            <w:tcW w:w="534" w:type="pct"/>
            <w:gridSpan w:val="2"/>
            <w:tcBorders>
              <w:top w:val="nil"/>
              <w:bottom w:val="nil"/>
            </w:tcBorders>
          </w:tcPr>
          <w:p w14:paraId="2BF5AA6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1.856</w:t>
            </w:r>
            <w:r w:rsidRPr="00622F6C">
              <w:rPr>
                <w:rFonts w:ascii="Times New Roman" w:hAnsi="Times New Roman" w:cs="Times New Roman"/>
                <w:sz w:val="20"/>
                <w:szCs w:val="20"/>
                <w:vertAlign w:val="superscript"/>
                <w:lang w:val="en-US"/>
              </w:rPr>
              <w:t>***</w:t>
            </w:r>
          </w:p>
          <w:p w14:paraId="0A96B08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(3.87</w:t>
            </w:r>
            <w:r w:rsidRPr="00622F6C">
              <w:rPr>
                <w:rFonts w:ascii="Times New Roman" w:hAnsi="Times New Roman" w:cs="Times New Roman"/>
                <w:sz w:val="20"/>
                <w:szCs w:val="20"/>
                <w:lang w:val="en-US"/>
              </w:rPr>
              <w:t>)</w:t>
            </w:r>
          </w:p>
        </w:tc>
        <w:tc>
          <w:tcPr>
            <w:tcW w:w="537" w:type="pct"/>
            <w:gridSpan w:val="2"/>
            <w:tcBorders>
              <w:top w:val="nil"/>
              <w:bottom w:val="nil"/>
            </w:tcBorders>
          </w:tcPr>
          <w:p w14:paraId="51FEB14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2.029</w:t>
            </w:r>
            <w:r w:rsidRPr="00622F6C">
              <w:rPr>
                <w:rFonts w:ascii="Times New Roman" w:hAnsi="Times New Roman" w:cs="Times New Roman"/>
                <w:sz w:val="20"/>
                <w:szCs w:val="20"/>
                <w:vertAlign w:val="superscript"/>
                <w:lang w:val="en-US"/>
              </w:rPr>
              <w:t>***</w:t>
            </w:r>
          </w:p>
          <w:p w14:paraId="32E3341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(3.82</w:t>
            </w:r>
            <w:r w:rsidRPr="00622F6C">
              <w:rPr>
                <w:rFonts w:ascii="Times New Roman" w:hAnsi="Times New Roman" w:cs="Times New Roman"/>
                <w:sz w:val="20"/>
                <w:szCs w:val="20"/>
                <w:lang w:val="en-US"/>
              </w:rPr>
              <w:t>)</w:t>
            </w:r>
          </w:p>
        </w:tc>
        <w:tc>
          <w:tcPr>
            <w:tcW w:w="535" w:type="pct"/>
            <w:tcBorders>
              <w:top w:val="nil"/>
              <w:bottom w:val="nil"/>
            </w:tcBorders>
          </w:tcPr>
          <w:p w14:paraId="51529E57" w14:textId="77777777" w:rsidR="006345CE" w:rsidRPr="00622F6C" w:rsidRDefault="006345CE" w:rsidP="008D6255">
            <w:pPr>
              <w:jc w:val="center"/>
              <w:rPr>
                <w:rFonts w:ascii="Times New Roman" w:hAnsi="Times New Roman" w:cs="Times New Roman"/>
                <w:sz w:val="20"/>
                <w:szCs w:val="20"/>
                <w:vertAlign w:val="superscript"/>
                <w:lang w:val="en-US"/>
              </w:rPr>
            </w:pPr>
            <w:r>
              <w:rPr>
                <w:rFonts w:ascii="Times New Roman" w:hAnsi="Times New Roman" w:cs="Times New Roman"/>
                <w:sz w:val="20"/>
                <w:szCs w:val="20"/>
                <w:lang w:val="en-US"/>
              </w:rPr>
              <w:t>2.223</w:t>
            </w:r>
            <w:r w:rsidRPr="00622F6C">
              <w:rPr>
                <w:rFonts w:ascii="Times New Roman" w:hAnsi="Times New Roman" w:cs="Times New Roman"/>
                <w:sz w:val="20"/>
                <w:szCs w:val="20"/>
                <w:vertAlign w:val="superscript"/>
                <w:lang w:val="en-US"/>
              </w:rPr>
              <w:t>***</w:t>
            </w:r>
          </w:p>
          <w:p w14:paraId="699141BA"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(3.40</w:t>
            </w:r>
            <w:r w:rsidRPr="00622F6C">
              <w:rPr>
                <w:rFonts w:ascii="Times New Roman" w:hAnsi="Times New Roman" w:cs="Times New Roman"/>
                <w:sz w:val="20"/>
                <w:szCs w:val="20"/>
                <w:lang w:val="en-US"/>
              </w:rPr>
              <w:t>)</w:t>
            </w:r>
          </w:p>
        </w:tc>
      </w:tr>
      <w:tr w:rsidR="006345CE" w:rsidRPr="00622F6C" w14:paraId="3015F62E" w14:textId="77777777" w:rsidTr="00955DFE">
        <w:tc>
          <w:tcPr>
            <w:tcW w:w="1258" w:type="pct"/>
            <w:tcBorders>
              <w:top w:val="nil"/>
              <w:bottom w:val="nil"/>
            </w:tcBorders>
          </w:tcPr>
          <w:p w14:paraId="23D9C6A5" w14:textId="77777777" w:rsidR="006345CE" w:rsidRPr="00622F6C"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t xml:space="preserve">Composite </w:t>
            </w:r>
            <w:r w:rsidR="006345CE">
              <w:rPr>
                <w:rFonts w:ascii="Times New Roman" w:hAnsi="Times New Roman" w:cs="Times New Roman"/>
                <w:sz w:val="20"/>
                <w:szCs w:val="20"/>
                <w:lang w:val="en-US"/>
              </w:rPr>
              <w:t>Industry Slavery Risk (0/1)</w:t>
            </w:r>
          </w:p>
        </w:tc>
        <w:tc>
          <w:tcPr>
            <w:tcW w:w="535" w:type="pct"/>
            <w:tcBorders>
              <w:top w:val="nil"/>
              <w:bottom w:val="nil"/>
            </w:tcBorders>
          </w:tcPr>
          <w:p w14:paraId="74A675F0"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31077BC3" w14:textId="77777777" w:rsidR="006345CE"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2.006</w:t>
            </w:r>
            <w:r w:rsidRPr="003C440A">
              <w:rPr>
                <w:rFonts w:ascii="Times New Roman" w:hAnsi="Times New Roman" w:cs="Times New Roman"/>
                <w:sz w:val="20"/>
                <w:szCs w:val="20"/>
                <w:vertAlign w:val="superscript"/>
                <w:lang w:val="en-US"/>
              </w:rPr>
              <w:t>***</w:t>
            </w:r>
          </w:p>
          <w:p w14:paraId="0723C02F" w14:textId="77777777" w:rsidR="003C440A"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(3.47)</w:t>
            </w:r>
          </w:p>
        </w:tc>
        <w:tc>
          <w:tcPr>
            <w:tcW w:w="534" w:type="pct"/>
            <w:gridSpan w:val="2"/>
            <w:tcBorders>
              <w:top w:val="nil"/>
              <w:bottom w:val="nil"/>
            </w:tcBorders>
          </w:tcPr>
          <w:p w14:paraId="01908479" w14:textId="77777777" w:rsidR="006345CE"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2.840</w:t>
            </w:r>
            <w:r w:rsidRPr="003C440A">
              <w:rPr>
                <w:rFonts w:ascii="Times New Roman" w:hAnsi="Times New Roman" w:cs="Times New Roman"/>
                <w:sz w:val="20"/>
                <w:szCs w:val="20"/>
                <w:vertAlign w:val="superscript"/>
                <w:lang w:val="en-US"/>
              </w:rPr>
              <w:t>**</w:t>
            </w:r>
          </w:p>
          <w:p w14:paraId="2036CEAE" w14:textId="77777777" w:rsidR="003C440A"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(2.50)</w:t>
            </w:r>
          </w:p>
        </w:tc>
        <w:tc>
          <w:tcPr>
            <w:tcW w:w="534" w:type="pct"/>
            <w:gridSpan w:val="2"/>
            <w:tcBorders>
              <w:top w:val="nil"/>
              <w:bottom w:val="nil"/>
            </w:tcBorders>
          </w:tcPr>
          <w:p w14:paraId="71A3AFF1"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nil"/>
            </w:tcBorders>
          </w:tcPr>
          <w:p w14:paraId="2FA1A7E0" w14:textId="77777777" w:rsidR="006345CE" w:rsidRDefault="006345CE" w:rsidP="008D6255">
            <w:pPr>
              <w:jc w:val="center"/>
              <w:rPr>
                <w:rFonts w:ascii="Times New Roman" w:hAnsi="Times New Roman" w:cs="Times New Roman"/>
                <w:sz w:val="20"/>
                <w:szCs w:val="20"/>
                <w:lang w:val="en-US"/>
              </w:rPr>
            </w:pPr>
          </w:p>
        </w:tc>
        <w:tc>
          <w:tcPr>
            <w:tcW w:w="537" w:type="pct"/>
            <w:gridSpan w:val="2"/>
            <w:tcBorders>
              <w:top w:val="nil"/>
              <w:bottom w:val="nil"/>
            </w:tcBorders>
          </w:tcPr>
          <w:p w14:paraId="67B20D38" w14:textId="77777777" w:rsidR="006345CE" w:rsidRDefault="006345CE" w:rsidP="008D6255">
            <w:pPr>
              <w:jc w:val="center"/>
              <w:rPr>
                <w:rFonts w:ascii="Times New Roman" w:hAnsi="Times New Roman" w:cs="Times New Roman"/>
                <w:sz w:val="20"/>
                <w:szCs w:val="20"/>
                <w:lang w:val="en-US"/>
              </w:rPr>
            </w:pPr>
          </w:p>
        </w:tc>
        <w:tc>
          <w:tcPr>
            <w:tcW w:w="535" w:type="pct"/>
            <w:tcBorders>
              <w:top w:val="nil"/>
              <w:bottom w:val="nil"/>
            </w:tcBorders>
          </w:tcPr>
          <w:p w14:paraId="34B21D2C" w14:textId="77777777" w:rsidR="006345CE" w:rsidRDefault="006345CE" w:rsidP="008D6255">
            <w:pPr>
              <w:jc w:val="center"/>
              <w:rPr>
                <w:rFonts w:ascii="Times New Roman" w:hAnsi="Times New Roman" w:cs="Times New Roman"/>
                <w:sz w:val="20"/>
                <w:szCs w:val="20"/>
                <w:lang w:val="en-US"/>
              </w:rPr>
            </w:pPr>
          </w:p>
        </w:tc>
      </w:tr>
      <w:tr w:rsidR="006345CE" w:rsidRPr="00622F6C" w14:paraId="2FA55B2D" w14:textId="77777777" w:rsidTr="00955DFE">
        <w:tc>
          <w:tcPr>
            <w:tcW w:w="1258" w:type="pct"/>
            <w:tcBorders>
              <w:top w:val="nil"/>
              <w:bottom w:val="single" w:sz="4" w:space="0" w:color="auto"/>
            </w:tcBorders>
          </w:tcPr>
          <w:p w14:paraId="55920A57" w14:textId="77777777" w:rsidR="003C440A"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t xml:space="preserve">Composite </w:t>
            </w:r>
            <w:r w:rsidR="006345CE">
              <w:rPr>
                <w:rFonts w:ascii="Times New Roman" w:hAnsi="Times New Roman" w:cs="Times New Roman"/>
                <w:sz w:val="20"/>
                <w:szCs w:val="20"/>
                <w:lang w:val="en-US"/>
              </w:rPr>
              <w:t xml:space="preserve">Firm Slavery Risk </w:t>
            </w:r>
            <w:r w:rsidR="00960B2D">
              <w:rPr>
                <w:rFonts w:ascii="Times New Roman" w:hAnsi="Times New Roman" w:cs="Times New Roman"/>
                <w:sz w:val="20"/>
                <w:szCs w:val="20"/>
                <w:lang w:val="en-US"/>
              </w:rPr>
              <w:t>(0/1)</w:t>
            </w:r>
          </w:p>
          <w:p w14:paraId="5EA39E52" w14:textId="77777777" w:rsidR="006345CE" w:rsidRDefault="006254F4" w:rsidP="008D6255">
            <w:pPr>
              <w:rPr>
                <w:rFonts w:ascii="Times New Roman" w:hAnsi="Times New Roman" w:cs="Times New Roman"/>
                <w:sz w:val="20"/>
                <w:szCs w:val="20"/>
                <w:lang w:val="en-US"/>
              </w:rPr>
            </w:pPr>
            <m:oMath>
              <m:r>
                <w:rPr>
                  <w:rFonts w:ascii="Cambria Math" w:hAnsi="Cambria Math"/>
                  <w:sz w:val="20"/>
                  <w:szCs w:val="20"/>
                </w:rPr>
                <m:t>×</m:t>
              </m:r>
            </m:oMath>
            <w:r>
              <w:rPr>
                <w:rFonts w:ascii="Times New Roman" w:hAnsi="Times New Roman" w:cs="Times New Roman"/>
                <w:sz w:val="20"/>
                <w:szCs w:val="20"/>
                <w:lang w:val="en-US"/>
              </w:rPr>
              <w:t xml:space="preserve"> </w:t>
            </w:r>
            <w:r w:rsidR="00B009C2">
              <w:rPr>
                <w:rFonts w:ascii="Times New Roman" w:hAnsi="Times New Roman" w:cs="Times New Roman"/>
                <w:sz w:val="20"/>
                <w:szCs w:val="20"/>
                <w:lang w:val="en-US"/>
              </w:rPr>
              <w:t xml:space="preserve">Composite </w:t>
            </w:r>
            <w:r w:rsidR="006345CE">
              <w:rPr>
                <w:rFonts w:ascii="Times New Roman" w:hAnsi="Times New Roman" w:cs="Times New Roman"/>
                <w:sz w:val="20"/>
                <w:szCs w:val="20"/>
                <w:lang w:val="en-US"/>
              </w:rPr>
              <w:t>Industry Slavery Risk (0/1)</w:t>
            </w:r>
          </w:p>
        </w:tc>
        <w:tc>
          <w:tcPr>
            <w:tcW w:w="535" w:type="pct"/>
            <w:tcBorders>
              <w:top w:val="nil"/>
              <w:bottom w:val="single" w:sz="4" w:space="0" w:color="auto"/>
            </w:tcBorders>
          </w:tcPr>
          <w:p w14:paraId="45FD8D26"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single" w:sz="4" w:space="0" w:color="auto"/>
            </w:tcBorders>
          </w:tcPr>
          <w:p w14:paraId="2B1CD115" w14:textId="77777777" w:rsidR="006345CE" w:rsidRPr="00622F6C" w:rsidRDefault="006345CE" w:rsidP="008D6255">
            <w:pPr>
              <w:jc w:val="center"/>
              <w:rPr>
                <w:rFonts w:ascii="Times New Roman" w:hAnsi="Times New Roman" w:cs="Times New Roman"/>
                <w:sz w:val="20"/>
                <w:szCs w:val="20"/>
                <w:lang w:val="en-US"/>
              </w:rPr>
            </w:pPr>
          </w:p>
        </w:tc>
        <w:tc>
          <w:tcPr>
            <w:tcW w:w="534" w:type="pct"/>
            <w:gridSpan w:val="2"/>
            <w:tcBorders>
              <w:top w:val="nil"/>
              <w:bottom w:val="single" w:sz="4" w:space="0" w:color="auto"/>
            </w:tcBorders>
          </w:tcPr>
          <w:p w14:paraId="0B8DEA26" w14:textId="77777777" w:rsidR="003C440A" w:rsidRPr="00622F6C" w:rsidRDefault="003C440A" w:rsidP="003C440A">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1.966</w:t>
            </w:r>
          </w:p>
          <w:p w14:paraId="5E5C6D46" w14:textId="77777777" w:rsidR="006345CE" w:rsidRDefault="003C440A" w:rsidP="003C440A">
            <w:pPr>
              <w:jc w:val="center"/>
              <w:rPr>
                <w:rFonts w:ascii="Times New Roman" w:hAnsi="Times New Roman" w:cs="Times New Roman"/>
                <w:sz w:val="20"/>
                <w:szCs w:val="20"/>
                <w:lang w:val="en-US"/>
              </w:rPr>
            </w:pPr>
            <w:r>
              <w:rPr>
                <w:rFonts w:ascii="Times New Roman" w:hAnsi="Times New Roman" w:cs="Times New Roman"/>
                <w:sz w:val="20"/>
                <w:szCs w:val="20"/>
                <w:lang w:val="en-US"/>
              </w:rPr>
              <w:t>(−0.70</w:t>
            </w:r>
            <w:r w:rsidRPr="00622F6C">
              <w:rPr>
                <w:rFonts w:ascii="Times New Roman" w:hAnsi="Times New Roman" w:cs="Times New Roman"/>
                <w:sz w:val="20"/>
                <w:szCs w:val="20"/>
                <w:lang w:val="en-US"/>
              </w:rPr>
              <w:t>)</w:t>
            </w:r>
          </w:p>
        </w:tc>
        <w:tc>
          <w:tcPr>
            <w:tcW w:w="534" w:type="pct"/>
            <w:gridSpan w:val="2"/>
            <w:tcBorders>
              <w:top w:val="nil"/>
              <w:bottom w:val="single" w:sz="4" w:space="0" w:color="auto"/>
            </w:tcBorders>
          </w:tcPr>
          <w:p w14:paraId="1AD8FC7C" w14:textId="77777777" w:rsidR="006345CE" w:rsidRDefault="006345CE" w:rsidP="008D6255">
            <w:pPr>
              <w:jc w:val="center"/>
              <w:rPr>
                <w:rFonts w:ascii="Times New Roman" w:hAnsi="Times New Roman" w:cs="Times New Roman"/>
                <w:sz w:val="20"/>
                <w:szCs w:val="20"/>
                <w:lang w:val="en-US"/>
              </w:rPr>
            </w:pPr>
          </w:p>
        </w:tc>
        <w:tc>
          <w:tcPr>
            <w:tcW w:w="534" w:type="pct"/>
            <w:gridSpan w:val="2"/>
            <w:tcBorders>
              <w:top w:val="nil"/>
              <w:bottom w:val="single" w:sz="4" w:space="0" w:color="auto"/>
            </w:tcBorders>
          </w:tcPr>
          <w:p w14:paraId="115AE3A9" w14:textId="77777777" w:rsidR="006345CE" w:rsidRDefault="006345CE" w:rsidP="008D6255">
            <w:pPr>
              <w:jc w:val="center"/>
              <w:rPr>
                <w:rFonts w:ascii="Times New Roman" w:hAnsi="Times New Roman" w:cs="Times New Roman"/>
                <w:sz w:val="20"/>
                <w:szCs w:val="20"/>
                <w:lang w:val="en-US"/>
              </w:rPr>
            </w:pPr>
          </w:p>
        </w:tc>
        <w:tc>
          <w:tcPr>
            <w:tcW w:w="537" w:type="pct"/>
            <w:gridSpan w:val="2"/>
            <w:tcBorders>
              <w:top w:val="nil"/>
              <w:bottom w:val="single" w:sz="4" w:space="0" w:color="auto"/>
            </w:tcBorders>
          </w:tcPr>
          <w:p w14:paraId="66DC903A" w14:textId="77777777" w:rsidR="006345CE" w:rsidRDefault="006345CE" w:rsidP="008D6255">
            <w:pPr>
              <w:jc w:val="center"/>
              <w:rPr>
                <w:rFonts w:ascii="Times New Roman" w:hAnsi="Times New Roman" w:cs="Times New Roman"/>
                <w:sz w:val="20"/>
                <w:szCs w:val="20"/>
                <w:lang w:val="en-US"/>
              </w:rPr>
            </w:pPr>
          </w:p>
        </w:tc>
        <w:tc>
          <w:tcPr>
            <w:tcW w:w="535" w:type="pct"/>
            <w:tcBorders>
              <w:top w:val="nil"/>
              <w:bottom w:val="single" w:sz="4" w:space="0" w:color="auto"/>
            </w:tcBorders>
          </w:tcPr>
          <w:p w14:paraId="3695E600" w14:textId="77777777" w:rsidR="006345CE" w:rsidRDefault="006345CE" w:rsidP="008D6255">
            <w:pPr>
              <w:jc w:val="center"/>
              <w:rPr>
                <w:rFonts w:ascii="Times New Roman" w:hAnsi="Times New Roman" w:cs="Times New Roman"/>
                <w:sz w:val="20"/>
                <w:szCs w:val="20"/>
                <w:lang w:val="en-US"/>
              </w:rPr>
            </w:pPr>
          </w:p>
        </w:tc>
      </w:tr>
    </w:tbl>
    <w:p w14:paraId="75A7AAA1" w14:textId="77777777" w:rsidR="008D6255" w:rsidRPr="00622F6C" w:rsidRDefault="008D6255" w:rsidP="008D6255">
      <w:pPr>
        <w:rPr>
          <w:lang w:val="en-US"/>
        </w:rPr>
      </w:pPr>
      <w:r w:rsidRPr="00622F6C">
        <w:rPr>
          <w:lang w:val="en-US"/>
        </w:rPr>
        <w:br w:type="page"/>
      </w:r>
    </w:p>
    <w:p w14:paraId="3C49E829" w14:textId="6A1F8F80" w:rsidR="008D6255" w:rsidRPr="00622F6C" w:rsidRDefault="008D6255" w:rsidP="008D6255">
      <w:pPr>
        <w:jc w:val="both"/>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Table 5 (</w:t>
      </w:r>
      <w:r w:rsidR="00D30177">
        <w:rPr>
          <w:rFonts w:ascii="Times New Roman" w:hAnsi="Times New Roman" w:cs="Times New Roman"/>
          <w:b/>
          <w:sz w:val="20"/>
          <w:szCs w:val="20"/>
          <w:lang w:val="en-US"/>
        </w:rPr>
        <w:t>c</w:t>
      </w:r>
      <w:r w:rsidRPr="00622F6C">
        <w:rPr>
          <w:rFonts w:ascii="Times New Roman" w:hAnsi="Times New Roman" w:cs="Times New Roman"/>
          <w:b/>
          <w:sz w:val="20"/>
          <w:szCs w:val="20"/>
          <w:lang w:val="en-US"/>
        </w:rPr>
        <w:t>ontinued)</w:t>
      </w:r>
    </w:p>
    <w:tbl>
      <w:tblPr>
        <w:tblStyle w:val="TableGrid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542"/>
        <w:gridCol w:w="1541"/>
        <w:gridCol w:w="1541"/>
        <w:gridCol w:w="1544"/>
        <w:gridCol w:w="1541"/>
        <w:gridCol w:w="1541"/>
        <w:gridCol w:w="1544"/>
      </w:tblGrid>
      <w:tr w:rsidR="006345CE" w:rsidRPr="00622F6C" w14:paraId="1CFB03CE" w14:textId="77777777" w:rsidTr="001067E7">
        <w:tc>
          <w:tcPr>
            <w:tcW w:w="1133" w:type="pct"/>
            <w:tcBorders>
              <w:top w:val="single" w:sz="4" w:space="0" w:color="auto"/>
              <w:bottom w:val="nil"/>
            </w:tcBorders>
          </w:tcPr>
          <w:p w14:paraId="7A5C4887"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Average Industry EBIT</w:t>
            </w:r>
          </w:p>
        </w:tc>
        <w:tc>
          <w:tcPr>
            <w:tcW w:w="552" w:type="pct"/>
            <w:tcBorders>
              <w:top w:val="single" w:sz="4" w:space="0" w:color="auto"/>
              <w:bottom w:val="nil"/>
            </w:tcBorders>
          </w:tcPr>
          <w:p w14:paraId="415768DD"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single" w:sz="4" w:space="0" w:color="auto"/>
              <w:bottom w:val="nil"/>
            </w:tcBorders>
          </w:tcPr>
          <w:p w14:paraId="515ED002"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single" w:sz="4" w:space="0" w:color="auto"/>
              <w:bottom w:val="nil"/>
            </w:tcBorders>
          </w:tcPr>
          <w:p w14:paraId="3D5EC1E1" w14:textId="77777777" w:rsidR="006345CE" w:rsidRPr="00622F6C" w:rsidRDefault="006345CE" w:rsidP="006345CE">
            <w:pPr>
              <w:jc w:val="center"/>
              <w:rPr>
                <w:rFonts w:ascii="Times New Roman" w:hAnsi="Times New Roman" w:cs="Times New Roman"/>
                <w:sz w:val="20"/>
                <w:szCs w:val="20"/>
                <w:lang w:val="en-US"/>
              </w:rPr>
            </w:pPr>
          </w:p>
        </w:tc>
        <w:tc>
          <w:tcPr>
            <w:tcW w:w="553" w:type="pct"/>
            <w:tcBorders>
              <w:top w:val="single" w:sz="4" w:space="0" w:color="auto"/>
              <w:bottom w:val="nil"/>
            </w:tcBorders>
          </w:tcPr>
          <w:p w14:paraId="7740B6D1" w14:textId="77777777" w:rsidR="006345CE" w:rsidRPr="00622F6C" w:rsidRDefault="006345CE" w:rsidP="006345C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0.663</w:t>
            </w:r>
          </w:p>
          <w:p w14:paraId="08B26737" w14:textId="77777777" w:rsidR="006345CE" w:rsidRPr="00622F6C" w:rsidRDefault="006345CE" w:rsidP="006345CE">
            <w:pPr>
              <w:jc w:val="center"/>
              <w:rPr>
                <w:rFonts w:ascii="Times New Roman" w:hAnsi="Times New Roman" w:cs="Times New Roman"/>
                <w:sz w:val="20"/>
                <w:szCs w:val="20"/>
                <w:lang w:val="en-US"/>
              </w:rPr>
            </w:pPr>
            <w:r>
              <w:rPr>
                <w:rFonts w:ascii="Times New Roman" w:hAnsi="Times New Roman" w:cs="Times New Roman"/>
                <w:sz w:val="20"/>
                <w:szCs w:val="20"/>
                <w:lang w:val="en-US"/>
              </w:rPr>
              <w:t>(−0.13</w:t>
            </w:r>
            <w:r w:rsidRPr="00622F6C">
              <w:rPr>
                <w:rFonts w:ascii="Times New Roman" w:hAnsi="Times New Roman" w:cs="Times New Roman"/>
                <w:sz w:val="20"/>
                <w:szCs w:val="20"/>
                <w:lang w:val="en-US"/>
              </w:rPr>
              <w:t>)</w:t>
            </w:r>
          </w:p>
        </w:tc>
        <w:tc>
          <w:tcPr>
            <w:tcW w:w="552" w:type="pct"/>
            <w:tcBorders>
              <w:top w:val="single" w:sz="4" w:space="0" w:color="auto"/>
              <w:bottom w:val="nil"/>
            </w:tcBorders>
          </w:tcPr>
          <w:p w14:paraId="3F2E630D" w14:textId="77777777" w:rsidR="006345CE" w:rsidRPr="00622F6C" w:rsidRDefault="006345CE" w:rsidP="006345CE">
            <w:pPr>
              <w:jc w:val="center"/>
              <w:rPr>
                <w:rFonts w:ascii="Times New Roman" w:hAnsi="Times New Roman" w:cs="Times New Roman"/>
                <w:sz w:val="20"/>
                <w:szCs w:val="20"/>
                <w:lang w:val="en-US"/>
              </w:rPr>
            </w:pPr>
          </w:p>
        </w:tc>
        <w:tc>
          <w:tcPr>
            <w:tcW w:w="552" w:type="pct"/>
            <w:tcBorders>
              <w:top w:val="single" w:sz="4" w:space="0" w:color="auto"/>
              <w:bottom w:val="nil"/>
            </w:tcBorders>
          </w:tcPr>
          <w:p w14:paraId="719ABACB"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single" w:sz="4" w:space="0" w:color="auto"/>
              <w:bottom w:val="nil"/>
            </w:tcBorders>
          </w:tcPr>
          <w:p w14:paraId="57FCEC1D" w14:textId="77777777" w:rsidR="006345CE" w:rsidRPr="00622F6C" w:rsidRDefault="006345CE" w:rsidP="008D6255">
            <w:pPr>
              <w:jc w:val="center"/>
              <w:rPr>
                <w:rFonts w:ascii="Times New Roman" w:hAnsi="Times New Roman" w:cs="Times New Roman"/>
                <w:sz w:val="20"/>
                <w:szCs w:val="20"/>
                <w:lang w:val="en-US"/>
              </w:rPr>
            </w:pPr>
          </w:p>
        </w:tc>
      </w:tr>
      <w:tr w:rsidR="006345CE" w:rsidRPr="00622F6C" w14:paraId="64319FF7" w14:textId="77777777" w:rsidTr="003C440A">
        <w:tc>
          <w:tcPr>
            <w:tcW w:w="1133" w:type="pct"/>
            <w:tcBorders>
              <w:top w:val="nil"/>
              <w:bottom w:val="nil"/>
            </w:tcBorders>
          </w:tcPr>
          <w:p w14:paraId="64CDC58F"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Leverage</w:t>
            </w:r>
          </w:p>
        </w:tc>
        <w:tc>
          <w:tcPr>
            <w:tcW w:w="552" w:type="pct"/>
            <w:tcBorders>
              <w:top w:val="nil"/>
              <w:bottom w:val="nil"/>
            </w:tcBorders>
          </w:tcPr>
          <w:p w14:paraId="4520E2FA"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19B07D78"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22CA269C" w14:textId="77777777" w:rsidR="006345CE" w:rsidRDefault="006345CE" w:rsidP="001613A0">
            <w:pPr>
              <w:jc w:val="center"/>
              <w:rPr>
                <w:rFonts w:ascii="Times New Roman" w:hAnsi="Times New Roman" w:cs="Times New Roman"/>
                <w:sz w:val="20"/>
                <w:szCs w:val="20"/>
                <w:lang w:val="en-US"/>
              </w:rPr>
            </w:pPr>
          </w:p>
        </w:tc>
        <w:tc>
          <w:tcPr>
            <w:tcW w:w="553" w:type="pct"/>
            <w:tcBorders>
              <w:top w:val="nil"/>
              <w:bottom w:val="nil"/>
            </w:tcBorders>
          </w:tcPr>
          <w:p w14:paraId="4037E31F" w14:textId="77777777" w:rsidR="006345CE" w:rsidRPr="00622F6C" w:rsidRDefault="006345CE" w:rsidP="001613A0">
            <w:pPr>
              <w:jc w:val="center"/>
              <w:rPr>
                <w:rFonts w:ascii="Times New Roman" w:hAnsi="Times New Roman" w:cs="Times New Roman"/>
                <w:sz w:val="20"/>
                <w:szCs w:val="20"/>
                <w:lang w:val="en-US"/>
              </w:rPr>
            </w:pPr>
            <w:r>
              <w:rPr>
                <w:rFonts w:ascii="Times New Roman" w:hAnsi="Times New Roman" w:cs="Times New Roman"/>
                <w:sz w:val="20"/>
                <w:szCs w:val="20"/>
                <w:lang w:val="en-US"/>
              </w:rPr>
              <w:t>2.673</w:t>
            </w:r>
          </w:p>
          <w:p w14:paraId="3B10FBCC" w14:textId="77777777" w:rsidR="006345CE" w:rsidRPr="00622F6C" w:rsidRDefault="006345CE" w:rsidP="001613A0">
            <w:pPr>
              <w:jc w:val="center"/>
              <w:rPr>
                <w:rFonts w:ascii="Times New Roman" w:hAnsi="Times New Roman" w:cs="Times New Roman"/>
                <w:sz w:val="20"/>
                <w:szCs w:val="20"/>
                <w:lang w:val="en-US"/>
              </w:rPr>
            </w:pPr>
            <w:r>
              <w:rPr>
                <w:rFonts w:ascii="Times New Roman" w:hAnsi="Times New Roman" w:cs="Times New Roman"/>
                <w:sz w:val="20"/>
                <w:szCs w:val="20"/>
                <w:lang w:val="en-US"/>
              </w:rPr>
              <w:t>(1.23</w:t>
            </w:r>
            <w:r w:rsidRPr="00622F6C">
              <w:rPr>
                <w:rFonts w:ascii="Times New Roman" w:hAnsi="Times New Roman" w:cs="Times New Roman"/>
                <w:sz w:val="20"/>
                <w:szCs w:val="20"/>
                <w:lang w:val="en-US"/>
              </w:rPr>
              <w:t>)</w:t>
            </w:r>
          </w:p>
        </w:tc>
        <w:tc>
          <w:tcPr>
            <w:tcW w:w="552" w:type="pct"/>
            <w:tcBorders>
              <w:top w:val="nil"/>
              <w:bottom w:val="nil"/>
            </w:tcBorders>
          </w:tcPr>
          <w:p w14:paraId="15988B4B"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182468FB"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47DC2985" w14:textId="77777777" w:rsidR="006345CE" w:rsidRPr="00622F6C" w:rsidRDefault="006345CE" w:rsidP="008D6255">
            <w:pPr>
              <w:jc w:val="center"/>
              <w:rPr>
                <w:rFonts w:ascii="Times New Roman" w:hAnsi="Times New Roman" w:cs="Times New Roman"/>
                <w:sz w:val="20"/>
                <w:szCs w:val="20"/>
                <w:lang w:val="en-US"/>
              </w:rPr>
            </w:pPr>
          </w:p>
        </w:tc>
      </w:tr>
      <w:tr w:rsidR="006345CE" w:rsidRPr="00622F6C" w14:paraId="59395A11" w14:textId="77777777" w:rsidTr="003C440A">
        <w:tc>
          <w:tcPr>
            <w:tcW w:w="1133" w:type="pct"/>
            <w:tcBorders>
              <w:top w:val="nil"/>
              <w:bottom w:val="nil"/>
            </w:tcBorders>
          </w:tcPr>
          <w:p w14:paraId="5ED2BFF6"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Market to Book</w:t>
            </w:r>
          </w:p>
        </w:tc>
        <w:tc>
          <w:tcPr>
            <w:tcW w:w="552" w:type="pct"/>
            <w:tcBorders>
              <w:top w:val="nil"/>
              <w:bottom w:val="nil"/>
            </w:tcBorders>
          </w:tcPr>
          <w:p w14:paraId="561B3C86"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6DEDB9B1"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53F9B369" w14:textId="77777777" w:rsidR="006345CE" w:rsidRPr="00622F6C" w:rsidRDefault="006345CE" w:rsidP="006345CE">
            <w:pPr>
              <w:jc w:val="center"/>
              <w:rPr>
                <w:rFonts w:ascii="Times New Roman" w:hAnsi="Times New Roman" w:cs="Times New Roman"/>
                <w:sz w:val="20"/>
                <w:szCs w:val="20"/>
                <w:lang w:val="en-US"/>
              </w:rPr>
            </w:pPr>
          </w:p>
        </w:tc>
        <w:tc>
          <w:tcPr>
            <w:tcW w:w="553" w:type="pct"/>
            <w:tcBorders>
              <w:top w:val="nil"/>
              <w:bottom w:val="nil"/>
            </w:tcBorders>
          </w:tcPr>
          <w:p w14:paraId="2D64A394" w14:textId="77777777" w:rsidR="006345CE" w:rsidRPr="00622F6C" w:rsidRDefault="006345CE" w:rsidP="006345CE">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0.006</w:t>
            </w:r>
          </w:p>
          <w:p w14:paraId="08E435D7" w14:textId="77777777" w:rsidR="006345CE" w:rsidRPr="00622F6C" w:rsidRDefault="006345CE" w:rsidP="006345CE">
            <w:pPr>
              <w:jc w:val="center"/>
              <w:rPr>
                <w:rFonts w:ascii="Times New Roman" w:hAnsi="Times New Roman" w:cs="Times New Roman"/>
                <w:sz w:val="20"/>
                <w:szCs w:val="20"/>
                <w:lang w:val="en-US"/>
              </w:rPr>
            </w:pPr>
            <w:r>
              <w:rPr>
                <w:rFonts w:ascii="Times New Roman" w:hAnsi="Times New Roman" w:cs="Times New Roman"/>
                <w:sz w:val="20"/>
                <w:szCs w:val="20"/>
                <w:lang w:val="en-US"/>
              </w:rPr>
              <w:t>(−0.14</w:t>
            </w:r>
            <w:r w:rsidRPr="00622F6C">
              <w:rPr>
                <w:rFonts w:ascii="Times New Roman" w:hAnsi="Times New Roman" w:cs="Times New Roman"/>
                <w:sz w:val="20"/>
                <w:szCs w:val="20"/>
                <w:lang w:val="en-US"/>
              </w:rPr>
              <w:t>)</w:t>
            </w:r>
          </w:p>
        </w:tc>
        <w:tc>
          <w:tcPr>
            <w:tcW w:w="552" w:type="pct"/>
            <w:tcBorders>
              <w:top w:val="nil"/>
              <w:bottom w:val="nil"/>
            </w:tcBorders>
          </w:tcPr>
          <w:p w14:paraId="35F2411D"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29B8BE5E"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2F6BE4E8" w14:textId="77777777" w:rsidR="006345CE" w:rsidRPr="00622F6C" w:rsidRDefault="006345CE" w:rsidP="008D6255">
            <w:pPr>
              <w:jc w:val="center"/>
              <w:rPr>
                <w:rFonts w:ascii="Times New Roman" w:hAnsi="Times New Roman" w:cs="Times New Roman"/>
                <w:sz w:val="20"/>
                <w:szCs w:val="20"/>
                <w:lang w:val="en-US"/>
              </w:rPr>
            </w:pPr>
          </w:p>
        </w:tc>
      </w:tr>
      <w:tr w:rsidR="006345CE" w:rsidRPr="00622F6C" w14:paraId="3927DA9B" w14:textId="77777777" w:rsidTr="003C440A">
        <w:tc>
          <w:tcPr>
            <w:tcW w:w="1133" w:type="pct"/>
            <w:tcBorders>
              <w:top w:val="nil"/>
              <w:bottom w:val="nil"/>
            </w:tcBorders>
          </w:tcPr>
          <w:p w14:paraId="08412A73"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CSR Performance</w:t>
            </w:r>
          </w:p>
        </w:tc>
        <w:tc>
          <w:tcPr>
            <w:tcW w:w="552" w:type="pct"/>
            <w:tcBorders>
              <w:top w:val="nil"/>
              <w:bottom w:val="nil"/>
            </w:tcBorders>
          </w:tcPr>
          <w:p w14:paraId="47064350"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56511D1E"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00D6E590"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4F317ABC"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383E6BB2" w14:textId="77777777" w:rsidR="006345CE" w:rsidRDefault="006345CE" w:rsidP="00C84F02">
            <w:pPr>
              <w:jc w:val="center"/>
              <w:rPr>
                <w:rFonts w:ascii="Times New Roman" w:hAnsi="Times New Roman" w:cs="Times New Roman"/>
                <w:sz w:val="20"/>
                <w:szCs w:val="20"/>
                <w:lang w:val="en-US"/>
              </w:rPr>
            </w:pPr>
            <w:r>
              <w:rPr>
                <w:rFonts w:ascii="Times New Roman" w:hAnsi="Times New Roman" w:cs="Times New Roman"/>
                <w:sz w:val="20"/>
                <w:szCs w:val="20"/>
                <w:lang w:val="en-US"/>
              </w:rPr>
              <w:t>0.019</w:t>
            </w:r>
          </w:p>
          <w:p w14:paraId="4DB65219" w14:textId="31D1C71A" w:rsidR="006345CE" w:rsidRPr="00622F6C" w:rsidRDefault="006345CE" w:rsidP="00C84F02">
            <w:pPr>
              <w:jc w:val="center"/>
              <w:rPr>
                <w:rFonts w:ascii="Times New Roman" w:hAnsi="Times New Roman" w:cs="Times New Roman"/>
                <w:sz w:val="20"/>
                <w:szCs w:val="20"/>
                <w:lang w:val="en-US"/>
              </w:rPr>
            </w:pPr>
            <w:r>
              <w:rPr>
                <w:rFonts w:ascii="Times New Roman" w:hAnsi="Times New Roman" w:cs="Times New Roman"/>
                <w:sz w:val="20"/>
                <w:szCs w:val="20"/>
                <w:lang w:val="en-US"/>
              </w:rPr>
              <w:t>(0.77</w:t>
            </w:r>
            <w:r w:rsidR="009B255A">
              <w:rPr>
                <w:rFonts w:ascii="Times New Roman" w:hAnsi="Times New Roman" w:cs="Times New Roman"/>
                <w:sz w:val="20"/>
                <w:szCs w:val="20"/>
                <w:lang w:val="en-US"/>
              </w:rPr>
              <w:t>)</w:t>
            </w:r>
          </w:p>
        </w:tc>
        <w:tc>
          <w:tcPr>
            <w:tcW w:w="552" w:type="pct"/>
            <w:tcBorders>
              <w:top w:val="nil"/>
              <w:bottom w:val="nil"/>
            </w:tcBorders>
          </w:tcPr>
          <w:p w14:paraId="66785907"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31FC5A7A" w14:textId="77777777" w:rsidR="006345CE" w:rsidRPr="00622F6C" w:rsidRDefault="006345CE" w:rsidP="008D6255">
            <w:pPr>
              <w:jc w:val="center"/>
              <w:rPr>
                <w:rFonts w:ascii="Times New Roman" w:hAnsi="Times New Roman" w:cs="Times New Roman"/>
                <w:sz w:val="20"/>
                <w:szCs w:val="20"/>
                <w:lang w:val="en-US"/>
              </w:rPr>
            </w:pPr>
          </w:p>
        </w:tc>
      </w:tr>
      <w:tr w:rsidR="006345CE" w:rsidRPr="00622F6C" w14:paraId="10C5A3FF" w14:textId="77777777" w:rsidTr="003C440A">
        <w:tc>
          <w:tcPr>
            <w:tcW w:w="1133" w:type="pct"/>
            <w:tcBorders>
              <w:top w:val="nil"/>
              <w:bottom w:val="nil"/>
            </w:tcBorders>
          </w:tcPr>
          <w:p w14:paraId="48FA2F72" w14:textId="77777777" w:rsidR="006345CE" w:rsidRPr="00622F6C" w:rsidRDefault="006345CE" w:rsidP="008D6255">
            <w:pPr>
              <w:rPr>
                <w:rFonts w:ascii="Times New Roman" w:hAnsi="Times New Roman" w:cs="Times New Roman"/>
                <w:sz w:val="20"/>
                <w:szCs w:val="20"/>
                <w:lang w:val="en-US"/>
              </w:rPr>
            </w:pPr>
            <w:r>
              <w:rPr>
                <w:rFonts w:ascii="Times New Roman" w:hAnsi="Times New Roman" w:cs="Times New Roman"/>
                <w:sz w:val="20"/>
                <w:szCs w:val="20"/>
                <w:lang w:val="en-US"/>
              </w:rPr>
              <w:t>CSR Controversies</w:t>
            </w:r>
          </w:p>
        </w:tc>
        <w:tc>
          <w:tcPr>
            <w:tcW w:w="552" w:type="pct"/>
            <w:tcBorders>
              <w:top w:val="nil"/>
              <w:bottom w:val="nil"/>
            </w:tcBorders>
          </w:tcPr>
          <w:p w14:paraId="40FAF8AA"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772259D6"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7BDD5CE7"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7641F4FD"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5B607D7A"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1FBA9CFF" w14:textId="77777777" w:rsidR="006345CE" w:rsidRPr="00622F6C" w:rsidRDefault="006345CE" w:rsidP="00C84F02">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0.034</w:t>
            </w:r>
            <w:r w:rsidRPr="00C84F02">
              <w:rPr>
                <w:rFonts w:ascii="Times New Roman" w:hAnsi="Times New Roman" w:cs="Times New Roman"/>
                <w:sz w:val="20"/>
                <w:szCs w:val="20"/>
                <w:vertAlign w:val="superscript"/>
                <w:lang w:val="en-US"/>
              </w:rPr>
              <w:t>**</w:t>
            </w:r>
          </w:p>
          <w:p w14:paraId="552596C9" w14:textId="77777777" w:rsidR="006345CE" w:rsidRPr="00622F6C" w:rsidRDefault="006345CE" w:rsidP="00C84F02">
            <w:pPr>
              <w:jc w:val="center"/>
              <w:rPr>
                <w:rFonts w:ascii="Times New Roman" w:hAnsi="Times New Roman" w:cs="Times New Roman"/>
                <w:sz w:val="20"/>
                <w:szCs w:val="20"/>
                <w:lang w:val="en-US"/>
              </w:rPr>
            </w:pPr>
            <w:r>
              <w:rPr>
                <w:rFonts w:ascii="Times New Roman" w:hAnsi="Times New Roman" w:cs="Times New Roman"/>
                <w:sz w:val="20"/>
                <w:szCs w:val="20"/>
                <w:lang w:val="en-US"/>
              </w:rPr>
              <w:t>(−2.32</w:t>
            </w:r>
            <w:r w:rsidRPr="00622F6C">
              <w:rPr>
                <w:rFonts w:ascii="Times New Roman" w:hAnsi="Times New Roman" w:cs="Times New Roman"/>
                <w:sz w:val="20"/>
                <w:szCs w:val="20"/>
                <w:lang w:val="en-US"/>
              </w:rPr>
              <w:t>)</w:t>
            </w:r>
          </w:p>
        </w:tc>
        <w:tc>
          <w:tcPr>
            <w:tcW w:w="553" w:type="pct"/>
            <w:tcBorders>
              <w:top w:val="nil"/>
              <w:bottom w:val="nil"/>
            </w:tcBorders>
          </w:tcPr>
          <w:p w14:paraId="1E16870C" w14:textId="77777777" w:rsidR="006345CE" w:rsidRPr="00622F6C" w:rsidRDefault="006345CE" w:rsidP="0070321D">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0.041</w:t>
            </w:r>
            <w:r w:rsidRPr="00622F6C">
              <w:rPr>
                <w:rFonts w:ascii="Times New Roman" w:hAnsi="Times New Roman" w:cs="Times New Roman"/>
                <w:sz w:val="20"/>
                <w:szCs w:val="20"/>
                <w:vertAlign w:val="superscript"/>
                <w:lang w:val="en-US"/>
              </w:rPr>
              <w:t>**</w:t>
            </w:r>
          </w:p>
          <w:p w14:paraId="61478BA8" w14:textId="77777777" w:rsidR="006345CE" w:rsidRPr="00622F6C" w:rsidRDefault="006345CE" w:rsidP="0070321D">
            <w:pPr>
              <w:jc w:val="center"/>
              <w:rPr>
                <w:rFonts w:ascii="Times New Roman" w:hAnsi="Times New Roman" w:cs="Times New Roman"/>
                <w:sz w:val="20"/>
                <w:szCs w:val="20"/>
                <w:lang w:val="en-US"/>
              </w:rPr>
            </w:pPr>
            <w:r>
              <w:rPr>
                <w:rFonts w:ascii="Times New Roman" w:hAnsi="Times New Roman" w:cs="Times New Roman"/>
                <w:sz w:val="20"/>
                <w:szCs w:val="20"/>
                <w:lang w:val="en-US"/>
              </w:rPr>
              <w:t>(−2.43</w:t>
            </w:r>
            <w:r w:rsidRPr="00622F6C">
              <w:rPr>
                <w:rFonts w:ascii="Times New Roman" w:hAnsi="Times New Roman" w:cs="Times New Roman"/>
                <w:sz w:val="20"/>
                <w:szCs w:val="20"/>
                <w:lang w:val="en-US"/>
              </w:rPr>
              <w:t>)</w:t>
            </w:r>
          </w:p>
        </w:tc>
      </w:tr>
      <w:tr w:rsidR="006345CE" w:rsidRPr="00622F6C" w14:paraId="24437704" w14:textId="77777777" w:rsidTr="000905D7">
        <w:trPr>
          <w:trHeight w:val="1613"/>
        </w:trPr>
        <w:tc>
          <w:tcPr>
            <w:tcW w:w="1133" w:type="pct"/>
            <w:tcBorders>
              <w:top w:val="nil"/>
              <w:bottom w:val="nil"/>
            </w:tcBorders>
          </w:tcPr>
          <w:p w14:paraId="093119B3"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Turnover</w:t>
            </w:r>
          </w:p>
          <w:p w14:paraId="3BB39403" w14:textId="77777777" w:rsidR="006345CE" w:rsidRPr="00622F6C" w:rsidRDefault="006345CE" w:rsidP="008D6255">
            <w:pPr>
              <w:rPr>
                <w:rFonts w:ascii="Times New Roman" w:hAnsi="Times New Roman" w:cs="Times New Roman"/>
                <w:sz w:val="20"/>
                <w:szCs w:val="20"/>
                <w:lang w:val="en-US"/>
              </w:rPr>
            </w:pPr>
          </w:p>
          <w:p w14:paraId="73420277"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Closely Held Shares</w:t>
            </w:r>
          </w:p>
          <w:p w14:paraId="46658518" w14:textId="77777777" w:rsidR="006345CE" w:rsidRPr="00622F6C" w:rsidRDefault="006345CE" w:rsidP="008D6255">
            <w:pPr>
              <w:rPr>
                <w:rFonts w:ascii="Times New Roman" w:hAnsi="Times New Roman" w:cs="Times New Roman"/>
                <w:sz w:val="20"/>
                <w:szCs w:val="20"/>
                <w:lang w:val="en-US"/>
              </w:rPr>
            </w:pPr>
          </w:p>
          <w:p w14:paraId="3FAFB8EB"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Herfindahl </w:t>
            </w:r>
          </w:p>
          <w:p w14:paraId="5355E8FC" w14:textId="77777777" w:rsidR="006345CE" w:rsidRPr="00622F6C" w:rsidRDefault="006345CE" w:rsidP="008D6255">
            <w:pPr>
              <w:rPr>
                <w:rFonts w:ascii="Times New Roman" w:hAnsi="Times New Roman" w:cs="Times New Roman"/>
                <w:sz w:val="20"/>
                <w:szCs w:val="20"/>
                <w:lang w:val="en-US"/>
              </w:rPr>
            </w:pPr>
          </w:p>
        </w:tc>
        <w:tc>
          <w:tcPr>
            <w:tcW w:w="552" w:type="pct"/>
            <w:tcBorders>
              <w:top w:val="nil"/>
              <w:bottom w:val="nil"/>
            </w:tcBorders>
          </w:tcPr>
          <w:p w14:paraId="21D7EEAE"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73EC4899"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4AAA090C"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7829E7C0"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7AAC9B25" w14:textId="77777777" w:rsidR="006345CE" w:rsidRPr="00622F6C" w:rsidRDefault="006345CE" w:rsidP="008D6255">
            <w:pPr>
              <w:jc w:val="center"/>
              <w:rPr>
                <w:rFonts w:ascii="Times New Roman" w:hAnsi="Times New Roman" w:cs="Times New Roman"/>
                <w:sz w:val="20"/>
                <w:szCs w:val="20"/>
                <w:lang w:val="en-US"/>
              </w:rPr>
            </w:pPr>
          </w:p>
        </w:tc>
        <w:tc>
          <w:tcPr>
            <w:tcW w:w="552" w:type="pct"/>
            <w:tcBorders>
              <w:top w:val="nil"/>
              <w:bottom w:val="nil"/>
            </w:tcBorders>
          </w:tcPr>
          <w:p w14:paraId="4AC8D7F2" w14:textId="77777777" w:rsidR="006345CE" w:rsidRPr="00622F6C" w:rsidRDefault="006345CE" w:rsidP="008D6255">
            <w:pPr>
              <w:jc w:val="center"/>
              <w:rPr>
                <w:rFonts w:ascii="Times New Roman" w:hAnsi="Times New Roman" w:cs="Times New Roman"/>
                <w:sz w:val="20"/>
                <w:szCs w:val="20"/>
                <w:lang w:val="en-US"/>
              </w:rPr>
            </w:pPr>
          </w:p>
        </w:tc>
        <w:tc>
          <w:tcPr>
            <w:tcW w:w="553" w:type="pct"/>
            <w:tcBorders>
              <w:top w:val="nil"/>
              <w:bottom w:val="nil"/>
            </w:tcBorders>
          </w:tcPr>
          <w:p w14:paraId="16114259"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0.410</w:t>
            </w:r>
          </w:p>
          <w:p w14:paraId="2F2B053C"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(0.94</w:t>
            </w:r>
            <w:r w:rsidRPr="00622F6C">
              <w:rPr>
                <w:rFonts w:ascii="Times New Roman" w:hAnsi="Times New Roman" w:cs="Times New Roman"/>
                <w:sz w:val="20"/>
                <w:szCs w:val="20"/>
                <w:lang w:val="en-US"/>
              </w:rPr>
              <w:t>)</w:t>
            </w:r>
          </w:p>
          <w:p w14:paraId="20748B6B"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0.028</w:t>
            </w:r>
          </w:p>
          <w:p w14:paraId="3215395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(−1.26</w:t>
            </w:r>
            <w:r w:rsidRPr="00622F6C">
              <w:rPr>
                <w:rFonts w:ascii="Times New Roman" w:hAnsi="Times New Roman" w:cs="Times New Roman"/>
                <w:sz w:val="20"/>
                <w:szCs w:val="20"/>
                <w:lang w:val="en-US"/>
              </w:rPr>
              <w:t>)</w:t>
            </w:r>
          </w:p>
          <w:p w14:paraId="7344FA7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2.741</w:t>
            </w:r>
            <w:r w:rsidRPr="00622F6C">
              <w:rPr>
                <w:rFonts w:ascii="Times New Roman" w:hAnsi="Times New Roman" w:cs="Times New Roman"/>
                <w:sz w:val="20"/>
                <w:szCs w:val="20"/>
                <w:vertAlign w:val="superscript"/>
                <w:lang w:val="en-US"/>
              </w:rPr>
              <w:t>**</w:t>
            </w:r>
          </w:p>
          <w:p w14:paraId="384AAFB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(2.20</w:t>
            </w:r>
            <w:r w:rsidRPr="00622F6C">
              <w:rPr>
                <w:rFonts w:ascii="Times New Roman" w:hAnsi="Times New Roman" w:cs="Times New Roman"/>
                <w:sz w:val="20"/>
                <w:szCs w:val="20"/>
                <w:lang w:val="en-US"/>
              </w:rPr>
              <w:t>)</w:t>
            </w:r>
          </w:p>
        </w:tc>
      </w:tr>
      <w:tr w:rsidR="006345CE" w:rsidRPr="00622F6C" w14:paraId="7BD631F9" w14:textId="77777777" w:rsidTr="003C440A">
        <w:tc>
          <w:tcPr>
            <w:tcW w:w="1133" w:type="pct"/>
            <w:tcBorders>
              <w:top w:val="nil"/>
              <w:bottom w:val="nil"/>
            </w:tcBorders>
          </w:tcPr>
          <w:p w14:paraId="4B399A23"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i/>
                <w:sz w:val="20"/>
                <w:szCs w:val="20"/>
                <w:lang w:val="en-US"/>
              </w:rPr>
              <w:t>F</w:t>
            </w:r>
            <w:r w:rsidRPr="00622F6C">
              <w:rPr>
                <w:rFonts w:ascii="Times New Roman" w:hAnsi="Times New Roman" w:cs="Times New Roman"/>
                <w:sz w:val="20"/>
                <w:szCs w:val="20"/>
                <w:lang w:val="en-US"/>
              </w:rPr>
              <w:t>-stat</w:t>
            </w:r>
          </w:p>
        </w:tc>
        <w:tc>
          <w:tcPr>
            <w:tcW w:w="552" w:type="pct"/>
            <w:tcBorders>
              <w:top w:val="nil"/>
              <w:bottom w:val="nil"/>
            </w:tcBorders>
          </w:tcPr>
          <w:p w14:paraId="7BDB07B4"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3.55</w:t>
            </w:r>
            <w:r w:rsidRPr="00622F6C">
              <w:rPr>
                <w:rFonts w:ascii="Times New Roman" w:hAnsi="Times New Roman" w:cs="Times New Roman"/>
                <w:sz w:val="20"/>
                <w:szCs w:val="20"/>
                <w:vertAlign w:val="superscript"/>
                <w:lang w:val="en-US"/>
              </w:rPr>
              <w:t>***</w:t>
            </w:r>
          </w:p>
        </w:tc>
        <w:tc>
          <w:tcPr>
            <w:tcW w:w="552" w:type="pct"/>
            <w:tcBorders>
              <w:top w:val="nil"/>
              <w:bottom w:val="nil"/>
            </w:tcBorders>
          </w:tcPr>
          <w:p w14:paraId="1CC3802D" w14:textId="77777777" w:rsidR="006345CE"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3.99</w:t>
            </w:r>
            <w:r w:rsidRPr="003C440A">
              <w:rPr>
                <w:rFonts w:ascii="Times New Roman" w:hAnsi="Times New Roman" w:cs="Times New Roman"/>
                <w:sz w:val="20"/>
                <w:szCs w:val="20"/>
                <w:vertAlign w:val="superscript"/>
                <w:lang w:val="en-US"/>
              </w:rPr>
              <w:t>***</w:t>
            </w:r>
          </w:p>
        </w:tc>
        <w:tc>
          <w:tcPr>
            <w:tcW w:w="552" w:type="pct"/>
            <w:tcBorders>
              <w:top w:val="nil"/>
              <w:bottom w:val="nil"/>
            </w:tcBorders>
          </w:tcPr>
          <w:p w14:paraId="1318F486" w14:textId="77777777" w:rsidR="006345CE" w:rsidRDefault="002840B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4.16</w:t>
            </w:r>
            <w:r w:rsidRPr="009547F0">
              <w:rPr>
                <w:rFonts w:ascii="Times New Roman" w:hAnsi="Times New Roman" w:cs="Times New Roman"/>
                <w:sz w:val="20"/>
                <w:szCs w:val="20"/>
                <w:vertAlign w:val="superscript"/>
                <w:lang w:val="en-US"/>
              </w:rPr>
              <w:t>***</w:t>
            </w:r>
          </w:p>
        </w:tc>
        <w:tc>
          <w:tcPr>
            <w:tcW w:w="553" w:type="pct"/>
            <w:tcBorders>
              <w:top w:val="nil"/>
              <w:bottom w:val="nil"/>
            </w:tcBorders>
          </w:tcPr>
          <w:p w14:paraId="3F6978A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4.06</w:t>
            </w:r>
            <w:r w:rsidRPr="00622F6C">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lang w:val="en-US"/>
              </w:rPr>
              <w:t>*</w:t>
            </w:r>
          </w:p>
        </w:tc>
        <w:tc>
          <w:tcPr>
            <w:tcW w:w="552" w:type="pct"/>
            <w:tcBorders>
              <w:top w:val="nil"/>
              <w:bottom w:val="nil"/>
            </w:tcBorders>
          </w:tcPr>
          <w:p w14:paraId="4C47169B" w14:textId="55ADF1B2"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3.63</w:t>
            </w:r>
            <w:r w:rsidRPr="00622F6C">
              <w:rPr>
                <w:rFonts w:ascii="Times New Roman" w:hAnsi="Times New Roman" w:cs="Times New Roman"/>
                <w:sz w:val="20"/>
                <w:szCs w:val="20"/>
                <w:vertAlign w:val="superscript"/>
                <w:lang w:val="en-US"/>
              </w:rPr>
              <w:t>**</w:t>
            </w:r>
            <w:r w:rsidR="005E1EFC">
              <w:rPr>
                <w:rFonts w:ascii="Times New Roman" w:hAnsi="Times New Roman" w:cs="Times New Roman"/>
                <w:sz w:val="20"/>
                <w:szCs w:val="20"/>
                <w:vertAlign w:val="superscript"/>
                <w:lang w:val="en-US"/>
              </w:rPr>
              <w:t>*</w:t>
            </w:r>
          </w:p>
        </w:tc>
        <w:tc>
          <w:tcPr>
            <w:tcW w:w="552" w:type="pct"/>
            <w:tcBorders>
              <w:top w:val="nil"/>
              <w:bottom w:val="nil"/>
            </w:tcBorders>
          </w:tcPr>
          <w:p w14:paraId="5E3B140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3.01</w:t>
            </w:r>
            <w:r w:rsidRPr="00622F6C">
              <w:rPr>
                <w:rFonts w:ascii="Times New Roman" w:hAnsi="Times New Roman" w:cs="Times New Roman"/>
                <w:sz w:val="20"/>
                <w:szCs w:val="20"/>
                <w:vertAlign w:val="superscript"/>
                <w:lang w:val="en-US"/>
              </w:rPr>
              <w:t>***</w:t>
            </w:r>
          </w:p>
        </w:tc>
        <w:tc>
          <w:tcPr>
            <w:tcW w:w="553" w:type="pct"/>
            <w:tcBorders>
              <w:top w:val="nil"/>
              <w:bottom w:val="nil"/>
            </w:tcBorders>
          </w:tcPr>
          <w:p w14:paraId="1B7BEA3F"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2.97</w:t>
            </w:r>
            <w:r w:rsidRPr="00622F6C">
              <w:rPr>
                <w:rFonts w:ascii="Times New Roman" w:hAnsi="Times New Roman" w:cs="Times New Roman"/>
                <w:sz w:val="20"/>
                <w:szCs w:val="20"/>
                <w:vertAlign w:val="superscript"/>
                <w:lang w:val="en-US"/>
              </w:rPr>
              <w:t>***</w:t>
            </w:r>
          </w:p>
        </w:tc>
      </w:tr>
      <w:tr w:rsidR="006345CE" w:rsidRPr="00622F6C" w14:paraId="6E59C2B2" w14:textId="77777777" w:rsidTr="003C440A">
        <w:tc>
          <w:tcPr>
            <w:tcW w:w="1133" w:type="pct"/>
            <w:tcBorders>
              <w:top w:val="nil"/>
              <w:bottom w:val="nil"/>
            </w:tcBorders>
          </w:tcPr>
          <w:p w14:paraId="63481B69" w14:textId="77777777" w:rsidR="006345CE" w:rsidRPr="00622F6C" w:rsidRDefault="006345CE" w:rsidP="008D6255">
            <w:pPr>
              <w:rPr>
                <w:rFonts w:ascii="Times New Roman" w:hAnsi="Times New Roman" w:cs="Times New Roman"/>
                <w:sz w:val="20"/>
                <w:szCs w:val="20"/>
                <w:lang w:val="en-US"/>
              </w:rPr>
            </w:pPr>
            <w:r w:rsidRPr="00622F6C">
              <w:rPr>
                <w:rFonts w:ascii="Times New Roman" w:hAnsi="Times New Roman" w:cs="Times New Roman"/>
                <w:i/>
                <w:sz w:val="20"/>
                <w:szCs w:val="20"/>
                <w:lang w:val="en-US"/>
              </w:rPr>
              <w:t>R</w:t>
            </w:r>
            <w:r w:rsidRPr="00622F6C">
              <w:rPr>
                <w:rFonts w:ascii="Times New Roman" w:hAnsi="Times New Roman" w:cs="Times New Roman"/>
                <w:sz w:val="20"/>
                <w:szCs w:val="20"/>
                <w:vertAlign w:val="superscript"/>
                <w:lang w:val="en-US"/>
              </w:rPr>
              <w:t>2</w:t>
            </w:r>
          </w:p>
        </w:tc>
        <w:tc>
          <w:tcPr>
            <w:tcW w:w="552" w:type="pct"/>
            <w:tcBorders>
              <w:top w:val="nil"/>
              <w:bottom w:val="nil"/>
            </w:tcBorders>
          </w:tcPr>
          <w:p w14:paraId="6050720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8.37</w:t>
            </w:r>
            <w:r w:rsidRPr="00622F6C">
              <w:rPr>
                <w:rFonts w:ascii="Times New Roman" w:hAnsi="Times New Roman" w:cs="Times New Roman"/>
                <w:sz w:val="20"/>
                <w:szCs w:val="20"/>
                <w:lang w:val="en-US"/>
              </w:rPr>
              <w:t>%</w:t>
            </w:r>
          </w:p>
        </w:tc>
        <w:tc>
          <w:tcPr>
            <w:tcW w:w="552" w:type="pct"/>
            <w:tcBorders>
              <w:top w:val="nil"/>
              <w:bottom w:val="nil"/>
            </w:tcBorders>
          </w:tcPr>
          <w:p w14:paraId="093312B8" w14:textId="77777777" w:rsidR="006345CE"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5.37%</w:t>
            </w:r>
          </w:p>
        </w:tc>
        <w:tc>
          <w:tcPr>
            <w:tcW w:w="552" w:type="pct"/>
            <w:tcBorders>
              <w:top w:val="nil"/>
              <w:bottom w:val="nil"/>
            </w:tcBorders>
          </w:tcPr>
          <w:p w14:paraId="0761DBB6" w14:textId="77777777" w:rsidR="006345CE" w:rsidRDefault="002840B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5.90%</w:t>
            </w:r>
          </w:p>
        </w:tc>
        <w:tc>
          <w:tcPr>
            <w:tcW w:w="553" w:type="pct"/>
            <w:tcBorders>
              <w:top w:val="nil"/>
              <w:bottom w:val="nil"/>
            </w:tcBorders>
          </w:tcPr>
          <w:p w14:paraId="503697CD"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9.24</w:t>
            </w:r>
            <w:r w:rsidRPr="00622F6C">
              <w:rPr>
                <w:rFonts w:ascii="Times New Roman" w:hAnsi="Times New Roman" w:cs="Times New Roman"/>
                <w:sz w:val="20"/>
                <w:szCs w:val="20"/>
                <w:lang w:val="en-US"/>
              </w:rPr>
              <w:t>%</w:t>
            </w:r>
          </w:p>
        </w:tc>
        <w:tc>
          <w:tcPr>
            <w:tcW w:w="552" w:type="pct"/>
            <w:tcBorders>
              <w:top w:val="nil"/>
              <w:bottom w:val="nil"/>
            </w:tcBorders>
          </w:tcPr>
          <w:p w14:paraId="596A86A3"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8.54</w:t>
            </w:r>
            <w:r w:rsidRPr="00622F6C">
              <w:rPr>
                <w:rFonts w:ascii="Times New Roman" w:hAnsi="Times New Roman" w:cs="Times New Roman"/>
                <w:sz w:val="20"/>
                <w:szCs w:val="20"/>
                <w:lang w:val="en-US"/>
              </w:rPr>
              <w:t>%</w:t>
            </w:r>
          </w:p>
        </w:tc>
        <w:tc>
          <w:tcPr>
            <w:tcW w:w="552" w:type="pct"/>
            <w:tcBorders>
              <w:top w:val="nil"/>
              <w:bottom w:val="nil"/>
            </w:tcBorders>
          </w:tcPr>
          <w:p w14:paraId="66BBFC05"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10.07</w:t>
            </w:r>
            <w:r w:rsidRPr="00622F6C">
              <w:rPr>
                <w:rFonts w:ascii="Times New Roman" w:hAnsi="Times New Roman" w:cs="Times New Roman"/>
                <w:sz w:val="20"/>
                <w:szCs w:val="20"/>
                <w:lang w:val="en-US"/>
              </w:rPr>
              <w:t>%</w:t>
            </w:r>
          </w:p>
        </w:tc>
        <w:tc>
          <w:tcPr>
            <w:tcW w:w="553" w:type="pct"/>
            <w:tcBorders>
              <w:top w:val="nil"/>
              <w:bottom w:val="nil"/>
            </w:tcBorders>
          </w:tcPr>
          <w:p w14:paraId="54C03FBB"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16.42</w:t>
            </w:r>
            <w:r w:rsidRPr="00622F6C">
              <w:rPr>
                <w:rFonts w:ascii="Times New Roman" w:hAnsi="Times New Roman" w:cs="Times New Roman"/>
                <w:sz w:val="20"/>
                <w:szCs w:val="20"/>
                <w:lang w:val="en-US"/>
              </w:rPr>
              <w:t>%</w:t>
            </w:r>
          </w:p>
        </w:tc>
      </w:tr>
      <w:tr w:rsidR="006345CE" w:rsidRPr="00622F6C" w14:paraId="0F304627" w14:textId="77777777" w:rsidTr="002840B3">
        <w:tc>
          <w:tcPr>
            <w:tcW w:w="1133" w:type="pct"/>
            <w:tcBorders>
              <w:top w:val="nil"/>
              <w:bottom w:val="nil"/>
            </w:tcBorders>
          </w:tcPr>
          <w:p w14:paraId="048F17BC" w14:textId="77777777" w:rsidR="006345CE" w:rsidRPr="00622F6C" w:rsidRDefault="006345CE" w:rsidP="008D6255">
            <w:pPr>
              <w:rPr>
                <w:rFonts w:ascii="Times New Roman" w:hAnsi="Times New Roman" w:cs="Times New Roman"/>
                <w:i/>
                <w:sz w:val="20"/>
                <w:szCs w:val="20"/>
                <w:lang w:val="en-US"/>
              </w:rPr>
            </w:pPr>
            <w:r w:rsidRPr="00622F6C">
              <w:rPr>
                <w:rFonts w:ascii="Times New Roman" w:hAnsi="Times New Roman" w:cs="Times New Roman"/>
                <w:sz w:val="20"/>
                <w:szCs w:val="20"/>
                <w:lang w:val="en-US"/>
              </w:rPr>
              <w:t xml:space="preserve">Max </w:t>
            </w:r>
            <w:r w:rsidRPr="00622F6C">
              <w:rPr>
                <w:rFonts w:ascii="Times New Roman" w:hAnsi="Times New Roman" w:cs="Times New Roman"/>
                <w:i/>
                <w:sz w:val="20"/>
                <w:szCs w:val="20"/>
                <w:lang w:val="en-US"/>
              </w:rPr>
              <w:t>VIF</w:t>
            </w:r>
          </w:p>
        </w:tc>
        <w:tc>
          <w:tcPr>
            <w:tcW w:w="552" w:type="pct"/>
            <w:tcBorders>
              <w:top w:val="nil"/>
              <w:bottom w:val="nil"/>
            </w:tcBorders>
          </w:tcPr>
          <w:p w14:paraId="008E3E86"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1.58</w:t>
            </w:r>
          </w:p>
        </w:tc>
        <w:tc>
          <w:tcPr>
            <w:tcW w:w="552" w:type="pct"/>
            <w:tcBorders>
              <w:top w:val="nil"/>
              <w:bottom w:val="nil"/>
            </w:tcBorders>
          </w:tcPr>
          <w:p w14:paraId="6C014922" w14:textId="77777777" w:rsidR="006345CE"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1.56</w:t>
            </w:r>
          </w:p>
        </w:tc>
        <w:tc>
          <w:tcPr>
            <w:tcW w:w="552" w:type="pct"/>
            <w:tcBorders>
              <w:top w:val="nil"/>
              <w:bottom w:val="nil"/>
            </w:tcBorders>
          </w:tcPr>
          <w:p w14:paraId="085F8EDF" w14:textId="77777777" w:rsidR="006345CE" w:rsidRDefault="002840B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2.33</w:t>
            </w:r>
          </w:p>
        </w:tc>
        <w:tc>
          <w:tcPr>
            <w:tcW w:w="553" w:type="pct"/>
            <w:tcBorders>
              <w:top w:val="nil"/>
              <w:bottom w:val="nil"/>
            </w:tcBorders>
          </w:tcPr>
          <w:p w14:paraId="54F8C738"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1.58</w:t>
            </w:r>
          </w:p>
        </w:tc>
        <w:tc>
          <w:tcPr>
            <w:tcW w:w="552" w:type="pct"/>
            <w:tcBorders>
              <w:top w:val="nil"/>
              <w:bottom w:val="nil"/>
            </w:tcBorders>
          </w:tcPr>
          <w:p w14:paraId="66FF90C0"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1.85</w:t>
            </w:r>
          </w:p>
        </w:tc>
        <w:tc>
          <w:tcPr>
            <w:tcW w:w="552" w:type="pct"/>
            <w:tcBorders>
              <w:top w:val="nil"/>
              <w:bottom w:val="nil"/>
            </w:tcBorders>
          </w:tcPr>
          <w:p w14:paraId="7560F4AE"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1.77</w:t>
            </w:r>
          </w:p>
        </w:tc>
        <w:tc>
          <w:tcPr>
            <w:tcW w:w="553" w:type="pct"/>
            <w:tcBorders>
              <w:top w:val="nil"/>
              <w:bottom w:val="nil"/>
            </w:tcBorders>
          </w:tcPr>
          <w:p w14:paraId="2397BCBC" w14:textId="77777777" w:rsidR="006345CE" w:rsidRPr="00622F6C" w:rsidRDefault="006345CE"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1.79</w:t>
            </w:r>
          </w:p>
        </w:tc>
      </w:tr>
      <w:tr w:rsidR="006345CE" w:rsidRPr="00622F6C" w14:paraId="53750C1B" w14:textId="77777777" w:rsidTr="000905D7">
        <w:tc>
          <w:tcPr>
            <w:tcW w:w="1133" w:type="pct"/>
            <w:tcBorders>
              <w:top w:val="nil"/>
              <w:bottom w:val="single" w:sz="4" w:space="0" w:color="auto"/>
            </w:tcBorders>
          </w:tcPr>
          <w:p w14:paraId="49FFEF14" w14:textId="77777777" w:rsidR="006345CE" w:rsidRPr="00622F6C" w:rsidRDefault="006345CE" w:rsidP="008D6255">
            <w:pPr>
              <w:rPr>
                <w:rFonts w:ascii="Times New Roman" w:hAnsi="Times New Roman" w:cs="Times New Roman"/>
                <w:i/>
                <w:sz w:val="20"/>
                <w:szCs w:val="20"/>
                <w:lang w:val="en-US"/>
              </w:rPr>
            </w:pPr>
            <w:r w:rsidRPr="00622F6C">
              <w:rPr>
                <w:rFonts w:ascii="Times New Roman" w:hAnsi="Times New Roman" w:cs="Times New Roman"/>
                <w:i/>
                <w:sz w:val="20"/>
                <w:szCs w:val="20"/>
                <w:lang w:val="en-US"/>
              </w:rPr>
              <w:t>N</w:t>
            </w:r>
          </w:p>
        </w:tc>
        <w:tc>
          <w:tcPr>
            <w:tcW w:w="552" w:type="pct"/>
            <w:tcBorders>
              <w:top w:val="nil"/>
              <w:bottom w:val="single" w:sz="4" w:space="0" w:color="auto"/>
            </w:tcBorders>
          </w:tcPr>
          <w:p w14:paraId="7A83B2D8"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205</w:t>
            </w:r>
          </w:p>
        </w:tc>
        <w:tc>
          <w:tcPr>
            <w:tcW w:w="552" w:type="pct"/>
            <w:tcBorders>
              <w:top w:val="nil"/>
              <w:bottom w:val="single" w:sz="4" w:space="0" w:color="auto"/>
            </w:tcBorders>
          </w:tcPr>
          <w:p w14:paraId="29710DD8" w14:textId="77777777" w:rsidR="006345CE" w:rsidRPr="00622F6C" w:rsidRDefault="003C440A"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205</w:t>
            </w:r>
          </w:p>
        </w:tc>
        <w:tc>
          <w:tcPr>
            <w:tcW w:w="552" w:type="pct"/>
            <w:tcBorders>
              <w:top w:val="nil"/>
              <w:bottom w:val="single" w:sz="4" w:space="0" w:color="auto"/>
            </w:tcBorders>
          </w:tcPr>
          <w:p w14:paraId="712CD73B" w14:textId="77777777" w:rsidR="006345CE" w:rsidRPr="00622F6C" w:rsidRDefault="002840B3" w:rsidP="008D6255">
            <w:pPr>
              <w:jc w:val="center"/>
              <w:rPr>
                <w:rFonts w:ascii="Times New Roman" w:hAnsi="Times New Roman" w:cs="Times New Roman"/>
                <w:sz w:val="20"/>
                <w:szCs w:val="20"/>
                <w:lang w:val="en-US"/>
              </w:rPr>
            </w:pPr>
            <w:r>
              <w:rPr>
                <w:rFonts w:ascii="Times New Roman" w:hAnsi="Times New Roman" w:cs="Times New Roman"/>
                <w:sz w:val="20"/>
                <w:szCs w:val="20"/>
                <w:lang w:val="en-US"/>
              </w:rPr>
              <w:t>205</w:t>
            </w:r>
          </w:p>
        </w:tc>
        <w:tc>
          <w:tcPr>
            <w:tcW w:w="553" w:type="pct"/>
            <w:tcBorders>
              <w:top w:val="nil"/>
              <w:bottom w:val="single" w:sz="4" w:space="0" w:color="auto"/>
            </w:tcBorders>
          </w:tcPr>
          <w:p w14:paraId="6049E260"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205</w:t>
            </w:r>
          </w:p>
        </w:tc>
        <w:tc>
          <w:tcPr>
            <w:tcW w:w="552" w:type="pct"/>
            <w:tcBorders>
              <w:top w:val="nil"/>
              <w:bottom w:val="single" w:sz="4" w:space="0" w:color="auto"/>
            </w:tcBorders>
          </w:tcPr>
          <w:p w14:paraId="0D7E651B"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205</w:t>
            </w:r>
          </w:p>
        </w:tc>
        <w:tc>
          <w:tcPr>
            <w:tcW w:w="552" w:type="pct"/>
            <w:tcBorders>
              <w:top w:val="nil"/>
              <w:bottom w:val="single" w:sz="4" w:space="0" w:color="auto"/>
            </w:tcBorders>
          </w:tcPr>
          <w:p w14:paraId="44F96352"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205</w:t>
            </w:r>
          </w:p>
        </w:tc>
        <w:tc>
          <w:tcPr>
            <w:tcW w:w="553" w:type="pct"/>
            <w:tcBorders>
              <w:top w:val="nil"/>
              <w:bottom w:val="single" w:sz="4" w:space="0" w:color="auto"/>
            </w:tcBorders>
          </w:tcPr>
          <w:p w14:paraId="2E642891" w14:textId="77777777" w:rsidR="006345CE" w:rsidRPr="00622F6C" w:rsidRDefault="006345CE" w:rsidP="008D625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201</w:t>
            </w:r>
          </w:p>
        </w:tc>
      </w:tr>
    </w:tbl>
    <w:p w14:paraId="4C5E41F2" w14:textId="32A58863" w:rsidR="008D6255" w:rsidRPr="00622F6C" w:rsidRDefault="008D6255" w:rsidP="008D6255">
      <w:pPr>
        <w:jc w:val="both"/>
        <w:rPr>
          <w:rFonts w:ascii="Times New Roman" w:hAnsi="Times New Roman" w:cs="Times New Roman"/>
          <w:sz w:val="20"/>
          <w:szCs w:val="20"/>
          <w:lang w:val="en-US"/>
        </w:rPr>
      </w:pPr>
      <w:r w:rsidRPr="00622F6C">
        <w:rPr>
          <w:rFonts w:ascii="Times New Roman" w:hAnsi="Times New Roman" w:cs="Times New Roman"/>
          <w:i/>
          <w:sz w:val="20"/>
          <w:szCs w:val="20"/>
          <w:lang w:val="en-US"/>
        </w:rPr>
        <w:t xml:space="preserve">Notes: </w:t>
      </w:r>
      <w:r w:rsidRPr="00622F6C">
        <w:rPr>
          <w:rFonts w:ascii="Times New Roman" w:hAnsi="Times New Roman" w:cs="Times New Roman"/>
          <w:sz w:val="20"/>
          <w:szCs w:val="20"/>
          <w:lang w:val="en-US"/>
        </w:rPr>
        <w:t>This table provides the results of OLS regressions analy</w:t>
      </w:r>
      <w:r w:rsidR="001C2FCF">
        <w:rPr>
          <w:rFonts w:ascii="Times New Roman" w:hAnsi="Times New Roman" w:cs="Times New Roman"/>
          <w:sz w:val="20"/>
          <w:szCs w:val="20"/>
          <w:lang w:val="en-US"/>
        </w:rPr>
        <w:t>z</w:t>
      </w:r>
      <w:r w:rsidRPr="00622F6C">
        <w:rPr>
          <w:rFonts w:ascii="Times New Roman" w:hAnsi="Times New Roman" w:cs="Times New Roman"/>
          <w:sz w:val="20"/>
          <w:szCs w:val="20"/>
          <w:lang w:val="en-US"/>
        </w:rPr>
        <w:t xml:space="preserve">ing the determinants of stock price reactions to eight events related to the adoption of the Modern Slavery Act (MSA). The </w:t>
      </w:r>
      <w:r w:rsidR="005B2458">
        <w:rPr>
          <w:rFonts w:ascii="Times New Roman" w:hAnsi="Times New Roman" w:cs="Times New Roman"/>
          <w:sz w:val="20"/>
          <w:szCs w:val="20"/>
          <w:lang w:val="en-US"/>
        </w:rPr>
        <w:t>a</w:t>
      </w:r>
      <w:r w:rsidR="005B2458" w:rsidRPr="00622F6C">
        <w:rPr>
          <w:rFonts w:ascii="Times New Roman" w:hAnsi="Times New Roman" w:cs="Times New Roman"/>
          <w:sz w:val="20"/>
          <w:szCs w:val="20"/>
          <w:lang w:val="en-US"/>
        </w:rPr>
        <w:t xml:space="preserve">ppendix </w:t>
      </w:r>
      <w:r w:rsidRPr="00622F6C">
        <w:rPr>
          <w:rFonts w:ascii="Times New Roman" w:hAnsi="Times New Roman" w:cs="Times New Roman"/>
          <w:sz w:val="20"/>
          <w:szCs w:val="20"/>
          <w:lang w:val="en-US"/>
        </w:rPr>
        <w:t>provides a detailed definition of the independent variables</w:t>
      </w:r>
      <w:r w:rsidR="006345CE">
        <w:rPr>
          <w:rFonts w:ascii="Times New Roman" w:hAnsi="Times New Roman" w:cs="Times New Roman"/>
          <w:sz w:val="20"/>
          <w:szCs w:val="20"/>
          <w:lang w:val="en-US"/>
        </w:rPr>
        <w:t>. 0/1 next to a variable name indicates a dummy variable</w:t>
      </w:r>
      <w:r w:rsidRPr="00622F6C">
        <w:rPr>
          <w:rFonts w:ascii="Times New Roman" w:hAnsi="Times New Roman" w:cs="Times New Roman"/>
          <w:sz w:val="20"/>
          <w:szCs w:val="20"/>
          <w:lang w:val="en-US"/>
        </w:rPr>
        <w:t xml:space="preserve">. The sample of UK-domiciled FTSE All-Share Index components is obtained </w:t>
      </w:r>
      <w:r w:rsidR="005B2458">
        <w:rPr>
          <w:rFonts w:ascii="Times New Roman" w:hAnsi="Times New Roman" w:cs="Times New Roman"/>
          <w:sz w:val="20"/>
          <w:szCs w:val="20"/>
          <w:lang w:val="en-US"/>
        </w:rPr>
        <w:t xml:space="preserve">by </w:t>
      </w:r>
      <w:r w:rsidRPr="00622F6C">
        <w:rPr>
          <w:rFonts w:ascii="Times New Roman" w:hAnsi="Times New Roman" w:cs="Times New Roman"/>
          <w:sz w:val="20"/>
          <w:szCs w:val="20"/>
          <w:lang w:val="en-US"/>
        </w:rPr>
        <w:t xml:space="preserve">following the cleaning steps outlined in Table 2. The dependent variable in each regression, </w:t>
      </w:r>
      <w:r w:rsidR="00EC32E6">
        <w:rPr>
          <w:rFonts w:ascii="Times New Roman" w:hAnsi="Times New Roman" w:cs="Times New Roman"/>
          <w:i/>
          <w:sz w:val="20"/>
          <w:szCs w:val="20"/>
          <w:lang w:val="en-US"/>
        </w:rPr>
        <w:t>CAR</w:t>
      </w:r>
      <w:r w:rsidRPr="00622F6C">
        <w:rPr>
          <w:rFonts w:ascii="Times New Roman" w:hAnsi="Times New Roman" w:cs="Times New Roman"/>
          <w:sz w:val="20"/>
          <w:szCs w:val="20"/>
          <w:lang w:val="en-US"/>
        </w:rPr>
        <w:t>, is the firm-specific abnormal stock return (</w:t>
      </w:r>
      <w:r w:rsidRPr="00622F6C">
        <w:rPr>
          <w:rFonts w:ascii="Times New Roman" w:hAnsi="Times New Roman" w:cs="Times New Roman"/>
          <w:i/>
          <w:sz w:val="20"/>
          <w:szCs w:val="20"/>
          <w:lang w:val="en-US"/>
        </w:rPr>
        <w:t>AR</w:t>
      </w:r>
      <w:r w:rsidRPr="00622F6C">
        <w:rPr>
          <w:rFonts w:ascii="Times New Roman" w:hAnsi="Times New Roman" w:cs="Times New Roman"/>
          <w:sz w:val="20"/>
          <w:szCs w:val="20"/>
          <w:lang w:val="en-US"/>
        </w:rPr>
        <w:t>) over eight MSA</w:t>
      </w:r>
      <w:r w:rsidR="008B5412" w:rsidRPr="00622F6C">
        <w:rPr>
          <w:rFonts w:ascii="Times New Roman" w:hAnsi="Times New Roman" w:cs="Times New Roman"/>
          <w:sz w:val="20"/>
          <w:szCs w:val="20"/>
          <w:lang w:val="en-US"/>
        </w:rPr>
        <w:t xml:space="preserve"> adoption</w:t>
      </w:r>
      <w:r w:rsidRPr="00622F6C">
        <w:rPr>
          <w:rFonts w:ascii="Times New Roman" w:hAnsi="Times New Roman" w:cs="Times New Roman"/>
          <w:sz w:val="20"/>
          <w:szCs w:val="20"/>
          <w:lang w:val="en-US"/>
        </w:rPr>
        <w:t xml:space="preserve"> events. For each firm, we estimate the regression: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it</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it</m:t>
            </m:r>
          </m:sub>
        </m:sSub>
      </m:oMath>
      <w:r w:rsidRPr="00622F6C">
        <w:rPr>
          <w:rFonts w:ascii="Times New Roman" w:eastAsiaTheme="minorEastAsia" w:hAnsi="Times New Roman" w:cs="Times New Roman"/>
          <w:sz w:val="20"/>
          <w:szCs w:val="20"/>
          <w:lang w:val="en-US"/>
        </w:rPr>
        <w:t xml:space="preserve"> is the return on firm </w:t>
      </w:r>
      <w:r w:rsidRPr="00622F6C">
        <w:rPr>
          <w:rFonts w:ascii="Times New Roman" w:eastAsiaTheme="minorEastAsia" w:hAnsi="Times New Roman" w:cs="Times New Roman"/>
          <w:i/>
          <w:sz w:val="20"/>
          <w:szCs w:val="20"/>
          <w:lang w:val="en-US"/>
        </w:rPr>
        <w:t>i</w:t>
      </w:r>
      <w:r w:rsidRPr="00622F6C">
        <w:rPr>
          <w:rFonts w:ascii="Times New Roman" w:eastAsiaTheme="minorEastAsia" w:hAnsi="Times New Roman" w:cs="Times New Roman"/>
          <w:sz w:val="20"/>
          <w:szCs w:val="20"/>
          <w:lang w:val="en-US"/>
        </w:rPr>
        <w:t xml:space="preserve">’s stock.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mt</m:t>
            </m:r>
          </m:sub>
        </m:sSub>
      </m:oMath>
      <w:r w:rsidRPr="00622F6C">
        <w:rPr>
          <w:rFonts w:ascii="Times New Roman" w:eastAsiaTheme="minorEastAsia" w:hAnsi="Times New Roman" w:cs="Times New Roman"/>
          <w:sz w:val="20"/>
          <w:szCs w:val="20"/>
          <w:lang w:val="en-US"/>
        </w:rPr>
        <w:t xml:space="preserve"> is the return on the value-weighted Datastream market index for Europe minus the UK (TOTMKEX), expressed in UK pounds</w:t>
      </w:r>
      <w:r w:rsidR="005B2458">
        <w:rPr>
          <w:rFonts w:ascii="Times New Roman" w:eastAsiaTheme="minorEastAsia" w:hAnsi="Times New Roman" w:cs="Times New Roman"/>
          <w:sz w:val="20"/>
          <w:szCs w:val="20"/>
          <w:lang w:val="en-US"/>
        </w:rPr>
        <w:t>,</w:t>
      </w:r>
      <w:r w:rsidRPr="00622F6C">
        <w:rPr>
          <w:rFonts w:ascii="Times New Roman" w:eastAsiaTheme="minorEastAsia" w:hAnsi="Times New Roman" w:cs="Times New Roman"/>
          <w:sz w:val="20"/>
          <w:szCs w:val="20"/>
          <w:lang w:val="en-US"/>
        </w:rPr>
        <w:t xml:space="preserve"> in all columns except Column (2), where we use the value-weighted Datastream world market index (TOTMKWD).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t</m:t>
            </m:r>
          </m:sub>
        </m:sSub>
        <m:r>
          <w:rPr>
            <w:rFonts w:ascii="Cambria Math" w:hAnsi="Cambria Math" w:cs="Times New Roman"/>
            <w:sz w:val="20"/>
            <w:szCs w:val="20"/>
            <w:lang w:val="en-US"/>
          </w:rPr>
          <m:t xml:space="preserve"> </m:t>
        </m:r>
      </m:oMath>
      <w:r w:rsidRPr="00622F6C">
        <w:rPr>
          <w:rFonts w:ascii="Times New Roman" w:eastAsiaTheme="minorEastAsia" w:hAnsi="Times New Roman" w:cs="Times New Roman"/>
          <w:sz w:val="20"/>
          <w:szCs w:val="20"/>
          <w:lang w:val="en-US"/>
        </w:rPr>
        <w:t xml:space="preserve">is a dummy variable that equals </w:t>
      </w:r>
      <w:r w:rsidR="005B2458">
        <w:rPr>
          <w:rFonts w:ascii="Times New Roman" w:eastAsiaTheme="minorEastAsia" w:hAnsi="Times New Roman" w:cs="Times New Roman"/>
          <w:sz w:val="20"/>
          <w:szCs w:val="20"/>
          <w:lang w:val="en-US"/>
        </w:rPr>
        <w:t>1</w:t>
      </w:r>
      <w:r w:rsidR="005B245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on the announcement dates of events 1, 2, 3, 4, 6, 7, and 8; </w:t>
      </w:r>
      <w:r w:rsidRPr="00622F6C">
        <w:rPr>
          <w:rFonts w:ascii="Times New Roman" w:hAnsi="Times New Roman" w:cs="Times New Roman"/>
          <w:sz w:val="20"/>
          <w:szCs w:val="20"/>
          <w:lang w:val="en-US"/>
        </w:rPr>
        <w:t>−1 on the announcement date of event 5</w:t>
      </w:r>
      <w:r w:rsidRPr="00622F6C">
        <w:rPr>
          <w:rFonts w:ascii="Times New Roman" w:eastAsiaTheme="minorEastAsia" w:hAnsi="Times New Roman" w:cs="Times New Roman"/>
          <w:sz w:val="20"/>
          <w:szCs w:val="20"/>
          <w:lang w:val="en-US"/>
        </w:rPr>
        <w:t xml:space="preserve">; and </w:t>
      </w:r>
      <w:r w:rsidR="005B2458">
        <w:rPr>
          <w:rFonts w:ascii="Times New Roman" w:eastAsiaTheme="minorEastAsia" w:hAnsi="Times New Roman" w:cs="Times New Roman"/>
          <w:sz w:val="20"/>
          <w:szCs w:val="20"/>
          <w:lang w:val="en-US"/>
        </w:rPr>
        <w:t>0</w:t>
      </w:r>
      <w:r w:rsidR="005B245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 xml:space="preserve">otherwise.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oMath>
      <w:r w:rsidRPr="00622F6C">
        <w:rPr>
          <w:rFonts w:ascii="Times New Roman" w:eastAsiaTheme="minorEastAsia" w:hAnsi="Times New Roman" w:cs="Times New Roman"/>
          <w:sz w:val="20"/>
          <w:szCs w:val="20"/>
          <w:lang w:val="en-US"/>
        </w:rPr>
        <w:t xml:space="preserve"> captures the average abnormal return associated </w:t>
      </w:r>
      <w:r w:rsidR="00E34302">
        <w:rPr>
          <w:rFonts w:ascii="Times New Roman" w:eastAsiaTheme="minorEastAsia" w:hAnsi="Times New Roman" w:cs="Times New Roman"/>
          <w:sz w:val="20"/>
          <w:szCs w:val="20"/>
          <w:lang w:val="en-US"/>
        </w:rPr>
        <w:t>per event</w:t>
      </w:r>
      <w:r w:rsidRPr="00622F6C">
        <w:rPr>
          <w:rFonts w:ascii="Times New Roman" w:eastAsiaTheme="minorEastAsia" w:hAnsi="Times New Roman" w:cs="Times New Roman"/>
          <w:sz w:val="20"/>
          <w:szCs w:val="20"/>
          <w:lang w:val="en-US"/>
        </w:rPr>
        <w:t xml:space="preserve"> for firm </w:t>
      </w:r>
      <w:r w:rsidRPr="00622F6C">
        <w:rPr>
          <w:rFonts w:ascii="Times New Roman" w:eastAsiaTheme="minorEastAsia" w:hAnsi="Times New Roman" w:cs="Times New Roman"/>
          <w:i/>
          <w:sz w:val="20"/>
          <w:szCs w:val="20"/>
          <w:lang w:val="en-US"/>
        </w:rPr>
        <w:t>i</w:t>
      </w:r>
      <w:r w:rsidRPr="00622F6C">
        <w:rPr>
          <w:rFonts w:ascii="Times New Roman" w:eastAsiaTheme="minorEastAsia" w:hAnsi="Times New Roman" w:cs="Times New Roman"/>
          <w:sz w:val="20"/>
          <w:szCs w:val="20"/>
          <w:lang w:val="en-US"/>
        </w:rPr>
        <w:t xml:space="preserve">. We then define </w:t>
      </w:r>
      <w:r w:rsidR="00E34302">
        <w:rPr>
          <w:rFonts w:ascii="Times New Roman" w:eastAsiaTheme="minorEastAsia" w:hAnsi="Times New Roman" w:cs="Times New Roman"/>
          <w:sz w:val="20"/>
          <w:szCs w:val="20"/>
          <w:lang w:val="en-US"/>
        </w:rPr>
        <w:t xml:space="preserve">the </w:t>
      </w:r>
      <w:r w:rsidR="00E34302" w:rsidRPr="00E34302">
        <w:rPr>
          <w:rFonts w:ascii="Times New Roman" w:eastAsiaTheme="minorEastAsia" w:hAnsi="Times New Roman" w:cs="Times New Roman"/>
          <w:i/>
          <w:sz w:val="20"/>
          <w:szCs w:val="20"/>
          <w:lang w:val="en-US"/>
        </w:rPr>
        <w:t>C</w:t>
      </w:r>
      <w:r w:rsidRPr="00622F6C">
        <w:rPr>
          <w:rFonts w:ascii="Times New Roman" w:eastAsiaTheme="minorEastAsia" w:hAnsi="Times New Roman" w:cs="Times New Roman"/>
          <w:i/>
          <w:sz w:val="20"/>
          <w:szCs w:val="20"/>
          <w:lang w:val="en-US"/>
        </w:rPr>
        <w:t>AR</w:t>
      </w:r>
      <w:r w:rsidRPr="00622F6C">
        <w:rPr>
          <w:rFonts w:ascii="Times New Roman" w:eastAsiaTheme="minorEastAsia" w:hAnsi="Times New Roman" w:cs="Times New Roman"/>
          <w:sz w:val="20"/>
          <w:szCs w:val="20"/>
          <w:lang w:val="en-US"/>
        </w:rPr>
        <w:t xml:space="preserve"> for each firm as the coefficient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γ</m:t>
            </m:r>
          </m:e>
          <m:sub>
            <m:r>
              <w:rPr>
                <w:rFonts w:ascii="Cambria Math" w:hAnsi="Cambria Math" w:cs="Times New Roman"/>
                <w:sz w:val="20"/>
                <w:szCs w:val="20"/>
                <w:lang w:val="en-US"/>
              </w:rPr>
              <m:t>i</m:t>
            </m:r>
          </m:sub>
        </m:sSub>
      </m:oMath>
      <w:r w:rsidRPr="00622F6C">
        <w:rPr>
          <w:rFonts w:ascii="Times New Roman" w:eastAsiaTheme="minorEastAsia" w:hAnsi="Times New Roman" w:cs="Times New Roman"/>
          <w:sz w:val="20"/>
          <w:szCs w:val="20"/>
          <w:lang w:val="en-US"/>
        </w:rPr>
        <w:t xml:space="preserve"> multiplied by </w:t>
      </w:r>
      <w:r w:rsidR="005B2458">
        <w:rPr>
          <w:rFonts w:ascii="Times New Roman" w:eastAsiaTheme="minorEastAsia" w:hAnsi="Times New Roman" w:cs="Times New Roman"/>
          <w:sz w:val="20"/>
          <w:szCs w:val="20"/>
          <w:lang w:val="en-US"/>
        </w:rPr>
        <w:t>8</w:t>
      </w:r>
      <w:r w:rsidR="005B2458" w:rsidRPr="00622F6C">
        <w:rPr>
          <w:rFonts w:ascii="Times New Roman" w:eastAsiaTheme="minorEastAsia" w:hAnsi="Times New Roman" w:cs="Times New Roman"/>
          <w:sz w:val="20"/>
          <w:szCs w:val="20"/>
          <w:lang w:val="en-US"/>
        </w:rPr>
        <w:t xml:space="preserve"> </w:t>
      </w:r>
      <w:r w:rsidRPr="00622F6C">
        <w:rPr>
          <w:rFonts w:ascii="Times New Roman" w:eastAsiaTheme="minorEastAsia" w:hAnsi="Times New Roman" w:cs="Times New Roman"/>
          <w:sz w:val="20"/>
          <w:szCs w:val="20"/>
          <w:lang w:val="en-US"/>
        </w:rPr>
        <w:t>(the number of event</w:t>
      </w:r>
      <w:r w:rsidR="00E34302">
        <w:rPr>
          <w:rFonts w:ascii="Times New Roman" w:eastAsiaTheme="minorEastAsia" w:hAnsi="Times New Roman" w:cs="Times New Roman"/>
          <w:sz w:val="20"/>
          <w:szCs w:val="20"/>
          <w:lang w:val="en-US"/>
        </w:rPr>
        <w:t>s</w:t>
      </w:r>
      <w:r w:rsidRPr="00622F6C">
        <w:rPr>
          <w:rFonts w:ascii="Times New Roman" w:eastAsiaTheme="minorEastAsia" w:hAnsi="Times New Roman" w:cs="Times New Roman"/>
          <w:sz w:val="20"/>
          <w:szCs w:val="20"/>
          <w:lang w:val="en-US"/>
        </w:rPr>
        <w:t xml:space="preserve">). </w:t>
      </w:r>
      <w:r w:rsidRPr="00622F6C">
        <w:rPr>
          <w:rFonts w:ascii="Times New Roman" w:hAnsi="Times New Roman" w:cs="Times New Roman"/>
          <w:i/>
          <w:sz w:val="20"/>
          <w:szCs w:val="20"/>
          <w:lang w:val="en-US"/>
        </w:rPr>
        <w:t>t</w:t>
      </w:r>
      <w:r w:rsidR="009641BD">
        <w:rPr>
          <w:rFonts w:ascii="Times New Roman" w:hAnsi="Times New Roman" w:cs="Times New Roman"/>
          <w:sz w:val="20"/>
          <w:szCs w:val="20"/>
          <w:lang w:val="en-US"/>
        </w:rPr>
        <w:t>-statistics</w:t>
      </w:r>
      <w:r w:rsidRPr="00622F6C">
        <w:rPr>
          <w:rFonts w:ascii="Times New Roman" w:hAnsi="Times New Roman" w:cs="Times New Roman"/>
          <w:sz w:val="20"/>
          <w:szCs w:val="20"/>
          <w:lang w:val="en-US"/>
        </w:rPr>
        <w:t xml:space="preserve"> in all columns are based on </w:t>
      </w:r>
      <w:r w:rsidR="009E0852" w:rsidRPr="00622F6C">
        <w:rPr>
          <w:rFonts w:ascii="Times New Roman" w:hAnsi="Times New Roman" w:cs="Times New Roman"/>
          <w:sz w:val="20"/>
          <w:szCs w:val="20"/>
          <w:lang w:val="en-US"/>
        </w:rPr>
        <w:t xml:space="preserve">robust </w:t>
      </w:r>
      <w:r w:rsidRPr="00622F6C">
        <w:rPr>
          <w:rFonts w:ascii="Times New Roman" w:hAnsi="Times New Roman" w:cs="Times New Roman"/>
          <w:sz w:val="20"/>
          <w:szCs w:val="20"/>
          <w:lang w:val="en-US"/>
        </w:rPr>
        <w:t xml:space="preserve">standard errors clustered by two-digit SIC code. </w:t>
      </w:r>
      <w:r w:rsidRPr="00622F6C">
        <w:rPr>
          <w:rFonts w:ascii="Times New Roman" w:hAnsi="Times New Roman" w:cs="Times New Roman"/>
          <w:sz w:val="20"/>
          <w:szCs w:val="20"/>
          <w:vertAlign w:val="superscript"/>
          <w:lang w:val="en-US"/>
        </w:rPr>
        <w:t>*</w:t>
      </w:r>
      <w:r w:rsidRPr="00622F6C">
        <w:rPr>
          <w:rFonts w:ascii="Times New Roman" w:hAnsi="Times New Roman" w:cs="Times New Roman"/>
          <w:sz w:val="20"/>
          <w:szCs w:val="20"/>
          <w:lang w:val="en-US"/>
        </w:rPr>
        <w:t>,</w:t>
      </w:r>
      <w:r w:rsidRPr="00622F6C">
        <w:rPr>
          <w:rFonts w:ascii="Times New Roman" w:hAnsi="Times New Roman" w:cs="Times New Roman"/>
          <w:sz w:val="20"/>
          <w:szCs w:val="20"/>
          <w:vertAlign w:val="superscript"/>
          <w:lang w:val="en-US"/>
        </w:rPr>
        <w:t xml:space="preserve"> **</w:t>
      </w:r>
      <w:r w:rsidRPr="00622F6C">
        <w:rPr>
          <w:rFonts w:ascii="Times New Roman" w:hAnsi="Times New Roman" w:cs="Times New Roman"/>
          <w:sz w:val="20"/>
          <w:szCs w:val="20"/>
          <w:lang w:val="en-US"/>
        </w:rPr>
        <w:t xml:space="preserve">, and </w:t>
      </w:r>
      <w:r w:rsidRPr="00622F6C">
        <w:rPr>
          <w:rFonts w:ascii="Times New Roman" w:hAnsi="Times New Roman" w:cs="Times New Roman"/>
          <w:sz w:val="20"/>
          <w:szCs w:val="20"/>
          <w:vertAlign w:val="superscript"/>
          <w:lang w:val="en-US"/>
        </w:rPr>
        <w:t>***</w:t>
      </w:r>
      <w:r w:rsidRPr="00622F6C">
        <w:rPr>
          <w:rFonts w:ascii="Times New Roman" w:hAnsi="Times New Roman" w:cs="Times New Roman"/>
          <w:sz w:val="20"/>
          <w:szCs w:val="20"/>
          <w:lang w:val="en-US"/>
        </w:rPr>
        <w:t xml:space="preserve"> indicate significance at the 10%, 5%, and 1% level, respectively. </w:t>
      </w:r>
    </w:p>
    <w:p w14:paraId="5714CE75" w14:textId="77777777" w:rsidR="008E0F19" w:rsidRDefault="008D6255" w:rsidP="008D6255">
      <w:pPr>
        <w:rPr>
          <w:rFonts w:ascii="Times New Roman" w:hAnsi="Times New Roman" w:cs="Times New Roman"/>
          <w:b/>
          <w:sz w:val="20"/>
          <w:szCs w:val="20"/>
          <w:lang w:val="en-US"/>
        </w:rPr>
        <w:sectPr w:rsidR="008E0F19" w:rsidSect="00ED5C33">
          <w:headerReference w:type="default" r:id="rId38"/>
          <w:pgSz w:w="16838" w:h="11906" w:orient="landscape"/>
          <w:pgMar w:top="1440" w:right="1440" w:bottom="1440" w:left="1440" w:header="708" w:footer="708" w:gutter="0"/>
          <w:pgNumType w:start="41"/>
          <w:cols w:space="708"/>
          <w:docGrid w:linePitch="360"/>
        </w:sectPr>
      </w:pPr>
      <w:r w:rsidRPr="00622F6C">
        <w:rPr>
          <w:rFonts w:ascii="Times New Roman" w:hAnsi="Times New Roman" w:cs="Times New Roman"/>
          <w:b/>
          <w:sz w:val="20"/>
          <w:szCs w:val="20"/>
          <w:lang w:val="en-US"/>
        </w:rPr>
        <w:br w:type="page"/>
      </w:r>
    </w:p>
    <w:p w14:paraId="685174A7" w14:textId="4EB27F36" w:rsidR="008E0F19" w:rsidRDefault="008E0F19" w:rsidP="00955DFE">
      <w:pPr>
        <w:jc w:val="both"/>
        <w:rPr>
          <w:rFonts w:ascii="Times New Roman" w:hAnsi="Times New Roman" w:cs="Times New Roman"/>
          <w:b/>
          <w:sz w:val="20"/>
          <w:szCs w:val="20"/>
        </w:rPr>
      </w:pPr>
      <w:r w:rsidRPr="00955DFE">
        <w:rPr>
          <w:rFonts w:ascii="Times New Roman" w:hAnsi="Times New Roman" w:cs="Times New Roman"/>
          <w:b/>
          <w:sz w:val="20"/>
          <w:szCs w:val="20"/>
        </w:rPr>
        <w:lastRenderedPageBreak/>
        <w:t>Table 6:</w:t>
      </w:r>
      <w:r w:rsidRPr="00955DFE">
        <w:rPr>
          <w:rFonts w:ascii="Times New Roman" w:hAnsi="Times New Roman" w:cs="Times New Roman"/>
          <w:b/>
          <w:i/>
          <w:sz w:val="20"/>
          <w:szCs w:val="20"/>
        </w:rPr>
        <w:t xml:space="preserve"> </w:t>
      </w:r>
      <w:r w:rsidR="00D30177">
        <w:rPr>
          <w:rFonts w:ascii="Times New Roman" w:hAnsi="Times New Roman" w:cs="Times New Roman"/>
          <w:b/>
          <w:sz w:val="20"/>
          <w:szCs w:val="20"/>
        </w:rPr>
        <w:t>S</w:t>
      </w:r>
      <w:r>
        <w:rPr>
          <w:rFonts w:ascii="Times New Roman" w:hAnsi="Times New Roman" w:cs="Times New Roman"/>
          <w:b/>
          <w:sz w:val="20"/>
          <w:szCs w:val="20"/>
        </w:rPr>
        <w:t>tock price reaction</w:t>
      </w:r>
      <w:r w:rsidR="002B1B97">
        <w:rPr>
          <w:rFonts w:ascii="Times New Roman" w:hAnsi="Times New Roman" w:cs="Times New Roman"/>
          <w:b/>
          <w:sz w:val="20"/>
          <w:szCs w:val="20"/>
        </w:rPr>
        <w:t>s</w:t>
      </w:r>
      <w:r>
        <w:rPr>
          <w:rFonts w:ascii="Times New Roman" w:hAnsi="Times New Roman" w:cs="Times New Roman"/>
          <w:b/>
          <w:sz w:val="20"/>
          <w:szCs w:val="20"/>
        </w:rPr>
        <w:t xml:space="preserve"> to the MSA</w:t>
      </w:r>
      <w:r w:rsidRPr="00955DFE">
        <w:rPr>
          <w:rFonts w:ascii="Times New Roman" w:hAnsi="Times New Roman" w:cs="Times New Roman"/>
          <w:b/>
          <w:sz w:val="20"/>
          <w:szCs w:val="20"/>
        </w:rPr>
        <w:t xml:space="preserve"> for firms grouped by firm- and industry-specific slavery risk</w:t>
      </w:r>
    </w:p>
    <w:tbl>
      <w:tblPr>
        <w:tblStyle w:val="TableGrid"/>
        <w:tblW w:w="140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753"/>
        <w:gridCol w:w="2480"/>
        <w:gridCol w:w="2482"/>
        <w:gridCol w:w="2693"/>
      </w:tblGrid>
      <w:tr w:rsidR="00D30177" w14:paraId="492C7DB7" w14:textId="77777777" w:rsidTr="00955DFE">
        <w:trPr>
          <w:trHeight w:val="460"/>
        </w:trPr>
        <w:tc>
          <w:tcPr>
            <w:tcW w:w="4678" w:type="dxa"/>
            <w:vMerge w:val="restart"/>
            <w:tcBorders>
              <w:top w:val="single" w:sz="4" w:space="0" w:color="auto"/>
            </w:tcBorders>
          </w:tcPr>
          <w:p w14:paraId="17F50EB3" w14:textId="234A9BC6" w:rsidR="00D30177" w:rsidRDefault="00D30177" w:rsidP="00230D24">
            <w:pPr>
              <w:jc w:val="both"/>
              <w:rPr>
                <w:rFonts w:ascii="Times New Roman" w:hAnsi="Times New Roman" w:cs="Times New Roman"/>
                <w:b/>
                <w:sz w:val="20"/>
                <w:szCs w:val="20"/>
              </w:rPr>
            </w:pPr>
            <w:r w:rsidRPr="00F04A5F">
              <w:rPr>
                <w:rFonts w:ascii="Times New Roman" w:hAnsi="Times New Roman" w:cs="Times New Roman"/>
                <w:sz w:val="20"/>
                <w:szCs w:val="20"/>
              </w:rPr>
              <w:t>S</w:t>
            </w:r>
            <w:r w:rsidRPr="00955DFE">
              <w:rPr>
                <w:rFonts w:ascii="Times New Roman" w:hAnsi="Times New Roman" w:cs="Times New Roman"/>
                <w:sz w:val="20"/>
                <w:szCs w:val="20"/>
              </w:rPr>
              <w:t>ample</w:t>
            </w:r>
            <w:r>
              <w:rPr>
                <w:rFonts w:ascii="Times New Roman" w:hAnsi="Times New Roman" w:cs="Times New Roman"/>
                <w:sz w:val="20"/>
                <w:szCs w:val="20"/>
              </w:rPr>
              <w:t xml:space="preserve"> </w:t>
            </w:r>
          </w:p>
        </w:tc>
        <w:tc>
          <w:tcPr>
            <w:tcW w:w="1753" w:type="dxa"/>
            <w:vMerge w:val="restart"/>
            <w:tcBorders>
              <w:top w:val="single" w:sz="4" w:space="0" w:color="auto"/>
            </w:tcBorders>
          </w:tcPr>
          <w:p w14:paraId="2F41AF50" w14:textId="77777777" w:rsidR="00D30177" w:rsidRPr="00FC69C5" w:rsidRDefault="00D30177" w:rsidP="002B1B97">
            <w:pPr>
              <w:jc w:val="center"/>
              <w:rPr>
                <w:rFonts w:ascii="Times New Roman" w:hAnsi="Times New Roman" w:cs="Times New Roman"/>
                <w:i/>
                <w:sz w:val="20"/>
                <w:szCs w:val="20"/>
              </w:rPr>
            </w:pPr>
            <w:r w:rsidRPr="00955DFE">
              <w:rPr>
                <w:rFonts w:ascii="Times New Roman" w:hAnsi="Times New Roman" w:cs="Times New Roman"/>
                <w:i/>
                <w:sz w:val="20"/>
                <w:szCs w:val="20"/>
              </w:rPr>
              <w:t>N</w:t>
            </w:r>
          </w:p>
        </w:tc>
        <w:tc>
          <w:tcPr>
            <w:tcW w:w="7655" w:type="dxa"/>
            <w:gridSpan w:val="3"/>
            <w:tcBorders>
              <w:top w:val="single" w:sz="4" w:space="0" w:color="auto"/>
              <w:bottom w:val="single" w:sz="4" w:space="0" w:color="auto"/>
            </w:tcBorders>
          </w:tcPr>
          <w:p w14:paraId="05EF5214" w14:textId="77777777" w:rsidR="00D30177" w:rsidRPr="00FC69C5" w:rsidRDefault="00D30177">
            <w:pPr>
              <w:jc w:val="center"/>
              <w:rPr>
                <w:rFonts w:ascii="Times New Roman" w:hAnsi="Times New Roman" w:cs="Times New Roman"/>
                <w:sz w:val="20"/>
                <w:szCs w:val="20"/>
              </w:rPr>
            </w:pPr>
            <w:r>
              <w:rPr>
                <w:rFonts w:ascii="Times New Roman" w:hAnsi="Times New Roman" w:cs="Times New Roman"/>
                <w:sz w:val="20"/>
                <w:szCs w:val="20"/>
              </w:rPr>
              <w:t>CAR</w:t>
            </w:r>
          </w:p>
        </w:tc>
      </w:tr>
      <w:tr w:rsidR="00D30177" w14:paraId="3EE6FFBF" w14:textId="77777777" w:rsidTr="00955DFE">
        <w:trPr>
          <w:trHeight w:val="460"/>
        </w:trPr>
        <w:tc>
          <w:tcPr>
            <w:tcW w:w="4678" w:type="dxa"/>
            <w:vMerge/>
            <w:tcBorders>
              <w:bottom w:val="single" w:sz="4" w:space="0" w:color="auto"/>
            </w:tcBorders>
          </w:tcPr>
          <w:p w14:paraId="4ADFB504" w14:textId="77777777" w:rsidR="00D30177" w:rsidRDefault="00D30177" w:rsidP="008E0F19">
            <w:pPr>
              <w:jc w:val="both"/>
              <w:rPr>
                <w:rFonts w:ascii="Times New Roman" w:hAnsi="Times New Roman" w:cs="Times New Roman"/>
                <w:b/>
                <w:sz w:val="20"/>
                <w:szCs w:val="20"/>
              </w:rPr>
            </w:pPr>
          </w:p>
        </w:tc>
        <w:tc>
          <w:tcPr>
            <w:tcW w:w="1753" w:type="dxa"/>
            <w:vMerge/>
            <w:tcBorders>
              <w:bottom w:val="single" w:sz="4" w:space="0" w:color="auto"/>
            </w:tcBorders>
          </w:tcPr>
          <w:p w14:paraId="033024A3" w14:textId="77777777" w:rsidR="00D30177" w:rsidRPr="00955DFE" w:rsidRDefault="00D30177" w:rsidP="002B1B97">
            <w:pPr>
              <w:spacing w:after="200" w:line="276" w:lineRule="auto"/>
              <w:ind w:left="720"/>
              <w:contextualSpacing/>
              <w:jc w:val="center"/>
              <w:rPr>
                <w:rFonts w:ascii="Times New Roman" w:hAnsi="Times New Roman" w:cs="Times New Roman"/>
                <w:i/>
                <w:sz w:val="20"/>
                <w:szCs w:val="20"/>
              </w:rPr>
            </w:pPr>
          </w:p>
        </w:tc>
        <w:tc>
          <w:tcPr>
            <w:tcW w:w="2480" w:type="dxa"/>
            <w:tcBorders>
              <w:top w:val="single" w:sz="4" w:space="0" w:color="auto"/>
              <w:bottom w:val="single" w:sz="4" w:space="0" w:color="auto"/>
            </w:tcBorders>
          </w:tcPr>
          <w:p w14:paraId="68FA2DF2" w14:textId="77777777" w:rsidR="00D30177" w:rsidRDefault="00D30177" w:rsidP="00955DFE">
            <w:pPr>
              <w:jc w:val="center"/>
              <w:rPr>
                <w:rFonts w:ascii="Times New Roman" w:hAnsi="Times New Roman" w:cs="Times New Roman"/>
                <w:sz w:val="20"/>
                <w:szCs w:val="20"/>
              </w:rPr>
            </w:pPr>
            <w:r w:rsidRPr="00955DFE">
              <w:rPr>
                <w:rFonts w:ascii="Times New Roman" w:hAnsi="Times New Roman" w:cs="Times New Roman"/>
                <w:sz w:val="20"/>
                <w:szCs w:val="20"/>
              </w:rPr>
              <w:t xml:space="preserve">Average </w:t>
            </w:r>
            <w:r>
              <w:rPr>
                <w:rFonts w:ascii="Times New Roman" w:hAnsi="Times New Roman" w:cs="Times New Roman"/>
                <w:sz w:val="20"/>
                <w:szCs w:val="20"/>
              </w:rPr>
              <w:t>(</w:t>
            </w:r>
            <w:r w:rsidRPr="00955DFE">
              <w:rPr>
                <w:rFonts w:ascii="Times New Roman" w:hAnsi="Times New Roman" w:cs="Times New Roman"/>
                <w:i/>
                <w:sz w:val="20"/>
                <w:szCs w:val="20"/>
              </w:rPr>
              <w:t>p</w:t>
            </w:r>
            <w:r>
              <w:rPr>
                <w:rFonts w:ascii="Times New Roman" w:hAnsi="Times New Roman" w:cs="Times New Roman"/>
                <w:sz w:val="20"/>
                <w:szCs w:val="20"/>
              </w:rPr>
              <w:t>-value)</w:t>
            </w:r>
          </w:p>
          <w:p w14:paraId="60C1879D" w14:textId="77777777" w:rsidR="002215AB" w:rsidRPr="00955DFE" w:rsidRDefault="002215AB" w:rsidP="00955DFE">
            <w:pPr>
              <w:jc w:val="center"/>
              <w:rPr>
                <w:rFonts w:ascii="Times New Roman" w:hAnsi="Times New Roman" w:cs="Times New Roman"/>
                <w:sz w:val="20"/>
                <w:szCs w:val="20"/>
              </w:rPr>
            </w:pPr>
            <w:r>
              <w:rPr>
                <w:rFonts w:ascii="Times New Roman" w:hAnsi="Times New Roman" w:cs="Times New Roman"/>
                <w:sz w:val="20"/>
                <w:szCs w:val="20"/>
              </w:rPr>
              <w:t>(1)</w:t>
            </w:r>
          </w:p>
        </w:tc>
        <w:tc>
          <w:tcPr>
            <w:tcW w:w="2482" w:type="dxa"/>
            <w:tcBorders>
              <w:top w:val="single" w:sz="4" w:space="0" w:color="auto"/>
              <w:bottom w:val="single" w:sz="4" w:space="0" w:color="auto"/>
            </w:tcBorders>
          </w:tcPr>
          <w:p w14:paraId="7B7C75B0" w14:textId="77777777" w:rsidR="00D30177" w:rsidRDefault="00D30177" w:rsidP="00955DFE">
            <w:pPr>
              <w:jc w:val="center"/>
              <w:rPr>
                <w:rFonts w:ascii="Times New Roman" w:hAnsi="Times New Roman" w:cs="Times New Roman"/>
                <w:sz w:val="20"/>
                <w:szCs w:val="20"/>
              </w:rPr>
            </w:pPr>
            <w:r w:rsidRPr="00955DFE">
              <w:rPr>
                <w:rFonts w:ascii="Times New Roman" w:hAnsi="Times New Roman" w:cs="Times New Roman"/>
                <w:sz w:val="20"/>
                <w:szCs w:val="20"/>
              </w:rPr>
              <w:t xml:space="preserve">Median </w:t>
            </w:r>
            <w:r>
              <w:rPr>
                <w:rFonts w:ascii="Times New Roman" w:hAnsi="Times New Roman" w:cs="Times New Roman"/>
                <w:sz w:val="20"/>
                <w:szCs w:val="20"/>
              </w:rPr>
              <w:t>(</w:t>
            </w:r>
            <w:r w:rsidRPr="00955DFE">
              <w:rPr>
                <w:rFonts w:ascii="Times New Roman" w:hAnsi="Times New Roman" w:cs="Times New Roman"/>
                <w:i/>
                <w:sz w:val="20"/>
                <w:szCs w:val="20"/>
              </w:rPr>
              <w:t>p</w:t>
            </w:r>
            <w:r>
              <w:rPr>
                <w:rFonts w:ascii="Times New Roman" w:hAnsi="Times New Roman" w:cs="Times New Roman"/>
                <w:sz w:val="20"/>
                <w:szCs w:val="20"/>
              </w:rPr>
              <w:t>-value)</w:t>
            </w:r>
          </w:p>
          <w:p w14:paraId="70BBD11A" w14:textId="77777777" w:rsidR="002215AB" w:rsidRPr="00955DFE" w:rsidRDefault="002215AB" w:rsidP="00955DFE">
            <w:pPr>
              <w:jc w:val="center"/>
              <w:rPr>
                <w:rFonts w:ascii="Times New Roman" w:hAnsi="Times New Roman" w:cs="Times New Roman"/>
                <w:sz w:val="20"/>
                <w:szCs w:val="20"/>
              </w:rPr>
            </w:pPr>
            <w:r>
              <w:rPr>
                <w:rFonts w:ascii="Times New Roman" w:hAnsi="Times New Roman" w:cs="Times New Roman"/>
                <w:sz w:val="20"/>
                <w:szCs w:val="20"/>
              </w:rPr>
              <w:t>(2)</w:t>
            </w:r>
          </w:p>
        </w:tc>
        <w:tc>
          <w:tcPr>
            <w:tcW w:w="2693" w:type="dxa"/>
            <w:tcBorders>
              <w:top w:val="single" w:sz="4" w:space="0" w:color="auto"/>
              <w:bottom w:val="single" w:sz="4" w:space="0" w:color="auto"/>
            </w:tcBorders>
          </w:tcPr>
          <w:p w14:paraId="7051CF7F" w14:textId="77777777" w:rsidR="00D30177" w:rsidRDefault="00D30177" w:rsidP="00955DFE">
            <w:pPr>
              <w:jc w:val="center"/>
              <w:rPr>
                <w:rFonts w:ascii="Times New Roman" w:hAnsi="Times New Roman" w:cs="Times New Roman"/>
                <w:sz w:val="20"/>
                <w:szCs w:val="20"/>
              </w:rPr>
            </w:pPr>
            <w:r w:rsidRPr="00955DFE">
              <w:rPr>
                <w:rFonts w:ascii="Times New Roman" w:hAnsi="Times New Roman" w:cs="Times New Roman"/>
                <w:sz w:val="20"/>
                <w:szCs w:val="20"/>
              </w:rPr>
              <w:t xml:space="preserve">% Negative </w:t>
            </w:r>
            <w:r>
              <w:rPr>
                <w:rFonts w:ascii="Times New Roman" w:hAnsi="Times New Roman" w:cs="Times New Roman"/>
                <w:sz w:val="20"/>
                <w:szCs w:val="20"/>
              </w:rPr>
              <w:t>(</w:t>
            </w:r>
            <w:r w:rsidRPr="00955DFE">
              <w:rPr>
                <w:rFonts w:ascii="Times New Roman" w:hAnsi="Times New Roman" w:cs="Times New Roman"/>
                <w:i/>
                <w:sz w:val="20"/>
                <w:szCs w:val="20"/>
              </w:rPr>
              <w:t>p</w:t>
            </w:r>
            <w:r>
              <w:rPr>
                <w:rFonts w:ascii="Times New Roman" w:hAnsi="Times New Roman" w:cs="Times New Roman"/>
                <w:sz w:val="20"/>
                <w:szCs w:val="20"/>
              </w:rPr>
              <w:t>-value)</w:t>
            </w:r>
          </w:p>
          <w:p w14:paraId="0D92417D" w14:textId="77777777" w:rsidR="002215AB" w:rsidRPr="00955DFE" w:rsidRDefault="002215AB" w:rsidP="00955DFE">
            <w:pPr>
              <w:jc w:val="center"/>
              <w:rPr>
                <w:rFonts w:ascii="Times New Roman" w:hAnsi="Times New Roman" w:cs="Times New Roman"/>
                <w:sz w:val="20"/>
                <w:szCs w:val="20"/>
              </w:rPr>
            </w:pPr>
            <w:r>
              <w:rPr>
                <w:rFonts w:ascii="Times New Roman" w:hAnsi="Times New Roman" w:cs="Times New Roman"/>
                <w:sz w:val="20"/>
                <w:szCs w:val="20"/>
              </w:rPr>
              <w:t>(3)</w:t>
            </w:r>
          </w:p>
        </w:tc>
      </w:tr>
      <w:tr w:rsidR="003F081B" w14:paraId="0A6D1040" w14:textId="77777777" w:rsidTr="00230D24">
        <w:trPr>
          <w:trHeight w:val="567"/>
        </w:trPr>
        <w:tc>
          <w:tcPr>
            <w:tcW w:w="4678" w:type="dxa"/>
          </w:tcPr>
          <w:p w14:paraId="51D176D1" w14:textId="5317CCD2" w:rsidR="003F081B" w:rsidRPr="00955DFE" w:rsidRDefault="003F081B" w:rsidP="00230D24">
            <w:pPr>
              <w:pStyle w:val="ListParagraph"/>
              <w:numPr>
                <w:ilvl w:val="0"/>
                <w:numId w:val="42"/>
              </w:numPr>
              <w:ind w:left="462" w:hanging="462"/>
              <w:jc w:val="both"/>
              <w:rPr>
                <w:rFonts w:ascii="Times New Roman" w:hAnsi="Times New Roman" w:cs="Times New Roman"/>
                <w:sz w:val="20"/>
                <w:szCs w:val="20"/>
              </w:rPr>
            </w:pPr>
            <w:r w:rsidRPr="00955DFE">
              <w:rPr>
                <w:rFonts w:ascii="Times New Roman" w:hAnsi="Times New Roman" w:cs="Times New Roman"/>
                <w:sz w:val="20"/>
                <w:szCs w:val="20"/>
              </w:rPr>
              <w:t>High firm slavery risk, low industry slavery risk</w:t>
            </w:r>
          </w:p>
        </w:tc>
        <w:tc>
          <w:tcPr>
            <w:tcW w:w="1753" w:type="dxa"/>
          </w:tcPr>
          <w:p w14:paraId="6BC80E2F" w14:textId="77777777" w:rsidR="003F081B" w:rsidRPr="00955DFE" w:rsidRDefault="003F081B" w:rsidP="002B1B97">
            <w:pPr>
              <w:jc w:val="center"/>
              <w:rPr>
                <w:rFonts w:ascii="Times New Roman" w:hAnsi="Times New Roman" w:cs="Times New Roman"/>
                <w:sz w:val="20"/>
                <w:szCs w:val="20"/>
              </w:rPr>
            </w:pPr>
            <w:r>
              <w:rPr>
                <w:rFonts w:ascii="Times New Roman" w:hAnsi="Times New Roman" w:cs="Times New Roman"/>
                <w:sz w:val="20"/>
                <w:szCs w:val="20"/>
              </w:rPr>
              <w:t>42</w:t>
            </w:r>
          </w:p>
        </w:tc>
        <w:tc>
          <w:tcPr>
            <w:tcW w:w="2480" w:type="dxa"/>
          </w:tcPr>
          <w:p w14:paraId="74D50E3E" w14:textId="77777777" w:rsidR="003F081B" w:rsidRDefault="00611F36" w:rsidP="00955DFE">
            <w:pPr>
              <w:jc w:val="center"/>
              <w:rPr>
                <w:rFonts w:ascii="Times New Roman" w:hAnsi="Times New Roman" w:cs="Times New Roman"/>
                <w:b/>
                <w:sz w:val="20"/>
                <w:szCs w:val="20"/>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2.0</w:t>
            </w:r>
            <w:r w:rsidR="00330BEF">
              <w:rPr>
                <w:rFonts w:ascii="Times New Roman" w:hAnsi="Times New Roman" w:cs="Times New Roman"/>
                <w:sz w:val="20"/>
                <w:szCs w:val="20"/>
                <w:lang w:val="en-US"/>
              </w:rPr>
              <w:t>3</w:t>
            </w:r>
            <w:r w:rsidRPr="00955DF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D30177">
              <w:rPr>
                <w:rFonts w:ascii="Times New Roman" w:hAnsi="Times New Roman" w:cs="Times New Roman"/>
                <w:sz w:val="20"/>
                <w:szCs w:val="20"/>
                <w:lang w:val="en-US"/>
              </w:rPr>
              <w:t>0.19</w:t>
            </w:r>
            <w:r>
              <w:rPr>
                <w:rFonts w:ascii="Times New Roman" w:hAnsi="Times New Roman" w:cs="Times New Roman"/>
                <w:sz w:val="20"/>
                <w:szCs w:val="20"/>
                <w:lang w:val="en-US"/>
              </w:rPr>
              <w:t>)</w:t>
            </w:r>
          </w:p>
        </w:tc>
        <w:tc>
          <w:tcPr>
            <w:tcW w:w="2482" w:type="dxa"/>
          </w:tcPr>
          <w:p w14:paraId="2C905364" w14:textId="77777777" w:rsidR="003F081B" w:rsidRDefault="00611F36" w:rsidP="00955DFE">
            <w:pPr>
              <w:jc w:val="center"/>
              <w:rPr>
                <w:rFonts w:ascii="Times New Roman" w:hAnsi="Times New Roman" w:cs="Times New Roman"/>
                <w:b/>
                <w:sz w:val="20"/>
                <w:szCs w:val="20"/>
              </w:rPr>
            </w:pPr>
            <w:r w:rsidRPr="00622F6C">
              <w:rPr>
                <w:rFonts w:ascii="Times New Roman" w:hAnsi="Times New Roman" w:cs="Times New Roman"/>
                <w:sz w:val="20"/>
                <w:szCs w:val="20"/>
                <w:lang w:val="en-US"/>
              </w:rPr>
              <w:t>−</w:t>
            </w:r>
            <w:r w:rsidR="00330BEF">
              <w:rPr>
                <w:rFonts w:ascii="Times New Roman" w:hAnsi="Times New Roman" w:cs="Times New Roman"/>
                <w:sz w:val="20"/>
                <w:szCs w:val="20"/>
                <w:lang w:val="en-US"/>
              </w:rPr>
              <w:t>0.70</w:t>
            </w:r>
            <w:r w:rsidRPr="00BE2994">
              <w:rPr>
                <w:rFonts w:ascii="Times New Roman" w:hAnsi="Times New Roman" w:cs="Times New Roman"/>
                <w:sz w:val="20"/>
                <w:szCs w:val="20"/>
                <w:lang w:val="en-US"/>
              </w:rPr>
              <w:t>%</w:t>
            </w:r>
            <w:r w:rsidR="00087BAA" w:rsidRPr="00955DFE">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sidR="00087BAA">
              <w:rPr>
                <w:rFonts w:ascii="Times New Roman" w:hAnsi="Times New Roman" w:cs="Times New Roman"/>
                <w:sz w:val="20"/>
                <w:szCs w:val="20"/>
                <w:lang w:val="en-US"/>
              </w:rPr>
              <w:t>0.00</w:t>
            </w:r>
            <w:r>
              <w:rPr>
                <w:rFonts w:ascii="Times New Roman" w:hAnsi="Times New Roman" w:cs="Times New Roman"/>
                <w:sz w:val="20"/>
                <w:szCs w:val="20"/>
                <w:lang w:val="en-US"/>
              </w:rPr>
              <w:t>)</w:t>
            </w:r>
          </w:p>
        </w:tc>
        <w:tc>
          <w:tcPr>
            <w:tcW w:w="2693" w:type="dxa"/>
          </w:tcPr>
          <w:p w14:paraId="37DBE857" w14:textId="77777777" w:rsidR="003F081B" w:rsidRPr="00955DFE" w:rsidRDefault="00B35139" w:rsidP="00955DFE">
            <w:pPr>
              <w:jc w:val="center"/>
              <w:rPr>
                <w:rFonts w:ascii="Times New Roman" w:hAnsi="Times New Roman" w:cs="Times New Roman"/>
                <w:sz w:val="20"/>
                <w:szCs w:val="20"/>
              </w:rPr>
            </w:pPr>
            <w:r w:rsidRPr="00955DFE">
              <w:rPr>
                <w:rFonts w:ascii="Times New Roman" w:hAnsi="Times New Roman" w:cs="Times New Roman"/>
                <w:sz w:val="20"/>
                <w:szCs w:val="20"/>
              </w:rPr>
              <w:t>69.05%</w:t>
            </w:r>
            <w:r w:rsidRPr="00955DFE">
              <w:rPr>
                <w:rFonts w:ascii="Times New Roman" w:hAnsi="Times New Roman" w:cs="Times New Roman"/>
                <w:sz w:val="20"/>
                <w:szCs w:val="20"/>
                <w:vertAlign w:val="superscript"/>
              </w:rPr>
              <w:t>**</w:t>
            </w:r>
            <w:r w:rsidRPr="00955DFE">
              <w:rPr>
                <w:rFonts w:ascii="Times New Roman" w:hAnsi="Times New Roman" w:cs="Times New Roman"/>
                <w:sz w:val="20"/>
                <w:szCs w:val="20"/>
              </w:rPr>
              <w:t xml:space="preserve"> (</w:t>
            </w:r>
            <w:r>
              <w:rPr>
                <w:rFonts w:ascii="Times New Roman" w:hAnsi="Times New Roman" w:cs="Times New Roman"/>
                <w:sz w:val="20"/>
                <w:szCs w:val="20"/>
              </w:rPr>
              <w:t>0.02)</w:t>
            </w:r>
          </w:p>
        </w:tc>
      </w:tr>
      <w:tr w:rsidR="003F081B" w14:paraId="7112C42B" w14:textId="77777777" w:rsidTr="00230D24">
        <w:trPr>
          <w:trHeight w:val="567"/>
        </w:trPr>
        <w:tc>
          <w:tcPr>
            <w:tcW w:w="4678" w:type="dxa"/>
            <w:tcBorders>
              <w:bottom w:val="nil"/>
            </w:tcBorders>
          </w:tcPr>
          <w:p w14:paraId="64D4AD12" w14:textId="583CDD0A" w:rsidR="003F081B" w:rsidRPr="00955DFE" w:rsidRDefault="003F081B" w:rsidP="00230D24">
            <w:pPr>
              <w:pStyle w:val="ListParagraph"/>
              <w:numPr>
                <w:ilvl w:val="0"/>
                <w:numId w:val="42"/>
              </w:numPr>
              <w:ind w:left="462" w:hanging="462"/>
              <w:jc w:val="both"/>
              <w:rPr>
                <w:rFonts w:ascii="Times New Roman" w:hAnsi="Times New Roman" w:cs="Times New Roman"/>
                <w:sz w:val="20"/>
                <w:szCs w:val="20"/>
              </w:rPr>
            </w:pPr>
            <w:r w:rsidRPr="00955DFE">
              <w:rPr>
                <w:rFonts w:ascii="Times New Roman" w:hAnsi="Times New Roman" w:cs="Times New Roman"/>
                <w:sz w:val="20"/>
                <w:szCs w:val="20"/>
              </w:rPr>
              <w:t>Low firm slavery risk, high industry slavery risk</w:t>
            </w:r>
          </w:p>
        </w:tc>
        <w:tc>
          <w:tcPr>
            <w:tcW w:w="1753" w:type="dxa"/>
            <w:tcBorders>
              <w:bottom w:val="nil"/>
            </w:tcBorders>
          </w:tcPr>
          <w:p w14:paraId="4E006B39" w14:textId="77777777" w:rsidR="003F081B" w:rsidRPr="00955DFE" w:rsidRDefault="003F081B" w:rsidP="002B1B97">
            <w:pPr>
              <w:jc w:val="center"/>
              <w:rPr>
                <w:rFonts w:ascii="Times New Roman" w:hAnsi="Times New Roman" w:cs="Times New Roman"/>
                <w:sz w:val="20"/>
                <w:szCs w:val="20"/>
              </w:rPr>
            </w:pPr>
            <w:r>
              <w:rPr>
                <w:rFonts w:ascii="Times New Roman" w:hAnsi="Times New Roman" w:cs="Times New Roman"/>
                <w:sz w:val="20"/>
                <w:szCs w:val="20"/>
              </w:rPr>
              <w:t>19</w:t>
            </w:r>
          </w:p>
        </w:tc>
        <w:tc>
          <w:tcPr>
            <w:tcW w:w="2480" w:type="dxa"/>
            <w:tcBorders>
              <w:bottom w:val="nil"/>
            </w:tcBorders>
          </w:tcPr>
          <w:p w14:paraId="011E41D4" w14:textId="77777777" w:rsidR="003F081B" w:rsidRPr="00955DFE" w:rsidRDefault="00330BEF" w:rsidP="00955DFE">
            <w:pPr>
              <w:jc w:val="center"/>
              <w:rPr>
                <w:rFonts w:ascii="Times New Roman" w:hAnsi="Times New Roman" w:cs="Times New Roman"/>
                <w:sz w:val="20"/>
                <w:szCs w:val="20"/>
              </w:rPr>
            </w:pPr>
            <w:r w:rsidRPr="00955DFE">
              <w:rPr>
                <w:rFonts w:ascii="Times New Roman" w:hAnsi="Times New Roman" w:cs="Times New Roman"/>
                <w:sz w:val="20"/>
                <w:szCs w:val="20"/>
              </w:rPr>
              <w:t>2.51%</w:t>
            </w:r>
            <w:r>
              <w:rPr>
                <w:rFonts w:ascii="Times New Roman" w:hAnsi="Times New Roman" w:cs="Times New Roman"/>
                <w:sz w:val="20"/>
                <w:szCs w:val="20"/>
              </w:rPr>
              <w:t xml:space="preserve"> (</w:t>
            </w:r>
            <w:r w:rsidR="00D30177">
              <w:rPr>
                <w:rFonts w:ascii="Times New Roman" w:hAnsi="Times New Roman" w:cs="Times New Roman"/>
                <w:sz w:val="20"/>
                <w:szCs w:val="20"/>
              </w:rPr>
              <w:t>0.19</w:t>
            </w:r>
            <w:r>
              <w:rPr>
                <w:rFonts w:ascii="Times New Roman" w:hAnsi="Times New Roman" w:cs="Times New Roman"/>
                <w:sz w:val="20"/>
                <w:szCs w:val="20"/>
              </w:rPr>
              <w:t>)</w:t>
            </w:r>
          </w:p>
        </w:tc>
        <w:tc>
          <w:tcPr>
            <w:tcW w:w="2482" w:type="dxa"/>
            <w:tcBorders>
              <w:bottom w:val="nil"/>
            </w:tcBorders>
          </w:tcPr>
          <w:p w14:paraId="00D00683" w14:textId="77777777" w:rsidR="003F081B" w:rsidRDefault="00330BEF" w:rsidP="00955DFE">
            <w:pPr>
              <w:jc w:val="center"/>
              <w:rPr>
                <w:rFonts w:ascii="Times New Roman" w:hAnsi="Times New Roman" w:cs="Times New Roman"/>
                <w:b/>
                <w:sz w:val="20"/>
                <w:szCs w:val="20"/>
              </w:rPr>
            </w:pPr>
            <w:r w:rsidRPr="00955DFE">
              <w:rPr>
                <w:rFonts w:ascii="Times New Roman" w:hAnsi="Times New Roman" w:cs="Times New Roman"/>
                <w:sz w:val="20"/>
                <w:szCs w:val="20"/>
              </w:rPr>
              <w:t>1.30%</w:t>
            </w:r>
            <w:r>
              <w:rPr>
                <w:rFonts w:ascii="Times New Roman" w:hAnsi="Times New Roman" w:cs="Times New Roman"/>
                <w:b/>
                <w:sz w:val="20"/>
                <w:szCs w:val="20"/>
              </w:rPr>
              <w:t xml:space="preserve"> </w:t>
            </w:r>
            <w:r w:rsidRPr="00955DFE">
              <w:rPr>
                <w:rFonts w:ascii="Times New Roman" w:hAnsi="Times New Roman" w:cs="Times New Roman"/>
                <w:sz w:val="20"/>
                <w:szCs w:val="20"/>
              </w:rPr>
              <w:t>(</w:t>
            </w:r>
            <w:r w:rsidR="00087BAA">
              <w:rPr>
                <w:rFonts w:ascii="Times New Roman" w:hAnsi="Times New Roman" w:cs="Times New Roman"/>
                <w:sz w:val="20"/>
                <w:szCs w:val="20"/>
              </w:rPr>
              <w:t>0.18</w:t>
            </w:r>
            <w:r w:rsidRPr="00955DFE">
              <w:rPr>
                <w:rFonts w:ascii="Times New Roman" w:hAnsi="Times New Roman" w:cs="Times New Roman"/>
                <w:sz w:val="20"/>
                <w:szCs w:val="20"/>
              </w:rPr>
              <w:t>)</w:t>
            </w:r>
          </w:p>
        </w:tc>
        <w:tc>
          <w:tcPr>
            <w:tcW w:w="2693" w:type="dxa"/>
            <w:tcBorders>
              <w:bottom w:val="nil"/>
            </w:tcBorders>
          </w:tcPr>
          <w:p w14:paraId="47966E50" w14:textId="77777777" w:rsidR="003F081B" w:rsidRPr="00955DFE" w:rsidRDefault="00336522" w:rsidP="00955DFE">
            <w:pPr>
              <w:jc w:val="center"/>
              <w:rPr>
                <w:rFonts w:ascii="Times New Roman" w:hAnsi="Times New Roman" w:cs="Times New Roman"/>
                <w:sz w:val="20"/>
                <w:szCs w:val="20"/>
              </w:rPr>
            </w:pPr>
            <w:r w:rsidRPr="00955DFE">
              <w:rPr>
                <w:rFonts w:ascii="Times New Roman" w:hAnsi="Times New Roman" w:cs="Times New Roman"/>
                <w:sz w:val="20"/>
                <w:szCs w:val="20"/>
              </w:rPr>
              <w:t>47.37% (1.00)</w:t>
            </w:r>
          </w:p>
        </w:tc>
      </w:tr>
      <w:tr w:rsidR="003F081B" w14:paraId="6A45FE9E" w14:textId="77777777" w:rsidTr="00230D24">
        <w:trPr>
          <w:trHeight w:val="567"/>
        </w:trPr>
        <w:tc>
          <w:tcPr>
            <w:tcW w:w="4678" w:type="dxa"/>
            <w:tcBorders>
              <w:top w:val="nil"/>
              <w:bottom w:val="nil"/>
            </w:tcBorders>
          </w:tcPr>
          <w:p w14:paraId="2FBAC0B3" w14:textId="7DFBFCDC" w:rsidR="003F081B" w:rsidRPr="00955DFE" w:rsidRDefault="003F081B" w:rsidP="00230D24">
            <w:pPr>
              <w:pStyle w:val="ListParagraph"/>
              <w:numPr>
                <w:ilvl w:val="0"/>
                <w:numId w:val="42"/>
              </w:numPr>
              <w:ind w:left="462" w:hanging="462"/>
              <w:jc w:val="both"/>
              <w:rPr>
                <w:rFonts w:ascii="Times New Roman" w:hAnsi="Times New Roman" w:cs="Times New Roman"/>
                <w:sz w:val="20"/>
                <w:szCs w:val="20"/>
              </w:rPr>
            </w:pPr>
            <w:r w:rsidRPr="00955DFE">
              <w:rPr>
                <w:rFonts w:ascii="Times New Roman" w:hAnsi="Times New Roman" w:cs="Times New Roman"/>
                <w:sz w:val="20"/>
                <w:szCs w:val="20"/>
              </w:rPr>
              <w:t>High firm slavery risk, high industry slavery risk</w:t>
            </w:r>
          </w:p>
        </w:tc>
        <w:tc>
          <w:tcPr>
            <w:tcW w:w="1753" w:type="dxa"/>
            <w:tcBorders>
              <w:top w:val="nil"/>
              <w:bottom w:val="nil"/>
            </w:tcBorders>
          </w:tcPr>
          <w:p w14:paraId="2A7F4CF3" w14:textId="77777777" w:rsidR="003F081B" w:rsidRPr="00955DFE" w:rsidRDefault="003F081B" w:rsidP="002B1B97">
            <w:pPr>
              <w:jc w:val="center"/>
              <w:rPr>
                <w:rFonts w:ascii="Times New Roman" w:hAnsi="Times New Roman" w:cs="Times New Roman"/>
                <w:sz w:val="20"/>
                <w:szCs w:val="20"/>
              </w:rPr>
            </w:pPr>
            <w:r w:rsidRPr="00955DFE">
              <w:rPr>
                <w:rFonts w:ascii="Times New Roman" w:hAnsi="Times New Roman" w:cs="Times New Roman"/>
                <w:sz w:val="20"/>
                <w:szCs w:val="20"/>
              </w:rPr>
              <w:t>17</w:t>
            </w:r>
          </w:p>
        </w:tc>
        <w:tc>
          <w:tcPr>
            <w:tcW w:w="2480" w:type="dxa"/>
            <w:tcBorders>
              <w:top w:val="nil"/>
              <w:bottom w:val="nil"/>
            </w:tcBorders>
          </w:tcPr>
          <w:p w14:paraId="70B7C969" w14:textId="77777777" w:rsidR="003F081B" w:rsidRDefault="00330BEF" w:rsidP="00955DFE">
            <w:pPr>
              <w:jc w:val="center"/>
              <w:rPr>
                <w:rFonts w:ascii="Times New Roman" w:hAnsi="Times New Roman" w:cs="Times New Roman"/>
                <w:b/>
                <w:sz w:val="20"/>
                <w:szCs w:val="20"/>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0.95</w:t>
            </w:r>
            <w:r w:rsidRPr="00BE2994">
              <w:rPr>
                <w:rFonts w:ascii="Times New Roman" w:hAnsi="Times New Roman" w:cs="Times New Roman"/>
                <w:sz w:val="20"/>
                <w:szCs w:val="20"/>
                <w:lang w:val="en-US"/>
              </w:rPr>
              <w:t>%</w:t>
            </w:r>
            <w:r w:rsidR="00336522">
              <w:rPr>
                <w:rFonts w:ascii="Times New Roman" w:hAnsi="Times New Roman" w:cs="Times New Roman"/>
                <w:sz w:val="20"/>
                <w:szCs w:val="20"/>
                <w:lang w:val="en-US"/>
              </w:rPr>
              <w:t xml:space="preserve"> (</w:t>
            </w:r>
            <w:r w:rsidR="00D30177">
              <w:rPr>
                <w:rFonts w:ascii="Times New Roman" w:hAnsi="Times New Roman" w:cs="Times New Roman"/>
                <w:sz w:val="20"/>
                <w:szCs w:val="20"/>
                <w:lang w:val="en-US"/>
              </w:rPr>
              <w:t>0.63</w:t>
            </w:r>
            <w:r w:rsidR="00336522">
              <w:rPr>
                <w:rFonts w:ascii="Times New Roman" w:hAnsi="Times New Roman" w:cs="Times New Roman"/>
                <w:sz w:val="20"/>
                <w:szCs w:val="20"/>
                <w:lang w:val="en-US"/>
              </w:rPr>
              <w:t>)</w:t>
            </w:r>
          </w:p>
        </w:tc>
        <w:tc>
          <w:tcPr>
            <w:tcW w:w="2482" w:type="dxa"/>
            <w:tcBorders>
              <w:top w:val="nil"/>
              <w:bottom w:val="nil"/>
            </w:tcBorders>
          </w:tcPr>
          <w:p w14:paraId="55B6B7C1" w14:textId="77777777" w:rsidR="003F081B" w:rsidRPr="00955DFE" w:rsidRDefault="00330BEF" w:rsidP="00955DFE">
            <w:pPr>
              <w:jc w:val="center"/>
              <w:rPr>
                <w:rFonts w:ascii="Times New Roman" w:hAnsi="Times New Roman" w:cs="Times New Roman"/>
                <w:sz w:val="20"/>
                <w:szCs w:val="20"/>
              </w:rPr>
            </w:pPr>
            <w:r w:rsidRPr="00955DFE">
              <w:rPr>
                <w:rFonts w:ascii="Times New Roman" w:hAnsi="Times New Roman" w:cs="Times New Roman"/>
                <w:sz w:val="20"/>
                <w:szCs w:val="20"/>
              </w:rPr>
              <w:t>0.12%</w:t>
            </w:r>
            <w:r w:rsidR="00087BAA">
              <w:rPr>
                <w:rFonts w:ascii="Times New Roman" w:hAnsi="Times New Roman" w:cs="Times New Roman"/>
                <w:sz w:val="20"/>
                <w:szCs w:val="20"/>
              </w:rPr>
              <w:t xml:space="preserve"> (0.76)</w:t>
            </w:r>
          </w:p>
        </w:tc>
        <w:tc>
          <w:tcPr>
            <w:tcW w:w="2693" w:type="dxa"/>
            <w:tcBorders>
              <w:top w:val="nil"/>
              <w:bottom w:val="nil"/>
            </w:tcBorders>
          </w:tcPr>
          <w:p w14:paraId="5DB455A2" w14:textId="77777777" w:rsidR="003F081B" w:rsidRPr="00955DFE" w:rsidRDefault="00B35139" w:rsidP="00955DFE">
            <w:pPr>
              <w:jc w:val="center"/>
              <w:rPr>
                <w:rFonts w:ascii="Times New Roman" w:hAnsi="Times New Roman" w:cs="Times New Roman"/>
                <w:sz w:val="20"/>
                <w:szCs w:val="20"/>
              </w:rPr>
            </w:pPr>
            <w:r w:rsidRPr="00955DFE">
              <w:rPr>
                <w:rFonts w:ascii="Times New Roman" w:hAnsi="Times New Roman" w:cs="Times New Roman"/>
                <w:sz w:val="20"/>
                <w:szCs w:val="20"/>
              </w:rPr>
              <w:t>47.06% (1.00)</w:t>
            </w:r>
          </w:p>
        </w:tc>
      </w:tr>
      <w:tr w:rsidR="00330BEF" w14:paraId="24AB3C33" w14:textId="77777777" w:rsidTr="00230D24">
        <w:trPr>
          <w:trHeight w:val="567"/>
        </w:trPr>
        <w:tc>
          <w:tcPr>
            <w:tcW w:w="4678" w:type="dxa"/>
            <w:tcBorders>
              <w:top w:val="nil"/>
              <w:bottom w:val="nil"/>
            </w:tcBorders>
          </w:tcPr>
          <w:p w14:paraId="1A45DA47" w14:textId="77777777" w:rsidR="00330BEF" w:rsidRPr="00955DFE" w:rsidRDefault="00330BEF">
            <w:pPr>
              <w:pStyle w:val="ListParagraph"/>
              <w:numPr>
                <w:ilvl w:val="0"/>
                <w:numId w:val="42"/>
              </w:numPr>
              <w:spacing w:after="200" w:line="276" w:lineRule="auto"/>
              <w:ind w:left="462" w:hanging="462"/>
              <w:jc w:val="both"/>
              <w:rPr>
                <w:rFonts w:ascii="Times New Roman" w:hAnsi="Times New Roman" w:cs="Times New Roman"/>
                <w:sz w:val="20"/>
                <w:szCs w:val="20"/>
              </w:rPr>
            </w:pPr>
            <w:r w:rsidRPr="00955DFE">
              <w:rPr>
                <w:rFonts w:ascii="Times New Roman" w:hAnsi="Times New Roman" w:cs="Times New Roman"/>
                <w:sz w:val="20"/>
                <w:szCs w:val="20"/>
              </w:rPr>
              <w:t>Low firm slavery risk, low industry slavery ri</w:t>
            </w:r>
            <w:r>
              <w:rPr>
                <w:rFonts w:ascii="Times New Roman" w:hAnsi="Times New Roman" w:cs="Times New Roman"/>
                <w:sz w:val="20"/>
                <w:szCs w:val="20"/>
              </w:rPr>
              <w:t>sk</w:t>
            </w:r>
          </w:p>
        </w:tc>
        <w:tc>
          <w:tcPr>
            <w:tcW w:w="1753" w:type="dxa"/>
            <w:tcBorders>
              <w:top w:val="nil"/>
              <w:bottom w:val="nil"/>
            </w:tcBorders>
          </w:tcPr>
          <w:p w14:paraId="04D39855" w14:textId="77777777" w:rsidR="00330BEF" w:rsidRPr="00955DFE" w:rsidRDefault="00330BEF" w:rsidP="00330BEF">
            <w:pPr>
              <w:jc w:val="center"/>
              <w:rPr>
                <w:rFonts w:ascii="Times New Roman" w:hAnsi="Times New Roman" w:cs="Times New Roman"/>
                <w:sz w:val="20"/>
                <w:szCs w:val="20"/>
              </w:rPr>
            </w:pPr>
            <w:r w:rsidRPr="00955DFE">
              <w:rPr>
                <w:rFonts w:ascii="Times New Roman" w:hAnsi="Times New Roman" w:cs="Times New Roman"/>
                <w:sz w:val="20"/>
                <w:szCs w:val="20"/>
              </w:rPr>
              <w:t>127</w:t>
            </w:r>
          </w:p>
        </w:tc>
        <w:tc>
          <w:tcPr>
            <w:tcW w:w="2480" w:type="dxa"/>
            <w:tcBorders>
              <w:top w:val="nil"/>
              <w:bottom w:val="nil"/>
            </w:tcBorders>
          </w:tcPr>
          <w:p w14:paraId="4487B3BE" w14:textId="77777777" w:rsidR="00330BEF" w:rsidRDefault="00330BEF" w:rsidP="00330BEF">
            <w:pPr>
              <w:jc w:val="center"/>
              <w:rPr>
                <w:rFonts w:ascii="Times New Roman" w:hAnsi="Times New Roman" w:cs="Times New Roman"/>
                <w:b/>
                <w:sz w:val="20"/>
                <w:szCs w:val="20"/>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0.13</w:t>
            </w:r>
            <w:r w:rsidRPr="00BE299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D30177">
              <w:rPr>
                <w:rFonts w:ascii="Times New Roman" w:hAnsi="Times New Roman" w:cs="Times New Roman"/>
                <w:sz w:val="20"/>
                <w:szCs w:val="20"/>
                <w:lang w:val="en-US"/>
              </w:rPr>
              <w:t>0.91</w:t>
            </w:r>
            <w:r>
              <w:rPr>
                <w:rFonts w:ascii="Times New Roman" w:hAnsi="Times New Roman" w:cs="Times New Roman"/>
                <w:sz w:val="20"/>
                <w:szCs w:val="20"/>
                <w:lang w:val="en-US"/>
              </w:rPr>
              <w:t>)</w:t>
            </w:r>
          </w:p>
        </w:tc>
        <w:tc>
          <w:tcPr>
            <w:tcW w:w="2482" w:type="dxa"/>
            <w:tcBorders>
              <w:top w:val="nil"/>
              <w:bottom w:val="nil"/>
            </w:tcBorders>
          </w:tcPr>
          <w:p w14:paraId="25076913" w14:textId="77777777" w:rsidR="00330BEF" w:rsidRDefault="00330BEF" w:rsidP="00330BEF">
            <w:pPr>
              <w:jc w:val="center"/>
              <w:rPr>
                <w:rFonts w:ascii="Times New Roman" w:hAnsi="Times New Roman" w:cs="Times New Roman"/>
                <w:b/>
                <w:sz w:val="20"/>
                <w:szCs w:val="20"/>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0.29</w:t>
            </w:r>
            <w:r w:rsidRPr="00BE299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087BAA">
              <w:rPr>
                <w:rFonts w:ascii="Times New Roman" w:hAnsi="Times New Roman" w:cs="Times New Roman"/>
                <w:sz w:val="20"/>
                <w:szCs w:val="20"/>
                <w:lang w:val="en-US"/>
              </w:rPr>
              <w:t>0.99</w:t>
            </w:r>
            <w:r>
              <w:rPr>
                <w:rFonts w:ascii="Times New Roman" w:hAnsi="Times New Roman" w:cs="Times New Roman"/>
                <w:sz w:val="20"/>
                <w:szCs w:val="20"/>
                <w:lang w:val="en-US"/>
              </w:rPr>
              <w:t>)</w:t>
            </w:r>
          </w:p>
        </w:tc>
        <w:tc>
          <w:tcPr>
            <w:tcW w:w="2693" w:type="dxa"/>
            <w:tcBorders>
              <w:top w:val="nil"/>
              <w:bottom w:val="nil"/>
            </w:tcBorders>
          </w:tcPr>
          <w:p w14:paraId="2856CAB5" w14:textId="77777777" w:rsidR="00B35139" w:rsidRDefault="00B35139">
            <w:pPr>
              <w:jc w:val="center"/>
              <w:rPr>
                <w:rFonts w:ascii="Times New Roman" w:hAnsi="Times New Roman" w:cs="Times New Roman"/>
                <w:b/>
                <w:sz w:val="20"/>
                <w:szCs w:val="20"/>
              </w:rPr>
            </w:pPr>
            <w:r w:rsidRPr="00955DFE">
              <w:rPr>
                <w:rFonts w:ascii="Times New Roman" w:hAnsi="Times New Roman" w:cs="Times New Roman"/>
                <w:sz w:val="20"/>
                <w:szCs w:val="20"/>
              </w:rPr>
              <w:t>51.18% (0.86)</w:t>
            </w:r>
          </w:p>
        </w:tc>
      </w:tr>
      <w:tr w:rsidR="00FC69C5" w14:paraId="2C426344" w14:textId="77777777" w:rsidTr="00230D24">
        <w:trPr>
          <w:trHeight w:val="567"/>
        </w:trPr>
        <w:tc>
          <w:tcPr>
            <w:tcW w:w="4678" w:type="dxa"/>
            <w:tcBorders>
              <w:top w:val="nil"/>
              <w:bottom w:val="single" w:sz="4" w:space="0" w:color="auto"/>
            </w:tcBorders>
          </w:tcPr>
          <w:p w14:paraId="58313E14" w14:textId="77777777" w:rsidR="00FC69C5" w:rsidRPr="00FD46A5" w:rsidRDefault="00FC69C5" w:rsidP="00FC69C5">
            <w:pPr>
              <w:pStyle w:val="ListParagraph"/>
              <w:numPr>
                <w:ilvl w:val="0"/>
                <w:numId w:val="42"/>
              </w:numPr>
              <w:ind w:left="462" w:hanging="462"/>
              <w:jc w:val="both"/>
              <w:rPr>
                <w:rFonts w:ascii="Times New Roman" w:hAnsi="Times New Roman" w:cs="Times New Roman"/>
                <w:sz w:val="20"/>
                <w:szCs w:val="20"/>
              </w:rPr>
            </w:pPr>
            <w:r w:rsidRPr="003B2985">
              <w:rPr>
                <w:rFonts w:ascii="Times New Roman" w:hAnsi="Times New Roman" w:cs="Times New Roman"/>
                <w:sz w:val="20"/>
                <w:szCs w:val="20"/>
              </w:rPr>
              <w:t xml:space="preserve">Full sample </w:t>
            </w:r>
            <w:r>
              <w:rPr>
                <w:rFonts w:ascii="Times New Roman" w:hAnsi="Times New Roman" w:cs="Times New Roman"/>
                <w:sz w:val="20"/>
                <w:szCs w:val="20"/>
              </w:rPr>
              <w:t>for cross-sectional analysis</w:t>
            </w:r>
          </w:p>
        </w:tc>
        <w:tc>
          <w:tcPr>
            <w:tcW w:w="1753" w:type="dxa"/>
            <w:tcBorders>
              <w:top w:val="nil"/>
              <w:bottom w:val="single" w:sz="4" w:space="0" w:color="auto"/>
            </w:tcBorders>
          </w:tcPr>
          <w:p w14:paraId="74275F07" w14:textId="77777777" w:rsidR="00FC69C5" w:rsidRPr="00FD46A5" w:rsidRDefault="00FC69C5" w:rsidP="00FC69C5">
            <w:pPr>
              <w:jc w:val="center"/>
              <w:rPr>
                <w:rFonts w:ascii="Times New Roman" w:hAnsi="Times New Roman" w:cs="Times New Roman"/>
                <w:sz w:val="20"/>
                <w:szCs w:val="20"/>
              </w:rPr>
            </w:pPr>
            <w:r>
              <w:rPr>
                <w:rFonts w:ascii="Times New Roman" w:hAnsi="Times New Roman" w:cs="Times New Roman"/>
                <w:sz w:val="20"/>
                <w:szCs w:val="20"/>
                <w:lang w:val="en-US"/>
              </w:rPr>
              <w:t>205</w:t>
            </w:r>
          </w:p>
        </w:tc>
        <w:tc>
          <w:tcPr>
            <w:tcW w:w="2480" w:type="dxa"/>
            <w:tcBorders>
              <w:top w:val="nil"/>
              <w:bottom w:val="single" w:sz="4" w:space="0" w:color="auto"/>
            </w:tcBorders>
          </w:tcPr>
          <w:p w14:paraId="2575809D" w14:textId="20D14667" w:rsidR="00FC69C5" w:rsidRPr="00622F6C" w:rsidRDefault="00FC69C5" w:rsidP="00FC69C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sidRPr="00330BEF">
              <w:rPr>
                <w:rFonts w:ascii="Times New Roman" w:hAnsi="Times New Roman" w:cs="Times New Roman"/>
                <w:sz w:val="20"/>
                <w:szCs w:val="20"/>
                <w:lang w:val="en-US"/>
              </w:rPr>
              <w:t>0.34</w:t>
            </w:r>
            <w:r w:rsidRPr="00FC69C5">
              <w:rPr>
                <w:rFonts w:ascii="Times New Roman" w:hAnsi="Times New Roman" w:cs="Times New Roman"/>
                <w:sz w:val="20"/>
                <w:szCs w:val="20"/>
                <w:lang w:val="en-US"/>
              </w:rPr>
              <w:t xml:space="preserve">% </w:t>
            </w:r>
            <w:r w:rsidRPr="003B2985">
              <w:rPr>
                <w:rFonts w:ascii="Times New Roman" w:hAnsi="Times New Roman" w:cs="Times New Roman"/>
                <w:sz w:val="20"/>
                <w:szCs w:val="20"/>
                <w:lang w:val="en-US"/>
              </w:rPr>
              <w:t>(</w:t>
            </w:r>
            <w:r w:rsidR="00BD6EB6">
              <w:rPr>
                <w:rFonts w:ascii="Times New Roman" w:hAnsi="Times New Roman" w:cs="Times New Roman"/>
                <w:sz w:val="20"/>
                <w:szCs w:val="20"/>
                <w:lang w:val="en-US"/>
              </w:rPr>
              <w:t>0.78</w:t>
            </w:r>
            <w:r w:rsidRPr="00FC69C5">
              <w:rPr>
                <w:rFonts w:ascii="Times New Roman" w:hAnsi="Times New Roman" w:cs="Times New Roman"/>
                <w:sz w:val="20"/>
                <w:szCs w:val="20"/>
                <w:lang w:val="en-US"/>
              </w:rPr>
              <w:t>)</w:t>
            </w:r>
          </w:p>
        </w:tc>
        <w:tc>
          <w:tcPr>
            <w:tcW w:w="2482" w:type="dxa"/>
            <w:tcBorders>
              <w:top w:val="nil"/>
              <w:bottom w:val="single" w:sz="4" w:space="0" w:color="auto"/>
            </w:tcBorders>
          </w:tcPr>
          <w:p w14:paraId="27D3BE42" w14:textId="77777777" w:rsidR="00FC69C5" w:rsidRPr="00622F6C" w:rsidRDefault="00FC69C5" w:rsidP="00FC69C5">
            <w:pPr>
              <w:jc w:val="center"/>
              <w:rPr>
                <w:rFonts w:ascii="Times New Roman" w:hAnsi="Times New Roman" w:cs="Times New Roman"/>
                <w:sz w:val="20"/>
                <w:szCs w:val="20"/>
                <w:lang w:val="en-US"/>
              </w:rPr>
            </w:pPr>
            <w:r w:rsidRPr="00622F6C">
              <w:rPr>
                <w:rFonts w:ascii="Times New Roman" w:hAnsi="Times New Roman" w:cs="Times New Roman"/>
                <w:sz w:val="20"/>
                <w:szCs w:val="20"/>
                <w:lang w:val="en-US"/>
              </w:rPr>
              <w:t>−</w:t>
            </w:r>
            <w:r>
              <w:rPr>
                <w:rFonts w:ascii="Times New Roman" w:hAnsi="Times New Roman" w:cs="Times New Roman"/>
                <w:sz w:val="20"/>
                <w:szCs w:val="20"/>
                <w:lang w:val="en-US"/>
              </w:rPr>
              <w:t>0.37% (0.32)</w:t>
            </w:r>
          </w:p>
        </w:tc>
        <w:tc>
          <w:tcPr>
            <w:tcW w:w="2693" w:type="dxa"/>
            <w:tcBorders>
              <w:top w:val="nil"/>
              <w:bottom w:val="single" w:sz="4" w:space="0" w:color="auto"/>
            </w:tcBorders>
          </w:tcPr>
          <w:p w14:paraId="0136BECD" w14:textId="77777777" w:rsidR="00FC69C5" w:rsidRPr="00FD46A5" w:rsidRDefault="00FC69C5" w:rsidP="00FC69C5">
            <w:pPr>
              <w:jc w:val="center"/>
              <w:rPr>
                <w:rFonts w:ascii="Times New Roman" w:hAnsi="Times New Roman" w:cs="Times New Roman"/>
                <w:sz w:val="20"/>
                <w:szCs w:val="20"/>
              </w:rPr>
            </w:pPr>
            <w:r w:rsidRPr="003B2985">
              <w:rPr>
                <w:rFonts w:ascii="Times New Roman" w:hAnsi="Times New Roman" w:cs="Times New Roman"/>
                <w:sz w:val="20"/>
                <w:szCs w:val="20"/>
              </w:rPr>
              <w:t>54.15%</w:t>
            </w:r>
            <w:r>
              <w:rPr>
                <w:rFonts w:ascii="Times New Roman" w:hAnsi="Times New Roman" w:cs="Times New Roman"/>
                <w:b/>
                <w:sz w:val="20"/>
                <w:szCs w:val="20"/>
              </w:rPr>
              <w:t xml:space="preserve"> </w:t>
            </w:r>
            <w:r w:rsidRPr="003B2985">
              <w:rPr>
                <w:rFonts w:ascii="Times New Roman" w:hAnsi="Times New Roman" w:cs="Times New Roman"/>
                <w:sz w:val="20"/>
                <w:szCs w:val="20"/>
              </w:rPr>
              <w:t>(</w:t>
            </w:r>
            <w:r>
              <w:rPr>
                <w:rFonts w:ascii="Times New Roman" w:hAnsi="Times New Roman" w:cs="Times New Roman"/>
                <w:sz w:val="20"/>
                <w:szCs w:val="20"/>
              </w:rPr>
              <w:t>0.26)</w:t>
            </w:r>
          </w:p>
        </w:tc>
      </w:tr>
    </w:tbl>
    <w:p w14:paraId="09E6E24D" w14:textId="6C8B08E3" w:rsidR="00FC69C5" w:rsidRPr="003C440A" w:rsidRDefault="00D30177" w:rsidP="00FD46A5">
      <w:pPr>
        <w:jc w:val="both"/>
        <w:rPr>
          <w:rFonts w:ascii="Times New Roman" w:hAnsi="Times New Roman" w:cs="Times New Roman"/>
          <w:sz w:val="20"/>
          <w:szCs w:val="20"/>
          <w:lang w:val="en-US"/>
        </w:rPr>
      </w:pPr>
      <w:r w:rsidRPr="00622F6C">
        <w:rPr>
          <w:rFonts w:ascii="Times New Roman" w:hAnsi="Times New Roman" w:cs="Times New Roman"/>
          <w:i/>
          <w:sz w:val="20"/>
          <w:szCs w:val="20"/>
          <w:lang w:val="en-US"/>
        </w:rPr>
        <w:t>Notes:</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This table </w:t>
      </w:r>
      <w:r w:rsidR="00FC69C5" w:rsidRPr="003C440A">
        <w:rPr>
          <w:rFonts w:ascii="Times New Roman" w:hAnsi="Times New Roman" w:cs="Times New Roman"/>
          <w:sz w:val="20"/>
          <w:szCs w:val="20"/>
        </w:rPr>
        <w:t>gives the average</w:t>
      </w:r>
      <w:r w:rsidR="00FC69C5">
        <w:rPr>
          <w:rFonts w:ascii="Times New Roman" w:hAnsi="Times New Roman" w:cs="Times New Roman"/>
          <w:sz w:val="20"/>
          <w:szCs w:val="20"/>
        </w:rPr>
        <w:t xml:space="preserve"> and median</w:t>
      </w:r>
      <w:r w:rsidR="00FC69C5" w:rsidRPr="003C440A">
        <w:rPr>
          <w:rFonts w:ascii="Times New Roman" w:hAnsi="Times New Roman" w:cs="Times New Roman"/>
          <w:sz w:val="20"/>
          <w:szCs w:val="20"/>
        </w:rPr>
        <w:t xml:space="preserve"> value of the cumulative abnormal stock return (</w:t>
      </w:r>
      <w:r w:rsidR="00FC69C5" w:rsidRPr="003C440A">
        <w:rPr>
          <w:rFonts w:ascii="Times New Roman" w:hAnsi="Times New Roman" w:cs="Times New Roman"/>
          <w:i/>
          <w:sz w:val="20"/>
          <w:szCs w:val="20"/>
        </w:rPr>
        <w:t>CAR</w:t>
      </w:r>
      <w:r w:rsidR="00FC69C5" w:rsidRPr="003C440A">
        <w:rPr>
          <w:rFonts w:ascii="Times New Roman" w:hAnsi="Times New Roman" w:cs="Times New Roman"/>
          <w:sz w:val="20"/>
          <w:szCs w:val="20"/>
        </w:rPr>
        <w:t>)</w:t>
      </w:r>
      <w:r w:rsidR="00FC69C5">
        <w:rPr>
          <w:rFonts w:ascii="Times New Roman" w:hAnsi="Times New Roman" w:cs="Times New Roman"/>
          <w:sz w:val="20"/>
          <w:szCs w:val="20"/>
        </w:rPr>
        <w:t xml:space="preserve">, as well as the percentage of negative </w:t>
      </w:r>
      <w:r w:rsidR="00FC69C5" w:rsidRPr="00955DFE">
        <w:rPr>
          <w:rFonts w:ascii="Times New Roman" w:hAnsi="Times New Roman" w:cs="Times New Roman"/>
          <w:i/>
          <w:sz w:val="20"/>
          <w:szCs w:val="20"/>
        </w:rPr>
        <w:t>CAR</w:t>
      </w:r>
      <w:r w:rsidR="00FC69C5">
        <w:rPr>
          <w:rFonts w:ascii="Times New Roman" w:hAnsi="Times New Roman" w:cs="Times New Roman"/>
          <w:sz w:val="20"/>
          <w:szCs w:val="20"/>
        </w:rPr>
        <w:t>s,</w:t>
      </w:r>
      <w:r w:rsidR="00FC69C5" w:rsidRPr="003C440A">
        <w:rPr>
          <w:rFonts w:ascii="Times New Roman" w:hAnsi="Times New Roman" w:cs="Times New Roman"/>
          <w:sz w:val="20"/>
          <w:szCs w:val="20"/>
        </w:rPr>
        <w:t xml:space="preserve"> for subsamples split based on firm-</w:t>
      </w:r>
      <w:r w:rsidR="00FC69C5">
        <w:rPr>
          <w:rFonts w:ascii="Times New Roman" w:hAnsi="Times New Roman" w:cs="Times New Roman"/>
          <w:sz w:val="20"/>
          <w:szCs w:val="20"/>
        </w:rPr>
        <w:t xml:space="preserve"> and industry-specific</w:t>
      </w:r>
      <w:r w:rsidR="00FC69C5" w:rsidRPr="003C440A">
        <w:rPr>
          <w:rFonts w:ascii="Times New Roman" w:hAnsi="Times New Roman" w:cs="Times New Roman"/>
          <w:sz w:val="20"/>
          <w:szCs w:val="20"/>
        </w:rPr>
        <w:t xml:space="preserve"> slavery risk. </w:t>
      </w:r>
      <w:r w:rsidR="009F231F" w:rsidRPr="00955DFE">
        <w:rPr>
          <w:rFonts w:ascii="Times New Roman" w:hAnsi="Times New Roman" w:cs="Times New Roman"/>
          <w:i/>
          <w:sz w:val="20"/>
          <w:szCs w:val="20"/>
        </w:rPr>
        <w:t>CAR</w:t>
      </w:r>
      <w:r w:rsidR="009F231F">
        <w:rPr>
          <w:rFonts w:ascii="Times New Roman" w:hAnsi="Times New Roman" w:cs="Times New Roman"/>
          <w:sz w:val="20"/>
          <w:szCs w:val="20"/>
        </w:rPr>
        <w:t xml:space="preserve">s are calculated as the sum of abnormal stock returns over eight MSA-related events, after having multiplied the abnormal stock return for event </w:t>
      </w:r>
      <w:r w:rsidR="00E74C5B">
        <w:rPr>
          <w:rFonts w:ascii="Times New Roman" w:hAnsi="Times New Roman" w:cs="Times New Roman"/>
          <w:sz w:val="20"/>
          <w:szCs w:val="20"/>
        </w:rPr>
        <w:t xml:space="preserve">5 by </w:t>
      </w:r>
      <w:r w:rsidR="00E74C5B" w:rsidRPr="00622F6C">
        <w:rPr>
          <w:rFonts w:ascii="Times New Roman" w:hAnsi="Times New Roman" w:cs="Times New Roman"/>
          <w:sz w:val="20"/>
          <w:szCs w:val="20"/>
          <w:lang w:val="en-US"/>
        </w:rPr>
        <w:t>−</w:t>
      </w:r>
      <w:r w:rsidR="00E74C5B">
        <w:rPr>
          <w:rFonts w:ascii="Times New Roman" w:hAnsi="Times New Roman" w:cs="Times New Roman"/>
          <w:sz w:val="20"/>
          <w:szCs w:val="20"/>
          <w:lang w:val="en-US"/>
        </w:rPr>
        <w:t xml:space="preserve">1. Abnormal stock returns are calculated using market model regressions estimated over the 200 trading days ending ten trading days before event 1. </w:t>
      </w:r>
      <w:r w:rsidR="009F231F">
        <w:rPr>
          <w:rFonts w:ascii="Times New Roman" w:hAnsi="Times New Roman" w:cs="Times New Roman"/>
          <w:sz w:val="20"/>
          <w:szCs w:val="20"/>
        </w:rPr>
        <w:t>High (low) firm slavery risk implies having</w:t>
      </w:r>
      <w:r w:rsidR="00FC69C5">
        <w:rPr>
          <w:rFonts w:ascii="Times New Roman" w:hAnsi="Times New Roman" w:cs="Times New Roman"/>
          <w:sz w:val="20"/>
          <w:szCs w:val="20"/>
        </w:rPr>
        <w:t xml:space="preserve"> a value of one (zero) for the </w:t>
      </w:r>
      <w:r w:rsidR="00FC69C5" w:rsidRPr="00955DFE">
        <w:rPr>
          <w:rFonts w:ascii="Times New Roman" w:hAnsi="Times New Roman" w:cs="Times New Roman"/>
          <w:i/>
          <w:sz w:val="20"/>
          <w:szCs w:val="20"/>
        </w:rPr>
        <w:t>Composite Firm Slavery Risk</w:t>
      </w:r>
      <w:r w:rsidR="002215AB">
        <w:rPr>
          <w:rFonts w:ascii="Times New Roman" w:hAnsi="Times New Roman" w:cs="Times New Roman"/>
          <w:sz w:val="20"/>
          <w:szCs w:val="20"/>
        </w:rPr>
        <w:t xml:space="preserve"> dummy variable defined in the appendix. High (low) industry slavery risk </w:t>
      </w:r>
      <w:r w:rsidR="009F231F">
        <w:rPr>
          <w:rFonts w:ascii="Times New Roman" w:hAnsi="Times New Roman" w:cs="Times New Roman"/>
          <w:sz w:val="20"/>
          <w:szCs w:val="20"/>
        </w:rPr>
        <w:t>implies</w:t>
      </w:r>
      <w:r w:rsidR="002215AB">
        <w:rPr>
          <w:rFonts w:ascii="Times New Roman" w:hAnsi="Times New Roman" w:cs="Times New Roman"/>
          <w:sz w:val="20"/>
          <w:szCs w:val="20"/>
        </w:rPr>
        <w:t xml:space="preserve"> having a value of one (zero) for the </w:t>
      </w:r>
      <w:r w:rsidR="002215AB" w:rsidRPr="003B2985">
        <w:rPr>
          <w:rFonts w:ascii="Times New Roman" w:hAnsi="Times New Roman" w:cs="Times New Roman"/>
          <w:i/>
          <w:sz w:val="20"/>
          <w:szCs w:val="20"/>
        </w:rPr>
        <w:t xml:space="preserve">Composite </w:t>
      </w:r>
      <w:r w:rsidR="002215AB">
        <w:rPr>
          <w:rFonts w:ascii="Times New Roman" w:hAnsi="Times New Roman" w:cs="Times New Roman"/>
          <w:i/>
          <w:sz w:val="20"/>
          <w:szCs w:val="20"/>
        </w:rPr>
        <w:t>Industry</w:t>
      </w:r>
      <w:r w:rsidR="002215AB" w:rsidRPr="003B2985">
        <w:rPr>
          <w:rFonts w:ascii="Times New Roman" w:hAnsi="Times New Roman" w:cs="Times New Roman"/>
          <w:i/>
          <w:sz w:val="20"/>
          <w:szCs w:val="20"/>
        </w:rPr>
        <w:t xml:space="preserve"> Slavery Risk</w:t>
      </w:r>
      <w:r w:rsidR="002215AB">
        <w:rPr>
          <w:rFonts w:ascii="Times New Roman" w:hAnsi="Times New Roman" w:cs="Times New Roman"/>
          <w:sz w:val="20"/>
          <w:szCs w:val="20"/>
        </w:rPr>
        <w:t xml:space="preserve"> dummy variable defined in the appendix. </w:t>
      </w:r>
      <w:r w:rsidR="002215AB" w:rsidRPr="00955DFE">
        <w:rPr>
          <w:rFonts w:ascii="Times New Roman" w:hAnsi="Times New Roman" w:cs="Times New Roman"/>
          <w:i/>
          <w:sz w:val="20"/>
          <w:szCs w:val="20"/>
        </w:rPr>
        <w:t>p</w:t>
      </w:r>
      <w:r w:rsidR="002215AB">
        <w:rPr>
          <w:rFonts w:ascii="Times New Roman" w:hAnsi="Times New Roman" w:cs="Times New Roman"/>
          <w:sz w:val="20"/>
          <w:szCs w:val="20"/>
        </w:rPr>
        <w:t xml:space="preserve">-values in Columns (1), (2), and (3) are based on Brown and Warner (1985) </w:t>
      </w:r>
      <w:r w:rsidR="002215AB" w:rsidRPr="00955DFE">
        <w:rPr>
          <w:rFonts w:ascii="Times New Roman" w:hAnsi="Times New Roman" w:cs="Times New Roman"/>
          <w:i/>
          <w:sz w:val="20"/>
          <w:szCs w:val="20"/>
        </w:rPr>
        <w:t>t</w:t>
      </w:r>
      <w:r w:rsidR="002215AB">
        <w:rPr>
          <w:rFonts w:ascii="Times New Roman" w:hAnsi="Times New Roman" w:cs="Times New Roman"/>
          <w:sz w:val="20"/>
          <w:szCs w:val="20"/>
        </w:rPr>
        <w:t>-statistic</w:t>
      </w:r>
      <w:r w:rsidR="00E74C5B">
        <w:rPr>
          <w:rFonts w:ascii="Times New Roman" w:hAnsi="Times New Roman" w:cs="Times New Roman"/>
          <w:sz w:val="20"/>
          <w:szCs w:val="20"/>
        </w:rPr>
        <w:t>s</w:t>
      </w:r>
      <w:r w:rsidR="002215AB">
        <w:rPr>
          <w:rFonts w:ascii="Times New Roman" w:hAnsi="Times New Roman" w:cs="Times New Roman"/>
          <w:sz w:val="20"/>
          <w:szCs w:val="20"/>
        </w:rPr>
        <w:t xml:space="preserve"> </w:t>
      </w:r>
      <w:r w:rsidR="009F231F">
        <w:rPr>
          <w:rFonts w:ascii="Times New Roman" w:hAnsi="Times New Roman" w:cs="Times New Roman"/>
          <w:sz w:val="20"/>
          <w:szCs w:val="20"/>
        </w:rPr>
        <w:t>adjusted for cross-sectional dependence</w:t>
      </w:r>
      <w:r w:rsidR="00FA52A3">
        <w:rPr>
          <w:rFonts w:ascii="Times New Roman" w:hAnsi="Times New Roman" w:cs="Times New Roman"/>
          <w:sz w:val="20"/>
          <w:szCs w:val="20"/>
        </w:rPr>
        <w:t xml:space="preserve"> by using standard deviations over the same pre-event estimation window as for the </w:t>
      </w:r>
      <w:r w:rsidR="00FA52A3" w:rsidRPr="00955DFE">
        <w:rPr>
          <w:rFonts w:ascii="Times New Roman" w:hAnsi="Times New Roman" w:cs="Times New Roman"/>
          <w:i/>
          <w:sz w:val="20"/>
          <w:szCs w:val="20"/>
        </w:rPr>
        <w:t>CAR</w:t>
      </w:r>
      <w:r w:rsidR="00FA52A3">
        <w:rPr>
          <w:rFonts w:ascii="Times New Roman" w:hAnsi="Times New Roman" w:cs="Times New Roman"/>
          <w:sz w:val="20"/>
          <w:szCs w:val="20"/>
        </w:rPr>
        <w:t>s</w:t>
      </w:r>
      <w:r w:rsidR="002215AB">
        <w:rPr>
          <w:rFonts w:ascii="Times New Roman" w:hAnsi="Times New Roman" w:cs="Times New Roman"/>
          <w:sz w:val="20"/>
          <w:szCs w:val="20"/>
        </w:rPr>
        <w:t xml:space="preserve">, </w:t>
      </w:r>
      <w:r w:rsidR="009F231F">
        <w:rPr>
          <w:rFonts w:ascii="Times New Roman" w:hAnsi="Times New Roman" w:cs="Times New Roman"/>
          <w:sz w:val="20"/>
          <w:szCs w:val="20"/>
        </w:rPr>
        <w:t>Wilcoxon signed-rank test</w:t>
      </w:r>
      <w:r w:rsidR="00E74C5B">
        <w:rPr>
          <w:rFonts w:ascii="Times New Roman" w:hAnsi="Times New Roman" w:cs="Times New Roman"/>
          <w:sz w:val="20"/>
          <w:szCs w:val="20"/>
        </w:rPr>
        <w:t>s</w:t>
      </w:r>
      <w:r w:rsidR="009F231F">
        <w:rPr>
          <w:rFonts w:ascii="Times New Roman" w:hAnsi="Times New Roman" w:cs="Times New Roman"/>
          <w:sz w:val="20"/>
          <w:szCs w:val="20"/>
        </w:rPr>
        <w:t>, and binomial sign test</w:t>
      </w:r>
      <w:r w:rsidR="00E74C5B">
        <w:rPr>
          <w:rFonts w:ascii="Times New Roman" w:hAnsi="Times New Roman" w:cs="Times New Roman"/>
          <w:sz w:val="20"/>
          <w:szCs w:val="20"/>
        </w:rPr>
        <w:t>s</w:t>
      </w:r>
      <w:r w:rsidR="009F231F">
        <w:rPr>
          <w:rFonts w:ascii="Times New Roman" w:hAnsi="Times New Roman" w:cs="Times New Roman"/>
          <w:sz w:val="20"/>
          <w:szCs w:val="20"/>
        </w:rPr>
        <w:t xml:space="preserve">, respectively. For completeness, Row (5) reports results for the full sample used in the baseline cross-sectional analysis. </w:t>
      </w:r>
      <w:r w:rsidR="00FC69C5" w:rsidRPr="003C440A">
        <w:rPr>
          <w:rFonts w:ascii="Times New Roman" w:hAnsi="Times New Roman" w:cs="Times New Roman"/>
          <w:sz w:val="20"/>
          <w:szCs w:val="20"/>
          <w:vertAlign w:val="superscript"/>
        </w:rPr>
        <w:t>*</w:t>
      </w:r>
      <w:r w:rsidR="00FC69C5" w:rsidRPr="003C440A">
        <w:rPr>
          <w:rFonts w:ascii="Times New Roman" w:hAnsi="Times New Roman" w:cs="Times New Roman"/>
          <w:sz w:val="20"/>
          <w:szCs w:val="20"/>
        </w:rPr>
        <w:t>,</w:t>
      </w:r>
      <w:r w:rsidR="00FC69C5" w:rsidRPr="003C440A">
        <w:rPr>
          <w:rFonts w:ascii="Times New Roman" w:hAnsi="Times New Roman" w:cs="Times New Roman"/>
          <w:sz w:val="20"/>
          <w:szCs w:val="20"/>
          <w:vertAlign w:val="superscript"/>
        </w:rPr>
        <w:t xml:space="preserve"> **</w:t>
      </w:r>
      <w:r w:rsidR="00FC69C5" w:rsidRPr="003C440A">
        <w:rPr>
          <w:rFonts w:ascii="Times New Roman" w:hAnsi="Times New Roman" w:cs="Times New Roman"/>
          <w:sz w:val="20"/>
          <w:szCs w:val="20"/>
        </w:rPr>
        <w:t xml:space="preserve">, and </w:t>
      </w:r>
      <w:r w:rsidR="00FC69C5" w:rsidRPr="003C440A">
        <w:rPr>
          <w:rFonts w:ascii="Times New Roman" w:hAnsi="Times New Roman" w:cs="Times New Roman"/>
          <w:sz w:val="20"/>
          <w:szCs w:val="20"/>
          <w:vertAlign w:val="superscript"/>
        </w:rPr>
        <w:t>***</w:t>
      </w:r>
      <w:r w:rsidR="00FC69C5" w:rsidRPr="003C440A">
        <w:rPr>
          <w:rFonts w:ascii="Times New Roman" w:hAnsi="Times New Roman" w:cs="Times New Roman"/>
          <w:sz w:val="20"/>
          <w:szCs w:val="20"/>
        </w:rPr>
        <w:t xml:space="preserve"> indicate whether </w:t>
      </w:r>
      <w:r w:rsidR="00FC69C5" w:rsidRPr="003C440A">
        <w:rPr>
          <w:rFonts w:ascii="Times New Roman" w:hAnsi="Times New Roman" w:cs="Times New Roman"/>
          <w:i/>
          <w:sz w:val="20"/>
          <w:szCs w:val="20"/>
        </w:rPr>
        <w:t>CAR</w:t>
      </w:r>
      <w:r w:rsidR="00030359">
        <w:rPr>
          <w:rFonts w:ascii="Times New Roman" w:hAnsi="Times New Roman" w:cs="Times New Roman"/>
          <w:sz w:val="20"/>
          <w:szCs w:val="20"/>
        </w:rPr>
        <w:t>s</w:t>
      </w:r>
      <w:r w:rsidR="00FC69C5" w:rsidRPr="003C440A">
        <w:rPr>
          <w:rFonts w:ascii="Times New Roman" w:hAnsi="Times New Roman" w:cs="Times New Roman"/>
          <w:sz w:val="20"/>
          <w:szCs w:val="20"/>
        </w:rPr>
        <w:t xml:space="preserve"> </w:t>
      </w:r>
      <w:r w:rsidR="00030359">
        <w:rPr>
          <w:rFonts w:ascii="Times New Roman" w:hAnsi="Times New Roman" w:cs="Times New Roman"/>
          <w:sz w:val="20"/>
          <w:szCs w:val="20"/>
        </w:rPr>
        <w:t>are</w:t>
      </w:r>
      <w:r w:rsidR="00FC69C5" w:rsidRPr="003C440A">
        <w:rPr>
          <w:rFonts w:ascii="Times New Roman" w:hAnsi="Times New Roman" w:cs="Times New Roman"/>
          <w:sz w:val="20"/>
          <w:szCs w:val="20"/>
        </w:rPr>
        <w:t xml:space="preserve"> significantly different from zero according to </w:t>
      </w:r>
      <w:r w:rsidR="00E74C5B">
        <w:rPr>
          <w:rFonts w:ascii="Times New Roman" w:hAnsi="Times New Roman" w:cs="Times New Roman"/>
          <w:sz w:val="20"/>
          <w:szCs w:val="20"/>
        </w:rPr>
        <w:t xml:space="preserve">these </w:t>
      </w:r>
      <w:r w:rsidR="00E74C5B" w:rsidRPr="00955DFE">
        <w:rPr>
          <w:rFonts w:ascii="Times New Roman" w:hAnsi="Times New Roman" w:cs="Times New Roman"/>
          <w:i/>
          <w:sz w:val="20"/>
          <w:szCs w:val="20"/>
        </w:rPr>
        <w:t>p</w:t>
      </w:r>
      <w:r w:rsidR="00E74C5B">
        <w:rPr>
          <w:rFonts w:ascii="Times New Roman" w:hAnsi="Times New Roman" w:cs="Times New Roman"/>
          <w:sz w:val="20"/>
          <w:szCs w:val="20"/>
        </w:rPr>
        <w:t>-values</w:t>
      </w:r>
      <w:r w:rsidR="00FC69C5" w:rsidRPr="003C440A">
        <w:rPr>
          <w:rFonts w:ascii="Times New Roman" w:hAnsi="Times New Roman" w:cs="Times New Roman"/>
          <w:sz w:val="20"/>
          <w:szCs w:val="20"/>
        </w:rPr>
        <w:t xml:space="preserve">, with significance at the 10%, 5%, and 1% level, respectively. </w:t>
      </w:r>
      <w:r w:rsidR="00FC69C5" w:rsidRPr="003C440A">
        <w:rPr>
          <w:rFonts w:ascii="Times New Roman" w:hAnsi="Times New Roman" w:cs="Times New Roman"/>
          <w:i/>
          <w:sz w:val="20"/>
          <w:szCs w:val="20"/>
        </w:rPr>
        <w:t>N</w:t>
      </w:r>
      <w:r w:rsidR="00FC69C5" w:rsidRPr="003C440A">
        <w:rPr>
          <w:rFonts w:ascii="Times New Roman" w:hAnsi="Times New Roman" w:cs="Times New Roman"/>
          <w:sz w:val="20"/>
          <w:szCs w:val="20"/>
        </w:rPr>
        <w:t xml:space="preserve"> denotes the number of firms in each </w:t>
      </w:r>
      <w:r w:rsidR="00230D24">
        <w:rPr>
          <w:rFonts w:ascii="Times New Roman" w:hAnsi="Times New Roman" w:cs="Times New Roman"/>
          <w:sz w:val="20"/>
          <w:szCs w:val="20"/>
        </w:rPr>
        <w:t>(sub)sample</w:t>
      </w:r>
      <w:r w:rsidR="00FC69C5" w:rsidRPr="003C440A">
        <w:rPr>
          <w:rFonts w:ascii="Times New Roman" w:hAnsi="Times New Roman" w:cs="Times New Roman"/>
          <w:sz w:val="20"/>
          <w:szCs w:val="20"/>
        </w:rPr>
        <w:t xml:space="preserve">. </w:t>
      </w:r>
    </w:p>
    <w:p w14:paraId="671421C0" w14:textId="77777777" w:rsidR="00D30177" w:rsidRDefault="00D30177" w:rsidP="008E0F19">
      <w:pPr>
        <w:spacing w:after="0"/>
        <w:jc w:val="both"/>
        <w:rPr>
          <w:rFonts w:ascii="Times New Roman" w:hAnsi="Times New Roman" w:cs="Times New Roman"/>
          <w:sz w:val="20"/>
          <w:szCs w:val="20"/>
        </w:rPr>
      </w:pPr>
    </w:p>
    <w:p w14:paraId="0A5FB505" w14:textId="77777777" w:rsidR="00087BAA" w:rsidRDefault="00087BAA" w:rsidP="008D6255">
      <w:pPr>
        <w:spacing w:after="0"/>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14B0345F" w14:textId="77777777" w:rsidR="008D6255" w:rsidRPr="00622F6C" w:rsidRDefault="008D6255" w:rsidP="008D6255">
      <w:pPr>
        <w:spacing w:after="0"/>
        <w:rPr>
          <w:rFonts w:ascii="Times New Roman" w:hAnsi="Times New Roman" w:cs="Times New Roman"/>
          <w:b/>
          <w:sz w:val="20"/>
          <w:szCs w:val="20"/>
          <w:lang w:val="en-US"/>
        </w:rPr>
      </w:pPr>
      <w:r w:rsidRPr="00622F6C">
        <w:rPr>
          <w:rFonts w:ascii="Times New Roman" w:hAnsi="Times New Roman" w:cs="Times New Roman"/>
          <w:b/>
          <w:sz w:val="20"/>
          <w:szCs w:val="20"/>
          <w:lang w:val="en-US"/>
        </w:rPr>
        <w:lastRenderedPageBreak/>
        <w:t>Appendix: Measurement of independent variables</w:t>
      </w:r>
    </w:p>
    <w:p w14:paraId="46D5D2CA" w14:textId="77777777" w:rsidR="008D6255" w:rsidRPr="00622F6C" w:rsidRDefault="008D6255" w:rsidP="008D6255">
      <w:pPr>
        <w:spacing w:after="0"/>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This </w:t>
      </w:r>
      <w:r w:rsidR="005B2458">
        <w:rPr>
          <w:rFonts w:ascii="Times New Roman" w:hAnsi="Times New Roman" w:cs="Times New Roman"/>
          <w:sz w:val="20"/>
          <w:szCs w:val="20"/>
          <w:lang w:val="en-US"/>
        </w:rPr>
        <w:t>a</w:t>
      </w:r>
      <w:r w:rsidR="005B2458" w:rsidRPr="00622F6C">
        <w:rPr>
          <w:rFonts w:ascii="Times New Roman" w:hAnsi="Times New Roman" w:cs="Times New Roman"/>
          <w:sz w:val="20"/>
          <w:szCs w:val="20"/>
          <w:lang w:val="en-US"/>
        </w:rPr>
        <w:t xml:space="preserve">ppendix </w:t>
      </w:r>
      <w:r w:rsidRPr="00622F6C">
        <w:rPr>
          <w:rFonts w:ascii="Times New Roman" w:hAnsi="Times New Roman" w:cs="Times New Roman"/>
          <w:sz w:val="20"/>
          <w:szCs w:val="20"/>
          <w:lang w:val="en-US"/>
        </w:rPr>
        <w:t xml:space="preserve">outlines the measurement and sources of the independent variables used in the cross-sectional regressions in Table 5. We </w:t>
      </w:r>
      <w:r w:rsidR="005B2458">
        <w:rPr>
          <w:rFonts w:ascii="Times New Roman" w:hAnsi="Times New Roman" w:cs="Times New Roman"/>
          <w:sz w:val="20"/>
          <w:szCs w:val="20"/>
          <w:lang w:val="en-US"/>
        </w:rPr>
        <w:t>list</w:t>
      </w:r>
      <w:r w:rsidR="005B245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the variables in the order in which they appear in </w:t>
      </w:r>
      <w:r w:rsidR="005B2458" w:rsidRPr="00622F6C">
        <w:rPr>
          <w:rFonts w:ascii="Times New Roman" w:hAnsi="Times New Roman" w:cs="Times New Roman"/>
          <w:sz w:val="20"/>
          <w:szCs w:val="20"/>
          <w:lang w:val="en-US"/>
        </w:rPr>
        <w:t>th</w:t>
      </w:r>
      <w:r w:rsidR="005B2458">
        <w:rPr>
          <w:rFonts w:ascii="Times New Roman" w:hAnsi="Times New Roman" w:cs="Times New Roman"/>
          <w:sz w:val="20"/>
          <w:szCs w:val="20"/>
          <w:lang w:val="en-US"/>
        </w:rPr>
        <w:t>at</w:t>
      </w:r>
      <w:r w:rsidR="005B245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table. </w:t>
      </w:r>
      <w:r w:rsidR="007635D4">
        <w:rPr>
          <w:rFonts w:ascii="Times New Roman" w:hAnsi="Times New Roman" w:cs="Times New Roman"/>
          <w:sz w:val="20"/>
          <w:szCs w:val="20"/>
          <w:lang w:val="en-US"/>
        </w:rPr>
        <w:t xml:space="preserve">The data collection </w:t>
      </w:r>
      <w:r w:rsidR="002908F1">
        <w:rPr>
          <w:rFonts w:ascii="Times New Roman" w:hAnsi="Times New Roman" w:cs="Times New Roman"/>
          <w:sz w:val="20"/>
          <w:szCs w:val="20"/>
          <w:lang w:val="en-US"/>
        </w:rPr>
        <w:t>took place</w:t>
      </w:r>
      <w:r w:rsidR="007635D4">
        <w:rPr>
          <w:rFonts w:ascii="Times New Roman" w:hAnsi="Times New Roman" w:cs="Times New Roman"/>
          <w:sz w:val="20"/>
          <w:szCs w:val="20"/>
          <w:lang w:val="en-US"/>
        </w:rPr>
        <w:t xml:space="preserve"> in March and April 2018.</w:t>
      </w:r>
      <w:r w:rsidRPr="00622F6C">
        <w:rPr>
          <w:rFonts w:ascii="Times New Roman" w:hAnsi="Times New Roman" w:cs="Times New Roman"/>
          <w:sz w:val="20"/>
          <w:szCs w:val="20"/>
          <w:lang w:val="en-US"/>
        </w:rPr>
        <w:t xml:space="preserve"> </w:t>
      </w:r>
    </w:p>
    <w:tbl>
      <w:tblPr>
        <w:tblStyle w:val="TableGrid41"/>
        <w:tblW w:w="507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7946"/>
        <w:gridCol w:w="3585"/>
      </w:tblGrid>
      <w:tr w:rsidR="008D6255" w:rsidRPr="00622F6C" w14:paraId="4943B558" w14:textId="77777777" w:rsidTr="002F53F1">
        <w:tc>
          <w:tcPr>
            <w:tcW w:w="925" w:type="pct"/>
            <w:tcBorders>
              <w:top w:val="single" w:sz="4" w:space="0" w:color="auto"/>
              <w:left w:val="single" w:sz="4" w:space="0" w:color="auto"/>
              <w:bottom w:val="single" w:sz="4" w:space="0" w:color="auto"/>
              <w:right w:val="single" w:sz="4" w:space="0" w:color="auto"/>
            </w:tcBorders>
          </w:tcPr>
          <w:p w14:paraId="140464A7" w14:textId="77777777" w:rsidR="008D6255" w:rsidRPr="00622F6C" w:rsidRDefault="008D6255" w:rsidP="008D6255">
            <w:pPr>
              <w:rPr>
                <w:rFonts w:ascii="Times New Roman" w:hAnsi="Times New Roman" w:cs="Times New Roman"/>
                <w:i/>
                <w:sz w:val="20"/>
                <w:szCs w:val="20"/>
                <w:lang w:val="en-US"/>
              </w:rPr>
            </w:pPr>
            <w:r w:rsidRPr="00622F6C">
              <w:rPr>
                <w:rFonts w:ascii="Times New Roman" w:hAnsi="Times New Roman" w:cs="Times New Roman"/>
                <w:i/>
                <w:sz w:val="20"/>
                <w:szCs w:val="20"/>
                <w:lang w:val="en-US"/>
              </w:rPr>
              <w:t>Variable</w:t>
            </w:r>
          </w:p>
        </w:tc>
        <w:tc>
          <w:tcPr>
            <w:tcW w:w="2808" w:type="pct"/>
            <w:tcBorders>
              <w:top w:val="single" w:sz="4" w:space="0" w:color="auto"/>
              <w:left w:val="single" w:sz="4" w:space="0" w:color="auto"/>
              <w:bottom w:val="single" w:sz="4" w:space="0" w:color="auto"/>
              <w:right w:val="single" w:sz="4" w:space="0" w:color="auto"/>
            </w:tcBorders>
          </w:tcPr>
          <w:p w14:paraId="07962946" w14:textId="77777777" w:rsidR="008D6255" w:rsidRPr="00622F6C" w:rsidRDefault="008D6255" w:rsidP="008D6255">
            <w:pPr>
              <w:rPr>
                <w:rFonts w:ascii="Times New Roman" w:hAnsi="Times New Roman" w:cs="Times New Roman"/>
                <w:i/>
                <w:sz w:val="20"/>
                <w:szCs w:val="20"/>
                <w:lang w:val="en-US"/>
              </w:rPr>
            </w:pPr>
            <w:r w:rsidRPr="00622F6C">
              <w:rPr>
                <w:rFonts w:ascii="Times New Roman" w:hAnsi="Times New Roman" w:cs="Times New Roman"/>
                <w:i/>
                <w:sz w:val="20"/>
                <w:szCs w:val="20"/>
                <w:lang w:val="en-US"/>
              </w:rPr>
              <w:t xml:space="preserve">Definition </w:t>
            </w:r>
          </w:p>
        </w:tc>
        <w:tc>
          <w:tcPr>
            <w:tcW w:w="1267" w:type="pct"/>
            <w:tcBorders>
              <w:top w:val="single" w:sz="4" w:space="0" w:color="auto"/>
              <w:left w:val="single" w:sz="4" w:space="0" w:color="auto"/>
              <w:bottom w:val="single" w:sz="4" w:space="0" w:color="auto"/>
              <w:right w:val="single" w:sz="4" w:space="0" w:color="auto"/>
            </w:tcBorders>
          </w:tcPr>
          <w:p w14:paraId="26BA044D" w14:textId="77777777" w:rsidR="008D6255" w:rsidRPr="00622F6C" w:rsidRDefault="008D6255" w:rsidP="008D6255">
            <w:pPr>
              <w:rPr>
                <w:rFonts w:ascii="Times New Roman" w:hAnsi="Times New Roman" w:cs="Times New Roman"/>
                <w:i/>
                <w:sz w:val="20"/>
                <w:szCs w:val="20"/>
                <w:lang w:val="en-US"/>
              </w:rPr>
            </w:pPr>
            <w:r w:rsidRPr="00622F6C">
              <w:rPr>
                <w:rFonts w:ascii="Times New Roman" w:hAnsi="Times New Roman" w:cs="Times New Roman"/>
                <w:i/>
                <w:sz w:val="20"/>
                <w:szCs w:val="20"/>
                <w:lang w:val="en-US"/>
              </w:rPr>
              <w:t>Source(s)</w:t>
            </w:r>
          </w:p>
        </w:tc>
      </w:tr>
      <w:tr w:rsidR="008D6255" w:rsidRPr="00622F6C" w14:paraId="1235C2E2" w14:textId="77777777" w:rsidTr="0089304C">
        <w:trPr>
          <w:trHeight w:val="828"/>
        </w:trPr>
        <w:tc>
          <w:tcPr>
            <w:tcW w:w="925" w:type="pct"/>
            <w:tcBorders>
              <w:top w:val="single" w:sz="4" w:space="0" w:color="auto"/>
              <w:left w:val="single" w:sz="4" w:space="0" w:color="auto"/>
              <w:bottom w:val="single" w:sz="4" w:space="0" w:color="auto"/>
              <w:right w:val="single" w:sz="4" w:space="0" w:color="auto"/>
            </w:tcBorders>
          </w:tcPr>
          <w:p w14:paraId="4590D3B9"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Social Incidents </w:t>
            </w:r>
          </w:p>
        </w:tc>
        <w:tc>
          <w:tcPr>
            <w:tcW w:w="2808" w:type="pct"/>
            <w:tcBorders>
              <w:top w:val="single" w:sz="4" w:space="0" w:color="auto"/>
              <w:left w:val="single" w:sz="4" w:space="0" w:color="auto"/>
              <w:bottom w:val="single" w:sz="4" w:space="0" w:color="auto"/>
              <w:right w:val="single" w:sz="4" w:space="0" w:color="auto"/>
            </w:tcBorders>
          </w:tcPr>
          <w:p w14:paraId="6017497B"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Captures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’s </w:t>
            </w:r>
            <w:r w:rsidRPr="00622F6C">
              <w:rPr>
                <w:rFonts w:ascii="Times New Roman" w:hAnsi="Times New Roman" w:cs="Times New Roman"/>
                <w:sz w:val="20"/>
                <w:szCs w:val="20"/>
                <w:lang w:val="en-US"/>
              </w:rPr>
              <w:t xml:space="preserve">exposure to risks associated with social incidents over the two years before February 2013. We measure it as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’s </w:t>
            </w:r>
            <w:r w:rsidRPr="00622F6C">
              <w:rPr>
                <w:rFonts w:ascii="Times New Roman" w:hAnsi="Times New Roman" w:cs="Times New Roman"/>
                <w:sz w:val="20"/>
                <w:szCs w:val="20"/>
                <w:lang w:val="en-US"/>
              </w:rPr>
              <w:t xml:space="preserve">Peak RepRisk Index (Peak RRI), multiplied </w:t>
            </w:r>
            <w:r w:rsidR="005B2458">
              <w:rPr>
                <w:rFonts w:ascii="Times New Roman" w:hAnsi="Times New Roman" w:cs="Times New Roman"/>
                <w:sz w:val="20"/>
                <w:szCs w:val="20"/>
                <w:lang w:val="en-US"/>
              </w:rPr>
              <w:t>by</w:t>
            </w:r>
            <w:r w:rsidR="005B245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S Percentage, both as of February 2013. Peak RRI measures the overall Environmental, Social, and Corporate Governance (ESG) and business conduct risk exposure of a firm, obtained through RepRisk’s proprietary algorithm based on media and stakeholder coverage. S Percentage captures the proportion of social incidents in relation to the total number of risk incidents linked to the firm. </w:t>
            </w:r>
          </w:p>
        </w:tc>
        <w:tc>
          <w:tcPr>
            <w:tcW w:w="1267" w:type="pct"/>
            <w:tcBorders>
              <w:top w:val="single" w:sz="4" w:space="0" w:color="auto"/>
              <w:left w:val="single" w:sz="4" w:space="0" w:color="auto"/>
              <w:bottom w:val="single" w:sz="4" w:space="0" w:color="auto"/>
              <w:right w:val="single" w:sz="4" w:space="0" w:color="auto"/>
            </w:tcBorders>
          </w:tcPr>
          <w:p w14:paraId="786AD563"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RepRisk items Peak RRI and S Percentage (monthly items).</w:t>
            </w:r>
          </w:p>
          <w:p w14:paraId="358931C6" w14:textId="77777777" w:rsidR="008D6255" w:rsidRPr="00622F6C" w:rsidRDefault="008D6255" w:rsidP="008D6255">
            <w:pPr>
              <w:rPr>
                <w:rFonts w:ascii="Times New Roman" w:hAnsi="Times New Roman" w:cs="Times New Roman"/>
                <w:sz w:val="20"/>
                <w:szCs w:val="20"/>
                <w:lang w:val="en-US"/>
              </w:rPr>
            </w:pPr>
          </w:p>
          <w:p w14:paraId="6B4747AD" w14:textId="77777777" w:rsidR="008D6255" w:rsidRPr="00622F6C" w:rsidRDefault="008D6255" w:rsidP="008D6255">
            <w:pPr>
              <w:rPr>
                <w:rFonts w:ascii="Times New Roman" w:hAnsi="Times New Roman" w:cs="Times New Roman"/>
                <w:sz w:val="20"/>
                <w:szCs w:val="20"/>
                <w:lang w:val="en-US"/>
              </w:rPr>
            </w:pPr>
          </w:p>
          <w:p w14:paraId="2895B461" w14:textId="77777777" w:rsidR="008D6255" w:rsidRPr="00622F6C" w:rsidRDefault="008D6255" w:rsidP="008D6255">
            <w:pPr>
              <w:rPr>
                <w:rFonts w:ascii="Times New Roman" w:hAnsi="Times New Roman" w:cs="Times New Roman"/>
                <w:sz w:val="20"/>
                <w:szCs w:val="20"/>
                <w:lang w:val="en-US"/>
              </w:rPr>
            </w:pPr>
          </w:p>
        </w:tc>
      </w:tr>
      <w:tr w:rsidR="008D6255" w:rsidRPr="00622F6C" w14:paraId="44914FC3" w14:textId="77777777" w:rsidTr="0089304C">
        <w:tc>
          <w:tcPr>
            <w:tcW w:w="925" w:type="pct"/>
            <w:tcBorders>
              <w:top w:val="single" w:sz="4" w:space="0" w:color="auto"/>
              <w:left w:val="single" w:sz="4" w:space="0" w:color="auto"/>
              <w:bottom w:val="single" w:sz="4" w:space="0" w:color="auto"/>
              <w:right w:val="single" w:sz="4" w:space="0" w:color="auto"/>
            </w:tcBorders>
          </w:tcPr>
          <w:p w14:paraId="3382232E" w14:textId="77777777" w:rsidR="008D6255" w:rsidRPr="00622F6C" w:rsidRDefault="00C25D97" w:rsidP="008D6255">
            <w:pPr>
              <w:rPr>
                <w:rFonts w:ascii="Times New Roman" w:hAnsi="Times New Roman" w:cs="Times New Roman"/>
                <w:sz w:val="20"/>
                <w:szCs w:val="20"/>
                <w:lang w:val="en-US"/>
              </w:rPr>
            </w:pPr>
            <w:r>
              <w:rPr>
                <w:rFonts w:ascii="Times New Roman" w:hAnsi="Times New Roman" w:cs="Times New Roman"/>
                <w:sz w:val="20"/>
                <w:szCs w:val="20"/>
                <w:lang w:val="en-US"/>
              </w:rPr>
              <w:t>Critical</w:t>
            </w:r>
            <w:r w:rsidR="00C95947">
              <w:rPr>
                <w:rFonts w:ascii="Times New Roman" w:hAnsi="Times New Roman" w:cs="Times New Roman"/>
                <w:sz w:val="20"/>
                <w:szCs w:val="20"/>
                <w:lang w:val="en-US"/>
              </w:rPr>
              <w:t xml:space="preserve"> Countries Policy</w:t>
            </w:r>
          </w:p>
        </w:tc>
        <w:tc>
          <w:tcPr>
            <w:tcW w:w="2808" w:type="pct"/>
            <w:tcBorders>
              <w:top w:val="single" w:sz="4" w:space="0" w:color="auto"/>
              <w:left w:val="single" w:sz="4" w:space="0" w:color="auto"/>
              <w:bottom w:val="single" w:sz="4" w:space="0" w:color="auto"/>
              <w:right w:val="single" w:sz="4" w:space="0" w:color="auto"/>
            </w:tcBorders>
          </w:tcPr>
          <w:p w14:paraId="228C75B4"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Dummy variable equal to one if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states it has a policy in place to limit activities in </w:t>
            </w:r>
            <w:r w:rsidR="00284BB6">
              <w:rPr>
                <w:rFonts w:ascii="Times New Roman" w:hAnsi="Times New Roman" w:cs="Times New Roman"/>
                <w:sz w:val="20"/>
                <w:szCs w:val="20"/>
                <w:lang w:val="en-US"/>
              </w:rPr>
              <w:t xml:space="preserve">undemocratic </w:t>
            </w:r>
            <w:r w:rsidRPr="00622F6C">
              <w:rPr>
                <w:rFonts w:ascii="Times New Roman" w:hAnsi="Times New Roman" w:cs="Times New Roman"/>
                <w:sz w:val="20"/>
                <w:szCs w:val="20"/>
                <w:lang w:val="en-US"/>
              </w:rPr>
              <w:t>countries abusing human rights</w:t>
            </w:r>
            <w:r w:rsidR="00C25D97">
              <w:rPr>
                <w:rFonts w:ascii="Times New Roman" w:hAnsi="Times New Roman" w:cs="Times New Roman"/>
                <w:sz w:val="20"/>
                <w:szCs w:val="20"/>
                <w:lang w:val="en-US"/>
              </w:rPr>
              <w:t xml:space="preserve"> (which Asset4 labels ‘critical countries’)</w:t>
            </w:r>
            <w:r w:rsidRPr="00622F6C">
              <w:rPr>
                <w:rFonts w:ascii="Times New Roman" w:hAnsi="Times New Roman" w:cs="Times New Roman"/>
                <w:sz w:val="20"/>
                <w:szCs w:val="20"/>
                <w:lang w:val="en-US"/>
              </w:rPr>
              <w:t xml:space="preserve">, and equal to zero otherwise. We measure this as of the year 2012. </w:t>
            </w:r>
          </w:p>
        </w:tc>
        <w:tc>
          <w:tcPr>
            <w:tcW w:w="1267" w:type="pct"/>
            <w:tcBorders>
              <w:top w:val="single" w:sz="4" w:space="0" w:color="auto"/>
              <w:left w:val="single" w:sz="4" w:space="0" w:color="auto"/>
              <w:bottom w:val="single" w:sz="4" w:space="0" w:color="auto"/>
              <w:right w:val="single" w:sz="4" w:space="0" w:color="auto"/>
            </w:tcBorders>
          </w:tcPr>
          <w:p w14:paraId="018C33A4"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Asset4 item SOCODP001A (annual item).</w:t>
            </w:r>
          </w:p>
          <w:p w14:paraId="7AA5C55C" w14:textId="77777777" w:rsidR="008D6255" w:rsidRPr="00622F6C" w:rsidRDefault="008D6255" w:rsidP="008D6255">
            <w:pPr>
              <w:rPr>
                <w:rFonts w:ascii="Times New Roman" w:hAnsi="Times New Roman" w:cs="Times New Roman"/>
                <w:sz w:val="20"/>
                <w:szCs w:val="20"/>
                <w:lang w:val="en-US"/>
              </w:rPr>
            </w:pPr>
          </w:p>
        </w:tc>
      </w:tr>
      <w:tr w:rsidR="008D6255" w:rsidRPr="00622F6C" w14:paraId="7543EE0B" w14:textId="77777777" w:rsidTr="0089304C">
        <w:trPr>
          <w:trHeight w:val="223"/>
        </w:trPr>
        <w:tc>
          <w:tcPr>
            <w:tcW w:w="925" w:type="pct"/>
            <w:tcBorders>
              <w:top w:val="single" w:sz="4" w:space="0" w:color="auto"/>
              <w:left w:val="single" w:sz="4" w:space="0" w:color="auto"/>
              <w:bottom w:val="single" w:sz="4" w:space="0" w:color="auto"/>
              <w:right w:val="single" w:sz="4" w:space="0" w:color="auto"/>
            </w:tcBorders>
          </w:tcPr>
          <w:p w14:paraId="15ADBC17" w14:textId="77777777" w:rsidR="008D6255" w:rsidRPr="00622F6C" w:rsidRDefault="00C95947" w:rsidP="008D6255">
            <w:pPr>
              <w:tabs>
                <w:tab w:val="center" w:pos="1874"/>
              </w:tabs>
              <w:rPr>
                <w:rFonts w:ascii="Times New Roman" w:hAnsi="Times New Roman" w:cs="Times New Roman"/>
                <w:sz w:val="20"/>
                <w:szCs w:val="20"/>
                <w:lang w:val="en-US"/>
              </w:rPr>
            </w:pPr>
            <w:r>
              <w:rPr>
                <w:rFonts w:ascii="Times New Roman" w:hAnsi="Times New Roman" w:cs="Times New Roman"/>
                <w:sz w:val="20"/>
                <w:szCs w:val="20"/>
                <w:lang w:val="en-US"/>
              </w:rPr>
              <w:t>Forced Labor Policy</w:t>
            </w:r>
          </w:p>
        </w:tc>
        <w:tc>
          <w:tcPr>
            <w:tcW w:w="2808" w:type="pct"/>
            <w:tcBorders>
              <w:top w:val="single" w:sz="4" w:space="0" w:color="auto"/>
              <w:left w:val="single" w:sz="4" w:space="0" w:color="auto"/>
              <w:bottom w:val="single" w:sz="4" w:space="0" w:color="auto"/>
              <w:right w:val="single" w:sz="4" w:space="0" w:color="auto"/>
            </w:tcBorders>
          </w:tcPr>
          <w:p w14:paraId="45158670"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Dummy variable equal to one if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states it has processes in place to avoid the use of forced labor, and equal to zero otherwise. We measure this as of the year 2012. </w:t>
            </w:r>
          </w:p>
        </w:tc>
        <w:tc>
          <w:tcPr>
            <w:tcW w:w="1267" w:type="pct"/>
            <w:tcBorders>
              <w:top w:val="single" w:sz="4" w:space="0" w:color="auto"/>
              <w:left w:val="single" w:sz="4" w:space="0" w:color="auto"/>
              <w:bottom w:val="single" w:sz="4" w:space="0" w:color="auto"/>
              <w:right w:val="single" w:sz="4" w:space="0" w:color="auto"/>
            </w:tcBorders>
          </w:tcPr>
          <w:p w14:paraId="65D3467C"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Asset4 item SOHRDP0103 (annual item).</w:t>
            </w:r>
          </w:p>
        </w:tc>
      </w:tr>
      <w:tr w:rsidR="008D6255" w:rsidRPr="00622F6C" w14:paraId="7E31870A" w14:textId="77777777" w:rsidTr="0089304C">
        <w:tc>
          <w:tcPr>
            <w:tcW w:w="925" w:type="pct"/>
            <w:tcBorders>
              <w:top w:val="single" w:sz="4" w:space="0" w:color="auto"/>
              <w:left w:val="single" w:sz="4" w:space="0" w:color="auto"/>
              <w:bottom w:val="single" w:sz="4" w:space="0" w:color="auto"/>
              <w:right w:val="single" w:sz="4" w:space="0" w:color="auto"/>
            </w:tcBorders>
          </w:tcPr>
          <w:p w14:paraId="4F7650EF"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Social Disclosure</w:t>
            </w:r>
          </w:p>
        </w:tc>
        <w:tc>
          <w:tcPr>
            <w:tcW w:w="2808" w:type="pct"/>
            <w:tcBorders>
              <w:top w:val="single" w:sz="4" w:space="0" w:color="auto"/>
              <w:left w:val="single" w:sz="4" w:space="0" w:color="auto"/>
              <w:bottom w:val="single" w:sz="4" w:space="0" w:color="auto"/>
              <w:right w:val="single" w:sz="4" w:space="0" w:color="auto"/>
            </w:tcBorders>
          </w:tcPr>
          <w:p w14:paraId="090BC528"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Dummy variable equal to one if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provides a description of the implementation of its human rights policy, and equal to zero otherwise. We measure this as of the year 2012. </w:t>
            </w:r>
          </w:p>
        </w:tc>
        <w:tc>
          <w:tcPr>
            <w:tcW w:w="1267" w:type="pct"/>
            <w:tcBorders>
              <w:top w:val="single" w:sz="4" w:space="0" w:color="auto"/>
              <w:left w:val="single" w:sz="4" w:space="0" w:color="auto"/>
              <w:bottom w:val="single" w:sz="4" w:space="0" w:color="auto"/>
              <w:right w:val="single" w:sz="4" w:space="0" w:color="auto"/>
            </w:tcBorders>
          </w:tcPr>
          <w:p w14:paraId="23974B53"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Asset4 item SOHRD02V (annual item).</w:t>
            </w:r>
          </w:p>
        </w:tc>
      </w:tr>
      <w:tr w:rsidR="008D6255" w:rsidRPr="00622F6C" w14:paraId="52194467" w14:textId="77777777" w:rsidTr="0089304C">
        <w:tc>
          <w:tcPr>
            <w:tcW w:w="925" w:type="pct"/>
            <w:tcBorders>
              <w:top w:val="single" w:sz="4" w:space="0" w:color="auto"/>
              <w:left w:val="single" w:sz="4" w:space="0" w:color="auto"/>
              <w:bottom w:val="single" w:sz="4" w:space="0" w:color="auto"/>
              <w:right w:val="single" w:sz="4" w:space="0" w:color="auto"/>
            </w:tcBorders>
          </w:tcPr>
          <w:p w14:paraId="4D168D4F"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CSR Disclosure</w:t>
            </w:r>
          </w:p>
          <w:p w14:paraId="7537E125" w14:textId="77777777" w:rsidR="008D6255" w:rsidRPr="00622F6C" w:rsidRDefault="008D6255" w:rsidP="0089304C">
            <w:pPr>
              <w:rPr>
                <w:rFonts w:ascii="Times New Roman" w:hAnsi="Times New Roman" w:cs="Times New Roman"/>
                <w:sz w:val="20"/>
                <w:szCs w:val="20"/>
                <w:lang w:val="en-US"/>
              </w:rPr>
            </w:pPr>
          </w:p>
        </w:tc>
        <w:tc>
          <w:tcPr>
            <w:tcW w:w="2808" w:type="pct"/>
            <w:tcBorders>
              <w:top w:val="single" w:sz="4" w:space="0" w:color="auto"/>
              <w:left w:val="single" w:sz="4" w:space="0" w:color="auto"/>
              <w:bottom w:val="single" w:sz="4" w:space="0" w:color="auto"/>
              <w:right w:val="single" w:sz="4" w:space="0" w:color="auto"/>
            </w:tcBorders>
          </w:tcPr>
          <w:p w14:paraId="7BC53349"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Measures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’s </w:t>
            </w:r>
            <w:r w:rsidRPr="00622F6C">
              <w:rPr>
                <w:rFonts w:ascii="Times New Roman" w:hAnsi="Times New Roman" w:cs="Times New Roman"/>
                <w:sz w:val="20"/>
                <w:szCs w:val="20"/>
                <w:lang w:val="en-US"/>
              </w:rPr>
              <w:t>overall CSR disclosure levels</w:t>
            </w:r>
            <w:r w:rsidR="00284BB6">
              <w:rPr>
                <w:rFonts w:ascii="Times New Roman" w:hAnsi="Times New Roman" w:cs="Times New Roman"/>
                <w:sz w:val="20"/>
                <w:szCs w:val="20"/>
                <w:lang w:val="en-US"/>
              </w:rPr>
              <w:t>,</w:t>
            </w:r>
            <w:r w:rsidRPr="00622F6C">
              <w:rPr>
                <w:rFonts w:ascii="Times New Roman" w:hAnsi="Times New Roman" w:cs="Times New Roman"/>
                <w:sz w:val="20"/>
                <w:szCs w:val="20"/>
                <w:lang w:val="en-US"/>
              </w:rPr>
              <w:t xml:space="preserve"> through Thomson Reuters variable CSR Strategy Score. This variable is based on eight indicators reflecting CSR disclosure practices, such as whether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has an external auditor for its CSR</w:t>
            </w:r>
            <w:r w:rsidR="005B245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report, whether the extra-financial report takes into account the global activities o</w:t>
            </w:r>
            <w:r w:rsidR="00DD40F7">
              <w:rPr>
                <w:rFonts w:ascii="Times New Roman" w:hAnsi="Times New Roman" w:cs="Times New Roman"/>
                <w:sz w:val="20"/>
                <w:szCs w:val="20"/>
                <w:lang w:val="en-US"/>
              </w:rPr>
              <w:t xml:space="preserve">f the company, and whether the </w:t>
            </w:r>
            <w:r w:rsidRPr="00622F6C">
              <w:rPr>
                <w:rFonts w:ascii="Times New Roman" w:hAnsi="Times New Roman" w:cs="Times New Roman"/>
                <w:sz w:val="20"/>
                <w:szCs w:val="20"/>
                <w:lang w:val="en-US"/>
              </w:rPr>
              <w:t>CSR</w:t>
            </w:r>
            <w:r w:rsidR="005B2458"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 xml:space="preserve">report is in line with </w:t>
            </w:r>
            <w:r w:rsidR="008E21EE">
              <w:rPr>
                <w:rFonts w:ascii="Times New Roman" w:hAnsi="Times New Roman" w:cs="Times New Roman"/>
                <w:sz w:val="20"/>
                <w:szCs w:val="20"/>
                <w:lang w:val="en-US"/>
              </w:rPr>
              <w:t>Global Reporting</w:t>
            </w:r>
            <w:r w:rsidR="00E54777">
              <w:rPr>
                <w:rFonts w:ascii="Times New Roman" w:hAnsi="Times New Roman" w:cs="Times New Roman"/>
                <w:sz w:val="20"/>
                <w:szCs w:val="20"/>
                <w:lang w:val="en-US"/>
              </w:rPr>
              <w:t xml:space="preserve"> Initiative </w:t>
            </w:r>
            <w:r w:rsidRPr="00622F6C">
              <w:rPr>
                <w:rFonts w:ascii="Times New Roman" w:hAnsi="Times New Roman" w:cs="Times New Roman"/>
                <w:sz w:val="20"/>
                <w:szCs w:val="20"/>
                <w:lang w:val="en-US"/>
              </w:rPr>
              <w:t xml:space="preserve">standards. We measure this as of the year 2012. </w:t>
            </w:r>
          </w:p>
        </w:tc>
        <w:tc>
          <w:tcPr>
            <w:tcW w:w="1267" w:type="pct"/>
            <w:tcBorders>
              <w:top w:val="single" w:sz="4" w:space="0" w:color="auto"/>
              <w:left w:val="single" w:sz="4" w:space="0" w:color="auto"/>
              <w:bottom w:val="single" w:sz="4" w:space="0" w:color="auto"/>
              <w:right w:val="single" w:sz="4" w:space="0" w:color="auto"/>
            </w:tcBorders>
          </w:tcPr>
          <w:p w14:paraId="574D789F" w14:textId="77777777" w:rsidR="008D6255" w:rsidRPr="00622F6C" w:rsidRDefault="008D6255" w:rsidP="0089304C">
            <w:pPr>
              <w:rPr>
                <w:rFonts w:ascii="Times New Roman" w:hAnsi="Times New Roman" w:cs="Times New Roman"/>
                <w:sz w:val="20"/>
                <w:szCs w:val="20"/>
                <w:lang w:val="en-US"/>
              </w:rPr>
            </w:pPr>
            <w:r w:rsidRPr="00622F6C">
              <w:rPr>
                <w:rFonts w:ascii="Times New Roman" w:hAnsi="Times New Roman" w:cs="Times New Roman"/>
                <w:sz w:val="20"/>
                <w:szCs w:val="20"/>
                <w:lang w:val="en-US"/>
              </w:rPr>
              <w:t>Thomson Reuters ESG Research Data item TRESGCGVSS (annual item).</w:t>
            </w:r>
          </w:p>
        </w:tc>
      </w:tr>
      <w:tr w:rsidR="0089304C" w:rsidRPr="00622F6C" w14:paraId="50264E12" w14:textId="77777777" w:rsidTr="0089304C">
        <w:tc>
          <w:tcPr>
            <w:tcW w:w="925" w:type="pct"/>
            <w:tcBorders>
              <w:top w:val="single" w:sz="4" w:space="0" w:color="auto"/>
              <w:left w:val="single" w:sz="4" w:space="0" w:color="auto"/>
              <w:bottom w:val="single" w:sz="4" w:space="0" w:color="auto"/>
              <w:right w:val="single" w:sz="4" w:space="0" w:color="auto"/>
            </w:tcBorders>
          </w:tcPr>
          <w:p w14:paraId="2E61F8B0" w14:textId="77777777" w:rsidR="0089304C" w:rsidRPr="00622F6C" w:rsidRDefault="0089304C"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Total Assets</w:t>
            </w:r>
          </w:p>
        </w:tc>
        <w:tc>
          <w:tcPr>
            <w:tcW w:w="2808" w:type="pct"/>
            <w:tcBorders>
              <w:top w:val="single" w:sz="4" w:space="0" w:color="auto"/>
              <w:left w:val="single" w:sz="4" w:space="0" w:color="auto"/>
              <w:bottom w:val="single" w:sz="4" w:space="0" w:color="auto"/>
              <w:right w:val="single" w:sz="4" w:space="0" w:color="auto"/>
            </w:tcBorders>
          </w:tcPr>
          <w:p w14:paraId="7F8E4689" w14:textId="77777777" w:rsidR="0089304C" w:rsidRPr="00622F6C" w:rsidRDefault="0089304C" w:rsidP="0089304C">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Total assets, measured in UK </w:t>
            </w:r>
            <w:r>
              <w:rPr>
                <w:rFonts w:ascii="Times New Roman" w:hAnsi="Times New Roman" w:cs="Times New Roman"/>
                <w:sz w:val="20"/>
                <w:szCs w:val="20"/>
                <w:lang w:val="en-US"/>
              </w:rPr>
              <w:t>p</w:t>
            </w:r>
            <w:r w:rsidRPr="00622F6C">
              <w:rPr>
                <w:rFonts w:ascii="Times New Roman" w:hAnsi="Times New Roman" w:cs="Times New Roman"/>
                <w:sz w:val="20"/>
                <w:szCs w:val="20"/>
                <w:lang w:val="en-US"/>
              </w:rPr>
              <w:t xml:space="preserve">ounds (£). In the summary statistics in Table 4, we represent it in £ million for ease of exposition. In the regression analyses in Table 5, we take the natural logarithm of total assets (measured in £ 000s). We measure this as of the fiscal year end before </w:t>
            </w:r>
            <w:r>
              <w:rPr>
                <w:rFonts w:ascii="Times New Roman" w:hAnsi="Times New Roman" w:cs="Times New Roman"/>
                <w:sz w:val="20"/>
                <w:szCs w:val="20"/>
                <w:lang w:val="en-US"/>
              </w:rPr>
              <w:t>event 1</w:t>
            </w:r>
            <w:r w:rsidRPr="00622F6C">
              <w:rPr>
                <w:rFonts w:ascii="Times New Roman" w:hAnsi="Times New Roman" w:cs="Times New Roman"/>
                <w:sz w:val="20"/>
                <w:szCs w:val="20"/>
                <w:lang w:val="en-US"/>
              </w:rPr>
              <w:t xml:space="preserve">. </w:t>
            </w:r>
          </w:p>
        </w:tc>
        <w:tc>
          <w:tcPr>
            <w:tcW w:w="1267" w:type="pct"/>
            <w:tcBorders>
              <w:top w:val="single" w:sz="4" w:space="0" w:color="auto"/>
              <w:left w:val="single" w:sz="4" w:space="0" w:color="auto"/>
              <w:bottom w:val="single" w:sz="4" w:space="0" w:color="auto"/>
              <w:right w:val="single" w:sz="4" w:space="0" w:color="auto"/>
            </w:tcBorders>
          </w:tcPr>
          <w:p w14:paraId="1034E45E" w14:textId="77777777" w:rsidR="0089304C" w:rsidRPr="00622F6C" w:rsidRDefault="0089304C" w:rsidP="0089304C">
            <w:pPr>
              <w:rPr>
                <w:rFonts w:ascii="Times New Roman" w:hAnsi="Times New Roman" w:cs="Times New Roman"/>
                <w:sz w:val="20"/>
                <w:szCs w:val="20"/>
                <w:lang w:val="en-US"/>
              </w:rPr>
            </w:pPr>
            <w:r w:rsidRPr="00622F6C">
              <w:rPr>
                <w:rFonts w:ascii="Times New Roman" w:hAnsi="Times New Roman" w:cs="Times New Roman"/>
                <w:sz w:val="20"/>
                <w:szCs w:val="20"/>
                <w:lang w:val="en-US"/>
              </w:rPr>
              <w:t>Worldscope item WC02999 (annual item).</w:t>
            </w:r>
          </w:p>
          <w:p w14:paraId="5829A185" w14:textId="77777777" w:rsidR="0089304C" w:rsidRPr="00622F6C" w:rsidRDefault="0089304C" w:rsidP="008D6255">
            <w:pPr>
              <w:rPr>
                <w:rFonts w:ascii="Times New Roman" w:hAnsi="Times New Roman" w:cs="Times New Roman"/>
                <w:sz w:val="20"/>
                <w:szCs w:val="20"/>
                <w:lang w:val="en-US"/>
              </w:rPr>
            </w:pPr>
          </w:p>
        </w:tc>
      </w:tr>
      <w:tr w:rsidR="008D6255" w:rsidRPr="00622F6C" w14:paraId="0329F945" w14:textId="77777777" w:rsidTr="0089304C">
        <w:tc>
          <w:tcPr>
            <w:tcW w:w="925" w:type="pct"/>
            <w:tcBorders>
              <w:top w:val="single" w:sz="4" w:space="0" w:color="auto"/>
              <w:left w:val="single" w:sz="4" w:space="0" w:color="auto"/>
              <w:bottom w:val="single" w:sz="4" w:space="0" w:color="auto"/>
              <w:right w:val="single" w:sz="4" w:space="0" w:color="auto"/>
            </w:tcBorders>
          </w:tcPr>
          <w:p w14:paraId="688DF1D0" w14:textId="19CBB6DF"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Country</w:t>
            </w:r>
            <w:r w:rsidRPr="00622F6C">
              <w:rPr>
                <w:rFonts w:ascii="Times New Roman" w:hAnsi="Times New Roman" w:cs="Times New Roman"/>
                <w:color w:val="800000"/>
                <w:sz w:val="20"/>
                <w:szCs w:val="20"/>
                <w:lang w:val="en-US"/>
              </w:rPr>
              <w:t>–</w:t>
            </w:r>
            <w:r w:rsidR="00B009C2">
              <w:rPr>
                <w:rFonts w:ascii="Times New Roman" w:hAnsi="Times New Roman" w:cs="Times New Roman"/>
                <w:sz w:val="20"/>
                <w:szCs w:val="20"/>
                <w:lang w:val="en-US"/>
              </w:rPr>
              <w:t>Industry</w:t>
            </w:r>
            <w:r w:rsidRPr="00622F6C">
              <w:rPr>
                <w:rFonts w:ascii="Times New Roman" w:hAnsi="Times New Roman" w:cs="Times New Roman"/>
                <w:sz w:val="20"/>
                <w:szCs w:val="20"/>
                <w:lang w:val="en-US"/>
              </w:rPr>
              <w:t xml:space="preserve"> ESG Risk </w:t>
            </w:r>
          </w:p>
        </w:tc>
        <w:tc>
          <w:tcPr>
            <w:tcW w:w="2808" w:type="pct"/>
            <w:tcBorders>
              <w:top w:val="single" w:sz="4" w:space="0" w:color="auto"/>
              <w:left w:val="single" w:sz="4" w:space="0" w:color="auto"/>
              <w:bottom w:val="single" w:sz="4" w:space="0" w:color="auto"/>
              <w:right w:val="single" w:sz="4" w:space="0" w:color="auto"/>
            </w:tcBorders>
            <w:shd w:val="clear" w:color="auto" w:fill="auto"/>
          </w:tcPr>
          <w:p w14:paraId="28829A45" w14:textId="77777777" w:rsidR="005B2458"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Dummy variable equal to one if the </w:t>
            </w:r>
            <w:r w:rsidR="00424050">
              <w:rPr>
                <w:rFonts w:ascii="Times New Roman" w:hAnsi="Times New Roman" w:cs="Times New Roman"/>
                <w:sz w:val="20"/>
                <w:szCs w:val="20"/>
                <w:lang w:val="en-US"/>
              </w:rPr>
              <w:t>firm</w:t>
            </w:r>
            <w:r w:rsidRPr="00622F6C">
              <w:rPr>
                <w:rFonts w:ascii="Times New Roman" w:hAnsi="Times New Roman" w:cs="Times New Roman"/>
                <w:sz w:val="20"/>
                <w:szCs w:val="20"/>
                <w:lang w:val="en-US"/>
              </w:rPr>
              <w:t xml:space="preserve"> has a RepRisk </w:t>
            </w:r>
            <w:r w:rsidRPr="00D86194">
              <w:rPr>
                <w:rFonts w:ascii="Times New Roman" w:hAnsi="Times New Roman" w:cs="Times New Roman"/>
                <w:sz w:val="20"/>
                <w:szCs w:val="20"/>
                <w:lang w:val="en-US"/>
              </w:rPr>
              <w:t>Country</w:t>
            </w:r>
            <w:r w:rsidR="00D86194" w:rsidRPr="00622F6C">
              <w:rPr>
                <w:rFonts w:ascii="Times New Roman" w:hAnsi="Times New Roman" w:cs="Times New Roman"/>
                <w:color w:val="800000"/>
                <w:sz w:val="20"/>
                <w:szCs w:val="20"/>
                <w:lang w:val="en-US"/>
              </w:rPr>
              <w:t>–</w:t>
            </w:r>
            <w:r w:rsidRPr="00622F6C">
              <w:rPr>
                <w:rFonts w:ascii="Times New Roman" w:hAnsi="Times New Roman" w:cs="Times New Roman"/>
                <w:sz w:val="20"/>
                <w:szCs w:val="20"/>
                <w:lang w:val="en-US"/>
              </w:rPr>
              <w:t xml:space="preserve">Sector Average value above the sample median of 16, and equal to zero otherwise. While its actual calculation method is proprietary, RepRisk mentions that this variable captures the ESG risk exposure of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’s </w:t>
            </w:r>
            <w:r w:rsidRPr="00622F6C">
              <w:rPr>
                <w:rFonts w:ascii="Times New Roman" w:hAnsi="Times New Roman" w:cs="Times New Roman"/>
                <w:sz w:val="20"/>
                <w:szCs w:val="20"/>
                <w:lang w:val="en-US"/>
              </w:rPr>
              <w:t>country of headquarters and primary sector (weigh</w:t>
            </w:r>
            <w:r w:rsidR="005B2458">
              <w:rPr>
                <w:rFonts w:ascii="Times New Roman" w:hAnsi="Times New Roman" w:cs="Times New Roman"/>
                <w:sz w:val="20"/>
                <w:szCs w:val="20"/>
                <w:lang w:val="en-US"/>
              </w:rPr>
              <w:t>t</w:t>
            </w:r>
            <w:r w:rsidRPr="00622F6C">
              <w:rPr>
                <w:rFonts w:ascii="Times New Roman" w:hAnsi="Times New Roman" w:cs="Times New Roman"/>
                <w:sz w:val="20"/>
                <w:szCs w:val="20"/>
                <w:lang w:val="en-US"/>
              </w:rPr>
              <w:t xml:space="preserve">ed 50%) as well as the ESG risk exposure of the other countries where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is active (weigh</w:t>
            </w:r>
            <w:r w:rsidR="005B2458">
              <w:rPr>
                <w:rFonts w:ascii="Times New Roman" w:hAnsi="Times New Roman" w:cs="Times New Roman"/>
                <w:sz w:val="20"/>
                <w:szCs w:val="20"/>
                <w:lang w:val="en-US"/>
              </w:rPr>
              <w:t>t</w:t>
            </w:r>
            <w:r w:rsidRPr="00622F6C">
              <w:rPr>
                <w:rFonts w:ascii="Times New Roman" w:hAnsi="Times New Roman" w:cs="Times New Roman"/>
                <w:sz w:val="20"/>
                <w:szCs w:val="20"/>
                <w:lang w:val="en-US"/>
              </w:rPr>
              <w:t xml:space="preserve">ed 50%). </w:t>
            </w:r>
          </w:p>
        </w:tc>
        <w:tc>
          <w:tcPr>
            <w:tcW w:w="1267" w:type="pct"/>
            <w:tcBorders>
              <w:top w:val="single" w:sz="4" w:space="0" w:color="auto"/>
              <w:left w:val="single" w:sz="4" w:space="0" w:color="auto"/>
              <w:bottom w:val="single" w:sz="4" w:space="0" w:color="auto"/>
              <w:right w:val="single" w:sz="4" w:space="0" w:color="auto"/>
            </w:tcBorders>
          </w:tcPr>
          <w:p w14:paraId="35651D83" w14:textId="77777777" w:rsidR="008D6255" w:rsidRPr="00622F6C" w:rsidRDefault="008D6255" w:rsidP="008D6255">
            <w:pPr>
              <w:rPr>
                <w:rFonts w:ascii="Times New Roman" w:hAnsi="Times New Roman" w:cs="Times New Roman"/>
                <w:sz w:val="20"/>
                <w:szCs w:val="20"/>
                <w:lang w:val="en-US"/>
              </w:rPr>
            </w:pPr>
            <w:r w:rsidRPr="00622F6C">
              <w:rPr>
                <w:rFonts w:ascii="Times New Roman" w:hAnsi="Times New Roman" w:cs="Times New Roman"/>
                <w:sz w:val="20"/>
                <w:szCs w:val="20"/>
                <w:lang w:val="en-US"/>
              </w:rPr>
              <w:t>RepRisk item Country</w:t>
            </w:r>
            <w:r w:rsidRPr="00622F6C">
              <w:rPr>
                <w:rFonts w:ascii="Times New Roman" w:hAnsi="Times New Roman" w:cs="Times New Roman"/>
                <w:color w:val="800000"/>
                <w:sz w:val="20"/>
                <w:szCs w:val="20"/>
                <w:lang w:val="en-US"/>
              </w:rPr>
              <w:t>–</w:t>
            </w:r>
            <w:r w:rsidRPr="00622F6C">
              <w:rPr>
                <w:rFonts w:ascii="Times New Roman" w:hAnsi="Times New Roman" w:cs="Times New Roman"/>
                <w:sz w:val="20"/>
                <w:szCs w:val="20"/>
                <w:lang w:val="en-US"/>
              </w:rPr>
              <w:t>Sector Average (monthly item).</w:t>
            </w:r>
          </w:p>
        </w:tc>
      </w:tr>
      <w:tr w:rsidR="008D6255" w:rsidRPr="00622F6C" w14:paraId="5A022CB0" w14:textId="77777777" w:rsidTr="0089304C">
        <w:tc>
          <w:tcPr>
            <w:tcW w:w="925" w:type="pct"/>
            <w:tcBorders>
              <w:top w:val="single" w:sz="4" w:space="0" w:color="auto"/>
              <w:left w:val="single" w:sz="4" w:space="0" w:color="auto"/>
              <w:bottom w:val="single" w:sz="4" w:space="0" w:color="auto"/>
              <w:right w:val="single" w:sz="4" w:space="0" w:color="auto"/>
            </w:tcBorders>
          </w:tcPr>
          <w:p w14:paraId="7C4C74E6" w14:textId="37334B40" w:rsidR="008D6255" w:rsidRPr="00622F6C"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t>Industry</w:t>
            </w:r>
            <w:r w:rsidR="008D6255" w:rsidRPr="00622F6C">
              <w:rPr>
                <w:rFonts w:ascii="Times New Roman" w:hAnsi="Times New Roman" w:cs="Times New Roman"/>
                <w:sz w:val="20"/>
                <w:szCs w:val="20"/>
                <w:lang w:val="en-US"/>
              </w:rPr>
              <w:t xml:space="preserve"> Slavery Risk </w:t>
            </w:r>
          </w:p>
        </w:tc>
        <w:tc>
          <w:tcPr>
            <w:tcW w:w="2808" w:type="pct"/>
            <w:tcBorders>
              <w:top w:val="single" w:sz="4" w:space="0" w:color="auto"/>
              <w:left w:val="single" w:sz="4" w:space="0" w:color="auto"/>
              <w:bottom w:val="single" w:sz="4" w:space="0" w:color="auto"/>
              <w:right w:val="single" w:sz="4" w:space="0" w:color="auto"/>
            </w:tcBorders>
          </w:tcPr>
          <w:p w14:paraId="1C2D9B89" w14:textId="77777777" w:rsidR="008D6255" w:rsidRPr="00622F6C" w:rsidRDefault="008D6255">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Dummy variable equal to one if the </w:t>
            </w:r>
            <w:r w:rsidR="00424050">
              <w:rPr>
                <w:rFonts w:ascii="Times New Roman" w:hAnsi="Times New Roman" w:cs="Times New Roman"/>
                <w:sz w:val="20"/>
                <w:szCs w:val="20"/>
                <w:lang w:val="en-US"/>
              </w:rPr>
              <w:t>firm</w:t>
            </w:r>
            <w:r w:rsidR="00424050" w:rsidRPr="00622F6C">
              <w:rPr>
                <w:rFonts w:ascii="Times New Roman" w:hAnsi="Times New Roman" w:cs="Times New Roman"/>
                <w:sz w:val="20"/>
                <w:szCs w:val="20"/>
                <w:lang w:val="en-US"/>
              </w:rPr>
              <w:t xml:space="preserve"> </w:t>
            </w:r>
            <w:r w:rsidRPr="00622F6C">
              <w:rPr>
                <w:rFonts w:ascii="Times New Roman" w:hAnsi="Times New Roman" w:cs="Times New Roman"/>
                <w:sz w:val="20"/>
                <w:szCs w:val="20"/>
                <w:lang w:val="en-US"/>
              </w:rPr>
              <w:t>has a primary four-digit SIC code with a description matching high-slavery</w:t>
            </w:r>
            <w:r w:rsidR="005B2458">
              <w:rPr>
                <w:rFonts w:ascii="Times New Roman" w:hAnsi="Times New Roman" w:cs="Times New Roman"/>
                <w:sz w:val="20"/>
                <w:szCs w:val="20"/>
                <w:lang w:val="en-US"/>
              </w:rPr>
              <w:t>-</w:t>
            </w:r>
            <w:r w:rsidRPr="00622F6C">
              <w:rPr>
                <w:rFonts w:ascii="Times New Roman" w:hAnsi="Times New Roman" w:cs="Times New Roman"/>
                <w:sz w:val="20"/>
                <w:szCs w:val="20"/>
                <w:lang w:val="en-US"/>
              </w:rPr>
              <w:t xml:space="preserve">risk activities, and equal to zero otherwise. </w:t>
            </w:r>
            <w:r w:rsidR="00424050">
              <w:rPr>
                <w:rFonts w:ascii="Times New Roman" w:hAnsi="Times New Roman" w:cs="Times New Roman"/>
                <w:sz w:val="20"/>
                <w:szCs w:val="20"/>
                <w:lang w:val="en-US"/>
              </w:rPr>
              <w:t>Examples of a</w:t>
            </w:r>
            <w:r w:rsidRPr="00622F6C">
              <w:rPr>
                <w:rFonts w:ascii="Times New Roman" w:hAnsi="Times New Roman" w:cs="Times New Roman"/>
                <w:sz w:val="20"/>
                <w:szCs w:val="20"/>
                <w:lang w:val="en-US"/>
              </w:rPr>
              <w:t xml:space="preserve">t-risk sectors include mining, apparel and footwear retailers, construction, and hotels and accommodation. </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1CB4AA9E" w14:textId="77777777" w:rsidR="00D86194" w:rsidRPr="001215E7" w:rsidRDefault="008D6255" w:rsidP="0089304C">
            <w:pPr>
              <w:jc w:val="both"/>
              <w:rPr>
                <w:rFonts w:ascii="Times New Roman" w:hAnsi="Times New Roman" w:cs="Times New Roman"/>
                <w:b/>
                <w:sz w:val="20"/>
                <w:szCs w:val="20"/>
                <w:lang w:val="en-US"/>
              </w:rPr>
            </w:pPr>
            <w:r w:rsidRPr="001215E7">
              <w:rPr>
                <w:rFonts w:ascii="Times New Roman" w:hAnsi="Times New Roman" w:cs="Times New Roman"/>
                <w:sz w:val="20"/>
                <w:szCs w:val="20"/>
                <w:lang w:val="en-US"/>
              </w:rPr>
              <w:t xml:space="preserve">Worldscope item WC07021 (static item) for the main SIC code. We identify at-risk sectors from sources such as Crane (2013) </w:t>
            </w:r>
            <w:r w:rsidR="008E21EE" w:rsidRPr="001215E7">
              <w:rPr>
                <w:rFonts w:ascii="Times New Roman" w:hAnsi="Times New Roman" w:cs="Times New Roman"/>
                <w:sz w:val="20"/>
                <w:szCs w:val="20"/>
                <w:lang w:val="en-US"/>
              </w:rPr>
              <w:t>and Core Coalition (2017).</w:t>
            </w:r>
          </w:p>
        </w:tc>
      </w:tr>
      <w:tr w:rsidR="006345CE" w:rsidRPr="00622F6C" w14:paraId="28691CEA" w14:textId="77777777" w:rsidTr="0089304C">
        <w:tc>
          <w:tcPr>
            <w:tcW w:w="925" w:type="pct"/>
            <w:tcBorders>
              <w:top w:val="single" w:sz="4" w:space="0" w:color="auto"/>
              <w:left w:val="single" w:sz="4" w:space="0" w:color="auto"/>
              <w:bottom w:val="single" w:sz="4" w:space="0" w:color="auto"/>
              <w:right w:val="single" w:sz="4" w:space="0" w:color="auto"/>
            </w:tcBorders>
          </w:tcPr>
          <w:p w14:paraId="20794C1B" w14:textId="77777777" w:rsidR="006345CE" w:rsidRDefault="00B009C2" w:rsidP="008D625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Composite </w:t>
            </w:r>
            <w:r w:rsidR="006345CE">
              <w:rPr>
                <w:rFonts w:ascii="Times New Roman" w:hAnsi="Times New Roman" w:cs="Times New Roman"/>
                <w:sz w:val="20"/>
                <w:szCs w:val="20"/>
                <w:lang w:val="en-US"/>
              </w:rPr>
              <w:t>Industry Slavery Risk</w:t>
            </w:r>
          </w:p>
        </w:tc>
        <w:tc>
          <w:tcPr>
            <w:tcW w:w="2808" w:type="pct"/>
            <w:tcBorders>
              <w:top w:val="single" w:sz="4" w:space="0" w:color="auto"/>
              <w:left w:val="single" w:sz="4" w:space="0" w:color="auto"/>
              <w:bottom w:val="single" w:sz="4" w:space="0" w:color="auto"/>
              <w:right w:val="single" w:sz="4" w:space="0" w:color="auto"/>
            </w:tcBorders>
          </w:tcPr>
          <w:p w14:paraId="68697E6C" w14:textId="322FC9FD" w:rsidR="000866DF" w:rsidRDefault="000866DF">
            <w:pPr>
              <w:jc w:val="both"/>
              <w:rPr>
                <w:rFonts w:ascii="Times New Roman" w:hAnsi="Times New Roman" w:cs="Times New Roman"/>
                <w:sz w:val="20"/>
                <w:szCs w:val="20"/>
                <w:lang w:val="en-US"/>
              </w:rPr>
            </w:pPr>
            <w:r w:rsidRPr="000866DF">
              <w:rPr>
                <w:rFonts w:ascii="Times New Roman" w:hAnsi="Times New Roman" w:cs="Times New Roman"/>
                <w:sz w:val="20"/>
                <w:szCs w:val="20"/>
                <w:lang w:val="en-US"/>
              </w:rPr>
              <w:t xml:space="preserve">Composite measure of industry-specific slavery risk. Dummy variable </w:t>
            </w:r>
            <w:r w:rsidRPr="000866DF">
              <w:rPr>
                <w:rFonts w:ascii="Times New Roman" w:eastAsia="Calibri" w:hAnsi="Times New Roman" w:cs="Times New Roman"/>
                <w:sz w:val="20"/>
                <w:szCs w:val="20"/>
                <w:lang w:val="en-US"/>
              </w:rPr>
              <w:t xml:space="preserve">equal to one (‘High’) if </w:t>
            </w:r>
            <w:r w:rsidRPr="00955DFE">
              <w:rPr>
                <w:rFonts w:ascii="Times New Roman" w:hAnsi="Times New Roman" w:cs="Times New Roman"/>
                <w:i/>
                <w:sz w:val="20"/>
                <w:szCs w:val="20"/>
              </w:rPr>
              <w:t>Country</w:t>
            </w:r>
            <w:r w:rsidRPr="00955DFE">
              <w:rPr>
                <w:rFonts w:ascii="Times New Roman" w:hAnsi="Times New Roman" w:cs="Times New Roman"/>
                <w:i/>
                <w:color w:val="800000"/>
                <w:sz w:val="20"/>
                <w:szCs w:val="20"/>
              </w:rPr>
              <w:t>–</w:t>
            </w:r>
            <w:r w:rsidR="00B009C2" w:rsidRPr="00955DFE">
              <w:rPr>
                <w:rFonts w:ascii="Times New Roman" w:hAnsi="Times New Roman" w:cs="Times New Roman"/>
                <w:i/>
                <w:sz w:val="20"/>
                <w:szCs w:val="20"/>
              </w:rPr>
              <w:t>Industry</w:t>
            </w:r>
            <w:r w:rsidRPr="00955DFE">
              <w:rPr>
                <w:rFonts w:ascii="Times New Roman" w:hAnsi="Times New Roman" w:cs="Times New Roman"/>
                <w:i/>
                <w:sz w:val="20"/>
                <w:szCs w:val="20"/>
              </w:rPr>
              <w:t xml:space="preserve"> ESG Risk</w:t>
            </w:r>
            <w:r w:rsidRPr="000866DF">
              <w:rPr>
                <w:rFonts w:ascii="Times New Roman" w:hAnsi="Times New Roman" w:cs="Times New Roman"/>
                <w:sz w:val="20"/>
                <w:szCs w:val="20"/>
              </w:rPr>
              <w:t xml:space="preserve"> equals one and </w:t>
            </w:r>
            <w:r w:rsidR="00B009C2" w:rsidRPr="00955DFE">
              <w:rPr>
                <w:rFonts w:ascii="Times New Roman" w:hAnsi="Times New Roman" w:cs="Times New Roman"/>
                <w:i/>
                <w:sz w:val="20"/>
                <w:szCs w:val="20"/>
              </w:rPr>
              <w:t>Industry</w:t>
            </w:r>
            <w:r w:rsidRPr="00955DFE">
              <w:rPr>
                <w:rFonts w:ascii="Times New Roman" w:hAnsi="Times New Roman" w:cs="Times New Roman"/>
                <w:i/>
                <w:sz w:val="20"/>
                <w:szCs w:val="20"/>
              </w:rPr>
              <w:t xml:space="preserve"> Slavery Risk</w:t>
            </w:r>
            <w:r w:rsidRPr="000866DF">
              <w:rPr>
                <w:rFonts w:ascii="Times New Roman" w:hAnsi="Times New Roman" w:cs="Times New Roman"/>
                <w:sz w:val="20"/>
                <w:szCs w:val="20"/>
              </w:rPr>
              <w:t xml:space="preserve"> equals one, and equal to zero (‘Low’) otherwise.</w:t>
            </w:r>
          </w:p>
        </w:tc>
        <w:tc>
          <w:tcPr>
            <w:tcW w:w="1267" w:type="pct"/>
            <w:tcBorders>
              <w:top w:val="single" w:sz="4" w:space="0" w:color="auto"/>
              <w:left w:val="single" w:sz="4" w:space="0" w:color="auto"/>
              <w:bottom w:val="single" w:sz="4" w:space="0" w:color="auto"/>
              <w:right w:val="single" w:sz="4" w:space="0" w:color="auto"/>
            </w:tcBorders>
          </w:tcPr>
          <w:p w14:paraId="3223F48A" w14:textId="3AAB18B7" w:rsidR="006345CE" w:rsidRDefault="000866DF">
            <w:pPr>
              <w:rPr>
                <w:rFonts w:ascii="Times New Roman" w:hAnsi="Times New Roman" w:cs="Times New Roman"/>
                <w:sz w:val="20"/>
                <w:szCs w:val="20"/>
                <w:lang w:val="en-US"/>
              </w:rPr>
            </w:pPr>
            <w:r w:rsidRPr="0089304C">
              <w:rPr>
                <w:rFonts w:ascii="Times New Roman" w:hAnsi="Times New Roman" w:cs="Times New Roman"/>
                <w:i/>
                <w:sz w:val="20"/>
                <w:szCs w:val="20"/>
                <w:lang w:val="en-US"/>
              </w:rPr>
              <w:t>Country</w:t>
            </w:r>
            <w:r w:rsidRPr="0089304C">
              <w:rPr>
                <w:rFonts w:ascii="Times New Roman" w:hAnsi="Times New Roman" w:cs="Times New Roman"/>
                <w:i/>
                <w:color w:val="800000"/>
                <w:sz w:val="20"/>
                <w:szCs w:val="20"/>
                <w:lang w:val="en-US"/>
              </w:rPr>
              <w:t>–</w:t>
            </w:r>
            <w:r w:rsidR="00B009C2">
              <w:rPr>
                <w:rFonts w:ascii="Times New Roman" w:hAnsi="Times New Roman" w:cs="Times New Roman"/>
                <w:i/>
                <w:sz w:val="20"/>
                <w:szCs w:val="20"/>
                <w:lang w:val="en-US"/>
              </w:rPr>
              <w:t>Industry</w:t>
            </w:r>
            <w:r w:rsidRPr="0089304C">
              <w:rPr>
                <w:rFonts w:ascii="Times New Roman" w:hAnsi="Times New Roman" w:cs="Times New Roman"/>
                <w:i/>
                <w:sz w:val="20"/>
                <w:szCs w:val="20"/>
                <w:lang w:val="en-US"/>
              </w:rPr>
              <w:t xml:space="preserve"> ESG Risk</w:t>
            </w:r>
            <w:r>
              <w:rPr>
                <w:rFonts w:ascii="Times New Roman" w:hAnsi="Times New Roman" w:cs="Times New Roman"/>
                <w:sz w:val="20"/>
                <w:szCs w:val="20"/>
                <w:lang w:val="en-US"/>
              </w:rPr>
              <w:t xml:space="preserve"> and </w:t>
            </w:r>
            <w:r w:rsidR="00B009C2" w:rsidRPr="00955DFE">
              <w:rPr>
                <w:rFonts w:ascii="Times New Roman" w:hAnsi="Times New Roman" w:cs="Times New Roman"/>
                <w:i/>
                <w:sz w:val="20"/>
                <w:szCs w:val="20"/>
                <w:lang w:val="en-US"/>
              </w:rPr>
              <w:t>Industry</w:t>
            </w:r>
            <w:r w:rsidR="00B009C2">
              <w:rPr>
                <w:rFonts w:ascii="Times New Roman" w:hAnsi="Times New Roman" w:cs="Times New Roman"/>
                <w:sz w:val="20"/>
                <w:szCs w:val="20"/>
                <w:lang w:val="en-US"/>
              </w:rPr>
              <w:t xml:space="preserve"> </w:t>
            </w:r>
            <w:r w:rsidRPr="0089304C">
              <w:rPr>
                <w:rFonts w:ascii="Times New Roman" w:hAnsi="Times New Roman" w:cs="Times New Roman"/>
                <w:i/>
                <w:sz w:val="20"/>
                <w:szCs w:val="20"/>
                <w:lang w:val="en-US"/>
              </w:rPr>
              <w:t>Slavery Risk</w:t>
            </w:r>
            <w:r>
              <w:rPr>
                <w:rFonts w:ascii="Times New Roman" w:hAnsi="Times New Roman" w:cs="Times New Roman"/>
                <w:sz w:val="20"/>
                <w:szCs w:val="20"/>
                <w:lang w:val="en-US"/>
              </w:rPr>
              <w:t xml:space="preserve"> dummy variables</w:t>
            </w:r>
            <w:r w:rsidR="00265E9D">
              <w:rPr>
                <w:rFonts w:ascii="Times New Roman" w:hAnsi="Times New Roman" w:cs="Times New Roman"/>
                <w:sz w:val="20"/>
                <w:szCs w:val="20"/>
                <w:lang w:val="en-US"/>
              </w:rPr>
              <w:t xml:space="preserve"> discussed above</w:t>
            </w:r>
            <w:r>
              <w:rPr>
                <w:rFonts w:ascii="Times New Roman" w:hAnsi="Times New Roman" w:cs="Times New Roman"/>
                <w:sz w:val="20"/>
                <w:szCs w:val="20"/>
                <w:lang w:val="en-US"/>
              </w:rPr>
              <w:t xml:space="preserve">. </w:t>
            </w:r>
          </w:p>
        </w:tc>
      </w:tr>
      <w:tr w:rsidR="00E225C8" w:rsidRPr="00622F6C" w14:paraId="0E394AD1" w14:textId="77777777" w:rsidTr="0089304C">
        <w:tc>
          <w:tcPr>
            <w:tcW w:w="925" w:type="pct"/>
            <w:tcBorders>
              <w:top w:val="single" w:sz="4" w:space="0" w:color="auto"/>
              <w:left w:val="single" w:sz="4" w:space="0" w:color="auto"/>
              <w:bottom w:val="single" w:sz="4" w:space="0" w:color="auto"/>
              <w:right w:val="single" w:sz="4" w:space="0" w:color="auto"/>
            </w:tcBorders>
          </w:tcPr>
          <w:p w14:paraId="6386FB1F" w14:textId="77777777" w:rsidR="00E225C8" w:rsidRPr="00622F6C" w:rsidRDefault="00E225C8" w:rsidP="00786539">
            <w:pPr>
              <w:rPr>
                <w:rFonts w:ascii="Times New Roman" w:hAnsi="Times New Roman" w:cs="Times New Roman"/>
                <w:sz w:val="20"/>
                <w:szCs w:val="20"/>
                <w:lang w:val="en-US"/>
              </w:rPr>
            </w:pPr>
            <w:r>
              <w:rPr>
                <w:rFonts w:ascii="Times New Roman" w:hAnsi="Times New Roman" w:cs="Times New Roman"/>
                <w:sz w:val="20"/>
                <w:szCs w:val="20"/>
                <w:lang w:val="en-US"/>
              </w:rPr>
              <w:t>Composite Firm Slavery Risk</w:t>
            </w:r>
          </w:p>
        </w:tc>
        <w:tc>
          <w:tcPr>
            <w:tcW w:w="2808" w:type="pct"/>
            <w:tcBorders>
              <w:top w:val="single" w:sz="4" w:space="0" w:color="auto"/>
              <w:left w:val="single" w:sz="4" w:space="0" w:color="auto"/>
              <w:bottom w:val="single" w:sz="4" w:space="0" w:color="auto"/>
              <w:right w:val="single" w:sz="4" w:space="0" w:color="auto"/>
            </w:tcBorders>
          </w:tcPr>
          <w:p w14:paraId="4C5CC45B" w14:textId="77777777" w:rsidR="00E225C8" w:rsidRPr="006908CC" w:rsidRDefault="006908CC">
            <w:pPr>
              <w:jc w:val="both"/>
              <w:rPr>
                <w:rFonts w:ascii="Times New Roman" w:hAnsi="Times New Roman" w:cs="Times New Roman"/>
                <w:sz w:val="20"/>
                <w:szCs w:val="20"/>
                <w:lang w:val="en-US"/>
              </w:rPr>
            </w:pPr>
            <w:r w:rsidRPr="00E63071">
              <w:rPr>
                <w:rFonts w:ascii="Times New Roman" w:hAnsi="Times New Roman" w:cs="Times New Roman"/>
                <w:sz w:val="20"/>
                <w:szCs w:val="20"/>
              </w:rPr>
              <w:t xml:space="preserve">Composite measure of firm-specific slavery risk. Dummy variable equal to one (‘High’) if the following two conditions are met: (i) the firm’s </w:t>
            </w:r>
            <w:r w:rsidRPr="00E63071">
              <w:rPr>
                <w:rFonts w:ascii="Times New Roman" w:hAnsi="Times New Roman" w:cs="Times New Roman"/>
                <w:i/>
                <w:sz w:val="20"/>
                <w:szCs w:val="20"/>
              </w:rPr>
              <w:t>Social Incidents</w:t>
            </w:r>
            <w:r w:rsidRPr="00E63071">
              <w:rPr>
                <w:rFonts w:ascii="Times New Roman" w:hAnsi="Times New Roman" w:cs="Times New Roman"/>
                <w:sz w:val="20"/>
                <w:szCs w:val="20"/>
              </w:rPr>
              <w:t xml:space="preserve"> value is higher than the sample median (0), and (ii) the firm has values for </w:t>
            </w:r>
            <w:r w:rsidRPr="00E63071">
              <w:rPr>
                <w:rFonts w:ascii="Times New Roman" w:hAnsi="Times New Roman" w:cs="Times New Roman"/>
                <w:i/>
                <w:sz w:val="20"/>
                <w:szCs w:val="20"/>
              </w:rPr>
              <w:t>Critical Countries Policy</w:t>
            </w:r>
            <w:r w:rsidRPr="00E63071">
              <w:rPr>
                <w:rFonts w:ascii="Times New Roman" w:hAnsi="Times New Roman" w:cs="Times New Roman"/>
                <w:sz w:val="20"/>
                <w:szCs w:val="20"/>
              </w:rPr>
              <w:t xml:space="preserve"> and </w:t>
            </w:r>
            <w:r w:rsidRPr="00E63071">
              <w:rPr>
                <w:rFonts w:ascii="Times New Roman" w:hAnsi="Times New Roman" w:cs="Times New Roman"/>
                <w:i/>
                <w:sz w:val="20"/>
                <w:szCs w:val="20"/>
              </w:rPr>
              <w:t>Forced Labor Policy</w:t>
            </w:r>
            <w:r w:rsidRPr="00E63071">
              <w:rPr>
                <w:rFonts w:ascii="Times New Roman" w:hAnsi="Times New Roman" w:cs="Times New Roman"/>
                <w:sz w:val="20"/>
                <w:szCs w:val="20"/>
              </w:rPr>
              <w:t xml:space="preserve"> equal to zero, and equal to zero (‘Low’) otherwise.</w:t>
            </w:r>
          </w:p>
        </w:tc>
        <w:tc>
          <w:tcPr>
            <w:tcW w:w="1267" w:type="pct"/>
            <w:tcBorders>
              <w:top w:val="single" w:sz="4" w:space="0" w:color="auto"/>
              <w:left w:val="single" w:sz="4" w:space="0" w:color="auto"/>
              <w:bottom w:val="single" w:sz="4" w:space="0" w:color="auto"/>
              <w:right w:val="single" w:sz="4" w:space="0" w:color="auto"/>
            </w:tcBorders>
          </w:tcPr>
          <w:p w14:paraId="1DE5A6B6" w14:textId="77777777" w:rsidR="00E225C8" w:rsidRPr="00622F6C" w:rsidRDefault="006908CC" w:rsidP="00786539">
            <w:pPr>
              <w:rPr>
                <w:rFonts w:ascii="Times New Roman" w:hAnsi="Times New Roman" w:cs="Times New Roman"/>
                <w:sz w:val="20"/>
                <w:szCs w:val="20"/>
                <w:lang w:val="en-US"/>
              </w:rPr>
            </w:pPr>
            <w:r w:rsidRPr="00955DFE">
              <w:rPr>
                <w:rFonts w:ascii="Times New Roman" w:hAnsi="Times New Roman" w:cs="Times New Roman"/>
                <w:i/>
                <w:sz w:val="20"/>
                <w:szCs w:val="20"/>
                <w:lang w:val="en-US"/>
              </w:rPr>
              <w:t>Social Incidents</w:t>
            </w:r>
            <w:r>
              <w:rPr>
                <w:rFonts w:ascii="Times New Roman" w:hAnsi="Times New Roman" w:cs="Times New Roman"/>
                <w:sz w:val="20"/>
                <w:szCs w:val="20"/>
                <w:lang w:val="en-US"/>
              </w:rPr>
              <w:t xml:space="preserve">, </w:t>
            </w:r>
            <w:r w:rsidRPr="00955DFE">
              <w:rPr>
                <w:rFonts w:ascii="Times New Roman" w:hAnsi="Times New Roman" w:cs="Times New Roman"/>
                <w:i/>
                <w:sz w:val="20"/>
                <w:szCs w:val="20"/>
                <w:lang w:val="en-US"/>
              </w:rPr>
              <w:t>Critical Countries</w:t>
            </w:r>
            <w:r>
              <w:rPr>
                <w:rFonts w:ascii="Times New Roman" w:hAnsi="Times New Roman" w:cs="Times New Roman"/>
                <w:sz w:val="20"/>
                <w:szCs w:val="20"/>
                <w:lang w:val="en-US"/>
              </w:rPr>
              <w:t xml:space="preserve"> </w:t>
            </w:r>
            <w:r w:rsidRPr="00955DFE">
              <w:rPr>
                <w:rFonts w:ascii="Times New Roman" w:hAnsi="Times New Roman" w:cs="Times New Roman"/>
                <w:i/>
                <w:sz w:val="20"/>
                <w:szCs w:val="20"/>
                <w:lang w:val="en-US"/>
              </w:rPr>
              <w:t>Policy</w:t>
            </w:r>
            <w:r>
              <w:rPr>
                <w:rFonts w:ascii="Times New Roman" w:hAnsi="Times New Roman" w:cs="Times New Roman"/>
                <w:sz w:val="20"/>
                <w:szCs w:val="20"/>
                <w:lang w:val="en-US"/>
              </w:rPr>
              <w:t xml:space="preserve"> and </w:t>
            </w:r>
            <w:r w:rsidRPr="00955DFE">
              <w:rPr>
                <w:rFonts w:ascii="Times New Roman" w:hAnsi="Times New Roman" w:cs="Times New Roman"/>
                <w:i/>
                <w:sz w:val="20"/>
                <w:szCs w:val="20"/>
                <w:lang w:val="en-US"/>
              </w:rPr>
              <w:t>Forced Labor Policy</w:t>
            </w:r>
            <w:r>
              <w:rPr>
                <w:rFonts w:ascii="Times New Roman" w:hAnsi="Times New Roman" w:cs="Times New Roman"/>
                <w:sz w:val="20"/>
                <w:szCs w:val="20"/>
                <w:lang w:val="en-US"/>
              </w:rPr>
              <w:t xml:space="preserve"> variables discussed above. </w:t>
            </w:r>
          </w:p>
        </w:tc>
      </w:tr>
      <w:tr w:rsidR="00786539" w:rsidRPr="00622F6C" w14:paraId="64EA16A8" w14:textId="77777777" w:rsidTr="0089304C">
        <w:tc>
          <w:tcPr>
            <w:tcW w:w="925" w:type="pct"/>
            <w:tcBorders>
              <w:top w:val="single" w:sz="4" w:space="0" w:color="auto"/>
              <w:left w:val="single" w:sz="4" w:space="0" w:color="auto"/>
              <w:bottom w:val="single" w:sz="4" w:space="0" w:color="auto"/>
              <w:right w:val="single" w:sz="4" w:space="0" w:color="auto"/>
            </w:tcBorders>
          </w:tcPr>
          <w:p w14:paraId="46F7FE54"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Leverage</w:t>
            </w:r>
          </w:p>
        </w:tc>
        <w:tc>
          <w:tcPr>
            <w:tcW w:w="2808" w:type="pct"/>
            <w:tcBorders>
              <w:top w:val="single" w:sz="4" w:space="0" w:color="auto"/>
              <w:left w:val="single" w:sz="4" w:space="0" w:color="auto"/>
              <w:bottom w:val="single" w:sz="4" w:space="0" w:color="auto"/>
              <w:right w:val="single" w:sz="4" w:space="0" w:color="auto"/>
            </w:tcBorders>
          </w:tcPr>
          <w:p w14:paraId="32E4C484" w14:textId="77777777" w:rsidR="00786539" w:rsidRPr="00622F6C" w:rsidRDefault="00786539" w:rsidP="00786539">
            <w:pPr>
              <w:jc w:val="both"/>
              <w:rPr>
                <w:rFonts w:ascii="Times New Roman" w:hAnsi="Times New Roman" w:cs="Times New Roman"/>
                <w:sz w:val="20"/>
                <w:szCs w:val="20"/>
                <w:lang w:val="en-US"/>
              </w:rPr>
            </w:pPr>
            <w:r>
              <w:rPr>
                <w:rFonts w:ascii="Times New Roman" w:hAnsi="Times New Roman" w:cs="Times New Roman"/>
                <w:sz w:val="20"/>
                <w:szCs w:val="20"/>
                <w:lang w:val="en-US"/>
              </w:rPr>
              <w:t>Total</w:t>
            </w:r>
            <w:r w:rsidRPr="00622F6C">
              <w:rPr>
                <w:rFonts w:ascii="Times New Roman" w:hAnsi="Times New Roman" w:cs="Times New Roman"/>
                <w:sz w:val="20"/>
                <w:szCs w:val="20"/>
                <w:lang w:val="en-US"/>
              </w:rPr>
              <w:t xml:space="preserve"> debt divided by total assets. We measure this as of the fiscal year end before </w:t>
            </w:r>
            <w:r>
              <w:rPr>
                <w:rFonts w:ascii="Times New Roman" w:hAnsi="Times New Roman" w:cs="Times New Roman"/>
                <w:sz w:val="20"/>
                <w:szCs w:val="20"/>
                <w:lang w:val="en-US"/>
              </w:rPr>
              <w:t>event 1</w:t>
            </w:r>
            <w:r w:rsidRPr="00622F6C">
              <w:rPr>
                <w:rFonts w:ascii="Times New Roman" w:hAnsi="Times New Roman" w:cs="Times New Roman"/>
                <w:sz w:val="20"/>
                <w:szCs w:val="20"/>
                <w:lang w:val="en-US"/>
              </w:rPr>
              <w:t>.</w:t>
            </w:r>
          </w:p>
        </w:tc>
        <w:tc>
          <w:tcPr>
            <w:tcW w:w="1267" w:type="pct"/>
            <w:tcBorders>
              <w:top w:val="single" w:sz="4" w:space="0" w:color="auto"/>
              <w:left w:val="single" w:sz="4" w:space="0" w:color="auto"/>
              <w:bottom w:val="single" w:sz="4" w:space="0" w:color="auto"/>
              <w:right w:val="single" w:sz="4" w:space="0" w:color="auto"/>
            </w:tcBorders>
          </w:tcPr>
          <w:p w14:paraId="0D53DA4B"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Worldscope item </w:t>
            </w:r>
            <w:r>
              <w:rPr>
                <w:rFonts w:ascii="Times New Roman" w:eastAsia="Times New Roman" w:hAnsi="Times New Roman" w:cs="Times New Roman"/>
                <w:color w:val="000000"/>
                <w:sz w:val="20"/>
                <w:szCs w:val="20"/>
                <w:lang w:val="en-US" w:eastAsia="en-GB"/>
              </w:rPr>
              <w:t>WC03255</w:t>
            </w:r>
            <w:r w:rsidRPr="00622F6C">
              <w:rPr>
                <w:rFonts w:ascii="Times New Roman" w:eastAsia="Times New Roman" w:hAnsi="Times New Roman" w:cs="Times New Roman"/>
                <w:color w:val="000000"/>
                <w:sz w:val="20"/>
                <w:szCs w:val="20"/>
                <w:lang w:val="en-US" w:eastAsia="en-GB"/>
              </w:rPr>
              <w:t xml:space="preserve"> divided by Worldscope item WC02999 (annual items).</w:t>
            </w:r>
          </w:p>
        </w:tc>
      </w:tr>
      <w:tr w:rsidR="00786539" w:rsidRPr="00622F6C" w14:paraId="460BE27D" w14:textId="77777777" w:rsidTr="0089304C">
        <w:tc>
          <w:tcPr>
            <w:tcW w:w="925" w:type="pct"/>
            <w:tcBorders>
              <w:top w:val="single" w:sz="4" w:space="0" w:color="auto"/>
              <w:left w:val="single" w:sz="4" w:space="0" w:color="auto"/>
              <w:bottom w:val="single" w:sz="4" w:space="0" w:color="auto"/>
              <w:right w:val="single" w:sz="4" w:space="0" w:color="auto"/>
            </w:tcBorders>
          </w:tcPr>
          <w:p w14:paraId="037419B4" w14:textId="77777777" w:rsidR="00786539" w:rsidRPr="00622F6C" w:rsidRDefault="00786539" w:rsidP="00786539">
            <w:pPr>
              <w:rPr>
                <w:rFonts w:ascii="Times New Roman" w:hAnsi="Times New Roman" w:cs="Times New Roman"/>
                <w:sz w:val="20"/>
                <w:szCs w:val="20"/>
                <w:lang w:val="en-US"/>
              </w:rPr>
            </w:pPr>
            <w:r>
              <w:rPr>
                <w:rFonts w:ascii="Times New Roman" w:hAnsi="Times New Roman" w:cs="Times New Roman"/>
                <w:sz w:val="20"/>
                <w:szCs w:val="20"/>
                <w:lang w:val="en-US"/>
              </w:rPr>
              <w:t>Market to Book</w:t>
            </w:r>
          </w:p>
        </w:tc>
        <w:tc>
          <w:tcPr>
            <w:tcW w:w="2808" w:type="pct"/>
            <w:tcBorders>
              <w:top w:val="single" w:sz="4" w:space="0" w:color="auto"/>
              <w:left w:val="single" w:sz="4" w:space="0" w:color="auto"/>
              <w:bottom w:val="single" w:sz="4" w:space="0" w:color="auto"/>
              <w:right w:val="single" w:sz="4" w:space="0" w:color="auto"/>
            </w:tcBorders>
          </w:tcPr>
          <w:p w14:paraId="180ACCBC" w14:textId="77777777" w:rsidR="00786539" w:rsidRDefault="00786539" w:rsidP="00786539">
            <w:pPr>
              <w:jc w:val="both"/>
              <w:rPr>
                <w:rFonts w:ascii="Times New Roman" w:hAnsi="Times New Roman" w:cs="Times New Roman"/>
                <w:sz w:val="20"/>
                <w:szCs w:val="20"/>
                <w:lang w:val="en-US"/>
              </w:rPr>
            </w:pPr>
            <w:r>
              <w:rPr>
                <w:rFonts w:ascii="Times New Roman" w:hAnsi="Times New Roman" w:cs="Times New Roman"/>
                <w:sz w:val="20"/>
                <w:szCs w:val="20"/>
                <w:lang w:val="en-US"/>
              </w:rPr>
              <w:t>Market value (measured one week before event 1, i.e. as of 04/03/2013) divided by total assets (measured</w:t>
            </w:r>
            <w:r w:rsidRPr="00622F6C">
              <w:rPr>
                <w:rFonts w:ascii="Times New Roman" w:hAnsi="Times New Roman" w:cs="Times New Roman"/>
                <w:sz w:val="20"/>
                <w:szCs w:val="20"/>
                <w:lang w:val="en-US"/>
              </w:rPr>
              <w:t xml:space="preserve"> as of the fiscal year end before event 1</w:t>
            </w:r>
            <w:r>
              <w:rPr>
                <w:rFonts w:ascii="Times New Roman" w:hAnsi="Times New Roman" w:cs="Times New Roman"/>
                <w:sz w:val="20"/>
                <w:szCs w:val="20"/>
                <w:lang w:val="en-US"/>
              </w:rPr>
              <w:t xml:space="preserve">). </w:t>
            </w:r>
          </w:p>
          <w:p w14:paraId="715D0091" w14:textId="77777777" w:rsidR="00786539" w:rsidRDefault="00786539" w:rsidP="00786539">
            <w:pPr>
              <w:jc w:val="both"/>
              <w:rPr>
                <w:rFonts w:ascii="Times New Roman" w:hAnsi="Times New Roman" w:cs="Times New Roman"/>
                <w:sz w:val="20"/>
                <w:szCs w:val="20"/>
                <w:lang w:val="en-US"/>
              </w:rPr>
            </w:pPr>
          </w:p>
        </w:tc>
        <w:tc>
          <w:tcPr>
            <w:tcW w:w="1267" w:type="pct"/>
            <w:tcBorders>
              <w:top w:val="single" w:sz="4" w:space="0" w:color="auto"/>
              <w:left w:val="single" w:sz="4" w:space="0" w:color="auto"/>
              <w:bottom w:val="single" w:sz="4" w:space="0" w:color="auto"/>
              <w:right w:val="single" w:sz="4" w:space="0" w:color="auto"/>
            </w:tcBorders>
          </w:tcPr>
          <w:p w14:paraId="17EBA454" w14:textId="77777777" w:rsidR="00786539" w:rsidRPr="00622F6C" w:rsidRDefault="00786539" w:rsidP="00786539">
            <w:pPr>
              <w:rPr>
                <w:rFonts w:ascii="Times New Roman" w:hAnsi="Times New Roman" w:cs="Times New Roman"/>
                <w:sz w:val="20"/>
                <w:szCs w:val="20"/>
                <w:lang w:val="en-US"/>
              </w:rPr>
            </w:pPr>
            <w:r>
              <w:rPr>
                <w:rFonts w:ascii="Times New Roman" w:hAnsi="Times New Roman" w:cs="Times New Roman"/>
                <w:sz w:val="20"/>
                <w:szCs w:val="20"/>
                <w:lang w:val="en-US"/>
              </w:rPr>
              <w:t>Datastream item MV multiplied with 1,000 (daily item) divided by Worldscope item WC02999 (annual item).</w:t>
            </w:r>
          </w:p>
        </w:tc>
      </w:tr>
      <w:tr w:rsidR="00786539" w:rsidRPr="00622F6C" w14:paraId="32C83735" w14:textId="77777777" w:rsidTr="0089304C">
        <w:tc>
          <w:tcPr>
            <w:tcW w:w="925" w:type="pct"/>
            <w:tcBorders>
              <w:top w:val="single" w:sz="4" w:space="0" w:color="auto"/>
              <w:left w:val="single" w:sz="4" w:space="0" w:color="auto"/>
              <w:bottom w:val="single" w:sz="4" w:space="0" w:color="auto"/>
              <w:right w:val="single" w:sz="4" w:space="0" w:color="auto"/>
            </w:tcBorders>
          </w:tcPr>
          <w:p w14:paraId="50FCA32F"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Average Industry EBIT</w:t>
            </w:r>
          </w:p>
        </w:tc>
        <w:tc>
          <w:tcPr>
            <w:tcW w:w="2808" w:type="pct"/>
            <w:tcBorders>
              <w:top w:val="single" w:sz="4" w:space="0" w:color="auto"/>
              <w:left w:val="single" w:sz="4" w:space="0" w:color="auto"/>
              <w:bottom w:val="single" w:sz="4" w:space="0" w:color="auto"/>
              <w:right w:val="single" w:sz="4" w:space="0" w:color="auto"/>
            </w:tcBorders>
          </w:tcPr>
          <w:p w14:paraId="070D30BF" w14:textId="77777777" w:rsidR="00786539" w:rsidRPr="00622F6C" w:rsidRDefault="00786539" w:rsidP="00786539">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Earnings before interest and taxes divided by total assets, averaged over sample firms within the same primary industry, measured by three-digit SIC code</w:t>
            </w:r>
            <w:r>
              <w:rPr>
                <w:rFonts w:ascii="Times New Roman" w:hAnsi="Times New Roman" w:cs="Times New Roman"/>
                <w:sz w:val="20"/>
                <w:szCs w:val="20"/>
                <w:lang w:val="en-US"/>
              </w:rPr>
              <w:t>, as of the fiscal year end before event 1</w:t>
            </w:r>
            <w:r w:rsidRPr="00622F6C">
              <w:rPr>
                <w:rFonts w:ascii="Times New Roman" w:hAnsi="Times New Roman" w:cs="Times New Roman"/>
                <w:sz w:val="20"/>
                <w:szCs w:val="20"/>
                <w:lang w:val="en-US"/>
              </w:rPr>
              <w:t>.</w:t>
            </w:r>
          </w:p>
        </w:tc>
        <w:tc>
          <w:tcPr>
            <w:tcW w:w="1267" w:type="pct"/>
            <w:tcBorders>
              <w:top w:val="single" w:sz="4" w:space="0" w:color="auto"/>
              <w:left w:val="single" w:sz="4" w:space="0" w:color="auto"/>
              <w:bottom w:val="single" w:sz="4" w:space="0" w:color="auto"/>
              <w:right w:val="single" w:sz="4" w:space="0" w:color="auto"/>
            </w:tcBorders>
          </w:tcPr>
          <w:p w14:paraId="2013CDBB"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Worldscope item WC07021 (static item) for the main SIC code. Worldscope item WC18191 (annual item) for the EBIT.</w:t>
            </w:r>
          </w:p>
        </w:tc>
      </w:tr>
      <w:tr w:rsidR="00786539" w:rsidRPr="00622F6C" w14:paraId="23E38D0A" w14:textId="77777777" w:rsidTr="0089304C">
        <w:tc>
          <w:tcPr>
            <w:tcW w:w="925" w:type="pct"/>
            <w:tcBorders>
              <w:top w:val="single" w:sz="4" w:space="0" w:color="auto"/>
              <w:left w:val="single" w:sz="4" w:space="0" w:color="auto"/>
              <w:bottom w:val="single" w:sz="4" w:space="0" w:color="auto"/>
              <w:right w:val="single" w:sz="4" w:space="0" w:color="auto"/>
            </w:tcBorders>
          </w:tcPr>
          <w:p w14:paraId="45FAAF8A"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CSR Performance</w:t>
            </w:r>
          </w:p>
        </w:tc>
        <w:tc>
          <w:tcPr>
            <w:tcW w:w="2808" w:type="pct"/>
            <w:tcBorders>
              <w:top w:val="single" w:sz="4" w:space="0" w:color="auto"/>
              <w:left w:val="single" w:sz="4" w:space="0" w:color="auto"/>
              <w:bottom w:val="single" w:sz="4" w:space="0" w:color="auto"/>
              <w:right w:val="single" w:sz="4" w:space="0" w:color="auto"/>
            </w:tcBorders>
          </w:tcPr>
          <w:p w14:paraId="3D2D1F51" w14:textId="77777777" w:rsidR="00786539" w:rsidRPr="00622F6C" w:rsidRDefault="00786539" w:rsidP="00786539">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Score reflecting a </w:t>
            </w:r>
            <w:r>
              <w:rPr>
                <w:rFonts w:ascii="Times New Roman" w:hAnsi="Times New Roman" w:cs="Times New Roman"/>
                <w:sz w:val="20"/>
                <w:szCs w:val="20"/>
                <w:lang w:val="en-US"/>
              </w:rPr>
              <w:t>firm</w:t>
            </w:r>
            <w:r w:rsidRPr="00622F6C">
              <w:rPr>
                <w:rFonts w:ascii="Times New Roman" w:hAnsi="Times New Roman" w:cs="Times New Roman"/>
                <w:sz w:val="20"/>
                <w:szCs w:val="20"/>
                <w:lang w:val="en-US"/>
              </w:rPr>
              <w:t xml:space="preserve">’s CSR performance, based on the </w:t>
            </w:r>
            <w:r>
              <w:rPr>
                <w:rFonts w:ascii="Times New Roman" w:hAnsi="Times New Roman" w:cs="Times New Roman"/>
                <w:sz w:val="20"/>
                <w:szCs w:val="20"/>
                <w:lang w:val="en-US"/>
              </w:rPr>
              <w:t>firm</w:t>
            </w:r>
            <w:r w:rsidRPr="00622F6C">
              <w:rPr>
                <w:rFonts w:ascii="Times New Roman" w:hAnsi="Times New Roman" w:cs="Times New Roman"/>
                <w:sz w:val="20"/>
                <w:szCs w:val="20"/>
                <w:lang w:val="en-US"/>
              </w:rPr>
              <w:t>’s self-reported information in ESG areas.</w:t>
            </w:r>
          </w:p>
        </w:tc>
        <w:tc>
          <w:tcPr>
            <w:tcW w:w="1267" w:type="pct"/>
            <w:tcBorders>
              <w:top w:val="single" w:sz="4" w:space="0" w:color="auto"/>
              <w:left w:val="single" w:sz="4" w:space="0" w:color="auto"/>
              <w:bottom w:val="single" w:sz="4" w:space="0" w:color="auto"/>
              <w:right w:val="single" w:sz="4" w:space="0" w:color="auto"/>
            </w:tcBorders>
          </w:tcPr>
          <w:p w14:paraId="07174CA2"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Thomson Reuters ESG Research Data item TRESGS (annual item).</w:t>
            </w:r>
          </w:p>
        </w:tc>
      </w:tr>
      <w:tr w:rsidR="00786539" w:rsidRPr="00622F6C" w14:paraId="174CB223" w14:textId="77777777" w:rsidTr="0089304C">
        <w:tc>
          <w:tcPr>
            <w:tcW w:w="925" w:type="pct"/>
            <w:tcBorders>
              <w:top w:val="single" w:sz="4" w:space="0" w:color="auto"/>
              <w:left w:val="single" w:sz="4" w:space="0" w:color="auto"/>
              <w:bottom w:val="single" w:sz="4" w:space="0" w:color="auto"/>
              <w:right w:val="single" w:sz="4" w:space="0" w:color="auto"/>
            </w:tcBorders>
          </w:tcPr>
          <w:p w14:paraId="6BA67639"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CSR Controversies</w:t>
            </w:r>
          </w:p>
          <w:p w14:paraId="6C124E62" w14:textId="77777777" w:rsidR="00786539" w:rsidRPr="00622F6C" w:rsidRDefault="00786539" w:rsidP="00786539">
            <w:pPr>
              <w:rPr>
                <w:rFonts w:ascii="Times New Roman" w:hAnsi="Times New Roman" w:cs="Times New Roman"/>
                <w:sz w:val="20"/>
                <w:szCs w:val="20"/>
                <w:lang w:val="en-US"/>
              </w:rPr>
            </w:pPr>
          </w:p>
        </w:tc>
        <w:tc>
          <w:tcPr>
            <w:tcW w:w="2808" w:type="pct"/>
            <w:tcBorders>
              <w:top w:val="single" w:sz="4" w:space="0" w:color="auto"/>
              <w:left w:val="single" w:sz="4" w:space="0" w:color="auto"/>
              <w:bottom w:val="single" w:sz="4" w:space="0" w:color="auto"/>
              <w:right w:val="single" w:sz="4" w:space="0" w:color="auto"/>
            </w:tcBorders>
          </w:tcPr>
          <w:p w14:paraId="1555F22D" w14:textId="77777777" w:rsidR="00786539" w:rsidRPr="00622F6C" w:rsidRDefault="00786539" w:rsidP="00786539">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Score reflecting negative ESG-related news stories (‘controversies’) about the </w:t>
            </w:r>
            <w:r>
              <w:rPr>
                <w:rFonts w:ascii="Times New Roman" w:hAnsi="Times New Roman" w:cs="Times New Roman"/>
                <w:sz w:val="20"/>
                <w:szCs w:val="20"/>
                <w:lang w:val="en-US"/>
              </w:rPr>
              <w:t>firm</w:t>
            </w:r>
            <w:r w:rsidRPr="00622F6C">
              <w:rPr>
                <w:rFonts w:ascii="Times New Roman" w:hAnsi="Times New Roman" w:cs="Times New Roman"/>
                <w:sz w:val="20"/>
                <w:szCs w:val="20"/>
                <w:lang w:val="en-US"/>
              </w:rPr>
              <w:t>. We take the opposite of the score obtained from Thomson Reuters, so that higher values reflect more controversies</w:t>
            </w:r>
            <w:r>
              <w:rPr>
                <w:rFonts w:ascii="Times New Roman" w:hAnsi="Times New Roman" w:cs="Times New Roman"/>
                <w:sz w:val="20"/>
                <w:szCs w:val="20"/>
                <w:lang w:val="en-US"/>
              </w:rPr>
              <w:t>.</w:t>
            </w:r>
          </w:p>
        </w:tc>
        <w:tc>
          <w:tcPr>
            <w:tcW w:w="1267" w:type="pct"/>
            <w:tcBorders>
              <w:top w:val="single" w:sz="4" w:space="0" w:color="auto"/>
              <w:left w:val="single" w:sz="4" w:space="0" w:color="auto"/>
              <w:bottom w:val="single" w:sz="4" w:space="0" w:color="auto"/>
              <w:right w:val="single" w:sz="4" w:space="0" w:color="auto"/>
            </w:tcBorders>
          </w:tcPr>
          <w:p w14:paraId="1D386378"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Thomson Reuters ESG Research Data item TRESGCCS (annual item).</w:t>
            </w:r>
          </w:p>
        </w:tc>
      </w:tr>
      <w:tr w:rsidR="00786539" w:rsidRPr="00622F6C" w14:paraId="2326538B" w14:textId="77777777" w:rsidTr="0089304C">
        <w:tc>
          <w:tcPr>
            <w:tcW w:w="925" w:type="pct"/>
            <w:tcBorders>
              <w:top w:val="single" w:sz="4" w:space="0" w:color="auto"/>
              <w:left w:val="single" w:sz="4" w:space="0" w:color="auto"/>
              <w:bottom w:val="single" w:sz="4" w:space="0" w:color="auto"/>
              <w:right w:val="single" w:sz="4" w:space="0" w:color="auto"/>
            </w:tcBorders>
          </w:tcPr>
          <w:p w14:paraId="745A9D63"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Turnover</w:t>
            </w:r>
          </w:p>
        </w:tc>
        <w:tc>
          <w:tcPr>
            <w:tcW w:w="2808" w:type="pct"/>
            <w:tcBorders>
              <w:top w:val="single" w:sz="4" w:space="0" w:color="auto"/>
              <w:left w:val="single" w:sz="4" w:space="0" w:color="auto"/>
              <w:bottom w:val="single" w:sz="4" w:space="0" w:color="auto"/>
              <w:right w:val="single" w:sz="4" w:space="0" w:color="auto"/>
            </w:tcBorders>
          </w:tcPr>
          <w:p w14:paraId="5354D367" w14:textId="77777777" w:rsidR="00786539" w:rsidRPr="00622F6C" w:rsidRDefault="00786539" w:rsidP="00786539">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Average number of shares traded in February 2013, divided by common shares outstanding measured as of 2012. </w:t>
            </w:r>
          </w:p>
        </w:tc>
        <w:tc>
          <w:tcPr>
            <w:tcW w:w="1267" w:type="pct"/>
            <w:tcBorders>
              <w:top w:val="single" w:sz="4" w:space="0" w:color="auto"/>
              <w:left w:val="single" w:sz="4" w:space="0" w:color="auto"/>
              <w:bottom w:val="single" w:sz="4" w:space="0" w:color="auto"/>
              <w:right w:val="single" w:sz="4" w:space="0" w:color="auto"/>
            </w:tcBorders>
          </w:tcPr>
          <w:p w14:paraId="783EFABE"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Datastream item VO multiplied by 1,000 (daily item), divided by Worldscope item WC05301 (annual item).</w:t>
            </w:r>
          </w:p>
        </w:tc>
      </w:tr>
      <w:tr w:rsidR="00786539" w:rsidRPr="00622F6C" w14:paraId="1572116B" w14:textId="77777777" w:rsidTr="0089304C">
        <w:tc>
          <w:tcPr>
            <w:tcW w:w="925" w:type="pct"/>
            <w:tcBorders>
              <w:top w:val="single" w:sz="4" w:space="0" w:color="auto"/>
              <w:left w:val="single" w:sz="4" w:space="0" w:color="auto"/>
              <w:bottom w:val="single" w:sz="4" w:space="0" w:color="auto"/>
              <w:right w:val="single" w:sz="4" w:space="0" w:color="auto"/>
            </w:tcBorders>
          </w:tcPr>
          <w:p w14:paraId="105FD38A"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Closely Held Shares</w:t>
            </w:r>
          </w:p>
        </w:tc>
        <w:tc>
          <w:tcPr>
            <w:tcW w:w="2808" w:type="pct"/>
            <w:tcBorders>
              <w:top w:val="single" w:sz="4" w:space="0" w:color="auto"/>
              <w:left w:val="single" w:sz="4" w:space="0" w:color="auto"/>
              <w:bottom w:val="single" w:sz="4" w:space="0" w:color="auto"/>
              <w:right w:val="single" w:sz="4" w:space="0" w:color="auto"/>
            </w:tcBorders>
          </w:tcPr>
          <w:p w14:paraId="47431905" w14:textId="77777777" w:rsidR="00786539" w:rsidRPr="00622F6C" w:rsidRDefault="00786539" w:rsidP="00786539">
            <w:pPr>
              <w:jc w:val="both"/>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Percentage of shares held by corporate insiders. We measure this as of the fiscal year end before </w:t>
            </w:r>
            <w:r>
              <w:rPr>
                <w:rFonts w:ascii="Times New Roman" w:hAnsi="Times New Roman" w:cs="Times New Roman"/>
                <w:sz w:val="20"/>
                <w:szCs w:val="20"/>
                <w:lang w:val="en-US"/>
              </w:rPr>
              <w:t>event 1</w:t>
            </w:r>
            <w:r w:rsidRPr="00622F6C">
              <w:rPr>
                <w:rFonts w:ascii="Times New Roman" w:hAnsi="Times New Roman" w:cs="Times New Roman"/>
                <w:sz w:val="20"/>
                <w:szCs w:val="20"/>
                <w:lang w:val="en-US"/>
              </w:rPr>
              <w:t>.</w:t>
            </w:r>
          </w:p>
        </w:tc>
        <w:tc>
          <w:tcPr>
            <w:tcW w:w="1267" w:type="pct"/>
            <w:tcBorders>
              <w:top w:val="single" w:sz="4" w:space="0" w:color="auto"/>
              <w:left w:val="single" w:sz="4" w:space="0" w:color="auto"/>
              <w:bottom w:val="single" w:sz="4" w:space="0" w:color="auto"/>
              <w:right w:val="single" w:sz="4" w:space="0" w:color="auto"/>
            </w:tcBorders>
          </w:tcPr>
          <w:p w14:paraId="74239E05"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 xml:space="preserve">Worldscope item WC05475 (annual item). </w:t>
            </w:r>
          </w:p>
        </w:tc>
      </w:tr>
      <w:tr w:rsidR="00786539" w:rsidRPr="00622F6C" w14:paraId="2C2A0162" w14:textId="77777777" w:rsidTr="0089304C">
        <w:tc>
          <w:tcPr>
            <w:tcW w:w="925" w:type="pct"/>
            <w:tcBorders>
              <w:top w:val="single" w:sz="4" w:space="0" w:color="auto"/>
              <w:left w:val="single" w:sz="4" w:space="0" w:color="auto"/>
              <w:bottom w:val="single" w:sz="4" w:space="0" w:color="auto"/>
              <w:right w:val="single" w:sz="4" w:space="0" w:color="auto"/>
            </w:tcBorders>
          </w:tcPr>
          <w:p w14:paraId="5412E30D" w14:textId="77777777" w:rsidR="00786539" w:rsidRPr="00622F6C" w:rsidRDefault="00786539" w:rsidP="00786539">
            <w:pPr>
              <w:rPr>
                <w:rFonts w:ascii="Times New Roman" w:hAnsi="Times New Roman" w:cs="Times New Roman"/>
                <w:sz w:val="20"/>
                <w:szCs w:val="20"/>
                <w:lang w:val="en-US"/>
              </w:rPr>
            </w:pPr>
            <w:r>
              <w:rPr>
                <w:rFonts w:ascii="Times New Roman" w:hAnsi="Times New Roman" w:cs="Times New Roman"/>
                <w:sz w:val="20"/>
                <w:szCs w:val="20"/>
                <w:lang w:val="en-US"/>
              </w:rPr>
              <w:t>Herfindahl</w:t>
            </w:r>
          </w:p>
        </w:tc>
        <w:tc>
          <w:tcPr>
            <w:tcW w:w="2808" w:type="pct"/>
            <w:tcBorders>
              <w:top w:val="single" w:sz="4" w:space="0" w:color="auto"/>
              <w:left w:val="single" w:sz="4" w:space="0" w:color="auto"/>
              <w:bottom w:val="single" w:sz="4" w:space="0" w:color="auto"/>
              <w:right w:val="single" w:sz="4" w:space="0" w:color="auto"/>
            </w:tcBorders>
          </w:tcPr>
          <w:p w14:paraId="739D57DD" w14:textId="77777777" w:rsidR="00786539" w:rsidRPr="00622F6C" w:rsidRDefault="00786539" w:rsidP="00786539">
            <w:pPr>
              <w:jc w:val="both"/>
              <w:rPr>
                <w:rFonts w:ascii="Times New Roman" w:hAnsi="Times New Roman" w:cs="Times New Roman"/>
                <w:sz w:val="20"/>
                <w:szCs w:val="20"/>
                <w:lang w:val="en-US"/>
              </w:rPr>
            </w:pPr>
            <w:r>
              <w:rPr>
                <w:rFonts w:ascii="Times New Roman" w:hAnsi="Times New Roman" w:cs="Times New Roman"/>
                <w:sz w:val="20"/>
                <w:szCs w:val="20"/>
                <w:lang w:val="en-US"/>
              </w:rPr>
              <w:t>Th</w:t>
            </w:r>
            <w:r w:rsidRPr="00622F6C">
              <w:rPr>
                <w:rFonts w:ascii="Times New Roman" w:hAnsi="Times New Roman" w:cs="Times New Roman"/>
                <w:sz w:val="20"/>
                <w:szCs w:val="20"/>
                <w:lang w:val="en-US"/>
              </w:rPr>
              <w:t xml:space="preserve">e sum of squared sales-based market shares of all sample firms in the firm’s industry, with industry determined based on three-digit primary SIC codes. We calculate market shares based on annual sales, measured as of the fiscal year end before </w:t>
            </w:r>
            <w:r>
              <w:rPr>
                <w:rFonts w:ascii="Times New Roman" w:hAnsi="Times New Roman" w:cs="Times New Roman"/>
                <w:sz w:val="20"/>
                <w:szCs w:val="20"/>
                <w:lang w:val="en-US"/>
              </w:rPr>
              <w:t>event 1</w:t>
            </w:r>
            <w:r w:rsidRPr="00622F6C">
              <w:rPr>
                <w:rFonts w:ascii="Times New Roman" w:hAnsi="Times New Roman" w:cs="Times New Roman"/>
                <w:sz w:val="20"/>
                <w:szCs w:val="20"/>
                <w:lang w:val="en-US"/>
              </w:rPr>
              <w:t>.</w:t>
            </w:r>
          </w:p>
        </w:tc>
        <w:tc>
          <w:tcPr>
            <w:tcW w:w="1267" w:type="pct"/>
            <w:tcBorders>
              <w:top w:val="single" w:sz="4" w:space="0" w:color="auto"/>
              <w:left w:val="single" w:sz="4" w:space="0" w:color="auto"/>
              <w:bottom w:val="single" w:sz="4" w:space="0" w:color="auto"/>
              <w:right w:val="single" w:sz="4" w:space="0" w:color="auto"/>
            </w:tcBorders>
          </w:tcPr>
          <w:p w14:paraId="7640B9EF" w14:textId="77777777" w:rsidR="00786539" w:rsidRPr="00622F6C" w:rsidRDefault="00786539" w:rsidP="00786539">
            <w:pPr>
              <w:rPr>
                <w:rFonts w:ascii="Times New Roman" w:hAnsi="Times New Roman" w:cs="Times New Roman"/>
                <w:sz w:val="20"/>
                <w:szCs w:val="20"/>
                <w:lang w:val="en-US"/>
              </w:rPr>
            </w:pPr>
            <w:r w:rsidRPr="00622F6C">
              <w:rPr>
                <w:rFonts w:ascii="Times New Roman" w:hAnsi="Times New Roman" w:cs="Times New Roman"/>
                <w:sz w:val="20"/>
                <w:szCs w:val="20"/>
                <w:lang w:val="en-US"/>
              </w:rPr>
              <w:t>Worldscope item WC07021 (static item) for the main SIC code. Worldscope item WC01001 (annual item) for sales.</w:t>
            </w:r>
          </w:p>
        </w:tc>
      </w:tr>
    </w:tbl>
    <w:p w14:paraId="6283D44E" w14:textId="77777777" w:rsidR="00DE103F" w:rsidRPr="00E54777" w:rsidRDefault="00DE103F">
      <w:pPr>
        <w:spacing w:after="0" w:line="240" w:lineRule="auto"/>
        <w:ind w:left="426" w:hanging="426"/>
        <w:jc w:val="both"/>
        <w:rPr>
          <w:rFonts w:ascii="Times New Roman" w:hAnsi="Times New Roman" w:cs="Times New Roman"/>
          <w:sz w:val="2"/>
          <w:lang w:val="en-US"/>
        </w:rPr>
      </w:pPr>
    </w:p>
    <w:sectPr w:rsidR="00DE103F" w:rsidRPr="00E54777" w:rsidSect="008E0F19">
      <w:type w:val="continuous"/>
      <w:pgSz w:w="16838" w:h="11906" w:orient="landscape"/>
      <w:pgMar w:top="1440" w:right="1440" w:bottom="1440" w:left="1440" w:header="708" w:footer="708" w:gutter="0"/>
      <w:pgNumType w:start="4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257B8" w16cid:durableId="20D1EB6C"/>
  <w16cid:commentId w16cid:paraId="285CBCEA" w16cid:durableId="20D1ED45"/>
  <w16cid:commentId w16cid:paraId="7DB03E08" w16cid:durableId="20D1EF51"/>
  <w16cid:commentId w16cid:paraId="42BB49BD" w16cid:durableId="20D1F043"/>
  <w16cid:commentId w16cid:paraId="728AE253" w16cid:durableId="20D1F1E1"/>
  <w16cid:commentId w16cid:paraId="7A523099" w16cid:durableId="20D1EB2F"/>
  <w16cid:commentId w16cid:paraId="2E430D2A" w16cid:durableId="20D1F306"/>
  <w16cid:commentId w16cid:paraId="43A1E543" w16cid:durableId="20D1F3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24ED" w14:textId="77777777" w:rsidR="00F9130B" w:rsidRDefault="00F9130B" w:rsidP="006E6FAF">
      <w:pPr>
        <w:spacing w:after="0" w:line="240" w:lineRule="auto"/>
      </w:pPr>
      <w:r>
        <w:separator/>
      </w:r>
    </w:p>
  </w:endnote>
  <w:endnote w:type="continuationSeparator" w:id="0">
    <w:p w14:paraId="5B79D508" w14:textId="77777777" w:rsidR="00F9130B" w:rsidRDefault="00F9130B" w:rsidP="006E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34E0" w14:textId="77777777" w:rsidR="00F9130B" w:rsidRDefault="00F9130B" w:rsidP="006E6FAF">
      <w:pPr>
        <w:spacing w:after="0" w:line="240" w:lineRule="auto"/>
      </w:pPr>
      <w:r>
        <w:separator/>
      </w:r>
    </w:p>
  </w:footnote>
  <w:footnote w:type="continuationSeparator" w:id="0">
    <w:p w14:paraId="20256982" w14:textId="77777777" w:rsidR="00F9130B" w:rsidRDefault="00F9130B" w:rsidP="006E6FAF">
      <w:pPr>
        <w:spacing w:after="0" w:line="240" w:lineRule="auto"/>
      </w:pPr>
      <w:r>
        <w:continuationSeparator/>
      </w:r>
    </w:p>
  </w:footnote>
  <w:footnote w:id="1">
    <w:p w14:paraId="77B05239" w14:textId="77777777" w:rsidR="005A7AFF" w:rsidRPr="000933B5" w:rsidRDefault="005A7AFF" w:rsidP="00672ECD">
      <w:pPr>
        <w:pStyle w:val="FootnoteText"/>
        <w:jc w:val="both"/>
        <w:rPr>
          <w:rFonts w:ascii="Times New Roman" w:hAnsi="Times New Roman" w:cs="Times New Roman"/>
        </w:rPr>
      </w:pPr>
      <w:r w:rsidRPr="00C86272">
        <w:rPr>
          <w:rStyle w:val="FootnoteReference"/>
          <w:rFonts w:ascii="Times New Roman" w:hAnsi="Times New Roman" w:cs="Times New Roman"/>
        </w:rPr>
        <w:footnoteRef/>
      </w:r>
      <w:r>
        <w:rPr>
          <w:rFonts w:ascii="Times New Roman" w:hAnsi="Times New Roman" w:cs="Times New Roman"/>
        </w:rPr>
        <w:t xml:space="preserve"> In line with most other event studies</w:t>
      </w:r>
      <w:r w:rsidRPr="00C86272">
        <w:rPr>
          <w:rFonts w:ascii="Times New Roman" w:hAnsi="Times New Roman" w:cs="Times New Roman"/>
        </w:rPr>
        <w:t xml:space="preserve">, we </w:t>
      </w:r>
      <w:r>
        <w:rPr>
          <w:rFonts w:ascii="Times New Roman" w:hAnsi="Times New Roman" w:cs="Times New Roman"/>
        </w:rPr>
        <w:t xml:space="preserve">focus on </w:t>
      </w:r>
      <w:r w:rsidRPr="00C86272">
        <w:rPr>
          <w:rFonts w:ascii="Times New Roman" w:hAnsi="Times New Roman" w:cs="Times New Roman"/>
        </w:rPr>
        <w:t>equity investors</w:t>
      </w:r>
      <w:r>
        <w:rPr>
          <w:rFonts w:ascii="Times New Roman" w:hAnsi="Times New Roman" w:cs="Times New Roman"/>
        </w:rPr>
        <w:t xml:space="preserve"> in this paper. We use the terms shareholder</w:t>
      </w:r>
      <w:r w:rsidRPr="00C86272">
        <w:rPr>
          <w:rFonts w:ascii="Times New Roman" w:hAnsi="Times New Roman" w:cs="Times New Roman"/>
        </w:rPr>
        <w:t xml:space="preserve"> </w:t>
      </w:r>
      <w:r>
        <w:rPr>
          <w:rFonts w:ascii="Times New Roman" w:hAnsi="Times New Roman" w:cs="Times New Roman"/>
        </w:rPr>
        <w:t>and investor</w:t>
      </w:r>
      <w:r w:rsidRPr="000933B5">
        <w:rPr>
          <w:rFonts w:ascii="Times New Roman" w:hAnsi="Times New Roman" w:cs="Times New Roman"/>
        </w:rPr>
        <w:t xml:space="preserve"> interchangeably. </w:t>
      </w:r>
    </w:p>
  </w:footnote>
  <w:footnote w:id="2">
    <w:p w14:paraId="424F43D3" w14:textId="77777777" w:rsidR="005A7AFF" w:rsidRDefault="005A7AFF" w:rsidP="00CD1028">
      <w:pPr>
        <w:pStyle w:val="FootnoteText"/>
        <w:jc w:val="both"/>
      </w:pPr>
      <w:r w:rsidRPr="000933B5">
        <w:rPr>
          <w:rStyle w:val="FootnoteReference"/>
          <w:rFonts w:ascii="Times New Roman" w:hAnsi="Times New Roman" w:cs="Times New Roman"/>
        </w:rPr>
        <w:footnoteRef/>
      </w:r>
      <w:r w:rsidRPr="000933B5">
        <w:rPr>
          <w:rFonts w:ascii="Times New Roman" w:hAnsi="Times New Roman" w:cs="Times New Roman"/>
        </w:rPr>
        <w:t xml:space="preserve"> We consulted </w:t>
      </w:r>
      <w:r>
        <w:rPr>
          <w:rFonts w:ascii="Times New Roman" w:hAnsi="Times New Roman" w:cs="Times New Roman"/>
        </w:rPr>
        <w:t>a number of practitioners with good knowledge of the MSA, as well as managers responsible for MSA compliance within their organizations. T</w:t>
      </w:r>
      <w:r w:rsidRPr="000933B5">
        <w:rPr>
          <w:rFonts w:ascii="Times New Roman" w:hAnsi="Times New Roman" w:cs="Times New Roman"/>
        </w:rPr>
        <w:t xml:space="preserve">hey </w:t>
      </w:r>
      <w:r>
        <w:rPr>
          <w:rFonts w:ascii="Times New Roman" w:hAnsi="Times New Roman" w:cs="Times New Roman"/>
        </w:rPr>
        <w:t>unequivocally</w:t>
      </w:r>
      <w:r w:rsidRPr="000933B5">
        <w:rPr>
          <w:rFonts w:ascii="Times New Roman" w:hAnsi="Times New Roman" w:cs="Times New Roman"/>
        </w:rPr>
        <w:t xml:space="preserve"> confirmed to us that the TISC clause is the part of the MSA that is </w:t>
      </w:r>
      <w:r>
        <w:rPr>
          <w:rFonts w:ascii="Times New Roman" w:hAnsi="Times New Roman" w:cs="Times New Roman"/>
        </w:rPr>
        <w:t xml:space="preserve">of most direct relevance to </w:t>
      </w:r>
      <w:r w:rsidRPr="000933B5">
        <w:rPr>
          <w:rFonts w:ascii="Times New Roman" w:hAnsi="Times New Roman" w:cs="Times New Roman"/>
        </w:rPr>
        <w:t xml:space="preserve">firms and </w:t>
      </w:r>
      <w:r>
        <w:rPr>
          <w:rFonts w:ascii="Times New Roman" w:hAnsi="Times New Roman" w:cs="Times New Roman"/>
        </w:rPr>
        <w:t xml:space="preserve">their </w:t>
      </w:r>
      <w:r w:rsidRPr="000933B5">
        <w:rPr>
          <w:rFonts w:ascii="Times New Roman" w:hAnsi="Times New Roman" w:cs="Times New Roman"/>
        </w:rPr>
        <w:t>investors.</w:t>
      </w:r>
      <w:r>
        <w:t xml:space="preserve"> </w:t>
      </w:r>
    </w:p>
  </w:footnote>
  <w:footnote w:id="3">
    <w:p w14:paraId="75E9DDE0" w14:textId="77777777" w:rsidR="005A7AFF" w:rsidRDefault="005A7AFF" w:rsidP="00CD1028">
      <w:pPr>
        <w:autoSpaceDE w:val="0"/>
        <w:autoSpaceDN w:val="0"/>
        <w:adjustRightInd w:val="0"/>
        <w:spacing w:after="0" w:line="240" w:lineRule="auto"/>
        <w:jc w:val="both"/>
      </w:pPr>
      <w:r w:rsidRPr="00592329">
        <w:rPr>
          <w:rStyle w:val="FootnoteReference"/>
          <w:rFonts w:ascii="Times New Roman" w:hAnsi="Times New Roman" w:cs="Times New Roman"/>
          <w:sz w:val="20"/>
          <w:szCs w:val="20"/>
        </w:rPr>
        <w:footnoteRef/>
      </w:r>
      <w:r w:rsidRPr="00592329">
        <w:rPr>
          <w:rFonts w:ascii="Times New Roman" w:hAnsi="Times New Roman" w:cs="Times New Roman"/>
          <w:sz w:val="20"/>
          <w:szCs w:val="20"/>
        </w:rPr>
        <w:t xml:space="preserve"> In 2016, the UK Department of Justice brought 51 new prosecutions under the </w:t>
      </w:r>
      <w:r>
        <w:rPr>
          <w:rFonts w:ascii="Times New Roman" w:hAnsi="Times New Roman" w:cs="Times New Roman"/>
          <w:sz w:val="20"/>
          <w:szCs w:val="20"/>
        </w:rPr>
        <w:t>MSA</w:t>
      </w:r>
      <w:r w:rsidRPr="00592329">
        <w:rPr>
          <w:rFonts w:ascii="Times New Roman" w:hAnsi="Times New Roman" w:cs="Times New Roman"/>
          <w:sz w:val="20"/>
          <w:szCs w:val="20"/>
        </w:rPr>
        <w:t>,</w:t>
      </w:r>
      <w:r>
        <w:rPr>
          <w:rFonts w:ascii="Times New Roman" w:hAnsi="Times New Roman" w:cs="Times New Roman"/>
          <w:sz w:val="20"/>
          <w:szCs w:val="20"/>
        </w:rPr>
        <w:t xml:space="preserve"> representing a more than fourfold increase relative to the number of prosecutions before the introduction of the Act. While these were prosecutions against individuals, they may also have brought reputational damage to companies connected with the convictions (Churchill, 2017). Companies might also suffer from costly supply chain disruptions if ships carrying their freight are examined in the context of other parts of the MSA (MSA, 2015a). </w:t>
      </w:r>
    </w:p>
  </w:footnote>
  <w:footnote w:id="4">
    <w:p w14:paraId="27F1CD9E" w14:textId="780CDCD3" w:rsidR="005A7AFF" w:rsidRPr="003700DE" w:rsidRDefault="005A7AFF" w:rsidP="006E6FAF">
      <w:pPr>
        <w:pStyle w:val="FootnoteText"/>
        <w:tabs>
          <w:tab w:val="left" w:pos="1843"/>
        </w:tabs>
        <w:jc w:val="both"/>
        <w:rPr>
          <w:rFonts w:ascii="Times New Roman" w:hAnsi="Times New Roman" w:cs="Times New Roman"/>
        </w:rPr>
      </w:pPr>
      <w:r w:rsidRPr="003700DE">
        <w:rPr>
          <w:rStyle w:val="FootnoteReference"/>
          <w:rFonts w:ascii="Times New Roman" w:hAnsi="Times New Roman" w:cs="Times New Roman"/>
        </w:rPr>
        <w:footnoteRef/>
      </w:r>
      <w:r w:rsidRPr="003700DE">
        <w:rPr>
          <w:rFonts w:ascii="Times New Roman" w:hAnsi="Times New Roman" w:cs="Times New Roman"/>
        </w:rPr>
        <w:t xml:space="preserve"> Although the term ‘social’ is sometimes used to refer</w:t>
      </w:r>
      <w:r>
        <w:rPr>
          <w:rFonts w:ascii="Times New Roman" w:hAnsi="Times New Roman" w:cs="Times New Roman"/>
        </w:rPr>
        <w:t xml:space="preserve"> to both environmental and labo</w:t>
      </w:r>
      <w:r w:rsidRPr="003700DE">
        <w:rPr>
          <w:rFonts w:ascii="Times New Roman" w:hAnsi="Times New Roman" w:cs="Times New Roman"/>
        </w:rPr>
        <w:t>r-related issues in supply chains, in this paper we u</w:t>
      </w:r>
      <w:r>
        <w:rPr>
          <w:rFonts w:ascii="Times New Roman" w:hAnsi="Times New Roman" w:cs="Times New Roman"/>
        </w:rPr>
        <w:t>se it strictly to refer to labo</w:t>
      </w:r>
      <w:r w:rsidRPr="003700DE">
        <w:rPr>
          <w:rFonts w:ascii="Times New Roman" w:hAnsi="Times New Roman" w:cs="Times New Roman"/>
        </w:rPr>
        <w:t>r-related issues</w:t>
      </w:r>
      <w:r>
        <w:rPr>
          <w:rFonts w:ascii="Times New Roman" w:hAnsi="Times New Roman" w:cs="Times New Roman"/>
        </w:rPr>
        <w:t>, as in Distelhorst et al. (2016) and Huq et al. (2016)</w:t>
      </w:r>
      <w:r w:rsidRPr="003700DE">
        <w:rPr>
          <w:rFonts w:ascii="Times New Roman" w:hAnsi="Times New Roman" w:cs="Times New Roman"/>
        </w:rPr>
        <w:t>. Examples of social v</w:t>
      </w:r>
      <w:r>
        <w:rPr>
          <w:rFonts w:ascii="Times New Roman" w:hAnsi="Times New Roman" w:cs="Times New Roman"/>
        </w:rPr>
        <w:t>iolations include using forced labo</w:t>
      </w:r>
      <w:r w:rsidRPr="003700DE">
        <w:rPr>
          <w:rFonts w:ascii="Times New Roman" w:hAnsi="Times New Roman" w:cs="Times New Roman"/>
        </w:rPr>
        <w:t>r and</w:t>
      </w:r>
      <w:r>
        <w:rPr>
          <w:rFonts w:ascii="Times New Roman" w:hAnsi="Times New Roman" w:cs="Times New Roman"/>
        </w:rPr>
        <w:t xml:space="preserve"> having</w:t>
      </w:r>
      <w:r w:rsidRPr="003700DE">
        <w:rPr>
          <w:rFonts w:ascii="Times New Roman" w:hAnsi="Times New Roman" w:cs="Times New Roman"/>
        </w:rPr>
        <w:t xml:space="preserve"> poor standards of employee safety. </w:t>
      </w:r>
    </w:p>
  </w:footnote>
  <w:footnote w:id="5">
    <w:p w14:paraId="0269E7F7" w14:textId="77777777" w:rsidR="005A7AFF" w:rsidRPr="00EF421F" w:rsidRDefault="005A7AFF" w:rsidP="006E6FAF">
      <w:pPr>
        <w:pStyle w:val="FootnoteText"/>
        <w:jc w:val="both"/>
        <w:rPr>
          <w:rFonts w:ascii="Times New Roman" w:hAnsi="Times New Roman" w:cs="Times New Roman"/>
        </w:rPr>
      </w:pPr>
      <w:r w:rsidRPr="00EF421F">
        <w:rPr>
          <w:rStyle w:val="FootnoteReference"/>
          <w:rFonts w:ascii="Times New Roman" w:hAnsi="Times New Roman" w:cs="Times New Roman"/>
        </w:rPr>
        <w:footnoteRef/>
      </w:r>
      <w:r w:rsidRPr="00EF421F">
        <w:rPr>
          <w:rFonts w:ascii="Times New Roman" w:hAnsi="Times New Roman" w:cs="Times New Roman"/>
        </w:rPr>
        <w:t xml:space="preserve"> </w:t>
      </w:r>
      <w:r w:rsidRPr="00EF421F">
        <w:rPr>
          <w:rFonts w:ascii="Times New Roman" w:hAnsi="Times New Roman" w:cs="Times New Roman"/>
          <w:color w:val="222222"/>
          <w:shd w:val="clear" w:color="auto" w:fill="FFFFFF"/>
        </w:rPr>
        <w:t>A</w:t>
      </w:r>
      <w:r w:rsidRPr="00EF421F">
        <w:rPr>
          <w:rStyle w:val="apple-converted-space"/>
          <w:rFonts w:ascii="Times New Roman" w:hAnsi="Times New Roman" w:cs="Times New Roman"/>
          <w:color w:val="222222"/>
          <w:shd w:val="clear" w:color="auto" w:fill="FFFFFF"/>
        </w:rPr>
        <w:t xml:space="preserve"> </w:t>
      </w:r>
      <w:r>
        <w:rPr>
          <w:rFonts w:ascii="Times New Roman" w:hAnsi="Times New Roman" w:cs="Times New Roman"/>
          <w:bCs/>
          <w:color w:val="222222"/>
          <w:shd w:val="clear" w:color="auto" w:fill="FFFFFF"/>
        </w:rPr>
        <w:t>B</w:t>
      </w:r>
      <w:r w:rsidRPr="00EF421F">
        <w:rPr>
          <w:rFonts w:ascii="Times New Roman" w:hAnsi="Times New Roman" w:cs="Times New Roman"/>
          <w:bCs/>
          <w:color w:val="222222"/>
          <w:shd w:val="clear" w:color="auto" w:fill="FFFFFF"/>
        </w:rPr>
        <w:t xml:space="preserve">ill </w:t>
      </w:r>
      <w:r w:rsidRPr="00EF421F">
        <w:rPr>
          <w:rFonts w:ascii="Times New Roman" w:hAnsi="Times New Roman" w:cs="Times New Roman"/>
          <w:color w:val="222222"/>
          <w:shd w:val="clear" w:color="auto" w:fill="FFFFFF"/>
        </w:rPr>
        <w:t>becomes an</w:t>
      </w:r>
      <w:r w:rsidRPr="00EF421F">
        <w:rPr>
          <w:rStyle w:val="apple-converted-space"/>
          <w:rFonts w:ascii="Times New Roman" w:hAnsi="Times New Roman" w:cs="Times New Roman"/>
          <w:color w:val="222222"/>
          <w:shd w:val="clear" w:color="auto" w:fill="FFFFFF"/>
        </w:rPr>
        <w:t xml:space="preserve"> </w:t>
      </w:r>
      <w:r>
        <w:rPr>
          <w:rFonts w:ascii="Times New Roman" w:hAnsi="Times New Roman" w:cs="Times New Roman"/>
          <w:bCs/>
          <w:color w:val="222222"/>
          <w:shd w:val="clear" w:color="auto" w:fill="FFFFFF"/>
        </w:rPr>
        <w:t>A</w:t>
      </w:r>
      <w:r w:rsidRPr="00EF421F">
        <w:rPr>
          <w:rFonts w:ascii="Times New Roman" w:hAnsi="Times New Roman" w:cs="Times New Roman"/>
          <w:bCs/>
          <w:color w:val="222222"/>
          <w:shd w:val="clear" w:color="auto" w:fill="FFFFFF"/>
        </w:rPr>
        <w:t>ct</w:t>
      </w:r>
      <w:r w:rsidRPr="00EF421F">
        <w:rPr>
          <w:rStyle w:val="apple-converted-space"/>
          <w:rFonts w:ascii="Times New Roman" w:hAnsi="Times New Roman" w:cs="Times New Roman"/>
          <w:color w:val="222222"/>
          <w:shd w:val="clear" w:color="auto" w:fill="FFFFFF"/>
        </w:rPr>
        <w:t xml:space="preserve"> </w:t>
      </w:r>
      <w:r w:rsidRPr="00EF421F">
        <w:rPr>
          <w:rFonts w:ascii="Times New Roman" w:hAnsi="Times New Roman" w:cs="Times New Roman"/>
          <w:color w:val="222222"/>
          <w:shd w:val="clear" w:color="auto" w:fill="FFFFFF"/>
        </w:rPr>
        <w:t>if it is approved by the House of Commons and the House of Lords and is formally agreed to by the reigning monarch (known as the Royal Assent). An</w:t>
      </w:r>
      <w:r w:rsidRPr="00EF421F">
        <w:rPr>
          <w:rStyle w:val="apple-converted-space"/>
          <w:rFonts w:ascii="Times New Roman" w:hAnsi="Times New Roman" w:cs="Times New Roman"/>
          <w:color w:val="222222"/>
          <w:shd w:val="clear" w:color="auto" w:fill="FFFFFF"/>
        </w:rPr>
        <w:t xml:space="preserve"> </w:t>
      </w:r>
      <w:r>
        <w:rPr>
          <w:rFonts w:ascii="Times New Roman" w:hAnsi="Times New Roman" w:cs="Times New Roman"/>
          <w:bCs/>
          <w:color w:val="222222"/>
          <w:shd w:val="clear" w:color="auto" w:fill="FFFFFF"/>
        </w:rPr>
        <w:t>A</w:t>
      </w:r>
      <w:r w:rsidRPr="00EF421F">
        <w:rPr>
          <w:rFonts w:ascii="Times New Roman" w:hAnsi="Times New Roman" w:cs="Times New Roman"/>
          <w:bCs/>
          <w:color w:val="222222"/>
          <w:shd w:val="clear" w:color="auto" w:fill="FFFFFF"/>
        </w:rPr>
        <w:t>ct</w:t>
      </w:r>
      <w:r w:rsidRPr="00EF421F">
        <w:rPr>
          <w:rStyle w:val="apple-converted-space"/>
          <w:rFonts w:ascii="Times New Roman" w:hAnsi="Times New Roman" w:cs="Times New Roman"/>
          <w:color w:val="222222"/>
          <w:shd w:val="clear" w:color="auto" w:fill="FFFFFF"/>
        </w:rPr>
        <w:t xml:space="preserve"> </w:t>
      </w:r>
      <w:r w:rsidRPr="00EF421F">
        <w:rPr>
          <w:rFonts w:ascii="Times New Roman" w:hAnsi="Times New Roman" w:cs="Times New Roman"/>
          <w:color w:val="222222"/>
          <w:shd w:val="clear" w:color="auto" w:fill="FFFFFF"/>
        </w:rPr>
        <w:t xml:space="preserve">of </w:t>
      </w:r>
      <w:r>
        <w:rPr>
          <w:rFonts w:ascii="Times New Roman" w:hAnsi="Times New Roman" w:cs="Times New Roman"/>
          <w:color w:val="222222"/>
          <w:shd w:val="clear" w:color="auto" w:fill="FFFFFF"/>
        </w:rPr>
        <w:t>P</w:t>
      </w:r>
      <w:r w:rsidRPr="00EF421F">
        <w:rPr>
          <w:rFonts w:ascii="Times New Roman" w:hAnsi="Times New Roman" w:cs="Times New Roman"/>
          <w:color w:val="222222"/>
          <w:shd w:val="clear" w:color="auto" w:fill="FFFFFF"/>
        </w:rPr>
        <w:t>arliament is a law, enforced in all areas of the UK where it is applicable</w:t>
      </w:r>
      <w:r>
        <w:rPr>
          <w:rFonts w:ascii="Times New Roman" w:hAnsi="Times New Roman" w:cs="Times New Roman"/>
          <w:color w:val="222222"/>
          <w:shd w:val="clear" w:color="auto" w:fill="FFFFFF"/>
        </w:rPr>
        <w:t xml:space="preserve"> (UK Parliament, 2017)</w:t>
      </w:r>
      <w:r w:rsidRPr="00EF421F">
        <w:rPr>
          <w:rFonts w:ascii="Times New Roman" w:hAnsi="Times New Roman" w:cs="Times New Roman"/>
          <w:color w:val="222222"/>
          <w:shd w:val="clear" w:color="auto" w:fill="FFFFFF"/>
        </w:rPr>
        <w:t>.</w:t>
      </w:r>
    </w:p>
  </w:footnote>
  <w:footnote w:id="6">
    <w:p w14:paraId="33F49FBC" w14:textId="77777777" w:rsidR="005A7AFF" w:rsidRPr="00DA3290" w:rsidRDefault="005A7AFF" w:rsidP="000E3E4D">
      <w:pPr>
        <w:pStyle w:val="FootnoteText"/>
        <w:jc w:val="both"/>
        <w:rPr>
          <w:rFonts w:ascii="Times New Roman" w:hAnsi="Times New Roman" w:cs="Times New Roman"/>
        </w:rPr>
      </w:pPr>
      <w:r w:rsidRPr="00DA3290">
        <w:rPr>
          <w:rStyle w:val="FootnoteReference"/>
          <w:rFonts w:ascii="Times New Roman" w:hAnsi="Times New Roman" w:cs="Times New Roman"/>
        </w:rPr>
        <w:footnoteRef/>
      </w:r>
      <w:r w:rsidRPr="00DA3290">
        <w:rPr>
          <w:rFonts w:ascii="Times New Roman" w:hAnsi="Times New Roman" w:cs="Times New Roman"/>
        </w:rPr>
        <w:t xml:space="preserve"> The </w:t>
      </w:r>
      <w:r>
        <w:rPr>
          <w:rFonts w:ascii="Times New Roman" w:hAnsi="Times New Roman" w:cs="Times New Roman"/>
        </w:rPr>
        <w:t>BHRRC</w:t>
      </w:r>
      <w:r w:rsidRPr="00DA3290">
        <w:rPr>
          <w:rFonts w:ascii="Times New Roman" w:hAnsi="Times New Roman" w:cs="Times New Roman"/>
        </w:rPr>
        <w:t xml:space="preserve"> report cites Marks &amp; Spencer (M&amp;S) as an example of a leading firm in the area of modern slavery reporting. </w:t>
      </w:r>
      <w:r>
        <w:rPr>
          <w:rFonts w:ascii="Times New Roman" w:hAnsi="Times New Roman" w:cs="Times New Roman"/>
        </w:rPr>
        <w:t xml:space="preserve">M&amp;S’s </w:t>
      </w:r>
      <w:r w:rsidRPr="00DA3290">
        <w:rPr>
          <w:rFonts w:ascii="Times New Roman" w:hAnsi="Times New Roman" w:cs="Times New Roman"/>
        </w:rPr>
        <w:t xml:space="preserve">TISC statement </w:t>
      </w:r>
      <w:r>
        <w:rPr>
          <w:rFonts w:ascii="Times New Roman" w:hAnsi="Times New Roman" w:cs="Times New Roman"/>
        </w:rPr>
        <w:t>suggests strong performance in each of the six recommended reporting areas suggested by the UK Government (MSA, 2015b)</w:t>
      </w:r>
      <w:r w:rsidRPr="00DA3290">
        <w:rPr>
          <w:rFonts w:ascii="Times New Roman" w:hAnsi="Times New Roman" w:cs="Times New Roman"/>
        </w:rPr>
        <w:t xml:space="preserve">. Examples of firms with </w:t>
      </w:r>
      <w:r>
        <w:rPr>
          <w:rFonts w:ascii="Times New Roman" w:hAnsi="Times New Roman" w:cs="Times New Roman"/>
        </w:rPr>
        <w:t>very vague</w:t>
      </w:r>
      <w:r w:rsidRPr="00DA3290">
        <w:rPr>
          <w:rFonts w:ascii="Times New Roman" w:hAnsi="Times New Roman" w:cs="Times New Roman"/>
        </w:rPr>
        <w:t xml:space="preserve"> TISC statements </w:t>
      </w:r>
      <w:r>
        <w:rPr>
          <w:rFonts w:ascii="Times New Roman" w:hAnsi="Times New Roman" w:cs="Times New Roman"/>
        </w:rPr>
        <w:t xml:space="preserve">cited in the report </w:t>
      </w:r>
      <w:r w:rsidRPr="00DA3290">
        <w:rPr>
          <w:rFonts w:ascii="Times New Roman" w:hAnsi="Times New Roman" w:cs="Times New Roman"/>
        </w:rPr>
        <w:t>are Paddy Power</w:t>
      </w:r>
      <w:r>
        <w:rPr>
          <w:rFonts w:ascii="Times New Roman" w:hAnsi="Times New Roman" w:cs="Times New Roman"/>
        </w:rPr>
        <w:t xml:space="preserve"> and </w:t>
      </w:r>
      <w:r w:rsidRPr="00DA3290">
        <w:rPr>
          <w:rFonts w:ascii="Times New Roman" w:hAnsi="Times New Roman" w:cs="Times New Roman"/>
        </w:rPr>
        <w:t xml:space="preserve">Betfair. </w:t>
      </w:r>
    </w:p>
  </w:footnote>
  <w:footnote w:id="7">
    <w:p w14:paraId="4AA0C132" w14:textId="4AF49942" w:rsidR="005A7AFF" w:rsidRPr="00DA3290" w:rsidRDefault="005A7AFF" w:rsidP="00186BE6">
      <w:pPr>
        <w:pStyle w:val="FootnoteText"/>
        <w:jc w:val="both"/>
        <w:rPr>
          <w:rFonts w:ascii="Times New Roman" w:hAnsi="Times New Roman" w:cs="Times New Roman"/>
        </w:rPr>
      </w:pPr>
      <w:r w:rsidRPr="00DA3290">
        <w:rPr>
          <w:rStyle w:val="FootnoteReference"/>
          <w:rFonts w:ascii="Times New Roman" w:hAnsi="Times New Roman" w:cs="Times New Roman"/>
        </w:rPr>
        <w:footnoteRef/>
      </w:r>
      <w:r>
        <w:rPr>
          <w:rFonts w:ascii="Times New Roman" w:hAnsi="Times New Roman" w:cs="Times New Roman"/>
        </w:rPr>
        <w:t xml:space="preserve"> Specifically, a relevant key word search in</w:t>
      </w:r>
      <w:r w:rsidRPr="00DA3290">
        <w:rPr>
          <w:rFonts w:ascii="Times New Roman" w:hAnsi="Times New Roman" w:cs="Times New Roman"/>
        </w:rPr>
        <w:t xml:space="preserve"> Factiva over the estimation period </w:t>
      </w:r>
      <w:r>
        <w:rPr>
          <w:rFonts w:ascii="Times New Roman" w:hAnsi="Times New Roman" w:cs="Times New Roman"/>
        </w:rPr>
        <w:t>of March 11</w:t>
      </w:r>
      <w:r w:rsidRPr="00DA3290">
        <w:rPr>
          <w:rFonts w:ascii="Times New Roman" w:hAnsi="Times New Roman" w:cs="Times New Roman"/>
        </w:rPr>
        <w:t>, 201</w:t>
      </w:r>
      <w:r>
        <w:rPr>
          <w:rFonts w:ascii="Times New Roman" w:hAnsi="Times New Roman" w:cs="Times New Roman"/>
        </w:rPr>
        <w:t>3 (event 1)</w:t>
      </w:r>
      <w:r w:rsidRPr="00DA3290">
        <w:rPr>
          <w:rFonts w:ascii="Times New Roman" w:hAnsi="Times New Roman" w:cs="Times New Roman"/>
        </w:rPr>
        <w:t xml:space="preserve"> </w:t>
      </w:r>
      <w:r>
        <w:rPr>
          <w:rFonts w:ascii="Times New Roman" w:hAnsi="Times New Roman" w:cs="Times New Roman"/>
        </w:rPr>
        <w:t>to</w:t>
      </w:r>
      <w:r w:rsidRPr="00DA3290">
        <w:rPr>
          <w:rFonts w:ascii="Times New Roman" w:hAnsi="Times New Roman" w:cs="Times New Roman"/>
        </w:rPr>
        <w:t xml:space="preserve"> March 31, 2015</w:t>
      </w:r>
      <w:r>
        <w:rPr>
          <w:rFonts w:ascii="Times New Roman" w:hAnsi="Times New Roman" w:cs="Times New Roman"/>
        </w:rPr>
        <w:t xml:space="preserve"> (event 8)</w:t>
      </w:r>
      <w:r w:rsidRPr="00DA3290">
        <w:rPr>
          <w:rFonts w:ascii="Times New Roman" w:hAnsi="Times New Roman" w:cs="Times New Roman"/>
        </w:rPr>
        <w:t xml:space="preserve"> yields </w:t>
      </w:r>
      <w:r>
        <w:rPr>
          <w:rFonts w:ascii="Times New Roman" w:hAnsi="Times New Roman" w:cs="Times New Roman"/>
        </w:rPr>
        <w:t>910</w:t>
      </w:r>
      <w:r w:rsidRPr="00DA3290">
        <w:rPr>
          <w:rFonts w:ascii="Times New Roman" w:hAnsi="Times New Roman" w:cs="Times New Roman"/>
        </w:rPr>
        <w:t xml:space="preserve"> non-duplicate news items related to the adoption of modern slavery regulation in the UK (we exclude the acronyms MSA and TISC from this search as they yield too many unrelated hits).</w:t>
      </w:r>
      <w:r>
        <w:rPr>
          <w:rFonts w:ascii="Times New Roman" w:hAnsi="Times New Roman" w:cs="Times New Roman"/>
        </w:rPr>
        <w:t xml:space="preserve"> </w:t>
      </w:r>
    </w:p>
  </w:footnote>
  <w:footnote w:id="8">
    <w:p w14:paraId="14207A1A" w14:textId="77777777" w:rsidR="005A7AFF" w:rsidRPr="002074FF" w:rsidRDefault="005A7AFF" w:rsidP="00717DFD">
      <w:pPr>
        <w:pStyle w:val="FootnoteText"/>
        <w:jc w:val="both"/>
      </w:pPr>
      <w:r w:rsidRPr="00C3413E">
        <w:rPr>
          <w:rStyle w:val="FootnoteReference"/>
          <w:rFonts w:ascii="Times New Roman" w:hAnsi="Times New Roman" w:cs="Times New Roman"/>
        </w:rPr>
        <w:footnoteRef/>
      </w:r>
      <w:r w:rsidRPr="00C3413E">
        <w:rPr>
          <w:rFonts w:ascii="Times New Roman" w:hAnsi="Times New Roman" w:cs="Times New Roman"/>
        </w:rPr>
        <w:t xml:space="preserve"> </w:t>
      </w:r>
      <w:r>
        <w:rPr>
          <w:rFonts w:ascii="Times New Roman" w:hAnsi="Times New Roman" w:cs="Times New Roman"/>
        </w:rPr>
        <w:t>I</w:t>
      </w:r>
      <w:r w:rsidRPr="00C3413E">
        <w:rPr>
          <w:rFonts w:ascii="Times New Roman" w:hAnsi="Times New Roman" w:cs="Times New Roman"/>
        </w:rPr>
        <w:t>n the</w:t>
      </w:r>
      <w:r>
        <w:rPr>
          <w:rFonts w:ascii="Times New Roman" w:hAnsi="Times New Roman" w:cs="Times New Roman"/>
        </w:rPr>
        <w:t xml:space="preserve"> Home Office’s i</w:t>
      </w:r>
      <w:r w:rsidRPr="00C3413E">
        <w:rPr>
          <w:rFonts w:ascii="Times New Roman" w:hAnsi="Times New Roman" w:cs="Times New Roman"/>
        </w:rPr>
        <w:t xml:space="preserve">mpact </w:t>
      </w:r>
      <w:r>
        <w:rPr>
          <w:rFonts w:ascii="Times New Roman" w:hAnsi="Times New Roman" w:cs="Times New Roman"/>
        </w:rPr>
        <w:t>a</w:t>
      </w:r>
      <w:r w:rsidRPr="00C3413E">
        <w:rPr>
          <w:rFonts w:ascii="Times New Roman" w:hAnsi="Times New Roman" w:cs="Times New Roman"/>
        </w:rPr>
        <w:t xml:space="preserve">ssessment notes for the </w:t>
      </w:r>
      <w:r>
        <w:rPr>
          <w:rFonts w:ascii="Times New Roman" w:hAnsi="Times New Roman" w:cs="Times New Roman"/>
        </w:rPr>
        <w:t>MSA, the direct costs of drafting TISC statements are estimated at approximately £1,390 per business, spread over a period of ten years (Home Office, 2015b</w:t>
      </w:r>
      <w:r w:rsidRPr="002074FF">
        <w:rPr>
          <w:rFonts w:ascii="Times New Roman" w:hAnsi="Times New Roman" w:cs="Times New Roman"/>
        </w:rPr>
        <w:t xml:space="preserve">).   </w:t>
      </w:r>
    </w:p>
  </w:footnote>
  <w:footnote w:id="9">
    <w:p w14:paraId="3CF8F03E" w14:textId="5C48D8E0" w:rsidR="005A7AFF" w:rsidRPr="005A78A1" w:rsidRDefault="005A7AFF" w:rsidP="009E5785">
      <w:pPr>
        <w:pStyle w:val="FootnoteText"/>
        <w:jc w:val="both"/>
        <w:rPr>
          <w:rFonts w:ascii="Times New Roman" w:hAnsi="Times New Roman" w:cs="Times New Roman"/>
        </w:rPr>
      </w:pPr>
      <w:r w:rsidRPr="00E863D6">
        <w:rPr>
          <w:rStyle w:val="FootnoteReference"/>
          <w:rFonts w:ascii="Times New Roman" w:hAnsi="Times New Roman" w:cs="Times New Roman"/>
        </w:rPr>
        <w:footnoteRef/>
      </w:r>
      <w:r>
        <w:rPr>
          <w:rFonts w:ascii="Times New Roman" w:hAnsi="Times New Roman" w:cs="Times New Roman"/>
        </w:rPr>
        <w:t xml:space="preserve"> T</w:t>
      </w:r>
      <w:r w:rsidRPr="00E863D6">
        <w:rPr>
          <w:rFonts w:ascii="Times New Roman" w:hAnsi="Times New Roman" w:cs="Times New Roman"/>
        </w:rPr>
        <w:t>he total market capitali</w:t>
      </w:r>
      <w:r>
        <w:rPr>
          <w:rFonts w:ascii="Times New Roman" w:hAnsi="Times New Roman" w:cs="Times New Roman"/>
        </w:rPr>
        <w:t>z</w:t>
      </w:r>
      <w:r w:rsidRPr="00E863D6">
        <w:rPr>
          <w:rFonts w:ascii="Times New Roman" w:hAnsi="Times New Roman" w:cs="Times New Roman"/>
        </w:rPr>
        <w:t xml:space="preserve">ation of the </w:t>
      </w:r>
      <w:r>
        <w:rPr>
          <w:rFonts w:ascii="Times New Roman" w:hAnsi="Times New Roman" w:cs="Times New Roman"/>
        </w:rPr>
        <w:t>602 FTSE All-Share I</w:t>
      </w:r>
      <w:r w:rsidRPr="00E863D6">
        <w:rPr>
          <w:rFonts w:ascii="Times New Roman" w:hAnsi="Times New Roman" w:cs="Times New Roman"/>
        </w:rPr>
        <w:t xml:space="preserve">ndex constituents </w:t>
      </w:r>
      <w:r>
        <w:rPr>
          <w:rFonts w:ascii="Times New Roman" w:hAnsi="Times New Roman" w:cs="Times New Roman"/>
        </w:rPr>
        <w:t xml:space="preserve">in our initial sample, as of March 4, 2013 (one week before event 1), was £2,116 </w:t>
      </w:r>
      <w:r w:rsidRPr="00E863D6">
        <w:rPr>
          <w:rFonts w:ascii="Times New Roman" w:hAnsi="Times New Roman" w:cs="Times New Roman"/>
        </w:rPr>
        <w:t xml:space="preserve">billion. </w:t>
      </w:r>
      <w:r w:rsidRPr="007A0D3E">
        <w:rPr>
          <w:rFonts w:ascii="Times New Roman" w:hAnsi="Times New Roman" w:cs="Times New Roman"/>
        </w:rPr>
        <w:t xml:space="preserve">The </w:t>
      </w:r>
      <w:r>
        <w:rPr>
          <w:rFonts w:ascii="Times New Roman" w:hAnsi="Times New Roman" w:cs="Times New Roman"/>
        </w:rPr>
        <w:t xml:space="preserve">sum of the </w:t>
      </w:r>
      <w:r w:rsidRPr="007A0D3E">
        <w:rPr>
          <w:rFonts w:ascii="Times New Roman" w:hAnsi="Times New Roman" w:cs="Times New Roman"/>
        </w:rPr>
        <w:t>market capitali</w:t>
      </w:r>
      <w:r>
        <w:rPr>
          <w:rFonts w:ascii="Times New Roman" w:hAnsi="Times New Roman" w:cs="Times New Roman"/>
        </w:rPr>
        <w:t>z</w:t>
      </w:r>
      <w:r w:rsidRPr="007A0D3E">
        <w:rPr>
          <w:rFonts w:ascii="Times New Roman" w:hAnsi="Times New Roman" w:cs="Times New Roman"/>
        </w:rPr>
        <w:t>ation</w:t>
      </w:r>
      <w:r>
        <w:rPr>
          <w:rFonts w:ascii="Times New Roman" w:hAnsi="Times New Roman" w:cs="Times New Roman"/>
        </w:rPr>
        <w:t>s</w:t>
      </w:r>
      <w:r w:rsidRPr="007A0D3E">
        <w:rPr>
          <w:rFonts w:ascii="Times New Roman" w:hAnsi="Times New Roman" w:cs="Times New Roman"/>
        </w:rPr>
        <w:t xml:space="preserve"> of our</w:t>
      </w:r>
      <w:r>
        <w:rPr>
          <w:rFonts w:ascii="Times New Roman" w:hAnsi="Times New Roman" w:cs="Times New Roman"/>
        </w:rPr>
        <w:t xml:space="preserve"> 357</w:t>
      </w:r>
      <w:r w:rsidRPr="007A0D3E">
        <w:rPr>
          <w:rFonts w:ascii="Times New Roman" w:hAnsi="Times New Roman" w:cs="Times New Roman"/>
        </w:rPr>
        <w:t xml:space="preserve"> sample firms </w:t>
      </w:r>
      <w:r>
        <w:rPr>
          <w:rFonts w:ascii="Times New Roman" w:hAnsi="Times New Roman" w:cs="Times New Roman"/>
        </w:rPr>
        <w:t>as of that date was</w:t>
      </w:r>
      <w:r w:rsidRPr="007A0D3E">
        <w:rPr>
          <w:rFonts w:ascii="Times New Roman" w:hAnsi="Times New Roman" w:cs="Times New Roman"/>
        </w:rPr>
        <w:t xml:space="preserve"> </w:t>
      </w:r>
      <w:r>
        <w:rPr>
          <w:rFonts w:ascii="Times New Roman" w:hAnsi="Times New Roman" w:cs="Times New Roman"/>
        </w:rPr>
        <w:t xml:space="preserve">£1,717 billion. </w:t>
      </w:r>
    </w:p>
  </w:footnote>
  <w:footnote w:id="10">
    <w:p w14:paraId="3525483A" w14:textId="77777777" w:rsidR="005A7AFF" w:rsidRPr="00D43169" w:rsidRDefault="005A7AFF" w:rsidP="006E6FAF">
      <w:pPr>
        <w:pStyle w:val="FootnoteText"/>
        <w:jc w:val="both"/>
        <w:rPr>
          <w:rFonts w:ascii="Times New Roman" w:hAnsi="Times New Roman" w:cs="Times New Roman"/>
        </w:rPr>
      </w:pPr>
      <w:r w:rsidRPr="00D43169">
        <w:rPr>
          <w:rStyle w:val="FootnoteReference"/>
          <w:rFonts w:ascii="Times New Roman" w:hAnsi="Times New Roman" w:cs="Times New Roman"/>
        </w:rPr>
        <w:footnoteRef/>
      </w:r>
      <w:r w:rsidRPr="00D43169">
        <w:rPr>
          <w:rFonts w:ascii="Times New Roman" w:hAnsi="Times New Roman" w:cs="Times New Roman"/>
        </w:rPr>
        <w:t xml:space="preserve"> </w:t>
      </w:r>
      <w:r>
        <w:rPr>
          <w:rFonts w:ascii="Times New Roman" w:hAnsi="Times New Roman" w:cs="Times New Roman"/>
        </w:rPr>
        <w:t xml:space="preserve">We set the first date to be well before March 11, 2013 (event 1). We choose the end date to fall at the end of the calendar month of our final event, March 26, 2015 (event 8). </w:t>
      </w:r>
    </w:p>
  </w:footnote>
  <w:footnote w:id="11">
    <w:p w14:paraId="72509A68" w14:textId="61693216" w:rsidR="005A7AFF" w:rsidRPr="00AF75B0" w:rsidRDefault="005A7AFF" w:rsidP="00AF75B0">
      <w:pPr>
        <w:pStyle w:val="FootnoteText"/>
        <w:jc w:val="both"/>
        <w:rPr>
          <w:rFonts w:ascii="Times New Roman" w:hAnsi="Times New Roman" w:cs="Times New Roman"/>
        </w:rPr>
      </w:pPr>
      <w:r w:rsidRPr="00AF75B0">
        <w:rPr>
          <w:rStyle w:val="FootnoteReference"/>
          <w:rFonts w:ascii="Times New Roman" w:hAnsi="Times New Roman" w:cs="Times New Roman"/>
        </w:rPr>
        <w:footnoteRef/>
      </w:r>
      <w:r w:rsidRPr="00AF75B0">
        <w:rPr>
          <w:rFonts w:ascii="Times New Roman" w:hAnsi="Times New Roman" w:cs="Times New Roman"/>
        </w:rPr>
        <w:t xml:space="preserve"> RepRisk does not </w:t>
      </w:r>
      <w:r>
        <w:rPr>
          <w:rFonts w:ascii="Times New Roman" w:hAnsi="Times New Roman" w:cs="Times New Roman"/>
        </w:rPr>
        <w:t xml:space="preserve">break down </w:t>
      </w:r>
      <w:r w:rsidRPr="00AF75B0">
        <w:rPr>
          <w:rFonts w:ascii="Times New Roman" w:hAnsi="Times New Roman" w:cs="Times New Roman"/>
        </w:rPr>
        <w:t xml:space="preserve">ESG measures </w:t>
      </w:r>
      <w:r>
        <w:rPr>
          <w:rFonts w:ascii="Times New Roman" w:hAnsi="Times New Roman" w:cs="Times New Roman"/>
        </w:rPr>
        <w:t xml:space="preserve">or social-incident-related links </w:t>
      </w:r>
      <w:r w:rsidRPr="00AF75B0">
        <w:rPr>
          <w:rFonts w:ascii="Times New Roman" w:hAnsi="Times New Roman" w:cs="Times New Roman"/>
        </w:rPr>
        <w:t xml:space="preserve">by </w:t>
      </w:r>
      <w:r>
        <w:rPr>
          <w:rFonts w:ascii="Times New Roman" w:hAnsi="Times New Roman" w:cs="Times New Roman"/>
        </w:rPr>
        <w:t>industry</w:t>
      </w:r>
      <w:r w:rsidRPr="00AF75B0">
        <w:rPr>
          <w:rFonts w:ascii="Times New Roman" w:hAnsi="Times New Roman" w:cs="Times New Roman"/>
        </w:rPr>
        <w:t xml:space="preserve"> </w:t>
      </w:r>
      <w:r>
        <w:rPr>
          <w:rFonts w:ascii="Times New Roman" w:hAnsi="Times New Roman" w:cs="Times New Roman"/>
        </w:rPr>
        <w:t xml:space="preserve">or by </w:t>
      </w:r>
      <w:r w:rsidRPr="00AF75B0">
        <w:rPr>
          <w:rFonts w:ascii="Times New Roman" w:hAnsi="Times New Roman" w:cs="Times New Roman"/>
        </w:rPr>
        <w:t>country</w:t>
      </w:r>
      <w:r>
        <w:rPr>
          <w:rFonts w:ascii="Times New Roman" w:hAnsi="Times New Roman" w:cs="Times New Roman"/>
        </w:rPr>
        <w:t>. Thus,</w:t>
      </w:r>
      <w:r w:rsidRPr="00AF75B0">
        <w:rPr>
          <w:rFonts w:ascii="Times New Roman" w:hAnsi="Times New Roman" w:cs="Times New Roman"/>
        </w:rPr>
        <w:t xml:space="preserve"> this measure refers to ESG risk more generally rather than the risk of social incidents</w:t>
      </w:r>
      <w:r>
        <w:rPr>
          <w:rFonts w:ascii="Times New Roman" w:hAnsi="Times New Roman" w:cs="Times New Roman"/>
        </w:rPr>
        <w:t xml:space="preserve"> in particular</w:t>
      </w:r>
      <w:r w:rsidRPr="00AF75B0">
        <w:rPr>
          <w:rFonts w:ascii="Times New Roman" w:hAnsi="Times New Roman" w:cs="Times New Roman"/>
        </w:rPr>
        <w:t xml:space="preserve">. </w:t>
      </w:r>
    </w:p>
  </w:footnote>
  <w:footnote w:id="12">
    <w:p w14:paraId="582CC8A4" w14:textId="77777777" w:rsidR="005A7AFF" w:rsidRPr="009C50ED" w:rsidRDefault="005A7AFF" w:rsidP="009C50ED">
      <w:pPr>
        <w:pStyle w:val="FootnoteText"/>
        <w:jc w:val="both"/>
        <w:rPr>
          <w:rFonts w:ascii="Times New Roman" w:hAnsi="Times New Roman" w:cs="Times New Roman"/>
        </w:rPr>
      </w:pPr>
      <w:r w:rsidRPr="009C50ED">
        <w:rPr>
          <w:rStyle w:val="FootnoteReference"/>
        </w:rPr>
        <w:footnoteRef/>
      </w:r>
      <w:r w:rsidRPr="009C50ED">
        <w:t xml:space="preserve"> </w:t>
      </w:r>
      <w:r>
        <w:rPr>
          <w:rFonts w:ascii="Times New Roman" w:hAnsi="Times New Roman" w:cs="Times New Roman"/>
        </w:rPr>
        <w:t>The</w:t>
      </w:r>
      <w:r w:rsidRPr="009C50ED">
        <w:rPr>
          <w:rFonts w:ascii="Times New Roman" w:hAnsi="Times New Roman" w:cs="Times New Roman"/>
        </w:rPr>
        <w:t xml:space="preserve"> market value changes</w:t>
      </w:r>
      <w:r>
        <w:rPr>
          <w:rFonts w:ascii="Times New Roman" w:hAnsi="Times New Roman" w:cs="Times New Roman"/>
        </w:rPr>
        <w:t xml:space="preserve"> reported in this section</w:t>
      </w:r>
      <w:r w:rsidRPr="009C50ED">
        <w:rPr>
          <w:rFonts w:ascii="Times New Roman" w:hAnsi="Times New Roman" w:cs="Times New Roman"/>
        </w:rPr>
        <w:t xml:space="preserve"> </w:t>
      </w:r>
      <w:r>
        <w:rPr>
          <w:rFonts w:ascii="Times New Roman" w:hAnsi="Times New Roman" w:cs="Times New Roman"/>
        </w:rPr>
        <w:t>do not capture</w:t>
      </w:r>
      <w:r w:rsidRPr="009C50ED">
        <w:rPr>
          <w:rFonts w:ascii="Times New Roman" w:hAnsi="Times New Roman" w:cs="Times New Roman"/>
        </w:rPr>
        <w:t xml:space="preserve"> </w:t>
      </w:r>
      <w:r>
        <w:rPr>
          <w:rFonts w:ascii="Times New Roman" w:hAnsi="Times New Roman" w:cs="Times New Roman"/>
        </w:rPr>
        <w:t>actually observed wealth effects for investors. The reason is that</w:t>
      </w:r>
      <w:r w:rsidRPr="009C50ED">
        <w:rPr>
          <w:rFonts w:ascii="Times New Roman" w:hAnsi="Times New Roman" w:cs="Times New Roman"/>
        </w:rPr>
        <w:t xml:space="preserve"> event 5 is associated with a decreased likelihood of MSA adoption and therefore received a coefficient of </w:t>
      </w:r>
      <w:r w:rsidRPr="009C50ED">
        <w:rPr>
          <w:rFonts w:ascii="Times New Roman" w:hAnsi="Times New Roman" w:cs="Times New Roman"/>
          <w:lang w:val="en-US"/>
        </w:rPr>
        <w:t>−1 in our regression model</w:t>
      </w:r>
      <w:r>
        <w:rPr>
          <w:rFonts w:ascii="Times New Roman" w:hAnsi="Times New Roman" w:cs="Times New Roman"/>
          <w:lang w:val="en-US"/>
        </w:rPr>
        <w:t xml:space="preserve"> used for estimating </w:t>
      </w:r>
      <w:r w:rsidRPr="00C372F9">
        <w:rPr>
          <w:rFonts w:ascii="Times New Roman" w:hAnsi="Times New Roman" w:cs="Times New Roman"/>
          <w:i/>
          <w:lang w:val="en-US"/>
        </w:rPr>
        <w:t>CAR</w:t>
      </w:r>
      <w:r w:rsidRPr="009C50ED">
        <w:rPr>
          <w:rFonts w:ascii="Times New Roman" w:hAnsi="Times New Roman" w:cs="Times New Roman"/>
          <w:lang w:val="en-US"/>
        </w:rPr>
        <w:t xml:space="preserve">. </w:t>
      </w:r>
      <w:r>
        <w:rPr>
          <w:rFonts w:ascii="Times New Roman" w:hAnsi="Times New Roman" w:cs="Times New Roman"/>
          <w:lang w:val="en-US"/>
        </w:rPr>
        <w:t>The market value changes should rather</w:t>
      </w:r>
      <w:r w:rsidRPr="009C50ED">
        <w:rPr>
          <w:rFonts w:ascii="Times New Roman" w:hAnsi="Times New Roman" w:cs="Times New Roman"/>
          <w:lang w:val="en-US"/>
        </w:rPr>
        <w:t xml:space="preserve"> be interpreted as wealth effects associated with an increased likelihood of MSA adoption</w:t>
      </w:r>
      <w:r>
        <w:rPr>
          <w:rFonts w:ascii="Times New Roman" w:hAnsi="Times New Roman" w:cs="Times New Roman"/>
          <w:lang w:val="en-US"/>
        </w:rPr>
        <w:t xml:space="preserve"> (Pincus, 1997)</w:t>
      </w:r>
      <w:r w:rsidRPr="009C50ED">
        <w:rPr>
          <w:rFonts w:ascii="Times New Roman" w:hAnsi="Times New Roman" w:cs="Times New Roman"/>
          <w:lang w:val="en-US"/>
        </w:rPr>
        <w:t xml:space="preserve">. </w:t>
      </w:r>
    </w:p>
  </w:footnote>
  <w:footnote w:id="13">
    <w:p w14:paraId="417F8C82" w14:textId="77777777" w:rsidR="005A7AFF" w:rsidRPr="00955DFE" w:rsidRDefault="005A7AFF">
      <w:pPr>
        <w:pStyle w:val="FootnoteText"/>
        <w:rPr>
          <w:rFonts w:ascii="Times New Roman" w:hAnsi="Times New Roman" w:cs="Times New Roman"/>
        </w:rPr>
      </w:pPr>
      <w:r w:rsidRPr="00955DFE">
        <w:rPr>
          <w:rStyle w:val="FootnoteReference"/>
          <w:rFonts w:ascii="Times New Roman" w:hAnsi="Times New Roman" w:cs="Times New Roman"/>
        </w:rPr>
        <w:footnoteRef/>
      </w:r>
      <w:r w:rsidRPr="00955DFE">
        <w:rPr>
          <w:rFonts w:ascii="Times New Roman" w:hAnsi="Times New Roman" w:cs="Times New Roman"/>
        </w:rPr>
        <w:t xml:space="preserve"> Detailed results of untabulated robustness tests can be obtained from the corresponding author. </w:t>
      </w:r>
    </w:p>
  </w:footnote>
  <w:footnote w:id="14">
    <w:p w14:paraId="4EA52292" w14:textId="77777777" w:rsidR="005A7AFF" w:rsidRDefault="005A7AFF">
      <w:pPr>
        <w:pStyle w:val="FootnoteText"/>
      </w:pPr>
      <w:r w:rsidRPr="00955DFE">
        <w:rPr>
          <w:rStyle w:val="FootnoteReference"/>
          <w:rFonts w:ascii="Times New Roman" w:hAnsi="Times New Roman" w:cs="Times New Roman"/>
        </w:rPr>
        <w:footnoteRef/>
      </w:r>
      <w:r w:rsidRPr="00955DFE">
        <w:rPr>
          <w:rFonts w:ascii="Times New Roman" w:hAnsi="Times New Roman" w:cs="Times New Roman"/>
        </w:rPr>
        <w:t xml:space="preserve"> We thank an anonymous referee for suggesting this analysis.</w:t>
      </w:r>
      <w:r>
        <w:t xml:space="preserve"> </w:t>
      </w:r>
    </w:p>
  </w:footnote>
  <w:footnote w:id="15">
    <w:p w14:paraId="302C193A" w14:textId="77777777" w:rsidR="005A7AFF" w:rsidRPr="008B6F0E" w:rsidRDefault="005A7AFF">
      <w:pPr>
        <w:pStyle w:val="FootnoteText"/>
        <w:rPr>
          <w:rFonts w:ascii="Times New Roman" w:hAnsi="Times New Roman" w:cs="Times New Roman"/>
        </w:rPr>
      </w:pPr>
      <w:r w:rsidRPr="008B6F0E">
        <w:rPr>
          <w:rStyle w:val="FootnoteReference"/>
          <w:rFonts w:ascii="Times New Roman" w:hAnsi="Times New Roman" w:cs="Times New Roman"/>
        </w:rPr>
        <w:footnoteRef/>
      </w:r>
      <w:r w:rsidRPr="008B6F0E">
        <w:rPr>
          <w:rFonts w:ascii="Times New Roman" w:hAnsi="Times New Roman" w:cs="Times New Roman"/>
        </w:rPr>
        <w:t xml:space="preserve"> All web links were last accessed on July 31,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066F" w14:textId="77777777" w:rsidR="005A7AFF" w:rsidRDefault="005A7AFF">
    <w:pPr>
      <w:pStyle w:val="Header"/>
      <w:jc w:val="right"/>
    </w:pPr>
  </w:p>
  <w:p w14:paraId="3787BCD2" w14:textId="77777777" w:rsidR="005A7AFF" w:rsidRDefault="005A7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14170"/>
      <w:docPartObj>
        <w:docPartGallery w:val="Page Numbers (Top of Page)"/>
        <w:docPartUnique/>
      </w:docPartObj>
    </w:sdtPr>
    <w:sdtEndPr>
      <w:rPr>
        <w:noProof/>
      </w:rPr>
    </w:sdtEndPr>
    <w:sdtContent>
      <w:p w14:paraId="21CD28A1" w14:textId="3EE9F651" w:rsidR="005A7AFF" w:rsidRDefault="005A7AFF">
        <w:pPr>
          <w:pStyle w:val="Header"/>
          <w:jc w:val="right"/>
        </w:pPr>
        <w:r w:rsidRPr="00FC25C9">
          <w:rPr>
            <w:rFonts w:ascii="Times New Roman" w:hAnsi="Times New Roman" w:cs="Times New Roman"/>
            <w:sz w:val="20"/>
            <w:szCs w:val="20"/>
          </w:rPr>
          <w:fldChar w:fldCharType="begin"/>
        </w:r>
        <w:r w:rsidRPr="00FC25C9">
          <w:rPr>
            <w:rFonts w:ascii="Times New Roman" w:hAnsi="Times New Roman" w:cs="Times New Roman"/>
            <w:sz w:val="20"/>
            <w:szCs w:val="20"/>
          </w:rPr>
          <w:instrText xml:space="preserve"> PAGE   \* MERGEFORMAT </w:instrText>
        </w:r>
        <w:r w:rsidRPr="00FC25C9">
          <w:rPr>
            <w:rFonts w:ascii="Times New Roman" w:hAnsi="Times New Roman" w:cs="Times New Roman"/>
            <w:sz w:val="20"/>
            <w:szCs w:val="20"/>
          </w:rPr>
          <w:fldChar w:fldCharType="separate"/>
        </w:r>
        <w:r w:rsidR="003B516D">
          <w:rPr>
            <w:rFonts w:ascii="Times New Roman" w:hAnsi="Times New Roman" w:cs="Times New Roman"/>
            <w:noProof/>
            <w:sz w:val="20"/>
            <w:szCs w:val="20"/>
          </w:rPr>
          <w:t>1</w:t>
        </w:r>
        <w:r w:rsidRPr="00FC25C9">
          <w:rPr>
            <w:rFonts w:ascii="Times New Roman" w:hAnsi="Times New Roman" w:cs="Times New Roman"/>
            <w:noProof/>
            <w:sz w:val="20"/>
            <w:szCs w:val="20"/>
          </w:rPr>
          <w:fldChar w:fldCharType="end"/>
        </w:r>
      </w:p>
    </w:sdtContent>
  </w:sdt>
  <w:p w14:paraId="569C610F" w14:textId="77777777" w:rsidR="005A7AFF" w:rsidRDefault="005A7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26799"/>
      <w:docPartObj>
        <w:docPartGallery w:val="Page Numbers (Top of Page)"/>
        <w:docPartUnique/>
      </w:docPartObj>
    </w:sdtPr>
    <w:sdtEndPr>
      <w:rPr>
        <w:noProof/>
      </w:rPr>
    </w:sdtEndPr>
    <w:sdtContent>
      <w:p w14:paraId="017B3D60" w14:textId="03805948" w:rsidR="005A7AFF" w:rsidRDefault="005A7AFF">
        <w:pPr>
          <w:pStyle w:val="Header"/>
          <w:jc w:val="right"/>
        </w:pPr>
        <w:r w:rsidRPr="00E863D6">
          <w:rPr>
            <w:rFonts w:ascii="Times New Roman" w:hAnsi="Times New Roman" w:cs="Times New Roman"/>
          </w:rPr>
          <w:fldChar w:fldCharType="begin"/>
        </w:r>
        <w:r w:rsidRPr="00E863D6">
          <w:rPr>
            <w:rFonts w:ascii="Times New Roman" w:hAnsi="Times New Roman" w:cs="Times New Roman"/>
          </w:rPr>
          <w:instrText xml:space="preserve"> PAGE   \* MERGEFORMAT </w:instrText>
        </w:r>
        <w:r w:rsidRPr="00E863D6">
          <w:rPr>
            <w:rFonts w:ascii="Times New Roman" w:hAnsi="Times New Roman" w:cs="Times New Roman"/>
          </w:rPr>
          <w:fldChar w:fldCharType="separate"/>
        </w:r>
        <w:r w:rsidR="003B516D">
          <w:rPr>
            <w:rFonts w:ascii="Times New Roman" w:hAnsi="Times New Roman" w:cs="Times New Roman"/>
            <w:noProof/>
          </w:rPr>
          <w:t>20</w:t>
        </w:r>
        <w:r w:rsidRPr="00E863D6">
          <w:rPr>
            <w:rFonts w:ascii="Times New Roman" w:hAnsi="Times New Roman" w:cs="Times New Roman"/>
            <w:noProof/>
          </w:rPr>
          <w:fldChar w:fldCharType="end"/>
        </w:r>
      </w:p>
    </w:sdtContent>
  </w:sdt>
  <w:p w14:paraId="6FEE4D36" w14:textId="77777777" w:rsidR="005A7AFF" w:rsidRDefault="005A7A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52863"/>
      <w:docPartObj>
        <w:docPartGallery w:val="Page Numbers (Top of Page)"/>
        <w:docPartUnique/>
      </w:docPartObj>
    </w:sdtPr>
    <w:sdtEndPr>
      <w:rPr>
        <w:noProof/>
      </w:rPr>
    </w:sdtEndPr>
    <w:sdtContent>
      <w:p w14:paraId="53B24DEC" w14:textId="77777777" w:rsidR="005A7AFF" w:rsidRDefault="005A7A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6449D2" w14:textId="77777777" w:rsidR="005A7AFF" w:rsidRDefault="005A7A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94291"/>
      <w:docPartObj>
        <w:docPartGallery w:val="Page Numbers (Top of Page)"/>
        <w:docPartUnique/>
      </w:docPartObj>
    </w:sdtPr>
    <w:sdtEndPr>
      <w:rPr>
        <w:rFonts w:ascii="Times New Roman" w:hAnsi="Times New Roman" w:cs="Times New Roman"/>
        <w:noProof/>
        <w:sz w:val="20"/>
        <w:szCs w:val="20"/>
      </w:rPr>
    </w:sdtEndPr>
    <w:sdtContent>
      <w:p w14:paraId="2DB99C86" w14:textId="02493AC8" w:rsidR="005A7AFF" w:rsidRPr="00F67E17" w:rsidRDefault="005A7AFF">
        <w:pPr>
          <w:pStyle w:val="Header"/>
          <w:jc w:val="right"/>
          <w:rPr>
            <w:rFonts w:ascii="Times New Roman" w:hAnsi="Times New Roman" w:cs="Times New Roman"/>
            <w:sz w:val="20"/>
            <w:szCs w:val="20"/>
          </w:rPr>
        </w:pPr>
        <w:r w:rsidRPr="00F67E17">
          <w:rPr>
            <w:rFonts w:ascii="Times New Roman" w:hAnsi="Times New Roman" w:cs="Times New Roman"/>
            <w:sz w:val="20"/>
            <w:szCs w:val="20"/>
          </w:rPr>
          <w:fldChar w:fldCharType="begin"/>
        </w:r>
        <w:r w:rsidRPr="00F67E17">
          <w:rPr>
            <w:rFonts w:ascii="Times New Roman" w:hAnsi="Times New Roman" w:cs="Times New Roman"/>
            <w:sz w:val="20"/>
            <w:szCs w:val="20"/>
          </w:rPr>
          <w:instrText xml:space="preserve"> PAGE   \* MERGEFORMAT </w:instrText>
        </w:r>
        <w:r w:rsidRPr="00F67E17">
          <w:rPr>
            <w:rFonts w:ascii="Times New Roman" w:hAnsi="Times New Roman" w:cs="Times New Roman"/>
            <w:sz w:val="20"/>
            <w:szCs w:val="20"/>
          </w:rPr>
          <w:fldChar w:fldCharType="separate"/>
        </w:r>
        <w:r w:rsidR="003B516D">
          <w:rPr>
            <w:rFonts w:ascii="Times New Roman" w:hAnsi="Times New Roman" w:cs="Times New Roman"/>
            <w:noProof/>
            <w:sz w:val="20"/>
            <w:szCs w:val="20"/>
          </w:rPr>
          <w:t>43</w:t>
        </w:r>
        <w:r w:rsidRPr="00F67E17">
          <w:rPr>
            <w:rFonts w:ascii="Times New Roman" w:hAnsi="Times New Roman" w:cs="Times New Roman"/>
            <w:noProof/>
            <w:sz w:val="20"/>
            <w:szCs w:val="20"/>
          </w:rPr>
          <w:fldChar w:fldCharType="end"/>
        </w:r>
      </w:p>
    </w:sdtContent>
  </w:sdt>
  <w:p w14:paraId="44B67AC0" w14:textId="77777777" w:rsidR="005A7AFF" w:rsidRDefault="005A7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EF"/>
    <w:multiLevelType w:val="hybridMultilevel"/>
    <w:tmpl w:val="6988FA40"/>
    <w:lvl w:ilvl="0" w:tplc="A5763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51C03"/>
    <w:multiLevelType w:val="hybridMultilevel"/>
    <w:tmpl w:val="07B28C10"/>
    <w:lvl w:ilvl="0" w:tplc="F43C3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82F6B"/>
    <w:multiLevelType w:val="hybridMultilevel"/>
    <w:tmpl w:val="8828DD1C"/>
    <w:lvl w:ilvl="0" w:tplc="AAAC0080">
      <w:start w:val="6"/>
      <w:numFmt w:val="bullet"/>
      <w:lvlText w:val=""/>
      <w:lvlJc w:val="left"/>
      <w:pPr>
        <w:ind w:left="3240" w:hanging="360"/>
      </w:pPr>
      <w:rPr>
        <w:rFonts w:ascii="Wingdings" w:eastAsiaTheme="minorHAnsi" w:hAnsi="Wingding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5C57B88"/>
    <w:multiLevelType w:val="hybridMultilevel"/>
    <w:tmpl w:val="2130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44C36"/>
    <w:multiLevelType w:val="multilevel"/>
    <w:tmpl w:val="68F2A684"/>
    <w:lvl w:ilvl="0">
      <w:start w:val="1"/>
      <w:numFmt w:val="bullet"/>
      <w:lvlText w:val=""/>
      <w:lvlJc w:val="left"/>
      <w:pPr>
        <w:tabs>
          <w:tab w:val="num" w:pos="5606"/>
        </w:tabs>
        <w:ind w:left="5606" w:hanging="360"/>
      </w:pPr>
      <w:rPr>
        <w:rFonts w:ascii="Symbol" w:hAnsi="Symbol" w:hint="default"/>
        <w:sz w:val="20"/>
      </w:rPr>
    </w:lvl>
    <w:lvl w:ilvl="1">
      <w:numFmt w:val="bullet"/>
      <w:lvlText w:val=""/>
      <w:lvlJc w:val="left"/>
      <w:pPr>
        <w:ind w:left="6326" w:hanging="360"/>
      </w:pPr>
      <w:rPr>
        <w:rFonts w:ascii="Wingdings" w:eastAsiaTheme="minorHAnsi" w:hAnsi="Wingdings" w:cstheme="minorBidi" w:hint="default"/>
      </w:rPr>
    </w:lvl>
    <w:lvl w:ilvl="2">
      <w:start w:val="1"/>
      <w:numFmt w:val="decimal"/>
      <w:lvlText w:val="%3."/>
      <w:lvlJc w:val="left"/>
      <w:pPr>
        <w:ind w:left="7046" w:hanging="360"/>
      </w:pPr>
      <w:rPr>
        <w:rFonts w:hint="default"/>
      </w:rPr>
    </w:lvl>
    <w:lvl w:ilvl="3" w:tentative="1">
      <w:start w:val="1"/>
      <w:numFmt w:val="bullet"/>
      <w:lvlText w:val=""/>
      <w:lvlJc w:val="left"/>
      <w:pPr>
        <w:tabs>
          <w:tab w:val="num" w:pos="7766"/>
        </w:tabs>
        <w:ind w:left="7766" w:hanging="360"/>
      </w:pPr>
      <w:rPr>
        <w:rFonts w:ascii="Wingdings" w:hAnsi="Wingdings" w:hint="default"/>
        <w:sz w:val="20"/>
      </w:rPr>
    </w:lvl>
    <w:lvl w:ilvl="4" w:tentative="1">
      <w:start w:val="1"/>
      <w:numFmt w:val="bullet"/>
      <w:lvlText w:val=""/>
      <w:lvlJc w:val="left"/>
      <w:pPr>
        <w:tabs>
          <w:tab w:val="num" w:pos="8486"/>
        </w:tabs>
        <w:ind w:left="8486" w:hanging="360"/>
      </w:pPr>
      <w:rPr>
        <w:rFonts w:ascii="Wingdings" w:hAnsi="Wingdings" w:hint="default"/>
        <w:sz w:val="20"/>
      </w:rPr>
    </w:lvl>
    <w:lvl w:ilvl="5" w:tentative="1">
      <w:start w:val="1"/>
      <w:numFmt w:val="bullet"/>
      <w:lvlText w:val=""/>
      <w:lvlJc w:val="left"/>
      <w:pPr>
        <w:tabs>
          <w:tab w:val="num" w:pos="9206"/>
        </w:tabs>
        <w:ind w:left="9206" w:hanging="360"/>
      </w:pPr>
      <w:rPr>
        <w:rFonts w:ascii="Wingdings" w:hAnsi="Wingdings" w:hint="default"/>
        <w:sz w:val="20"/>
      </w:rPr>
    </w:lvl>
    <w:lvl w:ilvl="6" w:tentative="1">
      <w:start w:val="1"/>
      <w:numFmt w:val="bullet"/>
      <w:lvlText w:val=""/>
      <w:lvlJc w:val="left"/>
      <w:pPr>
        <w:tabs>
          <w:tab w:val="num" w:pos="9926"/>
        </w:tabs>
        <w:ind w:left="9926" w:hanging="360"/>
      </w:pPr>
      <w:rPr>
        <w:rFonts w:ascii="Wingdings" w:hAnsi="Wingdings" w:hint="default"/>
        <w:sz w:val="20"/>
      </w:rPr>
    </w:lvl>
    <w:lvl w:ilvl="7" w:tentative="1">
      <w:start w:val="1"/>
      <w:numFmt w:val="bullet"/>
      <w:lvlText w:val=""/>
      <w:lvlJc w:val="left"/>
      <w:pPr>
        <w:tabs>
          <w:tab w:val="num" w:pos="10646"/>
        </w:tabs>
        <w:ind w:left="10646" w:hanging="360"/>
      </w:pPr>
      <w:rPr>
        <w:rFonts w:ascii="Wingdings" w:hAnsi="Wingdings" w:hint="default"/>
        <w:sz w:val="20"/>
      </w:rPr>
    </w:lvl>
    <w:lvl w:ilvl="8" w:tentative="1">
      <w:start w:val="1"/>
      <w:numFmt w:val="bullet"/>
      <w:lvlText w:val=""/>
      <w:lvlJc w:val="left"/>
      <w:pPr>
        <w:tabs>
          <w:tab w:val="num" w:pos="11366"/>
        </w:tabs>
        <w:ind w:left="11366" w:hanging="360"/>
      </w:pPr>
      <w:rPr>
        <w:rFonts w:ascii="Wingdings" w:hAnsi="Wingdings" w:hint="default"/>
        <w:sz w:val="20"/>
      </w:rPr>
    </w:lvl>
  </w:abstractNum>
  <w:abstractNum w:abstractNumId="5" w15:restartNumberingAfterBreak="0">
    <w:nsid w:val="0A330485"/>
    <w:multiLevelType w:val="hybridMultilevel"/>
    <w:tmpl w:val="2130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52962"/>
    <w:multiLevelType w:val="hybridMultilevel"/>
    <w:tmpl w:val="C6D0A8F2"/>
    <w:lvl w:ilvl="0" w:tplc="9AC86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811EA"/>
    <w:multiLevelType w:val="hybridMultilevel"/>
    <w:tmpl w:val="E16EBB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05991"/>
    <w:multiLevelType w:val="multilevel"/>
    <w:tmpl w:val="C8E0E0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264614"/>
    <w:multiLevelType w:val="hybridMultilevel"/>
    <w:tmpl w:val="11EE2242"/>
    <w:lvl w:ilvl="0" w:tplc="100C14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CA1BF7"/>
    <w:multiLevelType w:val="hybridMultilevel"/>
    <w:tmpl w:val="1DC465B8"/>
    <w:lvl w:ilvl="0" w:tplc="3FC60E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91634"/>
    <w:multiLevelType w:val="hybridMultilevel"/>
    <w:tmpl w:val="083E7C44"/>
    <w:lvl w:ilvl="0" w:tplc="C4CEA6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8762A15"/>
    <w:multiLevelType w:val="hybridMultilevel"/>
    <w:tmpl w:val="2130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A797A"/>
    <w:multiLevelType w:val="multilevel"/>
    <w:tmpl w:val="35BA8E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9855BA"/>
    <w:multiLevelType w:val="hybridMultilevel"/>
    <w:tmpl w:val="C3900FE0"/>
    <w:lvl w:ilvl="0" w:tplc="48F687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A23C3"/>
    <w:multiLevelType w:val="hybridMultilevel"/>
    <w:tmpl w:val="91E6BC9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D1CBB"/>
    <w:multiLevelType w:val="hybridMultilevel"/>
    <w:tmpl w:val="6F64D3B8"/>
    <w:lvl w:ilvl="0" w:tplc="F6BE9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615B0"/>
    <w:multiLevelType w:val="hybridMultilevel"/>
    <w:tmpl w:val="AF3C00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F0347"/>
    <w:multiLevelType w:val="multilevel"/>
    <w:tmpl w:val="0082B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F30D14"/>
    <w:multiLevelType w:val="hybridMultilevel"/>
    <w:tmpl w:val="D54E8F4E"/>
    <w:lvl w:ilvl="0" w:tplc="89D8AF0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21EA4209"/>
    <w:multiLevelType w:val="hybridMultilevel"/>
    <w:tmpl w:val="D5A4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9530C9"/>
    <w:multiLevelType w:val="hybridMultilevel"/>
    <w:tmpl w:val="2550CB8A"/>
    <w:lvl w:ilvl="0" w:tplc="C9488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4B39DA"/>
    <w:multiLevelType w:val="hybridMultilevel"/>
    <w:tmpl w:val="CFCA3340"/>
    <w:lvl w:ilvl="0" w:tplc="09D8F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7E30D8"/>
    <w:multiLevelType w:val="hybridMultilevel"/>
    <w:tmpl w:val="CAB8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642D62"/>
    <w:multiLevelType w:val="hybridMultilevel"/>
    <w:tmpl w:val="A044CAF8"/>
    <w:lvl w:ilvl="0" w:tplc="590EED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276EBC"/>
    <w:multiLevelType w:val="hybridMultilevel"/>
    <w:tmpl w:val="016A943A"/>
    <w:lvl w:ilvl="0" w:tplc="C0CCF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8C17B9"/>
    <w:multiLevelType w:val="hybridMultilevel"/>
    <w:tmpl w:val="FDD2287A"/>
    <w:lvl w:ilvl="0" w:tplc="04128EC8">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0334DB"/>
    <w:multiLevelType w:val="hybridMultilevel"/>
    <w:tmpl w:val="F780AB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1985A41"/>
    <w:multiLevelType w:val="hybridMultilevel"/>
    <w:tmpl w:val="4D869454"/>
    <w:lvl w:ilvl="0" w:tplc="70D2A27E">
      <w:start w:val="6"/>
      <w:numFmt w:val="bullet"/>
      <w:lvlText w:val=""/>
      <w:lvlJc w:val="left"/>
      <w:pPr>
        <w:ind w:left="3240" w:hanging="360"/>
      </w:pPr>
      <w:rPr>
        <w:rFonts w:ascii="Wingdings" w:eastAsiaTheme="minorHAnsi" w:hAnsi="Wingding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4BE96747"/>
    <w:multiLevelType w:val="hybridMultilevel"/>
    <w:tmpl w:val="5C721FCC"/>
    <w:lvl w:ilvl="0" w:tplc="8EF269EE">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67599"/>
    <w:multiLevelType w:val="hybridMultilevel"/>
    <w:tmpl w:val="8A22E17C"/>
    <w:lvl w:ilvl="0" w:tplc="B69ADF2E">
      <w:start w:val="1"/>
      <w:numFmt w:val="bullet"/>
      <w:lvlText w:val=""/>
      <w:lvlJc w:val="left"/>
      <w:pPr>
        <w:ind w:left="4680" w:hanging="360"/>
      </w:pPr>
      <w:rPr>
        <w:rFonts w:ascii="Wingdings" w:eastAsiaTheme="minorHAnsi"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52750FCC"/>
    <w:multiLevelType w:val="multilevel"/>
    <w:tmpl w:val="6EDA29AE"/>
    <w:lvl w:ilvl="0">
      <w:start w:val="5"/>
      <w:numFmt w:val="decimal"/>
      <w:lvlText w:val="%1."/>
      <w:lvlJc w:val="left"/>
      <w:pPr>
        <w:ind w:left="360" w:hanging="360"/>
      </w:pPr>
      <w:rPr>
        <w:rFonts w:hint="default"/>
        <w:b/>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75797A"/>
    <w:multiLevelType w:val="hybridMultilevel"/>
    <w:tmpl w:val="81E00A86"/>
    <w:lvl w:ilvl="0" w:tplc="C76AC2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2900008"/>
    <w:multiLevelType w:val="hybridMultilevel"/>
    <w:tmpl w:val="1E483712"/>
    <w:lvl w:ilvl="0" w:tplc="6D280E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D4EBC"/>
    <w:multiLevelType w:val="hybridMultilevel"/>
    <w:tmpl w:val="0EF63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F0CF2"/>
    <w:multiLevelType w:val="hybridMultilevel"/>
    <w:tmpl w:val="CB7ABDD2"/>
    <w:lvl w:ilvl="0" w:tplc="59BAD076">
      <w:start w:val="1"/>
      <w:numFmt w:val="bullet"/>
      <w:lvlText w:val=""/>
      <w:lvlJc w:val="left"/>
      <w:pPr>
        <w:ind w:left="4680" w:hanging="360"/>
      </w:pPr>
      <w:rPr>
        <w:rFonts w:ascii="Wingdings" w:eastAsiaTheme="minorHAnsi"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95E069A"/>
    <w:multiLevelType w:val="multilevel"/>
    <w:tmpl w:val="E9BEBC2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5B4DDB"/>
    <w:multiLevelType w:val="hybridMultilevel"/>
    <w:tmpl w:val="E01EA4D6"/>
    <w:lvl w:ilvl="0" w:tplc="88CEC83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0210C"/>
    <w:multiLevelType w:val="hybridMultilevel"/>
    <w:tmpl w:val="EA54319E"/>
    <w:lvl w:ilvl="0" w:tplc="E84AE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C93DDC"/>
    <w:multiLevelType w:val="hybridMultilevel"/>
    <w:tmpl w:val="ABF8FE90"/>
    <w:lvl w:ilvl="0" w:tplc="80C4668E">
      <w:start w:val="6"/>
      <w:numFmt w:val="bullet"/>
      <w:lvlText w:val=""/>
      <w:lvlJc w:val="left"/>
      <w:pPr>
        <w:ind w:left="3924" w:hanging="360"/>
      </w:pPr>
      <w:rPr>
        <w:rFonts w:ascii="Wingdings" w:eastAsiaTheme="minorHAnsi" w:hAnsi="Wingdings" w:cs="Times New Roman" w:hint="default"/>
      </w:rPr>
    </w:lvl>
    <w:lvl w:ilvl="1" w:tplc="08090003" w:tentative="1">
      <w:start w:val="1"/>
      <w:numFmt w:val="bullet"/>
      <w:lvlText w:val="o"/>
      <w:lvlJc w:val="left"/>
      <w:pPr>
        <w:ind w:left="4644" w:hanging="360"/>
      </w:pPr>
      <w:rPr>
        <w:rFonts w:ascii="Courier New" w:hAnsi="Courier New" w:cs="Courier New" w:hint="default"/>
      </w:rPr>
    </w:lvl>
    <w:lvl w:ilvl="2" w:tplc="08090005" w:tentative="1">
      <w:start w:val="1"/>
      <w:numFmt w:val="bullet"/>
      <w:lvlText w:val=""/>
      <w:lvlJc w:val="left"/>
      <w:pPr>
        <w:ind w:left="5364" w:hanging="360"/>
      </w:pPr>
      <w:rPr>
        <w:rFonts w:ascii="Wingdings" w:hAnsi="Wingdings" w:hint="default"/>
      </w:rPr>
    </w:lvl>
    <w:lvl w:ilvl="3" w:tplc="08090001" w:tentative="1">
      <w:start w:val="1"/>
      <w:numFmt w:val="bullet"/>
      <w:lvlText w:val=""/>
      <w:lvlJc w:val="left"/>
      <w:pPr>
        <w:ind w:left="6084" w:hanging="360"/>
      </w:pPr>
      <w:rPr>
        <w:rFonts w:ascii="Symbol" w:hAnsi="Symbol" w:hint="default"/>
      </w:rPr>
    </w:lvl>
    <w:lvl w:ilvl="4" w:tplc="08090003" w:tentative="1">
      <w:start w:val="1"/>
      <w:numFmt w:val="bullet"/>
      <w:lvlText w:val="o"/>
      <w:lvlJc w:val="left"/>
      <w:pPr>
        <w:ind w:left="6804" w:hanging="360"/>
      </w:pPr>
      <w:rPr>
        <w:rFonts w:ascii="Courier New" w:hAnsi="Courier New" w:cs="Courier New" w:hint="default"/>
      </w:rPr>
    </w:lvl>
    <w:lvl w:ilvl="5" w:tplc="08090005" w:tentative="1">
      <w:start w:val="1"/>
      <w:numFmt w:val="bullet"/>
      <w:lvlText w:val=""/>
      <w:lvlJc w:val="left"/>
      <w:pPr>
        <w:ind w:left="7524" w:hanging="360"/>
      </w:pPr>
      <w:rPr>
        <w:rFonts w:ascii="Wingdings" w:hAnsi="Wingdings" w:hint="default"/>
      </w:rPr>
    </w:lvl>
    <w:lvl w:ilvl="6" w:tplc="08090001" w:tentative="1">
      <w:start w:val="1"/>
      <w:numFmt w:val="bullet"/>
      <w:lvlText w:val=""/>
      <w:lvlJc w:val="left"/>
      <w:pPr>
        <w:ind w:left="8244" w:hanging="360"/>
      </w:pPr>
      <w:rPr>
        <w:rFonts w:ascii="Symbol" w:hAnsi="Symbol" w:hint="default"/>
      </w:rPr>
    </w:lvl>
    <w:lvl w:ilvl="7" w:tplc="08090003" w:tentative="1">
      <w:start w:val="1"/>
      <w:numFmt w:val="bullet"/>
      <w:lvlText w:val="o"/>
      <w:lvlJc w:val="left"/>
      <w:pPr>
        <w:ind w:left="8964" w:hanging="360"/>
      </w:pPr>
      <w:rPr>
        <w:rFonts w:ascii="Courier New" w:hAnsi="Courier New" w:cs="Courier New" w:hint="default"/>
      </w:rPr>
    </w:lvl>
    <w:lvl w:ilvl="8" w:tplc="08090005" w:tentative="1">
      <w:start w:val="1"/>
      <w:numFmt w:val="bullet"/>
      <w:lvlText w:val=""/>
      <w:lvlJc w:val="left"/>
      <w:pPr>
        <w:ind w:left="9684" w:hanging="360"/>
      </w:pPr>
      <w:rPr>
        <w:rFonts w:ascii="Wingdings" w:hAnsi="Wingdings" w:hint="default"/>
      </w:rPr>
    </w:lvl>
  </w:abstractNum>
  <w:abstractNum w:abstractNumId="40" w15:restartNumberingAfterBreak="0">
    <w:nsid w:val="767F3C18"/>
    <w:multiLevelType w:val="hybridMultilevel"/>
    <w:tmpl w:val="1F568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001BCC"/>
    <w:multiLevelType w:val="multilevel"/>
    <w:tmpl w:val="2BE414B8"/>
    <w:lvl w:ilvl="0">
      <w:start w:val="6"/>
      <w:numFmt w:val="decimal"/>
      <w:lvlText w:val="%1."/>
      <w:lvlJc w:val="left"/>
      <w:pPr>
        <w:ind w:left="360" w:hanging="360"/>
      </w:pPr>
      <w:rPr>
        <w:rFonts w:hint="default"/>
      </w:rPr>
    </w:lvl>
    <w:lvl w:ilvl="1">
      <w:start w:val="2"/>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num w:numId="1">
    <w:abstractNumId w:val="5"/>
  </w:num>
  <w:num w:numId="2">
    <w:abstractNumId w:val="18"/>
  </w:num>
  <w:num w:numId="3">
    <w:abstractNumId w:val="17"/>
  </w:num>
  <w:num w:numId="4">
    <w:abstractNumId w:val="7"/>
  </w:num>
  <w:num w:numId="5">
    <w:abstractNumId w:val="36"/>
  </w:num>
  <w:num w:numId="6">
    <w:abstractNumId w:val="29"/>
  </w:num>
  <w:num w:numId="7">
    <w:abstractNumId w:val="27"/>
  </w:num>
  <w:num w:numId="8">
    <w:abstractNumId w:val="33"/>
  </w:num>
  <w:num w:numId="9">
    <w:abstractNumId w:val="4"/>
  </w:num>
  <w:num w:numId="10">
    <w:abstractNumId w:val="13"/>
  </w:num>
  <w:num w:numId="11">
    <w:abstractNumId w:val="8"/>
  </w:num>
  <w:num w:numId="12">
    <w:abstractNumId w:val="15"/>
  </w:num>
  <w:num w:numId="13">
    <w:abstractNumId w:val="35"/>
  </w:num>
  <w:num w:numId="14">
    <w:abstractNumId w:val="30"/>
  </w:num>
  <w:num w:numId="15">
    <w:abstractNumId w:val="34"/>
  </w:num>
  <w:num w:numId="16">
    <w:abstractNumId w:val="23"/>
  </w:num>
  <w:num w:numId="17">
    <w:abstractNumId w:val="28"/>
  </w:num>
  <w:num w:numId="18">
    <w:abstractNumId w:val="2"/>
  </w:num>
  <w:num w:numId="19">
    <w:abstractNumId w:val="37"/>
  </w:num>
  <w:num w:numId="20">
    <w:abstractNumId w:val="39"/>
  </w:num>
  <w:num w:numId="21">
    <w:abstractNumId w:val="31"/>
  </w:num>
  <w:num w:numId="22">
    <w:abstractNumId w:val="38"/>
  </w:num>
  <w:num w:numId="23">
    <w:abstractNumId w:val="11"/>
  </w:num>
  <w:num w:numId="24">
    <w:abstractNumId w:val="1"/>
  </w:num>
  <w:num w:numId="25">
    <w:abstractNumId w:val="10"/>
  </w:num>
  <w:num w:numId="26">
    <w:abstractNumId w:val="14"/>
  </w:num>
  <w:num w:numId="27">
    <w:abstractNumId w:val="41"/>
  </w:num>
  <w:num w:numId="28">
    <w:abstractNumId w:val="12"/>
  </w:num>
  <w:num w:numId="29">
    <w:abstractNumId w:val="40"/>
  </w:num>
  <w:num w:numId="30">
    <w:abstractNumId w:val="3"/>
  </w:num>
  <w:num w:numId="31">
    <w:abstractNumId w:val="20"/>
  </w:num>
  <w:num w:numId="32">
    <w:abstractNumId w:val="25"/>
  </w:num>
  <w:num w:numId="33">
    <w:abstractNumId w:val="9"/>
  </w:num>
  <w:num w:numId="34">
    <w:abstractNumId w:val="21"/>
  </w:num>
  <w:num w:numId="35">
    <w:abstractNumId w:val="32"/>
  </w:num>
  <w:num w:numId="36">
    <w:abstractNumId w:val="0"/>
  </w:num>
  <w:num w:numId="37">
    <w:abstractNumId w:val="24"/>
  </w:num>
  <w:num w:numId="38">
    <w:abstractNumId w:val="26"/>
  </w:num>
  <w:num w:numId="39">
    <w:abstractNumId w:val="22"/>
  </w:num>
  <w:num w:numId="40">
    <w:abstractNumId w:val="19"/>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rc0MDIyMrYwNzVQ0lEKTi0uzszPAykwrAUAibfOEiwAAAA="/>
  </w:docVars>
  <w:rsids>
    <w:rsidRoot w:val="006E6FAF"/>
    <w:rsid w:val="00000FBC"/>
    <w:rsid w:val="000045AF"/>
    <w:rsid w:val="0000470C"/>
    <w:rsid w:val="000100AD"/>
    <w:rsid w:val="00010361"/>
    <w:rsid w:val="00010C24"/>
    <w:rsid w:val="000110B2"/>
    <w:rsid w:val="00011A7E"/>
    <w:rsid w:val="00012FDB"/>
    <w:rsid w:val="00013AAC"/>
    <w:rsid w:val="000144B7"/>
    <w:rsid w:val="00016E9B"/>
    <w:rsid w:val="000178D0"/>
    <w:rsid w:val="00020E83"/>
    <w:rsid w:val="00021216"/>
    <w:rsid w:val="00023BF0"/>
    <w:rsid w:val="00024161"/>
    <w:rsid w:val="00024AA2"/>
    <w:rsid w:val="000252B2"/>
    <w:rsid w:val="00030359"/>
    <w:rsid w:val="00030D7A"/>
    <w:rsid w:val="00031193"/>
    <w:rsid w:val="0003236B"/>
    <w:rsid w:val="000365BA"/>
    <w:rsid w:val="00037CF9"/>
    <w:rsid w:val="00042848"/>
    <w:rsid w:val="000449E1"/>
    <w:rsid w:val="00046EAB"/>
    <w:rsid w:val="00046F75"/>
    <w:rsid w:val="00050138"/>
    <w:rsid w:val="00054EFA"/>
    <w:rsid w:val="00055590"/>
    <w:rsid w:val="00056FCD"/>
    <w:rsid w:val="000613ED"/>
    <w:rsid w:val="00061441"/>
    <w:rsid w:val="00061F18"/>
    <w:rsid w:val="000620B2"/>
    <w:rsid w:val="00063E4F"/>
    <w:rsid w:val="000665F0"/>
    <w:rsid w:val="0007017F"/>
    <w:rsid w:val="00070B5B"/>
    <w:rsid w:val="00071B18"/>
    <w:rsid w:val="00072A49"/>
    <w:rsid w:val="00072A7C"/>
    <w:rsid w:val="00073730"/>
    <w:rsid w:val="00073CEA"/>
    <w:rsid w:val="00074AEF"/>
    <w:rsid w:val="00076E4E"/>
    <w:rsid w:val="0008126B"/>
    <w:rsid w:val="0008177C"/>
    <w:rsid w:val="00081D4D"/>
    <w:rsid w:val="000824B3"/>
    <w:rsid w:val="0008299A"/>
    <w:rsid w:val="00085B29"/>
    <w:rsid w:val="00085E39"/>
    <w:rsid w:val="000866DF"/>
    <w:rsid w:val="00087BAA"/>
    <w:rsid w:val="000905D7"/>
    <w:rsid w:val="000933B5"/>
    <w:rsid w:val="0009361B"/>
    <w:rsid w:val="000968A6"/>
    <w:rsid w:val="00097D43"/>
    <w:rsid w:val="000A1EC7"/>
    <w:rsid w:val="000B2F86"/>
    <w:rsid w:val="000B2FD6"/>
    <w:rsid w:val="000B3178"/>
    <w:rsid w:val="000B4DA1"/>
    <w:rsid w:val="000B60DF"/>
    <w:rsid w:val="000B6408"/>
    <w:rsid w:val="000B7F4E"/>
    <w:rsid w:val="000C33AA"/>
    <w:rsid w:val="000C399E"/>
    <w:rsid w:val="000C496D"/>
    <w:rsid w:val="000C4E1A"/>
    <w:rsid w:val="000C6DE6"/>
    <w:rsid w:val="000D5986"/>
    <w:rsid w:val="000D6A2B"/>
    <w:rsid w:val="000E3E4D"/>
    <w:rsid w:val="000E49B9"/>
    <w:rsid w:val="000E7793"/>
    <w:rsid w:val="000F2774"/>
    <w:rsid w:val="000F29D6"/>
    <w:rsid w:val="00102CD4"/>
    <w:rsid w:val="00103B81"/>
    <w:rsid w:val="00104F63"/>
    <w:rsid w:val="00105478"/>
    <w:rsid w:val="00106245"/>
    <w:rsid w:val="001067E7"/>
    <w:rsid w:val="00106D57"/>
    <w:rsid w:val="00107077"/>
    <w:rsid w:val="00111169"/>
    <w:rsid w:val="00112356"/>
    <w:rsid w:val="00112F21"/>
    <w:rsid w:val="00113D4C"/>
    <w:rsid w:val="00113F3F"/>
    <w:rsid w:val="00114718"/>
    <w:rsid w:val="001215E7"/>
    <w:rsid w:val="00122D4A"/>
    <w:rsid w:val="00125302"/>
    <w:rsid w:val="00127466"/>
    <w:rsid w:val="00131A42"/>
    <w:rsid w:val="001353FC"/>
    <w:rsid w:val="00136C09"/>
    <w:rsid w:val="0014091E"/>
    <w:rsid w:val="0014158D"/>
    <w:rsid w:val="00141FC0"/>
    <w:rsid w:val="001457F9"/>
    <w:rsid w:val="0014619B"/>
    <w:rsid w:val="0015032B"/>
    <w:rsid w:val="00150624"/>
    <w:rsid w:val="001519B5"/>
    <w:rsid w:val="00156E19"/>
    <w:rsid w:val="001613A0"/>
    <w:rsid w:val="00161E49"/>
    <w:rsid w:val="00162B04"/>
    <w:rsid w:val="00165394"/>
    <w:rsid w:val="0016667D"/>
    <w:rsid w:val="00167E4F"/>
    <w:rsid w:val="001708FE"/>
    <w:rsid w:val="00176BA3"/>
    <w:rsid w:val="00176F59"/>
    <w:rsid w:val="00181F3A"/>
    <w:rsid w:val="001831A0"/>
    <w:rsid w:val="001832BC"/>
    <w:rsid w:val="001837AD"/>
    <w:rsid w:val="00183A03"/>
    <w:rsid w:val="00184D94"/>
    <w:rsid w:val="00185891"/>
    <w:rsid w:val="00185953"/>
    <w:rsid w:val="00186BE6"/>
    <w:rsid w:val="00187C5A"/>
    <w:rsid w:val="001943C4"/>
    <w:rsid w:val="00194FC2"/>
    <w:rsid w:val="00195455"/>
    <w:rsid w:val="0019571F"/>
    <w:rsid w:val="00195787"/>
    <w:rsid w:val="00196EAA"/>
    <w:rsid w:val="001A3BFE"/>
    <w:rsid w:val="001A410D"/>
    <w:rsid w:val="001A42AF"/>
    <w:rsid w:val="001A64B0"/>
    <w:rsid w:val="001A77ED"/>
    <w:rsid w:val="001A7FA2"/>
    <w:rsid w:val="001B0CC4"/>
    <w:rsid w:val="001B111C"/>
    <w:rsid w:val="001B1437"/>
    <w:rsid w:val="001B2809"/>
    <w:rsid w:val="001B31BF"/>
    <w:rsid w:val="001B4E23"/>
    <w:rsid w:val="001C1B5F"/>
    <w:rsid w:val="001C2578"/>
    <w:rsid w:val="001C288F"/>
    <w:rsid w:val="001C28A3"/>
    <w:rsid w:val="001C2FCF"/>
    <w:rsid w:val="001C39F7"/>
    <w:rsid w:val="001C43DE"/>
    <w:rsid w:val="001C4A8F"/>
    <w:rsid w:val="001C6E8E"/>
    <w:rsid w:val="001D10EC"/>
    <w:rsid w:val="001D303A"/>
    <w:rsid w:val="001D3830"/>
    <w:rsid w:val="001D4FE9"/>
    <w:rsid w:val="001E4F10"/>
    <w:rsid w:val="001E566E"/>
    <w:rsid w:val="001E799D"/>
    <w:rsid w:val="001F2896"/>
    <w:rsid w:val="001F70D1"/>
    <w:rsid w:val="001F7365"/>
    <w:rsid w:val="001F7695"/>
    <w:rsid w:val="00200F78"/>
    <w:rsid w:val="00201126"/>
    <w:rsid w:val="00201F66"/>
    <w:rsid w:val="00202440"/>
    <w:rsid w:val="0020262F"/>
    <w:rsid w:val="00205481"/>
    <w:rsid w:val="00205509"/>
    <w:rsid w:val="00205B17"/>
    <w:rsid w:val="002074FF"/>
    <w:rsid w:val="002114BE"/>
    <w:rsid w:val="00212642"/>
    <w:rsid w:val="002142A5"/>
    <w:rsid w:val="00214A03"/>
    <w:rsid w:val="00214A73"/>
    <w:rsid w:val="002215AB"/>
    <w:rsid w:val="00221C4D"/>
    <w:rsid w:val="002231D7"/>
    <w:rsid w:val="00226952"/>
    <w:rsid w:val="00230D24"/>
    <w:rsid w:val="00232852"/>
    <w:rsid w:val="00233B02"/>
    <w:rsid w:val="002353E0"/>
    <w:rsid w:val="00240EB9"/>
    <w:rsid w:val="002424D4"/>
    <w:rsid w:val="0024354F"/>
    <w:rsid w:val="00245CAE"/>
    <w:rsid w:val="00247186"/>
    <w:rsid w:val="00247FCD"/>
    <w:rsid w:val="0025241F"/>
    <w:rsid w:val="00252675"/>
    <w:rsid w:val="00256CF9"/>
    <w:rsid w:val="00261B6E"/>
    <w:rsid w:val="002625EF"/>
    <w:rsid w:val="00263D3D"/>
    <w:rsid w:val="00264190"/>
    <w:rsid w:val="00265E9D"/>
    <w:rsid w:val="00267A6D"/>
    <w:rsid w:val="00277CA4"/>
    <w:rsid w:val="0028037F"/>
    <w:rsid w:val="00280C7F"/>
    <w:rsid w:val="002813BE"/>
    <w:rsid w:val="002813FF"/>
    <w:rsid w:val="00282C69"/>
    <w:rsid w:val="00283BB5"/>
    <w:rsid w:val="002840B3"/>
    <w:rsid w:val="00284729"/>
    <w:rsid w:val="00284BB6"/>
    <w:rsid w:val="00285C4D"/>
    <w:rsid w:val="00286177"/>
    <w:rsid w:val="002908F1"/>
    <w:rsid w:val="00292818"/>
    <w:rsid w:val="00292836"/>
    <w:rsid w:val="002A0CD0"/>
    <w:rsid w:val="002A2BEC"/>
    <w:rsid w:val="002A2FAC"/>
    <w:rsid w:val="002A3193"/>
    <w:rsid w:val="002A466A"/>
    <w:rsid w:val="002A4B40"/>
    <w:rsid w:val="002A6738"/>
    <w:rsid w:val="002A6C57"/>
    <w:rsid w:val="002A7D7E"/>
    <w:rsid w:val="002B026B"/>
    <w:rsid w:val="002B0736"/>
    <w:rsid w:val="002B1052"/>
    <w:rsid w:val="002B1B97"/>
    <w:rsid w:val="002B1FCF"/>
    <w:rsid w:val="002B2D30"/>
    <w:rsid w:val="002B5E6E"/>
    <w:rsid w:val="002B62C5"/>
    <w:rsid w:val="002B7A6B"/>
    <w:rsid w:val="002C36A9"/>
    <w:rsid w:val="002C3AB9"/>
    <w:rsid w:val="002C3B7C"/>
    <w:rsid w:val="002C5475"/>
    <w:rsid w:val="002C5BAD"/>
    <w:rsid w:val="002D0714"/>
    <w:rsid w:val="002D0C6E"/>
    <w:rsid w:val="002D1BBD"/>
    <w:rsid w:val="002D2333"/>
    <w:rsid w:val="002D2CF0"/>
    <w:rsid w:val="002D2DE9"/>
    <w:rsid w:val="002D321B"/>
    <w:rsid w:val="002D371D"/>
    <w:rsid w:val="002D493B"/>
    <w:rsid w:val="002D4E27"/>
    <w:rsid w:val="002D59BE"/>
    <w:rsid w:val="002E04E2"/>
    <w:rsid w:val="002E23A2"/>
    <w:rsid w:val="002E32FE"/>
    <w:rsid w:val="002E3947"/>
    <w:rsid w:val="002E3D47"/>
    <w:rsid w:val="002E42EB"/>
    <w:rsid w:val="002E53AA"/>
    <w:rsid w:val="002E7BD6"/>
    <w:rsid w:val="002E7EEF"/>
    <w:rsid w:val="002F02F3"/>
    <w:rsid w:val="002F181F"/>
    <w:rsid w:val="002F4C5E"/>
    <w:rsid w:val="002F53F1"/>
    <w:rsid w:val="002F72D4"/>
    <w:rsid w:val="00300698"/>
    <w:rsid w:val="00300806"/>
    <w:rsid w:val="00302AC9"/>
    <w:rsid w:val="00305D64"/>
    <w:rsid w:val="00312815"/>
    <w:rsid w:val="00312C31"/>
    <w:rsid w:val="00313A5B"/>
    <w:rsid w:val="0031425F"/>
    <w:rsid w:val="003149B7"/>
    <w:rsid w:val="00315E26"/>
    <w:rsid w:val="0032239D"/>
    <w:rsid w:val="00322AB3"/>
    <w:rsid w:val="00323279"/>
    <w:rsid w:val="00323A64"/>
    <w:rsid w:val="00325D41"/>
    <w:rsid w:val="003261D5"/>
    <w:rsid w:val="00327393"/>
    <w:rsid w:val="00330BEF"/>
    <w:rsid w:val="003310E0"/>
    <w:rsid w:val="0033146B"/>
    <w:rsid w:val="003337FF"/>
    <w:rsid w:val="00336522"/>
    <w:rsid w:val="00336957"/>
    <w:rsid w:val="00336BC2"/>
    <w:rsid w:val="00336E0B"/>
    <w:rsid w:val="0033763E"/>
    <w:rsid w:val="0033773B"/>
    <w:rsid w:val="00342E91"/>
    <w:rsid w:val="003433CC"/>
    <w:rsid w:val="00344FE9"/>
    <w:rsid w:val="00346389"/>
    <w:rsid w:val="003471BE"/>
    <w:rsid w:val="00347978"/>
    <w:rsid w:val="00347ECA"/>
    <w:rsid w:val="0035097D"/>
    <w:rsid w:val="00351552"/>
    <w:rsid w:val="00352C3E"/>
    <w:rsid w:val="00356E27"/>
    <w:rsid w:val="00357771"/>
    <w:rsid w:val="0036244E"/>
    <w:rsid w:val="0036445F"/>
    <w:rsid w:val="0036554E"/>
    <w:rsid w:val="00365704"/>
    <w:rsid w:val="00366AC7"/>
    <w:rsid w:val="00367ABE"/>
    <w:rsid w:val="00367EAA"/>
    <w:rsid w:val="00370C08"/>
    <w:rsid w:val="003715D4"/>
    <w:rsid w:val="00377BEA"/>
    <w:rsid w:val="003802D6"/>
    <w:rsid w:val="00381377"/>
    <w:rsid w:val="00383BBA"/>
    <w:rsid w:val="00384A7E"/>
    <w:rsid w:val="00384CE0"/>
    <w:rsid w:val="00386A8D"/>
    <w:rsid w:val="00387E59"/>
    <w:rsid w:val="0039073F"/>
    <w:rsid w:val="00392572"/>
    <w:rsid w:val="00393794"/>
    <w:rsid w:val="003944D7"/>
    <w:rsid w:val="003961DB"/>
    <w:rsid w:val="00396F1D"/>
    <w:rsid w:val="00397172"/>
    <w:rsid w:val="003A075A"/>
    <w:rsid w:val="003A0AF9"/>
    <w:rsid w:val="003A411B"/>
    <w:rsid w:val="003A4E2F"/>
    <w:rsid w:val="003A5788"/>
    <w:rsid w:val="003A68E9"/>
    <w:rsid w:val="003A6AE3"/>
    <w:rsid w:val="003A7512"/>
    <w:rsid w:val="003B0573"/>
    <w:rsid w:val="003B141F"/>
    <w:rsid w:val="003B516D"/>
    <w:rsid w:val="003B5FD5"/>
    <w:rsid w:val="003C11A2"/>
    <w:rsid w:val="003C1305"/>
    <w:rsid w:val="003C22D4"/>
    <w:rsid w:val="003C2FC5"/>
    <w:rsid w:val="003C3147"/>
    <w:rsid w:val="003C39E2"/>
    <w:rsid w:val="003C440A"/>
    <w:rsid w:val="003C564D"/>
    <w:rsid w:val="003C6016"/>
    <w:rsid w:val="003D0545"/>
    <w:rsid w:val="003D2E5A"/>
    <w:rsid w:val="003D48FB"/>
    <w:rsid w:val="003E0903"/>
    <w:rsid w:val="003E0A5B"/>
    <w:rsid w:val="003E4343"/>
    <w:rsid w:val="003E4BC5"/>
    <w:rsid w:val="003E672B"/>
    <w:rsid w:val="003F081B"/>
    <w:rsid w:val="003F1822"/>
    <w:rsid w:val="003F20B4"/>
    <w:rsid w:val="003F26F6"/>
    <w:rsid w:val="003F2B0A"/>
    <w:rsid w:val="003F3CDD"/>
    <w:rsid w:val="003F4FEA"/>
    <w:rsid w:val="003F5661"/>
    <w:rsid w:val="003F6206"/>
    <w:rsid w:val="004008A0"/>
    <w:rsid w:val="00400A90"/>
    <w:rsid w:val="0040210E"/>
    <w:rsid w:val="00403DCF"/>
    <w:rsid w:val="004041A6"/>
    <w:rsid w:val="004051C6"/>
    <w:rsid w:val="0041144E"/>
    <w:rsid w:val="00411DFF"/>
    <w:rsid w:val="00412D45"/>
    <w:rsid w:val="00413161"/>
    <w:rsid w:val="004131F7"/>
    <w:rsid w:val="00413FF2"/>
    <w:rsid w:val="004159F8"/>
    <w:rsid w:val="00416EE6"/>
    <w:rsid w:val="00424050"/>
    <w:rsid w:val="0042547B"/>
    <w:rsid w:val="004255C4"/>
    <w:rsid w:val="00430A56"/>
    <w:rsid w:val="00431E02"/>
    <w:rsid w:val="00432695"/>
    <w:rsid w:val="0043351F"/>
    <w:rsid w:val="004349D3"/>
    <w:rsid w:val="00441F00"/>
    <w:rsid w:val="00443ACD"/>
    <w:rsid w:val="0044667D"/>
    <w:rsid w:val="00450A31"/>
    <w:rsid w:val="00450ADF"/>
    <w:rsid w:val="00452039"/>
    <w:rsid w:val="004526B2"/>
    <w:rsid w:val="004539C8"/>
    <w:rsid w:val="00455203"/>
    <w:rsid w:val="004564C1"/>
    <w:rsid w:val="00457691"/>
    <w:rsid w:val="0046064E"/>
    <w:rsid w:val="0046191A"/>
    <w:rsid w:val="00461E09"/>
    <w:rsid w:val="00464907"/>
    <w:rsid w:val="00464BB8"/>
    <w:rsid w:val="00465F4A"/>
    <w:rsid w:val="00466680"/>
    <w:rsid w:val="00470A6F"/>
    <w:rsid w:val="00471B1A"/>
    <w:rsid w:val="00472E03"/>
    <w:rsid w:val="00474824"/>
    <w:rsid w:val="00474A33"/>
    <w:rsid w:val="00474AEE"/>
    <w:rsid w:val="004805BD"/>
    <w:rsid w:val="004818B1"/>
    <w:rsid w:val="004841B1"/>
    <w:rsid w:val="00487221"/>
    <w:rsid w:val="00487BB4"/>
    <w:rsid w:val="00492A02"/>
    <w:rsid w:val="00492A65"/>
    <w:rsid w:val="00494209"/>
    <w:rsid w:val="004957E6"/>
    <w:rsid w:val="00496851"/>
    <w:rsid w:val="00497AE5"/>
    <w:rsid w:val="00497E28"/>
    <w:rsid w:val="004A15CE"/>
    <w:rsid w:val="004A18E8"/>
    <w:rsid w:val="004A2017"/>
    <w:rsid w:val="004A3F3C"/>
    <w:rsid w:val="004A44CC"/>
    <w:rsid w:val="004A52CB"/>
    <w:rsid w:val="004A606C"/>
    <w:rsid w:val="004A6FA5"/>
    <w:rsid w:val="004A72BC"/>
    <w:rsid w:val="004B162B"/>
    <w:rsid w:val="004B1DA4"/>
    <w:rsid w:val="004B1E6B"/>
    <w:rsid w:val="004B2221"/>
    <w:rsid w:val="004B3FDA"/>
    <w:rsid w:val="004B5618"/>
    <w:rsid w:val="004B607A"/>
    <w:rsid w:val="004C07D4"/>
    <w:rsid w:val="004C2561"/>
    <w:rsid w:val="004C27C8"/>
    <w:rsid w:val="004C34B7"/>
    <w:rsid w:val="004C52C9"/>
    <w:rsid w:val="004C77D3"/>
    <w:rsid w:val="004C7B14"/>
    <w:rsid w:val="004D0E23"/>
    <w:rsid w:val="004D3D46"/>
    <w:rsid w:val="004D493C"/>
    <w:rsid w:val="004D57ED"/>
    <w:rsid w:val="004E00E1"/>
    <w:rsid w:val="004E0471"/>
    <w:rsid w:val="004E0595"/>
    <w:rsid w:val="004E396E"/>
    <w:rsid w:val="004E4F36"/>
    <w:rsid w:val="004E50C8"/>
    <w:rsid w:val="004F0A77"/>
    <w:rsid w:val="004F10A8"/>
    <w:rsid w:val="004F659C"/>
    <w:rsid w:val="004F6DD7"/>
    <w:rsid w:val="004F7CB9"/>
    <w:rsid w:val="00507937"/>
    <w:rsid w:val="0051071C"/>
    <w:rsid w:val="005114A4"/>
    <w:rsid w:val="005129B6"/>
    <w:rsid w:val="00514388"/>
    <w:rsid w:val="00520929"/>
    <w:rsid w:val="0052199E"/>
    <w:rsid w:val="00523F42"/>
    <w:rsid w:val="00524D74"/>
    <w:rsid w:val="005279D2"/>
    <w:rsid w:val="00527B5D"/>
    <w:rsid w:val="005303C6"/>
    <w:rsid w:val="0053300E"/>
    <w:rsid w:val="00534F8C"/>
    <w:rsid w:val="0053780A"/>
    <w:rsid w:val="005421A7"/>
    <w:rsid w:val="00542681"/>
    <w:rsid w:val="00543648"/>
    <w:rsid w:val="00543805"/>
    <w:rsid w:val="00543AD9"/>
    <w:rsid w:val="00545F04"/>
    <w:rsid w:val="00547165"/>
    <w:rsid w:val="00550A89"/>
    <w:rsid w:val="00552C26"/>
    <w:rsid w:val="00554406"/>
    <w:rsid w:val="0055690F"/>
    <w:rsid w:val="005576BE"/>
    <w:rsid w:val="00564AA8"/>
    <w:rsid w:val="0056694D"/>
    <w:rsid w:val="00567173"/>
    <w:rsid w:val="0057007D"/>
    <w:rsid w:val="00573726"/>
    <w:rsid w:val="00574313"/>
    <w:rsid w:val="0057739A"/>
    <w:rsid w:val="0058104A"/>
    <w:rsid w:val="005812F2"/>
    <w:rsid w:val="00582D0F"/>
    <w:rsid w:val="005838A7"/>
    <w:rsid w:val="0058536A"/>
    <w:rsid w:val="00587548"/>
    <w:rsid w:val="00592329"/>
    <w:rsid w:val="0059376C"/>
    <w:rsid w:val="005943A1"/>
    <w:rsid w:val="00594F11"/>
    <w:rsid w:val="00596F43"/>
    <w:rsid w:val="005A066B"/>
    <w:rsid w:val="005A1BB3"/>
    <w:rsid w:val="005A2506"/>
    <w:rsid w:val="005A2AAC"/>
    <w:rsid w:val="005A351A"/>
    <w:rsid w:val="005A4B69"/>
    <w:rsid w:val="005A66A0"/>
    <w:rsid w:val="005A683E"/>
    <w:rsid w:val="005A7AFF"/>
    <w:rsid w:val="005A7E7F"/>
    <w:rsid w:val="005B2458"/>
    <w:rsid w:val="005B62CA"/>
    <w:rsid w:val="005B769D"/>
    <w:rsid w:val="005C0658"/>
    <w:rsid w:val="005C435F"/>
    <w:rsid w:val="005C565A"/>
    <w:rsid w:val="005C6F13"/>
    <w:rsid w:val="005C7FAD"/>
    <w:rsid w:val="005D1EF9"/>
    <w:rsid w:val="005D27BA"/>
    <w:rsid w:val="005D4FBA"/>
    <w:rsid w:val="005D538C"/>
    <w:rsid w:val="005D58AC"/>
    <w:rsid w:val="005D692A"/>
    <w:rsid w:val="005D7452"/>
    <w:rsid w:val="005D7A05"/>
    <w:rsid w:val="005D7ABC"/>
    <w:rsid w:val="005E01EC"/>
    <w:rsid w:val="005E13B2"/>
    <w:rsid w:val="005E1EFC"/>
    <w:rsid w:val="005E2CF9"/>
    <w:rsid w:val="005E68E6"/>
    <w:rsid w:val="005F145E"/>
    <w:rsid w:val="005F273B"/>
    <w:rsid w:val="005F36C6"/>
    <w:rsid w:val="005F4136"/>
    <w:rsid w:val="005F4A03"/>
    <w:rsid w:val="005F7C35"/>
    <w:rsid w:val="006003E7"/>
    <w:rsid w:val="006017E4"/>
    <w:rsid w:val="00602F6F"/>
    <w:rsid w:val="00607CDF"/>
    <w:rsid w:val="00607D46"/>
    <w:rsid w:val="00611F36"/>
    <w:rsid w:val="006137A1"/>
    <w:rsid w:val="0061570B"/>
    <w:rsid w:val="0061784B"/>
    <w:rsid w:val="00620392"/>
    <w:rsid w:val="00622F6C"/>
    <w:rsid w:val="006235FE"/>
    <w:rsid w:val="00624E02"/>
    <w:rsid w:val="006254F4"/>
    <w:rsid w:val="006262E5"/>
    <w:rsid w:val="0062759F"/>
    <w:rsid w:val="0063314D"/>
    <w:rsid w:val="0063360C"/>
    <w:rsid w:val="006344B3"/>
    <w:rsid w:val="006345CE"/>
    <w:rsid w:val="006347E2"/>
    <w:rsid w:val="00635F3E"/>
    <w:rsid w:val="006363AE"/>
    <w:rsid w:val="00640776"/>
    <w:rsid w:val="00640971"/>
    <w:rsid w:val="00640F06"/>
    <w:rsid w:val="006412F7"/>
    <w:rsid w:val="00641926"/>
    <w:rsid w:val="00641EAD"/>
    <w:rsid w:val="00642B55"/>
    <w:rsid w:val="00643218"/>
    <w:rsid w:val="0064538F"/>
    <w:rsid w:val="00647793"/>
    <w:rsid w:val="00651B3B"/>
    <w:rsid w:val="0065323D"/>
    <w:rsid w:val="00653B66"/>
    <w:rsid w:val="0065436C"/>
    <w:rsid w:val="006545E9"/>
    <w:rsid w:val="006557EA"/>
    <w:rsid w:val="00660EB5"/>
    <w:rsid w:val="00662551"/>
    <w:rsid w:val="00663177"/>
    <w:rsid w:val="00663231"/>
    <w:rsid w:val="00666B2E"/>
    <w:rsid w:val="00667210"/>
    <w:rsid w:val="00667660"/>
    <w:rsid w:val="00667F7B"/>
    <w:rsid w:val="0067038D"/>
    <w:rsid w:val="00670A71"/>
    <w:rsid w:val="006718D8"/>
    <w:rsid w:val="00672121"/>
    <w:rsid w:val="00672ECD"/>
    <w:rsid w:val="00673958"/>
    <w:rsid w:val="00674F49"/>
    <w:rsid w:val="00675991"/>
    <w:rsid w:val="0067623B"/>
    <w:rsid w:val="0067650B"/>
    <w:rsid w:val="00680098"/>
    <w:rsid w:val="00681D4E"/>
    <w:rsid w:val="00681DFC"/>
    <w:rsid w:val="00682B35"/>
    <w:rsid w:val="0068489A"/>
    <w:rsid w:val="00684C12"/>
    <w:rsid w:val="00685C01"/>
    <w:rsid w:val="00685E8B"/>
    <w:rsid w:val="0068625B"/>
    <w:rsid w:val="006908CC"/>
    <w:rsid w:val="0069150E"/>
    <w:rsid w:val="0069679F"/>
    <w:rsid w:val="00696AD8"/>
    <w:rsid w:val="006A0870"/>
    <w:rsid w:val="006A13E9"/>
    <w:rsid w:val="006A518B"/>
    <w:rsid w:val="006A532B"/>
    <w:rsid w:val="006A63AA"/>
    <w:rsid w:val="006A6907"/>
    <w:rsid w:val="006A73BE"/>
    <w:rsid w:val="006B0CC0"/>
    <w:rsid w:val="006B0FA3"/>
    <w:rsid w:val="006B21BF"/>
    <w:rsid w:val="006B32A2"/>
    <w:rsid w:val="006B3C5B"/>
    <w:rsid w:val="006B47F0"/>
    <w:rsid w:val="006B48BF"/>
    <w:rsid w:val="006C0B08"/>
    <w:rsid w:val="006C2AA0"/>
    <w:rsid w:val="006C41D8"/>
    <w:rsid w:val="006C5322"/>
    <w:rsid w:val="006C5DD0"/>
    <w:rsid w:val="006C6B2B"/>
    <w:rsid w:val="006C7B42"/>
    <w:rsid w:val="006D01C7"/>
    <w:rsid w:val="006D59C5"/>
    <w:rsid w:val="006E0B2F"/>
    <w:rsid w:val="006E0DBC"/>
    <w:rsid w:val="006E2109"/>
    <w:rsid w:val="006E4BB8"/>
    <w:rsid w:val="006E56F9"/>
    <w:rsid w:val="006E6FAF"/>
    <w:rsid w:val="006F387C"/>
    <w:rsid w:val="006F551D"/>
    <w:rsid w:val="006F6807"/>
    <w:rsid w:val="006F6E4C"/>
    <w:rsid w:val="006F7A10"/>
    <w:rsid w:val="007003FF"/>
    <w:rsid w:val="007014A1"/>
    <w:rsid w:val="0070306F"/>
    <w:rsid w:val="0070321D"/>
    <w:rsid w:val="0070330F"/>
    <w:rsid w:val="00704112"/>
    <w:rsid w:val="007058CD"/>
    <w:rsid w:val="007113D0"/>
    <w:rsid w:val="00712FF4"/>
    <w:rsid w:val="00713AEE"/>
    <w:rsid w:val="007142DF"/>
    <w:rsid w:val="00716351"/>
    <w:rsid w:val="007166B0"/>
    <w:rsid w:val="00717DFD"/>
    <w:rsid w:val="00717E3A"/>
    <w:rsid w:val="00721952"/>
    <w:rsid w:val="00721FB2"/>
    <w:rsid w:val="007224CE"/>
    <w:rsid w:val="007279A8"/>
    <w:rsid w:val="0073351F"/>
    <w:rsid w:val="00733A04"/>
    <w:rsid w:val="00735615"/>
    <w:rsid w:val="00735B18"/>
    <w:rsid w:val="00737240"/>
    <w:rsid w:val="00740685"/>
    <w:rsid w:val="0074151F"/>
    <w:rsid w:val="00742A54"/>
    <w:rsid w:val="00742E91"/>
    <w:rsid w:val="0074301A"/>
    <w:rsid w:val="007467A6"/>
    <w:rsid w:val="0074750D"/>
    <w:rsid w:val="00753CA4"/>
    <w:rsid w:val="00755152"/>
    <w:rsid w:val="00756DE4"/>
    <w:rsid w:val="007621E9"/>
    <w:rsid w:val="007635D4"/>
    <w:rsid w:val="00763F97"/>
    <w:rsid w:val="00770173"/>
    <w:rsid w:val="007768CD"/>
    <w:rsid w:val="00783806"/>
    <w:rsid w:val="00783938"/>
    <w:rsid w:val="007839E0"/>
    <w:rsid w:val="007856A4"/>
    <w:rsid w:val="0078596E"/>
    <w:rsid w:val="00786539"/>
    <w:rsid w:val="00790B5F"/>
    <w:rsid w:val="00791071"/>
    <w:rsid w:val="00792754"/>
    <w:rsid w:val="0079482A"/>
    <w:rsid w:val="007A15A4"/>
    <w:rsid w:val="007A2065"/>
    <w:rsid w:val="007A3916"/>
    <w:rsid w:val="007A6973"/>
    <w:rsid w:val="007A6EA7"/>
    <w:rsid w:val="007B0051"/>
    <w:rsid w:val="007B10ED"/>
    <w:rsid w:val="007B3EE2"/>
    <w:rsid w:val="007B5618"/>
    <w:rsid w:val="007B62E4"/>
    <w:rsid w:val="007B675D"/>
    <w:rsid w:val="007C1A5D"/>
    <w:rsid w:val="007C2C4D"/>
    <w:rsid w:val="007C4A78"/>
    <w:rsid w:val="007C56E6"/>
    <w:rsid w:val="007C5825"/>
    <w:rsid w:val="007C7AAE"/>
    <w:rsid w:val="007D41C5"/>
    <w:rsid w:val="007E047E"/>
    <w:rsid w:val="007E0C07"/>
    <w:rsid w:val="007E2737"/>
    <w:rsid w:val="007E30C2"/>
    <w:rsid w:val="007E31C8"/>
    <w:rsid w:val="007E4446"/>
    <w:rsid w:val="007E4A06"/>
    <w:rsid w:val="007E6881"/>
    <w:rsid w:val="007E7521"/>
    <w:rsid w:val="007E779F"/>
    <w:rsid w:val="007E7968"/>
    <w:rsid w:val="007F02B7"/>
    <w:rsid w:val="007F4FAA"/>
    <w:rsid w:val="007F6F44"/>
    <w:rsid w:val="007F7470"/>
    <w:rsid w:val="00801FCE"/>
    <w:rsid w:val="0080398F"/>
    <w:rsid w:val="00803FC1"/>
    <w:rsid w:val="00806502"/>
    <w:rsid w:val="008077C6"/>
    <w:rsid w:val="008130E4"/>
    <w:rsid w:val="008130F8"/>
    <w:rsid w:val="008137DF"/>
    <w:rsid w:val="00821225"/>
    <w:rsid w:val="00821C71"/>
    <w:rsid w:val="00821EEB"/>
    <w:rsid w:val="00822709"/>
    <w:rsid w:val="0082270E"/>
    <w:rsid w:val="00822A38"/>
    <w:rsid w:val="00824FBD"/>
    <w:rsid w:val="0082657B"/>
    <w:rsid w:val="00831C18"/>
    <w:rsid w:val="00832E88"/>
    <w:rsid w:val="00832F27"/>
    <w:rsid w:val="008333A3"/>
    <w:rsid w:val="00836ABD"/>
    <w:rsid w:val="0083719F"/>
    <w:rsid w:val="0084044A"/>
    <w:rsid w:val="0084184B"/>
    <w:rsid w:val="00845B1F"/>
    <w:rsid w:val="0084780B"/>
    <w:rsid w:val="00850E8B"/>
    <w:rsid w:val="00851140"/>
    <w:rsid w:val="00851702"/>
    <w:rsid w:val="0085182E"/>
    <w:rsid w:val="0085236D"/>
    <w:rsid w:val="00855019"/>
    <w:rsid w:val="0085506A"/>
    <w:rsid w:val="00856B36"/>
    <w:rsid w:val="00860A05"/>
    <w:rsid w:val="00860F0F"/>
    <w:rsid w:val="008613A5"/>
    <w:rsid w:val="00862B80"/>
    <w:rsid w:val="0086322F"/>
    <w:rsid w:val="00867F0C"/>
    <w:rsid w:val="00872BC3"/>
    <w:rsid w:val="0087350E"/>
    <w:rsid w:val="00874083"/>
    <w:rsid w:val="008753EF"/>
    <w:rsid w:val="0087722E"/>
    <w:rsid w:val="008822F1"/>
    <w:rsid w:val="008824F7"/>
    <w:rsid w:val="00882C5A"/>
    <w:rsid w:val="008852F4"/>
    <w:rsid w:val="008858F6"/>
    <w:rsid w:val="008864E7"/>
    <w:rsid w:val="00886647"/>
    <w:rsid w:val="008866F6"/>
    <w:rsid w:val="00892FAC"/>
    <w:rsid w:val="0089304C"/>
    <w:rsid w:val="008933D0"/>
    <w:rsid w:val="0089471B"/>
    <w:rsid w:val="008947F5"/>
    <w:rsid w:val="008A030A"/>
    <w:rsid w:val="008A1845"/>
    <w:rsid w:val="008A3D38"/>
    <w:rsid w:val="008A400F"/>
    <w:rsid w:val="008A5057"/>
    <w:rsid w:val="008B0818"/>
    <w:rsid w:val="008B29C6"/>
    <w:rsid w:val="008B32CA"/>
    <w:rsid w:val="008B33AA"/>
    <w:rsid w:val="008B5412"/>
    <w:rsid w:val="008B5C4B"/>
    <w:rsid w:val="008B662E"/>
    <w:rsid w:val="008B6B6C"/>
    <w:rsid w:val="008B6F0E"/>
    <w:rsid w:val="008C0128"/>
    <w:rsid w:val="008C27BA"/>
    <w:rsid w:val="008C3B19"/>
    <w:rsid w:val="008C422A"/>
    <w:rsid w:val="008C590E"/>
    <w:rsid w:val="008C6301"/>
    <w:rsid w:val="008C666B"/>
    <w:rsid w:val="008C6924"/>
    <w:rsid w:val="008D1C4A"/>
    <w:rsid w:val="008D2DB0"/>
    <w:rsid w:val="008D3F88"/>
    <w:rsid w:val="008D6255"/>
    <w:rsid w:val="008D7843"/>
    <w:rsid w:val="008E01AC"/>
    <w:rsid w:val="008E0F19"/>
    <w:rsid w:val="008E1001"/>
    <w:rsid w:val="008E21EE"/>
    <w:rsid w:val="008E4E74"/>
    <w:rsid w:val="008E5D46"/>
    <w:rsid w:val="008E62D8"/>
    <w:rsid w:val="008E62E0"/>
    <w:rsid w:val="008E6859"/>
    <w:rsid w:val="008E7A95"/>
    <w:rsid w:val="008E7E04"/>
    <w:rsid w:val="008F1575"/>
    <w:rsid w:val="008F44B6"/>
    <w:rsid w:val="008F5420"/>
    <w:rsid w:val="008F77BC"/>
    <w:rsid w:val="00902095"/>
    <w:rsid w:val="00904FCF"/>
    <w:rsid w:val="00905411"/>
    <w:rsid w:val="00906F32"/>
    <w:rsid w:val="00907DCF"/>
    <w:rsid w:val="00911EE4"/>
    <w:rsid w:val="009167FC"/>
    <w:rsid w:val="0091781B"/>
    <w:rsid w:val="00917F67"/>
    <w:rsid w:val="00921750"/>
    <w:rsid w:val="00923A88"/>
    <w:rsid w:val="00923F76"/>
    <w:rsid w:val="00927D1F"/>
    <w:rsid w:val="00930624"/>
    <w:rsid w:val="00930D32"/>
    <w:rsid w:val="00932A9F"/>
    <w:rsid w:val="00934E48"/>
    <w:rsid w:val="0093500A"/>
    <w:rsid w:val="00935B74"/>
    <w:rsid w:val="00936666"/>
    <w:rsid w:val="00936C5A"/>
    <w:rsid w:val="00940411"/>
    <w:rsid w:val="009404B8"/>
    <w:rsid w:val="009409CE"/>
    <w:rsid w:val="00942012"/>
    <w:rsid w:val="00944FC9"/>
    <w:rsid w:val="009457D5"/>
    <w:rsid w:val="00946C25"/>
    <w:rsid w:val="009475AA"/>
    <w:rsid w:val="009547F0"/>
    <w:rsid w:val="00955DFE"/>
    <w:rsid w:val="00956849"/>
    <w:rsid w:val="00957ACB"/>
    <w:rsid w:val="00960B2D"/>
    <w:rsid w:val="0096158A"/>
    <w:rsid w:val="009617ED"/>
    <w:rsid w:val="00962164"/>
    <w:rsid w:val="0096361E"/>
    <w:rsid w:val="009641BD"/>
    <w:rsid w:val="00964464"/>
    <w:rsid w:val="00965224"/>
    <w:rsid w:val="00966D33"/>
    <w:rsid w:val="00967472"/>
    <w:rsid w:val="009707E5"/>
    <w:rsid w:val="00972B07"/>
    <w:rsid w:val="00973D26"/>
    <w:rsid w:val="00975641"/>
    <w:rsid w:val="00976893"/>
    <w:rsid w:val="009828C4"/>
    <w:rsid w:val="009843E0"/>
    <w:rsid w:val="00985C46"/>
    <w:rsid w:val="00987AE9"/>
    <w:rsid w:val="00990383"/>
    <w:rsid w:val="00993AE1"/>
    <w:rsid w:val="00993ED0"/>
    <w:rsid w:val="0099538A"/>
    <w:rsid w:val="00995A9A"/>
    <w:rsid w:val="00996DBA"/>
    <w:rsid w:val="009979FC"/>
    <w:rsid w:val="009A047B"/>
    <w:rsid w:val="009A2A02"/>
    <w:rsid w:val="009A400E"/>
    <w:rsid w:val="009A4074"/>
    <w:rsid w:val="009A6C79"/>
    <w:rsid w:val="009A7656"/>
    <w:rsid w:val="009A7A1A"/>
    <w:rsid w:val="009B1550"/>
    <w:rsid w:val="009B23B3"/>
    <w:rsid w:val="009B255A"/>
    <w:rsid w:val="009B347F"/>
    <w:rsid w:val="009B71DF"/>
    <w:rsid w:val="009B7C09"/>
    <w:rsid w:val="009C0889"/>
    <w:rsid w:val="009C1746"/>
    <w:rsid w:val="009C4422"/>
    <w:rsid w:val="009C50ED"/>
    <w:rsid w:val="009D09B2"/>
    <w:rsid w:val="009D11F0"/>
    <w:rsid w:val="009D26B3"/>
    <w:rsid w:val="009D3324"/>
    <w:rsid w:val="009D3348"/>
    <w:rsid w:val="009D36C4"/>
    <w:rsid w:val="009D3788"/>
    <w:rsid w:val="009D392D"/>
    <w:rsid w:val="009D4656"/>
    <w:rsid w:val="009D6846"/>
    <w:rsid w:val="009D7237"/>
    <w:rsid w:val="009D7285"/>
    <w:rsid w:val="009E0126"/>
    <w:rsid w:val="009E0852"/>
    <w:rsid w:val="009E1400"/>
    <w:rsid w:val="009E3574"/>
    <w:rsid w:val="009E388A"/>
    <w:rsid w:val="009E3D47"/>
    <w:rsid w:val="009E5785"/>
    <w:rsid w:val="009E6DF8"/>
    <w:rsid w:val="009F070E"/>
    <w:rsid w:val="009F116D"/>
    <w:rsid w:val="009F231F"/>
    <w:rsid w:val="009F36A8"/>
    <w:rsid w:val="009F3D75"/>
    <w:rsid w:val="009F5679"/>
    <w:rsid w:val="00A01691"/>
    <w:rsid w:val="00A027F8"/>
    <w:rsid w:val="00A0349F"/>
    <w:rsid w:val="00A043D2"/>
    <w:rsid w:val="00A058C1"/>
    <w:rsid w:val="00A11EDE"/>
    <w:rsid w:val="00A12BAD"/>
    <w:rsid w:val="00A16E0F"/>
    <w:rsid w:val="00A17057"/>
    <w:rsid w:val="00A179F5"/>
    <w:rsid w:val="00A17DC0"/>
    <w:rsid w:val="00A24DD6"/>
    <w:rsid w:val="00A255A3"/>
    <w:rsid w:val="00A25C5C"/>
    <w:rsid w:val="00A25D94"/>
    <w:rsid w:val="00A30959"/>
    <w:rsid w:val="00A32901"/>
    <w:rsid w:val="00A338B1"/>
    <w:rsid w:val="00A354CB"/>
    <w:rsid w:val="00A35A7C"/>
    <w:rsid w:val="00A362E2"/>
    <w:rsid w:val="00A36310"/>
    <w:rsid w:val="00A36513"/>
    <w:rsid w:val="00A373B2"/>
    <w:rsid w:val="00A37DF3"/>
    <w:rsid w:val="00A40499"/>
    <w:rsid w:val="00A41A1B"/>
    <w:rsid w:val="00A43447"/>
    <w:rsid w:val="00A44066"/>
    <w:rsid w:val="00A5036A"/>
    <w:rsid w:val="00A52484"/>
    <w:rsid w:val="00A53B9F"/>
    <w:rsid w:val="00A54E37"/>
    <w:rsid w:val="00A55271"/>
    <w:rsid w:val="00A55C6A"/>
    <w:rsid w:val="00A56E9C"/>
    <w:rsid w:val="00A57DDF"/>
    <w:rsid w:val="00A61B9F"/>
    <w:rsid w:val="00A62330"/>
    <w:rsid w:val="00A64B06"/>
    <w:rsid w:val="00A66950"/>
    <w:rsid w:val="00A71CDB"/>
    <w:rsid w:val="00A720AD"/>
    <w:rsid w:val="00A72CF6"/>
    <w:rsid w:val="00A73493"/>
    <w:rsid w:val="00A74210"/>
    <w:rsid w:val="00A75603"/>
    <w:rsid w:val="00A808F4"/>
    <w:rsid w:val="00A843DB"/>
    <w:rsid w:val="00A856C0"/>
    <w:rsid w:val="00A910D7"/>
    <w:rsid w:val="00A93361"/>
    <w:rsid w:val="00A94C16"/>
    <w:rsid w:val="00A94C5F"/>
    <w:rsid w:val="00A96077"/>
    <w:rsid w:val="00A96254"/>
    <w:rsid w:val="00AA1A6E"/>
    <w:rsid w:val="00AA38EB"/>
    <w:rsid w:val="00AA510B"/>
    <w:rsid w:val="00AA52CF"/>
    <w:rsid w:val="00AA5CC4"/>
    <w:rsid w:val="00AA740C"/>
    <w:rsid w:val="00AB41DA"/>
    <w:rsid w:val="00AB486A"/>
    <w:rsid w:val="00AB6A65"/>
    <w:rsid w:val="00AC04B9"/>
    <w:rsid w:val="00AC2BD2"/>
    <w:rsid w:val="00AC3F74"/>
    <w:rsid w:val="00AC6F2D"/>
    <w:rsid w:val="00AC7DEE"/>
    <w:rsid w:val="00AD0D4C"/>
    <w:rsid w:val="00AD134D"/>
    <w:rsid w:val="00AD17E0"/>
    <w:rsid w:val="00AD70B9"/>
    <w:rsid w:val="00AE0BF5"/>
    <w:rsid w:val="00AE140F"/>
    <w:rsid w:val="00AE2AD4"/>
    <w:rsid w:val="00AE6940"/>
    <w:rsid w:val="00AE6C49"/>
    <w:rsid w:val="00AE7377"/>
    <w:rsid w:val="00AF0228"/>
    <w:rsid w:val="00AF389C"/>
    <w:rsid w:val="00AF42D4"/>
    <w:rsid w:val="00AF48EA"/>
    <w:rsid w:val="00AF499F"/>
    <w:rsid w:val="00AF59F7"/>
    <w:rsid w:val="00AF75B0"/>
    <w:rsid w:val="00B009C2"/>
    <w:rsid w:val="00B00DB9"/>
    <w:rsid w:val="00B0231C"/>
    <w:rsid w:val="00B0758C"/>
    <w:rsid w:val="00B14777"/>
    <w:rsid w:val="00B15103"/>
    <w:rsid w:val="00B21A2B"/>
    <w:rsid w:val="00B21B1A"/>
    <w:rsid w:val="00B22B33"/>
    <w:rsid w:val="00B248ED"/>
    <w:rsid w:val="00B26A48"/>
    <w:rsid w:val="00B32465"/>
    <w:rsid w:val="00B32A9D"/>
    <w:rsid w:val="00B32E69"/>
    <w:rsid w:val="00B35139"/>
    <w:rsid w:val="00B35309"/>
    <w:rsid w:val="00B35A88"/>
    <w:rsid w:val="00B35DB8"/>
    <w:rsid w:val="00B35E91"/>
    <w:rsid w:val="00B411C9"/>
    <w:rsid w:val="00B413E0"/>
    <w:rsid w:val="00B43252"/>
    <w:rsid w:val="00B44AE7"/>
    <w:rsid w:val="00B44B4D"/>
    <w:rsid w:val="00B45DA1"/>
    <w:rsid w:val="00B516FA"/>
    <w:rsid w:val="00B5389A"/>
    <w:rsid w:val="00B55854"/>
    <w:rsid w:val="00B60DED"/>
    <w:rsid w:val="00B630B2"/>
    <w:rsid w:val="00B641E4"/>
    <w:rsid w:val="00B65080"/>
    <w:rsid w:val="00B71B69"/>
    <w:rsid w:val="00B80C5E"/>
    <w:rsid w:val="00B82255"/>
    <w:rsid w:val="00B82DAE"/>
    <w:rsid w:val="00B836B7"/>
    <w:rsid w:val="00B85A1D"/>
    <w:rsid w:val="00B85D20"/>
    <w:rsid w:val="00B903B4"/>
    <w:rsid w:val="00B93222"/>
    <w:rsid w:val="00B95C43"/>
    <w:rsid w:val="00B96BCF"/>
    <w:rsid w:val="00BA1498"/>
    <w:rsid w:val="00BA2BCD"/>
    <w:rsid w:val="00BA4A17"/>
    <w:rsid w:val="00BA51CC"/>
    <w:rsid w:val="00BA5BC6"/>
    <w:rsid w:val="00BA6218"/>
    <w:rsid w:val="00BA6F1D"/>
    <w:rsid w:val="00BB1DDE"/>
    <w:rsid w:val="00BB227D"/>
    <w:rsid w:val="00BB50FC"/>
    <w:rsid w:val="00BB522A"/>
    <w:rsid w:val="00BB53FA"/>
    <w:rsid w:val="00BB5A28"/>
    <w:rsid w:val="00BB5AF6"/>
    <w:rsid w:val="00BB636A"/>
    <w:rsid w:val="00BB6A61"/>
    <w:rsid w:val="00BB6FAD"/>
    <w:rsid w:val="00BC1D72"/>
    <w:rsid w:val="00BC34E9"/>
    <w:rsid w:val="00BC4F11"/>
    <w:rsid w:val="00BC6014"/>
    <w:rsid w:val="00BC63E0"/>
    <w:rsid w:val="00BC718F"/>
    <w:rsid w:val="00BD1B41"/>
    <w:rsid w:val="00BD3029"/>
    <w:rsid w:val="00BD3D36"/>
    <w:rsid w:val="00BD450E"/>
    <w:rsid w:val="00BD53AB"/>
    <w:rsid w:val="00BD5BA1"/>
    <w:rsid w:val="00BD6EB6"/>
    <w:rsid w:val="00BD6F3E"/>
    <w:rsid w:val="00BE0451"/>
    <w:rsid w:val="00BE10BC"/>
    <w:rsid w:val="00BE111E"/>
    <w:rsid w:val="00BE2377"/>
    <w:rsid w:val="00BE2EE3"/>
    <w:rsid w:val="00BE3236"/>
    <w:rsid w:val="00BE3788"/>
    <w:rsid w:val="00BE5E4D"/>
    <w:rsid w:val="00BE681B"/>
    <w:rsid w:val="00BE739C"/>
    <w:rsid w:val="00BE7897"/>
    <w:rsid w:val="00BE7EEA"/>
    <w:rsid w:val="00BF091D"/>
    <w:rsid w:val="00BF1355"/>
    <w:rsid w:val="00BF1553"/>
    <w:rsid w:val="00BF2819"/>
    <w:rsid w:val="00BF34BE"/>
    <w:rsid w:val="00BF34F4"/>
    <w:rsid w:val="00BF3F2E"/>
    <w:rsid w:val="00BF426B"/>
    <w:rsid w:val="00BF482E"/>
    <w:rsid w:val="00C0099E"/>
    <w:rsid w:val="00C01137"/>
    <w:rsid w:val="00C02793"/>
    <w:rsid w:val="00C049A8"/>
    <w:rsid w:val="00C050CC"/>
    <w:rsid w:val="00C064B7"/>
    <w:rsid w:val="00C064E0"/>
    <w:rsid w:val="00C07D57"/>
    <w:rsid w:val="00C1206B"/>
    <w:rsid w:val="00C122C0"/>
    <w:rsid w:val="00C1271C"/>
    <w:rsid w:val="00C14638"/>
    <w:rsid w:val="00C15741"/>
    <w:rsid w:val="00C159E3"/>
    <w:rsid w:val="00C16411"/>
    <w:rsid w:val="00C17FB2"/>
    <w:rsid w:val="00C20212"/>
    <w:rsid w:val="00C21B97"/>
    <w:rsid w:val="00C22E4F"/>
    <w:rsid w:val="00C25D97"/>
    <w:rsid w:val="00C2615E"/>
    <w:rsid w:val="00C2646F"/>
    <w:rsid w:val="00C32C41"/>
    <w:rsid w:val="00C32DF6"/>
    <w:rsid w:val="00C35598"/>
    <w:rsid w:val="00C36FE6"/>
    <w:rsid w:val="00C372F9"/>
    <w:rsid w:val="00C37EDF"/>
    <w:rsid w:val="00C40EA2"/>
    <w:rsid w:val="00C41095"/>
    <w:rsid w:val="00C412B2"/>
    <w:rsid w:val="00C41F4A"/>
    <w:rsid w:val="00C44E3C"/>
    <w:rsid w:val="00C45CB9"/>
    <w:rsid w:val="00C51586"/>
    <w:rsid w:val="00C51DDC"/>
    <w:rsid w:val="00C536D1"/>
    <w:rsid w:val="00C545E8"/>
    <w:rsid w:val="00C54D5D"/>
    <w:rsid w:val="00C54DAF"/>
    <w:rsid w:val="00C56438"/>
    <w:rsid w:val="00C56D51"/>
    <w:rsid w:val="00C57D66"/>
    <w:rsid w:val="00C6040F"/>
    <w:rsid w:val="00C631AB"/>
    <w:rsid w:val="00C644EB"/>
    <w:rsid w:val="00C6576F"/>
    <w:rsid w:val="00C65971"/>
    <w:rsid w:val="00C66EA3"/>
    <w:rsid w:val="00C67EF2"/>
    <w:rsid w:val="00C71807"/>
    <w:rsid w:val="00C75FC0"/>
    <w:rsid w:val="00C77792"/>
    <w:rsid w:val="00C777CF"/>
    <w:rsid w:val="00C77AF7"/>
    <w:rsid w:val="00C80DF0"/>
    <w:rsid w:val="00C84D69"/>
    <w:rsid w:val="00C84F02"/>
    <w:rsid w:val="00C86337"/>
    <w:rsid w:val="00C86F95"/>
    <w:rsid w:val="00C93780"/>
    <w:rsid w:val="00C93BF7"/>
    <w:rsid w:val="00C93E54"/>
    <w:rsid w:val="00C949FD"/>
    <w:rsid w:val="00C95947"/>
    <w:rsid w:val="00C967BB"/>
    <w:rsid w:val="00CA06AC"/>
    <w:rsid w:val="00CA4F1D"/>
    <w:rsid w:val="00CA6B28"/>
    <w:rsid w:val="00CA73D1"/>
    <w:rsid w:val="00CB107D"/>
    <w:rsid w:val="00CB1B2C"/>
    <w:rsid w:val="00CB3170"/>
    <w:rsid w:val="00CB4ADA"/>
    <w:rsid w:val="00CC1B83"/>
    <w:rsid w:val="00CC29DB"/>
    <w:rsid w:val="00CC3312"/>
    <w:rsid w:val="00CC360D"/>
    <w:rsid w:val="00CC4C31"/>
    <w:rsid w:val="00CC4D92"/>
    <w:rsid w:val="00CD05DB"/>
    <w:rsid w:val="00CD0EBA"/>
    <w:rsid w:val="00CD1028"/>
    <w:rsid w:val="00CD200B"/>
    <w:rsid w:val="00CD2943"/>
    <w:rsid w:val="00CD37C9"/>
    <w:rsid w:val="00CD3E56"/>
    <w:rsid w:val="00CE0EC6"/>
    <w:rsid w:val="00CE21F0"/>
    <w:rsid w:val="00CE4A85"/>
    <w:rsid w:val="00CE57EC"/>
    <w:rsid w:val="00CE7CB2"/>
    <w:rsid w:val="00CF0147"/>
    <w:rsid w:val="00CF05C8"/>
    <w:rsid w:val="00CF161B"/>
    <w:rsid w:val="00CF1CA3"/>
    <w:rsid w:val="00CF28A0"/>
    <w:rsid w:val="00CF2BCB"/>
    <w:rsid w:val="00CF4978"/>
    <w:rsid w:val="00D00DB9"/>
    <w:rsid w:val="00D016C0"/>
    <w:rsid w:val="00D03896"/>
    <w:rsid w:val="00D050F0"/>
    <w:rsid w:val="00D07152"/>
    <w:rsid w:val="00D110C1"/>
    <w:rsid w:val="00D139CC"/>
    <w:rsid w:val="00D1762C"/>
    <w:rsid w:val="00D1763F"/>
    <w:rsid w:val="00D22DC8"/>
    <w:rsid w:val="00D2399A"/>
    <w:rsid w:val="00D23F1A"/>
    <w:rsid w:val="00D24276"/>
    <w:rsid w:val="00D30177"/>
    <w:rsid w:val="00D343E5"/>
    <w:rsid w:val="00D367ED"/>
    <w:rsid w:val="00D373A1"/>
    <w:rsid w:val="00D40D17"/>
    <w:rsid w:val="00D41B95"/>
    <w:rsid w:val="00D41C75"/>
    <w:rsid w:val="00D423DE"/>
    <w:rsid w:val="00D4669F"/>
    <w:rsid w:val="00D538DC"/>
    <w:rsid w:val="00D55BFD"/>
    <w:rsid w:val="00D56D83"/>
    <w:rsid w:val="00D60402"/>
    <w:rsid w:val="00D618B1"/>
    <w:rsid w:val="00D62F42"/>
    <w:rsid w:val="00D63F61"/>
    <w:rsid w:val="00D66995"/>
    <w:rsid w:val="00D67EA8"/>
    <w:rsid w:val="00D702FF"/>
    <w:rsid w:val="00D71751"/>
    <w:rsid w:val="00D7239A"/>
    <w:rsid w:val="00D733D4"/>
    <w:rsid w:val="00D73FD4"/>
    <w:rsid w:val="00D7508E"/>
    <w:rsid w:val="00D75147"/>
    <w:rsid w:val="00D753F7"/>
    <w:rsid w:val="00D756A3"/>
    <w:rsid w:val="00D75DB4"/>
    <w:rsid w:val="00D80496"/>
    <w:rsid w:val="00D81F64"/>
    <w:rsid w:val="00D824BD"/>
    <w:rsid w:val="00D82C6B"/>
    <w:rsid w:val="00D83E53"/>
    <w:rsid w:val="00D84BD7"/>
    <w:rsid w:val="00D8552E"/>
    <w:rsid w:val="00D86194"/>
    <w:rsid w:val="00D87A64"/>
    <w:rsid w:val="00D91634"/>
    <w:rsid w:val="00D91B54"/>
    <w:rsid w:val="00D95715"/>
    <w:rsid w:val="00D961A5"/>
    <w:rsid w:val="00D96241"/>
    <w:rsid w:val="00D976DF"/>
    <w:rsid w:val="00DA0AEB"/>
    <w:rsid w:val="00DA181F"/>
    <w:rsid w:val="00DA3290"/>
    <w:rsid w:val="00DA3AB5"/>
    <w:rsid w:val="00DA41C8"/>
    <w:rsid w:val="00DB0C96"/>
    <w:rsid w:val="00DB14C7"/>
    <w:rsid w:val="00DB498E"/>
    <w:rsid w:val="00DB67BD"/>
    <w:rsid w:val="00DB68E1"/>
    <w:rsid w:val="00DB734B"/>
    <w:rsid w:val="00DC0B1A"/>
    <w:rsid w:val="00DC15D1"/>
    <w:rsid w:val="00DC3065"/>
    <w:rsid w:val="00DC3B84"/>
    <w:rsid w:val="00DC3FBE"/>
    <w:rsid w:val="00DC7306"/>
    <w:rsid w:val="00DC7E8B"/>
    <w:rsid w:val="00DD40F7"/>
    <w:rsid w:val="00DD5EA5"/>
    <w:rsid w:val="00DD6D91"/>
    <w:rsid w:val="00DD77FF"/>
    <w:rsid w:val="00DD7ED8"/>
    <w:rsid w:val="00DE0C1B"/>
    <w:rsid w:val="00DE103F"/>
    <w:rsid w:val="00DE5C5C"/>
    <w:rsid w:val="00DE6009"/>
    <w:rsid w:val="00DE6923"/>
    <w:rsid w:val="00DF0D11"/>
    <w:rsid w:val="00DF3549"/>
    <w:rsid w:val="00DF3887"/>
    <w:rsid w:val="00DF45C7"/>
    <w:rsid w:val="00DF4D9A"/>
    <w:rsid w:val="00DF5033"/>
    <w:rsid w:val="00DF65A2"/>
    <w:rsid w:val="00DF7263"/>
    <w:rsid w:val="00E0123A"/>
    <w:rsid w:val="00E0178E"/>
    <w:rsid w:val="00E025EC"/>
    <w:rsid w:val="00E03544"/>
    <w:rsid w:val="00E060C1"/>
    <w:rsid w:val="00E13673"/>
    <w:rsid w:val="00E1411D"/>
    <w:rsid w:val="00E1491D"/>
    <w:rsid w:val="00E14FD1"/>
    <w:rsid w:val="00E15E0B"/>
    <w:rsid w:val="00E1795C"/>
    <w:rsid w:val="00E20AED"/>
    <w:rsid w:val="00E225C8"/>
    <w:rsid w:val="00E2705D"/>
    <w:rsid w:val="00E31987"/>
    <w:rsid w:val="00E34302"/>
    <w:rsid w:val="00E3458A"/>
    <w:rsid w:val="00E36B98"/>
    <w:rsid w:val="00E37DA9"/>
    <w:rsid w:val="00E413DE"/>
    <w:rsid w:val="00E41C66"/>
    <w:rsid w:val="00E436F5"/>
    <w:rsid w:val="00E44848"/>
    <w:rsid w:val="00E4504B"/>
    <w:rsid w:val="00E454EB"/>
    <w:rsid w:val="00E468FC"/>
    <w:rsid w:val="00E472CA"/>
    <w:rsid w:val="00E479AD"/>
    <w:rsid w:val="00E47DE4"/>
    <w:rsid w:val="00E504EA"/>
    <w:rsid w:val="00E50DD4"/>
    <w:rsid w:val="00E54777"/>
    <w:rsid w:val="00E54899"/>
    <w:rsid w:val="00E562C9"/>
    <w:rsid w:val="00E60FAA"/>
    <w:rsid w:val="00E63071"/>
    <w:rsid w:val="00E63450"/>
    <w:rsid w:val="00E64EF8"/>
    <w:rsid w:val="00E6576D"/>
    <w:rsid w:val="00E65D96"/>
    <w:rsid w:val="00E65DF7"/>
    <w:rsid w:val="00E66ACC"/>
    <w:rsid w:val="00E6714F"/>
    <w:rsid w:val="00E729D3"/>
    <w:rsid w:val="00E729E8"/>
    <w:rsid w:val="00E73E28"/>
    <w:rsid w:val="00E74C5B"/>
    <w:rsid w:val="00E7612C"/>
    <w:rsid w:val="00E7742E"/>
    <w:rsid w:val="00E809B7"/>
    <w:rsid w:val="00E84209"/>
    <w:rsid w:val="00E863AA"/>
    <w:rsid w:val="00E863D6"/>
    <w:rsid w:val="00E87E14"/>
    <w:rsid w:val="00E9190B"/>
    <w:rsid w:val="00E95467"/>
    <w:rsid w:val="00E9570B"/>
    <w:rsid w:val="00E962ED"/>
    <w:rsid w:val="00E96B81"/>
    <w:rsid w:val="00EA26B5"/>
    <w:rsid w:val="00EA3540"/>
    <w:rsid w:val="00EA4B25"/>
    <w:rsid w:val="00EA654A"/>
    <w:rsid w:val="00EA6B5A"/>
    <w:rsid w:val="00EA75A3"/>
    <w:rsid w:val="00EB0DC5"/>
    <w:rsid w:val="00EB32AF"/>
    <w:rsid w:val="00EB4D0A"/>
    <w:rsid w:val="00EC19CA"/>
    <w:rsid w:val="00EC1E1A"/>
    <w:rsid w:val="00EC2019"/>
    <w:rsid w:val="00EC2459"/>
    <w:rsid w:val="00EC32E6"/>
    <w:rsid w:val="00EC3BC4"/>
    <w:rsid w:val="00EC6392"/>
    <w:rsid w:val="00EC7B37"/>
    <w:rsid w:val="00EC7D57"/>
    <w:rsid w:val="00ED00DF"/>
    <w:rsid w:val="00ED1A09"/>
    <w:rsid w:val="00ED2449"/>
    <w:rsid w:val="00ED2E70"/>
    <w:rsid w:val="00ED30A2"/>
    <w:rsid w:val="00ED529D"/>
    <w:rsid w:val="00ED54A4"/>
    <w:rsid w:val="00ED5C33"/>
    <w:rsid w:val="00ED6C91"/>
    <w:rsid w:val="00ED6F7F"/>
    <w:rsid w:val="00EE0645"/>
    <w:rsid w:val="00EE09B3"/>
    <w:rsid w:val="00EE0A6B"/>
    <w:rsid w:val="00EE0B09"/>
    <w:rsid w:val="00EE0DBC"/>
    <w:rsid w:val="00EE0EE7"/>
    <w:rsid w:val="00EE3125"/>
    <w:rsid w:val="00EE3976"/>
    <w:rsid w:val="00EE478C"/>
    <w:rsid w:val="00EF13F0"/>
    <w:rsid w:val="00EF299C"/>
    <w:rsid w:val="00EF68E5"/>
    <w:rsid w:val="00EF6998"/>
    <w:rsid w:val="00F01CDA"/>
    <w:rsid w:val="00F04183"/>
    <w:rsid w:val="00F04A5F"/>
    <w:rsid w:val="00F05901"/>
    <w:rsid w:val="00F05D88"/>
    <w:rsid w:val="00F0666D"/>
    <w:rsid w:val="00F06ACE"/>
    <w:rsid w:val="00F105EC"/>
    <w:rsid w:val="00F11797"/>
    <w:rsid w:val="00F15928"/>
    <w:rsid w:val="00F16A85"/>
    <w:rsid w:val="00F21651"/>
    <w:rsid w:val="00F2185D"/>
    <w:rsid w:val="00F22020"/>
    <w:rsid w:val="00F22D5D"/>
    <w:rsid w:val="00F2343E"/>
    <w:rsid w:val="00F23E6C"/>
    <w:rsid w:val="00F259C8"/>
    <w:rsid w:val="00F276D2"/>
    <w:rsid w:val="00F30254"/>
    <w:rsid w:val="00F30EF4"/>
    <w:rsid w:val="00F31AB0"/>
    <w:rsid w:val="00F31CB3"/>
    <w:rsid w:val="00F31EF8"/>
    <w:rsid w:val="00F32426"/>
    <w:rsid w:val="00F374F7"/>
    <w:rsid w:val="00F401D2"/>
    <w:rsid w:val="00F412CE"/>
    <w:rsid w:val="00F42018"/>
    <w:rsid w:val="00F42B35"/>
    <w:rsid w:val="00F468BB"/>
    <w:rsid w:val="00F46EBE"/>
    <w:rsid w:val="00F47D59"/>
    <w:rsid w:val="00F50256"/>
    <w:rsid w:val="00F50D9B"/>
    <w:rsid w:val="00F50E04"/>
    <w:rsid w:val="00F515F5"/>
    <w:rsid w:val="00F52F93"/>
    <w:rsid w:val="00F536C4"/>
    <w:rsid w:val="00F544CA"/>
    <w:rsid w:val="00F55A79"/>
    <w:rsid w:val="00F57B0F"/>
    <w:rsid w:val="00F6229A"/>
    <w:rsid w:val="00F65D40"/>
    <w:rsid w:val="00F6639B"/>
    <w:rsid w:val="00F6665B"/>
    <w:rsid w:val="00F67993"/>
    <w:rsid w:val="00F67E17"/>
    <w:rsid w:val="00F731AA"/>
    <w:rsid w:val="00F7440D"/>
    <w:rsid w:val="00F75FED"/>
    <w:rsid w:val="00F81323"/>
    <w:rsid w:val="00F838C0"/>
    <w:rsid w:val="00F85B35"/>
    <w:rsid w:val="00F87019"/>
    <w:rsid w:val="00F9130B"/>
    <w:rsid w:val="00F913E6"/>
    <w:rsid w:val="00F914CB"/>
    <w:rsid w:val="00F95618"/>
    <w:rsid w:val="00F96944"/>
    <w:rsid w:val="00F97003"/>
    <w:rsid w:val="00F97819"/>
    <w:rsid w:val="00F97948"/>
    <w:rsid w:val="00F97EB2"/>
    <w:rsid w:val="00FA18D3"/>
    <w:rsid w:val="00FA340B"/>
    <w:rsid w:val="00FA3F4D"/>
    <w:rsid w:val="00FA5184"/>
    <w:rsid w:val="00FA52A3"/>
    <w:rsid w:val="00FA5CC8"/>
    <w:rsid w:val="00FA66C3"/>
    <w:rsid w:val="00FA6E8C"/>
    <w:rsid w:val="00FA72B3"/>
    <w:rsid w:val="00FA7B99"/>
    <w:rsid w:val="00FB0A51"/>
    <w:rsid w:val="00FB1DAE"/>
    <w:rsid w:val="00FB3591"/>
    <w:rsid w:val="00FB7874"/>
    <w:rsid w:val="00FC0843"/>
    <w:rsid w:val="00FC1131"/>
    <w:rsid w:val="00FC175C"/>
    <w:rsid w:val="00FC25C9"/>
    <w:rsid w:val="00FC69C5"/>
    <w:rsid w:val="00FD0CF0"/>
    <w:rsid w:val="00FD2ACD"/>
    <w:rsid w:val="00FD2D0B"/>
    <w:rsid w:val="00FD32B2"/>
    <w:rsid w:val="00FD46A5"/>
    <w:rsid w:val="00FD534E"/>
    <w:rsid w:val="00FD6E08"/>
    <w:rsid w:val="00FD7244"/>
    <w:rsid w:val="00FD7368"/>
    <w:rsid w:val="00FE04D7"/>
    <w:rsid w:val="00FE1E1D"/>
    <w:rsid w:val="00FE297A"/>
    <w:rsid w:val="00FE323E"/>
    <w:rsid w:val="00FE46CF"/>
    <w:rsid w:val="00FE5F51"/>
    <w:rsid w:val="00FE70E6"/>
    <w:rsid w:val="00FE79EA"/>
    <w:rsid w:val="00FF1DC5"/>
    <w:rsid w:val="00FF3455"/>
    <w:rsid w:val="00FF52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9ADE2"/>
  <w15:docId w15:val="{B3D594EB-4BEE-4D26-92C9-09A1A42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6FAF"/>
  </w:style>
  <w:style w:type="numbering" w:customStyle="1" w:styleId="NoList11">
    <w:name w:val="No List11"/>
    <w:next w:val="NoList"/>
    <w:uiPriority w:val="99"/>
    <w:semiHidden/>
    <w:unhideWhenUsed/>
    <w:rsid w:val="006E6FAF"/>
  </w:style>
  <w:style w:type="table" w:styleId="TableGrid">
    <w:name w:val="Table Grid"/>
    <w:basedOn w:val="TableNormal"/>
    <w:uiPriority w:val="59"/>
    <w:rsid w:val="006E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FAF"/>
    <w:rPr>
      <w:sz w:val="16"/>
      <w:szCs w:val="16"/>
    </w:rPr>
  </w:style>
  <w:style w:type="paragraph" w:styleId="CommentText">
    <w:name w:val="annotation text"/>
    <w:basedOn w:val="Normal"/>
    <w:link w:val="CommentTextChar"/>
    <w:uiPriority w:val="99"/>
    <w:unhideWhenUsed/>
    <w:rsid w:val="006E6FAF"/>
    <w:pPr>
      <w:spacing w:line="240" w:lineRule="auto"/>
    </w:pPr>
    <w:rPr>
      <w:sz w:val="20"/>
      <w:szCs w:val="20"/>
    </w:rPr>
  </w:style>
  <w:style w:type="character" w:customStyle="1" w:styleId="CommentTextChar">
    <w:name w:val="Comment Text Char"/>
    <w:basedOn w:val="DefaultParagraphFont"/>
    <w:link w:val="CommentText"/>
    <w:uiPriority w:val="99"/>
    <w:rsid w:val="006E6FAF"/>
    <w:rPr>
      <w:sz w:val="20"/>
      <w:szCs w:val="20"/>
    </w:rPr>
  </w:style>
  <w:style w:type="paragraph" w:styleId="CommentSubject">
    <w:name w:val="annotation subject"/>
    <w:basedOn w:val="CommentText"/>
    <w:next w:val="CommentText"/>
    <w:link w:val="CommentSubjectChar"/>
    <w:uiPriority w:val="99"/>
    <w:semiHidden/>
    <w:unhideWhenUsed/>
    <w:rsid w:val="006E6FAF"/>
    <w:rPr>
      <w:b/>
      <w:bCs/>
    </w:rPr>
  </w:style>
  <w:style w:type="character" w:customStyle="1" w:styleId="CommentSubjectChar">
    <w:name w:val="Comment Subject Char"/>
    <w:basedOn w:val="CommentTextChar"/>
    <w:link w:val="CommentSubject"/>
    <w:uiPriority w:val="99"/>
    <w:semiHidden/>
    <w:rsid w:val="006E6FAF"/>
    <w:rPr>
      <w:b/>
      <w:bCs/>
      <w:sz w:val="20"/>
      <w:szCs w:val="20"/>
    </w:rPr>
  </w:style>
  <w:style w:type="paragraph" w:styleId="BalloonText">
    <w:name w:val="Balloon Text"/>
    <w:basedOn w:val="Normal"/>
    <w:link w:val="BalloonTextChar"/>
    <w:uiPriority w:val="99"/>
    <w:semiHidden/>
    <w:unhideWhenUsed/>
    <w:rsid w:val="006E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FAF"/>
    <w:rPr>
      <w:rFonts w:ascii="Tahoma" w:hAnsi="Tahoma" w:cs="Tahoma"/>
      <w:sz w:val="16"/>
      <w:szCs w:val="16"/>
    </w:rPr>
  </w:style>
  <w:style w:type="paragraph" w:styleId="ListParagraph">
    <w:name w:val="List Paragraph"/>
    <w:basedOn w:val="Normal"/>
    <w:uiPriority w:val="34"/>
    <w:qFormat/>
    <w:rsid w:val="006E6FAF"/>
    <w:pPr>
      <w:ind w:left="720"/>
      <w:contextualSpacing/>
    </w:pPr>
  </w:style>
  <w:style w:type="character" w:styleId="Hyperlink">
    <w:name w:val="Hyperlink"/>
    <w:basedOn w:val="DefaultParagraphFont"/>
    <w:uiPriority w:val="99"/>
    <w:unhideWhenUsed/>
    <w:rsid w:val="006E6FAF"/>
    <w:rPr>
      <w:color w:val="0000FF" w:themeColor="hyperlink"/>
      <w:u w:val="single"/>
    </w:rPr>
  </w:style>
  <w:style w:type="paragraph" w:styleId="Header">
    <w:name w:val="header"/>
    <w:basedOn w:val="Normal"/>
    <w:link w:val="HeaderChar"/>
    <w:uiPriority w:val="99"/>
    <w:unhideWhenUsed/>
    <w:rsid w:val="006E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AF"/>
  </w:style>
  <w:style w:type="paragraph" w:styleId="Footer">
    <w:name w:val="footer"/>
    <w:basedOn w:val="Normal"/>
    <w:link w:val="FooterChar"/>
    <w:uiPriority w:val="99"/>
    <w:unhideWhenUsed/>
    <w:rsid w:val="006E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AF"/>
  </w:style>
  <w:style w:type="paragraph" w:styleId="FootnoteText">
    <w:name w:val="footnote text"/>
    <w:basedOn w:val="Normal"/>
    <w:link w:val="FootnoteTextChar"/>
    <w:uiPriority w:val="99"/>
    <w:unhideWhenUsed/>
    <w:rsid w:val="006E6FAF"/>
    <w:pPr>
      <w:spacing w:after="0" w:line="240" w:lineRule="auto"/>
    </w:pPr>
    <w:rPr>
      <w:sz w:val="20"/>
      <w:szCs w:val="20"/>
    </w:rPr>
  </w:style>
  <w:style w:type="character" w:customStyle="1" w:styleId="FootnoteTextChar">
    <w:name w:val="Footnote Text Char"/>
    <w:basedOn w:val="DefaultParagraphFont"/>
    <w:link w:val="FootnoteText"/>
    <w:uiPriority w:val="99"/>
    <w:rsid w:val="006E6FAF"/>
    <w:rPr>
      <w:sz w:val="20"/>
      <w:szCs w:val="20"/>
    </w:rPr>
  </w:style>
  <w:style w:type="character" w:styleId="FootnoteReference">
    <w:name w:val="footnote reference"/>
    <w:basedOn w:val="DefaultParagraphFont"/>
    <w:uiPriority w:val="99"/>
    <w:semiHidden/>
    <w:unhideWhenUsed/>
    <w:rsid w:val="006E6FAF"/>
    <w:rPr>
      <w:vertAlign w:val="superscript"/>
    </w:rPr>
  </w:style>
  <w:style w:type="paragraph" w:styleId="NormalWeb">
    <w:name w:val="Normal (Web)"/>
    <w:basedOn w:val="Normal"/>
    <w:uiPriority w:val="99"/>
    <w:semiHidden/>
    <w:unhideWhenUsed/>
    <w:rsid w:val="006E6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FAF"/>
  </w:style>
  <w:style w:type="character" w:customStyle="1" w:styleId="apple-converted-space">
    <w:name w:val="apple-converted-space"/>
    <w:basedOn w:val="DefaultParagraphFont"/>
    <w:rsid w:val="006E6FAF"/>
  </w:style>
  <w:style w:type="character" w:styleId="PlaceholderText">
    <w:name w:val="Placeholder Text"/>
    <w:basedOn w:val="DefaultParagraphFont"/>
    <w:uiPriority w:val="99"/>
    <w:semiHidden/>
    <w:rsid w:val="006E6FAF"/>
    <w:rPr>
      <w:color w:val="808080"/>
    </w:rPr>
  </w:style>
  <w:style w:type="character" w:styleId="FollowedHyperlink">
    <w:name w:val="FollowedHyperlink"/>
    <w:basedOn w:val="DefaultParagraphFont"/>
    <w:uiPriority w:val="99"/>
    <w:semiHidden/>
    <w:unhideWhenUsed/>
    <w:rsid w:val="006E6FAF"/>
    <w:rPr>
      <w:color w:val="800080" w:themeColor="followedHyperlink"/>
      <w:u w:val="single"/>
    </w:rPr>
  </w:style>
  <w:style w:type="paragraph" w:styleId="Revision">
    <w:name w:val="Revision"/>
    <w:hidden/>
    <w:uiPriority w:val="99"/>
    <w:semiHidden/>
    <w:rsid w:val="006E6FAF"/>
    <w:pPr>
      <w:spacing w:after="0" w:line="240" w:lineRule="auto"/>
    </w:pPr>
  </w:style>
  <w:style w:type="table" w:customStyle="1" w:styleId="TableGrid1">
    <w:name w:val="Table Grid1"/>
    <w:basedOn w:val="TableNormal"/>
    <w:next w:val="TableGrid"/>
    <w:uiPriority w:val="59"/>
    <w:rsid w:val="006E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01C7"/>
  </w:style>
  <w:style w:type="numbering" w:customStyle="1" w:styleId="NoList12">
    <w:name w:val="No List12"/>
    <w:next w:val="NoList"/>
    <w:uiPriority w:val="99"/>
    <w:semiHidden/>
    <w:unhideWhenUsed/>
    <w:rsid w:val="006D01C7"/>
  </w:style>
  <w:style w:type="table" w:customStyle="1" w:styleId="TableGrid5">
    <w:name w:val="Table Grid5"/>
    <w:basedOn w:val="TableNormal"/>
    <w:next w:val="TableGrid"/>
    <w:uiPriority w:val="59"/>
    <w:rsid w:val="006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3D26"/>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5D692A"/>
    <w:rPr>
      <w:rFonts w:asciiTheme="majorHAnsi" w:eastAsiaTheme="majorEastAsia" w:hAnsiTheme="majorHAnsi" w:cstheme="majorBidi"/>
      <w:b/>
      <w:bCs/>
      <w:color w:val="365F91" w:themeColor="accent1" w:themeShade="BF"/>
      <w:sz w:val="28"/>
      <w:szCs w:val="28"/>
    </w:rPr>
  </w:style>
  <w:style w:type="paragraph" w:customStyle="1" w:styleId="Pa6">
    <w:name w:val="Pa6"/>
    <w:basedOn w:val="Default"/>
    <w:next w:val="Default"/>
    <w:uiPriority w:val="99"/>
    <w:rsid w:val="00E36B98"/>
    <w:pPr>
      <w:spacing w:line="241" w:lineRule="atLeast"/>
    </w:pPr>
    <w:rPr>
      <w:rFonts w:ascii="Arial" w:hAnsi="Arial" w:cs="Arial"/>
      <w:color w:val="auto"/>
    </w:rPr>
  </w:style>
  <w:style w:type="character" w:customStyle="1" w:styleId="Heading2Char">
    <w:name w:val="Heading 2 Char"/>
    <w:basedOn w:val="DefaultParagraphFont"/>
    <w:link w:val="Heading2"/>
    <w:uiPriority w:val="9"/>
    <w:rsid w:val="00D8552E"/>
    <w:rPr>
      <w:rFonts w:asciiTheme="majorHAnsi" w:eastAsiaTheme="majorEastAsia" w:hAnsiTheme="majorHAnsi" w:cstheme="majorBidi"/>
      <w:b/>
      <w:bCs/>
      <w:color w:val="4F81BD" w:themeColor="accent1"/>
      <w:sz w:val="26"/>
      <w:szCs w:val="26"/>
    </w:rPr>
  </w:style>
  <w:style w:type="table" w:customStyle="1" w:styleId="TableGrid111">
    <w:name w:val="Table Grid111"/>
    <w:basedOn w:val="TableNormal"/>
    <w:next w:val="TableGrid"/>
    <w:uiPriority w:val="59"/>
    <w:rsid w:val="003C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shighlighted">
    <w:name w:val="searchtermshighlighted"/>
    <w:basedOn w:val="DefaultParagraphFont"/>
    <w:rsid w:val="00FF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733">
      <w:bodyDiv w:val="1"/>
      <w:marLeft w:val="0"/>
      <w:marRight w:val="0"/>
      <w:marTop w:val="0"/>
      <w:marBottom w:val="0"/>
      <w:divBdr>
        <w:top w:val="none" w:sz="0" w:space="0" w:color="auto"/>
        <w:left w:val="none" w:sz="0" w:space="0" w:color="auto"/>
        <w:bottom w:val="none" w:sz="0" w:space="0" w:color="auto"/>
        <w:right w:val="none" w:sz="0" w:space="0" w:color="auto"/>
      </w:divBdr>
      <w:divsChild>
        <w:div w:id="2104453257">
          <w:marLeft w:val="0"/>
          <w:marRight w:val="0"/>
          <w:marTop w:val="0"/>
          <w:marBottom w:val="120"/>
          <w:divBdr>
            <w:top w:val="none" w:sz="0" w:space="0" w:color="auto"/>
            <w:left w:val="none" w:sz="0" w:space="0" w:color="auto"/>
            <w:bottom w:val="none" w:sz="0" w:space="0" w:color="auto"/>
            <w:right w:val="none" w:sz="0" w:space="0" w:color="auto"/>
          </w:divBdr>
          <w:divsChild>
            <w:div w:id="1478497738">
              <w:marLeft w:val="0"/>
              <w:marRight w:val="0"/>
              <w:marTop w:val="0"/>
              <w:marBottom w:val="0"/>
              <w:divBdr>
                <w:top w:val="none" w:sz="0" w:space="0" w:color="auto"/>
                <w:left w:val="none" w:sz="0" w:space="0" w:color="auto"/>
                <w:bottom w:val="none" w:sz="0" w:space="0" w:color="auto"/>
                <w:right w:val="none" w:sz="0" w:space="0" w:color="auto"/>
              </w:divBdr>
              <w:divsChild>
                <w:div w:id="309987988">
                  <w:marLeft w:val="0"/>
                  <w:marRight w:val="0"/>
                  <w:marTop w:val="0"/>
                  <w:marBottom w:val="0"/>
                  <w:divBdr>
                    <w:top w:val="none" w:sz="0" w:space="0" w:color="auto"/>
                    <w:left w:val="none" w:sz="0" w:space="0" w:color="auto"/>
                    <w:bottom w:val="none" w:sz="0" w:space="0" w:color="auto"/>
                    <w:right w:val="none" w:sz="0" w:space="0" w:color="auto"/>
                  </w:divBdr>
                  <w:divsChild>
                    <w:div w:id="6903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923">
      <w:bodyDiv w:val="1"/>
      <w:marLeft w:val="0"/>
      <w:marRight w:val="0"/>
      <w:marTop w:val="0"/>
      <w:marBottom w:val="0"/>
      <w:divBdr>
        <w:top w:val="none" w:sz="0" w:space="0" w:color="auto"/>
        <w:left w:val="none" w:sz="0" w:space="0" w:color="auto"/>
        <w:bottom w:val="none" w:sz="0" w:space="0" w:color="auto"/>
        <w:right w:val="none" w:sz="0" w:space="0" w:color="auto"/>
      </w:divBdr>
      <w:divsChild>
        <w:div w:id="317225292">
          <w:marLeft w:val="0"/>
          <w:marRight w:val="0"/>
          <w:marTop w:val="0"/>
          <w:marBottom w:val="0"/>
          <w:divBdr>
            <w:top w:val="none" w:sz="0" w:space="0" w:color="auto"/>
            <w:left w:val="none" w:sz="0" w:space="0" w:color="auto"/>
            <w:bottom w:val="none" w:sz="0" w:space="0" w:color="auto"/>
            <w:right w:val="none" w:sz="0" w:space="0" w:color="auto"/>
          </w:divBdr>
        </w:div>
        <w:div w:id="437140393">
          <w:marLeft w:val="0"/>
          <w:marRight w:val="0"/>
          <w:marTop w:val="0"/>
          <w:marBottom w:val="0"/>
          <w:divBdr>
            <w:top w:val="none" w:sz="0" w:space="0" w:color="auto"/>
            <w:left w:val="none" w:sz="0" w:space="0" w:color="auto"/>
            <w:bottom w:val="none" w:sz="0" w:space="0" w:color="auto"/>
            <w:right w:val="none" w:sz="0" w:space="0" w:color="auto"/>
          </w:divBdr>
        </w:div>
        <w:div w:id="868683252">
          <w:marLeft w:val="0"/>
          <w:marRight w:val="0"/>
          <w:marTop w:val="0"/>
          <w:marBottom w:val="0"/>
          <w:divBdr>
            <w:top w:val="none" w:sz="0" w:space="0" w:color="auto"/>
            <w:left w:val="none" w:sz="0" w:space="0" w:color="auto"/>
            <w:bottom w:val="none" w:sz="0" w:space="0" w:color="auto"/>
            <w:right w:val="none" w:sz="0" w:space="0" w:color="auto"/>
          </w:divBdr>
        </w:div>
        <w:div w:id="1238437044">
          <w:marLeft w:val="0"/>
          <w:marRight w:val="0"/>
          <w:marTop w:val="0"/>
          <w:marBottom w:val="0"/>
          <w:divBdr>
            <w:top w:val="none" w:sz="0" w:space="0" w:color="auto"/>
            <w:left w:val="none" w:sz="0" w:space="0" w:color="auto"/>
            <w:bottom w:val="none" w:sz="0" w:space="0" w:color="auto"/>
            <w:right w:val="none" w:sz="0" w:space="0" w:color="auto"/>
          </w:divBdr>
        </w:div>
        <w:div w:id="1324049202">
          <w:marLeft w:val="0"/>
          <w:marRight w:val="0"/>
          <w:marTop w:val="0"/>
          <w:marBottom w:val="0"/>
          <w:divBdr>
            <w:top w:val="none" w:sz="0" w:space="0" w:color="auto"/>
            <w:left w:val="none" w:sz="0" w:space="0" w:color="auto"/>
            <w:bottom w:val="none" w:sz="0" w:space="0" w:color="auto"/>
            <w:right w:val="none" w:sz="0" w:space="0" w:color="auto"/>
          </w:divBdr>
        </w:div>
        <w:div w:id="1457020141">
          <w:marLeft w:val="0"/>
          <w:marRight w:val="0"/>
          <w:marTop w:val="0"/>
          <w:marBottom w:val="0"/>
          <w:divBdr>
            <w:top w:val="none" w:sz="0" w:space="0" w:color="auto"/>
            <w:left w:val="none" w:sz="0" w:space="0" w:color="auto"/>
            <w:bottom w:val="none" w:sz="0" w:space="0" w:color="auto"/>
            <w:right w:val="none" w:sz="0" w:space="0" w:color="auto"/>
          </w:divBdr>
        </w:div>
        <w:div w:id="1489446223">
          <w:marLeft w:val="0"/>
          <w:marRight w:val="0"/>
          <w:marTop w:val="0"/>
          <w:marBottom w:val="0"/>
          <w:divBdr>
            <w:top w:val="none" w:sz="0" w:space="0" w:color="auto"/>
            <w:left w:val="none" w:sz="0" w:space="0" w:color="auto"/>
            <w:bottom w:val="none" w:sz="0" w:space="0" w:color="auto"/>
            <w:right w:val="none" w:sz="0" w:space="0" w:color="auto"/>
          </w:divBdr>
        </w:div>
      </w:divsChild>
    </w:div>
    <w:div w:id="414009352">
      <w:bodyDiv w:val="1"/>
      <w:marLeft w:val="0"/>
      <w:marRight w:val="0"/>
      <w:marTop w:val="0"/>
      <w:marBottom w:val="0"/>
      <w:divBdr>
        <w:top w:val="none" w:sz="0" w:space="0" w:color="auto"/>
        <w:left w:val="none" w:sz="0" w:space="0" w:color="auto"/>
        <w:bottom w:val="none" w:sz="0" w:space="0" w:color="auto"/>
        <w:right w:val="none" w:sz="0" w:space="0" w:color="auto"/>
      </w:divBdr>
    </w:div>
    <w:div w:id="476335621">
      <w:bodyDiv w:val="1"/>
      <w:marLeft w:val="0"/>
      <w:marRight w:val="0"/>
      <w:marTop w:val="0"/>
      <w:marBottom w:val="0"/>
      <w:divBdr>
        <w:top w:val="none" w:sz="0" w:space="0" w:color="auto"/>
        <w:left w:val="none" w:sz="0" w:space="0" w:color="auto"/>
        <w:bottom w:val="none" w:sz="0" w:space="0" w:color="auto"/>
        <w:right w:val="none" w:sz="0" w:space="0" w:color="auto"/>
      </w:divBdr>
      <w:divsChild>
        <w:div w:id="58090397">
          <w:marLeft w:val="0"/>
          <w:marRight w:val="0"/>
          <w:marTop w:val="0"/>
          <w:marBottom w:val="0"/>
          <w:divBdr>
            <w:top w:val="none" w:sz="0" w:space="0" w:color="auto"/>
            <w:left w:val="none" w:sz="0" w:space="0" w:color="auto"/>
            <w:bottom w:val="none" w:sz="0" w:space="0" w:color="auto"/>
            <w:right w:val="none" w:sz="0" w:space="0" w:color="auto"/>
          </w:divBdr>
        </w:div>
        <w:div w:id="922255030">
          <w:marLeft w:val="0"/>
          <w:marRight w:val="0"/>
          <w:marTop w:val="0"/>
          <w:marBottom w:val="0"/>
          <w:divBdr>
            <w:top w:val="none" w:sz="0" w:space="0" w:color="auto"/>
            <w:left w:val="none" w:sz="0" w:space="0" w:color="auto"/>
            <w:bottom w:val="none" w:sz="0" w:space="0" w:color="auto"/>
            <w:right w:val="none" w:sz="0" w:space="0" w:color="auto"/>
          </w:divBdr>
        </w:div>
        <w:div w:id="1039158788">
          <w:marLeft w:val="0"/>
          <w:marRight w:val="0"/>
          <w:marTop w:val="0"/>
          <w:marBottom w:val="0"/>
          <w:divBdr>
            <w:top w:val="none" w:sz="0" w:space="0" w:color="auto"/>
            <w:left w:val="none" w:sz="0" w:space="0" w:color="auto"/>
            <w:bottom w:val="none" w:sz="0" w:space="0" w:color="auto"/>
            <w:right w:val="none" w:sz="0" w:space="0" w:color="auto"/>
          </w:divBdr>
        </w:div>
        <w:div w:id="1411150231">
          <w:marLeft w:val="0"/>
          <w:marRight w:val="0"/>
          <w:marTop w:val="0"/>
          <w:marBottom w:val="0"/>
          <w:divBdr>
            <w:top w:val="none" w:sz="0" w:space="0" w:color="auto"/>
            <w:left w:val="none" w:sz="0" w:space="0" w:color="auto"/>
            <w:bottom w:val="none" w:sz="0" w:space="0" w:color="auto"/>
            <w:right w:val="none" w:sz="0" w:space="0" w:color="auto"/>
          </w:divBdr>
        </w:div>
        <w:div w:id="1617567507">
          <w:marLeft w:val="0"/>
          <w:marRight w:val="0"/>
          <w:marTop w:val="0"/>
          <w:marBottom w:val="0"/>
          <w:divBdr>
            <w:top w:val="none" w:sz="0" w:space="0" w:color="auto"/>
            <w:left w:val="none" w:sz="0" w:space="0" w:color="auto"/>
            <w:bottom w:val="none" w:sz="0" w:space="0" w:color="auto"/>
            <w:right w:val="none" w:sz="0" w:space="0" w:color="auto"/>
          </w:divBdr>
        </w:div>
      </w:divsChild>
    </w:div>
    <w:div w:id="931355141">
      <w:bodyDiv w:val="1"/>
      <w:marLeft w:val="0"/>
      <w:marRight w:val="0"/>
      <w:marTop w:val="0"/>
      <w:marBottom w:val="0"/>
      <w:divBdr>
        <w:top w:val="none" w:sz="0" w:space="0" w:color="auto"/>
        <w:left w:val="none" w:sz="0" w:space="0" w:color="auto"/>
        <w:bottom w:val="none" w:sz="0" w:space="0" w:color="auto"/>
        <w:right w:val="none" w:sz="0" w:space="0" w:color="auto"/>
      </w:divBdr>
    </w:div>
    <w:div w:id="1025984164">
      <w:bodyDiv w:val="1"/>
      <w:marLeft w:val="0"/>
      <w:marRight w:val="0"/>
      <w:marTop w:val="0"/>
      <w:marBottom w:val="0"/>
      <w:divBdr>
        <w:top w:val="none" w:sz="0" w:space="0" w:color="auto"/>
        <w:left w:val="none" w:sz="0" w:space="0" w:color="auto"/>
        <w:bottom w:val="none" w:sz="0" w:space="0" w:color="auto"/>
        <w:right w:val="none" w:sz="0" w:space="0" w:color="auto"/>
      </w:divBdr>
    </w:div>
    <w:div w:id="1035428650">
      <w:bodyDiv w:val="1"/>
      <w:marLeft w:val="0"/>
      <w:marRight w:val="0"/>
      <w:marTop w:val="0"/>
      <w:marBottom w:val="0"/>
      <w:divBdr>
        <w:top w:val="none" w:sz="0" w:space="0" w:color="auto"/>
        <w:left w:val="none" w:sz="0" w:space="0" w:color="auto"/>
        <w:bottom w:val="none" w:sz="0" w:space="0" w:color="auto"/>
        <w:right w:val="none" w:sz="0" w:space="0" w:color="auto"/>
      </w:divBdr>
    </w:div>
    <w:div w:id="1304038194">
      <w:bodyDiv w:val="1"/>
      <w:marLeft w:val="0"/>
      <w:marRight w:val="0"/>
      <w:marTop w:val="0"/>
      <w:marBottom w:val="0"/>
      <w:divBdr>
        <w:top w:val="none" w:sz="0" w:space="0" w:color="auto"/>
        <w:left w:val="none" w:sz="0" w:space="0" w:color="auto"/>
        <w:bottom w:val="none" w:sz="0" w:space="0" w:color="auto"/>
        <w:right w:val="none" w:sz="0" w:space="0" w:color="auto"/>
      </w:divBdr>
    </w:div>
    <w:div w:id="1349939933">
      <w:bodyDiv w:val="1"/>
      <w:marLeft w:val="0"/>
      <w:marRight w:val="0"/>
      <w:marTop w:val="0"/>
      <w:marBottom w:val="0"/>
      <w:divBdr>
        <w:top w:val="none" w:sz="0" w:space="0" w:color="auto"/>
        <w:left w:val="none" w:sz="0" w:space="0" w:color="auto"/>
        <w:bottom w:val="none" w:sz="0" w:space="0" w:color="auto"/>
        <w:right w:val="none" w:sz="0" w:space="0" w:color="auto"/>
      </w:divBdr>
      <w:divsChild>
        <w:div w:id="924999446">
          <w:marLeft w:val="0"/>
          <w:marRight w:val="0"/>
          <w:marTop w:val="0"/>
          <w:marBottom w:val="0"/>
          <w:divBdr>
            <w:top w:val="none" w:sz="0" w:space="0" w:color="auto"/>
            <w:left w:val="none" w:sz="0" w:space="0" w:color="auto"/>
            <w:bottom w:val="none" w:sz="0" w:space="0" w:color="auto"/>
            <w:right w:val="none" w:sz="0" w:space="0" w:color="auto"/>
          </w:divBdr>
        </w:div>
        <w:div w:id="1363433136">
          <w:marLeft w:val="0"/>
          <w:marRight w:val="0"/>
          <w:marTop w:val="0"/>
          <w:marBottom w:val="0"/>
          <w:divBdr>
            <w:top w:val="none" w:sz="0" w:space="0" w:color="auto"/>
            <w:left w:val="none" w:sz="0" w:space="0" w:color="auto"/>
            <w:bottom w:val="none" w:sz="0" w:space="0" w:color="auto"/>
            <w:right w:val="none" w:sz="0" w:space="0" w:color="auto"/>
          </w:divBdr>
        </w:div>
        <w:div w:id="1952978364">
          <w:marLeft w:val="0"/>
          <w:marRight w:val="0"/>
          <w:marTop w:val="0"/>
          <w:marBottom w:val="0"/>
          <w:divBdr>
            <w:top w:val="none" w:sz="0" w:space="0" w:color="auto"/>
            <w:left w:val="none" w:sz="0" w:space="0" w:color="auto"/>
            <w:bottom w:val="none" w:sz="0" w:space="0" w:color="auto"/>
            <w:right w:val="none" w:sz="0" w:space="0" w:color="auto"/>
          </w:divBdr>
        </w:div>
      </w:divsChild>
    </w:div>
    <w:div w:id="1786386221">
      <w:bodyDiv w:val="1"/>
      <w:marLeft w:val="0"/>
      <w:marRight w:val="0"/>
      <w:marTop w:val="0"/>
      <w:marBottom w:val="0"/>
      <w:divBdr>
        <w:top w:val="none" w:sz="0" w:space="0" w:color="auto"/>
        <w:left w:val="none" w:sz="0" w:space="0" w:color="auto"/>
        <w:bottom w:val="none" w:sz="0" w:space="0" w:color="auto"/>
        <w:right w:val="none" w:sz="0" w:space="0" w:color="auto"/>
      </w:divBdr>
      <w:divsChild>
        <w:div w:id="284505872">
          <w:marLeft w:val="0"/>
          <w:marRight w:val="0"/>
          <w:marTop w:val="0"/>
          <w:marBottom w:val="0"/>
          <w:divBdr>
            <w:top w:val="none" w:sz="0" w:space="0" w:color="auto"/>
            <w:left w:val="none" w:sz="0" w:space="0" w:color="auto"/>
            <w:bottom w:val="none" w:sz="0" w:space="0" w:color="auto"/>
            <w:right w:val="none" w:sz="0" w:space="0" w:color="auto"/>
          </w:divBdr>
          <w:divsChild>
            <w:div w:id="917831730">
              <w:marLeft w:val="0"/>
              <w:marRight w:val="0"/>
              <w:marTop w:val="0"/>
              <w:marBottom w:val="0"/>
              <w:divBdr>
                <w:top w:val="none" w:sz="0" w:space="0" w:color="auto"/>
                <w:left w:val="none" w:sz="0" w:space="0" w:color="auto"/>
                <w:bottom w:val="none" w:sz="0" w:space="0" w:color="auto"/>
                <w:right w:val="none" w:sz="0" w:space="0" w:color="auto"/>
              </w:divBdr>
              <w:divsChild>
                <w:div w:id="1574469359">
                  <w:marLeft w:val="0"/>
                  <w:marRight w:val="0"/>
                  <w:marTop w:val="0"/>
                  <w:marBottom w:val="0"/>
                  <w:divBdr>
                    <w:top w:val="none" w:sz="0" w:space="0" w:color="auto"/>
                    <w:left w:val="none" w:sz="0" w:space="0" w:color="auto"/>
                    <w:bottom w:val="none" w:sz="0" w:space="0" w:color="auto"/>
                    <w:right w:val="none" w:sz="0" w:space="0" w:color="auto"/>
                  </w:divBdr>
                  <w:divsChild>
                    <w:div w:id="1113474295">
                      <w:marLeft w:val="0"/>
                      <w:marRight w:val="0"/>
                      <w:marTop w:val="0"/>
                      <w:marBottom w:val="0"/>
                      <w:divBdr>
                        <w:top w:val="none" w:sz="0" w:space="0" w:color="auto"/>
                        <w:left w:val="none" w:sz="0" w:space="0" w:color="auto"/>
                        <w:bottom w:val="none" w:sz="0" w:space="0" w:color="auto"/>
                        <w:right w:val="none" w:sz="0" w:space="0" w:color="auto"/>
                      </w:divBdr>
                      <w:divsChild>
                        <w:div w:id="940912882">
                          <w:marLeft w:val="0"/>
                          <w:marRight w:val="0"/>
                          <w:marTop w:val="0"/>
                          <w:marBottom w:val="0"/>
                          <w:divBdr>
                            <w:top w:val="none" w:sz="0" w:space="0" w:color="auto"/>
                            <w:left w:val="none" w:sz="0" w:space="0" w:color="auto"/>
                            <w:bottom w:val="none" w:sz="0" w:space="0" w:color="auto"/>
                            <w:right w:val="none" w:sz="0" w:space="0" w:color="auto"/>
                          </w:divBdr>
                          <w:divsChild>
                            <w:div w:id="8247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58496">
      <w:bodyDiv w:val="1"/>
      <w:marLeft w:val="0"/>
      <w:marRight w:val="0"/>
      <w:marTop w:val="0"/>
      <w:marBottom w:val="0"/>
      <w:divBdr>
        <w:top w:val="none" w:sz="0" w:space="0" w:color="auto"/>
        <w:left w:val="none" w:sz="0" w:space="0" w:color="auto"/>
        <w:bottom w:val="none" w:sz="0" w:space="0" w:color="auto"/>
        <w:right w:val="none" w:sz="0" w:space="0" w:color="auto"/>
      </w:divBdr>
      <w:divsChild>
        <w:div w:id="345325916">
          <w:marLeft w:val="0"/>
          <w:marRight w:val="0"/>
          <w:marTop w:val="0"/>
          <w:marBottom w:val="0"/>
          <w:divBdr>
            <w:top w:val="none" w:sz="0" w:space="0" w:color="auto"/>
            <w:left w:val="none" w:sz="0" w:space="0" w:color="auto"/>
            <w:bottom w:val="none" w:sz="0" w:space="0" w:color="auto"/>
            <w:right w:val="none" w:sz="0" w:space="0" w:color="auto"/>
          </w:divBdr>
        </w:div>
        <w:div w:id="1725988685">
          <w:marLeft w:val="0"/>
          <w:marRight w:val="0"/>
          <w:marTop w:val="0"/>
          <w:marBottom w:val="0"/>
          <w:divBdr>
            <w:top w:val="none" w:sz="0" w:space="0" w:color="auto"/>
            <w:left w:val="none" w:sz="0" w:space="0" w:color="auto"/>
            <w:bottom w:val="none" w:sz="0" w:space="0" w:color="auto"/>
            <w:right w:val="none" w:sz="0" w:space="0" w:color="auto"/>
          </w:divBdr>
        </w:div>
        <w:div w:id="2103254141">
          <w:marLeft w:val="0"/>
          <w:marRight w:val="0"/>
          <w:marTop w:val="0"/>
          <w:marBottom w:val="0"/>
          <w:divBdr>
            <w:top w:val="none" w:sz="0" w:space="0" w:color="auto"/>
            <w:left w:val="none" w:sz="0" w:space="0" w:color="auto"/>
            <w:bottom w:val="none" w:sz="0" w:space="0" w:color="auto"/>
            <w:right w:val="none" w:sz="0" w:space="0" w:color="auto"/>
          </w:divBdr>
        </w:div>
      </w:divsChild>
    </w:div>
    <w:div w:id="1878856618">
      <w:bodyDiv w:val="1"/>
      <w:marLeft w:val="0"/>
      <w:marRight w:val="0"/>
      <w:marTop w:val="0"/>
      <w:marBottom w:val="0"/>
      <w:divBdr>
        <w:top w:val="none" w:sz="0" w:space="0" w:color="auto"/>
        <w:left w:val="none" w:sz="0" w:space="0" w:color="auto"/>
        <w:bottom w:val="none" w:sz="0" w:space="0" w:color="auto"/>
        <w:right w:val="none" w:sz="0" w:space="0" w:color="auto"/>
      </w:divBdr>
    </w:div>
    <w:div w:id="1887837630">
      <w:bodyDiv w:val="1"/>
      <w:marLeft w:val="0"/>
      <w:marRight w:val="0"/>
      <w:marTop w:val="0"/>
      <w:marBottom w:val="0"/>
      <w:divBdr>
        <w:top w:val="none" w:sz="0" w:space="0" w:color="auto"/>
        <w:left w:val="none" w:sz="0" w:space="0" w:color="auto"/>
        <w:bottom w:val="none" w:sz="0" w:space="0" w:color="auto"/>
        <w:right w:val="none" w:sz="0" w:space="0" w:color="auto"/>
      </w:divBdr>
    </w:div>
    <w:div w:id="1897473392">
      <w:bodyDiv w:val="1"/>
      <w:marLeft w:val="0"/>
      <w:marRight w:val="0"/>
      <w:marTop w:val="0"/>
      <w:marBottom w:val="0"/>
      <w:divBdr>
        <w:top w:val="none" w:sz="0" w:space="0" w:color="auto"/>
        <w:left w:val="none" w:sz="0" w:space="0" w:color="auto"/>
        <w:bottom w:val="none" w:sz="0" w:space="0" w:color="auto"/>
        <w:right w:val="none" w:sz="0" w:space="0" w:color="auto"/>
      </w:divBdr>
    </w:div>
    <w:div w:id="1951693092">
      <w:bodyDiv w:val="1"/>
      <w:marLeft w:val="0"/>
      <w:marRight w:val="0"/>
      <w:marTop w:val="0"/>
      <w:marBottom w:val="0"/>
      <w:divBdr>
        <w:top w:val="none" w:sz="0" w:space="0" w:color="auto"/>
        <w:left w:val="none" w:sz="0" w:space="0" w:color="auto"/>
        <w:bottom w:val="none" w:sz="0" w:space="0" w:color="auto"/>
        <w:right w:val="none" w:sz="0" w:space="0" w:color="auto"/>
      </w:divBdr>
      <w:divsChild>
        <w:div w:id="1713387794">
          <w:marLeft w:val="0"/>
          <w:marRight w:val="0"/>
          <w:marTop w:val="0"/>
          <w:marBottom w:val="0"/>
          <w:divBdr>
            <w:top w:val="none" w:sz="0" w:space="0" w:color="auto"/>
            <w:left w:val="none" w:sz="0" w:space="0" w:color="auto"/>
            <w:bottom w:val="none" w:sz="0" w:space="0" w:color="auto"/>
            <w:right w:val="none" w:sz="0" w:space="0" w:color="auto"/>
          </w:divBdr>
        </w:div>
        <w:div w:id="1863933851">
          <w:marLeft w:val="0"/>
          <w:marRight w:val="0"/>
          <w:marTop w:val="0"/>
          <w:marBottom w:val="0"/>
          <w:divBdr>
            <w:top w:val="none" w:sz="0" w:space="0" w:color="auto"/>
            <w:left w:val="none" w:sz="0" w:space="0" w:color="auto"/>
            <w:bottom w:val="none" w:sz="0" w:space="0" w:color="auto"/>
            <w:right w:val="none" w:sz="0" w:space="0" w:color="auto"/>
          </w:divBdr>
        </w:div>
      </w:divsChild>
    </w:div>
    <w:div w:id="2004432631">
      <w:bodyDiv w:val="1"/>
      <w:marLeft w:val="0"/>
      <w:marRight w:val="0"/>
      <w:marTop w:val="0"/>
      <w:marBottom w:val="0"/>
      <w:divBdr>
        <w:top w:val="none" w:sz="0" w:space="0" w:color="auto"/>
        <w:left w:val="none" w:sz="0" w:space="0" w:color="auto"/>
        <w:bottom w:val="none" w:sz="0" w:space="0" w:color="auto"/>
        <w:right w:val="none" w:sz="0" w:space="0" w:color="auto"/>
      </w:divBdr>
    </w:div>
    <w:div w:id="2103066553">
      <w:bodyDiv w:val="1"/>
      <w:marLeft w:val="0"/>
      <w:marRight w:val="0"/>
      <w:marTop w:val="0"/>
      <w:marBottom w:val="0"/>
      <w:divBdr>
        <w:top w:val="none" w:sz="0" w:space="0" w:color="auto"/>
        <w:left w:val="none" w:sz="0" w:space="0" w:color="auto"/>
        <w:bottom w:val="none" w:sz="0" w:space="0" w:color="auto"/>
        <w:right w:val="none" w:sz="0" w:space="0" w:color="auto"/>
      </w:divBdr>
      <w:divsChild>
        <w:div w:id="47192409">
          <w:marLeft w:val="0"/>
          <w:marRight w:val="0"/>
          <w:marTop w:val="0"/>
          <w:marBottom w:val="0"/>
          <w:divBdr>
            <w:top w:val="none" w:sz="0" w:space="0" w:color="auto"/>
            <w:left w:val="none" w:sz="0" w:space="0" w:color="auto"/>
            <w:bottom w:val="none" w:sz="0" w:space="0" w:color="auto"/>
            <w:right w:val="none" w:sz="0" w:space="0" w:color="auto"/>
          </w:divBdr>
        </w:div>
        <w:div w:id="206637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article/10.1007/s10551-016-3266-8" TargetMode="External"/><Relationship Id="rId18" Type="http://schemas.openxmlformats.org/officeDocument/2006/relationships/hyperlink" Target="https://ergonassociates.net/wp-content/uploads/2016/03/MSA_One_year_on_April_2017.pdf?x74739" TargetMode="External"/><Relationship Id="rId26" Type="http://schemas.openxmlformats.org/officeDocument/2006/relationships/hyperlink" Target="http://www.legislation.gov.uk/ukpga/2015/30/contents" TargetMode="External"/><Relationship Id="rId39" Type="http://schemas.openxmlformats.org/officeDocument/2006/relationships/fontTable" Target="fontTable.xml"/><Relationship Id="rId21" Type="http://schemas.openxmlformats.org/officeDocument/2006/relationships/hyperlink" Target="http://www.legislation.gov.uk/ukia/2015/268/pdfs/ukia_20150268_en.pdf" TargetMode="External"/><Relationship Id="rId34" Type="http://schemas.openxmlformats.org/officeDocument/2006/relationships/hyperlink" Target="http://www.huffingtonpost.co.uk/andrew-wallis/modern-slavery-act_b_7933044.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ps.org/Documents/About%20CIPS/Ethics/CIPS_ModernSlavery_Broch_WEB.pdf" TargetMode="External"/><Relationship Id="rId20" Type="http://schemas.openxmlformats.org/officeDocument/2006/relationships/hyperlink" Target="https://www.gov.uk/government/uploads/system/uploads/attachment_data/file/448200/Consultation_Government_Response__final__2_pdf.pdf" TargetMode="External"/><Relationship Id="rId29" Type="http://schemas.openxmlformats.org/officeDocument/2006/relationships/hyperlink" Target="https://www.youtube.com/watch?v=Z_OFnglL-dI"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article/10.1007/s10551-016-3266-8" TargetMode="External"/><Relationship Id="rId24" Type="http://schemas.openxmlformats.org/officeDocument/2006/relationships/hyperlink" Target="http://www.ilo.org/global/publications/books/WCMS_575479/lang--en/index.htm" TargetMode="External"/><Relationship Id="rId32" Type="http://schemas.openxmlformats.org/officeDocument/2006/relationships/hyperlink" Target="https://www.publications.parliament.uk/pa/cm201415/cmhansrd/cm141104/debtext/141104-0002.htm" TargetMode="External"/><Relationship Id="rId37" Type="http://schemas.openxmlformats.org/officeDocument/2006/relationships/hyperlink" Target="http://product.datastream.com/Navigator/search.aspx?dsid=XUOM103&amp;useroption=164090185179087161072068&amp;host=Advance&amp;SymbolPref=undefined&amp;q=ftse&amp;prev=99_ftseal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treforsocialjustice.org.uk/library/happens-equipping-united-kingdom-fight-modern-slavery" TargetMode="External"/><Relationship Id="rId23" Type="http://schemas.openxmlformats.org/officeDocument/2006/relationships/hyperlink" Target="http://www.ilo.org/wcmsp5/groups/public/---ed_norm/---declaration/documents/publication/wcms_243391.pdf" TargetMode="External"/><Relationship Id="rId28" Type="http://schemas.openxmlformats.org/officeDocument/2006/relationships/hyperlink" Target="http://www.nationalcrimeagency.gov.uk/publications/676-national-referral-mechanism-statistics-end-of-year-summary-2015/file"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gov.uk/government/uploads/system/uploads/attachment_data/file/318771/CM8889DraftModernSlaveryBill.pdf" TargetMode="External"/><Relationship Id="rId31" Type="http://schemas.openxmlformats.org/officeDocument/2006/relationships/hyperlink" Target="https://www.publications.parliament.uk/pa/jt201314/jtselect/jtslavery/166/16602.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entreforsocialjustice.org.uk/library/establishing-britain-world-leader-fight-modern-slavery" TargetMode="External"/><Relationship Id="rId22" Type="http://schemas.openxmlformats.org/officeDocument/2006/relationships/hyperlink" Target="http://insight-responsability.com/tisc-non-uk-companies-do-we-have-to-comply" TargetMode="External"/><Relationship Id="rId27" Type="http://schemas.openxmlformats.org/officeDocument/2006/relationships/hyperlink" Target="https://www.gov.uk/government/uploads/system/uploads/attachment_data/file/471996/Transparency_in_Supply_Chains_etc__A_practical_guide__final_.pdf" TargetMode="External"/><Relationship Id="rId30" Type="http://schemas.openxmlformats.org/officeDocument/2006/relationships/hyperlink" Target="https://tiscreport.org/" TargetMode="External"/><Relationship Id="rId35" Type="http://schemas.openxmlformats.org/officeDocument/2006/relationships/header" Target="header3.xml"/><Relationship Id="rId8" Type="http://schemas.openxmlformats.org/officeDocument/2006/relationships/hyperlink" Target="https://www.bing.com/maps?&amp;ty=18&amp;q=University%20of%20Liverpool&amp;satid=id.sid%3a3b76bc49-2660-af26-a575-6e46084eab9e&amp;ppois=53.40561294555664_-2.9658894538879395_University%20of%20Liverpool_~&amp;cp=53.405613~-2.965889&amp;v=2&amp;sV=1" TargetMode="External"/><Relationship Id="rId3" Type="http://schemas.openxmlformats.org/officeDocument/2006/relationships/styles" Target="styles.xml"/><Relationship Id="rId12" Type="http://schemas.openxmlformats.org/officeDocument/2006/relationships/hyperlink" Target="http://link.springer.com/article/10.1007/s10551-016-3266-8" TargetMode="External"/><Relationship Id="rId17" Type="http://schemas.openxmlformats.org/officeDocument/2006/relationships/hyperlink" Target="https://www.cips.org/supply-management/news/2017/june/prosecutions-under-the-modern-slavery-act-more-that-quadruple" TargetMode="External"/><Relationship Id="rId25" Type="http://schemas.openxmlformats.org/officeDocument/2006/relationships/hyperlink" Target="http://www.sciencedirect.com/science/article/pii/S0272696317300098" TargetMode="External"/><Relationship Id="rId33" Type="http://schemas.openxmlformats.org/officeDocument/2006/relationships/hyperlink" Target="http://www.parliament.uk/about/how/publications/bills-acts/"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D026-8862-467A-909A-CB53B2F8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20104</Words>
  <Characters>114599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Dutordoir</dc:creator>
  <cp:keywords/>
  <dc:description/>
  <cp:lastModifiedBy>McGowan, David [dmcgowan]</cp:lastModifiedBy>
  <cp:revision>2</cp:revision>
  <cp:lastPrinted>2019-07-11T18:56:00Z</cp:lastPrinted>
  <dcterms:created xsi:type="dcterms:W3CDTF">2020-01-17T08:29:00Z</dcterms:created>
  <dcterms:modified xsi:type="dcterms:W3CDTF">2020-01-17T08:29:00Z</dcterms:modified>
</cp:coreProperties>
</file>