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0361A" w14:textId="1828DA6C" w:rsidR="0049588D" w:rsidRPr="00491D51" w:rsidRDefault="0049588D" w:rsidP="00454AC3">
      <w:pPr>
        <w:spacing w:before="100" w:beforeAutospacing="1" w:after="100" w:afterAutospacing="1" w:line="480" w:lineRule="auto"/>
        <w:jc w:val="both"/>
        <w:rPr>
          <w:rFonts w:eastAsia="Times New Roman" w:cstheme="minorHAnsi"/>
          <w:b/>
          <w:bCs/>
          <w:sz w:val="28"/>
          <w:szCs w:val="28"/>
          <w:lang w:eastAsia="en-ZA"/>
        </w:rPr>
      </w:pPr>
      <w:r w:rsidRPr="00491D51">
        <w:rPr>
          <w:rFonts w:eastAsia="Times New Roman" w:cstheme="minorHAnsi"/>
          <w:b/>
          <w:bCs/>
          <w:sz w:val="28"/>
          <w:szCs w:val="28"/>
          <w:lang w:eastAsia="en-ZA"/>
        </w:rPr>
        <w:t>The i</w:t>
      </w:r>
      <w:r w:rsidR="00CF0EA4" w:rsidRPr="00491D51">
        <w:rPr>
          <w:rFonts w:eastAsia="Times New Roman" w:cstheme="minorHAnsi"/>
          <w:b/>
          <w:bCs/>
          <w:sz w:val="28"/>
          <w:szCs w:val="28"/>
          <w:lang w:eastAsia="en-ZA"/>
        </w:rPr>
        <w:t>mpact of inclusion, dose and duration of pyrazinamide</w:t>
      </w:r>
      <w:r w:rsidRPr="00491D51">
        <w:rPr>
          <w:rFonts w:eastAsia="Times New Roman" w:cstheme="minorHAnsi"/>
          <w:b/>
          <w:bCs/>
          <w:sz w:val="28"/>
          <w:szCs w:val="28"/>
          <w:lang w:eastAsia="en-ZA"/>
        </w:rPr>
        <w:t xml:space="preserve"> (PZA)</w:t>
      </w:r>
      <w:r w:rsidR="00CF0EA4" w:rsidRPr="00491D51">
        <w:rPr>
          <w:rFonts w:eastAsia="Times New Roman" w:cstheme="minorHAnsi"/>
          <w:b/>
          <w:bCs/>
          <w:sz w:val="28"/>
          <w:szCs w:val="28"/>
          <w:lang w:eastAsia="en-ZA"/>
        </w:rPr>
        <w:t xml:space="preserve"> on efficacy and safety outcomes in tuberculosis: systematic review and meta-analysis</w:t>
      </w:r>
      <w:r w:rsidR="002B70E8">
        <w:rPr>
          <w:rFonts w:eastAsia="Times New Roman" w:cstheme="minorHAnsi"/>
          <w:b/>
          <w:bCs/>
          <w:sz w:val="28"/>
          <w:szCs w:val="28"/>
          <w:lang w:eastAsia="en-ZA"/>
        </w:rPr>
        <w:t xml:space="preserve"> protocol</w:t>
      </w:r>
    </w:p>
    <w:p w14:paraId="79C2ED97" w14:textId="74590B80" w:rsidR="0049588D" w:rsidRPr="008A7C5D" w:rsidRDefault="008E046A" w:rsidP="00454AC3">
      <w:pPr>
        <w:spacing w:before="100" w:beforeAutospacing="1" w:after="100" w:afterAutospacing="1" w:line="480" w:lineRule="auto"/>
        <w:rPr>
          <w:rFonts w:eastAsia="Times New Roman" w:cstheme="minorHAnsi"/>
          <w:sz w:val="24"/>
          <w:szCs w:val="24"/>
          <w:vertAlign w:val="superscript"/>
          <w:lang w:eastAsia="en-ZA"/>
        </w:rPr>
      </w:pPr>
      <w:r w:rsidRPr="008A7C5D">
        <w:rPr>
          <w:rFonts w:eastAsia="Times New Roman" w:cstheme="minorHAnsi"/>
          <w:sz w:val="24"/>
          <w:szCs w:val="24"/>
          <w:lang w:eastAsia="en-ZA"/>
        </w:rPr>
        <w:t xml:space="preserve">Dr James </w:t>
      </w:r>
      <w:r w:rsidR="00A70460" w:rsidRPr="008A7C5D">
        <w:rPr>
          <w:rFonts w:eastAsia="Times New Roman" w:cstheme="minorHAnsi"/>
          <w:sz w:val="24"/>
          <w:szCs w:val="24"/>
          <w:lang w:eastAsia="en-ZA"/>
        </w:rPr>
        <w:t xml:space="preserve">D </w:t>
      </w:r>
      <w:r w:rsidRPr="008A7C5D">
        <w:rPr>
          <w:rFonts w:eastAsia="Times New Roman" w:cstheme="minorHAnsi"/>
          <w:sz w:val="24"/>
          <w:szCs w:val="24"/>
          <w:lang w:eastAsia="en-ZA"/>
        </w:rPr>
        <w:t>Millard</w:t>
      </w:r>
      <w:r w:rsidR="00A22806" w:rsidRPr="008A7C5D">
        <w:rPr>
          <w:rFonts w:eastAsia="Times New Roman" w:cstheme="minorHAnsi"/>
          <w:sz w:val="24"/>
          <w:szCs w:val="24"/>
          <w:vertAlign w:val="superscript"/>
          <w:lang w:eastAsia="en-ZA"/>
        </w:rPr>
        <w:t>1,2,3</w:t>
      </w:r>
      <w:r w:rsidR="008C0154">
        <w:rPr>
          <w:rFonts w:eastAsia="Times New Roman" w:cstheme="minorHAnsi"/>
          <w:sz w:val="24"/>
          <w:szCs w:val="24"/>
          <w:vertAlign w:val="superscript"/>
          <w:lang w:eastAsia="en-ZA"/>
        </w:rPr>
        <w:t xml:space="preserve"> *</w:t>
      </w:r>
    </w:p>
    <w:p w14:paraId="6F26C230" w14:textId="0B69C520" w:rsidR="008E046A" w:rsidRPr="008A7C5D" w:rsidRDefault="008E046A" w:rsidP="00454AC3">
      <w:pPr>
        <w:spacing w:before="100" w:beforeAutospacing="1" w:after="100" w:afterAutospacing="1" w:line="480" w:lineRule="auto"/>
        <w:rPr>
          <w:rFonts w:eastAsia="Times New Roman" w:cstheme="minorHAnsi"/>
          <w:sz w:val="24"/>
          <w:szCs w:val="24"/>
          <w:vertAlign w:val="superscript"/>
          <w:lang w:eastAsia="en-ZA"/>
        </w:rPr>
      </w:pPr>
      <w:r w:rsidRPr="008A7C5D">
        <w:rPr>
          <w:rFonts w:eastAsia="Times New Roman" w:cstheme="minorHAnsi"/>
          <w:sz w:val="24"/>
          <w:szCs w:val="24"/>
          <w:lang w:eastAsia="en-ZA"/>
        </w:rPr>
        <w:t xml:space="preserve">Dr </w:t>
      </w:r>
      <w:r w:rsidR="002B70E8" w:rsidRPr="002B70E8">
        <w:rPr>
          <w:rFonts w:eastAsia="Times New Roman" w:cstheme="minorHAnsi"/>
          <w:sz w:val="24"/>
          <w:szCs w:val="24"/>
          <w:lang w:eastAsia="en-ZA"/>
        </w:rPr>
        <w:t xml:space="preserve">Elizabeth A </w:t>
      </w:r>
      <w:r w:rsidRPr="008A7C5D">
        <w:rPr>
          <w:rFonts w:eastAsia="Times New Roman" w:cstheme="minorHAnsi"/>
          <w:sz w:val="24"/>
          <w:szCs w:val="24"/>
          <w:lang w:eastAsia="en-ZA"/>
        </w:rPr>
        <w:t>Mackay</w:t>
      </w:r>
      <w:r w:rsidR="009962C8">
        <w:rPr>
          <w:rFonts w:eastAsia="Times New Roman" w:cstheme="minorHAnsi"/>
          <w:sz w:val="24"/>
          <w:szCs w:val="24"/>
          <w:vertAlign w:val="superscript"/>
          <w:lang w:eastAsia="en-ZA"/>
        </w:rPr>
        <w:t>2</w:t>
      </w:r>
    </w:p>
    <w:p w14:paraId="2E499883" w14:textId="36F18811" w:rsidR="008E046A" w:rsidRPr="008A7C5D" w:rsidRDefault="00A70460" w:rsidP="00454AC3">
      <w:pPr>
        <w:spacing w:before="100" w:beforeAutospacing="1" w:after="100" w:afterAutospacing="1" w:line="480" w:lineRule="auto"/>
        <w:rPr>
          <w:rFonts w:eastAsia="Times New Roman" w:cstheme="minorHAnsi"/>
          <w:sz w:val="24"/>
          <w:szCs w:val="24"/>
          <w:lang w:eastAsia="en-ZA"/>
        </w:rPr>
      </w:pPr>
      <w:r w:rsidRPr="008A7C5D">
        <w:rPr>
          <w:rFonts w:eastAsia="Times New Roman" w:cstheme="minorHAnsi"/>
          <w:sz w:val="24"/>
          <w:szCs w:val="24"/>
          <w:lang w:eastAsia="en-ZA"/>
        </w:rPr>
        <w:t>Dr Laura J Bonnett</w:t>
      </w:r>
      <w:r w:rsidR="002B70E8">
        <w:rPr>
          <w:rFonts w:eastAsia="Times New Roman" w:cstheme="minorHAnsi"/>
          <w:sz w:val="24"/>
          <w:szCs w:val="24"/>
          <w:vertAlign w:val="superscript"/>
          <w:lang w:eastAsia="en-ZA"/>
        </w:rPr>
        <w:t>5</w:t>
      </w:r>
    </w:p>
    <w:p w14:paraId="4376E252" w14:textId="5BBB30AE" w:rsidR="00382576" w:rsidRPr="002D06CD" w:rsidRDefault="00382576" w:rsidP="00454AC3">
      <w:pPr>
        <w:spacing w:before="100" w:beforeAutospacing="1" w:after="100" w:afterAutospacing="1" w:line="480" w:lineRule="auto"/>
        <w:rPr>
          <w:rFonts w:eastAsia="Times New Roman" w:cstheme="minorHAnsi"/>
          <w:sz w:val="24"/>
          <w:szCs w:val="24"/>
          <w:vertAlign w:val="superscript"/>
          <w:lang w:eastAsia="en-ZA"/>
        </w:rPr>
      </w:pPr>
      <w:r w:rsidRPr="008A7C5D">
        <w:rPr>
          <w:rFonts w:eastAsia="Times New Roman" w:cstheme="minorHAnsi"/>
          <w:sz w:val="24"/>
          <w:szCs w:val="24"/>
          <w:lang w:eastAsia="en-ZA"/>
        </w:rPr>
        <w:t xml:space="preserve">Professor Geraint </w:t>
      </w:r>
      <w:r w:rsidR="00571147" w:rsidRPr="008A7C5D">
        <w:rPr>
          <w:rFonts w:eastAsia="Times New Roman" w:cstheme="minorHAnsi"/>
          <w:sz w:val="24"/>
          <w:szCs w:val="24"/>
          <w:lang w:eastAsia="en-ZA"/>
        </w:rPr>
        <w:t>R Davies</w:t>
      </w:r>
      <w:r w:rsidR="002D06CD">
        <w:rPr>
          <w:rFonts w:eastAsia="Times New Roman" w:cstheme="minorHAnsi"/>
          <w:sz w:val="24"/>
          <w:szCs w:val="24"/>
          <w:vertAlign w:val="superscript"/>
          <w:lang w:eastAsia="en-ZA"/>
        </w:rPr>
        <w:t>2</w:t>
      </w:r>
    </w:p>
    <w:p w14:paraId="7B0E3F9A" w14:textId="7BE56A5B" w:rsidR="00FD1632" w:rsidRPr="002D06CD" w:rsidRDefault="008A7C5D" w:rsidP="00454AC3">
      <w:pPr>
        <w:autoSpaceDE w:val="0"/>
        <w:autoSpaceDN w:val="0"/>
        <w:adjustRightInd w:val="0"/>
        <w:spacing w:line="480" w:lineRule="auto"/>
        <w:rPr>
          <w:rFonts w:cstheme="minorHAnsi"/>
          <w:sz w:val="24"/>
          <w:szCs w:val="24"/>
        </w:rPr>
      </w:pPr>
      <w:r w:rsidRPr="002D06CD">
        <w:rPr>
          <w:rFonts w:cstheme="minorHAnsi"/>
          <w:sz w:val="24"/>
          <w:szCs w:val="24"/>
          <w:vertAlign w:val="superscript"/>
        </w:rPr>
        <w:t>1</w:t>
      </w:r>
      <w:r w:rsidR="00FD1632" w:rsidRPr="002D06CD">
        <w:rPr>
          <w:rFonts w:cstheme="minorHAnsi"/>
          <w:sz w:val="24"/>
          <w:szCs w:val="24"/>
          <w:vertAlign w:val="superscript"/>
        </w:rPr>
        <w:t xml:space="preserve"> </w:t>
      </w:r>
      <w:r w:rsidRPr="002D06CD">
        <w:rPr>
          <w:rFonts w:cstheme="minorHAnsi"/>
          <w:sz w:val="24"/>
          <w:szCs w:val="24"/>
        </w:rPr>
        <w:t>Wellcome Trust Liverpool Glasgow Centre for Global Health Research, Liverpool, UK</w:t>
      </w:r>
    </w:p>
    <w:p w14:paraId="67894134" w14:textId="77777777" w:rsidR="00FD1632" w:rsidRPr="002D06CD" w:rsidRDefault="00FD1632" w:rsidP="00454AC3">
      <w:pPr>
        <w:autoSpaceDE w:val="0"/>
        <w:autoSpaceDN w:val="0"/>
        <w:adjustRightInd w:val="0"/>
        <w:spacing w:line="480" w:lineRule="auto"/>
        <w:rPr>
          <w:rFonts w:cstheme="minorHAnsi"/>
          <w:sz w:val="24"/>
          <w:szCs w:val="24"/>
        </w:rPr>
      </w:pPr>
      <w:r w:rsidRPr="002D06CD">
        <w:rPr>
          <w:rFonts w:cstheme="minorHAnsi"/>
          <w:sz w:val="24"/>
          <w:szCs w:val="24"/>
          <w:vertAlign w:val="superscript"/>
        </w:rPr>
        <w:t xml:space="preserve">2 </w:t>
      </w:r>
      <w:r w:rsidR="008A7C5D" w:rsidRPr="002D06CD">
        <w:rPr>
          <w:rFonts w:cstheme="minorHAnsi"/>
          <w:sz w:val="24"/>
          <w:szCs w:val="24"/>
        </w:rPr>
        <w:t>Institute of Infection and Global Health,</w:t>
      </w:r>
      <w:r w:rsidRPr="002D06CD">
        <w:rPr>
          <w:rFonts w:cstheme="minorHAnsi"/>
          <w:sz w:val="24"/>
          <w:szCs w:val="24"/>
        </w:rPr>
        <w:t xml:space="preserve"> </w:t>
      </w:r>
      <w:r w:rsidR="008A7C5D" w:rsidRPr="002D06CD">
        <w:rPr>
          <w:rFonts w:cstheme="minorHAnsi"/>
          <w:sz w:val="24"/>
          <w:szCs w:val="24"/>
        </w:rPr>
        <w:t>University of Liverpool, Liverpool, UK</w:t>
      </w:r>
    </w:p>
    <w:p w14:paraId="1467C02B" w14:textId="73BC05E8" w:rsidR="0049588D" w:rsidRDefault="008A7C5D" w:rsidP="00454AC3">
      <w:pPr>
        <w:autoSpaceDE w:val="0"/>
        <w:autoSpaceDN w:val="0"/>
        <w:adjustRightInd w:val="0"/>
        <w:spacing w:line="480" w:lineRule="auto"/>
        <w:rPr>
          <w:rFonts w:cstheme="minorHAnsi"/>
          <w:sz w:val="24"/>
          <w:szCs w:val="24"/>
        </w:rPr>
      </w:pPr>
      <w:r w:rsidRPr="002D06CD">
        <w:rPr>
          <w:rFonts w:cstheme="minorHAnsi"/>
          <w:sz w:val="24"/>
          <w:szCs w:val="24"/>
          <w:vertAlign w:val="superscript"/>
        </w:rPr>
        <w:t>3</w:t>
      </w:r>
      <w:r w:rsidR="002D06CD">
        <w:rPr>
          <w:rFonts w:cstheme="minorHAnsi"/>
          <w:sz w:val="24"/>
          <w:szCs w:val="24"/>
          <w:vertAlign w:val="superscript"/>
        </w:rPr>
        <w:t xml:space="preserve"> </w:t>
      </w:r>
      <w:r w:rsidRPr="002D06CD">
        <w:rPr>
          <w:rFonts w:cstheme="minorHAnsi"/>
          <w:sz w:val="24"/>
          <w:szCs w:val="24"/>
        </w:rPr>
        <w:t>Africa Health Research Institute, Durban, South Africa</w:t>
      </w:r>
    </w:p>
    <w:p w14:paraId="0F3B98B5" w14:textId="2C4CB4CF" w:rsidR="002B70E8" w:rsidRPr="002B70E8" w:rsidRDefault="002B70E8" w:rsidP="00454AC3">
      <w:pPr>
        <w:autoSpaceDE w:val="0"/>
        <w:autoSpaceDN w:val="0"/>
        <w:adjustRightInd w:val="0"/>
        <w:spacing w:line="480" w:lineRule="auto"/>
        <w:rPr>
          <w:rFonts w:cstheme="minorHAnsi"/>
          <w:sz w:val="24"/>
          <w:szCs w:val="24"/>
        </w:rPr>
      </w:pPr>
      <w:r>
        <w:rPr>
          <w:rFonts w:cstheme="minorHAnsi"/>
          <w:sz w:val="24"/>
          <w:szCs w:val="24"/>
          <w:vertAlign w:val="superscript"/>
        </w:rPr>
        <w:t>4</w:t>
      </w:r>
      <w:r>
        <w:rPr>
          <w:rFonts w:cstheme="minorHAnsi"/>
          <w:sz w:val="24"/>
          <w:szCs w:val="24"/>
        </w:rPr>
        <w:t xml:space="preserve"> School of Medicine, University of Liverpool, UK</w:t>
      </w:r>
    </w:p>
    <w:p w14:paraId="2BE315FB" w14:textId="2DA0DD12" w:rsidR="00A15250" w:rsidRDefault="002B70E8" w:rsidP="00454AC3">
      <w:pPr>
        <w:autoSpaceDE w:val="0"/>
        <w:autoSpaceDN w:val="0"/>
        <w:adjustRightInd w:val="0"/>
        <w:spacing w:line="480" w:lineRule="auto"/>
        <w:rPr>
          <w:rFonts w:cstheme="minorHAnsi"/>
          <w:sz w:val="24"/>
          <w:szCs w:val="24"/>
        </w:rPr>
      </w:pPr>
      <w:r>
        <w:rPr>
          <w:rFonts w:cstheme="minorHAnsi"/>
          <w:sz w:val="24"/>
          <w:szCs w:val="24"/>
          <w:vertAlign w:val="superscript"/>
        </w:rPr>
        <w:t>5</w:t>
      </w:r>
      <w:r w:rsidR="002D06CD" w:rsidRPr="002D06CD">
        <w:rPr>
          <w:sz w:val="24"/>
          <w:szCs w:val="24"/>
        </w:rPr>
        <w:t xml:space="preserve"> </w:t>
      </w:r>
      <w:r w:rsidR="002D06CD" w:rsidRPr="002D06CD">
        <w:rPr>
          <w:rFonts w:cstheme="minorHAnsi"/>
          <w:sz w:val="24"/>
          <w:szCs w:val="24"/>
        </w:rPr>
        <w:t>Department of Biostatistics, University of Liverpool, Liverpool, UK</w:t>
      </w:r>
    </w:p>
    <w:p w14:paraId="62BA7154" w14:textId="23C41241" w:rsidR="008C0154" w:rsidRDefault="00A15250" w:rsidP="00D704D4">
      <w:pPr>
        <w:autoSpaceDE w:val="0"/>
        <w:autoSpaceDN w:val="0"/>
        <w:adjustRightInd w:val="0"/>
        <w:spacing w:line="480" w:lineRule="auto"/>
        <w:rPr>
          <w:rFonts w:cstheme="minorHAnsi"/>
          <w:sz w:val="24"/>
          <w:szCs w:val="24"/>
        </w:rPr>
      </w:pPr>
      <w:r w:rsidRPr="008C0154">
        <w:rPr>
          <w:rFonts w:cstheme="minorHAnsi"/>
          <w:sz w:val="24"/>
          <w:szCs w:val="24"/>
        </w:rPr>
        <w:t>*</w:t>
      </w:r>
      <w:r>
        <w:rPr>
          <w:rFonts w:cstheme="minorHAnsi"/>
          <w:sz w:val="24"/>
          <w:szCs w:val="24"/>
        </w:rPr>
        <w:t xml:space="preserve"> Corresponding author</w:t>
      </w:r>
      <w:r w:rsidR="00851140">
        <w:rPr>
          <w:rFonts w:cstheme="minorHAnsi"/>
          <w:sz w:val="24"/>
          <w:szCs w:val="24"/>
        </w:rPr>
        <w:t xml:space="preserve"> (</w:t>
      </w:r>
      <w:r w:rsidR="00D704D4" w:rsidRPr="00D704D4">
        <w:rPr>
          <w:rFonts w:cstheme="minorHAnsi"/>
          <w:sz w:val="24"/>
          <w:szCs w:val="24"/>
        </w:rPr>
        <w:t>Wellcome Trust Liverpool Glasgow Centre for Global Health</w:t>
      </w:r>
      <w:r w:rsidR="00D704D4">
        <w:rPr>
          <w:rFonts w:cstheme="minorHAnsi"/>
          <w:sz w:val="24"/>
          <w:szCs w:val="24"/>
        </w:rPr>
        <w:t xml:space="preserve"> </w:t>
      </w:r>
      <w:r w:rsidR="00D704D4" w:rsidRPr="00D704D4">
        <w:rPr>
          <w:rFonts w:cstheme="minorHAnsi"/>
          <w:sz w:val="24"/>
          <w:szCs w:val="24"/>
        </w:rPr>
        <w:t>Research</w:t>
      </w:r>
      <w:r w:rsidR="00D704D4">
        <w:rPr>
          <w:rFonts w:cstheme="minorHAnsi"/>
          <w:sz w:val="24"/>
          <w:szCs w:val="24"/>
        </w:rPr>
        <w:t xml:space="preserve">, </w:t>
      </w:r>
      <w:r w:rsidR="00D704D4" w:rsidRPr="00D704D4">
        <w:rPr>
          <w:rFonts w:cstheme="minorHAnsi"/>
          <w:sz w:val="24"/>
          <w:szCs w:val="24"/>
        </w:rPr>
        <w:t>Block E Royal Infirmary Complex</w:t>
      </w:r>
      <w:r w:rsidR="00D704D4">
        <w:rPr>
          <w:rFonts w:cstheme="minorHAnsi"/>
          <w:sz w:val="24"/>
          <w:szCs w:val="24"/>
        </w:rPr>
        <w:t xml:space="preserve">, </w:t>
      </w:r>
      <w:r w:rsidR="00D704D4" w:rsidRPr="00D704D4">
        <w:rPr>
          <w:rFonts w:cstheme="minorHAnsi"/>
          <w:sz w:val="24"/>
          <w:szCs w:val="24"/>
        </w:rPr>
        <w:t>70 Pembroke Place</w:t>
      </w:r>
      <w:r w:rsidR="00D704D4">
        <w:rPr>
          <w:rFonts w:cstheme="minorHAnsi"/>
          <w:sz w:val="24"/>
          <w:szCs w:val="24"/>
        </w:rPr>
        <w:t xml:space="preserve">, </w:t>
      </w:r>
      <w:r w:rsidR="00D704D4" w:rsidRPr="00D704D4">
        <w:rPr>
          <w:rFonts w:cstheme="minorHAnsi"/>
          <w:sz w:val="24"/>
          <w:szCs w:val="24"/>
        </w:rPr>
        <w:t>Liverpool</w:t>
      </w:r>
      <w:r w:rsidR="00D704D4">
        <w:rPr>
          <w:rFonts w:cstheme="minorHAnsi"/>
          <w:sz w:val="24"/>
          <w:szCs w:val="24"/>
        </w:rPr>
        <w:t xml:space="preserve">, </w:t>
      </w:r>
      <w:r w:rsidR="00D704D4" w:rsidRPr="00D704D4">
        <w:rPr>
          <w:rFonts w:cstheme="minorHAnsi"/>
          <w:sz w:val="24"/>
          <w:szCs w:val="24"/>
        </w:rPr>
        <w:t>L69 3GF</w:t>
      </w:r>
      <w:r w:rsidR="00D704D4">
        <w:rPr>
          <w:rFonts w:cstheme="minorHAnsi"/>
          <w:sz w:val="24"/>
          <w:szCs w:val="24"/>
        </w:rPr>
        <w:t>)</w:t>
      </w:r>
    </w:p>
    <w:p w14:paraId="640CEEC6" w14:textId="3565F7B8" w:rsidR="00DF76FA" w:rsidRDefault="004919E9" w:rsidP="00454AC3">
      <w:pPr>
        <w:autoSpaceDE w:val="0"/>
        <w:autoSpaceDN w:val="0"/>
        <w:adjustRightInd w:val="0"/>
        <w:spacing w:line="480" w:lineRule="auto"/>
        <w:rPr>
          <w:rFonts w:cstheme="minorHAnsi"/>
          <w:sz w:val="24"/>
          <w:szCs w:val="24"/>
        </w:rPr>
      </w:pPr>
      <w:hyperlink r:id="rId10" w:history="1">
        <w:r w:rsidR="00233574" w:rsidRPr="00DD4528">
          <w:rPr>
            <w:rStyle w:val="Hyperlink"/>
            <w:rFonts w:cstheme="minorHAnsi"/>
            <w:sz w:val="24"/>
            <w:szCs w:val="24"/>
          </w:rPr>
          <w:t>james.millard@liverpool.ac.uk</w:t>
        </w:r>
      </w:hyperlink>
      <w:r w:rsidR="00DF76FA">
        <w:rPr>
          <w:rFonts w:cstheme="minorHAnsi"/>
          <w:sz w:val="24"/>
          <w:szCs w:val="24"/>
        </w:rPr>
        <w:t xml:space="preserve"> (JM) </w:t>
      </w:r>
    </w:p>
    <w:p w14:paraId="1F070E32" w14:textId="581BD78D" w:rsidR="00DF76FA" w:rsidRDefault="004919E9" w:rsidP="00454AC3">
      <w:pPr>
        <w:autoSpaceDE w:val="0"/>
        <w:autoSpaceDN w:val="0"/>
        <w:adjustRightInd w:val="0"/>
        <w:spacing w:line="480" w:lineRule="auto"/>
        <w:rPr>
          <w:rFonts w:cstheme="minorHAnsi"/>
          <w:sz w:val="24"/>
          <w:szCs w:val="24"/>
        </w:rPr>
      </w:pPr>
      <w:hyperlink r:id="rId11" w:history="1">
        <w:r w:rsidR="00983B31" w:rsidRPr="008B2752">
          <w:rPr>
            <w:rStyle w:val="Hyperlink"/>
            <w:rFonts w:cstheme="minorHAnsi"/>
            <w:sz w:val="24"/>
            <w:szCs w:val="24"/>
          </w:rPr>
          <w:t>eamackay@doctors.org.uk</w:t>
        </w:r>
      </w:hyperlink>
      <w:r w:rsidR="00983B31">
        <w:rPr>
          <w:rFonts w:cstheme="minorHAnsi"/>
          <w:sz w:val="24"/>
          <w:szCs w:val="24"/>
        </w:rPr>
        <w:t xml:space="preserve"> (AM)</w:t>
      </w:r>
    </w:p>
    <w:p w14:paraId="5980663D" w14:textId="754A755A" w:rsidR="000F4947" w:rsidRDefault="00B401FB" w:rsidP="00454AC3">
      <w:pPr>
        <w:autoSpaceDE w:val="0"/>
        <w:autoSpaceDN w:val="0"/>
        <w:adjustRightInd w:val="0"/>
        <w:spacing w:line="480" w:lineRule="auto"/>
        <w:rPr>
          <w:rFonts w:cstheme="minorHAnsi"/>
          <w:sz w:val="24"/>
          <w:szCs w:val="24"/>
        </w:rPr>
      </w:pPr>
      <w:r w:rsidRPr="00B401FB">
        <w:rPr>
          <w:rStyle w:val="Hyperlink"/>
          <w:rFonts w:cstheme="minorHAnsi"/>
          <w:sz w:val="24"/>
          <w:szCs w:val="24"/>
        </w:rPr>
        <w:t>L.J.Bonnett@liverpool.ac.uk</w:t>
      </w:r>
      <w:r>
        <w:rPr>
          <w:rStyle w:val="Hyperlink"/>
          <w:rFonts w:cstheme="minorHAnsi"/>
          <w:sz w:val="24"/>
          <w:szCs w:val="24"/>
        </w:rPr>
        <w:t xml:space="preserve"> </w:t>
      </w:r>
      <w:r w:rsidR="000F4947">
        <w:rPr>
          <w:rFonts w:cstheme="minorHAnsi"/>
          <w:sz w:val="24"/>
          <w:szCs w:val="24"/>
        </w:rPr>
        <w:t>(LB)</w:t>
      </w:r>
    </w:p>
    <w:p w14:paraId="6C6D2778" w14:textId="7728CBCE" w:rsidR="007037B3" w:rsidRDefault="004919E9" w:rsidP="00454AC3">
      <w:pPr>
        <w:autoSpaceDE w:val="0"/>
        <w:autoSpaceDN w:val="0"/>
        <w:adjustRightInd w:val="0"/>
        <w:spacing w:line="480" w:lineRule="auto"/>
        <w:rPr>
          <w:rFonts w:cstheme="minorHAnsi"/>
          <w:sz w:val="24"/>
          <w:szCs w:val="24"/>
        </w:rPr>
      </w:pPr>
      <w:hyperlink r:id="rId12" w:history="1">
        <w:r w:rsidR="00A15250" w:rsidRPr="008B2752">
          <w:rPr>
            <w:rStyle w:val="Hyperlink"/>
            <w:rFonts w:cstheme="minorHAnsi"/>
            <w:sz w:val="24"/>
            <w:szCs w:val="24"/>
          </w:rPr>
          <w:t>gerrydavies@doctors.org.uk</w:t>
        </w:r>
      </w:hyperlink>
      <w:r w:rsidR="00A15250">
        <w:rPr>
          <w:rFonts w:cstheme="minorHAnsi"/>
          <w:sz w:val="24"/>
          <w:szCs w:val="24"/>
        </w:rPr>
        <w:t xml:space="preserve"> (GD)</w:t>
      </w:r>
    </w:p>
    <w:p w14:paraId="573C0E75" w14:textId="70E3799B" w:rsidR="00B44624" w:rsidRDefault="00624E84" w:rsidP="00454AC3">
      <w:pPr>
        <w:spacing w:after="0" w:line="480" w:lineRule="auto"/>
        <w:outlineLvl w:val="1"/>
        <w:rPr>
          <w:rFonts w:eastAsia="Times New Roman" w:cstheme="minorHAnsi"/>
          <w:sz w:val="24"/>
          <w:szCs w:val="24"/>
          <w:lang w:eastAsia="en-ZA"/>
        </w:rPr>
      </w:pPr>
      <w:r w:rsidRPr="00624E84">
        <w:rPr>
          <w:rFonts w:eastAsia="Times New Roman" w:cstheme="minorHAnsi"/>
          <w:b/>
          <w:bCs/>
          <w:sz w:val="28"/>
          <w:szCs w:val="28"/>
          <w:lang w:eastAsia="en-ZA"/>
        </w:rPr>
        <w:lastRenderedPageBreak/>
        <w:t>Abstract</w:t>
      </w:r>
    </w:p>
    <w:p w14:paraId="524A7C29" w14:textId="76D18BC2" w:rsidR="00A83256" w:rsidRDefault="00624E84" w:rsidP="00454AC3">
      <w:pPr>
        <w:spacing w:line="480" w:lineRule="auto"/>
        <w:jc w:val="both"/>
        <w:outlineLvl w:val="1"/>
        <w:rPr>
          <w:rFonts w:eastAsia="Times New Roman" w:cstheme="minorHAnsi"/>
          <w:sz w:val="24"/>
          <w:szCs w:val="24"/>
          <w:lang w:eastAsia="en-ZA"/>
        </w:rPr>
      </w:pPr>
      <w:r w:rsidRPr="00624E84">
        <w:rPr>
          <w:rFonts w:eastAsia="Times New Roman" w:cstheme="minorHAnsi"/>
          <w:b/>
          <w:bCs/>
          <w:sz w:val="24"/>
          <w:szCs w:val="24"/>
          <w:lang w:eastAsia="en-ZA"/>
        </w:rPr>
        <w:t>Background:</w:t>
      </w:r>
      <w:r w:rsidRPr="00624E84">
        <w:rPr>
          <w:rFonts w:eastAsia="Times New Roman" w:cstheme="minorHAnsi"/>
          <w:sz w:val="24"/>
          <w:szCs w:val="24"/>
          <w:lang w:eastAsia="en-ZA"/>
        </w:rPr>
        <w:t xml:space="preserve"> </w:t>
      </w:r>
      <w:r w:rsidR="003E0B5A">
        <w:rPr>
          <w:rFonts w:eastAsia="Times New Roman" w:cstheme="minorHAnsi"/>
          <w:sz w:val="24"/>
          <w:szCs w:val="24"/>
          <w:lang w:eastAsia="en-ZA"/>
        </w:rPr>
        <w:t>Pyrazinamide</w:t>
      </w:r>
      <w:r w:rsidR="007037B3">
        <w:rPr>
          <w:rFonts w:eastAsia="Times New Roman" w:cstheme="minorHAnsi"/>
          <w:sz w:val="24"/>
          <w:szCs w:val="24"/>
          <w:lang w:eastAsia="en-ZA"/>
        </w:rPr>
        <w:t xml:space="preserve"> (PZA) is a key component of current and future regimens for tuberculosis (TB). </w:t>
      </w:r>
      <w:r w:rsidR="00C73662">
        <w:rPr>
          <w:rFonts w:eastAsia="Times New Roman" w:cstheme="minorHAnsi"/>
          <w:sz w:val="24"/>
          <w:szCs w:val="24"/>
          <w:lang w:eastAsia="en-ZA"/>
        </w:rPr>
        <w:t xml:space="preserve">Inclusion of PZA at higher doses and for longer durations may improve </w:t>
      </w:r>
      <w:r w:rsidR="00566D3C">
        <w:rPr>
          <w:rFonts w:eastAsia="Times New Roman" w:cstheme="minorHAnsi"/>
          <w:sz w:val="24"/>
          <w:szCs w:val="24"/>
          <w:lang w:eastAsia="en-ZA"/>
        </w:rPr>
        <w:t xml:space="preserve">efficacy </w:t>
      </w:r>
      <w:r w:rsidR="00A83256">
        <w:rPr>
          <w:rFonts w:eastAsia="Times New Roman" w:cstheme="minorHAnsi"/>
          <w:sz w:val="24"/>
          <w:szCs w:val="24"/>
          <w:lang w:eastAsia="en-ZA"/>
        </w:rPr>
        <w:t>outcomes but</w:t>
      </w:r>
      <w:r w:rsidR="000D4249">
        <w:rPr>
          <w:rFonts w:eastAsia="Times New Roman" w:cstheme="minorHAnsi"/>
          <w:sz w:val="24"/>
          <w:szCs w:val="24"/>
          <w:lang w:eastAsia="en-ZA"/>
        </w:rPr>
        <w:t xml:space="preserve"> </w:t>
      </w:r>
      <w:r w:rsidR="00A83256">
        <w:rPr>
          <w:rFonts w:eastAsia="Times New Roman" w:cstheme="minorHAnsi"/>
          <w:sz w:val="24"/>
          <w:szCs w:val="24"/>
          <w:lang w:eastAsia="en-ZA"/>
        </w:rPr>
        <w:t xml:space="preserve">must be balanced against the potential for worse safety outcomes. </w:t>
      </w:r>
    </w:p>
    <w:p w14:paraId="75E31386" w14:textId="2D7C1850" w:rsidR="00297FBE" w:rsidRPr="00582942" w:rsidRDefault="00624E84" w:rsidP="00454AC3">
      <w:pPr>
        <w:spacing w:line="480" w:lineRule="auto"/>
        <w:jc w:val="both"/>
        <w:outlineLvl w:val="1"/>
        <w:rPr>
          <w:rFonts w:ascii="Calibri" w:eastAsia="Calibri" w:hAnsi="Calibri" w:cs="Calibri"/>
          <w:sz w:val="24"/>
          <w:szCs w:val="24"/>
          <w:lang w:val="en-GB"/>
        </w:rPr>
      </w:pPr>
      <w:r w:rsidRPr="00624E84">
        <w:rPr>
          <w:rFonts w:eastAsia="Times New Roman" w:cstheme="minorHAnsi"/>
          <w:b/>
          <w:bCs/>
          <w:sz w:val="24"/>
          <w:szCs w:val="24"/>
          <w:lang w:eastAsia="en-ZA"/>
        </w:rPr>
        <w:t xml:space="preserve">Methods: </w:t>
      </w:r>
      <w:r w:rsidR="00721E31">
        <w:rPr>
          <w:rFonts w:eastAsia="Times New Roman" w:cstheme="minorHAnsi"/>
          <w:sz w:val="24"/>
          <w:szCs w:val="24"/>
          <w:lang w:eastAsia="en-ZA"/>
        </w:rPr>
        <w:t xml:space="preserve">We will search for randomised and </w:t>
      </w:r>
      <w:r w:rsidR="00854AF4">
        <w:rPr>
          <w:rFonts w:eastAsia="Times New Roman" w:cstheme="minorHAnsi"/>
          <w:sz w:val="24"/>
          <w:szCs w:val="24"/>
          <w:lang w:eastAsia="en-ZA"/>
        </w:rPr>
        <w:t>quasi-randomised clinical trials</w:t>
      </w:r>
      <w:r w:rsidR="004F30F4">
        <w:rPr>
          <w:rFonts w:eastAsia="Times New Roman" w:cstheme="minorHAnsi"/>
          <w:sz w:val="24"/>
          <w:szCs w:val="24"/>
          <w:lang w:eastAsia="en-ZA"/>
        </w:rPr>
        <w:t xml:space="preserve"> in adult participants</w:t>
      </w:r>
      <w:r w:rsidR="00854AF4">
        <w:rPr>
          <w:rFonts w:eastAsia="Times New Roman" w:cstheme="minorHAnsi"/>
          <w:sz w:val="24"/>
          <w:szCs w:val="24"/>
          <w:lang w:eastAsia="en-ZA"/>
        </w:rPr>
        <w:t xml:space="preserve"> with and without the inclusion of PZA in</w:t>
      </w:r>
      <w:r w:rsidR="004C7AE2">
        <w:rPr>
          <w:rFonts w:eastAsia="Times New Roman" w:cstheme="minorHAnsi"/>
          <w:sz w:val="24"/>
          <w:szCs w:val="24"/>
          <w:lang w:eastAsia="en-ZA"/>
        </w:rPr>
        <w:t xml:space="preserve"> TB treatment regimens in</w:t>
      </w:r>
      <w:r w:rsidR="00530E4A">
        <w:rPr>
          <w:rFonts w:eastAsia="Times New Roman" w:cstheme="minorHAnsi"/>
          <w:sz w:val="24"/>
          <w:szCs w:val="24"/>
          <w:lang w:eastAsia="en-ZA"/>
        </w:rPr>
        <w:t xml:space="preserve"> the</w:t>
      </w:r>
      <w:r w:rsidR="00833C82">
        <w:rPr>
          <w:rFonts w:eastAsia="Times New Roman" w:cstheme="minorHAnsi"/>
          <w:sz w:val="24"/>
          <w:szCs w:val="24"/>
          <w:lang w:eastAsia="en-ZA"/>
        </w:rPr>
        <w:t xml:space="preserve"> </w:t>
      </w:r>
      <w:r w:rsidR="00833C82" w:rsidRPr="008B7FEB">
        <w:rPr>
          <w:rFonts w:ascii="Calibri" w:eastAsia="Calibri" w:hAnsi="Calibri" w:cs="Calibri"/>
          <w:sz w:val="24"/>
          <w:szCs w:val="24"/>
          <w:lang w:val="en-GB"/>
        </w:rPr>
        <w:t xml:space="preserve">Cochrane </w:t>
      </w:r>
      <w:r w:rsidR="00833C82" w:rsidRPr="00245A88">
        <w:rPr>
          <w:rFonts w:ascii="Calibri" w:eastAsia="Calibri" w:hAnsi="Calibri" w:cs="Calibri"/>
          <w:sz w:val="24"/>
          <w:szCs w:val="24"/>
          <w:lang w:val="en-GB"/>
        </w:rPr>
        <w:t>i</w:t>
      </w:r>
      <w:r w:rsidR="00833C82" w:rsidRPr="008B7FEB">
        <w:rPr>
          <w:rFonts w:ascii="Calibri" w:eastAsia="Calibri" w:hAnsi="Calibri" w:cs="Calibri"/>
          <w:sz w:val="24"/>
          <w:szCs w:val="24"/>
          <w:lang w:val="en-GB"/>
        </w:rPr>
        <w:t xml:space="preserve">nfectious </w:t>
      </w:r>
      <w:r w:rsidR="00833C82" w:rsidRPr="00245A88">
        <w:rPr>
          <w:rFonts w:ascii="Calibri" w:eastAsia="Calibri" w:hAnsi="Calibri" w:cs="Calibri"/>
          <w:sz w:val="24"/>
          <w:szCs w:val="24"/>
          <w:lang w:val="en-GB"/>
        </w:rPr>
        <w:t>d</w:t>
      </w:r>
      <w:r w:rsidR="00833C82" w:rsidRPr="008B7FEB">
        <w:rPr>
          <w:rFonts w:ascii="Calibri" w:eastAsia="Calibri" w:hAnsi="Calibri" w:cs="Calibri"/>
          <w:sz w:val="24"/>
          <w:szCs w:val="24"/>
          <w:lang w:val="en-GB"/>
        </w:rPr>
        <w:t xml:space="preserve">iseases </w:t>
      </w:r>
      <w:r w:rsidR="00833C82" w:rsidRPr="00245A88">
        <w:rPr>
          <w:rFonts w:ascii="Calibri" w:eastAsia="Calibri" w:hAnsi="Calibri" w:cs="Calibri"/>
          <w:sz w:val="24"/>
          <w:szCs w:val="24"/>
          <w:lang w:val="en-GB"/>
        </w:rPr>
        <w:t>g</w:t>
      </w:r>
      <w:r w:rsidR="00833C82" w:rsidRPr="008B7FEB">
        <w:rPr>
          <w:rFonts w:ascii="Calibri" w:eastAsia="Calibri" w:hAnsi="Calibri" w:cs="Calibri"/>
          <w:sz w:val="24"/>
          <w:szCs w:val="24"/>
          <w:lang w:val="en-GB"/>
        </w:rPr>
        <w:t>roup’s trials register</w:t>
      </w:r>
      <w:r w:rsidR="00833C82" w:rsidRPr="00245A88">
        <w:rPr>
          <w:rFonts w:ascii="Calibri" w:eastAsia="Calibri" w:hAnsi="Calibri" w:cs="Calibri"/>
          <w:sz w:val="24"/>
          <w:szCs w:val="24"/>
          <w:lang w:val="en-GB"/>
        </w:rPr>
        <w:t xml:space="preserve">, </w:t>
      </w:r>
      <w:r w:rsidR="00833C82" w:rsidRPr="008B7FEB">
        <w:rPr>
          <w:rFonts w:ascii="Calibri" w:eastAsia="Calibri" w:hAnsi="Calibri" w:cs="Calibri"/>
          <w:sz w:val="24"/>
          <w:szCs w:val="24"/>
          <w:lang w:val="en-GB"/>
        </w:rPr>
        <w:t xml:space="preserve">Cochrane </w:t>
      </w:r>
      <w:r w:rsidR="00833C82" w:rsidRPr="00245A88">
        <w:rPr>
          <w:rFonts w:ascii="Calibri" w:eastAsia="Calibri" w:hAnsi="Calibri" w:cs="Calibri"/>
          <w:sz w:val="24"/>
          <w:szCs w:val="24"/>
          <w:lang w:val="en-GB"/>
        </w:rPr>
        <w:t>c</w:t>
      </w:r>
      <w:r w:rsidR="00833C82" w:rsidRPr="008B7FEB">
        <w:rPr>
          <w:rFonts w:ascii="Calibri" w:eastAsia="Calibri" w:hAnsi="Calibri" w:cs="Calibri"/>
          <w:sz w:val="24"/>
          <w:szCs w:val="24"/>
          <w:lang w:val="en-GB"/>
        </w:rPr>
        <w:t xml:space="preserve">entral </w:t>
      </w:r>
      <w:r w:rsidR="00833C82" w:rsidRPr="00245A88">
        <w:rPr>
          <w:rFonts w:ascii="Calibri" w:eastAsia="Calibri" w:hAnsi="Calibri" w:cs="Calibri"/>
          <w:sz w:val="24"/>
          <w:szCs w:val="24"/>
          <w:lang w:val="en-GB"/>
        </w:rPr>
        <w:t>r</w:t>
      </w:r>
      <w:r w:rsidR="00833C82" w:rsidRPr="008B7FEB">
        <w:rPr>
          <w:rFonts w:ascii="Calibri" w:eastAsia="Calibri" w:hAnsi="Calibri" w:cs="Calibri"/>
          <w:sz w:val="24"/>
          <w:szCs w:val="24"/>
          <w:lang w:val="en-GB"/>
        </w:rPr>
        <w:t xml:space="preserve">egister of </w:t>
      </w:r>
      <w:r w:rsidR="00833C82" w:rsidRPr="00245A88">
        <w:rPr>
          <w:rFonts w:ascii="Calibri" w:eastAsia="Calibri" w:hAnsi="Calibri" w:cs="Calibri"/>
          <w:sz w:val="24"/>
          <w:szCs w:val="24"/>
          <w:lang w:val="en-GB"/>
        </w:rPr>
        <w:t>c</w:t>
      </w:r>
      <w:r w:rsidR="00833C82" w:rsidRPr="008B7FEB">
        <w:rPr>
          <w:rFonts w:ascii="Calibri" w:eastAsia="Calibri" w:hAnsi="Calibri" w:cs="Calibri"/>
          <w:sz w:val="24"/>
          <w:szCs w:val="24"/>
          <w:lang w:val="en-GB"/>
        </w:rPr>
        <w:t xml:space="preserve">ontrolled </w:t>
      </w:r>
      <w:r w:rsidR="00833C82" w:rsidRPr="00245A88">
        <w:rPr>
          <w:rFonts w:ascii="Calibri" w:eastAsia="Calibri" w:hAnsi="Calibri" w:cs="Calibri"/>
          <w:sz w:val="24"/>
          <w:szCs w:val="24"/>
          <w:lang w:val="en-GB"/>
        </w:rPr>
        <w:t>t</w:t>
      </w:r>
      <w:r w:rsidR="00833C82" w:rsidRPr="008B7FEB">
        <w:rPr>
          <w:rFonts w:ascii="Calibri" w:eastAsia="Calibri" w:hAnsi="Calibri" w:cs="Calibri"/>
          <w:sz w:val="24"/>
          <w:szCs w:val="24"/>
          <w:lang w:val="en-GB"/>
        </w:rPr>
        <w:t>rials (C</w:t>
      </w:r>
      <w:r w:rsidR="00833C82">
        <w:rPr>
          <w:rFonts w:ascii="Calibri" w:eastAsia="Calibri" w:hAnsi="Calibri" w:cs="Calibri"/>
          <w:sz w:val="24"/>
          <w:szCs w:val="24"/>
          <w:lang w:val="en-GB"/>
        </w:rPr>
        <w:t>ENTRAL</w:t>
      </w:r>
      <w:r w:rsidR="00833C82" w:rsidRPr="00245A88">
        <w:rPr>
          <w:rFonts w:ascii="Calibri" w:eastAsia="Calibri" w:hAnsi="Calibri" w:cs="Calibri"/>
          <w:iCs/>
          <w:sz w:val="24"/>
          <w:szCs w:val="24"/>
          <w:lang w:val="en-GB"/>
        </w:rPr>
        <w:t>)</w:t>
      </w:r>
      <w:r w:rsidR="00833C82" w:rsidRPr="00245A88">
        <w:rPr>
          <w:rFonts w:ascii="Calibri" w:eastAsia="Calibri" w:hAnsi="Calibri" w:cs="Times New Roman"/>
          <w:sz w:val="24"/>
          <w:szCs w:val="24"/>
          <w:lang w:val="en-GB"/>
        </w:rPr>
        <w:t xml:space="preserve">, </w:t>
      </w:r>
      <w:r w:rsidR="00833C82" w:rsidRPr="008B7FEB">
        <w:rPr>
          <w:rFonts w:ascii="Calibri" w:eastAsia="Calibri" w:hAnsi="Calibri" w:cs="Calibri"/>
          <w:sz w:val="24"/>
          <w:szCs w:val="24"/>
          <w:lang w:val="en-GB"/>
        </w:rPr>
        <w:t>MEDLINE</w:t>
      </w:r>
      <w:r w:rsidR="00833C82" w:rsidRPr="00245A88">
        <w:rPr>
          <w:rFonts w:ascii="Calibri" w:eastAsia="Calibri" w:hAnsi="Calibri" w:cs="Calibri"/>
          <w:sz w:val="24"/>
          <w:szCs w:val="24"/>
          <w:lang w:val="en-GB"/>
        </w:rPr>
        <w:t xml:space="preserve">, </w:t>
      </w:r>
      <w:r w:rsidR="00833C82" w:rsidRPr="008B7FEB">
        <w:rPr>
          <w:rFonts w:ascii="Calibri" w:eastAsia="Calibri" w:hAnsi="Calibri" w:cs="Calibri"/>
          <w:sz w:val="24"/>
          <w:szCs w:val="24"/>
          <w:lang w:val="en-GB"/>
        </w:rPr>
        <w:t>EMBASE</w:t>
      </w:r>
      <w:r w:rsidR="00833C82" w:rsidRPr="00245A88">
        <w:rPr>
          <w:rFonts w:ascii="Calibri" w:eastAsia="Calibri" w:hAnsi="Calibri" w:cs="Calibri"/>
          <w:sz w:val="24"/>
          <w:szCs w:val="24"/>
          <w:lang w:val="en-GB"/>
        </w:rPr>
        <w:t xml:space="preserve">, </w:t>
      </w:r>
      <w:r w:rsidR="00833C82" w:rsidRPr="008B7FEB">
        <w:rPr>
          <w:rFonts w:ascii="Calibri" w:eastAsia="Calibri" w:hAnsi="Calibri" w:cs="Calibri"/>
          <w:sz w:val="24"/>
          <w:szCs w:val="24"/>
          <w:lang w:val="en-GB"/>
        </w:rPr>
        <w:t>LILACS</w:t>
      </w:r>
      <w:r w:rsidR="00110928">
        <w:rPr>
          <w:rFonts w:ascii="Calibri" w:eastAsia="Calibri" w:hAnsi="Calibri" w:cs="Calibri"/>
          <w:sz w:val="24"/>
          <w:szCs w:val="24"/>
          <w:lang w:val="en-GB"/>
        </w:rPr>
        <w:t xml:space="preserve">, </w:t>
      </w:r>
      <w:r w:rsidR="00833C82" w:rsidRPr="00245A88">
        <w:rPr>
          <w:rFonts w:ascii="Calibri" w:eastAsia="Calibri" w:hAnsi="Calibri" w:cs="Calibri"/>
          <w:sz w:val="24"/>
          <w:szCs w:val="24"/>
          <w:lang w:val="en-GB"/>
        </w:rPr>
        <w:t xml:space="preserve">the metaRegister of Controlled Trials (mRCT) and the World Health Organisation (WHO) </w:t>
      </w:r>
      <w:r w:rsidR="00530E4A">
        <w:rPr>
          <w:rFonts w:ascii="Calibri" w:eastAsia="Calibri" w:hAnsi="Calibri" w:cs="Calibri"/>
          <w:sz w:val="24"/>
          <w:szCs w:val="24"/>
          <w:lang w:val="en-GB"/>
        </w:rPr>
        <w:t>i</w:t>
      </w:r>
      <w:r w:rsidR="00833C82" w:rsidRPr="00245A88">
        <w:rPr>
          <w:rFonts w:ascii="Calibri" w:eastAsia="Calibri" w:hAnsi="Calibri" w:cs="Calibri"/>
          <w:sz w:val="24"/>
          <w:szCs w:val="24"/>
          <w:lang w:val="en-GB"/>
        </w:rPr>
        <w:t xml:space="preserve">nternational </w:t>
      </w:r>
      <w:r w:rsidR="00530E4A">
        <w:rPr>
          <w:rFonts w:ascii="Calibri" w:eastAsia="Calibri" w:hAnsi="Calibri" w:cs="Calibri"/>
          <w:sz w:val="24"/>
          <w:szCs w:val="24"/>
          <w:lang w:val="en-GB"/>
        </w:rPr>
        <w:t>c</w:t>
      </w:r>
      <w:r w:rsidR="00833C82" w:rsidRPr="00245A88">
        <w:rPr>
          <w:rFonts w:ascii="Calibri" w:eastAsia="Calibri" w:hAnsi="Calibri" w:cs="Calibri"/>
          <w:sz w:val="24"/>
          <w:szCs w:val="24"/>
          <w:lang w:val="en-GB"/>
        </w:rPr>
        <w:t xml:space="preserve">linical </w:t>
      </w:r>
      <w:r w:rsidR="00530E4A">
        <w:rPr>
          <w:rFonts w:ascii="Calibri" w:eastAsia="Calibri" w:hAnsi="Calibri" w:cs="Calibri"/>
          <w:sz w:val="24"/>
          <w:szCs w:val="24"/>
          <w:lang w:val="en-GB"/>
        </w:rPr>
        <w:t>t</w:t>
      </w:r>
      <w:r w:rsidR="00833C82" w:rsidRPr="00245A88">
        <w:rPr>
          <w:rFonts w:ascii="Calibri" w:eastAsia="Calibri" w:hAnsi="Calibri" w:cs="Calibri"/>
          <w:sz w:val="24"/>
          <w:szCs w:val="24"/>
          <w:lang w:val="en-GB"/>
        </w:rPr>
        <w:t xml:space="preserve">rials </w:t>
      </w:r>
      <w:r w:rsidR="00530E4A">
        <w:rPr>
          <w:rFonts w:ascii="Calibri" w:eastAsia="Calibri" w:hAnsi="Calibri" w:cs="Calibri"/>
          <w:sz w:val="24"/>
          <w:szCs w:val="24"/>
          <w:lang w:val="en-GB"/>
        </w:rPr>
        <w:t>r</w:t>
      </w:r>
      <w:r w:rsidR="00833C82" w:rsidRPr="00245A88">
        <w:rPr>
          <w:rFonts w:ascii="Calibri" w:eastAsia="Calibri" w:hAnsi="Calibri" w:cs="Calibri"/>
          <w:sz w:val="24"/>
          <w:szCs w:val="24"/>
          <w:lang w:val="en-GB"/>
        </w:rPr>
        <w:t xml:space="preserve">egistry </w:t>
      </w:r>
      <w:r w:rsidR="00530E4A">
        <w:rPr>
          <w:rFonts w:ascii="Calibri" w:eastAsia="Calibri" w:hAnsi="Calibri" w:cs="Calibri"/>
          <w:sz w:val="24"/>
          <w:szCs w:val="24"/>
          <w:lang w:val="en-GB"/>
        </w:rPr>
        <w:t>p</w:t>
      </w:r>
      <w:r w:rsidR="00833C82" w:rsidRPr="00245A88">
        <w:rPr>
          <w:rFonts w:ascii="Calibri" w:eastAsia="Calibri" w:hAnsi="Calibri" w:cs="Calibri"/>
          <w:sz w:val="24"/>
          <w:szCs w:val="24"/>
          <w:lang w:val="en-GB"/>
        </w:rPr>
        <w:t>latfor</w:t>
      </w:r>
      <w:r w:rsidR="00110928">
        <w:rPr>
          <w:rFonts w:ascii="Calibri" w:eastAsia="Calibri" w:hAnsi="Calibri" w:cs="Calibri"/>
          <w:sz w:val="24"/>
          <w:szCs w:val="24"/>
          <w:lang w:val="en-GB"/>
        </w:rPr>
        <w:t>m</w:t>
      </w:r>
      <w:r w:rsidR="00530E4A">
        <w:rPr>
          <w:rFonts w:ascii="Calibri" w:eastAsia="Calibri" w:hAnsi="Calibri" w:cs="Calibri"/>
          <w:sz w:val="24"/>
          <w:szCs w:val="24"/>
          <w:lang w:val="en-GB"/>
        </w:rPr>
        <w:t xml:space="preserve">. </w:t>
      </w:r>
      <w:r w:rsidR="00763A65" w:rsidRPr="00384ABD">
        <w:rPr>
          <w:rFonts w:ascii="Calibri" w:eastAsia="Calibri" w:hAnsi="Calibri" w:cs="Calibri"/>
          <w:sz w:val="24"/>
          <w:szCs w:val="24"/>
          <w:lang w:val="en-GB"/>
        </w:rPr>
        <w:t xml:space="preserve">One author will screen abstracts </w:t>
      </w:r>
      <w:r w:rsidR="00654344" w:rsidRPr="00384ABD">
        <w:rPr>
          <w:rFonts w:ascii="Calibri" w:eastAsia="Calibri" w:hAnsi="Calibri" w:cs="Calibri"/>
          <w:sz w:val="24"/>
          <w:szCs w:val="24"/>
          <w:lang w:val="en-GB"/>
        </w:rPr>
        <w:t xml:space="preserve">and </w:t>
      </w:r>
      <w:r w:rsidR="00384ABD" w:rsidRPr="00384ABD">
        <w:rPr>
          <w:rFonts w:ascii="Calibri" w:eastAsia="Calibri" w:hAnsi="Calibri" w:cs="Calibri"/>
          <w:sz w:val="24"/>
          <w:szCs w:val="24"/>
          <w:lang w:val="en-GB"/>
        </w:rPr>
        <w:t>remove ineligible studies</w:t>
      </w:r>
      <w:r w:rsidR="00763A65" w:rsidRPr="00384ABD">
        <w:rPr>
          <w:rFonts w:ascii="Calibri" w:eastAsia="Calibri" w:hAnsi="Calibri" w:cs="Calibri"/>
          <w:sz w:val="24"/>
          <w:szCs w:val="24"/>
          <w:lang w:val="en-GB"/>
        </w:rPr>
        <w:t xml:space="preserve"> (10% of which will be double-screened by a second author). </w:t>
      </w:r>
      <w:r w:rsidR="00384ABD" w:rsidRPr="00384ABD">
        <w:rPr>
          <w:rFonts w:ascii="Calibri" w:eastAsia="Calibri" w:hAnsi="Calibri" w:cs="Calibri"/>
          <w:sz w:val="24"/>
          <w:szCs w:val="24"/>
          <w:lang w:val="en-GB"/>
        </w:rPr>
        <w:t>Two authors will review full texts for inclusion</w:t>
      </w:r>
      <w:r w:rsidR="00384ABD">
        <w:rPr>
          <w:rFonts w:ascii="Calibri" w:eastAsia="Calibri" w:hAnsi="Calibri" w:cs="Calibri"/>
          <w:sz w:val="24"/>
          <w:szCs w:val="24"/>
          <w:lang w:val="en-GB"/>
        </w:rPr>
        <w:t xml:space="preserve">. </w:t>
      </w:r>
      <w:r w:rsidR="00654344">
        <w:rPr>
          <w:rFonts w:ascii="Calibri" w:eastAsia="Calibri" w:hAnsi="Calibri" w:cs="Calibri"/>
          <w:sz w:val="24"/>
          <w:szCs w:val="24"/>
          <w:lang w:val="en-GB"/>
        </w:rPr>
        <w:t>Safety and efficacy data will be extracted to pre-piloted forms</w:t>
      </w:r>
      <w:r w:rsidR="000701D0">
        <w:rPr>
          <w:rFonts w:ascii="Calibri" w:eastAsia="Calibri" w:hAnsi="Calibri" w:cs="Calibri"/>
          <w:sz w:val="24"/>
          <w:szCs w:val="24"/>
          <w:lang w:val="en-GB"/>
        </w:rPr>
        <w:t xml:space="preserve"> by one author</w:t>
      </w:r>
      <w:r w:rsidR="00654344">
        <w:rPr>
          <w:rFonts w:ascii="Calibri" w:eastAsia="Calibri" w:hAnsi="Calibri" w:cs="Calibri"/>
          <w:sz w:val="24"/>
          <w:szCs w:val="24"/>
          <w:lang w:val="en-GB"/>
        </w:rPr>
        <w:t xml:space="preserve"> </w:t>
      </w:r>
      <w:r w:rsidR="000701D0">
        <w:rPr>
          <w:rFonts w:ascii="Calibri" w:eastAsia="Calibri" w:hAnsi="Calibri" w:cs="Calibri"/>
          <w:sz w:val="24"/>
          <w:szCs w:val="24"/>
          <w:lang w:val="en-GB"/>
        </w:rPr>
        <w:t xml:space="preserve">(10% of which will be double-extracted by a second author).  The Cochrane risk of bias tool </w:t>
      </w:r>
      <w:r w:rsidR="00607D3C">
        <w:rPr>
          <w:rFonts w:ascii="Calibri" w:eastAsia="Calibri" w:hAnsi="Calibri" w:cs="Calibri"/>
          <w:sz w:val="24"/>
          <w:szCs w:val="24"/>
          <w:lang w:val="en-GB"/>
        </w:rPr>
        <w:t xml:space="preserve">will </w:t>
      </w:r>
      <w:r w:rsidR="000701D0">
        <w:rPr>
          <w:rFonts w:ascii="Calibri" w:eastAsia="Calibri" w:hAnsi="Calibri" w:cs="Calibri"/>
          <w:sz w:val="24"/>
          <w:szCs w:val="24"/>
          <w:lang w:val="en-GB"/>
        </w:rPr>
        <w:t xml:space="preserve">be used to assess study quality. </w:t>
      </w:r>
      <w:r w:rsidR="003D5343">
        <w:rPr>
          <w:rFonts w:ascii="Calibri" w:eastAsia="Calibri" w:hAnsi="Calibri" w:cs="Calibri"/>
          <w:sz w:val="24"/>
          <w:szCs w:val="24"/>
          <w:lang w:val="en-GB"/>
        </w:rPr>
        <w:t xml:space="preserve">The study has three objectives; </w:t>
      </w:r>
      <w:r w:rsidR="00F53CBC">
        <w:rPr>
          <w:rFonts w:ascii="Calibri" w:eastAsia="Calibri" w:hAnsi="Calibri" w:cs="Calibri"/>
          <w:sz w:val="24"/>
          <w:szCs w:val="24"/>
          <w:lang w:val="en-GB"/>
        </w:rPr>
        <w:t xml:space="preserve">the association of 1) inclusion, 2) dose and 3) duration of PZA with </w:t>
      </w:r>
      <w:r w:rsidR="00230B52">
        <w:rPr>
          <w:rFonts w:ascii="Calibri" w:eastAsia="Calibri" w:hAnsi="Calibri" w:cs="Calibri"/>
          <w:sz w:val="24"/>
          <w:szCs w:val="24"/>
          <w:lang w:val="en-GB"/>
        </w:rPr>
        <w:t>efficacy and safety outcomes. R</w:t>
      </w:r>
      <w:r w:rsidR="00230B52" w:rsidRPr="00230B52">
        <w:rPr>
          <w:rFonts w:ascii="Calibri" w:eastAsia="Calibri" w:hAnsi="Calibri" w:cs="Calibri"/>
          <w:sz w:val="24"/>
          <w:szCs w:val="24"/>
          <w:lang w:val="en-GB"/>
        </w:rPr>
        <w:t>isk ratios as relative measures of effect for direct comparisons within trials (all objectives) and proportions as absolute measures of effect for indirect comparisons across trials (for objectives 2 and 3)</w:t>
      </w:r>
      <w:r w:rsidR="00230B52">
        <w:rPr>
          <w:rFonts w:ascii="Calibri" w:eastAsia="Calibri" w:hAnsi="Calibri" w:cs="Calibri"/>
          <w:sz w:val="24"/>
          <w:szCs w:val="24"/>
          <w:lang w:val="en-GB"/>
        </w:rPr>
        <w:t xml:space="preserve"> will be calculated</w:t>
      </w:r>
      <w:r w:rsidR="00230B52" w:rsidRPr="00230B52">
        <w:rPr>
          <w:rFonts w:ascii="Calibri" w:eastAsia="Calibri" w:hAnsi="Calibri" w:cs="Calibri"/>
          <w:sz w:val="24"/>
          <w:szCs w:val="24"/>
          <w:lang w:val="en-GB"/>
        </w:rPr>
        <w:t xml:space="preserve">. </w:t>
      </w:r>
      <w:r w:rsidR="00230B52">
        <w:rPr>
          <w:rFonts w:ascii="Calibri" w:eastAsia="Calibri" w:hAnsi="Calibri" w:cs="Calibri"/>
          <w:sz w:val="24"/>
          <w:szCs w:val="24"/>
          <w:lang w:val="en-GB"/>
        </w:rPr>
        <w:t>I</w:t>
      </w:r>
      <w:r w:rsidR="00230B52" w:rsidRPr="00230B52">
        <w:rPr>
          <w:rFonts w:ascii="Calibri" w:eastAsia="Calibri" w:hAnsi="Calibri" w:cs="Calibri"/>
          <w:sz w:val="24"/>
          <w:szCs w:val="24"/>
          <w:lang w:val="en-GB"/>
        </w:rPr>
        <w:t>f there is insufficient data for direct comparisons within trials for objective 1, indirect comparisons between trials will be performed</w:t>
      </w:r>
      <w:r w:rsidR="00230B52">
        <w:rPr>
          <w:rFonts w:ascii="Calibri" w:eastAsia="Calibri" w:hAnsi="Calibri" w:cs="Calibri"/>
          <w:sz w:val="24"/>
          <w:szCs w:val="24"/>
          <w:lang w:val="en-GB"/>
        </w:rPr>
        <w:t xml:space="preserve">. </w:t>
      </w:r>
      <w:r w:rsidR="00786E28">
        <w:rPr>
          <w:rFonts w:ascii="Calibri" w:eastAsia="Calibri" w:hAnsi="Calibri" w:cs="Calibri"/>
          <w:sz w:val="24"/>
          <w:szCs w:val="24"/>
          <w:lang w:val="en-GB"/>
        </w:rPr>
        <w:t>M</w:t>
      </w:r>
      <w:r w:rsidR="00786E28" w:rsidRPr="00786E28">
        <w:rPr>
          <w:rFonts w:ascii="Calibri" w:eastAsia="Calibri" w:hAnsi="Calibri" w:cs="Calibri"/>
          <w:sz w:val="24"/>
          <w:szCs w:val="24"/>
          <w:lang w:val="en-GB"/>
        </w:rPr>
        <w:t>easures of effect will be pooled</w:t>
      </w:r>
      <w:r w:rsidR="005E34F6">
        <w:rPr>
          <w:rFonts w:ascii="Calibri" w:eastAsia="Calibri" w:hAnsi="Calibri" w:cs="Calibri"/>
          <w:sz w:val="24"/>
          <w:szCs w:val="24"/>
          <w:lang w:val="en-GB"/>
        </w:rPr>
        <w:t>, with c</w:t>
      </w:r>
      <w:r w:rsidR="00786E28" w:rsidRPr="00786E28">
        <w:rPr>
          <w:rFonts w:ascii="Calibri" w:eastAsia="Calibri" w:hAnsi="Calibri" w:cs="Calibri"/>
          <w:sz w:val="24"/>
          <w:szCs w:val="24"/>
          <w:lang w:val="en-GB"/>
        </w:rPr>
        <w:t>orresponding 95% confidence intervals</w:t>
      </w:r>
      <w:r w:rsidR="005E34F6">
        <w:rPr>
          <w:rFonts w:ascii="Calibri" w:eastAsia="Calibri" w:hAnsi="Calibri" w:cs="Calibri"/>
          <w:sz w:val="24"/>
          <w:szCs w:val="24"/>
          <w:lang w:val="en-GB"/>
        </w:rPr>
        <w:t xml:space="preserve"> </w:t>
      </w:r>
      <w:r w:rsidR="00786E28" w:rsidRPr="00786E28">
        <w:rPr>
          <w:rFonts w:ascii="Calibri" w:eastAsia="Calibri" w:hAnsi="Calibri" w:cs="Calibri"/>
          <w:sz w:val="24"/>
          <w:szCs w:val="24"/>
          <w:lang w:val="en-GB"/>
        </w:rPr>
        <w:t>and p-values</w:t>
      </w:r>
      <w:r w:rsidR="005E34F6">
        <w:rPr>
          <w:rFonts w:ascii="Calibri" w:eastAsia="Calibri" w:hAnsi="Calibri" w:cs="Calibri"/>
          <w:sz w:val="24"/>
          <w:szCs w:val="24"/>
          <w:lang w:val="en-GB"/>
        </w:rPr>
        <w:t xml:space="preserve">. </w:t>
      </w:r>
      <w:bookmarkStart w:id="0" w:name="_Hlk17302764"/>
      <w:r w:rsidR="001E441A" w:rsidRPr="001E441A">
        <w:rPr>
          <w:rFonts w:ascii="Calibri" w:eastAsia="Calibri" w:hAnsi="Calibri" w:cs="Calibri"/>
          <w:sz w:val="24"/>
          <w:szCs w:val="24"/>
          <w:lang w:val="en-GB"/>
        </w:rPr>
        <w:t xml:space="preserve">Meta-analysis </w:t>
      </w:r>
      <w:r w:rsidR="001E441A">
        <w:rPr>
          <w:rFonts w:ascii="Calibri" w:eastAsia="Calibri" w:hAnsi="Calibri" w:cs="Calibri"/>
          <w:sz w:val="24"/>
          <w:szCs w:val="24"/>
          <w:lang w:val="en-GB"/>
        </w:rPr>
        <w:t>will be</w:t>
      </w:r>
      <w:r w:rsidR="001E441A" w:rsidRPr="001E441A">
        <w:rPr>
          <w:rFonts w:ascii="Calibri" w:eastAsia="Calibri" w:hAnsi="Calibri" w:cs="Calibri"/>
          <w:sz w:val="24"/>
          <w:szCs w:val="24"/>
          <w:lang w:val="en-GB"/>
        </w:rPr>
        <w:t xml:space="preserve"> performed using the </w:t>
      </w:r>
      <w:bookmarkStart w:id="1" w:name="_Hlk17302265"/>
      <w:r w:rsidR="001E441A" w:rsidRPr="001E441A">
        <w:rPr>
          <w:rFonts w:ascii="Calibri" w:eastAsia="Calibri" w:hAnsi="Calibri" w:cs="Calibri"/>
          <w:sz w:val="24"/>
          <w:szCs w:val="24"/>
          <w:lang w:val="en-GB"/>
        </w:rPr>
        <w:t xml:space="preserve">generalised inverse variance method </w:t>
      </w:r>
      <w:bookmarkEnd w:id="1"/>
      <w:r w:rsidR="001E441A" w:rsidRPr="001E441A">
        <w:rPr>
          <w:rFonts w:ascii="Calibri" w:eastAsia="Calibri" w:hAnsi="Calibri" w:cs="Calibri"/>
          <w:sz w:val="24"/>
          <w:szCs w:val="24"/>
          <w:lang w:val="en-GB"/>
        </w:rPr>
        <w:t xml:space="preserve">for </w:t>
      </w:r>
      <w:bookmarkStart w:id="2" w:name="_Hlk17317074"/>
      <w:r w:rsidR="001E441A" w:rsidRPr="001E441A">
        <w:rPr>
          <w:rFonts w:ascii="Calibri" w:eastAsia="Calibri" w:hAnsi="Calibri" w:cs="Calibri"/>
          <w:sz w:val="24"/>
          <w:szCs w:val="24"/>
          <w:lang w:val="en-GB"/>
        </w:rPr>
        <w:t xml:space="preserve">fixed effects models </w:t>
      </w:r>
      <w:r w:rsidR="001E441A">
        <w:rPr>
          <w:rFonts w:ascii="Calibri" w:eastAsia="Calibri" w:hAnsi="Calibri" w:cs="Calibri"/>
          <w:sz w:val="24"/>
          <w:szCs w:val="24"/>
          <w:lang w:val="en-GB"/>
        </w:rPr>
        <w:t xml:space="preserve">(FEM) </w:t>
      </w:r>
      <w:r w:rsidR="001E441A" w:rsidRPr="001E441A">
        <w:rPr>
          <w:rFonts w:ascii="Calibri" w:eastAsia="Calibri" w:hAnsi="Calibri" w:cs="Calibri"/>
          <w:sz w:val="24"/>
          <w:szCs w:val="24"/>
          <w:lang w:val="en-GB"/>
        </w:rPr>
        <w:t>or the DerSimonian-Laird method for random effects models</w:t>
      </w:r>
      <w:r w:rsidR="001E441A">
        <w:rPr>
          <w:rFonts w:ascii="Calibri" w:eastAsia="Calibri" w:hAnsi="Calibri" w:cs="Calibri"/>
          <w:sz w:val="24"/>
          <w:szCs w:val="24"/>
          <w:lang w:val="en-GB"/>
        </w:rPr>
        <w:t xml:space="preserve"> (REM)</w:t>
      </w:r>
      <w:r w:rsidR="009A6A56">
        <w:rPr>
          <w:rFonts w:ascii="Calibri" w:eastAsia="Calibri" w:hAnsi="Calibri" w:cs="Calibri"/>
          <w:sz w:val="24"/>
          <w:szCs w:val="24"/>
          <w:lang w:val="en-GB"/>
        </w:rPr>
        <w:t>.</w:t>
      </w:r>
      <w:bookmarkEnd w:id="2"/>
      <w:r w:rsidR="001356BE">
        <w:rPr>
          <w:rFonts w:ascii="Calibri" w:eastAsia="Calibri" w:hAnsi="Calibri" w:cs="Calibri"/>
          <w:sz w:val="24"/>
          <w:szCs w:val="24"/>
          <w:lang w:val="en-GB"/>
        </w:rPr>
        <w:t xml:space="preserve"> </w:t>
      </w:r>
      <w:bookmarkEnd w:id="0"/>
      <w:r w:rsidR="00D26E25">
        <w:rPr>
          <w:rFonts w:ascii="Calibri" w:eastAsia="Calibri" w:hAnsi="Calibri" w:cs="Calibri"/>
          <w:sz w:val="24"/>
          <w:szCs w:val="24"/>
          <w:lang w:val="en-GB"/>
        </w:rPr>
        <w:t xml:space="preserve">For </w:t>
      </w:r>
      <w:r w:rsidR="00297FBE">
        <w:rPr>
          <w:rFonts w:ascii="Calibri" w:eastAsia="Calibri" w:hAnsi="Calibri" w:cs="Calibri"/>
          <w:sz w:val="24"/>
          <w:szCs w:val="24"/>
          <w:lang w:val="en-GB"/>
        </w:rPr>
        <w:t>indirect comparisons, m</w:t>
      </w:r>
      <w:r w:rsidR="00B64C92" w:rsidRPr="00B64C92">
        <w:rPr>
          <w:rFonts w:ascii="Calibri" w:eastAsia="Calibri" w:hAnsi="Calibri" w:cs="Calibri"/>
          <w:sz w:val="24"/>
          <w:szCs w:val="24"/>
          <w:lang w:val="en-GB"/>
        </w:rPr>
        <w:t>eta-regression for absolute measures against dose</w:t>
      </w:r>
      <w:r w:rsidR="00454AC3">
        <w:rPr>
          <w:rFonts w:ascii="Calibri" w:eastAsia="Calibri" w:hAnsi="Calibri" w:cs="Calibri"/>
          <w:sz w:val="24"/>
          <w:szCs w:val="24"/>
          <w:lang w:val="en-GB"/>
        </w:rPr>
        <w:t xml:space="preserve"> </w:t>
      </w:r>
      <w:r w:rsidR="00B64C92" w:rsidRPr="00B64C92">
        <w:rPr>
          <w:rFonts w:ascii="Calibri" w:eastAsia="Calibri" w:hAnsi="Calibri" w:cs="Calibri"/>
          <w:sz w:val="24"/>
          <w:szCs w:val="24"/>
          <w:lang w:val="en-GB"/>
        </w:rPr>
        <w:lastRenderedPageBreak/>
        <w:t>and duration data</w:t>
      </w:r>
      <w:r w:rsidR="00297FBE" w:rsidRPr="00297FBE">
        <w:t xml:space="preserve"> </w:t>
      </w:r>
      <w:r w:rsidR="00297FBE" w:rsidRPr="00297FBE">
        <w:rPr>
          <w:rFonts w:ascii="Calibri" w:eastAsia="Calibri" w:hAnsi="Calibri" w:cs="Calibri"/>
          <w:sz w:val="24"/>
          <w:szCs w:val="24"/>
          <w:lang w:val="en-GB"/>
        </w:rPr>
        <w:t>will be performed</w:t>
      </w:r>
      <w:r w:rsidR="00297FBE">
        <w:rPr>
          <w:rFonts w:ascii="Calibri" w:eastAsia="Calibri" w:hAnsi="Calibri" w:cs="Calibri"/>
          <w:sz w:val="24"/>
          <w:szCs w:val="24"/>
          <w:lang w:val="en-GB"/>
        </w:rPr>
        <w:t xml:space="preserve">. </w:t>
      </w:r>
      <w:r w:rsidR="00D7769D">
        <w:rPr>
          <w:rFonts w:ascii="Calibri" w:eastAsia="Calibri" w:hAnsi="Calibri" w:cs="Calibri"/>
          <w:sz w:val="24"/>
          <w:szCs w:val="24"/>
          <w:lang w:val="en-GB"/>
        </w:rPr>
        <w:t>Heterogeneity</w:t>
      </w:r>
      <w:r w:rsidR="005E34F6">
        <w:rPr>
          <w:rFonts w:ascii="Calibri" w:eastAsia="Calibri" w:hAnsi="Calibri" w:cs="Calibri"/>
          <w:sz w:val="24"/>
          <w:szCs w:val="24"/>
          <w:lang w:val="en-GB"/>
        </w:rPr>
        <w:t xml:space="preserve"> will be </w:t>
      </w:r>
      <w:r w:rsidR="00297FBE">
        <w:rPr>
          <w:rFonts w:ascii="Calibri" w:eastAsia="Calibri" w:hAnsi="Calibri" w:cs="Calibri"/>
          <w:sz w:val="24"/>
          <w:szCs w:val="24"/>
          <w:lang w:val="en-GB"/>
        </w:rPr>
        <w:t xml:space="preserve">quantified </w:t>
      </w:r>
      <w:r w:rsidR="00297FBE" w:rsidRPr="00297FBE">
        <w:rPr>
          <w:rFonts w:ascii="Calibri" w:eastAsia="Calibri" w:hAnsi="Calibri" w:cs="Calibri"/>
          <w:sz w:val="24"/>
          <w:szCs w:val="24"/>
          <w:lang w:val="en-GB"/>
        </w:rPr>
        <w:t xml:space="preserve">through the </w:t>
      </w:r>
      <w:r w:rsidR="00297FBE" w:rsidRPr="00297FBE">
        <w:rPr>
          <w:rFonts w:ascii="Calibri" w:eastAsia="Calibri" w:hAnsi="Calibri" w:cs="Calibri"/>
          <w:i/>
          <w:iCs/>
          <w:sz w:val="24"/>
          <w:szCs w:val="24"/>
          <w:lang w:val="en-GB"/>
        </w:rPr>
        <w:t>I</w:t>
      </w:r>
      <w:r w:rsidR="00297FBE" w:rsidRPr="00297FBE">
        <w:rPr>
          <w:rFonts w:ascii="Calibri" w:eastAsia="Calibri" w:hAnsi="Calibri" w:cs="Calibri"/>
          <w:i/>
          <w:iCs/>
          <w:sz w:val="24"/>
          <w:szCs w:val="24"/>
          <w:vertAlign w:val="superscript"/>
          <w:lang w:val="en-GB"/>
        </w:rPr>
        <w:t>2</w:t>
      </w:r>
      <w:r w:rsidR="00297FBE" w:rsidRPr="00297FBE">
        <w:rPr>
          <w:rFonts w:ascii="Calibri" w:eastAsia="Calibri" w:hAnsi="Calibri" w:cs="Calibri"/>
          <w:sz w:val="24"/>
          <w:szCs w:val="24"/>
          <w:lang w:val="en-GB"/>
        </w:rPr>
        <w:t>-statistic</w:t>
      </w:r>
      <w:r w:rsidR="00297FBE">
        <w:rPr>
          <w:rFonts w:ascii="Calibri" w:eastAsia="Calibri" w:hAnsi="Calibri" w:cs="Calibri"/>
          <w:sz w:val="24"/>
          <w:szCs w:val="24"/>
          <w:lang w:val="en-GB"/>
        </w:rPr>
        <w:t xml:space="preserve"> for direct comparisons and the </w:t>
      </w:r>
      <w:r w:rsidR="00353A49">
        <w:rPr>
          <w:rFonts w:ascii="Calibri" w:eastAsia="Calibri" w:hAnsi="Calibri" w:cs="Calibri"/>
          <w:sz w:val="24"/>
          <w:szCs w:val="24"/>
          <w:lang w:val="en-GB"/>
        </w:rPr>
        <w:t>τ</w:t>
      </w:r>
      <w:r w:rsidR="00582942">
        <w:rPr>
          <w:rFonts w:ascii="Calibri" w:eastAsia="Calibri" w:hAnsi="Calibri" w:cs="Calibri"/>
          <w:sz w:val="24"/>
          <w:szCs w:val="24"/>
          <w:vertAlign w:val="superscript"/>
          <w:lang w:val="en-GB"/>
        </w:rPr>
        <w:t>2</w:t>
      </w:r>
      <w:r w:rsidR="00582942">
        <w:rPr>
          <w:rFonts w:ascii="Calibri" w:eastAsia="Calibri" w:hAnsi="Calibri" w:cs="Calibri"/>
          <w:sz w:val="24"/>
          <w:szCs w:val="24"/>
          <w:lang w:val="en-GB"/>
        </w:rPr>
        <w:t xml:space="preserve"> statistic </w:t>
      </w:r>
      <w:r w:rsidR="00D7769D">
        <w:rPr>
          <w:rFonts w:ascii="Calibri" w:eastAsia="Calibri" w:hAnsi="Calibri" w:cs="Calibri"/>
          <w:sz w:val="24"/>
          <w:szCs w:val="24"/>
          <w:lang w:val="en-GB"/>
        </w:rPr>
        <w:t xml:space="preserve">for </w:t>
      </w:r>
      <w:r w:rsidR="00D7769D" w:rsidRPr="00D7769D">
        <w:rPr>
          <w:rFonts w:ascii="Calibri" w:eastAsia="Calibri" w:hAnsi="Calibri" w:cs="Calibri"/>
          <w:sz w:val="24"/>
          <w:szCs w:val="24"/>
          <w:lang w:val="en-GB"/>
        </w:rPr>
        <w:t>indirect comparisons using meta</w:t>
      </w:r>
      <w:r w:rsidR="00353A49">
        <w:rPr>
          <w:rFonts w:ascii="Calibri" w:eastAsia="Calibri" w:hAnsi="Calibri" w:cs="Calibri"/>
          <w:sz w:val="24"/>
          <w:szCs w:val="24"/>
          <w:lang w:val="en-GB"/>
        </w:rPr>
        <w:t>-</w:t>
      </w:r>
      <w:r w:rsidR="00D7769D" w:rsidRPr="00D7769D">
        <w:rPr>
          <w:rFonts w:ascii="Calibri" w:eastAsia="Calibri" w:hAnsi="Calibri" w:cs="Calibri"/>
          <w:sz w:val="24"/>
          <w:szCs w:val="24"/>
          <w:lang w:val="en-GB"/>
        </w:rPr>
        <w:t>regression</w:t>
      </w:r>
      <w:r w:rsidR="00D7769D">
        <w:rPr>
          <w:rFonts w:ascii="Calibri" w:eastAsia="Calibri" w:hAnsi="Calibri" w:cs="Calibri"/>
          <w:sz w:val="24"/>
          <w:szCs w:val="24"/>
          <w:lang w:val="en-GB"/>
        </w:rPr>
        <w:t xml:space="preserve">. </w:t>
      </w:r>
    </w:p>
    <w:p w14:paraId="28151AB0" w14:textId="387A7B73" w:rsidR="00624E84" w:rsidRPr="00624E84" w:rsidRDefault="00624E84" w:rsidP="00454AC3">
      <w:pPr>
        <w:spacing w:line="480" w:lineRule="auto"/>
        <w:jc w:val="both"/>
        <w:outlineLvl w:val="1"/>
        <w:rPr>
          <w:rFonts w:eastAsia="Times New Roman" w:cstheme="minorHAnsi"/>
          <w:sz w:val="24"/>
          <w:szCs w:val="24"/>
          <w:lang w:eastAsia="en-ZA"/>
        </w:rPr>
      </w:pPr>
      <w:r w:rsidRPr="00624E84">
        <w:rPr>
          <w:rFonts w:eastAsia="Times New Roman" w:cstheme="minorHAnsi"/>
          <w:b/>
          <w:bCs/>
          <w:sz w:val="24"/>
          <w:szCs w:val="24"/>
          <w:lang w:eastAsia="en-ZA"/>
        </w:rPr>
        <w:t>Discussion:</w:t>
      </w:r>
      <w:r w:rsidRPr="00624E84">
        <w:rPr>
          <w:rFonts w:eastAsia="Times New Roman" w:cstheme="minorHAnsi"/>
          <w:sz w:val="24"/>
          <w:szCs w:val="24"/>
          <w:lang w:eastAsia="en-ZA"/>
        </w:rPr>
        <w:t xml:space="preserve"> </w:t>
      </w:r>
      <w:r w:rsidR="002A33F5">
        <w:rPr>
          <w:rFonts w:eastAsia="Times New Roman" w:cstheme="minorHAnsi"/>
          <w:sz w:val="24"/>
          <w:szCs w:val="24"/>
          <w:lang w:eastAsia="en-ZA"/>
        </w:rPr>
        <w:t xml:space="preserve">The current </w:t>
      </w:r>
      <w:r w:rsidR="000D3115">
        <w:rPr>
          <w:rFonts w:eastAsia="Times New Roman" w:cstheme="minorHAnsi"/>
          <w:sz w:val="24"/>
          <w:szCs w:val="24"/>
          <w:lang w:eastAsia="en-ZA"/>
        </w:rPr>
        <w:t xml:space="preserve">use of PZA for TB is based on over </w:t>
      </w:r>
      <w:r w:rsidR="002A33F5" w:rsidRPr="002A33F5">
        <w:rPr>
          <w:rFonts w:eastAsia="Times New Roman" w:cstheme="minorHAnsi"/>
          <w:sz w:val="24"/>
          <w:szCs w:val="24"/>
          <w:lang w:eastAsia="en-ZA"/>
        </w:rPr>
        <w:t>60 years</w:t>
      </w:r>
      <w:r w:rsidR="000D3115">
        <w:rPr>
          <w:rFonts w:eastAsia="Times New Roman" w:cstheme="minorHAnsi"/>
          <w:sz w:val="24"/>
          <w:szCs w:val="24"/>
          <w:lang w:eastAsia="en-ZA"/>
        </w:rPr>
        <w:t xml:space="preserve"> of clinical trial data, but this has </w:t>
      </w:r>
      <w:r w:rsidR="00020EA9">
        <w:rPr>
          <w:rFonts w:eastAsia="Times New Roman" w:cstheme="minorHAnsi"/>
          <w:sz w:val="24"/>
          <w:szCs w:val="24"/>
          <w:lang w:eastAsia="en-ZA"/>
        </w:rPr>
        <w:t>never</w:t>
      </w:r>
      <w:r w:rsidR="000D3115">
        <w:rPr>
          <w:rFonts w:eastAsia="Times New Roman" w:cstheme="minorHAnsi"/>
          <w:sz w:val="24"/>
          <w:szCs w:val="24"/>
          <w:lang w:eastAsia="en-ZA"/>
        </w:rPr>
        <w:t xml:space="preserve"> been </w:t>
      </w:r>
      <w:r w:rsidR="002A33F5" w:rsidRPr="002A33F5">
        <w:rPr>
          <w:rFonts w:eastAsia="Times New Roman" w:cstheme="minorHAnsi"/>
          <w:sz w:val="24"/>
          <w:szCs w:val="24"/>
          <w:lang w:eastAsia="en-ZA"/>
        </w:rPr>
        <w:t>synthesised</w:t>
      </w:r>
      <w:r w:rsidR="005C45D3">
        <w:rPr>
          <w:rFonts w:eastAsia="Times New Roman" w:cstheme="minorHAnsi"/>
          <w:sz w:val="24"/>
          <w:szCs w:val="24"/>
          <w:lang w:eastAsia="en-ZA"/>
        </w:rPr>
        <w:t xml:space="preserve"> to guide rationale use </w:t>
      </w:r>
      <w:r w:rsidR="002A33F5" w:rsidRPr="002A33F5">
        <w:rPr>
          <w:rFonts w:eastAsia="Times New Roman" w:cstheme="minorHAnsi"/>
          <w:sz w:val="24"/>
          <w:szCs w:val="24"/>
          <w:lang w:eastAsia="en-ZA"/>
        </w:rPr>
        <w:t>in future regimens and clinical trials</w:t>
      </w:r>
      <w:r w:rsidR="005C45D3">
        <w:rPr>
          <w:rFonts w:eastAsia="Times New Roman" w:cstheme="minorHAnsi"/>
          <w:sz w:val="24"/>
          <w:szCs w:val="24"/>
          <w:lang w:eastAsia="en-ZA"/>
        </w:rPr>
        <w:t xml:space="preserve">. </w:t>
      </w:r>
    </w:p>
    <w:p w14:paraId="4CAD8770" w14:textId="149FBF0A" w:rsidR="00624E84" w:rsidRPr="00624E84" w:rsidRDefault="00624E84" w:rsidP="00454AC3">
      <w:pPr>
        <w:spacing w:after="0" w:line="480" w:lineRule="auto"/>
        <w:jc w:val="both"/>
        <w:rPr>
          <w:rFonts w:eastAsia="Times New Roman" w:cstheme="minorHAnsi"/>
          <w:sz w:val="24"/>
          <w:szCs w:val="24"/>
          <w:lang w:eastAsia="en-ZA"/>
        </w:rPr>
      </w:pPr>
      <w:r w:rsidRPr="00624E84">
        <w:rPr>
          <w:rFonts w:eastAsia="Times New Roman" w:cstheme="minorHAnsi"/>
          <w:b/>
          <w:bCs/>
          <w:sz w:val="24"/>
          <w:szCs w:val="24"/>
          <w:lang w:eastAsia="en-ZA"/>
        </w:rPr>
        <w:t>Systematic review registration:</w:t>
      </w:r>
      <w:r w:rsidRPr="00624E84">
        <w:rPr>
          <w:rFonts w:eastAsia="Times New Roman" w:cstheme="minorHAnsi"/>
          <w:sz w:val="24"/>
          <w:szCs w:val="24"/>
          <w:lang w:eastAsia="en-ZA"/>
        </w:rPr>
        <w:t> </w:t>
      </w:r>
      <w:r w:rsidR="008177D2" w:rsidRPr="008177D2">
        <w:rPr>
          <w:rFonts w:eastAsia="Times New Roman" w:cstheme="minorHAnsi"/>
          <w:sz w:val="24"/>
          <w:szCs w:val="24"/>
          <w:lang w:eastAsia="en-ZA"/>
        </w:rPr>
        <w:t>International Prospective Register of Systematic Reviews (PROSPERO)</w:t>
      </w:r>
      <w:r w:rsidR="008177D2">
        <w:rPr>
          <w:rFonts w:eastAsia="Times New Roman" w:cstheme="minorHAnsi"/>
          <w:sz w:val="24"/>
          <w:szCs w:val="24"/>
          <w:lang w:eastAsia="en-ZA"/>
        </w:rPr>
        <w:t xml:space="preserve"> </w:t>
      </w:r>
      <w:r w:rsidR="008177D2" w:rsidRPr="008177D2">
        <w:rPr>
          <w:rFonts w:eastAsia="Times New Roman" w:cstheme="minorHAnsi"/>
          <w:sz w:val="24"/>
          <w:szCs w:val="24"/>
          <w:lang w:eastAsia="en-ZA"/>
        </w:rPr>
        <w:t>CRD42019138735</w:t>
      </w:r>
    </w:p>
    <w:p w14:paraId="3831A1B0" w14:textId="77777777" w:rsidR="00624E84" w:rsidRPr="00624E84" w:rsidRDefault="00624E84" w:rsidP="00454AC3">
      <w:pPr>
        <w:spacing w:before="100" w:beforeAutospacing="1" w:after="0" w:line="480" w:lineRule="auto"/>
        <w:outlineLvl w:val="1"/>
        <w:rPr>
          <w:rFonts w:eastAsia="Times New Roman" w:cstheme="minorHAnsi"/>
          <w:b/>
          <w:bCs/>
          <w:sz w:val="24"/>
          <w:szCs w:val="24"/>
          <w:lang w:eastAsia="en-ZA"/>
        </w:rPr>
      </w:pPr>
      <w:r w:rsidRPr="00624E84">
        <w:rPr>
          <w:rFonts w:eastAsia="Times New Roman" w:cstheme="minorHAnsi"/>
          <w:b/>
          <w:bCs/>
          <w:sz w:val="24"/>
          <w:szCs w:val="24"/>
          <w:lang w:eastAsia="en-ZA"/>
        </w:rPr>
        <w:t>Keywords</w:t>
      </w:r>
    </w:p>
    <w:p w14:paraId="7D2FA853" w14:textId="40EC9242" w:rsidR="00624E84" w:rsidRDefault="00A15250" w:rsidP="00454AC3">
      <w:pPr>
        <w:spacing w:after="100" w:afterAutospacing="1" w:line="480" w:lineRule="auto"/>
        <w:rPr>
          <w:rFonts w:eastAsia="Times New Roman" w:cstheme="minorHAnsi"/>
          <w:sz w:val="24"/>
          <w:szCs w:val="24"/>
          <w:lang w:eastAsia="en-ZA"/>
        </w:rPr>
      </w:pPr>
      <w:r>
        <w:rPr>
          <w:rFonts w:eastAsia="Times New Roman" w:cstheme="minorHAnsi"/>
          <w:sz w:val="24"/>
          <w:szCs w:val="24"/>
          <w:lang w:eastAsia="en-ZA"/>
        </w:rPr>
        <w:t>Tuberculosis, clinical trials, pyrazinamide</w:t>
      </w:r>
      <w:r w:rsidR="00B46336">
        <w:rPr>
          <w:rFonts w:eastAsia="Times New Roman" w:cstheme="minorHAnsi"/>
          <w:sz w:val="24"/>
          <w:szCs w:val="24"/>
          <w:lang w:eastAsia="en-ZA"/>
        </w:rPr>
        <w:t>, efficacy, toxicity, safety</w:t>
      </w:r>
    </w:p>
    <w:p w14:paraId="4EB3B36F" w14:textId="3DDA01B9" w:rsidR="002C7606" w:rsidRDefault="002C7606" w:rsidP="00454AC3">
      <w:pPr>
        <w:spacing w:after="100" w:afterAutospacing="1" w:line="480" w:lineRule="auto"/>
        <w:rPr>
          <w:rFonts w:eastAsia="Times New Roman" w:cstheme="minorHAnsi"/>
          <w:sz w:val="24"/>
          <w:szCs w:val="24"/>
          <w:lang w:eastAsia="en-ZA"/>
        </w:rPr>
      </w:pPr>
    </w:p>
    <w:p w14:paraId="6F80FD9B" w14:textId="4F889572" w:rsidR="002C7606" w:rsidRDefault="002C7606" w:rsidP="00454AC3">
      <w:pPr>
        <w:spacing w:after="100" w:afterAutospacing="1" w:line="480" w:lineRule="auto"/>
        <w:rPr>
          <w:rFonts w:eastAsia="Times New Roman" w:cstheme="minorHAnsi"/>
          <w:sz w:val="24"/>
          <w:szCs w:val="24"/>
          <w:lang w:eastAsia="en-ZA"/>
        </w:rPr>
      </w:pPr>
    </w:p>
    <w:p w14:paraId="45DA059D" w14:textId="546CF4C6" w:rsidR="002C7606" w:rsidRDefault="002C7606" w:rsidP="00454AC3">
      <w:pPr>
        <w:spacing w:after="100" w:afterAutospacing="1" w:line="480" w:lineRule="auto"/>
        <w:rPr>
          <w:rFonts w:eastAsia="Times New Roman" w:cstheme="minorHAnsi"/>
          <w:sz w:val="24"/>
          <w:szCs w:val="24"/>
          <w:lang w:eastAsia="en-ZA"/>
        </w:rPr>
      </w:pPr>
    </w:p>
    <w:p w14:paraId="72F72E09" w14:textId="137002A9" w:rsidR="002C7606" w:rsidRDefault="002C7606" w:rsidP="00454AC3">
      <w:pPr>
        <w:spacing w:after="100" w:afterAutospacing="1" w:line="480" w:lineRule="auto"/>
        <w:rPr>
          <w:rFonts w:eastAsia="Times New Roman" w:cstheme="minorHAnsi"/>
          <w:sz w:val="24"/>
          <w:szCs w:val="24"/>
          <w:lang w:eastAsia="en-ZA"/>
        </w:rPr>
      </w:pPr>
    </w:p>
    <w:p w14:paraId="4B22BD46" w14:textId="5F3992BE" w:rsidR="002C7606" w:rsidRDefault="002C7606" w:rsidP="00454AC3">
      <w:pPr>
        <w:spacing w:after="100" w:afterAutospacing="1" w:line="480" w:lineRule="auto"/>
        <w:rPr>
          <w:rFonts w:eastAsia="Times New Roman" w:cstheme="minorHAnsi"/>
          <w:sz w:val="24"/>
          <w:szCs w:val="24"/>
          <w:lang w:eastAsia="en-ZA"/>
        </w:rPr>
      </w:pPr>
    </w:p>
    <w:p w14:paraId="3EBF6328" w14:textId="564F021A" w:rsidR="002C7606" w:rsidRDefault="002C7606" w:rsidP="00454AC3">
      <w:pPr>
        <w:spacing w:after="100" w:afterAutospacing="1" w:line="480" w:lineRule="auto"/>
        <w:rPr>
          <w:rFonts w:eastAsia="Times New Roman" w:cstheme="minorHAnsi"/>
          <w:sz w:val="24"/>
          <w:szCs w:val="24"/>
          <w:lang w:eastAsia="en-ZA"/>
        </w:rPr>
      </w:pPr>
    </w:p>
    <w:p w14:paraId="30109216" w14:textId="208519EB" w:rsidR="002C7606" w:rsidRDefault="002C7606" w:rsidP="00454AC3">
      <w:pPr>
        <w:spacing w:after="100" w:afterAutospacing="1" w:line="480" w:lineRule="auto"/>
        <w:rPr>
          <w:rFonts w:eastAsia="Times New Roman" w:cstheme="minorHAnsi"/>
          <w:sz w:val="24"/>
          <w:szCs w:val="24"/>
          <w:lang w:eastAsia="en-ZA"/>
        </w:rPr>
      </w:pPr>
    </w:p>
    <w:p w14:paraId="2D401F8B" w14:textId="64BB4FBF" w:rsidR="002C7606" w:rsidRDefault="002C7606" w:rsidP="00454AC3">
      <w:pPr>
        <w:spacing w:after="100" w:afterAutospacing="1" w:line="480" w:lineRule="auto"/>
        <w:rPr>
          <w:rFonts w:eastAsia="Times New Roman" w:cstheme="minorHAnsi"/>
          <w:sz w:val="24"/>
          <w:szCs w:val="24"/>
          <w:lang w:eastAsia="en-ZA"/>
        </w:rPr>
      </w:pPr>
    </w:p>
    <w:p w14:paraId="00EF39A4" w14:textId="00267497" w:rsidR="002C7606" w:rsidRDefault="002C7606" w:rsidP="00454AC3">
      <w:pPr>
        <w:spacing w:after="100" w:afterAutospacing="1" w:line="480" w:lineRule="auto"/>
        <w:rPr>
          <w:rFonts w:eastAsia="Times New Roman" w:cstheme="minorHAnsi"/>
          <w:sz w:val="24"/>
          <w:szCs w:val="24"/>
          <w:lang w:eastAsia="en-ZA"/>
        </w:rPr>
      </w:pPr>
    </w:p>
    <w:p w14:paraId="5E53690B" w14:textId="77777777" w:rsidR="002C7606" w:rsidRPr="006943A2" w:rsidRDefault="002C7606" w:rsidP="00454AC3">
      <w:pPr>
        <w:spacing w:after="100" w:afterAutospacing="1" w:line="480" w:lineRule="auto"/>
        <w:rPr>
          <w:rFonts w:eastAsia="Times New Roman" w:cstheme="minorHAnsi"/>
          <w:sz w:val="24"/>
          <w:szCs w:val="24"/>
          <w:lang w:eastAsia="en-ZA"/>
        </w:rPr>
      </w:pPr>
    </w:p>
    <w:p w14:paraId="04CFCFE4" w14:textId="0591B9C5" w:rsidR="006052D9" w:rsidRPr="002E127F" w:rsidRDefault="004A0773" w:rsidP="00454AC3">
      <w:pPr>
        <w:spacing w:line="480" w:lineRule="auto"/>
        <w:rPr>
          <w:rFonts w:cstheme="minorHAnsi"/>
          <w:i/>
          <w:iCs/>
          <w:color w:val="131413"/>
          <w:sz w:val="24"/>
          <w:szCs w:val="24"/>
          <w:lang w:val="en-US"/>
        </w:rPr>
      </w:pPr>
      <w:r w:rsidRPr="00C705EA">
        <w:rPr>
          <w:rFonts w:cstheme="minorHAnsi"/>
          <w:b/>
          <w:bCs/>
          <w:color w:val="131413"/>
          <w:sz w:val="28"/>
          <w:szCs w:val="28"/>
          <w:lang w:val="en-US"/>
        </w:rPr>
        <w:lastRenderedPageBreak/>
        <w:t>Background</w:t>
      </w:r>
      <w:r w:rsidRPr="004A0773">
        <w:rPr>
          <w:rFonts w:cstheme="minorHAnsi"/>
          <w:b/>
          <w:bCs/>
          <w:color w:val="131413"/>
          <w:sz w:val="24"/>
          <w:szCs w:val="24"/>
          <w:lang w:val="en-US"/>
        </w:rPr>
        <w:t xml:space="preserve"> </w:t>
      </w:r>
    </w:p>
    <w:p w14:paraId="44EB6DDC" w14:textId="66BB8DB9" w:rsidR="007812A7" w:rsidRPr="006943A2" w:rsidRDefault="004A0773" w:rsidP="00454AC3">
      <w:pPr>
        <w:pStyle w:val="Standard"/>
        <w:spacing w:after="240" w:line="480" w:lineRule="auto"/>
        <w:jc w:val="both"/>
        <w:rPr>
          <w:rFonts w:ascii="Calibri" w:hAnsi="Calibri" w:cs="Calibri"/>
        </w:rPr>
      </w:pPr>
      <w:r>
        <w:rPr>
          <w:rFonts w:ascii="Calibri" w:hAnsi="Calibri" w:cs="Calibri"/>
        </w:rPr>
        <w:t xml:space="preserve">Pyrazinamide (PZA) is a key component of modern therapy for tuberculosis (TB). It is considered an essential first-line drug and may also be used as part of treatment for multi-drug resistant disease (MDR TB). First introduced in the 1950s, its mechanism of action remains </w:t>
      </w:r>
      <w:r w:rsidR="00134F18">
        <w:rPr>
          <w:rFonts w:ascii="Calibri" w:hAnsi="Calibri" w:cs="Calibri"/>
        </w:rPr>
        <w:t>poorly understood</w:t>
      </w:r>
      <w:r>
        <w:rPr>
          <w:rFonts w:ascii="Calibri" w:hAnsi="Calibri" w:cs="Calibri"/>
        </w:rPr>
        <w:t xml:space="preserve"> and appears to be highly dependent on ambient pH</w:t>
      </w:r>
      <w:r w:rsidR="00134F18">
        <w:rPr>
          <w:rFonts w:ascii="Calibri" w:hAnsi="Calibri" w:cs="Calibri"/>
        </w:rPr>
        <w:t xml:space="preserve"> at the site of action</w:t>
      </w:r>
      <w:r>
        <w:rPr>
          <w:rFonts w:ascii="Calibri" w:hAnsi="Calibri" w:cs="Calibri"/>
        </w:rPr>
        <w:t xml:space="preserve">. PZA may be a pro-drug, undergoing conversion </w:t>
      </w:r>
      <w:r>
        <w:rPr>
          <w:rFonts w:ascii="Calibri" w:hAnsi="Calibri" w:cs="Calibri"/>
          <w:i/>
          <w:iCs/>
        </w:rPr>
        <w:t>in vivo</w:t>
      </w:r>
      <w:r>
        <w:rPr>
          <w:rFonts w:ascii="Calibri" w:hAnsi="Calibri" w:cs="Calibri"/>
        </w:rPr>
        <w:t xml:space="preserve"> to pyrazinoic acid (POA)</w:t>
      </w:r>
      <w:r w:rsidR="00220C90">
        <w:rPr>
          <w:rFonts w:ascii="Calibri" w:hAnsi="Calibri" w:cs="Calibri"/>
        </w:rPr>
        <w:fldChar w:fldCharType="begin"/>
      </w:r>
      <w:r w:rsidR="002B6C3D">
        <w:rPr>
          <w:rFonts w:ascii="Calibri" w:hAnsi="Calibri" w:cs="Calibri"/>
        </w:rPr>
        <w:instrText xml:space="preserve"> ADDIN ZOTERO_ITEM CSL_CITATION {"citationID":"4bnA2LUZ","properties":{"formattedCitation":"(1)","plainCitation":"(1)","noteIndex":0},"citationItems":[{"id":3,"uris":["http://zotero.org/users/local/VycG0cvr/items/YBQJ2822"],"uri":["http://zotero.org/users/local/VycG0cvr/items/YBQJ2822"],"itemData":{"id":3,"type":"article-journal","title":"The curious characteristics of pyrazinamide: a review","container-title":"The International Journal of Tuberculosis and Lung Disease: The Official Journal of the International Union Against Tuberculosis and Lung Disease","page":"6-21","volume":"7","issue":"1","source":"PubMed","abstract":"Pyrazinamide (PZA) is an important sterilising tuberculosis drug that helps to shorten the duration of current chemotherapy regimens for tuberculosis. When first discovered, it had activity in murine tuberculosis but no apparent in vitro activity, and its subsequent use in treatment depended largely on classic experiments at Cornell University, which showed its requirement for an acid pH for activity and its sterilising activity in the mouse. Recent studies have shown that PZA enters Mycobacterium tuberculosis by passive diffusion, is converted to pyrazinoic acid (POA) by nicotinamidase/pyrazinamidase (PZase) and is then excreted by a weak efflux pump. Protonated POA (HPOA) is reabsorbed into the bacilli under acid conditions and accumulates because the efflux pump is inefficient, causing cellular damage. Unlike other antibacterials, PZA has no defined target of action. PZA is more active against old than against actively growing cultures, probably because the energy production and efflux pump would be slowed down by low bacterial metabolism. This review deals with the activity of PZA in vitro, in macrophages and in animal models. It describes the evidence from clinical trials that it is an effective sterilising drug that acts synergistically with rifampicin. The highly diverse mutations in the PZase gene (pncA) that lead to loss of PZase activity cause PZA resistance. Methods for susceptibility determination either as tests against PZA or nicotinamide in liquid and solid media, as tests for PZase activity or for mutations in pncA, are reviewed.","ISSN":"1027-3719","note":"PMID: 12701830","title-short":"The curious characteristics of pyrazinamide","journalAbbreviation":"Int. J. Tuberc. Lung Dis.","language":"eng","author":[{"family":"Zhang","given":"Y."},{"family":"Mitchison","given":"D."}],"issued":{"date-parts":[["2003",1]]}}}],"schema":"https://github.com/citation-style-language/schema/raw/master/csl-citation.json"} </w:instrText>
      </w:r>
      <w:r w:rsidR="00220C90">
        <w:rPr>
          <w:rFonts w:ascii="Calibri" w:hAnsi="Calibri" w:cs="Calibri"/>
        </w:rPr>
        <w:fldChar w:fldCharType="separate"/>
      </w:r>
      <w:r w:rsidR="00B4224E" w:rsidRPr="00B4224E">
        <w:rPr>
          <w:rFonts w:ascii="Calibri" w:hAnsi="Calibri" w:cs="Calibri"/>
        </w:rPr>
        <w:t>(1)</w:t>
      </w:r>
      <w:r w:rsidR="00220C90">
        <w:rPr>
          <w:rFonts w:ascii="Calibri" w:hAnsi="Calibri" w:cs="Calibri"/>
        </w:rPr>
        <w:fldChar w:fldCharType="end"/>
      </w:r>
      <w:r>
        <w:rPr>
          <w:rFonts w:ascii="Calibri" w:hAnsi="Calibri" w:cs="Calibri"/>
        </w:rPr>
        <w:t xml:space="preserve">. Resistance to PZA is correlated with numerous mutations in the mycobacterial </w:t>
      </w:r>
      <w:r>
        <w:rPr>
          <w:rFonts w:ascii="Calibri" w:hAnsi="Calibri" w:cs="Calibri"/>
          <w:i/>
          <w:iCs/>
        </w:rPr>
        <w:t>pncA</w:t>
      </w:r>
      <w:r>
        <w:rPr>
          <w:rFonts w:ascii="Calibri" w:hAnsi="Calibri" w:cs="Calibri"/>
        </w:rPr>
        <w:t xml:space="preserve"> gene which codes for an amidase enzyme; PZAse, responsible for the </w:t>
      </w:r>
      <w:r w:rsidR="00824B0C">
        <w:rPr>
          <w:rFonts w:ascii="Calibri" w:hAnsi="Calibri" w:cs="Calibri"/>
        </w:rPr>
        <w:t>conversion</w:t>
      </w:r>
      <w:r>
        <w:rPr>
          <w:rFonts w:ascii="Calibri" w:hAnsi="Calibri" w:cs="Calibri"/>
        </w:rPr>
        <w:t xml:space="preserve"> of P</w:t>
      </w:r>
      <w:r w:rsidR="00824B0C">
        <w:rPr>
          <w:rFonts w:ascii="Calibri" w:hAnsi="Calibri" w:cs="Calibri"/>
        </w:rPr>
        <w:t>ZA to POA</w:t>
      </w:r>
      <w:r w:rsidR="002B6C3D">
        <w:rPr>
          <w:rFonts w:ascii="Calibri" w:hAnsi="Calibri" w:cs="Calibri"/>
          <w:vertAlign w:val="superscript"/>
        </w:rPr>
        <w:fldChar w:fldCharType="begin"/>
      </w:r>
      <w:r w:rsidR="0050044E">
        <w:rPr>
          <w:rFonts w:ascii="Calibri" w:hAnsi="Calibri" w:cs="Calibri"/>
          <w:vertAlign w:val="superscript"/>
        </w:rPr>
        <w:instrText xml:space="preserve"> ADDIN ZOTERO_ITEM CSL_CITATION {"citationID":"xYCo7hkz","properties":{"formattedCitation":"(2)","plainCitation":"(2)","noteIndex":0},"citationItems":[{"id":6,"uris":["http://zotero.org/users/local/VycG0cvr/items/AGUHB6C8"],"uri":["http://zotero.org/users/local/VycG0cvr/items/AGUHB6C8"],"itemData":{"id":6,"type":"article-journal","title":"Mutation in pncA is a major mechanism of pyrazinamide resistance in Mycobacterium tuberculosis","container-title":"Tubercle and Lung Disease: The Official Journal of the International Union Against Tuberculosis and Lung Disease","page":"117-122","volume":"78","issue":"2","source":"PubMed","abstract":"OBJECTIVE: To characterize the correlation of the mutations in the pncA gene encoding pyrazinamidase (PZase) of Mycobacterium tuberculosis to a loss of PZase activity and development of pyrazinamide (PZA) resistance.\nDESIGN: The association of PZase activity, minimum inhibitory concentrations (MICs), and mutations in the pncA gene of M. tuberculosis isolated in mostly Asian countries was investigated.\nRESULTS: One hundred thirty-five out of 168 isolates were PZase positive, and 33 were negative. The MICs of PZA at pH 6.0 were over 400 micrograms/ml for all 33 PZase-negative isolates, while those of PZase-positive isolates were equal to or less than 200 micrograms/ml. Among 33 PZase-negative isolates sequenced, 32 (97%) had mutations within the pncA gene. A mutation was seen in various regions throughout the pncA gene. It was surprising that all three strains of in vitro selected PZA resistant mutants were PZase-positive and showed no change in the pncA gene. These results indicate that additional mechanisms may be involved in PZA resistance. No mutations were observed in all of 135 PZase-positive M. tuberculosis isolates tested, indicating that mutations in the pncA gene could be involved in the loss of PZase activity.\nCONCLUSIONS: Sequencing analysis of the pncA gene should provide rapid diagnosis of PZA resistant clinical isolates of M. tuberculosis.","ISSN":"0962-8479","note":"PMID: 9692180","journalAbbreviation":"Tuber. Lung Dis.","language":"eng","author":[{"family":"Hirano","given":"K."},{"family":"Takahashi","given":"M."},{"family":"Kazumi","given":"Y."},{"family":"Fukasawa","given":"Y."},{"family":"Abe","given":"C."}],"issued":{"date-parts":[["1997"]]}}}],"schema":"https://github.com/citation-style-language/schema/raw/master/csl-citation.json"} </w:instrText>
      </w:r>
      <w:r w:rsidR="002B6C3D">
        <w:rPr>
          <w:rFonts w:ascii="Calibri" w:hAnsi="Calibri" w:cs="Calibri"/>
          <w:vertAlign w:val="superscript"/>
        </w:rPr>
        <w:fldChar w:fldCharType="separate"/>
      </w:r>
      <w:r w:rsidR="00B4224E" w:rsidRPr="00B4224E">
        <w:rPr>
          <w:rFonts w:ascii="Calibri" w:hAnsi="Calibri" w:cs="Calibri"/>
        </w:rPr>
        <w:t>(2)</w:t>
      </w:r>
      <w:r w:rsidR="002B6C3D">
        <w:rPr>
          <w:rFonts w:ascii="Calibri" w:hAnsi="Calibri" w:cs="Calibri"/>
          <w:vertAlign w:val="superscript"/>
        </w:rPr>
        <w:fldChar w:fldCharType="end"/>
      </w:r>
      <w:r>
        <w:rPr>
          <w:rFonts w:ascii="Calibri" w:hAnsi="Calibri" w:cs="Calibri"/>
        </w:rPr>
        <w:t>. Initial development of PZA suggested that it was associated with significant hepatotoxicity</w:t>
      </w:r>
      <w:r w:rsidR="000006F0">
        <w:rPr>
          <w:rFonts w:ascii="Calibri" w:hAnsi="Calibri" w:cs="Calibri"/>
        </w:rPr>
        <w:t xml:space="preserve"> at the doses used</w:t>
      </w:r>
      <w:r w:rsidR="0050044E">
        <w:rPr>
          <w:rFonts w:ascii="Calibri" w:hAnsi="Calibri" w:cs="Calibri"/>
          <w:vertAlign w:val="superscript"/>
        </w:rPr>
        <w:fldChar w:fldCharType="begin"/>
      </w:r>
      <w:r w:rsidR="0035365C">
        <w:rPr>
          <w:rFonts w:ascii="Calibri" w:hAnsi="Calibri" w:cs="Calibri"/>
          <w:vertAlign w:val="superscript"/>
        </w:rPr>
        <w:instrText xml:space="preserve"> ADDIN ZOTERO_ITEM CSL_CITATION {"citationID":"nsCAKB0d","properties":{"formattedCitation":"(3)","plainCitation":"(3)","noteIndex":0},"citationItems":[{"id":9,"uris":["http://zotero.org/users/local/VycG0cvr/items/RIR63GNG"],"uri":["http://zotero.org/users/local/VycG0cvr/items/RIR63GNG"],"itemData":{"id":9,"type":"article-journal","title":"Pyrazinamide and Isoniazid Used in the Treatment of Pulmonary Tuberculosis","container-title":"American review of respiratory disease","page":"348-51","volume":"81","issue":"3","author":[{"family":"","given":"Matthews JH"}],"issued":{"date-parts":[["1960"]]}}}],"schema":"https://github.com/citation-style-language/schema/raw/master/csl-citation.json"} </w:instrText>
      </w:r>
      <w:r w:rsidR="0050044E">
        <w:rPr>
          <w:rFonts w:ascii="Calibri" w:hAnsi="Calibri" w:cs="Calibri"/>
          <w:vertAlign w:val="superscript"/>
        </w:rPr>
        <w:fldChar w:fldCharType="separate"/>
      </w:r>
      <w:r w:rsidR="00B4224E" w:rsidRPr="00B4224E">
        <w:rPr>
          <w:rFonts w:ascii="Calibri" w:hAnsi="Calibri" w:cs="Calibri"/>
        </w:rPr>
        <w:t>(3)</w:t>
      </w:r>
      <w:r w:rsidR="0050044E">
        <w:rPr>
          <w:rFonts w:ascii="Calibri" w:hAnsi="Calibri" w:cs="Calibri"/>
          <w:vertAlign w:val="superscript"/>
        </w:rPr>
        <w:fldChar w:fldCharType="end"/>
      </w:r>
      <w:r>
        <w:rPr>
          <w:rFonts w:ascii="Calibri" w:hAnsi="Calibri" w:cs="Calibri"/>
        </w:rPr>
        <w:t xml:space="preserve">. Subsequent clinical trials in drug-sensitive TB (DS-TB) using a lower dose of PZA in conjunction with rifampicin demonstrated that it had an important role to play in shortening treatment, </w:t>
      </w:r>
      <w:r w:rsidR="00B2650F">
        <w:rPr>
          <w:rFonts w:ascii="Calibri" w:hAnsi="Calibri" w:cs="Calibri"/>
        </w:rPr>
        <w:t xml:space="preserve">appearing to be </w:t>
      </w:r>
      <w:r>
        <w:rPr>
          <w:rFonts w:ascii="Calibri" w:hAnsi="Calibri" w:cs="Calibri"/>
        </w:rPr>
        <w:t xml:space="preserve">particularly </w:t>
      </w:r>
      <w:r w:rsidR="00B2650F">
        <w:rPr>
          <w:rFonts w:ascii="Calibri" w:hAnsi="Calibri" w:cs="Calibri"/>
        </w:rPr>
        <w:t xml:space="preserve">active </w:t>
      </w:r>
      <w:r>
        <w:rPr>
          <w:rFonts w:ascii="Calibri" w:hAnsi="Calibri" w:cs="Calibri"/>
        </w:rPr>
        <w:t>during the first two months of treatment</w:t>
      </w:r>
      <w:r w:rsidR="004E38AC">
        <w:rPr>
          <w:rFonts w:ascii="Calibri" w:hAnsi="Calibri" w:cs="Calibri"/>
          <w:vertAlign w:val="superscript"/>
        </w:rPr>
        <w:fldChar w:fldCharType="begin"/>
      </w:r>
      <w:r w:rsidR="004E38AC">
        <w:rPr>
          <w:rFonts w:ascii="Calibri" w:hAnsi="Calibri" w:cs="Calibri"/>
          <w:vertAlign w:val="superscript"/>
        </w:rPr>
        <w:instrText xml:space="preserve"> ADDIN ZOTERO_ITEM CSL_CITATION {"citationID":"oxtl0gHa","properties":{"formattedCitation":"(4)","plainCitation":"(4)","noteIndex":0},"citationItems":[{"id":10,"uris":["http://zotero.org/users/local/VycG0cvr/items/QVTRLMV7"],"uri":["http://zotero.org/users/local/VycG0cvr/items/QVTRLMV7"],"itemData":{"id":10,"type":"article-journal","title":"Studies on the treatment of tuberculosis undertaken by the British Medical Research Council tuberculosis units, 1946-1986, with relevant subsequent publications","container-title":"The International Journal of Tuberculosis and Lung Disease: The Official Journal of the International Union Against Tuberculosis and Lung Disease","page":"S231-279","volume":"3","issue":"10 Suppl 2","source":"PubMed","ISSN":"1027-3719","note":"PMID: 10529902","journalAbbreviation":"Int. J. Tuberc. Lung Dis.","language":"eng","author":[{"family":"Fox","given":"W."},{"family":"Ellard","given":"G. A."},{"family":"Mitchison","given":"D. A."}],"issued":{"date-parts":[["1999",10]]}}}],"schema":"https://github.com/citation-style-language/schema/raw/master/csl-citation.json"} </w:instrText>
      </w:r>
      <w:r w:rsidR="004E38AC">
        <w:rPr>
          <w:rFonts w:ascii="Calibri" w:hAnsi="Calibri" w:cs="Calibri"/>
          <w:vertAlign w:val="superscript"/>
        </w:rPr>
        <w:fldChar w:fldCharType="separate"/>
      </w:r>
      <w:r w:rsidR="00B4224E" w:rsidRPr="00B4224E">
        <w:rPr>
          <w:rFonts w:ascii="Calibri" w:hAnsi="Calibri" w:cs="Calibri"/>
        </w:rPr>
        <w:t>(4)</w:t>
      </w:r>
      <w:r w:rsidR="004E38AC">
        <w:rPr>
          <w:rFonts w:ascii="Calibri" w:hAnsi="Calibri" w:cs="Calibri"/>
          <w:vertAlign w:val="superscript"/>
        </w:rPr>
        <w:fldChar w:fldCharType="end"/>
      </w:r>
      <w:r>
        <w:rPr>
          <w:rFonts w:ascii="Calibri" w:hAnsi="Calibri" w:cs="Calibri"/>
        </w:rPr>
        <w:t>. In multidrug resistant TB (MDR-TB), by contrast, PZA has been used in the absence of rifampicin for the duration of treatment and one</w:t>
      </w:r>
      <w:r w:rsidR="00B2650F">
        <w:rPr>
          <w:rFonts w:ascii="Calibri" w:hAnsi="Calibri" w:cs="Calibri"/>
        </w:rPr>
        <w:t>-</w:t>
      </w:r>
      <w:r>
        <w:rPr>
          <w:rFonts w:ascii="Calibri" w:hAnsi="Calibri" w:cs="Calibri"/>
        </w:rPr>
        <w:t>third to two-thirds of isolates are resistant to PZA in most series</w:t>
      </w:r>
      <w:r w:rsidR="004E38AC">
        <w:rPr>
          <w:rFonts w:ascii="Calibri" w:hAnsi="Calibri" w:cs="Calibri"/>
          <w:vertAlign w:val="superscript"/>
        </w:rPr>
        <w:fldChar w:fldCharType="begin"/>
      </w:r>
      <w:r w:rsidR="005B4610">
        <w:rPr>
          <w:rFonts w:ascii="Calibri" w:hAnsi="Calibri" w:cs="Calibri"/>
          <w:vertAlign w:val="superscript"/>
        </w:rPr>
        <w:instrText xml:space="preserve"> ADDIN ZOTERO_ITEM CSL_CITATION {"citationID":"5UtMYDKC","properties":{"formattedCitation":"(5)","plainCitation":"(5)","noteIndex":0},"citationItems":[{"id":13,"uris":["http://zotero.org/users/local/VycG0cvr/items/E2BY6QNP"],"uri":["http://zotero.org/users/local/VycG0cvr/items/E2BY6QNP"],"itemData":{"id":13,"type":"article-journal","title":"Population-based resistance of Mycobacterium tuberculosis isolates to pyrazinamide and fluoroquinolones: results from a multicountry surveillance project","container-title":"The Lancet. Infectious Diseases","page":"1185-1192","volume":"16","issue":"10","source":"PubMed","abstract":"BACKGROUND: Pyrazinamide and fluoroquinolones are essential antituberculosis drugs in new rifampicin-sparing regimens. However, little information about the extent of resistance to these drugs at the population level is available.\nMETHODS: In a molecular epidemiology analysis, we used population-based surveys from Azerbaijan, Bangladesh, Belarus, Pakistan, and South Africa to investigate resistance to pyrazinamide and fluoroquinolones among patients with tuberculosis. Resistance to pyrazinamide was assessed by gene sequencing with the detection of resistance-conferring mutations in the pncA gene, and susceptibility testing to fluoroquinolones was conducted using the MGIT system.\nFINDINGS: Pyrazinamide resistance was assessed in 4972 patients. Levels of resistance varied substantially in the surveyed settings (3·0-42·1%). In all settings, pyrazinamide resistance was significantly associated with rifampicin resistance. Among 5015 patients who underwent susceptibility testing to fluoroquinolones, proportions of resistance ranged from 1·0-16·6% for ofloxacin, to 0·5-12·4% for levofloxacin, and 0·9-14·6% for moxifloxacin when tested at 0·5 μg/mL. High levels of ofloxacin resistance were detected in Pakistan. Resistance to moxifloxacin and gatifloxacin when tested at 2 μg/mL was low in all countries.\nINTERPRETATION: Although pyrazinamide resistance was significantly associated with rifampicin resistance, this drug may still be effective in 19-63% of patients with rifampicin-resistant tuberculosis. Even though the high level of resistance to ofloxacin found in Pakistan is worrisome because it might be the expression of extensive and unregulated use of fluoroquinolones in some parts of Asia, the negligible levels of resistance to fourth-generation fluoroquinolones documented in all survey sites is an encouraging finding. Rational use of this class of antibiotics should therefore be ensured to preserve its effectiveness.\nFUNDING: Bill &amp; Melinda Gates Foundation, United States Agency for International Development, Global Alliance for Tuberculosis Drug Development.","DOI":"10.1016/S1473-3099(16)30190-6","ISSN":"1474-4457","note":"PMID: 27397590\nPMCID: PMC5030278","title-short":"Population-based resistance of Mycobacterium tuberculosis isolates to pyrazinamide and fluoroquinolones","journalAbbreviation":"Lancet Infect Dis","language":"eng","author":[{"family":"Zignol","given":"Matteo"},{"family":"Dean","given":"Anna S."},{"family":"Alikhanova","given":"Natavan"},{"family":"Andres","given":"Sönke"},{"family":"Cabibbe","given":"Andrea Maurizio"},{"family":"Cirillo","given":"Daniela Maria"},{"family":"Dadu","given":"Andrei"},{"family":"Dreyer","given":"Andries"},{"family":"Driesen","given":"Michèle"},{"family":"Gilpin","given":"Christopher"},{"family":"Hasan","given":"Rumina"},{"family":"Hasan","given":"Zahra"},{"family":"Hoffner","given":"Sven"},{"family":"Husain","given":"Ashaque"},{"family":"Hussain","given":"Alamdar"},{"family":"Ismail","given":"Nazir"},{"family":"Kamal","given":"Mostofa"},{"family":"Mansjö","given":"Mikael"},{"family":"Mvusi","given":"Lindiwe"},{"family":"Niemann","given":"Stefan"},{"family":"Omar","given":"Shaheed V."},{"family":"Qadeer","given":"Ejaz"},{"family":"Rigouts","given":"Leen"},{"family":"Ruesch-Gerdes","given":"Sabine"},{"family":"Schito","given":"Marco"},{"family":"Seyfaddinova","given":"Mehriban"},{"family":"Skrahina","given":"Alena"},{"family":"Tahseen","given":"Sabira"},{"family":"Wells","given":"William A."},{"family":"Mukadi","given":"Ya Diul"},{"family":"Kimerling","given":"Michael"},{"family":"Floyd","given":"Katherine"},{"family":"Weyer","given":"Karin"},{"family":"Raviglione","given":"Mario C."}],"issued":{"date-parts":[["2016"]]}}}],"schema":"https://github.com/citation-style-language/schema/raw/master/csl-citation.json"} </w:instrText>
      </w:r>
      <w:r w:rsidR="004E38AC">
        <w:rPr>
          <w:rFonts w:ascii="Calibri" w:hAnsi="Calibri" w:cs="Calibri"/>
          <w:vertAlign w:val="superscript"/>
        </w:rPr>
        <w:fldChar w:fldCharType="separate"/>
      </w:r>
      <w:r w:rsidR="00B4224E" w:rsidRPr="00B4224E">
        <w:rPr>
          <w:rFonts w:ascii="Calibri" w:hAnsi="Calibri" w:cs="Calibri"/>
        </w:rPr>
        <w:t>(5)</w:t>
      </w:r>
      <w:r w:rsidR="004E38AC">
        <w:rPr>
          <w:rFonts w:ascii="Calibri" w:hAnsi="Calibri" w:cs="Calibri"/>
          <w:vertAlign w:val="superscript"/>
        </w:rPr>
        <w:fldChar w:fldCharType="end"/>
      </w:r>
      <w:r>
        <w:rPr>
          <w:rFonts w:ascii="Calibri" w:hAnsi="Calibri" w:cs="Calibri"/>
        </w:rPr>
        <w:t>. There has been renewed interest in optimising current DS-TB treatment and a number of observational and randomised studies aim to identify the most efficacious regimens for MDR TB. Several lines of evidence suggest that increasing PZA dose may be one route to th</w:t>
      </w:r>
      <w:r w:rsidR="00C51DF5">
        <w:rPr>
          <w:rFonts w:ascii="Calibri" w:hAnsi="Calibri" w:cs="Calibri"/>
        </w:rPr>
        <w:t>ese</w:t>
      </w:r>
      <w:r>
        <w:rPr>
          <w:rFonts w:ascii="Calibri" w:hAnsi="Calibri" w:cs="Calibri"/>
        </w:rPr>
        <w:t xml:space="preserve"> goal</w:t>
      </w:r>
      <w:r w:rsidR="00C51DF5">
        <w:rPr>
          <w:rFonts w:ascii="Calibri" w:hAnsi="Calibri" w:cs="Calibri"/>
        </w:rPr>
        <w:t>s</w:t>
      </w:r>
      <w:r>
        <w:rPr>
          <w:rFonts w:ascii="Calibri" w:hAnsi="Calibri" w:cs="Calibri"/>
        </w:rPr>
        <w:t>. In a murine model, increasing exposure to PZA up to four-fold (by increasing dose) resulted in improved reductions in mycobacterial load</w:t>
      </w:r>
      <w:r w:rsidR="005B4610">
        <w:rPr>
          <w:rFonts w:ascii="Calibri" w:hAnsi="Calibri" w:cs="Calibri"/>
          <w:vertAlign w:val="superscript"/>
        </w:rPr>
        <w:fldChar w:fldCharType="begin"/>
      </w:r>
      <w:r w:rsidR="005B4610">
        <w:rPr>
          <w:rFonts w:ascii="Calibri" w:hAnsi="Calibri" w:cs="Calibri"/>
          <w:vertAlign w:val="superscript"/>
        </w:rPr>
        <w:instrText xml:space="preserve"> ADDIN ZOTERO_ITEM CSL_CITATION {"citationID":"ixAxv6i7","properties":{"formattedCitation":"(6)","plainCitation":"(6)","noteIndex":0},"citationItems":[{"id":17,"uris":["http://zotero.org/users/local/VycG0cvr/items/EL9QUK3B"],"uri":["http://zotero.org/users/local/VycG0cvr/items/EL9QUK3B"],"itemData":{"id":17,"type":"article-journal","title":"Pharmacokinetics-pharmacodynamics of pyrazinamide in a novel in vitro model of tuberculosis for sterilizing effect: a paradigm for faster assessment of new antituberculosis drugs","container-title":"Antimicrobial Agents and Chemotherapy","page":"3197-3204","volume":"53","issue":"8","source":"PubMed","abstract":"There are currently renewed efforts to develop drugs that could shorten the duration of antituberculosis therapy. This is best achieved by optimizing the sterilizing effect. However, the current pathway for the development of new molecules with the potential to have a sterilizing effect is inefficient. We designed an in vitro pharmacokinetic-pharmacodynamic model in which Mycobacterium tuberculosis replicating slowly at pH 5.8 was exposed to pyrazinamide by use of the concentration-time profiles encountered in patients. The sterilizing effect rates and the time to the emergence of drug resistance were examined. Daily pyrazinamide dosing for 28 days accurately achieved (i) the pyrazinamide pharmacokinetic parameters, (ii) the lack of early bactericidal activity, (iii) a sterilizing effect rate of 0.10 log(10) CFU/ml per day starting on day 6 of therapy, and (iv) a time to the emergence of resistance of the from 2 to 3 weeks of monotherapy encountered in patients with tuberculosis. Next, dose-scheduling studies were performed. The sterilizing effect was linked to the pyrazinamide ratio of the area under the concentration-time curve from 0 to 24 h (AUC(0-24)) to the MIC (r(2) = 0.80 to 0.90), with 90% of the maximal effect being achieved by an AUC(0-24)/MIC of 209.08. Resistance suppression was associated with the percentage of time that the concentration persisted above the MIC (r(2) = 0.73 to 0.91). Monte Carlo simulations of 10,000 patients demonstrated that the currently recommended pyrazinamide doses (15 to 30 mg/kg of body weight/day) achieved the AUC(0-24)/MIC of 209.08 in the epithelial lining fluid of only 15.1 to 53.3% of patients. Doses of &gt;60 mg/kg per day performed better. Our vitro model for the sterilizing effect, together with Monte Carlo simulations, can be used for the faster identification of the clinical doses that are needed to achieve a sterilizing effect and that can then be studied in clinical trials.","DOI":"10.1128/AAC.01681-08","ISSN":"1098-6596","note":"PMID: 19451303\nPMCID: PMC2715614","title-short":"Pharmacokinetics-pharmacodynamics of pyrazinamide in a novel in vitro model of tuberculosis for sterilizing effect","journalAbbreviation":"Antimicrob. Agents Chemother.","language":"eng","author":[{"family":"Gumbo","given":"Tawanda"},{"family":"Dona","given":"Chandima S. W. Siyambalapitiyage"},{"family":"Meek","given":"Claudia"},{"family":"Leff","given":"Richard"}],"issued":{"date-parts":[["2009",8]]}}}],"schema":"https://github.com/citation-style-language/schema/raw/master/csl-citation.json"} </w:instrText>
      </w:r>
      <w:r w:rsidR="005B4610">
        <w:rPr>
          <w:rFonts w:ascii="Calibri" w:hAnsi="Calibri" w:cs="Calibri"/>
          <w:vertAlign w:val="superscript"/>
        </w:rPr>
        <w:fldChar w:fldCharType="separate"/>
      </w:r>
      <w:r w:rsidR="00B4224E" w:rsidRPr="00B4224E">
        <w:rPr>
          <w:rFonts w:ascii="Calibri" w:hAnsi="Calibri" w:cs="Calibri"/>
        </w:rPr>
        <w:t>(6)</w:t>
      </w:r>
      <w:r w:rsidR="005B4610">
        <w:rPr>
          <w:rFonts w:ascii="Calibri" w:hAnsi="Calibri" w:cs="Calibri"/>
          <w:vertAlign w:val="superscript"/>
        </w:rPr>
        <w:fldChar w:fldCharType="end"/>
      </w:r>
      <w:r>
        <w:rPr>
          <w:rFonts w:ascii="Calibri" w:hAnsi="Calibri" w:cs="Calibri"/>
        </w:rPr>
        <w:t xml:space="preserve">. In patients, current dosing guidelines result in below ‘target’ concentrations, with low PZA exposure predicting </w:t>
      </w:r>
      <w:r w:rsidR="00B75560">
        <w:rPr>
          <w:rFonts w:ascii="Calibri" w:hAnsi="Calibri" w:cs="Calibri"/>
        </w:rPr>
        <w:t xml:space="preserve">clinical </w:t>
      </w:r>
      <w:r>
        <w:rPr>
          <w:rFonts w:ascii="Calibri" w:hAnsi="Calibri" w:cs="Calibri"/>
        </w:rPr>
        <w:t>outcome</w:t>
      </w:r>
      <w:r w:rsidR="005B4610">
        <w:rPr>
          <w:rFonts w:ascii="Calibri" w:hAnsi="Calibri" w:cs="Calibri"/>
          <w:vertAlign w:val="superscript"/>
        </w:rPr>
        <w:fldChar w:fldCharType="begin"/>
      </w:r>
      <w:r w:rsidR="00BD41C1">
        <w:rPr>
          <w:rFonts w:ascii="Calibri" w:hAnsi="Calibri" w:cs="Calibri"/>
          <w:vertAlign w:val="superscript"/>
        </w:rPr>
        <w:instrText xml:space="preserve"> ADDIN ZOTERO_ITEM CSL_CITATION {"citationID":"ahyJA8YA","properties":{"formattedCitation":"(7)","plainCitation":"(7)","noteIndex":0},"citationItems":[{"id":21,"uris":["http://zotero.org/users/local/VycG0cvr/items/MU7ZATH5"],"uri":["http://zotero.org/users/local/VycG0cvr/items/MU7ZATH5"],"itemData":{"id":21,"type":"article-journal","title":"Serum drug concentrations predictive of pulmonary tuberculosis outcomes","container-title":"The Journal of Infectious Diseases","page":"1464-1473","volume":"208","issue":"9","source":"PubMed","abstract":"BACKGROUND: Based on a hollow-fiber system model of tuberculosis, we hypothesize that microbiologic failure and acquired drug resistance are primarily driven by low drug concentrations that result from pharmacokinetic variability.\nMETHODS: Clinical and pharmacokinetic data were prospectively collected from 142 tuberculosis patients in Western Cape, South Africa. Compartmental pharmacokinetic parameters of isoniazid, rifampin, and pyrazinamide were identified for each patient. Patients were then followed for up to 2 years. Classification and regression tree analysis was used to identify and rank clinical predictors of poor long-term outcome such as microbiologic failure or death, or relapse.\nRESULTS: Drug concentrations and pharmacokinetics varied widely between patients. Poor long-term outcomes were encountered in 35 (25%) patients. The 3 top predictors of poor long-term outcome, by rank of importance, were a pyrazinamide 24-hour area under the concentration-time curve (AUC) ≤ 363 mg·h/L, rifampin AUC ≤ 13 mg·h/L, and isoniazid AUC ≤ 52 mg·h/L. Poor outcomes were encountered in 32/78 patients with the AUC of at least 1 drug below the identified threshold vs 3/64 without (odds ratio = 14.14; 95% confidence interval, 4.08-49.08). Low rifampin and isoniazid peak and AUC concentrations preceded all cases of acquired drug resistance.\nCONCLUSIONS: Low drug AUCs are predictive of clinical outcomes in tuberculosis patients.","DOI":"10.1093/infdis/jit352","ISSN":"1537-6613","note":"PMID: 23901086\nPMCID: PMC3789573","journalAbbreviation":"J. Infect. Dis.","language":"eng","author":[{"family":"Pasipanodya","given":"Jotam G."},{"family":"McIlleron","given":"Helen"},{"family":"Burger","given":"André"},{"family":"Wash","given":"Peter A."},{"family":"Smith","given":"Peter"},{"family":"Gumbo","given":"Tawanda"}],"issued":{"date-parts":[["2013",11,1]]}}}],"schema":"https://github.com/citation-style-language/schema/raw/master/csl-citation.json"} </w:instrText>
      </w:r>
      <w:r w:rsidR="005B4610">
        <w:rPr>
          <w:rFonts w:ascii="Calibri" w:hAnsi="Calibri" w:cs="Calibri"/>
          <w:vertAlign w:val="superscript"/>
        </w:rPr>
        <w:fldChar w:fldCharType="separate"/>
      </w:r>
      <w:r w:rsidR="00B4224E" w:rsidRPr="00B4224E">
        <w:rPr>
          <w:rFonts w:ascii="Calibri" w:hAnsi="Calibri" w:cs="Calibri"/>
        </w:rPr>
        <w:t>(7)</w:t>
      </w:r>
      <w:r w:rsidR="005B4610">
        <w:rPr>
          <w:rFonts w:ascii="Calibri" w:hAnsi="Calibri" w:cs="Calibri"/>
          <w:vertAlign w:val="superscript"/>
        </w:rPr>
        <w:fldChar w:fldCharType="end"/>
      </w:r>
      <w:r>
        <w:rPr>
          <w:rFonts w:ascii="Calibri" w:hAnsi="Calibri" w:cs="Calibri"/>
        </w:rPr>
        <w:t xml:space="preserve">. At least some of the studies which demonstrated PZA’s treatment-shortening effect used </w:t>
      </w:r>
      <w:bookmarkStart w:id="3" w:name="_Hlk17320001"/>
      <w:r w:rsidR="00C74D2D">
        <w:rPr>
          <w:rFonts w:ascii="Calibri" w:hAnsi="Calibri" w:cs="Calibri"/>
        </w:rPr>
        <w:t>milligram per kilogram (</w:t>
      </w:r>
      <w:r>
        <w:rPr>
          <w:rFonts w:ascii="Calibri" w:hAnsi="Calibri" w:cs="Calibri"/>
        </w:rPr>
        <w:t>mg/kg</w:t>
      </w:r>
      <w:r w:rsidR="00C74D2D">
        <w:rPr>
          <w:rFonts w:ascii="Calibri" w:hAnsi="Calibri" w:cs="Calibri"/>
        </w:rPr>
        <w:t>)</w:t>
      </w:r>
      <w:r>
        <w:rPr>
          <w:rFonts w:ascii="Calibri" w:hAnsi="Calibri" w:cs="Calibri"/>
        </w:rPr>
        <w:t xml:space="preserve"> </w:t>
      </w:r>
      <w:bookmarkEnd w:id="3"/>
      <w:r>
        <w:rPr>
          <w:rFonts w:ascii="Calibri" w:hAnsi="Calibri" w:cs="Calibri"/>
        </w:rPr>
        <w:t>doses roughly double those in use today</w:t>
      </w:r>
      <w:r w:rsidR="00BD41C1">
        <w:rPr>
          <w:rFonts w:ascii="Calibri" w:hAnsi="Calibri" w:cs="Calibri"/>
          <w:vertAlign w:val="superscript"/>
        </w:rPr>
        <w:fldChar w:fldCharType="begin"/>
      </w:r>
      <w:r w:rsidR="005B43A5">
        <w:rPr>
          <w:rFonts w:ascii="Calibri" w:hAnsi="Calibri" w:cs="Calibri"/>
          <w:vertAlign w:val="superscript"/>
        </w:rPr>
        <w:instrText xml:space="preserve"> ADDIN ZOTERO_ITEM CSL_CITATION {"citationID":"JPeyp71z","properties":{"formattedCitation":"(8,9)","plainCitation":"(8,9)","noteIndex":0},"citationItems":[{"id":27,"uris":["http://zotero.org/users/local/VycG0cvr/items/EH4GULJY"],"uri":["http://zotero.org/users/local/VycG0cvr/items/EH4GULJY"],"itemData":{"id":27,"type":"article-journal","title":"Controlled clinical trial of short-course (6-month) regimens of chemotherapy for treatment of pulmonary tuberculosis","container-title":"Lancet (London, England)","page":"1079-1085","volume":"1","issue":"7760","source":"PubMed","ISSN":"0140-6736","note":"PMID: 4112569","journalAbbreviation":"Lancet","language":"eng","issued":{"date-parts":[["1972",5,20]]}}},{"id":25,"uris":["http://zotero.org/users/local/VycG0cvr/items/JR46C4NP"],"uri":["http://zotero.org/users/local/VycG0cvr/items/JR46C4NP"],"itemData":{"id":25,"type":"article-journal","title":"Controlled clinical trial of four short-course (6-month) regimens of chemotherapy for treatment of pulmonary tuberculosis. Third report. East African-British Medical Research Councils","container-title":"Lancet (London, England)","page":"237-240","volume":"2","issue":"7875","source":"PubMed","ISSN":"0140-6736","note":"PMID: 4135686","journalAbbreviation":"Lancet","language":"eng","issued":{"date-parts":[["1974",8,3]]}}}],"schema":"https://github.com/citation-style-language/schema/raw/master/csl-citation.json"} </w:instrText>
      </w:r>
      <w:r w:rsidR="00BD41C1">
        <w:rPr>
          <w:rFonts w:ascii="Calibri" w:hAnsi="Calibri" w:cs="Calibri"/>
          <w:vertAlign w:val="superscript"/>
        </w:rPr>
        <w:fldChar w:fldCharType="separate"/>
      </w:r>
      <w:r w:rsidR="00B4224E" w:rsidRPr="00B4224E">
        <w:rPr>
          <w:rFonts w:ascii="Calibri" w:hAnsi="Calibri" w:cs="Calibri"/>
        </w:rPr>
        <w:t>(8,9)</w:t>
      </w:r>
      <w:r w:rsidR="00BD41C1">
        <w:rPr>
          <w:rFonts w:ascii="Calibri" w:hAnsi="Calibri" w:cs="Calibri"/>
          <w:vertAlign w:val="superscript"/>
        </w:rPr>
        <w:fldChar w:fldCharType="end"/>
      </w:r>
      <w:r>
        <w:rPr>
          <w:rFonts w:ascii="Calibri" w:hAnsi="Calibri" w:cs="Calibri"/>
        </w:rPr>
        <w:t xml:space="preserve">. Interest in optimising TB regimens by increasing the dose of PZA are </w:t>
      </w:r>
      <w:r>
        <w:rPr>
          <w:rFonts w:ascii="Calibri" w:hAnsi="Calibri" w:cs="Calibri"/>
        </w:rPr>
        <w:lastRenderedPageBreak/>
        <w:t>tempered by concerns about hepatotoxicity and other adverse events. However, few formal dose-ranging studies of PZA have been reported and there has been no evaluation of the risk-benefit of the drug at differing doses. Moreover, the contribution of pyrazinamide to both efficacy and hepatotoxicity may be correlated to total exposure and hence the interaction between dose and duration may be important in making these risk-benefit analyses</w:t>
      </w:r>
      <w:r w:rsidR="005B43A5">
        <w:rPr>
          <w:rFonts w:ascii="Calibri" w:hAnsi="Calibri" w:cs="Calibri"/>
        </w:rPr>
        <w:fldChar w:fldCharType="begin"/>
      </w:r>
      <w:r w:rsidR="00740CE9">
        <w:rPr>
          <w:rFonts w:ascii="Calibri" w:hAnsi="Calibri" w:cs="Calibri"/>
        </w:rPr>
        <w:instrText xml:space="preserve"> ADDIN ZOTERO_ITEM CSL_CITATION {"citationID":"SYpGsdFk","properties":{"formattedCitation":"(10,11)","plainCitation":"(10,11)","noteIndex":0},"citationItems":[{"id":29,"uris":["http://zotero.org/users/local/VycG0cvr/items/KALVRTB5"],"uri":["http://zotero.org/users/local/VycG0cvr/items/KALVRTB5"],"itemData":{"id":29,"type":"article-journal","title":"USPHS Tuberculosis Short-Course Chemotherapy Trial 21: effectiveness, toxicity, and acceptability. The report of final results","container-title":"Annals of Internal Medicine","page":"397-406","volume":"112","issue":"6","source":"PubMed","abstract":"STUDY OBJECTIVE: To determine the effectiveness, toxicity, and acceptability of a 6-month antituberculous regimen compared with a 9-month regimen.\nDESIGN: A nonblinded, unbalanced, randomized, multicenter clinical trial.\nSETTING: Twenty-two tuberculosis clinics in public health departments and hospitals in the United States.\nPATIENTS: Patients were eligible if Mycobacterium tuberculosis, isolated from sputum cultures, was susceptible to study drugs. Of 1451 patients enrolled, 75% (617 of 823) assigned to the 6-month regimen and 71% (445 of 628) assigned to the 9-month regimen were eligible.\nINTERVENTIONS: Patients took self-administered isoniazid and rifampin daily for 24 weeks (6-month regimen) or 36 weeks (9-month regimen). In addition, patients assigned to the 6-month regimen took self-administered pyrazinamide daily during the first 8 weeks.\nRESULTS: Patients on the 6-month regimen converted more rapidly than patients on the 9-month regimen (94.6% compared with 89.9% after 16 weeks of therapy, with a difference of 4.7% [95% CI, 0.7% to 8.7%]); had similar rates of adverse drug reactions (7.7% compared with 6.4%, with a difference of 1.3% [95% CI, 0.0% to 4.6%]); had lower noncompliance rates (16.8% compared with 29.2%, with a difference of 12.4% [95% CI, 6.8% to 18.0%]); and had similar relapse rates 96 weeks after completing therapy (3.5% compared with 2.8%, with a difference of 0.7% [95% CI, 0.0% to 3.9%]). A significantly greater proportion of patients assigned to the 6-month regimen successfully completed therapy (61.4% compared with 50.6%; chi 2 = 11.976).\nCONCLUSIONS: Our results suggest that this 6-month regimen is similar in effectiveness, toxicity, and acceptability to the 9-month regimen for treating pulmonary tuberculosis.","DOI":"10.7326/0003-4819-76-3-112-6-397","ISSN":"0003-4819","note":"PMID: 2155569","title-short":"USPHS Tuberculosis Short-Course Chemotherapy Trial 21","journalAbbreviation":"Ann. Intern. Med.","language":"eng","author":[{"family":"Combs","given":"D. L."},{"family":"O'Brien","given":"R. J."},{"family":"Geiter","given":"L. J."}],"issued":{"date-parts":[["1990",3,15]]}}},{"id":31,"uris":["http://zotero.org/users/local/VycG0cvr/items/RHAFRC94"],"uri":["http://zotero.org/users/local/VycG0cvr/items/RHAFRC94"],"itemData":{"id":31,"type":"article-journal","title":"Feasibility of a fixed-dose regimen of pyrazinamide and its impact on systemic drug exposure and liver safety in patients with tuberculosis","container-title":"Antimicrobial Agents and Chemotherapy","page":"5442-5449","volume":"56","issue":"11","source":"PubMed","abstract":"Historically, dosing regimens for the treatment of tuberculosis (TB) have been proposed in an empirical manner. Dose selection has often been the result of efficacy trials in which drugs were administered regardless of the magnitude of the effect of demographic factors on drug disposition. This has created challenges for the prescription of fixed-dose combinations with novel therapeutic agents. The objectives of this investigation were to evaluate the impact of body weight on the overall systemic exposure to pyrazinamide (PZA) and to assess whether the use of one fixed dose, without adjustment according to weight, would ensure target exposure and safety requirements across the overall patient population. Using a population pharmacokinetic model, simulation scenarios were explored based on population demographics from clinical trials in TB patients and on historical hepatotoxicity data. The systemic drug exposure (area under the concentration-time curve [AUC]), peak concentrations (the maximum concentration of drug in serum [C(max)]), the time above the MIC (t &gt; MIC), and the risk of hepatotoxicity were evaluated for the current weight-banded regimen and compared to fixed doses under the assumption that pharmacokinetic differences are the primary drivers of toxicity. Evaluation of the standard weight banding reveals that more than 50% of subjects in the weight range of 45 to 55 kg remain below the proposed target exposure to PZA. In contrast, the use of a fixed 1,500-mg dose resulted in a lower proportion of subjects under the target value, with a 0.2% average overall increase in the risk of hepatotoxicity. Our results strongly support the use of a fixed-dose regimen for PZA in coformulation or combination with novel therapeutic agents.","DOI":"10.1128/AAC.05988-11","ISSN":"1098-6596","note":"PMID: 22777045\nPMCID: PMC3486525","journalAbbreviation":"Antimicrob. Agents Chemother.","language":"eng","author":[{"family":"Sahota","given":"Tarjinder"},{"family":"Della Pasqua","given":"Oscar"}],"issued":{"date-parts":[["2012",11]]}}}],"schema":"https://github.com/citation-style-language/schema/raw/master/csl-citation.json"} </w:instrText>
      </w:r>
      <w:r w:rsidR="005B43A5">
        <w:rPr>
          <w:rFonts w:ascii="Calibri" w:hAnsi="Calibri" w:cs="Calibri"/>
        </w:rPr>
        <w:fldChar w:fldCharType="separate"/>
      </w:r>
      <w:r w:rsidR="00B4224E" w:rsidRPr="00B4224E">
        <w:rPr>
          <w:rFonts w:ascii="Calibri" w:hAnsi="Calibri" w:cs="Calibri"/>
        </w:rPr>
        <w:t>(10,11)</w:t>
      </w:r>
      <w:r w:rsidR="005B43A5">
        <w:rPr>
          <w:rFonts w:ascii="Calibri" w:hAnsi="Calibri" w:cs="Calibri"/>
        </w:rPr>
        <w:fldChar w:fldCharType="end"/>
      </w:r>
      <w:r>
        <w:rPr>
          <w:rFonts w:ascii="Calibri" w:hAnsi="Calibri" w:cs="Calibri"/>
        </w:rPr>
        <w:t xml:space="preserve">. Despite the potential importance of the question, no complete synthesis and analysis of the contribution of PZA inclusion, dose and duration to efficacy and safety outcomes in TB (of all resistance patterns) is available. </w:t>
      </w:r>
      <w:r w:rsidR="00E52850">
        <w:rPr>
          <w:rFonts w:ascii="Calibri" w:hAnsi="Calibri" w:cs="Calibri"/>
        </w:rPr>
        <w:t xml:space="preserve">We aim to perform a systematic review and meta-analysis of existing clinical trials in order to address these questions. </w:t>
      </w:r>
      <w:r w:rsidR="00AC2F34">
        <w:rPr>
          <w:rFonts w:ascii="Calibri" w:hAnsi="Calibri" w:cs="Calibri"/>
        </w:rPr>
        <w:t xml:space="preserve">One meta-analysis </w:t>
      </w:r>
      <w:r w:rsidR="00D325C7">
        <w:rPr>
          <w:rFonts w:ascii="Calibri" w:hAnsi="Calibri" w:cs="Calibri"/>
        </w:rPr>
        <w:t xml:space="preserve">addressing the impact of </w:t>
      </w:r>
      <w:r w:rsidR="001A75BA">
        <w:rPr>
          <w:rFonts w:ascii="Calibri" w:hAnsi="Calibri" w:cs="Calibri"/>
        </w:rPr>
        <w:t xml:space="preserve">PZA inclusion </w:t>
      </w:r>
      <w:r w:rsidR="00836C35">
        <w:rPr>
          <w:rFonts w:ascii="Calibri" w:hAnsi="Calibri" w:cs="Calibri"/>
        </w:rPr>
        <w:t xml:space="preserve">and dose </w:t>
      </w:r>
      <w:r w:rsidR="00EF162E">
        <w:rPr>
          <w:rFonts w:ascii="Calibri" w:hAnsi="Calibri" w:cs="Calibri"/>
        </w:rPr>
        <w:t>on safety outcomes only was published almost a decade ago, but did not examine the trade-off with efficacy</w:t>
      </w:r>
      <w:r w:rsidR="001A5CDF">
        <w:rPr>
          <w:rFonts w:ascii="Calibri" w:hAnsi="Calibri" w:cs="Calibri"/>
        </w:rPr>
        <w:t xml:space="preserve">, identified only </w:t>
      </w:r>
      <w:r w:rsidR="00864067">
        <w:rPr>
          <w:rFonts w:ascii="Calibri" w:hAnsi="Calibri" w:cs="Calibri"/>
        </w:rPr>
        <w:t>29 eligible studies</w:t>
      </w:r>
      <w:r w:rsidR="00BB2FC4">
        <w:rPr>
          <w:rFonts w:ascii="Calibri" w:hAnsi="Calibri" w:cs="Calibri"/>
        </w:rPr>
        <w:t xml:space="preserve"> (our data suggest there are far more potentially eligible studies</w:t>
      </w:r>
      <w:r w:rsidR="002D03E0">
        <w:rPr>
          <w:rFonts w:ascii="Calibri" w:hAnsi="Calibri" w:cs="Calibri"/>
        </w:rPr>
        <w:fldChar w:fldCharType="begin"/>
      </w:r>
      <w:r w:rsidR="002D03E0">
        <w:rPr>
          <w:rFonts w:ascii="Calibri" w:hAnsi="Calibri" w:cs="Calibri"/>
        </w:rPr>
        <w:instrText xml:space="preserve"> ADDIN ZOTERO_ITEM CSL_CITATION {"citationID":"YwiFyNTo","properties":{"formattedCitation":"(12)","plainCitation":"(12)","noteIndex":0},"citationItems":[{"id":39,"uris":["http://zotero.org/users/local/VycG0cvr/items/424XGRCA"],"uri":["http://zotero.org/users/local/VycG0cvr/items/424XGRCA"],"itemData":{"id":39,"type":"article-journal","title":"Quality of reporting of outcomes in phase III studies of pulmonary tuberculosis: a systematic review","container-title":"Trials","page":"134","volume":"19","issue":"1","source":"PubMed","abstract":"BACKGROUND: Despite more than 60 years of clinical trials, tuberculosis (TB) still causes a high global burden of mortality and morbidity. Treatment currently requires multiple drugs in combination, taken over a prolonged period. New drugs are needed to shorten treatment duration, prevent resistance and reduce adverse events. However, to improve on current methodology in drug development, a more complete understanding of the existing clinical evidence base is required.\nMETHODS: A systematic review was undertaken to summarise outcomes reported in phase III trials of patients with newly diagnosed pulmonary TB. A systematic search of databases (PubMed, MEDLINE, EMBASE, CENTRAL and LILACs) was conducted on 30 November 2017 to retrieve relevant peer-reviewed articles. Reference lists of included studies were also searched. This systematic review considered all reported outcomes.\nRESULTS: Of 248 included studies, 229 considered \"on-treatment\" outcomes whilst 148 reported \"off-treatment\" outcomes. There was wide variation and ambiguity in the definition of reported outcomes, including their relationship to treatment and in the time points evaluated. Additional challenges were observed regarding the analysis approach taken (per protocol versus intention to treat) and the varying durations of \"intensive\" and \"continuation\" phases of treatment. Bacteriological outcomes were most frequently reported but radiological and clinical data were often included as an implicit or explicit component of the overall definition of outcome.\nCONCLUSIONS: Terminology used to define long-term outcomes in phase III trials is inconsistent, reflecting evolving differences in protocols and practices. For successful future cumulative meta-analysis, the findings of this review suggest that greater availability of individual patient data and the development of a core outcome set would be desirable. In the meantime, we propose a simple and logical approach which should facilitate combination of key evidence and inform improvements in the methodology of TB drug development and clinical trials.","DOI":"10.1186/s13063-018-2522-x","ISSN":"1745-6215","note":"PMID: 29467027\nPMCID: PMC5822642","title-short":"Quality of reporting of outcomes in phase III studies of pulmonary tuberculosis","journalAbbreviation":"Trials","language":"eng","author":[{"family":"Bonnett","given":"Laura Jayne"},{"family":"Ken-Dror","given":"Gie"},{"family":"Davies","given":"Geraint Rhys"}],"issued":{"date-parts":[["2018",2,21]]}}}],"schema":"https://github.com/citation-style-language/schema/raw/master/csl-citation.json"} </w:instrText>
      </w:r>
      <w:r w:rsidR="002D03E0">
        <w:rPr>
          <w:rFonts w:ascii="Calibri" w:hAnsi="Calibri" w:cs="Calibri"/>
        </w:rPr>
        <w:fldChar w:fldCharType="separate"/>
      </w:r>
      <w:r w:rsidR="002D03E0" w:rsidRPr="002D03E0">
        <w:rPr>
          <w:rFonts w:ascii="Calibri" w:hAnsi="Calibri" w:cs="Calibri"/>
        </w:rPr>
        <w:t>(12)</w:t>
      </w:r>
      <w:r w:rsidR="002D03E0">
        <w:rPr>
          <w:rFonts w:ascii="Calibri" w:hAnsi="Calibri" w:cs="Calibri"/>
        </w:rPr>
        <w:fldChar w:fldCharType="end"/>
      </w:r>
      <w:r w:rsidR="00BB2FC4">
        <w:rPr>
          <w:rFonts w:ascii="Calibri" w:hAnsi="Calibri" w:cs="Calibri"/>
        </w:rPr>
        <w:t>)</w:t>
      </w:r>
      <w:r w:rsidR="00864067">
        <w:rPr>
          <w:rFonts w:ascii="Calibri" w:hAnsi="Calibri" w:cs="Calibri"/>
        </w:rPr>
        <w:t xml:space="preserve"> and made no adjustments for the rest of the </w:t>
      </w:r>
      <w:r w:rsidR="001A0A41">
        <w:rPr>
          <w:rFonts w:ascii="Calibri" w:hAnsi="Calibri" w:cs="Calibri"/>
        </w:rPr>
        <w:t>drug regimen</w:t>
      </w:r>
      <w:r w:rsidR="00353A49">
        <w:rPr>
          <w:rFonts w:ascii="Calibri" w:hAnsi="Calibri" w:cs="Calibri"/>
        </w:rPr>
        <w:t>s</w:t>
      </w:r>
      <w:r w:rsidR="000C48DB">
        <w:rPr>
          <w:rFonts w:ascii="Calibri" w:hAnsi="Calibri" w:cs="Calibri"/>
        </w:rPr>
        <w:fldChar w:fldCharType="begin"/>
      </w:r>
      <w:r w:rsidR="002D03E0">
        <w:rPr>
          <w:rFonts w:ascii="Calibri" w:hAnsi="Calibri" w:cs="Calibri"/>
        </w:rPr>
        <w:instrText xml:space="preserve"> ADDIN ZOTERO_ITEM CSL_CITATION {"citationID":"bx1nxkhZ","properties":{"formattedCitation":"(13)","plainCitation":"(13)","noteIndex":0},"citationItems":[{"id":57,"uris":["http://zotero.org/users/local/VycG0cvr/items/CQXTUMEN"],"uri":["http://zotero.org/users/local/VycG0cvr/items/CQXTUMEN"],"itemData":{"id":57,"type":"article-journal","title":"Clinical and toxicodynamic evidence that high-dose pyrazinamide is not more hepatotoxic than the low doses currently used","container-title":"Antimicrobial Agents and Chemotherapy","page":"2847-2854","volume":"54","issue":"7","source":"PubMed","abstract":"Antimicrobial pharmacokinetic-pharmacodynamic studies suggest that pyrazinamide doses higher than those currently recommended may be more efficacious. However, high pyrazinamide doses are believed to be hepatotoxic. Searches for clinical trials in MEDLINE, EBSCOHOST, and the Cochrane Controlled Trial Register were made. Studies that employed pyrazinamide dose scheduling and pharmacokinetic analysis design were examined. Population pharmacokinetic modeling methods were utilized to identify parameters associated with toxicity. At an equivalent area under the concentration-time curve, the time that concentration persisted above some thresholds was associated with overall adverse events (P = 0.032), arthralgia (P = 0.089), and an elevated serum aspartate aminotransferase level at 3 months (P = 0.067). Next, a meta-analysis was utilized to compare rates of adverse events (i) between different pyrazinamide doses, (ii) between different dosing schedules, and (iii) between pyrazinamide-containing and non-pyrazinamide-containing antituberculosis regimens. The 29 studies selected were heterogeneous (Cochrane Q statistic P value of &lt;0.001; I(2) of &gt;95%). For the once-a-day dosing schedule, arthralgia was dose dependent (r(2) = 0.996). However, arthralgia was less common with intermittent dosing, consistent with the time concentration persisted above the threshold. Arthralgia was generally clinically inconsequential. The frequencies of hepatotoxicity were 0.057 (95% confidence interval [CI], 0.021 to 0.141) for pyrazinamide monotherapy, 0.044 (CI, 0.033 to 0.059) for pyrazinamide-containing combination regimens, and 0.040 (CI, 0.023 to 0.040) for non-pyrazinamide-containing combination regimens. The frequencies of hepatotoxicity were 0.042 (CI, 0.026 to 0.067) for 30 mg/kg of body weight, 0.055 (CI, 0.031 to 0.094) at 40 mg/kg, and 0.098 (CI, 0.047 to 0.193) at 60 mg/kg of pyrazinamide. Thus, high-dose pyrazinamide did not significantly increase hepatotoxicity. This suggests that a considerable portion of hepatotoxicity rates may be idiosyncratic.","DOI":"10.1128/AAC.01567-09","ISSN":"1098-6596","note":"PMID: 20439617\nPMCID: PMC2897291","journalAbbreviation":"Antimicrob. Agents Chemother.","language":"eng","author":[{"family":"Pasipanodya","given":"Jotam G."},{"family":"Gumbo","given":"Tawanda"}],"issued":{"date-parts":[["2010",7]]}}}],"schema":"https://github.com/citation-style-language/schema/raw/master/csl-citation.json"} </w:instrText>
      </w:r>
      <w:r w:rsidR="000C48DB">
        <w:rPr>
          <w:rFonts w:ascii="Calibri" w:hAnsi="Calibri" w:cs="Calibri"/>
        </w:rPr>
        <w:fldChar w:fldCharType="separate"/>
      </w:r>
      <w:r w:rsidR="002D03E0" w:rsidRPr="002D03E0">
        <w:rPr>
          <w:rFonts w:ascii="Calibri" w:hAnsi="Calibri" w:cs="Calibri"/>
        </w:rPr>
        <w:t>(13)</w:t>
      </w:r>
      <w:r w:rsidR="000C48DB">
        <w:rPr>
          <w:rFonts w:ascii="Calibri" w:hAnsi="Calibri" w:cs="Calibri"/>
        </w:rPr>
        <w:fldChar w:fldCharType="end"/>
      </w:r>
      <w:r w:rsidR="001A0A41">
        <w:rPr>
          <w:rFonts w:ascii="Calibri" w:hAnsi="Calibri" w:cs="Calibri"/>
        </w:rPr>
        <w:t xml:space="preserve">. </w:t>
      </w:r>
      <w:r w:rsidR="0036740C">
        <w:rPr>
          <w:rFonts w:ascii="Calibri" w:hAnsi="Calibri" w:cs="Calibri"/>
        </w:rPr>
        <w:t xml:space="preserve">We hope that this work will form part of the basis for </w:t>
      </w:r>
      <w:r w:rsidR="00316748">
        <w:rPr>
          <w:rFonts w:ascii="Calibri" w:hAnsi="Calibri" w:cs="Calibri"/>
        </w:rPr>
        <w:t xml:space="preserve">use, optimal dose and </w:t>
      </w:r>
      <w:r w:rsidR="00930DE2">
        <w:rPr>
          <w:rFonts w:ascii="Calibri" w:hAnsi="Calibri" w:cs="Calibri"/>
        </w:rPr>
        <w:t>duration of PZA in clinical trials of both DS-TB and MDR-TB</w:t>
      </w:r>
      <w:r w:rsidR="002A0AA8">
        <w:rPr>
          <w:rFonts w:ascii="Calibri" w:hAnsi="Calibri" w:cs="Calibri"/>
        </w:rPr>
        <w:t xml:space="preserve">. </w:t>
      </w:r>
    </w:p>
    <w:p w14:paraId="06B6718F" w14:textId="18528B7C" w:rsidR="007812A7" w:rsidRDefault="007812A7" w:rsidP="00454AC3">
      <w:pPr>
        <w:pStyle w:val="Standard"/>
        <w:spacing w:line="480" w:lineRule="auto"/>
        <w:jc w:val="both"/>
        <w:rPr>
          <w:rFonts w:ascii="Calibri" w:hAnsi="Calibri" w:cs="Calibri"/>
          <w:b/>
          <w:bCs/>
        </w:rPr>
      </w:pPr>
      <w:r w:rsidRPr="00C705EA">
        <w:rPr>
          <w:rFonts w:ascii="Calibri" w:hAnsi="Calibri" w:cs="Calibri"/>
          <w:b/>
          <w:bCs/>
        </w:rPr>
        <w:t xml:space="preserve">Objectives </w:t>
      </w:r>
    </w:p>
    <w:p w14:paraId="31BDD5FC" w14:textId="235E044B" w:rsidR="005656AB" w:rsidRPr="005656AB" w:rsidRDefault="005656AB" w:rsidP="00454AC3">
      <w:pPr>
        <w:pStyle w:val="Standard"/>
        <w:spacing w:line="480" w:lineRule="auto"/>
        <w:jc w:val="both"/>
        <w:rPr>
          <w:rFonts w:ascii="Calibri" w:hAnsi="Calibri" w:cs="Calibri"/>
        </w:rPr>
      </w:pPr>
      <w:r>
        <w:rPr>
          <w:rFonts w:ascii="Calibri" w:hAnsi="Calibri" w:cs="Calibri"/>
        </w:rPr>
        <w:t xml:space="preserve">We aim to determine whether the following </w:t>
      </w:r>
      <w:r w:rsidR="004165FC">
        <w:rPr>
          <w:rFonts w:ascii="Calibri" w:hAnsi="Calibri" w:cs="Calibri"/>
        </w:rPr>
        <w:t xml:space="preserve">are associated with improved efficacy </w:t>
      </w:r>
      <w:r w:rsidR="004165FC" w:rsidRPr="004165FC">
        <w:rPr>
          <w:rFonts w:ascii="Calibri" w:hAnsi="Calibri" w:cs="Calibri"/>
        </w:rPr>
        <w:t>or worse safety outcomes</w:t>
      </w:r>
      <w:r w:rsidR="00F84837">
        <w:rPr>
          <w:rFonts w:ascii="Calibri" w:hAnsi="Calibri" w:cs="Calibri"/>
        </w:rPr>
        <w:t xml:space="preserve"> during</w:t>
      </w:r>
      <w:r w:rsidR="00744780">
        <w:rPr>
          <w:rFonts w:ascii="Calibri" w:hAnsi="Calibri" w:cs="Calibri"/>
        </w:rPr>
        <w:t xml:space="preserve"> treatment of tuberculosis using </w:t>
      </w:r>
      <w:r w:rsidR="009529BE">
        <w:rPr>
          <w:rFonts w:ascii="Calibri" w:hAnsi="Calibri" w:cs="Calibri"/>
        </w:rPr>
        <w:t>first- or second-line</w:t>
      </w:r>
      <w:r w:rsidR="00744780">
        <w:rPr>
          <w:rFonts w:ascii="Calibri" w:hAnsi="Calibri" w:cs="Calibri"/>
        </w:rPr>
        <w:t xml:space="preserve"> regimens</w:t>
      </w:r>
      <w:r w:rsidR="000F5F89">
        <w:rPr>
          <w:rFonts w:ascii="Calibri" w:hAnsi="Calibri" w:cs="Calibri"/>
        </w:rPr>
        <w:t>:</w:t>
      </w:r>
    </w:p>
    <w:p w14:paraId="11CC7793" w14:textId="38F04553" w:rsidR="00355731" w:rsidRDefault="009529BE" w:rsidP="00454AC3">
      <w:pPr>
        <w:pStyle w:val="ListParagraph"/>
        <w:numPr>
          <w:ilvl w:val="0"/>
          <w:numId w:val="3"/>
        </w:numPr>
        <w:suppressAutoHyphens/>
        <w:autoSpaceDN w:val="0"/>
        <w:spacing w:after="0" w:line="480" w:lineRule="auto"/>
        <w:jc w:val="both"/>
        <w:textAlignment w:val="baseline"/>
        <w:rPr>
          <w:rFonts w:ascii="Calibri" w:eastAsia="Noto Sans CJK SC Regular" w:hAnsi="Calibri" w:cs="Calibri"/>
          <w:kern w:val="3"/>
          <w:sz w:val="24"/>
          <w:szCs w:val="24"/>
          <w:lang w:val="en-GB" w:eastAsia="zh-CN" w:bidi="hi-IN"/>
        </w:rPr>
      </w:pPr>
      <w:r>
        <w:rPr>
          <w:rFonts w:ascii="Calibri" w:eastAsia="Noto Sans CJK SC Regular" w:hAnsi="Calibri" w:cs="Calibri"/>
          <w:kern w:val="3"/>
          <w:sz w:val="24"/>
          <w:szCs w:val="24"/>
          <w:lang w:val="en-GB" w:eastAsia="zh-CN" w:bidi="hi-IN"/>
        </w:rPr>
        <w:t>I</w:t>
      </w:r>
      <w:r w:rsidR="009D2B90" w:rsidRPr="009D2B90">
        <w:rPr>
          <w:rFonts w:ascii="Calibri" w:eastAsia="Noto Sans CJK SC Regular" w:hAnsi="Calibri" w:cs="Calibri"/>
          <w:kern w:val="3"/>
          <w:sz w:val="24"/>
          <w:szCs w:val="24"/>
          <w:lang w:val="en-GB" w:eastAsia="zh-CN" w:bidi="hi-IN"/>
        </w:rPr>
        <w:t>nclusion</w:t>
      </w:r>
      <w:r w:rsidR="00355731">
        <w:rPr>
          <w:rFonts w:ascii="Calibri" w:eastAsia="Noto Sans CJK SC Regular" w:hAnsi="Calibri" w:cs="Calibri"/>
          <w:kern w:val="3"/>
          <w:sz w:val="24"/>
          <w:szCs w:val="24"/>
          <w:lang w:val="en-GB" w:eastAsia="zh-CN" w:bidi="hi-IN"/>
        </w:rPr>
        <w:t xml:space="preserve"> of </w:t>
      </w:r>
      <w:r w:rsidR="007402E1">
        <w:rPr>
          <w:rFonts w:ascii="Calibri" w:eastAsia="Noto Sans CJK SC Regular" w:hAnsi="Calibri" w:cs="Calibri"/>
          <w:kern w:val="3"/>
          <w:sz w:val="24"/>
          <w:szCs w:val="24"/>
          <w:lang w:val="en-GB" w:eastAsia="zh-CN" w:bidi="hi-IN"/>
        </w:rPr>
        <w:t xml:space="preserve">PZA </w:t>
      </w:r>
    </w:p>
    <w:p w14:paraId="71BF6521" w14:textId="422B833E" w:rsidR="009529BE" w:rsidRDefault="009529BE" w:rsidP="00454AC3">
      <w:pPr>
        <w:pStyle w:val="ListParagraph"/>
        <w:numPr>
          <w:ilvl w:val="0"/>
          <w:numId w:val="3"/>
        </w:numPr>
        <w:suppressAutoHyphens/>
        <w:autoSpaceDN w:val="0"/>
        <w:spacing w:after="0" w:line="480" w:lineRule="auto"/>
        <w:jc w:val="both"/>
        <w:textAlignment w:val="baseline"/>
        <w:rPr>
          <w:rFonts w:ascii="Calibri" w:eastAsia="Noto Sans CJK SC Regular" w:hAnsi="Calibri" w:cs="Calibri"/>
          <w:kern w:val="3"/>
          <w:sz w:val="24"/>
          <w:szCs w:val="24"/>
          <w:lang w:val="en-GB" w:eastAsia="zh-CN" w:bidi="hi-IN"/>
        </w:rPr>
      </w:pPr>
      <w:r>
        <w:rPr>
          <w:rFonts w:ascii="Calibri" w:eastAsia="Noto Sans CJK SC Regular" w:hAnsi="Calibri" w:cs="Calibri"/>
          <w:kern w:val="3"/>
          <w:sz w:val="24"/>
          <w:szCs w:val="24"/>
          <w:lang w:val="en-GB" w:eastAsia="zh-CN" w:bidi="hi-IN"/>
        </w:rPr>
        <w:t>D</w:t>
      </w:r>
      <w:r w:rsidR="009D2B90" w:rsidRPr="009529BE">
        <w:rPr>
          <w:rFonts w:ascii="Calibri" w:eastAsia="Noto Sans CJK SC Regular" w:hAnsi="Calibri" w:cs="Calibri"/>
          <w:kern w:val="3"/>
          <w:sz w:val="24"/>
          <w:szCs w:val="24"/>
          <w:lang w:val="en-GB" w:eastAsia="zh-CN" w:bidi="hi-IN"/>
        </w:rPr>
        <w:t>ose</w:t>
      </w:r>
      <w:r>
        <w:rPr>
          <w:rFonts w:ascii="Calibri" w:eastAsia="Noto Sans CJK SC Regular" w:hAnsi="Calibri" w:cs="Calibri"/>
          <w:kern w:val="3"/>
          <w:sz w:val="24"/>
          <w:szCs w:val="24"/>
          <w:lang w:val="en-GB" w:eastAsia="zh-CN" w:bidi="hi-IN"/>
        </w:rPr>
        <w:t xml:space="preserve"> of PZA</w:t>
      </w:r>
    </w:p>
    <w:p w14:paraId="44A57339" w14:textId="6171C837" w:rsidR="00171A2F" w:rsidRPr="006943A2" w:rsidRDefault="009529BE" w:rsidP="00454AC3">
      <w:pPr>
        <w:pStyle w:val="ListParagraph"/>
        <w:numPr>
          <w:ilvl w:val="0"/>
          <w:numId w:val="3"/>
        </w:numPr>
        <w:suppressAutoHyphens/>
        <w:autoSpaceDN w:val="0"/>
        <w:spacing w:line="480" w:lineRule="auto"/>
        <w:jc w:val="both"/>
        <w:textAlignment w:val="baseline"/>
        <w:rPr>
          <w:rFonts w:ascii="Calibri" w:eastAsia="Noto Sans CJK SC Regular" w:hAnsi="Calibri" w:cs="Calibri"/>
          <w:kern w:val="3"/>
          <w:sz w:val="24"/>
          <w:szCs w:val="24"/>
          <w:lang w:val="en-GB" w:eastAsia="zh-CN" w:bidi="hi-IN"/>
        </w:rPr>
      </w:pPr>
      <w:r>
        <w:rPr>
          <w:rFonts w:ascii="Calibri" w:eastAsia="Noto Sans CJK SC Regular" w:hAnsi="Calibri" w:cs="Calibri"/>
          <w:kern w:val="3"/>
          <w:sz w:val="24"/>
          <w:szCs w:val="24"/>
          <w:lang w:val="en-GB" w:eastAsia="zh-CN" w:bidi="hi-IN"/>
        </w:rPr>
        <w:t>D</w:t>
      </w:r>
      <w:r w:rsidR="009D2B90" w:rsidRPr="009529BE">
        <w:rPr>
          <w:rFonts w:ascii="Calibri" w:eastAsia="Noto Sans CJK SC Regular" w:hAnsi="Calibri" w:cs="Calibri"/>
          <w:kern w:val="3"/>
          <w:sz w:val="24"/>
          <w:szCs w:val="24"/>
          <w:lang w:val="en-GB" w:eastAsia="zh-CN" w:bidi="hi-IN"/>
        </w:rPr>
        <w:t xml:space="preserve">uration of PZA </w:t>
      </w:r>
    </w:p>
    <w:p w14:paraId="2B92375A" w14:textId="621D9489" w:rsidR="00462730" w:rsidRDefault="00462730" w:rsidP="00454AC3">
      <w:pPr>
        <w:pStyle w:val="Standard"/>
        <w:spacing w:line="480" w:lineRule="auto"/>
        <w:jc w:val="both"/>
        <w:rPr>
          <w:rFonts w:ascii="Calibri" w:hAnsi="Calibri" w:cs="Calibri"/>
          <w:b/>
          <w:bCs/>
          <w:sz w:val="28"/>
          <w:szCs w:val="28"/>
        </w:rPr>
      </w:pPr>
      <w:r w:rsidRPr="00C705EA">
        <w:rPr>
          <w:rFonts w:ascii="Calibri" w:hAnsi="Calibri" w:cs="Calibri"/>
          <w:b/>
          <w:bCs/>
          <w:sz w:val="28"/>
          <w:szCs w:val="28"/>
        </w:rPr>
        <w:t xml:space="preserve">Methods </w:t>
      </w:r>
    </w:p>
    <w:p w14:paraId="2D959CE4" w14:textId="670E5F5B" w:rsidR="0003045F" w:rsidRPr="0003045F" w:rsidRDefault="00103F35" w:rsidP="00454AC3">
      <w:pPr>
        <w:autoSpaceDE w:val="0"/>
        <w:autoSpaceDN w:val="0"/>
        <w:adjustRightInd w:val="0"/>
        <w:spacing w:line="480" w:lineRule="auto"/>
        <w:rPr>
          <w:rFonts w:cstheme="minorHAnsi"/>
          <w:color w:val="131413"/>
          <w:sz w:val="24"/>
          <w:szCs w:val="24"/>
        </w:rPr>
      </w:pPr>
      <w:r w:rsidRPr="00F56997">
        <w:rPr>
          <w:rFonts w:cstheme="minorHAnsi"/>
          <w:color w:val="131413"/>
          <w:sz w:val="24"/>
          <w:szCs w:val="24"/>
        </w:rPr>
        <w:t xml:space="preserve">This review </w:t>
      </w:r>
      <w:r w:rsidR="00F56997">
        <w:rPr>
          <w:rFonts w:cstheme="minorHAnsi"/>
          <w:color w:val="131413"/>
          <w:sz w:val="24"/>
          <w:szCs w:val="24"/>
        </w:rPr>
        <w:t xml:space="preserve">will be </w:t>
      </w:r>
      <w:r w:rsidRPr="00F56997">
        <w:rPr>
          <w:rFonts w:cstheme="minorHAnsi"/>
          <w:color w:val="131413"/>
          <w:sz w:val="24"/>
          <w:szCs w:val="24"/>
        </w:rPr>
        <w:t>conducted in accordance with the PRISMA statemen</w:t>
      </w:r>
      <w:r w:rsidR="00F56997">
        <w:rPr>
          <w:rFonts w:cstheme="minorHAnsi"/>
          <w:color w:val="131413"/>
          <w:sz w:val="24"/>
          <w:szCs w:val="24"/>
        </w:rPr>
        <w:t>t</w:t>
      </w:r>
      <w:r w:rsidR="00F56997">
        <w:rPr>
          <w:rFonts w:cstheme="minorHAnsi"/>
          <w:color w:val="131413"/>
          <w:sz w:val="24"/>
          <w:szCs w:val="24"/>
        </w:rPr>
        <w:fldChar w:fldCharType="begin"/>
      </w:r>
      <w:r w:rsidR="002D03E0">
        <w:rPr>
          <w:rFonts w:cstheme="minorHAnsi"/>
          <w:color w:val="131413"/>
          <w:sz w:val="24"/>
          <w:szCs w:val="24"/>
        </w:rPr>
        <w:instrText xml:space="preserve"> ADDIN ZOTERO_ITEM CSL_CITATION {"citationID":"60YLZvHd","properties":{"formattedCitation":"(14)","plainCitation":"(14)","noteIndex":0},"citationItems":[{"id":36,"uris":["http://zotero.org/users/local/VycG0cvr/items/6G4LIDGX"],"uri":["http://zotero.org/users/local/VycG0cvr/items/6G4LIDGX"],"itemData":{"id":36,"type":"article-journal","title":"Preferred reporting items for systematic reviews and meta-analyses: the PRISMA statement","container-title":"PLoS medicine","page":"e1000097","volume":"6","issue":"7","source":"PubMed","DOI":"10.1371/journal.pmed.1000097","ISSN":"1549-1676","note":"PMID: 19621072\nPMCID: PMC2707599","title-short":"Preferred reporting items for systematic reviews and meta-analyses","journalAbbreviation":"PLoS Med.","language":"eng","author":[{"family":"Moher","given":"David"},{"family":"Liberati","given":"Alessandro"},{"family":"Tetzlaff","given":"Jennifer"},{"family":"Altman","given":"Douglas G."},{"literal":"PRISMA Group"}],"issued":{"date-parts":[["2009",7,21]]}}}],"schema":"https://github.com/citation-style-language/schema/raw/master/csl-citation.json"} </w:instrText>
      </w:r>
      <w:r w:rsidR="00F56997">
        <w:rPr>
          <w:rFonts w:cstheme="minorHAnsi"/>
          <w:color w:val="131413"/>
          <w:sz w:val="24"/>
          <w:szCs w:val="24"/>
        </w:rPr>
        <w:fldChar w:fldCharType="separate"/>
      </w:r>
      <w:r w:rsidR="002D03E0" w:rsidRPr="002D03E0">
        <w:rPr>
          <w:rFonts w:ascii="Calibri" w:hAnsi="Calibri" w:cs="Calibri"/>
          <w:sz w:val="24"/>
        </w:rPr>
        <w:t>(14)</w:t>
      </w:r>
      <w:r w:rsidR="00F56997">
        <w:rPr>
          <w:rFonts w:cstheme="minorHAnsi"/>
          <w:color w:val="131413"/>
          <w:sz w:val="24"/>
          <w:szCs w:val="24"/>
        </w:rPr>
        <w:fldChar w:fldCharType="end"/>
      </w:r>
      <w:r w:rsidRPr="00F56997">
        <w:rPr>
          <w:rFonts w:cstheme="minorHAnsi"/>
          <w:color w:val="131413"/>
          <w:sz w:val="24"/>
          <w:szCs w:val="24"/>
        </w:rPr>
        <w:t>; a completed copy of the PRISMA</w:t>
      </w:r>
      <w:r w:rsidR="00206050">
        <w:rPr>
          <w:rFonts w:cstheme="minorHAnsi"/>
          <w:color w:val="131413"/>
          <w:sz w:val="24"/>
          <w:szCs w:val="24"/>
        </w:rPr>
        <w:t>-P</w:t>
      </w:r>
      <w:r w:rsidRPr="00F56997">
        <w:rPr>
          <w:rFonts w:cstheme="minorHAnsi"/>
          <w:color w:val="131413"/>
          <w:sz w:val="24"/>
          <w:szCs w:val="24"/>
        </w:rPr>
        <w:t xml:space="preserve"> checklist is</w:t>
      </w:r>
      <w:r w:rsidR="0003045F">
        <w:rPr>
          <w:rFonts w:cstheme="minorHAnsi"/>
          <w:color w:val="131413"/>
          <w:sz w:val="24"/>
          <w:szCs w:val="24"/>
        </w:rPr>
        <w:t xml:space="preserve"> </w:t>
      </w:r>
      <w:r w:rsidRPr="00F56997">
        <w:rPr>
          <w:rFonts w:cstheme="minorHAnsi"/>
          <w:color w:val="131413"/>
          <w:sz w:val="24"/>
          <w:szCs w:val="24"/>
        </w:rPr>
        <w:t xml:space="preserve">provided in </w:t>
      </w:r>
      <w:r w:rsidR="007D0985">
        <w:rPr>
          <w:rFonts w:cstheme="minorHAnsi"/>
          <w:color w:val="131413"/>
          <w:sz w:val="24"/>
          <w:szCs w:val="24"/>
        </w:rPr>
        <w:t>a</w:t>
      </w:r>
      <w:r w:rsidRPr="00F56997">
        <w:rPr>
          <w:rFonts w:cstheme="minorHAnsi"/>
          <w:color w:val="131413"/>
          <w:sz w:val="24"/>
          <w:szCs w:val="24"/>
        </w:rPr>
        <w:t>dditional fil</w:t>
      </w:r>
      <w:r w:rsidR="00F56997" w:rsidRPr="00F56997">
        <w:rPr>
          <w:rFonts w:cstheme="minorHAnsi"/>
          <w:color w:val="131413"/>
          <w:sz w:val="24"/>
          <w:szCs w:val="24"/>
        </w:rPr>
        <w:t xml:space="preserve">e </w:t>
      </w:r>
      <w:r w:rsidR="00F56997" w:rsidRPr="008B114C">
        <w:rPr>
          <w:rFonts w:cstheme="minorHAnsi"/>
          <w:color w:val="131413"/>
          <w:sz w:val="24"/>
          <w:szCs w:val="24"/>
        </w:rPr>
        <w:t>1</w:t>
      </w:r>
      <w:r w:rsidR="00F56997" w:rsidRPr="00F56997">
        <w:rPr>
          <w:rFonts w:cstheme="minorHAnsi"/>
          <w:color w:val="131413"/>
          <w:sz w:val="24"/>
          <w:szCs w:val="24"/>
        </w:rPr>
        <w:t xml:space="preserve">. </w:t>
      </w:r>
    </w:p>
    <w:p w14:paraId="3ADC1657" w14:textId="5FB0B22A" w:rsidR="00462730" w:rsidRDefault="00462730" w:rsidP="00454AC3">
      <w:pPr>
        <w:pStyle w:val="Standard"/>
        <w:spacing w:line="480" w:lineRule="auto"/>
        <w:jc w:val="both"/>
        <w:rPr>
          <w:rFonts w:ascii="Calibri" w:hAnsi="Calibri" w:cs="Calibri"/>
          <w:b/>
          <w:bCs/>
        </w:rPr>
      </w:pPr>
      <w:r w:rsidRPr="00C705EA">
        <w:rPr>
          <w:rFonts w:ascii="Calibri" w:hAnsi="Calibri" w:cs="Calibri"/>
          <w:b/>
          <w:bCs/>
        </w:rPr>
        <w:lastRenderedPageBreak/>
        <w:t xml:space="preserve">Eligibility criteria </w:t>
      </w:r>
    </w:p>
    <w:p w14:paraId="18AFDF36" w14:textId="32DA02E2" w:rsidR="0003045F" w:rsidRPr="00DA5AB3" w:rsidRDefault="000C5ED6" w:rsidP="00454AC3">
      <w:pPr>
        <w:pStyle w:val="Standard"/>
        <w:spacing w:line="480" w:lineRule="auto"/>
        <w:jc w:val="both"/>
        <w:rPr>
          <w:rFonts w:asciiTheme="minorHAnsi" w:hAnsiTheme="minorHAnsi" w:cstheme="minorHAnsi"/>
        </w:rPr>
      </w:pPr>
      <w:r w:rsidRPr="00DA5AB3">
        <w:rPr>
          <w:rFonts w:asciiTheme="minorHAnsi" w:hAnsiTheme="minorHAnsi" w:cstheme="minorHAnsi"/>
        </w:rPr>
        <w:t>For efficacy outcomes we</w:t>
      </w:r>
      <w:r w:rsidR="00C77E53" w:rsidRPr="00DA5AB3">
        <w:rPr>
          <w:rFonts w:asciiTheme="minorHAnsi" w:hAnsiTheme="minorHAnsi" w:cstheme="minorHAnsi"/>
        </w:rPr>
        <w:t xml:space="preserve"> will include </w:t>
      </w:r>
      <w:r w:rsidR="00800EC2" w:rsidRPr="00DA5AB3">
        <w:rPr>
          <w:rFonts w:asciiTheme="minorHAnsi" w:hAnsiTheme="minorHAnsi" w:cstheme="minorHAnsi"/>
        </w:rPr>
        <w:t>randomised controlled trials and quasi-randomised controlled trials</w:t>
      </w:r>
      <w:r w:rsidR="00CC5AD7" w:rsidRPr="00DA5AB3">
        <w:rPr>
          <w:rFonts w:asciiTheme="minorHAnsi" w:hAnsiTheme="minorHAnsi" w:cstheme="minorHAnsi"/>
        </w:rPr>
        <w:t xml:space="preserve"> </w:t>
      </w:r>
      <w:r w:rsidR="005662EE">
        <w:rPr>
          <w:rFonts w:asciiTheme="minorHAnsi" w:hAnsiTheme="minorHAnsi" w:cstheme="minorHAnsi"/>
        </w:rPr>
        <w:t>in</w:t>
      </w:r>
      <w:r w:rsidR="00800EC2" w:rsidRPr="00DA5AB3">
        <w:rPr>
          <w:rFonts w:asciiTheme="minorHAnsi" w:hAnsiTheme="minorHAnsi" w:cstheme="minorHAnsi"/>
        </w:rPr>
        <w:t xml:space="preserve"> </w:t>
      </w:r>
      <w:r w:rsidR="00A1705D" w:rsidRPr="00DA5AB3">
        <w:rPr>
          <w:rFonts w:asciiTheme="minorHAnsi" w:hAnsiTheme="minorHAnsi" w:cstheme="minorHAnsi"/>
        </w:rPr>
        <w:t xml:space="preserve">adults with </w:t>
      </w:r>
      <w:r w:rsidR="00343DBC" w:rsidRPr="00DA5AB3">
        <w:rPr>
          <w:rFonts w:asciiTheme="minorHAnsi" w:hAnsiTheme="minorHAnsi" w:cstheme="minorHAnsi"/>
        </w:rPr>
        <w:t xml:space="preserve">pulmonary tuberculosis </w:t>
      </w:r>
      <w:r w:rsidR="00030C30" w:rsidRPr="00DA5AB3">
        <w:rPr>
          <w:rFonts w:asciiTheme="minorHAnsi" w:hAnsiTheme="minorHAnsi" w:cstheme="minorHAnsi"/>
        </w:rPr>
        <w:t xml:space="preserve">(based on a microbiological diagnosis of positive sputum smear for </w:t>
      </w:r>
      <w:r w:rsidR="003B5B90" w:rsidRPr="00DA5AB3">
        <w:rPr>
          <w:rFonts w:asciiTheme="minorHAnsi" w:hAnsiTheme="minorHAnsi" w:cstheme="minorHAnsi"/>
        </w:rPr>
        <w:t>acid fast bacilli</w:t>
      </w:r>
      <w:r w:rsidR="000F5F89" w:rsidRPr="00DA5AB3">
        <w:rPr>
          <w:rFonts w:asciiTheme="minorHAnsi" w:hAnsiTheme="minorHAnsi" w:cstheme="minorHAnsi"/>
        </w:rPr>
        <w:t xml:space="preserve"> (AFB)</w:t>
      </w:r>
      <w:r w:rsidR="00030C30" w:rsidRPr="00DA5AB3">
        <w:rPr>
          <w:rFonts w:asciiTheme="minorHAnsi" w:hAnsiTheme="minorHAnsi" w:cstheme="minorHAnsi"/>
        </w:rPr>
        <w:t xml:space="preserve"> or</w:t>
      </w:r>
      <w:r w:rsidR="003B5B90" w:rsidRPr="00DA5AB3">
        <w:rPr>
          <w:rFonts w:asciiTheme="minorHAnsi" w:hAnsiTheme="minorHAnsi" w:cstheme="minorHAnsi"/>
        </w:rPr>
        <w:t xml:space="preserve"> mycobacterial</w:t>
      </w:r>
      <w:r w:rsidR="00030C30" w:rsidRPr="00DA5AB3">
        <w:rPr>
          <w:rFonts w:asciiTheme="minorHAnsi" w:hAnsiTheme="minorHAnsi" w:cstheme="minorHAnsi"/>
        </w:rPr>
        <w:t xml:space="preserve"> culture) whether fully drug-sensitive, isoniazid-resistant or MDR-TB</w:t>
      </w:r>
      <w:r w:rsidR="003B5B90" w:rsidRPr="00DA5AB3">
        <w:rPr>
          <w:rFonts w:asciiTheme="minorHAnsi" w:hAnsiTheme="minorHAnsi" w:cstheme="minorHAnsi"/>
        </w:rPr>
        <w:t xml:space="preserve">. For </w:t>
      </w:r>
      <w:r w:rsidR="00C92059" w:rsidRPr="00DA5AB3">
        <w:rPr>
          <w:rFonts w:asciiTheme="minorHAnsi" w:hAnsiTheme="minorHAnsi" w:cstheme="minorHAnsi"/>
        </w:rPr>
        <w:t>safety outcomes</w:t>
      </w:r>
      <w:r w:rsidR="002D03E0">
        <w:rPr>
          <w:rFonts w:asciiTheme="minorHAnsi" w:hAnsiTheme="minorHAnsi" w:cstheme="minorHAnsi"/>
        </w:rPr>
        <w:t>,</w:t>
      </w:r>
      <w:r w:rsidR="00C92059" w:rsidRPr="00DA5AB3">
        <w:rPr>
          <w:rFonts w:asciiTheme="minorHAnsi" w:hAnsiTheme="minorHAnsi" w:cstheme="minorHAnsi"/>
        </w:rPr>
        <w:t xml:space="preserve"> </w:t>
      </w:r>
      <w:r w:rsidR="00F6739E">
        <w:rPr>
          <w:rFonts w:asciiTheme="minorHAnsi" w:hAnsiTheme="minorHAnsi" w:cstheme="minorHAnsi"/>
        </w:rPr>
        <w:t xml:space="preserve">we considered that a microbiological diagnosis was not required and so </w:t>
      </w:r>
      <w:r w:rsidR="00C92059" w:rsidRPr="00DA5AB3">
        <w:rPr>
          <w:rFonts w:asciiTheme="minorHAnsi" w:hAnsiTheme="minorHAnsi" w:cstheme="minorHAnsi"/>
        </w:rPr>
        <w:t xml:space="preserve">trials with </w:t>
      </w:r>
      <w:r w:rsidR="009509C6" w:rsidRPr="00DA5AB3">
        <w:rPr>
          <w:rFonts w:asciiTheme="minorHAnsi" w:hAnsiTheme="minorHAnsi" w:cstheme="minorHAnsi"/>
        </w:rPr>
        <w:t xml:space="preserve">clinical and extra-pulmonary diagnoses of TB will be included in addition. </w:t>
      </w:r>
      <w:r w:rsidR="00972E05" w:rsidRPr="00DA5AB3">
        <w:rPr>
          <w:rFonts w:asciiTheme="minorHAnsi" w:hAnsiTheme="minorHAnsi" w:cstheme="minorHAnsi"/>
        </w:rPr>
        <w:t xml:space="preserve">To address </w:t>
      </w:r>
      <w:r w:rsidR="00146D67" w:rsidRPr="00DA5AB3">
        <w:rPr>
          <w:rFonts w:asciiTheme="minorHAnsi" w:hAnsiTheme="minorHAnsi" w:cstheme="minorHAnsi"/>
        </w:rPr>
        <w:t>the objectives of this stud</w:t>
      </w:r>
      <w:r w:rsidR="00BF47E5" w:rsidRPr="00DA5AB3">
        <w:rPr>
          <w:rFonts w:asciiTheme="minorHAnsi" w:hAnsiTheme="minorHAnsi" w:cstheme="minorHAnsi"/>
        </w:rPr>
        <w:t>y</w:t>
      </w:r>
      <w:r w:rsidR="00AA1B82" w:rsidRPr="00DA5AB3">
        <w:rPr>
          <w:rFonts w:asciiTheme="minorHAnsi" w:hAnsiTheme="minorHAnsi" w:cstheme="minorHAnsi"/>
        </w:rPr>
        <w:t xml:space="preserve">, </w:t>
      </w:r>
      <w:r w:rsidR="00597BCC">
        <w:rPr>
          <w:rFonts w:asciiTheme="minorHAnsi" w:hAnsiTheme="minorHAnsi" w:cstheme="minorHAnsi"/>
        </w:rPr>
        <w:t>trials</w:t>
      </w:r>
      <w:r w:rsidR="00AA1B82" w:rsidRPr="00DA5AB3">
        <w:rPr>
          <w:rFonts w:asciiTheme="minorHAnsi" w:hAnsiTheme="minorHAnsi" w:cstheme="minorHAnsi"/>
        </w:rPr>
        <w:t xml:space="preserve"> will be included if they </w:t>
      </w:r>
      <w:r w:rsidR="004F745D" w:rsidRPr="00DA5AB3">
        <w:rPr>
          <w:rFonts w:asciiTheme="minorHAnsi" w:hAnsiTheme="minorHAnsi" w:cstheme="minorHAnsi"/>
        </w:rPr>
        <w:t xml:space="preserve">include anti-tuberculosis </w:t>
      </w:r>
      <w:r w:rsidR="005019B2" w:rsidRPr="00DA5AB3">
        <w:rPr>
          <w:rFonts w:asciiTheme="minorHAnsi" w:hAnsiTheme="minorHAnsi" w:cstheme="minorHAnsi"/>
        </w:rPr>
        <w:t xml:space="preserve">regimens containing PZA </w:t>
      </w:r>
      <w:r w:rsidR="00B40F46">
        <w:rPr>
          <w:rFonts w:asciiTheme="minorHAnsi" w:hAnsiTheme="minorHAnsi" w:cstheme="minorHAnsi"/>
        </w:rPr>
        <w:t>and/</w:t>
      </w:r>
      <w:r w:rsidR="005019B2" w:rsidRPr="00DA5AB3">
        <w:rPr>
          <w:rFonts w:asciiTheme="minorHAnsi" w:hAnsiTheme="minorHAnsi" w:cstheme="minorHAnsi"/>
        </w:rPr>
        <w:t xml:space="preserve">or </w:t>
      </w:r>
      <w:r w:rsidR="00D53938" w:rsidRPr="00DA5AB3">
        <w:rPr>
          <w:rFonts w:asciiTheme="minorHAnsi" w:hAnsiTheme="minorHAnsi" w:cstheme="minorHAnsi"/>
        </w:rPr>
        <w:t xml:space="preserve">allow </w:t>
      </w:r>
      <w:r w:rsidR="00B10BDE" w:rsidRPr="00DA5AB3">
        <w:rPr>
          <w:rFonts w:asciiTheme="minorHAnsi" w:hAnsiTheme="minorHAnsi" w:cstheme="minorHAnsi"/>
        </w:rPr>
        <w:t>at least one of the following three comparisons:</w:t>
      </w:r>
    </w:p>
    <w:p w14:paraId="5658605F" w14:textId="26D517E5" w:rsidR="00B10BDE" w:rsidRPr="00DA5AB3" w:rsidRDefault="00B10BDE" w:rsidP="00454AC3">
      <w:pPr>
        <w:pStyle w:val="Standard"/>
        <w:numPr>
          <w:ilvl w:val="0"/>
          <w:numId w:val="4"/>
        </w:numPr>
        <w:spacing w:line="480" w:lineRule="auto"/>
        <w:jc w:val="both"/>
        <w:rPr>
          <w:rFonts w:asciiTheme="minorHAnsi" w:hAnsiTheme="minorHAnsi" w:cstheme="minorHAnsi"/>
        </w:rPr>
      </w:pPr>
      <w:r w:rsidRPr="00DA5AB3">
        <w:rPr>
          <w:rFonts w:asciiTheme="minorHAnsi" w:hAnsiTheme="minorHAnsi" w:cstheme="minorHAnsi"/>
        </w:rPr>
        <w:t>For objective 1 (inclusion vs. non</w:t>
      </w:r>
      <w:r w:rsidR="00926E90" w:rsidRPr="00DA5AB3">
        <w:rPr>
          <w:rFonts w:asciiTheme="minorHAnsi" w:hAnsiTheme="minorHAnsi" w:cstheme="minorHAnsi"/>
        </w:rPr>
        <w:t>-inclusion of PZA)</w:t>
      </w:r>
      <w:r w:rsidR="00BF3B42" w:rsidRPr="00DA5AB3">
        <w:rPr>
          <w:rFonts w:asciiTheme="minorHAnsi" w:hAnsiTheme="minorHAnsi" w:cstheme="minorHAnsi"/>
        </w:rPr>
        <w:t xml:space="preserve">; </w:t>
      </w:r>
      <w:r w:rsidR="007A442F" w:rsidRPr="00DA5AB3">
        <w:rPr>
          <w:rFonts w:asciiTheme="minorHAnsi" w:hAnsiTheme="minorHAnsi" w:cstheme="minorHAnsi"/>
        </w:rPr>
        <w:t xml:space="preserve">anti-tuberculosis treatment regimens which do not contain PZA (among which may be regimens considered otherwise </w:t>
      </w:r>
      <w:r w:rsidR="00B52D29">
        <w:rPr>
          <w:rFonts w:asciiTheme="minorHAnsi" w:hAnsiTheme="minorHAnsi" w:cstheme="minorHAnsi"/>
        </w:rPr>
        <w:t>‘</w:t>
      </w:r>
      <w:r w:rsidR="007A442F" w:rsidRPr="00DA5AB3">
        <w:rPr>
          <w:rFonts w:asciiTheme="minorHAnsi" w:hAnsiTheme="minorHAnsi" w:cstheme="minorHAnsi"/>
        </w:rPr>
        <w:t>identical</w:t>
      </w:r>
      <w:r w:rsidR="00B52D29">
        <w:rPr>
          <w:rFonts w:asciiTheme="minorHAnsi" w:hAnsiTheme="minorHAnsi" w:cstheme="minorHAnsi"/>
        </w:rPr>
        <w:t>’</w:t>
      </w:r>
      <w:r w:rsidR="007A442F" w:rsidRPr="00DA5AB3">
        <w:rPr>
          <w:rFonts w:asciiTheme="minorHAnsi" w:hAnsiTheme="minorHAnsi" w:cstheme="minorHAnsi"/>
        </w:rPr>
        <w:t>:  the same drugs at the same doses administered for a similar cumulative dose if given at different intervals).</w:t>
      </w:r>
    </w:p>
    <w:p w14:paraId="7EF29EBA" w14:textId="2DF04B96" w:rsidR="00C02F30" w:rsidRPr="00DA5AB3" w:rsidRDefault="00B77890" w:rsidP="00454AC3">
      <w:pPr>
        <w:pStyle w:val="Standard"/>
        <w:numPr>
          <w:ilvl w:val="0"/>
          <w:numId w:val="4"/>
        </w:numPr>
        <w:spacing w:line="480" w:lineRule="auto"/>
        <w:jc w:val="both"/>
        <w:rPr>
          <w:rFonts w:asciiTheme="minorHAnsi" w:hAnsiTheme="minorHAnsi" w:cstheme="minorHAnsi"/>
        </w:rPr>
      </w:pPr>
      <w:r w:rsidRPr="00DA5AB3">
        <w:rPr>
          <w:rFonts w:asciiTheme="minorHAnsi" w:hAnsiTheme="minorHAnsi" w:cstheme="minorHAnsi"/>
        </w:rPr>
        <w:t xml:space="preserve">For objective 2 (dose of PZA); anti-tuberculosis treatment regimens containing PZA at different doses. </w:t>
      </w:r>
    </w:p>
    <w:p w14:paraId="666B7599" w14:textId="735D3364" w:rsidR="00422990" w:rsidRPr="006943A2" w:rsidRDefault="003D0F95" w:rsidP="00454AC3">
      <w:pPr>
        <w:pStyle w:val="Standard"/>
        <w:numPr>
          <w:ilvl w:val="0"/>
          <w:numId w:val="4"/>
        </w:numPr>
        <w:spacing w:after="240" w:line="480" w:lineRule="auto"/>
        <w:jc w:val="both"/>
        <w:rPr>
          <w:rFonts w:asciiTheme="minorHAnsi" w:hAnsiTheme="minorHAnsi" w:cstheme="minorHAnsi"/>
        </w:rPr>
      </w:pPr>
      <w:r w:rsidRPr="00DA5AB3">
        <w:rPr>
          <w:rFonts w:asciiTheme="minorHAnsi" w:hAnsiTheme="minorHAnsi" w:cstheme="minorHAnsi"/>
        </w:rPr>
        <w:t>For objective 3 (duration of PZA); anti-tuberculosis treatment regimens in which PZA is administered for different durations</w:t>
      </w:r>
      <w:r w:rsidR="009802CA">
        <w:rPr>
          <w:rFonts w:asciiTheme="minorHAnsi" w:hAnsiTheme="minorHAnsi" w:cstheme="minorHAnsi"/>
        </w:rPr>
        <w:t xml:space="preserve"> (among which </w:t>
      </w:r>
      <w:r w:rsidR="00C122A8">
        <w:rPr>
          <w:rFonts w:asciiTheme="minorHAnsi" w:hAnsiTheme="minorHAnsi" w:cstheme="minorHAnsi"/>
        </w:rPr>
        <w:t xml:space="preserve">PZA duration may be considered </w:t>
      </w:r>
      <w:r w:rsidR="00B52D29">
        <w:rPr>
          <w:rFonts w:asciiTheme="minorHAnsi" w:hAnsiTheme="minorHAnsi" w:cstheme="minorHAnsi"/>
        </w:rPr>
        <w:t>‘</w:t>
      </w:r>
      <w:r w:rsidR="00C122A8">
        <w:rPr>
          <w:rFonts w:asciiTheme="minorHAnsi" w:hAnsiTheme="minorHAnsi" w:cstheme="minorHAnsi"/>
        </w:rPr>
        <w:t>identical’</w:t>
      </w:r>
      <w:r w:rsidR="00B52D29">
        <w:rPr>
          <w:rFonts w:asciiTheme="minorHAnsi" w:hAnsiTheme="minorHAnsi" w:cstheme="minorHAnsi"/>
        </w:rPr>
        <w:t xml:space="preserve">, if </w:t>
      </w:r>
      <w:r w:rsidR="00216495">
        <w:rPr>
          <w:rFonts w:asciiTheme="minorHAnsi" w:hAnsiTheme="minorHAnsi" w:cstheme="minorHAnsi"/>
        </w:rPr>
        <w:t>administered for a similar cumulative dose</w:t>
      </w:r>
      <w:r w:rsidR="00207E6E">
        <w:rPr>
          <w:rFonts w:asciiTheme="minorHAnsi" w:hAnsiTheme="minorHAnsi" w:cstheme="minorHAnsi"/>
        </w:rPr>
        <w:t xml:space="preserve"> during that interval</w:t>
      </w:r>
      <w:r w:rsidR="00AA5570">
        <w:rPr>
          <w:rFonts w:asciiTheme="minorHAnsi" w:hAnsiTheme="minorHAnsi" w:cstheme="minorHAnsi"/>
        </w:rPr>
        <w:t>).</w:t>
      </w:r>
      <w:bookmarkStart w:id="4" w:name="_GoBack"/>
      <w:bookmarkEnd w:id="4"/>
    </w:p>
    <w:p w14:paraId="3A4BA68A" w14:textId="22E92CE1" w:rsidR="00EA7985" w:rsidRDefault="00EA7985" w:rsidP="00454AC3">
      <w:pPr>
        <w:pStyle w:val="Standard"/>
        <w:spacing w:line="480" w:lineRule="auto"/>
        <w:jc w:val="both"/>
        <w:rPr>
          <w:rFonts w:ascii="Calibri" w:hAnsi="Calibri" w:cs="Calibri"/>
          <w:b/>
          <w:bCs/>
        </w:rPr>
      </w:pPr>
      <w:r w:rsidRPr="00EA7985">
        <w:rPr>
          <w:rFonts w:ascii="Calibri" w:hAnsi="Calibri" w:cs="Calibri"/>
          <w:b/>
          <w:bCs/>
        </w:rPr>
        <w:t>Types of outcomes</w:t>
      </w:r>
    </w:p>
    <w:p w14:paraId="2CA6AA2B" w14:textId="2BC7DB18" w:rsidR="00B730FD" w:rsidRPr="00B730FD" w:rsidRDefault="00B730FD" w:rsidP="00454AC3">
      <w:pPr>
        <w:pStyle w:val="Standard"/>
        <w:spacing w:line="480" w:lineRule="auto"/>
        <w:jc w:val="both"/>
        <w:rPr>
          <w:rFonts w:ascii="Calibri" w:hAnsi="Calibri" w:cs="Calibri"/>
        </w:rPr>
      </w:pPr>
      <w:r>
        <w:rPr>
          <w:rFonts w:ascii="Calibri" w:hAnsi="Calibri" w:cs="Calibri"/>
        </w:rPr>
        <w:t>Efficacy and safety outcomes will be assessed as follows:</w:t>
      </w:r>
    </w:p>
    <w:p w14:paraId="574EAF3E" w14:textId="7F2A969B" w:rsidR="00B730FD" w:rsidRPr="00384ABD" w:rsidRDefault="00B730FD" w:rsidP="00454AC3">
      <w:pPr>
        <w:spacing w:line="480" w:lineRule="auto"/>
        <w:rPr>
          <w:sz w:val="24"/>
          <w:szCs w:val="24"/>
          <w:lang w:val="en-GB" w:eastAsia="zh-CN" w:bidi="hi-IN"/>
        </w:rPr>
      </w:pPr>
      <w:r w:rsidRPr="00B730FD">
        <w:rPr>
          <w:i/>
          <w:iCs/>
          <w:sz w:val="24"/>
          <w:szCs w:val="24"/>
          <w:lang w:val="en-GB" w:eastAsia="zh-CN" w:bidi="hi-IN"/>
        </w:rPr>
        <w:t>Primary</w:t>
      </w:r>
      <w:r>
        <w:rPr>
          <w:i/>
          <w:iCs/>
          <w:sz w:val="24"/>
          <w:szCs w:val="24"/>
          <w:lang w:val="en-GB" w:eastAsia="zh-CN" w:bidi="hi-IN"/>
        </w:rPr>
        <w:t xml:space="preserve"> – efficacy</w:t>
      </w:r>
      <w:r w:rsidR="00384ABD">
        <w:rPr>
          <w:i/>
          <w:iCs/>
          <w:sz w:val="24"/>
          <w:szCs w:val="24"/>
          <w:lang w:val="en-GB" w:eastAsia="zh-CN" w:bidi="hi-IN"/>
        </w:rPr>
        <w:t xml:space="preserve"> </w:t>
      </w:r>
      <w:r w:rsidR="00384ABD">
        <w:rPr>
          <w:sz w:val="24"/>
          <w:szCs w:val="24"/>
          <w:lang w:val="en-GB" w:eastAsia="zh-CN" w:bidi="hi-IN"/>
        </w:rPr>
        <w:t>(as per reference</w:t>
      </w:r>
      <w:r w:rsidR="00384ABD">
        <w:rPr>
          <w:sz w:val="24"/>
          <w:szCs w:val="24"/>
          <w:lang w:val="en-GB" w:eastAsia="zh-CN" w:bidi="hi-IN"/>
        </w:rPr>
        <w:fldChar w:fldCharType="begin"/>
      </w:r>
      <w:r w:rsidR="00384ABD">
        <w:rPr>
          <w:sz w:val="24"/>
          <w:szCs w:val="24"/>
          <w:lang w:val="en-GB" w:eastAsia="zh-CN" w:bidi="hi-IN"/>
        </w:rPr>
        <w:instrText xml:space="preserve"> ADDIN ZOTERO_ITEM CSL_CITATION {"citationID":"j9Huwndz","properties":{"formattedCitation":"(12)","plainCitation":"(12)","noteIndex":0},"citationItems":[{"id":39,"uris":["http://zotero.org/users/local/VycG0cvr/items/424XGRCA"],"uri":["http://zotero.org/users/local/VycG0cvr/items/424XGRCA"],"itemData":{"id":39,"type":"article-journal","title":"Quality of reporting of outcomes in phase III studies of pulmonary tuberculosis: a systematic review","container-title":"Trials","page":"134","volume":"19","issue":"1","source":"PubMed","abstract":"BACKGROUND: Despite more than 60 years of clinical trials, tuberculosis (TB) still causes a high global burden of mortality and morbidity. Treatment currently requires multiple drugs in combination, taken over a prolonged period. New drugs are needed to shorten treatment duration, prevent resistance and reduce adverse events. However, to improve on current methodology in drug development, a more complete understanding of the existing clinical evidence base is required.\nMETHODS: A systematic review was undertaken to summarise outcomes reported in phase III trials of patients with newly diagnosed pulmonary TB. A systematic search of databases (PubMed, MEDLINE, EMBASE, CENTRAL and LILACs) was conducted on 30 November 2017 to retrieve relevant peer-reviewed articles. Reference lists of included studies were also searched. This systematic review considered all reported outcomes.\nRESULTS: Of 248 included studies, 229 considered \"on-treatment\" outcomes whilst 148 reported \"off-treatment\" outcomes. There was wide variation and ambiguity in the definition of reported outcomes, including their relationship to treatment and in the time points evaluated. Additional challenges were observed regarding the analysis approach taken (per protocol versus intention to treat) and the varying durations of \"intensive\" and \"continuation\" phases of treatment. Bacteriological outcomes were most frequently reported but radiological and clinical data were often included as an implicit or explicit component of the overall definition of outcome.\nCONCLUSIONS: Terminology used to define long-term outcomes in phase III trials is inconsistent, reflecting evolving differences in protocols and practices. For successful future cumulative meta-analysis, the findings of this review suggest that greater availability of individual patient data and the development of a core outcome set would be desirable. In the meantime, we propose a simple and logical approach which should facilitate combination of key evidence and inform improvements in the methodology of TB drug development and clinical trials.","DOI":"10.1186/s13063-018-2522-x","ISSN":"1745-6215","note":"PMID: 29467027\nPMCID: PMC5822642","title-short":"Quality of reporting of outcomes in phase III studies of pulmonary tuberculosis","journalAbbreviation":"Trials","language":"eng","author":[{"family":"Bonnett","given":"Laura Jayne"},{"family":"Ken-Dror","given":"Gie"},{"family":"Davies","given":"Geraint Rhys"}],"issued":{"date-parts":[["2018",2,21]]}}}],"schema":"https://github.com/citation-style-language/schema/raw/master/csl-citation.json"} </w:instrText>
      </w:r>
      <w:r w:rsidR="00384ABD">
        <w:rPr>
          <w:sz w:val="24"/>
          <w:szCs w:val="24"/>
          <w:lang w:val="en-GB" w:eastAsia="zh-CN" w:bidi="hi-IN"/>
        </w:rPr>
        <w:fldChar w:fldCharType="separate"/>
      </w:r>
      <w:r w:rsidR="00384ABD" w:rsidRPr="00384ABD">
        <w:rPr>
          <w:rFonts w:ascii="Calibri" w:hAnsi="Calibri" w:cs="Calibri"/>
          <w:sz w:val="24"/>
        </w:rPr>
        <w:t>(12)</w:t>
      </w:r>
      <w:r w:rsidR="00384ABD">
        <w:rPr>
          <w:sz w:val="24"/>
          <w:szCs w:val="24"/>
          <w:lang w:val="en-GB" w:eastAsia="zh-CN" w:bidi="hi-IN"/>
        </w:rPr>
        <w:fldChar w:fldCharType="end"/>
      </w:r>
      <w:r w:rsidR="00384ABD">
        <w:rPr>
          <w:sz w:val="24"/>
          <w:szCs w:val="24"/>
          <w:lang w:val="en-GB" w:eastAsia="zh-CN" w:bidi="hi-IN"/>
        </w:rPr>
        <w:t>)</w:t>
      </w:r>
    </w:p>
    <w:p w14:paraId="0913379F" w14:textId="77777777" w:rsidR="00F01AE5" w:rsidRDefault="00B730FD" w:rsidP="00454AC3">
      <w:pPr>
        <w:pStyle w:val="ListParagraph"/>
        <w:numPr>
          <w:ilvl w:val="0"/>
          <w:numId w:val="6"/>
        </w:numPr>
        <w:suppressAutoHyphens/>
        <w:autoSpaceDN w:val="0"/>
        <w:spacing w:after="200" w:line="480" w:lineRule="auto"/>
        <w:jc w:val="both"/>
        <w:textAlignment w:val="baseline"/>
        <w:rPr>
          <w:rFonts w:ascii="Calibri" w:eastAsia="Calibri" w:hAnsi="Calibri" w:cs="Times New Roman"/>
          <w:sz w:val="24"/>
          <w:lang w:val="en-GB"/>
        </w:rPr>
      </w:pPr>
      <w:r w:rsidRPr="00F01AE5">
        <w:rPr>
          <w:rFonts w:ascii="Calibri" w:eastAsia="Calibri" w:hAnsi="Calibri" w:cs="Times New Roman"/>
          <w:sz w:val="24"/>
          <w:lang w:val="en-GB"/>
        </w:rPr>
        <w:t xml:space="preserve">Treatment failure – </w:t>
      </w:r>
      <w:r w:rsidR="00F01AE5">
        <w:rPr>
          <w:rFonts w:ascii="Calibri" w:eastAsia="Calibri" w:hAnsi="Calibri" w:cs="Times New Roman"/>
          <w:sz w:val="24"/>
          <w:lang w:val="en-GB"/>
        </w:rPr>
        <w:t xml:space="preserve">mycobacterial </w:t>
      </w:r>
      <w:r w:rsidRPr="00F01AE5">
        <w:rPr>
          <w:rFonts w:ascii="Calibri" w:eastAsia="Calibri" w:hAnsi="Calibri" w:cs="Times New Roman"/>
          <w:sz w:val="24"/>
          <w:lang w:val="en-GB"/>
        </w:rPr>
        <w:t>culture positive at completion of treatment protocol</w:t>
      </w:r>
    </w:p>
    <w:p w14:paraId="71E54C08" w14:textId="3BFE7366" w:rsidR="00B730FD" w:rsidRDefault="00B730FD" w:rsidP="00454AC3">
      <w:pPr>
        <w:pStyle w:val="ListParagraph"/>
        <w:numPr>
          <w:ilvl w:val="0"/>
          <w:numId w:val="6"/>
        </w:numPr>
        <w:suppressAutoHyphens/>
        <w:autoSpaceDN w:val="0"/>
        <w:spacing w:after="200" w:line="480" w:lineRule="auto"/>
        <w:jc w:val="both"/>
        <w:textAlignment w:val="baseline"/>
        <w:rPr>
          <w:rFonts w:ascii="Calibri" w:eastAsia="Calibri" w:hAnsi="Calibri" w:cs="Times New Roman"/>
          <w:sz w:val="24"/>
          <w:lang w:val="en-GB"/>
        </w:rPr>
      </w:pPr>
      <w:r w:rsidRPr="00F01AE5">
        <w:rPr>
          <w:rFonts w:ascii="Calibri" w:eastAsia="Calibri" w:hAnsi="Calibri" w:cs="Times New Roman"/>
          <w:sz w:val="24"/>
          <w:lang w:val="en-GB"/>
        </w:rPr>
        <w:lastRenderedPageBreak/>
        <w:t xml:space="preserve">Relapse – </w:t>
      </w:r>
      <w:r w:rsidR="00F01AE5">
        <w:rPr>
          <w:rFonts w:ascii="Calibri" w:eastAsia="Calibri" w:hAnsi="Calibri" w:cs="Times New Roman"/>
          <w:sz w:val="24"/>
          <w:lang w:val="en-GB"/>
        </w:rPr>
        <w:t xml:space="preserve">mycobacterial </w:t>
      </w:r>
      <w:r w:rsidRPr="00F01AE5">
        <w:rPr>
          <w:rFonts w:ascii="Calibri" w:eastAsia="Calibri" w:hAnsi="Calibri" w:cs="Times New Roman"/>
          <w:sz w:val="24"/>
          <w:lang w:val="en-GB"/>
        </w:rPr>
        <w:t>culture negative at completion of treatment protocol but culture positive during post-treatment follow up period</w:t>
      </w:r>
    </w:p>
    <w:p w14:paraId="712D4DB4" w14:textId="140B9F81" w:rsidR="00B730FD" w:rsidRPr="00B730FD" w:rsidRDefault="00F01AE5" w:rsidP="000F7170">
      <w:pPr>
        <w:suppressAutoHyphens/>
        <w:autoSpaceDN w:val="0"/>
        <w:spacing w:after="0" w:line="480" w:lineRule="auto"/>
        <w:jc w:val="both"/>
        <w:textAlignment w:val="baseline"/>
        <w:rPr>
          <w:rFonts w:ascii="Calibri" w:eastAsia="Calibri" w:hAnsi="Calibri" w:cs="Times New Roman"/>
          <w:i/>
          <w:iCs/>
          <w:sz w:val="24"/>
          <w:lang w:val="en-GB"/>
        </w:rPr>
      </w:pPr>
      <w:r w:rsidRPr="004A19B0">
        <w:rPr>
          <w:rFonts w:ascii="Calibri" w:eastAsia="Calibri" w:hAnsi="Calibri" w:cs="Times New Roman"/>
          <w:i/>
          <w:iCs/>
          <w:sz w:val="24"/>
          <w:lang w:val="en-GB"/>
        </w:rPr>
        <w:t xml:space="preserve">Primary </w:t>
      </w:r>
      <w:r w:rsidR="004A19B0" w:rsidRPr="004A19B0">
        <w:rPr>
          <w:rFonts w:ascii="Calibri" w:eastAsia="Calibri" w:hAnsi="Calibri" w:cs="Times New Roman"/>
          <w:i/>
          <w:iCs/>
          <w:sz w:val="24"/>
          <w:lang w:val="en-GB"/>
        </w:rPr>
        <w:t>– safety</w:t>
      </w:r>
    </w:p>
    <w:p w14:paraId="04049B99" w14:textId="77777777" w:rsidR="004E5421" w:rsidRDefault="00B730FD" w:rsidP="00454AC3">
      <w:pPr>
        <w:pStyle w:val="ListParagraph"/>
        <w:numPr>
          <w:ilvl w:val="0"/>
          <w:numId w:val="7"/>
        </w:numPr>
        <w:suppressAutoHyphens/>
        <w:autoSpaceDN w:val="0"/>
        <w:spacing w:after="0" w:line="480" w:lineRule="auto"/>
        <w:textAlignment w:val="baseline"/>
        <w:rPr>
          <w:rFonts w:ascii="Calibri" w:eastAsia="Noto Sans CJK SC Regular" w:hAnsi="Calibri" w:cs="Calibri"/>
          <w:kern w:val="3"/>
          <w:sz w:val="24"/>
          <w:szCs w:val="24"/>
          <w:lang w:val="en-GB" w:eastAsia="zh-CN" w:bidi="hi-IN"/>
        </w:rPr>
      </w:pPr>
      <w:r w:rsidRPr="004A19B0">
        <w:rPr>
          <w:rFonts w:ascii="Calibri" w:eastAsia="Noto Sans CJK SC Regular" w:hAnsi="Calibri" w:cs="Calibri"/>
          <w:kern w:val="3"/>
          <w:sz w:val="24"/>
          <w:szCs w:val="24"/>
          <w:lang w:val="en-GB" w:eastAsia="zh-CN" w:bidi="hi-IN"/>
        </w:rPr>
        <w:t>Adverse events</w:t>
      </w:r>
    </w:p>
    <w:p w14:paraId="1C18578F" w14:textId="77777777" w:rsidR="004E5421" w:rsidRDefault="00B730FD" w:rsidP="00454AC3">
      <w:pPr>
        <w:pStyle w:val="ListParagraph"/>
        <w:numPr>
          <w:ilvl w:val="0"/>
          <w:numId w:val="7"/>
        </w:numPr>
        <w:suppressAutoHyphens/>
        <w:autoSpaceDN w:val="0"/>
        <w:spacing w:after="0" w:line="480" w:lineRule="auto"/>
        <w:textAlignment w:val="baseline"/>
        <w:rPr>
          <w:rFonts w:ascii="Calibri" w:eastAsia="Noto Sans CJK SC Regular" w:hAnsi="Calibri" w:cs="Calibri"/>
          <w:kern w:val="3"/>
          <w:sz w:val="24"/>
          <w:szCs w:val="24"/>
          <w:lang w:val="en-GB" w:eastAsia="zh-CN" w:bidi="hi-IN"/>
        </w:rPr>
      </w:pPr>
      <w:r w:rsidRPr="004E5421">
        <w:rPr>
          <w:rFonts w:ascii="Calibri" w:eastAsia="Noto Sans CJK SC Regular" w:hAnsi="Calibri" w:cs="Calibri"/>
          <w:kern w:val="3"/>
          <w:sz w:val="24"/>
          <w:szCs w:val="24"/>
          <w:lang w:val="en-GB" w:eastAsia="zh-CN" w:bidi="hi-IN"/>
        </w:rPr>
        <w:t>Serious adverse events</w:t>
      </w:r>
      <w:r w:rsidR="004E5421">
        <w:rPr>
          <w:rFonts w:ascii="Calibri" w:eastAsia="Noto Sans CJK SC Regular" w:hAnsi="Calibri" w:cs="Calibri"/>
          <w:kern w:val="3"/>
          <w:sz w:val="24"/>
          <w:szCs w:val="24"/>
          <w:lang w:val="en-GB" w:eastAsia="zh-CN" w:bidi="hi-IN"/>
        </w:rPr>
        <w:t xml:space="preserve"> (as defined by the investigators)</w:t>
      </w:r>
    </w:p>
    <w:p w14:paraId="0FBFA073" w14:textId="77777777" w:rsidR="004E5421" w:rsidRDefault="00B730FD" w:rsidP="00454AC3">
      <w:pPr>
        <w:pStyle w:val="ListParagraph"/>
        <w:numPr>
          <w:ilvl w:val="0"/>
          <w:numId w:val="7"/>
        </w:numPr>
        <w:suppressAutoHyphens/>
        <w:autoSpaceDN w:val="0"/>
        <w:spacing w:after="0" w:line="480" w:lineRule="auto"/>
        <w:textAlignment w:val="baseline"/>
        <w:rPr>
          <w:rFonts w:ascii="Calibri" w:eastAsia="Noto Sans CJK SC Regular" w:hAnsi="Calibri" w:cs="Calibri"/>
          <w:kern w:val="3"/>
          <w:sz w:val="24"/>
          <w:szCs w:val="24"/>
          <w:lang w:val="en-GB" w:eastAsia="zh-CN" w:bidi="hi-IN"/>
        </w:rPr>
      </w:pPr>
      <w:r w:rsidRPr="004E5421">
        <w:rPr>
          <w:rFonts w:ascii="Calibri" w:eastAsia="Noto Sans CJK SC Regular" w:hAnsi="Calibri" w:cs="Calibri"/>
          <w:kern w:val="3"/>
          <w:sz w:val="24"/>
          <w:szCs w:val="24"/>
          <w:lang w:val="en-GB" w:eastAsia="zh-CN" w:bidi="hi-IN"/>
        </w:rPr>
        <w:t>Discontinuation of PZA</w:t>
      </w:r>
    </w:p>
    <w:p w14:paraId="13CC4B6C" w14:textId="77777777" w:rsidR="004E5421" w:rsidRDefault="00B730FD" w:rsidP="00454AC3">
      <w:pPr>
        <w:pStyle w:val="ListParagraph"/>
        <w:numPr>
          <w:ilvl w:val="0"/>
          <w:numId w:val="7"/>
        </w:numPr>
        <w:suppressAutoHyphens/>
        <w:autoSpaceDN w:val="0"/>
        <w:spacing w:after="0" w:line="480" w:lineRule="auto"/>
        <w:textAlignment w:val="baseline"/>
        <w:rPr>
          <w:rFonts w:ascii="Calibri" w:eastAsia="Noto Sans CJK SC Regular" w:hAnsi="Calibri" w:cs="Calibri"/>
          <w:kern w:val="3"/>
          <w:sz w:val="24"/>
          <w:szCs w:val="24"/>
          <w:lang w:val="en-GB" w:eastAsia="zh-CN" w:bidi="hi-IN"/>
        </w:rPr>
      </w:pPr>
      <w:r w:rsidRPr="004E5421">
        <w:rPr>
          <w:rFonts w:ascii="Calibri" w:eastAsia="Noto Sans CJK SC Regular" w:hAnsi="Calibri" w:cs="Calibri"/>
          <w:kern w:val="3"/>
          <w:sz w:val="24"/>
          <w:szCs w:val="24"/>
          <w:lang w:val="en-GB" w:eastAsia="zh-CN" w:bidi="hi-IN"/>
        </w:rPr>
        <w:t>Regimen switch</w:t>
      </w:r>
    </w:p>
    <w:p w14:paraId="21E35138" w14:textId="77777777" w:rsidR="004E5421" w:rsidRDefault="00B730FD" w:rsidP="00454AC3">
      <w:pPr>
        <w:pStyle w:val="ListParagraph"/>
        <w:numPr>
          <w:ilvl w:val="0"/>
          <w:numId w:val="7"/>
        </w:numPr>
        <w:suppressAutoHyphens/>
        <w:autoSpaceDN w:val="0"/>
        <w:spacing w:after="0" w:line="480" w:lineRule="auto"/>
        <w:textAlignment w:val="baseline"/>
        <w:rPr>
          <w:rFonts w:ascii="Calibri" w:eastAsia="Noto Sans CJK SC Regular" w:hAnsi="Calibri" w:cs="Calibri"/>
          <w:kern w:val="3"/>
          <w:sz w:val="24"/>
          <w:szCs w:val="24"/>
          <w:lang w:val="en-GB" w:eastAsia="zh-CN" w:bidi="hi-IN"/>
        </w:rPr>
      </w:pPr>
      <w:r w:rsidRPr="004E5421">
        <w:rPr>
          <w:rFonts w:ascii="Calibri" w:eastAsia="Noto Sans CJK SC Regular" w:hAnsi="Calibri" w:cs="Calibri"/>
          <w:kern w:val="3"/>
          <w:sz w:val="24"/>
          <w:szCs w:val="24"/>
          <w:lang w:val="en-GB" w:eastAsia="zh-CN" w:bidi="hi-IN"/>
        </w:rPr>
        <w:t>Deaths (all cause)</w:t>
      </w:r>
    </w:p>
    <w:p w14:paraId="2F9995D0" w14:textId="004994EF" w:rsidR="00B730FD" w:rsidRPr="004E5421" w:rsidRDefault="00B730FD" w:rsidP="00454AC3">
      <w:pPr>
        <w:pStyle w:val="ListParagraph"/>
        <w:numPr>
          <w:ilvl w:val="0"/>
          <w:numId w:val="7"/>
        </w:numPr>
        <w:suppressAutoHyphens/>
        <w:autoSpaceDN w:val="0"/>
        <w:spacing w:after="0" w:line="480" w:lineRule="auto"/>
        <w:textAlignment w:val="baseline"/>
        <w:rPr>
          <w:rFonts w:ascii="Calibri" w:eastAsia="Noto Sans CJK SC Regular" w:hAnsi="Calibri" w:cs="Calibri"/>
          <w:kern w:val="3"/>
          <w:sz w:val="24"/>
          <w:szCs w:val="24"/>
          <w:lang w:val="en-GB" w:eastAsia="zh-CN" w:bidi="hi-IN"/>
        </w:rPr>
      </w:pPr>
      <w:r w:rsidRPr="004E5421">
        <w:rPr>
          <w:rFonts w:ascii="Calibri" w:eastAsia="Noto Sans CJK SC Regular" w:hAnsi="Calibri" w:cs="Calibri"/>
          <w:kern w:val="3"/>
          <w:sz w:val="24"/>
          <w:szCs w:val="24"/>
          <w:lang w:val="en-GB" w:eastAsia="zh-CN" w:bidi="hi-IN"/>
        </w:rPr>
        <w:t>Deaths (due to tuberculosis)</w:t>
      </w:r>
    </w:p>
    <w:p w14:paraId="314BE516" w14:textId="3E03F499" w:rsidR="004E5421" w:rsidRPr="00B730FD" w:rsidRDefault="004E5421" w:rsidP="00454AC3">
      <w:pPr>
        <w:suppressAutoHyphens/>
        <w:autoSpaceDN w:val="0"/>
        <w:spacing w:after="0" w:line="480" w:lineRule="auto"/>
        <w:textAlignment w:val="baseline"/>
        <w:rPr>
          <w:rFonts w:ascii="Calibri" w:eastAsia="Noto Sans CJK SC Regular" w:hAnsi="Calibri" w:cs="Calibri"/>
          <w:i/>
          <w:iCs/>
          <w:kern w:val="3"/>
          <w:sz w:val="24"/>
          <w:szCs w:val="24"/>
          <w:lang w:val="en-GB" w:eastAsia="zh-CN" w:bidi="hi-IN"/>
        </w:rPr>
      </w:pPr>
      <w:r w:rsidRPr="004E5421">
        <w:rPr>
          <w:rFonts w:ascii="Calibri" w:eastAsia="Noto Sans CJK SC Regular" w:hAnsi="Calibri" w:cs="Calibri"/>
          <w:i/>
          <w:iCs/>
          <w:kern w:val="3"/>
          <w:sz w:val="24"/>
          <w:szCs w:val="24"/>
          <w:lang w:val="en-GB" w:eastAsia="zh-CN" w:bidi="hi-IN"/>
        </w:rPr>
        <w:t xml:space="preserve">Secondary </w:t>
      </w:r>
      <w:r>
        <w:rPr>
          <w:rFonts w:ascii="Calibri" w:eastAsia="Noto Sans CJK SC Regular" w:hAnsi="Calibri" w:cs="Calibri"/>
          <w:i/>
          <w:iCs/>
          <w:kern w:val="3"/>
          <w:sz w:val="24"/>
          <w:szCs w:val="24"/>
          <w:lang w:val="en-GB" w:eastAsia="zh-CN" w:bidi="hi-IN"/>
        </w:rPr>
        <w:t>–</w:t>
      </w:r>
      <w:r w:rsidRPr="004E5421">
        <w:rPr>
          <w:rFonts w:ascii="Calibri" w:eastAsia="Noto Sans CJK SC Regular" w:hAnsi="Calibri" w:cs="Calibri"/>
          <w:i/>
          <w:iCs/>
          <w:kern w:val="3"/>
          <w:sz w:val="24"/>
          <w:szCs w:val="24"/>
          <w:lang w:val="en-GB" w:eastAsia="zh-CN" w:bidi="hi-IN"/>
        </w:rPr>
        <w:t xml:space="preserve"> safety</w:t>
      </w:r>
    </w:p>
    <w:p w14:paraId="2CAF85B1" w14:textId="77777777" w:rsidR="004E5421" w:rsidRDefault="00B730FD" w:rsidP="00454AC3">
      <w:pPr>
        <w:pStyle w:val="ListParagraph"/>
        <w:numPr>
          <w:ilvl w:val="0"/>
          <w:numId w:val="8"/>
        </w:numPr>
        <w:suppressAutoHyphens/>
        <w:autoSpaceDN w:val="0"/>
        <w:spacing w:after="0" w:line="480" w:lineRule="auto"/>
        <w:textAlignment w:val="baseline"/>
        <w:rPr>
          <w:rFonts w:ascii="Calibri" w:eastAsia="Noto Sans CJK SC Regular" w:hAnsi="Calibri" w:cs="Calibri"/>
          <w:kern w:val="3"/>
          <w:sz w:val="24"/>
          <w:szCs w:val="24"/>
          <w:lang w:val="en-GB" w:eastAsia="zh-CN" w:bidi="hi-IN"/>
        </w:rPr>
      </w:pPr>
      <w:r w:rsidRPr="004E5421">
        <w:rPr>
          <w:rFonts w:ascii="Calibri" w:eastAsia="Noto Sans CJK SC Regular" w:hAnsi="Calibri" w:cs="Calibri"/>
          <w:kern w:val="3"/>
          <w:sz w:val="24"/>
          <w:szCs w:val="24"/>
          <w:lang w:val="en-GB" w:eastAsia="zh-CN" w:bidi="hi-IN"/>
        </w:rPr>
        <w:t xml:space="preserve">Investigator-defined </w:t>
      </w:r>
      <w:bookmarkStart w:id="5" w:name="_Hlk17320253"/>
      <w:r w:rsidRPr="004E5421">
        <w:rPr>
          <w:rFonts w:ascii="Calibri" w:eastAsia="Noto Sans CJK SC Regular" w:hAnsi="Calibri" w:cs="Calibri"/>
          <w:kern w:val="3"/>
          <w:sz w:val="24"/>
          <w:szCs w:val="24"/>
          <w:lang w:val="en-GB" w:eastAsia="zh-CN" w:bidi="hi-IN"/>
        </w:rPr>
        <w:t xml:space="preserve">drug-induced liver injury (DILI) </w:t>
      </w:r>
      <w:bookmarkEnd w:id="5"/>
      <w:r w:rsidRPr="004E5421">
        <w:rPr>
          <w:rFonts w:ascii="Calibri" w:eastAsia="Noto Sans CJK SC Regular" w:hAnsi="Calibri" w:cs="Calibri"/>
          <w:kern w:val="3"/>
          <w:sz w:val="24"/>
          <w:szCs w:val="24"/>
          <w:lang w:val="en-GB" w:eastAsia="zh-CN" w:bidi="hi-IN"/>
        </w:rPr>
        <w:t>(whether biochemical or clinical)</w:t>
      </w:r>
    </w:p>
    <w:p w14:paraId="4CDADC4B" w14:textId="622792E6" w:rsidR="006943A2" w:rsidRPr="006943A2" w:rsidRDefault="00B730FD" w:rsidP="00454AC3">
      <w:pPr>
        <w:pStyle w:val="ListParagraph"/>
        <w:numPr>
          <w:ilvl w:val="0"/>
          <w:numId w:val="8"/>
        </w:numPr>
        <w:suppressAutoHyphens/>
        <w:autoSpaceDN w:val="0"/>
        <w:spacing w:line="480" w:lineRule="auto"/>
        <w:textAlignment w:val="baseline"/>
        <w:rPr>
          <w:rFonts w:ascii="Calibri" w:eastAsia="Noto Sans CJK SC Regular" w:hAnsi="Calibri" w:cs="Calibri"/>
          <w:kern w:val="3"/>
          <w:sz w:val="24"/>
          <w:szCs w:val="24"/>
          <w:lang w:val="en-GB" w:eastAsia="zh-CN" w:bidi="hi-IN"/>
        </w:rPr>
      </w:pPr>
      <w:r w:rsidRPr="004E5421">
        <w:rPr>
          <w:rFonts w:ascii="Calibri" w:eastAsia="Noto Sans CJK SC Regular" w:hAnsi="Calibri" w:cs="Calibri"/>
          <w:kern w:val="3"/>
          <w:sz w:val="24"/>
          <w:szCs w:val="24"/>
          <w:lang w:val="en-GB" w:eastAsia="zh-CN" w:bidi="hi-IN"/>
        </w:rPr>
        <w:t>Arthralgia and joint effusions</w:t>
      </w:r>
    </w:p>
    <w:p w14:paraId="654FA830" w14:textId="34E1A026" w:rsidR="00462730" w:rsidRPr="00C705EA" w:rsidRDefault="00462730" w:rsidP="00454AC3">
      <w:pPr>
        <w:pStyle w:val="Standard"/>
        <w:spacing w:line="480" w:lineRule="auto"/>
        <w:jc w:val="both"/>
        <w:rPr>
          <w:rFonts w:ascii="Calibri" w:hAnsi="Calibri" w:cs="Calibri"/>
          <w:b/>
          <w:bCs/>
        </w:rPr>
      </w:pPr>
      <w:r w:rsidRPr="00C705EA">
        <w:rPr>
          <w:rFonts w:ascii="Calibri" w:hAnsi="Calibri" w:cs="Calibri"/>
          <w:b/>
          <w:bCs/>
        </w:rPr>
        <w:t xml:space="preserve">Information sources and search strategy </w:t>
      </w:r>
    </w:p>
    <w:p w14:paraId="667F38C6" w14:textId="77777777" w:rsidR="00217619" w:rsidRDefault="008B7FEB" w:rsidP="00454AC3">
      <w:pPr>
        <w:suppressAutoHyphens/>
        <w:autoSpaceDN w:val="0"/>
        <w:spacing w:after="240" w:line="480" w:lineRule="auto"/>
        <w:jc w:val="both"/>
        <w:textAlignment w:val="baseline"/>
        <w:rPr>
          <w:rFonts w:ascii="Calibri" w:eastAsia="Calibri" w:hAnsi="Calibri" w:cs="Calibri"/>
          <w:sz w:val="24"/>
          <w:szCs w:val="24"/>
          <w:lang w:val="en-GB"/>
        </w:rPr>
      </w:pPr>
      <w:r w:rsidRPr="008B7FEB">
        <w:rPr>
          <w:rFonts w:ascii="Calibri" w:eastAsia="Calibri" w:hAnsi="Calibri" w:cs="Calibri"/>
          <w:sz w:val="24"/>
          <w:szCs w:val="24"/>
          <w:lang w:val="en-GB"/>
        </w:rPr>
        <w:t xml:space="preserve">We will search </w:t>
      </w:r>
      <w:r w:rsidR="00A33564" w:rsidRPr="00245A88">
        <w:rPr>
          <w:rFonts w:ascii="Calibri" w:eastAsia="Calibri" w:hAnsi="Calibri" w:cs="Calibri"/>
          <w:sz w:val="24"/>
          <w:szCs w:val="24"/>
          <w:lang w:val="en-GB"/>
        </w:rPr>
        <w:t xml:space="preserve">for studies meeting the eligibility </w:t>
      </w:r>
      <w:r w:rsidR="001860FE" w:rsidRPr="00245A88">
        <w:rPr>
          <w:rFonts w:ascii="Calibri" w:eastAsia="Calibri" w:hAnsi="Calibri" w:cs="Calibri"/>
          <w:sz w:val="24"/>
          <w:szCs w:val="24"/>
          <w:lang w:val="en-GB"/>
        </w:rPr>
        <w:t>criteria in</w:t>
      </w:r>
      <w:r w:rsidRPr="008B7FEB">
        <w:rPr>
          <w:rFonts w:ascii="Calibri" w:eastAsia="Calibri" w:hAnsi="Calibri" w:cs="Calibri"/>
          <w:sz w:val="24"/>
          <w:szCs w:val="24"/>
          <w:lang w:val="en-GB"/>
        </w:rPr>
        <w:t xml:space="preserve"> </w:t>
      </w:r>
      <w:r w:rsidR="00EB1F57" w:rsidRPr="00245A88">
        <w:rPr>
          <w:rFonts w:ascii="Calibri" w:eastAsia="Calibri" w:hAnsi="Calibri" w:cs="Calibri"/>
          <w:sz w:val="24"/>
          <w:szCs w:val="24"/>
          <w:lang w:val="en-GB"/>
        </w:rPr>
        <w:t xml:space="preserve">the </w:t>
      </w:r>
      <w:r w:rsidRPr="008B7FEB">
        <w:rPr>
          <w:rFonts w:ascii="Calibri" w:eastAsia="Calibri" w:hAnsi="Calibri" w:cs="Calibri"/>
          <w:sz w:val="24"/>
          <w:szCs w:val="24"/>
          <w:lang w:val="en-GB"/>
        </w:rPr>
        <w:t xml:space="preserve">Cochrane </w:t>
      </w:r>
      <w:r w:rsidR="00EB1F57" w:rsidRPr="00245A88">
        <w:rPr>
          <w:rFonts w:ascii="Calibri" w:eastAsia="Calibri" w:hAnsi="Calibri" w:cs="Calibri"/>
          <w:sz w:val="24"/>
          <w:szCs w:val="24"/>
          <w:lang w:val="en-GB"/>
        </w:rPr>
        <w:t>i</w:t>
      </w:r>
      <w:r w:rsidRPr="008B7FEB">
        <w:rPr>
          <w:rFonts w:ascii="Calibri" w:eastAsia="Calibri" w:hAnsi="Calibri" w:cs="Calibri"/>
          <w:sz w:val="24"/>
          <w:szCs w:val="24"/>
          <w:lang w:val="en-GB"/>
        </w:rPr>
        <w:t xml:space="preserve">nfectious </w:t>
      </w:r>
      <w:r w:rsidR="00EB1F57" w:rsidRPr="00245A88">
        <w:rPr>
          <w:rFonts w:ascii="Calibri" w:eastAsia="Calibri" w:hAnsi="Calibri" w:cs="Calibri"/>
          <w:sz w:val="24"/>
          <w:szCs w:val="24"/>
          <w:lang w:val="en-GB"/>
        </w:rPr>
        <w:t>d</w:t>
      </w:r>
      <w:r w:rsidRPr="008B7FEB">
        <w:rPr>
          <w:rFonts w:ascii="Calibri" w:eastAsia="Calibri" w:hAnsi="Calibri" w:cs="Calibri"/>
          <w:sz w:val="24"/>
          <w:szCs w:val="24"/>
          <w:lang w:val="en-GB"/>
        </w:rPr>
        <w:t xml:space="preserve">iseases </w:t>
      </w:r>
      <w:r w:rsidR="00EB1F57" w:rsidRPr="00245A88">
        <w:rPr>
          <w:rFonts w:ascii="Calibri" w:eastAsia="Calibri" w:hAnsi="Calibri" w:cs="Calibri"/>
          <w:sz w:val="24"/>
          <w:szCs w:val="24"/>
          <w:lang w:val="en-GB"/>
        </w:rPr>
        <w:t>g</w:t>
      </w:r>
      <w:r w:rsidRPr="008B7FEB">
        <w:rPr>
          <w:rFonts w:ascii="Calibri" w:eastAsia="Calibri" w:hAnsi="Calibri" w:cs="Calibri"/>
          <w:sz w:val="24"/>
          <w:szCs w:val="24"/>
          <w:lang w:val="en-GB"/>
        </w:rPr>
        <w:t>roup’s trials register (2019</w:t>
      </w:r>
      <w:r w:rsidR="00EB1F57" w:rsidRPr="00245A88">
        <w:rPr>
          <w:rFonts w:ascii="Calibri" w:eastAsia="Calibri" w:hAnsi="Calibri" w:cs="Calibri"/>
          <w:sz w:val="24"/>
          <w:szCs w:val="24"/>
          <w:lang w:val="en-GB"/>
        </w:rPr>
        <w:t xml:space="preserve">), </w:t>
      </w:r>
      <w:r w:rsidRPr="008B7FEB">
        <w:rPr>
          <w:rFonts w:ascii="Calibri" w:eastAsia="Calibri" w:hAnsi="Calibri" w:cs="Calibri"/>
          <w:sz w:val="24"/>
          <w:szCs w:val="24"/>
          <w:lang w:val="en-GB"/>
        </w:rPr>
        <w:t xml:space="preserve">Cochrane </w:t>
      </w:r>
      <w:r w:rsidR="00EB1F57" w:rsidRPr="00245A88">
        <w:rPr>
          <w:rFonts w:ascii="Calibri" w:eastAsia="Calibri" w:hAnsi="Calibri" w:cs="Calibri"/>
          <w:sz w:val="24"/>
          <w:szCs w:val="24"/>
          <w:lang w:val="en-GB"/>
        </w:rPr>
        <w:t>c</w:t>
      </w:r>
      <w:r w:rsidRPr="008B7FEB">
        <w:rPr>
          <w:rFonts w:ascii="Calibri" w:eastAsia="Calibri" w:hAnsi="Calibri" w:cs="Calibri"/>
          <w:sz w:val="24"/>
          <w:szCs w:val="24"/>
          <w:lang w:val="en-GB"/>
        </w:rPr>
        <w:t xml:space="preserve">entral </w:t>
      </w:r>
      <w:r w:rsidR="00EB1F57" w:rsidRPr="00245A88">
        <w:rPr>
          <w:rFonts w:ascii="Calibri" w:eastAsia="Calibri" w:hAnsi="Calibri" w:cs="Calibri"/>
          <w:sz w:val="24"/>
          <w:szCs w:val="24"/>
          <w:lang w:val="en-GB"/>
        </w:rPr>
        <w:t>r</w:t>
      </w:r>
      <w:r w:rsidRPr="008B7FEB">
        <w:rPr>
          <w:rFonts w:ascii="Calibri" w:eastAsia="Calibri" w:hAnsi="Calibri" w:cs="Calibri"/>
          <w:sz w:val="24"/>
          <w:szCs w:val="24"/>
          <w:lang w:val="en-GB"/>
        </w:rPr>
        <w:t xml:space="preserve">egister of </w:t>
      </w:r>
      <w:r w:rsidR="00EB1F57" w:rsidRPr="00245A88">
        <w:rPr>
          <w:rFonts w:ascii="Calibri" w:eastAsia="Calibri" w:hAnsi="Calibri" w:cs="Calibri"/>
          <w:sz w:val="24"/>
          <w:szCs w:val="24"/>
          <w:lang w:val="en-GB"/>
        </w:rPr>
        <w:t>c</w:t>
      </w:r>
      <w:r w:rsidRPr="008B7FEB">
        <w:rPr>
          <w:rFonts w:ascii="Calibri" w:eastAsia="Calibri" w:hAnsi="Calibri" w:cs="Calibri"/>
          <w:sz w:val="24"/>
          <w:szCs w:val="24"/>
          <w:lang w:val="en-GB"/>
        </w:rPr>
        <w:t xml:space="preserve">ontrolled </w:t>
      </w:r>
      <w:r w:rsidR="00EB1F57" w:rsidRPr="00245A88">
        <w:rPr>
          <w:rFonts w:ascii="Calibri" w:eastAsia="Calibri" w:hAnsi="Calibri" w:cs="Calibri"/>
          <w:sz w:val="24"/>
          <w:szCs w:val="24"/>
          <w:lang w:val="en-GB"/>
        </w:rPr>
        <w:t>t</w:t>
      </w:r>
      <w:r w:rsidRPr="008B7FEB">
        <w:rPr>
          <w:rFonts w:ascii="Calibri" w:eastAsia="Calibri" w:hAnsi="Calibri" w:cs="Calibri"/>
          <w:sz w:val="24"/>
          <w:szCs w:val="24"/>
          <w:lang w:val="en-GB"/>
        </w:rPr>
        <w:t>rials (C</w:t>
      </w:r>
      <w:r w:rsidR="003E5C7E">
        <w:rPr>
          <w:rFonts w:ascii="Calibri" w:eastAsia="Calibri" w:hAnsi="Calibri" w:cs="Calibri"/>
          <w:sz w:val="24"/>
          <w:szCs w:val="24"/>
          <w:lang w:val="en-GB"/>
        </w:rPr>
        <w:t>ENTRAL</w:t>
      </w:r>
      <w:r w:rsidR="00EB1F57" w:rsidRPr="00245A88">
        <w:rPr>
          <w:rFonts w:ascii="Calibri" w:eastAsia="Calibri" w:hAnsi="Calibri" w:cs="Calibri"/>
          <w:sz w:val="24"/>
          <w:szCs w:val="24"/>
          <w:lang w:val="en-GB"/>
        </w:rPr>
        <w:t xml:space="preserve">, </w:t>
      </w:r>
      <w:r w:rsidRPr="008B7FEB">
        <w:rPr>
          <w:rFonts w:ascii="Calibri" w:eastAsia="Calibri" w:hAnsi="Calibri" w:cs="Calibri"/>
          <w:sz w:val="24"/>
          <w:szCs w:val="24"/>
          <w:lang w:val="en-GB"/>
        </w:rPr>
        <w:t xml:space="preserve">published in </w:t>
      </w:r>
      <w:r w:rsidRPr="008B7FEB">
        <w:rPr>
          <w:rFonts w:ascii="Calibri" w:eastAsia="Calibri" w:hAnsi="Calibri" w:cs="Calibri"/>
          <w:i/>
          <w:sz w:val="24"/>
          <w:szCs w:val="24"/>
          <w:lang w:val="en-GB"/>
        </w:rPr>
        <w:t>The Cochrane Library</w:t>
      </w:r>
      <w:r w:rsidR="00EB1F57" w:rsidRPr="00245A88">
        <w:rPr>
          <w:rFonts w:ascii="Calibri" w:eastAsia="Calibri" w:hAnsi="Calibri" w:cs="Calibri"/>
          <w:iCs/>
          <w:sz w:val="24"/>
          <w:szCs w:val="24"/>
          <w:lang w:val="en-GB"/>
        </w:rPr>
        <w:t>)</w:t>
      </w:r>
      <w:r w:rsidR="00EB1F57" w:rsidRPr="00245A88">
        <w:rPr>
          <w:rFonts w:ascii="Calibri" w:eastAsia="Calibri" w:hAnsi="Calibri" w:cs="Times New Roman"/>
          <w:sz w:val="24"/>
          <w:szCs w:val="24"/>
          <w:lang w:val="en-GB"/>
        </w:rPr>
        <w:t xml:space="preserve">, </w:t>
      </w:r>
      <w:r w:rsidRPr="008B7FEB">
        <w:rPr>
          <w:rFonts w:ascii="Calibri" w:eastAsia="Calibri" w:hAnsi="Calibri" w:cs="Calibri"/>
          <w:sz w:val="24"/>
          <w:szCs w:val="24"/>
          <w:lang w:val="en-GB"/>
        </w:rPr>
        <w:t>MEDLINE (1950 to December 2019)</w:t>
      </w:r>
      <w:r w:rsidR="00EB1F57" w:rsidRPr="00245A88">
        <w:rPr>
          <w:rFonts w:ascii="Calibri" w:eastAsia="Calibri" w:hAnsi="Calibri" w:cs="Calibri"/>
          <w:sz w:val="24"/>
          <w:szCs w:val="24"/>
          <w:lang w:val="en-GB"/>
        </w:rPr>
        <w:t xml:space="preserve">, </w:t>
      </w:r>
      <w:r w:rsidRPr="008B7FEB">
        <w:rPr>
          <w:rFonts w:ascii="Calibri" w:eastAsia="Calibri" w:hAnsi="Calibri" w:cs="Calibri"/>
          <w:sz w:val="24"/>
          <w:szCs w:val="24"/>
          <w:lang w:val="en-GB"/>
        </w:rPr>
        <w:t>EMBASE (1975 to December 2019)</w:t>
      </w:r>
      <w:r w:rsidR="0037273E" w:rsidRPr="00245A88">
        <w:rPr>
          <w:rFonts w:ascii="Calibri" w:eastAsia="Calibri" w:hAnsi="Calibri" w:cs="Calibri"/>
          <w:sz w:val="24"/>
          <w:szCs w:val="24"/>
          <w:lang w:val="en-GB"/>
        </w:rPr>
        <w:t xml:space="preserve">, </w:t>
      </w:r>
      <w:r w:rsidRPr="008B7FEB">
        <w:rPr>
          <w:rFonts w:ascii="Calibri" w:eastAsia="Calibri" w:hAnsi="Calibri" w:cs="Calibri"/>
          <w:sz w:val="24"/>
          <w:szCs w:val="24"/>
          <w:lang w:val="en-GB"/>
        </w:rPr>
        <w:t xml:space="preserve">LILACS (1982 to </w:t>
      </w:r>
      <w:r w:rsidR="0037273E" w:rsidRPr="00245A88">
        <w:rPr>
          <w:rFonts w:ascii="Calibri" w:eastAsia="Calibri" w:hAnsi="Calibri" w:cs="Calibri"/>
          <w:sz w:val="24"/>
          <w:szCs w:val="24"/>
          <w:lang w:val="en-GB"/>
        </w:rPr>
        <w:t xml:space="preserve">December </w:t>
      </w:r>
      <w:r w:rsidRPr="008B7FEB">
        <w:rPr>
          <w:rFonts w:ascii="Calibri" w:eastAsia="Calibri" w:hAnsi="Calibri" w:cs="Calibri"/>
          <w:sz w:val="24"/>
          <w:szCs w:val="24"/>
          <w:lang w:val="en-GB"/>
        </w:rPr>
        <w:t>2019).</w:t>
      </w:r>
      <w:r w:rsidR="0037273E" w:rsidRPr="00245A88">
        <w:rPr>
          <w:rFonts w:ascii="Calibri" w:eastAsia="Calibri" w:hAnsi="Calibri" w:cs="Calibri"/>
          <w:sz w:val="24"/>
          <w:szCs w:val="24"/>
          <w:lang w:val="en-GB"/>
        </w:rPr>
        <w:t xml:space="preserve"> </w:t>
      </w:r>
      <w:r w:rsidR="00AA334F" w:rsidRPr="00245A88">
        <w:rPr>
          <w:rFonts w:ascii="Calibri" w:eastAsia="Calibri" w:hAnsi="Calibri" w:cs="Calibri"/>
          <w:sz w:val="24"/>
          <w:szCs w:val="24"/>
          <w:lang w:val="en-GB"/>
        </w:rPr>
        <w:t xml:space="preserve">The search strategy is </w:t>
      </w:r>
      <w:r w:rsidR="0048343E" w:rsidRPr="00245A88">
        <w:rPr>
          <w:rFonts w:ascii="Calibri" w:eastAsia="Calibri" w:hAnsi="Calibri" w:cs="Calibri"/>
          <w:sz w:val="24"/>
          <w:szCs w:val="24"/>
          <w:lang w:val="en-GB"/>
        </w:rPr>
        <w:t xml:space="preserve">designed to be inclusive and identify all </w:t>
      </w:r>
      <w:r w:rsidR="00BE1794" w:rsidRPr="00245A88">
        <w:rPr>
          <w:rFonts w:ascii="Calibri" w:eastAsia="Calibri" w:hAnsi="Calibri" w:cs="Calibri"/>
          <w:sz w:val="24"/>
          <w:szCs w:val="24"/>
          <w:lang w:val="en-GB"/>
        </w:rPr>
        <w:t xml:space="preserve">eligible </w:t>
      </w:r>
      <w:r w:rsidR="00B460CA" w:rsidRPr="00245A88">
        <w:rPr>
          <w:rFonts w:ascii="Calibri" w:eastAsia="Calibri" w:hAnsi="Calibri" w:cs="Calibri"/>
          <w:sz w:val="24"/>
          <w:szCs w:val="24"/>
          <w:lang w:val="en-GB"/>
        </w:rPr>
        <w:t>clinical trials in tuberculosis with or without the inclusion of PZA</w:t>
      </w:r>
      <w:r w:rsidR="00573902">
        <w:rPr>
          <w:rFonts w:ascii="Calibri" w:eastAsia="Calibri" w:hAnsi="Calibri" w:cs="Calibri"/>
          <w:sz w:val="24"/>
          <w:szCs w:val="24"/>
          <w:lang w:val="en-GB"/>
        </w:rPr>
        <w:t xml:space="preserve"> as follows</w:t>
      </w:r>
      <w:r w:rsidR="00D92598" w:rsidRPr="00245A88">
        <w:rPr>
          <w:rFonts w:ascii="Calibri" w:eastAsia="Calibri" w:hAnsi="Calibri" w:cs="Calibri"/>
          <w:sz w:val="24"/>
          <w:szCs w:val="24"/>
          <w:lang w:val="en-GB"/>
        </w:rPr>
        <w:t xml:space="preserve">. </w:t>
      </w:r>
    </w:p>
    <w:p w14:paraId="7F5B4AAB" w14:textId="6F37BBD0" w:rsidR="00217619" w:rsidRDefault="00217619" w:rsidP="00217619">
      <w:pPr>
        <w:pStyle w:val="ListParagraph"/>
        <w:numPr>
          <w:ilvl w:val="0"/>
          <w:numId w:val="17"/>
        </w:numPr>
        <w:suppressAutoHyphens/>
        <w:autoSpaceDN w:val="0"/>
        <w:spacing w:after="240" w:line="480" w:lineRule="auto"/>
        <w:jc w:val="both"/>
        <w:textAlignment w:val="baseline"/>
        <w:rPr>
          <w:rFonts w:ascii="Calibri" w:eastAsia="Calibri" w:hAnsi="Calibri" w:cs="Calibri"/>
          <w:sz w:val="24"/>
          <w:szCs w:val="24"/>
          <w:lang w:val="en-GB"/>
        </w:rPr>
      </w:pPr>
      <w:r>
        <w:rPr>
          <w:rFonts w:ascii="Calibri" w:eastAsia="Calibri" w:hAnsi="Calibri" w:cs="Calibri"/>
          <w:sz w:val="24"/>
          <w:szCs w:val="24"/>
          <w:lang w:val="en-GB"/>
        </w:rPr>
        <w:t xml:space="preserve">Tuberculosis </w:t>
      </w:r>
      <w:r w:rsidR="00E95BBB">
        <w:rPr>
          <w:rFonts w:ascii="Calibri" w:eastAsia="Calibri" w:hAnsi="Calibri" w:cs="Calibri"/>
          <w:sz w:val="24"/>
          <w:szCs w:val="24"/>
          <w:lang w:val="en-GB"/>
        </w:rPr>
        <w:t>AND</w:t>
      </w:r>
      <w:r>
        <w:rPr>
          <w:rFonts w:ascii="Calibri" w:eastAsia="Calibri" w:hAnsi="Calibri" w:cs="Calibri"/>
          <w:sz w:val="24"/>
          <w:szCs w:val="24"/>
          <w:lang w:val="en-GB"/>
        </w:rPr>
        <w:t xml:space="preserve"> clinical trials </w:t>
      </w:r>
    </w:p>
    <w:p w14:paraId="5167E272" w14:textId="52626780" w:rsidR="00217619" w:rsidRPr="00172FD4" w:rsidRDefault="00217619" w:rsidP="00217619">
      <w:pPr>
        <w:pStyle w:val="ListParagraph"/>
        <w:numPr>
          <w:ilvl w:val="0"/>
          <w:numId w:val="17"/>
        </w:numPr>
        <w:suppressAutoHyphens/>
        <w:autoSpaceDN w:val="0"/>
        <w:spacing w:after="240" w:line="480" w:lineRule="auto"/>
        <w:jc w:val="both"/>
        <w:textAlignment w:val="baseline"/>
        <w:rPr>
          <w:rFonts w:ascii="Calibri" w:eastAsia="Calibri" w:hAnsi="Calibri" w:cs="Calibri"/>
          <w:sz w:val="24"/>
          <w:szCs w:val="24"/>
          <w:lang w:val="en-GB"/>
        </w:rPr>
      </w:pPr>
      <w:r>
        <w:rPr>
          <w:rFonts w:ascii="Calibri" w:eastAsia="Calibri" w:hAnsi="Calibri" w:cs="Calibri"/>
          <w:sz w:val="24"/>
          <w:szCs w:val="24"/>
          <w:lang w:val="en-GB"/>
        </w:rPr>
        <w:t>Rifampicin</w:t>
      </w:r>
      <w:r w:rsidR="00E95BBB">
        <w:rPr>
          <w:rFonts w:ascii="Calibri" w:eastAsia="Calibri" w:hAnsi="Calibri" w:cs="Calibri"/>
          <w:sz w:val="24"/>
          <w:szCs w:val="24"/>
          <w:lang w:val="en-GB"/>
        </w:rPr>
        <w:t xml:space="preserve"> OR isoniazid OR pyrazinamide OR ethambutol OR </w:t>
      </w:r>
      <w:r w:rsidR="00B036F9">
        <w:rPr>
          <w:rFonts w:ascii="Calibri" w:eastAsia="Calibri" w:hAnsi="Calibri" w:cs="Calibri"/>
          <w:sz w:val="24"/>
          <w:szCs w:val="24"/>
          <w:lang w:val="en-GB"/>
        </w:rPr>
        <w:t xml:space="preserve">thiacetazone OR para-aminosalicylic </w:t>
      </w:r>
      <w:r w:rsidR="00AF79E2">
        <w:rPr>
          <w:rFonts w:ascii="Calibri" w:eastAsia="Calibri" w:hAnsi="Calibri" w:cs="Calibri"/>
          <w:sz w:val="24"/>
          <w:szCs w:val="24"/>
          <w:lang w:val="en-GB"/>
        </w:rPr>
        <w:t xml:space="preserve">acid OR streptomycin OR rifabutin OR rifapentine OR </w:t>
      </w:r>
      <w:r w:rsidR="004B5C8C">
        <w:rPr>
          <w:rFonts w:ascii="Calibri" w:eastAsia="Calibri" w:hAnsi="Calibri" w:cs="Calibri"/>
          <w:sz w:val="24"/>
          <w:szCs w:val="24"/>
          <w:lang w:val="en-GB"/>
        </w:rPr>
        <w:t xml:space="preserve">levofloxacin OR ofloxacin OR gatifloxacin OR moxifloxacin OR </w:t>
      </w:r>
      <w:r w:rsidR="0066255D">
        <w:rPr>
          <w:rFonts w:ascii="Calibri" w:eastAsia="Calibri" w:hAnsi="Calibri" w:cs="Calibri"/>
          <w:sz w:val="24"/>
          <w:szCs w:val="24"/>
          <w:lang w:val="en-GB"/>
        </w:rPr>
        <w:t xml:space="preserve">bedaquiline OR </w:t>
      </w:r>
      <w:r w:rsidR="00172FD4">
        <w:rPr>
          <w:rFonts w:ascii="Calibri" w:eastAsia="Calibri" w:hAnsi="Calibri" w:cs="Calibri"/>
          <w:sz w:val="24"/>
          <w:szCs w:val="24"/>
          <w:lang w:val="en-GB"/>
        </w:rPr>
        <w:t>p</w:t>
      </w:r>
      <w:r w:rsidR="00172FD4" w:rsidRPr="00172FD4">
        <w:rPr>
          <w:rFonts w:ascii="Calibri" w:eastAsia="Calibri" w:hAnsi="Calibri" w:cs="Calibri"/>
          <w:sz w:val="24"/>
          <w:szCs w:val="24"/>
        </w:rPr>
        <w:t>retomanid</w:t>
      </w:r>
    </w:p>
    <w:p w14:paraId="24296C5F" w14:textId="3C0DEAE7" w:rsidR="00172FD4" w:rsidRPr="00217619" w:rsidRDefault="00172FD4" w:rsidP="00217619">
      <w:pPr>
        <w:pStyle w:val="ListParagraph"/>
        <w:numPr>
          <w:ilvl w:val="0"/>
          <w:numId w:val="17"/>
        </w:numPr>
        <w:suppressAutoHyphens/>
        <w:autoSpaceDN w:val="0"/>
        <w:spacing w:after="240" w:line="480" w:lineRule="auto"/>
        <w:jc w:val="both"/>
        <w:textAlignment w:val="baseline"/>
        <w:rPr>
          <w:rFonts w:ascii="Calibri" w:eastAsia="Calibri" w:hAnsi="Calibri" w:cs="Calibri"/>
          <w:sz w:val="24"/>
          <w:szCs w:val="24"/>
          <w:lang w:val="en-GB"/>
        </w:rPr>
      </w:pPr>
      <w:r>
        <w:rPr>
          <w:rFonts w:ascii="Calibri" w:eastAsia="Calibri" w:hAnsi="Calibri" w:cs="Calibri"/>
          <w:sz w:val="24"/>
          <w:szCs w:val="24"/>
        </w:rPr>
        <w:lastRenderedPageBreak/>
        <w:t>1 AND 2</w:t>
      </w:r>
    </w:p>
    <w:p w14:paraId="6F6E6601" w14:textId="42845773" w:rsidR="00462730" w:rsidRPr="00FF3527" w:rsidRDefault="006D4F78" w:rsidP="00454AC3">
      <w:pPr>
        <w:suppressAutoHyphens/>
        <w:autoSpaceDN w:val="0"/>
        <w:spacing w:after="240" w:line="480" w:lineRule="auto"/>
        <w:jc w:val="both"/>
        <w:textAlignment w:val="baseline"/>
        <w:rPr>
          <w:rFonts w:ascii="Calibri" w:eastAsia="Calibri" w:hAnsi="Calibri" w:cs="Calibri"/>
          <w:sz w:val="24"/>
          <w:szCs w:val="24"/>
          <w:lang w:val="en-GB"/>
        </w:rPr>
      </w:pPr>
      <w:r w:rsidRPr="00245A88">
        <w:rPr>
          <w:rFonts w:ascii="Calibri" w:eastAsia="Calibri" w:hAnsi="Calibri" w:cs="Calibri"/>
          <w:sz w:val="24"/>
          <w:szCs w:val="24"/>
          <w:lang w:val="en-GB"/>
        </w:rPr>
        <w:t xml:space="preserve">In </w:t>
      </w:r>
      <w:r w:rsidR="00A66331" w:rsidRPr="00245A88">
        <w:rPr>
          <w:rFonts w:ascii="Calibri" w:eastAsia="Calibri" w:hAnsi="Calibri" w:cs="Calibri"/>
          <w:sz w:val="24"/>
          <w:szCs w:val="24"/>
          <w:lang w:val="en-GB"/>
        </w:rPr>
        <w:t>addition,</w:t>
      </w:r>
      <w:r w:rsidRPr="00245A88">
        <w:rPr>
          <w:rFonts w:ascii="Calibri" w:eastAsia="Calibri" w:hAnsi="Calibri" w:cs="Calibri"/>
          <w:sz w:val="24"/>
          <w:szCs w:val="24"/>
          <w:lang w:val="en-GB"/>
        </w:rPr>
        <w:t xml:space="preserve"> we will </w:t>
      </w:r>
      <w:r w:rsidR="00245A88" w:rsidRPr="00245A88">
        <w:rPr>
          <w:rFonts w:ascii="Calibri" w:eastAsia="Calibri" w:hAnsi="Calibri" w:cs="Calibri"/>
          <w:sz w:val="24"/>
          <w:szCs w:val="24"/>
          <w:lang w:val="en-GB"/>
        </w:rPr>
        <w:t xml:space="preserve">search the metaRegister of Controlled Trials (mRCT) and the World Health Organisation (WHO) </w:t>
      </w:r>
      <w:r w:rsidR="00530E4A">
        <w:rPr>
          <w:rFonts w:ascii="Calibri" w:eastAsia="Calibri" w:hAnsi="Calibri" w:cs="Calibri"/>
          <w:sz w:val="24"/>
          <w:szCs w:val="24"/>
          <w:lang w:val="en-GB"/>
        </w:rPr>
        <w:t>i</w:t>
      </w:r>
      <w:r w:rsidR="00245A88" w:rsidRPr="00245A88">
        <w:rPr>
          <w:rFonts w:ascii="Calibri" w:eastAsia="Calibri" w:hAnsi="Calibri" w:cs="Calibri"/>
          <w:sz w:val="24"/>
          <w:szCs w:val="24"/>
          <w:lang w:val="en-GB"/>
        </w:rPr>
        <w:t xml:space="preserve">nternational </w:t>
      </w:r>
      <w:r w:rsidR="00530E4A">
        <w:rPr>
          <w:rFonts w:ascii="Calibri" w:eastAsia="Calibri" w:hAnsi="Calibri" w:cs="Calibri"/>
          <w:sz w:val="24"/>
          <w:szCs w:val="24"/>
          <w:lang w:val="en-GB"/>
        </w:rPr>
        <w:t>c</w:t>
      </w:r>
      <w:r w:rsidR="00245A88" w:rsidRPr="00245A88">
        <w:rPr>
          <w:rFonts w:ascii="Calibri" w:eastAsia="Calibri" w:hAnsi="Calibri" w:cs="Calibri"/>
          <w:sz w:val="24"/>
          <w:szCs w:val="24"/>
          <w:lang w:val="en-GB"/>
        </w:rPr>
        <w:t xml:space="preserve">linical </w:t>
      </w:r>
      <w:r w:rsidR="00530E4A">
        <w:rPr>
          <w:rFonts w:ascii="Calibri" w:eastAsia="Calibri" w:hAnsi="Calibri" w:cs="Calibri"/>
          <w:sz w:val="24"/>
          <w:szCs w:val="24"/>
          <w:lang w:val="en-GB"/>
        </w:rPr>
        <w:t>t</w:t>
      </w:r>
      <w:r w:rsidR="00245A88" w:rsidRPr="00245A88">
        <w:rPr>
          <w:rFonts w:ascii="Calibri" w:eastAsia="Calibri" w:hAnsi="Calibri" w:cs="Calibri"/>
          <w:sz w:val="24"/>
          <w:szCs w:val="24"/>
          <w:lang w:val="en-GB"/>
        </w:rPr>
        <w:t xml:space="preserve">rials </w:t>
      </w:r>
      <w:r w:rsidR="00530E4A">
        <w:rPr>
          <w:rFonts w:ascii="Calibri" w:eastAsia="Calibri" w:hAnsi="Calibri" w:cs="Calibri"/>
          <w:sz w:val="24"/>
          <w:szCs w:val="24"/>
          <w:lang w:val="en-GB"/>
        </w:rPr>
        <w:t>r</w:t>
      </w:r>
      <w:r w:rsidR="00245A88" w:rsidRPr="00245A88">
        <w:rPr>
          <w:rFonts w:ascii="Calibri" w:eastAsia="Calibri" w:hAnsi="Calibri" w:cs="Calibri"/>
          <w:sz w:val="24"/>
          <w:szCs w:val="24"/>
          <w:lang w:val="en-GB"/>
        </w:rPr>
        <w:t xml:space="preserve">egistry </w:t>
      </w:r>
      <w:r w:rsidR="00530E4A">
        <w:rPr>
          <w:rFonts w:ascii="Calibri" w:eastAsia="Calibri" w:hAnsi="Calibri" w:cs="Calibri"/>
          <w:sz w:val="24"/>
          <w:szCs w:val="24"/>
          <w:lang w:val="en-GB"/>
        </w:rPr>
        <w:t>p</w:t>
      </w:r>
      <w:r w:rsidR="00245A88" w:rsidRPr="00245A88">
        <w:rPr>
          <w:rFonts w:ascii="Calibri" w:eastAsia="Calibri" w:hAnsi="Calibri" w:cs="Calibri"/>
          <w:sz w:val="24"/>
          <w:szCs w:val="24"/>
          <w:lang w:val="en-GB"/>
        </w:rPr>
        <w:t xml:space="preserve">latform using ‘tuberculosis’ as the search term. </w:t>
      </w:r>
      <w:r w:rsidR="00585D2C">
        <w:rPr>
          <w:rFonts w:ascii="Calibri" w:eastAsia="Calibri" w:hAnsi="Calibri" w:cs="Calibri"/>
          <w:sz w:val="24"/>
          <w:szCs w:val="24"/>
          <w:lang w:val="en-GB"/>
        </w:rPr>
        <w:t xml:space="preserve">We will not exclude studies based on language of publication. </w:t>
      </w:r>
      <w:r w:rsidR="00422990" w:rsidRPr="00245A88">
        <w:rPr>
          <w:rFonts w:cstheme="minorHAnsi"/>
          <w:sz w:val="24"/>
          <w:szCs w:val="24"/>
        </w:rPr>
        <w:t xml:space="preserve">All studies regardless of publication status (published, unpublished, in press, and in progress) will be eligible. </w:t>
      </w:r>
      <w:r w:rsidR="00FF3527">
        <w:rPr>
          <w:rFonts w:cstheme="minorHAnsi"/>
          <w:sz w:val="24"/>
          <w:szCs w:val="24"/>
        </w:rPr>
        <w:t>We will h</w:t>
      </w:r>
      <w:r w:rsidR="00FF3527" w:rsidRPr="00FF3527">
        <w:rPr>
          <w:rFonts w:cstheme="minorHAnsi"/>
          <w:sz w:val="24"/>
          <w:szCs w:val="24"/>
        </w:rPr>
        <w:t xml:space="preserve">and search the reference lists of included studies and relevant reviews </w:t>
      </w:r>
      <w:r w:rsidR="00FF3527">
        <w:rPr>
          <w:rFonts w:cstheme="minorHAnsi"/>
          <w:sz w:val="24"/>
          <w:szCs w:val="24"/>
        </w:rPr>
        <w:t xml:space="preserve">to identify other potentially eligible studies. </w:t>
      </w:r>
    </w:p>
    <w:p w14:paraId="76B847FA" w14:textId="55FDEDDC" w:rsidR="00462730" w:rsidRPr="00C705EA" w:rsidRDefault="00462730" w:rsidP="00454AC3">
      <w:pPr>
        <w:pStyle w:val="Standard"/>
        <w:spacing w:line="480" w:lineRule="auto"/>
        <w:jc w:val="both"/>
        <w:rPr>
          <w:rFonts w:ascii="Calibri" w:hAnsi="Calibri" w:cs="Calibri"/>
          <w:b/>
          <w:bCs/>
        </w:rPr>
      </w:pPr>
      <w:r w:rsidRPr="00C705EA">
        <w:rPr>
          <w:rFonts w:ascii="Calibri" w:hAnsi="Calibri" w:cs="Calibri"/>
          <w:b/>
          <w:bCs/>
        </w:rPr>
        <w:t xml:space="preserve">Study selection and data extraction </w:t>
      </w:r>
    </w:p>
    <w:p w14:paraId="7347A540" w14:textId="35FCDFF1" w:rsidR="00462730" w:rsidRPr="0083239F" w:rsidRDefault="009F4EA7" w:rsidP="00454AC3">
      <w:pPr>
        <w:pStyle w:val="Standard"/>
        <w:spacing w:after="240" w:line="480" w:lineRule="auto"/>
        <w:jc w:val="both"/>
        <w:rPr>
          <w:rFonts w:ascii="Calibri" w:hAnsi="Calibri" w:cs="Calibri"/>
        </w:rPr>
      </w:pPr>
      <w:r>
        <w:rPr>
          <w:rFonts w:ascii="Calibri" w:hAnsi="Calibri" w:cs="Calibri"/>
        </w:rPr>
        <w:t xml:space="preserve">A complete list of studies </w:t>
      </w:r>
      <w:r w:rsidR="00CF5C96">
        <w:rPr>
          <w:rFonts w:ascii="Calibri" w:hAnsi="Calibri" w:cs="Calibri"/>
        </w:rPr>
        <w:t xml:space="preserve">identified by the search strategy will be compiled and duplicates removed. </w:t>
      </w:r>
      <w:r w:rsidR="00946FF7">
        <w:rPr>
          <w:rFonts w:ascii="Calibri" w:hAnsi="Calibri" w:cs="Calibri"/>
        </w:rPr>
        <w:t>One author (AM</w:t>
      </w:r>
      <w:r w:rsidR="00E778BC">
        <w:rPr>
          <w:rFonts w:ascii="Calibri" w:hAnsi="Calibri" w:cs="Calibri"/>
        </w:rPr>
        <w:t xml:space="preserve">) will review the abstracts of all identified studies and remove </w:t>
      </w:r>
      <w:r w:rsidR="00CB04CD">
        <w:rPr>
          <w:rFonts w:ascii="Calibri" w:hAnsi="Calibri" w:cs="Calibri"/>
        </w:rPr>
        <w:t>ineligible studies</w:t>
      </w:r>
      <w:r w:rsidR="00C82BBD">
        <w:rPr>
          <w:rFonts w:ascii="Calibri" w:hAnsi="Calibri" w:cs="Calibri"/>
        </w:rPr>
        <w:t>, with 10% of abstracts being double-screened by a second author (JM)</w:t>
      </w:r>
      <w:r w:rsidR="00CB04CD">
        <w:rPr>
          <w:rFonts w:ascii="Calibri" w:hAnsi="Calibri" w:cs="Calibri"/>
        </w:rPr>
        <w:t xml:space="preserve">. </w:t>
      </w:r>
      <w:r w:rsidR="00E50B17">
        <w:rPr>
          <w:rFonts w:ascii="Calibri" w:hAnsi="Calibri" w:cs="Calibri"/>
        </w:rPr>
        <w:t>The f</w:t>
      </w:r>
      <w:r w:rsidR="00CB04CD">
        <w:rPr>
          <w:rFonts w:ascii="Calibri" w:hAnsi="Calibri" w:cs="Calibri"/>
        </w:rPr>
        <w:t>ull text</w:t>
      </w:r>
      <w:r w:rsidR="00E50B17">
        <w:rPr>
          <w:rFonts w:ascii="Calibri" w:hAnsi="Calibri" w:cs="Calibri"/>
        </w:rPr>
        <w:t xml:space="preserve"> for remaining potentially </w:t>
      </w:r>
      <w:r w:rsidR="00EE77B8">
        <w:rPr>
          <w:rFonts w:ascii="Calibri" w:hAnsi="Calibri" w:cs="Calibri"/>
        </w:rPr>
        <w:t xml:space="preserve">eligible studies will be accessed and reviewed by </w:t>
      </w:r>
      <w:r w:rsidR="0064248D">
        <w:rPr>
          <w:rFonts w:ascii="Calibri" w:hAnsi="Calibri" w:cs="Calibri"/>
        </w:rPr>
        <w:t xml:space="preserve">two authors (AM and JM) for inclusion. Any disagreements on eligibility will be resolved by discussion or referral to a third author (GD). </w:t>
      </w:r>
      <w:r w:rsidR="00E518DB" w:rsidRPr="00E518DB">
        <w:rPr>
          <w:rFonts w:ascii="Calibri" w:hAnsi="Calibri" w:cs="Calibri"/>
        </w:rPr>
        <w:t xml:space="preserve">Efficacy data has already been independently extracted by two authors </w:t>
      </w:r>
      <w:r w:rsidR="008A3883">
        <w:rPr>
          <w:rFonts w:ascii="Calibri" w:hAnsi="Calibri" w:cs="Calibri"/>
        </w:rPr>
        <w:t xml:space="preserve">(LB and </w:t>
      </w:r>
      <w:r w:rsidR="00947B8C">
        <w:rPr>
          <w:rFonts w:ascii="Calibri" w:hAnsi="Calibri" w:cs="Calibri"/>
        </w:rPr>
        <w:t xml:space="preserve">GD) </w:t>
      </w:r>
      <w:r w:rsidR="00E518DB" w:rsidRPr="00E518DB">
        <w:rPr>
          <w:rFonts w:ascii="Calibri" w:hAnsi="Calibri" w:cs="Calibri"/>
        </w:rPr>
        <w:t xml:space="preserve">until November 2016 </w:t>
      </w:r>
      <w:r w:rsidR="00E518DB" w:rsidRPr="00E518DB">
        <w:rPr>
          <w:rFonts w:ascii="Calibri" w:eastAsia="Calibri" w:hAnsi="Calibri" w:cs="Calibri"/>
        </w:rPr>
        <w:t xml:space="preserve">using a standardised </w:t>
      </w:r>
      <w:r w:rsidR="00951101">
        <w:rPr>
          <w:rFonts w:ascii="Calibri" w:eastAsia="Calibri" w:hAnsi="Calibri" w:cs="Calibri"/>
        </w:rPr>
        <w:t xml:space="preserve">electronic </w:t>
      </w:r>
      <w:r w:rsidR="00E518DB" w:rsidRPr="00E518DB">
        <w:rPr>
          <w:rFonts w:ascii="Calibri" w:eastAsia="Calibri" w:hAnsi="Calibri" w:cs="Calibri"/>
        </w:rPr>
        <w:t>data extraction form.</w:t>
      </w:r>
      <w:r w:rsidR="00550EA8">
        <w:rPr>
          <w:rFonts w:ascii="Calibri" w:eastAsia="Calibri" w:hAnsi="Calibri" w:cs="Calibri"/>
        </w:rPr>
        <w:t xml:space="preserve"> </w:t>
      </w:r>
      <w:r w:rsidR="00E518DB" w:rsidRPr="00E518DB">
        <w:rPr>
          <w:rFonts w:ascii="Calibri" w:eastAsia="Calibri" w:hAnsi="Calibri" w:cs="Calibri"/>
        </w:rPr>
        <w:t>Data was collected and inconsistent data recording resolved through discussion and contacting the author where necessary.</w:t>
      </w:r>
      <w:r w:rsidR="00D267C1">
        <w:rPr>
          <w:rFonts w:ascii="Calibri" w:eastAsia="Calibri" w:hAnsi="Calibri" w:cs="Calibri"/>
        </w:rPr>
        <w:t xml:space="preserve"> </w:t>
      </w:r>
      <w:r w:rsidR="00E518DB" w:rsidRPr="00E518DB">
        <w:rPr>
          <w:rFonts w:ascii="Calibri" w:eastAsia="Calibri" w:hAnsi="Calibri" w:cs="Calibri"/>
        </w:rPr>
        <w:t>This search and extraction will be updated</w:t>
      </w:r>
      <w:r w:rsidR="00947B8C">
        <w:rPr>
          <w:rFonts w:ascii="Calibri" w:eastAsia="Calibri" w:hAnsi="Calibri" w:cs="Calibri"/>
        </w:rPr>
        <w:t xml:space="preserve"> until December 2019</w:t>
      </w:r>
      <w:r w:rsidR="00762710">
        <w:rPr>
          <w:rFonts w:ascii="Calibri" w:eastAsia="Calibri" w:hAnsi="Calibri" w:cs="Calibri"/>
        </w:rPr>
        <w:t xml:space="preserve"> following the same methodology</w:t>
      </w:r>
      <w:r w:rsidR="00110E42">
        <w:rPr>
          <w:rFonts w:ascii="Calibri" w:eastAsia="Calibri" w:hAnsi="Calibri" w:cs="Calibri"/>
        </w:rPr>
        <w:t xml:space="preserve"> by a single author (AM), with 10% double-extracted by a second author (JM)</w:t>
      </w:r>
      <w:r w:rsidR="00C22E02">
        <w:rPr>
          <w:rFonts w:ascii="Calibri" w:eastAsia="Calibri" w:hAnsi="Calibri" w:cs="Calibri"/>
        </w:rPr>
        <w:t xml:space="preserve"> to check for consistency</w:t>
      </w:r>
      <w:r w:rsidR="00E518DB" w:rsidRPr="00E518DB">
        <w:rPr>
          <w:rFonts w:ascii="Calibri" w:eastAsia="Calibri" w:hAnsi="Calibri" w:cs="Calibri"/>
        </w:rPr>
        <w:t>.</w:t>
      </w:r>
      <w:r w:rsidR="00951101">
        <w:rPr>
          <w:rFonts w:ascii="Calibri" w:eastAsia="Calibri" w:hAnsi="Calibri" w:cs="Calibri"/>
        </w:rPr>
        <w:t xml:space="preserve"> </w:t>
      </w:r>
      <w:r w:rsidR="00E518DB" w:rsidRPr="00E518DB">
        <w:rPr>
          <w:rFonts w:ascii="Calibri" w:hAnsi="Calibri" w:cs="Calibri"/>
        </w:rPr>
        <w:t xml:space="preserve">Additional safety data </w:t>
      </w:r>
      <w:r w:rsidR="00762710">
        <w:rPr>
          <w:rFonts w:ascii="Calibri" w:hAnsi="Calibri" w:cs="Calibri"/>
        </w:rPr>
        <w:t xml:space="preserve">for all studies </w:t>
      </w:r>
      <w:r w:rsidR="00E518DB" w:rsidRPr="00E518DB">
        <w:rPr>
          <w:rFonts w:ascii="Calibri" w:hAnsi="Calibri" w:cs="Calibri"/>
        </w:rPr>
        <w:t>will be extracted to a pre-piloted supplementary electronic data extraction form for more detailed safety outcomes by a single author (AM) and 10% double-extracted by a second author (JM).</w:t>
      </w:r>
      <w:r w:rsidR="00951101">
        <w:rPr>
          <w:rFonts w:ascii="Calibri" w:hAnsi="Calibri" w:cs="Calibri"/>
        </w:rPr>
        <w:t xml:space="preserve"> </w:t>
      </w:r>
      <w:r w:rsidR="001F71D0">
        <w:rPr>
          <w:rFonts w:ascii="Calibri" w:hAnsi="Calibri" w:cs="Calibri"/>
        </w:rPr>
        <w:t>We</w:t>
      </w:r>
      <w:r w:rsidR="00335346">
        <w:rPr>
          <w:rFonts w:ascii="Calibri" w:hAnsi="Calibri" w:cs="Calibri"/>
        </w:rPr>
        <w:t xml:space="preserve"> will </w:t>
      </w:r>
      <w:r w:rsidR="00944CAC">
        <w:rPr>
          <w:rFonts w:ascii="Calibri" w:hAnsi="Calibri" w:cs="Calibri"/>
        </w:rPr>
        <w:t xml:space="preserve">collect data on </w:t>
      </w:r>
      <w:r w:rsidR="002F7C85">
        <w:rPr>
          <w:rFonts w:ascii="Calibri" w:hAnsi="Calibri" w:cs="Calibri"/>
        </w:rPr>
        <w:t xml:space="preserve">study design, included participants, </w:t>
      </w:r>
      <w:r w:rsidR="004674EC">
        <w:rPr>
          <w:rFonts w:ascii="Calibri" w:hAnsi="Calibri" w:cs="Calibri"/>
        </w:rPr>
        <w:t xml:space="preserve">treatment regimens, </w:t>
      </w:r>
      <w:r w:rsidR="00FA6C7C">
        <w:rPr>
          <w:rFonts w:ascii="Calibri" w:hAnsi="Calibri" w:cs="Calibri"/>
        </w:rPr>
        <w:t>outcomes and selected other</w:t>
      </w:r>
      <w:r w:rsidR="00D67020">
        <w:rPr>
          <w:rFonts w:ascii="Calibri" w:hAnsi="Calibri" w:cs="Calibri"/>
        </w:rPr>
        <w:t xml:space="preserve"> </w:t>
      </w:r>
      <w:r w:rsidR="00F036E2">
        <w:rPr>
          <w:rFonts w:ascii="Calibri" w:hAnsi="Calibri" w:cs="Calibri"/>
        </w:rPr>
        <w:t xml:space="preserve">data. </w:t>
      </w:r>
      <w:r w:rsidR="00B709D6" w:rsidRPr="00B709D6">
        <w:rPr>
          <w:rFonts w:ascii="Calibri" w:hAnsi="Calibri" w:cs="Calibri"/>
        </w:rPr>
        <w:t xml:space="preserve">Study authors will be contacted when the study report </w:t>
      </w:r>
      <w:r w:rsidR="00B709D6" w:rsidRPr="00B709D6">
        <w:rPr>
          <w:rFonts w:ascii="Calibri" w:hAnsi="Calibri" w:cs="Calibri"/>
        </w:rPr>
        <w:lastRenderedPageBreak/>
        <w:t>does not provide sufficient information concerning the study methods</w:t>
      </w:r>
      <w:r w:rsidR="00572651">
        <w:rPr>
          <w:rFonts w:ascii="Calibri" w:hAnsi="Calibri" w:cs="Calibri"/>
        </w:rPr>
        <w:t xml:space="preserve">, </w:t>
      </w:r>
      <w:r w:rsidR="00B709D6" w:rsidRPr="00B709D6">
        <w:rPr>
          <w:rFonts w:ascii="Calibri" w:hAnsi="Calibri" w:cs="Calibri"/>
        </w:rPr>
        <w:t>treatment effect sizes or numbers of outcomes for each treatment arm.</w:t>
      </w:r>
      <w:r w:rsidR="00B1487F">
        <w:rPr>
          <w:rFonts w:ascii="Calibri" w:hAnsi="Calibri" w:cs="Calibri"/>
        </w:rPr>
        <w:t xml:space="preserve"> </w:t>
      </w:r>
      <w:r w:rsidR="00E518DB" w:rsidRPr="00E518DB">
        <w:rPr>
          <w:rFonts w:ascii="Calibri" w:hAnsi="Calibri" w:cs="Calibri"/>
        </w:rPr>
        <w:t xml:space="preserve">All extracted data will be </w:t>
      </w:r>
      <w:r w:rsidR="00E62B28" w:rsidRPr="00E518DB">
        <w:rPr>
          <w:rFonts w:ascii="Calibri" w:hAnsi="Calibri" w:cs="Calibri"/>
        </w:rPr>
        <w:t>entered</w:t>
      </w:r>
      <w:r w:rsidR="00E518DB" w:rsidRPr="00E518DB">
        <w:rPr>
          <w:rFonts w:ascii="Calibri" w:hAnsi="Calibri" w:cs="Calibri"/>
        </w:rPr>
        <w:t xml:space="preserve"> </w:t>
      </w:r>
      <w:r w:rsidR="00E62B28">
        <w:rPr>
          <w:rFonts w:ascii="Calibri" w:hAnsi="Calibri" w:cs="Calibri"/>
        </w:rPr>
        <w:t xml:space="preserve">into </w:t>
      </w:r>
      <w:r w:rsidR="00E518DB" w:rsidRPr="00E518DB">
        <w:rPr>
          <w:rFonts w:ascii="Calibri" w:hAnsi="Calibri" w:cs="Calibri"/>
        </w:rPr>
        <w:t>a spreadsheet</w:t>
      </w:r>
      <w:r w:rsidR="00572651">
        <w:rPr>
          <w:rFonts w:ascii="Calibri" w:hAnsi="Calibri" w:cs="Calibri"/>
        </w:rPr>
        <w:t xml:space="preserve">. </w:t>
      </w:r>
    </w:p>
    <w:p w14:paraId="50DFAFAD" w14:textId="1B75A99F" w:rsidR="00462730" w:rsidRPr="00C705EA" w:rsidRDefault="00C705EA" w:rsidP="00454AC3">
      <w:pPr>
        <w:pStyle w:val="Standard"/>
        <w:spacing w:line="480" w:lineRule="auto"/>
        <w:jc w:val="both"/>
        <w:rPr>
          <w:rFonts w:asciiTheme="minorHAnsi" w:hAnsiTheme="minorHAnsi" w:cstheme="minorHAnsi"/>
          <w:b/>
          <w:bCs/>
        </w:rPr>
      </w:pPr>
      <w:r w:rsidRPr="00C705EA">
        <w:rPr>
          <w:rFonts w:asciiTheme="minorHAnsi" w:hAnsiTheme="minorHAnsi" w:cstheme="minorHAnsi"/>
          <w:b/>
          <w:bCs/>
        </w:rPr>
        <w:t xml:space="preserve">Quality assessment </w:t>
      </w:r>
    </w:p>
    <w:p w14:paraId="0A2575B6" w14:textId="561D6BDF" w:rsidR="003F1A97" w:rsidRPr="006943A2" w:rsidRDefault="00A76013" w:rsidP="00454AC3">
      <w:pPr>
        <w:suppressAutoHyphens/>
        <w:autoSpaceDN w:val="0"/>
        <w:spacing w:line="480" w:lineRule="auto"/>
        <w:jc w:val="both"/>
        <w:textAlignment w:val="baseline"/>
        <w:rPr>
          <w:rFonts w:eastAsia="Calibri" w:cstheme="minorHAnsi"/>
          <w:sz w:val="24"/>
          <w:szCs w:val="24"/>
          <w:lang w:val="en-GB"/>
        </w:rPr>
      </w:pPr>
      <w:r w:rsidRPr="00A76013">
        <w:rPr>
          <w:rFonts w:eastAsia="Noto Sans CJK SC Regular" w:cstheme="minorHAnsi"/>
          <w:kern w:val="3"/>
          <w:sz w:val="24"/>
          <w:szCs w:val="24"/>
          <w:lang w:val="en-GB" w:eastAsia="zh-CN" w:bidi="hi-IN"/>
        </w:rPr>
        <w:t>Bias will be assessed using the Cochrane risk of bias tool</w:t>
      </w:r>
      <w:r w:rsidR="00E70C71" w:rsidRPr="00782F15">
        <w:rPr>
          <w:rFonts w:eastAsia="Noto Sans CJK SC Regular" w:cstheme="minorHAnsi"/>
          <w:kern w:val="3"/>
          <w:sz w:val="24"/>
          <w:szCs w:val="24"/>
          <w:lang w:val="en-GB" w:eastAsia="zh-CN" w:bidi="hi-IN"/>
        </w:rPr>
        <w:t xml:space="preserve"> to assess the following </w:t>
      </w:r>
      <w:r w:rsidR="006D0628">
        <w:rPr>
          <w:rFonts w:eastAsia="Noto Sans CJK SC Regular" w:cstheme="minorHAnsi"/>
          <w:kern w:val="3"/>
          <w:sz w:val="24"/>
          <w:szCs w:val="24"/>
          <w:lang w:val="en-GB" w:eastAsia="zh-CN" w:bidi="hi-IN"/>
        </w:rPr>
        <w:t xml:space="preserve">source of bias </w:t>
      </w:r>
      <w:r w:rsidR="00E70C71" w:rsidRPr="00782F15">
        <w:rPr>
          <w:rFonts w:eastAsia="Noto Sans CJK SC Regular" w:cstheme="minorHAnsi"/>
          <w:kern w:val="3"/>
          <w:sz w:val="24"/>
          <w:szCs w:val="24"/>
          <w:lang w:val="en-GB" w:eastAsia="zh-CN" w:bidi="hi-IN"/>
        </w:rPr>
        <w:t xml:space="preserve">domains; 1) </w:t>
      </w:r>
      <w:r w:rsidR="00572651">
        <w:rPr>
          <w:rFonts w:eastAsia="Calibri" w:cstheme="minorHAnsi"/>
          <w:sz w:val="24"/>
          <w:szCs w:val="24"/>
          <w:lang w:val="en-GB"/>
        </w:rPr>
        <w:t>s</w:t>
      </w:r>
      <w:r w:rsidRPr="00A76013">
        <w:rPr>
          <w:rFonts w:eastAsia="Calibri" w:cstheme="minorHAnsi"/>
          <w:sz w:val="24"/>
          <w:szCs w:val="24"/>
          <w:lang w:val="en-GB"/>
        </w:rPr>
        <w:t>election bias (biased allocation to interventions) via</w:t>
      </w:r>
      <w:r w:rsidR="003E04CD">
        <w:rPr>
          <w:rFonts w:eastAsia="Calibri" w:cstheme="minorHAnsi"/>
          <w:sz w:val="24"/>
          <w:szCs w:val="24"/>
          <w:lang w:val="en-GB"/>
        </w:rPr>
        <w:t xml:space="preserve"> assessment of</w:t>
      </w:r>
      <w:r w:rsidRPr="00A76013">
        <w:rPr>
          <w:rFonts w:eastAsia="Calibri" w:cstheme="minorHAnsi"/>
          <w:sz w:val="24"/>
          <w:szCs w:val="24"/>
          <w:lang w:val="en-GB"/>
        </w:rPr>
        <w:t xml:space="preserve"> adequate sequence generation in the</w:t>
      </w:r>
      <w:r w:rsidR="003F1A97" w:rsidRPr="00782F15">
        <w:rPr>
          <w:rFonts w:eastAsia="Calibri" w:cstheme="minorHAnsi"/>
          <w:sz w:val="24"/>
          <w:szCs w:val="24"/>
          <w:lang w:val="en-GB"/>
        </w:rPr>
        <w:t xml:space="preserve"> </w:t>
      </w:r>
      <w:r w:rsidRPr="00A76013">
        <w:rPr>
          <w:rFonts w:eastAsia="Calibri" w:cstheme="minorHAnsi"/>
          <w:sz w:val="24"/>
          <w:szCs w:val="24"/>
          <w:lang w:val="en-GB"/>
        </w:rPr>
        <w:t xml:space="preserve">allocation of participants to intervention and control groups, and </w:t>
      </w:r>
      <w:r w:rsidR="00494AA6">
        <w:rPr>
          <w:rFonts w:eastAsia="Calibri" w:cstheme="minorHAnsi"/>
          <w:sz w:val="24"/>
          <w:szCs w:val="24"/>
          <w:lang w:val="en-GB"/>
        </w:rPr>
        <w:t xml:space="preserve">adequate </w:t>
      </w:r>
      <w:r w:rsidRPr="00A76013">
        <w:rPr>
          <w:rFonts w:eastAsia="Calibri" w:cstheme="minorHAnsi"/>
          <w:sz w:val="24"/>
          <w:szCs w:val="24"/>
          <w:lang w:val="en-GB"/>
        </w:rPr>
        <w:t>allocation concealment</w:t>
      </w:r>
      <w:r w:rsidR="001E70F9">
        <w:rPr>
          <w:rFonts w:eastAsia="Calibri" w:cstheme="minorHAnsi"/>
          <w:sz w:val="24"/>
          <w:szCs w:val="24"/>
          <w:lang w:val="en-GB"/>
        </w:rPr>
        <w:t>,</w:t>
      </w:r>
      <w:r w:rsidRPr="00A76013">
        <w:rPr>
          <w:rFonts w:eastAsia="Calibri" w:cstheme="minorHAnsi"/>
          <w:sz w:val="24"/>
          <w:szCs w:val="24"/>
          <w:lang w:val="en-GB"/>
        </w:rPr>
        <w:t xml:space="preserve"> </w:t>
      </w:r>
      <w:r w:rsidR="003F1A97" w:rsidRPr="00782F15">
        <w:rPr>
          <w:rFonts w:eastAsia="Calibri" w:cstheme="minorHAnsi"/>
          <w:sz w:val="24"/>
          <w:szCs w:val="24"/>
          <w:lang w:val="en-GB"/>
        </w:rPr>
        <w:t>2)</w:t>
      </w:r>
      <w:r w:rsidR="006D0628">
        <w:rPr>
          <w:rFonts w:eastAsia="Calibri" w:cstheme="minorHAnsi"/>
          <w:sz w:val="24"/>
          <w:szCs w:val="24"/>
          <w:lang w:val="en-GB"/>
        </w:rPr>
        <w:t xml:space="preserve"> performance</w:t>
      </w:r>
      <w:r w:rsidR="007F48F5">
        <w:rPr>
          <w:rFonts w:eastAsia="Calibri" w:cstheme="minorHAnsi"/>
          <w:sz w:val="24"/>
          <w:szCs w:val="24"/>
          <w:lang w:val="en-GB"/>
        </w:rPr>
        <w:t xml:space="preserve"> bias via assessment of</w:t>
      </w:r>
      <w:r w:rsidR="003F1A97" w:rsidRPr="00782F15">
        <w:rPr>
          <w:rFonts w:eastAsia="Calibri" w:cstheme="minorHAnsi"/>
          <w:sz w:val="24"/>
          <w:szCs w:val="24"/>
          <w:lang w:val="en-GB"/>
        </w:rPr>
        <w:t xml:space="preserve"> </w:t>
      </w:r>
      <w:r w:rsidR="008D761A">
        <w:rPr>
          <w:rFonts w:eastAsia="Calibri" w:cstheme="minorHAnsi"/>
          <w:sz w:val="24"/>
          <w:szCs w:val="24"/>
          <w:lang w:val="en-GB"/>
        </w:rPr>
        <w:t>b</w:t>
      </w:r>
      <w:r w:rsidRPr="00A76013">
        <w:rPr>
          <w:rFonts w:eastAsia="Calibri" w:cstheme="minorHAnsi"/>
          <w:sz w:val="24"/>
          <w:szCs w:val="24"/>
          <w:lang w:val="en-GB"/>
        </w:rPr>
        <w:t xml:space="preserve">linding of personnel </w:t>
      </w:r>
      <w:r w:rsidR="004B1952">
        <w:rPr>
          <w:rFonts w:eastAsia="Calibri" w:cstheme="minorHAnsi"/>
          <w:sz w:val="24"/>
          <w:szCs w:val="24"/>
          <w:lang w:val="en-GB"/>
        </w:rPr>
        <w:t xml:space="preserve">and participants </w:t>
      </w:r>
      <w:r w:rsidR="00816464">
        <w:rPr>
          <w:rFonts w:eastAsia="Calibri" w:cstheme="minorHAnsi"/>
          <w:sz w:val="24"/>
          <w:szCs w:val="24"/>
          <w:lang w:val="en-GB"/>
        </w:rPr>
        <w:t>to</w:t>
      </w:r>
      <w:r w:rsidR="001011EE">
        <w:rPr>
          <w:rFonts w:eastAsia="Calibri" w:cstheme="minorHAnsi"/>
          <w:sz w:val="24"/>
          <w:szCs w:val="24"/>
          <w:lang w:val="en-GB"/>
        </w:rPr>
        <w:t xml:space="preserve"> treatment allocation</w:t>
      </w:r>
      <w:r w:rsidR="003F1A97" w:rsidRPr="00782F15">
        <w:rPr>
          <w:rFonts w:eastAsia="Calibri" w:cstheme="minorHAnsi"/>
          <w:sz w:val="24"/>
          <w:szCs w:val="24"/>
          <w:lang w:val="en-GB"/>
        </w:rPr>
        <w:t xml:space="preserve">, 3) </w:t>
      </w:r>
      <w:r w:rsidR="001011EE">
        <w:rPr>
          <w:rFonts w:eastAsia="Calibri" w:cstheme="minorHAnsi"/>
          <w:sz w:val="24"/>
          <w:szCs w:val="24"/>
          <w:lang w:val="en-GB"/>
        </w:rPr>
        <w:t xml:space="preserve">detection bias via </w:t>
      </w:r>
      <w:r w:rsidR="00740DE8">
        <w:rPr>
          <w:rFonts w:eastAsia="Calibri" w:cstheme="minorHAnsi"/>
          <w:sz w:val="24"/>
          <w:szCs w:val="24"/>
          <w:lang w:val="en-GB"/>
        </w:rPr>
        <w:t xml:space="preserve">assessment of blinding </w:t>
      </w:r>
      <w:r w:rsidR="005B3268">
        <w:rPr>
          <w:rFonts w:eastAsia="Calibri" w:cstheme="minorHAnsi"/>
          <w:sz w:val="24"/>
          <w:szCs w:val="24"/>
          <w:lang w:val="en-GB"/>
        </w:rPr>
        <w:t xml:space="preserve">of </w:t>
      </w:r>
      <w:r w:rsidR="00816464">
        <w:rPr>
          <w:rFonts w:eastAsia="Calibri" w:cstheme="minorHAnsi"/>
          <w:sz w:val="24"/>
          <w:szCs w:val="24"/>
          <w:lang w:val="en-GB"/>
        </w:rPr>
        <w:t xml:space="preserve">the </w:t>
      </w:r>
      <w:r w:rsidR="005B3268">
        <w:rPr>
          <w:rFonts w:eastAsia="Calibri" w:cstheme="minorHAnsi"/>
          <w:sz w:val="24"/>
          <w:szCs w:val="24"/>
          <w:lang w:val="en-GB"/>
        </w:rPr>
        <w:t xml:space="preserve">outcome </w:t>
      </w:r>
      <w:r w:rsidRPr="00A76013">
        <w:rPr>
          <w:rFonts w:eastAsia="Calibri" w:cstheme="minorHAnsi"/>
          <w:sz w:val="24"/>
          <w:szCs w:val="24"/>
          <w:lang w:val="en-GB"/>
        </w:rPr>
        <w:t>assessor to treatment allocation</w:t>
      </w:r>
      <w:r w:rsidR="003F1A97" w:rsidRPr="00782F15">
        <w:rPr>
          <w:rFonts w:eastAsia="Calibri" w:cstheme="minorHAnsi"/>
          <w:sz w:val="24"/>
          <w:szCs w:val="24"/>
          <w:lang w:val="en-GB"/>
        </w:rPr>
        <w:t>, 4) r</w:t>
      </w:r>
      <w:r w:rsidRPr="00A76013">
        <w:rPr>
          <w:rFonts w:eastAsia="Calibri" w:cstheme="minorHAnsi"/>
          <w:sz w:val="24"/>
          <w:szCs w:val="24"/>
          <w:lang w:val="en-GB"/>
        </w:rPr>
        <w:t xml:space="preserve">eporting bias </w:t>
      </w:r>
      <w:r w:rsidR="00816464">
        <w:rPr>
          <w:rFonts w:eastAsia="Calibri" w:cstheme="minorHAnsi"/>
          <w:sz w:val="24"/>
          <w:szCs w:val="24"/>
          <w:lang w:val="en-GB"/>
        </w:rPr>
        <w:t xml:space="preserve">via assessment </w:t>
      </w:r>
      <w:r w:rsidR="0007729C">
        <w:rPr>
          <w:rFonts w:eastAsia="Calibri" w:cstheme="minorHAnsi"/>
          <w:sz w:val="24"/>
          <w:szCs w:val="24"/>
          <w:lang w:val="en-GB"/>
        </w:rPr>
        <w:t>of</w:t>
      </w:r>
      <w:r w:rsidRPr="00A76013">
        <w:rPr>
          <w:rFonts w:eastAsia="Calibri" w:cstheme="minorHAnsi"/>
          <w:sz w:val="24"/>
          <w:szCs w:val="24"/>
          <w:lang w:val="en-GB"/>
        </w:rPr>
        <w:t xml:space="preserve"> selective outcome reporting</w:t>
      </w:r>
      <w:r w:rsidR="003F1A97" w:rsidRPr="00782F15">
        <w:rPr>
          <w:rFonts w:eastAsia="Noto Sans CJK SC Regular" w:cstheme="minorHAnsi"/>
          <w:kern w:val="3"/>
          <w:sz w:val="24"/>
          <w:szCs w:val="24"/>
          <w:lang w:val="en-GB" w:eastAsia="zh-CN" w:bidi="hi-IN"/>
        </w:rPr>
        <w:t xml:space="preserve">, 5) </w:t>
      </w:r>
      <w:r w:rsidR="00AB243D">
        <w:rPr>
          <w:rFonts w:eastAsia="Noto Sans CJK SC Regular" w:cstheme="minorHAnsi"/>
          <w:kern w:val="3"/>
          <w:sz w:val="24"/>
          <w:szCs w:val="24"/>
          <w:lang w:val="en-GB" w:eastAsia="zh-CN" w:bidi="hi-IN"/>
        </w:rPr>
        <w:t xml:space="preserve">attrition bias via assessment of the </w:t>
      </w:r>
      <w:r w:rsidRPr="00A76013">
        <w:rPr>
          <w:rFonts w:eastAsia="Calibri" w:cstheme="minorHAnsi"/>
          <w:sz w:val="24"/>
          <w:szCs w:val="24"/>
          <w:lang w:val="en-GB"/>
        </w:rPr>
        <w:t xml:space="preserve">description of participants not included </w:t>
      </w:r>
      <w:r w:rsidR="000A78A2">
        <w:rPr>
          <w:rFonts w:eastAsia="Calibri" w:cstheme="minorHAnsi"/>
          <w:sz w:val="24"/>
          <w:szCs w:val="24"/>
          <w:lang w:val="en-GB"/>
        </w:rPr>
        <w:t>versus those</w:t>
      </w:r>
      <w:r w:rsidR="00336023">
        <w:rPr>
          <w:rFonts w:eastAsia="Calibri" w:cstheme="minorHAnsi"/>
          <w:sz w:val="24"/>
          <w:szCs w:val="24"/>
          <w:lang w:val="en-GB"/>
        </w:rPr>
        <w:t xml:space="preserve"> included </w:t>
      </w:r>
      <w:r w:rsidR="000A78A2" w:rsidRPr="00A76013">
        <w:rPr>
          <w:rFonts w:eastAsia="Calibri" w:cstheme="minorHAnsi"/>
          <w:sz w:val="24"/>
          <w:szCs w:val="24"/>
          <w:lang w:val="en-GB"/>
        </w:rPr>
        <w:t>in the final analysis</w:t>
      </w:r>
      <w:r w:rsidR="00336023">
        <w:rPr>
          <w:rFonts w:eastAsia="Calibri" w:cstheme="minorHAnsi"/>
          <w:sz w:val="24"/>
          <w:szCs w:val="24"/>
          <w:lang w:val="en-GB"/>
        </w:rPr>
        <w:t>.</w:t>
      </w:r>
    </w:p>
    <w:p w14:paraId="58C73F92" w14:textId="78083DE4" w:rsidR="004A0773" w:rsidRDefault="00C705EA" w:rsidP="00454AC3">
      <w:pPr>
        <w:spacing w:line="480" w:lineRule="auto"/>
        <w:rPr>
          <w:rFonts w:cstheme="minorHAnsi"/>
          <w:b/>
          <w:bCs/>
          <w:sz w:val="24"/>
          <w:szCs w:val="24"/>
          <w:lang w:val="en-US"/>
        </w:rPr>
      </w:pPr>
      <w:r w:rsidRPr="00C705EA">
        <w:rPr>
          <w:rFonts w:cstheme="minorHAnsi"/>
          <w:b/>
          <w:bCs/>
          <w:sz w:val="24"/>
          <w:szCs w:val="24"/>
          <w:lang w:val="en-US"/>
        </w:rPr>
        <w:t>Data analysis</w:t>
      </w:r>
    </w:p>
    <w:p w14:paraId="116E93C6" w14:textId="36816BDA" w:rsidR="005617E4" w:rsidRPr="005617E4" w:rsidRDefault="00CD5C48" w:rsidP="00454AC3">
      <w:pPr>
        <w:pStyle w:val="Standard"/>
        <w:spacing w:after="240" w:line="480" w:lineRule="auto"/>
        <w:jc w:val="both"/>
        <w:rPr>
          <w:rFonts w:ascii="Calibri" w:hAnsi="Calibri" w:cs="Calibri"/>
          <w:bCs/>
        </w:rPr>
      </w:pPr>
      <w:r w:rsidRPr="00390A69">
        <w:rPr>
          <w:rFonts w:asciiTheme="minorHAnsi" w:hAnsiTheme="minorHAnsi" w:cstheme="minorHAnsi"/>
          <w:lang w:val="en-US"/>
        </w:rPr>
        <w:t xml:space="preserve">We will calculate </w:t>
      </w:r>
      <w:r w:rsidR="00390A69">
        <w:rPr>
          <w:rFonts w:asciiTheme="minorHAnsi" w:hAnsiTheme="minorHAnsi" w:cstheme="minorHAnsi"/>
          <w:lang w:val="en-US"/>
        </w:rPr>
        <w:t>risk</w:t>
      </w:r>
      <w:r w:rsidR="000B4AEB" w:rsidRPr="000B4AEB">
        <w:rPr>
          <w:rFonts w:asciiTheme="minorHAnsi" w:hAnsiTheme="minorHAnsi" w:cstheme="minorHAnsi"/>
        </w:rPr>
        <w:t xml:space="preserve"> ratios as relative measures of effect for direct comparisons within trials (for</w:t>
      </w:r>
      <w:r w:rsidRPr="00390A69">
        <w:rPr>
          <w:rFonts w:asciiTheme="minorHAnsi" w:hAnsiTheme="minorHAnsi" w:cstheme="minorHAnsi"/>
        </w:rPr>
        <w:t xml:space="preserve"> all</w:t>
      </w:r>
      <w:r w:rsidR="000B4AEB" w:rsidRPr="000B4AEB">
        <w:rPr>
          <w:rFonts w:asciiTheme="minorHAnsi" w:hAnsiTheme="minorHAnsi" w:cstheme="minorHAnsi"/>
        </w:rPr>
        <w:t xml:space="preserve"> </w:t>
      </w:r>
      <w:r w:rsidR="00420DE0">
        <w:rPr>
          <w:rFonts w:asciiTheme="minorHAnsi" w:hAnsiTheme="minorHAnsi" w:cstheme="minorHAnsi"/>
        </w:rPr>
        <w:t>objectives</w:t>
      </w:r>
      <w:r w:rsidR="000B4AEB" w:rsidRPr="000B4AEB">
        <w:rPr>
          <w:rFonts w:asciiTheme="minorHAnsi" w:hAnsiTheme="minorHAnsi" w:cstheme="minorHAnsi"/>
        </w:rPr>
        <w:t>)</w:t>
      </w:r>
      <w:r w:rsidR="00AD40F8" w:rsidRPr="00390A69">
        <w:rPr>
          <w:rFonts w:asciiTheme="minorHAnsi" w:hAnsiTheme="minorHAnsi" w:cstheme="minorHAnsi"/>
        </w:rPr>
        <w:t xml:space="preserve"> and </w:t>
      </w:r>
      <w:r w:rsidR="00420DE0">
        <w:rPr>
          <w:rFonts w:asciiTheme="minorHAnsi" w:hAnsiTheme="minorHAnsi" w:cstheme="minorHAnsi"/>
          <w:lang w:val="en-US"/>
        </w:rPr>
        <w:t>proportions</w:t>
      </w:r>
      <w:r w:rsidR="000B4AEB" w:rsidRPr="000B4AEB">
        <w:rPr>
          <w:rFonts w:asciiTheme="minorHAnsi" w:hAnsiTheme="minorHAnsi" w:cstheme="minorHAnsi"/>
        </w:rPr>
        <w:t xml:space="preserve"> as absolute measures of effect for indirect</w:t>
      </w:r>
      <w:r w:rsidR="00093AC8" w:rsidRPr="00390A69">
        <w:rPr>
          <w:rFonts w:asciiTheme="minorHAnsi" w:hAnsiTheme="minorHAnsi" w:cstheme="minorHAnsi"/>
        </w:rPr>
        <w:t xml:space="preserve"> </w:t>
      </w:r>
      <w:r w:rsidR="000B4AEB" w:rsidRPr="000B4AEB">
        <w:rPr>
          <w:rFonts w:asciiTheme="minorHAnsi" w:hAnsiTheme="minorHAnsi" w:cstheme="minorHAnsi"/>
        </w:rPr>
        <w:t xml:space="preserve">comparisons across trials (for </w:t>
      </w:r>
      <w:r w:rsidR="00420DE0">
        <w:rPr>
          <w:rFonts w:asciiTheme="minorHAnsi" w:hAnsiTheme="minorHAnsi" w:cstheme="minorHAnsi"/>
        </w:rPr>
        <w:t>objectives</w:t>
      </w:r>
      <w:r w:rsidR="000B4AEB" w:rsidRPr="000B4AEB">
        <w:rPr>
          <w:rFonts w:asciiTheme="minorHAnsi" w:hAnsiTheme="minorHAnsi" w:cstheme="minorHAnsi"/>
        </w:rPr>
        <w:t xml:space="preserve"> 2 and 3 only)</w:t>
      </w:r>
      <w:r w:rsidR="0011290D" w:rsidRPr="00390A69">
        <w:rPr>
          <w:rFonts w:asciiTheme="minorHAnsi" w:hAnsiTheme="minorHAnsi" w:cstheme="minorHAnsi"/>
        </w:rPr>
        <w:t>.</w:t>
      </w:r>
      <w:r w:rsidR="0011290D">
        <w:rPr>
          <w:rFonts w:ascii="Calibri" w:hAnsi="Calibri" w:cs="Calibri"/>
        </w:rPr>
        <w:t xml:space="preserve"> </w:t>
      </w:r>
      <w:r w:rsidR="00161129">
        <w:rPr>
          <w:rFonts w:ascii="Calibri" w:hAnsi="Calibri" w:cs="Calibri"/>
        </w:rPr>
        <w:t>I</w:t>
      </w:r>
      <w:r w:rsidR="0011290D">
        <w:rPr>
          <w:rFonts w:ascii="Calibri" w:hAnsi="Calibri" w:cs="Calibri"/>
        </w:rPr>
        <w:t>f there is in</w:t>
      </w:r>
      <w:r w:rsidR="00AB522F">
        <w:rPr>
          <w:rFonts w:ascii="Calibri" w:hAnsi="Calibri" w:cs="Calibri"/>
        </w:rPr>
        <w:t>sufficient data for direct comparison</w:t>
      </w:r>
      <w:r w:rsidR="00372280">
        <w:rPr>
          <w:rFonts w:ascii="Calibri" w:hAnsi="Calibri" w:cs="Calibri"/>
        </w:rPr>
        <w:t>s</w:t>
      </w:r>
      <w:r w:rsidR="00AF0F51">
        <w:rPr>
          <w:rFonts w:ascii="Calibri" w:hAnsi="Calibri" w:cs="Calibri"/>
        </w:rPr>
        <w:t xml:space="preserve"> </w:t>
      </w:r>
      <w:r w:rsidR="009F0979">
        <w:rPr>
          <w:rFonts w:ascii="Calibri" w:hAnsi="Calibri" w:cs="Calibri"/>
        </w:rPr>
        <w:t>within trials</w:t>
      </w:r>
      <w:r w:rsidR="00AF0F51">
        <w:rPr>
          <w:rFonts w:ascii="Calibri" w:hAnsi="Calibri" w:cs="Calibri"/>
        </w:rPr>
        <w:t xml:space="preserve"> for </w:t>
      </w:r>
      <w:r w:rsidR="00420DE0">
        <w:rPr>
          <w:rFonts w:ascii="Calibri" w:hAnsi="Calibri" w:cs="Calibri"/>
        </w:rPr>
        <w:t>objective</w:t>
      </w:r>
      <w:r w:rsidR="00AF0F51">
        <w:rPr>
          <w:rFonts w:ascii="Calibri" w:hAnsi="Calibri" w:cs="Calibri"/>
        </w:rPr>
        <w:t xml:space="preserve"> 1, </w:t>
      </w:r>
      <w:r w:rsidR="00372280">
        <w:rPr>
          <w:rFonts w:ascii="Calibri" w:hAnsi="Calibri" w:cs="Calibri"/>
        </w:rPr>
        <w:t xml:space="preserve">indirect comparisons between </w:t>
      </w:r>
      <w:r w:rsidR="000D7E0E">
        <w:rPr>
          <w:rFonts w:ascii="Calibri" w:hAnsi="Calibri" w:cs="Calibri"/>
        </w:rPr>
        <w:t>trials will be performed.</w:t>
      </w:r>
      <w:r w:rsidR="00FC5CCC">
        <w:rPr>
          <w:rFonts w:ascii="Calibri" w:hAnsi="Calibri" w:cs="Calibri"/>
        </w:rPr>
        <w:t xml:space="preserve"> </w:t>
      </w:r>
      <w:r w:rsidR="00FC5CCC" w:rsidRPr="00FC5CCC">
        <w:rPr>
          <w:rFonts w:ascii="Calibri" w:eastAsia="Calibri" w:hAnsi="Calibri" w:cs="Calibri"/>
        </w:rPr>
        <w:t xml:space="preserve">Statistical analysis will be conducted using R for Windows, version 3.6.0. </w:t>
      </w:r>
      <w:r w:rsidR="00FC5CCC" w:rsidRPr="00FC5CCC">
        <w:rPr>
          <w:rFonts w:ascii="Calibri" w:hAnsi="Calibri" w:cs="Calibri"/>
        </w:rPr>
        <w:t xml:space="preserve">Relative and absolute measures of effect will be </w:t>
      </w:r>
      <w:r w:rsidR="00FC5CCC">
        <w:rPr>
          <w:rFonts w:ascii="Calibri" w:hAnsi="Calibri" w:cs="Calibri"/>
        </w:rPr>
        <w:t xml:space="preserve">pooled and </w:t>
      </w:r>
      <w:r w:rsidR="00FC5CCC" w:rsidRPr="00FC5CCC">
        <w:rPr>
          <w:rFonts w:ascii="Calibri" w:hAnsi="Calibri" w:cs="Calibri"/>
        </w:rPr>
        <w:t>analysed using the package metafor</w:t>
      </w:r>
      <w:r w:rsidR="00FC5CCC" w:rsidRPr="00FC5CCC">
        <w:rPr>
          <w:rFonts w:ascii="Calibri" w:eastAsia="Calibri" w:hAnsi="Calibri" w:cs="Calibri"/>
        </w:rPr>
        <w:t xml:space="preserve">. </w:t>
      </w:r>
      <w:r w:rsidR="00C82BBD" w:rsidRPr="001E441A">
        <w:rPr>
          <w:rFonts w:ascii="Calibri" w:eastAsia="Calibri" w:hAnsi="Calibri" w:cs="Calibri"/>
        </w:rPr>
        <w:t xml:space="preserve">Meta-analysis </w:t>
      </w:r>
      <w:r w:rsidR="00C82BBD">
        <w:rPr>
          <w:rFonts w:ascii="Calibri" w:eastAsia="Calibri" w:hAnsi="Calibri" w:cs="Calibri"/>
        </w:rPr>
        <w:t>will be</w:t>
      </w:r>
      <w:r w:rsidR="00C82BBD" w:rsidRPr="001E441A">
        <w:rPr>
          <w:rFonts w:ascii="Calibri" w:eastAsia="Calibri" w:hAnsi="Calibri" w:cs="Calibri"/>
        </w:rPr>
        <w:t xml:space="preserve"> performed using the generalised inverse variance method for fixed effects models </w:t>
      </w:r>
      <w:r w:rsidR="00C82BBD">
        <w:rPr>
          <w:rFonts w:ascii="Calibri" w:eastAsia="Calibri" w:hAnsi="Calibri" w:cs="Calibri"/>
        </w:rPr>
        <w:t xml:space="preserve">(FEM) </w:t>
      </w:r>
      <w:r w:rsidR="00C82BBD" w:rsidRPr="001E441A">
        <w:rPr>
          <w:rFonts w:ascii="Calibri" w:eastAsia="Calibri" w:hAnsi="Calibri" w:cs="Calibri"/>
        </w:rPr>
        <w:t>or the DerSimonian-Laird method for random effects models</w:t>
      </w:r>
      <w:r w:rsidR="00C82BBD">
        <w:rPr>
          <w:rFonts w:ascii="Calibri" w:eastAsia="Calibri" w:hAnsi="Calibri" w:cs="Calibri"/>
        </w:rPr>
        <w:t xml:space="preserve"> (REM)</w:t>
      </w:r>
      <w:r w:rsidR="00C82BBD">
        <w:rPr>
          <w:rFonts w:ascii="Calibri" w:hAnsi="Calibri" w:cs="Calibri"/>
        </w:rPr>
        <w:fldChar w:fldCharType="begin"/>
      </w:r>
      <w:r w:rsidR="00C82BBD">
        <w:rPr>
          <w:rFonts w:ascii="Calibri" w:hAnsi="Calibri" w:cs="Calibri"/>
        </w:rPr>
        <w:instrText xml:space="preserve"> ADDIN ZOTERO_ITEM CSL_CITATION {"citationID":"JA4ZxjSE","properties":{"formattedCitation":"(15)","plainCitation":"(15)","noteIndex":0},"citationItems":[{"id":42,"uris":["http://zotero.org/users/local/VycG0cvr/items/ZLPVEUVL"],"uri":["http://zotero.org/users/local/VycG0cvr/items/ZLPVEUVL"],"itemData":{"id":42,"type":"book","title":"Cochrane handbook for systematic reviews of interventions","publisher":"Wiley-Blackwell, Hoboken, NJ","publisher-place":"Chichester, England","number-of-pages":"649","event-place":"Chichester, England","author":[{"family":"Higgins","given":"JPT"},{"family":"Green","given":"S"},{"family":"Cochrane Collaboration","given":""}],"issued":{"date-parts":[["2008"]]}}}],"schema":"https://github.com/citation-style-language/schema/raw/master/csl-citation.json"} </w:instrText>
      </w:r>
      <w:r w:rsidR="00C82BBD">
        <w:rPr>
          <w:rFonts w:ascii="Calibri" w:hAnsi="Calibri" w:cs="Calibri"/>
        </w:rPr>
        <w:fldChar w:fldCharType="separate"/>
      </w:r>
      <w:r w:rsidR="00C82BBD" w:rsidRPr="00E52850">
        <w:rPr>
          <w:rFonts w:ascii="Calibri" w:hAnsi="Calibri" w:cs="Calibri"/>
        </w:rPr>
        <w:t>(15)</w:t>
      </w:r>
      <w:r w:rsidR="00C82BBD">
        <w:rPr>
          <w:rFonts w:ascii="Calibri" w:hAnsi="Calibri" w:cs="Calibri"/>
        </w:rPr>
        <w:fldChar w:fldCharType="end"/>
      </w:r>
      <w:r w:rsidR="00C82BBD">
        <w:rPr>
          <w:rFonts w:ascii="Calibri" w:eastAsia="Calibri" w:hAnsi="Calibri" w:cs="Calibri"/>
        </w:rPr>
        <w:t xml:space="preserve">. </w:t>
      </w:r>
      <w:r w:rsidR="00FC5CCC" w:rsidRPr="00FC5CCC">
        <w:rPr>
          <w:rFonts w:ascii="Calibri" w:eastAsia="Calibri" w:hAnsi="Calibri" w:cs="Calibri"/>
        </w:rPr>
        <w:t xml:space="preserve">Forest plots will be generated for relative measures using metafor and absolute measures using custom code. </w:t>
      </w:r>
      <w:r w:rsidR="00997F4E">
        <w:rPr>
          <w:rFonts w:ascii="Calibri" w:eastAsia="Calibri" w:hAnsi="Calibri" w:cs="Calibri"/>
        </w:rPr>
        <w:t>C</w:t>
      </w:r>
      <w:r w:rsidR="00FC5CCC" w:rsidRPr="00FC5CCC">
        <w:rPr>
          <w:rFonts w:ascii="Calibri" w:eastAsia="Calibri" w:hAnsi="Calibri" w:cs="Calibri"/>
        </w:rPr>
        <w:t xml:space="preserve">orresponding 95% confidence intervals (CIs) and </w:t>
      </w:r>
      <w:r w:rsidR="00997F4E" w:rsidRPr="00D14CEF">
        <w:rPr>
          <w:rFonts w:ascii="Calibri" w:eastAsia="Calibri" w:hAnsi="Calibri" w:cs="Calibri"/>
        </w:rPr>
        <w:t>p</w:t>
      </w:r>
      <w:r w:rsidR="00FC5CCC" w:rsidRPr="00FC5CCC">
        <w:rPr>
          <w:rFonts w:ascii="Calibri" w:eastAsia="Calibri" w:hAnsi="Calibri" w:cs="Calibri"/>
        </w:rPr>
        <w:t>-values</w:t>
      </w:r>
      <w:r w:rsidR="00F02C46">
        <w:rPr>
          <w:rFonts w:ascii="Calibri" w:eastAsia="Calibri" w:hAnsi="Calibri" w:cs="Calibri"/>
        </w:rPr>
        <w:t xml:space="preserve"> will be calculated</w:t>
      </w:r>
      <w:r w:rsidR="00FC5CCC" w:rsidRPr="00FC5CCC">
        <w:rPr>
          <w:rFonts w:ascii="Calibri" w:eastAsia="Calibri" w:hAnsi="Calibri" w:cs="Calibri"/>
        </w:rPr>
        <w:t xml:space="preserve">; results will be </w:t>
      </w:r>
      <w:r w:rsidR="00FC5CCC" w:rsidRPr="00FC5CCC">
        <w:rPr>
          <w:rFonts w:ascii="Calibri" w:eastAsia="Calibri" w:hAnsi="Calibri" w:cs="Calibri"/>
        </w:rPr>
        <w:lastRenderedPageBreak/>
        <w:t xml:space="preserve">deemed </w:t>
      </w:r>
      <w:r w:rsidR="00161129">
        <w:rPr>
          <w:rFonts w:ascii="Calibri" w:eastAsia="Calibri" w:hAnsi="Calibri" w:cs="Calibri"/>
        </w:rPr>
        <w:t xml:space="preserve">statistically </w:t>
      </w:r>
      <w:r w:rsidR="00FC5CCC" w:rsidRPr="00FC5CCC">
        <w:rPr>
          <w:rFonts w:ascii="Calibri" w:eastAsia="Calibri" w:hAnsi="Calibri" w:cs="Calibri"/>
        </w:rPr>
        <w:t xml:space="preserve">significant at </w:t>
      </w:r>
      <w:r w:rsidR="00A25BF2">
        <w:rPr>
          <w:rFonts w:ascii="Calibri" w:eastAsia="Calibri" w:hAnsi="Calibri" w:cs="Calibri"/>
        </w:rPr>
        <w:t>p</w:t>
      </w:r>
      <w:r w:rsidR="00FC5CCC" w:rsidRPr="00FC5CCC">
        <w:rPr>
          <w:rFonts w:ascii="Calibri" w:eastAsia="Calibri" w:hAnsi="Calibri" w:cs="Calibri"/>
        </w:rPr>
        <w:t>&lt;0.05. Meta</w:t>
      </w:r>
      <w:r w:rsidR="00F02C46">
        <w:rPr>
          <w:rFonts w:ascii="Calibri" w:eastAsia="Calibri" w:hAnsi="Calibri" w:cs="Calibri"/>
        </w:rPr>
        <w:t>-</w:t>
      </w:r>
      <w:r w:rsidR="00FC5CCC" w:rsidRPr="00FC5CCC">
        <w:rPr>
          <w:rFonts w:ascii="Calibri" w:eastAsia="Calibri" w:hAnsi="Calibri" w:cs="Calibri"/>
        </w:rPr>
        <w:t>regression will be performed for absolute measures against categorised dose and duration data</w:t>
      </w:r>
      <w:r w:rsidR="00161129">
        <w:rPr>
          <w:rFonts w:ascii="Calibri" w:eastAsia="Calibri" w:hAnsi="Calibri" w:cs="Calibri"/>
        </w:rPr>
        <w:t>, including their interaction</w:t>
      </w:r>
      <w:r w:rsidR="00FC5CCC" w:rsidRPr="00FC5CCC">
        <w:rPr>
          <w:rFonts w:ascii="Calibri" w:eastAsia="Calibri" w:hAnsi="Calibri" w:cs="Calibri"/>
        </w:rPr>
        <w:t>.</w:t>
      </w:r>
      <w:r w:rsidR="00F54517">
        <w:rPr>
          <w:rFonts w:ascii="Calibri" w:hAnsi="Calibri" w:cs="Calibri"/>
        </w:rPr>
        <w:t xml:space="preserve"> </w:t>
      </w:r>
      <w:r w:rsidR="009E66CF" w:rsidRPr="009E66CF">
        <w:rPr>
          <w:rFonts w:ascii="Calibri" w:hAnsi="Calibri" w:cs="Calibri"/>
        </w:rPr>
        <w:t xml:space="preserve">For direct comparisons, we will quantify the level of the observed heterogeneity through the </w:t>
      </w:r>
      <w:r w:rsidR="009E66CF" w:rsidRPr="009E66CF">
        <w:rPr>
          <w:rFonts w:ascii="Calibri" w:hAnsi="Calibri" w:cs="Calibri"/>
          <w:i/>
        </w:rPr>
        <w:t>I</w:t>
      </w:r>
      <w:r w:rsidR="009E66CF" w:rsidRPr="009E66CF">
        <w:rPr>
          <w:rFonts w:ascii="Calibri" w:hAnsi="Calibri" w:cs="Calibri"/>
          <w:vertAlign w:val="superscript"/>
        </w:rPr>
        <w:t>2</w:t>
      </w:r>
      <w:r w:rsidR="009E66CF" w:rsidRPr="009E66CF">
        <w:rPr>
          <w:rFonts w:ascii="Calibri" w:hAnsi="Calibri" w:cs="Calibri"/>
        </w:rPr>
        <w:t>-statistic. For indirect comparisons using meta</w:t>
      </w:r>
      <w:r w:rsidR="00161129">
        <w:rPr>
          <w:rFonts w:ascii="Calibri" w:hAnsi="Calibri" w:cs="Calibri"/>
        </w:rPr>
        <w:t>-</w:t>
      </w:r>
      <w:r w:rsidR="009E66CF" w:rsidRPr="009E66CF">
        <w:rPr>
          <w:rFonts w:ascii="Calibri" w:hAnsi="Calibri" w:cs="Calibri"/>
        </w:rPr>
        <w:t xml:space="preserve">regression, the </w:t>
      </w:r>
      <w:r w:rsidR="00161129">
        <w:rPr>
          <w:rFonts w:ascii="Calibri" w:hAnsi="Calibri" w:cs="Calibri"/>
        </w:rPr>
        <w:t>τ</w:t>
      </w:r>
      <w:r w:rsidR="009E66CF" w:rsidRPr="009E66CF">
        <w:rPr>
          <w:rFonts w:ascii="Calibri" w:hAnsi="Calibri" w:cs="Calibri"/>
          <w:vertAlign w:val="superscript"/>
        </w:rPr>
        <w:t>2</w:t>
      </w:r>
      <w:r w:rsidR="009E66CF" w:rsidRPr="009E66CF">
        <w:rPr>
          <w:rFonts w:ascii="Calibri" w:hAnsi="Calibri" w:cs="Calibri"/>
        </w:rPr>
        <w:t xml:space="preserve"> statistic will be used to assess heterogeneity</w:t>
      </w:r>
      <w:r w:rsidR="009E66CF">
        <w:rPr>
          <w:rFonts w:ascii="Calibri" w:hAnsi="Calibri" w:cs="Calibri"/>
        </w:rPr>
        <w:t xml:space="preserve">. </w:t>
      </w:r>
      <w:r w:rsidR="005617E4" w:rsidRPr="005617E4">
        <w:rPr>
          <w:rFonts w:ascii="Calibri" w:hAnsi="Calibri" w:cs="Calibri"/>
          <w:bCs/>
        </w:rPr>
        <w:t xml:space="preserve">We will perform the following sensitivity analyses </w:t>
      </w:r>
      <w:r w:rsidR="00E31741">
        <w:rPr>
          <w:rFonts w:ascii="Calibri" w:hAnsi="Calibri" w:cs="Calibri"/>
          <w:bCs/>
        </w:rPr>
        <w:t>where</w:t>
      </w:r>
      <w:r w:rsidR="005617E4" w:rsidRPr="005617E4">
        <w:rPr>
          <w:rFonts w:ascii="Calibri" w:hAnsi="Calibri" w:cs="Calibri"/>
          <w:bCs/>
        </w:rPr>
        <w:t xml:space="preserve"> appropriate; 1) intention to treat (ITT</w:t>
      </w:r>
      <w:r w:rsidR="00DE550D">
        <w:rPr>
          <w:rFonts w:ascii="Calibri" w:hAnsi="Calibri" w:cs="Calibri"/>
          <w:bCs/>
        </w:rPr>
        <w:t>, where</w:t>
      </w:r>
      <w:r w:rsidR="005A124C">
        <w:rPr>
          <w:rFonts w:ascii="Calibri" w:hAnsi="Calibri" w:cs="Calibri"/>
          <w:bCs/>
        </w:rPr>
        <w:t xml:space="preserve"> all participants that were randomised </w:t>
      </w:r>
      <w:r w:rsidR="00A9798F">
        <w:rPr>
          <w:rFonts w:ascii="Calibri" w:hAnsi="Calibri" w:cs="Calibri"/>
          <w:bCs/>
        </w:rPr>
        <w:t>are included</w:t>
      </w:r>
      <w:r w:rsidR="005617E4" w:rsidRPr="005617E4">
        <w:rPr>
          <w:rFonts w:ascii="Calibri" w:hAnsi="Calibri" w:cs="Calibri"/>
          <w:bCs/>
        </w:rPr>
        <w:t>), 2) per protocol (PP</w:t>
      </w:r>
      <w:r w:rsidR="00A9798F">
        <w:rPr>
          <w:rFonts w:ascii="Calibri" w:hAnsi="Calibri" w:cs="Calibri"/>
          <w:bCs/>
        </w:rPr>
        <w:t>, where only those participants that were randomised and completed the treatment course as planned are included</w:t>
      </w:r>
      <w:r w:rsidR="005617E4" w:rsidRPr="005617E4">
        <w:rPr>
          <w:rFonts w:ascii="Calibri" w:hAnsi="Calibri" w:cs="Calibri"/>
          <w:bCs/>
        </w:rPr>
        <w:t xml:space="preserve">), 3) </w:t>
      </w:r>
      <w:r w:rsidR="007F5EAF">
        <w:rPr>
          <w:rFonts w:ascii="Calibri" w:hAnsi="Calibri" w:cs="Calibri"/>
          <w:bCs/>
        </w:rPr>
        <w:t>worst</w:t>
      </w:r>
      <w:r w:rsidR="005617E4" w:rsidRPr="005617E4">
        <w:rPr>
          <w:rFonts w:ascii="Calibri" w:hAnsi="Calibri" w:cs="Calibri"/>
          <w:bCs/>
        </w:rPr>
        <w:t>-case scenario</w:t>
      </w:r>
      <w:r w:rsidR="00A9798F">
        <w:rPr>
          <w:rFonts w:ascii="Calibri" w:hAnsi="Calibri" w:cs="Calibri"/>
          <w:bCs/>
        </w:rPr>
        <w:t xml:space="preserve"> (where</w:t>
      </w:r>
      <w:r w:rsidR="00232DAD">
        <w:rPr>
          <w:rFonts w:ascii="Calibri" w:hAnsi="Calibri" w:cs="Calibri"/>
          <w:bCs/>
        </w:rPr>
        <w:t xml:space="preserve"> participants missing an outcome are assumed to have failed or relapsed for efficacy outcomes o</w:t>
      </w:r>
      <w:r w:rsidR="007F5EAF">
        <w:rPr>
          <w:rFonts w:ascii="Calibri" w:hAnsi="Calibri" w:cs="Calibri"/>
          <w:bCs/>
        </w:rPr>
        <w:t xml:space="preserve">r </w:t>
      </w:r>
      <w:r w:rsidR="00176309">
        <w:rPr>
          <w:rFonts w:ascii="Calibri" w:hAnsi="Calibri" w:cs="Calibri"/>
          <w:bCs/>
        </w:rPr>
        <w:t>had a negative safety outcome)</w:t>
      </w:r>
      <w:r w:rsidR="005617E4" w:rsidRPr="005617E4">
        <w:rPr>
          <w:rFonts w:ascii="Calibri" w:hAnsi="Calibri" w:cs="Calibri"/>
          <w:bCs/>
        </w:rPr>
        <w:t xml:space="preserve">, 4) </w:t>
      </w:r>
      <w:r w:rsidR="007F5EAF">
        <w:rPr>
          <w:rFonts w:ascii="Calibri" w:hAnsi="Calibri" w:cs="Calibri"/>
          <w:bCs/>
        </w:rPr>
        <w:t>best</w:t>
      </w:r>
      <w:r w:rsidR="005617E4" w:rsidRPr="005617E4">
        <w:rPr>
          <w:rFonts w:ascii="Calibri" w:hAnsi="Calibri" w:cs="Calibri"/>
          <w:bCs/>
        </w:rPr>
        <w:t>-case scenario</w:t>
      </w:r>
      <w:r w:rsidR="00176309">
        <w:rPr>
          <w:rFonts w:ascii="Calibri" w:hAnsi="Calibri" w:cs="Calibri"/>
          <w:bCs/>
        </w:rPr>
        <w:t xml:space="preserve"> (where participants </w:t>
      </w:r>
      <w:r w:rsidR="001D731D">
        <w:rPr>
          <w:rFonts w:ascii="Calibri" w:hAnsi="Calibri" w:cs="Calibri"/>
          <w:bCs/>
        </w:rPr>
        <w:t xml:space="preserve">missing an outcome are assumed to have favourable efficacy </w:t>
      </w:r>
      <w:r w:rsidR="00BD6568">
        <w:rPr>
          <w:rFonts w:ascii="Calibri" w:hAnsi="Calibri" w:cs="Calibri"/>
          <w:bCs/>
        </w:rPr>
        <w:t>and</w:t>
      </w:r>
      <w:r w:rsidR="001D731D">
        <w:rPr>
          <w:rFonts w:ascii="Calibri" w:hAnsi="Calibri" w:cs="Calibri"/>
          <w:bCs/>
        </w:rPr>
        <w:t xml:space="preserve"> safety outcome</w:t>
      </w:r>
      <w:r w:rsidR="00BD6568">
        <w:rPr>
          <w:rFonts w:ascii="Calibri" w:hAnsi="Calibri" w:cs="Calibri"/>
          <w:bCs/>
        </w:rPr>
        <w:t>s</w:t>
      </w:r>
      <w:r w:rsidR="001D731D">
        <w:rPr>
          <w:rFonts w:ascii="Calibri" w:hAnsi="Calibri" w:cs="Calibri"/>
          <w:bCs/>
        </w:rPr>
        <w:t>)</w:t>
      </w:r>
      <w:r w:rsidR="005617E4" w:rsidRPr="005617E4">
        <w:rPr>
          <w:rFonts w:ascii="Calibri" w:hAnsi="Calibri" w:cs="Calibri"/>
          <w:bCs/>
        </w:rPr>
        <w:t>.</w:t>
      </w:r>
    </w:p>
    <w:p w14:paraId="6A8960B6" w14:textId="51847E69" w:rsidR="001D348F" w:rsidRDefault="001D348F" w:rsidP="00454AC3">
      <w:pPr>
        <w:spacing w:line="480" w:lineRule="auto"/>
        <w:rPr>
          <w:rFonts w:cstheme="minorHAnsi"/>
          <w:b/>
          <w:bCs/>
          <w:sz w:val="24"/>
          <w:szCs w:val="24"/>
          <w:lang w:val="en-US"/>
        </w:rPr>
      </w:pPr>
      <w:r>
        <w:rPr>
          <w:rFonts w:cstheme="minorHAnsi"/>
          <w:b/>
          <w:bCs/>
          <w:sz w:val="24"/>
          <w:szCs w:val="24"/>
          <w:lang w:val="en-US"/>
        </w:rPr>
        <w:t>Subgroup analyses</w:t>
      </w:r>
    </w:p>
    <w:p w14:paraId="1CEA574B" w14:textId="77777777" w:rsidR="0067482B" w:rsidRPr="0067482B" w:rsidRDefault="0067482B" w:rsidP="00454AC3">
      <w:pPr>
        <w:autoSpaceDN w:val="0"/>
        <w:spacing w:after="200" w:line="480" w:lineRule="auto"/>
        <w:jc w:val="both"/>
        <w:rPr>
          <w:rFonts w:ascii="Calibri" w:eastAsia="Calibri" w:hAnsi="Calibri" w:cs="Times New Roman"/>
          <w:sz w:val="24"/>
          <w:szCs w:val="24"/>
          <w:lang w:val="en-GB"/>
        </w:rPr>
      </w:pPr>
      <w:r w:rsidRPr="0067482B">
        <w:rPr>
          <w:rFonts w:ascii="Calibri" w:eastAsia="Calibri" w:hAnsi="Calibri" w:cs="Times New Roman"/>
          <w:sz w:val="24"/>
          <w:szCs w:val="24"/>
          <w:lang w:val="en-GB"/>
        </w:rPr>
        <w:t>Contingent on sufficient studies, we plan to explore the following subgroups:</w:t>
      </w:r>
    </w:p>
    <w:p w14:paraId="65239CCE" w14:textId="087F5EE6" w:rsidR="0067482B" w:rsidRPr="0067482B" w:rsidRDefault="0067482B" w:rsidP="00454AC3">
      <w:pPr>
        <w:numPr>
          <w:ilvl w:val="0"/>
          <w:numId w:val="13"/>
        </w:numPr>
        <w:suppressAutoHyphens/>
        <w:autoSpaceDN w:val="0"/>
        <w:spacing w:after="200" w:line="480" w:lineRule="auto"/>
        <w:jc w:val="both"/>
        <w:textAlignment w:val="baseline"/>
        <w:rPr>
          <w:rFonts w:ascii="Calibri" w:eastAsia="Calibri" w:hAnsi="Calibri" w:cs="Times New Roman"/>
          <w:sz w:val="24"/>
          <w:szCs w:val="24"/>
          <w:lang w:val="en-GB"/>
        </w:rPr>
      </w:pPr>
      <w:r w:rsidRPr="0067482B">
        <w:rPr>
          <w:rFonts w:ascii="Calibri" w:eastAsia="Calibri" w:hAnsi="Calibri" w:cs="Times New Roman"/>
          <w:sz w:val="24"/>
          <w:szCs w:val="24"/>
          <w:lang w:val="en-GB"/>
        </w:rPr>
        <w:t>HIV co</w:t>
      </w:r>
      <w:r w:rsidR="00161129">
        <w:rPr>
          <w:rFonts w:ascii="Calibri" w:eastAsia="Calibri" w:hAnsi="Calibri" w:cs="Times New Roman"/>
          <w:sz w:val="24"/>
          <w:szCs w:val="24"/>
          <w:lang w:val="en-GB"/>
        </w:rPr>
        <w:t>-</w:t>
      </w:r>
      <w:r w:rsidRPr="0067482B">
        <w:rPr>
          <w:rFonts w:ascii="Calibri" w:eastAsia="Calibri" w:hAnsi="Calibri" w:cs="Times New Roman"/>
          <w:sz w:val="24"/>
          <w:szCs w:val="24"/>
          <w:lang w:val="en-GB"/>
        </w:rPr>
        <w:t xml:space="preserve">infected </w:t>
      </w:r>
      <w:r w:rsidR="00E31741">
        <w:rPr>
          <w:rFonts w:ascii="Calibri" w:eastAsia="Calibri" w:hAnsi="Calibri" w:cs="Times New Roman"/>
          <w:sz w:val="24"/>
          <w:szCs w:val="24"/>
          <w:lang w:val="en-GB"/>
        </w:rPr>
        <w:t>versus</w:t>
      </w:r>
      <w:r w:rsidRPr="0067482B">
        <w:rPr>
          <w:rFonts w:ascii="Calibri" w:eastAsia="Calibri" w:hAnsi="Calibri" w:cs="Times New Roman"/>
          <w:sz w:val="24"/>
          <w:szCs w:val="24"/>
          <w:lang w:val="en-GB"/>
        </w:rPr>
        <w:t xml:space="preserve"> non-infected</w:t>
      </w:r>
      <w:r w:rsidR="00E31741">
        <w:rPr>
          <w:rFonts w:ascii="Calibri" w:eastAsia="Calibri" w:hAnsi="Calibri" w:cs="Times New Roman"/>
          <w:sz w:val="24"/>
          <w:szCs w:val="24"/>
          <w:lang w:val="en-GB"/>
        </w:rPr>
        <w:t xml:space="preserve"> participants</w:t>
      </w:r>
    </w:p>
    <w:p w14:paraId="22436C65" w14:textId="337B6EFC" w:rsidR="0067482B" w:rsidRPr="0067482B" w:rsidRDefault="0067482B" w:rsidP="00454AC3">
      <w:pPr>
        <w:numPr>
          <w:ilvl w:val="0"/>
          <w:numId w:val="13"/>
        </w:numPr>
        <w:suppressAutoHyphens/>
        <w:autoSpaceDN w:val="0"/>
        <w:spacing w:after="200" w:line="480" w:lineRule="auto"/>
        <w:jc w:val="both"/>
        <w:textAlignment w:val="baseline"/>
        <w:rPr>
          <w:rFonts w:ascii="Calibri" w:eastAsia="Calibri" w:hAnsi="Calibri" w:cs="Times New Roman"/>
          <w:sz w:val="24"/>
          <w:szCs w:val="24"/>
          <w:lang w:val="en-GB"/>
        </w:rPr>
      </w:pPr>
      <w:r w:rsidRPr="0067482B">
        <w:rPr>
          <w:rFonts w:ascii="Calibri" w:eastAsia="Calibri" w:hAnsi="Calibri" w:cs="Times New Roman"/>
          <w:sz w:val="24"/>
          <w:szCs w:val="24"/>
          <w:lang w:val="en-GB"/>
        </w:rPr>
        <w:t>Geographical location</w:t>
      </w:r>
      <w:r w:rsidR="00E31741">
        <w:rPr>
          <w:rFonts w:ascii="Calibri" w:eastAsia="Calibri" w:hAnsi="Calibri" w:cs="Times New Roman"/>
          <w:sz w:val="24"/>
          <w:szCs w:val="24"/>
          <w:lang w:val="en-GB"/>
        </w:rPr>
        <w:t xml:space="preserve"> of study</w:t>
      </w:r>
      <w:r w:rsidR="00764541">
        <w:rPr>
          <w:rFonts w:ascii="Calibri" w:eastAsia="Calibri" w:hAnsi="Calibri" w:cs="Times New Roman"/>
          <w:sz w:val="24"/>
          <w:szCs w:val="24"/>
          <w:lang w:val="en-GB"/>
        </w:rPr>
        <w:t xml:space="preserve"> (</w:t>
      </w:r>
      <w:r w:rsidR="000B02F1">
        <w:rPr>
          <w:rFonts w:ascii="Calibri" w:eastAsia="Calibri" w:hAnsi="Calibri" w:cs="Times New Roman"/>
          <w:sz w:val="24"/>
          <w:szCs w:val="24"/>
          <w:lang w:val="en-GB"/>
        </w:rPr>
        <w:t xml:space="preserve">we anticipate this </w:t>
      </w:r>
      <w:r w:rsidR="00225CC6">
        <w:rPr>
          <w:rFonts w:ascii="Calibri" w:eastAsia="Calibri" w:hAnsi="Calibri" w:cs="Times New Roman"/>
          <w:sz w:val="24"/>
          <w:szCs w:val="24"/>
          <w:lang w:val="en-GB"/>
        </w:rPr>
        <w:t xml:space="preserve">will be on a regional </w:t>
      </w:r>
      <w:r w:rsidR="009D7631">
        <w:rPr>
          <w:rFonts w:ascii="Calibri" w:eastAsia="Calibri" w:hAnsi="Calibri" w:cs="Times New Roman"/>
          <w:sz w:val="24"/>
          <w:szCs w:val="24"/>
          <w:lang w:val="en-GB"/>
        </w:rPr>
        <w:t>basis, dependant on the number of included studies from different locations)</w:t>
      </w:r>
    </w:p>
    <w:p w14:paraId="0FA22534" w14:textId="1C3FD086" w:rsidR="0067482B" w:rsidRPr="0067482B" w:rsidRDefault="0067482B" w:rsidP="00454AC3">
      <w:pPr>
        <w:numPr>
          <w:ilvl w:val="0"/>
          <w:numId w:val="13"/>
        </w:numPr>
        <w:suppressAutoHyphens/>
        <w:autoSpaceDN w:val="0"/>
        <w:spacing w:after="200" w:line="480" w:lineRule="auto"/>
        <w:jc w:val="both"/>
        <w:textAlignment w:val="baseline"/>
        <w:rPr>
          <w:rFonts w:ascii="Calibri" w:eastAsia="Calibri" w:hAnsi="Calibri" w:cs="Times New Roman"/>
          <w:sz w:val="24"/>
          <w:szCs w:val="24"/>
          <w:lang w:val="en-GB"/>
        </w:rPr>
      </w:pPr>
      <w:r w:rsidRPr="0067482B">
        <w:rPr>
          <w:rFonts w:ascii="Calibri" w:eastAsia="Calibri" w:hAnsi="Calibri" w:cs="Times New Roman"/>
          <w:sz w:val="24"/>
          <w:szCs w:val="24"/>
          <w:lang w:val="en-GB"/>
        </w:rPr>
        <w:t>Symptomatic v</w:t>
      </w:r>
      <w:r w:rsidR="00E31741">
        <w:rPr>
          <w:rFonts w:ascii="Calibri" w:eastAsia="Calibri" w:hAnsi="Calibri" w:cs="Times New Roman"/>
          <w:sz w:val="24"/>
          <w:szCs w:val="24"/>
          <w:lang w:val="en-GB"/>
        </w:rPr>
        <w:t>ersus</w:t>
      </w:r>
      <w:r w:rsidRPr="0067482B">
        <w:rPr>
          <w:rFonts w:ascii="Calibri" w:eastAsia="Calibri" w:hAnsi="Calibri" w:cs="Times New Roman"/>
          <w:sz w:val="24"/>
          <w:szCs w:val="24"/>
          <w:lang w:val="en-GB"/>
        </w:rPr>
        <w:t xml:space="preserve"> asymptomatic DILI</w:t>
      </w:r>
    </w:p>
    <w:p w14:paraId="5A79EC71" w14:textId="17146D0B" w:rsidR="0067482B" w:rsidRPr="0067482B" w:rsidRDefault="0067482B" w:rsidP="00454AC3">
      <w:pPr>
        <w:numPr>
          <w:ilvl w:val="0"/>
          <w:numId w:val="13"/>
        </w:numPr>
        <w:suppressAutoHyphens/>
        <w:autoSpaceDN w:val="0"/>
        <w:spacing w:after="200" w:line="480" w:lineRule="auto"/>
        <w:jc w:val="both"/>
        <w:textAlignment w:val="baseline"/>
        <w:rPr>
          <w:rFonts w:ascii="Calibri" w:eastAsia="Calibri" w:hAnsi="Calibri" w:cs="Times New Roman"/>
          <w:sz w:val="24"/>
          <w:szCs w:val="24"/>
          <w:lang w:val="en-GB"/>
        </w:rPr>
      </w:pPr>
      <w:r w:rsidRPr="0067482B">
        <w:rPr>
          <w:rFonts w:ascii="Calibri" w:eastAsia="Calibri" w:hAnsi="Calibri" w:cs="Times New Roman"/>
          <w:sz w:val="24"/>
          <w:szCs w:val="24"/>
          <w:lang w:val="en-GB"/>
        </w:rPr>
        <w:t xml:space="preserve">DILI defined as </w:t>
      </w:r>
      <w:bookmarkStart w:id="6" w:name="_Hlk17320299"/>
      <w:r w:rsidR="00094201" w:rsidRPr="00094201">
        <w:rPr>
          <w:rFonts w:ascii="Calibri" w:eastAsia="Calibri" w:hAnsi="Calibri" w:cs="Times New Roman"/>
          <w:sz w:val="24"/>
          <w:szCs w:val="24"/>
          <w:lang w:val="en-GB"/>
        </w:rPr>
        <w:t xml:space="preserve">alanine aminotransferase </w:t>
      </w:r>
      <w:r w:rsidR="00094201">
        <w:rPr>
          <w:rFonts w:ascii="Calibri" w:eastAsia="Calibri" w:hAnsi="Calibri" w:cs="Times New Roman"/>
          <w:sz w:val="24"/>
          <w:szCs w:val="24"/>
          <w:lang w:val="en-GB"/>
        </w:rPr>
        <w:t>(</w:t>
      </w:r>
      <w:r w:rsidRPr="0067482B">
        <w:rPr>
          <w:rFonts w:ascii="Calibri" w:eastAsia="Calibri" w:hAnsi="Calibri" w:cs="Times New Roman"/>
          <w:sz w:val="24"/>
          <w:szCs w:val="24"/>
          <w:lang w:val="en-GB"/>
        </w:rPr>
        <w:t>ALT</w:t>
      </w:r>
      <w:r w:rsidR="00BD55CB">
        <w:rPr>
          <w:rFonts w:ascii="Calibri" w:eastAsia="Calibri" w:hAnsi="Calibri" w:cs="Times New Roman"/>
          <w:sz w:val="24"/>
          <w:szCs w:val="24"/>
          <w:lang w:val="en-GB"/>
        </w:rPr>
        <w:t>):</w:t>
      </w:r>
      <w:r w:rsidR="00094201">
        <w:rPr>
          <w:rFonts w:ascii="Calibri" w:eastAsia="Calibri" w:hAnsi="Calibri" w:cs="Times New Roman"/>
          <w:sz w:val="24"/>
          <w:szCs w:val="24"/>
          <w:lang w:val="en-GB"/>
        </w:rPr>
        <w:t xml:space="preserve"> </w:t>
      </w:r>
      <w:r w:rsidR="00BD55CB" w:rsidRPr="00BD55CB">
        <w:rPr>
          <w:rFonts w:ascii="Calibri" w:eastAsia="Calibri" w:hAnsi="Calibri" w:cs="Times New Roman"/>
          <w:sz w:val="24"/>
          <w:szCs w:val="24"/>
          <w:lang w:val="en-GB"/>
        </w:rPr>
        <w:t xml:space="preserve">aspartate aminotransferase </w:t>
      </w:r>
      <w:r w:rsidR="00BD55CB">
        <w:rPr>
          <w:rFonts w:ascii="Calibri" w:eastAsia="Calibri" w:hAnsi="Calibri" w:cs="Times New Roman"/>
          <w:sz w:val="24"/>
          <w:szCs w:val="24"/>
          <w:lang w:val="en-GB"/>
        </w:rPr>
        <w:t>(</w:t>
      </w:r>
      <w:r w:rsidRPr="0067482B">
        <w:rPr>
          <w:rFonts w:ascii="Calibri" w:eastAsia="Calibri" w:hAnsi="Calibri" w:cs="Times New Roman"/>
          <w:sz w:val="24"/>
          <w:szCs w:val="24"/>
          <w:lang w:val="en-GB"/>
        </w:rPr>
        <w:t>AST</w:t>
      </w:r>
      <w:r w:rsidR="00BD55CB">
        <w:rPr>
          <w:rFonts w:ascii="Calibri" w:eastAsia="Calibri" w:hAnsi="Calibri" w:cs="Times New Roman"/>
          <w:sz w:val="24"/>
          <w:szCs w:val="24"/>
          <w:lang w:val="en-GB"/>
        </w:rPr>
        <w:t xml:space="preserve">) </w:t>
      </w:r>
      <w:bookmarkEnd w:id="6"/>
      <w:r w:rsidR="00BD55CB">
        <w:rPr>
          <w:rFonts w:ascii="Calibri" w:eastAsia="Calibri" w:hAnsi="Calibri" w:cs="Times New Roman"/>
          <w:sz w:val="24"/>
          <w:szCs w:val="24"/>
          <w:lang w:val="en-GB"/>
        </w:rPr>
        <w:t>ratio</w:t>
      </w:r>
      <w:r w:rsidRPr="0067482B">
        <w:rPr>
          <w:rFonts w:ascii="Calibri" w:eastAsia="Calibri" w:hAnsi="Calibri" w:cs="Times New Roman"/>
          <w:sz w:val="24"/>
          <w:szCs w:val="24"/>
          <w:lang w:val="en-GB"/>
        </w:rPr>
        <w:t xml:space="preserve"> &gt; 5 vs. ALT</w:t>
      </w:r>
      <w:r w:rsidR="00BD55CB">
        <w:rPr>
          <w:rFonts w:ascii="Calibri" w:eastAsia="Calibri" w:hAnsi="Calibri" w:cs="Times New Roman"/>
          <w:sz w:val="24"/>
          <w:szCs w:val="24"/>
          <w:lang w:val="en-GB"/>
        </w:rPr>
        <w:t>:</w:t>
      </w:r>
      <w:r w:rsidRPr="0067482B">
        <w:rPr>
          <w:rFonts w:ascii="Calibri" w:eastAsia="Calibri" w:hAnsi="Calibri" w:cs="Times New Roman"/>
          <w:sz w:val="24"/>
          <w:szCs w:val="24"/>
          <w:lang w:val="en-GB"/>
        </w:rPr>
        <w:t xml:space="preserve">AST </w:t>
      </w:r>
      <w:r w:rsidR="00BD55CB">
        <w:rPr>
          <w:rFonts w:ascii="Calibri" w:eastAsia="Calibri" w:hAnsi="Calibri" w:cs="Times New Roman"/>
          <w:sz w:val="24"/>
          <w:szCs w:val="24"/>
          <w:lang w:val="en-GB"/>
        </w:rPr>
        <w:t xml:space="preserve">ratio </w:t>
      </w:r>
      <w:r w:rsidRPr="0067482B">
        <w:rPr>
          <w:rFonts w:ascii="Calibri" w:eastAsia="Calibri" w:hAnsi="Calibri" w:cs="Times New Roman"/>
          <w:sz w:val="24"/>
          <w:szCs w:val="24"/>
          <w:lang w:val="en-GB"/>
        </w:rPr>
        <w:t>&gt;3</w:t>
      </w:r>
    </w:p>
    <w:p w14:paraId="3BB19554" w14:textId="0BBBE827" w:rsidR="00BD55CB" w:rsidRPr="00BD55CB" w:rsidRDefault="0067482B" w:rsidP="00454AC3">
      <w:pPr>
        <w:suppressAutoHyphens/>
        <w:autoSpaceDN w:val="0"/>
        <w:spacing w:line="480" w:lineRule="auto"/>
        <w:jc w:val="both"/>
        <w:textAlignment w:val="baseline"/>
        <w:rPr>
          <w:rFonts w:ascii="Liberation Serif" w:eastAsia="Noto Sans CJK SC Regular" w:hAnsi="Liberation Serif" w:cs="FreeSans"/>
          <w:kern w:val="3"/>
          <w:sz w:val="24"/>
          <w:szCs w:val="24"/>
          <w:lang w:val="en-GB" w:eastAsia="zh-CN" w:bidi="hi-IN"/>
        </w:rPr>
      </w:pPr>
      <w:r w:rsidRPr="0067482B">
        <w:rPr>
          <w:rFonts w:ascii="Calibri" w:eastAsia="Calibri" w:hAnsi="Calibri" w:cs="Times New Roman"/>
          <w:sz w:val="24"/>
          <w:szCs w:val="24"/>
          <w:lang w:val="en-GB"/>
        </w:rPr>
        <w:t xml:space="preserve">If the </w:t>
      </w:r>
      <w:r w:rsidRPr="0067482B">
        <w:rPr>
          <w:rFonts w:ascii="Calibri" w:eastAsia="Calibri" w:hAnsi="Calibri" w:cs="Times New Roman"/>
          <w:i/>
          <w:sz w:val="24"/>
          <w:szCs w:val="24"/>
          <w:lang w:val="en-GB"/>
        </w:rPr>
        <w:t>I</w:t>
      </w:r>
      <w:r w:rsidRPr="0067482B">
        <w:rPr>
          <w:rFonts w:ascii="Calibri" w:eastAsia="Calibri" w:hAnsi="Calibri" w:cs="Times New Roman"/>
          <w:sz w:val="24"/>
          <w:szCs w:val="24"/>
          <w:vertAlign w:val="superscript"/>
          <w:lang w:val="en-GB"/>
        </w:rPr>
        <w:t>2</w:t>
      </w:r>
      <w:r w:rsidRPr="0067482B">
        <w:rPr>
          <w:rFonts w:ascii="Calibri" w:eastAsia="Calibri" w:hAnsi="Calibri" w:cs="Times New Roman"/>
          <w:sz w:val="24"/>
          <w:szCs w:val="24"/>
          <w:lang w:val="en-GB"/>
        </w:rPr>
        <w:t xml:space="preserve">-value is over 40% and there are sufficient studies, we will explore sources of heterogeneity by stratifying on study-level characteristics including average number of drugs </w:t>
      </w:r>
      <w:r w:rsidRPr="0067482B">
        <w:rPr>
          <w:rFonts w:ascii="Calibri" w:eastAsia="Calibri" w:hAnsi="Calibri" w:cs="Times New Roman"/>
          <w:sz w:val="24"/>
          <w:szCs w:val="24"/>
          <w:lang w:val="en-GB"/>
        </w:rPr>
        <w:lastRenderedPageBreak/>
        <w:t xml:space="preserve">included in treatment regimens, use of fluoroquinolones, use of rifampicin, average number of drugs to which </w:t>
      </w:r>
      <w:r w:rsidRPr="0067482B">
        <w:rPr>
          <w:rFonts w:ascii="Calibri" w:eastAsia="Calibri" w:hAnsi="Calibri" w:cs="Calibri"/>
          <w:sz w:val="24"/>
          <w:szCs w:val="24"/>
          <w:lang w:val="en-GB"/>
        </w:rPr>
        <w:t>isolates show resistance, number of patients previously treated for TB, extent of disease</w:t>
      </w:r>
      <w:r w:rsidR="00CC5184">
        <w:rPr>
          <w:rFonts w:ascii="Calibri" w:eastAsia="Calibri" w:hAnsi="Calibri" w:cs="Calibri"/>
          <w:sz w:val="24"/>
          <w:szCs w:val="24"/>
          <w:lang w:val="en-GB"/>
        </w:rPr>
        <w:t xml:space="preserve"> and study quality</w:t>
      </w:r>
      <w:r w:rsidRPr="0067482B">
        <w:rPr>
          <w:rFonts w:ascii="Calibri" w:eastAsia="Calibri" w:hAnsi="Calibri" w:cs="Calibri"/>
          <w:sz w:val="24"/>
          <w:szCs w:val="24"/>
          <w:lang w:val="en-GB"/>
        </w:rPr>
        <w:t>.</w:t>
      </w:r>
    </w:p>
    <w:p w14:paraId="7AF9CE38" w14:textId="340FB294" w:rsidR="001D348F" w:rsidRDefault="001D348F" w:rsidP="00454AC3">
      <w:pPr>
        <w:spacing w:line="480" w:lineRule="auto"/>
        <w:rPr>
          <w:rFonts w:cstheme="minorHAnsi"/>
          <w:b/>
          <w:bCs/>
          <w:sz w:val="24"/>
          <w:szCs w:val="24"/>
          <w:lang w:val="en-US"/>
        </w:rPr>
      </w:pPr>
      <w:r>
        <w:rPr>
          <w:rFonts w:cstheme="minorHAnsi"/>
          <w:b/>
          <w:bCs/>
          <w:sz w:val="24"/>
          <w:szCs w:val="24"/>
          <w:lang w:val="en-US"/>
        </w:rPr>
        <w:t xml:space="preserve">Assessment of publication bias </w:t>
      </w:r>
    </w:p>
    <w:p w14:paraId="2D9CCB98" w14:textId="3C1382E4" w:rsidR="00E843EA" w:rsidRPr="00E843EA" w:rsidRDefault="00E843EA" w:rsidP="00454AC3">
      <w:pPr>
        <w:suppressAutoHyphens/>
        <w:autoSpaceDN w:val="0"/>
        <w:spacing w:line="480" w:lineRule="auto"/>
        <w:jc w:val="both"/>
        <w:textAlignment w:val="baseline"/>
        <w:rPr>
          <w:rFonts w:ascii="Calibri" w:eastAsia="Noto Sans CJK SC Regular" w:hAnsi="Calibri" w:cs="Calibri"/>
          <w:kern w:val="3"/>
          <w:sz w:val="24"/>
          <w:szCs w:val="24"/>
          <w:lang w:val="en-GB" w:eastAsia="zh-CN" w:bidi="hi-IN"/>
        </w:rPr>
      </w:pPr>
      <w:r w:rsidRPr="00E843EA">
        <w:rPr>
          <w:rFonts w:ascii="Calibri" w:eastAsia="Noto Sans CJK SC Regular" w:hAnsi="Calibri" w:cs="Calibri"/>
          <w:kern w:val="3"/>
          <w:sz w:val="24"/>
          <w:szCs w:val="24"/>
          <w:lang w:val="en-GB" w:eastAsia="zh-CN" w:bidi="hi-IN"/>
        </w:rPr>
        <w:t xml:space="preserve">Funnel plots and Galbraith plots will be produced for all outcomes where numbers of trials </w:t>
      </w:r>
      <w:r w:rsidR="00161129">
        <w:rPr>
          <w:rFonts w:ascii="Calibri" w:eastAsia="Noto Sans CJK SC Regular" w:hAnsi="Calibri" w:cs="Calibri"/>
          <w:kern w:val="3"/>
          <w:sz w:val="24"/>
          <w:szCs w:val="24"/>
          <w:lang w:val="en-GB" w:eastAsia="zh-CN" w:bidi="hi-IN"/>
        </w:rPr>
        <w:t xml:space="preserve">(&gt;10) </w:t>
      </w:r>
      <w:r w:rsidRPr="00E843EA">
        <w:rPr>
          <w:rFonts w:ascii="Calibri" w:eastAsia="Noto Sans CJK SC Regular" w:hAnsi="Calibri" w:cs="Calibri"/>
          <w:kern w:val="3"/>
          <w:sz w:val="24"/>
          <w:szCs w:val="24"/>
          <w:lang w:val="en-GB" w:eastAsia="zh-CN" w:bidi="hi-IN"/>
        </w:rPr>
        <w:t>permit</w:t>
      </w:r>
      <w:r>
        <w:rPr>
          <w:rFonts w:ascii="Calibri" w:eastAsia="Noto Sans CJK SC Regular" w:hAnsi="Calibri" w:cs="Calibri"/>
          <w:kern w:val="3"/>
          <w:sz w:val="24"/>
          <w:szCs w:val="24"/>
          <w:lang w:val="en-GB" w:eastAsia="zh-CN" w:bidi="hi-IN"/>
        </w:rPr>
        <w:t xml:space="preserve">. </w:t>
      </w:r>
    </w:p>
    <w:p w14:paraId="5C4F6E21" w14:textId="1D0DFDEC" w:rsidR="000B2BD2" w:rsidRDefault="000B2BD2" w:rsidP="00454AC3">
      <w:pPr>
        <w:spacing w:line="480" w:lineRule="auto"/>
        <w:rPr>
          <w:rFonts w:cstheme="minorHAnsi"/>
          <w:b/>
          <w:bCs/>
          <w:sz w:val="24"/>
          <w:szCs w:val="24"/>
          <w:lang w:val="en-US"/>
        </w:rPr>
      </w:pPr>
      <w:r>
        <w:rPr>
          <w:rFonts w:cstheme="minorHAnsi"/>
          <w:b/>
          <w:bCs/>
          <w:sz w:val="24"/>
          <w:szCs w:val="24"/>
          <w:lang w:val="en-US"/>
        </w:rPr>
        <w:t xml:space="preserve">Protocol and registration </w:t>
      </w:r>
    </w:p>
    <w:p w14:paraId="3CD2F783" w14:textId="0D7E32D6" w:rsidR="000B2BD2" w:rsidRPr="003D0C5C" w:rsidRDefault="003D0C5C" w:rsidP="00454AC3">
      <w:pPr>
        <w:spacing w:line="480" w:lineRule="auto"/>
        <w:rPr>
          <w:rFonts w:cstheme="minorHAnsi"/>
          <w:sz w:val="24"/>
          <w:szCs w:val="24"/>
          <w:lang w:val="en-US"/>
        </w:rPr>
      </w:pPr>
      <w:r w:rsidRPr="003D0C5C">
        <w:rPr>
          <w:rFonts w:cstheme="minorHAnsi"/>
          <w:sz w:val="24"/>
          <w:szCs w:val="24"/>
          <w:lang w:val="en-US"/>
        </w:rPr>
        <w:t xml:space="preserve">This </w:t>
      </w:r>
      <w:r>
        <w:rPr>
          <w:rFonts w:cstheme="minorHAnsi"/>
          <w:sz w:val="24"/>
          <w:szCs w:val="24"/>
          <w:lang w:val="en-US"/>
        </w:rPr>
        <w:t>review has been registered with the International Prospective Register of Systematic Reviews (PROS</w:t>
      </w:r>
      <w:r w:rsidR="00A222F6">
        <w:rPr>
          <w:rFonts w:cstheme="minorHAnsi"/>
          <w:sz w:val="24"/>
          <w:szCs w:val="24"/>
          <w:lang w:val="en-US"/>
        </w:rPr>
        <w:t xml:space="preserve">PERO); number </w:t>
      </w:r>
      <w:r w:rsidR="008177D2" w:rsidRPr="008177D2">
        <w:rPr>
          <w:rFonts w:cstheme="minorHAnsi"/>
          <w:sz w:val="24"/>
          <w:szCs w:val="24"/>
          <w:lang w:val="en-US"/>
        </w:rPr>
        <w:t>CRD42019138735</w:t>
      </w:r>
      <w:r w:rsidR="008177D2">
        <w:rPr>
          <w:rFonts w:cstheme="minorHAnsi"/>
          <w:sz w:val="24"/>
          <w:szCs w:val="24"/>
          <w:lang w:val="en-US"/>
        </w:rPr>
        <w:t>.</w:t>
      </w:r>
    </w:p>
    <w:p w14:paraId="1497FB36" w14:textId="62DC165A" w:rsidR="000B2BD2" w:rsidRDefault="000B2BD2" w:rsidP="00454AC3">
      <w:pPr>
        <w:spacing w:line="480" w:lineRule="auto"/>
        <w:rPr>
          <w:rFonts w:cstheme="minorHAnsi"/>
          <w:b/>
          <w:bCs/>
          <w:sz w:val="28"/>
          <w:szCs w:val="28"/>
          <w:lang w:val="en-US"/>
        </w:rPr>
      </w:pPr>
      <w:r w:rsidRPr="000B2BD2">
        <w:rPr>
          <w:rFonts w:cstheme="minorHAnsi"/>
          <w:b/>
          <w:bCs/>
          <w:sz w:val="28"/>
          <w:szCs w:val="28"/>
          <w:lang w:val="en-US"/>
        </w:rPr>
        <w:t>Discussion</w:t>
      </w:r>
    </w:p>
    <w:p w14:paraId="305255A9" w14:textId="00082336" w:rsidR="00CC5105" w:rsidRDefault="00A20F09" w:rsidP="00454AC3">
      <w:pPr>
        <w:spacing w:line="480" w:lineRule="auto"/>
        <w:jc w:val="both"/>
        <w:rPr>
          <w:rFonts w:cstheme="minorHAnsi"/>
          <w:sz w:val="24"/>
          <w:szCs w:val="24"/>
          <w:lang w:val="en-US"/>
        </w:rPr>
      </w:pPr>
      <w:r>
        <w:rPr>
          <w:rFonts w:cstheme="minorHAnsi"/>
          <w:sz w:val="24"/>
          <w:szCs w:val="24"/>
          <w:lang w:val="en-US"/>
        </w:rPr>
        <w:t>This systematic review and meta-analysis will be the first</w:t>
      </w:r>
      <w:r w:rsidR="00014996">
        <w:rPr>
          <w:rFonts w:cstheme="minorHAnsi"/>
          <w:sz w:val="24"/>
          <w:szCs w:val="24"/>
          <w:lang w:val="en-US"/>
        </w:rPr>
        <w:t>, to our knowledge</w:t>
      </w:r>
      <w:r w:rsidR="009220BB">
        <w:rPr>
          <w:rFonts w:cstheme="minorHAnsi"/>
          <w:sz w:val="24"/>
          <w:szCs w:val="24"/>
          <w:lang w:val="en-US"/>
        </w:rPr>
        <w:t>,</w:t>
      </w:r>
      <w:r w:rsidR="00014996">
        <w:rPr>
          <w:rFonts w:cstheme="minorHAnsi"/>
          <w:sz w:val="24"/>
          <w:szCs w:val="24"/>
          <w:lang w:val="en-US"/>
        </w:rPr>
        <w:t xml:space="preserve"> to examine the trade-off between </w:t>
      </w:r>
      <w:r w:rsidR="009220BB">
        <w:rPr>
          <w:rFonts w:cstheme="minorHAnsi"/>
          <w:sz w:val="24"/>
          <w:szCs w:val="24"/>
          <w:lang w:val="en-US"/>
        </w:rPr>
        <w:t xml:space="preserve">efficacy and safety in the use of PZA in TB, irrespective of resistance pattern. </w:t>
      </w:r>
      <w:r w:rsidR="00FB4737">
        <w:rPr>
          <w:rFonts w:cstheme="minorHAnsi"/>
          <w:sz w:val="24"/>
          <w:szCs w:val="24"/>
          <w:lang w:val="en-US"/>
        </w:rPr>
        <w:t xml:space="preserve">PZA is an </w:t>
      </w:r>
      <w:r w:rsidR="001F2558">
        <w:rPr>
          <w:rFonts w:cstheme="minorHAnsi"/>
          <w:sz w:val="24"/>
          <w:szCs w:val="24"/>
          <w:lang w:val="en-US"/>
        </w:rPr>
        <w:t>old TB drug, but one that is likely to remain important in current and future regimens for TB</w:t>
      </w:r>
      <w:r w:rsidR="009231A1">
        <w:rPr>
          <w:rFonts w:cstheme="minorHAnsi"/>
          <w:sz w:val="24"/>
          <w:szCs w:val="24"/>
          <w:lang w:val="en-US"/>
        </w:rPr>
        <w:t xml:space="preserve"> and has been used in </w:t>
      </w:r>
      <w:r w:rsidR="00A91E80">
        <w:rPr>
          <w:rFonts w:cstheme="minorHAnsi"/>
          <w:sz w:val="24"/>
          <w:szCs w:val="24"/>
          <w:lang w:val="en-US"/>
        </w:rPr>
        <w:t>a</w:t>
      </w:r>
      <w:r w:rsidR="00E94534">
        <w:rPr>
          <w:rFonts w:cstheme="minorHAnsi"/>
          <w:sz w:val="24"/>
          <w:szCs w:val="24"/>
          <w:lang w:val="en-US"/>
        </w:rPr>
        <w:t xml:space="preserve"> wealth of clinical trials over the last 60 years. </w:t>
      </w:r>
      <w:r w:rsidR="00515D04">
        <w:rPr>
          <w:rFonts w:cstheme="minorHAnsi"/>
          <w:sz w:val="24"/>
          <w:szCs w:val="24"/>
          <w:lang w:val="en-US"/>
        </w:rPr>
        <w:t xml:space="preserve">Correctly synthesised, this data provides the opportunity for the more rational use of PZA in future regimens and clinical trials and hence </w:t>
      </w:r>
      <w:r w:rsidR="007738F3">
        <w:rPr>
          <w:rFonts w:cstheme="minorHAnsi"/>
          <w:sz w:val="24"/>
          <w:szCs w:val="24"/>
          <w:lang w:val="en-US"/>
        </w:rPr>
        <w:t xml:space="preserve">this review </w:t>
      </w:r>
      <w:r w:rsidR="008A38A3">
        <w:rPr>
          <w:rFonts w:cstheme="minorHAnsi"/>
          <w:sz w:val="24"/>
          <w:szCs w:val="24"/>
          <w:lang w:val="en-US"/>
        </w:rPr>
        <w:t xml:space="preserve">has the potential </w:t>
      </w:r>
      <w:r w:rsidR="007738F3">
        <w:rPr>
          <w:rFonts w:cstheme="minorHAnsi"/>
          <w:sz w:val="24"/>
          <w:szCs w:val="24"/>
          <w:lang w:val="en-US"/>
        </w:rPr>
        <w:t xml:space="preserve">for wide application. </w:t>
      </w:r>
      <w:r w:rsidR="000D1513">
        <w:rPr>
          <w:rFonts w:cstheme="minorHAnsi"/>
          <w:sz w:val="24"/>
          <w:szCs w:val="24"/>
          <w:lang w:val="en-US"/>
        </w:rPr>
        <w:t xml:space="preserve">The principal practical and operational issues we foresee in this </w:t>
      </w:r>
      <w:r w:rsidR="00DA1DBC">
        <w:rPr>
          <w:rFonts w:cstheme="minorHAnsi"/>
          <w:sz w:val="24"/>
          <w:szCs w:val="24"/>
          <w:lang w:val="en-US"/>
        </w:rPr>
        <w:t xml:space="preserve">systematic review and meta-analysis of clinical trials </w:t>
      </w:r>
      <w:r w:rsidR="00C77482">
        <w:rPr>
          <w:rFonts w:cstheme="minorHAnsi"/>
          <w:sz w:val="24"/>
          <w:szCs w:val="24"/>
          <w:lang w:val="en-US"/>
        </w:rPr>
        <w:t xml:space="preserve">spanning </w:t>
      </w:r>
      <w:r w:rsidR="00DA1DBC">
        <w:rPr>
          <w:rFonts w:cstheme="minorHAnsi"/>
          <w:sz w:val="24"/>
          <w:szCs w:val="24"/>
          <w:lang w:val="en-US"/>
        </w:rPr>
        <w:t xml:space="preserve">many years </w:t>
      </w:r>
      <w:r w:rsidR="00C77482">
        <w:rPr>
          <w:rFonts w:cstheme="minorHAnsi"/>
          <w:sz w:val="24"/>
          <w:szCs w:val="24"/>
          <w:lang w:val="en-US"/>
        </w:rPr>
        <w:t xml:space="preserve">of publication is poor quality trials and heterogenous interventions and </w:t>
      </w:r>
      <w:r w:rsidR="00306E70">
        <w:rPr>
          <w:rFonts w:cstheme="minorHAnsi"/>
          <w:sz w:val="24"/>
          <w:szCs w:val="24"/>
          <w:lang w:val="en-US"/>
        </w:rPr>
        <w:t>outcome reporting</w:t>
      </w:r>
      <w:r w:rsidR="00E15667">
        <w:rPr>
          <w:rFonts w:cstheme="minorHAnsi"/>
          <w:sz w:val="24"/>
          <w:szCs w:val="24"/>
          <w:lang w:val="en-US"/>
        </w:rPr>
        <w:fldChar w:fldCharType="begin"/>
      </w:r>
      <w:r w:rsidR="0092316B">
        <w:rPr>
          <w:rFonts w:cstheme="minorHAnsi"/>
          <w:sz w:val="24"/>
          <w:szCs w:val="24"/>
          <w:lang w:val="en-US"/>
        </w:rPr>
        <w:instrText xml:space="preserve"> ADDIN ZOTERO_ITEM CSL_CITATION {"citationID":"OID1OIkb","properties":{"formattedCitation":"(12)","plainCitation":"(12)","noteIndex":0},"citationItems":[{"id":39,"uris":["http://zotero.org/users/local/VycG0cvr/items/424XGRCA"],"uri":["http://zotero.org/users/local/VycG0cvr/items/424XGRCA"],"itemData":{"id":39,"type":"article-journal","title":"Quality of reporting of outcomes in phase III studies of pulmonary tuberculosis: a systematic review","container-title":"Trials","page":"134","volume":"19","issue":"1","source":"PubMed","abstract":"BACKGROUND: Despite more than 60 years of clinical trials, tuberculosis (TB) still causes a high global burden of mortality and morbidity. Treatment currently requires multiple drugs in combination, taken over a prolonged period. New drugs are needed to shorten treatment duration, prevent resistance and reduce adverse events. However, to improve on current methodology in drug development, a more complete understanding of the existing clinical evidence base is required.\nMETHODS: A systematic review was undertaken to summarise outcomes reported in phase III trials of patients with newly diagnosed pulmonary TB. A systematic search of databases (PubMed, MEDLINE, EMBASE, CENTRAL and LILACs) was conducted on 30 November 2017 to retrieve relevant peer-reviewed articles. Reference lists of included studies were also searched. This systematic review considered all reported outcomes.\nRESULTS: Of 248 included studies, 229 considered \"on-treatment\" outcomes whilst 148 reported \"off-treatment\" outcomes. There was wide variation and ambiguity in the definition of reported outcomes, including their relationship to treatment and in the time points evaluated. Additional challenges were observed regarding the analysis approach taken (per protocol versus intention to treat) and the varying durations of \"intensive\" and \"continuation\" phases of treatment. Bacteriological outcomes were most frequently reported but radiological and clinical data were often included as an implicit or explicit component of the overall definition of outcome.\nCONCLUSIONS: Terminology used to define long-term outcomes in phase III trials is inconsistent, reflecting evolving differences in protocols and practices. For successful future cumulative meta-analysis, the findings of this review suggest that greater availability of individual patient data and the development of a core outcome set would be desirable. In the meantime, we propose a simple and logical approach which should facilitate combination of key evidence and inform improvements in the methodology of TB drug development and clinical trials.","DOI":"10.1186/s13063-018-2522-x","ISSN":"1745-6215","note":"PMID: 29467027\nPMCID: PMC5822642","title-short":"Quality of reporting of outcomes in phase III studies of pulmonary tuberculosis","journalAbbreviation":"Trials","language":"eng","author":[{"family":"Bonnett","given":"Laura Jayne"},{"family":"Ken-Dror","given":"Gie"},{"family":"Davies","given":"Geraint Rhys"}],"issued":{"date-parts":[["2018",2,21]]}}}],"schema":"https://github.com/citation-style-language/schema/raw/master/csl-citation.json"} </w:instrText>
      </w:r>
      <w:r w:rsidR="00E15667">
        <w:rPr>
          <w:rFonts w:cstheme="minorHAnsi"/>
          <w:sz w:val="24"/>
          <w:szCs w:val="24"/>
          <w:lang w:val="en-US"/>
        </w:rPr>
        <w:fldChar w:fldCharType="separate"/>
      </w:r>
      <w:r w:rsidR="0092316B" w:rsidRPr="0092316B">
        <w:rPr>
          <w:rFonts w:ascii="Calibri" w:hAnsi="Calibri" w:cs="Calibri"/>
          <w:sz w:val="24"/>
        </w:rPr>
        <w:t>(12)</w:t>
      </w:r>
      <w:r w:rsidR="00E15667">
        <w:rPr>
          <w:rFonts w:cstheme="minorHAnsi"/>
          <w:sz w:val="24"/>
          <w:szCs w:val="24"/>
          <w:lang w:val="en-US"/>
        </w:rPr>
        <w:fldChar w:fldCharType="end"/>
      </w:r>
      <w:r w:rsidR="00306E70">
        <w:rPr>
          <w:rFonts w:cstheme="minorHAnsi"/>
          <w:sz w:val="24"/>
          <w:szCs w:val="24"/>
          <w:lang w:val="en-US"/>
        </w:rPr>
        <w:t xml:space="preserve">. Nonetheless, </w:t>
      </w:r>
      <w:r w:rsidR="00246A0B">
        <w:rPr>
          <w:rFonts w:cstheme="minorHAnsi"/>
          <w:sz w:val="24"/>
          <w:szCs w:val="24"/>
          <w:lang w:val="en-US"/>
        </w:rPr>
        <w:t xml:space="preserve">this data is currently used in </w:t>
      </w:r>
      <w:r w:rsidR="00F60BE7">
        <w:rPr>
          <w:rFonts w:cstheme="minorHAnsi"/>
          <w:sz w:val="24"/>
          <w:szCs w:val="24"/>
          <w:lang w:val="en-US"/>
        </w:rPr>
        <w:t xml:space="preserve">TB drug regimen </w:t>
      </w:r>
      <w:r w:rsidR="00246A0B">
        <w:rPr>
          <w:rFonts w:cstheme="minorHAnsi"/>
          <w:sz w:val="24"/>
          <w:szCs w:val="24"/>
          <w:lang w:val="en-US"/>
        </w:rPr>
        <w:t>policy-setting in a non-systematic manner</w:t>
      </w:r>
      <w:r w:rsidR="00F60BE7">
        <w:rPr>
          <w:rFonts w:cstheme="minorHAnsi"/>
          <w:sz w:val="24"/>
          <w:szCs w:val="24"/>
          <w:lang w:val="en-US"/>
        </w:rPr>
        <w:t xml:space="preserve"> and </w:t>
      </w:r>
      <w:r w:rsidR="00306E70">
        <w:rPr>
          <w:rFonts w:cstheme="minorHAnsi"/>
          <w:sz w:val="24"/>
          <w:szCs w:val="24"/>
          <w:lang w:val="en-US"/>
        </w:rPr>
        <w:t xml:space="preserve">we have planned </w:t>
      </w:r>
      <w:r w:rsidR="007608EE">
        <w:rPr>
          <w:rFonts w:cstheme="minorHAnsi"/>
          <w:sz w:val="24"/>
          <w:szCs w:val="24"/>
          <w:lang w:val="en-US"/>
        </w:rPr>
        <w:t>our analysis</w:t>
      </w:r>
      <w:r w:rsidR="00306E70">
        <w:rPr>
          <w:rFonts w:cstheme="minorHAnsi"/>
          <w:sz w:val="24"/>
          <w:szCs w:val="24"/>
          <w:lang w:val="en-US"/>
        </w:rPr>
        <w:t xml:space="preserve"> in a rigorous </w:t>
      </w:r>
      <w:r w:rsidR="007608EE">
        <w:rPr>
          <w:rFonts w:cstheme="minorHAnsi"/>
          <w:sz w:val="24"/>
          <w:szCs w:val="24"/>
          <w:lang w:val="en-US"/>
        </w:rPr>
        <w:t>manner</w:t>
      </w:r>
      <w:r w:rsidR="00306E70">
        <w:rPr>
          <w:rFonts w:cstheme="minorHAnsi"/>
          <w:sz w:val="24"/>
          <w:szCs w:val="24"/>
          <w:lang w:val="en-US"/>
        </w:rPr>
        <w:t xml:space="preserve"> </w:t>
      </w:r>
      <w:r w:rsidR="00F60BE7">
        <w:rPr>
          <w:rFonts w:cstheme="minorHAnsi"/>
          <w:sz w:val="24"/>
          <w:szCs w:val="24"/>
          <w:lang w:val="en-US"/>
        </w:rPr>
        <w:t>to make the best use</w:t>
      </w:r>
      <w:r w:rsidR="007608EE">
        <w:rPr>
          <w:rFonts w:cstheme="minorHAnsi"/>
          <w:sz w:val="24"/>
          <w:szCs w:val="24"/>
          <w:lang w:val="en-US"/>
        </w:rPr>
        <w:t xml:space="preserve"> of this data. </w:t>
      </w:r>
    </w:p>
    <w:p w14:paraId="0155E103" w14:textId="77777777" w:rsidR="002420A8" w:rsidRPr="002420A8" w:rsidRDefault="002420A8" w:rsidP="00454AC3">
      <w:pPr>
        <w:spacing w:before="100" w:beforeAutospacing="1" w:after="0" w:line="480" w:lineRule="auto"/>
        <w:outlineLvl w:val="1"/>
        <w:rPr>
          <w:rFonts w:eastAsia="Times New Roman" w:cstheme="minorHAnsi"/>
          <w:b/>
          <w:bCs/>
          <w:sz w:val="28"/>
          <w:szCs w:val="28"/>
          <w:lang w:eastAsia="en-ZA"/>
        </w:rPr>
      </w:pPr>
      <w:r w:rsidRPr="002420A8">
        <w:rPr>
          <w:rFonts w:eastAsia="Times New Roman" w:cstheme="minorHAnsi"/>
          <w:b/>
          <w:bCs/>
          <w:sz w:val="28"/>
          <w:szCs w:val="28"/>
          <w:lang w:eastAsia="en-ZA"/>
        </w:rPr>
        <w:lastRenderedPageBreak/>
        <w:t>List of abbreviations</w:t>
      </w:r>
    </w:p>
    <w:p w14:paraId="0A092EF4" w14:textId="729001A7" w:rsidR="002420A8" w:rsidRDefault="00B56532" w:rsidP="00454AC3">
      <w:pPr>
        <w:spacing w:line="480" w:lineRule="auto"/>
        <w:jc w:val="both"/>
        <w:rPr>
          <w:rFonts w:cstheme="minorHAnsi"/>
          <w:sz w:val="24"/>
          <w:szCs w:val="24"/>
          <w:lang w:val="en-US"/>
        </w:rPr>
      </w:pPr>
      <w:r>
        <w:rPr>
          <w:rFonts w:cstheme="minorHAnsi"/>
          <w:sz w:val="24"/>
          <w:szCs w:val="24"/>
          <w:lang w:val="en-US"/>
        </w:rPr>
        <w:t>PZA – Pyrazinamide</w:t>
      </w:r>
    </w:p>
    <w:p w14:paraId="2BA113A8" w14:textId="48830003" w:rsidR="00B56532" w:rsidRDefault="00B56532" w:rsidP="00454AC3">
      <w:pPr>
        <w:spacing w:line="480" w:lineRule="auto"/>
        <w:jc w:val="both"/>
        <w:rPr>
          <w:rFonts w:cstheme="minorHAnsi"/>
          <w:sz w:val="24"/>
          <w:szCs w:val="24"/>
          <w:lang w:val="en-US"/>
        </w:rPr>
      </w:pPr>
      <w:r>
        <w:rPr>
          <w:rFonts w:cstheme="minorHAnsi"/>
          <w:sz w:val="24"/>
          <w:szCs w:val="24"/>
          <w:lang w:val="en-US"/>
        </w:rPr>
        <w:t>TB – Tuberculosis</w:t>
      </w:r>
    </w:p>
    <w:p w14:paraId="5D5347C4" w14:textId="77777777" w:rsidR="0049680F" w:rsidRDefault="00B56532" w:rsidP="00454AC3">
      <w:pPr>
        <w:spacing w:line="480" w:lineRule="auto"/>
        <w:jc w:val="both"/>
        <w:rPr>
          <w:rFonts w:cstheme="minorHAnsi"/>
          <w:sz w:val="24"/>
          <w:szCs w:val="24"/>
          <w:lang w:val="en-US"/>
        </w:rPr>
      </w:pPr>
      <w:r>
        <w:rPr>
          <w:rFonts w:cstheme="minorHAnsi"/>
          <w:sz w:val="24"/>
          <w:szCs w:val="24"/>
          <w:lang w:val="en-US"/>
        </w:rPr>
        <w:t xml:space="preserve">CENTRAL - </w:t>
      </w:r>
      <w:r w:rsidRPr="00B56532">
        <w:rPr>
          <w:rFonts w:cstheme="minorHAnsi"/>
          <w:sz w:val="24"/>
          <w:szCs w:val="24"/>
          <w:lang w:val="en-US"/>
        </w:rPr>
        <w:t xml:space="preserve">Cochrane central register of controlled trials </w:t>
      </w:r>
    </w:p>
    <w:p w14:paraId="330D8621" w14:textId="77777777" w:rsidR="0049680F" w:rsidRDefault="0049680F" w:rsidP="00454AC3">
      <w:pPr>
        <w:spacing w:line="480" w:lineRule="auto"/>
        <w:jc w:val="both"/>
        <w:rPr>
          <w:rFonts w:cstheme="minorHAnsi"/>
          <w:sz w:val="24"/>
          <w:szCs w:val="24"/>
          <w:lang w:val="en-US"/>
        </w:rPr>
      </w:pPr>
      <w:r>
        <w:rPr>
          <w:rFonts w:cstheme="minorHAnsi"/>
          <w:sz w:val="24"/>
          <w:szCs w:val="24"/>
          <w:lang w:val="en-US"/>
        </w:rPr>
        <w:t xml:space="preserve">mRCT - </w:t>
      </w:r>
      <w:r w:rsidR="00B56532" w:rsidRPr="00B56532">
        <w:rPr>
          <w:rFonts w:cstheme="minorHAnsi"/>
          <w:sz w:val="24"/>
          <w:szCs w:val="24"/>
          <w:lang w:val="en-US"/>
        </w:rPr>
        <w:t xml:space="preserve">metaRegister of Controlled Trials </w:t>
      </w:r>
    </w:p>
    <w:p w14:paraId="5D7533A0" w14:textId="1E33C3F9" w:rsidR="00B56532" w:rsidRDefault="0049680F" w:rsidP="00454AC3">
      <w:pPr>
        <w:spacing w:line="480" w:lineRule="auto"/>
        <w:jc w:val="both"/>
        <w:rPr>
          <w:rFonts w:cstheme="minorHAnsi"/>
          <w:sz w:val="24"/>
          <w:szCs w:val="24"/>
          <w:lang w:val="en-US"/>
        </w:rPr>
      </w:pPr>
      <w:r>
        <w:rPr>
          <w:rFonts w:cstheme="minorHAnsi"/>
          <w:sz w:val="24"/>
          <w:szCs w:val="24"/>
          <w:lang w:val="en-US"/>
        </w:rPr>
        <w:t xml:space="preserve">WHO - </w:t>
      </w:r>
      <w:r w:rsidR="00B56532" w:rsidRPr="00B56532">
        <w:rPr>
          <w:rFonts w:cstheme="minorHAnsi"/>
          <w:sz w:val="24"/>
          <w:szCs w:val="24"/>
          <w:lang w:val="en-US"/>
        </w:rPr>
        <w:t>World Health Organisation</w:t>
      </w:r>
    </w:p>
    <w:p w14:paraId="086AA10A" w14:textId="7DB0B2F4" w:rsidR="005B01EA" w:rsidRDefault="0049680F" w:rsidP="00454AC3">
      <w:pPr>
        <w:spacing w:line="480" w:lineRule="auto"/>
        <w:jc w:val="both"/>
        <w:rPr>
          <w:rFonts w:ascii="Calibri" w:eastAsia="Calibri" w:hAnsi="Calibri" w:cs="Calibri"/>
          <w:sz w:val="24"/>
          <w:szCs w:val="24"/>
          <w:lang w:val="en-GB"/>
        </w:rPr>
      </w:pPr>
      <w:r>
        <w:rPr>
          <w:rFonts w:ascii="Calibri" w:eastAsia="Calibri" w:hAnsi="Calibri" w:cs="Calibri"/>
          <w:sz w:val="24"/>
          <w:szCs w:val="24"/>
          <w:lang w:val="en-GB"/>
        </w:rPr>
        <w:t>FEM - F</w:t>
      </w:r>
      <w:r w:rsidRPr="001E441A">
        <w:rPr>
          <w:rFonts w:ascii="Calibri" w:eastAsia="Calibri" w:hAnsi="Calibri" w:cs="Calibri"/>
          <w:sz w:val="24"/>
          <w:szCs w:val="24"/>
          <w:lang w:val="en-GB"/>
        </w:rPr>
        <w:t>ixed effects models</w:t>
      </w:r>
      <w:r>
        <w:rPr>
          <w:rFonts w:ascii="Calibri" w:eastAsia="Calibri" w:hAnsi="Calibri" w:cs="Calibri"/>
          <w:sz w:val="24"/>
          <w:szCs w:val="24"/>
          <w:lang w:val="en-GB"/>
        </w:rPr>
        <w:t xml:space="preserve"> </w:t>
      </w:r>
    </w:p>
    <w:p w14:paraId="42F1FCA7" w14:textId="46EB36B4" w:rsidR="0049680F" w:rsidRDefault="0049680F" w:rsidP="00454AC3">
      <w:pPr>
        <w:spacing w:line="480" w:lineRule="auto"/>
        <w:jc w:val="both"/>
        <w:rPr>
          <w:rFonts w:cstheme="minorHAnsi"/>
          <w:sz w:val="24"/>
          <w:szCs w:val="24"/>
          <w:lang w:val="en-US"/>
        </w:rPr>
      </w:pPr>
      <w:r>
        <w:rPr>
          <w:rFonts w:ascii="Calibri" w:eastAsia="Calibri" w:hAnsi="Calibri" w:cs="Calibri"/>
          <w:sz w:val="24"/>
          <w:szCs w:val="24"/>
          <w:lang w:val="en-GB"/>
        </w:rPr>
        <w:t>R</w:t>
      </w:r>
      <w:r w:rsidR="005B01EA">
        <w:rPr>
          <w:rFonts w:ascii="Calibri" w:eastAsia="Calibri" w:hAnsi="Calibri" w:cs="Calibri"/>
          <w:sz w:val="24"/>
          <w:szCs w:val="24"/>
          <w:lang w:val="en-GB"/>
        </w:rPr>
        <w:t>EM - R</w:t>
      </w:r>
      <w:r w:rsidRPr="001E441A">
        <w:rPr>
          <w:rFonts w:ascii="Calibri" w:eastAsia="Calibri" w:hAnsi="Calibri" w:cs="Calibri"/>
          <w:sz w:val="24"/>
          <w:szCs w:val="24"/>
          <w:lang w:val="en-GB"/>
        </w:rPr>
        <w:t>andom effects models</w:t>
      </w:r>
    </w:p>
    <w:p w14:paraId="6B964576" w14:textId="62235008" w:rsidR="00B56532" w:rsidRPr="005B01EA" w:rsidRDefault="005B01EA" w:rsidP="00454AC3">
      <w:pPr>
        <w:spacing w:line="480" w:lineRule="auto"/>
        <w:jc w:val="both"/>
        <w:rPr>
          <w:rFonts w:cstheme="minorHAnsi"/>
          <w:sz w:val="24"/>
          <w:szCs w:val="24"/>
          <w:lang w:val="en-US"/>
        </w:rPr>
      </w:pPr>
      <w:r w:rsidRPr="005B01EA">
        <w:rPr>
          <w:rFonts w:cstheme="minorHAnsi"/>
          <w:sz w:val="24"/>
          <w:szCs w:val="24"/>
          <w:lang w:val="en-US"/>
        </w:rPr>
        <w:t xml:space="preserve">MDR TB – Multi-drug resistant tuberculosis </w:t>
      </w:r>
    </w:p>
    <w:p w14:paraId="7FC234B8" w14:textId="17AFE965" w:rsidR="005B01EA" w:rsidRDefault="005B01EA" w:rsidP="00454AC3">
      <w:pPr>
        <w:spacing w:line="480" w:lineRule="auto"/>
        <w:jc w:val="both"/>
        <w:rPr>
          <w:rFonts w:ascii="Calibri" w:hAnsi="Calibri" w:cs="Calibri"/>
          <w:sz w:val="24"/>
          <w:szCs w:val="24"/>
        </w:rPr>
      </w:pPr>
      <w:r w:rsidRPr="005B01EA">
        <w:rPr>
          <w:rFonts w:cstheme="minorHAnsi"/>
          <w:sz w:val="24"/>
          <w:szCs w:val="24"/>
          <w:lang w:val="en-US"/>
        </w:rPr>
        <w:t xml:space="preserve">POA - </w:t>
      </w:r>
      <w:r w:rsidRPr="005B01EA">
        <w:rPr>
          <w:rFonts w:ascii="Calibri" w:hAnsi="Calibri" w:cs="Calibri"/>
          <w:sz w:val="24"/>
          <w:szCs w:val="24"/>
        </w:rPr>
        <w:t>Pyrazinoic acid</w:t>
      </w:r>
    </w:p>
    <w:p w14:paraId="529979BE" w14:textId="4B0E4471" w:rsidR="005B01EA" w:rsidRDefault="005B01EA" w:rsidP="00454AC3">
      <w:pPr>
        <w:spacing w:line="480" w:lineRule="auto"/>
        <w:jc w:val="both"/>
        <w:rPr>
          <w:rFonts w:ascii="Calibri" w:hAnsi="Calibri" w:cs="Calibri"/>
          <w:sz w:val="24"/>
          <w:szCs w:val="24"/>
        </w:rPr>
      </w:pPr>
      <w:r>
        <w:rPr>
          <w:rFonts w:ascii="Calibri" w:hAnsi="Calibri" w:cs="Calibri"/>
          <w:sz w:val="24"/>
          <w:szCs w:val="24"/>
        </w:rPr>
        <w:t xml:space="preserve">DS TB </w:t>
      </w:r>
      <w:r w:rsidR="0001526D">
        <w:rPr>
          <w:rFonts w:ascii="Calibri" w:hAnsi="Calibri" w:cs="Calibri"/>
          <w:sz w:val="24"/>
          <w:szCs w:val="24"/>
        </w:rPr>
        <w:t>–</w:t>
      </w:r>
      <w:r>
        <w:rPr>
          <w:rFonts w:ascii="Calibri" w:hAnsi="Calibri" w:cs="Calibri"/>
          <w:sz w:val="24"/>
          <w:szCs w:val="24"/>
        </w:rPr>
        <w:t xml:space="preserve"> </w:t>
      </w:r>
      <w:r w:rsidR="006C6164">
        <w:rPr>
          <w:rFonts w:ascii="Calibri" w:hAnsi="Calibri" w:cs="Calibri"/>
          <w:sz w:val="24"/>
          <w:szCs w:val="24"/>
        </w:rPr>
        <w:t>Drug</w:t>
      </w:r>
      <w:r w:rsidR="0001526D">
        <w:rPr>
          <w:rFonts w:ascii="Calibri" w:hAnsi="Calibri" w:cs="Calibri"/>
          <w:sz w:val="24"/>
          <w:szCs w:val="24"/>
        </w:rPr>
        <w:t xml:space="preserve">-sensitive </w:t>
      </w:r>
      <w:r w:rsidR="00040201">
        <w:rPr>
          <w:rFonts w:ascii="Calibri" w:hAnsi="Calibri" w:cs="Calibri"/>
          <w:sz w:val="24"/>
          <w:szCs w:val="24"/>
        </w:rPr>
        <w:t>tuberculosis</w:t>
      </w:r>
    </w:p>
    <w:p w14:paraId="7D647D1C" w14:textId="3D8FBF69" w:rsidR="00040201" w:rsidRDefault="00040201" w:rsidP="00454AC3">
      <w:pPr>
        <w:spacing w:line="480" w:lineRule="auto"/>
        <w:jc w:val="both"/>
        <w:rPr>
          <w:rFonts w:cstheme="minorHAnsi"/>
          <w:sz w:val="24"/>
          <w:szCs w:val="24"/>
          <w:lang w:val="en-US"/>
        </w:rPr>
      </w:pPr>
      <w:r>
        <w:rPr>
          <w:rFonts w:cstheme="minorHAnsi"/>
          <w:sz w:val="24"/>
          <w:szCs w:val="24"/>
          <w:lang w:val="en-US"/>
        </w:rPr>
        <w:t>mg/kg - M</w:t>
      </w:r>
      <w:r w:rsidRPr="00040201">
        <w:rPr>
          <w:rFonts w:cstheme="minorHAnsi"/>
          <w:sz w:val="24"/>
          <w:szCs w:val="24"/>
          <w:lang w:val="en-US"/>
        </w:rPr>
        <w:t xml:space="preserve">illigram per kilogram </w:t>
      </w:r>
    </w:p>
    <w:p w14:paraId="4EAEFB28" w14:textId="41AFB024" w:rsidR="00B01D0A" w:rsidRDefault="00B01D0A" w:rsidP="00454AC3">
      <w:pPr>
        <w:spacing w:line="480" w:lineRule="auto"/>
        <w:jc w:val="both"/>
        <w:rPr>
          <w:rFonts w:cstheme="minorHAnsi"/>
          <w:sz w:val="24"/>
          <w:szCs w:val="24"/>
          <w:lang w:val="en-US"/>
        </w:rPr>
      </w:pPr>
      <w:r>
        <w:rPr>
          <w:rFonts w:cstheme="minorHAnsi"/>
          <w:sz w:val="24"/>
          <w:szCs w:val="24"/>
          <w:lang w:val="en-US"/>
        </w:rPr>
        <w:t>AFB - A</w:t>
      </w:r>
      <w:r w:rsidRPr="00B01D0A">
        <w:rPr>
          <w:rFonts w:cstheme="minorHAnsi"/>
          <w:sz w:val="24"/>
          <w:szCs w:val="24"/>
          <w:lang w:val="en-US"/>
        </w:rPr>
        <w:t xml:space="preserve">cid fast bacilli </w:t>
      </w:r>
    </w:p>
    <w:p w14:paraId="0C052A20" w14:textId="746DC5CA" w:rsidR="00B01D0A" w:rsidRDefault="00B01D0A" w:rsidP="00454AC3">
      <w:pPr>
        <w:spacing w:line="480" w:lineRule="auto"/>
        <w:jc w:val="both"/>
        <w:rPr>
          <w:rFonts w:cstheme="minorHAnsi"/>
          <w:sz w:val="24"/>
          <w:szCs w:val="24"/>
          <w:lang w:val="en-US"/>
        </w:rPr>
      </w:pPr>
      <w:r>
        <w:rPr>
          <w:rFonts w:cstheme="minorHAnsi"/>
          <w:sz w:val="24"/>
          <w:szCs w:val="24"/>
          <w:lang w:val="en-US"/>
        </w:rPr>
        <w:t>DILI - D</w:t>
      </w:r>
      <w:r w:rsidRPr="00B01D0A">
        <w:rPr>
          <w:rFonts w:cstheme="minorHAnsi"/>
          <w:sz w:val="24"/>
          <w:szCs w:val="24"/>
          <w:lang w:val="en-US"/>
        </w:rPr>
        <w:t>rug-induced liver injury</w:t>
      </w:r>
    </w:p>
    <w:p w14:paraId="04FE0B2D" w14:textId="2712E82C" w:rsidR="00B01D0A" w:rsidRDefault="00B01D0A" w:rsidP="00454AC3">
      <w:pPr>
        <w:spacing w:line="480" w:lineRule="auto"/>
        <w:jc w:val="both"/>
        <w:rPr>
          <w:rFonts w:cstheme="minorHAnsi"/>
          <w:sz w:val="24"/>
          <w:szCs w:val="24"/>
          <w:lang w:val="en-US"/>
        </w:rPr>
      </w:pPr>
      <w:r>
        <w:rPr>
          <w:rFonts w:cstheme="minorHAnsi"/>
          <w:sz w:val="24"/>
          <w:szCs w:val="24"/>
          <w:lang w:val="en-US"/>
        </w:rPr>
        <w:t xml:space="preserve">CI - Confidence interval </w:t>
      </w:r>
    </w:p>
    <w:p w14:paraId="6EA45A8A" w14:textId="7DAA7E7A" w:rsidR="00B01D0A" w:rsidRDefault="00B01D0A" w:rsidP="00454AC3">
      <w:pPr>
        <w:spacing w:line="480" w:lineRule="auto"/>
        <w:jc w:val="both"/>
        <w:rPr>
          <w:rFonts w:cstheme="minorHAnsi"/>
          <w:sz w:val="24"/>
          <w:szCs w:val="24"/>
          <w:lang w:val="en-US"/>
        </w:rPr>
      </w:pPr>
      <w:r>
        <w:rPr>
          <w:rFonts w:cstheme="minorHAnsi"/>
          <w:sz w:val="24"/>
          <w:szCs w:val="24"/>
          <w:lang w:val="en-US"/>
        </w:rPr>
        <w:t xml:space="preserve">PP – Per protocol </w:t>
      </w:r>
    </w:p>
    <w:p w14:paraId="10C31A24" w14:textId="3FE59AEB" w:rsidR="00B01D0A" w:rsidRDefault="00B01D0A" w:rsidP="00454AC3">
      <w:pPr>
        <w:spacing w:line="480" w:lineRule="auto"/>
        <w:jc w:val="both"/>
        <w:rPr>
          <w:rFonts w:cstheme="minorHAnsi"/>
          <w:sz w:val="24"/>
          <w:szCs w:val="24"/>
          <w:lang w:val="en-US"/>
        </w:rPr>
      </w:pPr>
      <w:r>
        <w:rPr>
          <w:rFonts w:cstheme="minorHAnsi"/>
          <w:sz w:val="24"/>
          <w:szCs w:val="24"/>
          <w:lang w:val="en-US"/>
        </w:rPr>
        <w:t>ITT – Intention to treat</w:t>
      </w:r>
    </w:p>
    <w:p w14:paraId="29214409" w14:textId="77777777" w:rsidR="00B01D0A" w:rsidRDefault="00B01D0A" w:rsidP="00454AC3">
      <w:pPr>
        <w:spacing w:line="480" w:lineRule="auto"/>
        <w:jc w:val="both"/>
        <w:rPr>
          <w:rFonts w:cstheme="minorHAnsi"/>
          <w:sz w:val="24"/>
          <w:szCs w:val="24"/>
          <w:lang w:val="en-US"/>
        </w:rPr>
      </w:pPr>
      <w:r>
        <w:rPr>
          <w:rFonts w:cstheme="minorHAnsi"/>
          <w:sz w:val="24"/>
          <w:szCs w:val="24"/>
          <w:lang w:val="en-US"/>
        </w:rPr>
        <w:t>ALT - A</w:t>
      </w:r>
      <w:r w:rsidRPr="00B01D0A">
        <w:rPr>
          <w:rFonts w:cstheme="minorHAnsi"/>
          <w:sz w:val="24"/>
          <w:szCs w:val="24"/>
          <w:lang w:val="en-US"/>
        </w:rPr>
        <w:t>lanine aminotransferase</w:t>
      </w:r>
    </w:p>
    <w:p w14:paraId="66750801" w14:textId="71F9E2C9" w:rsidR="00B01D0A" w:rsidRPr="005B01EA" w:rsidRDefault="00B01D0A" w:rsidP="00454AC3">
      <w:pPr>
        <w:spacing w:line="480" w:lineRule="auto"/>
        <w:jc w:val="both"/>
        <w:rPr>
          <w:rFonts w:cstheme="minorHAnsi"/>
          <w:sz w:val="24"/>
          <w:szCs w:val="24"/>
          <w:lang w:val="en-US"/>
        </w:rPr>
      </w:pPr>
      <w:r>
        <w:rPr>
          <w:rFonts w:cstheme="minorHAnsi"/>
          <w:sz w:val="24"/>
          <w:szCs w:val="24"/>
          <w:lang w:val="en-US"/>
        </w:rPr>
        <w:t>AST - A</w:t>
      </w:r>
      <w:r w:rsidRPr="00B01D0A">
        <w:rPr>
          <w:rFonts w:cstheme="minorHAnsi"/>
          <w:sz w:val="24"/>
          <w:szCs w:val="24"/>
          <w:lang w:val="en-US"/>
        </w:rPr>
        <w:t xml:space="preserve">spartate aminotransferase </w:t>
      </w:r>
    </w:p>
    <w:p w14:paraId="47BC9DCF" w14:textId="77777777" w:rsidR="00CC5105" w:rsidRPr="00CC5105" w:rsidRDefault="00CC5105" w:rsidP="00454AC3">
      <w:pPr>
        <w:spacing w:before="100" w:beforeAutospacing="1" w:after="100" w:afterAutospacing="1" w:line="480" w:lineRule="auto"/>
        <w:outlineLvl w:val="1"/>
        <w:rPr>
          <w:rFonts w:eastAsia="Times New Roman" w:cstheme="minorHAnsi"/>
          <w:b/>
          <w:bCs/>
          <w:sz w:val="28"/>
          <w:szCs w:val="28"/>
          <w:lang w:eastAsia="en-ZA"/>
        </w:rPr>
      </w:pPr>
      <w:r w:rsidRPr="00CC5105">
        <w:rPr>
          <w:rFonts w:eastAsia="Times New Roman" w:cstheme="minorHAnsi"/>
          <w:b/>
          <w:bCs/>
          <w:sz w:val="28"/>
          <w:szCs w:val="28"/>
          <w:lang w:eastAsia="en-ZA"/>
        </w:rPr>
        <w:lastRenderedPageBreak/>
        <w:t>Declarations</w:t>
      </w:r>
    </w:p>
    <w:p w14:paraId="35D8D99F" w14:textId="459DB27B" w:rsidR="00CC5105" w:rsidRPr="0005196E" w:rsidRDefault="00CC5105" w:rsidP="00454AC3">
      <w:pPr>
        <w:spacing w:before="100" w:beforeAutospacing="1" w:after="100" w:afterAutospacing="1" w:line="480" w:lineRule="auto"/>
        <w:rPr>
          <w:rFonts w:eastAsia="Times New Roman" w:cstheme="minorHAnsi"/>
          <w:b/>
          <w:bCs/>
          <w:sz w:val="24"/>
          <w:szCs w:val="24"/>
          <w:lang w:eastAsia="en-ZA"/>
        </w:rPr>
      </w:pPr>
      <w:r w:rsidRPr="00CC5105">
        <w:rPr>
          <w:rFonts w:eastAsia="Times New Roman" w:cstheme="minorHAnsi"/>
          <w:b/>
          <w:bCs/>
          <w:sz w:val="24"/>
          <w:szCs w:val="24"/>
          <w:lang w:eastAsia="en-ZA"/>
        </w:rPr>
        <w:t>Ethics approval and consent to participate</w:t>
      </w:r>
    </w:p>
    <w:p w14:paraId="4DD4FC7D" w14:textId="7D618ED3" w:rsidR="0005196E" w:rsidRPr="00CC5105" w:rsidRDefault="0005196E" w:rsidP="00454AC3">
      <w:pPr>
        <w:spacing w:before="100" w:beforeAutospacing="1" w:after="100" w:afterAutospacing="1" w:line="480" w:lineRule="auto"/>
        <w:jc w:val="both"/>
        <w:rPr>
          <w:rFonts w:eastAsia="Times New Roman" w:cstheme="minorHAnsi"/>
          <w:sz w:val="24"/>
          <w:szCs w:val="24"/>
          <w:lang w:eastAsia="en-ZA"/>
        </w:rPr>
      </w:pPr>
      <w:r w:rsidRPr="007B2B21">
        <w:rPr>
          <w:rFonts w:eastAsia="Times New Roman" w:cstheme="minorHAnsi"/>
          <w:sz w:val="24"/>
          <w:szCs w:val="24"/>
          <w:lang w:eastAsia="en-ZA"/>
        </w:rPr>
        <w:t>This work will not involve direct contact with human subjects or participant identifiable</w:t>
      </w:r>
      <w:r w:rsidR="007B2B21" w:rsidRPr="007B2B21">
        <w:rPr>
          <w:rFonts w:eastAsia="Times New Roman" w:cstheme="minorHAnsi"/>
          <w:sz w:val="24"/>
          <w:szCs w:val="24"/>
          <w:lang w:eastAsia="en-ZA"/>
        </w:rPr>
        <w:t xml:space="preserve"> </w:t>
      </w:r>
      <w:r w:rsidRPr="007B2B21">
        <w:rPr>
          <w:rFonts w:eastAsia="Times New Roman" w:cstheme="minorHAnsi"/>
          <w:sz w:val="24"/>
          <w:szCs w:val="24"/>
          <w:lang w:eastAsia="en-ZA"/>
        </w:rPr>
        <w:t>data. Ethical approval is therefore not required for this study.</w:t>
      </w:r>
    </w:p>
    <w:p w14:paraId="5B2175F0" w14:textId="4B858B9A" w:rsidR="00CC5105" w:rsidRPr="00503747" w:rsidRDefault="00CC5105" w:rsidP="00454AC3">
      <w:pPr>
        <w:spacing w:before="100" w:beforeAutospacing="1" w:after="100" w:afterAutospacing="1" w:line="480" w:lineRule="auto"/>
        <w:rPr>
          <w:rFonts w:eastAsia="Times New Roman" w:cstheme="minorHAnsi"/>
          <w:b/>
          <w:bCs/>
          <w:sz w:val="24"/>
          <w:szCs w:val="24"/>
          <w:lang w:eastAsia="en-ZA"/>
        </w:rPr>
      </w:pPr>
      <w:r w:rsidRPr="00CC5105">
        <w:rPr>
          <w:rFonts w:eastAsia="Times New Roman" w:cstheme="minorHAnsi"/>
          <w:b/>
          <w:bCs/>
          <w:sz w:val="24"/>
          <w:szCs w:val="24"/>
          <w:lang w:eastAsia="en-ZA"/>
        </w:rPr>
        <w:t>Consent for publication</w:t>
      </w:r>
    </w:p>
    <w:p w14:paraId="5D496AFC" w14:textId="22E33D99" w:rsidR="00503747" w:rsidRPr="00566B8A" w:rsidRDefault="00566B8A" w:rsidP="00454AC3">
      <w:pPr>
        <w:spacing w:before="100" w:beforeAutospacing="1" w:after="100" w:afterAutospacing="1" w:line="480" w:lineRule="auto"/>
        <w:rPr>
          <w:rFonts w:eastAsia="Times New Roman" w:cstheme="minorHAnsi"/>
          <w:sz w:val="24"/>
          <w:szCs w:val="24"/>
          <w:lang w:eastAsia="en-ZA"/>
        </w:rPr>
      </w:pPr>
      <w:r w:rsidRPr="00566B8A">
        <w:rPr>
          <w:rFonts w:eastAsia="Times New Roman" w:cstheme="minorHAnsi"/>
          <w:sz w:val="24"/>
          <w:szCs w:val="24"/>
          <w:lang w:eastAsia="en-ZA"/>
        </w:rPr>
        <w:t>Not applicable</w:t>
      </w:r>
    </w:p>
    <w:p w14:paraId="2DB6557A" w14:textId="45DC7B4B" w:rsidR="00CC5105" w:rsidRDefault="00CC5105" w:rsidP="00454AC3">
      <w:pPr>
        <w:spacing w:before="100" w:beforeAutospacing="1" w:after="100" w:afterAutospacing="1" w:line="480" w:lineRule="auto"/>
        <w:rPr>
          <w:rFonts w:eastAsia="Times New Roman" w:cstheme="minorHAnsi"/>
          <w:b/>
          <w:bCs/>
          <w:sz w:val="24"/>
          <w:szCs w:val="24"/>
          <w:lang w:eastAsia="en-ZA"/>
        </w:rPr>
      </w:pPr>
      <w:r w:rsidRPr="00CC5105">
        <w:rPr>
          <w:rFonts w:eastAsia="Times New Roman" w:cstheme="minorHAnsi"/>
          <w:b/>
          <w:bCs/>
          <w:sz w:val="24"/>
          <w:szCs w:val="24"/>
          <w:lang w:eastAsia="en-ZA"/>
        </w:rPr>
        <w:t>Availability of data and material</w:t>
      </w:r>
    </w:p>
    <w:p w14:paraId="121C7EEE" w14:textId="3DCCF2BC" w:rsidR="00CB208C" w:rsidRPr="00CB208C" w:rsidRDefault="00CB208C" w:rsidP="00454AC3">
      <w:pPr>
        <w:spacing w:before="100" w:beforeAutospacing="1" w:after="100" w:afterAutospacing="1" w:line="480" w:lineRule="auto"/>
        <w:rPr>
          <w:rFonts w:eastAsia="Times New Roman" w:cstheme="minorHAnsi"/>
          <w:sz w:val="24"/>
          <w:szCs w:val="24"/>
          <w:lang w:eastAsia="en-ZA"/>
        </w:rPr>
      </w:pPr>
      <w:r w:rsidRPr="00CB208C">
        <w:rPr>
          <w:rFonts w:eastAsia="Times New Roman" w:cstheme="minorHAnsi"/>
          <w:sz w:val="24"/>
          <w:szCs w:val="24"/>
          <w:lang w:eastAsia="en-ZA"/>
        </w:rPr>
        <w:t xml:space="preserve">All data generated or analysed during this study </w:t>
      </w:r>
      <w:r w:rsidR="000E2DD1">
        <w:rPr>
          <w:rFonts w:eastAsia="Times New Roman" w:cstheme="minorHAnsi"/>
          <w:sz w:val="24"/>
          <w:szCs w:val="24"/>
          <w:lang w:eastAsia="en-ZA"/>
        </w:rPr>
        <w:t>will be</w:t>
      </w:r>
      <w:r w:rsidRPr="00CB208C">
        <w:rPr>
          <w:rFonts w:eastAsia="Times New Roman" w:cstheme="minorHAnsi"/>
          <w:sz w:val="24"/>
          <w:szCs w:val="24"/>
          <w:lang w:eastAsia="en-ZA"/>
        </w:rPr>
        <w:t xml:space="preserve"> included in th</w:t>
      </w:r>
      <w:r w:rsidR="000E2DD1">
        <w:rPr>
          <w:rFonts w:eastAsia="Times New Roman" w:cstheme="minorHAnsi"/>
          <w:sz w:val="24"/>
          <w:szCs w:val="24"/>
          <w:lang w:eastAsia="en-ZA"/>
        </w:rPr>
        <w:t>e</w:t>
      </w:r>
      <w:r w:rsidRPr="00CB208C">
        <w:rPr>
          <w:rFonts w:eastAsia="Times New Roman" w:cstheme="minorHAnsi"/>
          <w:sz w:val="24"/>
          <w:szCs w:val="24"/>
          <w:lang w:eastAsia="en-ZA"/>
        </w:rPr>
        <w:t xml:space="preserve"> published article [and its supplementary information files].</w:t>
      </w:r>
    </w:p>
    <w:p w14:paraId="46F9E244" w14:textId="46588054" w:rsidR="00CC5105" w:rsidRDefault="00CC5105" w:rsidP="00454AC3">
      <w:pPr>
        <w:spacing w:before="100" w:beforeAutospacing="1" w:after="100" w:afterAutospacing="1" w:line="480" w:lineRule="auto"/>
        <w:rPr>
          <w:rFonts w:eastAsia="Times New Roman" w:cstheme="minorHAnsi"/>
          <w:b/>
          <w:bCs/>
          <w:sz w:val="24"/>
          <w:szCs w:val="24"/>
          <w:lang w:eastAsia="en-ZA"/>
        </w:rPr>
      </w:pPr>
      <w:r w:rsidRPr="00CC5105">
        <w:rPr>
          <w:rFonts w:eastAsia="Times New Roman" w:cstheme="minorHAnsi"/>
          <w:b/>
          <w:bCs/>
          <w:sz w:val="24"/>
          <w:szCs w:val="24"/>
          <w:lang w:eastAsia="en-ZA"/>
        </w:rPr>
        <w:t>Competing interests</w:t>
      </w:r>
    </w:p>
    <w:p w14:paraId="4C3FDF45" w14:textId="26F0F0E2" w:rsidR="00CB208C" w:rsidRPr="00CC5105" w:rsidRDefault="00C25413" w:rsidP="00454AC3">
      <w:pPr>
        <w:spacing w:before="100" w:beforeAutospacing="1" w:after="100" w:afterAutospacing="1" w:line="480" w:lineRule="auto"/>
        <w:rPr>
          <w:rFonts w:eastAsia="Times New Roman" w:cstheme="minorHAnsi"/>
          <w:sz w:val="24"/>
          <w:szCs w:val="24"/>
          <w:lang w:eastAsia="en-ZA"/>
        </w:rPr>
      </w:pPr>
      <w:r w:rsidRPr="00C25413">
        <w:rPr>
          <w:rFonts w:eastAsia="Times New Roman" w:cstheme="minorHAnsi"/>
          <w:sz w:val="24"/>
          <w:szCs w:val="24"/>
          <w:lang w:eastAsia="en-ZA"/>
        </w:rPr>
        <w:t>The</w:t>
      </w:r>
      <w:r w:rsidR="00CB208C" w:rsidRPr="00C25413">
        <w:rPr>
          <w:rFonts w:eastAsia="Times New Roman" w:cstheme="minorHAnsi"/>
          <w:sz w:val="24"/>
          <w:szCs w:val="24"/>
          <w:lang w:eastAsia="en-ZA"/>
        </w:rPr>
        <w:t xml:space="preserve"> authors declare </w:t>
      </w:r>
      <w:r w:rsidRPr="00C25413">
        <w:rPr>
          <w:rFonts w:eastAsia="Times New Roman" w:cstheme="minorHAnsi"/>
          <w:sz w:val="24"/>
          <w:szCs w:val="24"/>
          <w:lang w:eastAsia="en-ZA"/>
        </w:rPr>
        <w:t xml:space="preserve">that they have </w:t>
      </w:r>
      <w:r w:rsidR="00CB208C" w:rsidRPr="00C25413">
        <w:rPr>
          <w:rFonts w:eastAsia="Times New Roman" w:cstheme="minorHAnsi"/>
          <w:sz w:val="24"/>
          <w:szCs w:val="24"/>
          <w:lang w:eastAsia="en-ZA"/>
        </w:rPr>
        <w:t>no</w:t>
      </w:r>
      <w:r w:rsidRPr="00C25413">
        <w:rPr>
          <w:rFonts w:eastAsia="Times New Roman" w:cstheme="minorHAnsi"/>
          <w:sz w:val="24"/>
          <w:szCs w:val="24"/>
          <w:lang w:eastAsia="en-ZA"/>
        </w:rPr>
        <w:t xml:space="preserve"> competing interests</w:t>
      </w:r>
      <w:r w:rsidR="00CB208C" w:rsidRPr="00C25413">
        <w:rPr>
          <w:rFonts w:eastAsia="Times New Roman" w:cstheme="minorHAnsi"/>
          <w:sz w:val="24"/>
          <w:szCs w:val="24"/>
          <w:lang w:eastAsia="en-ZA"/>
        </w:rPr>
        <w:t xml:space="preserve"> </w:t>
      </w:r>
    </w:p>
    <w:p w14:paraId="7B6A2656" w14:textId="0455DAAF" w:rsidR="00CC5105" w:rsidRDefault="00CC5105" w:rsidP="00454AC3">
      <w:pPr>
        <w:spacing w:before="100" w:beforeAutospacing="1" w:after="100" w:afterAutospacing="1" w:line="480" w:lineRule="auto"/>
        <w:rPr>
          <w:rFonts w:eastAsia="Times New Roman" w:cstheme="minorHAnsi"/>
          <w:b/>
          <w:bCs/>
          <w:sz w:val="24"/>
          <w:szCs w:val="24"/>
          <w:lang w:eastAsia="en-ZA"/>
        </w:rPr>
      </w:pPr>
      <w:r w:rsidRPr="00CC5105">
        <w:rPr>
          <w:rFonts w:eastAsia="Times New Roman" w:cstheme="minorHAnsi"/>
          <w:b/>
          <w:bCs/>
          <w:sz w:val="24"/>
          <w:szCs w:val="24"/>
          <w:lang w:eastAsia="en-ZA"/>
        </w:rPr>
        <w:t>Funding</w:t>
      </w:r>
    </w:p>
    <w:p w14:paraId="6CB3111C" w14:textId="2E48AAB7" w:rsidR="00C25413" w:rsidRPr="00CC5105" w:rsidRDefault="00ED6F53" w:rsidP="00454AC3">
      <w:pPr>
        <w:spacing w:before="100" w:beforeAutospacing="1" w:after="100" w:afterAutospacing="1" w:line="480" w:lineRule="auto"/>
        <w:jc w:val="both"/>
        <w:rPr>
          <w:rFonts w:eastAsia="Times New Roman" w:cstheme="minorHAnsi"/>
          <w:sz w:val="24"/>
          <w:szCs w:val="24"/>
          <w:lang w:eastAsia="en-ZA"/>
        </w:rPr>
      </w:pPr>
      <w:r w:rsidRPr="00ED6F53">
        <w:rPr>
          <w:rFonts w:eastAsia="Times New Roman" w:cstheme="minorHAnsi"/>
          <w:sz w:val="24"/>
          <w:szCs w:val="24"/>
          <w:lang w:eastAsia="en-ZA"/>
        </w:rPr>
        <w:t>This work was supported by the Wellcome Trust (grant number 203919/Z/16/Z) to J.M.</w:t>
      </w:r>
      <w:r w:rsidR="00706CEA">
        <w:rPr>
          <w:rFonts w:eastAsia="Times New Roman" w:cstheme="minorHAnsi"/>
          <w:sz w:val="24"/>
          <w:szCs w:val="24"/>
          <w:lang w:eastAsia="en-ZA"/>
        </w:rPr>
        <w:t xml:space="preserve"> Funding bodies had no role in </w:t>
      </w:r>
      <w:r w:rsidR="00355BA7" w:rsidRPr="00355BA7">
        <w:rPr>
          <w:rFonts w:eastAsia="Times New Roman" w:cstheme="minorHAnsi"/>
          <w:sz w:val="24"/>
          <w:szCs w:val="24"/>
          <w:lang w:eastAsia="en-ZA"/>
        </w:rPr>
        <w:t>the design of the study</w:t>
      </w:r>
      <w:r w:rsidR="00355BA7">
        <w:rPr>
          <w:rFonts w:eastAsia="Times New Roman" w:cstheme="minorHAnsi"/>
          <w:sz w:val="24"/>
          <w:szCs w:val="24"/>
          <w:lang w:eastAsia="en-ZA"/>
        </w:rPr>
        <w:t xml:space="preserve">, </w:t>
      </w:r>
      <w:r w:rsidR="00355BA7" w:rsidRPr="00355BA7">
        <w:rPr>
          <w:rFonts w:eastAsia="Times New Roman" w:cstheme="minorHAnsi"/>
          <w:sz w:val="24"/>
          <w:szCs w:val="24"/>
          <w:lang w:eastAsia="en-ZA"/>
        </w:rPr>
        <w:t xml:space="preserve">collection, analysis, interpretation of data </w:t>
      </w:r>
      <w:r w:rsidR="00355BA7">
        <w:rPr>
          <w:rFonts w:eastAsia="Times New Roman" w:cstheme="minorHAnsi"/>
          <w:sz w:val="24"/>
          <w:szCs w:val="24"/>
          <w:lang w:eastAsia="en-ZA"/>
        </w:rPr>
        <w:t>or</w:t>
      </w:r>
      <w:r w:rsidR="00355BA7" w:rsidRPr="00355BA7">
        <w:rPr>
          <w:rFonts w:eastAsia="Times New Roman" w:cstheme="minorHAnsi"/>
          <w:sz w:val="24"/>
          <w:szCs w:val="24"/>
          <w:lang w:eastAsia="en-ZA"/>
        </w:rPr>
        <w:t xml:space="preserve"> in writing the manuscript</w:t>
      </w:r>
      <w:r w:rsidR="00355BA7">
        <w:rPr>
          <w:rFonts w:eastAsia="Times New Roman" w:cstheme="minorHAnsi"/>
          <w:sz w:val="24"/>
          <w:szCs w:val="24"/>
          <w:lang w:eastAsia="en-ZA"/>
        </w:rPr>
        <w:t xml:space="preserve">. </w:t>
      </w:r>
    </w:p>
    <w:p w14:paraId="324DB711" w14:textId="1F8E78C1" w:rsidR="00CC5105" w:rsidRDefault="00CC5105" w:rsidP="00454AC3">
      <w:pPr>
        <w:spacing w:before="100" w:beforeAutospacing="1" w:after="100" w:afterAutospacing="1" w:line="480" w:lineRule="auto"/>
        <w:rPr>
          <w:rFonts w:eastAsia="Times New Roman" w:cstheme="minorHAnsi"/>
          <w:b/>
          <w:bCs/>
          <w:sz w:val="24"/>
          <w:szCs w:val="24"/>
          <w:lang w:eastAsia="en-ZA"/>
        </w:rPr>
      </w:pPr>
      <w:r w:rsidRPr="00CC5105">
        <w:rPr>
          <w:rFonts w:eastAsia="Times New Roman" w:cstheme="minorHAnsi"/>
          <w:b/>
          <w:bCs/>
          <w:sz w:val="24"/>
          <w:szCs w:val="24"/>
          <w:lang w:eastAsia="en-ZA"/>
        </w:rPr>
        <w:t>Authors' contributions</w:t>
      </w:r>
    </w:p>
    <w:p w14:paraId="37BB5782" w14:textId="2312D730" w:rsidR="000268AA" w:rsidRPr="00CC5105" w:rsidRDefault="000268AA" w:rsidP="00454AC3">
      <w:pPr>
        <w:spacing w:before="100" w:beforeAutospacing="1" w:after="100" w:afterAutospacing="1" w:line="480" w:lineRule="auto"/>
        <w:jc w:val="both"/>
        <w:rPr>
          <w:rFonts w:eastAsia="Times New Roman" w:cstheme="minorHAnsi"/>
          <w:sz w:val="24"/>
          <w:szCs w:val="24"/>
          <w:lang w:eastAsia="en-ZA"/>
        </w:rPr>
      </w:pPr>
      <w:r w:rsidRPr="00E527D8">
        <w:rPr>
          <w:rFonts w:eastAsia="Times New Roman" w:cstheme="minorHAnsi"/>
          <w:sz w:val="24"/>
          <w:szCs w:val="24"/>
          <w:lang w:eastAsia="en-ZA"/>
        </w:rPr>
        <w:t xml:space="preserve">JM wrote the first </w:t>
      </w:r>
      <w:r w:rsidR="00E527D8" w:rsidRPr="00E527D8">
        <w:rPr>
          <w:rFonts w:eastAsia="Times New Roman" w:cstheme="minorHAnsi"/>
          <w:sz w:val="24"/>
          <w:szCs w:val="24"/>
          <w:lang w:eastAsia="en-ZA"/>
        </w:rPr>
        <w:t>draft;</w:t>
      </w:r>
      <w:r w:rsidRPr="00E527D8">
        <w:rPr>
          <w:rFonts w:eastAsia="Times New Roman" w:cstheme="minorHAnsi"/>
          <w:sz w:val="24"/>
          <w:szCs w:val="24"/>
          <w:lang w:eastAsia="en-ZA"/>
        </w:rPr>
        <w:t xml:space="preserve"> all authors </w:t>
      </w:r>
      <w:r w:rsidR="00E527D8" w:rsidRPr="00E527D8">
        <w:rPr>
          <w:rFonts w:eastAsia="Times New Roman" w:cstheme="minorHAnsi"/>
          <w:sz w:val="24"/>
          <w:szCs w:val="24"/>
          <w:lang w:eastAsia="en-ZA"/>
        </w:rPr>
        <w:t xml:space="preserve">contributed to later drafts and approved the final manuscript. </w:t>
      </w:r>
    </w:p>
    <w:p w14:paraId="0B020AC2" w14:textId="77777777" w:rsidR="000B011E" w:rsidRPr="007A38CD" w:rsidRDefault="00CC5105" w:rsidP="00454AC3">
      <w:pPr>
        <w:spacing w:before="100" w:beforeAutospacing="1" w:after="100" w:afterAutospacing="1" w:line="480" w:lineRule="auto"/>
        <w:rPr>
          <w:rFonts w:eastAsia="Times New Roman" w:cstheme="minorHAnsi"/>
          <w:b/>
          <w:bCs/>
          <w:sz w:val="24"/>
          <w:szCs w:val="24"/>
          <w:lang w:eastAsia="en-ZA"/>
        </w:rPr>
      </w:pPr>
      <w:r w:rsidRPr="007A38CD">
        <w:rPr>
          <w:rFonts w:eastAsia="Times New Roman" w:cstheme="minorHAnsi"/>
          <w:b/>
          <w:bCs/>
          <w:sz w:val="24"/>
          <w:szCs w:val="24"/>
          <w:lang w:eastAsia="en-ZA"/>
        </w:rPr>
        <w:lastRenderedPageBreak/>
        <w:t>Acknowledgements</w:t>
      </w:r>
    </w:p>
    <w:p w14:paraId="6A74CA89" w14:textId="4FAA4E8D" w:rsidR="00CC5105" w:rsidRPr="007A38CD" w:rsidRDefault="000B011E" w:rsidP="00454AC3">
      <w:pPr>
        <w:spacing w:before="100" w:beforeAutospacing="1" w:after="100" w:afterAutospacing="1" w:line="480" w:lineRule="auto"/>
        <w:rPr>
          <w:rFonts w:eastAsia="Times New Roman" w:cstheme="minorHAnsi"/>
          <w:sz w:val="24"/>
          <w:szCs w:val="24"/>
          <w:lang w:eastAsia="en-ZA"/>
        </w:rPr>
      </w:pPr>
      <w:r w:rsidRPr="007A38CD">
        <w:rPr>
          <w:rFonts w:eastAsia="Times New Roman" w:cstheme="minorHAnsi"/>
          <w:sz w:val="24"/>
          <w:szCs w:val="24"/>
          <w:lang w:eastAsia="en-ZA"/>
        </w:rPr>
        <w:t xml:space="preserve">We would like to acknowledge the work of </w:t>
      </w:r>
      <w:r w:rsidR="00FA3A35" w:rsidRPr="007A38CD">
        <w:rPr>
          <w:rFonts w:eastAsia="Times New Roman" w:cstheme="minorHAnsi"/>
          <w:sz w:val="24"/>
          <w:szCs w:val="24"/>
          <w:lang w:eastAsia="en-ZA"/>
        </w:rPr>
        <w:t xml:space="preserve">Dr Gie Ken-Dror </w:t>
      </w:r>
      <w:r w:rsidR="007A38CD" w:rsidRPr="007A38CD">
        <w:rPr>
          <w:rFonts w:eastAsia="Times New Roman" w:cstheme="minorHAnsi"/>
          <w:sz w:val="24"/>
          <w:szCs w:val="24"/>
          <w:lang w:eastAsia="en-ZA"/>
        </w:rPr>
        <w:t xml:space="preserve">and </w:t>
      </w:r>
      <w:r w:rsidR="00FA3A35" w:rsidRPr="007A38CD">
        <w:rPr>
          <w:rFonts w:eastAsia="Times New Roman" w:cstheme="minorHAnsi"/>
          <w:sz w:val="24"/>
          <w:szCs w:val="24"/>
          <w:lang w:eastAsia="en-ZA"/>
        </w:rPr>
        <w:t>Dr Gavin Koh</w:t>
      </w:r>
      <w:r w:rsidR="007A38CD" w:rsidRPr="007A38CD">
        <w:rPr>
          <w:rFonts w:eastAsia="Times New Roman" w:cstheme="minorHAnsi"/>
          <w:sz w:val="24"/>
          <w:szCs w:val="24"/>
          <w:lang w:eastAsia="en-ZA"/>
        </w:rPr>
        <w:t xml:space="preserve"> </w:t>
      </w:r>
      <w:r w:rsidR="00C43C58">
        <w:rPr>
          <w:rFonts w:eastAsia="Times New Roman" w:cstheme="minorHAnsi"/>
          <w:sz w:val="24"/>
          <w:szCs w:val="24"/>
          <w:lang w:eastAsia="en-ZA"/>
        </w:rPr>
        <w:t>who</w:t>
      </w:r>
      <w:r w:rsidR="00A225B4">
        <w:rPr>
          <w:rFonts w:eastAsia="Times New Roman" w:cstheme="minorHAnsi"/>
          <w:sz w:val="24"/>
          <w:szCs w:val="24"/>
          <w:lang w:eastAsia="en-ZA"/>
        </w:rPr>
        <w:t xml:space="preserve">se work on a </w:t>
      </w:r>
      <w:r w:rsidR="009F569C">
        <w:rPr>
          <w:rFonts w:eastAsia="Times New Roman" w:cstheme="minorHAnsi"/>
          <w:sz w:val="24"/>
          <w:szCs w:val="24"/>
          <w:lang w:eastAsia="en-ZA"/>
        </w:rPr>
        <w:t xml:space="preserve">separate meta-analysis of </w:t>
      </w:r>
      <w:r w:rsidR="00AF7CDF">
        <w:rPr>
          <w:rFonts w:eastAsia="Times New Roman" w:cstheme="minorHAnsi"/>
          <w:sz w:val="24"/>
          <w:szCs w:val="24"/>
          <w:lang w:eastAsia="en-ZA"/>
        </w:rPr>
        <w:t xml:space="preserve">the effect of </w:t>
      </w:r>
      <w:r w:rsidR="0084235D">
        <w:rPr>
          <w:rFonts w:eastAsia="Times New Roman" w:cstheme="minorHAnsi"/>
          <w:sz w:val="24"/>
          <w:szCs w:val="24"/>
          <w:lang w:eastAsia="en-ZA"/>
        </w:rPr>
        <w:t xml:space="preserve">tuberculosis </w:t>
      </w:r>
      <w:r w:rsidR="00A4592C">
        <w:rPr>
          <w:rFonts w:eastAsia="Times New Roman" w:cstheme="minorHAnsi"/>
          <w:sz w:val="24"/>
          <w:szCs w:val="24"/>
          <w:lang w:eastAsia="en-ZA"/>
        </w:rPr>
        <w:t xml:space="preserve">drugs </w:t>
      </w:r>
      <w:r w:rsidR="0021057E">
        <w:rPr>
          <w:rFonts w:eastAsia="Times New Roman" w:cstheme="minorHAnsi"/>
          <w:sz w:val="24"/>
          <w:szCs w:val="24"/>
          <w:lang w:eastAsia="en-ZA"/>
        </w:rPr>
        <w:t xml:space="preserve">and </w:t>
      </w:r>
      <w:r w:rsidR="0084235D">
        <w:rPr>
          <w:rFonts w:eastAsia="Times New Roman" w:cstheme="minorHAnsi"/>
          <w:sz w:val="24"/>
          <w:szCs w:val="24"/>
          <w:lang w:eastAsia="en-ZA"/>
        </w:rPr>
        <w:t xml:space="preserve">regimens </w:t>
      </w:r>
      <w:r w:rsidR="00A4592C">
        <w:rPr>
          <w:rFonts w:eastAsia="Times New Roman" w:cstheme="minorHAnsi"/>
          <w:sz w:val="24"/>
          <w:szCs w:val="24"/>
          <w:lang w:eastAsia="en-ZA"/>
        </w:rPr>
        <w:t xml:space="preserve">on </w:t>
      </w:r>
      <w:r w:rsidR="0084235D">
        <w:rPr>
          <w:rFonts w:eastAsia="Times New Roman" w:cstheme="minorHAnsi"/>
          <w:sz w:val="24"/>
          <w:szCs w:val="24"/>
          <w:lang w:eastAsia="en-ZA"/>
        </w:rPr>
        <w:t xml:space="preserve">outcomes contributed to and informed </w:t>
      </w:r>
      <w:r w:rsidR="0021057E">
        <w:rPr>
          <w:rFonts w:eastAsia="Times New Roman" w:cstheme="minorHAnsi"/>
          <w:sz w:val="24"/>
          <w:szCs w:val="24"/>
          <w:lang w:eastAsia="en-ZA"/>
        </w:rPr>
        <w:t xml:space="preserve">this study. </w:t>
      </w:r>
    </w:p>
    <w:p w14:paraId="14B242E9" w14:textId="19E42BC9" w:rsidR="007B2B21" w:rsidRPr="00CC5105" w:rsidRDefault="007B2B21" w:rsidP="00454AC3">
      <w:pPr>
        <w:spacing w:before="100" w:beforeAutospacing="1" w:after="100" w:afterAutospacing="1" w:line="480" w:lineRule="auto"/>
        <w:rPr>
          <w:rFonts w:eastAsia="Times New Roman" w:cstheme="minorHAnsi"/>
          <w:b/>
          <w:bCs/>
          <w:sz w:val="28"/>
          <w:szCs w:val="28"/>
          <w:lang w:eastAsia="en-ZA"/>
        </w:rPr>
      </w:pPr>
      <w:r w:rsidRPr="007B2B21">
        <w:rPr>
          <w:rFonts w:eastAsia="Times New Roman" w:cstheme="minorHAnsi"/>
          <w:b/>
          <w:bCs/>
          <w:sz w:val="28"/>
          <w:szCs w:val="28"/>
          <w:lang w:eastAsia="en-ZA"/>
        </w:rPr>
        <w:t>References</w:t>
      </w:r>
    </w:p>
    <w:p w14:paraId="5A7E11B9" w14:textId="77777777" w:rsidR="0092316B" w:rsidRPr="00454AC3" w:rsidRDefault="005D7DBB" w:rsidP="00454AC3">
      <w:pPr>
        <w:pStyle w:val="Bibliography"/>
        <w:spacing w:line="480" w:lineRule="auto"/>
        <w:rPr>
          <w:rFonts w:ascii="Calibri" w:hAnsi="Calibri" w:cs="Calibri"/>
          <w:sz w:val="24"/>
          <w:szCs w:val="24"/>
        </w:rPr>
      </w:pPr>
      <w:r w:rsidRPr="00454AC3">
        <w:rPr>
          <w:rFonts w:cstheme="minorHAnsi"/>
          <w:b/>
          <w:bCs/>
          <w:sz w:val="24"/>
          <w:szCs w:val="24"/>
          <w:lang w:val="en-US"/>
        </w:rPr>
        <w:fldChar w:fldCharType="begin"/>
      </w:r>
      <w:r w:rsidR="00B4224E" w:rsidRPr="00454AC3">
        <w:rPr>
          <w:rFonts w:cstheme="minorHAnsi"/>
          <w:b/>
          <w:bCs/>
          <w:sz w:val="24"/>
          <w:szCs w:val="24"/>
          <w:lang w:val="en-US"/>
        </w:rPr>
        <w:instrText xml:space="preserve"> ADDIN ZOTERO_BIBL {"uncited":[],"omitted":[],"custom":[]} CSL_BIBLIOGRAPHY </w:instrText>
      </w:r>
      <w:r w:rsidRPr="00454AC3">
        <w:rPr>
          <w:rFonts w:cstheme="minorHAnsi"/>
          <w:b/>
          <w:bCs/>
          <w:sz w:val="24"/>
          <w:szCs w:val="24"/>
          <w:lang w:val="en-US"/>
        </w:rPr>
        <w:fldChar w:fldCharType="separate"/>
      </w:r>
      <w:r w:rsidR="0092316B" w:rsidRPr="00454AC3">
        <w:rPr>
          <w:rFonts w:ascii="Calibri" w:hAnsi="Calibri" w:cs="Calibri"/>
          <w:sz w:val="24"/>
          <w:szCs w:val="24"/>
        </w:rPr>
        <w:t xml:space="preserve">1. </w:t>
      </w:r>
      <w:r w:rsidR="0092316B" w:rsidRPr="00454AC3">
        <w:rPr>
          <w:rFonts w:ascii="Calibri" w:hAnsi="Calibri" w:cs="Calibri"/>
          <w:sz w:val="24"/>
          <w:szCs w:val="24"/>
        </w:rPr>
        <w:tab/>
        <w:t xml:space="preserve">Zhang Y, Mitchison D. The curious characteristics of pyrazinamide: a review. Int J Tuberc Lung Dis Off J Int Union Tuberc Lung Dis. 2003 Jan;7(1):6–21. </w:t>
      </w:r>
    </w:p>
    <w:p w14:paraId="317ACC1C" w14:textId="77777777" w:rsidR="0092316B" w:rsidRPr="00454AC3" w:rsidRDefault="0092316B" w:rsidP="00454AC3">
      <w:pPr>
        <w:pStyle w:val="Bibliography"/>
        <w:spacing w:line="480" w:lineRule="auto"/>
        <w:rPr>
          <w:rFonts w:ascii="Calibri" w:hAnsi="Calibri" w:cs="Calibri"/>
          <w:sz w:val="24"/>
          <w:szCs w:val="24"/>
        </w:rPr>
      </w:pPr>
      <w:r w:rsidRPr="00454AC3">
        <w:rPr>
          <w:rFonts w:ascii="Calibri" w:hAnsi="Calibri" w:cs="Calibri"/>
          <w:sz w:val="24"/>
          <w:szCs w:val="24"/>
        </w:rPr>
        <w:t xml:space="preserve">2. </w:t>
      </w:r>
      <w:r w:rsidRPr="00454AC3">
        <w:rPr>
          <w:rFonts w:ascii="Calibri" w:hAnsi="Calibri" w:cs="Calibri"/>
          <w:sz w:val="24"/>
          <w:szCs w:val="24"/>
        </w:rPr>
        <w:tab/>
        <w:t xml:space="preserve">Hirano K, Takahashi M, Kazumi Y, Fukasawa Y, Abe C. Mutation in pncA is a major mechanism of pyrazinamide resistance in Mycobacterium tuberculosis. Tuber Lung Dis Off J Int Union Tuberc Lung Dis. 1997;78(2):117–22. </w:t>
      </w:r>
    </w:p>
    <w:p w14:paraId="4EF52936" w14:textId="77777777" w:rsidR="0092316B" w:rsidRPr="00454AC3" w:rsidRDefault="0092316B" w:rsidP="00454AC3">
      <w:pPr>
        <w:pStyle w:val="Bibliography"/>
        <w:spacing w:line="480" w:lineRule="auto"/>
        <w:rPr>
          <w:rFonts w:ascii="Calibri" w:hAnsi="Calibri" w:cs="Calibri"/>
          <w:sz w:val="24"/>
          <w:szCs w:val="24"/>
        </w:rPr>
      </w:pPr>
      <w:r w:rsidRPr="00454AC3">
        <w:rPr>
          <w:rFonts w:ascii="Calibri" w:hAnsi="Calibri" w:cs="Calibri"/>
          <w:sz w:val="24"/>
          <w:szCs w:val="24"/>
        </w:rPr>
        <w:t xml:space="preserve">3. </w:t>
      </w:r>
      <w:r w:rsidRPr="00454AC3">
        <w:rPr>
          <w:rFonts w:ascii="Calibri" w:hAnsi="Calibri" w:cs="Calibri"/>
          <w:sz w:val="24"/>
          <w:szCs w:val="24"/>
        </w:rPr>
        <w:tab/>
        <w:t xml:space="preserve">Matthews JH. Pyrazinamide and Isoniazid Used in the Treatment of Pulmonary Tuberculosis. Am Rev Respir Dis. 1960;81(3):348–51. </w:t>
      </w:r>
    </w:p>
    <w:p w14:paraId="2E3ACAB2" w14:textId="77777777" w:rsidR="0092316B" w:rsidRPr="00454AC3" w:rsidRDefault="0092316B" w:rsidP="00454AC3">
      <w:pPr>
        <w:pStyle w:val="Bibliography"/>
        <w:spacing w:line="480" w:lineRule="auto"/>
        <w:rPr>
          <w:rFonts w:ascii="Calibri" w:hAnsi="Calibri" w:cs="Calibri"/>
          <w:sz w:val="24"/>
          <w:szCs w:val="24"/>
        </w:rPr>
      </w:pPr>
      <w:r w:rsidRPr="00454AC3">
        <w:rPr>
          <w:rFonts w:ascii="Calibri" w:hAnsi="Calibri" w:cs="Calibri"/>
          <w:sz w:val="24"/>
          <w:szCs w:val="24"/>
        </w:rPr>
        <w:t xml:space="preserve">4. </w:t>
      </w:r>
      <w:r w:rsidRPr="00454AC3">
        <w:rPr>
          <w:rFonts w:ascii="Calibri" w:hAnsi="Calibri" w:cs="Calibri"/>
          <w:sz w:val="24"/>
          <w:szCs w:val="24"/>
        </w:rPr>
        <w:tab/>
        <w:t xml:space="preserve">Fox W, Ellard GA, Mitchison DA. Studies on the treatment of tuberculosis undertaken by the British Medical Research Council tuberculosis units, 1946-1986, with relevant subsequent publications. Int J Tuberc Lung Dis Off J Int Union Tuberc Lung Dis. 1999 Oct;3(10 Suppl 2):S231-279. </w:t>
      </w:r>
    </w:p>
    <w:p w14:paraId="207ECC7B" w14:textId="77777777" w:rsidR="0092316B" w:rsidRPr="00454AC3" w:rsidRDefault="0092316B" w:rsidP="00454AC3">
      <w:pPr>
        <w:pStyle w:val="Bibliography"/>
        <w:spacing w:line="480" w:lineRule="auto"/>
        <w:rPr>
          <w:rFonts w:ascii="Calibri" w:hAnsi="Calibri" w:cs="Calibri"/>
          <w:sz w:val="24"/>
          <w:szCs w:val="24"/>
        </w:rPr>
      </w:pPr>
      <w:r w:rsidRPr="00454AC3">
        <w:rPr>
          <w:rFonts w:ascii="Calibri" w:hAnsi="Calibri" w:cs="Calibri"/>
          <w:sz w:val="24"/>
          <w:szCs w:val="24"/>
        </w:rPr>
        <w:t xml:space="preserve">5. </w:t>
      </w:r>
      <w:r w:rsidRPr="00454AC3">
        <w:rPr>
          <w:rFonts w:ascii="Calibri" w:hAnsi="Calibri" w:cs="Calibri"/>
          <w:sz w:val="24"/>
          <w:szCs w:val="24"/>
        </w:rPr>
        <w:tab/>
        <w:t xml:space="preserve">Zignol M, Dean AS, Alikhanova N, Andres S, Cabibbe AM, Cirillo DM, et al. Population-based resistance of Mycobacterium tuberculosis isolates to pyrazinamide and fluoroquinolones: results from a multicountry surveillance project. Lancet Infect Dis. 2016;16(10):1185–92. </w:t>
      </w:r>
    </w:p>
    <w:p w14:paraId="3B775EE7" w14:textId="77777777" w:rsidR="0092316B" w:rsidRPr="00454AC3" w:rsidRDefault="0092316B" w:rsidP="00454AC3">
      <w:pPr>
        <w:pStyle w:val="Bibliography"/>
        <w:spacing w:line="480" w:lineRule="auto"/>
        <w:rPr>
          <w:rFonts w:ascii="Calibri" w:hAnsi="Calibri" w:cs="Calibri"/>
          <w:sz w:val="24"/>
          <w:szCs w:val="24"/>
        </w:rPr>
      </w:pPr>
      <w:r w:rsidRPr="00454AC3">
        <w:rPr>
          <w:rFonts w:ascii="Calibri" w:hAnsi="Calibri" w:cs="Calibri"/>
          <w:sz w:val="24"/>
          <w:szCs w:val="24"/>
        </w:rPr>
        <w:lastRenderedPageBreak/>
        <w:t xml:space="preserve">6. </w:t>
      </w:r>
      <w:r w:rsidRPr="00454AC3">
        <w:rPr>
          <w:rFonts w:ascii="Calibri" w:hAnsi="Calibri" w:cs="Calibri"/>
          <w:sz w:val="24"/>
          <w:szCs w:val="24"/>
        </w:rPr>
        <w:tab/>
        <w:t xml:space="preserve">Gumbo T, Dona CSWS, Meek C, Leff R. Pharmacokinetics-pharmacodynamics of pyrazinamide in a novel in vitro model of tuberculosis for sterilizing effect: a paradigm for faster assessment of new antituberculosis drugs. Antimicrob Agents Chemother. 2009 Aug;53(8):3197–204. </w:t>
      </w:r>
    </w:p>
    <w:p w14:paraId="6D80A40C" w14:textId="77777777" w:rsidR="0092316B" w:rsidRPr="00454AC3" w:rsidRDefault="0092316B" w:rsidP="00454AC3">
      <w:pPr>
        <w:pStyle w:val="Bibliography"/>
        <w:spacing w:line="480" w:lineRule="auto"/>
        <w:rPr>
          <w:rFonts w:ascii="Calibri" w:hAnsi="Calibri" w:cs="Calibri"/>
          <w:sz w:val="24"/>
          <w:szCs w:val="24"/>
        </w:rPr>
      </w:pPr>
      <w:r w:rsidRPr="00454AC3">
        <w:rPr>
          <w:rFonts w:ascii="Calibri" w:hAnsi="Calibri" w:cs="Calibri"/>
          <w:sz w:val="24"/>
          <w:szCs w:val="24"/>
        </w:rPr>
        <w:t xml:space="preserve">7. </w:t>
      </w:r>
      <w:r w:rsidRPr="00454AC3">
        <w:rPr>
          <w:rFonts w:ascii="Calibri" w:hAnsi="Calibri" w:cs="Calibri"/>
          <w:sz w:val="24"/>
          <w:szCs w:val="24"/>
        </w:rPr>
        <w:tab/>
        <w:t xml:space="preserve">Pasipanodya JG, McIlleron H, Burger A, Wash PA, Smith P, Gumbo T. Serum drug concentrations predictive of pulmonary tuberculosis outcomes. J Infect Dis. 2013 Nov 1;208(9):1464–73. </w:t>
      </w:r>
    </w:p>
    <w:p w14:paraId="7B226248" w14:textId="77777777" w:rsidR="0092316B" w:rsidRPr="00454AC3" w:rsidRDefault="0092316B" w:rsidP="00454AC3">
      <w:pPr>
        <w:pStyle w:val="Bibliography"/>
        <w:spacing w:line="480" w:lineRule="auto"/>
        <w:rPr>
          <w:rFonts w:ascii="Calibri" w:hAnsi="Calibri" w:cs="Calibri"/>
          <w:sz w:val="24"/>
          <w:szCs w:val="24"/>
        </w:rPr>
      </w:pPr>
      <w:r w:rsidRPr="00454AC3">
        <w:rPr>
          <w:rFonts w:ascii="Calibri" w:hAnsi="Calibri" w:cs="Calibri"/>
          <w:sz w:val="24"/>
          <w:szCs w:val="24"/>
        </w:rPr>
        <w:t xml:space="preserve">8. </w:t>
      </w:r>
      <w:r w:rsidRPr="00454AC3">
        <w:rPr>
          <w:rFonts w:ascii="Calibri" w:hAnsi="Calibri" w:cs="Calibri"/>
          <w:sz w:val="24"/>
          <w:szCs w:val="24"/>
        </w:rPr>
        <w:tab/>
        <w:t xml:space="preserve">Controlled clinical trial of short-course (6-month) regimens of chemotherapy for treatment of pulmonary tuberculosis. Lancet Lond Engl. 1972 May 20;1(7760):1079–85. </w:t>
      </w:r>
    </w:p>
    <w:p w14:paraId="71216328" w14:textId="77777777" w:rsidR="0092316B" w:rsidRPr="00454AC3" w:rsidRDefault="0092316B" w:rsidP="00454AC3">
      <w:pPr>
        <w:pStyle w:val="Bibliography"/>
        <w:spacing w:line="480" w:lineRule="auto"/>
        <w:rPr>
          <w:rFonts w:ascii="Calibri" w:hAnsi="Calibri" w:cs="Calibri"/>
          <w:sz w:val="24"/>
          <w:szCs w:val="24"/>
        </w:rPr>
      </w:pPr>
      <w:r w:rsidRPr="00454AC3">
        <w:rPr>
          <w:rFonts w:ascii="Calibri" w:hAnsi="Calibri" w:cs="Calibri"/>
          <w:sz w:val="24"/>
          <w:szCs w:val="24"/>
        </w:rPr>
        <w:t xml:space="preserve">9. </w:t>
      </w:r>
      <w:r w:rsidRPr="00454AC3">
        <w:rPr>
          <w:rFonts w:ascii="Calibri" w:hAnsi="Calibri" w:cs="Calibri"/>
          <w:sz w:val="24"/>
          <w:szCs w:val="24"/>
        </w:rPr>
        <w:tab/>
        <w:t xml:space="preserve">Controlled clinical trial of four short-course (6-month) regimens of chemotherapy for treatment of pulmonary tuberculosis. Third report. East African-British Medical Research Councils. Lancet Lond Engl. 1974 Aug 3;2(7875):237–40. </w:t>
      </w:r>
    </w:p>
    <w:p w14:paraId="28E5F13D" w14:textId="77777777" w:rsidR="0092316B" w:rsidRPr="00454AC3" w:rsidRDefault="0092316B" w:rsidP="00454AC3">
      <w:pPr>
        <w:pStyle w:val="Bibliography"/>
        <w:spacing w:line="480" w:lineRule="auto"/>
        <w:rPr>
          <w:rFonts w:ascii="Calibri" w:hAnsi="Calibri" w:cs="Calibri"/>
          <w:sz w:val="24"/>
          <w:szCs w:val="24"/>
        </w:rPr>
      </w:pPr>
      <w:r w:rsidRPr="00454AC3">
        <w:rPr>
          <w:rFonts w:ascii="Calibri" w:hAnsi="Calibri" w:cs="Calibri"/>
          <w:sz w:val="24"/>
          <w:szCs w:val="24"/>
        </w:rPr>
        <w:t xml:space="preserve">10. </w:t>
      </w:r>
      <w:r w:rsidRPr="00454AC3">
        <w:rPr>
          <w:rFonts w:ascii="Calibri" w:hAnsi="Calibri" w:cs="Calibri"/>
          <w:sz w:val="24"/>
          <w:szCs w:val="24"/>
        </w:rPr>
        <w:tab/>
        <w:t xml:space="preserve">Combs DL, O’Brien RJ, Geiter LJ. USPHS Tuberculosis Short-Course Chemotherapy Trial 21: effectiveness, toxicity, and acceptability. The report of final results. Ann Intern Med. 1990 Mar 15;112(6):397–406. </w:t>
      </w:r>
    </w:p>
    <w:p w14:paraId="186486CE" w14:textId="77777777" w:rsidR="0092316B" w:rsidRPr="00454AC3" w:rsidRDefault="0092316B" w:rsidP="00454AC3">
      <w:pPr>
        <w:pStyle w:val="Bibliography"/>
        <w:spacing w:line="480" w:lineRule="auto"/>
        <w:rPr>
          <w:rFonts w:ascii="Calibri" w:hAnsi="Calibri" w:cs="Calibri"/>
          <w:sz w:val="24"/>
          <w:szCs w:val="24"/>
        </w:rPr>
      </w:pPr>
      <w:r w:rsidRPr="00454AC3">
        <w:rPr>
          <w:rFonts w:ascii="Calibri" w:hAnsi="Calibri" w:cs="Calibri"/>
          <w:sz w:val="24"/>
          <w:szCs w:val="24"/>
        </w:rPr>
        <w:t xml:space="preserve">11. </w:t>
      </w:r>
      <w:r w:rsidRPr="00454AC3">
        <w:rPr>
          <w:rFonts w:ascii="Calibri" w:hAnsi="Calibri" w:cs="Calibri"/>
          <w:sz w:val="24"/>
          <w:szCs w:val="24"/>
        </w:rPr>
        <w:tab/>
        <w:t xml:space="preserve">Sahota T, Della Pasqua O. Feasibility of a fixed-dose regimen of pyrazinamide and its impact on systemic drug exposure and liver safety in patients with tuberculosis. Antimicrob Agents Chemother. 2012 Nov;56(11):5442–9. </w:t>
      </w:r>
    </w:p>
    <w:p w14:paraId="639457EA" w14:textId="77777777" w:rsidR="0092316B" w:rsidRPr="00454AC3" w:rsidRDefault="0092316B" w:rsidP="00454AC3">
      <w:pPr>
        <w:pStyle w:val="Bibliography"/>
        <w:spacing w:line="480" w:lineRule="auto"/>
        <w:rPr>
          <w:rFonts w:ascii="Calibri" w:hAnsi="Calibri" w:cs="Calibri"/>
          <w:sz w:val="24"/>
          <w:szCs w:val="24"/>
        </w:rPr>
      </w:pPr>
      <w:r w:rsidRPr="00454AC3">
        <w:rPr>
          <w:rFonts w:ascii="Calibri" w:hAnsi="Calibri" w:cs="Calibri"/>
          <w:sz w:val="24"/>
          <w:szCs w:val="24"/>
        </w:rPr>
        <w:t xml:space="preserve">12. </w:t>
      </w:r>
      <w:r w:rsidRPr="00454AC3">
        <w:rPr>
          <w:rFonts w:ascii="Calibri" w:hAnsi="Calibri" w:cs="Calibri"/>
          <w:sz w:val="24"/>
          <w:szCs w:val="24"/>
        </w:rPr>
        <w:tab/>
        <w:t xml:space="preserve">Bonnett LJ, Ken-Dror G, Davies GR. Quality of reporting of outcomes in phase III studies of pulmonary tuberculosis: a systematic review. Trials. 2018 Feb 21;19(1):134. </w:t>
      </w:r>
    </w:p>
    <w:p w14:paraId="4CFD85FF" w14:textId="77777777" w:rsidR="0092316B" w:rsidRPr="00454AC3" w:rsidRDefault="0092316B" w:rsidP="00454AC3">
      <w:pPr>
        <w:pStyle w:val="Bibliography"/>
        <w:spacing w:line="480" w:lineRule="auto"/>
        <w:rPr>
          <w:rFonts w:ascii="Calibri" w:hAnsi="Calibri" w:cs="Calibri"/>
          <w:sz w:val="24"/>
          <w:szCs w:val="24"/>
        </w:rPr>
      </w:pPr>
      <w:r w:rsidRPr="00454AC3">
        <w:rPr>
          <w:rFonts w:ascii="Calibri" w:hAnsi="Calibri" w:cs="Calibri"/>
          <w:sz w:val="24"/>
          <w:szCs w:val="24"/>
        </w:rPr>
        <w:lastRenderedPageBreak/>
        <w:t xml:space="preserve">13. </w:t>
      </w:r>
      <w:r w:rsidRPr="00454AC3">
        <w:rPr>
          <w:rFonts w:ascii="Calibri" w:hAnsi="Calibri" w:cs="Calibri"/>
          <w:sz w:val="24"/>
          <w:szCs w:val="24"/>
        </w:rPr>
        <w:tab/>
        <w:t xml:space="preserve">Pasipanodya JG, Gumbo T. Clinical and toxicodynamic evidence that high-dose pyrazinamide is not more hepatotoxic than the low doses currently used. Antimicrob Agents Chemother. 2010 Jul;54(7):2847–54. </w:t>
      </w:r>
    </w:p>
    <w:p w14:paraId="350A673F" w14:textId="77777777" w:rsidR="0092316B" w:rsidRPr="00454AC3" w:rsidRDefault="0092316B" w:rsidP="00454AC3">
      <w:pPr>
        <w:pStyle w:val="Bibliography"/>
        <w:spacing w:line="480" w:lineRule="auto"/>
        <w:rPr>
          <w:rFonts w:ascii="Calibri" w:hAnsi="Calibri" w:cs="Calibri"/>
          <w:sz w:val="24"/>
          <w:szCs w:val="24"/>
        </w:rPr>
      </w:pPr>
      <w:r w:rsidRPr="00454AC3">
        <w:rPr>
          <w:rFonts w:ascii="Calibri" w:hAnsi="Calibri" w:cs="Calibri"/>
          <w:sz w:val="24"/>
          <w:szCs w:val="24"/>
        </w:rPr>
        <w:t xml:space="preserve">14. </w:t>
      </w:r>
      <w:r w:rsidRPr="00454AC3">
        <w:rPr>
          <w:rFonts w:ascii="Calibri" w:hAnsi="Calibri" w:cs="Calibri"/>
          <w:sz w:val="24"/>
          <w:szCs w:val="24"/>
        </w:rPr>
        <w:tab/>
        <w:t xml:space="preserve">Moher D, Liberati A, Tetzlaff J, Altman DG, PRISMA Group. </w:t>
      </w:r>
      <w:bookmarkStart w:id="7" w:name="_Hlk17320059"/>
      <w:r w:rsidRPr="00454AC3">
        <w:rPr>
          <w:rFonts w:ascii="Calibri" w:hAnsi="Calibri" w:cs="Calibri"/>
          <w:sz w:val="24"/>
          <w:szCs w:val="24"/>
        </w:rPr>
        <w:t>Preferred reporting items for systematic reviews and meta-analyses</w:t>
      </w:r>
      <w:bookmarkEnd w:id="7"/>
      <w:r w:rsidRPr="00454AC3">
        <w:rPr>
          <w:rFonts w:ascii="Calibri" w:hAnsi="Calibri" w:cs="Calibri"/>
          <w:sz w:val="24"/>
          <w:szCs w:val="24"/>
        </w:rPr>
        <w:t xml:space="preserve">: the PRISMA statement. PLoS Med. 2009 Jul 21;6(7):e1000097. </w:t>
      </w:r>
    </w:p>
    <w:p w14:paraId="6B27AD08" w14:textId="77777777" w:rsidR="0092316B" w:rsidRPr="00454AC3" w:rsidRDefault="0092316B" w:rsidP="00454AC3">
      <w:pPr>
        <w:pStyle w:val="Bibliography"/>
        <w:spacing w:line="480" w:lineRule="auto"/>
        <w:rPr>
          <w:rFonts w:ascii="Calibri" w:hAnsi="Calibri" w:cs="Calibri"/>
          <w:sz w:val="24"/>
          <w:szCs w:val="24"/>
        </w:rPr>
      </w:pPr>
      <w:r w:rsidRPr="00454AC3">
        <w:rPr>
          <w:rFonts w:ascii="Calibri" w:hAnsi="Calibri" w:cs="Calibri"/>
          <w:sz w:val="24"/>
          <w:szCs w:val="24"/>
        </w:rPr>
        <w:t xml:space="preserve">15. </w:t>
      </w:r>
      <w:r w:rsidRPr="00454AC3">
        <w:rPr>
          <w:rFonts w:ascii="Calibri" w:hAnsi="Calibri" w:cs="Calibri"/>
          <w:sz w:val="24"/>
          <w:szCs w:val="24"/>
        </w:rPr>
        <w:tab/>
        <w:t xml:space="preserve">Higgins J, Green S, Cochrane Collaboration. Cochrane handbook for systematic reviews of interventions. Chichester, England: Wiley-Blackwell, Hoboken, NJ; 2008. 649 p. </w:t>
      </w:r>
    </w:p>
    <w:p w14:paraId="443945CD" w14:textId="046B98C8" w:rsidR="00CC5105" w:rsidRDefault="005D7DBB" w:rsidP="00454AC3">
      <w:pPr>
        <w:spacing w:line="480" w:lineRule="auto"/>
        <w:rPr>
          <w:b/>
          <w:bCs/>
          <w:sz w:val="28"/>
          <w:szCs w:val="28"/>
        </w:rPr>
      </w:pPr>
      <w:r w:rsidRPr="00454AC3">
        <w:rPr>
          <w:rFonts w:cstheme="minorHAnsi"/>
          <w:b/>
          <w:bCs/>
          <w:sz w:val="24"/>
          <w:szCs w:val="24"/>
          <w:lang w:val="en-US"/>
        </w:rPr>
        <w:fldChar w:fldCharType="end"/>
      </w:r>
      <w:r w:rsidR="00355353" w:rsidRPr="00355353">
        <w:rPr>
          <w:b/>
          <w:bCs/>
          <w:sz w:val="28"/>
          <w:szCs w:val="28"/>
        </w:rPr>
        <w:t>Additional files</w:t>
      </w:r>
    </w:p>
    <w:p w14:paraId="2ED0DE10" w14:textId="555C6649" w:rsidR="00355353" w:rsidRDefault="00385EBF" w:rsidP="00454AC3">
      <w:pPr>
        <w:spacing w:line="480" w:lineRule="auto"/>
        <w:rPr>
          <w:rFonts w:cstheme="minorHAnsi"/>
          <w:sz w:val="24"/>
          <w:szCs w:val="24"/>
          <w:lang w:val="en-US"/>
        </w:rPr>
      </w:pPr>
      <w:r>
        <w:rPr>
          <w:rFonts w:cstheme="minorHAnsi"/>
          <w:sz w:val="24"/>
          <w:szCs w:val="24"/>
          <w:lang w:val="en-US"/>
        </w:rPr>
        <w:t>Additional</w:t>
      </w:r>
      <w:r w:rsidR="00246EC2">
        <w:rPr>
          <w:rFonts w:cstheme="minorHAnsi"/>
          <w:sz w:val="24"/>
          <w:szCs w:val="24"/>
          <w:lang w:val="en-US"/>
        </w:rPr>
        <w:t xml:space="preserve"> file 1.doc</w:t>
      </w:r>
      <w:r w:rsidR="00FB3D23">
        <w:rPr>
          <w:rFonts w:cstheme="minorHAnsi"/>
          <w:sz w:val="24"/>
          <w:szCs w:val="24"/>
          <w:lang w:val="en-US"/>
        </w:rPr>
        <w:t>x</w:t>
      </w:r>
      <w:r w:rsidR="006023F2">
        <w:rPr>
          <w:rFonts w:cstheme="minorHAnsi"/>
          <w:sz w:val="24"/>
          <w:szCs w:val="24"/>
          <w:lang w:val="en-US"/>
        </w:rPr>
        <w:t xml:space="preserve"> – PRISMA-P checklist</w:t>
      </w:r>
    </w:p>
    <w:p w14:paraId="24C2439D" w14:textId="77777777" w:rsidR="00FB3D23" w:rsidRPr="00385EBF" w:rsidRDefault="00FB3D23" w:rsidP="00454AC3">
      <w:pPr>
        <w:spacing w:line="480" w:lineRule="auto"/>
        <w:rPr>
          <w:rFonts w:cstheme="minorHAnsi"/>
          <w:sz w:val="24"/>
          <w:szCs w:val="24"/>
          <w:lang w:val="en-US"/>
        </w:rPr>
      </w:pPr>
    </w:p>
    <w:sectPr w:rsidR="00FB3D23" w:rsidRPr="00385EBF" w:rsidSect="004B3248">
      <w:footerReference w:type="default" r:id="rId13"/>
      <w:pgSz w:w="11906" w:h="16838" w:code="9"/>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70797" w14:textId="77777777" w:rsidR="004919E9" w:rsidRDefault="004919E9" w:rsidP="001E102B">
      <w:pPr>
        <w:spacing w:after="0" w:line="240" w:lineRule="auto"/>
      </w:pPr>
      <w:r>
        <w:separator/>
      </w:r>
    </w:p>
  </w:endnote>
  <w:endnote w:type="continuationSeparator" w:id="0">
    <w:p w14:paraId="499B9F00" w14:textId="77777777" w:rsidR="004919E9" w:rsidRDefault="004919E9" w:rsidP="001E102B">
      <w:pPr>
        <w:spacing w:after="0" w:line="240" w:lineRule="auto"/>
      </w:pPr>
      <w:r>
        <w:continuationSeparator/>
      </w:r>
    </w:p>
  </w:endnote>
  <w:endnote w:type="continuationNotice" w:id="1">
    <w:p w14:paraId="288C6B2D" w14:textId="77777777" w:rsidR="004919E9" w:rsidRDefault="004919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7190605"/>
      <w:docPartObj>
        <w:docPartGallery w:val="Page Numbers (Bottom of Page)"/>
        <w:docPartUnique/>
      </w:docPartObj>
    </w:sdtPr>
    <w:sdtEndPr>
      <w:rPr>
        <w:noProof/>
      </w:rPr>
    </w:sdtEndPr>
    <w:sdtContent>
      <w:p w14:paraId="14B8F78C" w14:textId="143A48D9" w:rsidR="001E102B" w:rsidRDefault="001E10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FD6A03" w14:textId="77777777" w:rsidR="001E102B" w:rsidRDefault="001E1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9F070" w14:textId="77777777" w:rsidR="004919E9" w:rsidRDefault="004919E9" w:rsidP="001E102B">
      <w:pPr>
        <w:spacing w:after="0" w:line="240" w:lineRule="auto"/>
      </w:pPr>
      <w:r>
        <w:separator/>
      </w:r>
    </w:p>
  </w:footnote>
  <w:footnote w:type="continuationSeparator" w:id="0">
    <w:p w14:paraId="32373CCB" w14:textId="77777777" w:rsidR="004919E9" w:rsidRDefault="004919E9" w:rsidP="001E102B">
      <w:pPr>
        <w:spacing w:after="0" w:line="240" w:lineRule="auto"/>
      </w:pPr>
      <w:r>
        <w:continuationSeparator/>
      </w:r>
    </w:p>
  </w:footnote>
  <w:footnote w:type="continuationNotice" w:id="1">
    <w:p w14:paraId="5EFCF693" w14:textId="77777777" w:rsidR="004919E9" w:rsidRDefault="004919E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4FE5"/>
    <w:multiLevelType w:val="multilevel"/>
    <w:tmpl w:val="9F087E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925979"/>
    <w:multiLevelType w:val="hybridMultilevel"/>
    <w:tmpl w:val="6A604A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73B746B"/>
    <w:multiLevelType w:val="hybridMultilevel"/>
    <w:tmpl w:val="2E165BB0"/>
    <w:lvl w:ilvl="0" w:tplc="06F06800">
      <w:start w:val="4"/>
      <w:numFmt w:val="bullet"/>
      <w:lvlText w:val=""/>
      <w:lvlJc w:val="left"/>
      <w:pPr>
        <w:ind w:left="720" w:hanging="360"/>
      </w:pPr>
      <w:rPr>
        <w:rFonts w:ascii="Symbol" w:eastAsiaTheme="minorHAnsi" w:hAnsi="Symbol" w:cstheme="minorHAns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BA343D6"/>
    <w:multiLevelType w:val="multilevel"/>
    <w:tmpl w:val="561ABC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D7D52B7"/>
    <w:multiLevelType w:val="multilevel"/>
    <w:tmpl w:val="0546B7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5844F09"/>
    <w:multiLevelType w:val="hybridMultilevel"/>
    <w:tmpl w:val="B8BE06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57B437C"/>
    <w:multiLevelType w:val="multilevel"/>
    <w:tmpl w:val="3F5E62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07E37CE"/>
    <w:multiLevelType w:val="multilevel"/>
    <w:tmpl w:val="101A2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DE1C16"/>
    <w:multiLevelType w:val="hybridMultilevel"/>
    <w:tmpl w:val="14B01316"/>
    <w:lvl w:ilvl="0" w:tplc="5CA245F4">
      <w:start w:val="4"/>
      <w:numFmt w:val="bullet"/>
      <w:lvlText w:val=""/>
      <w:lvlJc w:val="left"/>
      <w:pPr>
        <w:ind w:left="720" w:hanging="360"/>
      </w:pPr>
      <w:rPr>
        <w:rFonts w:ascii="Symbol" w:eastAsiaTheme="minorHAnsi" w:hAnsi="Symbol" w:cstheme="minorHAns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5CC96185"/>
    <w:multiLevelType w:val="hybridMultilevel"/>
    <w:tmpl w:val="32EE5C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CD35055"/>
    <w:multiLevelType w:val="hybridMultilevel"/>
    <w:tmpl w:val="17569EB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04202DB"/>
    <w:multiLevelType w:val="hybridMultilevel"/>
    <w:tmpl w:val="78222E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62C60D08"/>
    <w:multiLevelType w:val="multilevel"/>
    <w:tmpl w:val="53F0B3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6773014A"/>
    <w:multiLevelType w:val="hybridMultilevel"/>
    <w:tmpl w:val="49AE0CE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171423B"/>
    <w:multiLevelType w:val="multilevel"/>
    <w:tmpl w:val="0C9E8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CB72A9"/>
    <w:multiLevelType w:val="multilevel"/>
    <w:tmpl w:val="021E84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2"/>
  </w:num>
  <w:num w:numId="2">
    <w:abstractNumId w:val="14"/>
  </w:num>
  <w:num w:numId="3">
    <w:abstractNumId w:val="10"/>
  </w:num>
  <w:num w:numId="4">
    <w:abstractNumId w:val="9"/>
  </w:num>
  <w:num w:numId="5">
    <w:abstractNumId w:val="15"/>
  </w:num>
  <w:num w:numId="6">
    <w:abstractNumId w:val="1"/>
  </w:num>
  <w:num w:numId="7">
    <w:abstractNumId w:val="11"/>
  </w:num>
  <w:num w:numId="8">
    <w:abstractNumId w:val="5"/>
  </w:num>
  <w:num w:numId="9">
    <w:abstractNumId w:val="6"/>
  </w:num>
  <w:num w:numId="10">
    <w:abstractNumId w:val="15"/>
  </w:num>
  <w:num w:numId="11">
    <w:abstractNumId w:val="0"/>
  </w:num>
  <w:num w:numId="12">
    <w:abstractNumId w:val="4"/>
  </w:num>
  <w:num w:numId="13">
    <w:abstractNumId w:val="3"/>
  </w:num>
  <w:num w:numId="14">
    <w:abstractNumId w:val="7"/>
  </w:num>
  <w:num w:numId="15">
    <w:abstractNumId w:val="8"/>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2D9"/>
    <w:rsid w:val="000006F0"/>
    <w:rsid w:val="00014996"/>
    <w:rsid w:val="0001526D"/>
    <w:rsid w:val="00020EA9"/>
    <w:rsid w:val="000268AA"/>
    <w:rsid w:val="0003045F"/>
    <w:rsid w:val="00030C30"/>
    <w:rsid w:val="00040201"/>
    <w:rsid w:val="0005196E"/>
    <w:rsid w:val="000552F6"/>
    <w:rsid w:val="000701D0"/>
    <w:rsid w:val="0007729C"/>
    <w:rsid w:val="00093AC8"/>
    <w:rsid w:val="00094201"/>
    <w:rsid w:val="000A78A2"/>
    <w:rsid w:val="000B011E"/>
    <w:rsid w:val="000B02F1"/>
    <w:rsid w:val="000B2BD2"/>
    <w:rsid w:val="000B4AEB"/>
    <w:rsid w:val="000B4E00"/>
    <w:rsid w:val="000C48DB"/>
    <w:rsid w:val="000C5ED6"/>
    <w:rsid w:val="000D1513"/>
    <w:rsid w:val="000D3115"/>
    <w:rsid w:val="000D3525"/>
    <w:rsid w:val="000D4249"/>
    <w:rsid w:val="000D7E0E"/>
    <w:rsid w:val="000E2DD1"/>
    <w:rsid w:val="000F4947"/>
    <w:rsid w:val="000F5F89"/>
    <w:rsid w:val="000F7170"/>
    <w:rsid w:val="001011EE"/>
    <w:rsid w:val="00103F35"/>
    <w:rsid w:val="00110928"/>
    <w:rsid w:val="00110E42"/>
    <w:rsid w:val="0011290D"/>
    <w:rsid w:val="0013142F"/>
    <w:rsid w:val="00134F18"/>
    <w:rsid w:val="001356BE"/>
    <w:rsid w:val="001443E6"/>
    <w:rsid w:val="00146D67"/>
    <w:rsid w:val="00161129"/>
    <w:rsid w:val="00163042"/>
    <w:rsid w:val="00166450"/>
    <w:rsid w:val="00171A2F"/>
    <w:rsid w:val="00172FD4"/>
    <w:rsid w:val="00176309"/>
    <w:rsid w:val="00176B7C"/>
    <w:rsid w:val="001860FE"/>
    <w:rsid w:val="001A00D0"/>
    <w:rsid w:val="001A0A41"/>
    <w:rsid w:val="001A5CDF"/>
    <w:rsid w:val="001A75BA"/>
    <w:rsid w:val="001D348F"/>
    <w:rsid w:val="001D731D"/>
    <w:rsid w:val="001E102B"/>
    <w:rsid w:val="001E441A"/>
    <w:rsid w:val="001E70F9"/>
    <w:rsid w:val="001F2558"/>
    <w:rsid w:val="001F71D0"/>
    <w:rsid w:val="00204188"/>
    <w:rsid w:val="00206050"/>
    <w:rsid w:val="00207E6E"/>
    <w:rsid w:val="0021057E"/>
    <w:rsid w:val="00216495"/>
    <w:rsid w:val="00217619"/>
    <w:rsid w:val="00220C90"/>
    <w:rsid w:val="0022238E"/>
    <w:rsid w:val="00225CC6"/>
    <w:rsid w:val="00230B52"/>
    <w:rsid w:val="00232DAD"/>
    <w:rsid w:val="00233574"/>
    <w:rsid w:val="002420A8"/>
    <w:rsid w:val="00245A88"/>
    <w:rsid w:val="00246A0B"/>
    <w:rsid w:val="00246EC2"/>
    <w:rsid w:val="002576C7"/>
    <w:rsid w:val="00286DF1"/>
    <w:rsid w:val="0029216E"/>
    <w:rsid w:val="00297FBE"/>
    <w:rsid w:val="002A0AA8"/>
    <w:rsid w:val="002A33F5"/>
    <w:rsid w:val="002B6C3D"/>
    <w:rsid w:val="002B70E8"/>
    <w:rsid w:val="002C7606"/>
    <w:rsid w:val="002D03E0"/>
    <w:rsid w:val="002D06CD"/>
    <w:rsid w:val="002D276B"/>
    <w:rsid w:val="002E127F"/>
    <w:rsid w:val="002F7C85"/>
    <w:rsid w:val="00306E70"/>
    <w:rsid w:val="00316748"/>
    <w:rsid w:val="00335346"/>
    <w:rsid w:val="00336023"/>
    <w:rsid w:val="00337D8A"/>
    <w:rsid w:val="00343DBC"/>
    <w:rsid w:val="0035365C"/>
    <w:rsid w:val="0035385B"/>
    <w:rsid w:val="00353A49"/>
    <w:rsid w:val="00355353"/>
    <w:rsid w:val="00355731"/>
    <w:rsid w:val="00355BA7"/>
    <w:rsid w:val="0036740C"/>
    <w:rsid w:val="00371FE9"/>
    <w:rsid w:val="00372280"/>
    <w:rsid w:val="0037273E"/>
    <w:rsid w:val="00382576"/>
    <w:rsid w:val="00384ABD"/>
    <w:rsid w:val="00385EBF"/>
    <w:rsid w:val="00390A69"/>
    <w:rsid w:val="003B5B90"/>
    <w:rsid w:val="003D0C5C"/>
    <w:rsid w:val="003D0F95"/>
    <w:rsid w:val="003D5343"/>
    <w:rsid w:val="003D6C58"/>
    <w:rsid w:val="003E04CD"/>
    <w:rsid w:val="003E0B5A"/>
    <w:rsid w:val="003E5C7E"/>
    <w:rsid w:val="003F1A97"/>
    <w:rsid w:val="004165FC"/>
    <w:rsid w:val="00420DE0"/>
    <w:rsid w:val="00422990"/>
    <w:rsid w:val="004429D9"/>
    <w:rsid w:val="00445E46"/>
    <w:rsid w:val="00454AC3"/>
    <w:rsid w:val="00462730"/>
    <w:rsid w:val="004674EC"/>
    <w:rsid w:val="0048343E"/>
    <w:rsid w:val="004919E9"/>
    <w:rsid w:val="00491D51"/>
    <w:rsid w:val="00494AA6"/>
    <w:rsid w:val="0049588D"/>
    <w:rsid w:val="0049680F"/>
    <w:rsid w:val="00497B4A"/>
    <w:rsid w:val="004A0773"/>
    <w:rsid w:val="004A19B0"/>
    <w:rsid w:val="004B1952"/>
    <w:rsid w:val="004B3248"/>
    <w:rsid w:val="004B5C8C"/>
    <w:rsid w:val="004C0A4F"/>
    <w:rsid w:val="004C1062"/>
    <w:rsid w:val="004C7AE2"/>
    <w:rsid w:val="004C7E1C"/>
    <w:rsid w:val="004D34BA"/>
    <w:rsid w:val="004E3594"/>
    <w:rsid w:val="004E38AC"/>
    <w:rsid w:val="004E5421"/>
    <w:rsid w:val="004F30F4"/>
    <w:rsid w:val="004F745D"/>
    <w:rsid w:val="0050044E"/>
    <w:rsid w:val="005019B2"/>
    <w:rsid w:val="00503747"/>
    <w:rsid w:val="00504AAE"/>
    <w:rsid w:val="00510A41"/>
    <w:rsid w:val="00515D04"/>
    <w:rsid w:val="00530E4A"/>
    <w:rsid w:val="0055007A"/>
    <w:rsid w:val="00550EA8"/>
    <w:rsid w:val="005617E4"/>
    <w:rsid w:val="005656AB"/>
    <w:rsid w:val="005662EE"/>
    <w:rsid w:val="00566B8A"/>
    <w:rsid w:val="00566D3C"/>
    <w:rsid w:val="00571147"/>
    <w:rsid w:val="00572651"/>
    <w:rsid w:val="00573902"/>
    <w:rsid w:val="00581DFD"/>
    <w:rsid w:val="00582942"/>
    <w:rsid w:val="00585D2C"/>
    <w:rsid w:val="0059232C"/>
    <w:rsid w:val="00597BCC"/>
    <w:rsid w:val="005A124C"/>
    <w:rsid w:val="005A4D01"/>
    <w:rsid w:val="005B01EA"/>
    <w:rsid w:val="005B3268"/>
    <w:rsid w:val="005B43A5"/>
    <w:rsid w:val="005B4610"/>
    <w:rsid w:val="005C45D3"/>
    <w:rsid w:val="005D7DBB"/>
    <w:rsid w:val="005E34F6"/>
    <w:rsid w:val="006023F2"/>
    <w:rsid w:val="006052D9"/>
    <w:rsid w:val="00607D3C"/>
    <w:rsid w:val="0061193B"/>
    <w:rsid w:val="00624E84"/>
    <w:rsid w:val="0064248D"/>
    <w:rsid w:val="006470C5"/>
    <w:rsid w:val="00654344"/>
    <w:rsid w:val="0066255D"/>
    <w:rsid w:val="0067482B"/>
    <w:rsid w:val="00675B33"/>
    <w:rsid w:val="006943A2"/>
    <w:rsid w:val="00696C36"/>
    <w:rsid w:val="006C6164"/>
    <w:rsid w:val="006D0628"/>
    <w:rsid w:val="006D4F78"/>
    <w:rsid w:val="006F3ACA"/>
    <w:rsid w:val="007037B3"/>
    <w:rsid w:val="00706CEA"/>
    <w:rsid w:val="00712C01"/>
    <w:rsid w:val="0072176B"/>
    <w:rsid w:val="00721E31"/>
    <w:rsid w:val="00722DBA"/>
    <w:rsid w:val="00725754"/>
    <w:rsid w:val="00734D0E"/>
    <w:rsid w:val="00737494"/>
    <w:rsid w:val="007402E1"/>
    <w:rsid w:val="00740CE9"/>
    <w:rsid w:val="00740DE8"/>
    <w:rsid w:val="00744780"/>
    <w:rsid w:val="00757FBE"/>
    <w:rsid w:val="007608EE"/>
    <w:rsid w:val="00762710"/>
    <w:rsid w:val="00763A65"/>
    <w:rsid w:val="00764541"/>
    <w:rsid w:val="007738F3"/>
    <w:rsid w:val="007812A7"/>
    <w:rsid w:val="00782F15"/>
    <w:rsid w:val="00786E28"/>
    <w:rsid w:val="007A38CD"/>
    <w:rsid w:val="007A3B7A"/>
    <w:rsid w:val="007A442F"/>
    <w:rsid w:val="007B2B21"/>
    <w:rsid w:val="007D0985"/>
    <w:rsid w:val="007D1D09"/>
    <w:rsid w:val="007F48F5"/>
    <w:rsid w:val="007F5EAF"/>
    <w:rsid w:val="007F71F7"/>
    <w:rsid w:val="00800EC2"/>
    <w:rsid w:val="00816464"/>
    <w:rsid w:val="008177D2"/>
    <w:rsid w:val="00822184"/>
    <w:rsid w:val="00824B0C"/>
    <w:rsid w:val="00830C31"/>
    <w:rsid w:val="0083239F"/>
    <w:rsid w:val="00833C82"/>
    <w:rsid w:val="00836C35"/>
    <w:rsid w:val="0084235D"/>
    <w:rsid w:val="00851140"/>
    <w:rsid w:val="00854AF4"/>
    <w:rsid w:val="00864067"/>
    <w:rsid w:val="0087536F"/>
    <w:rsid w:val="008765F8"/>
    <w:rsid w:val="008803D7"/>
    <w:rsid w:val="008A2DF3"/>
    <w:rsid w:val="008A3883"/>
    <w:rsid w:val="008A38A3"/>
    <w:rsid w:val="008A7C5D"/>
    <w:rsid w:val="008B114C"/>
    <w:rsid w:val="008B7FEB"/>
    <w:rsid w:val="008C0154"/>
    <w:rsid w:val="008D761A"/>
    <w:rsid w:val="008E046A"/>
    <w:rsid w:val="008E30EE"/>
    <w:rsid w:val="009015F8"/>
    <w:rsid w:val="009046F6"/>
    <w:rsid w:val="00913FBB"/>
    <w:rsid w:val="009220BB"/>
    <w:rsid w:val="0092316B"/>
    <w:rsid w:val="009231A1"/>
    <w:rsid w:val="00923741"/>
    <w:rsid w:val="00926E90"/>
    <w:rsid w:val="00930DE2"/>
    <w:rsid w:val="00931A46"/>
    <w:rsid w:val="00944CAC"/>
    <w:rsid w:val="00946FF7"/>
    <w:rsid w:val="00947B8C"/>
    <w:rsid w:val="009509C6"/>
    <w:rsid w:val="00951101"/>
    <w:rsid w:val="009529BE"/>
    <w:rsid w:val="00972E05"/>
    <w:rsid w:val="00976C53"/>
    <w:rsid w:val="009802CA"/>
    <w:rsid w:val="00983708"/>
    <w:rsid w:val="00983B31"/>
    <w:rsid w:val="009850DA"/>
    <w:rsid w:val="009962C8"/>
    <w:rsid w:val="00997F4E"/>
    <w:rsid w:val="009A6A56"/>
    <w:rsid w:val="009C6569"/>
    <w:rsid w:val="009D2B90"/>
    <w:rsid w:val="009D7631"/>
    <w:rsid w:val="009E66CF"/>
    <w:rsid w:val="009F0979"/>
    <w:rsid w:val="009F3F28"/>
    <w:rsid w:val="009F4EA7"/>
    <w:rsid w:val="009F569C"/>
    <w:rsid w:val="00A15250"/>
    <w:rsid w:val="00A1705D"/>
    <w:rsid w:val="00A20F09"/>
    <w:rsid w:val="00A222F6"/>
    <w:rsid w:val="00A225B4"/>
    <w:rsid w:val="00A22806"/>
    <w:rsid w:val="00A25BF2"/>
    <w:rsid w:val="00A33564"/>
    <w:rsid w:val="00A4592C"/>
    <w:rsid w:val="00A66331"/>
    <w:rsid w:val="00A70460"/>
    <w:rsid w:val="00A76013"/>
    <w:rsid w:val="00A81DED"/>
    <w:rsid w:val="00A83256"/>
    <w:rsid w:val="00A91E80"/>
    <w:rsid w:val="00A9798F"/>
    <w:rsid w:val="00AA1B82"/>
    <w:rsid w:val="00AA334F"/>
    <w:rsid w:val="00AA5570"/>
    <w:rsid w:val="00AB243D"/>
    <w:rsid w:val="00AB522F"/>
    <w:rsid w:val="00AC2F34"/>
    <w:rsid w:val="00AD40F8"/>
    <w:rsid w:val="00AF0F51"/>
    <w:rsid w:val="00AF79E2"/>
    <w:rsid w:val="00AF7CDF"/>
    <w:rsid w:val="00B01D0A"/>
    <w:rsid w:val="00B036F9"/>
    <w:rsid w:val="00B10BDE"/>
    <w:rsid w:val="00B1487F"/>
    <w:rsid w:val="00B16661"/>
    <w:rsid w:val="00B175C8"/>
    <w:rsid w:val="00B2650F"/>
    <w:rsid w:val="00B401FB"/>
    <w:rsid w:val="00B40F46"/>
    <w:rsid w:val="00B4224E"/>
    <w:rsid w:val="00B44624"/>
    <w:rsid w:val="00B460CA"/>
    <w:rsid w:val="00B46336"/>
    <w:rsid w:val="00B52D29"/>
    <w:rsid w:val="00B56532"/>
    <w:rsid w:val="00B56B92"/>
    <w:rsid w:val="00B64C92"/>
    <w:rsid w:val="00B67624"/>
    <w:rsid w:val="00B709D6"/>
    <w:rsid w:val="00B730FD"/>
    <w:rsid w:val="00B75560"/>
    <w:rsid w:val="00B762D1"/>
    <w:rsid w:val="00B77890"/>
    <w:rsid w:val="00BB2FC4"/>
    <w:rsid w:val="00BD41C1"/>
    <w:rsid w:val="00BD55CB"/>
    <w:rsid w:val="00BD6568"/>
    <w:rsid w:val="00BE1794"/>
    <w:rsid w:val="00BF3B42"/>
    <w:rsid w:val="00BF47E5"/>
    <w:rsid w:val="00C02F30"/>
    <w:rsid w:val="00C07158"/>
    <w:rsid w:val="00C107F7"/>
    <w:rsid w:val="00C122A8"/>
    <w:rsid w:val="00C16A93"/>
    <w:rsid w:val="00C22E02"/>
    <w:rsid w:val="00C25413"/>
    <w:rsid w:val="00C43C58"/>
    <w:rsid w:val="00C51DF5"/>
    <w:rsid w:val="00C705EA"/>
    <w:rsid w:val="00C73662"/>
    <w:rsid w:val="00C74D2D"/>
    <w:rsid w:val="00C77482"/>
    <w:rsid w:val="00C77E53"/>
    <w:rsid w:val="00C82BBD"/>
    <w:rsid w:val="00C92059"/>
    <w:rsid w:val="00CB04CD"/>
    <w:rsid w:val="00CB208C"/>
    <w:rsid w:val="00CB4094"/>
    <w:rsid w:val="00CC5105"/>
    <w:rsid w:val="00CC5184"/>
    <w:rsid w:val="00CC5AD7"/>
    <w:rsid w:val="00CD5C48"/>
    <w:rsid w:val="00CF0EA4"/>
    <w:rsid w:val="00CF5C96"/>
    <w:rsid w:val="00D14CEF"/>
    <w:rsid w:val="00D267C1"/>
    <w:rsid w:val="00D26E25"/>
    <w:rsid w:val="00D325C7"/>
    <w:rsid w:val="00D43E71"/>
    <w:rsid w:val="00D53938"/>
    <w:rsid w:val="00D67020"/>
    <w:rsid w:val="00D704D4"/>
    <w:rsid w:val="00D742AC"/>
    <w:rsid w:val="00D7769D"/>
    <w:rsid w:val="00D827DE"/>
    <w:rsid w:val="00D83906"/>
    <w:rsid w:val="00D92598"/>
    <w:rsid w:val="00DA0D4A"/>
    <w:rsid w:val="00DA1DBC"/>
    <w:rsid w:val="00DA5AB3"/>
    <w:rsid w:val="00DC6870"/>
    <w:rsid w:val="00DE550D"/>
    <w:rsid w:val="00DF05CC"/>
    <w:rsid w:val="00DF0B85"/>
    <w:rsid w:val="00DF76FA"/>
    <w:rsid w:val="00E0523D"/>
    <w:rsid w:val="00E15667"/>
    <w:rsid w:val="00E31741"/>
    <w:rsid w:val="00E33656"/>
    <w:rsid w:val="00E33E14"/>
    <w:rsid w:val="00E41254"/>
    <w:rsid w:val="00E50B17"/>
    <w:rsid w:val="00E518DB"/>
    <w:rsid w:val="00E527D8"/>
    <w:rsid w:val="00E52850"/>
    <w:rsid w:val="00E62B28"/>
    <w:rsid w:val="00E70C71"/>
    <w:rsid w:val="00E764B5"/>
    <w:rsid w:val="00E778BC"/>
    <w:rsid w:val="00E83B2F"/>
    <w:rsid w:val="00E843EA"/>
    <w:rsid w:val="00E94534"/>
    <w:rsid w:val="00E95BBB"/>
    <w:rsid w:val="00EA5538"/>
    <w:rsid w:val="00EA7985"/>
    <w:rsid w:val="00EB1F57"/>
    <w:rsid w:val="00EC4F2C"/>
    <w:rsid w:val="00ED1AB1"/>
    <w:rsid w:val="00ED6F53"/>
    <w:rsid w:val="00EE77B8"/>
    <w:rsid w:val="00EF162E"/>
    <w:rsid w:val="00F01AE5"/>
    <w:rsid w:val="00F02902"/>
    <w:rsid w:val="00F02C46"/>
    <w:rsid w:val="00F036E2"/>
    <w:rsid w:val="00F15F76"/>
    <w:rsid w:val="00F53CBC"/>
    <w:rsid w:val="00F54517"/>
    <w:rsid w:val="00F56997"/>
    <w:rsid w:val="00F60BE7"/>
    <w:rsid w:val="00F6739E"/>
    <w:rsid w:val="00F84837"/>
    <w:rsid w:val="00F95E56"/>
    <w:rsid w:val="00FA3A35"/>
    <w:rsid w:val="00FA6C0E"/>
    <w:rsid w:val="00FA6C7C"/>
    <w:rsid w:val="00FB3D23"/>
    <w:rsid w:val="00FB4737"/>
    <w:rsid w:val="00FC5CCC"/>
    <w:rsid w:val="00FD1632"/>
    <w:rsid w:val="00FD40A8"/>
    <w:rsid w:val="00FF3345"/>
    <w:rsid w:val="00FF3527"/>
    <w:rsid w:val="00FF3C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9CE82"/>
  <w15:chartTrackingRefBased/>
  <w15:docId w15:val="{972D875A-5838-4FFE-866D-52DF8102D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A0773"/>
    <w:pPr>
      <w:suppressAutoHyphens/>
      <w:autoSpaceDN w:val="0"/>
      <w:spacing w:after="0" w:line="240" w:lineRule="auto"/>
      <w:textAlignment w:val="baseline"/>
    </w:pPr>
    <w:rPr>
      <w:rFonts w:ascii="Liberation Serif" w:eastAsia="Noto Sans CJK SC Regular" w:hAnsi="Liberation Serif" w:cs="FreeSans"/>
      <w:kern w:val="3"/>
      <w:sz w:val="24"/>
      <w:szCs w:val="24"/>
      <w:lang w:val="en-GB" w:eastAsia="zh-CN" w:bidi="hi-IN"/>
    </w:rPr>
  </w:style>
  <w:style w:type="paragraph" w:customStyle="1" w:styleId="EndNoteBibliography">
    <w:name w:val="EndNote Bibliography"/>
    <w:basedOn w:val="Normal"/>
    <w:rsid w:val="009850DA"/>
    <w:pPr>
      <w:suppressAutoHyphens/>
      <w:autoSpaceDN w:val="0"/>
      <w:spacing w:after="0" w:line="240" w:lineRule="auto"/>
      <w:textAlignment w:val="baseline"/>
    </w:pPr>
    <w:rPr>
      <w:rFonts w:ascii="Liberation Serif" w:eastAsia="Noto Sans CJK SC Regular" w:hAnsi="Liberation Serif" w:cs="FreeSans"/>
      <w:kern w:val="3"/>
      <w:sz w:val="24"/>
      <w:szCs w:val="24"/>
      <w:lang w:val="en-GB" w:eastAsia="zh-CN" w:bidi="hi-IN"/>
    </w:rPr>
  </w:style>
  <w:style w:type="character" w:styleId="CommentReference">
    <w:name w:val="annotation reference"/>
    <w:basedOn w:val="DefaultParagraphFont"/>
    <w:uiPriority w:val="99"/>
    <w:semiHidden/>
    <w:unhideWhenUsed/>
    <w:rsid w:val="00CB208C"/>
    <w:rPr>
      <w:sz w:val="16"/>
      <w:szCs w:val="16"/>
    </w:rPr>
  </w:style>
  <w:style w:type="paragraph" w:styleId="CommentText">
    <w:name w:val="annotation text"/>
    <w:basedOn w:val="Normal"/>
    <w:link w:val="CommentTextChar"/>
    <w:uiPriority w:val="99"/>
    <w:semiHidden/>
    <w:unhideWhenUsed/>
    <w:rsid w:val="00CB208C"/>
    <w:pPr>
      <w:spacing w:line="240" w:lineRule="auto"/>
    </w:pPr>
    <w:rPr>
      <w:sz w:val="20"/>
      <w:szCs w:val="20"/>
    </w:rPr>
  </w:style>
  <w:style w:type="character" w:customStyle="1" w:styleId="CommentTextChar">
    <w:name w:val="Comment Text Char"/>
    <w:basedOn w:val="DefaultParagraphFont"/>
    <w:link w:val="CommentText"/>
    <w:uiPriority w:val="99"/>
    <w:semiHidden/>
    <w:rsid w:val="00CB208C"/>
    <w:rPr>
      <w:sz w:val="20"/>
      <w:szCs w:val="20"/>
    </w:rPr>
  </w:style>
  <w:style w:type="paragraph" w:styleId="CommentSubject">
    <w:name w:val="annotation subject"/>
    <w:basedOn w:val="CommentText"/>
    <w:next w:val="CommentText"/>
    <w:link w:val="CommentSubjectChar"/>
    <w:uiPriority w:val="99"/>
    <w:semiHidden/>
    <w:unhideWhenUsed/>
    <w:rsid w:val="00CB208C"/>
    <w:rPr>
      <w:b/>
      <w:bCs/>
    </w:rPr>
  </w:style>
  <w:style w:type="character" w:customStyle="1" w:styleId="CommentSubjectChar">
    <w:name w:val="Comment Subject Char"/>
    <w:basedOn w:val="CommentTextChar"/>
    <w:link w:val="CommentSubject"/>
    <w:uiPriority w:val="99"/>
    <w:semiHidden/>
    <w:rsid w:val="00CB208C"/>
    <w:rPr>
      <w:b/>
      <w:bCs/>
      <w:sz w:val="20"/>
      <w:szCs w:val="20"/>
    </w:rPr>
  </w:style>
  <w:style w:type="paragraph" w:styleId="BalloonText">
    <w:name w:val="Balloon Text"/>
    <w:basedOn w:val="Normal"/>
    <w:link w:val="BalloonTextChar"/>
    <w:uiPriority w:val="99"/>
    <w:semiHidden/>
    <w:unhideWhenUsed/>
    <w:rsid w:val="00CB20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08C"/>
    <w:rPr>
      <w:rFonts w:ascii="Segoe UI" w:hAnsi="Segoe UI" w:cs="Segoe UI"/>
      <w:sz w:val="18"/>
      <w:szCs w:val="18"/>
    </w:rPr>
  </w:style>
  <w:style w:type="paragraph" w:styleId="ListParagraph">
    <w:name w:val="List Paragraph"/>
    <w:basedOn w:val="Normal"/>
    <w:uiPriority w:val="34"/>
    <w:qFormat/>
    <w:rsid w:val="009D2B90"/>
    <w:pPr>
      <w:ind w:left="720"/>
      <w:contextualSpacing/>
    </w:pPr>
  </w:style>
  <w:style w:type="paragraph" w:styleId="Bibliography">
    <w:name w:val="Bibliography"/>
    <w:basedOn w:val="Normal"/>
    <w:next w:val="Normal"/>
    <w:uiPriority w:val="37"/>
    <w:unhideWhenUsed/>
    <w:rsid w:val="005D7DBB"/>
    <w:pPr>
      <w:tabs>
        <w:tab w:val="left" w:pos="504"/>
      </w:tabs>
      <w:spacing w:after="240" w:line="240" w:lineRule="auto"/>
      <w:ind w:left="504" w:hanging="504"/>
    </w:pPr>
  </w:style>
  <w:style w:type="character" w:styleId="Hyperlink">
    <w:name w:val="Hyperlink"/>
    <w:basedOn w:val="DefaultParagraphFont"/>
    <w:uiPriority w:val="99"/>
    <w:unhideWhenUsed/>
    <w:rsid w:val="00DF76FA"/>
    <w:rPr>
      <w:color w:val="0563C1" w:themeColor="hyperlink"/>
      <w:u w:val="single"/>
    </w:rPr>
  </w:style>
  <w:style w:type="character" w:customStyle="1" w:styleId="UnresolvedMention1">
    <w:name w:val="Unresolved Mention1"/>
    <w:basedOn w:val="DefaultParagraphFont"/>
    <w:uiPriority w:val="99"/>
    <w:semiHidden/>
    <w:unhideWhenUsed/>
    <w:rsid w:val="00DF76FA"/>
    <w:rPr>
      <w:color w:val="605E5C"/>
      <w:shd w:val="clear" w:color="auto" w:fill="E1DFDD"/>
    </w:rPr>
  </w:style>
  <w:style w:type="character" w:styleId="LineNumber">
    <w:name w:val="line number"/>
    <w:basedOn w:val="DefaultParagraphFont"/>
    <w:uiPriority w:val="99"/>
    <w:semiHidden/>
    <w:unhideWhenUsed/>
    <w:rsid w:val="00913FBB"/>
  </w:style>
  <w:style w:type="paragraph" w:styleId="Header">
    <w:name w:val="header"/>
    <w:basedOn w:val="Normal"/>
    <w:link w:val="HeaderChar"/>
    <w:uiPriority w:val="99"/>
    <w:unhideWhenUsed/>
    <w:rsid w:val="001E10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02B"/>
  </w:style>
  <w:style w:type="paragraph" w:styleId="Footer">
    <w:name w:val="footer"/>
    <w:basedOn w:val="Normal"/>
    <w:link w:val="FooterChar"/>
    <w:uiPriority w:val="99"/>
    <w:unhideWhenUsed/>
    <w:rsid w:val="001E10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02B"/>
  </w:style>
  <w:style w:type="character" w:styleId="UnresolvedMention">
    <w:name w:val="Unresolved Mention"/>
    <w:basedOn w:val="DefaultParagraphFont"/>
    <w:uiPriority w:val="99"/>
    <w:semiHidden/>
    <w:unhideWhenUsed/>
    <w:rsid w:val="002335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691371">
      <w:bodyDiv w:val="1"/>
      <w:marLeft w:val="0"/>
      <w:marRight w:val="0"/>
      <w:marTop w:val="0"/>
      <w:marBottom w:val="0"/>
      <w:divBdr>
        <w:top w:val="none" w:sz="0" w:space="0" w:color="auto"/>
        <w:left w:val="none" w:sz="0" w:space="0" w:color="auto"/>
        <w:bottom w:val="none" w:sz="0" w:space="0" w:color="auto"/>
        <w:right w:val="none" w:sz="0" w:space="0" w:color="auto"/>
      </w:divBdr>
    </w:div>
    <w:div w:id="802431692">
      <w:bodyDiv w:val="1"/>
      <w:marLeft w:val="0"/>
      <w:marRight w:val="0"/>
      <w:marTop w:val="0"/>
      <w:marBottom w:val="0"/>
      <w:divBdr>
        <w:top w:val="none" w:sz="0" w:space="0" w:color="auto"/>
        <w:left w:val="none" w:sz="0" w:space="0" w:color="auto"/>
        <w:bottom w:val="none" w:sz="0" w:space="0" w:color="auto"/>
        <w:right w:val="none" w:sz="0" w:space="0" w:color="auto"/>
      </w:divBdr>
    </w:div>
    <w:div w:id="1004670415">
      <w:bodyDiv w:val="1"/>
      <w:marLeft w:val="0"/>
      <w:marRight w:val="0"/>
      <w:marTop w:val="0"/>
      <w:marBottom w:val="0"/>
      <w:divBdr>
        <w:top w:val="none" w:sz="0" w:space="0" w:color="auto"/>
        <w:left w:val="none" w:sz="0" w:space="0" w:color="auto"/>
        <w:bottom w:val="none" w:sz="0" w:space="0" w:color="auto"/>
        <w:right w:val="none" w:sz="0" w:space="0" w:color="auto"/>
      </w:divBdr>
    </w:div>
    <w:div w:id="1809585437">
      <w:bodyDiv w:val="1"/>
      <w:marLeft w:val="0"/>
      <w:marRight w:val="0"/>
      <w:marTop w:val="0"/>
      <w:marBottom w:val="0"/>
      <w:divBdr>
        <w:top w:val="none" w:sz="0" w:space="0" w:color="auto"/>
        <w:left w:val="none" w:sz="0" w:space="0" w:color="auto"/>
        <w:bottom w:val="none" w:sz="0" w:space="0" w:color="auto"/>
        <w:right w:val="none" w:sz="0" w:space="0" w:color="auto"/>
      </w:divBdr>
      <w:divsChild>
        <w:div w:id="1511948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errydavies@doctors.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amackay@doctors.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james.millard@liverpool.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B3A17B727F9145AA36BF5F32B1B76E" ma:contentTypeVersion="8" ma:contentTypeDescription="Create a new document." ma:contentTypeScope="" ma:versionID="e6735fc3aacfe0f2472ac54af3b053ea">
  <xsd:schema xmlns:xsd="http://www.w3.org/2001/XMLSchema" xmlns:xs="http://www.w3.org/2001/XMLSchema" xmlns:p="http://schemas.microsoft.com/office/2006/metadata/properties" xmlns:ns3="132c664a-40da-43ef-ba59-381b53d0c3d0" targetNamespace="http://schemas.microsoft.com/office/2006/metadata/properties" ma:root="true" ma:fieldsID="073edec8d857fadbee30f5fddbf6d6e9" ns3:_="">
    <xsd:import namespace="132c664a-40da-43ef-ba59-381b53d0c3d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c664a-40da-43ef-ba59-381b53d0c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DA00D3-5AD5-4DF6-B493-067F3642F9F9}">
  <ds:schemaRefs>
    <ds:schemaRef ds:uri="http://schemas.microsoft.com/sharepoint/v3/contenttype/forms"/>
  </ds:schemaRefs>
</ds:datastoreItem>
</file>

<file path=customXml/itemProps2.xml><?xml version="1.0" encoding="utf-8"?>
<ds:datastoreItem xmlns:ds="http://schemas.openxmlformats.org/officeDocument/2006/customXml" ds:itemID="{34463FEB-195F-4405-B178-37BBF06BB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c664a-40da-43ef-ba59-381b53d0c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A15701-65E3-4880-A58B-30959CB215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8964</Words>
  <Characters>51098</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Millard</dc:creator>
  <cp:keywords/>
  <dc:description/>
  <cp:lastModifiedBy>James Millard</cp:lastModifiedBy>
  <cp:revision>3</cp:revision>
  <dcterms:created xsi:type="dcterms:W3CDTF">2019-11-04T15:31:00Z</dcterms:created>
  <dcterms:modified xsi:type="dcterms:W3CDTF">2019-11-04T15:37:00Z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id="8pQsEzEC"/&gt;&lt;style id="http://www.zotero.org/styles/vancouver" locale="en-US" hasBibliography="1" bibliographyStyleHasBeenSet="1"/&gt;&lt;prefs&gt;&lt;pref name="fieldType" value="Field"/&gt;&lt;pref name="automati</vt:lpwstr>
  </property>
  <property fmtid="{D5CDD505-2E9C-101B-9397-08002B2CF9AE}" pid="3" name="ZOTERO_PREF_2">
    <vt:lpwstr>cJournalAbbreviations" value="true"/&gt;&lt;/prefs&gt;&lt;/data&gt;</vt:lpwstr>
  </property>
  <property fmtid="{D5CDD505-2E9C-101B-9397-08002B2CF9AE}" pid="4" name="ContentTypeId">
    <vt:lpwstr>0x0101005EB3A17B727F9145AA36BF5F32B1B76E</vt:lpwstr>
  </property>
</Properties>
</file>